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FB69AA" w14:textId="77777777" w:rsidR="00F36280" w:rsidRDefault="00F36280" w:rsidP="00F36280">
      <w:pPr>
        <w:jc w:val="right"/>
        <w:rPr>
          <w:rFonts w:ascii="Bookman Old Style" w:hAnsi="Bookman Old Style" w:cstheme="minorHAnsi"/>
          <w:b/>
          <w:sz w:val="20"/>
          <w:szCs w:val="20"/>
        </w:rPr>
      </w:pPr>
      <w:bookmarkStart w:id="0" w:name="_GoBack"/>
      <w:bookmarkEnd w:id="0"/>
    </w:p>
    <w:p w14:paraId="4A119080" w14:textId="77777777" w:rsidR="00F36280" w:rsidRDefault="00F36280" w:rsidP="00F36280">
      <w:pPr>
        <w:jc w:val="right"/>
        <w:rPr>
          <w:rFonts w:ascii="Bookman Old Style" w:hAnsi="Bookman Old Style" w:cstheme="minorHAnsi"/>
          <w:b/>
        </w:rPr>
      </w:pPr>
    </w:p>
    <w:p w14:paraId="1EE14E27" w14:textId="17B7D6A6" w:rsidR="00F36280" w:rsidRPr="00485CC5" w:rsidRDefault="002921B3" w:rsidP="00F36280">
      <w:pPr>
        <w:jc w:val="right"/>
        <w:rPr>
          <w:rFonts w:ascii="Bookman Old Style" w:hAnsi="Bookman Old Style" w:cstheme="minorHAnsi"/>
          <w:b/>
        </w:rPr>
      </w:pPr>
      <w:r>
        <w:rPr>
          <w:rFonts w:ascii="Bookman Old Style" w:hAnsi="Bookman Old Style" w:cstheme="minorHAnsi"/>
          <w:b/>
        </w:rPr>
        <w:t>Bogotá D.C., 20 de julio de 202</w:t>
      </w:r>
      <w:r w:rsidR="00E83A56">
        <w:rPr>
          <w:rFonts w:ascii="Bookman Old Style" w:hAnsi="Bookman Old Style" w:cstheme="minorHAnsi"/>
          <w:b/>
        </w:rPr>
        <w:t>1</w:t>
      </w:r>
    </w:p>
    <w:p w14:paraId="447FE4DE" w14:textId="77777777" w:rsidR="00F36280" w:rsidRDefault="00F36280" w:rsidP="00F36280">
      <w:pPr>
        <w:rPr>
          <w:rFonts w:ascii="Bookman Old Style" w:hAnsi="Bookman Old Style" w:cstheme="minorHAnsi"/>
          <w:b/>
        </w:rPr>
      </w:pPr>
    </w:p>
    <w:p w14:paraId="797BE30D" w14:textId="77777777" w:rsidR="00470AE7" w:rsidRPr="00485CC5" w:rsidRDefault="00470AE7" w:rsidP="00F36280">
      <w:pPr>
        <w:rPr>
          <w:rFonts w:ascii="Bookman Old Style" w:hAnsi="Bookman Old Style" w:cstheme="minorHAnsi"/>
        </w:rPr>
      </w:pPr>
    </w:p>
    <w:p w14:paraId="20C251BA" w14:textId="77777777" w:rsidR="00F36280" w:rsidRPr="00485CC5" w:rsidRDefault="00F36280" w:rsidP="00F36280">
      <w:pPr>
        <w:rPr>
          <w:rFonts w:ascii="Bookman Old Style" w:hAnsi="Bookman Old Style" w:cstheme="minorHAnsi"/>
        </w:rPr>
      </w:pPr>
    </w:p>
    <w:p w14:paraId="59C6048A" w14:textId="77777777" w:rsidR="00F36280" w:rsidRPr="00485CC5" w:rsidRDefault="00F36280" w:rsidP="00F36280">
      <w:pPr>
        <w:rPr>
          <w:rFonts w:ascii="Bookman Old Style" w:hAnsi="Bookman Old Style" w:cstheme="minorHAnsi"/>
        </w:rPr>
      </w:pPr>
      <w:r w:rsidRPr="00485CC5">
        <w:rPr>
          <w:rFonts w:ascii="Bookman Old Style" w:hAnsi="Bookman Old Style" w:cstheme="minorHAnsi"/>
        </w:rPr>
        <w:t>Doctor</w:t>
      </w:r>
    </w:p>
    <w:p w14:paraId="1CA91646" w14:textId="77777777" w:rsidR="00F36280" w:rsidRPr="00485CC5" w:rsidRDefault="00F36280" w:rsidP="00F36280">
      <w:pPr>
        <w:rPr>
          <w:rFonts w:ascii="Bookman Old Style" w:hAnsi="Bookman Old Style" w:cstheme="minorHAnsi"/>
          <w:b/>
        </w:rPr>
      </w:pPr>
      <w:r w:rsidRPr="00485CC5">
        <w:rPr>
          <w:rFonts w:ascii="Bookman Old Style" w:hAnsi="Bookman Old Style" w:cstheme="minorHAnsi"/>
          <w:b/>
        </w:rPr>
        <w:t>JORGE HUMBERTO MANTILLA SERRANO</w:t>
      </w:r>
    </w:p>
    <w:p w14:paraId="1DC843BD" w14:textId="77777777" w:rsidR="00F36280" w:rsidRPr="00485CC5" w:rsidRDefault="00F36280" w:rsidP="00F36280">
      <w:pPr>
        <w:rPr>
          <w:rFonts w:ascii="Bookman Old Style" w:hAnsi="Bookman Old Style" w:cstheme="minorHAnsi"/>
        </w:rPr>
      </w:pPr>
      <w:r w:rsidRPr="00485CC5">
        <w:rPr>
          <w:rFonts w:ascii="Bookman Old Style" w:hAnsi="Bookman Old Style" w:cstheme="minorHAnsi"/>
        </w:rPr>
        <w:t xml:space="preserve">Secretario General </w:t>
      </w:r>
    </w:p>
    <w:p w14:paraId="26DB6801" w14:textId="77777777" w:rsidR="00F36280" w:rsidRPr="00485CC5" w:rsidRDefault="00F36280" w:rsidP="00F36280">
      <w:pPr>
        <w:rPr>
          <w:rFonts w:ascii="Bookman Old Style" w:hAnsi="Bookman Old Style" w:cstheme="minorHAnsi"/>
        </w:rPr>
      </w:pPr>
      <w:r w:rsidRPr="00485CC5">
        <w:rPr>
          <w:rFonts w:ascii="Bookman Old Style" w:hAnsi="Bookman Old Style" w:cstheme="minorHAnsi"/>
        </w:rPr>
        <w:t>Honorable Cámara de Representantes</w:t>
      </w:r>
    </w:p>
    <w:p w14:paraId="4A31A6A2" w14:textId="77777777" w:rsidR="00F36280" w:rsidRPr="00485CC5" w:rsidRDefault="00F36280" w:rsidP="00F36280">
      <w:pPr>
        <w:rPr>
          <w:rFonts w:ascii="Bookman Old Style" w:hAnsi="Bookman Old Style" w:cstheme="minorHAnsi"/>
        </w:rPr>
      </w:pPr>
      <w:r w:rsidRPr="00485CC5">
        <w:rPr>
          <w:rFonts w:ascii="Bookman Old Style" w:hAnsi="Bookman Old Style" w:cstheme="minorHAnsi"/>
        </w:rPr>
        <w:t xml:space="preserve">Ciudad </w:t>
      </w:r>
    </w:p>
    <w:p w14:paraId="6DD27E7F" w14:textId="77777777" w:rsidR="00F36280" w:rsidRPr="00485CC5" w:rsidRDefault="00F36280" w:rsidP="00F36280">
      <w:pPr>
        <w:rPr>
          <w:rFonts w:ascii="Bookman Old Style" w:hAnsi="Bookman Old Style" w:cstheme="minorHAnsi"/>
          <w:b/>
        </w:rPr>
      </w:pPr>
    </w:p>
    <w:p w14:paraId="3F4BD2AF" w14:textId="77777777" w:rsidR="00F36280" w:rsidRPr="00485CC5" w:rsidRDefault="00F36280" w:rsidP="00F36280">
      <w:pPr>
        <w:rPr>
          <w:rFonts w:ascii="Bookman Old Style" w:hAnsi="Bookman Old Style" w:cstheme="minorHAnsi"/>
          <w:b/>
        </w:rPr>
      </w:pPr>
    </w:p>
    <w:p w14:paraId="5ADE69DA" w14:textId="77777777" w:rsidR="00F36280" w:rsidRPr="00485CC5" w:rsidRDefault="00F36280" w:rsidP="00F36280">
      <w:pPr>
        <w:rPr>
          <w:rFonts w:ascii="Bookman Old Style" w:hAnsi="Bookman Old Style" w:cstheme="minorHAnsi"/>
          <w:b/>
        </w:rPr>
      </w:pPr>
    </w:p>
    <w:p w14:paraId="218FA7B7" w14:textId="77777777" w:rsidR="00F36280" w:rsidRPr="00485CC5" w:rsidRDefault="00F36280" w:rsidP="00F36280">
      <w:pPr>
        <w:jc w:val="right"/>
        <w:rPr>
          <w:rFonts w:ascii="Bookman Old Style" w:hAnsi="Bookman Old Style" w:cstheme="minorHAnsi"/>
          <w:b/>
        </w:rPr>
      </w:pPr>
      <w:r w:rsidRPr="00485CC5">
        <w:rPr>
          <w:rFonts w:ascii="Bookman Old Style" w:hAnsi="Bookman Old Style" w:cstheme="minorHAnsi"/>
          <w:b/>
        </w:rPr>
        <w:t xml:space="preserve">REF: RADICACIÓN PROYECTO DE </w:t>
      </w:r>
      <w:r w:rsidR="006B01C7">
        <w:rPr>
          <w:rFonts w:ascii="Bookman Old Style" w:hAnsi="Bookman Old Style" w:cstheme="minorHAnsi"/>
          <w:b/>
        </w:rPr>
        <w:t>ACTO LEGISLATIVO</w:t>
      </w:r>
    </w:p>
    <w:p w14:paraId="1F21D0F4" w14:textId="77777777" w:rsidR="00F36280" w:rsidRPr="00485CC5" w:rsidRDefault="00F36280" w:rsidP="00F36280">
      <w:pPr>
        <w:jc w:val="right"/>
        <w:rPr>
          <w:rFonts w:ascii="Bookman Old Style" w:hAnsi="Bookman Old Style" w:cstheme="minorHAnsi"/>
          <w:b/>
        </w:rPr>
      </w:pPr>
    </w:p>
    <w:p w14:paraId="6F59E054" w14:textId="77777777" w:rsidR="00F36280" w:rsidRPr="00485CC5" w:rsidRDefault="00F36280" w:rsidP="00F36280">
      <w:pPr>
        <w:rPr>
          <w:rFonts w:ascii="Bookman Old Style" w:hAnsi="Bookman Old Style" w:cstheme="minorHAnsi"/>
          <w:b/>
        </w:rPr>
      </w:pPr>
    </w:p>
    <w:p w14:paraId="65FFDF7D" w14:textId="0745DE97" w:rsidR="00F36280" w:rsidRPr="00485CC5" w:rsidRDefault="00F36280" w:rsidP="00F36280">
      <w:pPr>
        <w:jc w:val="both"/>
        <w:rPr>
          <w:rFonts w:ascii="Bookman Old Style" w:hAnsi="Bookman Old Style" w:cstheme="minorHAnsi"/>
        </w:rPr>
      </w:pPr>
      <w:r w:rsidRPr="00485CC5">
        <w:rPr>
          <w:rFonts w:ascii="Bookman Old Style" w:hAnsi="Bookman Old Style" w:cstheme="minorHAnsi"/>
        </w:rPr>
        <w:t>En nuestra condición de miembros del Congreso de la República y en uso del derecho consagrado en el artículo 15</w:t>
      </w:r>
      <w:r w:rsidR="0013321A">
        <w:rPr>
          <w:rFonts w:ascii="Bookman Old Style" w:hAnsi="Bookman Old Style" w:cstheme="minorHAnsi"/>
        </w:rPr>
        <w:t>0</w:t>
      </w:r>
      <w:r w:rsidRPr="00485CC5">
        <w:rPr>
          <w:rFonts w:ascii="Bookman Old Style" w:hAnsi="Bookman Old Style" w:cstheme="minorHAnsi"/>
        </w:rPr>
        <w:t xml:space="preserve"> de la Constitución Política de Colombia, por su digno conducto nos permitimos poner a consideración de la Honorable Cámara de Representantes el siguiente proyecto de </w:t>
      </w:r>
      <w:r w:rsidR="00AD56C3">
        <w:rPr>
          <w:rFonts w:ascii="Bookman Old Style" w:hAnsi="Bookman Old Style" w:cstheme="minorHAnsi"/>
        </w:rPr>
        <w:t>acto legislativo</w:t>
      </w:r>
      <w:r w:rsidRPr="00485CC5">
        <w:rPr>
          <w:rFonts w:ascii="Bookman Old Style" w:hAnsi="Bookman Old Style" w:cstheme="minorHAnsi"/>
        </w:rPr>
        <w:t xml:space="preserve"> “</w:t>
      </w:r>
      <w:r w:rsidRPr="00485CC5">
        <w:rPr>
          <w:rFonts w:ascii="Bookman Old Style" w:hAnsi="Bookman Old Style" w:cstheme="minorHAnsi"/>
          <w:i/>
          <w:iCs/>
        </w:rPr>
        <w:t>Por medio del cual se modifica el artículo 49 de la Constitución Política de Colombia y se regulariza Cannabis</w:t>
      </w:r>
      <w:r w:rsidR="00E83A56">
        <w:rPr>
          <w:rFonts w:ascii="Bookman Old Style" w:hAnsi="Bookman Old Style" w:cstheme="minorHAnsi"/>
          <w:i/>
          <w:iCs/>
        </w:rPr>
        <w:t xml:space="preserve"> de uso adulto</w:t>
      </w:r>
      <w:r w:rsidRPr="00485CC5">
        <w:rPr>
          <w:rFonts w:ascii="Bookman Old Style" w:hAnsi="Bookman Old Style" w:cstheme="minorHAnsi"/>
        </w:rPr>
        <w:t>”.</w:t>
      </w:r>
      <w:r w:rsidR="00111B26">
        <w:rPr>
          <w:rFonts w:ascii="Bookman Old Style" w:hAnsi="Bookman Old Style" w:cstheme="minorHAnsi"/>
        </w:rPr>
        <w:t xml:space="preserve"> </w:t>
      </w:r>
      <w:r w:rsidR="00111B26" w:rsidRPr="00DD5051">
        <w:rPr>
          <w:rFonts w:ascii="Bookman Old Style" w:hAnsi="Bookman Old Style" w:cstheme="minorHAnsi"/>
          <w:b/>
          <w:bCs/>
        </w:rPr>
        <w:t>(Cannabis</w:t>
      </w:r>
      <w:r w:rsidR="00DD5051">
        <w:rPr>
          <w:rFonts w:ascii="Bookman Old Style" w:hAnsi="Bookman Old Style" w:cstheme="minorHAnsi"/>
          <w:b/>
          <w:bCs/>
        </w:rPr>
        <w:t xml:space="preserve"> de uso adulto</w:t>
      </w:r>
      <w:r w:rsidR="00111B26" w:rsidRPr="00DD5051">
        <w:rPr>
          <w:rFonts w:ascii="Bookman Old Style" w:hAnsi="Bookman Old Style" w:cstheme="minorHAnsi"/>
          <w:b/>
          <w:bCs/>
        </w:rPr>
        <w:t>)</w:t>
      </w:r>
    </w:p>
    <w:p w14:paraId="242DAAAF" w14:textId="77777777" w:rsidR="00F36280" w:rsidRPr="00485CC5" w:rsidRDefault="00F36280" w:rsidP="00F36280">
      <w:pPr>
        <w:jc w:val="both"/>
        <w:rPr>
          <w:rFonts w:ascii="Bookman Old Style" w:hAnsi="Bookman Old Style" w:cstheme="minorHAnsi"/>
        </w:rPr>
      </w:pPr>
    </w:p>
    <w:p w14:paraId="06F9C11D" w14:textId="77777777" w:rsidR="00F36280" w:rsidRPr="00485CC5" w:rsidRDefault="00F36280" w:rsidP="00F36280">
      <w:pPr>
        <w:jc w:val="both"/>
        <w:rPr>
          <w:rFonts w:ascii="Bookman Old Style" w:hAnsi="Bookman Old Style" w:cstheme="minorHAnsi"/>
        </w:rPr>
      </w:pPr>
    </w:p>
    <w:p w14:paraId="3672183A" w14:textId="77777777" w:rsidR="00F36280" w:rsidRPr="00485CC5" w:rsidRDefault="00F36280" w:rsidP="00F36280">
      <w:pPr>
        <w:jc w:val="both"/>
        <w:rPr>
          <w:rFonts w:ascii="Bookman Old Style" w:hAnsi="Bookman Old Style" w:cstheme="minorHAnsi"/>
        </w:rPr>
      </w:pPr>
      <w:r w:rsidRPr="00485CC5">
        <w:rPr>
          <w:rFonts w:ascii="Bookman Old Style" w:hAnsi="Bookman Old Style" w:cstheme="minorHAnsi"/>
        </w:rPr>
        <w:t xml:space="preserve">Cordialmente, </w:t>
      </w:r>
    </w:p>
    <w:p w14:paraId="521846BB" w14:textId="77777777" w:rsidR="00F36280" w:rsidRPr="00485CC5" w:rsidRDefault="00F36280" w:rsidP="00F36280">
      <w:pPr>
        <w:rPr>
          <w:rFonts w:ascii="Bookman Old Style" w:hAnsi="Bookman Old Style" w:cstheme="minorHAnsi"/>
          <w:b/>
        </w:rPr>
      </w:pPr>
    </w:p>
    <w:p w14:paraId="01EB2D36" w14:textId="77777777" w:rsidR="0013321A" w:rsidRDefault="0013321A" w:rsidP="00621929">
      <w:pPr>
        <w:pBdr>
          <w:top w:val="nil"/>
          <w:left w:val="nil"/>
          <w:bottom w:val="nil"/>
          <w:right w:val="nil"/>
          <w:between w:val="nil"/>
        </w:pBdr>
        <w:ind w:right="115"/>
        <w:rPr>
          <w:rFonts w:ascii="Bookman Old Style" w:hAnsi="Bookman Old Style" w:cstheme="minorHAnsi"/>
          <w:b/>
          <w:sz w:val="24"/>
          <w:szCs w:val="24"/>
        </w:rPr>
      </w:pPr>
    </w:p>
    <w:tbl>
      <w:tblPr>
        <w:tblStyle w:val="Tablaconcuadrcula"/>
        <w:tblW w:w="0" w:type="auto"/>
        <w:jc w:val="center"/>
        <w:tblLook w:val="04A0" w:firstRow="1" w:lastRow="0" w:firstColumn="1" w:lastColumn="0" w:noHBand="0" w:noVBand="1"/>
      </w:tblPr>
      <w:tblGrid>
        <w:gridCol w:w="4390"/>
        <w:gridCol w:w="4348"/>
      </w:tblGrid>
      <w:tr w:rsidR="0013321A" w:rsidRPr="00011ACE" w14:paraId="05680C9C" w14:textId="77777777" w:rsidTr="00B700C8">
        <w:trPr>
          <w:trHeight w:val="70"/>
          <w:jc w:val="center"/>
        </w:trPr>
        <w:tc>
          <w:tcPr>
            <w:tcW w:w="4390" w:type="dxa"/>
          </w:tcPr>
          <w:p w14:paraId="44279B32" w14:textId="77777777" w:rsidR="00485B08" w:rsidRPr="00011ACE" w:rsidRDefault="00485B08" w:rsidP="005F3882">
            <w:pPr>
              <w:tabs>
                <w:tab w:val="right" w:pos="8838"/>
              </w:tabs>
              <w:jc w:val="center"/>
              <w:rPr>
                <w:rFonts w:ascii="Bookman Old Style" w:hAnsi="Bookman Old Style" w:cs="Arial"/>
                <w:b/>
                <w:bCs/>
                <w:sz w:val="20"/>
                <w:szCs w:val="20"/>
                <w:lang w:val="es-ES_tradnl"/>
              </w:rPr>
            </w:pPr>
          </w:p>
          <w:p w14:paraId="03883E1D" w14:textId="24F0C7A4" w:rsidR="0013321A" w:rsidRPr="00011ACE" w:rsidRDefault="00B700C8" w:rsidP="005F3882">
            <w:pPr>
              <w:tabs>
                <w:tab w:val="right" w:pos="8838"/>
              </w:tabs>
              <w:jc w:val="center"/>
              <w:rPr>
                <w:rFonts w:ascii="Bookman Old Style" w:hAnsi="Bookman Old Style" w:cs="Arial"/>
                <w:b/>
                <w:bCs/>
                <w:sz w:val="20"/>
                <w:szCs w:val="20"/>
                <w:lang w:val="es-ES_tradnl"/>
              </w:rPr>
            </w:pPr>
            <w:r w:rsidRPr="00011ACE">
              <w:rPr>
                <w:rFonts w:ascii="Bookman Old Style" w:hAnsi="Bookman Old Style" w:cs="Arial"/>
                <w:b/>
                <w:bCs/>
                <w:sz w:val="20"/>
                <w:szCs w:val="20"/>
                <w:lang w:val="es-ES_tradnl"/>
              </w:rPr>
              <w:t>JUAN CARLOS LOZADA VARGAS</w:t>
            </w:r>
          </w:p>
          <w:p w14:paraId="021771C7" w14:textId="45C07034" w:rsidR="00B700C8" w:rsidRPr="00011ACE" w:rsidRDefault="00B700C8" w:rsidP="005F3882">
            <w:pPr>
              <w:tabs>
                <w:tab w:val="right" w:pos="8838"/>
              </w:tabs>
              <w:jc w:val="center"/>
              <w:rPr>
                <w:rFonts w:ascii="Bookman Old Style" w:hAnsi="Bookman Old Style" w:cs="Arial"/>
                <w:sz w:val="20"/>
                <w:szCs w:val="20"/>
                <w:lang w:val="es-ES_tradnl"/>
              </w:rPr>
            </w:pPr>
            <w:r w:rsidRPr="00011ACE">
              <w:rPr>
                <w:rFonts w:ascii="Bookman Old Style" w:hAnsi="Bookman Old Style" w:cs="Arial"/>
                <w:sz w:val="20"/>
                <w:szCs w:val="20"/>
                <w:lang w:val="es-ES_tradnl"/>
              </w:rPr>
              <w:t>Representante a la Cámara por Bogotá</w:t>
            </w:r>
          </w:p>
          <w:p w14:paraId="260DDB69" w14:textId="1A9017E1" w:rsidR="00B700C8" w:rsidRPr="00011ACE" w:rsidRDefault="00B700C8" w:rsidP="00485B08">
            <w:pPr>
              <w:tabs>
                <w:tab w:val="right" w:pos="8838"/>
              </w:tabs>
              <w:jc w:val="center"/>
              <w:rPr>
                <w:rFonts w:ascii="Bookman Old Style" w:hAnsi="Bookman Old Style" w:cs="Arial"/>
                <w:sz w:val="20"/>
                <w:szCs w:val="20"/>
                <w:lang w:val="es-ES_tradnl"/>
              </w:rPr>
            </w:pPr>
            <w:r w:rsidRPr="00011ACE">
              <w:rPr>
                <w:rFonts w:ascii="Bookman Old Style" w:hAnsi="Bookman Old Style" w:cs="Arial"/>
                <w:sz w:val="20"/>
                <w:szCs w:val="20"/>
                <w:lang w:val="es-ES_tradnl"/>
              </w:rPr>
              <w:t>Partido Liberal Colombiano</w:t>
            </w:r>
          </w:p>
        </w:tc>
        <w:tc>
          <w:tcPr>
            <w:tcW w:w="4348" w:type="dxa"/>
          </w:tcPr>
          <w:p w14:paraId="5BBB0687" w14:textId="77777777" w:rsidR="00485B08" w:rsidRPr="00011ACE" w:rsidRDefault="00485B08" w:rsidP="005F3882">
            <w:pPr>
              <w:tabs>
                <w:tab w:val="right" w:pos="8838"/>
              </w:tabs>
              <w:jc w:val="center"/>
              <w:rPr>
                <w:rFonts w:ascii="Bookman Old Style" w:hAnsi="Bookman Old Style" w:cs="Arial"/>
                <w:b/>
                <w:bCs/>
                <w:sz w:val="20"/>
                <w:szCs w:val="20"/>
                <w:lang w:val="es-ES_tradnl"/>
              </w:rPr>
            </w:pPr>
          </w:p>
          <w:p w14:paraId="5D951BC2" w14:textId="3E79A4FB" w:rsidR="0013321A" w:rsidRPr="00011ACE" w:rsidRDefault="00B700C8" w:rsidP="005F3882">
            <w:pPr>
              <w:tabs>
                <w:tab w:val="right" w:pos="8838"/>
              </w:tabs>
              <w:jc w:val="center"/>
              <w:rPr>
                <w:rFonts w:ascii="Bookman Old Style" w:hAnsi="Bookman Old Style" w:cs="Arial"/>
                <w:b/>
                <w:bCs/>
                <w:sz w:val="20"/>
                <w:szCs w:val="20"/>
                <w:lang w:val="es-ES_tradnl"/>
              </w:rPr>
            </w:pPr>
            <w:r w:rsidRPr="00011ACE">
              <w:rPr>
                <w:rFonts w:ascii="Bookman Old Style" w:hAnsi="Bookman Old Style" w:cs="Arial"/>
                <w:b/>
                <w:bCs/>
                <w:sz w:val="20"/>
                <w:szCs w:val="20"/>
                <w:lang w:val="es-ES_tradnl"/>
              </w:rPr>
              <w:t>JUAN FERNANDO REYES KURI</w:t>
            </w:r>
          </w:p>
          <w:p w14:paraId="5C3C292A" w14:textId="77777777" w:rsidR="00B700C8" w:rsidRPr="00011ACE" w:rsidRDefault="00B700C8" w:rsidP="005F3882">
            <w:pPr>
              <w:tabs>
                <w:tab w:val="right" w:pos="8838"/>
              </w:tabs>
              <w:jc w:val="center"/>
              <w:rPr>
                <w:rFonts w:ascii="Bookman Old Style" w:hAnsi="Bookman Old Style" w:cs="Arial"/>
                <w:sz w:val="20"/>
                <w:szCs w:val="20"/>
                <w:lang w:val="es-ES_tradnl"/>
              </w:rPr>
            </w:pPr>
            <w:r w:rsidRPr="00011ACE">
              <w:rPr>
                <w:rFonts w:ascii="Bookman Old Style" w:hAnsi="Bookman Old Style" w:cs="Arial"/>
                <w:sz w:val="20"/>
                <w:szCs w:val="20"/>
                <w:lang w:val="es-ES_tradnl"/>
              </w:rPr>
              <w:t>Representante a la Cámara por el Valle</w:t>
            </w:r>
          </w:p>
          <w:p w14:paraId="4920ABB5" w14:textId="0B041304" w:rsidR="00B700C8" w:rsidRPr="00011ACE" w:rsidRDefault="00B700C8" w:rsidP="005F3882">
            <w:pPr>
              <w:tabs>
                <w:tab w:val="right" w:pos="8838"/>
              </w:tabs>
              <w:jc w:val="center"/>
              <w:rPr>
                <w:rFonts w:ascii="Bookman Old Style" w:hAnsi="Bookman Old Style" w:cs="Arial"/>
                <w:sz w:val="20"/>
                <w:szCs w:val="20"/>
                <w:lang w:val="es-ES_tradnl"/>
              </w:rPr>
            </w:pPr>
            <w:r w:rsidRPr="00011ACE">
              <w:rPr>
                <w:rFonts w:ascii="Bookman Old Style" w:hAnsi="Bookman Old Style" w:cs="Arial"/>
                <w:sz w:val="20"/>
                <w:szCs w:val="20"/>
                <w:lang w:val="es-ES_tradnl"/>
              </w:rPr>
              <w:t>Partido Liberal Colombiano</w:t>
            </w:r>
          </w:p>
        </w:tc>
      </w:tr>
      <w:tr w:rsidR="0013321A" w:rsidRPr="00011ACE" w14:paraId="38D590A7" w14:textId="77777777" w:rsidTr="00B700C8">
        <w:trPr>
          <w:jc w:val="center"/>
        </w:trPr>
        <w:tc>
          <w:tcPr>
            <w:tcW w:w="4390" w:type="dxa"/>
          </w:tcPr>
          <w:p w14:paraId="71CCD124" w14:textId="77777777" w:rsidR="00485B08" w:rsidRPr="00011ACE" w:rsidRDefault="00485B08" w:rsidP="005F3882">
            <w:pPr>
              <w:pStyle w:val="NormalWeb"/>
              <w:spacing w:before="0" w:beforeAutospacing="0" w:after="0" w:afterAutospacing="0"/>
              <w:jc w:val="center"/>
              <w:rPr>
                <w:rFonts w:ascii="Bookman Old Style" w:hAnsi="Bookman Old Style" w:cs="Arial"/>
                <w:b/>
                <w:bCs/>
                <w:color w:val="000000"/>
                <w:sz w:val="20"/>
                <w:szCs w:val="20"/>
                <w:bdr w:val="none" w:sz="0" w:space="0" w:color="auto" w:frame="1"/>
              </w:rPr>
            </w:pPr>
          </w:p>
          <w:p w14:paraId="48ACB964" w14:textId="30F63E9D" w:rsidR="0013321A" w:rsidRPr="00011ACE" w:rsidRDefault="00B700C8" w:rsidP="005F3882">
            <w:pPr>
              <w:pStyle w:val="NormalWeb"/>
              <w:spacing w:before="0" w:beforeAutospacing="0" w:after="0" w:afterAutospacing="0"/>
              <w:jc w:val="center"/>
              <w:rPr>
                <w:rFonts w:ascii="Bookman Old Style" w:hAnsi="Bookman Old Style" w:cs="Arial"/>
                <w:b/>
                <w:bCs/>
                <w:color w:val="000000"/>
                <w:sz w:val="20"/>
                <w:szCs w:val="20"/>
                <w:bdr w:val="none" w:sz="0" w:space="0" w:color="auto" w:frame="1"/>
              </w:rPr>
            </w:pPr>
            <w:r w:rsidRPr="00011ACE">
              <w:rPr>
                <w:rFonts w:ascii="Bookman Old Style" w:hAnsi="Bookman Old Style" w:cs="Arial"/>
                <w:b/>
                <w:bCs/>
                <w:color w:val="000000"/>
                <w:sz w:val="20"/>
                <w:szCs w:val="20"/>
                <w:bdr w:val="none" w:sz="0" w:space="0" w:color="auto" w:frame="1"/>
              </w:rPr>
              <w:t>MAURICIO ANDRÉS TORO ORJUELA</w:t>
            </w:r>
          </w:p>
          <w:p w14:paraId="06E4DE5B" w14:textId="77777777" w:rsidR="00B700C8" w:rsidRPr="00011ACE" w:rsidRDefault="00B700C8" w:rsidP="005F3882">
            <w:pPr>
              <w:pStyle w:val="NormalWeb"/>
              <w:spacing w:before="0" w:beforeAutospacing="0" w:after="0" w:afterAutospacing="0"/>
              <w:jc w:val="center"/>
              <w:rPr>
                <w:rFonts w:ascii="Bookman Old Style" w:hAnsi="Bookman Old Style" w:cs="Arial"/>
                <w:color w:val="000000"/>
                <w:sz w:val="20"/>
                <w:szCs w:val="20"/>
                <w:bdr w:val="none" w:sz="0" w:space="0" w:color="auto" w:frame="1"/>
              </w:rPr>
            </w:pPr>
            <w:r w:rsidRPr="00011ACE">
              <w:rPr>
                <w:rFonts w:ascii="Bookman Old Style" w:hAnsi="Bookman Old Style" w:cs="Arial"/>
                <w:color w:val="000000"/>
                <w:sz w:val="20"/>
                <w:szCs w:val="20"/>
                <w:bdr w:val="none" w:sz="0" w:space="0" w:color="auto" w:frame="1"/>
              </w:rPr>
              <w:t>Representante a la Cámara por Bogotá</w:t>
            </w:r>
          </w:p>
          <w:p w14:paraId="40F8D660" w14:textId="16A94E5A" w:rsidR="00B700C8" w:rsidRPr="00011ACE" w:rsidRDefault="00B700C8" w:rsidP="005F3882">
            <w:pPr>
              <w:pStyle w:val="NormalWeb"/>
              <w:spacing w:before="0" w:beforeAutospacing="0" w:after="0" w:afterAutospacing="0"/>
              <w:jc w:val="center"/>
              <w:rPr>
                <w:rFonts w:ascii="Bookman Old Style" w:hAnsi="Bookman Old Style" w:cs="Arial"/>
                <w:color w:val="000000"/>
                <w:sz w:val="20"/>
                <w:szCs w:val="20"/>
                <w:bdr w:val="none" w:sz="0" w:space="0" w:color="auto" w:frame="1"/>
              </w:rPr>
            </w:pPr>
            <w:r w:rsidRPr="00011ACE">
              <w:rPr>
                <w:rFonts w:ascii="Bookman Old Style" w:hAnsi="Bookman Old Style" w:cs="Arial"/>
                <w:color w:val="000000"/>
                <w:sz w:val="20"/>
                <w:szCs w:val="20"/>
                <w:bdr w:val="none" w:sz="0" w:space="0" w:color="auto" w:frame="1"/>
              </w:rPr>
              <w:t>Partido Alianza Verde</w:t>
            </w:r>
          </w:p>
        </w:tc>
        <w:tc>
          <w:tcPr>
            <w:tcW w:w="4348" w:type="dxa"/>
          </w:tcPr>
          <w:p w14:paraId="2B853E75" w14:textId="77777777" w:rsidR="00485B08" w:rsidRPr="00011ACE" w:rsidRDefault="00485B08" w:rsidP="005F3882">
            <w:pPr>
              <w:pStyle w:val="NormalWeb"/>
              <w:spacing w:before="0" w:beforeAutospacing="0" w:after="0" w:afterAutospacing="0"/>
              <w:jc w:val="center"/>
              <w:rPr>
                <w:rFonts w:ascii="Bookman Old Style" w:hAnsi="Bookman Old Style" w:cs="Arial"/>
                <w:b/>
                <w:bCs/>
                <w:sz w:val="20"/>
                <w:szCs w:val="20"/>
                <w:lang w:val="es-ES_tradnl"/>
              </w:rPr>
            </w:pPr>
          </w:p>
          <w:p w14:paraId="4CEB685A" w14:textId="5980568D" w:rsidR="0013321A" w:rsidRPr="00011ACE" w:rsidRDefault="00B700C8" w:rsidP="005F3882">
            <w:pPr>
              <w:pStyle w:val="NormalWeb"/>
              <w:spacing w:before="0" w:beforeAutospacing="0" w:after="0" w:afterAutospacing="0"/>
              <w:jc w:val="center"/>
              <w:rPr>
                <w:rFonts w:ascii="Bookman Old Style" w:hAnsi="Bookman Old Style" w:cs="Arial"/>
                <w:b/>
                <w:bCs/>
                <w:sz w:val="20"/>
                <w:szCs w:val="20"/>
                <w:lang w:val="es-ES_tradnl"/>
              </w:rPr>
            </w:pPr>
            <w:r w:rsidRPr="00011ACE">
              <w:rPr>
                <w:rFonts w:ascii="Bookman Old Style" w:hAnsi="Bookman Old Style" w:cs="Arial"/>
                <w:b/>
                <w:bCs/>
                <w:sz w:val="20"/>
                <w:szCs w:val="20"/>
                <w:lang w:val="es-ES_tradnl"/>
              </w:rPr>
              <w:t>RODRIGO ROJAS LARA</w:t>
            </w:r>
          </w:p>
          <w:p w14:paraId="297C742C" w14:textId="77777777" w:rsidR="00B700C8" w:rsidRPr="00011ACE" w:rsidRDefault="00B700C8" w:rsidP="005F3882">
            <w:pPr>
              <w:pStyle w:val="NormalWeb"/>
              <w:spacing w:before="0" w:beforeAutospacing="0" w:after="0" w:afterAutospacing="0"/>
              <w:jc w:val="center"/>
              <w:rPr>
                <w:rFonts w:ascii="Bookman Old Style" w:hAnsi="Bookman Old Style" w:cs="Arial"/>
                <w:sz w:val="20"/>
                <w:szCs w:val="20"/>
                <w:lang w:val="es-ES_tradnl"/>
              </w:rPr>
            </w:pPr>
            <w:r w:rsidRPr="00011ACE">
              <w:rPr>
                <w:rFonts w:ascii="Bookman Old Style" w:hAnsi="Bookman Old Style" w:cs="Arial"/>
                <w:sz w:val="20"/>
                <w:szCs w:val="20"/>
                <w:lang w:val="es-ES_tradnl"/>
              </w:rPr>
              <w:t>Representante a la Cámara</w:t>
            </w:r>
          </w:p>
          <w:p w14:paraId="7FBE0BBF" w14:textId="5F9EFC32" w:rsidR="00B700C8" w:rsidRPr="00011ACE" w:rsidRDefault="00B700C8" w:rsidP="005F3882">
            <w:pPr>
              <w:pStyle w:val="NormalWeb"/>
              <w:spacing w:before="0" w:beforeAutospacing="0" w:after="0" w:afterAutospacing="0"/>
              <w:jc w:val="center"/>
              <w:rPr>
                <w:rFonts w:ascii="Bookman Old Style" w:hAnsi="Bookman Old Style" w:cs="Arial"/>
                <w:sz w:val="20"/>
                <w:szCs w:val="20"/>
                <w:lang w:val="es-ES_tradnl"/>
              </w:rPr>
            </w:pPr>
            <w:r w:rsidRPr="00011ACE">
              <w:rPr>
                <w:rFonts w:ascii="Bookman Old Style" w:hAnsi="Bookman Old Style" w:cs="Arial"/>
                <w:sz w:val="20"/>
                <w:szCs w:val="20"/>
                <w:lang w:val="es-ES_tradnl"/>
              </w:rPr>
              <w:t>Partido Liberal Colombiano</w:t>
            </w:r>
          </w:p>
        </w:tc>
      </w:tr>
      <w:tr w:rsidR="0013321A" w:rsidRPr="00011ACE" w14:paraId="1CD28B14" w14:textId="77777777" w:rsidTr="00B700C8">
        <w:trPr>
          <w:jc w:val="center"/>
        </w:trPr>
        <w:tc>
          <w:tcPr>
            <w:tcW w:w="4390" w:type="dxa"/>
          </w:tcPr>
          <w:p w14:paraId="434CF290" w14:textId="77777777" w:rsidR="00485B08" w:rsidRPr="00011ACE" w:rsidRDefault="00485B08" w:rsidP="005F3882">
            <w:pPr>
              <w:pStyle w:val="NormalWeb"/>
              <w:spacing w:before="0" w:beforeAutospacing="0" w:after="0" w:afterAutospacing="0"/>
              <w:jc w:val="center"/>
              <w:rPr>
                <w:rFonts w:ascii="Bookman Old Style" w:hAnsi="Bookman Old Style" w:cs="Arial"/>
                <w:b/>
                <w:bCs/>
                <w:color w:val="000000"/>
                <w:sz w:val="20"/>
                <w:szCs w:val="20"/>
                <w:bdr w:val="none" w:sz="0" w:space="0" w:color="auto" w:frame="1"/>
              </w:rPr>
            </w:pPr>
          </w:p>
          <w:p w14:paraId="052C4FD2" w14:textId="31B9E32D" w:rsidR="0013321A" w:rsidRPr="00011ACE" w:rsidRDefault="00B700C8" w:rsidP="005F3882">
            <w:pPr>
              <w:pStyle w:val="NormalWeb"/>
              <w:spacing w:before="0" w:beforeAutospacing="0" w:after="0" w:afterAutospacing="0"/>
              <w:jc w:val="center"/>
              <w:rPr>
                <w:rFonts w:ascii="Bookman Old Style" w:hAnsi="Bookman Old Style" w:cs="Arial"/>
                <w:b/>
                <w:bCs/>
                <w:color w:val="000000"/>
                <w:sz w:val="20"/>
                <w:szCs w:val="20"/>
                <w:bdr w:val="none" w:sz="0" w:space="0" w:color="auto" w:frame="1"/>
              </w:rPr>
            </w:pPr>
            <w:r w:rsidRPr="00011ACE">
              <w:rPr>
                <w:rFonts w:ascii="Bookman Old Style" w:hAnsi="Bookman Old Style" w:cs="Arial"/>
                <w:b/>
                <w:bCs/>
                <w:color w:val="000000"/>
                <w:sz w:val="20"/>
                <w:szCs w:val="20"/>
                <w:bdr w:val="none" w:sz="0" w:space="0" w:color="auto" w:frame="1"/>
              </w:rPr>
              <w:t>JOSÉ DANIEL LOPEZ</w:t>
            </w:r>
          </w:p>
          <w:p w14:paraId="698CE591" w14:textId="33079C63" w:rsidR="00B700C8" w:rsidRPr="00011ACE" w:rsidRDefault="00B700C8" w:rsidP="005F3882">
            <w:pPr>
              <w:pStyle w:val="NormalWeb"/>
              <w:spacing w:before="0" w:beforeAutospacing="0" w:after="0" w:afterAutospacing="0"/>
              <w:jc w:val="center"/>
              <w:rPr>
                <w:rFonts w:ascii="Bookman Old Style" w:hAnsi="Bookman Old Style" w:cs="Arial"/>
                <w:color w:val="000000"/>
                <w:sz w:val="20"/>
                <w:szCs w:val="20"/>
                <w:bdr w:val="none" w:sz="0" w:space="0" w:color="auto" w:frame="1"/>
              </w:rPr>
            </w:pPr>
            <w:r w:rsidRPr="00011ACE">
              <w:rPr>
                <w:rFonts w:ascii="Bookman Old Style" w:hAnsi="Bookman Old Style" w:cs="Arial"/>
                <w:color w:val="000000"/>
                <w:sz w:val="20"/>
                <w:szCs w:val="20"/>
                <w:bdr w:val="none" w:sz="0" w:space="0" w:color="auto" w:frame="1"/>
              </w:rPr>
              <w:t>Representante a la Cámara por Bogotá</w:t>
            </w:r>
          </w:p>
        </w:tc>
        <w:tc>
          <w:tcPr>
            <w:tcW w:w="4348" w:type="dxa"/>
          </w:tcPr>
          <w:p w14:paraId="4949E754" w14:textId="77777777" w:rsidR="00485B08" w:rsidRPr="00011ACE" w:rsidRDefault="00485B08" w:rsidP="005F3882">
            <w:pPr>
              <w:pStyle w:val="NormalWeb"/>
              <w:spacing w:before="0" w:beforeAutospacing="0" w:after="0" w:afterAutospacing="0"/>
              <w:jc w:val="center"/>
              <w:rPr>
                <w:rFonts w:ascii="Bookman Old Style" w:hAnsi="Bookman Old Style" w:cs="Arial"/>
                <w:b/>
                <w:bCs/>
                <w:color w:val="000000"/>
                <w:sz w:val="20"/>
                <w:szCs w:val="20"/>
                <w:bdr w:val="none" w:sz="0" w:space="0" w:color="auto" w:frame="1"/>
              </w:rPr>
            </w:pPr>
          </w:p>
          <w:p w14:paraId="157E47A5" w14:textId="7A026782" w:rsidR="0013321A" w:rsidRPr="00011ACE" w:rsidRDefault="00B700C8" w:rsidP="005F3882">
            <w:pPr>
              <w:pStyle w:val="NormalWeb"/>
              <w:spacing w:before="0" w:beforeAutospacing="0" w:after="0" w:afterAutospacing="0"/>
              <w:jc w:val="center"/>
              <w:rPr>
                <w:rFonts w:ascii="Bookman Old Style" w:hAnsi="Bookman Old Style" w:cs="Arial"/>
                <w:b/>
                <w:bCs/>
                <w:color w:val="000000"/>
                <w:sz w:val="20"/>
                <w:szCs w:val="20"/>
                <w:bdr w:val="none" w:sz="0" w:space="0" w:color="auto" w:frame="1"/>
              </w:rPr>
            </w:pPr>
            <w:r w:rsidRPr="00011ACE">
              <w:rPr>
                <w:rFonts w:ascii="Bookman Old Style" w:hAnsi="Bookman Old Style" w:cs="Arial"/>
                <w:b/>
                <w:bCs/>
                <w:color w:val="000000"/>
                <w:sz w:val="20"/>
                <w:szCs w:val="20"/>
                <w:bdr w:val="none" w:sz="0" w:space="0" w:color="auto" w:frame="1"/>
              </w:rPr>
              <w:t>JORGE ENRIQUE BENEDETTI M</w:t>
            </w:r>
          </w:p>
          <w:p w14:paraId="3BA0A479" w14:textId="59D93E1D" w:rsidR="00B700C8" w:rsidRPr="00011ACE" w:rsidRDefault="00B700C8" w:rsidP="005F3882">
            <w:pPr>
              <w:pStyle w:val="NormalWeb"/>
              <w:spacing w:before="0" w:beforeAutospacing="0" w:after="0" w:afterAutospacing="0"/>
              <w:jc w:val="center"/>
              <w:rPr>
                <w:rFonts w:ascii="Bookman Old Style" w:hAnsi="Bookman Old Style" w:cs="Arial"/>
                <w:color w:val="000000"/>
                <w:sz w:val="20"/>
                <w:szCs w:val="20"/>
                <w:bdr w:val="none" w:sz="0" w:space="0" w:color="auto" w:frame="1"/>
              </w:rPr>
            </w:pPr>
            <w:r w:rsidRPr="00011ACE">
              <w:rPr>
                <w:rFonts w:ascii="Bookman Old Style" w:hAnsi="Bookman Old Style" w:cs="Arial"/>
                <w:color w:val="000000"/>
                <w:sz w:val="20"/>
                <w:szCs w:val="20"/>
                <w:bdr w:val="none" w:sz="0" w:space="0" w:color="auto" w:frame="1"/>
              </w:rPr>
              <w:t>Representante a la Cámara por Bolívar</w:t>
            </w:r>
          </w:p>
        </w:tc>
      </w:tr>
      <w:tr w:rsidR="0013321A" w:rsidRPr="00011ACE" w14:paraId="45738F8B" w14:textId="77777777" w:rsidTr="00B700C8">
        <w:trPr>
          <w:jc w:val="center"/>
        </w:trPr>
        <w:tc>
          <w:tcPr>
            <w:tcW w:w="4390" w:type="dxa"/>
          </w:tcPr>
          <w:p w14:paraId="2D5B85CD" w14:textId="77777777" w:rsidR="00485B08" w:rsidRPr="00011ACE" w:rsidRDefault="00485B08" w:rsidP="005F3882">
            <w:pPr>
              <w:jc w:val="center"/>
              <w:rPr>
                <w:rFonts w:ascii="Bookman Old Style" w:hAnsi="Bookman Old Style"/>
                <w:b/>
                <w:bCs/>
                <w:sz w:val="20"/>
                <w:szCs w:val="20"/>
                <w:bdr w:val="none" w:sz="0" w:space="0" w:color="auto" w:frame="1"/>
              </w:rPr>
            </w:pPr>
          </w:p>
          <w:p w14:paraId="38DC7FB1" w14:textId="333C5A28" w:rsidR="0013321A" w:rsidRPr="00011ACE" w:rsidRDefault="00B700C8" w:rsidP="005F3882">
            <w:pPr>
              <w:jc w:val="center"/>
              <w:rPr>
                <w:rFonts w:ascii="Bookman Old Style" w:hAnsi="Bookman Old Style"/>
                <w:b/>
                <w:bCs/>
                <w:sz w:val="20"/>
                <w:szCs w:val="20"/>
                <w:bdr w:val="none" w:sz="0" w:space="0" w:color="auto" w:frame="1"/>
              </w:rPr>
            </w:pPr>
            <w:r w:rsidRPr="00011ACE">
              <w:rPr>
                <w:rFonts w:ascii="Bookman Old Style" w:hAnsi="Bookman Old Style"/>
                <w:b/>
                <w:bCs/>
                <w:sz w:val="20"/>
                <w:szCs w:val="20"/>
                <w:bdr w:val="none" w:sz="0" w:space="0" w:color="auto" w:frame="1"/>
              </w:rPr>
              <w:t>JUANITA GOEBERTUS ESTRADA</w:t>
            </w:r>
          </w:p>
          <w:p w14:paraId="65626DC2" w14:textId="1A438A6A" w:rsidR="00B700C8" w:rsidRPr="00011ACE" w:rsidRDefault="00B700C8" w:rsidP="005F3882">
            <w:pPr>
              <w:jc w:val="center"/>
              <w:rPr>
                <w:rFonts w:ascii="Bookman Old Style" w:hAnsi="Bookman Old Style"/>
                <w:sz w:val="20"/>
                <w:szCs w:val="20"/>
                <w:bdr w:val="none" w:sz="0" w:space="0" w:color="auto" w:frame="1"/>
              </w:rPr>
            </w:pPr>
            <w:r w:rsidRPr="00011ACE">
              <w:rPr>
                <w:rFonts w:ascii="Bookman Old Style" w:hAnsi="Bookman Old Style"/>
                <w:sz w:val="20"/>
                <w:szCs w:val="20"/>
                <w:bdr w:val="none" w:sz="0" w:space="0" w:color="auto" w:frame="1"/>
              </w:rPr>
              <w:t>Representante a la Cámara por Bogotá</w:t>
            </w:r>
          </w:p>
        </w:tc>
        <w:tc>
          <w:tcPr>
            <w:tcW w:w="4348" w:type="dxa"/>
          </w:tcPr>
          <w:p w14:paraId="58F61922" w14:textId="77777777" w:rsidR="00485B08" w:rsidRPr="00011ACE" w:rsidRDefault="00485B08" w:rsidP="005F3882">
            <w:pPr>
              <w:pStyle w:val="NormalWeb"/>
              <w:spacing w:before="0" w:beforeAutospacing="0" w:after="0" w:afterAutospacing="0"/>
              <w:jc w:val="center"/>
              <w:rPr>
                <w:rFonts w:ascii="Bookman Old Style" w:hAnsi="Bookman Old Style" w:cs="Arial"/>
                <w:b/>
                <w:bCs/>
                <w:color w:val="000000"/>
                <w:sz w:val="20"/>
                <w:szCs w:val="20"/>
                <w:bdr w:val="none" w:sz="0" w:space="0" w:color="auto" w:frame="1"/>
              </w:rPr>
            </w:pPr>
          </w:p>
          <w:p w14:paraId="37B41A4C" w14:textId="2B28D813" w:rsidR="0013321A" w:rsidRPr="00011ACE" w:rsidRDefault="00B700C8" w:rsidP="005F3882">
            <w:pPr>
              <w:pStyle w:val="NormalWeb"/>
              <w:spacing w:before="0" w:beforeAutospacing="0" w:after="0" w:afterAutospacing="0"/>
              <w:jc w:val="center"/>
              <w:rPr>
                <w:rFonts w:ascii="Bookman Old Style" w:hAnsi="Bookman Old Style" w:cs="Arial"/>
                <w:b/>
                <w:bCs/>
                <w:color w:val="000000"/>
                <w:sz w:val="20"/>
                <w:szCs w:val="20"/>
                <w:bdr w:val="none" w:sz="0" w:space="0" w:color="auto" w:frame="1"/>
              </w:rPr>
            </w:pPr>
            <w:r w:rsidRPr="00011ACE">
              <w:rPr>
                <w:rFonts w:ascii="Bookman Old Style" w:hAnsi="Bookman Old Style" w:cs="Arial"/>
                <w:b/>
                <w:bCs/>
                <w:color w:val="000000"/>
                <w:sz w:val="20"/>
                <w:szCs w:val="20"/>
                <w:bdr w:val="none" w:sz="0" w:space="0" w:color="auto" w:frame="1"/>
              </w:rPr>
              <w:t>CARLOS ARDILA ESPINOSA</w:t>
            </w:r>
          </w:p>
          <w:p w14:paraId="0DFAE01E" w14:textId="77777777" w:rsidR="00B700C8" w:rsidRPr="00011ACE" w:rsidRDefault="00B700C8" w:rsidP="005F3882">
            <w:pPr>
              <w:pStyle w:val="NormalWeb"/>
              <w:spacing w:before="0" w:beforeAutospacing="0" w:after="0" w:afterAutospacing="0"/>
              <w:jc w:val="center"/>
              <w:rPr>
                <w:rFonts w:ascii="Bookman Old Style" w:hAnsi="Bookman Old Style" w:cs="Arial"/>
                <w:color w:val="000000"/>
                <w:sz w:val="20"/>
                <w:szCs w:val="20"/>
                <w:bdr w:val="none" w:sz="0" w:space="0" w:color="auto" w:frame="1"/>
              </w:rPr>
            </w:pPr>
            <w:r w:rsidRPr="00011ACE">
              <w:rPr>
                <w:rFonts w:ascii="Bookman Old Style" w:hAnsi="Bookman Old Style" w:cs="Arial"/>
                <w:color w:val="000000"/>
                <w:sz w:val="20"/>
                <w:szCs w:val="20"/>
                <w:bdr w:val="none" w:sz="0" w:space="0" w:color="auto" w:frame="1"/>
              </w:rPr>
              <w:t>Representante a la Cámara</w:t>
            </w:r>
          </w:p>
          <w:p w14:paraId="0AED1CB9" w14:textId="0F739184" w:rsidR="00B700C8" w:rsidRPr="00011ACE" w:rsidRDefault="00B700C8" w:rsidP="005F3882">
            <w:pPr>
              <w:pStyle w:val="NormalWeb"/>
              <w:spacing w:before="0" w:beforeAutospacing="0" w:after="0" w:afterAutospacing="0"/>
              <w:jc w:val="center"/>
              <w:rPr>
                <w:rFonts w:ascii="Bookman Old Style" w:hAnsi="Bookman Old Style" w:cs="Arial"/>
                <w:color w:val="000000"/>
                <w:sz w:val="20"/>
                <w:szCs w:val="20"/>
                <w:bdr w:val="none" w:sz="0" w:space="0" w:color="auto" w:frame="1"/>
              </w:rPr>
            </w:pPr>
            <w:r w:rsidRPr="00011ACE">
              <w:rPr>
                <w:rFonts w:ascii="Bookman Old Style" w:hAnsi="Bookman Old Style" w:cs="Arial"/>
                <w:color w:val="000000"/>
                <w:sz w:val="20"/>
                <w:szCs w:val="20"/>
                <w:bdr w:val="none" w:sz="0" w:space="0" w:color="auto" w:frame="1"/>
              </w:rPr>
              <w:t>Departamento del Putumayo</w:t>
            </w:r>
          </w:p>
        </w:tc>
      </w:tr>
      <w:tr w:rsidR="0013321A" w:rsidRPr="00011ACE" w14:paraId="3AD16EC7" w14:textId="77777777" w:rsidTr="00B700C8">
        <w:trPr>
          <w:jc w:val="center"/>
        </w:trPr>
        <w:tc>
          <w:tcPr>
            <w:tcW w:w="4390" w:type="dxa"/>
          </w:tcPr>
          <w:p w14:paraId="4BC92DBF" w14:textId="77777777" w:rsidR="00485B08" w:rsidRPr="00011ACE" w:rsidRDefault="00485B08" w:rsidP="005F3882">
            <w:pPr>
              <w:tabs>
                <w:tab w:val="right" w:pos="8838"/>
              </w:tabs>
              <w:jc w:val="center"/>
              <w:rPr>
                <w:rFonts w:ascii="Bookman Old Style" w:hAnsi="Bookman Old Style" w:cs="Arial"/>
                <w:b/>
                <w:bCs/>
                <w:noProof/>
                <w:color w:val="000000"/>
                <w:sz w:val="20"/>
                <w:szCs w:val="20"/>
                <w:bdr w:val="none" w:sz="0" w:space="0" w:color="auto" w:frame="1"/>
              </w:rPr>
            </w:pPr>
          </w:p>
          <w:p w14:paraId="5883EDC8" w14:textId="742F0B16" w:rsidR="0013321A" w:rsidRPr="00011ACE" w:rsidRDefault="00B700C8" w:rsidP="005F3882">
            <w:pPr>
              <w:tabs>
                <w:tab w:val="right" w:pos="8838"/>
              </w:tabs>
              <w:jc w:val="center"/>
              <w:rPr>
                <w:rFonts w:ascii="Bookman Old Style" w:hAnsi="Bookman Old Style" w:cs="Arial"/>
                <w:b/>
                <w:bCs/>
                <w:noProof/>
                <w:color w:val="000000"/>
                <w:sz w:val="20"/>
                <w:szCs w:val="20"/>
                <w:bdr w:val="none" w:sz="0" w:space="0" w:color="auto" w:frame="1"/>
              </w:rPr>
            </w:pPr>
            <w:r w:rsidRPr="00011ACE">
              <w:rPr>
                <w:rFonts w:ascii="Bookman Old Style" w:hAnsi="Bookman Old Style" w:cs="Arial"/>
                <w:b/>
                <w:bCs/>
                <w:noProof/>
                <w:color w:val="000000"/>
                <w:sz w:val="20"/>
                <w:szCs w:val="20"/>
                <w:bdr w:val="none" w:sz="0" w:space="0" w:color="auto" w:frame="1"/>
              </w:rPr>
              <w:t>JHON ARLEY MURILLO BENITEZ</w:t>
            </w:r>
          </w:p>
          <w:p w14:paraId="0E07310A" w14:textId="77777777" w:rsidR="00B700C8" w:rsidRPr="00011ACE" w:rsidRDefault="00B700C8" w:rsidP="005F3882">
            <w:pPr>
              <w:tabs>
                <w:tab w:val="right" w:pos="8838"/>
              </w:tabs>
              <w:jc w:val="center"/>
              <w:rPr>
                <w:rFonts w:ascii="Bookman Old Style" w:hAnsi="Bookman Old Style" w:cs="Arial"/>
                <w:noProof/>
                <w:color w:val="000000"/>
                <w:sz w:val="20"/>
                <w:szCs w:val="20"/>
                <w:bdr w:val="none" w:sz="0" w:space="0" w:color="auto" w:frame="1"/>
              </w:rPr>
            </w:pPr>
            <w:r w:rsidRPr="00011ACE">
              <w:rPr>
                <w:rFonts w:ascii="Bookman Old Style" w:hAnsi="Bookman Old Style" w:cs="Arial"/>
                <w:noProof/>
                <w:color w:val="000000"/>
                <w:sz w:val="20"/>
                <w:szCs w:val="20"/>
                <w:bdr w:val="none" w:sz="0" w:space="0" w:color="auto" w:frame="1"/>
              </w:rPr>
              <w:t>Representante a la Cámara</w:t>
            </w:r>
          </w:p>
          <w:p w14:paraId="3F6DE4BE" w14:textId="77777777" w:rsidR="00B700C8" w:rsidRPr="00011ACE" w:rsidRDefault="00B700C8" w:rsidP="005F3882">
            <w:pPr>
              <w:tabs>
                <w:tab w:val="right" w:pos="8838"/>
              </w:tabs>
              <w:jc w:val="center"/>
              <w:rPr>
                <w:rFonts w:ascii="Bookman Old Style" w:hAnsi="Bookman Old Style" w:cs="Arial"/>
                <w:noProof/>
                <w:color w:val="000000"/>
                <w:sz w:val="20"/>
                <w:szCs w:val="20"/>
                <w:bdr w:val="none" w:sz="0" w:space="0" w:color="auto" w:frame="1"/>
              </w:rPr>
            </w:pPr>
            <w:r w:rsidRPr="00011ACE">
              <w:rPr>
                <w:rFonts w:ascii="Bookman Old Style" w:hAnsi="Bookman Old Style" w:cs="Arial"/>
                <w:noProof/>
                <w:color w:val="000000"/>
                <w:sz w:val="20"/>
                <w:szCs w:val="20"/>
                <w:bdr w:val="none" w:sz="0" w:space="0" w:color="auto" w:frame="1"/>
              </w:rPr>
              <w:t>Circunscripción Especial Afro</w:t>
            </w:r>
          </w:p>
          <w:p w14:paraId="23E8D1ED" w14:textId="3F51F63F" w:rsidR="00B700C8" w:rsidRPr="00011ACE" w:rsidRDefault="00B700C8" w:rsidP="005F3882">
            <w:pPr>
              <w:tabs>
                <w:tab w:val="right" w:pos="8838"/>
              </w:tabs>
              <w:jc w:val="center"/>
              <w:rPr>
                <w:rFonts w:ascii="Bookman Old Style" w:hAnsi="Bookman Old Style" w:cs="Arial"/>
                <w:noProof/>
                <w:color w:val="000000"/>
                <w:sz w:val="20"/>
                <w:szCs w:val="20"/>
                <w:bdr w:val="none" w:sz="0" w:space="0" w:color="auto" w:frame="1"/>
              </w:rPr>
            </w:pPr>
            <w:r w:rsidRPr="00011ACE">
              <w:rPr>
                <w:rFonts w:ascii="Bookman Old Style" w:hAnsi="Bookman Old Style" w:cs="Arial"/>
                <w:noProof/>
                <w:color w:val="000000"/>
                <w:sz w:val="20"/>
                <w:szCs w:val="20"/>
                <w:bdr w:val="none" w:sz="0" w:space="0" w:color="auto" w:frame="1"/>
              </w:rPr>
              <w:t>Partido Colombia Renaciente</w:t>
            </w:r>
          </w:p>
        </w:tc>
        <w:tc>
          <w:tcPr>
            <w:tcW w:w="4348" w:type="dxa"/>
          </w:tcPr>
          <w:p w14:paraId="3D9FB1D8" w14:textId="77777777" w:rsidR="00485B08" w:rsidRPr="00011ACE" w:rsidRDefault="00485B08" w:rsidP="005F3882">
            <w:pPr>
              <w:jc w:val="center"/>
              <w:rPr>
                <w:rFonts w:ascii="Bookman Old Style" w:hAnsi="Bookman Old Style" w:cs="Arial"/>
                <w:b/>
                <w:bCs/>
                <w:color w:val="000000"/>
                <w:sz w:val="20"/>
                <w:szCs w:val="20"/>
                <w:bdr w:val="none" w:sz="0" w:space="0" w:color="auto" w:frame="1"/>
              </w:rPr>
            </w:pPr>
          </w:p>
          <w:p w14:paraId="76781ED9" w14:textId="7FECE1CF" w:rsidR="0013321A" w:rsidRPr="00011ACE" w:rsidRDefault="00B700C8" w:rsidP="005F3882">
            <w:pPr>
              <w:jc w:val="center"/>
              <w:rPr>
                <w:rFonts w:ascii="Bookman Old Style" w:hAnsi="Bookman Old Style" w:cs="Arial"/>
                <w:b/>
                <w:bCs/>
                <w:color w:val="000000"/>
                <w:sz w:val="20"/>
                <w:szCs w:val="20"/>
                <w:bdr w:val="none" w:sz="0" w:space="0" w:color="auto" w:frame="1"/>
              </w:rPr>
            </w:pPr>
            <w:r w:rsidRPr="00011ACE">
              <w:rPr>
                <w:rFonts w:ascii="Bookman Old Style" w:hAnsi="Bookman Old Style" w:cs="Arial"/>
                <w:b/>
                <w:bCs/>
                <w:color w:val="000000"/>
                <w:sz w:val="20"/>
                <w:szCs w:val="20"/>
                <w:bdr w:val="none" w:sz="0" w:space="0" w:color="auto" w:frame="1"/>
              </w:rPr>
              <w:t>FABER ALBERTO MUÑOZ CERÓN</w:t>
            </w:r>
          </w:p>
          <w:p w14:paraId="22EB6013" w14:textId="44109014" w:rsidR="00B700C8" w:rsidRPr="00011ACE" w:rsidRDefault="00B700C8" w:rsidP="005F3882">
            <w:pPr>
              <w:jc w:val="center"/>
              <w:rPr>
                <w:rFonts w:ascii="Bookman Old Style" w:hAnsi="Bookman Old Style" w:cs="Arial"/>
                <w:color w:val="000000"/>
                <w:sz w:val="20"/>
                <w:szCs w:val="20"/>
                <w:bdr w:val="none" w:sz="0" w:space="0" w:color="auto" w:frame="1"/>
              </w:rPr>
            </w:pPr>
            <w:r w:rsidRPr="00011ACE">
              <w:rPr>
                <w:rFonts w:ascii="Bookman Old Style" w:hAnsi="Bookman Old Style" w:cs="Arial"/>
                <w:color w:val="000000"/>
                <w:sz w:val="20"/>
                <w:szCs w:val="20"/>
                <w:bdr w:val="none" w:sz="0" w:space="0" w:color="auto" w:frame="1"/>
              </w:rPr>
              <w:t>Representante a la Cámara por Cauca</w:t>
            </w:r>
          </w:p>
        </w:tc>
      </w:tr>
      <w:tr w:rsidR="0013321A" w:rsidRPr="00011ACE" w14:paraId="17C9A1E5" w14:textId="77777777" w:rsidTr="00B700C8">
        <w:trPr>
          <w:trHeight w:val="120"/>
          <w:jc w:val="center"/>
        </w:trPr>
        <w:tc>
          <w:tcPr>
            <w:tcW w:w="4390" w:type="dxa"/>
          </w:tcPr>
          <w:p w14:paraId="05DF90A7" w14:textId="77777777" w:rsidR="00485B08" w:rsidRPr="00011ACE" w:rsidRDefault="00485B08" w:rsidP="005F3882">
            <w:pPr>
              <w:tabs>
                <w:tab w:val="right" w:pos="8838"/>
              </w:tabs>
              <w:jc w:val="center"/>
              <w:rPr>
                <w:rFonts w:ascii="Bookman Old Style" w:hAnsi="Bookman Old Style" w:cs="Arial"/>
                <w:b/>
                <w:bCs/>
                <w:sz w:val="20"/>
                <w:szCs w:val="20"/>
                <w:lang w:val="es-ES_tradnl"/>
              </w:rPr>
            </w:pPr>
          </w:p>
          <w:p w14:paraId="53FF5BFC" w14:textId="327677D2" w:rsidR="0013321A" w:rsidRPr="00011ACE" w:rsidRDefault="005F3882" w:rsidP="005F3882">
            <w:pPr>
              <w:tabs>
                <w:tab w:val="right" w:pos="8838"/>
              </w:tabs>
              <w:jc w:val="center"/>
              <w:rPr>
                <w:rFonts w:ascii="Bookman Old Style" w:hAnsi="Bookman Old Style" w:cs="Arial"/>
                <w:b/>
                <w:bCs/>
                <w:sz w:val="20"/>
                <w:szCs w:val="20"/>
                <w:lang w:val="es-ES_tradnl"/>
              </w:rPr>
            </w:pPr>
            <w:r w:rsidRPr="00011ACE">
              <w:rPr>
                <w:rFonts w:ascii="Bookman Old Style" w:hAnsi="Bookman Old Style" w:cs="Arial"/>
                <w:b/>
                <w:bCs/>
                <w:sz w:val="20"/>
                <w:szCs w:val="20"/>
                <w:lang w:val="es-ES_tradnl"/>
              </w:rPr>
              <w:t>KATHERINE MIRANDA</w:t>
            </w:r>
          </w:p>
          <w:p w14:paraId="404E4D6A" w14:textId="77777777" w:rsidR="005F3882" w:rsidRPr="00011ACE" w:rsidRDefault="005F3882" w:rsidP="005F3882">
            <w:pPr>
              <w:tabs>
                <w:tab w:val="right" w:pos="8838"/>
              </w:tabs>
              <w:jc w:val="center"/>
              <w:rPr>
                <w:rFonts w:ascii="Bookman Old Style" w:hAnsi="Bookman Old Style" w:cs="Arial"/>
                <w:sz w:val="20"/>
                <w:szCs w:val="20"/>
                <w:lang w:val="es-ES_tradnl"/>
              </w:rPr>
            </w:pPr>
            <w:r w:rsidRPr="00011ACE">
              <w:rPr>
                <w:rFonts w:ascii="Bookman Old Style" w:hAnsi="Bookman Old Style" w:cs="Arial"/>
                <w:sz w:val="20"/>
                <w:szCs w:val="20"/>
                <w:lang w:val="es-ES_tradnl"/>
              </w:rPr>
              <w:lastRenderedPageBreak/>
              <w:t>Representante a la Cámara por Bogotá</w:t>
            </w:r>
          </w:p>
          <w:p w14:paraId="748AE3CF" w14:textId="6F8C7F0F" w:rsidR="005F3882" w:rsidRPr="00011ACE" w:rsidRDefault="005F3882" w:rsidP="005F3882">
            <w:pPr>
              <w:tabs>
                <w:tab w:val="right" w:pos="8838"/>
              </w:tabs>
              <w:jc w:val="center"/>
              <w:rPr>
                <w:rFonts w:ascii="Bookman Old Style" w:hAnsi="Bookman Old Style" w:cs="Arial"/>
                <w:sz w:val="20"/>
                <w:szCs w:val="20"/>
                <w:lang w:val="es-ES_tradnl"/>
              </w:rPr>
            </w:pPr>
            <w:r w:rsidRPr="00011ACE">
              <w:rPr>
                <w:rFonts w:ascii="Bookman Old Style" w:hAnsi="Bookman Old Style" w:cs="Arial"/>
                <w:sz w:val="20"/>
                <w:szCs w:val="20"/>
                <w:lang w:val="es-ES_tradnl"/>
              </w:rPr>
              <w:t>Partido Alianza Verde</w:t>
            </w:r>
          </w:p>
        </w:tc>
        <w:tc>
          <w:tcPr>
            <w:tcW w:w="4348" w:type="dxa"/>
          </w:tcPr>
          <w:p w14:paraId="2D1829A6" w14:textId="77777777" w:rsidR="00485B08" w:rsidRPr="00011ACE" w:rsidRDefault="00485B08" w:rsidP="005F3882">
            <w:pPr>
              <w:tabs>
                <w:tab w:val="right" w:pos="8838"/>
              </w:tabs>
              <w:jc w:val="center"/>
              <w:rPr>
                <w:rFonts w:ascii="Bookman Old Style" w:hAnsi="Bookman Old Style" w:cs="Arial"/>
                <w:b/>
                <w:bCs/>
                <w:sz w:val="20"/>
                <w:szCs w:val="20"/>
                <w:lang w:val="es-ES_tradnl"/>
              </w:rPr>
            </w:pPr>
          </w:p>
          <w:p w14:paraId="3B57D432" w14:textId="6CBD1694" w:rsidR="0013321A" w:rsidRPr="00011ACE" w:rsidRDefault="005F3882" w:rsidP="005F3882">
            <w:pPr>
              <w:tabs>
                <w:tab w:val="right" w:pos="8838"/>
              </w:tabs>
              <w:jc w:val="center"/>
              <w:rPr>
                <w:rFonts w:ascii="Bookman Old Style" w:hAnsi="Bookman Old Style" w:cs="Arial"/>
                <w:b/>
                <w:bCs/>
                <w:sz w:val="20"/>
                <w:szCs w:val="20"/>
                <w:lang w:val="es-ES_tradnl"/>
              </w:rPr>
            </w:pPr>
            <w:r w:rsidRPr="00011ACE">
              <w:rPr>
                <w:rFonts w:ascii="Bookman Old Style" w:hAnsi="Bookman Old Style" w:cs="Arial"/>
                <w:b/>
                <w:bCs/>
                <w:sz w:val="20"/>
                <w:szCs w:val="20"/>
                <w:lang w:val="es-ES_tradnl"/>
              </w:rPr>
              <w:t>CARLOS GERMAN NAVAS TALERO</w:t>
            </w:r>
          </w:p>
          <w:p w14:paraId="6EFD92A3" w14:textId="77777777" w:rsidR="005F3882" w:rsidRPr="00011ACE" w:rsidRDefault="005F3882" w:rsidP="005F3882">
            <w:pPr>
              <w:tabs>
                <w:tab w:val="right" w:pos="8838"/>
              </w:tabs>
              <w:jc w:val="center"/>
              <w:rPr>
                <w:rFonts w:ascii="Bookman Old Style" w:hAnsi="Bookman Old Style" w:cs="Arial"/>
                <w:sz w:val="20"/>
                <w:szCs w:val="20"/>
                <w:lang w:val="es-ES_tradnl"/>
              </w:rPr>
            </w:pPr>
            <w:r w:rsidRPr="00011ACE">
              <w:rPr>
                <w:rFonts w:ascii="Bookman Old Style" w:hAnsi="Bookman Old Style" w:cs="Arial"/>
                <w:sz w:val="20"/>
                <w:szCs w:val="20"/>
                <w:lang w:val="es-ES_tradnl"/>
              </w:rPr>
              <w:lastRenderedPageBreak/>
              <w:t>Representante a la Cámara por Bogotá</w:t>
            </w:r>
          </w:p>
          <w:p w14:paraId="60B84205" w14:textId="7A5FEF04" w:rsidR="005F3882" w:rsidRPr="00011ACE" w:rsidRDefault="005F3882" w:rsidP="005F3882">
            <w:pPr>
              <w:tabs>
                <w:tab w:val="right" w:pos="8838"/>
              </w:tabs>
              <w:jc w:val="center"/>
              <w:rPr>
                <w:rFonts w:ascii="Bookman Old Style" w:hAnsi="Bookman Old Style" w:cs="Arial"/>
                <w:sz w:val="20"/>
                <w:szCs w:val="20"/>
                <w:lang w:val="es-ES_tradnl"/>
              </w:rPr>
            </w:pPr>
            <w:r w:rsidRPr="00011ACE">
              <w:rPr>
                <w:rFonts w:ascii="Bookman Old Style" w:hAnsi="Bookman Old Style" w:cs="Arial"/>
                <w:sz w:val="20"/>
                <w:szCs w:val="20"/>
                <w:lang w:val="es-ES_tradnl"/>
              </w:rPr>
              <w:t>Polo Democrático Alternativo</w:t>
            </w:r>
          </w:p>
        </w:tc>
      </w:tr>
      <w:tr w:rsidR="0013321A" w:rsidRPr="00011ACE" w14:paraId="41E066CE" w14:textId="77777777" w:rsidTr="00B700C8">
        <w:trPr>
          <w:jc w:val="center"/>
        </w:trPr>
        <w:tc>
          <w:tcPr>
            <w:tcW w:w="4390" w:type="dxa"/>
          </w:tcPr>
          <w:p w14:paraId="61C657FB" w14:textId="77777777" w:rsidR="00485B08" w:rsidRPr="00011ACE" w:rsidRDefault="00485B08" w:rsidP="005F3882">
            <w:pPr>
              <w:pStyle w:val="NormalWeb"/>
              <w:spacing w:before="0" w:beforeAutospacing="0" w:after="0" w:afterAutospacing="0"/>
              <w:jc w:val="center"/>
              <w:rPr>
                <w:rFonts w:ascii="Bookman Old Style" w:hAnsi="Bookman Old Style" w:cs="Arial"/>
                <w:b/>
                <w:bCs/>
                <w:color w:val="000000"/>
                <w:sz w:val="20"/>
                <w:szCs w:val="20"/>
              </w:rPr>
            </w:pPr>
          </w:p>
          <w:p w14:paraId="132BF85B" w14:textId="13027EC7" w:rsidR="0013321A" w:rsidRPr="00011ACE" w:rsidRDefault="005F3882" w:rsidP="005F3882">
            <w:pPr>
              <w:pStyle w:val="NormalWeb"/>
              <w:spacing w:before="0" w:beforeAutospacing="0" w:after="0" w:afterAutospacing="0"/>
              <w:jc w:val="center"/>
              <w:rPr>
                <w:rFonts w:ascii="Bookman Old Style" w:hAnsi="Bookman Old Style" w:cs="Arial"/>
                <w:b/>
                <w:bCs/>
                <w:color w:val="000000"/>
                <w:sz w:val="20"/>
                <w:szCs w:val="20"/>
              </w:rPr>
            </w:pPr>
            <w:r w:rsidRPr="00011ACE">
              <w:rPr>
                <w:rFonts w:ascii="Bookman Old Style" w:hAnsi="Bookman Old Style" w:cs="Arial"/>
                <w:b/>
                <w:bCs/>
                <w:color w:val="000000"/>
                <w:sz w:val="20"/>
                <w:szCs w:val="20"/>
              </w:rPr>
              <w:t>ÁNGEL MARÍA GAITÁN PULIDO</w:t>
            </w:r>
          </w:p>
          <w:p w14:paraId="61B12BB6" w14:textId="77777777" w:rsidR="005F3882" w:rsidRPr="00011ACE" w:rsidRDefault="005F3882" w:rsidP="005F3882">
            <w:pPr>
              <w:pStyle w:val="NormalWeb"/>
              <w:spacing w:before="0" w:beforeAutospacing="0" w:after="0" w:afterAutospacing="0"/>
              <w:jc w:val="center"/>
              <w:rPr>
                <w:rFonts w:ascii="Bookman Old Style" w:hAnsi="Bookman Old Style" w:cs="Arial"/>
                <w:color w:val="000000"/>
                <w:sz w:val="20"/>
                <w:szCs w:val="20"/>
              </w:rPr>
            </w:pPr>
            <w:r w:rsidRPr="00011ACE">
              <w:rPr>
                <w:rFonts w:ascii="Bookman Old Style" w:hAnsi="Bookman Old Style" w:cs="Arial"/>
                <w:color w:val="000000"/>
                <w:sz w:val="20"/>
                <w:szCs w:val="20"/>
              </w:rPr>
              <w:t>Representante a la Cámara por Tolima</w:t>
            </w:r>
          </w:p>
          <w:p w14:paraId="2B7EAFC3" w14:textId="0CDC5A0A" w:rsidR="005F3882" w:rsidRPr="00011ACE" w:rsidRDefault="005F3882" w:rsidP="005F3882">
            <w:pPr>
              <w:pStyle w:val="NormalWeb"/>
              <w:spacing w:before="0" w:beforeAutospacing="0" w:after="0" w:afterAutospacing="0"/>
              <w:jc w:val="center"/>
              <w:rPr>
                <w:rFonts w:ascii="Bookman Old Style" w:hAnsi="Bookman Old Style" w:cs="Arial"/>
                <w:color w:val="000000"/>
                <w:sz w:val="20"/>
                <w:szCs w:val="20"/>
              </w:rPr>
            </w:pPr>
            <w:r w:rsidRPr="00011ACE">
              <w:rPr>
                <w:rFonts w:ascii="Bookman Old Style" w:hAnsi="Bookman Old Style" w:cs="Arial"/>
                <w:color w:val="000000"/>
                <w:sz w:val="20"/>
                <w:szCs w:val="20"/>
              </w:rPr>
              <w:t>Partido Liberal Colombiano</w:t>
            </w:r>
          </w:p>
        </w:tc>
        <w:tc>
          <w:tcPr>
            <w:tcW w:w="4348" w:type="dxa"/>
          </w:tcPr>
          <w:p w14:paraId="1846E7BB" w14:textId="77777777" w:rsidR="00485B08" w:rsidRPr="00011ACE" w:rsidRDefault="00485B08" w:rsidP="005F3882">
            <w:pPr>
              <w:tabs>
                <w:tab w:val="right" w:pos="8838"/>
              </w:tabs>
              <w:jc w:val="center"/>
              <w:rPr>
                <w:rFonts w:ascii="Bookman Old Style" w:hAnsi="Bookman Old Style" w:cs="Arial"/>
                <w:b/>
                <w:bCs/>
                <w:color w:val="000000"/>
                <w:sz w:val="20"/>
                <w:szCs w:val="20"/>
              </w:rPr>
            </w:pPr>
          </w:p>
          <w:p w14:paraId="5468259D" w14:textId="112A2129" w:rsidR="0013321A" w:rsidRPr="00011ACE" w:rsidRDefault="005F3882" w:rsidP="005F3882">
            <w:pPr>
              <w:tabs>
                <w:tab w:val="right" w:pos="8838"/>
              </w:tabs>
              <w:jc w:val="center"/>
              <w:rPr>
                <w:rFonts w:ascii="Bookman Old Style" w:hAnsi="Bookman Old Style" w:cs="Arial"/>
                <w:b/>
                <w:bCs/>
                <w:color w:val="000000"/>
                <w:sz w:val="20"/>
                <w:szCs w:val="20"/>
              </w:rPr>
            </w:pPr>
            <w:r w:rsidRPr="00011ACE">
              <w:rPr>
                <w:rFonts w:ascii="Bookman Old Style" w:hAnsi="Bookman Old Style" w:cs="Arial"/>
                <w:b/>
                <w:bCs/>
                <w:color w:val="000000"/>
                <w:sz w:val="20"/>
                <w:szCs w:val="20"/>
              </w:rPr>
              <w:t>HARRY GIOVANNY GONZÁLEZ GARCÍA</w:t>
            </w:r>
          </w:p>
          <w:p w14:paraId="338B4B40" w14:textId="77777777" w:rsidR="005F3882" w:rsidRPr="00011ACE" w:rsidRDefault="005F3882" w:rsidP="005F3882">
            <w:pPr>
              <w:tabs>
                <w:tab w:val="right" w:pos="8838"/>
              </w:tabs>
              <w:jc w:val="center"/>
              <w:rPr>
                <w:rFonts w:ascii="Bookman Old Style" w:hAnsi="Bookman Old Style" w:cs="Arial"/>
                <w:color w:val="000000"/>
                <w:sz w:val="20"/>
                <w:szCs w:val="20"/>
              </w:rPr>
            </w:pPr>
            <w:r w:rsidRPr="00011ACE">
              <w:rPr>
                <w:rFonts w:ascii="Bookman Old Style" w:hAnsi="Bookman Old Style" w:cs="Arial"/>
                <w:color w:val="000000"/>
                <w:sz w:val="20"/>
                <w:szCs w:val="20"/>
              </w:rPr>
              <w:t>Representante a la Cámara</w:t>
            </w:r>
          </w:p>
          <w:p w14:paraId="515841C8" w14:textId="47E3AC29" w:rsidR="005F3882" w:rsidRPr="00011ACE" w:rsidRDefault="005F3882" w:rsidP="005F3882">
            <w:pPr>
              <w:tabs>
                <w:tab w:val="right" w:pos="8838"/>
              </w:tabs>
              <w:jc w:val="center"/>
              <w:rPr>
                <w:rFonts w:ascii="Bookman Old Style" w:hAnsi="Bookman Old Style" w:cs="Arial"/>
                <w:color w:val="000000"/>
                <w:sz w:val="20"/>
                <w:szCs w:val="20"/>
              </w:rPr>
            </w:pPr>
            <w:r w:rsidRPr="00011ACE">
              <w:rPr>
                <w:rFonts w:ascii="Bookman Old Style" w:hAnsi="Bookman Old Style" w:cs="Arial"/>
                <w:color w:val="000000"/>
                <w:sz w:val="20"/>
                <w:szCs w:val="20"/>
              </w:rPr>
              <w:t>Departamento del Caquetá</w:t>
            </w:r>
          </w:p>
        </w:tc>
      </w:tr>
      <w:tr w:rsidR="0013321A" w:rsidRPr="00011ACE" w14:paraId="24AA3E37" w14:textId="77777777" w:rsidTr="00B700C8">
        <w:trPr>
          <w:jc w:val="center"/>
        </w:trPr>
        <w:tc>
          <w:tcPr>
            <w:tcW w:w="4390" w:type="dxa"/>
          </w:tcPr>
          <w:p w14:paraId="473D8EAD" w14:textId="77777777" w:rsidR="00485B08" w:rsidRPr="00011ACE" w:rsidRDefault="00485B08" w:rsidP="005F3882">
            <w:pPr>
              <w:pStyle w:val="NormalWeb"/>
              <w:spacing w:before="0" w:beforeAutospacing="0" w:after="0" w:afterAutospacing="0"/>
              <w:jc w:val="center"/>
              <w:rPr>
                <w:rFonts w:ascii="Bookman Old Style" w:hAnsi="Bookman Old Style"/>
                <w:b/>
                <w:sz w:val="20"/>
                <w:szCs w:val="20"/>
              </w:rPr>
            </w:pPr>
          </w:p>
          <w:p w14:paraId="073183AC" w14:textId="7334AF7F" w:rsidR="0013321A" w:rsidRPr="00011ACE" w:rsidRDefault="005F3882" w:rsidP="005F3882">
            <w:pPr>
              <w:pStyle w:val="NormalWeb"/>
              <w:spacing w:before="0" w:beforeAutospacing="0" w:after="0" w:afterAutospacing="0"/>
              <w:jc w:val="center"/>
              <w:rPr>
                <w:rFonts w:ascii="Bookman Old Style" w:hAnsi="Bookman Old Style"/>
                <w:b/>
                <w:sz w:val="20"/>
                <w:szCs w:val="20"/>
              </w:rPr>
            </w:pPr>
            <w:r w:rsidRPr="00011ACE">
              <w:rPr>
                <w:rFonts w:ascii="Bookman Old Style" w:hAnsi="Bookman Old Style"/>
                <w:b/>
                <w:sz w:val="20"/>
                <w:szCs w:val="20"/>
              </w:rPr>
              <w:t>CATALINA ORTIZ LALINDE</w:t>
            </w:r>
          </w:p>
          <w:p w14:paraId="0838BCE4" w14:textId="77777777" w:rsidR="005F3882" w:rsidRPr="00011ACE" w:rsidRDefault="005F3882" w:rsidP="005F3882">
            <w:pPr>
              <w:pStyle w:val="NormalWeb"/>
              <w:spacing w:before="0" w:beforeAutospacing="0" w:after="0" w:afterAutospacing="0"/>
              <w:jc w:val="center"/>
              <w:rPr>
                <w:rFonts w:ascii="Bookman Old Style" w:hAnsi="Bookman Old Style"/>
                <w:bCs/>
                <w:sz w:val="20"/>
                <w:szCs w:val="20"/>
              </w:rPr>
            </w:pPr>
            <w:r w:rsidRPr="00011ACE">
              <w:rPr>
                <w:rFonts w:ascii="Bookman Old Style" w:hAnsi="Bookman Old Style"/>
                <w:bCs/>
                <w:sz w:val="20"/>
                <w:szCs w:val="20"/>
              </w:rPr>
              <w:t>Representante a la Cámara</w:t>
            </w:r>
          </w:p>
          <w:p w14:paraId="4BE9D794" w14:textId="753F21BF" w:rsidR="005F3882" w:rsidRPr="00011ACE" w:rsidRDefault="005F3882" w:rsidP="005F3882">
            <w:pPr>
              <w:pStyle w:val="NormalWeb"/>
              <w:spacing w:before="0" w:beforeAutospacing="0" w:after="0" w:afterAutospacing="0"/>
              <w:jc w:val="center"/>
              <w:rPr>
                <w:rFonts w:ascii="Bookman Old Style" w:hAnsi="Bookman Old Style"/>
                <w:bCs/>
                <w:sz w:val="20"/>
                <w:szCs w:val="20"/>
              </w:rPr>
            </w:pPr>
            <w:r w:rsidRPr="00011ACE">
              <w:rPr>
                <w:rFonts w:ascii="Bookman Old Style" w:hAnsi="Bookman Old Style"/>
                <w:bCs/>
                <w:sz w:val="20"/>
                <w:szCs w:val="20"/>
              </w:rPr>
              <w:t>Partido Alianza Verde</w:t>
            </w:r>
          </w:p>
        </w:tc>
        <w:tc>
          <w:tcPr>
            <w:tcW w:w="4348" w:type="dxa"/>
          </w:tcPr>
          <w:p w14:paraId="0D559768" w14:textId="77777777" w:rsidR="00485B08" w:rsidRPr="00011ACE" w:rsidRDefault="00485B08" w:rsidP="005F3882">
            <w:pPr>
              <w:tabs>
                <w:tab w:val="right" w:pos="8838"/>
              </w:tabs>
              <w:jc w:val="center"/>
              <w:rPr>
                <w:rFonts w:ascii="Bookman Old Style" w:hAnsi="Bookman Old Style" w:cs="Arial"/>
                <w:b/>
                <w:bCs/>
                <w:sz w:val="20"/>
                <w:szCs w:val="20"/>
                <w:lang w:val="es-ES_tradnl"/>
              </w:rPr>
            </w:pPr>
          </w:p>
          <w:p w14:paraId="256650D7" w14:textId="1F976049" w:rsidR="0013321A" w:rsidRPr="00011ACE" w:rsidRDefault="005F3882" w:rsidP="005F3882">
            <w:pPr>
              <w:tabs>
                <w:tab w:val="right" w:pos="8838"/>
              </w:tabs>
              <w:jc w:val="center"/>
              <w:rPr>
                <w:rFonts w:ascii="Bookman Old Style" w:hAnsi="Bookman Old Style" w:cs="Arial"/>
                <w:b/>
                <w:bCs/>
                <w:sz w:val="20"/>
                <w:szCs w:val="20"/>
                <w:lang w:val="es-ES_tradnl"/>
              </w:rPr>
            </w:pPr>
            <w:r w:rsidRPr="00011ACE">
              <w:rPr>
                <w:rFonts w:ascii="Bookman Old Style" w:hAnsi="Bookman Old Style" w:cs="Arial"/>
                <w:b/>
                <w:bCs/>
                <w:sz w:val="20"/>
                <w:szCs w:val="20"/>
                <w:lang w:val="es-ES_tradnl"/>
              </w:rPr>
              <w:t>MARÍA JOSÉ PIZARRO</w:t>
            </w:r>
          </w:p>
          <w:p w14:paraId="1AC3E965" w14:textId="77777777" w:rsidR="005F3882" w:rsidRPr="00011ACE" w:rsidRDefault="005F3882" w:rsidP="005F3882">
            <w:pPr>
              <w:tabs>
                <w:tab w:val="right" w:pos="8838"/>
              </w:tabs>
              <w:jc w:val="center"/>
              <w:rPr>
                <w:rFonts w:ascii="Bookman Old Style" w:hAnsi="Bookman Old Style" w:cs="Arial"/>
                <w:sz w:val="20"/>
                <w:szCs w:val="20"/>
                <w:lang w:val="es-ES_tradnl"/>
              </w:rPr>
            </w:pPr>
            <w:r w:rsidRPr="00011ACE">
              <w:rPr>
                <w:rFonts w:ascii="Bookman Old Style" w:hAnsi="Bookman Old Style" w:cs="Arial"/>
                <w:sz w:val="20"/>
                <w:szCs w:val="20"/>
                <w:lang w:val="es-ES_tradnl"/>
              </w:rPr>
              <w:t>Representante a la Cámara</w:t>
            </w:r>
          </w:p>
          <w:p w14:paraId="0C04868B" w14:textId="7D6FE4D0" w:rsidR="005F3882" w:rsidRPr="00011ACE" w:rsidRDefault="005F3882" w:rsidP="005F3882">
            <w:pPr>
              <w:tabs>
                <w:tab w:val="right" w:pos="8838"/>
              </w:tabs>
              <w:jc w:val="center"/>
              <w:rPr>
                <w:rFonts w:ascii="Bookman Old Style" w:hAnsi="Bookman Old Style" w:cs="Arial"/>
                <w:sz w:val="20"/>
                <w:szCs w:val="20"/>
                <w:lang w:val="es-ES_tradnl"/>
              </w:rPr>
            </w:pPr>
            <w:r w:rsidRPr="00011ACE">
              <w:rPr>
                <w:rFonts w:ascii="Bookman Old Style" w:hAnsi="Bookman Old Style" w:cs="Arial"/>
                <w:sz w:val="20"/>
                <w:szCs w:val="20"/>
                <w:lang w:val="es-ES_tradnl"/>
              </w:rPr>
              <w:t>Coalición Lista de la Decencia</w:t>
            </w:r>
          </w:p>
        </w:tc>
      </w:tr>
      <w:tr w:rsidR="0013321A" w:rsidRPr="00011ACE" w14:paraId="65942E8D" w14:textId="77777777" w:rsidTr="00B700C8">
        <w:trPr>
          <w:jc w:val="center"/>
        </w:trPr>
        <w:tc>
          <w:tcPr>
            <w:tcW w:w="4390" w:type="dxa"/>
          </w:tcPr>
          <w:p w14:paraId="77EA94C4" w14:textId="77777777" w:rsidR="00485B08" w:rsidRPr="00011ACE" w:rsidRDefault="00485B08" w:rsidP="005F3882">
            <w:pPr>
              <w:pStyle w:val="NormalWeb"/>
              <w:spacing w:before="0" w:beforeAutospacing="0" w:after="0" w:afterAutospacing="0"/>
              <w:jc w:val="center"/>
              <w:rPr>
                <w:rFonts w:ascii="Bookman Old Style" w:hAnsi="Bookman Old Style" w:cs="Arial"/>
                <w:b/>
                <w:bCs/>
                <w:color w:val="000000"/>
                <w:sz w:val="20"/>
                <w:szCs w:val="20"/>
              </w:rPr>
            </w:pPr>
          </w:p>
          <w:p w14:paraId="5AEFB772" w14:textId="279E1DD1" w:rsidR="0013321A" w:rsidRPr="00011ACE" w:rsidRDefault="005F3882" w:rsidP="005F3882">
            <w:pPr>
              <w:pStyle w:val="NormalWeb"/>
              <w:spacing w:before="0" w:beforeAutospacing="0" w:after="0" w:afterAutospacing="0"/>
              <w:jc w:val="center"/>
              <w:rPr>
                <w:rFonts w:ascii="Bookman Old Style" w:hAnsi="Bookman Old Style" w:cs="Arial"/>
                <w:b/>
                <w:bCs/>
                <w:color w:val="000000"/>
                <w:sz w:val="20"/>
                <w:szCs w:val="20"/>
              </w:rPr>
            </w:pPr>
            <w:r w:rsidRPr="00011ACE">
              <w:rPr>
                <w:rFonts w:ascii="Bookman Old Style" w:hAnsi="Bookman Old Style" w:cs="Arial"/>
                <w:b/>
                <w:bCs/>
                <w:color w:val="000000"/>
                <w:sz w:val="20"/>
                <w:szCs w:val="20"/>
              </w:rPr>
              <w:t>HENRY FERNANDO CORREAL</w:t>
            </w:r>
          </w:p>
          <w:p w14:paraId="5189BA52" w14:textId="77777777" w:rsidR="005F3882" w:rsidRPr="00011ACE" w:rsidRDefault="005F3882" w:rsidP="005F3882">
            <w:pPr>
              <w:pStyle w:val="NormalWeb"/>
              <w:spacing w:before="0" w:beforeAutospacing="0" w:after="0" w:afterAutospacing="0"/>
              <w:jc w:val="center"/>
              <w:rPr>
                <w:rFonts w:ascii="Bookman Old Style" w:hAnsi="Bookman Old Style" w:cs="Arial"/>
                <w:color w:val="000000"/>
                <w:sz w:val="20"/>
                <w:szCs w:val="20"/>
              </w:rPr>
            </w:pPr>
            <w:r w:rsidRPr="00011ACE">
              <w:rPr>
                <w:rFonts w:ascii="Bookman Old Style" w:hAnsi="Bookman Old Style" w:cs="Arial"/>
                <w:color w:val="000000"/>
                <w:sz w:val="20"/>
                <w:szCs w:val="20"/>
              </w:rPr>
              <w:t>Representante a la Cámara</w:t>
            </w:r>
          </w:p>
          <w:p w14:paraId="77BE1892" w14:textId="55D1EAFA" w:rsidR="005F3882" w:rsidRPr="00011ACE" w:rsidRDefault="005F3882" w:rsidP="005F3882">
            <w:pPr>
              <w:pStyle w:val="NormalWeb"/>
              <w:spacing w:before="0" w:beforeAutospacing="0" w:after="0" w:afterAutospacing="0"/>
              <w:jc w:val="center"/>
              <w:rPr>
                <w:rFonts w:ascii="Bookman Old Style" w:hAnsi="Bookman Old Style" w:cs="Arial"/>
                <w:color w:val="000000"/>
                <w:sz w:val="20"/>
                <w:szCs w:val="20"/>
              </w:rPr>
            </w:pPr>
            <w:r w:rsidRPr="00011ACE">
              <w:rPr>
                <w:rFonts w:ascii="Bookman Old Style" w:hAnsi="Bookman Old Style" w:cs="Arial"/>
                <w:color w:val="000000"/>
                <w:sz w:val="20"/>
                <w:szCs w:val="20"/>
              </w:rPr>
              <w:t>Partido Liberal Colombiano</w:t>
            </w:r>
          </w:p>
        </w:tc>
        <w:tc>
          <w:tcPr>
            <w:tcW w:w="4348" w:type="dxa"/>
          </w:tcPr>
          <w:p w14:paraId="075A8F88" w14:textId="77777777" w:rsidR="00485B08" w:rsidRPr="00011ACE" w:rsidRDefault="00485B08" w:rsidP="005F3882">
            <w:pPr>
              <w:jc w:val="center"/>
              <w:rPr>
                <w:rFonts w:ascii="Bookman Old Style" w:hAnsi="Bookman Old Style" w:cs="Arial"/>
                <w:b/>
                <w:bCs/>
                <w:noProof/>
                <w:color w:val="000000"/>
                <w:sz w:val="20"/>
                <w:szCs w:val="20"/>
                <w:bdr w:val="none" w:sz="0" w:space="0" w:color="auto" w:frame="1"/>
              </w:rPr>
            </w:pPr>
          </w:p>
          <w:p w14:paraId="76E54738" w14:textId="7D5A2C18" w:rsidR="0013321A" w:rsidRPr="00011ACE" w:rsidRDefault="005F3882" w:rsidP="005F3882">
            <w:pPr>
              <w:jc w:val="center"/>
              <w:rPr>
                <w:rFonts w:ascii="Bookman Old Style" w:hAnsi="Bookman Old Style" w:cs="Arial"/>
                <w:b/>
                <w:bCs/>
                <w:noProof/>
                <w:color w:val="000000"/>
                <w:sz w:val="20"/>
                <w:szCs w:val="20"/>
                <w:bdr w:val="none" w:sz="0" w:space="0" w:color="auto" w:frame="1"/>
              </w:rPr>
            </w:pPr>
            <w:r w:rsidRPr="00011ACE">
              <w:rPr>
                <w:rFonts w:ascii="Bookman Old Style" w:hAnsi="Bookman Old Style" w:cs="Arial"/>
                <w:b/>
                <w:bCs/>
                <w:noProof/>
                <w:color w:val="000000"/>
                <w:sz w:val="20"/>
                <w:szCs w:val="20"/>
                <w:bdr w:val="none" w:sz="0" w:space="0" w:color="auto" w:frame="1"/>
              </w:rPr>
              <w:t>ANDRÉS DAVID CALLE AGUAS</w:t>
            </w:r>
          </w:p>
          <w:p w14:paraId="0CE93493" w14:textId="77777777" w:rsidR="005F3882" w:rsidRPr="00011ACE" w:rsidRDefault="005F3882" w:rsidP="005F3882">
            <w:pPr>
              <w:jc w:val="center"/>
              <w:rPr>
                <w:rFonts w:ascii="Bookman Old Style" w:hAnsi="Bookman Old Style" w:cs="Arial"/>
                <w:noProof/>
                <w:color w:val="000000"/>
                <w:sz w:val="20"/>
                <w:szCs w:val="20"/>
                <w:bdr w:val="none" w:sz="0" w:space="0" w:color="auto" w:frame="1"/>
              </w:rPr>
            </w:pPr>
            <w:r w:rsidRPr="00011ACE">
              <w:rPr>
                <w:rFonts w:ascii="Bookman Old Style" w:hAnsi="Bookman Old Style" w:cs="Arial"/>
                <w:noProof/>
                <w:color w:val="000000"/>
                <w:sz w:val="20"/>
                <w:szCs w:val="20"/>
                <w:bdr w:val="none" w:sz="0" w:space="0" w:color="auto" w:frame="1"/>
              </w:rPr>
              <w:t>Representante a la Cámara</w:t>
            </w:r>
          </w:p>
          <w:p w14:paraId="52C1883B" w14:textId="2D8A060B" w:rsidR="005F3882" w:rsidRPr="00011ACE" w:rsidRDefault="005F3882" w:rsidP="005F3882">
            <w:pPr>
              <w:jc w:val="center"/>
              <w:rPr>
                <w:rFonts w:ascii="Bookman Old Style" w:hAnsi="Bookman Old Style" w:cs="Arial"/>
                <w:noProof/>
                <w:color w:val="000000"/>
                <w:sz w:val="20"/>
                <w:szCs w:val="20"/>
                <w:bdr w:val="none" w:sz="0" w:space="0" w:color="auto" w:frame="1"/>
              </w:rPr>
            </w:pPr>
            <w:r w:rsidRPr="00011ACE">
              <w:rPr>
                <w:rFonts w:ascii="Bookman Old Style" w:hAnsi="Bookman Old Style" w:cs="Arial"/>
                <w:noProof/>
                <w:color w:val="000000"/>
                <w:sz w:val="20"/>
                <w:szCs w:val="20"/>
                <w:bdr w:val="none" w:sz="0" w:space="0" w:color="auto" w:frame="1"/>
              </w:rPr>
              <w:t>Partido Liberal Colombiano</w:t>
            </w:r>
          </w:p>
        </w:tc>
      </w:tr>
      <w:tr w:rsidR="005F3882" w:rsidRPr="00011ACE" w14:paraId="1471B087" w14:textId="77777777" w:rsidTr="00B700C8">
        <w:trPr>
          <w:jc w:val="center"/>
        </w:trPr>
        <w:tc>
          <w:tcPr>
            <w:tcW w:w="4390" w:type="dxa"/>
          </w:tcPr>
          <w:p w14:paraId="302ECDEA" w14:textId="77777777" w:rsidR="00485B08" w:rsidRPr="00011ACE" w:rsidRDefault="00485B08" w:rsidP="005F3882">
            <w:pPr>
              <w:pStyle w:val="NormalWeb"/>
              <w:spacing w:before="0" w:beforeAutospacing="0" w:after="0" w:afterAutospacing="0"/>
              <w:jc w:val="center"/>
              <w:rPr>
                <w:rFonts w:ascii="Bookman Old Style" w:hAnsi="Bookman Old Style" w:cs="Arial"/>
                <w:b/>
                <w:bCs/>
                <w:color w:val="000000"/>
                <w:sz w:val="20"/>
                <w:szCs w:val="20"/>
              </w:rPr>
            </w:pPr>
          </w:p>
          <w:p w14:paraId="3EB77CE4" w14:textId="3840FCCB" w:rsidR="005F3882" w:rsidRPr="00011ACE" w:rsidRDefault="005F3882" w:rsidP="005F3882">
            <w:pPr>
              <w:pStyle w:val="NormalWeb"/>
              <w:spacing w:before="0" w:beforeAutospacing="0" w:after="0" w:afterAutospacing="0"/>
              <w:jc w:val="center"/>
              <w:rPr>
                <w:rFonts w:ascii="Bookman Old Style" w:hAnsi="Bookman Old Style" w:cs="Arial"/>
                <w:b/>
                <w:bCs/>
                <w:color w:val="000000"/>
                <w:sz w:val="20"/>
                <w:szCs w:val="20"/>
              </w:rPr>
            </w:pPr>
            <w:r w:rsidRPr="00011ACE">
              <w:rPr>
                <w:rFonts w:ascii="Bookman Old Style" w:hAnsi="Bookman Old Style" w:cs="Arial"/>
                <w:b/>
                <w:bCs/>
                <w:color w:val="000000"/>
                <w:sz w:val="20"/>
                <w:szCs w:val="20"/>
              </w:rPr>
              <w:t>JULIÁN PEINADO RAMÍREZ</w:t>
            </w:r>
          </w:p>
          <w:p w14:paraId="66B16C3E" w14:textId="77777777" w:rsidR="005F3882" w:rsidRPr="00011ACE" w:rsidRDefault="005F3882" w:rsidP="005F3882">
            <w:pPr>
              <w:pStyle w:val="NormalWeb"/>
              <w:spacing w:before="0" w:beforeAutospacing="0" w:after="0" w:afterAutospacing="0"/>
              <w:jc w:val="center"/>
              <w:rPr>
                <w:rFonts w:ascii="Bookman Old Style" w:hAnsi="Bookman Old Style" w:cs="Arial"/>
                <w:color w:val="000000"/>
                <w:sz w:val="20"/>
                <w:szCs w:val="20"/>
              </w:rPr>
            </w:pPr>
            <w:r w:rsidRPr="00011ACE">
              <w:rPr>
                <w:rFonts w:ascii="Bookman Old Style" w:hAnsi="Bookman Old Style" w:cs="Arial"/>
                <w:color w:val="000000"/>
                <w:sz w:val="20"/>
                <w:szCs w:val="20"/>
              </w:rPr>
              <w:t>Representante a la Cámara</w:t>
            </w:r>
          </w:p>
          <w:p w14:paraId="20D32759" w14:textId="0B6F38D1" w:rsidR="005F3882" w:rsidRPr="00011ACE" w:rsidRDefault="005F3882" w:rsidP="005F3882">
            <w:pPr>
              <w:pStyle w:val="NormalWeb"/>
              <w:spacing w:before="0" w:beforeAutospacing="0" w:after="0" w:afterAutospacing="0"/>
              <w:jc w:val="center"/>
              <w:rPr>
                <w:rFonts w:ascii="Bookman Old Style" w:hAnsi="Bookman Old Style" w:cs="Arial"/>
                <w:color w:val="000000"/>
                <w:sz w:val="20"/>
                <w:szCs w:val="20"/>
              </w:rPr>
            </w:pPr>
            <w:r w:rsidRPr="00011ACE">
              <w:rPr>
                <w:rFonts w:ascii="Bookman Old Style" w:hAnsi="Bookman Old Style" w:cs="Arial"/>
                <w:color w:val="000000"/>
                <w:sz w:val="20"/>
                <w:szCs w:val="20"/>
              </w:rPr>
              <w:t>Departamento de Antioquia</w:t>
            </w:r>
          </w:p>
        </w:tc>
        <w:tc>
          <w:tcPr>
            <w:tcW w:w="4348" w:type="dxa"/>
          </w:tcPr>
          <w:p w14:paraId="6CC29501" w14:textId="77777777" w:rsidR="00485B08" w:rsidRPr="00011ACE" w:rsidRDefault="00485B08" w:rsidP="005F3882">
            <w:pPr>
              <w:jc w:val="center"/>
              <w:rPr>
                <w:rFonts w:ascii="Bookman Old Style" w:hAnsi="Bookman Old Style" w:cs="Arial"/>
                <w:b/>
                <w:bCs/>
                <w:noProof/>
                <w:color w:val="000000"/>
                <w:sz w:val="20"/>
                <w:szCs w:val="20"/>
                <w:bdr w:val="none" w:sz="0" w:space="0" w:color="auto" w:frame="1"/>
              </w:rPr>
            </w:pPr>
          </w:p>
          <w:p w14:paraId="7959791A" w14:textId="0E9E5F81" w:rsidR="005F3882" w:rsidRPr="00011ACE" w:rsidRDefault="005F3882" w:rsidP="005F3882">
            <w:pPr>
              <w:jc w:val="center"/>
              <w:rPr>
                <w:rFonts w:ascii="Bookman Old Style" w:hAnsi="Bookman Old Style" w:cs="Arial"/>
                <w:b/>
                <w:bCs/>
                <w:noProof/>
                <w:color w:val="000000"/>
                <w:sz w:val="20"/>
                <w:szCs w:val="20"/>
                <w:bdr w:val="none" w:sz="0" w:space="0" w:color="auto" w:frame="1"/>
              </w:rPr>
            </w:pPr>
            <w:r w:rsidRPr="00011ACE">
              <w:rPr>
                <w:rFonts w:ascii="Bookman Old Style" w:hAnsi="Bookman Old Style" w:cs="Arial"/>
                <w:b/>
                <w:bCs/>
                <w:noProof/>
                <w:color w:val="000000"/>
                <w:sz w:val="20"/>
                <w:szCs w:val="20"/>
                <w:bdr w:val="none" w:sz="0" w:space="0" w:color="auto" w:frame="1"/>
              </w:rPr>
              <w:t>ELIZABETH JAY-PANG DÍAZ</w:t>
            </w:r>
          </w:p>
          <w:p w14:paraId="6FD23E59" w14:textId="77777777" w:rsidR="005F3882" w:rsidRPr="00011ACE" w:rsidRDefault="005F3882" w:rsidP="005F3882">
            <w:pPr>
              <w:jc w:val="center"/>
              <w:rPr>
                <w:rFonts w:ascii="Bookman Old Style" w:hAnsi="Bookman Old Style" w:cs="Arial"/>
                <w:noProof/>
                <w:color w:val="000000"/>
                <w:sz w:val="20"/>
                <w:szCs w:val="20"/>
                <w:bdr w:val="none" w:sz="0" w:space="0" w:color="auto" w:frame="1"/>
              </w:rPr>
            </w:pPr>
            <w:r w:rsidRPr="00011ACE">
              <w:rPr>
                <w:rFonts w:ascii="Bookman Old Style" w:hAnsi="Bookman Old Style" w:cs="Arial"/>
                <w:noProof/>
                <w:color w:val="000000"/>
                <w:sz w:val="20"/>
                <w:szCs w:val="20"/>
                <w:bdr w:val="none" w:sz="0" w:space="0" w:color="auto" w:frame="1"/>
              </w:rPr>
              <w:t>Representante a la Cámara</w:t>
            </w:r>
          </w:p>
          <w:p w14:paraId="5F993ACD" w14:textId="29772B20" w:rsidR="005F3882" w:rsidRPr="00011ACE" w:rsidRDefault="005F3882" w:rsidP="005F3882">
            <w:pPr>
              <w:jc w:val="center"/>
              <w:rPr>
                <w:rFonts w:ascii="Bookman Old Style" w:hAnsi="Bookman Old Style" w:cs="Arial"/>
                <w:noProof/>
                <w:color w:val="000000"/>
                <w:sz w:val="20"/>
                <w:szCs w:val="20"/>
                <w:bdr w:val="none" w:sz="0" w:space="0" w:color="auto" w:frame="1"/>
              </w:rPr>
            </w:pPr>
            <w:r w:rsidRPr="00011ACE">
              <w:rPr>
                <w:rFonts w:ascii="Bookman Old Style" w:hAnsi="Bookman Old Style" w:cs="Arial"/>
                <w:noProof/>
                <w:color w:val="000000"/>
                <w:sz w:val="20"/>
                <w:szCs w:val="20"/>
                <w:bdr w:val="none" w:sz="0" w:space="0" w:color="auto" w:frame="1"/>
              </w:rPr>
              <w:t>Departamento de Archipielgalo San Andrés, Providencia y Santa Catalina</w:t>
            </w:r>
          </w:p>
        </w:tc>
      </w:tr>
      <w:tr w:rsidR="005F3882" w:rsidRPr="00011ACE" w14:paraId="4C4B0237" w14:textId="77777777" w:rsidTr="00B700C8">
        <w:trPr>
          <w:jc w:val="center"/>
        </w:trPr>
        <w:tc>
          <w:tcPr>
            <w:tcW w:w="4390" w:type="dxa"/>
          </w:tcPr>
          <w:p w14:paraId="15D78B28" w14:textId="77777777" w:rsidR="00485B08" w:rsidRPr="00011ACE" w:rsidRDefault="00485B08" w:rsidP="005F3882">
            <w:pPr>
              <w:pStyle w:val="NormalWeb"/>
              <w:spacing w:before="0" w:beforeAutospacing="0" w:after="0" w:afterAutospacing="0"/>
              <w:jc w:val="center"/>
              <w:rPr>
                <w:rFonts w:ascii="Bookman Old Style" w:hAnsi="Bookman Old Style" w:cs="Arial"/>
                <w:b/>
                <w:bCs/>
                <w:color w:val="000000"/>
                <w:sz w:val="20"/>
                <w:szCs w:val="20"/>
              </w:rPr>
            </w:pPr>
          </w:p>
          <w:p w14:paraId="36AE5C34" w14:textId="7FDB2997" w:rsidR="005F3882" w:rsidRPr="00011ACE" w:rsidRDefault="005F3882" w:rsidP="005F3882">
            <w:pPr>
              <w:pStyle w:val="NormalWeb"/>
              <w:spacing w:before="0" w:beforeAutospacing="0" w:after="0" w:afterAutospacing="0"/>
              <w:jc w:val="center"/>
              <w:rPr>
                <w:rFonts w:ascii="Bookman Old Style" w:hAnsi="Bookman Old Style" w:cs="Arial"/>
                <w:b/>
                <w:bCs/>
                <w:color w:val="000000"/>
                <w:sz w:val="20"/>
                <w:szCs w:val="20"/>
              </w:rPr>
            </w:pPr>
            <w:r w:rsidRPr="00011ACE">
              <w:rPr>
                <w:rFonts w:ascii="Bookman Old Style" w:hAnsi="Bookman Old Style" w:cs="Arial"/>
                <w:b/>
                <w:bCs/>
                <w:color w:val="000000"/>
                <w:sz w:val="20"/>
                <w:szCs w:val="20"/>
              </w:rPr>
              <w:t>INTI RAÚL ASPRILLA REYES</w:t>
            </w:r>
          </w:p>
          <w:p w14:paraId="688DEDA7" w14:textId="6B683D56" w:rsidR="005F3882" w:rsidRPr="00011ACE" w:rsidRDefault="005F3882" w:rsidP="005F3882">
            <w:pPr>
              <w:pStyle w:val="NormalWeb"/>
              <w:spacing w:before="0" w:beforeAutospacing="0" w:after="0" w:afterAutospacing="0"/>
              <w:jc w:val="center"/>
              <w:rPr>
                <w:rFonts w:ascii="Bookman Old Style" w:hAnsi="Bookman Old Style" w:cs="Arial"/>
                <w:color w:val="000000"/>
                <w:sz w:val="20"/>
                <w:szCs w:val="20"/>
              </w:rPr>
            </w:pPr>
            <w:r w:rsidRPr="00011ACE">
              <w:rPr>
                <w:rFonts w:ascii="Bookman Old Style" w:hAnsi="Bookman Old Style" w:cs="Arial"/>
                <w:color w:val="000000"/>
                <w:sz w:val="20"/>
                <w:szCs w:val="20"/>
              </w:rPr>
              <w:t>Representante a la Cámara por Bogotá</w:t>
            </w:r>
          </w:p>
        </w:tc>
        <w:tc>
          <w:tcPr>
            <w:tcW w:w="4348" w:type="dxa"/>
          </w:tcPr>
          <w:p w14:paraId="34EDE217" w14:textId="77777777" w:rsidR="00485B08" w:rsidRPr="00011ACE" w:rsidRDefault="00485B08" w:rsidP="005F3882">
            <w:pPr>
              <w:jc w:val="center"/>
              <w:rPr>
                <w:rFonts w:ascii="Bookman Old Style" w:hAnsi="Bookman Old Style" w:cs="Arial"/>
                <w:b/>
                <w:bCs/>
                <w:noProof/>
                <w:color w:val="000000"/>
                <w:sz w:val="20"/>
                <w:szCs w:val="20"/>
                <w:bdr w:val="none" w:sz="0" w:space="0" w:color="auto" w:frame="1"/>
              </w:rPr>
            </w:pPr>
          </w:p>
          <w:p w14:paraId="0D93AA09" w14:textId="09023668" w:rsidR="005F3882" w:rsidRPr="00011ACE" w:rsidRDefault="005F3882" w:rsidP="005F3882">
            <w:pPr>
              <w:jc w:val="center"/>
              <w:rPr>
                <w:rFonts w:ascii="Bookman Old Style" w:hAnsi="Bookman Old Style" w:cs="Arial"/>
                <w:b/>
                <w:bCs/>
                <w:noProof/>
                <w:color w:val="000000"/>
                <w:sz w:val="20"/>
                <w:szCs w:val="20"/>
                <w:bdr w:val="none" w:sz="0" w:space="0" w:color="auto" w:frame="1"/>
              </w:rPr>
            </w:pPr>
            <w:r w:rsidRPr="00011ACE">
              <w:rPr>
                <w:rFonts w:ascii="Bookman Old Style" w:hAnsi="Bookman Old Style" w:cs="Arial"/>
                <w:b/>
                <w:bCs/>
                <w:noProof/>
                <w:color w:val="000000"/>
                <w:sz w:val="20"/>
                <w:szCs w:val="20"/>
                <w:bdr w:val="none" w:sz="0" w:space="0" w:color="auto" w:frame="1"/>
              </w:rPr>
              <w:t>JAIRO REINALDO CALA SUÁREZ</w:t>
            </w:r>
          </w:p>
          <w:p w14:paraId="6522DB8C" w14:textId="77777777" w:rsidR="005F3882" w:rsidRPr="00011ACE" w:rsidRDefault="005F3882" w:rsidP="005F3882">
            <w:pPr>
              <w:jc w:val="center"/>
              <w:rPr>
                <w:rFonts w:ascii="Bookman Old Style" w:hAnsi="Bookman Old Style" w:cs="Arial"/>
                <w:noProof/>
                <w:color w:val="000000"/>
                <w:sz w:val="20"/>
                <w:szCs w:val="20"/>
                <w:bdr w:val="none" w:sz="0" w:space="0" w:color="auto" w:frame="1"/>
              </w:rPr>
            </w:pPr>
            <w:r w:rsidRPr="00011ACE">
              <w:rPr>
                <w:rFonts w:ascii="Bookman Old Style" w:hAnsi="Bookman Old Style" w:cs="Arial"/>
                <w:noProof/>
                <w:color w:val="000000"/>
                <w:sz w:val="20"/>
                <w:szCs w:val="20"/>
                <w:bdr w:val="none" w:sz="0" w:space="0" w:color="auto" w:frame="1"/>
              </w:rPr>
              <w:t>Representante a la Cámara</w:t>
            </w:r>
          </w:p>
          <w:p w14:paraId="27E30BDE" w14:textId="260F5185" w:rsidR="005F3882" w:rsidRPr="00011ACE" w:rsidRDefault="005F3882" w:rsidP="005F3882">
            <w:pPr>
              <w:jc w:val="center"/>
              <w:rPr>
                <w:rFonts w:ascii="Bookman Old Style" w:hAnsi="Bookman Old Style" w:cs="Arial"/>
                <w:noProof/>
                <w:color w:val="000000"/>
                <w:sz w:val="20"/>
                <w:szCs w:val="20"/>
                <w:bdr w:val="none" w:sz="0" w:space="0" w:color="auto" w:frame="1"/>
              </w:rPr>
            </w:pPr>
            <w:r w:rsidRPr="00011ACE">
              <w:rPr>
                <w:rFonts w:ascii="Bookman Old Style" w:hAnsi="Bookman Old Style" w:cs="Arial"/>
                <w:noProof/>
                <w:color w:val="000000"/>
                <w:sz w:val="20"/>
                <w:szCs w:val="20"/>
                <w:bdr w:val="none" w:sz="0" w:space="0" w:color="auto" w:frame="1"/>
              </w:rPr>
              <w:t>Partido Comunes</w:t>
            </w:r>
          </w:p>
        </w:tc>
      </w:tr>
      <w:tr w:rsidR="005F3882" w:rsidRPr="00011ACE" w14:paraId="6D6355AC" w14:textId="77777777" w:rsidTr="00B700C8">
        <w:trPr>
          <w:jc w:val="center"/>
        </w:trPr>
        <w:tc>
          <w:tcPr>
            <w:tcW w:w="4390" w:type="dxa"/>
          </w:tcPr>
          <w:p w14:paraId="239E4F3E" w14:textId="77777777" w:rsidR="00485B08" w:rsidRPr="00011ACE" w:rsidRDefault="00485B08" w:rsidP="005F3882">
            <w:pPr>
              <w:pStyle w:val="NormalWeb"/>
              <w:spacing w:before="0" w:beforeAutospacing="0" w:after="0" w:afterAutospacing="0"/>
              <w:jc w:val="center"/>
              <w:rPr>
                <w:rFonts w:ascii="Bookman Old Style" w:hAnsi="Bookman Old Style" w:cs="Arial"/>
                <w:b/>
                <w:bCs/>
                <w:color w:val="000000"/>
                <w:sz w:val="20"/>
                <w:szCs w:val="20"/>
              </w:rPr>
            </w:pPr>
          </w:p>
          <w:p w14:paraId="3385B797" w14:textId="25074993" w:rsidR="005F3882" w:rsidRPr="00011ACE" w:rsidRDefault="005F3882" w:rsidP="005F3882">
            <w:pPr>
              <w:pStyle w:val="NormalWeb"/>
              <w:spacing w:before="0" w:beforeAutospacing="0" w:after="0" w:afterAutospacing="0"/>
              <w:jc w:val="center"/>
              <w:rPr>
                <w:rFonts w:ascii="Bookman Old Style" w:hAnsi="Bookman Old Style" w:cs="Arial"/>
                <w:b/>
                <w:bCs/>
                <w:color w:val="000000"/>
                <w:sz w:val="20"/>
                <w:szCs w:val="20"/>
              </w:rPr>
            </w:pPr>
            <w:r w:rsidRPr="00011ACE">
              <w:rPr>
                <w:rFonts w:ascii="Bookman Old Style" w:hAnsi="Bookman Old Style" w:cs="Arial"/>
                <w:b/>
                <w:bCs/>
                <w:color w:val="000000"/>
                <w:sz w:val="20"/>
                <w:szCs w:val="20"/>
              </w:rPr>
              <w:t>ALEJANDRO VEGA PÉREZ</w:t>
            </w:r>
          </w:p>
          <w:p w14:paraId="5E32BE86" w14:textId="77777777" w:rsidR="005F3882" w:rsidRPr="00011ACE" w:rsidRDefault="005F3882" w:rsidP="005F3882">
            <w:pPr>
              <w:pStyle w:val="NormalWeb"/>
              <w:spacing w:before="0" w:beforeAutospacing="0" w:after="0" w:afterAutospacing="0"/>
              <w:jc w:val="center"/>
              <w:rPr>
                <w:rFonts w:ascii="Bookman Old Style" w:hAnsi="Bookman Old Style" w:cs="Arial"/>
                <w:color w:val="000000"/>
                <w:sz w:val="20"/>
                <w:szCs w:val="20"/>
              </w:rPr>
            </w:pPr>
            <w:r w:rsidRPr="00011ACE">
              <w:rPr>
                <w:rFonts w:ascii="Bookman Old Style" w:hAnsi="Bookman Old Style" w:cs="Arial"/>
                <w:color w:val="000000"/>
                <w:sz w:val="20"/>
                <w:szCs w:val="20"/>
              </w:rPr>
              <w:t>Representante a la Cámara</w:t>
            </w:r>
          </w:p>
          <w:p w14:paraId="7C336D4E" w14:textId="2F0CF5F8" w:rsidR="005F3882" w:rsidRPr="00011ACE" w:rsidRDefault="005F3882" w:rsidP="005F3882">
            <w:pPr>
              <w:pStyle w:val="NormalWeb"/>
              <w:spacing w:before="0" w:beforeAutospacing="0" w:after="0" w:afterAutospacing="0"/>
              <w:jc w:val="center"/>
              <w:rPr>
                <w:rFonts w:ascii="Bookman Old Style" w:hAnsi="Bookman Old Style" w:cs="Arial"/>
                <w:color w:val="000000"/>
                <w:sz w:val="20"/>
                <w:szCs w:val="20"/>
              </w:rPr>
            </w:pPr>
            <w:r w:rsidRPr="00011ACE">
              <w:rPr>
                <w:rFonts w:ascii="Bookman Old Style" w:hAnsi="Bookman Old Style" w:cs="Arial"/>
                <w:color w:val="000000"/>
                <w:sz w:val="20"/>
                <w:szCs w:val="20"/>
              </w:rPr>
              <w:t>Partido Liberal Colombiano</w:t>
            </w:r>
          </w:p>
        </w:tc>
        <w:tc>
          <w:tcPr>
            <w:tcW w:w="4348" w:type="dxa"/>
          </w:tcPr>
          <w:p w14:paraId="139AC800" w14:textId="77777777" w:rsidR="00485B08" w:rsidRPr="00011ACE" w:rsidRDefault="00485B08" w:rsidP="00485B08">
            <w:pPr>
              <w:jc w:val="center"/>
              <w:rPr>
                <w:rFonts w:ascii="Bookman Old Style" w:hAnsi="Bookman Old Style" w:cs="Arial"/>
                <w:b/>
                <w:bCs/>
                <w:noProof/>
                <w:color w:val="000000"/>
                <w:sz w:val="20"/>
                <w:szCs w:val="20"/>
                <w:bdr w:val="none" w:sz="0" w:space="0" w:color="auto" w:frame="1"/>
              </w:rPr>
            </w:pPr>
          </w:p>
          <w:p w14:paraId="200F02C1" w14:textId="33A6731C" w:rsidR="005F3882" w:rsidRPr="00011ACE" w:rsidRDefault="005F3882" w:rsidP="00485B08">
            <w:pPr>
              <w:jc w:val="center"/>
              <w:rPr>
                <w:rFonts w:ascii="Bookman Old Style" w:hAnsi="Bookman Old Style" w:cs="Arial"/>
                <w:b/>
                <w:bCs/>
                <w:noProof/>
                <w:color w:val="000000"/>
                <w:sz w:val="20"/>
                <w:szCs w:val="20"/>
                <w:bdr w:val="none" w:sz="0" w:space="0" w:color="auto" w:frame="1"/>
              </w:rPr>
            </w:pPr>
            <w:r w:rsidRPr="00011ACE">
              <w:rPr>
                <w:rFonts w:ascii="Bookman Old Style" w:hAnsi="Bookman Old Style" w:cs="Arial"/>
                <w:b/>
                <w:bCs/>
                <w:noProof/>
                <w:color w:val="000000"/>
                <w:sz w:val="20"/>
                <w:szCs w:val="20"/>
                <w:bdr w:val="none" w:sz="0" w:space="0" w:color="auto" w:frame="1"/>
              </w:rPr>
              <w:t>LUIS ALBERTO ALBAN URBANO</w:t>
            </w:r>
          </w:p>
          <w:p w14:paraId="7472A028" w14:textId="77777777" w:rsidR="005F3882" w:rsidRPr="00011ACE" w:rsidRDefault="005F3882" w:rsidP="005F3882">
            <w:pPr>
              <w:jc w:val="center"/>
              <w:rPr>
                <w:rFonts w:ascii="Bookman Old Style" w:hAnsi="Bookman Old Style" w:cs="Arial"/>
                <w:noProof/>
                <w:color w:val="000000"/>
                <w:sz w:val="20"/>
                <w:szCs w:val="20"/>
                <w:bdr w:val="none" w:sz="0" w:space="0" w:color="auto" w:frame="1"/>
              </w:rPr>
            </w:pPr>
            <w:r w:rsidRPr="00011ACE">
              <w:rPr>
                <w:rFonts w:ascii="Bookman Old Style" w:hAnsi="Bookman Old Style" w:cs="Arial"/>
                <w:noProof/>
                <w:color w:val="000000"/>
                <w:sz w:val="20"/>
                <w:szCs w:val="20"/>
                <w:bdr w:val="none" w:sz="0" w:space="0" w:color="auto" w:frame="1"/>
              </w:rPr>
              <w:t>Representante a la Cámara</w:t>
            </w:r>
          </w:p>
          <w:p w14:paraId="5BF5524E" w14:textId="1BA5E842" w:rsidR="005F3882" w:rsidRPr="00011ACE" w:rsidRDefault="005F3882" w:rsidP="005F3882">
            <w:pPr>
              <w:jc w:val="center"/>
              <w:rPr>
                <w:rFonts w:ascii="Bookman Old Style" w:hAnsi="Bookman Old Style" w:cs="Arial"/>
                <w:noProof/>
                <w:color w:val="000000"/>
                <w:sz w:val="20"/>
                <w:szCs w:val="20"/>
                <w:bdr w:val="none" w:sz="0" w:space="0" w:color="auto" w:frame="1"/>
              </w:rPr>
            </w:pPr>
            <w:r w:rsidRPr="00011ACE">
              <w:rPr>
                <w:rFonts w:ascii="Bookman Old Style" w:hAnsi="Bookman Old Style" w:cs="Arial"/>
                <w:noProof/>
                <w:color w:val="000000"/>
                <w:sz w:val="20"/>
                <w:szCs w:val="20"/>
                <w:bdr w:val="none" w:sz="0" w:space="0" w:color="auto" w:frame="1"/>
              </w:rPr>
              <w:t>Partido Comunes</w:t>
            </w:r>
          </w:p>
        </w:tc>
      </w:tr>
      <w:tr w:rsidR="005F3882" w:rsidRPr="00011ACE" w14:paraId="51F40C46" w14:textId="77777777" w:rsidTr="00B700C8">
        <w:trPr>
          <w:jc w:val="center"/>
        </w:trPr>
        <w:tc>
          <w:tcPr>
            <w:tcW w:w="4390" w:type="dxa"/>
          </w:tcPr>
          <w:p w14:paraId="35B4DF74" w14:textId="77777777" w:rsidR="00485B08" w:rsidRPr="00011ACE" w:rsidRDefault="00485B08" w:rsidP="005F3882">
            <w:pPr>
              <w:pStyle w:val="NormalWeb"/>
              <w:spacing w:before="0" w:beforeAutospacing="0" w:after="0" w:afterAutospacing="0"/>
              <w:jc w:val="center"/>
              <w:rPr>
                <w:rFonts w:ascii="Bookman Old Style" w:hAnsi="Bookman Old Style" w:cs="Arial"/>
                <w:b/>
                <w:bCs/>
                <w:color w:val="000000"/>
                <w:sz w:val="20"/>
                <w:szCs w:val="20"/>
              </w:rPr>
            </w:pPr>
          </w:p>
          <w:p w14:paraId="0AFBC97D" w14:textId="33F76A46" w:rsidR="005F3882" w:rsidRPr="00011ACE" w:rsidRDefault="009264F9" w:rsidP="005F3882">
            <w:pPr>
              <w:pStyle w:val="NormalWeb"/>
              <w:spacing w:before="0" w:beforeAutospacing="0" w:after="0" w:afterAutospacing="0"/>
              <w:jc w:val="center"/>
              <w:rPr>
                <w:rFonts w:ascii="Bookman Old Style" w:hAnsi="Bookman Old Style" w:cs="Arial"/>
                <w:b/>
                <w:bCs/>
                <w:color w:val="000000"/>
                <w:sz w:val="20"/>
                <w:szCs w:val="20"/>
              </w:rPr>
            </w:pPr>
            <w:r w:rsidRPr="00011ACE">
              <w:rPr>
                <w:rFonts w:ascii="Bookman Old Style" w:hAnsi="Bookman Old Style" w:cs="Arial"/>
                <w:b/>
                <w:bCs/>
                <w:color w:val="000000"/>
                <w:sz w:val="20"/>
                <w:szCs w:val="20"/>
              </w:rPr>
              <w:t>GABRIEL SANTOS GARCÍA</w:t>
            </w:r>
          </w:p>
          <w:p w14:paraId="16DA9170" w14:textId="172C3F0A" w:rsidR="009264F9" w:rsidRPr="00011ACE" w:rsidRDefault="009264F9" w:rsidP="005F3882">
            <w:pPr>
              <w:pStyle w:val="NormalWeb"/>
              <w:spacing w:before="0" w:beforeAutospacing="0" w:after="0" w:afterAutospacing="0"/>
              <w:jc w:val="center"/>
              <w:rPr>
                <w:rFonts w:ascii="Bookman Old Style" w:hAnsi="Bookman Old Style" w:cs="Arial"/>
                <w:color w:val="000000"/>
                <w:sz w:val="20"/>
                <w:szCs w:val="20"/>
              </w:rPr>
            </w:pPr>
            <w:r w:rsidRPr="00011ACE">
              <w:rPr>
                <w:rFonts w:ascii="Bookman Old Style" w:hAnsi="Bookman Old Style" w:cs="Arial"/>
                <w:color w:val="000000"/>
                <w:sz w:val="20"/>
                <w:szCs w:val="20"/>
              </w:rPr>
              <w:t>Representante a la Cámara</w:t>
            </w:r>
          </w:p>
        </w:tc>
        <w:tc>
          <w:tcPr>
            <w:tcW w:w="4348" w:type="dxa"/>
          </w:tcPr>
          <w:p w14:paraId="02673512" w14:textId="77777777" w:rsidR="00485B08" w:rsidRPr="00011ACE" w:rsidRDefault="00485B08" w:rsidP="005F3882">
            <w:pPr>
              <w:jc w:val="center"/>
              <w:rPr>
                <w:rFonts w:ascii="Bookman Old Style" w:hAnsi="Bookman Old Style" w:cs="Arial"/>
                <w:b/>
                <w:bCs/>
                <w:noProof/>
                <w:color w:val="000000"/>
                <w:sz w:val="20"/>
                <w:szCs w:val="20"/>
                <w:bdr w:val="none" w:sz="0" w:space="0" w:color="auto" w:frame="1"/>
              </w:rPr>
            </w:pPr>
          </w:p>
          <w:p w14:paraId="24A4029E" w14:textId="76ED2311" w:rsidR="005F3882" w:rsidRPr="00011ACE" w:rsidRDefault="009264F9" w:rsidP="005F3882">
            <w:pPr>
              <w:jc w:val="center"/>
              <w:rPr>
                <w:rFonts w:ascii="Bookman Old Style" w:hAnsi="Bookman Old Style" w:cs="Arial"/>
                <w:b/>
                <w:bCs/>
                <w:noProof/>
                <w:color w:val="000000"/>
                <w:sz w:val="20"/>
                <w:szCs w:val="20"/>
                <w:bdr w:val="none" w:sz="0" w:space="0" w:color="auto" w:frame="1"/>
              </w:rPr>
            </w:pPr>
            <w:r w:rsidRPr="00011ACE">
              <w:rPr>
                <w:rFonts w:ascii="Bookman Old Style" w:hAnsi="Bookman Old Style" w:cs="Arial"/>
                <w:b/>
                <w:bCs/>
                <w:noProof/>
                <w:color w:val="000000"/>
                <w:sz w:val="20"/>
                <w:szCs w:val="20"/>
                <w:bdr w:val="none" w:sz="0" w:space="0" w:color="auto" w:frame="1"/>
              </w:rPr>
              <w:t>ALFREDO RAFAEL DELUQUE</w:t>
            </w:r>
          </w:p>
          <w:p w14:paraId="5A0A232B" w14:textId="4C107334" w:rsidR="009264F9" w:rsidRPr="00011ACE" w:rsidRDefault="009264F9" w:rsidP="005F3882">
            <w:pPr>
              <w:jc w:val="center"/>
              <w:rPr>
                <w:rFonts w:ascii="Bookman Old Style" w:hAnsi="Bookman Old Style" w:cs="Arial"/>
                <w:noProof/>
                <w:color w:val="000000"/>
                <w:sz w:val="20"/>
                <w:szCs w:val="20"/>
                <w:bdr w:val="none" w:sz="0" w:space="0" w:color="auto" w:frame="1"/>
              </w:rPr>
            </w:pPr>
            <w:r w:rsidRPr="00011ACE">
              <w:rPr>
                <w:rFonts w:ascii="Bookman Old Style" w:hAnsi="Bookman Old Style" w:cs="Arial"/>
                <w:noProof/>
                <w:color w:val="000000"/>
                <w:sz w:val="20"/>
                <w:szCs w:val="20"/>
                <w:bdr w:val="none" w:sz="0" w:space="0" w:color="auto" w:frame="1"/>
              </w:rPr>
              <w:t>Representante a la Cámara</w:t>
            </w:r>
          </w:p>
        </w:tc>
      </w:tr>
      <w:tr w:rsidR="005F3882" w:rsidRPr="00011ACE" w14:paraId="512C8277" w14:textId="77777777" w:rsidTr="00B700C8">
        <w:trPr>
          <w:jc w:val="center"/>
        </w:trPr>
        <w:tc>
          <w:tcPr>
            <w:tcW w:w="4390" w:type="dxa"/>
          </w:tcPr>
          <w:p w14:paraId="597D0FEB" w14:textId="77777777" w:rsidR="00485B08" w:rsidRPr="00011ACE" w:rsidRDefault="00485B08" w:rsidP="005F3882">
            <w:pPr>
              <w:pStyle w:val="NormalWeb"/>
              <w:spacing w:before="0" w:beforeAutospacing="0" w:after="0" w:afterAutospacing="0"/>
              <w:jc w:val="center"/>
              <w:rPr>
                <w:rFonts w:ascii="Bookman Old Style" w:hAnsi="Bookman Old Style" w:cs="Arial"/>
                <w:b/>
                <w:bCs/>
                <w:color w:val="000000"/>
                <w:sz w:val="20"/>
                <w:szCs w:val="20"/>
              </w:rPr>
            </w:pPr>
          </w:p>
          <w:p w14:paraId="34A70947" w14:textId="4C6BAA9C" w:rsidR="005F3882" w:rsidRPr="00011ACE" w:rsidRDefault="009264F9" w:rsidP="005F3882">
            <w:pPr>
              <w:pStyle w:val="NormalWeb"/>
              <w:spacing w:before="0" w:beforeAutospacing="0" w:after="0" w:afterAutospacing="0"/>
              <w:jc w:val="center"/>
              <w:rPr>
                <w:rFonts w:ascii="Bookman Old Style" w:hAnsi="Bookman Old Style" w:cs="Arial"/>
                <w:b/>
                <w:bCs/>
                <w:color w:val="000000"/>
                <w:sz w:val="20"/>
                <w:szCs w:val="20"/>
              </w:rPr>
            </w:pPr>
            <w:r w:rsidRPr="00011ACE">
              <w:rPr>
                <w:rFonts w:ascii="Bookman Old Style" w:hAnsi="Bookman Old Style" w:cs="Arial"/>
                <w:b/>
                <w:bCs/>
                <w:color w:val="000000"/>
                <w:sz w:val="20"/>
                <w:szCs w:val="20"/>
              </w:rPr>
              <w:t>ALEJANDRO CARLOS CHACÓN CAMARGO</w:t>
            </w:r>
          </w:p>
          <w:p w14:paraId="5722D06C" w14:textId="77777777" w:rsidR="009264F9" w:rsidRPr="00011ACE" w:rsidRDefault="009264F9" w:rsidP="005F3882">
            <w:pPr>
              <w:pStyle w:val="NormalWeb"/>
              <w:spacing w:before="0" w:beforeAutospacing="0" w:after="0" w:afterAutospacing="0"/>
              <w:jc w:val="center"/>
              <w:rPr>
                <w:rFonts w:ascii="Bookman Old Style" w:hAnsi="Bookman Old Style" w:cs="Arial"/>
                <w:color w:val="000000"/>
                <w:sz w:val="20"/>
                <w:szCs w:val="20"/>
              </w:rPr>
            </w:pPr>
            <w:r w:rsidRPr="00011ACE">
              <w:rPr>
                <w:rFonts w:ascii="Bookman Old Style" w:hAnsi="Bookman Old Style" w:cs="Arial"/>
                <w:color w:val="000000"/>
                <w:sz w:val="20"/>
                <w:szCs w:val="20"/>
              </w:rPr>
              <w:t>Representante a la Cámara por Norte de Santander</w:t>
            </w:r>
          </w:p>
          <w:p w14:paraId="1A87C99A" w14:textId="0F444624" w:rsidR="009264F9" w:rsidRPr="00011ACE" w:rsidRDefault="009264F9" w:rsidP="005F3882">
            <w:pPr>
              <w:pStyle w:val="NormalWeb"/>
              <w:spacing w:before="0" w:beforeAutospacing="0" w:after="0" w:afterAutospacing="0"/>
              <w:jc w:val="center"/>
              <w:rPr>
                <w:rFonts w:ascii="Bookman Old Style" w:hAnsi="Bookman Old Style" w:cs="Arial"/>
                <w:color w:val="000000"/>
                <w:sz w:val="20"/>
                <w:szCs w:val="20"/>
              </w:rPr>
            </w:pPr>
            <w:r w:rsidRPr="00011ACE">
              <w:rPr>
                <w:rFonts w:ascii="Bookman Old Style" w:hAnsi="Bookman Old Style" w:cs="Arial"/>
                <w:color w:val="000000"/>
                <w:sz w:val="20"/>
                <w:szCs w:val="20"/>
              </w:rPr>
              <w:t>Partido Liberal Colombiano</w:t>
            </w:r>
          </w:p>
        </w:tc>
        <w:tc>
          <w:tcPr>
            <w:tcW w:w="4348" w:type="dxa"/>
          </w:tcPr>
          <w:p w14:paraId="68D020B5" w14:textId="77777777" w:rsidR="00485B08" w:rsidRPr="00011ACE" w:rsidRDefault="00485B08" w:rsidP="005F3882">
            <w:pPr>
              <w:jc w:val="center"/>
              <w:rPr>
                <w:rFonts w:ascii="Bookman Old Style" w:hAnsi="Bookman Old Style" w:cs="Arial"/>
                <w:b/>
                <w:bCs/>
                <w:noProof/>
                <w:color w:val="000000"/>
                <w:sz w:val="20"/>
                <w:szCs w:val="20"/>
                <w:bdr w:val="none" w:sz="0" w:space="0" w:color="auto" w:frame="1"/>
              </w:rPr>
            </w:pPr>
          </w:p>
          <w:p w14:paraId="6A61D59A" w14:textId="2DD894C5" w:rsidR="005F3882" w:rsidRPr="00011ACE" w:rsidRDefault="009264F9" w:rsidP="005F3882">
            <w:pPr>
              <w:jc w:val="center"/>
              <w:rPr>
                <w:rFonts w:ascii="Bookman Old Style" w:hAnsi="Bookman Old Style" w:cs="Arial"/>
                <w:b/>
                <w:bCs/>
                <w:noProof/>
                <w:color w:val="000000"/>
                <w:sz w:val="20"/>
                <w:szCs w:val="20"/>
                <w:bdr w:val="none" w:sz="0" w:space="0" w:color="auto" w:frame="1"/>
              </w:rPr>
            </w:pPr>
            <w:r w:rsidRPr="00011ACE">
              <w:rPr>
                <w:rFonts w:ascii="Bookman Old Style" w:hAnsi="Bookman Old Style" w:cs="Arial"/>
                <w:b/>
                <w:bCs/>
                <w:noProof/>
                <w:color w:val="000000"/>
                <w:sz w:val="20"/>
                <w:szCs w:val="20"/>
                <w:bdr w:val="none" w:sz="0" w:space="0" w:color="auto" w:frame="1"/>
              </w:rPr>
              <w:t>JUAN LUIS CASTRO CORDOBA</w:t>
            </w:r>
          </w:p>
          <w:p w14:paraId="664DC932" w14:textId="465C92F2" w:rsidR="009264F9" w:rsidRPr="00011ACE" w:rsidRDefault="009264F9" w:rsidP="005F3882">
            <w:pPr>
              <w:jc w:val="center"/>
              <w:rPr>
                <w:rFonts w:ascii="Bookman Old Style" w:hAnsi="Bookman Old Style" w:cs="Arial"/>
                <w:noProof/>
                <w:color w:val="000000"/>
                <w:sz w:val="20"/>
                <w:szCs w:val="20"/>
                <w:bdr w:val="none" w:sz="0" w:space="0" w:color="auto" w:frame="1"/>
              </w:rPr>
            </w:pPr>
            <w:r w:rsidRPr="00011ACE">
              <w:rPr>
                <w:rFonts w:ascii="Bookman Old Style" w:hAnsi="Bookman Old Style" w:cs="Arial"/>
                <w:noProof/>
                <w:color w:val="000000"/>
                <w:sz w:val="20"/>
                <w:szCs w:val="20"/>
                <w:bdr w:val="none" w:sz="0" w:space="0" w:color="auto" w:frame="1"/>
              </w:rPr>
              <w:t>Senador Alianza Verde</w:t>
            </w:r>
          </w:p>
        </w:tc>
      </w:tr>
      <w:tr w:rsidR="005F3882" w:rsidRPr="00011ACE" w14:paraId="39937A01" w14:textId="77777777" w:rsidTr="00B700C8">
        <w:trPr>
          <w:jc w:val="center"/>
        </w:trPr>
        <w:tc>
          <w:tcPr>
            <w:tcW w:w="4390" w:type="dxa"/>
          </w:tcPr>
          <w:p w14:paraId="3C153D77" w14:textId="77777777" w:rsidR="00485B08" w:rsidRPr="00011ACE" w:rsidRDefault="00485B08" w:rsidP="005F3882">
            <w:pPr>
              <w:pStyle w:val="NormalWeb"/>
              <w:spacing w:before="0" w:beforeAutospacing="0" w:after="0" w:afterAutospacing="0"/>
              <w:jc w:val="center"/>
              <w:rPr>
                <w:rFonts w:ascii="Bookman Old Style" w:hAnsi="Bookman Old Style" w:cs="Arial"/>
                <w:b/>
                <w:bCs/>
                <w:color w:val="000000"/>
                <w:sz w:val="20"/>
                <w:szCs w:val="20"/>
              </w:rPr>
            </w:pPr>
          </w:p>
          <w:p w14:paraId="78DFD780" w14:textId="1383A31D" w:rsidR="005F3882" w:rsidRPr="00011ACE" w:rsidRDefault="009264F9" w:rsidP="005F3882">
            <w:pPr>
              <w:pStyle w:val="NormalWeb"/>
              <w:spacing w:before="0" w:beforeAutospacing="0" w:after="0" w:afterAutospacing="0"/>
              <w:jc w:val="center"/>
              <w:rPr>
                <w:rFonts w:ascii="Bookman Old Style" w:hAnsi="Bookman Old Style" w:cs="Arial"/>
                <w:b/>
                <w:bCs/>
                <w:color w:val="000000"/>
                <w:sz w:val="20"/>
                <w:szCs w:val="20"/>
              </w:rPr>
            </w:pPr>
            <w:r w:rsidRPr="00011ACE">
              <w:rPr>
                <w:rFonts w:ascii="Bookman Old Style" w:hAnsi="Bookman Old Style" w:cs="Arial"/>
                <w:b/>
                <w:bCs/>
                <w:color w:val="000000"/>
                <w:sz w:val="20"/>
                <w:szCs w:val="20"/>
              </w:rPr>
              <w:t>HORACIO JOSÉ SERPA MONCADA</w:t>
            </w:r>
          </w:p>
          <w:p w14:paraId="33960060" w14:textId="555CB3F7" w:rsidR="009264F9" w:rsidRPr="00011ACE" w:rsidRDefault="009264F9" w:rsidP="005F3882">
            <w:pPr>
              <w:pStyle w:val="NormalWeb"/>
              <w:spacing w:before="0" w:beforeAutospacing="0" w:after="0" w:afterAutospacing="0"/>
              <w:jc w:val="center"/>
              <w:rPr>
                <w:rFonts w:ascii="Bookman Old Style" w:hAnsi="Bookman Old Style" w:cs="Arial"/>
                <w:color w:val="000000"/>
                <w:sz w:val="20"/>
                <w:szCs w:val="20"/>
              </w:rPr>
            </w:pPr>
            <w:r w:rsidRPr="00011ACE">
              <w:rPr>
                <w:rFonts w:ascii="Bookman Old Style" w:hAnsi="Bookman Old Style" w:cs="Arial"/>
                <w:color w:val="000000"/>
                <w:sz w:val="20"/>
                <w:szCs w:val="20"/>
              </w:rPr>
              <w:t>Senador de la República</w:t>
            </w:r>
          </w:p>
        </w:tc>
        <w:tc>
          <w:tcPr>
            <w:tcW w:w="4348" w:type="dxa"/>
          </w:tcPr>
          <w:p w14:paraId="62E1C552" w14:textId="77777777" w:rsidR="00485B08" w:rsidRPr="00011ACE" w:rsidRDefault="00485B08" w:rsidP="005F3882">
            <w:pPr>
              <w:jc w:val="center"/>
              <w:rPr>
                <w:rFonts w:ascii="Bookman Old Style" w:hAnsi="Bookman Old Style" w:cs="Arial"/>
                <w:b/>
                <w:bCs/>
                <w:noProof/>
                <w:color w:val="000000"/>
                <w:sz w:val="20"/>
                <w:szCs w:val="20"/>
                <w:bdr w:val="none" w:sz="0" w:space="0" w:color="auto" w:frame="1"/>
              </w:rPr>
            </w:pPr>
          </w:p>
          <w:p w14:paraId="78CBA340" w14:textId="15E3E556" w:rsidR="005F3882" w:rsidRPr="00011ACE" w:rsidRDefault="009264F9" w:rsidP="005F3882">
            <w:pPr>
              <w:jc w:val="center"/>
              <w:rPr>
                <w:rFonts w:ascii="Bookman Old Style" w:hAnsi="Bookman Old Style" w:cs="Arial"/>
                <w:b/>
                <w:bCs/>
                <w:noProof/>
                <w:color w:val="000000"/>
                <w:sz w:val="20"/>
                <w:szCs w:val="20"/>
                <w:bdr w:val="none" w:sz="0" w:space="0" w:color="auto" w:frame="1"/>
              </w:rPr>
            </w:pPr>
            <w:r w:rsidRPr="00011ACE">
              <w:rPr>
                <w:rFonts w:ascii="Bookman Old Style" w:hAnsi="Bookman Old Style" w:cs="Arial"/>
                <w:b/>
                <w:bCs/>
                <w:noProof/>
                <w:color w:val="000000"/>
                <w:sz w:val="20"/>
                <w:szCs w:val="20"/>
                <w:bdr w:val="none" w:sz="0" w:space="0" w:color="auto" w:frame="1"/>
              </w:rPr>
              <w:t>DAVID RACERO MAYORCA</w:t>
            </w:r>
          </w:p>
          <w:p w14:paraId="3BFD4EA3" w14:textId="77777777" w:rsidR="009264F9" w:rsidRPr="00011ACE" w:rsidRDefault="009264F9" w:rsidP="005F3882">
            <w:pPr>
              <w:jc w:val="center"/>
              <w:rPr>
                <w:rFonts w:ascii="Bookman Old Style" w:hAnsi="Bookman Old Style" w:cs="Arial"/>
                <w:noProof/>
                <w:color w:val="000000"/>
                <w:sz w:val="20"/>
                <w:szCs w:val="20"/>
                <w:bdr w:val="none" w:sz="0" w:space="0" w:color="auto" w:frame="1"/>
              </w:rPr>
            </w:pPr>
            <w:r w:rsidRPr="00011ACE">
              <w:rPr>
                <w:rFonts w:ascii="Bookman Old Style" w:hAnsi="Bookman Old Style" w:cs="Arial"/>
                <w:noProof/>
                <w:color w:val="000000"/>
                <w:sz w:val="20"/>
                <w:szCs w:val="20"/>
                <w:bdr w:val="none" w:sz="0" w:space="0" w:color="auto" w:frame="1"/>
              </w:rPr>
              <w:t>Representante a la Cámara por Bogotá</w:t>
            </w:r>
          </w:p>
          <w:p w14:paraId="1C9920FE" w14:textId="66B6CFD7" w:rsidR="009264F9" w:rsidRPr="00011ACE" w:rsidRDefault="009264F9" w:rsidP="005F3882">
            <w:pPr>
              <w:jc w:val="center"/>
              <w:rPr>
                <w:rFonts w:ascii="Bookman Old Style" w:hAnsi="Bookman Old Style" w:cs="Arial"/>
                <w:noProof/>
                <w:color w:val="000000"/>
                <w:sz w:val="20"/>
                <w:szCs w:val="20"/>
                <w:bdr w:val="none" w:sz="0" w:space="0" w:color="auto" w:frame="1"/>
              </w:rPr>
            </w:pPr>
            <w:r w:rsidRPr="00011ACE">
              <w:rPr>
                <w:rFonts w:ascii="Bookman Old Style" w:hAnsi="Bookman Old Style" w:cs="Arial"/>
                <w:noProof/>
                <w:color w:val="000000"/>
                <w:sz w:val="20"/>
                <w:szCs w:val="20"/>
                <w:bdr w:val="none" w:sz="0" w:space="0" w:color="auto" w:frame="1"/>
              </w:rPr>
              <w:t>Coalición Decentes</w:t>
            </w:r>
          </w:p>
        </w:tc>
      </w:tr>
      <w:tr w:rsidR="009264F9" w:rsidRPr="00011ACE" w14:paraId="2ED8C724" w14:textId="77777777" w:rsidTr="00B700C8">
        <w:trPr>
          <w:jc w:val="center"/>
        </w:trPr>
        <w:tc>
          <w:tcPr>
            <w:tcW w:w="4390" w:type="dxa"/>
          </w:tcPr>
          <w:p w14:paraId="7B07F7D7" w14:textId="77777777" w:rsidR="00485B08" w:rsidRPr="00011ACE" w:rsidRDefault="00485B08" w:rsidP="005F3882">
            <w:pPr>
              <w:pStyle w:val="NormalWeb"/>
              <w:spacing w:before="0" w:beforeAutospacing="0" w:after="0" w:afterAutospacing="0"/>
              <w:jc w:val="center"/>
              <w:rPr>
                <w:rFonts w:ascii="Bookman Old Style" w:hAnsi="Bookman Old Style" w:cs="Arial"/>
                <w:b/>
                <w:bCs/>
                <w:color w:val="000000"/>
                <w:sz w:val="20"/>
                <w:szCs w:val="20"/>
              </w:rPr>
            </w:pPr>
          </w:p>
          <w:p w14:paraId="5BC7EBA3" w14:textId="0A5BB3A8" w:rsidR="009264F9" w:rsidRPr="00011ACE" w:rsidRDefault="009264F9" w:rsidP="005F3882">
            <w:pPr>
              <w:pStyle w:val="NormalWeb"/>
              <w:spacing w:before="0" w:beforeAutospacing="0" w:after="0" w:afterAutospacing="0"/>
              <w:jc w:val="center"/>
              <w:rPr>
                <w:rFonts w:ascii="Bookman Old Style" w:hAnsi="Bookman Old Style" w:cs="Arial"/>
                <w:b/>
                <w:bCs/>
                <w:color w:val="000000"/>
                <w:sz w:val="20"/>
                <w:szCs w:val="20"/>
              </w:rPr>
            </w:pPr>
            <w:r w:rsidRPr="00011ACE">
              <w:rPr>
                <w:rFonts w:ascii="Bookman Old Style" w:hAnsi="Bookman Old Style" w:cs="Arial"/>
                <w:b/>
                <w:bCs/>
                <w:color w:val="000000"/>
                <w:sz w:val="20"/>
                <w:szCs w:val="20"/>
              </w:rPr>
              <w:t>TERESA ENRÍQUEZ ROSERO</w:t>
            </w:r>
          </w:p>
          <w:p w14:paraId="2101D54A" w14:textId="3366E4B1" w:rsidR="009264F9" w:rsidRPr="00011ACE" w:rsidRDefault="009264F9" w:rsidP="005F3882">
            <w:pPr>
              <w:pStyle w:val="NormalWeb"/>
              <w:spacing w:before="0" w:beforeAutospacing="0" w:after="0" w:afterAutospacing="0"/>
              <w:jc w:val="center"/>
              <w:rPr>
                <w:rFonts w:ascii="Bookman Old Style" w:hAnsi="Bookman Old Style" w:cs="Arial"/>
                <w:color w:val="000000"/>
                <w:sz w:val="20"/>
                <w:szCs w:val="20"/>
              </w:rPr>
            </w:pPr>
            <w:r w:rsidRPr="00011ACE">
              <w:rPr>
                <w:rFonts w:ascii="Bookman Old Style" w:hAnsi="Bookman Old Style" w:cs="Arial"/>
                <w:color w:val="000000"/>
                <w:sz w:val="20"/>
                <w:szCs w:val="20"/>
              </w:rPr>
              <w:t>Representante a la Cámara por Nariño</w:t>
            </w:r>
          </w:p>
        </w:tc>
        <w:tc>
          <w:tcPr>
            <w:tcW w:w="4348" w:type="dxa"/>
          </w:tcPr>
          <w:p w14:paraId="70E8781B" w14:textId="77777777" w:rsidR="00485B08" w:rsidRPr="00011ACE" w:rsidRDefault="00485B08" w:rsidP="005F3882">
            <w:pPr>
              <w:jc w:val="center"/>
              <w:rPr>
                <w:rFonts w:ascii="Bookman Old Style" w:hAnsi="Bookman Old Style" w:cs="Arial"/>
                <w:b/>
                <w:bCs/>
                <w:noProof/>
                <w:color w:val="000000"/>
                <w:sz w:val="20"/>
                <w:szCs w:val="20"/>
                <w:bdr w:val="none" w:sz="0" w:space="0" w:color="auto" w:frame="1"/>
              </w:rPr>
            </w:pPr>
          </w:p>
          <w:p w14:paraId="6E830183" w14:textId="7BBBDBB4" w:rsidR="009264F9" w:rsidRPr="00011ACE" w:rsidRDefault="009264F9" w:rsidP="005F3882">
            <w:pPr>
              <w:jc w:val="center"/>
              <w:rPr>
                <w:rFonts w:ascii="Bookman Old Style" w:hAnsi="Bookman Old Style" w:cs="Arial"/>
                <w:b/>
                <w:bCs/>
                <w:noProof/>
                <w:color w:val="000000"/>
                <w:sz w:val="20"/>
                <w:szCs w:val="20"/>
                <w:bdr w:val="none" w:sz="0" w:space="0" w:color="auto" w:frame="1"/>
              </w:rPr>
            </w:pPr>
            <w:r w:rsidRPr="00011ACE">
              <w:rPr>
                <w:rFonts w:ascii="Bookman Old Style" w:hAnsi="Bookman Old Style" w:cs="Arial"/>
                <w:b/>
                <w:bCs/>
                <w:noProof/>
                <w:color w:val="000000"/>
                <w:sz w:val="20"/>
                <w:szCs w:val="20"/>
                <w:bdr w:val="none" w:sz="0" w:space="0" w:color="auto" w:frame="1"/>
              </w:rPr>
              <w:t>ALVARO HENRY MONEDERO RIVERA</w:t>
            </w:r>
          </w:p>
          <w:p w14:paraId="5E6048E1" w14:textId="0F333400" w:rsidR="009264F9" w:rsidRPr="00011ACE" w:rsidRDefault="009264F9" w:rsidP="005F3882">
            <w:pPr>
              <w:jc w:val="center"/>
              <w:rPr>
                <w:rFonts w:ascii="Bookman Old Style" w:hAnsi="Bookman Old Style" w:cs="Arial"/>
                <w:noProof/>
                <w:color w:val="000000"/>
                <w:sz w:val="20"/>
                <w:szCs w:val="20"/>
                <w:bdr w:val="none" w:sz="0" w:space="0" w:color="auto" w:frame="1"/>
              </w:rPr>
            </w:pPr>
            <w:r w:rsidRPr="00011ACE">
              <w:rPr>
                <w:rFonts w:ascii="Bookman Old Style" w:hAnsi="Bookman Old Style" w:cs="Arial"/>
                <w:noProof/>
                <w:color w:val="000000"/>
                <w:sz w:val="20"/>
                <w:szCs w:val="20"/>
                <w:bdr w:val="none" w:sz="0" w:space="0" w:color="auto" w:frame="1"/>
              </w:rPr>
              <w:t>Representante a la Cámara por el Valle del Cauca</w:t>
            </w:r>
          </w:p>
        </w:tc>
      </w:tr>
      <w:tr w:rsidR="009264F9" w:rsidRPr="00011ACE" w14:paraId="4B30A0F5" w14:textId="77777777" w:rsidTr="00B700C8">
        <w:trPr>
          <w:jc w:val="center"/>
        </w:trPr>
        <w:tc>
          <w:tcPr>
            <w:tcW w:w="4390" w:type="dxa"/>
          </w:tcPr>
          <w:p w14:paraId="4627E438" w14:textId="77777777" w:rsidR="00485B08" w:rsidRPr="00011ACE" w:rsidRDefault="00485B08" w:rsidP="005F3882">
            <w:pPr>
              <w:pStyle w:val="NormalWeb"/>
              <w:spacing w:before="0" w:beforeAutospacing="0" w:after="0" w:afterAutospacing="0"/>
              <w:jc w:val="center"/>
              <w:rPr>
                <w:rFonts w:ascii="Bookman Old Style" w:hAnsi="Bookman Old Style" w:cs="Arial"/>
                <w:b/>
                <w:bCs/>
                <w:color w:val="000000"/>
                <w:sz w:val="20"/>
                <w:szCs w:val="20"/>
              </w:rPr>
            </w:pPr>
          </w:p>
          <w:p w14:paraId="55DE5D81" w14:textId="21549D6B" w:rsidR="009264F9" w:rsidRPr="00011ACE" w:rsidRDefault="009264F9" w:rsidP="005F3882">
            <w:pPr>
              <w:pStyle w:val="NormalWeb"/>
              <w:spacing w:before="0" w:beforeAutospacing="0" w:after="0" w:afterAutospacing="0"/>
              <w:jc w:val="center"/>
              <w:rPr>
                <w:rFonts w:ascii="Bookman Old Style" w:hAnsi="Bookman Old Style" w:cs="Arial"/>
                <w:b/>
                <w:bCs/>
                <w:color w:val="000000"/>
                <w:sz w:val="20"/>
                <w:szCs w:val="20"/>
              </w:rPr>
            </w:pPr>
            <w:r w:rsidRPr="00011ACE">
              <w:rPr>
                <w:rFonts w:ascii="Bookman Old Style" w:hAnsi="Bookman Old Style" w:cs="Arial"/>
                <w:b/>
                <w:bCs/>
                <w:color w:val="000000"/>
                <w:sz w:val="20"/>
                <w:szCs w:val="20"/>
              </w:rPr>
              <w:t>LUCIANO GRISALES LONDOÑO</w:t>
            </w:r>
          </w:p>
          <w:p w14:paraId="532EDF83" w14:textId="5CAE1D6A" w:rsidR="009264F9" w:rsidRPr="00011ACE" w:rsidRDefault="009264F9" w:rsidP="005F3882">
            <w:pPr>
              <w:pStyle w:val="NormalWeb"/>
              <w:spacing w:before="0" w:beforeAutospacing="0" w:after="0" w:afterAutospacing="0"/>
              <w:jc w:val="center"/>
              <w:rPr>
                <w:rFonts w:ascii="Bookman Old Style" w:hAnsi="Bookman Old Style" w:cs="Arial"/>
                <w:color w:val="000000"/>
                <w:sz w:val="20"/>
                <w:szCs w:val="20"/>
              </w:rPr>
            </w:pPr>
            <w:r w:rsidRPr="00011ACE">
              <w:rPr>
                <w:rFonts w:ascii="Bookman Old Style" w:hAnsi="Bookman Old Style" w:cs="Arial"/>
                <w:color w:val="000000"/>
                <w:sz w:val="20"/>
                <w:szCs w:val="20"/>
              </w:rPr>
              <w:t>Representante a la Cámara por el Quindío</w:t>
            </w:r>
          </w:p>
          <w:p w14:paraId="4B553031" w14:textId="7CAE86A9" w:rsidR="009264F9" w:rsidRPr="00011ACE" w:rsidRDefault="009264F9" w:rsidP="005F3882">
            <w:pPr>
              <w:pStyle w:val="NormalWeb"/>
              <w:spacing w:before="0" w:beforeAutospacing="0" w:after="0" w:afterAutospacing="0"/>
              <w:jc w:val="center"/>
              <w:rPr>
                <w:rFonts w:ascii="Bookman Old Style" w:hAnsi="Bookman Old Style" w:cs="Arial"/>
                <w:color w:val="000000"/>
                <w:sz w:val="20"/>
                <w:szCs w:val="20"/>
              </w:rPr>
            </w:pPr>
            <w:r w:rsidRPr="00011ACE">
              <w:rPr>
                <w:rFonts w:ascii="Bookman Old Style" w:hAnsi="Bookman Old Style" w:cs="Arial"/>
                <w:color w:val="000000"/>
                <w:sz w:val="20"/>
                <w:szCs w:val="20"/>
              </w:rPr>
              <w:t>Partido Liberal Colombiano</w:t>
            </w:r>
          </w:p>
        </w:tc>
        <w:tc>
          <w:tcPr>
            <w:tcW w:w="4348" w:type="dxa"/>
          </w:tcPr>
          <w:p w14:paraId="1E26A264" w14:textId="77777777" w:rsidR="009264F9" w:rsidRPr="00011ACE" w:rsidRDefault="009264F9" w:rsidP="005F3882">
            <w:pPr>
              <w:jc w:val="center"/>
              <w:rPr>
                <w:rFonts w:ascii="Bookman Old Style" w:hAnsi="Bookman Old Style" w:cs="Arial"/>
                <w:b/>
                <w:bCs/>
                <w:noProof/>
                <w:color w:val="000000"/>
                <w:sz w:val="20"/>
                <w:szCs w:val="20"/>
                <w:bdr w:val="none" w:sz="0" w:space="0" w:color="auto" w:frame="1"/>
              </w:rPr>
            </w:pPr>
          </w:p>
        </w:tc>
      </w:tr>
    </w:tbl>
    <w:p w14:paraId="7D1C8BC8" w14:textId="036B03BA" w:rsidR="00F36280" w:rsidRDefault="00F36280" w:rsidP="00D6651D">
      <w:pPr>
        <w:pBdr>
          <w:top w:val="nil"/>
          <w:left w:val="nil"/>
          <w:bottom w:val="nil"/>
          <w:right w:val="nil"/>
          <w:between w:val="nil"/>
        </w:pBdr>
        <w:ind w:right="115"/>
        <w:rPr>
          <w:rFonts w:ascii="Bookman Old Style" w:hAnsi="Bookman Old Style" w:cstheme="minorHAnsi"/>
          <w:b/>
          <w:sz w:val="24"/>
          <w:szCs w:val="24"/>
        </w:rPr>
      </w:pPr>
    </w:p>
    <w:p w14:paraId="3B7A9FB5" w14:textId="6A4DB1E0" w:rsidR="00485B08" w:rsidRDefault="00485B08" w:rsidP="00D6651D">
      <w:pPr>
        <w:pBdr>
          <w:top w:val="nil"/>
          <w:left w:val="nil"/>
          <w:bottom w:val="nil"/>
          <w:right w:val="nil"/>
          <w:between w:val="nil"/>
        </w:pBdr>
        <w:ind w:right="115"/>
        <w:rPr>
          <w:rFonts w:ascii="Bookman Old Style" w:hAnsi="Bookman Old Style" w:cstheme="minorHAnsi"/>
          <w:b/>
          <w:sz w:val="24"/>
          <w:szCs w:val="24"/>
        </w:rPr>
      </w:pPr>
    </w:p>
    <w:p w14:paraId="41ADD762" w14:textId="452CB1DA" w:rsidR="00485B08" w:rsidRDefault="00485B08" w:rsidP="00D6651D">
      <w:pPr>
        <w:pBdr>
          <w:top w:val="nil"/>
          <w:left w:val="nil"/>
          <w:bottom w:val="nil"/>
          <w:right w:val="nil"/>
          <w:between w:val="nil"/>
        </w:pBdr>
        <w:ind w:right="115"/>
        <w:rPr>
          <w:rFonts w:ascii="Bookman Old Style" w:hAnsi="Bookman Old Style" w:cstheme="minorHAnsi"/>
          <w:b/>
          <w:sz w:val="24"/>
          <w:szCs w:val="24"/>
        </w:rPr>
      </w:pPr>
    </w:p>
    <w:p w14:paraId="5EAFDD92" w14:textId="77777777" w:rsidR="00485B08" w:rsidRPr="00485CC5" w:rsidRDefault="00485B08" w:rsidP="00D6651D">
      <w:pPr>
        <w:pBdr>
          <w:top w:val="nil"/>
          <w:left w:val="nil"/>
          <w:bottom w:val="nil"/>
          <w:right w:val="nil"/>
          <w:between w:val="nil"/>
        </w:pBdr>
        <w:ind w:right="115"/>
        <w:rPr>
          <w:rFonts w:ascii="Bookman Old Style" w:hAnsi="Bookman Old Style" w:cstheme="minorHAnsi"/>
          <w:b/>
          <w:sz w:val="24"/>
          <w:szCs w:val="24"/>
        </w:rPr>
      </w:pPr>
    </w:p>
    <w:p w14:paraId="4B2B638E" w14:textId="440B1EBC" w:rsidR="00F36280" w:rsidRPr="00485CC5" w:rsidRDefault="00F36280" w:rsidP="001D0620">
      <w:pPr>
        <w:pBdr>
          <w:top w:val="nil"/>
          <w:left w:val="nil"/>
          <w:bottom w:val="nil"/>
          <w:right w:val="nil"/>
          <w:between w:val="nil"/>
        </w:pBdr>
        <w:ind w:right="115"/>
        <w:jc w:val="center"/>
        <w:rPr>
          <w:rFonts w:ascii="Bookman Old Style" w:hAnsi="Bookman Old Style" w:cstheme="minorHAnsi"/>
          <w:b/>
        </w:rPr>
      </w:pPr>
      <w:r w:rsidRPr="00485CC5">
        <w:rPr>
          <w:rFonts w:ascii="Bookman Old Style" w:hAnsi="Bookman Old Style" w:cstheme="minorHAnsi"/>
          <w:b/>
        </w:rPr>
        <w:lastRenderedPageBreak/>
        <w:t>PROYECTO DE</w:t>
      </w:r>
      <w:r w:rsidR="006B01C7">
        <w:rPr>
          <w:rFonts w:ascii="Bookman Old Style" w:hAnsi="Bookman Old Style" w:cstheme="minorHAnsi"/>
          <w:b/>
        </w:rPr>
        <w:t xml:space="preserve"> ACTO LEGISLATIVO</w:t>
      </w:r>
      <w:r w:rsidRPr="00485CC5">
        <w:rPr>
          <w:rFonts w:ascii="Bookman Old Style" w:hAnsi="Bookman Old Style" w:cstheme="minorHAnsi"/>
          <w:b/>
        </w:rPr>
        <w:t xml:space="preserve"> ______ de 20</w:t>
      </w:r>
      <w:r w:rsidR="006B01C7">
        <w:rPr>
          <w:rFonts w:ascii="Bookman Old Style" w:hAnsi="Bookman Old Style" w:cstheme="minorHAnsi"/>
          <w:b/>
        </w:rPr>
        <w:t>2</w:t>
      </w:r>
      <w:r w:rsidR="00BB5BB4">
        <w:rPr>
          <w:rFonts w:ascii="Bookman Old Style" w:hAnsi="Bookman Old Style" w:cstheme="minorHAnsi"/>
          <w:b/>
        </w:rPr>
        <w:t>1</w:t>
      </w:r>
    </w:p>
    <w:p w14:paraId="5A97132E" w14:textId="77777777" w:rsidR="00F36280" w:rsidRPr="00485CC5" w:rsidRDefault="00F36280" w:rsidP="00F36280">
      <w:pPr>
        <w:pBdr>
          <w:top w:val="nil"/>
          <w:left w:val="nil"/>
          <w:bottom w:val="nil"/>
          <w:right w:val="nil"/>
          <w:between w:val="nil"/>
        </w:pBdr>
        <w:ind w:right="115"/>
        <w:jc w:val="center"/>
        <w:rPr>
          <w:rFonts w:ascii="Bookman Old Style" w:hAnsi="Bookman Old Style" w:cstheme="minorHAnsi"/>
          <w:b/>
        </w:rPr>
      </w:pPr>
    </w:p>
    <w:p w14:paraId="70C7A852" w14:textId="7D961EFF" w:rsidR="00F36280" w:rsidRPr="00485CC5" w:rsidRDefault="00F36280" w:rsidP="00F36280">
      <w:pPr>
        <w:pBdr>
          <w:top w:val="nil"/>
          <w:left w:val="nil"/>
          <w:bottom w:val="nil"/>
          <w:right w:val="nil"/>
          <w:between w:val="nil"/>
        </w:pBdr>
        <w:ind w:right="115"/>
        <w:jc w:val="center"/>
        <w:rPr>
          <w:rFonts w:ascii="Bookman Old Style" w:hAnsi="Bookman Old Style" w:cstheme="minorHAnsi"/>
          <w:b/>
        </w:rPr>
      </w:pPr>
      <w:r w:rsidRPr="00485CC5">
        <w:rPr>
          <w:rStyle w:val="Textoennegrita"/>
          <w:rFonts w:ascii="Bookman Old Style" w:hAnsi="Bookman Old Style" w:cs="Calibri"/>
          <w:b w:val="0"/>
          <w:bCs w:val="0"/>
          <w:i/>
        </w:rPr>
        <w:t>“Por medio del cual se modifica el artículo </w:t>
      </w:r>
      <w:r w:rsidRPr="00485CC5">
        <w:rPr>
          <w:rFonts w:ascii="Bookman Old Style" w:hAnsi="Bookman Old Style" w:cs="Calibri"/>
          <w:i/>
        </w:rPr>
        <w:t>49</w:t>
      </w:r>
      <w:r w:rsidRPr="00485CC5">
        <w:rPr>
          <w:rStyle w:val="Textoennegrita"/>
          <w:rFonts w:ascii="Bookman Old Style" w:hAnsi="Bookman Old Style" w:cs="Calibri"/>
          <w:i/>
        </w:rPr>
        <w:t> </w:t>
      </w:r>
      <w:r w:rsidRPr="00485CC5">
        <w:rPr>
          <w:rStyle w:val="Textoennegrita"/>
          <w:rFonts w:ascii="Bookman Old Style" w:hAnsi="Bookman Old Style" w:cs="Calibri"/>
          <w:b w:val="0"/>
          <w:bCs w:val="0"/>
          <w:i/>
        </w:rPr>
        <w:t>de la Constitución Política de Colombia y se regulariza el Cannabis</w:t>
      </w:r>
      <w:r w:rsidR="00BB5BB4">
        <w:rPr>
          <w:rStyle w:val="Textoennegrita"/>
          <w:rFonts w:ascii="Bookman Old Style" w:hAnsi="Bookman Old Style" w:cs="Calibri"/>
          <w:b w:val="0"/>
          <w:bCs w:val="0"/>
          <w:i/>
        </w:rPr>
        <w:t xml:space="preserve"> de uso adulto</w:t>
      </w:r>
      <w:r w:rsidRPr="00485CC5">
        <w:rPr>
          <w:rStyle w:val="Textoennegrita"/>
          <w:rFonts w:ascii="Bookman Old Style" w:hAnsi="Bookman Old Style" w:cs="Calibri"/>
          <w:b w:val="0"/>
          <w:bCs w:val="0"/>
          <w:i/>
        </w:rPr>
        <w:t>”.</w:t>
      </w:r>
    </w:p>
    <w:p w14:paraId="36913F1C" w14:textId="77777777" w:rsidR="00F36280" w:rsidRPr="00485CC5" w:rsidRDefault="00F36280" w:rsidP="00F36280">
      <w:pPr>
        <w:pStyle w:val="NormalWeb"/>
        <w:shd w:val="clear" w:color="auto" w:fill="FFFFFF"/>
        <w:spacing w:before="150" w:beforeAutospacing="0" w:after="150" w:afterAutospacing="0" w:line="338" w:lineRule="atLeast"/>
        <w:jc w:val="center"/>
        <w:rPr>
          <w:rFonts w:ascii="Bookman Old Style" w:hAnsi="Bookman Old Style" w:cs="Calibri"/>
          <w:sz w:val="22"/>
          <w:szCs w:val="22"/>
        </w:rPr>
      </w:pPr>
      <w:r w:rsidRPr="00485CC5">
        <w:rPr>
          <w:rStyle w:val="Textoennegrita"/>
          <w:rFonts w:ascii="Bookman Old Style" w:hAnsi="Bookman Old Style" w:cs="Calibri"/>
          <w:sz w:val="22"/>
          <w:szCs w:val="22"/>
        </w:rPr>
        <w:t>EL CONGRESO DE COLOMBIA</w:t>
      </w:r>
    </w:p>
    <w:p w14:paraId="7D2EEF9B" w14:textId="77777777" w:rsidR="00F36280" w:rsidRPr="00485CC5" w:rsidRDefault="00F36280" w:rsidP="00F36280">
      <w:pPr>
        <w:pStyle w:val="NormalWeb"/>
        <w:shd w:val="clear" w:color="auto" w:fill="FFFFFF"/>
        <w:spacing w:before="150" w:beforeAutospacing="0" w:after="150" w:afterAutospacing="0" w:line="338" w:lineRule="atLeast"/>
        <w:jc w:val="center"/>
        <w:rPr>
          <w:rFonts w:ascii="Bookman Old Style" w:hAnsi="Bookman Old Style" w:cs="Calibri"/>
          <w:sz w:val="22"/>
          <w:szCs w:val="22"/>
        </w:rPr>
      </w:pPr>
      <w:r w:rsidRPr="00485CC5">
        <w:rPr>
          <w:rStyle w:val="Textoennegrita"/>
          <w:rFonts w:ascii="Bookman Old Style" w:hAnsi="Bookman Old Style" w:cs="Calibri"/>
          <w:sz w:val="22"/>
          <w:szCs w:val="22"/>
        </w:rPr>
        <w:t>DECRETA:</w:t>
      </w:r>
    </w:p>
    <w:p w14:paraId="0CAB16BB" w14:textId="77777777" w:rsidR="00F36280" w:rsidRPr="00485CC5" w:rsidRDefault="00F36280" w:rsidP="00F36280">
      <w:pPr>
        <w:pStyle w:val="centrado"/>
        <w:spacing w:line="270" w:lineRule="atLeast"/>
        <w:jc w:val="both"/>
        <w:rPr>
          <w:rFonts w:ascii="Bookman Old Style" w:hAnsi="Bookman Old Style" w:cs="Calibri"/>
          <w:b/>
          <w:bCs/>
          <w:sz w:val="22"/>
          <w:szCs w:val="22"/>
        </w:rPr>
      </w:pPr>
      <w:r w:rsidRPr="00485CC5">
        <w:rPr>
          <w:rFonts w:ascii="Bookman Old Style" w:hAnsi="Bookman Old Style" w:cs="Calibri"/>
          <w:b/>
          <w:bCs/>
          <w:sz w:val="22"/>
          <w:szCs w:val="22"/>
        </w:rPr>
        <w:t xml:space="preserve">ARTÍCULO 1º. </w:t>
      </w:r>
      <w:r w:rsidRPr="00485CC5">
        <w:rPr>
          <w:rFonts w:ascii="Bookman Old Style" w:hAnsi="Bookman Old Style" w:cs="Calibri"/>
          <w:sz w:val="22"/>
          <w:szCs w:val="22"/>
        </w:rPr>
        <w:t>El artículo 49 de la Constitución Política quedará así:</w:t>
      </w:r>
      <w:r w:rsidRPr="00485CC5">
        <w:rPr>
          <w:rFonts w:ascii="Bookman Old Style" w:hAnsi="Bookman Old Style" w:cs="Calibri"/>
          <w:b/>
          <w:bCs/>
          <w:sz w:val="22"/>
          <w:szCs w:val="22"/>
        </w:rPr>
        <w:t xml:space="preserve"> </w:t>
      </w:r>
    </w:p>
    <w:p w14:paraId="1A93BC82" w14:textId="77777777" w:rsidR="00F36280" w:rsidRPr="00485CC5" w:rsidRDefault="00F36280" w:rsidP="00F36280">
      <w:pPr>
        <w:spacing w:before="100" w:beforeAutospacing="1" w:after="100" w:afterAutospacing="1" w:line="270" w:lineRule="atLeast"/>
        <w:ind w:left="284"/>
        <w:jc w:val="both"/>
        <w:rPr>
          <w:rFonts w:ascii="Bookman Old Style" w:hAnsi="Bookman Old Style" w:cs="Calibri"/>
        </w:rPr>
      </w:pPr>
      <w:r w:rsidRPr="00485CC5">
        <w:rPr>
          <w:rFonts w:ascii="Bookman Old Style" w:hAnsi="Bookman Old Style" w:cs="Calibri"/>
          <w:b/>
        </w:rPr>
        <w:t xml:space="preserve">ARTÍCULO 49o. </w:t>
      </w:r>
      <w:r w:rsidRPr="00485CC5">
        <w:rPr>
          <w:rFonts w:ascii="Bookman Old Style" w:hAnsi="Bookman Old Style" w:cs="Calibri"/>
        </w:rPr>
        <w:t>La atención de la salud y el saneamiento ambiental son servicios públicos a cargo del Estado. Se garantiza a todas las personas el acceso a los servicios de promoción, protección y recuperación de la salud.</w:t>
      </w:r>
    </w:p>
    <w:p w14:paraId="30B38006" w14:textId="77777777" w:rsidR="00F36280" w:rsidRPr="00485CC5" w:rsidRDefault="00F36280" w:rsidP="00F36280">
      <w:pPr>
        <w:spacing w:before="100" w:beforeAutospacing="1" w:after="100" w:afterAutospacing="1" w:line="270" w:lineRule="atLeast"/>
        <w:ind w:left="284"/>
        <w:jc w:val="both"/>
        <w:rPr>
          <w:rFonts w:ascii="Bookman Old Style" w:hAnsi="Bookman Old Style" w:cs="Calibri"/>
        </w:rPr>
      </w:pPr>
      <w:r w:rsidRPr="00485CC5">
        <w:rPr>
          <w:rFonts w:ascii="Bookman Old Style" w:hAnsi="Bookman Old Style" w:cs="Calibri"/>
        </w:rPr>
        <w:t>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w:t>
      </w:r>
    </w:p>
    <w:p w14:paraId="714333E1" w14:textId="77777777" w:rsidR="00F36280" w:rsidRPr="00485CC5" w:rsidRDefault="00F36280" w:rsidP="00F36280">
      <w:pPr>
        <w:spacing w:before="100" w:beforeAutospacing="1" w:after="100" w:afterAutospacing="1" w:line="270" w:lineRule="atLeast"/>
        <w:ind w:left="284"/>
        <w:jc w:val="both"/>
        <w:rPr>
          <w:rFonts w:ascii="Bookman Old Style" w:hAnsi="Bookman Old Style" w:cs="Calibri"/>
        </w:rPr>
      </w:pPr>
      <w:r w:rsidRPr="00485CC5">
        <w:rPr>
          <w:rFonts w:ascii="Bookman Old Style" w:hAnsi="Bookman Old Style" w:cs="Calibri"/>
        </w:rPr>
        <w:t>Los servicios de salud se organizarán en forma descentralizada, por niveles de atención y con participación de la comunidad.</w:t>
      </w:r>
    </w:p>
    <w:p w14:paraId="3A2A2671" w14:textId="77777777" w:rsidR="00F36280" w:rsidRPr="00485CC5" w:rsidRDefault="00F36280" w:rsidP="00F36280">
      <w:pPr>
        <w:spacing w:before="100" w:beforeAutospacing="1" w:after="100" w:afterAutospacing="1" w:line="270" w:lineRule="atLeast"/>
        <w:ind w:left="284"/>
        <w:jc w:val="both"/>
        <w:rPr>
          <w:rFonts w:ascii="Bookman Old Style" w:hAnsi="Bookman Old Style" w:cs="Calibri"/>
        </w:rPr>
      </w:pPr>
      <w:r w:rsidRPr="00485CC5">
        <w:rPr>
          <w:rFonts w:ascii="Bookman Old Style" w:hAnsi="Bookman Old Style" w:cs="Calibri"/>
        </w:rPr>
        <w:t>La ley señalará los términos en los cuales la atención básica para todos los habitantes será gratuita y obligatoria.</w:t>
      </w:r>
    </w:p>
    <w:p w14:paraId="7E117F82" w14:textId="77777777" w:rsidR="00F36280" w:rsidRPr="00485CC5" w:rsidRDefault="00F36280" w:rsidP="00F36280">
      <w:pPr>
        <w:spacing w:before="100" w:beforeAutospacing="1" w:after="100" w:afterAutospacing="1" w:line="270" w:lineRule="atLeast"/>
        <w:ind w:left="284"/>
        <w:jc w:val="both"/>
        <w:rPr>
          <w:rFonts w:ascii="Bookman Old Style" w:hAnsi="Bookman Old Style" w:cs="Calibri"/>
        </w:rPr>
      </w:pPr>
      <w:r w:rsidRPr="00485CC5">
        <w:rPr>
          <w:rFonts w:ascii="Bookman Old Style" w:hAnsi="Bookman Old Style" w:cs="Calibri"/>
        </w:rPr>
        <w:t>Toda persona tiene el deber de procurar el cuidado integral de su salud y de su comunidad.</w:t>
      </w:r>
    </w:p>
    <w:p w14:paraId="0055A2DB" w14:textId="77777777" w:rsidR="00254DDC" w:rsidRPr="00485CC5" w:rsidRDefault="00F36280" w:rsidP="00F36280">
      <w:pPr>
        <w:spacing w:before="100" w:beforeAutospacing="1" w:after="100" w:afterAutospacing="1" w:line="270" w:lineRule="atLeast"/>
        <w:ind w:left="284"/>
        <w:jc w:val="both"/>
        <w:rPr>
          <w:rFonts w:ascii="Bookman Old Style" w:hAnsi="Bookman Old Style" w:cs="Calibri"/>
        </w:rPr>
      </w:pPr>
      <w:r w:rsidRPr="00485CC5">
        <w:rPr>
          <w:rFonts w:ascii="Bookman Old Style" w:hAnsi="Bookman Old Style" w:cs="Calibri"/>
        </w:rPr>
        <w:t>El porte y el consumo de sustancias estupefacientes o psicotrópicas está prohibido, salvo prescripción médica. Con fines preventivos y rehabilitadores la ley establecerá medidas y tratamientos administrativos de orden pedagógico, profiláctico o terapéutico para las personas que consuman sustancias estupefacientes o sicotrópicas. El sometimiento a esas medidas y tratamientos requiere el consentimiento informado del adicto.</w:t>
      </w:r>
    </w:p>
    <w:p w14:paraId="70554C26" w14:textId="03F13069" w:rsidR="00254DDC" w:rsidRPr="00485CC5" w:rsidRDefault="00254DDC" w:rsidP="00621929">
      <w:pPr>
        <w:spacing w:before="100" w:beforeAutospacing="1" w:after="100" w:afterAutospacing="1" w:line="270" w:lineRule="atLeast"/>
        <w:ind w:left="284"/>
        <w:jc w:val="both"/>
        <w:rPr>
          <w:rFonts w:ascii="Bookman Old Style" w:hAnsi="Bookman Old Style" w:cs="Calibri"/>
          <w:b/>
          <w:szCs w:val="24"/>
          <w:u w:val="single"/>
        </w:rPr>
      </w:pPr>
      <w:r w:rsidRPr="00485CC5">
        <w:rPr>
          <w:rFonts w:ascii="Bookman Old Style" w:hAnsi="Bookman Old Style" w:cs="Calibri"/>
          <w:b/>
          <w:szCs w:val="24"/>
          <w:u w:val="single"/>
        </w:rPr>
        <w:t>La prohibición prevista en el inciso anterior no aplicará frente al cannabis y sus derivados para el uso por parte de mayores de edad</w:t>
      </w:r>
      <w:r w:rsidR="00BB5BB4">
        <w:rPr>
          <w:rFonts w:ascii="Bookman Old Style" w:hAnsi="Bookman Old Style" w:cs="Calibri"/>
          <w:b/>
          <w:szCs w:val="24"/>
          <w:u w:val="single"/>
        </w:rPr>
        <w:t>.</w:t>
      </w:r>
      <w:r w:rsidRPr="00485CC5">
        <w:rPr>
          <w:rFonts w:ascii="Bookman Old Style" w:hAnsi="Bookman Old Style" w:cs="Calibri"/>
          <w:b/>
          <w:szCs w:val="24"/>
          <w:u w:val="single"/>
        </w:rPr>
        <w:t xml:space="preserve"> Tampoco </w:t>
      </w:r>
      <w:r>
        <w:rPr>
          <w:rFonts w:ascii="Bookman Old Style" w:hAnsi="Bookman Old Style" w:cs="Calibri"/>
          <w:b/>
          <w:szCs w:val="24"/>
          <w:u w:val="single"/>
        </w:rPr>
        <w:t xml:space="preserve">aplicará </w:t>
      </w:r>
      <w:r w:rsidR="00EB478E">
        <w:rPr>
          <w:rFonts w:ascii="Bookman Old Style" w:hAnsi="Bookman Old Style" w:cs="Calibri"/>
          <w:b/>
          <w:szCs w:val="24"/>
          <w:u w:val="single"/>
        </w:rPr>
        <w:t>para la</w:t>
      </w:r>
      <w:r w:rsidRPr="00485CC5">
        <w:rPr>
          <w:rFonts w:ascii="Bookman Old Style" w:hAnsi="Bookman Old Style" w:cs="Calibri"/>
          <w:b/>
          <w:szCs w:val="24"/>
          <w:u w:val="single"/>
        </w:rPr>
        <w:t xml:space="preserve"> destinación científica</w:t>
      </w:r>
      <w:r w:rsidR="00EB478E">
        <w:rPr>
          <w:rFonts w:ascii="Bookman Old Style" w:hAnsi="Bookman Old Style" w:cs="Calibri"/>
          <w:b/>
          <w:szCs w:val="24"/>
          <w:u w:val="single"/>
        </w:rPr>
        <w:t xml:space="preserve"> de estas sustancias</w:t>
      </w:r>
      <w:r w:rsidRPr="00485CC5">
        <w:rPr>
          <w:rFonts w:ascii="Bookman Old Style" w:hAnsi="Bookman Old Style" w:cs="Calibri"/>
          <w:b/>
          <w:szCs w:val="24"/>
          <w:u w:val="single"/>
        </w:rPr>
        <w:t>, siempre y cuando se cuente con las licencias otorgadas por la autoridad competente.</w:t>
      </w:r>
      <w:r>
        <w:rPr>
          <w:rFonts w:ascii="Bookman Old Style" w:hAnsi="Bookman Old Style" w:cs="Calibri"/>
          <w:b/>
          <w:szCs w:val="24"/>
          <w:u w:val="single"/>
        </w:rPr>
        <w:t xml:space="preserve"> La Ley podrá restringir y sancionar el porte y consumo del cannabis y sus derivados en espacios públicos</w:t>
      </w:r>
      <w:r w:rsidR="00BB5BB4">
        <w:rPr>
          <w:rFonts w:ascii="Bookman Old Style" w:hAnsi="Bookman Old Style" w:cs="Calibri"/>
          <w:b/>
          <w:szCs w:val="24"/>
          <w:u w:val="single"/>
        </w:rPr>
        <w:t xml:space="preserve">, </w:t>
      </w:r>
      <w:r>
        <w:rPr>
          <w:rFonts w:ascii="Bookman Old Style" w:hAnsi="Bookman Old Style" w:cs="Calibri"/>
          <w:b/>
          <w:szCs w:val="24"/>
          <w:u w:val="single"/>
        </w:rPr>
        <w:t>zonas comunes</w:t>
      </w:r>
      <w:r w:rsidR="00BB5BB4">
        <w:rPr>
          <w:rFonts w:ascii="Bookman Old Style" w:hAnsi="Bookman Old Style" w:cs="Calibri"/>
          <w:b/>
          <w:szCs w:val="24"/>
          <w:u w:val="single"/>
        </w:rPr>
        <w:t xml:space="preserve"> y entornos escolares, entre otros</w:t>
      </w:r>
      <w:r>
        <w:rPr>
          <w:rFonts w:ascii="Bookman Old Style" w:hAnsi="Bookman Old Style" w:cs="Calibri"/>
          <w:b/>
          <w:szCs w:val="24"/>
          <w:u w:val="single"/>
        </w:rPr>
        <w:t>.</w:t>
      </w:r>
    </w:p>
    <w:p w14:paraId="13574E89" w14:textId="77777777" w:rsidR="00F36280" w:rsidRPr="00485CC5" w:rsidRDefault="00F36280" w:rsidP="00254DDC">
      <w:pPr>
        <w:spacing w:before="100" w:beforeAutospacing="1" w:after="100" w:afterAutospacing="1" w:line="270" w:lineRule="atLeast"/>
        <w:ind w:left="284"/>
        <w:jc w:val="both"/>
        <w:rPr>
          <w:rFonts w:ascii="Bookman Old Style" w:hAnsi="Bookman Old Style" w:cs="Calibri"/>
        </w:rPr>
      </w:pPr>
      <w:r w:rsidRPr="00485CC5">
        <w:rPr>
          <w:rFonts w:ascii="Bookman Old Style" w:hAnsi="Bookman Old Style" w:cs="Calibri"/>
        </w:rPr>
        <w:t>Así mismo el Estado dedicará especial atención al enfermo dependiente o adicto y a su familia para fortalecerla en valores y principios que contribuyan a prevenir comportamientos que afecten el cuidado integral de la salud de las personas y, por consiguiente, de la comunidad, y desarrollará en forma permanente campañas de prevención contra el consumo de drogas o sustancias estupefacientes y en favor de la recuperación de los enfermos dependientes o adictos.</w:t>
      </w:r>
    </w:p>
    <w:p w14:paraId="28178D89" w14:textId="2494E3E1" w:rsidR="00BB5BB4" w:rsidRDefault="00F36280" w:rsidP="00F36280">
      <w:pPr>
        <w:pStyle w:val="NormalWeb"/>
        <w:spacing w:line="270" w:lineRule="atLeast"/>
        <w:jc w:val="both"/>
        <w:rPr>
          <w:rFonts w:ascii="Bookman Old Style" w:hAnsi="Bookman Old Style" w:cs="Calibri"/>
          <w:b/>
          <w:bCs/>
          <w:sz w:val="22"/>
          <w:szCs w:val="22"/>
        </w:rPr>
      </w:pPr>
      <w:r w:rsidRPr="00485CC5">
        <w:rPr>
          <w:rFonts w:ascii="Bookman Old Style" w:hAnsi="Bookman Old Style" w:cs="Calibri"/>
          <w:b/>
          <w:bCs/>
          <w:sz w:val="22"/>
          <w:szCs w:val="22"/>
        </w:rPr>
        <w:t>ARTÍCULO 2</w:t>
      </w:r>
      <w:r w:rsidR="00BB5BB4">
        <w:rPr>
          <w:rFonts w:ascii="Bookman Old Style" w:hAnsi="Bookman Old Style" w:cs="Calibri"/>
          <w:b/>
          <w:bCs/>
          <w:sz w:val="22"/>
          <w:szCs w:val="22"/>
        </w:rPr>
        <w:t xml:space="preserve"> TRANSITORIO</w:t>
      </w:r>
      <w:r w:rsidRPr="00485CC5">
        <w:rPr>
          <w:rFonts w:ascii="Bookman Old Style" w:hAnsi="Bookman Old Style" w:cs="Calibri"/>
          <w:b/>
          <w:bCs/>
          <w:sz w:val="22"/>
          <w:szCs w:val="22"/>
        </w:rPr>
        <w:t>.</w:t>
      </w:r>
      <w:r w:rsidR="00BB5BB4">
        <w:rPr>
          <w:rFonts w:ascii="Bookman Old Style" w:hAnsi="Bookman Old Style" w:cs="Calibri"/>
          <w:b/>
          <w:bCs/>
          <w:sz w:val="22"/>
          <w:szCs w:val="22"/>
        </w:rPr>
        <w:t xml:space="preserve"> </w:t>
      </w:r>
      <w:r w:rsidR="00BB5BB4">
        <w:rPr>
          <w:rFonts w:ascii="Bookman Old Style" w:hAnsi="Bookman Old Style" w:cs="Calibri"/>
          <w:sz w:val="22"/>
          <w:szCs w:val="22"/>
        </w:rPr>
        <w:t>El Gobierno Nacional tendrá un plazo de seis (6) meses, contados a partir de la promulgación del presente Acto Legislativo, para formular, divulgar e implementar una política pública estricta en torno a la prevención y atención del consumo del cannabis, dicha política debe estar acompañada con una estrategia educativa nacional integral que tenga como objetivo la prevención del consumo.</w:t>
      </w:r>
      <w:r w:rsidRPr="00485CC5">
        <w:rPr>
          <w:rFonts w:ascii="Bookman Old Style" w:hAnsi="Bookman Old Style" w:cs="Calibri"/>
          <w:b/>
          <w:bCs/>
          <w:sz w:val="22"/>
          <w:szCs w:val="22"/>
        </w:rPr>
        <w:t xml:space="preserve"> </w:t>
      </w:r>
    </w:p>
    <w:p w14:paraId="176CA1E2" w14:textId="49ACA184" w:rsidR="00F36280" w:rsidRPr="00485CC5" w:rsidRDefault="00BB5BB4" w:rsidP="00F36280">
      <w:pPr>
        <w:pStyle w:val="NormalWeb"/>
        <w:spacing w:line="270" w:lineRule="atLeast"/>
        <w:jc w:val="both"/>
        <w:rPr>
          <w:rFonts w:ascii="Bookman Old Style" w:hAnsi="Bookman Old Style" w:cs="Calibri"/>
          <w:sz w:val="22"/>
          <w:szCs w:val="22"/>
        </w:rPr>
      </w:pPr>
      <w:r>
        <w:rPr>
          <w:rFonts w:ascii="Bookman Old Style" w:hAnsi="Bookman Old Style" w:cs="Calibri"/>
          <w:b/>
          <w:bCs/>
          <w:sz w:val="22"/>
          <w:szCs w:val="22"/>
        </w:rPr>
        <w:t xml:space="preserve">ARTÍCULO 3. </w:t>
      </w:r>
      <w:r w:rsidR="00F36280" w:rsidRPr="00485CC5">
        <w:rPr>
          <w:rFonts w:ascii="Bookman Old Style" w:hAnsi="Bookman Old Style" w:cs="Calibri"/>
          <w:b/>
          <w:bCs/>
          <w:sz w:val="22"/>
          <w:szCs w:val="22"/>
        </w:rPr>
        <w:t>VIGENCIA.</w:t>
      </w:r>
      <w:r w:rsidR="00470A0B">
        <w:rPr>
          <w:rFonts w:ascii="Bookman Old Style" w:hAnsi="Bookman Old Style" w:cs="Calibri"/>
          <w:sz w:val="22"/>
          <w:szCs w:val="22"/>
        </w:rPr>
        <w:t> El presente Acto Legislativo</w:t>
      </w:r>
      <w:r w:rsidR="00F36280" w:rsidRPr="00485CC5">
        <w:rPr>
          <w:rFonts w:ascii="Bookman Old Style" w:hAnsi="Bookman Old Style" w:cs="Calibri"/>
          <w:sz w:val="22"/>
          <w:szCs w:val="22"/>
        </w:rPr>
        <w:t xml:space="preserve"> rige a partir de su promulgación.</w:t>
      </w:r>
      <w:r>
        <w:rPr>
          <w:rFonts w:ascii="Bookman Old Style" w:hAnsi="Bookman Old Style" w:cs="Calibri"/>
          <w:sz w:val="22"/>
          <w:szCs w:val="22"/>
        </w:rPr>
        <w:t xml:space="preserve"> El artículo 1 entrará en vigencia doce (12) meses después de la promulgación de este acto legislativo.</w:t>
      </w:r>
    </w:p>
    <w:p w14:paraId="3D8B12D9" w14:textId="77777777" w:rsidR="00F36280" w:rsidRPr="00485CC5" w:rsidRDefault="00F36280" w:rsidP="00F36280">
      <w:pPr>
        <w:pStyle w:val="NormalWeb"/>
        <w:spacing w:line="270" w:lineRule="atLeast"/>
        <w:jc w:val="both"/>
        <w:rPr>
          <w:rFonts w:ascii="Bookman Old Style" w:hAnsi="Bookman Old Style" w:cs="Calibri"/>
          <w:sz w:val="22"/>
          <w:szCs w:val="22"/>
        </w:rPr>
      </w:pPr>
    </w:p>
    <w:p w14:paraId="1B5EEE12" w14:textId="77777777" w:rsidR="00F36280" w:rsidRPr="00485CC5" w:rsidRDefault="00F36280" w:rsidP="00F36280">
      <w:pPr>
        <w:jc w:val="both"/>
        <w:rPr>
          <w:rFonts w:ascii="Bookman Old Style" w:hAnsi="Bookman Old Style" w:cstheme="minorHAnsi"/>
        </w:rPr>
      </w:pPr>
      <w:r w:rsidRPr="00485CC5">
        <w:rPr>
          <w:rFonts w:ascii="Bookman Old Style" w:hAnsi="Bookman Old Style" w:cstheme="minorHAnsi"/>
        </w:rPr>
        <w:t xml:space="preserve">Cordialmente, </w:t>
      </w:r>
    </w:p>
    <w:p w14:paraId="23DFD6D9" w14:textId="4A171501" w:rsidR="00F36280" w:rsidRDefault="00F36280" w:rsidP="00F36280">
      <w:pPr>
        <w:rPr>
          <w:rFonts w:ascii="Bookman Old Style" w:hAnsi="Bookman Old Style" w:cstheme="minorHAnsi"/>
          <w:b/>
        </w:rPr>
      </w:pPr>
    </w:p>
    <w:tbl>
      <w:tblPr>
        <w:tblStyle w:val="Tablaconcuadrcula"/>
        <w:tblW w:w="0" w:type="auto"/>
        <w:jc w:val="center"/>
        <w:tblLook w:val="04A0" w:firstRow="1" w:lastRow="0" w:firstColumn="1" w:lastColumn="0" w:noHBand="0" w:noVBand="1"/>
      </w:tblPr>
      <w:tblGrid>
        <w:gridCol w:w="4390"/>
        <w:gridCol w:w="4348"/>
      </w:tblGrid>
      <w:tr w:rsidR="00011ACE" w:rsidRPr="00011ACE" w14:paraId="6A229186" w14:textId="77777777" w:rsidTr="002D7D3A">
        <w:trPr>
          <w:trHeight w:val="70"/>
          <w:jc w:val="center"/>
        </w:trPr>
        <w:tc>
          <w:tcPr>
            <w:tcW w:w="4390" w:type="dxa"/>
          </w:tcPr>
          <w:p w14:paraId="3FB00B14" w14:textId="77777777" w:rsidR="00011ACE" w:rsidRPr="00011ACE" w:rsidRDefault="00011ACE" w:rsidP="002D7D3A">
            <w:pPr>
              <w:tabs>
                <w:tab w:val="right" w:pos="8838"/>
              </w:tabs>
              <w:jc w:val="center"/>
              <w:rPr>
                <w:rFonts w:ascii="Bookman Old Style" w:hAnsi="Bookman Old Style" w:cs="Arial"/>
                <w:b/>
                <w:bCs/>
                <w:sz w:val="20"/>
                <w:szCs w:val="20"/>
                <w:lang w:val="es-ES_tradnl"/>
              </w:rPr>
            </w:pPr>
          </w:p>
          <w:p w14:paraId="5FA5D69B" w14:textId="77777777" w:rsidR="00011ACE" w:rsidRPr="00011ACE" w:rsidRDefault="00011ACE" w:rsidP="002D7D3A">
            <w:pPr>
              <w:tabs>
                <w:tab w:val="right" w:pos="8838"/>
              </w:tabs>
              <w:jc w:val="center"/>
              <w:rPr>
                <w:rFonts w:ascii="Bookman Old Style" w:hAnsi="Bookman Old Style" w:cs="Arial"/>
                <w:b/>
                <w:bCs/>
                <w:sz w:val="20"/>
                <w:szCs w:val="20"/>
                <w:lang w:val="es-ES_tradnl"/>
              </w:rPr>
            </w:pPr>
            <w:r w:rsidRPr="00011ACE">
              <w:rPr>
                <w:rFonts w:ascii="Bookman Old Style" w:hAnsi="Bookman Old Style" w:cs="Arial"/>
                <w:b/>
                <w:bCs/>
                <w:sz w:val="20"/>
                <w:szCs w:val="20"/>
                <w:lang w:val="es-ES_tradnl"/>
              </w:rPr>
              <w:t>JUAN CARLOS LOZADA VARGAS</w:t>
            </w:r>
          </w:p>
          <w:p w14:paraId="7826D810" w14:textId="77777777" w:rsidR="00011ACE" w:rsidRPr="00011ACE" w:rsidRDefault="00011ACE" w:rsidP="002D7D3A">
            <w:pPr>
              <w:tabs>
                <w:tab w:val="right" w:pos="8838"/>
              </w:tabs>
              <w:jc w:val="center"/>
              <w:rPr>
                <w:rFonts w:ascii="Bookman Old Style" w:hAnsi="Bookman Old Style" w:cs="Arial"/>
                <w:sz w:val="20"/>
                <w:szCs w:val="20"/>
                <w:lang w:val="es-ES_tradnl"/>
              </w:rPr>
            </w:pPr>
            <w:r w:rsidRPr="00011ACE">
              <w:rPr>
                <w:rFonts w:ascii="Bookman Old Style" w:hAnsi="Bookman Old Style" w:cs="Arial"/>
                <w:sz w:val="20"/>
                <w:szCs w:val="20"/>
                <w:lang w:val="es-ES_tradnl"/>
              </w:rPr>
              <w:t>Representante a la Cámara por Bogotá</w:t>
            </w:r>
          </w:p>
          <w:p w14:paraId="053BE344" w14:textId="77777777" w:rsidR="00011ACE" w:rsidRPr="00011ACE" w:rsidRDefault="00011ACE" w:rsidP="002D7D3A">
            <w:pPr>
              <w:tabs>
                <w:tab w:val="right" w:pos="8838"/>
              </w:tabs>
              <w:jc w:val="center"/>
              <w:rPr>
                <w:rFonts w:ascii="Bookman Old Style" w:hAnsi="Bookman Old Style" w:cs="Arial"/>
                <w:sz w:val="20"/>
                <w:szCs w:val="20"/>
                <w:lang w:val="es-ES_tradnl"/>
              </w:rPr>
            </w:pPr>
            <w:r w:rsidRPr="00011ACE">
              <w:rPr>
                <w:rFonts w:ascii="Bookman Old Style" w:hAnsi="Bookman Old Style" w:cs="Arial"/>
                <w:sz w:val="20"/>
                <w:szCs w:val="20"/>
                <w:lang w:val="es-ES_tradnl"/>
              </w:rPr>
              <w:t>Partido Liberal Colombiano</w:t>
            </w:r>
          </w:p>
        </w:tc>
        <w:tc>
          <w:tcPr>
            <w:tcW w:w="4348" w:type="dxa"/>
          </w:tcPr>
          <w:p w14:paraId="658A4825" w14:textId="77777777" w:rsidR="00011ACE" w:rsidRPr="00011ACE" w:rsidRDefault="00011ACE" w:rsidP="002D7D3A">
            <w:pPr>
              <w:tabs>
                <w:tab w:val="right" w:pos="8838"/>
              </w:tabs>
              <w:jc w:val="center"/>
              <w:rPr>
                <w:rFonts w:ascii="Bookman Old Style" w:hAnsi="Bookman Old Style" w:cs="Arial"/>
                <w:b/>
                <w:bCs/>
                <w:sz w:val="20"/>
                <w:szCs w:val="20"/>
                <w:lang w:val="es-ES_tradnl"/>
              </w:rPr>
            </w:pPr>
          </w:p>
          <w:p w14:paraId="04FEA63C" w14:textId="77777777" w:rsidR="00011ACE" w:rsidRPr="00011ACE" w:rsidRDefault="00011ACE" w:rsidP="002D7D3A">
            <w:pPr>
              <w:tabs>
                <w:tab w:val="right" w:pos="8838"/>
              </w:tabs>
              <w:jc w:val="center"/>
              <w:rPr>
                <w:rFonts w:ascii="Bookman Old Style" w:hAnsi="Bookman Old Style" w:cs="Arial"/>
                <w:b/>
                <w:bCs/>
                <w:sz w:val="20"/>
                <w:szCs w:val="20"/>
                <w:lang w:val="es-ES_tradnl"/>
              </w:rPr>
            </w:pPr>
            <w:r w:rsidRPr="00011ACE">
              <w:rPr>
                <w:rFonts w:ascii="Bookman Old Style" w:hAnsi="Bookman Old Style" w:cs="Arial"/>
                <w:b/>
                <w:bCs/>
                <w:sz w:val="20"/>
                <w:szCs w:val="20"/>
                <w:lang w:val="es-ES_tradnl"/>
              </w:rPr>
              <w:t>JUAN FERNANDO REYES KURI</w:t>
            </w:r>
          </w:p>
          <w:p w14:paraId="383C09C3" w14:textId="77777777" w:rsidR="00011ACE" w:rsidRPr="00011ACE" w:rsidRDefault="00011ACE" w:rsidP="002D7D3A">
            <w:pPr>
              <w:tabs>
                <w:tab w:val="right" w:pos="8838"/>
              </w:tabs>
              <w:jc w:val="center"/>
              <w:rPr>
                <w:rFonts w:ascii="Bookman Old Style" w:hAnsi="Bookman Old Style" w:cs="Arial"/>
                <w:sz w:val="20"/>
                <w:szCs w:val="20"/>
                <w:lang w:val="es-ES_tradnl"/>
              </w:rPr>
            </w:pPr>
            <w:r w:rsidRPr="00011ACE">
              <w:rPr>
                <w:rFonts w:ascii="Bookman Old Style" w:hAnsi="Bookman Old Style" w:cs="Arial"/>
                <w:sz w:val="20"/>
                <w:szCs w:val="20"/>
                <w:lang w:val="es-ES_tradnl"/>
              </w:rPr>
              <w:t>Representante a la Cámara por el Valle</w:t>
            </w:r>
          </w:p>
          <w:p w14:paraId="724F5FFE" w14:textId="77777777" w:rsidR="00011ACE" w:rsidRPr="00011ACE" w:rsidRDefault="00011ACE" w:rsidP="002D7D3A">
            <w:pPr>
              <w:tabs>
                <w:tab w:val="right" w:pos="8838"/>
              </w:tabs>
              <w:jc w:val="center"/>
              <w:rPr>
                <w:rFonts w:ascii="Bookman Old Style" w:hAnsi="Bookman Old Style" w:cs="Arial"/>
                <w:sz w:val="20"/>
                <w:szCs w:val="20"/>
                <w:lang w:val="es-ES_tradnl"/>
              </w:rPr>
            </w:pPr>
            <w:r w:rsidRPr="00011ACE">
              <w:rPr>
                <w:rFonts w:ascii="Bookman Old Style" w:hAnsi="Bookman Old Style" w:cs="Arial"/>
                <w:sz w:val="20"/>
                <w:szCs w:val="20"/>
                <w:lang w:val="es-ES_tradnl"/>
              </w:rPr>
              <w:t>Partido Liberal Colombiano</w:t>
            </w:r>
          </w:p>
        </w:tc>
      </w:tr>
      <w:tr w:rsidR="00011ACE" w:rsidRPr="00011ACE" w14:paraId="1858E8B0" w14:textId="77777777" w:rsidTr="002D7D3A">
        <w:trPr>
          <w:jc w:val="center"/>
        </w:trPr>
        <w:tc>
          <w:tcPr>
            <w:tcW w:w="4390" w:type="dxa"/>
          </w:tcPr>
          <w:p w14:paraId="4B35C46E" w14:textId="77777777" w:rsidR="00011ACE" w:rsidRPr="00011ACE" w:rsidRDefault="00011ACE" w:rsidP="002D7D3A">
            <w:pPr>
              <w:pStyle w:val="NormalWeb"/>
              <w:spacing w:before="0" w:beforeAutospacing="0" w:after="0" w:afterAutospacing="0"/>
              <w:jc w:val="center"/>
              <w:rPr>
                <w:rFonts w:ascii="Bookman Old Style" w:hAnsi="Bookman Old Style" w:cs="Arial"/>
                <w:b/>
                <w:bCs/>
                <w:color w:val="000000"/>
                <w:sz w:val="20"/>
                <w:szCs w:val="20"/>
                <w:bdr w:val="none" w:sz="0" w:space="0" w:color="auto" w:frame="1"/>
              </w:rPr>
            </w:pPr>
          </w:p>
          <w:p w14:paraId="68BD8860" w14:textId="77777777" w:rsidR="00011ACE" w:rsidRPr="00011ACE" w:rsidRDefault="00011ACE" w:rsidP="002D7D3A">
            <w:pPr>
              <w:pStyle w:val="NormalWeb"/>
              <w:spacing w:before="0" w:beforeAutospacing="0" w:after="0" w:afterAutospacing="0"/>
              <w:jc w:val="center"/>
              <w:rPr>
                <w:rFonts w:ascii="Bookman Old Style" w:hAnsi="Bookman Old Style" w:cs="Arial"/>
                <w:b/>
                <w:bCs/>
                <w:color w:val="000000"/>
                <w:sz w:val="20"/>
                <w:szCs w:val="20"/>
                <w:bdr w:val="none" w:sz="0" w:space="0" w:color="auto" w:frame="1"/>
              </w:rPr>
            </w:pPr>
            <w:r w:rsidRPr="00011ACE">
              <w:rPr>
                <w:rFonts w:ascii="Bookman Old Style" w:hAnsi="Bookman Old Style" w:cs="Arial"/>
                <w:b/>
                <w:bCs/>
                <w:color w:val="000000"/>
                <w:sz w:val="20"/>
                <w:szCs w:val="20"/>
                <w:bdr w:val="none" w:sz="0" w:space="0" w:color="auto" w:frame="1"/>
              </w:rPr>
              <w:t>MAURICIO ANDRÉS TORO ORJUELA</w:t>
            </w:r>
          </w:p>
          <w:p w14:paraId="4A25B19A" w14:textId="77777777" w:rsidR="00011ACE" w:rsidRPr="00011ACE" w:rsidRDefault="00011ACE" w:rsidP="002D7D3A">
            <w:pPr>
              <w:pStyle w:val="NormalWeb"/>
              <w:spacing w:before="0" w:beforeAutospacing="0" w:after="0" w:afterAutospacing="0"/>
              <w:jc w:val="center"/>
              <w:rPr>
                <w:rFonts w:ascii="Bookman Old Style" w:hAnsi="Bookman Old Style" w:cs="Arial"/>
                <w:color w:val="000000"/>
                <w:sz w:val="20"/>
                <w:szCs w:val="20"/>
                <w:bdr w:val="none" w:sz="0" w:space="0" w:color="auto" w:frame="1"/>
              </w:rPr>
            </w:pPr>
            <w:r w:rsidRPr="00011ACE">
              <w:rPr>
                <w:rFonts w:ascii="Bookman Old Style" w:hAnsi="Bookman Old Style" w:cs="Arial"/>
                <w:color w:val="000000"/>
                <w:sz w:val="20"/>
                <w:szCs w:val="20"/>
                <w:bdr w:val="none" w:sz="0" w:space="0" w:color="auto" w:frame="1"/>
              </w:rPr>
              <w:t>Representante a la Cámara por Bogotá</w:t>
            </w:r>
          </w:p>
          <w:p w14:paraId="231B3BE9" w14:textId="77777777" w:rsidR="00011ACE" w:rsidRPr="00011ACE" w:rsidRDefault="00011ACE" w:rsidP="002D7D3A">
            <w:pPr>
              <w:pStyle w:val="NormalWeb"/>
              <w:spacing w:before="0" w:beforeAutospacing="0" w:after="0" w:afterAutospacing="0"/>
              <w:jc w:val="center"/>
              <w:rPr>
                <w:rFonts w:ascii="Bookman Old Style" w:hAnsi="Bookman Old Style" w:cs="Arial"/>
                <w:color w:val="000000"/>
                <w:sz w:val="20"/>
                <w:szCs w:val="20"/>
                <w:bdr w:val="none" w:sz="0" w:space="0" w:color="auto" w:frame="1"/>
              </w:rPr>
            </w:pPr>
            <w:r w:rsidRPr="00011ACE">
              <w:rPr>
                <w:rFonts w:ascii="Bookman Old Style" w:hAnsi="Bookman Old Style" w:cs="Arial"/>
                <w:color w:val="000000"/>
                <w:sz w:val="20"/>
                <w:szCs w:val="20"/>
                <w:bdr w:val="none" w:sz="0" w:space="0" w:color="auto" w:frame="1"/>
              </w:rPr>
              <w:t>Partido Alianza Verde</w:t>
            </w:r>
          </w:p>
        </w:tc>
        <w:tc>
          <w:tcPr>
            <w:tcW w:w="4348" w:type="dxa"/>
          </w:tcPr>
          <w:p w14:paraId="66D620C0" w14:textId="77777777" w:rsidR="00011ACE" w:rsidRPr="00011ACE" w:rsidRDefault="00011ACE" w:rsidP="002D7D3A">
            <w:pPr>
              <w:pStyle w:val="NormalWeb"/>
              <w:spacing w:before="0" w:beforeAutospacing="0" w:after="0" w:afterAutospacing="0"/>
              <w:jc w:val="center"/>
              <w:rPr>
                <w:rFonts w:ascii="Bookman Old Style" w:hAnsi="Bookman Old Style" w:cs="Arial"/>
                <w:b/>
                <w:bCs/>
                <w:sz w:val="20"/>
                <w:szCs w:val="20"/>
                <w:lang w:val="es-ES_tradnl"/>
              </w:rPr>
            </w:pPr>
          </w:p>
          <w:p w14:paraId="3FB34E0D" w14:textId="77777777" w:rsidR="00011ACE" w:rsidRPr="00011ACE" w:rsidRDefault="00011ACE" w:rsidP="002D7D3A">
            <w:pPr>
              <w:pStyle w:val="NormalWeb"/>
              <w:spacing w:before="0" w:beforeAutospacing="0" w:after="0" w:afterAutospacing="0"/>
              <w:jc w:val="center"/>
              <w:rPr>
                <w:rFonts w:ascii="Bookman Old Style" w:hAnsi="Bookman Old Style" w:cs="Arial"/>
                <w:b/>
                <w:bCs/>
                <w:sz w:val="20"/>
                <w:szCs w:val="20"/>
                <w:lang w:val="es-ES_tradnl"/>
              </w:rPr>
            </w:pPr>
            <w:r w:rsidRPr="00011ACE">
              <w:rPr>
                <w:rFonts w:ascii="Bookman Old Style" w:hAnsi="Bookman Old Style" w:cs="Arial"/>
                <w:b/>
                <w:bCs/>
                <w:sz w:val="20"/>
                <w:szCs w:val="20"/>
                <w:lang w:val="es-ES_tradnl"/>
              </w:rPr>
              <w:t>RODRIGO ROJAS LARA</w:t>
            </w:r>
          </w:p>
          <w:p w14:paraId="5CC61C91" w14:textId="77777777" w:rsidR="00011ACE" w:rsidRPr="00011ACE" w:rsidRDefault="00011ACE" w:rsidP="002D7D3A">
            <w:pPr>
              <w:pStyle w:val="NormalWeb"/>
              <w:spacing w:before="0" w:beforeAutospacing="0" w:after="0" w:afterAutospacing="0"/>
              <w:jc w:val="center"/>
              <w:rPr>
                <w:rFonts w:ascii="Bookman Old Style" w:hAnsi="Bookman Old Style" w:cs="Arial"/>
                <w:sz w:val="20"/>
                <w:szCs w:val="20"/>
                <w:lang w:val="es-ES_tradnl"/>
              </w:rPr>
            </w:pPr>
            <w:r w:rsidRPr="00011ACE">
              <w:rPr>
                <w:rFonts w:ascii="Bookman Old Style" w:hAnsi="Bookman Old Style" w:cs="Arial"/>
                <w:sz w:val="20"/>
                <w:szCs w:val="20"/>
                <w:lang w:val="es-ES_tradnl"/>
              </w:rPr>
              <w:t>Representante a la Cámara</w:t>
            </w:r>
          </w:p>
          <w:p w14:paraId="3742CA55" w14:textId="77777777" w:rsidR="00011ACE" w:rsidRPr="00011ACE" w:rsidRDefault="00011ACE" w:rsidP="002D7D3A">
            <w:pPr>
              <w:pStyle w:val="NormalWeb"/>
              <w:spacing w:before="0" w:beforeAutospacing="0" w:after="0" w:afterAutospacing="0"/>
              <w:jc w:val="center"/>
              <w:rPr>
                <w:rFonts w:ascii="Bookman Old Style" w:hAnsi="Bookman Old Style" w:cs="Arial"/>
                <w:sz w:val="20"/>
                <w:szCs w:val="20"/>
                <w:lang w:val="es-ES_tradnl"/>
              </w:rPr>
            </w:pPr>
            <w:r w:rsidRPr="00011ACE">
              <w:rPr>
                <w:rFonts w:ascii="Bookman Old Style" w:hAnsi="Bookman Old Style" w:cs="Arial"/>
                <w:sz w:val="20"/>
                <w:szCs w:val="20"/>
                <w:lang w:val="es-ES_tradnl"/>
              </w:rPr>
              <w:t>Partido Liberal Colombiano</w:t>
            </w:r>
          </w:p>
        </w:tc>
      </w:tr>
      <w:tr w:rsidR="00011ACE" w:rsidRPr="00011ACE" w14:paraId="62E2CF07" w14:textId="77777777" w:rsidTr="002D7D3A">
        <w:trPr>
          <w:jc w:val="center"/>
        </w:trPr>
        <w:tc>
          <w:tcPr>
            <w:tcW w:w="4390" w:type="dxa"/>
          </w:tcPr>
          <w:p w14:paraId="25E35831" w14:textId="77777777" w:rsidR="00011ACE" w:rsidRPr="00011ACE" w:rsidRDefault="00011ACE" w:rsidP="002D7D3A">
            <w:pPr>
              <w:pStyle w:val="NormalWeb"/>
              <w:spacing w:before="0" w:beforeAutospacing="0" w:after="0" w:afterAutospacing="0"/>
              <w:jc w:val="center"/>
              <w:rPr>
                <w:rFonts w:ascii="Bookman Old Style" w:hAnsi="Bookman Old Style" w:cs="Arial"/>
                <w:b/>
                <w:bCs/>
                <w:color w:val="000000"/>
                <w:sz w:val="20"/>
                <w:szCs w:val="20"/>
                <w:bdr w:val="none" w:sz="0" w:space="0" w:color="auto" w:frame="1"/>
              </w:rPr>
            </w:pPr>
          </w:p>
          <w:p w14:paraId="1DBB28BE" w14:textId="77777777" w:rsidR="00011ACE" w:rsidRPr="00011ACE" w:rsidRDefault="00011ACE" w:rsidP="002D7D3A">
            <w:pPr>
              <w:pStyle w:val="NormalWeb"/>
              <w:spacing w:before="0" w:beforeAutospacing="0" w:after="0" w:afterAutospacing="0"/>
              <w:jc w:val="center"/>
              <w:rPr>
                <w:rFonts w:ascii="Bookman Old Style" w:hAnsi="Bookman Old Style" w:cs="Arial"/>
                <w:b/>
                <w:bCs/>
                <w:color w:val="000000"/>
                <w:sz w:val="20"/>
                <w:szCs w:val="20"/>
                <w:bdr w:val="none" w:sz="0" w:space="0" w:color="auto" w:frame="1"/>
              </w:rPr>
            </w:pPr>
            <w:r w:rsidRPr="00011ACE">
              <w:rPr>
                <w:rFonts w:ascii="Bookman Old Style" w:hAnsi="Bookman Old Style" w:cs="Arial"/>
                <w:b/>
                <w:bCs/>
                <w:color w:val="000000"/>
                <w:sz w:val="20"/>
                <w:szCs w:val="20"/>
                <w:bdr w:val="none" w:sz="0" w:space="0" w:color="auto" w:frame="1"/>
              </w:rPr>
              <w:t>JOSÉ DANIEL LOPEZ</w:t>
            </w:r>
          </w:p>
          <w:p w14:paraId="3016CBCE" w14:textId="77777777" w:rsidR="00011ACE" w:rsidRPr="00011ACE" w:rsidRDefault="00011ACE" w:rsidP="002D7D3A">
            <w:pPr>
              <w:pStyle w:val="NormalWeb"/>
              <w:spacing w:before="0" w:beforeAutospacing="0" w:after="0" w:afterAutospacing="0"/>
              <w:jc w:val="center"/>
              <w:rPr>
                <w:rFonts w:ascii="Bookman Old Style" w:hAnsi="Bookman Old Style" w:cs="Arial"/>
                <w:color w:val="000000"/>
                <w:sz w:val="20"/>
                <w:szCs w:val="20"/>
                <w:bdr w:val="none" w:sz="0" w:space="0" w:color="auto" w:frame="1"/>
              </w:rPr>
            </w:pPr>
            <w:r w:rsidRPr="00011ACE">
              <w:rPr>
                <w:rFonts w:ascii="Bookman Old Style" w:hAnsi="Bookman Old Style" w:cs="Arial"/>
                <w:color w:val="000000"/>
                <w:sz w:val="20"/>
                <w:szCs w:val="20"/>
                <w:bdr w:val="none" w:sz="0" w:space="0" w:color="auto" w:frame="1"/>
              </w:rPr>
              <w:t>Representante a la Cámara por Bogotá</w:t>
            </w:r>
          </w:p>
        </w:tc>
        <w:tc>
          <w:tcPr>
            <w:tcW w:w="4348" w:type="dxa"/>
          </w:tcPr>
          <w:p w14:paraId="75955BF3" w14:textId="77777777" w:rsidR="00011ACE" w:rsidRPr="00011ACE" w:rsidRDefault="00011ACE" w:rsidP="002D7D3A">
            <w:pPr>
              <w:pStyle w:val="NormalWeb"/>
              <w:spacing w:before="0" w:beforeAutospacing="0" w:after="0" w:afterAutospacing="0"/>
              <w:jc w:val="center"/>
              <w:rPr>
                <w:rFonts w:ascii="Bookman Old Style" w:hAnsi="Bookman Old Style" w:cs="Arial"/>
                <w:b/>
                <w:bCs/>
                <w:color w:val="000000"/>
                <w:sz w:val="20"/>
                <w:szCs w:val="20"/>
                <w:bdr w:val="none" w:sz="0" w:space="0" w:color="auto" w:frame="1"/>
              </w:rPr>
            </w:pPr>
          </w:p>
          <w:p w14:paraId="7DF5695E" w14:textId="77777777" w:rsidR="00011ACE" w:rsidRPr="00011ACE" w:rsidRDefault="00011ACE" w:rsidP="002D7D3A">
            <w:pPr>
              <w:pStyle w:val="NormalWeb"/>
              <w:spacing w:before="0" w:beforeAutospacing="0" w:after="0" w:afterAutospacing="0"/>
              <w:jc w:val="center"/>
              <w:rPr>
                <w:rFonts w:ascii="Bookman Old Style" w:hAnsi="Bookman Old Style" w:cs="Arial"/>
                <w:b/>
                <w:bCs/>
                <w:color w:val="000000"/>
                <w:sz w:val="20"/>
                <w:szCs w:val="20"/>
                <w:bdr w:val="none" w:sz="0" w:space="0" w:color="auto" w:frame="1"/>
              </w:rPr>
            </w:pPr>
            <w:r w:rsidRPr="00011ACE">
              <w:rPr>
                <w:rFonts w:ascii="Bookman Old Style" w:hAnsi="Bookman Old Style" w:cs="Arial"/>
                <w:b/>
                <w:bCs/>
                <w:color w:val="000000"/>
                <w:sz w:val="20"/>
                <w:szCs w:val="20"/>
                <w:bdr w:val="none" w:sz="0" w:space="0" w:color="auto" w:frame="1"/>
              </w:rPr>
              <w:t>JORGE ENRIQUE BENEDETTI M</w:t>
            </w:r>
          </w:p>
          <w:p w14:paraId="4AD83129" w14:textId="77777777" w:rsidR="00011ACE" w:rsidRPr="00011ACE" w:rsidRDefault="00011ACE" w:rsidP="002D7D3A">
            <w:pPr>
              <w:pStyle w:val="NormalWeb"/>
              <w:spacing w:before="0" w:beforeAutospacing="0" w:after="0" w:afterAutospacing="0"/>
              <w:jc w:val="center"/>
              <w:rPr>
                <w:rFonts w:ascii="Bookman Old Style" w:hAnsi="Bookman Old Style" w:cs="Arial"/>
                <w:color w:val="000000"/>
                <w:sz w:val="20"/>
                <w:szCs w:val="20"/>
                <w:bdr w:val="none" w:sz="0" w:space="0" w:color="auto" w:frame="1"/>
              </w:rPr>
            </w:pPr>
            <w:r w:rsidRPr="00011ACE">
              <w:rPr>
                <w:rFonts w:ascii="Bookman Old Style" w:hAnsi="Bookman Old Style" w:cs="Arial"/>
                <w:color w:val="000000"/>
                <w:sz w:val="20"/>
                <w:szCs w:val="20"/>
                <w:bdr w:val="none" w:sz="0" w:space="0" w:color="auto" w:frame="1"/>
              </w:rPr>
              <w:t>Representante a la Cámara por Bolívar</w:t>
            </w:r>
          </w:p>
        </w:tc>
      </w:tr>
      <w:tr w:rsidR="00011ACE" w:rsidRPr="00011ACE" w14:paraId="42E704C3" w14:textId="77777777" w:rsidTr="002D7D3A">
        <w:trPr>
          <w:jc w:val="center"/>
        </w:trPr>
        <w:tc>
          <w:tcPr>
            <w:tcW w:w="4390" w:type="dxa"/>
          </w:tcPr>
          <w:p w14:paraId="322D3748" w14:textId="77777777" w:rsidR="00011ACE" w:rsidRPr="00011ACE" w:rsidRDefault="00011ACE" w:rsidP="002D7D3A">
            <w:pPr>
              <w:jc w:val="center"/>
              <w:rPr>
                <w:rFonts w:ascii="Bookman Old Style" w:hAnsi="Bookman Old Style"/>
                <w:b/>
                <w:bCs/>
                <w:sz w:val="20"/>
                <w:szCs w:val="20"/>
                <w:bdr w:val="none" w:sz="0" w:space="0" w:color="auto" w:frame="1"/>
              </w:rPr>
            </w:pPr>
          </w:p>
          <w:p w14:paraId="0BAE82AD" w14:textId="77777777" w:rsidR="00011ACE" w:rsidRPr="00011ACE" w:rsidRDefault="00011ACE" w:rsidP="002D7D3A">
            <w:pPr>
              <w:jc w:val="center"/>
              <w:rPr>
                <w:rFonts w:ascii="Bookman Old Style" w:hAnsi="Bookman Old Style"/>
                <w:b/>
                <w:bCs/>
                <w:sz w:val="20"/>
                <w:szCs w:val="20"/>
                <w:bdr w:val="none" w:sz="0" w:space="0" w:color="auto" w:frame="1"/>
              </w:rPr>
            </w:pPr>
            <w:r w:rsidRPr="00011ACE">
              <w:rPr>
                <w:rFonts w:ascii="Bookman Old Style" w:hAnsi="Bookman Old Style"/>
                <w:b/>
                <w:bCs/>
                <w:sz w:val="20"/>
                <w:szCs w:val="20"/>
                <w:bdr w:val="none" w:sz="0" w:space="0" w:color="auto" w:frame="1"/>
              </w:rPr>
              <w:t>JUANITA GOEBERTUS ESTRADA</w:t>
            </w:r>
          </w:p>
          <w:p w14:paraId="40D7DF32" w14:textId="77777777" w:rsidR="00011ACE" w:rsidRPr="00011ACE" w:rsidRDefault="00011ACE" w:rsidP="002D7D3A">
            <w:pPr>
              <w:jc w:val="center"/>
              <w:rPr>
                <w:rFonts w:ascii="Bookman Old Style" w:hAnsi="Bookman Old Style"/>
                <w:sz w:val="20"/>
                <w:szCs w:val="20"/>
                <w:bdr w:val="none" w:sz="0" w:space="0" w:color="auto" w:frame="1"/>
              </w:rPr>
            </w:pPr>
            <w:r w:rsidRPr="00011ACE">
              <w:rPr>
                <w:rFonts w:ascii="Bookman Old Style" w:hAnsi="Bookman Old Style"/>
                <w:sz w:val="20"/>
                <w:szCs w:val="20"/>
                <w:bdr w:val="none" w:sz="0" w:space="0" w:color="auto" w:frame="1"/>
              </w:rPr>
              <w:t>Representante a la Cámara por Bogotá</w:t>
            </w:r>
          </w:p>
        </w:tc>
        <w:tc>
          <w:tcPr>
            <w:tcW w:w="4348" w:type="dxa"/>
          </w:tcPr>
          <w:p w14:paraId="349A4B6B" w14:textId="77777777" w:rsidR="00011ACE" w:rsidRPr="00011ACE" w:rsidRDefault="00011ACE" w:rsidP="002D7D3A">
            <w:pPr>
              <w:pStyle w:val="NormalWeb"/>
              <w:spacing w:before="0" w:beforeAutospacing="0" w:after="0" w:afterAutospacing="0"/>
              <w:jc w:val="center"/>
              <w:rPr>
                <w:rFonts w:ascii="Bookman Old Style" w:hAnsi="Bookman Old Style" w:cs="Arial"/>
                <w:b/>
                <w:bCs/>
                <w:color w:val="000000"/>
                <w:sz w:val="20"/>
                <w:szCs w:val="20"/>
                <w:bdr w:val="none" w:sz="0" w:space="0" w:color="auto" w:frame="1"/>
              </w:rPr>
            </w:pPr>
          </w:p>
          <w:p w14:paraId="1E4C21F0" w14:textId="77777777" w:rsidR="00011ACE" w:rsidRPr="00011ACE" w:rsidRDefault="00011ACE" w:rsidP="002D7D3A">
            <w:pPr>
              <w:pStyle w:val="NormalWeb"/>
              <w:spacing w:before="0" w:beforeAutospacing="0" w:after="0" w:afterAutospacing="0"/>
              <w:jc w:val="center"/>
              <w:rPr>
                <w:rFonts w:ascii="Bookman Old Style" w:hAnsi="Bookman Old Style" w:cs="Arial"/>
                <w:b/>
                <w:bCs/>
                <w:color w:val="000000"/>
                <w:sz w:val="20"/>
                <w:szCs w:val="20"/>
                <w:bdr w:val="none" w:sz="0" w:space="0" w:color="auto" w:frame="1"/>
              </w:rPr>
            </w:pPr>
            <w:r w:rsidRPr="00011ACE">
              <w:rPr>
                <w:rFonts w:ascii="Bookman Old Style" w:hAnsi="Bookman Old Style" w:cs="Arial"/>
                <w:b/>
                <w:bCs/>
                <w:color w:val="000000"/>
                <w:sz w:val="20"/>
                <w:szCs w:val="20"/>
                <w:bdr w:val="none" w:sz="0" w:space="0" w:color="auto" w:frame="1"/>
              </w:rPr>
              <w:t>CARLOS ARDILA ESPINOSA</w:t>
            </w:r>
          </w:p>
          <w:p w14:paraId="69BEB466" w14:textId="77777777" w:rsidR="00011ACE" w:rsidRPr="00011ACE" w:rsidRDefault="00011ACE" w:rsidP="002D7D3A">
            <w:pPr>
              <w:pStyle w:val="NormalWeb"/>
              <w:spacing w:before="0" w:beforeAutospacing="0" w:after="0" w:afterAutospacing="0"/>
              <w:jc w:val="center"/>
              <w:rPr>
                <w:rFonts w:ascii="Bookman Old Style" w:hAnsi="Bookman Old Style" w:cs="Arial"/>
                <w:color w:val="000000"/>
                <w:sz w:val="20"/>
                <w:szCs w:val="20"/>
                <w:bdr w:val="none" w:sz="0" w:space="0" w:color="auto" w:frame="1"/>
              </w:rPr>
            </w:pPr>
            <w:r w:rsidRPr="00011ACE">
              <w:rPr>
                <w:rFonts w:ascii="Bookman Old Style" w:hAnsi="Bookman Old Style" w:cs="Arial"/>
                <w:color w:val="000000"/>
                <w:sz w:val="20"/>
                <w:szCs w:val="20"/>
                <w:bdr w:val="none" w:sz="0" w:space="0" w:color="auto" w:frame="1"/>
              </w:rPr>
              <w:t>Representante a la Cámara</w:t>
            </w:r>
          </w:p>
          <w:p w14:paraId="541BA071" w14:textId="77777777" w:rsidR="00011ACE" w:rsidRPr="00011ACE" w:rsidRDefault="00011ACE" w:rsidP="002D7D3A">
            <w:pPr>
              <w:pStyle w:val="NormalWeb"/>
              <w:spacing w:before="0" w:beforeAutospacing="0" w:after="0" w:afterAutospacing="0"/>
              <w:jc w:val="center"/>
              <w:rPr>
                <w:rFonts w:ascii="Bookman Old Style" w:hAnsi="Bookman Old Style" w:cs="Arial"/>
                <w:color w:val="000000"/>
                <w:sz w:val="20"/>
                <w:szCs w:val="20"/>
                <w:bdr w:val="none" w:sz="0" w:space="0" w:color="auto" w:frame="1"/>
              </w:rPr>
            </w:pPr>
            <w:r w:rsidRPr="00011ACE">
              <w:rPr>
                <w:rFonts w:ascii="Bookman Old Style" w:hAnsi="Bookman Old Style" w:cs="Arial"/>
                <w:color w:val="000000"/>
                <w:sz w:val="20"/>
                <w:szCs w:val="20"/>
                <w:bdr w:val="none" w:sz="0" w:space="0" w:color="auto" w:frame="1"/>
              </w:rPr>
              <w:t>Departamento del Putumayo</w:t>
            </w:r>
          </w:p>
        </w:tc>
      </w:tr>
      <w:tr w:rsidR="00011ACE" w:rsidRPr="00011ACE" w14:paraId="05F7643B" w14:textId="77777777" w:rsidTr="002D7D3A">
        <w:trPr>
          <w:jc w:val="center"/>
        </w:trPr>
        <w:tc>
          <w:tcPr>
            <w:tcW w:w="4390" w:type="dxa"/>
          </w:tcPr>
          <w:p w14:paraId="33AE9464" w14:textId="77777777" w:rsidR="00011ACE" w:rsidRPr="00011ACE" w:rsidRDefault="00011ACE" w:rsidP="002D7D3A">
            <w:pPr>
              <w:tabs>
                <w:tab w:val="right" w:pos="8838"/>
              </w:tabs>
              <w:jc w:val="center"/>
              <w:rPr>
                <w:rFonts w:ascii="Bookman Old Style" w:hAnsi="Bookman Old Style" w:cs="Arial"/>
                <w:b/>
                <w:bCs/>
                <w:noProof/>
                <w:color w:val="000000"/>
                <w:sz w:val="20"/>
                <w:szCs w:val="20"/>
                <w:bdr w:val="none" w:sz="0" w:space="0" w:color="auto" w:frame="1"/>
              </w:rPr>
            </w:pPr>
          </w:p>
          <w:p w14:paraId="4B7F9B37" w14:textId="77777777" w:rsidR="00011ACE" w:rsidRPr="00011ACE" w:rsidRDefault="00011ACE" w:rsidP="002D7D3A">
            <w:pPr>
              <w:tabs>
                <w:tab w:val="right" w:pos="8838"/>
              </w:tabs>
              <w:jc w:val="center"/>
              <w:rPr>
                <w:rFonts w:ascii="Bookman Old Style" w:hAnsi="Bookman Old Style" w:cs="Arial"/>
                <w:b/>
                <w:bCs/>
                <w:noProof/>
                <w:color w:val="000000"/>
                <w:sz w:val="20"/>
                <w:szCs w:val="20"/>
                <w:bdr w:val="none" w:sz="0" w:space="0" w:color="auto" w:frame="1"/>
              </w:rPr>
            </w:pPr>
            <w:r w:rsidRPr="00011ACE">
              <w:rPr>
                <w:rFonts w:ascii="Bookman Old Style" w:hAnsi="Bookman Old Style" w:cs="Arial"/>
                <w:b/>
                <w:bCs/>
                <w:noProof/>
                <w:color w:val="000000"/>
                <w:sz w:val="20"/>
                <w:szCs w:val="20"/>
                <w:bdr w:val="none" w:sz="0" w:space="0" w:color="auto" w:frame="1"/>
              </w:rPr>
              <w:t>JHON ARLEY MURILLO BENITEZ</w:t>
            </w:r>
          </w:p>
          <w:p w14:paraId="7972737B" w14:textId="77777777" w:rsidR="00011ACE" w:rsidRPr="00011ACE" w:rsidRDefault="00011ACE" w:rsidP="002D7D3A">
            <w:pPr>
              <w:tabs>
                <w:tab w:val="right" w:pos="8838"/>
              </w:tabs>
              <w:jc w:val="center"/>
              <w:rPr>
                <w:rFonts w:ascii="Bookman Old Style" w:hAnsi="Bookman Old Style" w:cs="Arial"/>
                <w:noProof/>
                <w:color w:val="000000"/>
                <w:sz w:val="20"/>
                <w:szCs w:val="20"/>
                <w:bdr w:val="none" w:sz="0" w:space="0" w:color="auto" w:frame="1"/>
              </w:rPr>
            </w:pPr>
            <w:r w:rsidRPr="00011ACE">
              <w:rPr>
                <w:rFonts w:ascii="Bookman Old Style" w:hAnsi="Bookman Old Style" w:cs="Arial"/>
                <w:noProof/>
                <w:color w:val="000000"/>
                <w:sz w:val="20"/>
                <w:szCs w:val="20"/>
                <w:bdr w:val="none" w:sz="0" w:space="0" w:color="auto" w:frame="1"/>
              </w:rPr>
              <w:t>Representante a la Cámara</w:t>
            </w:r>
          </w:p>
          <w:p w14:paraId="36C5221B" w14:textId="77777777" w:rsidR="00011ACE" w:rsidRPr="00011ACE" w:rsidRDefault="00011ACE" w:rsidP="002D7D3A">
            <w:pPr>
              <w:tabs>
                <w:tab w:val="right" w:pos="8838"/>
              </w:tabs>
              <w:jc w:val="center"/>
              <w:rPr>
                <w:rFonts w:ascii="Bookman Old Style" w:hAnsi="Bookman Old Style" w:cs="Arial"/>
                <w:noProof/>
                <w:color w:val="000000"/>
                <w:sz w:val="20"/>
                <w:szCs w:val="20"/>
                <w:bdr w:val="none" w:sz="0" w:space="0" w:color="auto" w:frame="1"/>
              </w:rPr>
            </w:pPr>
            <w:r w:rsidRPr="00011ACE">
              <w:rPr>
                <w:rFonts w:ascii="Bookman Old Style" w:hAnsi="Bookman Old Style" w:cs="Arial"/>
                <w:noProof/>
                <w:color w:val="000000"/>
                <w:sz w:val="20"/>
                <w:szCs w:val="20"/>
                <w:bdr w:val="none" w:sz="0" w:space="0" w:color="auto" w:frame="1"/>
              </w:rPr>
              <w:t>Circunscripción Especial Afro</w:t>
            </w:r>
          </w:p>
          <w:p w14:paraId="43BA395B" w14:textId="77777777" w:rsidR="00011ACE" w:rsidRPr="00011ACE" w:rsidRDefault="00011ACE" w:rsidP="002D7D3A">
            <w:pPr>
              <w:tabs>
                <w:tab w:val="right" w:pos="8838"/>
              </w:tabs>
              <w:jc w:val="center"/>
              <w:rPr>
                <w:rFonts w:ascii="Bookman Old Style" w:hAnsi="Bookman Old Style" w:cs="Arial"/>
                <w:noProof/>
                <w:color w:val="000000"/>
                <w:sz w:val="20"/>
                <w:szCs w:val="20"/>
                <w:bdr w:val="none" w:sz="0" w:space="0" w:color="auto" w:frame="1"/>
              </w:rPr>
            </w:pPr>
            <w:r w:rsidRPr="00011ACE">
              <w:rPr>
                <w:rFonts w:ascii="Bookman Old Style" w:hAnsi="Bookman Old Style" w:cs="Arial"/>
                <w:noProof/>
                <w:color w:val="000000"/>
                <w:sz w:val="20"/>
                <w:szCs w:val="20"/>
                <w:bdr w:val="none" w:sz="0" w:space="0" w:color="auto" w:frame="1"/>
              </w:rPr>
              <w:t>Partido Colombia Renaciente</w:t>
            </w:r>
          </w:p>
        </w:tc>
        <w:tc>
          <w:tcPr>
            <w:tcW w:w="4348" w:type="dxa"/>
          </w:tcPr>
          <w:p w14:paraId="5A371FD7" w14:textId="77777777" w:rsidR="00011ACE" w:rsidRPr="00011ACE" w:rsidRDefault="00011ACE" w:rsidP="002D7D3A">
            <w:pPr>
              <w:jc w:val="center"/>
              <w:rPr>
                <w:rFonts w:ascii="Bookman Old Style" w:hAnsi="Bookman Old Style" w:cs="Arial"/>
                <w:b/>
                <w:bCs/>
                <w:color w:val="000000"/>
                <w:sz w:val="20"/>
                <w:szCs w:val="20"/>
                <w:bdr w:val="none" w:sz="0" w:space="0" w:color="auto" w:frame="1"/>
              </w:rPr>
            </w:pPr>
          </w:p>
          <w:p w14:paraId="0FCD5566" w14:textId="77777777" w:rsidR="00011ACE" w:rsidRPr="00011ACE" w:rsidRDefault="00011ACE" w:rsidP="002D7D3A">
            <w:pPr>
              <w:jc w:val="center"/>
              <w:rPr>
                <w:rFonts w:ascii="Bookman Old Style" w:hAnsi="Bookman Old Style" w:cs="Arial"/>
                <w:b/>
                <w:bCs/>
                <w:color w:val="000000"/>
                <w:sz w:val="20"/>
                <w:szCs w:val="20"/>
                <w:bdr w:val="none" w:sz="0" w:space="0" w:color="auto" w:frame="1"/>
              </w:rPr>
            </w:pPr>
            <w:r w:rsidRPr="00011ACE">
              <w:rPr>
                <w:rFonts w:ascii="Bookman Old Style" w:hAnsi="Bookman Old Style" w:cs="Arial"/>
                <w:b/>
                <w:bCs/>
                <w:color w:val="000000"/>
                <w:sz w:val="20"/>
                <w:szCs w:val="20"/>
                <w:bdr w:val="none" w:sz="0" w:space="0" w:color="auto" w:frame="1"/>
              </w:rPr>
              <w:t>FABER ALBERTO MUÑOZ CERÓN</w:t>
            </w:r>
          </w:p>
          <w:p w14:paraId="5351D8CF" w14:textId="77777777" w:rsidR="00011ACE" w:rsidRPr="00011ACE" w:rsidRDefault="00011ACE" w:rsidP="002D7D3A">
            <w:pPr>
              <w:jc w:val="center"/>
              <w:rPr>
                <w:rFonts w:ascii="Bookman Old Style" w:hAnsi="Bookman Old Style" w:cs="Arial"/>
                <w:color w:val="000000"/>
                <w:sz w:val="20"/>
                <w:szCs w:val="20"/>
                <w:bdr w:val="none" w:sz="0" w:space="0" w:color="auto" w:frame="1"/>
              </w:rPr>
            </w:pPr>
            <w:r w:rsidRPr="00011ACE">
              <w:rPr>
                <w:rFonts w:ascii="Bookman Old Style" w:hAnsi="Bookman Old Style" w:cs="Arial"/>
                <w:color w:val="000000"/>
                <w:sz w:val="20"/>
                <w:szCs w:val="20"/>
                <w:bdr w:val="none" w:sz="0" w:space="0" w:color="auto" w:frame="1"/>
              </w:rPr>
              <w:t>Representante a la Cámara por Cauca</w:t>
            </w:r>
          </w:p>
        </w:tc>
      </w:tr>
      <w:tr w:rsidR="00011ACE" w:rsidRPr="00011ACE" w14:paraId="313DEC51" w14:textId="77777777" w:rsidTr="002D7D3A">
        <w:trPr>
          <w:trHeight w:val="120"/>
          <w:jc w:val="center"/>
        </w:trPr>
        <w:tc>
          <w:tcPr>
            <w:tcW w:w="4390" w:type="dxa"/>
          </w:tcPr>
          <w:p w14:paraId="7ECCD58A" w14:textId="77777777" w:rsidR="00011ACE" w:rsidRPr="00011ACE" w:rsidRDefault="00011ACE" w:rsidP="002D7D3A">
            <w:pPr>
              <w:tabs>
                <w:tab w:val="right" w:pos="8838"/>
              </w:tabs>
              <w:jc w:val="center"/>
              <w:rPr>
                <w:rFonts w:ascii="Bookman Old Style" w:hAnsi="Bookman Old Style" w:cs="Arial"/>
                <w:b/>
                <w:bCs/>
                <w:sz w:val="20"/>
                <w:szCs w:val="20"/>
                <w:lang w:val="es-ES_tradnl"/>
              </w:rPr>
            </w:pPr>
          </w:p>
          <w:p w14:paraId="1329127C" w14:textId="77777777" w:rsidR="00011ACE" w:rsidRPr="00011ACE" w:rsidRDefault="00011ACE" w:rsidP="002D7D3A">
            <w:pPr>
              <w:tabs>
                <w:tab w:val="right" w:pos="8838"/>
              </w:tabs>
              <w:jc w:val="center"/>
              <w:rPr>
                <w:rFonts w:ascii="Bookman Old Style" w:hAnsi="Bookman Old Style" w:cs="Arial"/>
                <w:b/>
                <w:bCs/>
                <w:sz w:val="20"/>
                <w:szCs w:val="20"/>
                <w:lang w:val="es-ES_tradnl"/>
              </w:rPr>
            </w:pPr>
            <w:r w:rsidRPr="00011ACE">
              <w:rPr>
                <w:rFonts w:ascii="Bookman Old Style" w:hAnsi="Bookman Old Style" w:cs="Arial"/>
                <w:b/>
                <w:bCs/>
                <w:sz w:val="20"/>
                <w:szCs w:val="20"/>
                <w:lang w:val="es-ES_tradnl"/>
              </w:rPr>
              <w:t>KATHERINE MIRANDA</w:t>
            </w:r>
          </w:p>
          <w:p w14:paraId="29B6E28F" w14:textId="77777777" w:rsidR="00011ACE" w:rsidRPr="00011ACE" w:rsidRDefault="00011ACE" w:rsidP="002D7D3A">
            <w:pPr>
              <w:tabs>
                <w:tab w:val="right" w:pos="8838"/>
              </w:tabs>
              <w:jc w:val="center"/>
              <w:rPr>
                <w:rFonts w:ascii="Bookman Old Style" w:hAnsi="Bookman Old Style" w:cs="Arial"/>
                <w:sz w:val="20"/>
                <w:szCs w:val="20"/>
                <w:lang w:val="es-ES_tradnl"/>
              </w:rPr>
            </w:pPr>
            <w:r w:rsidRPr="00011ACE">
              <w:rPr>
                <w:rFonts w:ascii="Bookman Old Style" w:hAnsi="Bookman Old Style" w:cs="Arial"/>
                <w:sz w:val="20"/>
                <w:szCs w:val="20"/>
                <w:lang w:val="es-ES_tradnl"/>
              </w:rPr>
              <w:t>Representante a la Cámara por Bogotá</w:t>
            </w:r>
          </w:p>
          <w:p w14:paraId="681E54AC" w14:textId="77777777" w:rsidR="00011ACE" w:rsidRPr="00011ACE" w:rsidRDefault="00011ACE" w:rsidP="002D7D3A">
            <w:pPr>
              <w:tabs>
                <w:tab w:val="right" w:pos="8838"/>
              </w:tabs>
              <w:jc w:val="center"/>
              <w:rPr>
                <w:rFonts w:ascii="Bookman Old Style" w:hAnsi="Bookman Old Style" w:cs="Arial"/>
                <w:sz w:val="20"/>
                <w:szCs w:val="20"/>
                <w:lang w:val="es-ES_tradnl"/>
              </w:rPr>
            </w:pPr>
            <w:r w:rsidRPr="00011ACE">
              <w:rPr>
                <w:rFonts w:ascii="Bookman Old Style" w:hAnsi="Bookman Old Style" w:cs="Arial"/>
                <w:sz w:val="20"/>
                <w:szCs w:val="20"/>
                <w:lang w:val="es-ES_tradnl"/>
              </w:rPr>
              <w:t>Partido Alianza Verde</w:t>
            </w:r>
          </w:p>
        </w:tc>
        <w:tc>
          <w:tcPr>
            <w:tcW w:w="4348" w:type="dxa"/>
          </w:tcPr>
          <w:p w14:paraId="6EA34AAF" w14:textId="77777777" w:rsidR="00011ACE" w:rsidRPr="00011ACE" w:rsidRDefault="00011ACE" w:rsidP="002D7D3A">
            <w:pPr>
              <w:tabs>
                <w:tab w:val="right" w:pos="8838"/>
              </w:tabs>
              <w:jc w:val="center"/>
              <w:rPr>
                <w:rFonts w:ascii="Bookman Old Style" w:hAnsi="Bookman Old Style" w:cs="Arial"/>
                <w:b/>
                <w:bCs/>
                <w:sz w:val="20"/>
                <w:szCs w:val="20"/>
                <w:lang w:val="es-ES_tradnl"/>
              </w:rPr>
            </w:pPr>
          </w:p>
          <w:p w14:paraId="0975139D" w14:textId="77777777" w:rsidR="00011ACE" w:rsidRPr="00011ACE" w:rsidRDefault="00011ACE" w:rsidP="002D7D3A">
            <w:pPr>
              <w:tabs>
                <w:tab w:val="right" w:pos="8838"/>
              </w:tabs>
              <w:jc w:val="center"/>
              <w:rPr>
                <w:rFonts w:ascii="Bookman Old Style" w:hAnsi="Bookman Old Style" w:cs="Arial"/>
                <w:b/>
                <w:bCs/>
                <w:sz w:val="20"/>
                <w:szCs w:val="20"/>
                <w:lang w:val="es-ES_tradnl"/>
              </w:rPr>
            </w:pPr>
            <w:r w:rsidRPr="00011ACE">
              <w:rPr>
                <w:rFonts w:ascii="Bookman Old Style" w:hAnsi="Bookman Old Style" w:cs="Arial"/>
                <w:b/>
                <w:bCs/>
                <w:sz w:val="20"/>
                <w:szCs w:val="20"/>
                <w:lang w:val="es-ES_tradnl"/>
              </w:rPr>
              <w:t>CARLOS GERMAN NAVAS TALERO</w:t>
            </w:r>
          </w:p>
          <w:p w14:paraId="6B7E2135" w14:textId="77777777" w:rsidR="00011ACE" w:rsidRPr="00011ACE" w:rsidRDefault="00011ACE" w:rsidP="002D7D3A">
            <w:pPr>
              <w:tabs>
                <w:tab w:val="right" w:pos="8838"/>
              </w:tabs>
              <w:jc w:val="center"/>
              <w:rPr>
                <w:rFonts w:ascii="Bookman Old Style" w:hAnsi="Bookman Old Style" w:cs="Arial"/>
                <w:sz w:val="20"/>
                <w:szCs w:val="20"/>
                <w:lang w:val="es-ES_tradnl"/>
              </w:rPr>
            </w:pPr>
            <w:r w:rsidRPr="00011ACE">
              <w:rPr>
                <w:rFonts w:ascii="Bookman Old Style" w:hAnsi="Bookman Old Style" w:cs="Arial"/>
                <w:sz w:val="20"/>
                <w:szCs w:val="20"/>
                <w:lang w:val="es-ES_tradnl"/>
              </w:rPr>
              <w:t>Representante a la Cámara por Bogotá</w:t>
            </w:r>
          </w:p>
          <w:p w14:paraId="60CCF0C7" w14:textId="77777777" w:rsidR="00011ACE" w:rsidRPr="00011ACE" w:rsidRDefault="00011ACE" w:rsidP="002D7D3A">
            <w:pPr>
              <w:tabs>
                <w:tab w:val="right" w:pos="8838"/>
              </w:tabs>
              <w:jc w:val="center"/>
              <w:rPr>
                <w:rFonts w:ascii="Bookman Old Style" w:hAnsi="Bookman Old Style" w:cs="Arial"/>
                <w:sz w:val="20"/>
                <w:szCs w:val="20"/>
                <w:lang w:val="es-ES_tradnl"/>
              </w:rPr>
            </w:pPr>
            <w:r w:rsidRPr="00011ACE">
              <w:rPr>
                <w:rFonts w:ascii="Bookman Old Style" w:hAnsi="Bookman Old Style" w:cs="Arial"/>
                <w:sz w:val="20"/>
                <w:szCs w:val="20"/>
                <w:lang w:val="es-ES_tradnl"/>
              </w:rPr>
              <w:t>Polo Democrático Alternativo</w:t>
            </w:r>
          </w:p>
        </w:tc>
      </w:tr>
      <w:tr w:rsidR="00011ACE" w:rsidRPr="00011ACE" w14:paraId="5D125F55" w14:textId="77777777" w:rsidTr="002D7D3A">
        <w:trPr>
          <w:jc w:val="center"/>
        </w:trPr>
        <w:tc>
          <w:tcPr>
            <w:tcW w:w="4390" w:type="dxa"/>
          </w:tcPr>
          <w:p w14:paraId="2F9FBA17" w14:textId="77777777" w:rsidR="00011ACE" w:rsidRPr="00011ACE" w:rsidRDefault="00011ACE" w:rsidP="002D7D3A">
            <w:pPr>
              <w:pStyle w:val="NormalWeb"/>
              <w:spacing w:before="0" w:beforeAutospacing="0" w:after="0" w:afterAutospacing="0"/>
              <w:jc w:val="center"/>
              <w:rPr>
                <w:rFonts w:ascii="Bookman Old Style" w:hAnsi="Bookman Old Style" w:cs="Arial"/>
                <w:b/>
                <w:bCs/>
                <w:color w:val="000000"/>
                <w:sz w:val="20"/>
                <w:szCs w:val="20"/>
              </w:rPr>
            </w:pPr>
          </w:p>
          <w:p w14:paraId="1DB2D5F4" w14:textId="77777777" w:rsidR="00011ACE" w:rsidRPr="00011ACE" w:rsidRDefault="00011ACE" w:rsidP="002D7D3A">
            <w:pPr>
              <w:pStyle w:val="NormalWeb"/>
              <w:spacing w:before="0" w:beforeAutospacing="0" w:after="0" w:afterAutospacing="0"/>
              <w:jc w:val="center"/>
              <w:rPr>
                <w:rFonts w:ascii="Bookman Old Style" w:hAnsi="Bookman Old Style" w:cs="Arial"/>
                <w:b/>
                <w:bCs/>
                <w:color w:val="000000"/>
                <w:sz w:val="20"/>
                <w:szCs w:val="20"/>
              </w:rPr>
            </w:pPr>
            <w:r w:rsidRPr="00011ACE">
              <w:rPr>
                <w:rFonts w:ascii="Bookman Old Style" w:hAnsi="Bookman Old Style" w:cs="Arial"/>
                <w:b/>
                <w:bCs/>
                <w:color w:val="000000"/>
                <w:sz w:val="20"/>
                <w:szCs w:val="20"/>
              </w:rPr>
              <w:t>ÁNGEL MARÍA GAITÁN PULIDO</w:t>
            </w:r>
          </w:p>
          <w:p w14:paraId="70C6C40F" w14:textId="77777777" w:rsidR="00011ACE" w:rsidRPr="00011ACE" w:rsidRDefault="00011ACE" w:rsidP="002D7D3A">
            <w:pPr>
              <w:pStyle w:val="NormalWeb"/>
              <w:spacing w:before="0" w:beforeAutospacing="0" w:after="0" w:afterAutospacing="0"/>
              <w:jc w:val="center"/>
              <w:rPr>
                <w:rFonts w:ascii="Bookman Old Style" w:hAnsi="Bookman Old Style" w:cs="Arial"/>
                <w:color w:val="000000"/>
                <w:sz w:val="20"/>
                <w:szCs w:val="20"/>
              </w:rPr>
            </w:pPr>
            <w:r w:rsidRPr="00011ACE">
              <w:rPr>
                <w:rFonts w:ascii="Bookman Old Style" w:hAnsi="Bookman Old Style" w:cs="Arial"/>
                <w:color w:val="000000"/>
                <w:sz w:val="20"/>
                <w:szCs w:val="20"/>
              </w:rPr>
              <w:t>Representante a la Cámara por Tolima</w:t>
            </w:r>
          </w:p>
          <w:p w14:paraId="145C6C29" w14:textId="77777777" w:rsidR="00011ACE" w:rsidRPr="00011ACE" w:rsidRDefault="00011ACE" w:rsidP="002D7D3A">
            <w:pPr>
              <w:pStyle w:val="NormalWeb"/>
              <w:spacing w:before="0" w:beforeAutospacing="0" w:after="0" w:afterAutospacing="0"/>
              <w:jc w:val="center"/>
              <w:rPr>
                <w:rFonts w:ascii="Bookman Old Style" w:hAnsi="Bookman Old Style" w:cs="Arial"/>
                <w:color w:val="000000"/>
                <w:sz w:val="20"/>
                <w:szCs w:val="20"/>
              </w:rPr>
            </w:pPr>
            <w:r w:rsidRPr="00011ACE">
              <w:rPr>
                <w:rFonts w:ascii="Bookman Old Style" w:hAnsi="Bookman Old Style" w:cs="Arial"/>
                <w:color w:val="000000"/>
                <w:sz w:val="20"/>
                <w:szCs w:val="20"/>
              </w:rPr>
              <w:t>Partido Liberal Colombiano</w:t>
            </w:r>
          </w:p>
        </w:tc>
        <w:tc>
          <w:tcPr>
            <w:tcW w:w="4348" w:type="dxa"/>
          </w:tcPr>
          <w:p w14:paraId="38AE2C59" w14:textId="77777777" w:rsidR="00011ACE" w:rsidRPr="00011ACE" w:rsidRDefault="00011ACE" w:rsidP="002D7D3A">
            <w:pPr>
              <w:tabs>
                <w:tab w:val="right" w:pos="8838"/>
              </w:tabs>
              <w:jc w:val="center"/>
              <w:rPr>
                <w:rFonts w:ascii="Bookman Old Style" w:hAnsi="Bookman Old Style" w:cs="Arial"/>
                <w:b/>
                <w:bCs/>
                <w:color w:val="000000"/>
                <w:sz w:val="20"/>
                <w:szCs w:val="20"/>
              </w:rPr>
            </w:pPr>
          </w:p>
          <w:p w14:paraId="0CE828CD" w14:textId="77777777" w:rsidR="00011ACE" w:rsidRPr="00011ACE" w:rsidRDefault="00011ACE" w:rsidP="002D7D3A">
            <w:pPr>
              <w:tabs>
                <w:tab w:val="right" w:pos="8838"/>
              </w:tabs>
              <w:jc w:val="center"/>
              <w:rPr>
                <w:rFonts w:ascii="Bookman Old Style" w:hAnsi="Bookman Old Style" w:cs="Arial"/>
                <w:b/>
                <w:bCs/>
                <w:color w:val="000000"/>
                <w:sz w:val="20"/>
                <w:szCs w:val="20"/>
              </w:rPr>
            </w:pPr>
            <w:r w:rsidRPr="00011ACE">
              <w:rPr>
                <w:rFonts w:ascii="Bookman Old Style" w:hAnsi="Bookman Old Style" w:cs="Arial"/>
                <w:b/>
                <w:bCs/>
                <w:color w:val="000000"/>
                <w:sz w:val="20"/>
                <w:szCs w:val="20"/>
              </w:rPr>
              <w:t>HARRY GIOVANNY GONZÁLEZ GARCÍA</w:t>
            </w:r>
          </w:p>
          <w:p w14:paraId="41720B7A" w14:textId="77777777" w:rsidR="00011ACE" w:rsidRPr="00011ACE" w:rsidRDefault="00011ACE" w:rsidP="002D7D3A">
            <w:pPr>
              <w:tabs>
                <w:tab w:val="right" w:pos="8838"/>
              </w:tabs>
              <w:jc w:val="center"/>
              <w:rPr>
                <w:rFonts w:ascii="Bookman Old Style" w:hAnsi="Bookman Old Style" w:cs="Arial"/>
                <w:color w:val="000000"/>
                <w:sz w:val="20"/>
                <w:szCs w:val="20"/>
              </w:rPr>
            </w:pPr>
            <w:r w:rsidRPr="00011ACE">
              <w:rPr>
                <w:rFonts w:ascii="Bookman Old Style" w:hAnsi="Bookman Old Style" w:cs="Arial"/>
                <w:color w:val="000000"/>
                <w:sz w:val="20"/>
                <w:szCs w:val="20"/>
              </w:rPr>
              <w:t>Representante a la Cámara</w:t>
            </w:r>
          </w:p>
          <w:p w14:paraId="4F2F1A57" w14:textId="77777777" w:rsidR="00011ACE" w:rsidRPr="00011ACE" w:rsidRDefault="00011ACE" w:rsidP="002D7D3A">
            <w:pPr>
              <w:tabs>
                <w:tab w:val="right" w:pos="8838"/>
              </w:tabs>
              <w:jc w:val="center"/>
              <w:rPr>
                <w:rFonts w:ascii="Bookman Old Style" w:hAnsi="Bookman Old Style" w:cs="Arial"/>
                <w:color w:val="000000"/>
                <w:sz w:val="20"/>
                <w:szCs w:val="20"/>
              </w:rPr>
            </w:pPr>
            <w:r w:rsidRPr="00011ACE">
              <w:rPr>
                <w:rFonts w:ascii="Bookman Old Style" w:hAnsi="Bookman Old Style" w:cs="Arial"/>
                <w:color w:val="000000"/>
                <w:sz w:val="20"/>
                <w:szCs w:val="20"/>
              </w:rPr>
              <w:t>Departamento del Caquetá</w:t>
            </w:r>
          </w:p>
        </w:tc>
      </w:tr>
      <w:tr w:rsidR="00011ACE" w:rsidRPr="00011ACE" w14:paraId="2D7653AB" w14:textId="77777777" w:rsidTr="002D7D3A">
        <w:trPr>
          <w:jc w:val="center"/>
        </w:trPr>
        <w:tc>
          <w:tcPr>
            <w:tcW w:w="4390" w:type="dxa"/>
          </w:tcPr>
          <w:p w14:paraId="24E03704" w14:textId="77777777" w:rsidR="00011ACE" w:rsidRPr="00011ACE" w:rsidRDefault="00011ACE" w:rsidP="002D7D3A">
            <w:pPr>
              <w:pStyle w:val="NormalWeb"/>
              <w:spacing w:before="0" w:beforeAutospacing="0" w:after="0" w:afterAutospacing="0"/>
              <w:jc w:val="center"/>
              <w:rPr>
                <w:rFonts w:ascii="Bookman Old Style" w:hAnsi="Bookman Old Style"/>
                <w:b/>
                <w:sz w:val="20"/>
                <w:szCs w:val="20"/>
              </w:rPr>
            </w:pPr>
          </w:p>
          <w:p w14:paraId="48AB66F3" w14:textId="77777777" w:rsidR="00011ACE" w:rsidRPr="00011ACE" w:rsidRDefault="00011ACE" w:rsidP="002D7D3A">
            <w:pPr>
              <w:pStyle w:val="NormalWeb"/>
              <w:spacing w:before="0" w:beforeAutospacing="0" w:after="0" w:afterAutospacing="0"/>
              <w:jc w:val="center"/>
              <w:rPr>
                <w:rFonts w:ascii="Bookman Old Style" w:hAnsi="Bookman Old Style"/>
                <w:b/>
                <w:sz w:val="20"/>
                <w:szCs w:val="20"/>
              </w:rPr>
            </w:pPr>
            <w:r w:rsidRPr="00011ACE">
              <w:rPr>
                <w:rFonts w:ascii="Bookman Old Style" w:hAnsi="Bookman Old Style"/>
                <w:b/>
                <w:sz w:val="20"/>
                <w:szCs w:val="20"/>
              </w:rPr>
              <w:t>CATALINA ORTIZ LALINDE</w:t>
            </w:r>
          </w:p>
          <w:p w14:paraId="72995197" w14:textId="77777777" w:rsidR="00011ACE" w:rsidRPr="00011ACE" w:rsidRDefault="00011ACE" w:rsidP="002D7D3A">
            <w:pPr>
              <w:pStyle w:val="NormalWeb"/>
              <w:spacing w:before="0" w:beforeAutospacing="0" w:after="0" w:afterAutospacing="0"/>
              <w:jc w:val="center"/>
              <w:rPr>
                <w:rFonts w:ascii="Bookman Old Style" w:hAnsi="Bookman Old Style"/>
                <w:bCs/>
                <w:sz w:val="20"/>
                <w:szCs w:val="20"/>
              </w:rPr>
            </w:pPr>
            <w:r w:rsidRPr="00011ACE">
              <w:rPr>
                <w:rFonts w:ascii="Bookman Old Style" w:hAnsi="Bookman Old Style"/>
                <w:bCs/>
                <w:sz w:val="20"/>
                <w:szCs w:val="20"/>
              </w:rPr>
              <w:t>Representante a la Cámara</w:t>
            </w:r>
          </w:p>
          <w:p w14:paraId="7EDBFB79" w14:textId="77777777" w:rsidR="00011ACE" w:rsidRPr="00011ACE" w:rsidRDefault="00011ACE" w:rsidP="002D7D3A">
            <w:pPr>
              <w:pStyle w:val="NormalWeb"/>
              <w:spacing w:before="0" w:beforeAutospacing="0" w:after="0" w:afterAutospacing="0"/>
              <w:jc w:val="center"/>
              <w:rPr>
                <w:rFonts w:ascii="Bookman Old Style" w:hAnsi="Bookman Old Style"/>
                <w:bCs/>
                <w:sz w:val="20"/>
                <w:szCs w:val="20"/>
              </w:rPr>
            </w:pPr>
            <w:r w:rsidRPr="00011ACE">
              <w:rPr>
                <w:rFonts w:ascii="Bookman Old Style" w:hAnsi="Bookman Old Style"/>
                <w:bCs/>
                <w:sz w:val="20"/>
                <w:szCs w:val="20"/>
              </w:rPr>
              <w:t>Partido Alianza Verde</w:t>
            </w:r>
          </w:p>
        </w:tc>
        <w:tc>
          <w:tcPr>
            <w:tcW w:w="4348" w:type="dxa"/>
          </w:tcPr>
          <w:p w14:paraId="584B4745" w14:textId="77777777" w:rsidR="00011ACE" w:rsidRPr="00011ACE" w:rsidRDefault="00011ACE" w:rsidP="002D7D3A">
            <w:pPr>
              <w:tabs>
                <w:tab w:val="right" w:pos="8838"/>
              </w:tabs>
              <w:jc w:val="center"/>
              <w:rPr>
                <w:rFonts w:ascii="Bookman Old Style" w:hAnsi="Bookman Old Style" w:cs="Arial"/>
                <w:b/>
                <w:bCs/>
                <w:sz w:val="20"/>
                <w:szCs w:val="20"/>
                <w:lang w:val="es-ES_tradnl"/>
              </w:rPr>
            </w:pPr>
          </w:p>
          <w:p w14:paraId="5AF9F4B6" w14:textId="77777777" w:rsidR="00011ACE" w:rsidRPr="00011ACE" w:rsidRDefault="00011ACE" w:rsidP="002D7D3A">
            <w:pPr>
              <w:tabs>
                <w:tab w:val="right" w:pos="8838"/>
              </w:tabs>
              <w:jc w:val="center"/>
              <w:rPr>
                <w:rFonts w:ascii="Bookman Old Style" w:hAnsi="Bookman Old Style" w:cs="Arial"/>
                <w:b/>
                <w:bCs/>
                <w:sz w:val="20"/>
                <w:szCs w:val="20"/>
                <w:lang w:val="es-ES_tradnl"/>
              </w:rPr>
            </w:pPr>
            <w:r w:rsidRPr="00011ACE">
              <w:rPr>
                <w:rFonts w:ascii="Bookman Old Style" w:hAnsi="Bookman Old Style" w:cs="Arial"/>
                <w:b/>
                <w:bCs/>
                <w:sz w:val="20"/>
                <w:szCs w:val="20"/>
                <w:lang w:val="es-ES_tradnl"/>
              </w:rPr>
              <w:t>MARÍA JOSÉ PIZARRO</w:t>
            </w:r>
          </w:p>
          <w:p w14:paraId="422DD15E" w14:textId="77777777" w:rsidR="00011ACE" w:rsidRPr="00011ACE" w:rsidRDefault="00011ACE" w:rsidP="002D7D3A">
            <w:pPr>
              <w:tabs>
                <w:tab w:val="right" w:pos="8838"/>
              </w:tabs>
              <w:jc w:val="center"/>
              <w:rPr>
                <w:rFonts w:ascii="Bookman Old Style" w:hAnsi="Bookman Old Style" w:cs="Arial"/>
                <w:sz w:val="20"/>
                <w:szCs w:val="20"/>
                <w:lang w:val="es-ES_tradnl"/>
              </w:rPr>
            </w:pPr>
            <w:r w:rsidRPr="00011ACE">
              <w:rPr>
                <w:rFonts w:ascii="Bookman Old Style" w:hAnsi="Bookman Old Style" w:cs="Arial"/>
                <w:sz w:val="20"/>
                <w:szCs w:val="20"/>
                <w:lang w:val="es-ES_tradnl"/>
              </w:rPr>
              <w:t>Representante a la Cámara</w:t>
            </w:r>
          </w:p>
          <w:p w14:paraId="72C5E886" w14:textId="77777777" w:rsidR="00011ACE" w:rsidRPr="00011ACE" w:rsidRDefault="00011ACE" w:rsidP="002D7D3A">
            <w:pPr>
              <w:tabs>
                <w:tab w:val="right" w:pos="8838"/>
              </w:tabs>
              <w:jc w:val="center"/>
              <w:rPr>
                <w:rFonts w:ascii="Bookman Old Style" w:hAnsi="Bookman Old Style" w:cs="Arial"/>
                <w:sz w:val="20"/>
                <w:szCs w:val="20"/>
                <w:lang w:val="es-ES_tradnl"/>
              </w:rPr>
            </w:pPr>
            <w:r w:rsidRPr="00011ACE">
              <w:rPr>
                <w:rFonts w:ascii="Bookman Old Style" w:hAnsi="Bookman Old Style" w:cs="Arial"/>
                <w:sz w:val="20"/>
                <w:szCs w:val="20"/>
                <w:lang w:val="es-ES_tradnl"/>
              </w:rPr>
              <w:t>Coalición Lista de la Decencia</w:t>
            </w:r>
          </w:p>
        </w:tc>
      </w:tr>
      <w:tr w:rsidR="00011ACE" w:rsidRPr="00011ACE" w14:paraId="69FCB07E" w14:textId="77777777" w:rsidTr="002D7D3A">
        <w:trPr>
          <w:jc w:val="center"/>
        </w:trPr>
        <w:tc>
          <w:tcPr>
            <w:tcW w:w="4390" w:type="dxa"/>
          </w:tcPr>
          <w:p w14:paraId="2F748BAF" w14:textId="77777777" w:rsidR="00011ACE" w:rsidRPr="00011ACE" w:rsidRDefault="00011ACE" w:rsidP="002D7D3A">
            <w:pPr>
              <w:pStyle w:val="NormalWeb"/>
              <w:spacing w:before="0" w:beforeAutospacing="0" w:after="0" w:afterAutospacing="0"/>
              <w:jc w:val="center"/>
              <w:rPr>
                <w:rFonts w:ascii="Bookman Old Style" w:hAnsi="Bookman Old Style" w:cs="Arial"/>
                <w:b/>
                <w:bCs/>
                <w:color w:val="000000"/>
                <w:sz w:val="20"/>
                <w:szCs w:val="20"/>
              </w:rPr>
            </w:pPr>
          </w:p>
          <w:p w14:paraId="251F73C5" w14:textId="77777777" w:rsidR="00011ACE" w:rsidRPr="00011ACE" w:rsidRDefault="00011ACE" w:rsidP="002D7D3A">
            <w:pPr>
              <w:pStyle w:val="NormalWeb"/>
              <w:spacing w:before="0" w:beforeAutospacing="0" w:after="0" w:afterAutospacing="0"/>
              <w:jc w:val="center"/>
              <w:rPr>
                <w:rFonts w:ascii="Bookman Old Style" w:hAnsi="Bookman Old Style" w:cs="Arial"/>
                <w:b/>
                <w:bCs/>
                <w:color w:val="000000"/>
                <w:sz w:val="20"/>
                <w:szCs w:val="20"/>
              </w:rPr>
            </w:pPr>
            <w:r w:rsidRPr="00011ACE">
              <w:rPr>
                <w:rFonts w:ascii="Bookman Old Style" w:hAnsi="Bookman Old Style" w:cs="Arial"/>
                <w:b/>
                <w:bCs/>
                <w:color w:val="000000"/>
                <w:sz w:val="20"/>
                <w:szCs w:val="20"/>
              </w:rPr>
              <w:t>HENRY FERNANDO CORREAL</w:t>
            </w:r>
          </w:p>
          <w:p w14:paraId="42A91313" w14:textId="77777777" w:rsidR="00011ACE" w:rsidRPr="00011ACE" w:rsidRDefault="00011ACE" w:rsidP="002D7D3A">
            <w:pPr>
              <w:pStyle w:val="NormalWeb"/>
              <w:spacing w:before="0" w:beforeAutospacing="0" w:after="0" w:afterAutospacing="0"/>
              <w:jc w:val="center"/>
              <w:rPr>
                <w:rFonts w:ascii="Bookman Old Style" w:hAnsi="Bookman Old Style" w:cs="Arial"/>
                <w:color w:val="000000"/>
                <w:sz w:val="20"/>
                <w:szCs w:val="20"/>
              </w:rPr>
            </w:pPr>
            <w:r w:rsidRPr="00011ACE">
              <w:rPr>
                <w:rFonts w:ascii="Bookman Old Style" w:hAnsi="Bookman Old Style" w:cs="Arial"/>
                <w:color w:val="000000"/>
                <w:sz w:val="20"/>
                <w:szCs w:val="20"/>
              </w:rPr>
              <w:t>Representante a la Cámara</w:t>
            </w:r>
          </w:p>
          <w:p w14:paraId="6B4D96D1" w14:textId="77777777" w:rsidR="00011ACE" w:rsidRPr="00011ACE" w:rsidRDefault="00011ACE" w:rsidP="002D7D3A">
            <w:pPr>
              <w:pStyle w:val="NormalWeb"/>
              <w:spacing w:before="0" w:beforeAutospacing="0" w:after="0" w:afterAutospacing="0"/>
              <w:jc w:val="center"/>
              <w:rPr>
                <w:rFonts w:ascii="Bookman Old Style" w:hAnsi="Bookman Old Style" w:cs="Arial"/>
                <w:color w:val="000000"/>
                <w:sz w:val="20"/>
                <w:szCs w:val="20"/>
              </w:rPr>
            </w:pPr>
            <w:r w:rsidRPr="00011ACE">
              <w:rPr>
                <w:rFonts w:ascii="Bookman Old Style" w:hAnsi="Bookman Old Style" w:cs="Arial"/>
                <w:color w:val="000000"/>
                <w:sz w:val="20"/>
                <w:szCs w:val="20"/>
              </w:rPr>
              <w:t>Partido Liberal Colombiano</w:t>
            </w:r>
          </w:p>
        </w:tc>
        <w:tc>
          <w:tcPr>
            <w:tcW w:w="4348" w:type="dxa"/>
          </w:tcPr>
          <w:p w14:paraId="1A9FC4BE" w14:textId="77777777" w:rsidR="00011ACE" w:rsidRPr="00011ACE" w:rsidRDefault="00011ACE" w:rsidP="002D7D3A">
            <w:pPr>
              <w:jc w:val="center"/>
              <w:rPr>
                <w:rFonts w:ascii="Bookman Old Style" w:hAnsi="Bookman Old Style" w:cs="Arial"/>
                <w:b/>
                <w:bCs/>
                <w:noProof/>
                <w:color w:val="000000"/>
                <w:sz w:val="20"/>
                <w:szCs w:val="20"/>
                <w:bdr w:val="none" w:sz="0" w:space="0" w:color="auto" w:frame="1"/>
              </w:rPr>
            </w:pPr>
          </w:p>
          <w:p w14:paraId="7E4B6764" w14:textId="77777777" w:rsidR="00011ACE" w:rsidRPr="00011ACE" w:rsidRDefault="00011ACE" w:rsidP="002D7D3A">
            <w:pPr>
              <w:jc w:val="center"/>
              <w:rPr>
                <w:rFonts w:ascii="Bookman Old Style" w:hAnsi="Bookman Old Style" w:cs="Arial"/>
                <w:b/>
                <w:bCs/>
                <w:noProof/>
                <w:color w:val="000000"/>
                <w:sz w:val="20"/>
                <w:szCs w:val="20"/>
                <w:bdr w:val="none" w:sz="0" w:space="0" w:color="auto" w:frame="1"/>
              </w:rPr>
            </w:pPr>
            <w:r w:rsidRPr="00011ACE">
              <w:rPr>
                <w:rFonts w:ascii="Bookman Old Style" w:hAnsi="Bookman Old Style" w:cs="Arial"/>
                <w:b/>
                <w:bCs/>
                <w:noProof/>
                <w:color w:val="000000"/>
                <w:sz w:val="20"/>
                <w:szCs w:val="20"/>
                <w:bdr w:val="none" w:sz="0" w:space="0" w:color="auto" w:frame="1"/>
              </w:rPr>
              <w:t>ANDRÉS DAVID CALLE AGUAS</w:t>
            </w:r>
          </w:p>
          <w:p w14:paraId="2DCA5446" w14:textId="77777777" w:rsidR="00011ACE" w:rsidRPr="00011ACE" w:rsidRDefault="00011ACE" w:rsidP="002D7D3A">
            <w:pPr>
              <w:jc w:val="center"/>
              <w:rPr>
                <w:rFonts w:ascii="Bookman Old Style" w:hAnsi="Bookman Old Style" w:cs="Arial"/>
                <w:noProof/>
                <w:color w:val="000000"/>
                <w:sz w:val="20"/>
                <w:szCs w:val="20"/>
                <w:bdr w:val="none" w:sz="0" w:space="0" w:color="auto" w:frame="1"/>
              </w:rPr>
            </w:pPr>
            <w:r w:rsidRPr="00011ACE">
              <w:rPr>
                <w:rFonts w:ascii="Bookman Old Style" w:hAnsi="Bookman Old Style" w:cs="Arial"/>
                <w:noProof/>
                <w:color w:val="000000"/>
                <w:sz w:val="20"/>
                <w:szCs w:val="20"/>
                <w:bdr w:val="none" w:sz="0" w:space="0" w:color="auto" w:frame="1"/>
              </w:rPr>
              <w:t>Representante a la Cámara</w:t>
            </w:r>
          </w:p>
          <w:p w14:paraId="460FDF77" w14:textId="77777777" w:rsidR="00011ACE" w:rsidRPr="00011ACE" w:rsidRDefault="00011ACE" w:rsidP="002D7D3A">
            <w:pPr>
              <w:jc w:val="center"/>
              <w:rPr>
                <w:rFonts w:ascii="Bookman Old Style" w:hAnsi="Bookman Old Style" w:cs="Arial"/>
                <w:noProof/>
                <w:color w:val="000000"/>
                <w:sz w:val="20"/>
                <w:szCs w:val="20"/>
                <w:bdr w:val="none" w:sz="0" w:space="0" w:color="auto" w:frame="1"/>
              </w:rPr>
            </w:pPr>
            <w:r w:rsidRPr="00011ACE">
              <w:rPr>
                <w:rFonts w:ascii="Bookman Old Style" w:hAnsi="Bookman Old Style" w:cs="Arial"/>
                <w:noProof/>
                <w:color w:val="000000"/>
                <w:sz w:val="20"/>
                <w:szCs w:val="20"/>
                <w:bdr w:val="none" w:sz="0" w:space="0" w:color="auto" w:frame="1"/>
              </w:rPr>
              <w:t>Partido Liberal Colombiano</w:t>
            </w:r>
          </w:p>
        </w:tc>
      </w:tr>
      <w:tr w:rsidR="00011ACE" w:rsidRPr="00011ACE" w14:paraId="3D7A317B" w14:textId="77777777" w:rsidTr="002D7D3A">
        <w:trPr>
          <w:jc w:val="center"/>
        </w:trPr>
        <w:tc>
          <w:tcPr>
            <w:tcW w:w="4390" w:type="dxa"/>
          </w:tcPr>
          <w:p w14:paraId="1E0BD0EE" w14:textId="77777777" w:rsidR="00011ACE" w:rsidRPr="00011ACE" w:rsidRDefault="00011ACE" w:rsidP="002D7D3A">
            <w:pPr>
              <w:pStyle w:val="NormalWeb"/>
              <w:spacing w:before="0" w:beforeAutospacing="0" w:after="0" w:afterAutospacing="0"/>
              <w:jc w:val="center"/>
              <w:rPr>
                <w:rFonts w:ascii="Bookman Old Style" w:hAnsi="Bookman Old Style" w:cs="Arial"/>
                <w:b/>
                <w:bCs/>
                <w:color w:val="000000"/>
                <w:sz w:val="20"/>
                <w:szCs w:val="20"/>
              </w:rPr>
            </w:pPr>
          </w:p>
          <w:p w14:paraId="465AF74D" w14:textId="77777777" w:rsidR="00011ACE" w:rsidRPr="00011ACE" w:rsidRDefault="00011ACE" w:rsidP="002D7D3A">
            <w:pPr>
              <w:pStyle w:val="NormalWeb"/>
              <w:spacing w:before="0" w:beforeAutospacing="0" w:after="0" w:afterAutospacing="0"/>
              <w:jc w:val="center"/>
              <w:rPr>
                <w:rFonts w:ascii="Bookman Old Style" w:hAnsi="Bookman Old Style" w:cs="Arial"/>
                <w:b/>
                <w:bCs/>
                <w:color w:val="000000"/>
                <w:sz w:val="20"/>
                <w:szCs w:val="20"/>
              </w:rPr>
            </w:pPr>
            <w:r w:rsidRPr="00011ACE">
              <w:rPr>
                <w:rFonts w:ascii="Bookman Old Style" w:hAnsi="Bookman Old Style" w:cs="Arial"/>
                <w:b/>
                <w:bCs/>
                <w:color w:val="000000"/>
                <w:sz w:val="20"/>
                <w:szCs w:val="20"/>
              </w:rPr>
              <w:t>JULIÁN PEINADO RAMÍREZ</w:t>
            </w:r>
          </w:p>
          <w:p w14:paraId="2ACE31B2" w14:textId="77777777" w:rsidR="00011ACE" w:rsidRPr="00011ACE" w:rsidRDefault="00011ACE" w:rsidP="002D7D3A">
            <w:pPr>
              <w:pStyle w:val="NormalWeb"/>
              <w:spacing w:before="0" w:beforeAutospacing="0" w:after="0" w:afterAutospacing="0"/>
              <w:jc w:val="center"/>
              <w:rPr>
                <w:rFonts w:ascii="Bookman Old Style" w:hAnsi="Bookman Old Style" w:cs="Arial"/>
                <w:color w:val="000000"/>
                <w:sz w:val="20"/>
                <w:szCs w:val="20"/>
              </w:rPr>
            </w:pPr>
            <w:r w:rsidRPr="00011ACE">
              <w:rPr>
                <w:rFonts w:ascii="Bookman Old Style" w:hAnsi="Bookman Old Style" w:cs="Arial"/>
                <w:color w:val="000000"/>
                <w:sz w:val="20"/>
                <w:szCs w:val="20"/>
              </w:rPr>
              <w:t>Representante a la Cámara</w:t>
            </w:r>
          </w:p>
          <w:p w14:paraId="435542A5" w14:textId="77777777" w:rsidR="00011ACE" w:rsidRPr="00011ACE" w:rsidRDefault="00011ACE" w:rsidP="002D7D3A">
            <w:pPr>
              <w:pStyle w:val="NormalWeb"/>
              <w:spacing w:before="0" w:beforeAutospacing="0" w:after="0" w:afterAutospacing="0"/>
              <w:jc w:val="center"/>
              <w:rPr>
                <w:rFonts w:ascii="Bookman Old Style" w:hAnsi="Bookman Old Style" w:cs="Arial"/>
                <w:color w:val="000000"/>
                <w:sz w:val="20"/>
                <w:szCs w:val="20"/>
              </w:rPr>
            </w:pPr>
            <w:r w:rsidRPr="00011ACE">
              <w:rPr>
                <w:rFonts w:ascii="Bookman Old Style" w:hAnsi="Bookman Old Style" w:cs="Arial"/>
                <w:color w:val="000000"/>
                <w:sz w:val="20"/>
                <w:szCs w:val="20"/>
              </w:rPr>
              <w:t>Departamento de Antioquia</w:t>
            </w:r>
          </w:p>
        </w:tc>
        <w:tc>
          <w:tcPr>
            <w:tcW w:w="4348" w:type="dxa"/>
          </w:tcPr>
          <w:p w14:paraId="38EA8AA2" w14:textId="77777777" w:rsidR="00011ACE" w:rsidRPr="00011ACE" w:rsidRDefault="00011ACE" w:rsidP="002D7D3A">
            <w:pPr>
              <w:jc w:val="center"/>
              <w:rPr>
                <w:rFonts w:ascii="Bookman Old Style" w:hAnsi="Bookman Old Style" w:cs="Arial"/>
                <w:b/>
                <w:bCs/>
                <w:noProof/>
                <w:color w:val="000000"/>
                <w:sz w:val="20"/>
                <w:szCs w:val="20"/>
                <w:bdr w:val="none" w:sz="0" w:space="0" w:color="auto" w:frame="1"/>
              </w:rPr>
            </w:pPr>
          </w:p>
          <w:p w14:paraId="18D548C3" w14:textId="77777777" w:rsidR="00011ACE" w:rsidRPr="00011ACE" w:rsidRDefault="00011ACE" w:rsidP="002D7D3A">
            <w:pPr>
              <w:jc w:val="center"/>
              <w:rPr>
                <w:rFonts w:ascii="Bookman Old Style" w:hAnsi="Bookman Old Style" w:cs="Arial"/>
                <w:b/>
                <w:bCs/>
                <w:noProof/>
                <w:color w:val="000000"/>
                <w:sz w:val="20"/>
                <w:szCs w:val="20"/>
                <w:bdr w:val="none" w:sz="0" w:space="0" w:color="auto" w:frame="1"/>
              </w:rPr>
            </w:pPr>
            <w:r w:rsidRPr="00011ACE">
              <w:rPr>
                <w:rFonts w:ascii="Bookman Old Style" w:hAnsi="Bookman Old Style" w:cs="Arial"/>
                <w:b/>
                <w:bCs/>
                <w:noProof/>
                <w:color w:val="000000"/>
                <w:sz w:val="20"/>
                <w:szCs w:val="20"/>
                <w:bdr w:val="none" w:sz="0" w:space="0" w:color="auto" w:frame="1"/>
              </w:rPr>
              <w:t>ELIZABETH JAY-PANG DÍAZ</w:t>
            </w:r>
          </w:p>
          <w:p w14:paraId="4955277F" w14:textId="77777777" w:rsidR="00011ACE" w:rsidRPr="00011ACE" w:rsidRDefault="00011ACE" w:rsidP="002D7D3A">
            <w:pPr>
              <w:jc w:val="center"/>
              <w:rPr>
                <w:rFonts w:ascii="Bookman Old Style" w:hAnsi="Bookman Old Style" w:cs="Arial"/>
                <w:noProof/>
                <w:color w:val="000000"/>
                <w:sz w:val="20"/>
                <w:szCs w:val="20"/>
                <w:bdr w:val="none" w:sz="0" w:space="0" w:color="auto" w:frame="1"/>
              </w:rPr>
            </w:pPr>
            <w:r w:rsidRPr="00011ACE">
              <w:rPr>
                <w:rFonts w:ascii="Bookman Old Style" w:hAnsi="Bookman Old Style" w:cs="Arial"/>
                <w:noProof/>
                <w:color w:val="000000"/>
                <w:sz w:val="20"/>
                <w:szCs w:val="20"/>
                <w:bdr w:val="none" w:sz="0" w:space="0" w:color="auto" w:frame="1"/>
              </w:rPr>
              <w:t>Representante a la Cámara</w:t>
            </w:r>
          </w:p>
          <w:p w14:paraId="62D917FD" w14:textId="77777777" w:rsidR="00011ACE" w:rsidRPr="00011ACE" w:rsidRDefault="00011ACE" w:rsidP="002D7D3A">
            <w:pPr>
              <w:jc w:val="center"/>
              <w:rPr>
                <w:rFonts w:ascii="Bookman Old Style" w:hAnsi="Bookman Old Style" w:cs="Arial"/>
                <w:noProof/>
                <w:color w:val="000000"/>
                <w:sz w:val="20"/>
                <w:szCs w:val="20"/>
                <w:bdr w:val="none" w:sz="0" w:space="0" w:color="auto" w:frame="1"/>
              </w:rPr>
            </w:pPr>
            <w:r w:rsidRPr="00011ACE">
              <w:rPr>
                <w:rFonts w:ascii="Bookman Old Style" w:hAnsi="Bookman Old Style" w:cs="Arial"/>
                <w:noProof/>
                <w:color w:val="000000"/>
                <w:sz w:val="20"/>
                <w:szCs w:val="20"/>
                <w:bdr w:val="none" w:sz="0" w:space="0" w:color="auto" w:frame="1"/>
              </w:rPr>
              <w:t>Departamento de Archipielgalo San Andrés, Providencia y Santa Catalina</w:t>
            </w:r>
          </w:p>
        </w:tc>
      </w:tr>
      <w:tr w:rsidR="00011ACE" w:rsidRPr="00011ACE" w14:paraId="1BB38111" w14:textId="77777777" w:rsidTr="002D7D3A">
        <w:trPr>
          <w:jc w:val="center"/>
        </w:trPr>
        <w:tc>
          <w:tcPr>
            <w:tcW w:w="4390" w:type="dxa"/>
          </w:tcPr>
          <w:p w14:paraId="13C91D18" w14:textId="77777777" w:rsidR="00011ACE" w:rsidRPr="00011ACE" w:rsidRDefault="00011ACE" w:rsidP="002D7D3A">
            <w:pPr>
              <w:pStyle w:val="NormalWeb"/>
              <w:spacing w:before="0" w:beforeAutospacing="0" w:after="0" w:afterAutospacing="0"/>
              <w:jc w:val="center"/>
              <w:rPr>
                <w:rFonts w:ascii="Bookman Old Style" w:hAnsi="Bookman Old Style" w:cs="Arial"/>
                <w:b/>
                <w:bCs/>
                <w:color w:val="000000"/>
                <w:sz w:val="20"/>
                <w:szCs w:val="20"/>
              </w:rPr>
            </w:pPr>
          </w:p>
          <w:p w14:paraId="256DDA4B" w14:textId="77777777" w:rsidR="00011ACE" w:rsidRPr="00011ACE" w:rsidRDefault="00011ACE" w:rsidP="002D7D3A">
            <w:pPr>
              <w:pStyle w:val="NormalWeb"/>
              <w:spacing w:before="0" w:beforeAutospacing="0" w:after="0" w:afterAutospacing="0"/>
              <w:jc w:val="center"/>
              <w:rPr>
                <w:rFonts w:ascii="Bookman Old Style" w:hAnsi="Bookman Old Style" w:cs="Arial"/>
                <w:b/>
                <w:bCs/>
                <w:color w:val="000000"/>
                <w:sz w:val="20"/>
                <w:szCs w:val="20"/>
              </w:rPr>
            </w:pPr>
            <w:r w:rsidRPr="00011ACE">
              <w:rPr>
                <w:rFonts w:ascii="Bookman Old Style" w:hAnsi="Bookman Old Style" w:cs="Arial"/>
                <w:b/>
                <w:bCs/>
                <w:color w:val="000000"/>
                <w:sz w:val="20"/>
                <w:szCs w:val="20"/>
              </w:rPr>
              <w:t>INTI RAÚL ASPRILLA REYES</w:t>
            </w:r>
          </w:p>
          <w:p w14:paraId="025C280C" w14:textId="77777777" w:rsidR="00011ACE" w:rsidRPr="00011ACE" w:rsidRDefault="00011ACE" w:rsidP="002D7D3A">
            <w:pPr>
              <w:pStyle w:val="NormalWeb"/>
              <w:spacing w:before="0" w:beforeAutospacing="0" w:after="0" w:afterAutospacing="0"/>
              <w:jc w:val="center"/>
              <w:rPr>
                <w:rFonts w:ascii="Bookman Old Style" w:hAnsi="Bookman Old Style" w:cs="Arial"/>
                <w:color w:val="000000"/>
                <w:sz w:val="20"/>
                <w:szCs w:val="20"/>
              </w:rPr>
            </w:pPr>
            <w:r w:rsidRPr="00011ACE">
              <w:rPr>
                <w:rFonts w:ascii="Bookman Old Style" w:hAnsi="Bookman Old Style" w:cs="Arial"/>
                <w:color w:val="000000"/>
                <w:sz w:val="20"/>
                <w:szCs w:val="20"/>
              </w:rPr>
              <w:t>Representante a la Cámara por Bogotá</w:t>
            </w:r>
          </w:p>
        </w:tc>
        <w:tc>
          <w:tcPr>
            <w:tcW w:w="4348" w:type="dxa"/>
          </w:tcPr>
          <w:p w14:paraId="2478FBB3" w14:textId="77777777" w:rsidR="00011ACE" w:rsidRPr="00011ACE" w:rsidRDefault="00011ACE" w:rsidP="002D7D3A">
            <w:pPr>
              <w:jc w:val="center"/>
              <w:rPr>
                <w:rFonts w:ascii="Bookman Old Style" w:hAnsi="Bookman Old Style" w:cs="Arial"/>
                <w:b/>
                <w:bCs/>
                <w:noProof/>
                <w:color w:val="000000"/>
                <w:sz w:val="20"/>
                <w:szCs w:val="20"/>
                <w:bdr w:val="none" w:sz="0" w:space="0" w:color="auto" w:frame="1"/>
              </w:rPr>
            </w:pPr>
          </w:p>
          <w:p w14:paraId="505CC35E" w14:textId="77777777" w:rsidR="00011ACE" w:rsidRPr="00011ACE" w:rsidRDefault="00011ACE" w:rsidP="002D7D3A">
            <w:pPr>
              <w:jc w:val="center"/>
              <w:rPr>
                <w:rFonts w:ascii="Bookman Old Style" w:hAnsi="Bookman Old Style" w:cs="Arial"/>
                <w:b/>
                <w:bCs/>
                <w:noProof/>
                <w:color w:val="000000"/>
                <w:sz w:val="20"/>
                <w:szCs w:val="20"/>
                <w:bdr w:val="none" w:sz="0" w:space="0" w:color="auto" w:frame="1"/>
              </w:rPr>
            </w:pPr>
            <w:r w:rsidRPr="00011ACE">
              <w:rPr>
                <w:rFonts w:ascii="Bookman Old Style" w:hAnsi="Bookman Old Style" w:cs="Arial"/>
                <w:b/>
                <w:bCs/>
                <w:noProof/>
                <w:color w:val="000000"/>
                <w:sz w:val="20"/>
                <w:szCs w:val="20"/>
                <w:bdr w:val="none" w:sz="0" w:space="0" w:color="auto" w:frame="1"/>
              </w:rPr>
              <w:t>JAIRO REINALDO CALA SUÁREZ</w:t>
            </w:r>
          </w:p>
          <w:p w14:paraId="11BFC69E" w14:textId="77777777" w:rsidR="00011ACE" w:rsidRPr="00011ACE" w:rsidRDefault="00011ACE" w:rsidP="002D7D3A">
            <w:pPr>
              <w:jc w:val="center"/>
              <w:rPr>
                <w:rFonts w:ascii="Bookman Old Style" w:hAnsi="Bookman Old Style" w:cs="Arial"/>
                <w:noProof/>
                <w:color w:val="000000"/>
                <w:sz w:val="20"/>
                <w:szCs w:val="20"/>
                <w:bdr w:val="none" w:sz="0" w:space="0" w:color="auto" w:frame="1"/>
              </w:rPr>
            </w:pPr>
            <w:r w:rsidRPr="00011ACE">
              <w:rPr>
                <w:rFonts w:ascii="Bookman Old Style" w:hAnsi="Bookman Old Style" w:cs="Arial"/>
                <w:noProof/>
                <w:color w:val="000000"/>
                <w:sz w:val="20"/>
                <w:szCs w:val="20"/>
                <w:bdr w:val="none" w:sz="0" w:space="0" w:color="auto" w:frame="1"/>
              </w:rPr>
              <w:t>Representante a la Cámara</w:t>
            </w:r>
          </w:p>
          <w:p w14:paraId="05334A3C" w14:textId="77777777" w:rsidR="00011ACE" w:rsidRPr="00011ACE" w:rsidRDefault="00011ACE" w:rsidP="002D7D3A">
            <w:pPr>
              <w:jc w:val="center"/>
              <w:rPr>
                <w:rFonts w:ascii="Bookman Old Style" w:hAnsi="Bookman Old Style" w:cs="Arial"/>
                <w:noProof/>
                <w:color w:val="000000"/>
                <w:sz w:val="20"/>
                <w:szCs w:val="20"/>
                <w:bdr w:val="none" w:sz="0" w:space="0" w:color="auto" w:frame="1"/>
              </w:rPr>
            </w:pPr>
            <w:r w:rsidRPr="00011ACE">
              <w:rPr>
                <w:rFonts w:ascii="Bookman Old Style" w:hAnsi="Bookman Old Style" w:cs="Arial"/>
                <w:noProof/>
                <w:color w:val="000000"/>
                <w:sz w:val="20"/>
                <w:szCs w:val="20"/>
                <w:bdr w:val="none" w:sz="0" w:space="0" w:color="auto" w:frame="1"/>
              </w:rPr>
              <w:t>Partido Comunes</w:t>
            </w:r>
          </w:p>
        </w:tc>
      </w:tr>
      <w:tr w:rsidR="00011ACE" w:rsidRPr="00011ACE" w14:paraId="291DB655" w14:textId="77777777" w:rsidTr="002D7D3A">
        <w:trPr>
          <w:jc w:val="center"/>
        </w:trPr>
        <w:tc>
          <w:tcPr>
            <w:tcW w:w="4390" w:type="dxa"/>
          </w:tcPr>
          <w:p w14:paraId="506B3587" w14:textId="77777777" w:rsidR="00011ACE" w:rsidRPr="00011ACE" w:rsidRDefault="00011ACE" w:rsidP="002D7D3A">
            <w:pPr>
              <w:pStyle w:val="NormalWeb"/>
              <w:spacing w:before="0" w:beforeAutospacing="0" w:after="0" w:afterAutospacing="0"/>
              <w:jc w:val="center"/>
              <w:rPr>
                <w:rFonts w:ascii="Bookman Old Style" w:hAnsi="Bookman Old Style" w:cs="Arial"/>
                <w:b/>
                <w:bCs/>
                <w:color w:val="000000"/>
                <w:sz w:val="20"/>
                <w:szCs w:val="20"/>
              </w:rPr>
            </w:pPr>
          </w:p>
          <w:p w14:paraId="3BF15967" w14:textId="77777777" w:rsidR="00011ACE" w:rsidRPr="00011ACE" w:rsidRDefault="00011ACE" w:rsidP="002D7D3A">
            <w:pPr>
              <w:pStyle w:val="NormalWeb"/>
              <w:spacing w:before="0" w:beforeAutospacing="0" w:after="0" w:afterAutospacing="0"/>
              <w:jc w:val="center"/>
              <w:rPr>
                <w:rFonts w:ascii="Bookman Old Style" w:hAnsi="Bookman Old Style" w:cs="Arial"/>
                <w:b/>
                <w:bCs/>
                <w:color w:val="000000"/>
                <w:sz w:val="20"/>
                <w:szCs w:val="20"/>
              </w:rPr>
            </w:pPr>
            <w:r w:rsidRPr="00011ACE">
              <w:rPr>
                <w:rFonts w:ascii="Bookman Old Style" w:hAnsi="Bookman Old Style" w:cs="Arial"/>
                <w:b/>
                <w:bCs/>
                <w:color w:val="000000"/>
                <w:sz w:val="20"/>
                <w:szCs w:val="20"/>
              </w:rPr>
              <w:t>ALEJANDRO VEGA PÉREZ</w:t>
            </w:r>
          </w:p>
          <w:p w14:paraId="34FFAAB2" w14:textId="77777777" w:rsidR="00011ACE" w:rsidRPr="00011ACE" w:rsidRDefault="00011ACE" w:rsidP="002D7D3A">
            <w:pPr>
              <w:pStyle w:val="NormalWeb"/>
              <w:spacing w:before="0" w:beforeAutospacing="0" w:after="0" w:afterAutospacing="0"/>
              <w:jc w:val="center"/>
              <w:rPr>
                <w:rFonts w:ascii="Bookman Old Style" w:hAnsi="Bookman Old Style" w:cs="Arial"/>
                <w:color w:val="000000"/>
                <w:sz w:val="20"/>
                <w:szCs w:val="20"/>
              </w:rPr>
            </w:pPr>
            <w:r w:rsidRPr="00011ACE">
              <w:rPr>
                <w:rFonts w:ascii="Bookman Old Style" w:hAnsi="Bookman Old Style" w:cs="Arial"/>
                <w:color w:val="000000"/>
                <w:sz w:val="20"/>
                <w:szCs w:val="20"/>
              </w:rPr>
              <w:t>Representante a la Cámara</w:t>
            </w:r>
          </w:p>
          <w:p w14:paraId="4F44462E" w14:textId="77777777" w:rsidR="00011ACE" w:rsidRPr="00011ACE" w:rsidRDefault="00011ACE" w:rsidP="002D7D3A">
            <w:pPr>
              <w:pStyle w:val="NormalWeb"/>
              <w:spacing w:before="0" w:beforeAutospacing="0" w:after="0" w:afterAutospacing="0"/>
              <w:jc w:val="center"/>
              <w:rPr>
                <w:rFonts w:ascii="Bookman Old Style" w:hAnsi="Bookman Old Style" w:cs="Arial"/>
                <w:color w:val="000000"/>
                <w:sz w:val="20"/>
                <w:szCs w:val="20"/>
              </w:rPr>
            </w:pPr>
            <w:r w:rsidRPr="00011ACE">
              <w:rPr>
                <w:rFonts w:ascii="Bookman Old Style" w:hAnsi="Bookman Old Style" w:cs="Arial"/>
                <w:color w:val="000000"/>
                <w:sz w:val="20"/>
                <w:szCs w:val="20"/>
              </w:rPr>
              <w:t>Partido Liberal Colombiano</w:t>
            </w:r>
          </w:p>
        </w:tc>
        <w:tc>
          <w:tcPr>
            <w:tcW w:w="4348" w:type="dxa"/>
          </w:tcPr>
          <w:p w14:paraId="0945328C" w14:textId="77777777" w:rsidR="00011ACE" w:rsidRPr="00011ACE" w:rsidRDefault="00011ACE" w:rsidP="002D7D3A">
            <w:pPr>
              <w:jc w:val="center"/>
              <w:rPr>
                <w:rFonts w:ascii="Bookman Old Style" w:hAnsi="Bookman Old Style" w:cs="Arial"/>
                <w:b/>
                <w:bCs/>
                <w:noProof/>
                <w:color w:val="000000"/>
                <w:sz w:val="20"/>
                <w:szCs w:val="20"/>
                <w:bdr w:val="none" w:sz="0" w:space="0" w:color="auto" w:frame="1"/>
              </w:rPr>
            </w:pPr>
          </w:p>
          <w:p w14:paraId="3EB0E48D" w14:textId="77777777" w:rsidR="00011ACE" w:rsidRPr="00011ACE" w:rsidRDefault="00011ACE" w:rsidP="002D7D3A">
            <w:pPr>
              <w:jc w:val="center"/>
              <w:rPr>
                <w:rFonts w:ascii="Bookman Old Style" w:hAnsi="Bookman Old Style" w:cs="Arial"/>
                <w:b/>
                <w:bCs/>
                <w:noProof/>
                <w:color w:val="000000"/>
                <w:sz w:val="20"/>
                <w:szCs w:val="20"/>
                <w:bdr w:val="none" w:sz="0" w:space="0" w:color="auto" w:frame="1"/>
              </w:rPr>
            </w:pPr>
            <w:r w:rsidRPr="00011ACE">
              <w:rPr>
                <w:rFonts w:ascii="Bookman Old Style" w:hAnsi="Bookman Old Style" w:cs="Arial"/>
                <w:b/>
                <w:bCs/>
                <w:noProof/>
                <w:color w:val="000000"/>
                <w:sz w:val="20"/>
                <w:szCs w:val="20"/>
                <w:bdr w:val="none" w:sz="0" w:space="0" w:color="auto" w:frame="1"/>
              </w:rPr>
              <w:t>LUIS ALBERTO ALBAN URBANO</w:t>
            </w:r>
          </w:p>
          <w:p w14:paraId="233CB7D6" w14:textId="77777777" w:rsidR="00011ACE" w:rsidRPr="00011ACE" w:rsidRDefault="00011ACE" w:rsidP="002D7D3A">
            <w:pPr>
              <w:jc w:val="center"/>
              <w:rPr>
                <w:rFonts w:ascii="Bookman Old Style" w:hAnsi="Bookman Old Style" w:cs="Arial"/>
                <w:noProof/>
                <w:color w:val="000000"/>
                <w:sz w:val="20"/>
                <w:szCs w:val="20"/>
                <w:bdr w:val="none" w:sz="0" w:space="0" w:color="auto" w:frame="1"/>
              </w:rPr>
            </w:pPr>
            <w:r w:rsidRPr="00011ACE">
              <w:rPr>
                <w:rFonts w:ascii="Bookman Old Style" w:hAnsi="Bookman Old Style" w:cs="Arial"/>
                <w:noProof/>
                <w:color w:val="000000"/>
                <w:sz w:val="20"/>
                <w:szCs w:val="20"/>
                <w:bdr w:val="none" w:sz="0" w:space="0" w:color="auto" w:frame="1"/>
              </w:rPr>
              <w:t>Representante a la Cámara</w:t>
            </w:r>
          </w:p>
          <w:p w14:paraId="6B655293" w14:textId="77777777" w:rsidR="00011ACE" w:rsidRPr="00011ACE" w:rsidRDefault="00011ACE" w:rsidP="002D7D3A">
            <w:pPr>
              <w:jc w:val="center"/>
              <w:rPr>
                <w:rFonts w:ascii="Bookman Old Style" w:hAnsi="Bookman Old Style" w:cs="Arial"/>
                <w:noProof/>
                <w:color w:val="000000"/>
                <w:sz w:val="20"/>
                <w:szCs w:val="20"/>
                <w:bdr w:val="none" w:sz="0" w:space="0" w:color="auto" w:frame="1"/>
              </w:rPr>
            </w:pPr>
            <w:r w:rsidRPr="00011ACE">
              <w:rPr>
                <w:rFonts w:ascii="Bookman Old Style" w:hAnsi="Bookman Old Style" w:cs="Arial"/>
                <w:noProof/>
                <w:color w:val="000000"/>
                <w:sz w:val="20"/>
                <w:szCs w:val="20"/>
                <w:bdr w:val="none" w:sz="0" w:space="0" w:color="auto" w:frame="1"/>
              </w:rPr>
              <w:t>Partido Comunes</w:t>
            </w:r>
          </w:p>
        </w:tc>
      </w:tr>
      <w:tr w:rsidR="00011ACE" w:rsidRPr="00011ACE" w14:paraId="5B9DC301" w14:textId="77777777" w:rsidTr="002D7D3A">
        <w:trPr>
          <w:jc w:val="center"/>
        </w:trPr>
        <w:tc>
          <w:tcPr>
            <w:tcW w:w="4390" w:type="dxa"/>
          </w:tcPr>
          <w:p w14:paraId="73E8A821" w14:textId="77777777" w:rsidR="00011ACE" w:rsidRPr="00011ACE" w:rsidRDefault="00011ACE" w:rsidP="002D7D3A">
            <w:pPr>
              <w:pStyle w:val="NormalWeb"/>
              <w:spacing w:before="0" w:beforeAutospacing="0" w:after="0" w:afterAutospacing="0"/>
              <w:jc w:val="center"/>
              <w:rPr>
                <w:rFonts w:ascii="Bookman Old Style" w:hAnsi="Bookman Old Style" w:cs="Arial"/>
                <w:b/>
                <w:bCs/>
                <w:color w:val="000000"/>
                <w:sz w:val="20"/>
                <w:szCs w:val="20"/>
              </w:rPr>
            </w:pPr>
          </w:p>
          <w:p w14:paraId="3F86DE3E" w14:textId="77777777" w:rsidR="00011ACE" w:rsidRPr="00011ACE" w:rsidRDefault="00011ACE" w:rsidP="002D7D3A">
            <w:pPr>
              <w:pStyle w:val="NormalWeb"/>
              <w:spacing w:before="0" w:beforeAutospacing="0" w:after="0" w:afterAutospacing="0"/>
              <w:jc w:val="center"/>
              <w:rPr>
                <w:rFonts w:ascii="Bookman Old Style" w:hAnsi="Bookman Old Style" w:cs="Arial"/>
                <w:b/>
                <w:bCs/>
                <w:color w:val="000000"/>
                <w:sz w:val="20"/>
                <w:szCs w:val="20"/>
              </w:rPr>
            </w:pPr>
            <w:r w:rsidRPr="00011ACE">
              <w:rPr>
                <w:rFonts w:ascii="Bookman Old Style" w:hAnsi="Bookman Old Style" w:cs="Arial"/>
                <w:b/>
                <w:bCs/>
                <w:color w:val="000000"/>
                <w:sz w:val="20"/>
                <w:szCs w:val="20"/>
              </w:rPr>
              <w:t>GABRIEL SANTOS GARCÍA</w:t>
            </w:r>
          </w:p>
          <w:p w14:paraId="3408CBDD" w14:textId="77777777" w:rsidR="00011ACE" w:rsidRPr="00011ACE" w:rsidRDefault="00011ACE" w:rsidP="002D7D3A">
            <w:pPr>
              <w:pStyle w:val="NormalWeb"/>
              <w:spacing w:before="0" w:beforeAutospacing="0" w:after="0" w:afterAutospacing="0"/>
              <w:jc w:val="center"/>
              <w:rPr>
                <w:rFonts w:ascii="Bookman Old Style" w:hAnsi="Bookman Old Style" w:cs="Arial"/>
                <w:color w:val="000000"/>
                <w:sz w:val="20"/>
                <w:szCs w:val="20"/>
              </w:rPr>
            </w:pPr>
            <w:r w:rsidRPr="00011ACE">
              <w:rPr>
                <w:rFonts w:ascii="Bookman Old Style" w:hAnsi="Bookman Old Style" w:cs="Arial"/>
                <w:color w:val="000000"/>
                <w:sz w:val="20"/>
                <w:szCs w:val="20"/>
              </w:rPr>
              <w:t>Representante a la Cámara</w:t>
            </w:r>
          </w:p>
        </w:tc>
        <w:tc>
          <w:tcPr>
            <w:tcW w:w="4348" w:type="dxa"/>
          </w:tcPr>
          <w:p w14:paraId="5081A0DF" w14:textId="77777777" w:rsidR="00011ACE" w:rsidRPr="00011ACE" w:rsidRDefault="00011ACE" w:rsidP="002D7D3A">
            <w:pPr>
              <w:jc w:val="center"/>
              <w:rPr>
                <w:rFonts w:ascii="Bookman Old Style" w:hAnsi="Bookman Old Style" w:cs="Arial"/>
                <w:b/>
                <w:bCs/>
                <w:noProof/>
                <w:color w:val="000000"/>
                <w:sz w:val="20"/>
                <w:szCs w:val="20"/>
                <w:bdr w:val="none" w:sz="0" w:space="0" w:color="auto" w:frame="1"/>
              </w:rPr>
            </w:pPr>
          </w:p>
          <w:p w14:paraId="18055EB6" w14:textId="77777777" w:rsidR="00011ACE" w:rsidRPr="00011ACE" w:rsidRDefault="00011ACE" w:rsidP="002D7D3A">
            <w:pPr>
              <w:jc w:val="center"/>
              <w:rPr>
                <w:rFonts w:ascii="Bookman Old Style" w:hAnsi="Bookman Old Style" w:cs="Arial"/>
                <w:b/>
                <w:bCs/>
                <w:noProof/>
                <w:color w:val="000000"/>
                <w:sz w:val="20"/>
                <w:szCs w:val="20"/>
                <w:bdr w:val="none" w:sz="0" w:space="0" w:color="auto" w:frame="1"/>
              </w:rPr>
            </w:pPr>
            <w:r w:rsidRPr="00011ACE">
              <w:rPr>
                <w:rFonts w:ascii="Bookman Old Style" w:hAnsi="Bookman Old Style" w:cs="Arial"/>
                <w:b/>
                <w:bCs/>
                <w:noProof/>
                <w:color w:val="000000"/>
                <w:sz w:val="20"/>
                <w:szCs w:val="20"/>
                <w:bdr w:val="none" w:sz="0" w:space="0" w:color="auto" w:frame="1"/>
              </w:rPr>
              <w:t>ALFREDO RAFAEL DELUQUE</w:t>
            </w:r>
          </w:p>
          <w:p w14:paraId="210F1B79" w14:textId="77777777" w:rsidR="00011ACE" w:rsidRPr="00011ACE" w:rsidRDefault="00011ACE" w:rsidP="002D7D3A">
            <w:pPr>
              <w:jc w:val="center"/>
              <w:rPr>
                <w:rFonts w:ascii="Bookman Old Style" w:hAnsi="Bookman Old Style" w:cs="Arial"/>
                <w:noProof/>
                <w:color w:val="000000"/>
                <w:sz w:val="20"/>
                <w:szCs w:val="20"/>
                <w:bdr w:val="none" w:sz="0" w:space="0" w:color="auto" w:frame="1"/>
              </w:rPr>
            </w:pPr>
            <w:r w:rsidRPr="00011ACE">
              <w:rPr>
                <w:rFonts w:ascii="Bookman Old Style" w:hAnsi="Bookman Old Style" w:cs="Arial"/>
                <w:noProof/>
                <w:color w:val="000000"/>
                <w:sz w:val="20"/>
                <w:szCs w:val="20"/>
                <w:bdr w:val="none" w:sz="0" w:space="0" w:color="auto" w:frame="1"/>
              </w:rPr>
              <w:t>Representante a la Cámara</w:t>
            </w:r>
          </w:p>
        </w:tc>
      </w:tr>
      <w:tr w:rsidR="00011ACE" w:rsidRPr="00011ACE" w14:paraId="7E9213BE" w14:textId="77777777" w:rsidTr="002D7D3A">
        <w:trPr>
          <w:jc w:val="center"/>
        </w:trPr>
        <w:tc>
          <w:tcPr>
            <w:tcW w:w="4390" w:type="dxa"/>
          </w:tcPr>
          <w:p w14:paraId="4E4ED33B" w14:textId="77777777" w:rsidR="00011ACE" w:rsidRPr="00011ACE" w:rsidRDefault="00011ACE" w:rsidP="002D7D3A">
            <w:pPr>
              <w:pStyle w:val="NormalWeb"/>
              <w:spacing w:before="0" w:beforeAutospacing="0" w:after="0" w:afterAutospacing="0"/>
              <w:jc w:val="center"/>
              <w:rPr>
                <w:rFonts w:ascii="Bookman Old Style" w:hAnsi="Bookman Old Style" w:cs="Arial"/>
                <w:b/>
                <w:bCs/>
                <w:color w:val="000000"/>
                <w:sz w:val="20"/>
                <w:szCs w:val="20"/>
              </w:rPr>
            </w:pPr>
          </w:p>
          <w:p w14:paraId="410A5E6B" w14:textId="77777777" w:rsidR="00011ACE" w:rsidRPr="00011ACE" w:rsidRDefault="00011ACE" w:rsidP="002D7D3A">
            <w:pPr>
              <w:pStyle w:val="NormalWeb"/>
              <w:spacing w:before="0" w:beforeAutospacing="0" w:after="0" w:afterAutospacing="0"/>
              <w:jc w:val="center"/>
              <w:rPr>
                <w:rFonts w:ascii="Bookman Old Style" w:hAnsi="Bookman Old Style" w:cs="Arial"/>
                <w:b/>
                <w:bCs/>
                <w:color w:val="000000"/>
                <w:sz w:val="20"/>
                <w:szCs w:val="20"/>
              </w:rPr>
            </w:pPr>
            <w:r w:rsidRPr="00011ACE">
              <w:rPr>
                <w:rFonts w:ascii="Bookman Old Style" w:hAnsi="Bookman Old Style" w:cs="Arial"/>
                <w:b/>
                <w:bCs/>
                <w:color w:val="000000"/>
                <w:sz w:val="20"/>
                <w:szCs w:val="20"/>
              </w:rPr>
              <w:t>ALEJANDRO CARLOS CHACÓN CAMARGO</w:t>
            </w:r>
          </w:p>
          <w:p w14:paraId="45D4FC7F" w14:textId="77777777" w:rsidR="00011ACE" w:rsidRPr="00011ACE" w:rsidRDefault="00011ACE" w:rsidP="002D7D3A">
            <w:pPr>
              <w:pStyle w:val="NormalWeb"/>
              <w:spacing w:before="0" w:beforeAutospacing="0" w:after="0" w:afterAutospacing="0"/>
              <w:jc w:val="center"/>
              <w:rPr>
                <w:rFonts w:ascii="Bookman Old Style" w:hAnsi="Bookman Old Style" w:cs="Arial"/>
                <w:color w:val="000000"/>
                <w:sz w:val="20"/>
                <w:szCs w:val="20"/>
              </w:rPr>
            </w:pPr>
            <w:r w:rsidRPr="00011ACE">
              <w:rPr>
                <w:rFonts w:ascii="Bookman Old Style" w:hAnsi="Bookman Old Style" w:cs="Arial"/>
                <w:color w:val="000000"/>
                <w:sz w:val="20"/>
                <w:szCs w:val="20"/>
              </w:rPr>
              <w:t>Representante a la Cámara por Norte de Santander</w:t>
            </w:r>
          </w:p>
          <w:p w14:paraId="16E774DF" w14:textId="77777777" w:rsidR="00011ACE" w:rsidRPr="00011ACE" w:rsidRDefault="00011ACE" w:rsidP="002D7D3A">
            <w:pPr>
              <w:pStyle w:val="NormalWeb"/>
              <w:spacing w:before="0" w:beforeAutospacing="0" w:after="0" w:afterAutospacing="0"/>
              <w:jc w:val="center"/>
              <w:rPr>
                <w:rFonts w:ascii="Bookman Old Style" w:hAnsi="Bookman Old Style" w:cs="Arial"/>
                <w:color w:val="000000"/>
                <w:sz w:val="20"/>
                <w:szCs w:val="20"/>
              </w:rPr>
            </w:pPr>
            <w:r w:rsidRPr="00011ACE">
              <w:rPr>
                <w:rFonts w:ascii="Bookman Old Style" w:hAnsi="Bookman Old Style" w:cs="Arial"/>
                <w:color w:val="000000"/>
                <w:sz w:val="20"/>
                <w:szCs w:val="20"/>
              </w:rPr>
              <w:t>Partido Liberal Colombiano</w:t>
            </w:r>
          </w:p>
        </w:tc>
        <w:tc>
          <w:tcPr>
            <w:tcW w:w="4348" w:type="dxa"/>
          </w:tcPr>
          <w:p w14:paraId="487B5598" w14:textId="77777777" w:rsidR="00011ACE" w:rsidRPr="00011ACE" w:rsidRDefault="00011ACE" w:rsidP="002D7D3A">
            <w:pPr>
              <w:jc w:val="center"/>
              <w:rPr>
                <w:rFonts w:ascii="Bookman Old Style" w:hAnsi="Bookman Old Style" w:cs="Arial"/>
                <w:b/>
                <w:bCs/>
                <w:noProof/>
                <w:color w:val="000000"/>
                <w:sz w:val="20"/>
                <w:szCs w:val="20"/>
                <w:bdr w:val="none" w:sz="0" w:space="0" w:color="auto" w:frame="1"/>
              </w:rPr>
            </w:pPr>
          </w:p>
          <w:p w14:paraId="3E8F861B" w14:textId="77777777" w:rsidR="00011ACE" w:rsidRPr="00011ACE" w:rsidRDefault="00011ACE" w:rsidP="002D7D3A">
            <w:pPr>
              <w:jc w:val="center"/>
              <w:rPr>
                <w:rFonts w:ascii="Bookman Old Style" w:hAnsi="Bookman Old Style" w:cs="Arial"/>
                <w:b/>
                <w:bCs/>
                <w:noProof/>
                <w:color w:val="000000"/>
                <w:sz w:val="20"/>
                <w:szCs w:val="20"/>
                <w:bdr w:val="none" w:sz="0" w:space="0" w:color="auto" w:frame="1"/>
              </w:rPr>
            </w:pPr>
            <w:r w:rsidRPr="00011ACE">
              <w:rPr>
                <w:rFonts w:ascii="Bookman Old Style" w:hAnsi="Bookman Old Style" w:cs="Arial"/>
                <w:b/>
                <w:bCs/>
                <w:noProof/>
                <w:color w:val="000000"/>
                <w:sz w:val="20"/>
                <w:szCs w:val="20"/>
                <w:bdr w:val="none" w:sz="0" w:space="0" w:color="auto" w:frame="1"/>
              </w:rPr>
              <w:t>JUAN LUIS CASTRO CORDOBA</w:t>
            </w:r>
          </w:p>
          <w:p w14:paraId="23188424" w14:textId="77777777" w:rsidR="00011ACE" w:rsidRPr="00011ACE" w:rsidRDefault="00011ACE" w:rsidP="002D7D3A">
            <w:pPr>
              <w:jc w:val="center"/>
              <w:rPr>
                <w:rFonts w:ascii="Bookman Old Style" w:hAnsi="Bookman Old Style" w:cs="Arial"/>
                <w:noProof/>
                <w:color w:val="000000"/>
                <w:sz w:val="20"/>
                <w:szCs w:val="20"/>
                <w:bdr w:val="none" w:sz="0" w:space="0" w:color="auto" w:frame="1"/>
              </w:rPr>
            </w:pPr>
            <w:r w:rsidRPr="00011ACE">
              <w:rPr>
                <w:rFonts w:ascii="Bookman Old Style" w:hAnsi="Bookman Old Style" w:cs="Arial"/>
                <w:noProof/>
                <w:color w:val="000000"/>
                <w:sz w:val="20"/>
                <w:szCs w:val="20"/>
                <w:bdr w:val="none" w:sz="0" w:space="0" w:color="auto" w:frame="1"/>
              </w:rPr>
              <w:t>Senador Alianza Verde</w:t>
            </w:r>
          </w:p>
        </w:tc>
      </w:tr>
      <w:tr w:rsidR="00011ACE" w:rsidRPr="00011ACE" w14:paraId="6ADA26A1" w14:textId="77777777" w:rsidTr="002D7D3A">
        <w:trPr>
          <w:jc w:val="center"/>
        </w:trPr>
        <w:tc>
          <w:tcPr>
            <w:tcW w:w="4390" w:type="dxa"/>
          </w:tcPr>
          <w:p w14:paraId="450C68D8" w14:textId="77777777" w:rsidR="00011ACE" w:rsidRPr="00011ACE" w:rsidRDefault="00011ACE" w:rsidP="002D7D3A">
            <w:pPr>
              <w:pStyle w:val="NormalWeb"/>
              <w:spacing w:before="0" w:beforeAutospacing="0" w:after="0" w:afterAutospacing="0"/>
              <w:jc w:val="center"/>
              <w:rPr>
                <w:rFonts w:ascii="Bookman Old Style" w:hAnsi="Bookman Old Style" w:cs="Arial"/>
                <w:b/>
                <w:bCs/>
                <w:color w:val="000000"/>
                <w:sz w:val="20"/>
                <w:szCs w:val="20"/>
              </w:rPr>
            </w:pPr>
          </w:p>
          <w:p w14:paraId="081EF406" w14:textId="77777777" w:rsidR="00011ACE" w:rsidRPr="00011ACE" w:rsidRDefault="00011ACE" w:rsidP="002D7D3A">
            <w:pPr>
              <w:pStyle w:val="NormalWeb"/>
              <w:spacing w:before="0" w:beforeAutospacing="0" w:after="0" w:afterAutospacing="0"/>
              <w:jc w:val="center"/>
              <w:rPr>
                <w:rFonts w:ascii="Bookman Old Style" w:hAnsi="Bookman Old Style" w:cs="Arial"/>
                <w:b/>
                <w:bCs/>
                <w:color w:val="000000"/>
                <w:sz w:val="20"/>
                <w:szCs w:val="20"/>
              </w:rPr>
            </w:pPr>
            <w:r w:rsidRPr="00011ACE">
              <w:rPr>
                <w:rFonts w:ascii="Bookman Old Style" w:hAnsi="Bookman Old Style" w:cs="Arial"/>
                <w:b/>
                <w:bCs/>
                <w:color w:val="000000"/>
                <w:sz w:val="20"/>
                <w:szCs w:val="20"/>
              </w:rPr>
              <w:t>HORACIO JOSÉ SERPA MONCADA</w:t>
            </w:r>
          </w:p>
          <w:p w14:paraId="26843D95" w14:textId="77777777" w:rsidR="00011ACE" w:rsidRPr="00011ACE" w:rsidRDefault="00011ACE" w:rsidP="002D7D3A">
            <w:pPr>
              <w:pStyle w:val="NormalWeb"/>
              <w:spacing w:before="0" w:beforeAutospacing="0" w:after="0" w:afterAutospacing="0"/>
              <w:jc w:val="center"/>
              <w:rPr>
                <w:rFonts w:ascii="Bookman Old Style" w:hAnsi="Bookman Old Style" w:cs="Arial"/>
                <w:color w:val="000000"/>
                <w:sz w:val="20"/>
                <w:szCs w:val="20"/>
              </w:rPr>
            </w:pPr>
            <w:r w:rsidRPr="00011ACE">
              <w:rPr>
                <w:rFonts w:ascii="Bookman Old Style" w:hAnsi="Bookman Old Style" w:cs="Arial"/>
                <w:color w:val="000000"/>
                <w:sz w:val="20"/>
                <w:szCs w:val="20"/>
              </w:rPr>
              <w:t>Senador de la República</w:t>
            </w:r>
          </w:p>
        </w:tc>
        <w:tc>
          <w:tcPr>
            <w:tcW w:w="4348" w:type="dxa"/>
          </w:tcPr>
          <w:p w14:paraId="3A3B47D5" w14:textId="77777777" w:rsidR="00011ACE" w:rsidRPr="00011ACE" w:rsidRDefault="00011ACE" w:rsidP="002D7D3A">
            <w:pPr>
              <w:jc w:val="center"/>
              <w:rPr>
                <w:rFonts w:ascii="Bookman Old Style" w:hAnsi="Bookman Old Style" w:cs="Arial"/>
                <w:b/>
                <w:bCs/>
                <w:noProof/>
                <w:color w:val="000000"/>
                <w:sz w:val="20"/>
                <w:szCs w:val="20"/>
                <w:bdr w:val="none" w:sz="0" w:space="0" w:color="auto" w:frame="1"/>
              </w:rPr>
            </w:pPr>
          </w:p>
          <w:p w14:paraId="0F3F93E5" w14:textId="77777777" w:rsidR="00011ACE" w:rsidRPr="00011ACE" w:rsidRDefault="00011ACE" w:rsidP="002D7D3A">
            <w:pPr>
              <w:jc w:val="center"/>
              <w:rPr>
                <w:rFonts w:ascii="Bookman Old Style" w:hAnsi="Bookman Old Style" w:cs="Arial"/>
                <w:b/>
                <w:bCs/>
                <w:noProof/>
                <w:color w:val="000000"/>
                <w:sz w:val="20"/>
                <w:szCs w:val="20"/>
                <w:bdr w:val="none" w:sz="0" w:space="0" w:color="auto" w:frame="1"/>
              </w:rPr>
            </w:pPr>
            <w:r w:rsidRPr="00011ACE">
              <w:rPr>
                <w:rFonts w:ascii="Bookman Old Style" w:hAnsi="Bookman Old Style" w:cs="Arial"/>
                <w:b/>
                <w:bCs/>
                <w:noProof/>
                <w:color w:val="000000"/>
                <w:sz w:val="20"/>
                <w:szCs w:val="20"/>
                <w:bdr w:val="none" w:sz="0" w:space="0" w:color="auto" w:frame="1"/>
              </w:rPr>
              <w:t>DAVID RACERO MAYORCA</w:t>
            </w:r>
          </w:p>
          <w:p w14:paraId="15195FAE" w14:textId="77777777" w:rsidR="00011ACE" w:rsidRPr="00011ACE" w:rsidRDefault="00011ACE" w:rsidP="002D7D3A">
            <w:pPr>
              <w:jc w:val="center"/>
              <w:rPr>
                <w:rFonts w:ascii="Bookman Old Style" w:hAnsi="Bookman Old Style" w:cs="Arial"/>
                <w:noProof/>
                <w:color w:val="000000"/>
                <w:sz w:val="20"/>
                <w:szCs w:val="20"/>
                <w:bdr w:val="none" w:sz="0" w:space="0" w:color="auto" w:frame="1"/>
              </w:rPr>
            </w:pPr>
            <w:r w:rsidRPr="00011ACE">
              <w:rPr>
                <w:rFonts w:ascii="Bookman Old Style" w:hAnsi="Bookman Old Style" w:cs="Arial"/>
                <w:noProof/>
                <w:color w:val="000000"/>
                <w:sz w:val="20"/>
                <w:szCs w:val="20"/>
                <w:bdr w:val="none" w:sz="0" w:space="0" w:color="auto" w:frame="1"/>
              </w:rPr>
              <w:t>Representante a la Cámara por Bogotá</w:t>
            </w:r>
          </w:p>
          <w:p w14:paraId="0978657D" w14:textId="77777777" w:rsidR="00011ACE" w:rsidRPr="00011ACE" w:rsidRDefault="00011ACE" w:rsidP="002D7D3A">
            <w:pPr>
              <w:jc w:val="center"/>
              <w:rPr>
                <w:rFonts w:ascii="Bookman Old Style" w:hAnsi="Bookman Old Style" w:cs="Arial"/>
                <w:noProof/>
                <w:color w:val="000000"/>
                <w:sz w:val="20"/>
                <w:szCs w:val="20"/>
                <w:bdr w:val="none" w:sz="0" w:space="0" w:color="auto" w:frame="1"/>
              </w:rPr>
            </w:pPr>
            <w:r w:rsidRPr="00011ACE">
              <w:rPr>
                <w:rFonts w:ascii="Bookman Old Style" w:hAnsi="Bookman Old Style" w:cs="Arial"/>
                <w:noProof/>
                <w:color w:val="000000"/>
                <w:sz w:val="20"/>
                <w:szCs w:val="20"/>
                <w:bdr w:val="none" w:sz="0" w:space="0" w:color="auto" w:frame="1"/>
              </w:rPr>
              <w:t>Coalición Decentes</w:t>
            </w:r>
          </w:p>
        </w:tc>
      </w:tr>
      <w:tr w:rsidR="00011ACE" w:rsidRPr="00011ACE" w14:paraId="1DAEA31C" w14:textId="77777777" w:rsidTr="002D7D3A">
        <w:trPr>
          <w:jc w:val="center"/>
        </w:trPr>
        <w:tc>
          <w:tcPr>
            <w:tcW w:w="4390" w:type="dxa"/>
          </w:tcPr>
          <w:p w14:paraId="4E08CD7F" w14:textId="77777777" w:rsidR="00011ACE" w:rsidRPr="00011ACE" w:rsidRDefault="00011ACE" w:rsidP="002D7D3A">
            <w:pPr>
              <w:pStyle w:val="NormalWeb"/>
              <w:spacing w:before="0" w:beforeAutospacing="0" w:after="0" w:afterAutospacing="0"/>
              <w:jc w:val="center"/>
              <w:rPr>
                <w:rFonts w:ascii="Bookman Old Style" w:hAnsi="Bookman Old Style" w:cs="Arial"/>
                <w:b/>
                <w:bCs/>
                <w:color w:val="000000"/>
                <w:sz w:val="20"/>
                <w:szCs w:val="20"/>
              </w:rPr>
            </w:pPr>
          </w:p>
          <w:p w14:paraId="42C06744" w14:textId="77777777" w:rsidR="00011ACE" w:rsidRPr="00011ACE" w:rsidRDefault="00011ACE" w:rsidP="002D7D3A">
            <w:pPr>
              <w:pStyle w:val="NormalWeb"/>
              <w:spacing w:before="0" w:beforeAutospacing="0" w:after="0" w:afterAutospacing="0"/>
              <w:jc w:val="center"/>
              <w:rPr>
                <w:rFonts w:ascii="Bookman Old Style" w:hAnsi="Bookman Old Style" w:cs="Arial"/>
                <w:b/>
                <w:bCs/>
                <w:color w:val="000000"/>
                <w:sz w:val="20"/>
                <w:szCs w:val="20"/>
              </w:rPr>
            </w:pPr>
            <w:r w:rsidRPr="00011ACE">
              <w:rPr>
                <w:rFonts w:ascii="Bookman Old Style" w:hAnsi="Bookman Old Style" w:cs="Arial"/>
                <w:b/>
                <w:bCs/>
                <w:color w:val="000000"/>
                <w:sz w:val="20"/>
                <w:szCs w:val="20"/>
              </w:rPr>
              <w:t>TERESA ENRÍQUEZ ROSERO</w:t>
            </w:r>
          </w:p>
          <w:p w14:paraId="6A466548" w14:textId="77777777" w:rsidR="00011ACE" w:rsidRPr="00011ACE" w:rsidRDefault="00011ACE" w:rsidP="002D7D3A">
            <w:pPr>
              <w:pStyle w:val="NormalWeb"/>
              <w:spacing w:before="0" w:beforeAutospacing="0" w:after="0" w:afterAutospacing="0"/>
              <w:jc w:val="center"/>
              <w:rPr>
                <w:rFonts w:ascii="Bookman Old Style" w:hAnsi="Bookman Old Style" w:cs="Arial"/>
                <w:color w:val="000000"/>
                <w:sz w:val="20"/>
                <w:szCs w:val="20"/>
              </w:rPr>
            </w:pPr>
            <w:r w:rsidRPr="00011ACE">
              <w:rPr>
                <w:rFonts w:ascii="Bookman Old Style" w:hAnsi="Bookman Old Style" w:cs="Arial"/>
                <w:color w:val="000000"/>
                <w:sz w:val="20"/>
                <w:szCs w:val="20"/>
              </w:rPr>
              <w:t>Representante a la Cámara por Nariño</w:t>
            </w:r>
          </w:p>
        </w:tc>
        <w:tc>
          <w:tcPr>
            <w:tcW w:w="4348" w:type="dxa"/>
          </w:tcPr>
          <w:p w14:paraId="29A8633C" w14:textId="77777777" w:rsidR="00011ACE" w:rsidRPr="00011ACE" w:rsidRDefault="00011ACE" w:rsidP="002D7D3A">
            <w:pPr>
              <w:jc w:val="center"/>
              <w:rPr>
                <w:rFonts w:ascii="Bookman Old Style" w:hAnsi="Bookman Old Style" w:cs="Arial"/>
                <w:b/>
                <w:bCs/>
                <w:noProof/>
                <w:color w:val="000000"/>
                <w:sz w:val="20"/>
                <w:szCs w:val="20"/>
                <w:bdr w:val="none" w:sz="0" w:space="0" w:color="auto" w:frame="1"/>
              </w:rPr>
            </w:pPr>
          </w:p>
          <w:p w14:paraId="3BF3B3BD" w14:textId="77777777" w:rsidR="00011ACE" w:rsidRPr="00011ACE" w:rsidRDefault="00011ACE" w:rsidP="002D7D3A">
            <w:pPr>
              <w:jc w:val="center"/>
              <w:rPr>
                <w:rFonts w:ascii="Bookman Old Style" w:hAnsi="Bookman Old Style" w:cs="Arial"/>
                <w:b/>
                <w:bCs/>
                <w:noProof/>
                <w:color w:val="000000"/>
                <w:sz w:val="20"/>
                <w:szCs w:val="20"/>
                <w:bdr w:val="none" w:sz="0" w:space="0" w:color="auto" w:frame="1"/>
              </w:rPr>
            </w:pPr>
            <w:r w:rsidRPr="00011ACE">
              <w:rPr>
                <w:rFonts w:ascii="Bookman Old Style" w:hAnsi="Bookman Old Style" w:cs="Arial"/>
                <w:b/>
                <w:bCs/>
                <w:noProof/>
                <w:color w:val="000000"/>
                <w:sz w:val="20"/>
                <w:szCs w:val="20"/>
                <w:bdr w:val="none" w:sz="0" w:space="0" w:color="auto" w:frame="1"/>
              </w:rPr>
              <w:t>ALVARO HENRY MONEDERO RIVERA</w:t>
            </w:r>
          </w:p>
          <w:p w14:paraId="0F432351" w14:textId="77777777" w:rsidR="00011ACE" w:rsidRPr="00011ACE" w:rsidRDefault="00011ACE" w:rsidP="002D7D3A">
            <w:pPr>
              <w:jc w:val="center"/>
              <w:rPr>
                <w:rFonts w:ascii="Bookman Old Style" w:hAnsi="Bookman Old Style" w:cs="Arial"/>
                <w:noProof/>
                <w:color w:val="000000"/>
                <w:sz w:val="20"/>
                <w:szCs w:val="20"/>
                <w:bdr w:val="none" w:sz="0" w:space="0" w:color="auto" w:frame="1"/>
              </w:rPr>
            </w:pPr>
            <w:r w:rsidRPr="00011ACE">
              <w:rPr>
                <w:rFonts w:ascii="Bookman Old Style" w:hAnsi="Bookman Old Style" w:cs="Arial"/>
                <w:noProof/>
                <w:color w:val="000000"/>
                <w:sz w:val="20"/>
                <w:szCs w:val="20"/>
                <w:bdr w:val="none" w:sz="0" w:space="0" w:color="auto" w:frame="1"/>
              </w:rPr>
              <w:t>Representante a la Cámara por el Valle del Cauca</w:t>
            </w:r>
          </w:p>
        </w:tc>
      </w:tr>
      <w:tr w:rsidR="00011ACE" w:rsidRPr="00011ACE" w14:paraId="421DFF84" w14:textId="77777777" w:rsidTr="002D7D3A">
        <w:trPr>
          <w:jc w:val="center"/>
        </w:trPr>
        <w:tc>
          <w:tcPr>
            <w:tcW w:w="4390" w:type="dxa"/>
          </w:tcPr>
          <w:p w14:paraId="4FB423FD" w14:textId="77777777" w:rsidR="00011ACE" w:rsidRPr="00011ACE" w:rsidRDefault="00011ACE" w:rsidP="002D7D3A">
            <w:pPr>
              <w:pStyle w:val="NormalWeb"/>
              <w:spacing w:before="0" w:beforeAutospacing="0" w:after="0" w:afterAutospacing="0"/>
              <w:jc w:val="center"/>
              <w:rPr>
                <w:rFonts w:ascii="Bookman Old Style" w:hAnsi="Bookman Old Style" w:cs="Arial"/>
                <w:b/>
                <w:bCs/>
                <w:color w:val="000000"/>
                <w:sz w:val="20"/>
                <w:szCs w:val="20"/>
              </w:rPr>
            </w:pPr>
          </w:p>
          <w:p w14:paraId="4CD5914D" w14:textId="77777777" w:rsidR="00011ACE" w:rsidRPr="00011ACE" w:rsidRDefault="00011ACE" w:rsidP="002D7D3A">
            <w:pPr>
              <w:pStyle w:val="NormalWeb"/>
              <w:spacing w:before="0" w:beforeAutospacing="0" w:after="0" w:afterAutospacing="0"/>
              <w:jc w:val="center"/>
              <w:rPr>
                <w:rFonts w:ascii="Bookman Old Style" w:hAnsi="Bookman Old Style" w:cs="Arial"/>
                <w:b/>
                <w:bCs/>
                <w:color w:val="000000"/>
                <w:sz w:val="20"/>
                <w:szCs w:val="20"/>
              </w:rPr>
            </w:pPr>
            <w:r w:rsidRPr="00011ACE">
              <w:rPr>
                <w:rFonts w:ascii="Bookman Old Style" w:hAnsi="Bookman Old Style" w:cs="Arial"/>
                <w:b/>
                <w:bCs/>
                <w:color w:val="000000"/>
                <w:sz w:val="20"/>
                <w:szCs w:val="20"/>
              </w:rPr>
              <w:t>LUCIANO GRISALES LONDOÑO</w:t>
            </w:r>
          </w:p>
          <w:p w14:paraId="3834227F" w14:textId="77777777" w:rsidR="00011ACE" w:rsidRPr="00011ACE" w:rsidRDefault="00011ACE" w:rsidP="002D7D3A">
            <w:pPr>
              <w:pStyle w:val="NormalWeb"/>
              <w:spacing w:before="0" w:beforeAutospacing="0" w:after="0" w:afterAutospacing="0"/>
              <w:jc w:val="center"/>
              <w:rPr>
                <w:rFonts w:ascii="Bookman Old Style" w:hAnsi="Bookman Old Style" w:cs="Arial"/>
                <w:color w:val="000000"/>
                <w:sz w:val="20"/>
                <w:szCs w:val="20"/>
              </w:rPr>
            </w:pPr>
            <w:r w:rsidRPr="00011ACE">
              <w:rPr>
                <w:rFonts w:ascii="Bookman Old Style" w:hAnsi="Bookman Old Style" w:cs="Arial"/>
                <w:color w:val="000000"/>
                <w:sz w:val="20"/>
                <w:szCs w:val="20"/>
              </w:rPr>
              <w:t>Representante a la Cámara por el Quindío</w:t>
            </w:r>
          </w:p>
          <w:p w14:paraId="431C2EB7" w14:textId="77777777" w:rsidR="00011ACE" w:rsidRPr="00011ACE" w:rsidRDefault="00011ACE" w:rsidP="002D7D3A">
            <w:pPr>
              <w:pStyle w:val="NormalWeb"/>
              <w:spacing w:before="0" w:beforeAutospacing="0" w:after="0" w:afterAutospacing="0"/>
              <w:jc w:val="center"/>
              <w:rPr>
                <w:rFonts w:ascii="Bookman Old Style" w:hAnsi="Bookman Old Style" w:cs="Arial"/>
                <w:color w:val="000000"/>
                <w:sz w:val="20"/>
                <w:szCs w:val="20"/>
              </w:rPr>
            </w:pPr>
            <w:r w:rsidRPr="00011ACE">
              <w:rPr>
                <w:rFonts w:ascii="Bookman Old Style" w:hAnsi="Bookman Old Style" w:cs="Arial"/>
                <w:color w:val="000000"/>
                <w:sz w:val="20"/>
                <w:szCs w:val="20"/>
              </w:rPr>
              <w:t>Partido Liberal Colombiano</w:t>
            </w:r>
          </w:p>
        </w:tc>
        <w:tc>
          <w:tcPr>
            <w:tcW w:w="4348" w:type="dxa"/>
          </w:tcPr>
          <w:p w14:paraId="2B38EE62" w14:textId="77777777" w:rsidR="00011ACE" w:rsidRPr="00011ACE" w:rsidRDefault="00011ACE" w:rsidP="002D7D3A">
            <w:pPr>
              <w:jc w:val="center"/>
              <w:rPr>
                <w:rFonts w:ascii="Bookman Old Style" w:hAnsi="Bookman Old Style" w:cs="Arial"/>
                <w:b/>
                <w:bCs/>
                <w:noProof/>
                <w:color w:val="000000"/>
                <w:sz w:val="20"/>
                <w:szCs w:val="20"/>
                <w:bdr w:val="none" w:sz="0" w:space="0" w:color="auto" w:frame="1"/>
              </w:rPr>
            </w:pPr>
          </w:p>
        </w:tc>
      </w:tr>
    </w:tbl>
    <w:p w14:paraId="728DA997" w14:textId="77777777" w:rsidR="00011ACE" w:rsidRPr="00485CC5" w:rsidRDefault="00011ACE" w:rsidP="00F36280">
      <w:pPr>
        <w:rPr>
          <w:rFonts w:ascii="Bookman Old Style" w:hAnsi="Bookman Old Style" w:cstheme="minorHAnsi"/>
          <w:b/>
        </w:rPr>
      </w:pPr>
    </w:p>
    <w:p w14:paraId="0D92C3A5" w14:textId="77777777" w:rsidR="00011ACE" w:rsidRDefault="00011ACE" w:rsidP="00F36280">
      <w:pPr>
        <w:pStyle w:val="Sinespaciado"/>
        <w:pBdr>
          <w:bottom w:val="single" w:sz="4" w:space="1" w:color="auto"/>
        </w:pBdr>
        <w:tabs>
          <w:tab w:val="left" w:pos="8055"/>
        </w:tabs>
        <w:jc w:val="center"/>
        <w:rPr>
          <w:rFonts w:ascii="Bookman Old Style" w:hAnsi="Bookman Old Style" w:cs="Arial"/>
          <w:b/>
        </w:rPr>
      </w:pPr>
    </w:p>
    <w:p w14:paraId="036661F2" w14:textId="77777777" w:rsidR="00011ACE" w:rsidRDefault="00011ACE" w:rsidP="00F36280">
      <w:pPr>
        <w:pStyle w:val="Sinespaciado"/>
        <w:pBdr>
          <w:bottom w:val="single" w:sz="4" w:space="1" w:color="auto"/>
        </w:pBdr>
        <w:tabs>
          <w:tab w:val="left" w:pos="8055"/>
        </w:tabs>
        <w:jc w:val="center"/>
        <w:rPr>
          <w:rFonts w:ascii="Bookman Old Style" w:hAnsi="Bookman Old Style" w:cs="Arial"/>
          <w:b/>
        </w:rPr>
      </w:pPr>
    </w:p>
    <w:p w14:paraId="61242B46" w14:textId="77777777" w:rsidR="00011ACE" w:rsidRDefault="00011ACE" w:rsidP="00F36280">
      <w:pPr>
        <w:pStyle w:val="Sinespaciado"/>
        <w:pBdr>
          <w:bottom w:val="single" w:sz="4" w:space="1" w:color="auto"/>
        </w:pBdr>
        <w:tabs>
          <w:tab w:val="left" w:pos="8055"/>
        </w:tabs>
        <w:jc w:val="center"/>
        <w:rPr>
          <w:rFonts w:ascii="Bookman Old Style" w:hAnsi="Bookman Old Style" w:cs="Arial"/>
          <w:b/>
        </w:rPr>
      </w:pPr>
    </w:p>
    <w:p w14:paraId="79F0AC18" w14:textId="77777777" w:rsidR="00011ACE" w:rsidRDefault="00011ACE" w:rsidP="00F36280">
      <w:pPr>
        <w:pStyle w:val="Sinespaciado"/>
        <w:pBdr>
          <w:bottom w:val="single" w:sz="4" w:space="1" w:color="auto"/>
        </w:pBdr>
        <w:tabs>
          <w:tab w:val="left" w:pos="8055"/>
        </w:tabs>
        <w:jc w:val="center"/>
        <w:rPr>
          <w:rFonts w:ascii="Bookman Old Style" w:hAnsi="Bookman Old Style" w:cs="Arial"/>
          <w:b/>
        </w:rPr>
      </w:pPr>
    </w:p>
    <w:p w14:paraId="26EB7CCB" w14:textId="13E04399" w:rsidR="00011ACE" w:rsidRDefault="00011ACE" w:rsidP="00F36280">
      <w:pPr>
        <w:pStyle w:val="Sinespaciado"/>
        <w:pBdr>
          <w:bottom w:val="single" w:sz="4" w:space="1" w:color="auto"/>
        </w:pBdr>
        <w:tabs>
          <w:tab w:val="left" w:pos="8055"/>
        </w:tabs>
        <w:jc w:val="center"/>
        <w:rPr>
          <w:rFonts w:ascii="Bookman Old Style" w:hAnsi="Bookman Old Style" w:cs="Arial"/>
          <w:b/>
        </w:rPr>
      </w:pPr>
    </w:p>
    <w:p w14:paraId="1D8DF37D" w14:textId="77777777" w:rsidR="00011ACE" w:rsidRDefault="00011ACE" w:rsidP="00F36280">
      <w:pPr>
        <w:pStyle w:val="Sinespaciado"/>
        <w:pBdr>
          <w:bottom w:val="single" w:sz="4" w:space="1" w:color="auto"/>
        </w:pBdr>
        <w:tabs>
          <w:tab w:val="left" w:pos="8055"/>
        </w:tabs>
        <w:jc w:val="center"/>
        <w:rPr>
          <w:rFonts w:ascii="Bookman Old Style" w:hAnsi="Bookman Old Style" w:cs="Arial"/>
          <w:b/>
        </w:rPr>
      </w:pPr>
    </w:p>
    <w:p w14:paraId="52FCDF80" w14:textId="77777777" w:rsidR="00011ACE" w:rsidRDefault="00011ACE" w:rsidP="00F36280">
      <w:pPr>
        <w:pStyle w:val="Sinespaciado"/>
        <w:pBdr>
          <w:bottom w:val="single" w:sz="4" w:space="1" w:color="auto"/>
        </w:pBdr>
        <w:tabs>
          <w:tab w:val="left" w:pos="8055"/>
        </w:tabs>
        <w:jc w:val="center"/>
        <w:rPr>
          <w:rFonts w:ascii="Bookman Old Style" w:hAnsi="Bookman Old Style" w:cs="Arial"/>
          <w:b/>
        </w:rPr>
      </w:pPr>
    </w:p>
    <w:p w14:paraId="5A5EB547" w14:textId="331F4DEA" w:rsidR="00F36280" w:rsidRPr="00485CC5" w:rsidRDefault="00F36280" w:rsidP="00F36280">
      <w:pPr>
        <w:pStyle w:val="Sinespaciado"/>
        <w:pBdr>
          <w:bottom w:val="single" w:sz="4" w:space="1" w:color="auto"/>
        </w:pBdr>
        <w:tabs>
          <w:tab w:val="left" w:pos="8055"/>
        </w:tabs>
        <w:jc w:val="center"/>
        <w:rPr>
          <w:rFonts w:ascii="Bookman Old Style" w:hAnsi="Bookman Old Style" w:cs="Arial"/>
          <w:b/>
        </w:rPr>
      </w:pPr>
      <w:r w:rsidRPr="00485CC5">
        <w:rPr>
          <w:rFonts w:ascii="Bookman Old Style" w:hAnsi="Bookman Old Style" w:cs="Arial"/>
          <w:b/>
        </w:rPr>
        <w:t>EXPOSICIÓN DE MOTIVOS.</w:t>
      </w:r>
    </w:p>
    <w:p w14:paraId="7E5D46B9" w14:textId="77777777" w:rsidR="00F36280" w:rsidRPr="00485CC5" w:rsidRDefault="00F36280" w:rsidP="00F36280">
      <w:pPr>
        <w:pStyle w:val="Sinespaciado"/>
        <w:tabs>
          <w:tab w:val="left" w:pos="8055"/>
        </w:tabs>
        <w:jc w:val="center"/>
        <w:rPr>
          <w:rFonts w:ascii="Bookman Old Style" w:hAnsi="Bookman Old Style" w:cs="Arial"/>
          <w:b/>
          <w:sz w:val="28"/>
          <w:szCs w:val="28"/>
        </w:rPr>
      </w:pPr>
    </w:p>
    <w:p w14:paraId="5B6F108E" w14:textId="74E7A60D" w:rsidR="00963B79" w:rsidRDefault="00963B79" w:rsidP="000B0FBF">
      <w:pPr>
        <w:pBdr>
          <w:top w:val="nil"/>
          <w:left w:val="nil"/>
          <w:bottom w:val="nil"/>
          <w:right w:val="nil"/>
          <w:between w:val="nil"/>
        </w:pBdr>
        <w:ind w:right="115"/>
        <w:rPr>
          <w:rFonts w:ascii="Bookman Old Style" w:eastAsia="Calibri" w:hAnsi="Bookman Old Style" w:cs="Calibri"/>
          <w:szCs w:val="24"/>
        </w:rPr>
      </w:pPr>
      <w:r>
        <w:rPr>
          <w:rFonts w:ascii="Bookman Old Style" w:eastAsia="Calibri" w:hAnsi="Bookman Old Style" w:cs="Calibri"/>
          <w:szCs w:val="24"/>
        </w:rPr>
        <w:t xml:space="preserve">La presente exposición de motivos está compuesta por </w:t>
      </w:r>
      <w:r w:rsidR="0090168D">
        <w:rPr>
          <w:rFonts w:ascii="Bookman Old Style" w:eastAsia="Calibri" w:hAnsi="Bookman Old Style" w:cs="Calibri"/>
          <w:szCs w:val="24"/>
        </w:rPr>
        <w:t>once</w:t>
      </w:r>
      <w:r>
        <w:rPr>
          <w:rFonts w:ascii="Bookman Old Style" w:eastAsia="Calibri" w:hAnsi="Bookman Old Style" w:cs="Calibri"/>
          <w:szCs w:val="24"/>
        </w:rPr>
        <w:t xml:space="preserve"> (1</w:t>
      </w:r>
      <w:r w:rsidR="0090168D">
        <w:rPr>
          <w:rFonts w:ascii="Bookman Old Style" w:eastAsia="Calibri" w:hAnsi="Bookman Old Style" w:cs="Calibri"/>
          <w:szCs w:val="24"/>
        </w:rPr>
        <w:t>1</w:t>
      </w:r>
      <w:r>
        <w:rPr>
          <w:rFonts w:ascii="Bookman Old Style" w:eastAsia="Calibri" w:hAnsi="Bookman Old Style" w:cs="Calibri"/>
          <w:szCs w:val="24"/>
        </w:rPr>
        <w:t>) apartes:</w:t>
      </w:r>
    </w:p>
    <w:p w14:paraId="4EDB0069" w14:textId="77777777" w:rsidR="00963B79" w:rsidRPr="00621929" w:rsidRDefault="00963B79" w:rsidP="000B0FBF">
      <w:pPr>
        <w:pBdr>
          <w:top w:val="nil"/>
          <w:left w:val="nil"/>
          <w:bottom w:val="nil"/>
          <w:right w:val="nil"/>
          <w:between w:val="nil"/>
        </w:pBdr>
        <w:ind w:right="115"/>
        <w:rPr>
          <w:rFonts w:ascii="Bookman Old Style" w:eastAsia="Calibri" w:hAnsi="Bookman Old Style" w:cs="Calibri"/>
          <w:szCs w:val="24"/>
        </w:rPr>
      </w:pPr>
    </w:p>
    <w:p w14:paraId="42AB9A68" w14:textId="77777777" w:rsidR="00F36280" w:rsidRDefault="000B0FBF" w:rsidP="000B0FBF">
      <w:pPr>
        <w:pBdr>
          <w:top w:val="nil"/>
          <w:left w:val="nil"/>
          <w:bottom w:val="nil"/>
          <w:right w:val="nil"/>
          <w:between w:val="nil"/>
        </w:pBdr>
        <w:ind w:right="115"/>
        <w:rPr>
          <w:rFonts w:ascii="Bookman Old Style" w:eastAsia="Calibri" w:hAnsi="Bookman Old Style" w:cs="Calibri"/>
          <w:b/>
          <w:szCs w:val="24"/>
        </w:rPr>
      </w:pPr>
      <w:r>
        <w:rPr>
          <w:rFonts w:ascii="Bookman Old Style" w:eastAsia="Calibri" w:hAnsi="Bookman Old Style" w:cs="Calibri"/>
          <w:b/>
          <w:szCs w:val="24"/>
        </w:rPr>
        <w:t>CONTENIDO.</w:t>
      </w:r>
    </w:p>
    <w:p w14:paraId="4C4F4E97" w14:textId="77777777" w:rsidR="004561C0" w:rsidRDefault="004561C0" w:rsidP="00176820">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Pr>
          <w:rFonts w:ascii="Bookman Old Style" w:eastAsia="Calibri" w:hAnsi="Bookman Old Style" w:cs="Calibri"/>
          <w:bCs/>
          <w:szCs w:val="24"/>
        </w:rPr>
        <w:t>Antecedentes del Proyecto.</w:t>
      </w:r>
    </w:p>
    <w:p w14:paraId="1986C349" w14:textId="77777777" w:rsidR="000B0FBF" w:rsidRPr="00647748" w:rsidRDefault="000B0FBF" w:rsidP="00176820">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sidRPr="00647748">
        <w:rPr>
          <w:rFonts w:ascii="Bookman Old Style" w:eastAsia="Calibri" w:hAnsi="Bookman Old Style" w:cs="Calibri"/>
          <w:bCs/>
          <w:szCs w:val="24"/>
        </w:rPr>
        <w:t>Objeto del Proyecto de Acto Legislativo.</w:t>
      </w:r>
    </w:p>
    <w:p w14:paraId="61FE857C" w14:textId="77777777" w:rsidR="000B0FBF" w:rsidRPr="00647748" w:rsidRDefault="000B0FBF" w:rsidP="00176820">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sidRPr="00647748">
        <w:rPr>
          <w:rFonts w:ascii="Bookman Old Style" w:eastAsia="Calibri" w:hAnsi="Bookman Old Style" w:cs="Calibri"/>
          <w:bCs/>
          <w:szCs w:val="24"/>
        </w:rPr>
        <w:t>Problema a resolver.</w:t>
      </w:r>
    </w:p>
    <w:p w14:paraId="7C53C833" w14:textId="77777777" w:rsidR="000B0FBF" w:rsidRPr="00647748" w:rsidRDefault="000B0FBF" w:rsidP="00176820">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sidRPr="00647748">
        <w:rPr>
          <w:rFonts w:ascii="Bookman Old Style" w:eastAsia="Calibri" w:hAnsi="Bookman Old Style" w:cs="Calibri"/>
          <w:bCs/>
          <w:szCs w:val="24"/>
        </w:rPr>
        <w:t>Antecedentes</w:t>
      </w:r>
      <w:r w:rsidR="00114CF9">
        <w:rPr>
          <w:rFonts w:ascii="Bookman Old Style" w:eastAsia="Calibri" w:hAnsi="Bookman Old Style" w:cs="Calibri"/>
          <w:bCs/>
          <w:szCs w:val="24"/>
        </w:rPr>
        <w:t>.</w:t>
      </w:r>
      <w:r w:rsidRPr="00647748">
        <w:rPr>
          <w:rFonts w:ascii="Bookman Old Style" w:eastAsia="Calibri" w:hAnsi="Bookman Old Style" w:cs="Calibri"/>
          <w:bCs/>
          <w:szCs w:val="24"/>
        </w:rPr>
        <w:br/>
      </w:r>
      <w:r w:rsidR="00F62A94">
        <w:rPr>
          <w:rFonts w:ascii="Bookman Old Style" w:eastAsia="Calibri" w:hAnsi="Bookman Old Style" w:cs="Calibri"/>
          <w:bCs/>
          <w:szCs w:val="24"/>
        </w:rPr>
        <w:t>4</w:t>
      </w:r>
      <w:r w:rsidRPr="00647748">
        <w:rPr>
          <w:rFonts w:ascii="Bookman Old Style" w:eastAsia="Calibri" w:hAnsi="Bookman Old Style" w:cs="Calibri"/>
          <w:bCs/>
          <w:szCs w:val="24"/>
        </w:rPr>
        <w:t>.1 Antecedentes Jurídicos y normativos sobre la materia en Colombia</w:t>
      </w:r>
      <w:r w:rsidR="00114CF9">
        <w:rPr>
          <w:rFonts w:ascii="Bookman Old Style" w:eastAsia="Calibri" w:hAnsi="Bookman Old Style" w:cs="Calibri"/>
          <w:bCs/>
          <w:szCs w:val="24"/>
        </w:rPr>
        <w:t>.</w:t>
      </w:r>
      <w:r w:rsidRPr="00647748">
        <w:rPr>
          <w:rFonts w:ascii="Bookman Old Style" w:eastAsia="Calibri" w:hAnsi="Bookman Old Style" w:cs="Calibri"/>
          <w:bCs/>
          <w:szCs w:val="24"/>
        </w:rPr>
        <w:br/>
      </w:r>
      <w:r w:rsidR="00F62A94">
        <w:rPr>
          <w:rFonts w:ascii="Bookman Old Style" w:eastAsia="Calibri" w:hAnsi="Bookman Old Style" w:cs="Calibri"/>
          <w:bCs/>
          <w:szCs w:val="24"/>
        </w:rPr>
        <w:t>4</w:t>
      </w:r>
      <w:r w:rsidRPr="00647748">
        <w:rPr>
          <w:rFonts w:ascii="Bookman Old Style" w:eastAsia="Calibri" w:hAnsi="Bookman Old Style" w:cs="Calibri"/>
          <w:bCs/>
          <w:szCs w:val="24"/>
        </w:rPr>
        <w:t>.2 Postura actual frente al uso del cannabis a nivel internacional</w:t>
      </w:r>
      <w:r w:rsidR="00114CF9">
        <w:rPr>
          <w:rFonts w:ascii="Bookman Old Style" w:eastAsia="Calibri" w:hAnsi="Bookman Old Style" w:cs="Calibri"/>
          <w:bCs/>
          <w:szCs w:val="24"/>
        </w:rPr>
        <w:t>.</w:t>
      </w:r>
      <w:r w:rsidRPr="00647748">
        <w:rPr>
          <w:rFonts w:ascii="Bookman Old Style" w:eastAsia="Calibri" w:hAnsi="Bookman Old Style" w:cs="Calibri"/>
          <w:bCs/>
          <w:szCs w:val="24"/>
        </w:rPr>
        <w:br/>
      </w:r>
      <w:r w:rsidR="00F62A94">
        <w:rPr>
          <w:rFonts w:ascii="Bookman Old Style" w:eastAsia="Calibri" w:hAnsi="Bookman Old Style" w:cs="Calibri"/>
          <w:bCs/>
          <w:szCs w:val="24"/>
        </w:rPr>
        <w:t>4</w:t>
      </w:r>
      <w:r w:rsidRPr="00647748">
        <w:rPr>
          <w:rFonts w:ascii="Bookman Old Style" w:eastAsia="Calibri" w:hAnsi="Bookman Old Style" w:cs="Calibri"/>
          <w:bCs/>
          <w:szCs w:val="24"/>
        </w:rPr>
        <w:t>.2.1 Impacto económico de la regulación</w:t>
      </w:r>
      <w:r w:rsidR="00DB66BE">
        <w:rPr>
          <w:rFonts w:ascii="Bookman Old Style" w:eastAsia="Calibri" w:hAnsi="Bookman Old Style" w:cs="Calibri"/>
          <w:bCs/>
          <w:szCs w:val="24"/>
        </w:rPr>
        <w:t xml:space="preserve"> en el caso</w:t>
      </w:r>
      <w:r w:rsidRPr="00647748">
        <w:rPr>
          <w:rFonts w:ascii="Bookman Old Style" w:eastAsia="Calibri" w:hAnsi="Bookman Old Style" w:cs="Calibri"/>
          <w:bCs/>
          <w:szCs w:val="24"/>
        </w:rPr>
        <w:t xml:space="preserve"> internacional</w:t>
      </w:r>
      <w:r w:rsidR="00114CF9">
        <w:rPr>
          <w:rFonts w:ascii="Bookman Old Style" w:eastAsia="Calibri" w:hAnsi="Bookman Old Style" w:cs="Calibri"/>
          <w:bCs/>
          <w:szCs w:val="24"/>
        </w:rPr>
        <w:t>.</w:t>
      </w:r>
    </w:p>
    <w:p w14:paraId="621A0259" w14:textId="0137C949" w:rsidR="00FF35F1" w:rsidRDefault="00FF35F1" w:rsidP="00176820">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Pr>
          <w:rFonts w:ascii="Bookman Old Style" w:eastAsia="Calibri" w:hAnsi="Bookman Old Style" w:cs="Calibri"/>
          <w:bCs/>
          <w:szCs w:val="24"/>
        </w:rPr>
        <w:t>Impacto Económico de la Industria del Cannabis Medicinal en Colombia.</w:t>
      </w:r>
    </w:p>
    <w:p w14:paraId="49984E74" w14:textId="77777777" w:rsidR="00176820" w:rsidRDefault="000B0FBF" w:rsidP="00176820">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sidRPr="00114CF9">
        <w:rPr>
          <w:rFonts w:ascii="Bookman Old Style" w:eastAsia="Calibri" w:hAnsi="Bookman Old Style" w:cs="Calibri"/>
          <w:bCs/>
          <w:szCs w:val="24"/>
        </w:rPr>
        <w:t>Regulación de estupefacientes en Colombia: análisis constitucional y legal</w:t>
      </w:r>
      <w:r w:rsidR="00114CF9" w:rsidRPr="00114CF9">
        <w:rPr>
          <w:rFonts w:ascii="Bookman Old Style" w:eastAsia="Calibri" w:hAnsi="Bookman Old Style" w:cs="Calibri"/>
          <w:bCs/>
          <w:szCs w:val="24"/>
        </w:rPr>
        <w:t>.</w:t>
      </w:r>
      <w:r w:rsidR="00647748" w:rsidRPr="00114CF9">
        <w:rPr>
          <w:rFonts w:ascii="Bookman Old Style" w:eastAsia="Calibri" w:hAnsi="Bookman Old Style" w:cs="Calibri"/>
          <w:bCs/>
          <w:szCs w:val="24"/>
        </w:rPr>
        <w:br/>
      </w:r>
      <w:r w:rsidR="00176820">
        <w:rPr>
          <w:rFonts w:ascii="Bookman Old Style" w:eastAsia="Calibri" w:hAnsi="Bookman Old Style" w:cs="Calibri"/>
          <w:bCs/>
          <w:szCs w:val="24"/>
        </w:rPr>
        <w:t>6</w:t>
      </w:r>
      <w:r w:rsidR="00647748" w:rsidRPr="00114CF9">
        <w:rPr>
          <w:rFonts w:ascii="Bookman Old Style" w:eastAsia="Calibri" w:hAnsi="Bookman Old Style" w:cs="Calibri"/>
          <w:bCs/>
          <w:szCs w:val="24"/>
        </w:rPr>
        <w:t>.1 Prohibición vs. Derechos fundamentales</w:t>
      </w:r>
      <w:r w:rsidR="00114CF9" w:rsidRPr="00114CF9">
        <w:rPr>
          <w:rFonts w:ascii="Bookman Old Style" w:eastAsia="Calibri" w:hAnsi="Bookman Old Style" w:cs="Calibri"/>
          <w:bCs/>
          <w:szCs w:val="24"/>
        </w:rPr>
        <w:t>.</w:t>
      </w:r>
      <w:r w:rsidR="00647748" w:rsidRPr="00114CF9">
        <w:rPr>
          <w:rFonts w:ascii="Bookman Old Style" w:eastAsia="Calibri" w:hAnsi="Bookman Old Style" w:cs="Calibri"/>
          <w:bCs/>
          <w:szCs w:val="24"/>
        </w:rPr>
        <w:br/>
      </w:r>
      <w:r w:rsidR="00176820">
        <w:rPr>
          <w:rFonts w:ascii="Bookman Old Style" w:eastAsia="Calibri" w:hAnsi="Bookman Old Style" w:cs="Calibri"/>
          <w:bCs/>
          <w:szCs w:val="24"/>
        </w:rPr>
        <w:t>6</w:t>
      </w:r>
      <w:r w:rsidR="00647748" w:rsidRPr="00114CF9">
        <w:rPr>
          <w:rFonts w:ascii="Bookman Old Style" w:eastAsia="Calibri" w:hAnsi="Bookman Old Style" w:cs="Calibri"/>
          <w:bCs/>
          <w:szCs w:val="24"/>
        </w:rPr>
        <w:t>.1.1 Derecho al libre desarrollo de la personalidad</w:t>
      </w:r>
      <w:r w:rsidR="00114CF9" w:rsidRPr="00114CF9">
        <w:rPr>
          <w:rFonts w:ascii="Bookman Old Style" w:eastAsia="Calibri" w:hAnsi="Bookman Old Style" w:cs="Calibri"/>
          <w:bCs/>
          <w:szCs w:val="24"/>
        </w:rPr>
        <w:t>.</w:t>
      </w:r>
      <w:r w:rsidR="00647748" w:rsidRPr="00114CF9">
        <w:rPr>
          <w:rFonts w:ascii="Bookman Old Style" w:eastAsia="Calibri" w:hAnsi="Bookman Old Style" w:cs="Calibri"/>
          <w:bCs/>
          <w:szCs w:val="24"/>
        </w:rPr>
        <w:br/>
      </w:r>
      <w:r w:rsidR="00176820">
        <w:rPr>
          <w:rFonts w:ascii="Bookman Old Style" w:eastAsia="Calibri" w:hAnsi="Bookman Old Style" w:cs="Calibri"/>
          <w:bCs/>
          <w:szCs w:val="24"/>
        </w:rPr>
        <w:t>6</w:t>
      </w:r>
      <w:r w:rsidR="00647748" w:rsidRPr="00114CF9">
        <w:rPr>
          <w:rFonts w:ascii="Bookman Old Style" w:eastAsia="Calibri" w:hAnsi="Bookman Old Style" w:cs="Calibri"/>
          <w:bCs/>
          <w:szCs w:val="24"/>
        </w:rPr>
        <w:t>.1.2 Derecho a la igualdad</w:t>
      </w:r>
      <w:r w:rsidR="00114CF9" w:rsidRPr="00114CF9">
        <w:rPr>
          <w:rFonts w:ascii="Bookman Old Style" w:eastAsia="Calibri" w:hAnsi="Bookman Old Style" w:cs="Calibri"/>
          <w:bCs/>
          <w:szCs w:val="24"/>
        </w:rPr>
        <w:t>.</w:t>
      </w:r>
      <w:r w:rsidR="00647748" w:rsidRPr="00114CF9">
        <w:rPr>
          <w:rFonts w:ascii="Bookman Old Style" w:eastAsia="Calibri" w:hAnsi="Bookman Old Style" w:cs="Calibri"/>
          <w:bCs/>
          <w:szCs w:val="24"/>
        </w:rPr>
        <w:br/>
      </w:r>
      <w:r w:rsidR="00176820">
        <w:rPr>
          <w:rFonts w:ascii="Bookman Old Style" w:eastAsia="Calibri" w:hAnsi="Bookman Old Style" w:cs="Calibri"/>
          <w:bCs/>
          <w:szCs w:val="24"/>
        </w:rPr>
        <w:t>6</w:t>
      </w:r>
      <w:r w:rsidR="00647748" w:rsidRPr="00114CF9">
        <w:rPr>
          <w:rFonts w:ascii="Bookman Old Style" w:eastAsia="Calibri" w:hAnsi="Bookman Old Style" w:cs="Calibri"/>
          <w:bCs/>
          <w:szCs w:val="24"/>
        </w:rPr>
        <w:t>.1.3 Derecho a la salud</w:t>
      </w:r>
      <w:r w:rsidR="00114CF9" w:rsidRPr="00114CF9">
        <w:rPr>
          <w:rFonts w:ascii="Bookman Old Style" w:eastAsia="Calibri" w:hAnsi="Bookman Old Style" w:cs="Calibri"/>
          <w:bCs/>
          <w:szCs w:val="24"/>
        </w:rPr>
        <w:t>.</w:t>
      </w:r>
      <w:r w:rsidR="00647748" w:rsidRPr="00114CF9">
        <w:rPr>
          <w:rFonts w:ascii="Bookman Old Style" w:eastAsia="Calibri" w:hAnsi="Bookman Old Style" w:cs="Calibri"/>
          <w:bCs/>
          <w:szCs w:val="24"/>
        </w:rPr>
        <w:br/>
      </w:r>
      <w:r w:rsidR="00176820">
        <w:rPr>
          <w:rFonts w:ascii="Bookman Old Style" w:eastAsia="Calibri" w:hAnsi="Bookman Old Style" w:cs="Calibri"/>
          <w:bCs/>
          <w:szCs w:val="24"/>
        </w:rPr>
        <w:t>6</w:t>
      </w:r>
      <w:r w:rsidR="00647748" w:rsidRPr="00114CF9">
        <w:rPr>
          <w:rFonts w:ascii="Bookman Old Style" w:eastAsia="Calibri" w:hAnsi="Bookman Old Style" w:cs="Calibri"/>
          <w:bCs/>
          <w:szCs w:val="24"/>
        </w:rPr>
        <w:t>.2 Análisis constitucional de la regulación actual frente al porte y consumo de estupefacientes</w:t>
      </w:r>
      <w:r w:rsidR="00114CF9" w:rsidRPr="00114CF9">
        <w:rPr>
          <w:rFonts w:ascii="Bookman Old Style" w:eastAsia="Calibri" w:hAnsi="Bookman Old Style" w:cs="Calibri"/>
          <w:bCs/>
          <w:szCs w:val="24"/>
        </w:rPr>
        <w:t>.</w:t>
      </w:r>
      <w:r w:rsidR="00647748" w:rsidRPr="00114CF9">
        <w:rPr>
          <w:rFonts w:ascii="Bookman Old Style" w:eastAsia="Calibri" w:hAnsi="Bookman Old Style" w:cs="Calibri"/>
          <w:bCs/>
          <w:szCs w:val="24"/>
        </w:rPr>
        <w:br/>
      </w:r>
      <w:r w:rsidR="00176820">
        <w:rPr>
          <w:rFonts w:ascii="Bookman Old Style" w:eastAsia="Calibri" w:hAnsi="Bookman Old Style" w:cs="Calibri"/>
          <w:bCs/>
          <w:szCs w:val="24"/>
        </w:rPr>
        <w:t>6</w:t>
      </w:r>
      <w:r w:rsidR="00647748" w:rsidRPr="00114CF9">
        <w:rPr>
          <w:rFonts w:ascii="Bookman Old Style" w:eastAsia="Calibri" w:hAnsi="Bookman Old Style" w:cs="Calibri"/>
          <w:bCs/>
          <w:szCs w:val="24"/>
        </w:rPr>
        <w:t>.2.1 Afectación del derecho a la salud por el consumo de sustancias estupefacientes o psicotrópicas</w:t>
      </w:r>
      <w:r w:rsidR="00114CF9" w:rsidRPr="00114CF9">
        <w:rPr>
          <w:rFonts w:ascii="Bookman Old Style" w:eastAsia="Calibri" w:hAnsi="Bookman Old Style" w:cs="Calibri"/>
          <w:bCs/>
          <w:szCs w:val="24"/>
        </w:rPr>
        <w:t>.</w:t>
      </w:r>
    </w:p>
    <w:p w14:paraId="1A9E2864" w14:textId="737EB48C" w:rsidR="000F7EA5" w:rsidRDefault="000F7EA5" w:rsidP="00176820">
      <w:pPr>
        <w:pStyle w:val="Prrafodelista"/>
        <w:pBdr>
          <w:top w:val="nil"/>
          <w:left w:val="nil"/>
          <w:bottom w:val="nil"/>
          <w:right w:val="nil"/>
          <w:between w:val="nil"/>
        </w:pBdr>
        <w:ind w:left="360" w:right="115"/>
        <w:rPr>
          <w:rFonts w:ascii="Bookman Old Style" w:eastAsia="Calibri" w:hAnsi="Bookman Old Style" w:cs="Calibri"/>
          <w:bCs/>
          <w:szCs w:val="24"/>
        </w:rPr>
      </w:pPr>
      <w:r>
        <w:rPr>
          <w:rFonts w:ascii="Bookman Old Style" w:eastAsia="Calibri" w:hAnsi="Bookman Old Style" w:cs="Calibri"/>
          <w:bCs/>
          <w:szCs w:val="24"/>
        </w:rPr>
        <w:t>6.2.1.1 Frente al daño al consumidor.</w:t>
      </w:r>
    </w:p>
    <w:p w14:paraId="27B34097" w14:textId="058BC591" w:rsidR="000F7EA5" w:rsidRDefault="000F7EA5" w:rsidP="00176820">
      <w:pPr>
        <w:pStyle w:val="Prrafodelista"/>
        <w:pBdr>
          <w:top w:val="nil"/>
          <w:left w:val="nil"/>
          <w:bottom w:val="nil"/>
          <w:right w:val="nil"/>
          <w:between w:val="nil"/>
        </w:pBdr>
        <w:ind w:left="360" w:right="115"/>
        <w:rPr>
          <w:rFonts w:ascii="Bookman Old Style" w:eastAsia="Calibri" w:hAnsi="Bookman Old Style" w:cs="Calibri"/>
          <w:bCs/>
          <w:szCs w:val="24"/>
        </w:rPr>
      </w:pPr>
      <w:r>
        <w:rPr>
          <w:rFonts w:ascii="Bookman Old Style" w:eastAsia="Calibri" w:hAnsi="Bookman Old Style" w:cs="Calibri"/>
          <w:bCs/>
          <w:szCs w:val="24"/>
        </w:rPr>
        <w:t>6.2.1.2 Frente a la probabilidad de desarrollar trastornos asociados al consumo.</w:t>
      </w:r>
    </w:p>
    <w:p w14:paraId="2ED11103" w14:textId="4A96D4AE" w:rsidR="000F7EA5" w:rsidRDefault="000F7EA5" w:rsidP="00176820">
      <w:pPr>
        <w:pStyle w:val="Prrafodelista"/>
        <w:pBdr>
          <w:top w:val="nil"/>
          <w:left w:val="nil"/>
          <w:bottom w:val="nil"/>
          <w:right w:val="nil"/>
          <w:between w:val="nil"/>
        </w:pBdr>
        <w:ind w:left="360" w:right="115"/>
        <w:rPr>
          <w:rFonts w:ascii="Bookman Old Style" w:eastAsia="Calibri" w:hAnsi="Bookman Old Style" w:cs="Calibri"/>
          <w:bCs/>
          <w:szCs w:val="24"/>
        </w:rPr>
      </w:pPr>
      <w:r>
        <w:rPr>
          <w:rFonts w:ascii="Bookman Old Style" w:eastAsia="Calibri" w:hAnsi="Bookman Old Style" w:cs="Calibri"/>
          <w:bCs/>
          <w:szCs w:val="24"/>
        </w:rPr>
        <w:t>6.2.1.3 Frente al aumento del consumo por regulación.</w:t>
      </w:r>
    </w:p>
    <w:p w14:paraId="35344AC8" w14:textId="51FB5456" w:rsidR="000B0FBF" w:rsidRPr="00114CF9" w:rsidRDefault="000F7EA5" w:rsidP="00176820">
      <w:pPr>
        <w:pStyle w:val="Prrafodelista"/>
        <w:pBdr>
          <w:top w:val="nil"/>
          <w:left w:val="nil"/>
          <w:bottom w:val="nil"/>
          <w:right w:val="nil"/>
          <w:between w:val="nil"/>
        </w:pBdr>
        <w:ind w:left="360" w:right="115"/>
        <w:rPr>
          <w:rFonts w:ascii="Bookman Old Style" w:eastAsia="Calibri" w:hAnsi="Bookman Old Style" w:cs="Calibri"/>
          <w:bCs/>
          <w:szCs w:val="24"/>
        </w:rPr>
      </w:pPr>
      <w:r>
        <w:rPr>
          <w:rFonts w:ascii="Bookman Old Style" w:eastAsia="Calibri" w:hAnsi="Bookman Old Style" w:cs="Calibri"/>
          <w:bCs/>
          <w:szCs w:val="24"/>
        </w:rPr>
        <w:t>6.2.1.4 Frente al aumento de violencia por consumo de cannabis.</w:t>
      </w:r>
      <w:r w:rsidR="00647748" w:rsidRPr="00114CF9">
        <w:rPr>
          <w:rFonts w:ascii="Bookman Old Style" w:eastAsia="Calibri" w:hAnsi="Bookman Old Style" w:cs="Calibri"/>
          <w:bCs/>
          <w:szCs w:val="24"/>
        </w:rPr>
        <w:br/>
      </w:r>
      <w:r w:rsidR="00176820">
        <w:rPr>
          <w:rFonts w:ascii="Bookman Old Style" w:eastAsia="Calibri" w:hAnsi="Bookman Old Style" w:cs="Calibri"/>
          <w:bCs/>
          <w:szCs w:val="24"/>
        </w:rPr>
        <w:t>6</w:t>
      </w:r>
      <w:r w:rsidR="00647748" w:rsidRPr="00114CF9">
        <w:rPr>
          <w:rFonts w:ascii="Bookman Old Style" w:eastAsia="Calibri" w:hAnsi="Bookman Old Style" w:cs="Calibri"/>
          <w:bCs/>
          <w:szCs w:val="24"/>
        </w:rPr>
        <w:t>.2.2 Regularización exclusiva del cannabis</w:t>
      </w:r>
      <w:r w:rsidR="00114CF9" w:rsidRPr="00114CF9">
        <w:rPr>
          <w:rFonts w:ascii="Bookman Old Style" w:eastAsia="Calibri" w:hAnsi="Bookman Old Style" w:cs="Calibri"/>
          <w:bCs/>
          <w:szCs w:val="24"/>
        </w:rPr>
        <w:t>.</w:t>
      </w:r>
      <w:r w:rsidR="00647748" w:rsidRPr="00114CF9">
        <w:rPr>
          <w:rFonts w:ascii="Bookman Old Style" w:eastAsia="Calibri" w:hAnsi="Bookman Old Style" w:cs="Calibri"/>
          <w:bCs/>
          <w:szCs w:val="24"/>
        </w:rPr>
        <w:br/>
      </w:r>
      <w:r w:rsidR="00176820">
        <w:rPr>
          <w:rFonts w:ascii="Bookman Old Style" w:eastAsia="Calibri" w:hAnsi="Bookman Old Style" w:cs="Calibri"/>
          <w:bCs/>
          <w:szCs w:val="24"/>
        </w:rPr>
        <w:t>6</w:t>
      </w:r>
      <w:r w:rsidR="00647748" w:rsidRPr="00114CF9">
        <w:rPr>
          <w:rFonts w:ascii="Bookman Old Style" w:eastAsia="Calibri" w:hAnsi="Bookman Old Style" w:cs="Calibri"/>
          <w:bCs/>
          <w:szCs w:val="24"/>
        </w:rPr>
        <w:t>.2.3 Juicio integrado de igualdad</w:t>
      </w:r>
      <w:r w:rsidR="00114CF9" w:rsidRPr="00114CF9">
        <w:rPr>
          <w:rFonts w:ascii="Bookman Old Style" w:eastAsia="Calibri" w:hAnsi="Bookman Old Style" w:cs="Calibri"/>
          <w:bCs/>
          <w:szCs w:val="24"/>
        </w:rPr>
        <w:t>.</w:t>
      </w:r>
    </w:p>
    <w:p w14:paraId="3225B70B" w14:textId="6B43B346" w:rsidR="00647748" w:rsidRPr="002B6B8C" w:rsidRDefault="00647748" w:rsidP="00176820">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sidRPr="002B6B8C">
        <w:rPr>
          <w:rFonts w:ascii="Bookman Old Style" w:eastAsia="Calibri" w:hAnsi="Bookman Old Style" w:cs="Calibri"/>
          <w:bCs/>
          <w:szCs w:val="24"/>
        </w:rPr>
        <w:t>Análisis de la afectividad de la política de criminalización del porte y consumo de drogas</w:t>
      </w:r>
      <w:r w:rsidR="005B5FC0" w:rsidRPr="002B6B8C">
        <w:rPr>
          <w:rFonts w:ascii="Bookman Old Style" w:eastAsia="Calibri" w:hAnsi="Bookman Old Style" w:cs="Calibri"/>
          <w:bCs/>
          <w:szCs w:val="24"/>
        </w:rPr>
        <w:t>.</w:t>
      </w:r>
    </w:p>
    <w:p w14:paraId="6BEBF969" w14:textId="77777777" w:rsidR="00647748" w:rsidRPr="00647748" w:rsidRDefault="00647748" w:rsidP="00176820">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sidRPr="00647748">
        <w:rPr>
          <w:rFonts w:ascii="Bookman Old Style" w:eastAsia="Calibri" w:hAnsi="Bookman Old Style" w:cs="Calibri"/>
          <w:bCs/>
          <w:szCs w:val="24"/>
        </w:rPr>
        <w:t>Modificaciones a la Constitución</w:t>
      </w:r>
      <w:r w:rsidR="005B5FC0">
        <w:rPr>
          <w:rFonts w:ascii="Bookman Old Style" w:eastAsia="Calibri" w:hAnsi="Bookman Old Style" w:cs="Calibri"/>
          <w:bCs/>
          <w:szCs w:val="24"/>
        </w:rPr>
        <w:t>.</w:t>
      </w:r>
    </w:p>
    <w:p w14:paraId="56CC17DF" w14:textId="77777777" w:rsidR="00647748" w:rsidRDefault="00647748" w:rsidP="00176820">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sidRPr="00647748">
        <w:rPr>
          <w:rFonts w:ascii="Bookman Old Style" w:eastAsia="Calibri" w:hAnsi="Bookman Old Style" w:cs="Calibri"/>
          <w:bCs/>
          <w:szCs w:val="24"/>
        </w:rPr>
        <w:t>Conclusiones</w:t>
      </w:r>
      <w:r w:rsidR="005B5FC0">
        <w:rPr>
          <w:rFonts w:ascii="Bookman Old Style" w:eastAsia="Calibri" w:hAnsi="Bookman Old Style" w:cs="Calibri"/>
          <w:bCs/>
          <w:szCs w:val="24"/>
        </w:rPr>
        <w:t>.</w:t>
      </w:r>
    </w:p>
    <w:p w14:paraId="6EBCA10C" w14:textId="77777777" w:rsidR="005B598C" w:rsidRPr="00647748" w:rsidRDefault="005B598C" w:rsidP="00176820">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Pr>
          <w:rFonts w:ascii="Bookman Old Style" w:eastAsia="Calibri" w:hAnsi="Bookman Old Style" w:cs="Calibri"/>
          <w:bCs/>
          <w:szCs w:val="24"/>
        </w:rPr>
        <w:t>Conflicto</w:t>
      </w:r>
      <w:r w:rsidR="00254DDC">
        <w:rPr>
          <w:rFonts w:ascii="Bookman Old Style" w:eastAsia="Calibri" w:hAnsi="Bookman Old Style" w:cs="Calibri"/>
          <w:bCs/>
          <w:szCs w:val="24"/>
        </w:rPr>
        <w:t>s</w:t>
      </w:r>
      <w:r>
        <w:rPr>
          <w:rFonts w:ascii="Bookman Old Style" w:eastAsia="Calibri" w:hAnsi="Bookman Old Style" w:cs="Calibri"/>
          <w:bCs/>
          <w:szCs w:val="24"/>
        </w:rPr>
        <w:t xml:space="preserve"> de Interés.</w:t>
      </w:r>
    </w:p>
    <w:p w14:paraId="557B3DCC" w14:textId="77777777" w:rsidR="00647748" w:rsidRPr="00647748" w:rsidRDefault="00647748" w:rsidP="00176820">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sidRPr="00647748">
        <w:rPr>
          <w:rFonts w:ascii="Bookman Old Style" w:eastAsia="Calibri" w:hAnsi="Bookman Old Style" w:cs="Calibri"/>
          <w:bCs/>
          <w:szCs w:val="24"/>
        </w:rPr>
        <w:t>Referencias</w:t>
      </w:r>
      <w:r w:rsidR="005B5FC0">
        <w:rPr>
          <w:rFonts w:ascii="Bookman Old Style" w:eastAsia="Calibri" w:hAnsi="Bookman Old Style" w:cs="Calibri"/>
          <w:bCs/>
          <w:szCs w:val="24"/>
        </w:rPr>
        <w:t>.</w:t>
      </w:r>
    </w:p>
    <w:p w14:paraId="73FE9F6F" w14:textId="1DE3531B" w:rsidR="000B0FBF" w:rsidRDefault="000B0FBF" w:rsidP="000B0FBF">
      <w:pPr>
        <w:pBdr>
          <w:top w:val="nil"/>
          <w:left w:val="nil"/>
          <w:bottom w:val="nil"/>
          <w:right w:val="nil"/>
          <w:between w:val="nil"/>
        </w:pBdr>
        <w:ind w:left="-1133" w:right="115"/>
        <w:rPr>
          <w:rFonts w:ascii="Bookman Old Style" w:eastAsia="Calibri" w:hAnsi="Bookman Old Style" w:cs="Calibri"/>
          <w:b/>
          <w:szCs w:val="24"/>
        </w:rPr>
      </w:pPr>
    </w:p>
    <w:p w14:paraId="34F7E83C" w14:textId="77777777" w:rsidR="00FF35F1" w:rsidRPr="00485CC5" w:rsidRDefault="00FF35F1" w:rsidP="000B0FBF">
      <w:pPr>
        <w:pBdr>
          <w:top w:val="nil"/>
          <w:left w:val="nil"/>
          <w:bottom w:val="nil"/>
          <w:right w:val="nil"/>
          <w:between w:val="nil"/>
        </w:pBdr>
        <w:ind w:left="-1133" w:right="115"/>
        <w:rPr>
          <w:rFonts w:ascii="Bookman Old Style" w:eastAsia="Calibri" w:hAnsi="Bookman Old Style" w:cs="Calibri"/>
          <w:b/>
          <w:szCs w:val="24"/>
        </w:rPr>
      </w:pPr>
    </w:p>
    <w:p w14:paraId="0A376DD9" w14:textId="3B3A5246" w:rsidR="009B6C3A" w:rsidRDefault="009B6C3A" w:rsidP="000B0FBF">
      <w:pPr>
        <w:pStyle w:val="Ttulo2"/>
        <w:numPr>
          <w:ilvl w:val="0"/>
          <w:numId w:val="35"/>
        </w:numPr>
        <w:jc w:val="center"/>
        <w:rPr>
          <w:rFonts w:ascii="Bookman Old Style" w:eastAsia="Calibri" w:hAnsi="Bookman Old Style" w:cs="Calibri"/>
          <w:sz w:val="22"/>
          <w:szCs w:val="24"/>
        </w:rPr>
      </w:pPr>
      <w:r>
        <w:rPr>
          <w:rFonts w:ascii="Bookman Old Style" w:eastAsia="Calibri" w:hAnsi="Bookman Old Style" w:cs="Calibri"/>
          <w:sz w:val="22"/>
          <w:szCs w:val="24"/>
        </w:rPr>
        <w:t>ANTECEDENTES DEL PROYECTO</w:t>
      </w:r>
      <w:r w:rsidR="008D6C03">
        <w:rPr>
          <w:rFonts w:ascii="Bookman Old Style" w:eastAsia="Calibri" w:hAnsi="Bookman Old Style" w:cs="Calibri"/>
          <w:sz w:val="22"/>
          <w:szCs w:val="24"/>
        </w:rPr>
        <w:t>.</w:t>
      </w:r>
    </w:p>
    <w:p w14:paraId="0B7DCF83" w14:textId="77777777" w:rsidR="009B6C3A" w:rsidRPr="009B6C3A" w:rsidRDefault="009B6C3A" w:rsidP="009B6C3A">
      <w:pPr>
        <w:rPr>
          <w:rFonts w:eastAsia="Calibri"/>
        </w:rPr>
      </w:pPr>
    </w:p>
    <w:p w14:paraId="748E9879" w14:textId="409B9F4F" w:rsidR="009B6C3A" w:rsidRDefault="009B6C3A" w:rsidP="009B6C3A">
      <w:pPr>
        <w:jc w:val="both"/>
        <w:rPr>
          <w:rFonts w:ascii="Bookman Old Style" w:eastAsia="Calibri" w:hAnsi="Bookman Old Style" w:cs="Calibri"/>
          <w:bCs/>
          <w:i/>
          <w:iCs/>
          <w:szCs w:val="24"/>
        </w:rPr>
      </w:pPr>
      <w:r w:rsidRPr="009B6C3A">
        <w:rPr>
          <w:rFonts w:ascii="Bookman Old Style" w:eastAsia="Calibri" w:hAnsi="Bookman Old Style" w:cs="Calibri"/>
          <w:szCs w:val="24"/>
        </w:rPr>
        <w:t>El 15 de agosto de 2019 fue radicado por los H.R. Juan Carlos Lozada Vargas, H.R. Juan Fernando Reyes Kuri , H.R. César Augusto Lorduy Maldonado, H.R. Andrés David Calle Aguas , H.R. Alfredo Rafael Deluque Zuleta, H.R. Katherine Miranda Peña , H.R. Juanita María Goebertus Estrada , H.R. Alejandro Alberto Vega Pérez , H.R. Ciro Fernández Núñez , H.R. Harry Giovanny González García, H.R. David Ricardo Racero Mayorca , H.R. Mauricio Andrés Toro Orjuela, H.R. Catalina Ortiz Lalinde , H.R. Jairo Humberto Cristo Correa , H.R. Fabio Fernando Arroyave Rivas, H.R. Inti Raúl Asprilla Reyes y otros el Proyecto de Acto Legislativo</w:t>
      </w:r>
      <w:r>
        <w:rPr>
          <w:rFonts w:ascii="Bookman Old Style" w:eastAsia="Calibri" w:hAnsi="Bookman Old Style" w:cs="Calibri"/>
          <w:szCs w:val="24"/>
        </w:rPr>
        <w:t xml:space="preserve"> No. 172 de 2019C </w:t>
      </w:r>
      <w:r w:rsidRPr="009B6C3A">
        <w:rPr>
          <w:rFonts w:ascii="Bookman Old Style" w:eastAsia="Calibri" w:hAnsi="Bookman Old Style" w:cs="Calibri"/>
          <w:bCs/>
          <w:i/>
          <w:iCs/>
          <w:szCs w:val="24"/>
        </w:rPr>
        <w:t>“POR MEDIO DEL CUAL SE MODIFICA EL ARTÍCULO 49 DE LA CONSTITUCIÓN POLÍTICA DE COLOMBIA Y SE REGULARIZA EL USO RECREATIVO DEL CANNABIS”</w:t>
      </w:r>
      <w:r>
        <w:rPr>
          <w:rFonts w:ascii="Bookman Old Style" w:eastAsia="Calibri" w:hAnsi="Bookman Old Style" w:cs="Calibri"/>
          <w:bCs/>
          <w:i/>
          <w:iCs/>
          <w:szCs w:val="24"/>
        </w:rPr>
        <w:t>.</w:t>
      </w:r>
    </w:p>
    <w:p w14:paraId="1D7C4987" w14:textId="77777777" w:rsidR="009B6C3A" w:rsidRDefault="009B6C3A" w:rsidP="009B6C3A">
      <w:pPr>
        <w:jc w:val="both"/>
        <w:rPr>
          <w:rFonts w:ascii="Bookman Old Style" w:eastAsia="Calibri" w:hAnsi="Bookman Old Style" w:cs="Calibri"/>
          <w:bCs/>
          <w:i/>
          <w:iCs/>
          <w:szCs w:val="24"/>
        </w:rPr>
      </w:pPr>
    </w:p>
    <w:p w14:paraId="5DEEE347" w14:textId="785E5595" w:rsidR="009B6C3A" w:rsidRDefault="009B6C3A" w:rsidP="009B6C3A">
      <w:pPr>
        <w:jc w:val="both"/>
        <w:rPr>
          <w:rFonts w:ascii="Bookman Old Style" w:eastAsia="Calibri" w:hAnsi="Bookman Old Style" w:cs="Calibri"/>
          <w:bCs/>
          <w:iCs/>
          <w:szCs w:val="24"/>
        </w:rPr>
      </w:pPr>
      <w:r>
        <w:rPr>
          <w:rFonts w:ascii="Bookman Old Style" w:eastAsia="Calibri" w:hAnsi="Bookman Old Style" w:cs="Calibri"/>
          <w:bCs/>
          <w:iCs/>
          <w:szCs w:val="24"/>
        </w:rPr>
        <w:t xml:space="preserve">El 24 de septiembre de 2019 el proyecto fue puesto en consideración de la Comisión Primera Constitucional Permanente de la Cámara de Representantes y fue aprobado su informe de Ponencia de Primer Debate. </w:t>
      </w:r>
      <w:r w:rsidR="002B1845">
        <w:rPr>
          <w:rFonts w:ascii="Bookman Old Style" w:eastAsia="Calibri" w:hAnsi="Bookman Old Style" w:cs="Calibri"/>
          <w:bCs/>
          <w:iCs/>
          <w:szCs w:val="24"/>
        </w:rPr>
        <w:t>E</w:t>
      </w:r>
      <w:r>
        <w:rPr>
          <w:rFonts w:ascii="Bookman Old Style" w:eastAsia="Calibri" w:hAnsi="Bookman Old Style" w:cs="Calibri"/>
          <w:bCs/>
          <w:iCs/>
          <w:szCs w:val="24"/>
        </w:rPr>
        <w:t>l Proyecto de Acto Legislativo continuó su tránsito hacia la Plenaria de la Cámara de Representantes, en donde</w:t>
      </w:r>
      <w:r w:rsidR="00C33DA6">
        <w:rPr>
          <w:rFonts w:ascii="Bookman Old Style" w:eastAsia="Calibri" w:hAnsi="Bookman Old Style" w:cs="Calibri"/>
          <w:bCs/>
          <w:iCs/>
          <w:szCs w:val="24"/>
        </w:rPr>
        <w:t>,</w:t>
      </w:r>
      <w:r>
        <w:rPr>
          <w:rFonts w:ascii="Bookman Old Style" w:eastAsia="Calibri" w:hAnsi="Bookman Old Style" w:cs="Calibri"/>
          <w:bCs/>
          <w:iCs/>
          <w:szCs w:val="24"/>
        </w:rPr>
        <w:t xml:space="preserve"> si bien se radicó Ponencia Positiva para Segundo Debate, el Proyecto debió ser archivado </w:t>
      </w:r>
      <w:r w:rsidR="00DA389D">
        <w:rPr>
          <w:rFonts w:ascii="Bookman Old Style" w:eastAsia="Calibri" w:hAnsi="Bookman Old Style" w:cs="Calibri"/>
          <w:bCs/>
          <w:iCs/>
          <w:szCs w:val="24"/>
        </w:rPr>
        <w:t>en razón a que se agotaron los tiempos legislativos necesarios</w:t>
      </w:r>
      <w:r w:rsidR="00C33DA6">
        <w:rPr>
          <w:rFonts w:ascii="Bookman Old Style" w:eastAsia="Calibri" w:hAnsi="Bookman Old Style" w:cs="Calibri"/>
          <w:bCs/>
          <w:iCs/>
          <w:szCs w:val="24"/>
        </w:rPr>
        <w:t xml:space="preserve"> para continuar su trámite</w:t>
      </w:r>
      <w:r w:rsidR="00DA389D">
        <w:rPr>
          <w:rFonts w:ascii="Bookman Old Style" w:eastAsia="Calibri" w:hAnsi="Bookman Old Style" w:cs="Calibri"/>
          <w:bCs/>
          <w:iCs/>
          <w:szCs w:val="24"/>
        </w:rPr>
        <w:t xml:space="preserve">, de acuerdo a lo dispuesto en </w:t>
      </w:r>
      <w:r w:rsidR="002B1845">
        <w:rPr>
          <w:rFonts w:ascii="Bookman Old Style" w:eastAsia="Calibri" w:hAnsi="Bookman Old Style" w:cs="Calibri"/>
          <w:bCs/>
          <w:iCs/>
          <w:szCs w:val="24"/>
        </w:rPr>
        <w:t>los artículos</w:t>
      </w:r>
      <w:r w:rsidR="00DA389D">
        <w:rPr>
          <w:rFonts w:ascii="Bookman Old Style" w:eastAsia="Calibri" w:hAnsi="Bookman Old Style" w:cs="Calibri"/>
          <w:bCs/>
          <w:iCs/>
          <w:szCs w:val="24"/>
        </w:rPr>
        <w:t xml:space="preserve"> 224 y 225 de la Ley 5ta de 1992.</w:t>
      </w:r>
    </w:p>
    <w:p w14:paraId="3091F575" w14:textId="56061CE7" w:rsidR="00DA389D" w:rsidRDefault="00DA389D" w:rsidP="009B6C3A">
      <w:pPr>
        <w:jc w:val="both"/>
        <w:rPr>
          <w:rFonts w:ascii="Bookman Old Style" w:eastAsia="Calibri" w:hAnsi="Bookman Old Style" w:cs="Calibri"/>
          <w:bCs/>
          <w:iCs/>
          <w:szCs w:val="24"/>
        </w:rPr>
      </w:pPr>
    </w:p>
    <w:p w14:paraId="438FB9C9" w14:textId="0F15F05F" w:rsidR="002B1845" w:rsidRDefault="002B1845" w:rsidP="002B1845">
      <w:pPr>
        <w:jc w:val="both"/>
        <w:rPr>
          <w:rFonts w:ascii="Bookman Old Style" w:eastAsia="Calibri" w:hAnsi="Bookman Old Style" w:cs="Calibri"/>
          <w:bCs/>
          <w:iCs/>
          <w:szCs w:val="24"/>
        </w:rPr>
      </w:pPr>
      <w:r>
        <w:rPr>
          <w:rFonts w:ascii="Bookman Old Style" w:eastAsia="Calibri" w:hAnsi="Bookman Old Style" w:cs="Calibri"/>
          <w:bCs/>
          <w:iCs/>
          <w:szCs w:val="24"/>
        </w:rPr>
        <w:t xml:space="preserve">El 20 de julio de 2020 se presentó nuevamente el proyecto, esta vez suscrito por los H.R. </w:t>
      </w:r>
      <w:r w:rsidRPr="002B1845">
        <w:rPr>
          <w:rFonts w:ascii="Bookman Old Style" w:eastAsia="Calibri" w:hAnsi="Bookman Old Style" w:cs="Calibri"/>
          <w:bCs/>
          <w:iCs/>
          <w:szCs w:val="24"/>
        </w:rPr>
        <w:t>Juan Carlos Lozada</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Juan Fernando Reyes Kuri</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Mauricio Toro</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Andrés Calle Aguas</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Alejandro Vega</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Carlos Ardila Espinosa</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Alejandro Carlos Chacón</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Julián Peinado</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 xml:space="preserve">Harry </w:t>
      </w:r>
      <w:r>
        <w:rPr>
          <w:rFonts w:ascii="Bookman Old Style" w:eastAsia="Calibri" w:hAnsi="Bookman Old Style" w:cs="Calibri"/>
          <w:bCs/>
          <w:iCs/>
          <w:szCs w:val="24"/>
        </w:rPr>
        <w:t xml:space="preserve">Giovanny </w:t>
      </w:r>
      <w:r w:rsidRPr="002B1845">
        <w:rPr>
          <w:rFonts w:ascii="Bookman Old Style" w:eastAsia="Calibri" w:hAnsi="Bookman Old Style" w:cs="Calibri"/>
          <w:bCs/>
          <w:iCs/>
          <w:szCs w:val="24"/>
        </w:rPr>
        <w:t>González</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Fabio Fernando Arroyave</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German Navas Talero</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Juanita Goebertus</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Katherine Miranda Peña</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Catalina Ortiz</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José Daniel López</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Cesar Augusto Lorduy</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Alfredo Rafael Deluque</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Inti Raúl Asprilla</w:t>
      </w:r>
      <w:r>
        <w:rPr>
          <w:rFonts w:ascii="Bookman Old Style" w:eastAsia="Calibri" w:hAnsi="Bookman Old Style" w:cs="Calibri"/>
          <w:bCs/>
          <w:iCs/>
          <w:szCs w:val="24"/>
        </w:rPr>
        <w:t xml:space="preserve"> y H.R. </w:t>
      </w:r>
      <w:r w:rsidRPr="002B1845">
        <w:rPr>
          <w:rFonts w:ascii="Bookman Old Style" w:eastAsia="Calibri" w:hAnsi="Bookman Old Style" w:cs="Calibri"/>
          <w:bCs/>
          <w:iCs/>
          <w:szCs w:val="24"/>
        </w:rPr>
        <w:t>Ángel María Gaitán</w:t>
      </w:r>
      <w:r>
        <w:rPr>
          <w:rFonts w:ascii="Bookman Old Style" w:eastAsia="Calibri" w:hAnsi="Bookman Old Style" w:cs="Calibri"/>
          <w:bCs/>
          <w:iCs/>
          <w:szCs w:val="24"/>
        </w:rPr>
        <w:t xml:space="preserve">, bajo en nombre </w:t>
      </w:r>
      <w:r w:rsidRPr="009B6C3A">
        <w:rPr>
          <w:rFonts w:ascii="Bookman Old Style" w:eastAsia="Calibri" w:hAnsi="Bookman Old Style" w:cs="Calibri"/>
          <w:szCs w:val="24"/>
        </w:rPr>
        <w:t>Proyecto de Acto Legislativo</w:t>
      </w:r>
      <w:r>
        <w:rPr>
          <w:rFonts w:ascii="Bookman Old Style" w:eastAsia="Calibri" w:hAnsi="Bookman Old Style" w:cs="Calibri"/>
          <w:szCs w:val="24"/>
        </w:rPr>
        <w:t xml:space="preserve"> No. 006 de 2020C </w:t>
      </w:r>
      <w:r w:rsidRPr="009B6C3A">
        <w:rPr>
          <w:rFonts w:ascii="Bookman Old Style" w:eastAsia="Calibri" w:hAnsi="Bookman Old Style" w:cs="Calibri"/>
          <w:bCs/>
          <w:i/>
          <w:iCs/>
          <w:szCs w:val="24"/>
        </w:rPr>
        <w:t>“POR MEDIO DEL CUAL SE MODIFICA EL ARTÍCULO 49 DE LA CONSTITUCIÓN POLÍTICA DE COLOMBIA Y SE REGULARIZA EL USO RECREATIVO DEL CANNABIS”</w:t>
      </w:r>
      <w:r>
        <w:rPr>
          <w:rFonts w:ascii="Bookman Old Style" w:eastAsia="Calibri" w:hAnsi="Bookman Old Style" w:cs="Calibri"/>
          <w:bCs/>
          <w:i/>
          <w:iCs/>
          <w:szCs w:val="24"/>
        </w:rPr>
        <w:t>.</w:t>
      </w:r>
    </w:p>
    <w:p w14:paraId="66F81258" w14:textId="55E4A125" w:rsidR="00FE1D30" w:rsidRDefault="00FE1D30" w:rsidP="009B6C3A">
      <w:pPr>
        <w:jc w:val="both"/>
        <w:rPr>
          <w:rFonts w:ascii="Bookman Old Style" w:eastAsia="Calibri" w:hAnsi="Bookman Old Style" w:cs="Calibri"/>
          <w:bCs/>
          <w:iCs/>
          <w:szCs w:val="24"/>
        </w:rPr>
      </w:pPr>
    </w:p>
    <w:p w14:paraId="3F06E6DA" w14:textId="3A46917F" w:rsidR="00FE1D30" w:rsidRDefault="002B1845" w:rsidP="009B6C3A">
      <w:pPr>
        <w:jc w:val="both"/>
        <w:rPr>
          <w:rFonts w:ascii="Bookman Old Style" w:eastAsia="Calibri" w:hAnsi="Bookman Old Style" w:cs="Calibri"/>
          <w:bCs/>
          <w:iCs/>
          <w:szCs w:val="24"/>
        </w:rPr>
      </w:pPr>
      <w:r>
        <w:rPr>
          <w:rFonts w:ascii="Bookman Old Style" w:eastAsia="Calibri" w:hAnsi="Bookman Old Style" w:cs="Calibri"/>
          <w:bCs/>
          <w:iCs/>
          <w:szCs w:val="24"/>
        </w:rPr>
        <w:t>El 15 de septiembre de 2020 el proyecto fue puesto en consideración en la Comisión Primera Constitucional Permanente de la Cámara de Representantes, donde fue aprobado.</w:t>
      </w:r>
    </w:p>
    <w:p w14:paraId="40487E58" w14:textId="3823BB34" w:rsidR="0090453E" w:rsidRDefault="0090453E" w:rsidP="009B6C3A">
      <w:pPr>
        <w:jc w:val="both"/>
        <w:rPr>
          <w:rFonts w:ascii="Bookman Old Style" w:eastAsia="Calibri" w:hAnsi="Bookman Old Style" w:cs="Calibri"/>
          <w:bCs/>
          <w:iCs/>
          <w:szCs w:val="24"/>
        </w:rPr>
      </w:pPr>
    </w:p>
    <w:p w14:paraId="4DD18D6F" w14:textId="1047E891" w:rsidR="0090453E" w:rsidRDefault="0090453E" w:rsidP="009B6C3A">
      <w:pPr>
        <w:jc w:val="both"/>
        <w:rPr>
          <w:rFonts w:ascii="Bookman Old Style" w:eastAsia="Calibri" w:hAnsi="Bookman Old Style" w:cs="Calibri"/>
          <w:bCs/>
          <w:iCs/>
          <w:szCs w:val="24"/>
        </w:rPr>
      </w:pPr>
      <w:r>
        <w:rPr>
          <w:rFonts w:ascii="Bookman Old Style" w:eastAsia="Calibri" w:hAnsi="Bookman Old Style" w:cs="Calibri"/>
          <w:bCs/>
          <w:iCs/>
          <w:szCs w:val="24"/>
        </w:rPr>
        <w:t>El 03 de noviembre de 2020 tuvo lugar el segundo debate del Proyecto de Acto Legislativo ante la Honorable Plenaria de la Cámara de Representantes, en donde se archivó.</w:t>
      </w:r>
    </w:p>
    <w:p w14:paraId="0F18507D" w14:textId="77777777" w:rsidR="002B1845" w:rsidRDefault="002B1845" w:rsidP="009B6C3A">
      <w:pPr>
        <w:jc w:val="both"/>
        <w:rPr>
          <w:rFonts w:ascii="Bookman Old Style" w:eastAsia="Calibri" w:hAnsi="Bookman Old Style" w:cs="Calibri"/>
          <w:bCs/>
          <w:iCs/>
          <w:szCs w:val="24"/>
        </w:rPr>
      </w:pPr>
    </w:p>
    <w:p w14:paraId="6A825B19" w14:textId="59612D1E" w:rsidR="00DA389D" w:rsidRDefault="00C33DA6" w:rsidP="009B6C3A">
      <w:pPr>
        <w:jc w:val="both"/>
        <w:rPr>
          <w:rFonts w:ascii="Bookman Old Style" w:eastAsia="Calibri" w:hAnsi="Bookman Old Style" w:cs="Calibri"/>
          <w:bCs/>
          <w:iCs/>
          <w:szCs w:val="24"/>
        </w:rPr>
      </w:pPr>
      <w:r>
        <w:rPr>
          <w:rFonts w:ascii="Bookman Old Style" w:eastAsia="Calibri" w:hAnsi="Bookman Old Style" w:cs="Calibri"/>
          <w:bCs/>
          <w:iCs/>
          <w:szCs w:val="24"/>
        </w:rPr>
        <w:t>Por esta razón,</w:t>
      </w:r>
      <w:r w:rsidR="00DA389D">
        <w:rPr>
          <w:rFonts w:ascii="Bookman Old Style" w:eastAsia="Calibri" w:hAnsi="Bookman Old Style" w:cs="Calibri"/>
          <w:bCs/>
          <w:iCs/>
          <w:szCs w:val="24"/>
        </w:rPr>
        <w:t xml:space="preserve"> se pone a consideración del Honorable Congreso de la República este proyecto de Acto Legislativo</w:t>
      </w:r>
      <w:r>
        <w:rPr>
          <w:rFonts w:ascii="Bookman Old Style" w:eastAsia="Calibri" w:hAnsi="Bookman Old Style" w:cs="Calibri"/>
          <w:bCs/>
          <w:iCs/>
          <w:szCs w:val="24"/>
        </w:rPr>
        <w:t>,</w:t>
      </w:r>
      <w:r w:rsidR="00DA389D">
        <w:rPr>
          <w:rFonts w:ascii="Bookman Old Style" w:eastAsia="Calibri" w:hAnsi="Bookman Old Style" w:cs="Calibri"/>
          <w:bCs/>
          <w:iCs/>
          <w:szCs w:val="24"/>
        </w:rPr>
        <w:t xml:space="preserve"> ajustado con las modificaciones pertinentes</w:t>
      </w:r>
      <w:r>
        <w:rPr>
          <w:rFonts w:ascii="Bookman Old Style" w:eastAsia="Calibri" w:hAnsi="Bookman Old Style" w:cs="Calibri"/>
          <w:bCs/>
          <w:iCs/>
          <w:szCs w:val="24"/>
        </w:rPr>
        <w:t xml:space="preserve">, </w:t>
      </w:r>
      <w:r w:rsidR="00DA389D">
        <w:rPr>
          <w:rFonts w:ascii="Bookman Old Style" w:eastAsia="Calibri" w:hAnsi="Bookman Old Style" w:cs="Calibri"/>
          <w:bCs/>
          <w:iCs/>
          <w:szCs w:val="24"/>
        </w:rPr>
        <w:t xml:space="preserve">que surgieron durante su </w:t>
      </w:r>
      <w:r w:rsidR="0090453E">
        <w:rPr>
          <w:rFonts w:ascii="Bookman Old Style" w:eastAsia="Calibri" w:hAnsi="Bookman Old Style" w:cs="Calibri"/>
          <w:bCs/>
          <w:iCs/>
          <w:szCs w:val="24"/>
        </w:rPr>
        <w:t>tránsito en la Cámara de Representantes</w:t>
      </w:r>
      <w:r w:rsidR="00DA389D">
        <w:rPr>
          <w:rFonts w:ascii="Bookman Old Style" w:eastAsia="Calibri" w:hAnsi="Bookman Old Style" w:cs="Calibri"/>
          <w:bCs/>
          <w:iCs/>
          <w:szCs w:val="24"/>
        </w:rPr>
        <w:t>.</w:t>
      </w:r>
    </w:p>
    <w:p w14:paraId="000CC632" w14:textId="77777777" w:rsidR="00AF62CD" w:rsidRPr="009B6C3A" w:rsidRDefault="00AF62CD" w:rsidP="009B6C3A">
      <w:pPr>
        <w:jc w:val="both"/>
        <w:rPr>
          <w:rFonts w:ascii="Bookman Old Style" w:eastAsia="Calibri" w:hAnsi="Bookman Old Style" w:cs="Calibri"/>
          <w:bCs/>
          <w:iCs/>
          <w:szCs w:val="24"/>
        </w:rPr>
      </w:pPr>
    </w:p>
    <w:p w14:paraId="25EDC6DE" w14:textId="77777777" w:rsidR="009B6C3A" w:rsidRPr="009B6C3A" w:rsidRDefault="009B6C3A" w:rsidP="009B6C3A">
      <w:pPr>
        <w:jc w:val="both"/>
        <w:rPr>
          <w:rFonts w:eastAsia="Calibri"/>
        </w:rPr>
      </w:pPr>
    </w:p>
    <w:p w14:paraId="2DF304FF" w14:textId="477311E9" w:rsidR="00F36280" w:rsidRPr="00485CC5" w:rsidRDefault="00F36280" w:rsidP="000B0FBF">
      <w:pPr>
        <w:pStyle w:val="Ttulo2"/>
        <w:numPr>
          <w:ilvl w:val="0"/>
          <w:numId w:val="35"/>
        </w:numPr>
        <w:jc w:val="center"/>
        <w:rPr>
          <w:rFonts w:ascii="Bookman Old Style" w:eastAsia="Calibri" w:hAnsi="Bookman Old Style" w:cs="Calibri"/>
          <w:sz w:val="22"/>
          <w:szCs w:val="24"/>
        </w:rPr>
      </w:pPr>
      <w:r w:rsidRPr="00485CC5">
        <w:rPr>
          <w:rFonts w:ascii="Bookman Old Style" w:eastAsia="Calibri" w:hAnsi="Bookman Old Style" w:cs="Calibri"/>
          <w:sz w:val="22"/>
          <w:szCs w:val="24"/>
        </w:rPr>
        <w:t>OBJETO DEL PROYECTO DE ACTO LEGISLATIVO</w:t>
      </w:r>
      <w:r w:rsidR="008D6C03">
        <w:rPr>
          <w:rFonts w:ascii="Bookman Old Style" w:eastAsia="Calibri" w:hAnsi="Bookman Old Style" w:cs="Calibri"/>
          <w:sz w:val="22"/>
          <w:szCs w:val="24"/>
        </w:rPr>
        <w:t>.</w:t>
      </w:r>
    </w:p>
    <w:p w14:paraId="5F137603" w14:textId="77777777" w:rsidR="00F36280" w:rsidRPr="00485CC5" w:rsidRDefault="00F36280" w:rsidP="00F36280">
      <w:pPr>
        <w:pStyle w:val="Ttulo2"/>
        <w:ind w:left="0"/>
        <w:rPr>
          <w:rFonts w:ascii="Bookman Old Style" w:eastAsia="Calibri" w:hAnsi="Bookman Old Style" w:cs="Calibri"/>
          <w:b w:val="0"/>
          <w:sz w:val="22"/>
          <w:szCs w:val="24"/>
        </w:rPr>
      </w:pPr>
    </w:p>
    <w:p w14:paraId="251E8F6C" w14:textId="6DC02B82" w:rsidR="00AF62CD" w:rsidRPr="00C37B21" w:rsidRDefault="00F36280" w:rsidP="00C37B21">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El presente Proyecto de Acto Legislativo tiene como objeto permitir la regularización del uso del cannabis por parte de mayores de edad</w:t>
      </w:r>
      <w:r w:rsidR="0090453E">
        <w:rPr>
          <w:rFonts w:ascii="Bookman Old Style" w:eastAsia="Calibri" w:hAnsi="Bookman Old Style" w:cs="Calibri"/>
          <w:b w:val="0"/>
          <w:sz w:val="22"/>
          <w:szCs w:val="24"/>
        </w:rPr>
        <w:t>,</w:t>
      </w:r>
      <w:r w:rsidRPr="00485CC5">
        <w:rPr>
          <w:rFonts w:ascii="Bookman Old Style" w:eastAsia="Calibri" w:hAnsi="Bookman Old Style" w:cs="Calibri"/>
          <w:b w:val="0"/>
          <w:sz w:val="22"/>
          <w:szCs w:val="24"/>
        </w:rPr>
        <w:t xml:space="preserve"> </w:t>
      </w:r>
      <w:r w:rsidR="00AD5D59">
        <w:rPr>
          <w:rFonts w:ascii="Bookman Old Style" w:eastAsia="Calibri" w:hAnsi="Bookman Old Style" w:cs="Calibri"/>
          <w:b w:val="0"/>
          <w:sz w:val="22"/>
          <w:szCs w:val="24"/>
        </w:rPr>
        <w:t>as</w:t>
      </w:r>
      <w:r w:rsidRPr="00485CC5">
        <w:rPr>
          <w:rFonts w:ascii="Bookman Old Style" w:eastAsia="Calibri" w:hAnsi="Bookman Old Style" w:cs="Calibri"/>
          <w:b w:val="0"/>
          <w:sz w:val="22"/>
          <w:szCs w:val="24"/>
        </w:rPr>
        <w:t xml:space="preserve">í como </w:t>
      </w:r>
      <w:r w:rsidR="00AD5D59">
        <w:rPr>
          <w:rFonts w:ascii="Bookman Old Style" w:eastAsia="Calibri" w:hAnsi="Bookman Old Style" w:cs="Calibri"/>
          <w:b w:val="0"/>
          <w:sz w:val="22"/>
          <w:szCs w:val="24"/>
        </w:rPr>
        <w:t>la unificación de la normativa actual respecto a la utilización del cannabis para uso científico</w:t>
      </w:r>
      <w:r w:rsidRPr="00485CC5">
        <w:rPr>
          <w:rFonts w:ascii="Bookman Old Style" w:eastAsia="Calibri" w:hAnsi="Bookman Old Style" w:cs="Calibri"/>
          <w:b w:val="0"/>
          <w:sz w:val="22"/>
          <w:szCs w:val="24"/>
        </w:rPr>
        <w:t xml:space="preserve">, siempre y cuando se cumplan los requerimientos establecidos. Lo anterior dirigido </w:t>
      </w:r>
      <w:r w:rsidR="00AD5D59">
        <w:rPr>
          <w:rFonts w:ascii="Bookman Old Style" w:eastAsia="Calibri" w:hAnsi="Bookman Old Style" w:cs="Calibri"/>
          <w:b w:val="0"/>
          <w:sz w:val="22"/>
          <w:szCs w:val="24"/>
        </w:rPr>
        <w:t xml:space="preserve">a reconocer y garantizar los derechos fundamentales a la igualdad y al libre desarrollo de la personalidad, a </w:t>
      </w:r>
      <w:r w:rsidR="00C33DA6">
        <w:rPr>
          <w:rFonts w:ascii="Bookman Old Style" w:eastAsia="Calibri" w:hAnsi="Bookman Old Style" w:cs="Calibri"/>
          <w:b w:val="0"/>
          <w:sz w:val="22"/>
          <w:szCs w:val="24"/>
        </w:rPr>
        <w:t xml:space="preserve">unificar </w:t>
      </w:r>
      <w:r w:rsidR="00AD5D59">
        <w:rPr>
          <w:rFonts w:ascii="Bookman Old Style" w:eastAsia="Calibri" w:hAnsi="Bookman Old Style" w:cs="Calibri"/>
          <w:b w:val="0"/>
          <w:sz w:val="22"/>
          <w:szCs w:val="24"/>
        </w:rPr>
        <w:t xml:space="preserve">las referencias constitucionales, legales y jurisprudenciales sobre la materia y a </w:t>
      </w:r>
      <w:r w:rsidR="00C33DA6">
        <w:rPr>
          <w:rFonts w:ascii="Bookman Old Style" w:eastAsia="Calibri" w:hAnsi="Bookman Old Style" w:cs="Calibri"/>
          <w:b w:val="0"/>
          <w:sz w:val="22"/>
          <w:szCs w:val="24"/>
        </w:rPr>
        <w:t>plantear una estrategia distinta para</w:t>
      </w:r>
      <w:r w:rsidRPr="00485CC5">
        <w:rPr>
          <w:rFonts w:ascii="Bookman Old Style" w:eastAsia="Calibri" w:hAnsi="Bookman Old Style" w:cs="Calibri"/>
          <w:b w:val="0"/>
          <w:sz w:val="22"/>
          <w:szCs w:val="24"/>
        </w:rPr>
        <w:t xml:space="preserve"> combatir el tráfico</w:t>
      </w:r>
      <w:r w:rsidR="00AD5D59">
        <w:rPr>
          <w:rFonts w:ascii="Bookman Old Style" w:eastAsia="Calibri" w:hAnsi="Bookman Old Style" w:cs="Calibri"/>
          <w:b w:val="0"/>
          <w:sz w:val="22"/>
          <w:szCs w:val="24"/>
        </w:rPr>
        <w:t xml:space="preserve"> ilegal</w:t>
      </w:r>
      <w:r w:rsidRPr="00485CC5">
        <w:rPr>
          <w:rFonts w:ascii="Bookman Old Style" w:eastAsia="Calibri" w:hAnsi="Bookman Old Style" w:cs="Calibri"/>
          <w:b w:val="0"/>
          <w:sz w:val="22"/>
          <w:szCs w:val="24"/>
        </w:rPr>
        <w:t xml:space="preserve"> de cannabis, </w:t>
      </w:r>
      <w:r w:rsidR="00AD5D59">
        <w:rPr>
          <w:rFonts w:ascii="Bookman Old Style" w:eastAsia="Calibri" w:hAnsi="Bookman Old Style" w:cs="Calibri"/>
          <w:b w:val="0"/>
          <w:sz w:val="22"/>
          <w:szCs w:val="24"/>
        </w:rPr>
        <w:t xml:space="preserve">como </w:t>
      </w:r>
      <w:r w:rsidR="0090453E">
        <w:rPr>
          <w:rFonts w:ascii="Bookman Old Style" w:eastAsia="Calibri" w:hAnsi="Bookman Old Style" w:cs="Calibri"/>
          <w:b w:val="0"/>
          <w:sz w:val="22"/>
          <w:szCs w:val="24"/>
        </w:rPr>
        <w:t>táctica</w:t>
      </w:r>
      <w:r w:rsidR="00AD5D59">
        <w:rPr>
          <w:rFonts w:ascii="Bookman Old Style" w:eastAsia="Calibri" w:hAnsi="Bookman Old Style" w:cs="Calibri"/>
          <w:b w:val="0"/>
          <w:sz w:val="22"/>
          <w:szCs w:val="24"/>
        </w:rPr>
        <w:t xml:space="preserve"> para reducir la violencia en el país.</w:t>
      </w:r>
    </w:p>
    <w:p w14:paraId="0F4E5C5B" w14:textId="77777777" w:rsidR="00AF62CD" w:rsidRPr="00485CC5" w:rsidRDefault="00AF62CD" w:rsidP="00F36280">
      <w:pPr>
        <w:rPr>
          <w:rFonts w:ascii="Bookman Old Style" w:eastAsia="Calibri" w:hAnsi="Bookman Old Style" w:cs="Calibri"/>
          <w:szCs w:val="24"/>
        </w:rPr>
      </w:pPr>
    </w:p>
    <w:p w14:paraId="5D13AAD9" w14:textId="2482E041" w:rsidR="00F36280" w:rsidRPr="00485CC5" w:rsidRDefault="00F36280" w:rsidP="000B0FBF">
      <w:pPr>
        <w:pStyle w:val="Ttulo2"/>
        <w:numPr>
          <w:ilvl w:val="0"/>
          <w:numId w:val="35"/>
        </w:numPr>
        <w:ind w:left="-1133" w:firstLine="0"/>
        <w:jc w:val="center"/>
        <w:rPr>
          <w:rFonts w:ascii="Bookman Old Style" w:eastAsia="Calibri" w:hAnsi="Bookman Old Style" w:cs="Calibri"/>
          <w:sz w:val="22"/>
          <w:szCs w:val="24"/>
        </w:rPr>
      </w:pPr>
      <w:r w:rsidRPr="00485CC5">
        <w:rPr>
          <w:rFonts w:ascii="Bookman Old Style" w:eastAsia="Calibri" w:hAnsi="Bookman Old Style" w:cs="Calibri"/>
          <w:sz w:val="22"/>
          <w:szCs w:val="24"/>
        </w:rPr>
        <w:t>PROBLEMA A RESOLVER</w:t>
      </w:r>
      <w:r w:rsidR="008D6C03">
        <w:rPr>
          <w:rFonts w:ascii="Bookman Old Style" w:eastAsia="Calibri" w:hAnsi="Bookman Old Style" w:cs="Calibri"/>
          <w:sz w:val="22"/>
          <w:szCs w:val="24"/>
        </w:rPr>
        <w:t>.</w:t>
      </w:r>
    </w:p>
    <w:p w14:paraId="568E2E28" w14:textId="77777777" w:rsidR="00F36280" w:rsidRPr="00485CC5" w:rsidRDefault="00F36280" w:rsidP="00F36280">
      <w:pPr>
        <w:ind w:left="822"/>
        <w:rPr>
          <w:rFonts w:ascii="Bookman Old Style" w:hAnsi="Bookman Old Style" w:cs="Calibri"/>
          <w:szCs w:val="24"/>
        </w:rPr>
      </w:pPr>
    </w:p>
    <w:p w14:paraId="278DA0E1" w14:textId="77777777" w:rsidR="00452196" w:rsidRPr="00510F82" w:rsidRDefault="00510F82" w:rsidP="00F36280">
      <w:pPr>
        <w:jc w:val="both"/>
        <w:rPr>
          <w:rFonts w:ascii="Bookman Old Style" w:eastAsia="Calibri" w:hAnsi="Bookman Old Style" w:cs="Calibri"/>
          <w:sz w:val="20"/>
          <w:szCs w:val="24"/>
        </w:rPr>
      </w:pPr>
      <w:r w:rsidRPr="00510F82">
        <w:rPr>
          <w:rFonts w:ascii="Bookman Old Style" w:eastAsia="Calibri" w:hAnsi="Bookman Old Style" w:cs="Arial"/>
          <w:szCs w:val="24"/>
        </w:rPr>
        <w:t>En Colombia, de acuerdo al artículo 49 Constitucional</w:t>
      </w:r>
      <w:r w:rsidR="00C33DA6">
        <w:rPr>
          <w:rFonts w:ascii="Bookman Old Style" w:eastAsia="Calibri" w:hAnsi="Bookman Old Style" w:cs="Arial"/>
          <w:szCs w:val="24"/>
        </w:rPr>
        <w:t xml:space="preserve"> el cual fue</w:t>
      </w:r>
      <w:r w:rsidRPr="00510F82">
        <w:rPr>
          <w:rFonts w:ascii="Bookman Old Style" w:eastAsia="Calibri" w:hAnsi="Bookman Old Style" w:cs="Arial"/>
          <w:szCs w:val="24"/>
        </w:rPr>
        <w:t xml:space="preserve"> modificado por el Acto Legislativo 02 de 2009</w:t>
      </w:r>
      <w:r w:rsidRPr="00510F82">
        <w:rPr>
          <w:rStyle w:val="Refdenotaalpie"/>
          <w:rFonts w:ascii="Bookman Old Style" w:eastAsia="Calibri" w:hAnsi="Bookman Old Style" w:cs="Arial"/>
          <w:szCs w:val="24"/>
        </w:rPr>
        <w:footnoteReference w:id="1"/>
      </w:r>
      <w:r w:rsidRPr="00510F82">
        <w:rPr>
          <w:rFonts w:ascii="Bookman Old Style" w:eastAsia="Calibri" w:hAnsi="Bookman Old Style" w:cs="Arial"/>
          <w:szCs w:val="24"/>
        </w:rPr>
        <w:t xml:space="preserve">, está prohibido el porte y consumo de cualquier tipo de sustancia estupefaciente o psicotrópica </w:t>
      </w:r>
      <w:r w:rsidRPr="00510F82">
        <w:rPr>
          <w:rFonts w:ascii="Bookman Old Style" w:eastAsia="Calibri" w:hAnsi="Bookman Old Style" w:cs="Arial"/>
          <w:i/>
          <w:szCs w:val="24"/>
        </w:rPr>
        <w:t>(</w:t>
      </w:r>
      <w:r w:rsidRPr="00510F82">
        <w:rPr>
          <w:rFonts w:ascii="Bookman Old Style" w:hAnsi="Bookman Old Style" w:cs="Arial"/>
          <w:i/>
          <w:szCs w:val="24"/>
        </w:rPr>
        <w:t xml:space="preserve">hojas de coca, cocaína, opio, dihidromorfina, heroína, metadona, morfina, </w:t>
      </w:r>
      <w:r w:rsidRPr="00510F82">
        <w:rPr>
          <w:rFonts w:ascii="Bookman Old Style" w:eastAsia="Calibri" w:hAnsi="Bookman Old Style" w:cs="Arial"/>
          <w:i/>
          <w:szCs w:val="24"/>
        </w:rPr>
        <w:t>cannabis y su resina y los extractos y tinturas de cannabis, amapola, droga sintética, nitrato de amilo popper, ketamina, GHB, entre otras)</w:t>
      </w:r>
      <w:r w:rsidRPr="00510F82">
        <w:rPr>
          <w:rFonts w:ascii="Bookman Old Style" w:eastAsia="Calibri" w:hAnsi="Bookman Old Style" w:cs="Arial"/>
          <w:szCs w:val="24"/>
        </w:rPr>
        <w:t>, salvo prescripción médica. Prohibición que fue incluida con la finalidad de proteger la salud pública de los colombianos.</w:t>
      </w:r>
    </w:p>
    <w:p w14:paraId="7F61A43D" w14:textId="77777777" w:rsidR="00452196" w:rsidRDefault="00452196" w:rsidP="00F36280">
      <w:pPr>
        <w:jc w:val="both"/>
        <w:rPr>
          <w:rFonts w:ascii="Bookman Old Style" w:eastAsia="Calibri" w:hAnsi="Bookman Old Style" w:cs="Calibri"/>
          <w:szCs w:val="24"/>
        </w:rPr>
      </w:pPr>
    </w:p>
    <w:p w14:paraId="5FE6A375" w14:textId="077DD549" w:rsidR="00510F82" w:rsidRPr="00510F82" w:rsidRDefault="00510F82" w:rsidP="00510F82">
      <w:pPr>
        <w:jc w:val="both"/>
        <w:rPr>
          <w:rFonts w:ascii="Bookman Old Style" w:eastAsia="Calibri" w:hAnsi="Bookman Old Style" w:cs="Arial"/>
          <w:szCs w:val="24"/>
        </w:rPr>
      </w:pPr>
      <w:r w:rsidRPr="00510F82">
        <w:rPr>
          <w:rFonts w:ascii="Bookman Old Style" w:eastAsia="Calibri" w:hAnsi="Bookman Old Style" w:cs="Arial"/>
          <w:szCs w:val="24"/>
        </w:rPr>
        <w:t>Este listado incluye el THC CANNABIS, sustancia de reconocidos efectos terapéuticos de tipo anestésico, anticonvulsivante, anti glaucomatoso y antiasmático para uso en el tratamiento del glaucoma, del asma y de la epilepsia</w:t>
      </w:r>
      <w:r w:rsidRPr="00510F82">
        <w:rPr>
          <w:rStyle w:val="Refdenotaalpie"/>
          <w:rFonts w:ascii="Bookman Old Style" w:eastAsia="Calibri" w:hAnsi="Bookman Old Style" w:cs="Arial"/>
          <w:szCs w:val="24"/>
        </w:rPr>
        <w:footnoteReference w:id="2"/>
      </w:r>
      <w:r w:rsidRPr="00510F82">
        <w:rPr>
          <w:rFonts w:ascii="Bookman Old Style" w:eastAsia="Calibri" w:hAnsi="Bookman Old Style" w:cs="Arial"/>
          <w:szCs w:val="24"/>
        </w:rPr>
        <w:t>. Propiedades que llevaron a que la Organización Mundial de la Salud (OMS) solicitara su eliminación de la Lista IV</w:t>
      </w:r>
      <w:r w:rsidRPr="00510F82">
        <w:rPr>
          <w:rStyle w:val="Refdenotaalpie"/>
          <w:rFonts w:ascii="Bookman Old Style" w:eastAsia="Calibri" w:hAnsi="Bookman Old Style" w:cs="Arial"/>
          <w:szCs w:val="24"/>
        </w:rPr>
        <w:footnoteReference w:id="3"/>
      </w:r>
      <w:r w:rsidRPr="00510F82">
        <w:rPr>
          <w:rStyle w:val="Refdenotaalpie"/>
          <w:rFonts w:ascii="Bookman Old Style" w:eastAsia="Calibri" w:hAnsi="Bookman Old Style" w:cs="Arial"/>
          <w:szCs w:val="24"/>
        </w:rPr>
        <w:footnoteReference w:id="4"/>
      </w:r>
      <w:r w:rsidRPr="00510F82">
        <w:rPr>
          <w:rFonts w:ascii="Bookman Old Style" w:eastAsia="Calibri" w:hAnsi="Bookman Old Style" w:cs="Arial"/>
          <w:szCs w:val="24"/>
        </w:rPr>
        <w:t xml:space="preserve"> de la Convención Única de 1961 sobre Estupefacientes</w:t>
      </w:r>
      <w:r w:rsidR="000512D5">
        <w:rPr>
          <w:rFonts w:ascii="Bookman Old Style" w:eastAsia="Calibri" w:hAnsi="Bookman Old Style" w:cs="Arial"/>
          <w:szCs w:val="24"/>
        </w:rPr>
        <w:t>, solicitud que fue acogida por l</w:t>
      </w:r>
      <w:r w:rsidR="000512D5" w:rsidRPr="000512D5">
        <w:rPr>
          <w:rFonts w:ascii="Bookman Old Style" w:eastAsia="Calibri" w:hAnsi="Bookman Old Style" w:cs="Arial"/>
          <w:szCs w:val="24"/>
        </w:rPr>
        <w:t xml:space="preserve">a mayoría simple de los 53 Estados de la Comisión de Estupefacientes -el órgano Ejecutivo de la ONU en políticas de drogas- </w:t>
      </w:r>
      <w:r w:rsidR="000512D5">
        <w:rPr>
          <w:rFonts w:ascii="Bookman Old Style" w:eastAsia="Calibri" w:hAnsi="Bookman Old Style" w:cs="Arial"/>
          <w:szCs w:val="24"/>
        </w:rPr>
        <w:t xml:space="preserve">el cual </w:t>
      </w:r>
      <w:r w:rsidR="000512D5" w:rsidRPr="000512D5">
        <w:rPr>
          <w:rFonts w:ascii="Bookman Old Style" w:eastAsia="Calibri" w:hAnsi="Bookman Old Style" w:cs="Arial"/>
          <w:szCs w:val="24"/>
        </w:rPr>
        <w:t xml:space="preserve">decidió </w:t>
      </w:r>
      <w:r w:rsidR="000512D5">
        <w:rPr>
          <w:rFonts w:ascii="Bookman Old Style" w:eastAsia="Calibri" w:hAnsi="Bookman Old Style" w:cs="Arial"/>
          <w:szCs w:val="24"/>
        </w:rPr>
        <w:t xml:space="preserve">el 02 de diciembre de 2020 </w:t>
      </w:r>
      <w:r w:rsidR="000512D5" w:rsidRPr="000512D5">
        <w:rPr>
          <w:rFonts w:ascii="Bookman Old Style" w:eastAsia="Calibri" w:hAnsi="Bookman Old Style" w:cs="Arial"/>
          <w:szCs w:val="24"/>
        </w:rPr>
        <w:t>retirar el cannabis y su resina de la Lista IV de la Convención sobre drogas de 1961.</w:t>
      </w:r>
      <w:r w:rsidR="000512D5">
        <w:rPr>
          <w:rStyle w:val="Refdenotaalpie"/>
          <w:rFonts w:ascii="Bookman Old Style" w:eastAsia="Calibri" w:hAnsi="Bookman Old Style" w:cs="Arial"/>
          <w:szCs w:val="24"/>
        </w:rPr>
        <w:footnoteReference w:id="5"/>
      </w:r>
    </w:p>
    <w:p w14:paraId="2E199D8A" w14:textId="77777777" w:rsidR="00F36280" w:rsidRPr="00485CC5" w:rsidRDefault="00F36280" w:rsidP="00F36280">
      <w:pPr>
        <w:jc w:val="both"/>
        <w:rPr>
          <w:rFonts w:ascii="Bookman Old Style" w:eastAsia="Calibri" w:hAnsi="Bookman Old Style" w:cs="Calibri"/>
          <w:szCs w:val="24"/>
        </w:rPr>
      </w:pPr>
    </w:p>
    <w:p w14:paraId="27BD8F66" w14:textId="77777777" w:rsidR="00F36280" w:rsidRPr="00485CC5" w:rsidRDefault="00F36280" w:rsidP="00F36280">
      <w:pPr>
        <w:jc w:val="both"/>
        <w:rPr>
          <w:rFonts w:ascii="Bookman Old Style" w:eastAsia="Calibri" w:hAnsi="Bookman Old Style" w:cs="Calibri"/>
          <w:szCs w:val="24"/>
        </w:rPr>
      </w:pPr>
      <w:r w:rsidRPr="00485CC5">
        <w:rPr>
          <w:rFonts w:ascii="Bookman Old Style" w:eastAsia="Calibri" w:hAnsi="Bookman Old Style" w:cs="Calibri"/>
          <w:szCs w:val="24"/>
        </w:rPr>
        <w:t>La Ley 1787 de 2016 “</w:t>
      </w:r>
      <w:r w:rsidRPr="00485CC5">
        <w:rPr>
          <w:rFonts w:ascii="Bookman Old Style" w:eastAsia="Calibri" w:hAnsi="Bookman Old Style" w:cs="Calibri"/>
          <w:i/>
          <w:szCs w:val="24"/>
        </w:rPr>
        <w:t>Por medio de la cual se reglamenta el Acto Legislativo 02 de 2009</w:t>
      </w:r>
      <w:r w:rsidRPr="00485CC5">
        <w:rPr>
          <w:rFonts w:ascii="Bookman Old Style" w:eastAsia="Calibri" w:hAnsi="Bookman Old Style" w:cs="Calibri"/>
          <w:szCs w:val="24"/>
        </w:rPr>
        <w:t xml:space="preserve">”, regularizó la importación, exportación, cultivo, producción, fabricación, adquisición a cualquier título, almacenamiento, transporte, comercialización, distribución, uso de las semillas de la planta de cannabis, del cannabis y de sus derivados </w:t>
      </w:r>
      <w:r w:rsidRPr="00485CC5">
        <w:rPr>
          <w:rFonts w:ascii="Bookman Old Style" w:eastAsia="Calibri" w:hAnsi="Bookman Old Style" w:cs="Calibri"/>
          <w:szCs w:val="24"/>
          <w:u w:val="single"/>
        </w:rPr>
        <w:t>siempre y cuando su finalidad sea médica o científica</w:t>
      </w:r>
      <w:r w:rsidRPr="00485CC5">
        <w:rPr>
          <w:rFonts w:ascii="Bookman Old Style" w:eastAsia="Calibri" w:hAnsi="Bookman Old Style" w:cs="Calibri"/>
          <w:szCs w:val="24"/>
        </w:rPr>
        <w:t>. En este sentido, la ley a</w:t>
      </w:r>
      <w:r w:rsidR="00452196">
        <w:rPr>
          <w:rFonts w:ascii="Bookman Old Style" w:eastAsia="Calibri" w:hAnsi="Bookman Old Style" w:cs="Calibri"/>
          <w:szCs w:val="24"/>
        </w:rPr>
        <w:t>dicionó dos causales nuevas</w:t>
      </w:r>
      <w:r w:rsidRPr="00485CC5">
        <w:rPr>
          <w:rFonts w:ascii="Bookman Old Style" w:eastAsia="Calibri" w:hAnsi="Bookman Old Style" w:cs="Calibri"/>
          <w:szCs w:val="24"/>
        </w:rPr>
        <w:t xml:space="preserve"> bajo las cuales está permitido el porte de cannabis, lo cual llevó a que hoy en día exista una incoherencia entre la disposición constitucional y el desarrollo legal sobre la materia.</w:t>
      </w:r>
    </w:p>
    <w:p w14:paraId="2E3314D9" w14:textId="77777777" w:rsidR="00F36280" w:rsidRPr="00485CC5" w:rsidRDefault="00F36280" w:rsidP="00F36280">
      <w:pPr>
        <w:jc w:val="both"/>
        <w:rPr>
          <w:rFonts w:ascii="Bookman Old Style" w:eastAsia="Calibri" w:hAnsi="Bookman Old Style" w:cs="Calibri"/>
          <w:szCs w:val="24"/>
        </w:rPr>
      </w:pPr>
    </w:p>
    <w:p w14:paraId="78B385AC" w14:textId="77777777" w:rsidR="00F36280" w:rsidRPr="00485CC5" w:rsidRDefault="00F36280" w:rsidP="00F36280">
      <w:pPr>
        <w:jc w:val="both"/>
        <w:rPr>
          <w:rFonts w:ascii="Bookman Old Style" w:eastAsia="Calibri" w:hAnsi="Bookman Old Style" w:cs="Calibri"/>
          <w:szCs w:val="24"/>
        </w:rPr>
      </w:pPr>
      <w:r w:rsidRPr="00485CC5">
        <w:rPr>
          <w:rFonts w:ascii="Bookman Old Style" w:eastAsia="Calibri" w:hAnsi="Bookman Old Style" w:cs="Calibri"/>
          <w:szCs w:val="24"/>
        </w:rPr>
        <w:t>Adicional a lo anterior, el artículo 49 en su redacción es, a todas luces, contrario a lo dispuesto en las garantías constitucionales que dan contenido a los derechos fundamentales al libre desarrollo de la personalidad, la igualdad y la salud pública. Lo anterior, en tanto limita sin fundamento constitucional alguno el ejercicio de una actividad que repercute de forma exclusiva en la órbita del individuo.</w:t>
      </w:r>
    </w:p>
    <w:p w14:paraId="1A1C0435" w14:textId="77777777" w:rsidR="00F36280" w:rsidRPr="00485CC5" w:rsidRDefault="00F36280" w:rsidP="00F36280">
      <w:pPr>
        <w:jc w:val="both"/>
        <w:rPr>
          <w:rFonts w:ascii="Bookman Old Style" w:eastAsia="Calibri" w:hAnsi="Bookman Old Style" w:cs="Calibri"/>
          <w:szCs w:val="24"/>
        </w:rPr>
      </w:pPr>
    </w:p>
    <w:p w14:paraId="3FDA2E4F" w14:textId="5AA00D99" w:rsidR="00F36280" w:rsidRPr="00485CC5" w:rsidRDefault="00F36280" w:rsidP="00F36280">
      <w:pPr>
        <w:jc w:val="both"/>
        <w:rPr>
          <w:rFonts w:ascii="Bookman Old Style" w:eastAsia="Calibri" w:hAnsi="Bookman Old Style" w:cs="Calibri"/>
          <w:szCs w:val="24"/>
        </w:rPr>
      </w:pPr>
      <w:r w:rsidRPr="00485CC5">
        <w:rPr>
          <w:rFonts w:ascii="Bookman Old Style" w:eastAsia="Calibri" w:hAnsi="Bookman Old Style" w:cs="Calibri"/>
          <w:szCs w:val="24"/>
        </w:rPr>
        <w:t xml:space="preserve">En consecuencia, es claro que se requiere de una reforma constitucional que, además del </w:t>
      </w:r>
      <w:r w:rsidR="00452196" w:rsidRPr="00485CC5">
        <w:rPr>
          <w:rFonts w:ascii="Bookman Old Style" w:eastAsia="Calibri" w:hAnsi="Bookman Old Style" w:cs="Calibri"/>
          <w:szCs w:val="24"/>
        </w:rPr>
        <w:t>uso</w:t>
      </w:r>
      <w:r w:rsidRPr="00485CC5">
        <w:rPr>
          <w:rFonts w:ascii="Bookman Old Style" w:eastAsia="Calibri" w:hAnsi="Bookman Old Style" w:cs="Calibri"/>
          <w:szCs w:val="24"/>
        </w:rPr>
        <w:t xml:space="preserve"> medicinal, permita el uso científico y </w:t>
      </w:r>
      <w:r w:rsidR="00DD272D">
        <w:rPr>
          <w:rFonts w:ascii="Bookman Old Style" w:eastAsia="Calibri" w:hAnsi="Bookman Old Style" w:cs="Calibri"/>
          <w:szCs w:val="24"/>
        </w:rPr>
        <w:t>adulto</w:t>
      </w:r>
      <w:r w:rsidRPr="00485CC5">
        <w:rPr>
          <w:rFonts w:ascii="Bookman Old Style" w:eastAsia="Calibri" w:hAnsi="Bookman Old Style" w:cs="Calibri"/>
          <w:szCs w:val="24"/>
        </w:rPr>
        <w:t xml:space="preserve"> del cannabis y sus derivados tomando en consideración las actuales posturas globales en el asunto, propendiendo por la despenalización y regularización del porte y consumo.</w:t>
      </w:r>
    </w:p>
    <w:p w14:paraId="10AC2E3C" w14:textId="77777777" w:rsidR="00AF62CD" w:rsidRPr="00485CC5" w:rsidRDefault="00AF62CD" w:rsidP="00F36280">
      <w:pPr>
        <w:rPr>
          <w:rFonts w:ascii="Bookman Old Style" w:hAnsi="Bookman Old Style" w:cs="Calibri"/>
          <w:szCs w:val="24"/>
        </w:rPr>
      </w:pPr>
    </w:p>
    <w:p w14:paraId="26102736" w14:textId="4BE1D177" w:rsidR="00F36280" w:rsidRPr="00485CC5" w:rsidRDefault="00F36280" w:rsidP="000B0FBF">
      <w:pPr>
        <w:pStyle w:val="Prrafodelista"/>
        <w:numPr>
          <w:ilvl w:val="0"/>
          <w:numId w:val="35"/>
        </w:numPr>
        <w:spacing w:after="0" w:line="240" w:lineRule="auto"/>
        <w:jc w:val="center"/>
        <w:rPr>
          <w:rFonts w:ascii="Bookman Old Style" w:eastAsia="Calibri" w:hAnsi="Bookman Old Style" w:cs="Calibri"/>
          <w:b/>
          <w:szCs w:val="24"/>
        </w:rPr>
      </w:pPr>
      <w:r w:rsidRPr="00485CC5">
        <w:rPr>
          <w:rFonts w:ascii="Bookman Old Style" w:eastAsia="Calibri" w:hAnsi="Bookman Old Style" w:cs="Calibri"/>
          <w:b/>
          <w:szCs w:val="24"/>
        </w:rPr>
        <w:t>ANTECEDENTES</w:t>
      </w:r>
      <w:r w:rsidR="008D6C03">
        <w:rPr>
          <w:rFonts w:ascii="Bookman Old Style" w:eastAsia="Calibri" w:hAnsi="Bookman Old Style" w:cs="Calibri"/>
          <w:b/>
          <w:szCs w:val="24"/>
        </w:rPr>
        <w:t>.</w:t>
      </w:r>
    </w:p>
    <w:p w14:paraId="54BD09A6" w14:textId="77777777" w:rsidR="00F36280" w:rsidRPr="00485CC5" w:rsidRDefault="00F36280" w:rsidP="00F36280">
      <w:pPr>
        <w:pStyle w:val="Prrafodelista"/>
        <w:spacing w:after="0" w:line="240" w:lineRule="auto"/>
        <w:ind w:left="360"/>
        <w:rPr>
          <w:rFonts w:ascii="Bookman Old Style" w:eastAsia="Calibri" w:hAnsi="Bookman Old Style" w:cs="Calibri"/>
          <w:b/>
          <w:szCs w:val="24"/>
        </w:rPr>
      </w:pPr>
    </w:p>
    <w:p w14:paraId="732806A2" w14:textId="3350BB9D" w:rsidR="00F36280" w:rsidRPr="00485CC5" w:rsidRDefault="000046EF" w:rsidP="00F36280">
      <w:pPr>
        <w:pStyle w:val="Ttulo2"/>
        <w:ind w:left="0"/>
        <w:jc w:val="both"/>
        <w:rPr>
          <w:rFonts w:ascii="Bookman Old Style" w:eastAsia="Calibri" w:hAnsi="Bookman Old Style" w:cs="Calibri"/>
          <w:sz w:val="22"/>
          <w:szCs w:val="24"/>
        </w:rPr>
      </w:pPr>
      <w:r>
        <w:rPr>
          <w:rFonts w:ascii="Bookman Old Style" w:eastAsia="Calibri" w:hAnsi="Bookman Old Style" w:cs="Calibri"/>
          <w:sz w:val="22"/>
          <w:szCs w:val="24"/>
        </w:rPr>
        <w:t>4</w:t>
      </w:r>
      <w:r w:rsidR="00F36280" w:rsidRPr="00485CC5">
        <w:rPr>
          <w:rFonts w:ascii="Bookman Old Style" w:eastAsia="Calibri" w:hAnsi="Bookman Old Style" w:cs="Calibri"/>
          <w:sz w:val="22"/>
          <w:szCs w:val="24"/>
        </w:rPr>
        <w:t>.1 ANTECEDENTES JURÍDICOS Y NORMATIVOS SOBRE LA MATERIA EN COLOMBIA</w:t>
      </w:r>
      <w:r w:rsidR="008D6C03">
        <w:rPr>
          <w:rFonts w:ascii="Bookman Old Style" w:eastAsia="Calibri" w:hAnsi="Bookman Old Style" w:cs="Calibri"/>
          <w:sz w:val="22"/>
          <w:szCs w:val="24"/>
        </w:rPr>
        <w:t>.</w:t>
      </w:r>
    </w:p>
    <w:p w14:paraId="6193732E" w14:textId="77777777" w:rsidR="00F36280" w:rsidRPr="00485CC5" w:rsidRDefault="00F36280" w:rsidP="00F36280">
      <w:pPr>
        <w:pStyle w:val="Ttulo2"/>
        <w:ind w:left="0"/>
        <w:jc w:val="both"/>
        <w:rPr>
          <w:rFonts w:ascii="Bookman Old Style" w:eastAsia="Calibri" w:hAnsi="Bookman Old Style"/>
          <w:b w:val="0"/>
          <w:sz w:val="22"/>
          <w:szCs w:val="24"/>
        </w:rPr>
      </w:pPr>
    </w:p>
    <w:p w14:paraId="70B68F23" w14:textId="77777777" w:rsidR="00F36280" w:rsidRPr="00485CC5" w:rsidRDefault="00F36280" w:rsidP="00F36280">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Colombia inició el camino de la regulación del consumo de estupefacientes hace más de 30 años, cuando se expidió la Ley 30 de 1986, “</w:t>
      </w:r>
      <w:r w:rsidRPr="00485CC5">
        <w:rPr>
          <w:rFonts w:ascii="Bookman Old Style" w:eastAsia="Calibri" w:hAnsi="Bookman Old Style" w:cs="Calibri"/>
          <w:b w:val="0"/>
          <w:i/>
          <w:sz w:val="22"/>
          <w:szCs w:val="24"/>
        </w:rPr>
        <w:t>Por la cual se adopta el Estatuto Nacional de Estupefacientes y se dictan otras disposiciones</w:t>
      </w:r>
      <w:r w:rsidRPr="00485CC5">
        <w:rPr>
          <w:rFonts w:ascii="Bookman Old Style" w:eastAsia="Calibri" w:hAnsi="Bookman Old Style" w:cs="Calibri"/>
          <w:b w:val="0"/>
          <w:sz w:val="22"/>
          <w:szCs w:val="24"/>
        </w:rPr>
        <w:t xml:space="preserve">.” Dicha norma, entre otras cosas, en el literal J del Artículo 2, definió las dosis para uso personal de sustancias estupefacientes, así: </w:t>
      </w:r>
    </w:p>
    <w:p w14:paraId="269E3358" w14:textId="77777777" w:rsidR="00F36280" w:rsidRPr="00485CC5" w:rsidRDefault="00F36280" w:rsidP="00F36280">
      <w:pPr>
        <w:rPr>
          <w:rFonts w:ascii="Bookman Old Style" w:eastAsia="Calibri" w:hAnsi="Bookman Old Style"/>
          <w:szCs w:val="24"/>
        </w:rPr>
      </w:pPr>
    </w:p>
    <w:p w14:paraId="1E2473BD" w14:textId="77777777" w:rsidR="00F36280" w:rsidRPr="00485CC5" w:rsidRDefault="00F36280" w:rsidP="00F36280">
      <w:pPr>
        <w:ind w:left="720" w:right="900"/>
        <w:jc w:val="both"/>
        <w:rPr>
          <w:rFonts w:ascii="Bookman Old Style" w:eastAsia="Calibri" w:hAnsi="Bookman Old Style" w:cs="Calibri"/>
          <w:i/>
          <w:sz w:val="20"/>
          <w:lang w:val="es-ES_tradnl"/>
        </w:rPr>
      </w:pPr>
      <w:r w:rsidRPr="00485CC5">
        <w:rPr>
          <w:rFonts w:ascii="Bookman Old Style" w:hAnsi="Bookman Old Style"/>
          <w:i/>
          <w:sz w:val="20"/>
        </w:rPr>
        <w:t>“</w:t>
      </w:r>
      <w:r w:rsidRPr="00485CC5">
        <w:rPr>
          <w:rFonts w:ascii="Bookman Old Style" w:eastAsia="Calibri" w:hAnsi="Bookman Old Style" w:cs="Calibri"/>
          <w:i/>
          <w:sz w:val="20"/>
          <w:lang w:val="es-ES_tradnl"/>
        </w:rPr>
        <w:t>ARTICULO</w:t>
      </w:r>
      <w:r w:rsidRPr="00485CC5">
        <w:rPr>
          <w:rFonts w:ascii="Bookman Old Style" w:hAnsi="Bookman Old Style"/>
          <w:i/>
          <w:sz w:val="20"/>
        </w:rPr>
        <w:t xml:space="preserve"> </w:t>
      </w:r>
      <w:r w:rsidRPr="00485CC5">
        <w:rPr>
          <w:rFonts w:ascii="Bookman Old Style" w:eastAsia="Calibri" w:hAnsi="Bookman Old Style" w:cs="Calibri"/>
          <w:i/>
          <w:sz w:val="20"/>
          <w:lang w:val="es-ES_tradnl"/>
        </w:rPr>
        <w:t>2o. (Definiciones). Para efectos de la presente Ley se adoptarán las siguientes definiciones:</w:t>
      </w:r>
    </w:p>
    <w:p w14:paraId="7778D90C" w14:textId="77777777" w:rsidR="00F36280" w:rsidRPr="00485CC5" w:rsidRDefault="00F36280" w:rsidP="00F36280">
      <w:pPr>
        <w:ind w:left="720" w:right="900"/>
        <w:jc w:val="both"/>
        <w:rPr>
          <w:rFonts w:ascii="Bookman Old Style" w:eastAsia="Calibri" w:hAnsi="Bookman Old Style" w:cs="Calibri"/>
          <w:i/>
          <w:sz w:val="20"/>
          <w:lang w:val="es-ES_tradnl"/>
        </w:rPr>
      </w:pPr>
      <w:r w:rsidRPr="00485CC5">
        <w:rPr>
          <w:rFonts w:ascii="Bookman Old Style" w:eastAsia="Calibri" w:hAnsi="Bookman Old Style" w:cs="Calibri"/>
          <w:i/>
          <w:sz w:val="20"/>
          <w:lang w:val="es-ES_tradnl"/>
        </w:rPr>
        <w:t>(…)</w:t>
      </w:r>
    </w:p>
    <w:p w14:paraId="722B94D2" w14:textId="77777777" w:rsidR="00F36280" w:rsidRPr="00485CC5" w:rsidRDefault="00F36280" w:rsidP="00F36280">
      <w:pPr>
        <w:ind w:left="720" w:right="900"/>
        <w:jc w:val="both"/>
        <w:rPr>
          <w:rFonts w:ascii="Bookman Old Style" w:hAnsi="Bookman Old Style"/>
          <w:i/>
          <w:sz w:val="20"/>
        </w:rPr>
      </w:pPr>
      <w:r w:rsidRPr="00485CC5">
        <w:rPr>
          <w:rFonts w:ascii="Bookman Old Style" w:eastAsia="Calibri" w:hAnsi="Bookman Old Style" w:cs="Calibri"/>
          <w:i/>
          <w:sz w:val="20"/>
          <w:lang w:val="es-ES_tradnl"/>
        </w:rPr>
        <w:t>j) Dosis para uso personal: Es la cantidad de estupefacientes que una persona porta o conserva para su propio consumo. Es dosis para uso personal la cantidad de marihuana que no exceda de veinte (20) gramos; la de marihuana hachís</w:t>
      </w:r>
      <w:r w:rsidRPr="00485CC5">
        <w:rPr>
          <w:rFonts w:ascii="Bookman Old Style" w:hAnsi="Bookman Old Style"/>
          <w:i/>
          <w:sz w:val="20"/>
        </w:rPr>
        <w:t xml:space="preserve"> que no exceda de cinco (5) gramos; de cocaína o de cualquier sustancia a base de cocaína la que no exceda de un (1) gramo, y de metacualona la que no exceda de dos (2) gramos. </w:t>
      </w:r>
    </w:p>
    <w:p w14:paraId="0CF9390C" w14:textId="77777777" w:rsidR="00F36280" w:rsidRPr="00485CC5" w:rsidRDefault="00F36280" w:rsidP="00F36280">
      <w:pPr>
        <w:ind w:left="720" w:right="900"/>
        <w:jc w:val="both"/>
        <w:rPr>
          <w:rFonts w:ascii="Bookman Old Style" w:hAnsi="Bookman Old Style"/>
          <w:i/>
          <w:sz w:val="20"/>
        </w:rPr>
      </w:pPr>
    </w:p>
    <w:p w14:paraId="500E4578" w14:textId="77777777" w:rsidR="00F36280" w:rsidRPr="00485CC5" w:rsidRDefault="00F36280" w:rsidP="00F36280">
      <w:pPr>
        <w:ind w:left="720" w:right="900"/>
        <w:jc w:val="both"/>
        <w:rPr>
          <w:rFonts w:ascii="Bookman Old Style" w:hAnsi="Bookman Old Style"/>
          <w:i/>
          <w:sz w:val="20"/>
        </w:rPr>
      </w:pPr>
      <w:r w:rsidRPr="00485CC5">
        <w:rPr>
          <w:rFonts w:ascii="Bookman Old Style" w:hAnsi="Bookman Old Style"/>
          <w:i/>
          <w:sz w:val="20"/>
        </w:rPr>
        <w:t>No es dosis para uso personal, el estupefaciente que la persona lleve consigo, cuando tenga como fin su distribución o venta, cualquiera que sea su cantidad.”</w:t>
      </w:r>
    </w:p>
    <w:p w14:paraId="4E8BEAB4" w14:textId="77777777" w:rsidR="00F36280" w:rsidRPr="00485CC5" w:rsidRDefault="00F36280" w:rsidP="00F36280">
      <w:pPr>
        <w:rPr>
          <w:rFonts w:ascii="Bookman Old Style" w:eastAsia="Calibri" w:hAnsi="Bookman Old Style"/>
          <w:szCs w:val="24"/>
        </w:rPr>
      </w:pPr>
    </w:p>
    <w:p w14:paraId="68B7DA9F" w14:textId="77777777" w:rsidR="00F36280" w:rsidRPr="00485CC5" w:rsidRDefault="00F36280" w:rsidP="00F36280">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 xml:space="preserve">Además, la Ley 30 de 1986, reglamentó en su Artículo 32 lo concerniente a la penalización del cultivo, conservación o financiación de plantaciones </w:t>
      </w:r>
      <w:r w:rsidRPr="00485CC5">
        <w:rPr>
          <w:rFonts w:ascii="Bookman Old Style" w:eastAsia="Calibri" w:hAnsi="Bookman Old Style" w:cs="Calibri"/>
          <w:b w:val="0"/>
          <w:i/>
          <w:sz w:val="22"/>
          <w:szCs w:val="24"/>
        </w:rPr>
        <w:t>(número superior a veinte (20) plantas)</w:t>
      </w:r>
      <w:r w:rsidRPr="00485CC5">
        <w:rPr>
          <w:rFonts w:ascii="Bookman Old Style" w:eastAsia="Calibri" w:hAnsi="Bookman Old Style" w:cs="Calibri"/>
          <w:b w:val="0"/>
          <w:sz w:val="22"/>
          <w:szCs w:val="24"/>
        </w:rPr>
        <w:t xml:space="preserve"> de marihuana o cualquier otra planta de las que pueda producirse cocaína, morfina, heroína o cualquier otra droga que produzca dependencia, permitiendo tácitamente los cultivos </w:t>
      </w:r>
      <w:r w:rsidRPr="00485CC5">
        <w:rPr>
          <w:rFonts w:ascii="Bookman Old Style" w:eastAsia="Calibri" w:hAnsi="Bookman Old Style" w:cs="Calibri"/>
          <w:b w:val="0"/>
          <w:i/>
          <w:sz w:val="22"/>
          <w:szCs w:val="24"/>
        </w:rPr>
        <w:t>(número inferior a veinte (20) plantas)</w:t>
      </w:r>
      <w:r w:rsidRPr="00485CC5">
        <w:rPr>
          <w:rFonts w:ascii="Bookman Old Style" w:eastAsia="Calibri" w:hAnsi="Bookman Old Style" w:cs="Calibri"/>
          <w:b w:val="0"/>
          <w:sz w:val="22"/>
          <w:szCs w:val="24"/>
        </w:rPr>
        <w:t xml:space="preserve"> para uso personal. </w:t>
      </w:r>
    </w:p>
    <w:p w14:paraId="704B00CB" w14:textId="77777777" w:rsidR="00F36280" w:rsidRPr="00485CC5" w:rsidRDefault="00F36280" w:rsidP="00F36280">
      <w:pPr>
        <w:rPr>
          <w:rFonts w:ascii="Bookman Old Style" w:eastAsia="Calibri" w:hAnsi="Bookman Old Style"/>
          <w:szCs w:val="24"/>
        </w:rPr>
      </w:pPr>
    </w:p>
    <w:p w14:paraId="086A4F54" w14:textId="77777777" w:rsidR="00F36280" w:rsidRPr="00485CC5" w:rsidRDefault="00F36280" w:rsidP="00F36280">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 xml:space="preserve">Posteriormente la Corte Constitucional mediante sentencia C-221 de 1994, con ponencia del Magistrado Carlos Gaviria Díaz, despenalizó el porte y el consumo de la dosis personal de estupefacientes, al declarar contrario a la Constitución el Artículo 51 de la Ley 30 de 1986 </w:t>
      </w:r>
      <w:r w:rsidRPr="00485CC5">
        <w:rPr>
          <w:rFonts w:ascii="Bookman Old Style" w:eastAsia="Calibri" w:hAnsi="Bookman Old Style" w:cs="Calibri"/>
          <w:b w:val="0"/>
          <w:i/>
          <w:sz w:val="22"/>
          <w:szCs w:val="24"/>
        </w:rPr>
        <w:t>(Estatuto Nacional de Estupefacientes)</w:t>
      </w:r>
      <w:r w:rsidRPr="00485CC5">
        <w:rPr>
          <w:rFonts w:ascii="Bookman Old Style" w:eastAsia="Calibri" w:hAnsi="Bookman Old Style" w:cs="Calibri"/>
          <w:b w:val="0"/>
          <w:sz w:val="22"/>
          <w:szCs w:val="24"/>
        </w:rPr>
        <w:t>, que disponía penas privativas de la libertad para personas que fueran sorprendidas portando menos de veinte gramos de marihuana o uno de cocaína. El argumento esencial de la Corte fue que esas normas violaban la autonomía y el libre desarrollo de la personalidad, pues la conducta del consumidor no afecta, en sí misma, derechos de otras personas.</w:t>
      </w:r>
    </w:p>
    <w:p w14:paraId="71720C6D" w14:textId="77777777" w:rsidR="00F36280" w:rsidRPr="00485CC5" w:rsidRDefault="00F36280" w:rsidP="00F36280">
      <w:pPr>
        <w:pStyle w:val="Ttulo2"/>
        <w:ind w:left="0"/>
        <w:jc w:val="both"/>
        <w:rPr>
          <w:rFonts w:ascii="Bookman Old Style" w:eastAsia="Calibri" w:hAnsi="Bookman Old Style" w:cs="Calibri"/>
          <w:b w:val="0"/>
          <w:sz w:val="22"/>
          <w:szCs w:val="24"/>
        </w:rPr>
      </w:pPr>
    </w:p>
    <w:p w14:paraId="3F53934E" w14:textId="77777777" w:rsidR="00F36280" w:rsidRPr="00485CC5" w:rsidRDefault="00F36280" w:rsidP="00F36280">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Mucho ha ocurrido desde entonces, siete periodos presidenciales, cambios regulatorios y legislativos que han hecho que la política de drogas se haya ido alejando del camino que reconocía los derechos de los consumidores como un espacio y manifestación de las libertades individuales dentro de un Estado democrático.</w:t>
      </w:r>
    </w:p>
    <w:p w14:paraId="0446EBC9" w14:textId="77777777" w:rsidR="00F36280" w:rsidRPr="00485CC5" w:rsidRDefault="00F36280" w:rsidP="00F36280">
      <w:pPr>
        <w:rPr>
          <w:rFonts w:ascii="Bookman Old Style" w:eastAsia="Calibri" w:hAnsi="Bookman Old Style"/>
          <w:szCs w:val="24"/>
        </w:rPr>
      </w:pPr>
    </w:p>
    <w:p w14:paraId="2FD02655" w14:textId="33FC384D" w:rsidR="00F36280" w:rsidRPr="00485CC5" w:rsidRDefault="00F36280" w:rsidP="00F36280">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 xml:space="preserve">En el año 2009 se realizaron en el país varios esfuerzos por penalizar el consumo </w:t>
      </w:r>
      <w:r w:rsidR="00DD272D">
        <w:rPr>
          <w:rFonts w:ascii="Bookman Old Style" w:eastAsia="Calibri" w:hAnsi="Bookman Old Style" w:cs="Calibri"/>
          <w:b w:val="0"/>
          <w:sz w:val="22"/>
          <w:szCs w:val="24"/>
        </w:rPr>
        <w:t>adulto</w:t>
      </w:r>
      <w:r w:rsidRPr="00485CC5">
        <w:rPr>
          <w:rFonts w:ascii="Bookman Old Style" w:eastAsia="Calibri" w:hAnsi="Bookman Old Style" w:cs="Calibri"/>
          <w:b w:val="0"/>
          <w:sz w:val="22"/>
          <w:szCs w:val="24"/>
        </w:rPr>
        <w:t xml:space="preserve">, los cuales culminaron en la expedición del Acto Legislativo 02, a través del cual se reformó el artículo 49 superior, elevando a rango constitucional la prohibición de porte y consumo de sustancias estupefacientes o psicotrópicas, salvo en los casos de prescripción médica. </w:t>
      </w:r>
    </w:p>
    <w:p w14:paraId="5F5B5A14" w14:textId="77777777" w:rsidR="00F36280" w:rsidRPr="00485CC5" w:rsidRDefault="00F36280" w:rsidP="00F36280">
      <w:pPr>
        <w:pStyle w:val="Ttulo2"/>
        <w:ind w:left="0"/>
        <w:jc w:val="both"/>
        <w:rPr>
          <w:rFonts w:ascii="Bookman Old Style" w:eastAsia="Calibri" w:hAnsi="Bookman Old Style" w:cs="Calibri"/>
          <w:b w:val="0"/>
          <w:sz w:val="22"/>
          <w:szCs w:val="24"/>
        </w:rPr>
      </w:pPr>
    </w:p>
    <w:p w14:paraId="4E9B8AE1" w14:textId="77777777" w:rsidR="00F36280" w:rsidRPr="00485CC5" w:rsidRDefault="00F36280" w:rsidP="00F36280">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Este cambio constitucional, que contrariaba los pronunciamientos jurisprudenciales sobre la materia, propició una ambigüedad jurídica que derivó en la restricción del derecho fundamental al libre desarrollo de la personalidad de los consumidores de sustancias psicotrópicas o estupefacientes.</w:t>
      </w:r>
    </w:p>
    <w:p w14:paraId="402BBCDE" w14:textId="77777777" w:rsidR="00F36280" w:rsidRPr="00485CC5" w:rsidRDefault="00F36280" w:rsidP="00F36280">
      <w:pPr>
        <w:pStyle w:val="Ttulo2"/>
        <w:ind w:left="0"/>
        <w:jc w:val="both"/>
        <w:rPr>
          <w:rFonts w:ascii="Bookman Old Style" w:eastAsia="Calibri" w:hAnsi="Bookman Old Style" w:cs="Calibri"/>
          <w:b w:val="0"/>
          <w:sz w:val="22"/>
          <w:szCs w:val="24"/>
        </w:rPr>
      </w:pPr>
    </w:p>
    <w:p w14:paraId="68F97666" w14:textId="77777777" w:rsidR="00F36280" w:rsidRPr="00485CC5" w:rsidRDefault="00F36280" w:rsidP="00F36280">
      <w:pPr>
        <w:pStyle w:val="Ttulo2"/>
        <w:ind w:left="0"/>
        <w:jc w:val="both"/>
        <w:rPr>
          <w:rFonts w:ascii="Bookman Old Style" w:eastAsia="Calibri" w:hAnsi="Bookman Old Style" w:cs="Calibri"/>
          <w:b w:val="0"/>
          <w:i/>
          <w:sz w:val="22"/>
          <w:szCs w:val="24"/>
        </w:rPr>
      </w:pPr>
      <w:r w:rsidRPr="00485CC5">
        <w:rPr>
          <w:rFonts w:ascii="Bookman Old Style" w:eastAsia="Calibri" w:hAnsi="Bookman Old Style" w:cs="Calibri"/>
          <w:b w:val="0"/>
          <w:sz w:val="22"/>
          <w:szCs w:val="24"/>
        </w:rPr>
        <w:t xml:space="preserve">En el año 2011, la reforma constitucional fue demandada por sustitución de la Constitución. No obstante, la Corte Constitucional en sentencia C-574 de 2011, se declaró inhibida por ineptitud de la demanda presentada, omitiendo un pronunciamiento de fondo sobre los cargos. </w:t>
      </w:r>
    </w:p>
    <w:p w14:paraId="45401A85" w14:textId="77777777" w:rsidR="00F36280" w:rsidRPr="00485CC5" w:rsidRDefault="00F36280" w:rsidP="00F36280">
      <w:pPr>
        <w:rPr>
          <w:rFonts w:ascii="Bookman Old Style" w:eastAsia="Calibri" w:hAnsi="Bookman Old Style"/>
          <w:b/>
          <w:szCs w:val="24"/>
        </w:rPr>
      </w:pPr>
    </w:p>
    <w:p w14:paraId="474636A2" w14:textId="77777777" w:rsidR="00F36280" w:rsidRPr="00485CC5" w:rsidRDefault="00F36280" w:rsidP="00077ACA">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En aras de desarrollar la prohibición constitucional, en el año 2016 se discutió y aprobó la Ley 1787,</w:t>
      </w:r>
      <w:r w:rsidRPr="00485CC5">
        <w:rPr>
          <w:rFonts w:ascii="Bookman Old Style" w:eastAsia="Calibri" w:hAnsi="Bookman Old Style" w:cs="Calibri"/>
          <w:b w:val="0"/>
          <w:bCs/>
          <w:i/>
          <w:iCs/>
          <w:sz w:val="22"/>
          <w:szCs w:val="24"/>
        </w:rPr>
        <w:t xml:space="preserve"> “Por medio de la cual se reglamenta el Acto Legislativo 02 de 2009.”</w:t>
      </w:r>
      <w:r w:rsidRPr="00485CC5">
        <w:rPr>
          <w:rFonts w:ascii="Bookman Old Style" w:eastAsia="Calibri" w:hAnsi="Bookman Old Style" w:cs="Calibri"/>
          <w:b w:val="0"/>
          <w:sz w:val="22"/>
          <w:szCs w:val="24"/>
        </w:rPr>
        <w:t xml:space="preserve">, </w:t>
      </w:r>
      <w:r w:rsidRPr="00485CC5">
        <w:rPr>
          <w:rFonts w:ascii="Bookman Old Style" w:eastAsia="Calibri" w:hAnsi="Bookman Old Style" w:cs="Calibri"/>
          <w:b w:val="0"/>
          <w:i/>
          <w:sz w:val="22"/>
          <w:szCs w:val="24"/>
        </w:rPr>
        <w:t>(desarrollada mediante el Decreto 0613 de 2017)</w:t>
      </w:r>
      <w:r w:rsidRPr="00485CC5">
        <w:rPr>
          <w:rFonts w:ascii="Bookman Old Style" w:eastAsia="Calibri" w:hAnsi="Bookman Old Style" w:cs="Calibri"/>
          <w:b w:val="0"/>
          <w:sz w:val="22"/>
          <w:szCs w:val="24"/>
        </w:rPr>
        <w:t xml:space="preserve">. Esta norma reguló la producción, expedición de licencias y despenalización del porte y consumo de sustancias psicotrópicas y estupefacientes de conformidad con la referencia constitucional sobre la materia. No obstante, en su objeto, delimitado en el artículo 1, la norma dispuso que se pretendía regular </w:t>
      </w:r>
      <w:r w:rsidRPr="00485CC5">
        <w:rPr>
          <w:rFonts w:ascii="Bookman Old Style" w:eastAsia="Calibri" w:hAnsi="Bookman Old Style" w:cs="Calibri"/>
          <w:b w:val="0"/>
          <w:i/>
          <w:sz w:val="22"/>
          <w:szCs w:val="24"/>
        </w:rPr>
        <w:t>“el acceso seguro e informado al uso médico y científico del cannabis y sus derivados”</w:t>
      </w:r>
      <w:r w:rsidRPr="00485CC5">
        <w:rPr>
          <w:rFonts w:ascii="Bookman Old Style" w:eastAsia="Calibri" w:hAnsi="Bookman Old Style" w:cs="Calibri"/>
          <w:b w:val="0"/>
          <w:sz w:val="22"/>
          <w:szCs w:val="24"/>
        </w:rPr>
        <w:t>, referencia que de entrada muestra una adición a lo previsto en el artículo 29 constitucional: el uso científico.</w:t>
      </w:r>
    </w:p>
    <w:p w14:paraId="6BAAC847" w14:textId="77777777" w:rsidR="00F36280" w:rsidRPr="00485CC5" w:rsidRDefault="00F36280" w:rsidP="00F36280">
      <w:pPr>
        <w:pStyle w:val="Ttulo2"/>
        <w:jc w:val="both"/>
        <w:rPr>
          <w:rFonts w:ascii="Bookman Old Style" w:eastAsia="Calibri" w:hAnsi="Bookman Old Style" w:cs="Calibri"/>
          <w:b w:val="0"/>
          <w:sz w:val="22"/>
          <w:szCs w:val="24"/>
        </w:rPr>
      </w:pPr>
    </w:p>
    <w:p w14:paraId="11D24D6C" w14:textId="77777777" w:rsidR="00F36280" w:rsidRPr="00485CC5" w:rsidRDefault="00510F82" w:rsidP="00077ACA">
      <w:pPr>
        <w:pStyle w:val="Ttulo2"/>
        <w:ind w:left="0"/>
        <w:jc w:val="both"/>
        <w:rPr>
          <w:rFonts w:ascii="Bookman Old Style" w:eastAsia="Calibri" w:hAnsi="Bookman Old Style" w:cs="Calibri"/>
          <w:b w:val="0"/>
          <w:sz w:val="22"/>
          <w:szCs w:val="24"/>
        </w:rPr>
      </w:pPr>
      <w:r>
        <w:rPr>
          <w:rFonts w:ascii="Bookman Old Style" w:eastAsia="Calibri" w:hAnsi="Bookman Old Style" w:cs="Calibri"/>
          <w:b w:val="0"/>
          <w:sz w:val="22"/>
          <w:szCs w:val="24"/>
        </w:rPr>
        <w:t>Al revisar</w:t>
      </w:r>
      <w:r w:rsidR="00F36280" w:rsidRPr="00485CC5">
        <w:rPr>
          <w:rFonts w:ascii="Bookman Old Style" w:eastAsia="Calibri" w:hAnsi="Bookman Old Style" w:cs="Calibri"/>
          <w:b w:val="0"/>
          <w:sz w:val="22"/>
          <w:szCs w:val="24"/>
        </w:rPr>
        <w:t xml:space="preserve"> el resto d</w:t>
      </w:r>
      <w:r>
        <w:rPr>
          <w:rFonts w:ascii="Bookman Old Style" w:eastAsia="Calibri" w:hAnsi="Bookman Old Style" w:cs="Calibri"/>
          <w:b w:val="0"/>
          <w:sz w:val="22"/>
          <w:szCs w:val="24"/>
        </w:rPr>
        <w:t>e la norma se evidencia</w:t>
      </w:r>
      <w:r w:rsidR="00F36280" w:rsidRPr="00485CC5">
        <w:rPr>
          <w:rFonts w:ascii="Bookman Old Style" w:eastAsia="Calibri" w:hAnsi="Bookman Old Style" w:cs="Calibri"/>
          <w:b w:val="0"/>
          <w:sz w:val="22"/>
          <w:szCs w:val="24"/>
        </w:rPr>
        <w:t xml:space="preserve"> que se hace referencia a usos medicinales del cannabis, previsión que no necesariamente se enmarca en la referencia del artículo 49 de la Constitución que se refiere exclusivamente a la tenencia de una fórmula médica. </w:t>
      </w:r>
    </w:p>
    <w:p w14:paraId="4BF0E500" w14:textId="77777777" w:rsidR="00F36280" w:rsidRPr="00485CC5" w:rsidRDefault="00F36280" w:rsidP="00F36280">
      <w:pPr>
        <w:pStyle w:val="Ttulo2"/>
        <w:jc w:val="both"/>
        <w:rPr>
          <w:rFonts w:ascii="Bookman Old Style" w:eastAsia="Calibri" w:hAnsi="Bookman Old Style" w:cs="Calibri"/>
          <w:b w:val="0"/>
          <w:sz w:val="22"/>
          <w:szCs w:val="24"/>
        </w:rPr>
      </w:pPr>
    </w:p>
    <w:p w14:paraId="738E16C0" w14:textId="77777777" w:rsidR="00F36280" w:rsidRPr="00485CC5" w:rsidRDefault="00F36280" w:rsidP="00077ACA">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De lo anterior se colige entonces que la Ley 1787 de 2016 introdujo dos excepciones adicionales al porte de cannabis, aumentando el margen de la prohibición dispuesta por el Acto Legislativo 02 de 2009.</w:t>
      </w:r>
    </w:p>
    <w:p w14:paraId="2D0BB737" w14:textId="77777777" w:rsidR="00F36280" w:rsidRPr="00485CC5" w:rsidRDefault="00F36280" w:rsidP="00F36280">
      <w:pPr>
        <w:pStyle w:val="Ttulo2"/>
        <w:jc w:val="both"/>
        <w:rPr>
          <w:rFonts w:ascii="Bookman Old Style" w:eastAsia="Calibri" w:hAnsi="Bookman Old Style" w:cs="Calibri"/>
          <w:b w:val="0"/>
          <w:sz w:val="22"/>
          <w:szCs w:val="24"/>
        </w:rPr>
      </w:pPr>
    </w:p>
    <w:p w14:paraId="35808F60" w14:textId="0E714D7F" w:rsidR="00F36280" w:rsidRPr="00485CC5" w:rsidRDefault="00F36280" w:rsidP="00F36280">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 xml:space="preserve">En lo que respecta al uso </w:t>
      </w:r>
      <w:r w:rsidR="00DD272D">
        <w:rPr>
          <w:rFonts w:ascii="Bookman Old Style" w:eastAsia="Calibri" w:hAnsi="Bookman Old Style" w:cs="Calibri"/>
          <w:b w:val="0"/>
          <w:sz w:val="22"/>
          <w:szCs w:val="24"/>
        </w:rPr>
        <w:t>adulto</w:t>
      </w:r>
      <w:r w:rsidRPr="00485CC5">
        <w:rPr>
          <w:rFonts w:ascii="Bookman Old Style" w:eastAsia="Calibri" w:hAnsi="Bookman Old Style" w:cs="Calibri"/>
          <w:b w:val="0"/>
          <w:sz w:val="22"/>
          <w:szCs w:val="24"/>
        </w:rPr>
        <w:t xml:space="preserve">, la Ley 1801 de 2016 </w:t>
      </w:r>
      <w:r w:rsidRPr="00485CC5">
        <w:rPr>
          <w:rFonts w:ascii="Bookman Old Style" w:eastAsia="Calibri" w:hAnsi="Bookman Old Style" w:cs="Calibri"/>
          <w:b w:val="0"/>
          <w:i/>
          <w:sz w:val="22"/>
          <w:szCs w:val="24"/>
        </w:rPr>
        <w:t>“Por la cual se expide el Código Nacional de Policía y Convivencia”</w:t>
      </w:r>
      <w:r w:rsidRPr="00485CC5">
        <w:rPr>
          <w:rFonts w:ascii="Bookman Old Style" w:eastAsia="Calibri" w:hAnsi="Bookman Old Style" w:cs="Calibri"/>
          <w:b w:val="0"/>
          <w:sz w:val="22"/>
          <w:szCs w:val="24"/>
        </w:rPr>
        <w:t>, desarrolló dispuso en su artículo 33 la prohibición al consumo de drogas de uso ilícito, en aras de preservar la tranquilidad, y las relaciones respetuosas de las personas y la comunidad.</w:t>
      </w:r>
    </w:p>
    <w:p w14:paraId="200919EA" w14:textId="77777777" w:rsidR="00F36280" w:rsidRPr="00485CC5" w:rsidRDefault="00F36280" w:rsidP="00F36280">
      <w:pPr>
        <w:rPr>
          <w:rFonts w:ascii="Bookman Old Style" w:eastAsia="Calibri" w:hAnsi="Bookman Old Style"/>
          <w:szCs w:val="24"/>
        </w:rPr>
      </w:pPr>
    </w:p>
    <w:p w14:paraId="1833D6CA" w14:textId="77777777" w:rsidR="00F36280" w:rsidRPr="00485CC5" w:rsidRDefault="00C8439A" w:rsidP="00F36280">
      <w:pPr>
        <w:jc w:val="both"/>
        <w:rPr>
          <w:rFonts w:ascii="Bookman Old Style" w:eastAsia="Calibri" w:hAnsi="Bookman Old Style" w:cs="Calibri"/>
          <w:szCs w:val="24"/>
        </w:rPr>
      </w:pPr>
      <w:r>
        <w:rPr>
          <w:rFonts w:ascii="Bookman Old Style" w:eastAsia="Calibri" w:hAnsi="Bookman Old Style" w:cs="Calibri"/>
          <w:szCs w:val="24"/>
        </w:rPr>
        <w:t>Esta norma</w:t>
      </w:r>
      <w:r w:rsidR="00F36280" w:rsidRPr="00485CC5">
        <w:rPr>
          <w:rFonts w:ascii="Bookman Old Style" w:eastAsia="Calibri" w:hAnsi="Bookman Old Style" w:cs="Calibri"/>
          <w:szCs w:val="24"/>
        </w:rPr>
        <w:t xml:space="preserve"> impleme</w:t>
      </w:r>
      <w:r>
        <w:rPr>
          <w:rFonts w:ascii="Bookman Old Style" w:eastAsia="Calibri" w:hAnsi="Bookman Old Style" w:cs="Calibri"/>
          <w:szCs w:val="24"/>
        </w:rPr>
        <w:t xml:space="preserve">ntó un proceso abreviado encaminado a </w:t>
      </w:r>
      <w:r w:rsidR="00F36280" w:rsidRPr="00485CC5">
        <w:rPr>
          <w:rFonts w:ascii="Bookman Old Style" w:eastAsia="Calibri" w:hAnsi="Bookman Old Style" w:cs="Calibri"/>
          <w:szCs w:val="24"/>
        </w:rPr>
        <w:t>sancionar a l</w:t>
      </w:r>
      <w:r>
        <w:rPr>
          <w:rFonts w:ascii="Bookman Old Style" w:eastAsia="Calibri" w:hAnsi="Bookman Old Style" w:cs="Calibri"/>
          <w:szCs w:val="24"/>
        </w:rPr>
        <w:t>as personas que consumieran dichas sustancias, la</w:t>
      </w:r>
      <w:r w:rsidR="00F36280" w:rsidRPr="00485CC5">
        <w:rPr>
          <w:rFonts w:ascii="Bookman Old Style" w:eastAsia="Calibri" w:hAnsi="Bookman Old Style" w:cs="Calibri"/>
          <w:szCs w:val="24"/>
        </w:rPr>
        <w:t xml:space="preserve"> cual contraría las garantías o la imparcialidad necesaria para determinar la sanción a imponer con el agravante de que genera una serie de estigmatizaciones en contra de los consumidores.</w:t>
      </w:r>
    </w:p>
    <w:p w14:paraId="17C3C061" w14:textId="77777777" w:rsidR="00F36280" w:rsidRPr="00485CC5" w:rsidRDefault="00F36280" w:rsidP="00F36280">
      <w:pPr>
        <w:rPr>
          <w:rFonts w:eastAsia="Calibri"/>
        </w:rPr>
      </w:pPr>
    </w:p>
    <w:p w14:paraId="4BB7F72B" w14:textId="77777777" w:rsidR="00F36280" w:rsidRPr="00485CC5" w:rsidRDefault="00F36280" w:rsidP="00F36280">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No obstante, en materia jurisprudencial se mantuvo la postura desarrollada en el año 1994, como se evidenció el 9 de marzo de 2016, cuando</w:t>
      </w:r>
      <w:r w:rsidR="00DC49AD">
        <w:rPr>
          <w:rFonts w:ascii="Bookman Old Style" w:eastAsia="Calibri" w:hAnsi="Bookman Old Style" w:cs="Calibri"/>
          <w:b w:val="0"/>
          <w:sz w:val="22"/>
          <w:szCs w:val="24"/>
        </w:rPr>
        <w:t xml:space="preserve"> </w:t>
      </w:r>
      <w:r w:rsidRPr="00485CC5">
        <w:rPr>
          <w:rFonts w:ascii="Bookman Old Style" w:eastAsia="Calibri" w:hAnsi="Bookman Old Style" w:cs="Calibri"/>
          <w:b w:val="0"/>
          <w:sz w:val="22"/>
          <w:szCs w:val="24"/>
        </w:rPr>
        <w:t xml:space="preserve">la Corte Suprema de Justicia, mediante sentencia SP-2940-2016, reconoció nuevamente la posibilidad de la despenalización del consumo, afirmando que los consumidores, enfermos o adictos, podían portar una cantidad diferente a la fijada por la ley para la dosis personal (20 gramos), siempre que: 1) </w:t>
      </w:r>
      <w:r w:rsidR="001E18FE">
        <w:rPr>
          <w:rFonts w:ascii="Bookman Old Style" w:eastAsia="Calibri" w:hAnsi="Bookman Old Style" w:cs="Calibri"/>
          <w:b w:val="0"/>
          <w:sz w:val="22"/>
          <w:szCs w:val="24"/>
        </w:rPr>
        <w:t>e</w:t>
      </w:r>
      <w:r w:rsidR="001E18FE" w:rsidRPr="00485CC5">
        <w:rPr>
          <w:rFonts w:ascii="Bookman Old Style" w:eastAsia="Calibri" w:hAnsi="Bookman Old Style" w:cs="Calibri"/>
          <w:b w:val="0"/>
          <w:sz w:val="22"/>
          <w:szCs w:val="24"/>
        </w:rPr>
        <w:t>st</w:t>
      </w:r>
      <w:r w:rsidR="001E18FE">
        <w:rPr>
          <w:rFonts w:ascii="Bookman Old Style" w:eastAsia="Calibri" w:hAnsi="Bookman Old Style" w:cs="Calibri"/>
          <w:b w:val="0"/>
          <w:sz w:val="22"/>
          <w:szCs w:val="24"/>
        </w:rPr>
        <w:t>a</w:t>
      </w:r>
      <w:r w:rsidRPr="00485CC5">
        <w:rPr>
          <w:rFonts w:ascii="Bookman Old Style" w:eastAsia="Calibri" w:hAnsi="Bookman Old Style" w:cs="Calibri"/>
          <w:b w:val="0"/>
          <w:sz w:val="22"/>
          <w:szCs w:val="24"/>
        </w:rPr>
        <w:t xml:space="preserve"> fuera para su consumo personal o aprovisionamiento y 2) no existieran indicios de tráfico de sustancias de uso ilícito. </w:t>
      </w:r>
    </w:p>
    <w:p w14:paraId="6B9213B8" w14:textId="77777777" w:rsidR="00F36280" w:rsidRPr="00485CC5" w:rsidRDefault="00F36280" w:rsidP="00F36280">
      <w:pPr>
        <w:pStyle w:val="Ttulo2"/>
        <w:ind w:left="0"/>
        <w:jc w:val="both"/>
        <w:rPr>
          <w:rFonts w:ascii="Bookman Old Style" w:eastAsia="Calibri" w:hAnsi="Bookman Old Style" w:cs="Calibri"/>
          <w:b w:val="0"/>
          <w:sz w:val="22"/>
          <w:szCs w:val="24"/>
        </w:rPr>
      </w:pPr>
    </w:p>
    <w:p w14:paraId="5E0B77A6" w14:textId="77777777" w:rsidR="00F36280" w:rsidRDefault="00F36280" w:rsidP="00F36280">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En el año 2018 se retomó la prohibición constitucional y</w:t>
      </w:r>
      <w:r w:rsidR="00C8439A">
        <w:rPr>
          <w:rFonts w:ascii="Bookman Old Style" w:eastAsia="Calibri" w:hAnsi="Bookman Old Style" w:cs="Calibri"/>
          <w:b w:val="0"/>
          <w:sz w:val="22"/>
          <w:szCs w:val="24"/>
        </w:rPr>
        <w:t>,</w:t>
      </w:r>
      <w:r w:rsidRPr="00485CC5">
        <w:rPr>
          <w:rFonts w:ascii="Bookman Old Style" w:eastAsia="Calibri" w:hAnsi="Bookman Old Style" w:cs="Calibri"/>
          <w:b w:val="0"/>
          <w:sz w:val="22"/>
          <w:szCs w:val="24"/>
        </w:rPr>
        <w:t xml:space="preserve"> en desarrollo de la Ley 1801 de 2016, el Decreto 1844 prohibió el porte y consumo de la dosis mínima y facultó a la Policía Nacional para adelantar el decomiso de las sustancias estupefacientes, así como para</w:t>
      </w:r>
      <w:r w:rsidR="00C8439A">
        <w:rPr>
          <w:rFonts w:ascii="Bookman Old Style" w:eastAsia="Calibri" w:hAnsi="Bookman Old Style" w:cs="Calibri"/>
          <w:b w:val="0"/>
          <w:sz w:val="22"/>
          <w:szCs w:val="24"/>
        </w:rPr>
        <w:t xml:space="preserve"> la imposición de una sanción.</w:t>
      </w:r>
    </w:p>
    <w:p w14:paraId="78F9F43E" w14:textId="77777777" w:rsidR="00C8439A" w:rsidRPr="00C8439A" w:rsidRDefault="00C8439A" w:rsidP="00C8439A">
      <w:pPr>
        <w:rPr>
          <w:rFonts w:eastAsia="Calibri"/>
        </w:rPr>
      </w:pPr>
    </w:p>
    <w:p w14:paraId="281BDFAB" w14:textId="77777777" w:rsidR="00F36280" w:rsidRPr="00485CC5" w:rsidRDefault="00F36280" w:rsidP="00F36280">
      <w:pPr>
        <w:pStyle w:val="Ttulo2"/>
        <w:ind w:left="0"/>
        <w:jc w:val="both"/>
        <w:rPr>
          <w:rFonts w:ascii="Bookman Old Style" w:eastAsia="Calibri" w:hAnsi="Bookman Old Style"/>
          <w:b w:val="0"/>
          <w:sz w:val="22"/>
          <w:szCs w:val="24"/>
        </w:rPr>
      </w:pPr>
      <w:r w:rsidRPr="00485CC5">
        <w:rPr>
          <w:rFonts w:ascii="Bookman Old Style" w:eastAsia="Calibri" w:hAnsi="Bookman Old Style" w:cs="Calibri"/>
          <w:b w:val="0"/>
          <w:sz w:val="22"/>
          <w:szCs w:val="24"/>
        </w:rPr>
        <w:t>Finalmente, y de forma reciente, la Corte Constitucional, en comunicado del 6 de junio de 2019, informó que a través de la sentencia C-253 de 2019, declaró inexequible las “</w:t>
      </w:r>
      <w:r w:rsidRPr="00485CC5">
        <w:rPr>
          <w:rFonts w:ascii="Bookman Old Style" w:eastAsia="Calibri" w:hAnsi="Bookman Old Style" w:cs="Calibri"/>
          <w:b w:val="0"/>
          <w:i/>
          <w:sz w:val="22"/>
          <w:szCs w:val="24"/>
        </w:rPr>
        <w:t>normas legales que establecen una prohibición genérica y amplia al consumo de bebidas alcohólicas y sustancias psicoactivas en el espacio público y en espacios privados abiertos al público o que trascienden a lo público</w:t>
      </w:r>
      <w:r w:rsidRPr="00485CC5">
        <w:rPr>
          <w:rStyle w:val="Refdenotaalpie"/>
          <w:rFonts w:ascii="Bookman Old Style" w:eastAsia="Calibri" w:hAnsi="Bookman Old Style" w:cs="Calibri"/>
          <w:b w:val="0"/>
          <w:i/>
          <w:sz w:val="22"/>
          <w:szCs w:val="24"/>
        </w:rPr>
        <w:footnoteReference w:id="6"/>
      </w:r>
      <w:r w:rsidRPr="00485CC5">
        <w:rPr>
          <w:rFonts w:ascii="Bookman Old Style" w:eastAsia="Calibri" w:hAnsi="Bookman Old Style" w:cs="Calibri"/>
          <w:b w:val="0"/>
          <w:i/>
          <w:sz w:val="22"/>
          <w:szCs w:val="24"/>
        </w:rPr>
        <w:t xml:space="preserve">”. </w:t>
      </w:r>
      <w:r w:rsidRPr="00485CC5">
        <w:rPr>
          <w:rFonts w:ascii="Bookman Old Style" w:eastAsia="Calibri" w:hAnsi="Bookman Old Style" w:cs="Calibri"/>
          <w:b w:val="0"/>
          <w:sz w:val="22"/>
          <w:szCs w:val="24"/>
        </w:rPr>
        <w:t xml:space="preserve">Si bien la sentencia no ha sido publicada, en el comunicado refiere la Corte que </w:t>
      </w:r>
      <w:r w:rsidRPr="00485CC5">
        <w:rPr>
          <w:rFonts w:ascii="Bookman Old Style" w:eastAsia="Calibri" w:hAnsi="Bookman Old Style" w:cs="Calibri"/>
          <w:b w:val="0"/>
          <w:i/>
          <w:sz w:val="22"/>
          <w:szCs w:val="24"/>
        </w:rPr>
        <w:t xml:space="preserve">“el texto legal de las reglas acusadas tiene unas amplias prohibiciones que impactan el ejercicio del derecho al libre desarrollo de la personalidad de forma considerable”, </w:t>
      </w:r>
      <w:r w:rsidRPr="00485CC5">
        <w:rPr>
          <w:rFonts w:ascii="Bookman Old Style" w:eastAsia="Calibri" w:hAnsi="Bookman Old Style" w:cs="Calibri"/>
          <w:b w:val="0"/>
          <w:sz w:val="22"/>
          <w:szCs w:val="24"/>
        </w:rPr>
        <w:t xml:space="preserve">afirmación que se enmarca en la ya enunciada línea jurisprudencial que identifica estos asuntos como propios de la órbita del individuo. </w:t>
      </w:r>
    </w:p>
    <w:p w14:paraId="50606163" w14:textId="77777777" w:rsidR="00F36280" w:rsidRPr="00485CC5" w:rsidRDefault="00F36280" w:rsidP="00F36280">
      <w:pPr>
        <w:jc w:val="both"/>
        <w:rPr>
          <w:rFonts w:ascii="Bookman Old Style" w:eastAsia="Calibri" w:hAnsi="Bookman Old Style" w:cs="Calibri"/>
          <w:szCs w:val="24"/>
        </w:rPr>
      </w:pPr>
    </w:p>
    <w:p w14:paraId="1C84EAA2" w14:textId="77777777" w:rsidR="00C8439A" w:rsidRDefault="00F36280" w:rsidP="00F36280">
      <w:pPr>
        <w:jc w:val="both"/>
        <w:rPr>
          <w:rFonts w:ascii="Bookman Old Style" w:eastAsia="Calibri" w:hAnsi="Bookman Old Style" w:cs="Calibri"/>
          <w:szCs w:val="24"/>
        </w:rPr>
      </w:pPr>
      <w:r w:rsidRPr="00485CC5">
        <w:rPr>
          <w:rFonts w:ascii="Bookman Old Style" w:eastAsia="Calibri" w:hAnsi="Bookman Old Style" w:cs="Calibri"/>
          <w:szCs w:val="24"/>
        </w:rPr>
        <w:t xml:space="preserve">Esto nos lleva a concluir que en Colombia han existido dos tendencias, una prohibicionista, en contraposición con una reivindicatoria de las libertades individuales. Las Cortes han abierto la posibilidad de adoptar una política de drogas más humana, garantista y eficaz al permitir la dosis mínima, la dosis de aprovisionamiento y el derecho al libre consumo, pero las políticas actuales materializadas en el Acto Legislativo 02 de 2009, el Código Nacional de Policía y el Decreto 1844 de 2018, han optado por la aplicación de medidas prohibicionistas que desconocen derechos fundamentales. </w:t>
      </w:r>
    </w:p>
    <w:p w14:paraId="322A1042" w14:textId="77777777" w:rsidR="00484D81" w:rsidRDefault="00484D81" w:rsidP="00F36280">
      <w:pPr>
        <w:jc w:val="both"/>
        <w:rPr>
          <w:rFonts w:ascii="Bookman Old Style" w:eastAsia="Calibri" w:hAnsi="Bookman Old Style" w:cs="Calibri"/>
          <w:szCs w:val="24"/>
        </w:rPr>
      </w:pPr>
    </w:p>
    <w:p w14:paraId="12BE91CA" w14:textId="77777777" w:rsidR="00F36280" w:rsidRPr="00485CC5" w:rsidRDefault="00C8439A" w:rsidP="00F36280">
      <w:pPr>
        <w:jc w:val="both"/>
        <w:rPr>
          <w:rFonts w:ascii="Bookman Old Style" w:eastAsia="Calibri" w:hAnsi="Bookman Old Style" w:cs="Calibri"/>
          <w:szCs w:val="24"/>
        </w:rPr>
      </w:pPr>
      <w:r>
        <w:rPr>
          <w:rFonts w:ascii="Bookman Old Style" w:eastAsia="Calibri" w:hAnsi="Bookman Old Style" w:cs="Calibri"/>
          <w:szCs w:val="24"/>
        </w:rPr>
        <w:t>Amén de lo anterior</w:t>
      </w:r>
      <w:r w:rsidR="00F36280" w:rsidRPr="00485CC5">
        <w:rPr>
          <w:rFonts w:ascii="Bookman Old Style" w:eastAsia="Calibri" w:hAnsi="Bookman Old Style" w:cs="Calibri"/>
          <w:szCs w:val="24"/>
        </w:rPr>
        <w:t xml:space="preserve">, existe una clara </w:t>
      </w:r>
      <w:r>
        <w:rPr>
          <w:rFonts w:ascii="Bookman Old Style" w:eastAsia="Calibri" w:hAnsi="Bookman Old Style" w:cs="Calibri"/>
          <w:szCs w:val="24"/>
        </w:rPr>
        <w:t>incoherencia</w:t>
      </w:r>
      <w:r w:rsidR="00F36280" w:rsidRPr="00485CC5">
        <w:rPr>
          <w:rFonts w:ascii="Bookman Old Style" w:eastAsia="Calibri" w:hAnsi="Bookman Old Style" w:cs="Calibri"/>
          <w:szCs w:val="24"/>
        </w:rPr>
        <w:t xml:space="preserve"> entre la Ley 1787 de 2016 y el artículo 49 de la constitución, en tanto la Ley aumentó las excepciones a la prohibición del porte de cannabis.</w:t>
      </w:r>
    </w:p>
    <w:p w14:paraId="33EBB5BF" w14:textId="77777777" w:rsidR="00F36280" w:rsidRPr="00485CC5" w:rsidRDefault="00F36280" w:rsidP="00F36280">
      <w:pPr>
        <w:jc w:val="both"/>
        <w:rPr>
          <w:rFonts w:ascii="Bookman Old Style" w:eastAsia="Calibri" w:hAnsi="Bookman Old Style" w:cs="Calibri"/>
          <w:szCs w:val="24"/>
        </w:rPr>
      </w:pPr>
    </w:p>
    <w:p w14:paraId="74A81F2C" w14:textId="77777777" w:rsidR="00F36280" w:rsidRDefault="00F36280" w:rsidP="00F36280">
      <w:pPr>
        <w:jc w:val="both"/>
        <w:rPr>
          <w:rFonts w:ascii="Bookman Old Style" w:eastAsia="Calibri" w:hAnsi="Bookman Old Style" w:cs="Calibri"/>
          <w:b/>
          <w:szCs w:val="24"/>
        </w:rPr>
      </w:pPr>
      <w:r w:rsidRPr="00485CC5">
        <w:rPr>
          <w:rFonts w:ascii="Bookman Old Style" w:eastAsia="Calibri" w:hAnsi="Bookman Old Style" w:cs="Calibri"/>
          <w:szCs w:val="24"/>
        </w:rPr>
        <w:t xml:space="preserve">Consecuencia de lo anterior, en la actualidad no exista certeza sobre los límites constitucionales, legales y jurisprudenciales en la materia, por lo cual es pertinente adoptar una única posición estatal. Para el efecto, se procederá a realizar un análisis de derecho comparado sobre la regulación del cannabis en otros países, así como de los efectos que se han derivado de la prohibición actual. Finalmente, se retomará el estudio constitucional y legal sobre la materia para justificar este proyecto de Acto Legislativo. </w:t>
      </w:r>
    </w:p>
    <w:p w14:paraId="70C0E36D" w14:textId="77777777" w:rsidR="00F36280" w:rsidRDefault="00F36280" w:rsidP="00F36280">
      <w:pPr>
        <w:jc w:val="both"/>
        <w:rPr>
          <w:rFonts w:ascii="Bookman Old Style" w:eastAsia="Calibri" w:hAnsi="Bookman Old Style" w:cs="Calibri"/>
          <w:b/>
          <w:szCs w:val="24"/>
        </w:rPr>
      </w:pPr>
    </w:p>
    <w:p w14:paraId="7242DD1A" w14:textId="2EE15A98" w:rsidR="00780580" w:rsidRPr="00780580" w:rsidRDefault="00780580" w:rsidP="00780580">
      <w:pPr>
        <w:jc w:val="both"/>
        <w:rPr>
          <w:rFonts w:ascii="Bookman Old Style" w:eastAsia="Calibri" w:hAnsi="Bookman Old Style" w:cs="Calibri"/>
          <w:b/>
        </w:rPr>
      </w:pPr>
      <w:r w:rsidRPr="00780580">
        <w:rPr>
          <w:rFonts w:ascii="Bookman Old Style" w:eastAsia="Calibri" w:hAnsi="Bookman Old Style" w:cs="Calibri"/>
          <w:b/>
        </w:rPr>
        <w:t>4.2 POSTURA ACTUAL FRENTE AL USO DEL CANNABIS A NIVEL INTERNACIONAL</w:t>
      </w:r>
      <w:r w:rsidR="008D6C03">
        <w:rPr>
          <w:rFonts w:ascii="Bookman Old Style" w:eastAsia="Calibri" w:hAnsi="Bookman Old Style" w:cs="Calibri"/>
          <w:b/>
        </w:rPr>
        <w:t>.</w:t>
      </w:r>
    </w:p>
    <w:p w14:paraId="0A292835" w14:textId="77777777" w:rsidR="00780580" w:rsidRPr="00780580" w:rsidRDefault="00780580" w:rsidP="00780580">
      <w:pPr>
        <w:pStyle w:val="Sinespaciado"/>
        <w:rPr>
          <w:rFonts w:ascii="Bookman Old Style" w:eastAsia="Calibri" w:hAnsi="Bookman Old Style"/>
        </w:rPr>
      </w:pPr>
    </w:p>
    <w:p w14:paraId="67F8332C" w14:textId="77777777" w:rsidR="00780580" w:rsidRPr="00780580" w:rsidRDefault="00780580" w:rsidP="00780580">
      <w:pPr>
        <w:pStyle w:val="Sinespaciado"/>
        <w:rPr>
          <w:rFonts w:ascii="Bookman Old Style" w:eastAsia="Calibri" w:hAnsi="Bookman Old Style"/>
          <w:b/>
        </w:rPr>
      </w:pPr>
      <w:r w:rsidRPr="00780580">
        <w:rPr>
          <w:rFonts w:ascii="Bookman Old Style" w:eastAsia="Calibri" w:hAnsi="Bookman Old Style"/>
        </w:rPr>
        <w:t xml:space="preserve">Son muchos los países que poco a poco han venido realizando una transición hacia la regularización del cannabis tanto de uso adulto como de uso medicinal y científico. Países como Uruguay, Holanda, Canadá, 18 estados de Estados Unidos y recientemente México, han enarbolado las banderas de la regularización del cannabis como pioneros, en donde se puede encontrar un mercado legal con controles eficaces y eficientes. </w:t>
      </w:r>
    </w:p>
    <w:p w14:paraId="37D0087C" w14:textId="77777777" w:rsidR="00780580" w:rsidRPr="00780580" w:rsidRDefault="00780580" w:rsidP="00780580">
      <w:pPr>
        <w:jc w:val="both"/>
        <w:rPr>
          <w:rFonts w:ascii="Bookman Old Style" w:eastAsia="Calibri" w:hAnsi="Bookman Old Style"/>
        </w:rPr>
      </w:pPr>
    </w:p>
    <w:p w14:paraId="42E24D4C" w14:textId="77777777" w:rsidR="00780580" w:rsidRPr="00780580" w:rsidRDefault="00780580" w:rsidP="00780580">
      <w:pPr>
        <w:jc w:val="both"/>
        <w:rPr>
          <w:rFonts w:ascii="Bookman Old Style" w:eastAsia="Calibri" w:hAnsi="Bookman Old Style"/>
        </w:rPr>
      </w:pPr>
      <w:r w:rsidRPr="00780580">
        <w:rPr>
          <w:rFonts w:ascii="Bookman Old Style" w:eastAsia="Calibri" w:hAnsi="Bookman Old Style"/>
        </w:rPr>
        <w:t>Uruguay, el Estado de Colorado y Canadá han sido ejemplo en la regulación de disposiciones sobre enfoque, objetivos, autoridades de control, producción, distribución, establecimientos para el consumo, edad mínima, registro, publicidad, fiscalidad, prevención y destinación de los recursos producidos por el nuevo mercado legal, como se muestra a continuación</w:t>
      </w:r>
      <w:r w:rsidRPr="00780580">
        <w:rPr>
          <w:rStyle w:val="Refdenotaalpie"/>
          <w:rFonts w:ascii="Bookman Old Style" w:eastAsia="Calibri" w:hAnsi="Bookman Old Style"/>
        </w:rPr>
        <w:footnoteReference w:id="7"/>
      </w:r>
      <w:r w:rsidRPr="00780580">
        <w:rPr>
          <w:rFonts w:ascii="Bookman Old Style" w:eastAsia="Calibri" w:hAnsi="Bookman Old Style"/>
        </w:rPr>
        <w:t>:</w:t>
      </w:r>
      <w:r w:rsidRPr="00780580" w:rsidDel="002E290A">
        <w:rPr>
          <w:rFonts w:ascii="Bookman Old Style" w:eastAsia="Calibri" w:hAnsi="Bookman Old Style"/>
        </w:rPr>
        <w:t xml:space="preserve"> </w:t>
      </w:r>
    </w:p>
    <w:p w14:paraId="7EBC24B0" w14:textId="77777777" w:rsidR="00780580" w:rsidRPr="00780580" w:rsidRDefault="00780580" w:rsidP="00780580">
      <w:pPr>
        <w:jc w:val="both"/>
        <w:rPr>
          <w:rFonts w:ascii="Bookman Old Style" w:eastAsia="Calibri" w:hAnsi="Bookman Old Style"/>
        </w:rPr>
      </w:pPr>
    </w:p>
    <w:p w14:paraId="12D86A1A" w14:textId="77777777" w:rsidR="00780580" w:rsidRPr="00780580" w:rsidRDefault="00780580" w:rsidP="00780580">
      <w:pPr>
        <w:jc w:val="center"/>
        <w:rPr>
          <w:rFonts w:ascii="Bookman Old Style" w:eastAsia="Calibri" w:hAnsi="Bookman Old Style"/>
          <w:b/>
        </w:rPr>
      </w:pPr>
      <w:r w:rsidRPr="00780580">
        <w:rPr>
          <w:rFonts w:ascii="Bookman Old Style" w:eastAsia="Calibri" w:hAnsi="Bookman Old Style"/>
          <w:b/>
        </w:rPr>
        <w:t xml:space="preserve">Tabla 1. </w:t>
      </w:r>
    </w:p>
    <w:p w14:paraId="136B2C28" w14:textId="77777777" w:rsidR="00780580" w:rsidRPr="00780580" w:rsidRDefault="00780580" w:rsidP="00780580">
      <w:pPr>
        <w:jc w:val="center"/>
        <w:rPr>
          <w:rFonts w:ascii="Bookman Old Style" w:eastAsia="Calibri" w:hAnsi="Bookman Old Style"/>
          <w:b/>
        </w:rPr>
      </w:pPr>
      <w:r w:rsidRPr="00780580">
        <w:rPr>
          <w:rFonts w:ascii="Bookman Old Style" w:eastAsia="Calibri" w:hAnsi="Bookman Old Style"/>
          <w:b/>
        </w:rPr>
        <w:t xml:space="preserve">Aspectos modificados en </w:t>
      </w:r>
    </w:p>
    <w:p w14:paraId="1189C3AA" w14:textId="77777777" w:rsidR="00780580" w:rsidRPr="00780580" w:rsidRDefault="00780580" w:rsidP="00780580">
      <w:pPr>
        <w:jc w:val="center"/>
        <w:rPr>
          <w:rFonts w:ascii="Bookman Old Style" w:eastAsia="Calibri" w:hAnsi="Bookman Old Style"/>
          <w:b/>
        </w:rPr>
      </w:pPr>
      <w:r w:rsidRPr="00780580">
        <w:rPr>
          <w:rFonts w:ascii="Bookman Old Style" w:eastAsia="Calibri" w:hAnsi="Bookman Old Style"/>
          <w:b/>
        </w:rPr>
        <w:t>Uruguay, Colorado (Estados Unidos) y Canadá</w:t>
      </w:r>
    </w:p>
    <w:p w14:paraId="6D240F05" w14:textId="77777777" w:rsidR="00780580" w:rsidRPr="00780580" w:rsidRDefault="00780580" w:rsidP="00780580">
      <w:pPr>
        <w:jc w:val="center"/>
        <w:rPr>
          <w:rFonts w:ascii="Bookman Old Style" w:eastAsia="Calibri" w:hAnsi="Bookman Old Style"/>
          <w:b/>
        </w:rPr>
      </w:pPr>
    </w:p>
    <w:tbl>
      <w:tblPr>
        <w:tblStyle w:val="Tablaconcuadrcula"/>
        <w:tblW w:w="9876" w:type="dxa"/>
        <w:tblInd w:w="-431" w:type="dxa"/>
        <w:tblLook w:val="04A0" w:firstRow="1" w:lastRow="0" w:firstColumn="1" w:lastColumn="0" w:noHBand="0" w:noVBand="1"/>
      </w:tblPr>
      <w:tblGrid>
        <w:gridCol w:w="2978"/>
        <w:gridCol w:w="4111"/>
        <w:gridCol w:w="2787"/>
      </w:tblGrid>
      <w:tr w:rsidR="00780580" w:rsidRPr="00780580" w14:paraId="14F5E0C0" w14:textId="77777777" w:rsidTr="00BC095F">
        <w:trPr>
          <w:trHeight w:val="20"/>
        </w:trPr>
        <w:tc>
          <w:tcPr>
            <w:tcW w:w="2978" w:type="dxa"/>
            <w:shd w:val="clear" w:color="auto" w:fill="BFBFBF" w:themeFill="background1" w:themeFillShade="BF"/>
            <w:vAlign w:val="center"/>
          </w:tcPr>
          <w:p w14:paraId="1B6130D9" w14:textId="77777777" w:rsidR="00780580" w:rsidRPr="00780580" w:rsidRDefault="00780580" w:rsidP="00BC095F">
            <w:pPr>
              <w:jc w:val="center"/>
              <w:rPr>
                <w:rFonts w:ascii="Bookman Old Style" w:hAnsi="Bookman Old Style"/>
                <w:b/>
              </w:rPr>
            </w:pPr>
            <w:r w:rsidRPr="00780580">
              <w:rPr>
                <w:rFonts w:ascii="Bookman Old Style" w:hAnsi="Bookman Old Style"/>
                <w:b/>
              </w:rPr>
              <w:t>URUGUAY</w:t>
            </w:r>
          </w:p>
        </w:tc>
        <w:tc>
          <w:tcPr>
            <w:tcW w:w="4111" w:type="dxa"/>
            <w:shd w:val="clear" w:color="auto" w:fill="BFBFBF" w:themeFill="background1" w:themeFillShade="BF"/>
            <w:vAlign w:val="center"/>
          </w:tcPr>
          <w:p w14:paraId="7A9BBC63" w14:textId="77777777" w:rsidR="00780580" w:rsidRPr="00780580" w:rsidRDefault="00780580" w:rsidP="00BC095F">
            <w:pPr>
              <w:jc w:val="center"/>
              <w:rPr>
                <w:rFonts w:ascii="Bookman Old Style" w:hAnsi="Bookman Old Style"/>
                <w:b/>
              </w:rPr>
            </w:pPr>
            <w:r w:rsidRPr="00780580">
              <w:rPr>
                <w:rFonts w:ascii="Bookman Old Style" w:hAnsi="Bookman Old Style"/>
                <w:b/>
              </w:rPr>
              <w:t>COLORADO – EEUU</w:t>
            </w:r>
          </w:p>
        </w:tc>
        <w:tc>
          <w:tcPr>
            <w:tcW w:w="2787" w:type="dxa"/>
            <w:shd w:val="clear" w:color="auto" w:fill="BFBFBF" w:themeFill="background1" w:themeFillShade="BF"/>
            <w:vAlign w:val="center"/>
          </w:tcPr>
          <w:p w14:paraId="43970DB6" w14:textId="77777777" w:rsidR="00780580" w:rsidRPr="00780580" w:rsidRDefault="00780580" w:rsidP="00BC095F">
            <w:pPr>
              <w:jc w:val="center"/>
              <w:rPr>
                <w:rFonts w:ascii="Bookman Old Style" w:hAnsi="Bookman Old Style"/>
                <w:b/>
              </w:rPr>
            </w:pPr>
            <w:r w:rsidRPr="00780580">
              <w:rPr>
                <w:rFonts w:ascii="Bookman Old Style" w:hAnsi="Bookman Old Style"/>
                <w:b/>
              </w:rPr>
              <w:t>CANADÁ</w:t>
            </w:r>
          </w:p>
        </w:tc>
      </w:tr>
      <w:tr w:rsidR="00780580" w:rsidRPr="00780580" w14:paraId="406ECADE" w14:textId="77777777" w:rsidTr="00BC095F">
        <w:trPr>
          <w:trHeight w:val="20"/>
        </w:trPr>
        <w:tc>
          <w:tcPr>
            <w:tcW w:w="9876" w:type="dxa"/>
            <w:gridSpan w:val="3"/>
            <w:shd w:val="clear" w:color="auto" w:fill="D9D9D9" w:themeFill="background1" w:themeFillShade="D9"/>
            <w:vAlign w:val="center"/>
          </w:tcPr>
          <w:p w14:paraId="37BBF33A" w14:textId="77777777" w:rsidR="00780580" w:rsidRPr="00780580" w:rsidRDefault="00780580" w:rsidP="00BC095F">
            <w:pPr>
              <w:jc w:val="center"/>
              <w:rPr>
                <w:rFonts w:ascii="Bookman Old Style" w:hAnsi="Bookman Old Style"/>
                <w:b/>
                <w:i/>
              </w:rPr>
            </w:pPr>
            <w:r w:rsidRPr="00780580">
              <w:rPr>
                <w:rFonts w:ascii="Bookman Old Style" w:hAnsi="Bookman Old Style"/>
                <w:b/>
                <w:i/>
              </w:rPr>
              <w:t>Enfoque</w:t>
            </w:r>
          </w:p>
        </w:tc>
      </w:tr>
      <w:tr w:rsidR="00780580" w:rsidRPr="00780580" w14:paraId="2D5EB1E9" w14:textId="77777777" w:rsidTr="00BC095F">
        <w:trPr>
          <w:trHeight w:val="20"/>
        </w:trPr>
        <w:tc>
          <w:tcPr>
            <w:tcW w:w="2978" w:type="dxa"/>
            <w:vAlign w:val="center"/>
          </w:tcPr>
          <w:p w14:paraId="75697578"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Salud pública.</w:t>
            </w:r>
          </w:p>
          <w:p w14:paraId="69CC8017"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Control estatal.</w:t>
            </w:r>
          </w:p>
          <w:p w14:paraId="655AEA2A"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hAnsi="Bookman Old Style"/>
                <w:sz w:val="22"/>
                <w:szCs w:val="22"/>
              </w:rPr>
            </w:pPr>
            <w:r w:rsidRPr="00780580">
              <w:rPr>
                <w:rFonts w:ascii="Bookman Old Style" w:eastAsia="Calibri" w:hAnsi="Bookman Old Style" w:cs="Calibri"/>
                <w:b w:val="0"/>
                <w:sz w:val="22"/>
                <w:szCs w:val="22"/>
              </w:rPr>
              <w:t>Desmercantilización           del cannabis.</w:t>
            </w:r>
          </w:p>
        </w:tc>
        <w:tc>
          <w:tcPr>
            <w:tcW w:w="4111" w:type="dxa"/>
            <w:vAlign w:val="center"/>
          </w:tcPr>
          <w:p w14:paraId="6BD6381A"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Salud y seguridad pública.</w:t>
            </w:r>
          </w:p>
          <w:p w14:paraId="14333E66"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Eficiencia y libertad individual.</w:t>
            </w:r>
          </w:p>
          <w:p w14:paraId="0CED99C3"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Recaudación.</w:t>
            </w:r>
          </w:p>
          <w:p w14:paraId="123084FD"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Libre mercado.</w:t>
            </w:r>
          </w:p>
        </w:tc>
        <w:tc>
          <w:tcPr>
            <w:tcW w:w="2787" w:type="dxa"/>
            <w:vAlign w:val="center"/>
          </w:tcPr>
          <w:p w14:paraId="6A6AABC2"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Enfoque salud pública.</w:t>
            </w:r>
          </w:p>
          <w:p w14:paraId="194C271E"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Seguridad en la práctica.</w:t>
            </w:r>
          </w:p>
          <w:p w14:paraId="1985641F"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hAnsi="Bookman Old Style"/>
                <w:sz w:val="22"/>
                <w:szCs w:val="22"/>
              </w:rPr>
            </w:pPr>
            <w:r w:rsidRPr="00780580">
              <w:rPr>
                <w:rFonts w:ascii="Bookman Old Style" w:eastAsia="Calibri" w:hAnsi="Bookman Old Style" w:cs="Calibri"/>
                <w:b w:val="0"/>
                <w:sz w:val="22"/>
                <w:szCs w:val="22"/>
              </w:rPr>
              <w:t>Libre mercado.</w:t>
            </w:r>
          </w:p>
        </w:tc>
      </w:tr>
      <w:tr w:rsidR="00780580" w:rsidRPr="00780580" w14:paraId="25AF40BA" w14:textId="77777777" w:rsidTr="00BC095F">
        <w:trPr>
          <w:trHeight w:val="20"/>
        </w:trPr>
        <w:tc>
          <w:tcPr>
            <w:tcW w:w="9876" w:type="dxa"/>
            <w:gridSpan w:val="3"/>
            <w:shd w:val="clear" w:color="auto" w:fill="D9D9D9" w:themeFill="background1" w:themeFillShade="D9"/>
            <w:vAlign w:val="center"/>
          </w:tcPr>
          <w:p w14:paraId="24DBF769" w14:textId="77777777" w:rsidR="00780580" w:rsidRPr="00780580" w:rsidRDefault="00780580" w:rsidP="00BC095F">
            <w:pPr>
              <w:jc w:val="center"/>
              <w:rPr>
                <w:rFonts w:ascii="Bookman Old Style" w:hAnsi="Bookman Old Style"/>
                <w:b/>
                <w:i/>
              </w:rPr>
            </w:pPr>
            <w:r w:rsidRPr="00780580">
              <w:rPr>
                <w:rFonts w:ascii="Bookman Old Style" w:hAnsi="Bookman Old Style"/>
                <w:b/>
                <w:i/>
              </w:rPr>
              <w:t>Objetivos</w:t>
            </w:r>
          </w:p>
        </w:tc>
      </w:tr>
      <w:tr w:rsidR="00780580" w:rsidRPr="00780580" w14:paraId="61B6525D" w14:textId="77777777" w:rsidTr="00BC095F">
        <w:trPr>
          <w:trHeight w:val="20"/>
        </w:trPr>
        <w:tc>
          <w:tcPr>
            <w:tcW w:w="2978" w:type="dxa"/>
            <w:vAlign w:val="center"/>
          </w:tcPr>
          <w:p w14:paraId="4F52E148"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Proteger a los habitantes del comercio ilegal y el narcotráfico.</w:t>
            </w:r>
          </w:p>
          <w:p w14:paraId="39996C76"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Atacar consecuencias sanitarias, sociales y económicas del uso problemático de sustancias psicoactivas.</w:t>
            </w:r>
          </w:p>
          <w:p w14:paraId="4DE2B485"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Reducir la incidencia del narcotráfico y del crimen organizado.</w:t>
            </w:r>
          </w:p>
        </w:tc>
        <w:tc>
          <w:tcPr>
            <w:tcW w:w="4111" w:type="dxa"/>
            <w:vAlign w:val="center"/>
          </w:tcPr>
          <w:p w14:paraId="0D34415D" w14:textId="77777777" w:rsidR="00780580" w:rsidRPr="00780580" w:rsidRDefault="00780580" w:rsidP="00BC095F">
            <w:pPr>
              <w:pStyle w:val="Ttulo2"/>
              <w:ind w:left="0"/>
              <w:outlineLvl w:val="1"/>
              <w:rPr>
                <w:rFonts w:ascii="Bookman Old Style" w:eastAsia="Calibri" w:hAnsi="Bookman Old Style" w:cs="Calibri"/>
                <w:b w:val="0"/>
                <w:i/>
                <w:sz w:val="22"/>
                <w:szCs w:val="22"/>
              </w:rPr>
            </w:pPr>
            <w:r w:rsidRPr="00780580">
              <w:rPr>
                <w:rFonts w:ascii="Bookman Old Style" w:eastAsia="Calibri" w:hAnsi="Bookman Old Style" w:cs="Calibri"/>
                <w:b w:val="0"/>
                <w:i/>
                <w:sz w:val="22"/>
                <w:szCs w:val="22"/>
              </w:rPr>
              <w:t>Enmienda 64:</w:t>
            </w:r>
          </w:p>
          <w:p w14:paraId="28BC479B"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Uso eficiente de los recursos para la aplicación de la ley.</w:t>
            </w:r>
          </w:p>
          <w:p w14:paraId="5A13CF56"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Aumento de ingresos para fines públicos.</w:t>
            </w:r>
          </w:p>
          <w:p w14:paraId="450601C4"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Libertad individual.</w:t>
            </w:r>
          </w:p>
          <w:p w14:paraId="127E88C8" w14:textId="77777777" w:rsidR="00780580" w:rsidRPr="00780580" w:rsidRDefault="00780580" w:rsidP="00BC095F">
            <w:pPr>
              <w:jc w:val="center"/>
              <w:rPr>
                <w:rFonts w:ascii="Bookman Old Style" w:hAnsi="Bookman Old Style" w:cs="Calibri"/>
              </w:rPr>
            </w:pPr>
          </w:p>
          <w:p w14:paraId="1B522C90" w14:textId="77777777" w:rsidR="00780580" w:rsidRPr="00780580" w:rsidRDefault="00780580" w:rsidP="00BC095F">
            <w:pPr>
              <w:pStyle w:val="Ttulo2"/>
              <w:ind w:left="0" w:right="40"/>
              <w:jc w:val="both"/>
              <w:outlineLvl w:val="1"/>
              <w:rPr>
                <w:rFonts w:ascii="Bookman Old Style" w:eastAsia="Calibri" w:hAnsi="Bookman Old Style" w:cs="Calibri"/>
                <w:sz w:val="22"/>
                <w:szCs w:val="22"/>
              </w:rPr>
            </w:pPr>
            <w:r w:rsidRPr="00780580">
              <w:rPr>
                <w:rFonts w:ascii="Bookman Old Style" w:eastAsia="Calibri" w:hAnsi="Bookman Old Style" w:cs="Calibri"/>
                <w:b w:val="0"/>
                <w:i/>
                <w:sz w:val="22"/>
                <w:szCs w:val="22"/>
              </w:rPr>
              <w:t>Principio rector gobierno Colorado:</w:t>
            </w:r>
            <w:r w:rsidRPr="00780580">
              <w:rPr>
                <w:rFonts w:ascii="Bookman Old Style" w:eastAsia="Calibri" w:hAnsi="Bookman Old Style" w:cs="Calibri"/>
                <w:sz w:val="22"/>
                <w:szCs w:val="22"/>
              </w:rPr>
              <w:t xml:space="preserve"> </w:t>
            </w:r>
            <w:r w:rsidRPr="00780580">
              <w:rPr>
                <w:rFonts w:ascii="Bookman Old Style" w:eastAsia="Calibri" w:hAnsi="Bookman Old Style" w:cs="Calibri"/>
                <w:b w:val="0"/>
                <w:sz w:val="22"/>
                <w:szCs w:val="22"/>
              </w:rPr>
              <w:t>crear un entorno normativo y de aplicación de la ley robusto que proteja la seguridad pública y evite el desvío de marihuana de venta al por menor a personas menores de 21 años o de fuera del estado de Colorado</w:t>
            </w:r>
            <w:r w:rsidRPr="00780580">
              <w:rPr>
                <w:rFonts w:ascii="Bookman Old Style" w:eastAsia="Calibri" w:hAnsi="Bookman Old Style" w:cs="Calibri"/>
                <w:sz w:val="22"/>
                <w:szCs w:val="22"/>
              </w:rPr>
              <w:t>.</w:t>
            </w:r>
          </w:p>
        </w:tc>
        <w:tc>
          <w:tcPr>
            <w:tcW w:w="2787" w:type="dxa"/>
            <w:vAlign w:val="center"/>
          </w:tcPr>
          <w:p w14:paraId="3A8443DD"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Protección de la salud.</w:t>
            </w:r>
          </w:p>
          <w:p w14:paraId="7F2C4DEC"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Luchar contra el crimen organizado.</w:t>
            </w:r>
          </w:p>
        </w:tc>
      </w:tr>
      <w:tr w:rsidR="00780580" w:rsidRPr="00780580" w14:paraId="727C83B8" w14:textId="77777777" w:rsidTr="00BC095F">
        <w:trPr>
          <w:trHeight w:val="20"/>
        </w:trPr>
        <w:tc>
          <w:tcPr>
            <w:tcW w:w="9876" w:type="dxa"/>
            <w:gridSpan w:val="3"/>
            <w:shd w:val="clear" w:color="auto" w:fill="D9D9D9" w:themeFill="background1" w:themeFillShade="D9"/>
            <w:vAlign w:val="center"/>
          </w:tcPr>
          <w:p w14:paraId="2A82AEE6" w14:textId="77777777" w:rsidR="00780580" w:rsidRPr="00780580" w:rsidRDefault="00780580" w:rsidP="00BC095F">
            <w:pPr>
              <w:jc w:val="center"/>
              <w:rPr>
                <w:rFonts w:ascii="Bookman Old Style" w:hAnsi="Bookman Old Style"/>
                <w:b/>
                <w:i/>
                <w:lang w:val="en-US"/>
              </w:rPr>
            </w:pPr>
            <w:r w:rsidRPr="00780580">
              <w:rPr>
                <w:rFonts w:ascii="Bookman Old Style" w:hAnsi="Bookman Old Style"/>
                <w:b/>
                <w:i/>
                <w:lang w:val="en-US"/>
              </w:rPr>
              <w:t>Entidad que regula</w:t>
            </w:r>
          </w:p>
        </w:tc>
      </w:tr>
      <w:tr w:rsidR="00780580" w:rsidRPr="00780580" w14:paraId="2172FB4C" w14:textId="77777777" w:rsidTr="00BC095F">
        <w:trPr>
          <w:trHeight w:val="20"/>
        </w:trPr>
        <w:tc>
          <w:tcPr>
            <w:tcW w:w="2978" w:type="dxa"/>
            <w:vAlign w:val="center"/>
          </w:tcPr>
          <w:p w14:paraId="2DD625B4" w14:textId="77777777" w:rsidR="00780580" w:rsidRPr="00780580" w:rsidRDefault="00780580" w:rsidP="00BC095F">
            <w:pPr>
              <w:jc w:val="both"/>
              <w:rPr>
                <w:rFonts w:ascii="Bookman Old Style" w:hAnsi="Bookman Old Style"/>
              </w:rPr>
            </w:pPr>
            <w:r w:rsidRPr="00780580">
              <w:rPr>
                <w:rFonts w:ascii="Bookman Old Style" w:eastAsia="Calibri" w:hAnsi="Bookman Old Style" w:cs="Calibri"/>
              </w:rPr>
              <w:t>Instituto de Regulación y Control de Cannabis (IRCCA). Ministerio de Salud Pública.</w:t>
            </w:r>
          </w:p>
        </w:tc>
        <w:tc>
          <w:tcPr>
            <w:tcW w:w="4111" w:type="dxa"/>
            <w:vAlign w:val="center"/>
          </w:tcPr>
          <w:p w14:paraId="0B71279C"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Marijuana Enforcement Division/ División de Aplicación de la Ley sobre Marihuana.</w:t>
            </w:r>
          </w:p>
          <w:p w14:paraId="0F094E83"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hAnsi="Bookman Old Style"/>
                <w:sz w:val="22"/>
                <w:szCs w:val="22"/>
              </w:rPr>
            </w:pPr>
            <w:r w:rsidRPr="00780580">
              <w:rPr>
                <w:rFonts w:ascii="Bookman Old Style" w:eastAsia="Calibri" w:hAnsi="Bookman Old Style" w:cs="Calibri"/>
                <w:b w:val="0"/>
                <w:sz w:val="22"/>
                <w:szCs w:val="22"/>
              </w:rPr>
              <w:t>Departamento de Hacienda.</w:t>
            </w:r>
          </w:p>
        </w:tc>
        <w:tc>
          <w:tcPr>
            <w:tcW w:w="2787" w:type="dxa"/>
            <w:vAlign w:val="center"/>
          </w:tcPr>
          <w:p w14:paraId="7315ABF6" w14:textId="77777777" w:rsidR="00780580" w:rsidRPr="00780580" w:rsidRDefault="00780580" w:rsidP="00BC095F">
            <w:pPr>
              <w:jc w:val="both"/>
              <w:rPr>
                <w:rFonts w:ascii="Bookman Old Style" w:hAnsi="Bookman Old Style"/>
                <w:lang w:val="en-US"/>
              </w:rPr>
            </w:pPr>
            <w:r w:rsidRPr="00780580">
              <w:rPr>
                <w:rFonts w:ascii="Bookman Old Style" w:hAnsi="Bookman Old Style"/>
                <w:lang w:val="en-US"/>
              </w:rPr>
              <w:t>Access to Cannabis for Medical Purposes Regulations (ACMPR) del Ministerio de Salud Canadiense (Health Canada).</w:t>
            </w:r>
          </w:p>
        </w:tc>
      </w:tr>
      <w:tr w:rsidR="00780580" w:rsidRPr="00780580" w14:paraId="75DB5D1B" w14:textId="77777777" w:rsidTr="00BC095F">
        <w:trPr>
          <w:trHeight w:val="20"/>
        </w:trPr>
        <w:tc>
          <w:tcPr>
            <w:tcW w:w="9876" w:type="dxa"/>
            <w:gridSpan w:val="3"/>
            <w:shd w:val="clear" w:color="auto" w:fill="D9D9D9" w:themeFill="background1" w:themeFillShade="D9"/>
            <w:vAlign w:val="center"/>
          </w:tcPr>
          <w:p w14:paraId="531F610F" w14:textId="77777777" w:rsidR="00780580" w:rsidRPr="00780580" w:rsidRDefault="00780580" w:rsidP="00BC095F">
            <w:pPr>
              <w:jc w:val="center"/>
              <w:rPr>
                <w:rFonts w:ascii="Bookman Old Style" w:hAnsi="Bookman Old Style"/>
              </w:rPr>
            </w:pPr>
            <w:r w:rsidRPr="00780580">
              <w:rPr>
                <w:rFonts w:ascii="Bookman Old Style" w:hAnsi="Bookman Old Style"/>
                <w:b/>
                <w:i/>
              </w:rPr>
              <w:t>Distribución</w:t>
            </w:r>
          </w:p>
        </w:tc>
      </w:tr>
      <w:tr w:rsidR="00780580" w:rsidRPr="00780580" w14:paraId="49658D5C" w14:textId="77777777" w:rsidTr="00BC095F">
        <w:trPr>
          <w:trHeight w:val="20"/>
        </w:trPr>
        <w:tc>
          <w:tcPr>
            <w:tcW w:w="2978" w:type="dxa"/>
            <w:vAlign w:val="center"/>
          </w:tcPr>
          <w:p w14:paraId="7B8FBAC8"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Sector público y privado.</w:t>
            </w:r>
          </w:p>
          <w:p w14:paraId="53FD931A"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Farmacias.</w:t>
            </w:r>
          </w:p>
          <w:p w14:paraId="42011D71"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hAnsi="Bookman Old Style"/>
                <w:sz w:val="22"/>
                <w:szCs w:val="22"/>
              </w:rPr>
            </w:pPr>
            <w:r w:rsidRPr="00780580">
              <w:rPr>
                <w:rFonts w:ascii="Bookman Old Style" w:eastAsia="Calibri" w:hAnsi="Bookman Old Style" w:cs="Calibri"/>
                <w:b w:val="0"/>
                <w:sz w:val="22"/>
                <w:szCs w:val="22"/>
              </w:rPr>
              <w:t>Clubes de cannabis.</w:t>
            </w:r>
          </w:p>
        </w:tc>
        <w:tc>
          <w:tcPr>
            <w:tcW w:w="4111" w:type="dxa"/>
            <w:vAlign w:val="center"/>
          </w:tcPr>
          <w:p w14:paraId="3FD35F74"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Sector privado.</w:t>
            </w:r>
          </w:p>
          <w:p w14:paraId="2B01B218"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Locales comerciales con licencia de dispensación de cannabis medicinal hasta jul.2014.</w:t>
            </w:r>
          </w:p>
          <w:p w14:paraId="7B1A0B19"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Después licencia medicinal y/o comercial.</w:t>
            </w:r>
          </w:p>
        </w:tc>
        <w:tc>
          <w:tcPr>
            <w:tcW w:w="2787" w:type="dxa"/>
            <w:vAlign w:val="center"/>
          </w:tcPr>
          <w:p w14:paraId="3128A9C1"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Sector privado.</w:t>
            </w:r>
          </w:p>
          <w:p w14:paraId="00052BB5"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Locales comerciales con licencia.</w:t>
            </w:r>
          </w:p>
          <w:p w14:paraId="616A6304"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hAnsi="Bookman Old Style"/>
                <w:sz w:val="22"/>
                <w:szCs w:val="22"/>
              </w:rPr>
            </w:pPr>
            <w:r w:rsidRPr="00780580">
              <w:rPr>
                <w:rFonts w:ascii="Bookman Old Style" w:eastAsia="Calibri" w:hAnsi="Bookman Old Style" w:cs="Calibri"/>
                <w:b w:val="0"/>
                <w:sz w:val="22"/>
                <w:szCs w:val="22"/>
              </w:rPr>
              <w:t>Experimentos con clubes de cannabis.</w:t>
            </w:r>
          </w:p>
        </w:tc>
      </w:tr>
      <w:tr w:rsidR="00780580" w:rsidRPr="00780580" w14:paraId="35B0BDAB" w14:textId="77777777" w:rsidTr="00BC095F">
        <w:trPr>
          <w:trHeight w:val="20"/>
        </w:trPr>
        <w:tc>
          <w:tcPr>
            <w:tcW w:w="9876" w:type="dxa"/>
            <w:gridSpan w:val="3"/>
            <w:shd w:val="clear" w:color="auto" w:fill="D9D9D9" w:themeFill="background1" w:themeFillShade="D9"/>
            <w:vAlign w:val="center"/>
          </w:tcPr>
          <w:p w14:paraId="57ECE241" w14:textId="77777777" w:rsidR="00780580" w:rsidRPr="00780580" w:rsidRDefault="00780580" w:rsidP="00BC095F">
            <w:pPr>
              <w:jc w:val="center"/>
              <w:rPr>
                <w:rFonts w:ascii="Bookman Old Style" w:hAnsi="Bookman Old Style"/>
                <w:b/>
                <w:i/>
              </w:rPr>
            </w:pPr>
            <w:r w:rsidRPr="00780580">
              <w:rPr>
                <w:rFonts w:ascii="Bookman Old Style" w:hAnsi="Bookman Old Style"/>
                <w:b/>
                <w:i/>
              </w:rPr>
              <w:t>Establecimientos de venta</w:t>
            </w:r>
          </w:p>
        </w:tc>
      </w:tr>
      <w:tr w:rsidR="00780580" w:rsidRPr="00780580" w14:paraId="085E8F81" w14:textId="77777777" w:rsidTr="00BC095F">
        <w:trPr>
          <w:trHeight w:val="20"/>
        </w:trPr>
        <w:tc>
          <w:tcPr>
            <w:tcW w:w="2978" w:type="dxa"/>
            <w:vAlign w:val="center"/>
          </w:tcPr>
          <w:p w14:paraId="58690BBB"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Farmacias acreditadas en el registro del IRCCA.</w:t>
            </w:r>
          </w:p>
          <w:p w14:paraId="50F3F121"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Clubes de cannabis registrados en el IRCCA.</w:t>
            </w:r>
          </w:p>
        </w:tc>
        <w:tc>
          <w:tcPr>
            <w:tcW w:w="4111" w:type="dxa"/>
            <w:vAlign w:val="center"/>
          </w:tcPr>
          <w:p w14:paraId="397663EB" w14:textId="77777777" w:rsidR="00780580" w:rsidRPr="00780580" w:rsidRDefault="00780580" w:rsidP="00BC095F">
            <w:pPr>
              <w:pStyle w:val="Ttulo2"/>
              <w:ind w:left="0"/>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Establecimientos con autorización</w:t>
            </w:r>
          </w:p>
        </w:tc>
        <w:tc>
          <w:tcPr>
            <w:tcW w:w="2787" w:type="dxa"/>
            <w:vAlign w:val="center"/>
          </w:tcPr>
          <w:p w14:paraId="0DE3FB8D"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Clubes de Cannabis.</w:t>
            </w:r>
          </w:p>
          <w:p w14:paraId="7E360724"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Establecimientos con licencias autorizadas.</w:t>
            </w:r>
          </w:p>
          <w:p w14:paraId="79BCF5BF" w14:textId="77777777" w:rsidR="00780580" w:rsidRPr="00780580" w:rsidRDefault="00780580" w:rsidP="00BC095F">
            <w:pPr>
              <w:rPr>
                <w:rFonts w:ascii="Bookman Old Style" w:hAnsi="Bookman Old Style"/>
              </w:rPr>
            </w:pPr>
          </w:p>
          <w:p w14:paraId="612CA263" w14:textId="77777777" w:rsidR="00780580" w:rsidRPr="00780580" w:rsidRDefault="00780580" w:rsidP="00BC095F">
            <w:pPr>
              <w:rPr>
                <w:rFonts w:ascii="Bookman Old Style" w:hAnsi="Bookman Old Style"/>
              </w:rPr>
            </w:pPr>
          </w:p>
        </w:tc>
      </w:tr>
      <w:tr w:rsidR="00780580" w:rsidRPr="00780580" w14:paraId="4765454E" w14:textId="77777777" w:rsidTr="00BC095F">
        <w:trPr>
          <w:trHeight w:val="20"/>
        </w:trPr>
        <w:tc>
          <w:tcPr>
            <w:tcW w:w="9876" w:type="dxa"/>
            <w:gridSpan w:val="3"/>
            <w:shd w:val="clear" w:color="auto" w:fill="D9D9D9" w:themeFill="background1" w:themeFillShade="D9"/>
            <w:vAlign w:val="center"/>
          </w:tcPr>
          <w:p w14:paraId="2EB3EBAE" w14:textId="77777777" w:rsidR="00780580" w:rsidRPr="00780580" w:rsidRDefault="00780580" w:rsidP="00BC095F">
            <w:pPr>
              <w:jc w:val="center"/>
              <w:rPr>
                <w:rFonts w:ascii="Bookman Old Style" w:hAnsi="Bookman Old Style"/>
                <w:b/>
                <w:i/>
              </w:rPr>
            </w:pPr>
            <w:r w:rsidRPr="00780580">
              <w:rPr>
                <w:rFonts w:ascii="Bookman Old Style" w:hAnsi="Bookman Old Style"/>
                <w:b/>
                <w:i/>
              </w:rPr>
              <w:t>Edad permitida</w:t>
            </w:r>
          </w:p>
        </w:tc>
      </w:tr>
      <w:tr w:rsidR="00780580" w:rsidRPr="00780580" w14:paraId="1734E91B" w14:textId="77777777" w:rsidTr="00BC095F">
        <w:trPr>
          <w:trHeight w:val="20"/>
        </w:trPr>
        <w:tc>
          <w:tcPr>
            <w:tcW w:w="2978" w:type="dxa"/>
            <w:vAlign w:val="center"/>
          </w:tcPr>
          <w:p w14:paraId="1320AC09" w14:textId="77777777" w:rsidR="00780580" w:rsidRPr="00780580" w:rsidRDefault="00780580" w:rsidP="00BC095F">
            <w:pPr>
              <w:jc w:val="center"/>
              <w:rPr>
                <w:rFonts w:ascii="Bookman Old Style" w:hAnsi="Bookman Old Style"/>
              </w:rPr>
            </w:pPr>
            <w:r w:rsidRPr="00780580">
              <w:rPr>
                <w:rFonts w:ascii="Bookman Old Style" w:hAnsi="Bookman Old Style"/>
              </w:rPr>
              <w:t>18 años</w:t>
            </w:r>
          </w:p>
        </w:tc>
        <w:tc>
          <w:tcPr>
            <w:tcW w:w="4111" w:type="dxa"/>
            <w:vAlign w:val="center"/>
          </w:tcPr>
          <w:p w14:paraId="6774A1EB" w14:textId="77777777" w:rsidR="00780580" w:rsidRPr="00780580" w:rsidRDefault="00780580" w:rsidP="00BC095F">
            <w:pPr>
              <w:jc w:val="center"/>
              <w:rPr>
                <w:rFonts w:ascii="Bookman Old Style" w:hAnsi="Bookman Old Style"/>
              </w:rPr>
            </w:pPr>
            <w:r w:rsidRPr="00780580">
              <w:rPr>
                <w:rFonts w:ascii="Bookman Old Style" w:hAnsi="Bookman Old Style"/>
              </w:rPr>
              <w:t>21 años</w:t>
            </w:r>
          </w:p>
        </w:tc>
        <w:tc>
          <w:tcPr>
            <w:tcW w:w="2787" w:type="dxa"/>
            <w:vAlign w:val="center"/>
          </w:tcPr>
          <w:p w14:paraId="0074AD9C" w14:textId="77777777" w:rsidR="00780580" w:rsidRPr="00780580" w:rsidRDefault="00780580" w:rsidP="00BC095F">
            <w:pPr>
              <w:jc w:val="center"/>
              <w:rPr>
                <w:rFonts w:ascii="Bookman Old Style" w:hAnsi="Bookman Old Style"/>
              </w:rPr>
            </w:pPr>
            <w:r w:rsidRPr="00780580">
              <w:rPr>
                <w:rFonts w:ascii="Bookman Old Style" w:hAnsi="Bookman Old Style"/>
              </w:rPr>
              <w:t>18 a 21 años según la provincia</w:t>
            </w:r>
          </w:p>
        </w:tc>
      </w:tr>
      <w:tr w:rsidR="00780580" w:rsidRPr="00780580" w14:paraId="0BF7831E" w14:textId="77777777" w:rsidTr="00BC095F">
        <w:trPr>
          <w:trHeight w:val="20"/>
        </w:trPr>
        <w:tc>
          <w:tcPr>
            <w:tcW w:w="9876" w:type="dxa"/>
            <w:gridSpan w:val="3"/>
            <w:shd w:val="clear" w:color="auto" w:fill="D9D9D9" w:themeFill="background1" w:themeFillShade="D9"/>
            <w:vAlign w:val="center"/>
          </w:tcPr>
          <w:p w14:paraId="63DF6376" w14:textId="77777777" w:rsidR="00780580" w:rsidRPr="00780580" w:rsidRDefault="00780580" w:rsidP="00BC095F">
            <w:pPr>
              <w:jc w:val="center"/>
              <w:rPr>
                <w:rFonts w:ascii="Bookman Old Style" w:hAnsi="Bookman Old Style"/>
              </w:rPr>
            </w:pPr>
            <w:r w:rsidRPr="00780580">
              <w:rPr>
                <w:rFonts w:ascii="Bookman Old Style" w:hAnsi="Bookman Old Style"/>
                <w:b/>
                <w:i/>
              </w:rPr>
              <w:t>Registro</w:t>
            </w:r>
          </w:p>
        </w:tc>
      </w:tr>
      <w:tr w:rsidR="00780580" w:rsidRPr="00780580" w14:paraId="082DD968" w14:textId="77777777" w:rsidTr="00BC095F">
        <w:trPr>
          <w:trHeight w:val="20"/>
        </w:trPr>
        <w:tc>
          <w:tcPr>
            <w:tcW w:w="2978" w:type="dxa"/>
            <w:vAlign w:val="center"/>
          </w:tcPr>
          <w:p w14:paraId="316DDE95"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Registro de cultivos en el IRCCA (Datos de carácter sensible).</w:t>
            </w:r>
          </w:p>
          <w:p w14:paraId="5F00B4F2"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Registro de personas usuarias y de integrantes de clubes (Datos de carácter sensible).</w:t>
            </w:r>
          </w:p>
        </w:tc>
        <w:tc>
          <w:tcPr>
            <w:tcW w:w="4111" w:type="dxa"/>
            <w:vAlign w:val="center"/>
          </w:tcPr>
          <w:p w14:paraId="392A984F" w14:textId="77777777" w:rsidR="00780580" w:rsidRPr="00780580" w:rsidRDefault="00780580" w:rsidP="00BC095F">
            <w:pPr>
              <w:jc w:val="both"/>
              <w:rPr>
                <w:rFonts w:ascii="Bookman Old Style" w:hAnsi="Bookman Old Style"/>
              </w:rPr>
            </w:pPr>
            <w:r w:rsidRPr="00780580">
              <w:rPr>
                <w:rFonts w:ascii="Bookman Old Style" w:eastAsia="Calibri" w:hAnsi="Bookman Old Style" w:cs="Calibri"/>
              </w:rPr>
              <w:t>No se permite según la ley pero están obligados a instalar cámaras que registren la identidad de vendedor y comprador.</w:t>
            </w:r>
          </w:p>
        </w:tc>
        <w:tc>
          <w:tcPr>
            <w:tcW w:w="2787" w:type="dxa"/>
            <w:vAlign w:val="center"/>
          </w:tcPr>
          <w:p w14:paraId="3221D3DC"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Registro de usuarios de clubes de cannabis.</w:t>
            </w:r>
          </w:p>
          <w:p w14:paraId="56C96B7F"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hAnsi="Bookman Old Style"/>
                <w:sz w:val="22"/>
                <w:szCs w:val="22"/>
              </w:rPr>
            </w:pPr>
            <w:r w:rsidRPr="00780580">
              <w:rPr>
                <w:rFonts w:ascii="Bookman Old Style" w:eastAsia="Calibri" w:hAnsi="Bookman Old Style" w:cs="Calibri"/>
                <w:b w:val="0"/>
                <w:sz w:val="22"/>
                <w:szCs w:val="22"/>
              </w:rPr>
              <w:t>Registro de usuarios de cannabis medicinal.</w:t>
            </w:r>
          </w:p>
        </w:tc>
      </w:tr>
      <w:tr w:rsidR="00780580" w:rsidRPr="00780580" w14:paraId="536A7B85" w14:textId="77777777" w:rsidTr="00BC095F">
        <w:trPr>
          <w:trHeight w:val="20"/>
        </w:trPr>
        <w:tc>
          <w:tcPr>
            <w:tcW w:w="9876" w:type="dxa"/>
            <w:gridSpan w:val="3"/>
            <w:shd w:val="clear" w:color="auto" w:fill="D9D9D9" w:themeFill="background1" w:themeFillShade="D9"/>
            <w:vAlign w:val="center"/>
          </w:tcPr>
          <w:p w14:paraId="61FA1E55" w14:textId="77777777" w:rsidR="00780580" w:rsidRPr="00780580" w:rsidRDefault="00780580" w:rsidP="00BC095F">
            <w:pPr>
              <w:jc w:val="center"/>
              <w:rPr>
                <w:rFonts w:ascii="Bookman Old Style" w:hAnsi="Bookman Old Style"/>
                <w:b/>
                <w:i/>
              </w:rPr>
            </w:pPr>
            <w:r w:rsidRPr="00780580">
              <w:rPr>
                <w:rFonts w:ascii="Bookman Old Style" w:hAnsi="Bookman Old Style"/>
                <w:b/>
                <w:i/>
              </w:rPr>
              <w:t>Publicidad</w:t>
            </w:r>
          </w:p>
        </w:tc>
      </w:tr>
      <w:tr w:rsidR="00780580" w:rsidRPr="00780580" w14:paraId="5B64B303" w14:textId="77777777" w:rsidTr="00BC095F">
        <w:trPr>
          <w:trHeight w:val="20"/>
        </w:trPr>
        <w:tc>
          <w:tcPr>
            <w:tcW w:w="2978" w:type="dxa"/>
            <w:vAlign w:val="center"/>
          </w:tcPr>
          <w:p w14:paraId="37117296" w14:textId="77777777" w:rsidR="00780580" w:rsidRPr="00780580" w:rsidRDefault="00780580" w:rsidP="00BC095F">
            <w:pPr>
              <w:jc w:val="center"/>
              <w:rPr>
                <w:rFonts w:ascii="Bookman Old Style" w:hAnsi="Bookman Old Style"/>
              </w:rPr>
            </w:pPr>
            <w:r w:rsidRPr="00780580">
              <w:rPr>
                <w:rFonts w:ascii="Bookman Old Style" w:hAnsi="Bookman Old Style"/>
              </w:rPr>
              <w:t>Prohibida</w:t>
            </w:r>
          </w:p>
        </w:tc>
        <w:tc>
          <w:tcPr>
            <w:tcW w:w="4111" w:type="dxa"/>
            <w:vAlign w:val="center"/>
          </w:tcPr>
          <w:p w14:paraId="3365B318" w14:textId="77777777" w:rsidR="00780580" w:rsidRPr="00780580" w:rsidRDefault="00780580" w:rsidP="00BC095F">
            <w:pPr>
              <w:jc w:val="center"/>
              <w:rPr>
                <w:rFonts w:ascii="Bookman Old Style" w:hAnsi="Bookman Old Style"/>
              </w:rPr>
            </w:pPr>
            <w:r w:rsidRPr="00780580">
              <w:rPr>
                <w:rFonts w:ascii="Bookman Old Style" w:hAnsi="Bookman Old Style"/>
              </w:rPr>
              <w:t>Regulada</w:t>
            </w:r>
          </w:p>
        </w:tc>
        <w:tc>
          <w:tcPr>
            <w:tcW w:w="2787" w:type="dxa"/>
            <w:vAlign w:val="center"/>
          </w:tcPr>
          <w:p w14:paraId="5F9467F3" w14:textId="77777777" w:rsidR="00780580" w:rsidRPr="00780580" w:rsidRDefault="00780580" w:rsidP="00BC095F">
            <w:pPr>
              <w:jc w:val="center"/>
              <w:rPr>
                <w:rFonts w:ascii="Bookman Old Style" w:hAnsi="Bookman Old Style"/>
              </w:rPr>
            </w:pPr>
            <w:r w:rsidRPr="00780580">
              <w:rPr>
                <w:rFonts w:ascii="Bookman Old Style" w:hAnsi="Bookman Old Style"/>
              </w:rPr>
              <w:t>Prohibida</w:t>
            </w:r>
          </w:p>
        </w:tc>
      </w:tr>
      <w:tr w:rsidR="00780580" w:rsidRPr="00780580" w14:paraId="10DAB3BF" w14:textId="77777777" w:rsidTr="00BC095F">
        <w:trPr>
          <w:trHeight w:val="20"/>
        </w:trPr>
        <w:tc>
          <w:tcPr>
            <w:tcW w:w="9876" w:type="dxa"/>
            <w:gridSpan w:val="3"/>
            <w:shd w:val="clear" w:color="auto" w:fill="D9D9D9" w:themeFill="background1" w:themeFillShade="D9"/>
            <w:vAlign w:val="center"/>
          </w:tcPr>
          <w:p w14:paraId="41345CD8" w14:textId="77777777" w:rsidR="00780580" w:rsidRPr="00780580" w:rsidRDefault="00780580" w:rsidP="00BC095F">
            <w:pPr>
              <w:jc w:val="center"/>
              <w:rPr>
                <w:rFonts w:ascii="Bookman Old Style" w:hAnsi="Bookman Old Style"/>
                <w:b/>
                <w:i/>
              </w:rPr>
            </w:pPr>
            <w:r w:rsidRPr="00780580">
              <w:rPr>
                <w:rFonts w:ascii="Bookman Old Style" w:hAnsi="Bookman Old Style"/>
                <w:b/>
                <w:i/>
              </w:rPr>
              <w:t>Fiscalidad</w:t>
            </w:r>
          </w:p>
        </w:tc>
      </w:tr>
      <w:tr w:rsidR="00780580" w:rsidRPr="00780580" w14:paraId="46C8E17A" w14:textId="77777777" w:rsidTr="00BC095F">
        <w:trPr>
          <w:trHeight w:val="20"/>
        </w:trPr>
        <w:tc>
          <w:tcPr>
            <w:tcW w:w="2978" w:type="dxa"/>
            <w:vAlign w:val="center"/>
          </w:tcPr>
          <w:p w14:paraId="312E61BB" w14:textId="77777777" w:rsidR="00780580" w:rsidRPr="00780580" w:rsidRDefault="00780580" w:rsidP="00BC095F">
            <w:pPr>
              <w:pStyle w:val="Ttulo2"/>
              <w:ind w:left="0" w:right="200"/>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Precio de licencia + 20% IVA en suspenso (no se traslada al precio final de venta al público).</w:t>
            </w:r>
          </w:p>
        </w:tc>
        <w:tc>
          <w:tcPr>
            <w:tcW w:w="4111" w:type="dxa"/>
            <w:vAlign w:val="center"/>
          </w:tcPr>
          <w:p w14:paraId="5B681760"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Impuestos municipales (variables)</w:t>
            </w:r>
          </w:p>
          <w:p w14:paraId="4355B2EA"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Impuestos indirectos</w:t>
            </w:r>
          </w:p>
          <w:p w14:paraId="49BD8A35"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w:t>
            </w:r>
            <w:r w:rsidRPr="00780580">
              <w:rPr>
                <w:rFonts w:ascii="Bookman Old Style" w:eastAsia="Calibri" w:hAnsi="Bookman Old Style" w:cs="Calibri"/>
                <w:b w:val="0"/>
                <w:i/>
                <w:sz w:val="22"/>
                <w:szCs w:val="22"/>
              </w:rPr>
              <w:t>Excise taxes):</w:t>
            </w:r>
            <w:r w:rsidRPr="00780580">
              <w:rPr>
                <w:rFonts w:ascii="Bookman Old Style" w:eastAsia="Calibri" w:hAnsi="Bookman Old Style" w:cs="Calibri"/>
                <w:b w:val="0"/>
                <w:sz w:val="22"/>
                <w:szCs w:val="22"/>
              </w:rPr>
              <w:t xml:space="preserve"> 15% IVA especial</w:t>
            </w:r>
          </w:p>
          <w:p w14:paraId="076BECDF"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i/>
                <w:sz w:val="22"/>
                <w:szCs w:val="22"/>
              </w:rPr>
              <w:t>(Sales tax):</w:t>
            </w:r>
            <w:r w:rsidRPr="00780580">
              <w:rPr>
                <w:rFonts w:ascii="Bookman Old Style" w:eastAsia="Calibri" w:hAnsi="Bookman Old Style" w:cs="Calibri"/>
                <w:b w:val="0"/>
                <w:sz w:val="22"/>
                <w:szCs w:val="22"/>
              </w:rPr>
              <w:t xml:space="preserve"> 10%</w:t>
            </w:r>
          </w:p>
          <w:p w14:paraId="526AE3C7"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hAnsi="Bookman Old Style"/>
                <w:sz w:val="22"/>
                <w:szCs w:val="22"/>
              </w:rPr>
            </w:pPr>
            <w:r w:rsidRPr="00780580">
              <w:rPr>
                <w:rFonts w:ascii="Bookman Old Style" w:eastAsia="Calibri" w:hAnsi="Bookman Old Style" w:cs="Calibri"/>
                <w:b w:val="0"/>
                <w:sz w:val="22"/>
                <w:szCs w:val="22"/>
              </w:rPr>
              <w:t>IVA estatal: 2,9%</w:t>
            </w:r>
          </w:p>
        </w:tc>
        <w:tc>
          <w:tcPr>
            <w:tcW w:w="2787" w:type="dxa"/>
            <w:vAlign w:val="center"/>
          </w:tcPr>
          <w:p w14:paraId="69B12F0B" w14:textId="77777777" w:rsidR="00780580" w:rsidRPr="00780580" w:rsidRDefault="00780580" w:rsidP="00BC095F">
            <w:pPr>
              <w:rPr>
                <w:rFonts w:ascii="Bookman Old Style" w:hAnsi="Bookman Old Style"/>
              </w:rPr>
            </w:pPr>
            <w:r w:rsidRPr="00780580">
              <w:rPr>
                <w:rFonts w:ascii="Bookman Old Style" w:hAnsi="Bookman Old Style"/>
              </w:rPr>
              <w:t>Existen dos tipos de impuestos:</w:t>
            </w:r>
          </w:p>
          <w:p w14:paraId="4D66AC76" w14:textId="77777777" w:rsidR="00780580" w:rsidRPr="00780580" w:rsidRDefault="00780580" w:rsidP="00BC095F">
            <w:pPr>
              <w:jc w:val="center"/>
              <w:rPr>
                <w:rFonts w:ascii="Bookman Old Style" w:hAnsi="Bookman Old Style"/>
              </w:rPr>
            </w:pPr>
          </w:p>
          <w:p w14:paraId="76F3012E"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Nacional. Se implementa un impuesto consistente en el pago de 1 dólar canadiense por gramo o del 10% del precio de venta final, dependiendo de cuál sea el más elevado.</w:t>
            </w:r>
          </w:p>
          <w:p w14:paraId="63814B81" w14:textId="77777777" w:rsidR="00780580" w:rsidRPr="00780580" w:rsidRDefault="00780580" w:rsidP="00BC095F">
            <w:pPr>
              <w:jc w:val="center"/>
              <w:rPr>
                <w:rFonts w:ascii="Bookman Old Style" w:hAnsi="Bookman Old Style"/>
              </w:rPr>
            </w:pPr>
          </w:p>
          <w:p w14:paraId="723A6F33"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Provincial. Se implementa el impuesto de venta de cualquier producto que varía entre el 13 y el 15%.</w:t>
            </w:r>
          </w:p>
        </w:tc>
      </w:tr>
      <w:tr w:rsidR="00780580" w:rsidRPr="00780580" w14:paraId="545E03E9" w14:textId="77777777" w:rsidTr="00BC095F">
        <w:trPr>
          <w:trHeight w:val="20"/>
        </w:trPr>
        <w:tc>
          <w:tcPr>
            <w:tcW w:w="9876" w:type="dxa"/>
            <w:gridSpan w:val="3"/>
            <w:shd w:val="clear" w:color="auto" w:fill="D9D9D9" w:themeFill="background1" w:themeFillShade="D9"/>
            <w:vAlign w:val="center"/>
          </w:tcPr>
          <w:p w14:paraId="237ED92B" w14:textId="77777777" w:rsidR="00780580" w:rsidRPr="00780580" w:rsidRDefault="00780580" w:rsidP="00BC095F">
            <w:pPr>
              <w:jc w:val="center"/>
              <w:rPr>
                <w:rFonts w:ascii="Bookman Old Style" w:hAnsi="Bookman Old Style"/>
                <w:b/>
                <w:i/>
              </w:rPr>
            </w:pPr>
            <w:r w:rsidRPr="00780580">
              <w:rPr>
                <w:rFonts w:ascii="Bookman Old Style" w:hAnsi="Bookman Old Style"/>
                <w:b/>
                <w:i/>
              </w:rPr>
              <w:t>Destinación de recursos recaudados</w:t>
            </w:r>
          </w:p>
        </w:tc>
      </w:tr>
      <w:tr w:rsidR="00780580" w:rsidRPr="00780580" w14:paraId="5E5BF6C3" w14:textId="77777777" w:rsidTr="00BC095F">
        <w:trPr>
          <w:trHeight w:val="20"/>
        </w:trPr>
        <w:tc>
          <w:tcPr>
            <w:tcW w:w="2978" w:type="dxa"/>
            <w:vAlign w:val="center"/>
          </w:tcPr>
          <w:p w14:paraId="35C8F1D0" w14:textId="77777777" w:rsidR="00780580" w:rsidRPr="00780580" w:rsidRDefault="00780580" w:rsidP="00BC095F">
            <w:pPr>
              <w:jc w:val="both"/>
              <w:rPr>
                <w:rFonts w:ascii="Bookman Old Style" w:hAnsi="Bookman Old Style"/>
              </w:rPr>
            </w:pPr>
            <w:r w:rsidRPr="00780580">
              <w:rPr>
                <w:rFonts w:ascii="Bookman Old Style" w:eastAsia="Calibri" w:hAnsi="Bookman Old Style" w:cs="Calibri"/>
              </w:rPr>
              <w:t>Sistema educativo y Sistema de salud.</w:t>
            </w:r>
          </w:p>
        </w:tc>
        <w:tc>
          <w:tcPr>
            <w:tcW w:w="4111" w:type="dxa"/>
            <w:vAlign w:val="center"/>
          </w:tcPr>
          <w:p w14:paraId="78F18F2D" w14:textId="77777777" w:rsidR="00780580" w:rsidRPr="00780580" w:rsidRDefault="00780580" w:rsidP="00BC095F">
            <w:pPr>
              <w:pStyle w:val="Ttulo2"/>
              <w:ind w:left="0" w:right="200"/>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Impuestos indirectos.</w:t>
            </w:r>
          </w:p>
          <w:p w14:paraId="660EB0A6"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Primeros 40 millones van a Fondo para la construcción de escuelas. Después de los 40 millones se destinan a Fondo de Efectivo de Marihuana (</w:t>
            </w:r>
            <w:r w:rsidRPr="00780580">
              <w:rPr>
                <w:rFonts w:ascii="Bookman Old Style" w:eastAsia="Calibri" w:hAnsi="Bookman Old Style" w:cs="Calibri"/>
                <w:b w:val="0"/>
                <w:i/>
                <w:sz w:val="22"/>
                <w:szCs w:val="22"/>
              </w:rPr>
              <w:t>Marihuana Cash Fund</w:t>
            </w:r>
            <w:r w:rsidRPr="00780580">
              <w:rPr>
                <w:rFonts w:ascii="Bookman Old Style" w:eastAsia="Calibri" w:hAnsi="Bookman Old Style" w:cs="Calibri"/>
                <w:b w:val="0"/>
                <w:sz w:val="22"/>
                <w:szCs w:val="22"/>
              </w:rPr>
              <w:t>).</w:t>
            </w:r>
          </w:p>
        </w:tc>
        <w:tc>
          <w:tcPr>
            <w:tcW w:w="2787" w:type="dxa"/>
            <w:vAlign w:val="center"/>
          </w:tcPr>
          <w:p w14:paraId="5C9BC185" w14:textId="77777777" w:rsidR="00780580" w:rsidRPr="00780580" w:rsidRDefault="00780580" w:rsidP="00BC095F">
            <w:pPr>
              <w:jc w:val="both"/>
              <w:rPr>
                <w:rFonts w:ascii="Bookman Old Style" w:hAnsi="Bookman Old Style"/>
              </w:rPr>
            </w:pPr>
            <w:r w:rsidRPr="00780580">
              <w:rPr>
                <w:rFonts w:ascii="Bookman Old Style" w:hAnsi="Bookman Old Style"/>
              </w:rPr>
              <w:t>No se ha establecido destinación específica.</w:t>
            </w:r>
          </w:p>
        </w:tc>
      </w:tr>
      <w:tr w:rsidR="00780580" w:rsidRPr="00780580" w14:paraId="3FA53596" w14:textId="77777777" w:rsidTr="00BC095F">
        <w:trPr>
          <w:trHeight w:val="20"/>
        </w:trPr>
        <w:tc>
          <w:tcPr>
            <w:tcW w:w="9876" w:type="dxa"/>
            <w:gridSpan w:val="3"/>
            <w:shd w:val="clear" w:color="auto" w:fill="D9D9D9" w:themeFill="background1" w:themeFillShade="D9"/>
            <w:vAlign w:val="center"/>
          </w:tcPr>
          <w:p w14:paraId="091682D1" w14:textId="77777777" w:rsidR="00780580" w:rsidRPr="00780580" w:rsidRDefault="00780580" w:rsidP="00BC095F">
            <w:pPr>
              <w:jc w:val="center"/>
              <w:rPr>
                <w:rFonts w:ascii="Bookman Old Style" w:hAnsi="Bookman Old Style"/>
                <w:b/>
                <w:i/>
              </w:rPr>
            </w:pPr>
            <w:r w:rsidRPr="00780580">
              <w:rPr>
                <w:rFonts w:ascii="Bookman Old Style" w:hAnsi="Bookman Old Style"/>
                <w:b/>
                <w:i/>
              </w:rPr>
              <w:t>Prevención</w:t>
            </w:r>
          </w:p>
        </w:tc>
      </w:tr>
      <w:tr w:rsidR="00780580" w:rsidRPr="00780580" w14:paraId="76D14D72" w14:textId="77777777" w:rsidTr="00BC095F">
        <w:trPr>
          <w:trHeight w:val="20"/>
        </w:trPr>
        <w:tc>
          <w:tcPr>
            <w:tcW w:w="2978" w:type="dxa"/>
            <w:vAlign w:val="center"/>
          </w:tcPr>
          <w:p w14:paraId="40059508" w14:textId="77777777" w:rsidR="00780580" w:rsidRPr="00780580" w:rsidRDefault="00780580" w:rsidP="00BC095F">
            <w:pPr>
              <w:jc w:val="both"/>
              <w:rPr>
                <w:rFonts w:ascii="Bookman Old Style" w:hAnsi="Bookman Old Style"/>
              </w:rPr>
            </w:pPr>
            <w:r w:rsidRPr="00780580">
              <w:rPr>
                <w:rFonts w:ascii="Bookman Old Style" w:eastAsia="Calibri" w:hAnsi="Bookman Old Style" w:cs="Calibri"/>
              </w:rPr>
              <w:t>Disciplina obligatoria en el Sistema Nacional de Educación Pública.</w:t>
            </w:r>
          </w:p>
        </w:tc>
        <w:tc>
          <w:tcPr>
            <w:tcW w:w="4111" w:type="dxa"/>
            <w:vAlign w:val="center"/>
          </w:tcPr>
          <w:p w14:paraId="31333012" w14:textId="77777777" w:rsidR="00780580" w:rsidRPr="00780580" w:rsidRDefault="00780580" w:rsidP="00BC095F">
            <w:pPr>
              <w:jc w:val="both"/>
              <w:rPr>
                <w:rFonts w:ascii="Bookman Old Style" w:hAnsi="Bookman Old Style"/>
              </w:rPr>
            </w:pPr>
            <w:r w:rsidRPr="00780580">
              <w:rPr>
                <w:rFonts w:ascii="Bookman Old Style" w:eastAsia="Calibri" w:hAnsi="Bookman Old Style" w:cs="Calibri"/>
              </w:rPr>
              <w:t>Integrada en los programas de prevención de alcohol, tabaco, drogas ilegalizadas y otras sustancias.</w:t>
            </w:r>
          </w:p>
        </w:tc>
        <w:tc>
          <w:tcPr>
            <w:tcW w:w="2787" w:type="dxa"/>
            <w:vAlign w:val="center"/>
          </w:tcPr>
          <w:p w14:paraId="13C7E60D" w14:textId="77777777" w:rsidR="00780580" w:rsidRPr="00780580" w:rsidRDefault="00780580" w:rsidP="00BC095F">
            <w:pPr>
              <w:jc w:val="both"/>
              <w:rPr>
                <w:rFonts w:ascii="Bookman Old Style" w:hAnsi="Bookman Old Style"/>
              </w:rPr>
            </w:pPr>
            <w:r w:rsidRPr="00780580">
              <w:rPr>
                <w:rFonts w:ascii="Bookman Old Style" w:hAnsi="Bookman Old Style"/>
              </w:rPr>
              <w:t>Programas dirigidos por el Ministerio de Salud canadiense en la prevención y uso responsable de las sustancias psicoactivas.</w:t>
            </w:r>
          </w:p>
        </w:tc>
      </w:tr>
    </w:tbl>
    <w:p w14:paraId="56950E9E" w14:textId="38765FB5" w:rsidR="00780580" w:rsidRPr="006127F0" w:rsidRDefault="00780580" w:rsidP="00780580">
      <w:pPr>
        <w:ind w:left="-426"/>
        <w:rPr>
          <w:rFonts w:ascii="Bookman Old Style" w:eastAsia="Calibri" w:hAnsi="Bookman Old Style" w:cs="Calibri"/>
          <w:i/>
          <w:iCs/>
          <w:sz w:val="20"/>
          <w:szCs w:val="20"/>
        </w:rPr>
      </w:pPr>
      <w:r w:rsidRPr="006127F0">
        <w:rPr>
          <w:rFonts w:ascii="Bookman Old Style" w:eastAsia="Calibri" w:hAnsi="Bookman Old Style" w:cs="Calibri"/>
          <w:i/>
          <w:iCs/>
          <w:sz w:val="20"/>
          <w:szCs w:val="20"/>
        </w:rPr>
        <w:t>Fuente: UTL-Juan Fernando Reyes Kuri</w:t>
      </w:r>
    </w:p>
    <w:p w14:paraId="0AC24B7E" w14:textId="77777777" w:rsidR="00AF62CD" w:rsidRPr="00780580" w:rsidRDefault="00AF62CD" w:rsidP="00780580">
      <w:pPr>
        <w:ind w:left="-426"/>
        <w:rPr>
          <w:rFonts w:ascii="Bookman Old Style" w:eastAsia="Calibri" w:hAnsi="Bookman Old Style" w:cs="Calibri"/>
        </w:rPr>
      </w:pPr>
    </w:p>
    <w:p w14:paraId="2F5E9526" w14:textId="77777777" w:rsidR="00780580" w:rsidRPr="00780580" w:rsidRDefault="00780580" w:rsidP="00780580">
      <w:pPr>
        <w:jc w:val="center"/>
        <w:rPr>
          <w:rFonts w:ascii="Bookman Old Style" w:eastAsia="Calibri" w:hAnsi="Bookman Old Style"/>
          <w:b/>
        </w:rPr>
      </w:pPr>
      <w:r w:rsidRPr="00780580">
        <w:rPr>
          <w:rFonts w:ascii="Bookman Old Style" w:eastAsia="Calibri" w:hAnsi="Bookman Old Style"/>
          <w:b/>
        </w:rPr>
        <w:t xml:space="preserve">Tabla 2. </w:t>
      </w:r>
    </w:p>
    <w:p w14:paraId="5A8C8CCC" w14:textId="77777777" w:rsidR="00780580" w:rsidRPr="00780580" w:rsidRDefault="00780580" w:rsidP="00780580">
      <w:pPr>
        <w:jc w:val="center"/>
        <w:rPr>
          <w:rFonts w:ascii="Bookman Old Style" w:eastAsia="Calibri" w:hAnsi="Bookman Old Style"/>
          <w:b/>
        </w:rPr>
      </w:pPr>
      <w:r w:rsidRPr="00780580">
        <w:rPr>
          <w:rFonts w:ascii="Bookman Old Style" w:eastAsia="Calibri" w:hAnsi="Bookman Old Style"/>
          <w:b/>
        </w:rPr>
        <w:t>Medidas implementadas</w:t>
      </w:r>
    </w:p>
    <w:tbl>
      <w:tblPr>
        <w:tblStyle w:val="Tablaconcuadrcula"/>
        <w:tblW w:w="9924" w:type="dxa"/>
        <w:tblInd w:w="-431" w:type="dxa"/>
        <w:tblLook w:val="04A0" w:firstRow="1" w:lastRow="0" w:firstColumn="1" w:lastColumn="0" w:noHBand="0" w:noVBand="1"/>
      </w:tblPr>
      <w:tblGrid>
        <w:gridCol w:w="5104"/>
        <w:gridCol w:w="4820"/>
      </w:tblGrid>
      <w:tr w:rsidR="00780580" w:rsidRPr="00780580" w14:paraId="101B5CA6" w14:textId="77777777" w:rsidTr="00BC095F">
        <w:trPr>
          <w:trHeight w:val="305"/>
        </w:trPr>
        <w:tc>
          <w:tcPr>
            <w:tcW w:w="5104" w:type="dxa"/>
            <w:shd w:val="clear" w:color="auto" w:fill="BFBFBF" w:themeFill="background1" w:themeFillShade="BF"/>
          </w:tcPr>
          <w:p w14:paraId="5D025E93" w14:textId="77777777" w:rsidR="00780580" w:rsidRPr="00780580" w:rsidRDefault="00780580" w:rsidP="00BC095F">
            <w:pPr>
              <w:jc w:val="center"/>
              <w:rPr>
                <w:rFonts w:ascii="Bookman Old Style" w:hAnsi="Bookman Old Style" w:cstheme="majorHAnsi"/>
                <w:b/>
              </w:rPr>
            </w:pPr>
            <w:r w:rsidRPr="00780580">
              <w:rPr>
                <w:rFonts w:ascii="Bookman Old Style" w:hAnsi="Bookman Old Style" w:cstheme="majorHAnsi"/>
                <w:b/>
              </w:rPr>
              <w:t>URUGUAY</w:t>
            </w:r>
          </w:p>
        </w:tc>
        <w:tc>
          <w:tcPr>
            <w:tcW w:w="4820" w:type="dxa"/>
            <w:shd w:val="clear" w:color="auto" w:fill="BFBFBF" w:themeFill="background1" w:themeFillShade="BF"/>
          </w:tcPr>
          <w:p w14:paraId="3EF31FE5" w14:textId="77777777" w:rsidR="00780580" w:rsidRPr="00780580" w:rsidRDefault="00780580" w:rsidP="00BC095F">
            <w:pPr>
              <w:jc w:val="center"/>
              <w:rPr>
                <w:rFonts w:ascii="Bookman Old Style" w:hAnsi="Bookman Old Style" w:cstheme="majorHAnsi"/>
                <w:b/>
              </w:rPr>
            </w:pPr>
            <w:r w:rsidRPr="00780580">
              <w:rPr>
                <w:rFonts w:ascii="Bookman Old Style" w:hAnsi="Bookman Old Style" w:cstheme="majorHAnsi"/>
                <w:b/>
              </w:rPr>
              <w:t>COLORADO - EEUU</w:t>
            </w:r>
          </w:p>
        </w:tc>
      </w:tr>
      <w:tr w:rsidR="00780580" w:rsidRPr="00780580" w14:paraId="281BF2B7" w14:textId="77777777" w:rsidTr="00BC095F">
        <w:trPr>
          <w:trHeight w:val="288"/>
        </w:trPr>
        <w:tc>
          <w:tcPr>
            <w:tcW w:w="5104" w:type="dxa"/>
          </w:tcPr>
          <w:p w14:paraId="04BE1896" w14:textId="77777777" w:rsidR="00780580" w:rsidRPr="00780580" w:rsidRDefault="00780580" w:rsidP="00BC095F">
            <w:pPr>
              <w:jc w:val="both"/>
              <w:rPr>
                <w:rFonts w:ascii="Bookman Old Style" w:hAnsi="Bookman Old Style" w:cstheme="majorHAnsi"/>
              </w:rPr>
            </w:pPr>
            <w:r w:rsidRPr="00780580">
              <w:rPr>
                <w:rFonts w:ascii="Bookman Old Style" w:eastAsia="Calibri" w:hAnsi="Bookman Old Style" w:cstheme="majorHAnsi"/>
              </w:rPr>
              <w:t>Regulación ley.</w:t>
            </w:r>
          </w:p>
        </w:tc>
        <w:tc>
          <w:tcPr>
            <w:tcW w:w="4820" w:type="dxa"/>
          </w:tcPr>
          <w:p w14:paraId="0BC1E286" w14:textId="77777777" w:rsidR="00780580" w:rsidRPr="00780580" w:rsidRDefault="00780580" w:rsidP="00BC095F">
            <w:pPr>
              <w:jc w:val="both"/>
              <w:rPr>
                <w:rFonts w:ascii="Bookman Old Style" w:hAnsi="Bookman Old Style" w:cstheme="majorHAnsi"/>
              </w:rPr>
            </w:pPr>
            <w:r w:rsidRPr="00780580">
              <w:rPr>
                <w:rFonts w:ascii="Bookman Old Style" w:eastAsia="Calibri" w:hAnsi="Bookman Old Style" w:cstheme="majorHAnsi"/>
              </w:rPr>
              <w:t>Regulación de delitos cannabis</w:t>
            </w:r>
          </w:p>
        </w:tc>
      </w:tr>
      <w:tr w:rsidR="00780580" w:rsidRPr="00780580" w14:paraId="07412332" w14:textId="77777777" w:rsidTr="00BC095F">
        <w:trPr>
          <w:trHeight w:val="305"/>
        </w:trPr>
        <w:tc>
          <w:tcPr>
            <w:tcW w:w="5104" w:type="dxa"/>
          </w:tcPr>
          <w:p w14:paraId="533B2D9F" w14:textId="77777777" w:rsidR="00780580" w:rsidRPr="00780580" w:rsidRDefault="00780580" w:rsidP="00BC095F">
            <w:pPr>
              <w:jc w:val="both"/>
              <w:rPr>
                <w:rFonts w:ascii="Bookman Old Style" w:hAnsi="Bookman Old Style" w:cstheme="majorHAnsi"/>
              </w:rPr>
            </w:pPr>
            <w:r w:rsidRPr="00780580">
              <w:rPr>
                <w:rFonts w:ascii="Bookman Old Style" w:eastAsia="Calibri" w:hAnsi="Bookman Old Style" w:cstheme="majorHAnsi"/>
              </w:rPr>
              <w:t>Puesta en marcha de Sistemas de monitoreo y evaluación de la implementación de la ley</w:t>
            </w:r>
          </w:p>
        </w:tc>
        <w:tc>
          <w:tcPr>
            <w:tcW w:w="4820" w:type="dxa"/>
          </w:tcPr>
          <w:p w14:paraId="2052101E" w14:textId="77777777" w:rsidR="00780580" w:rsidRPr="00780580" w:rsidRDefault="00780580" w:rsidP="00BC095F">
            <w:pPr>
              <w:jc w:val="both"/>
              <w:rPr>
                <w:rFonts w:ascii="Bookman Old Style" w:hAnsi="Bookman Old Style" w:cstheme="majorHAnsi"/>
              </w:rPr>
            </w:pPr>
            <w:r w:rsidRPr="00780580">
              <w:rPr>
                <w:rFonts w:ascii="Bookman Old Style" w:eastAsia="Calibri" w:hAnsi="Bookman Old Style" w:cstheme="majorHAnsi"/>
              </w:rPr>
              <w:t>Regulación de establecimientos</w:t>
            </w:r>
          </w:p>
        </w:tc>
      </w:tr>
      <w:tr w:rsidR="00780580" w:rsidRPr="00780580" w14:paraId="5DFE8049" w14:textId="77777777" w:rsidTr="00BC095F">
        <w:trPr>
          <w:trHeight w:val="288"/>
        </w:trPr>
        <w:tc>
          <w:tcPr>
            <w:tcW w:w="5104" w:type="dxa"/>
          </w:tcPr>
          <w:p w14:paraId="68EFF5E6" w14:textId="77777777" w:rsidR="00780580" w:rsidRPr="00780580" w:rsidRDefault="00780580" w:rsidP="00BC095F">
            <w:pPr>
              <w:jc w:val="both"/>
              <w:rPr>
                <w:rFonts w:ascii="Bookman Old Style" w:hAnsi="Bookman Old Style" w:cstheme="majorHAnsi"/>
              </w:rPr>
            </w:pPr>
            <w:r w:rsidRPr="00780580">
              <w:rPr>
                <w:rFonts w:ascii="Bookman Old Style" w:eastAsia="Calibri" w:hAnsi="Bookman Old Style" w:cstheme="majorHAnsi"/>
              </w:rPr>
              <w:t>Formación fuerzas seguridad aduanas</w:t>
            </w:r>
          </w:p>
        </w:tc>
        <w:tc>
          <w:tcPr>
            <w:tcW w:w="4820" w:type="dxa"/>
          </w:tcPr>
          <w:p w14:paraId="58B9765C" w14:textId="77777777" w:rsidR="00780580" w:rsidRPr="00780580" w:rsidRDefault="00780580" w:rsidP="00BC095F">
            <w:pPr>
              <w:jc w:val="both"/>
              <w:rPr>
                <w:rFonts w:ascii="Bookman Old Style" w:hAnsi="Bookman Old Style" w:cstheme="majorHAnsi"/>
              </w:rPr>
            </w:pPr>
            <w:r w:rsidRPr="00780580">
              <w:rPr>
                <w:rFonts w:ascii="Bookman Old Style" w:eastAsia="Calibri" w:hAnsi="Bookman Old Style" w:cstheme="majorHAnsi"/>
              </w:rPr>
              <w:t>Regulación de impuestos</w:t>
            </w:r>
          </w:p>
        </w:tc>
      </w:tr>
      <w:tr w:rsidR="00780580" w:rsidRPr="00780580" w14:paraId="047B0747" w14:textId="77777777" w:rsidTr="00BC095F">
        <w:trPr>
          <w:trHeight w:val="305"/>
        </w:trPr>
        <w:tc>
          <w:tcPr>
            <w:tcW w:w="5104" w:type="dxa"/>
          </w:tcPr>
          <w:p w14:paraId="078C5AB2" w14:textId="77777777" w:rsidR="00780580" w:rsidRPr="00780580" w:rsidRDefault="00780580" w:rsidP="00BC095F">
            <w:pPr>
              <w:jc w:val="both"/>
              <w:rPr>
                <w:rFonts w:ascii="Bookman Old Style" w:hAnsi="Bookman Old Style" w:cstheme="majorHAnsi"/>
              </w:rPr>
            </w:pPr>
            <w:r w:rsidRPr="00780580">
              <w:rPr>
                <w:rFonts w:ascii="Bookman Old Style" w:eastAsia="Calibri" w:hAnsi="Bookman Old Style" w:cstheme="majorHAnsi"/>
              </w:rPr>
              <w:t>Creación programa de capacitación especializada en política de drogas y carrera especializada en políticas de drogas.</w:t>
            </w:r>
          </w:p>
        </w:tc>
        <w:tc>
          <w:tcPr>
            <w:tcW w:w="4820" w:type="dxa"/>
          </w:tcPr>
          <w:p w14:paraId="2E8020E7" w14:textId="77777777" w:rsidR="00780580" w:rsidRPr="00780580" w:rsidRDefault="00780580" w:rsidP="00BC095F">
            <w:pPr>
              <w:jc w:val="both"/>
              <w:rPr>
                <w:rFonts w:ascii="Bookman Old Style" w:hAnsi="Bookman Old Style" w:cstheme="majorHAnsi"/>
              </w:rPr>
            </w:pPr>
            <w:r w:rsidRPr="00780580">
              <w:rPr>
                <w:rFonts w:ascii="Bookman Old Style" w:eastAsia="Calibri" w:hAnsi="Bookman Old Style" w:cstheme="majorHAnsi"/>
              </w:rPr>
              <w:t>Regulación de penas por conducir bajo efectos cannabis</w:t>
            </w:r>
          </w:p>
        </w:tc>
      </w:tr>
      <w:tr w:rsidR="00780580" w:rsidRPr="00780580" w14:paraId="6E7555DA" w14:textId="77777777" w:rsidTr="00BC095F">
        <w:trPr>
          <w:trHeight w:val="288"/>
        </w:trPr>
        <w:tc>
          <w:tcPr>
            <w:tcW w:w="5104" w:type="dxa"/>
          </w:tcPr>
          <w:p w14:paraId="7ED2DB99" w14:textId="77777777" w:rsidR="00780580" w:rsidRPr="00780580" w:rsidRDefault="00780580" w:rsidP="00BC095F">
            <w:pPr>
              <w:jc w:val="both"/>
              <w:rPr>
                <w:rFonts w:ascii="Bookman Old Style" w:hAnsi="Bookman Old Style" w:cstheme="majorHAnsi"/>
              </w:rPr>
            </w:pPr>
            <w:r w:rsidRPr="00780580">
              <w:rPr>
                <w:rFonts w:ascii="Bookman Old Style" w:eastAsia="Calibri" w:hAnsi="Bookman Old Style" w:cstheme="majorHAnsi"/>
              </w:rPr>
              <w:t>Ensayo clínico uso cannabis para deshabituación pasta base</w:t>
            </w:r>
          </w:p>
        </w:tc>
        <w:tc>
          <w:tcPr>
            <w:tcW w:w="4820" w:type="dxa"/>
          </w:tcPr>
          <w:p w14:paraId="7A3F6E3F" w14:textId="77777777" w:rsidR="00780580" w:rsidRPr="00780580" w:rsidRDefault="00780580" w:rsidP="00BC095F">
            <w:pPr>
              <w:jc w:val="both"/>
              <w:rPr>
                <w:rFonts w:ascii="Bookman Old Style" w:hAnsi="Bookman Old Style" w:cstheme="majorHAnsi"/>
              </w:rPr>
            </w:pPr>
            <w:r w:rsidRPr="00780580">
              <w:rPr>
                <w:rFonts w:ascii="Bookman Old Style" w:eastAsia="Calibri" w:hAnsi="Bookman Old Style" w:cstheme="majorHAnsi"/>
              </w:rPr>
              <w:t>Regulación de Estudios sobre efectos cannabis en la salud y sobre acciones y gastos de represión.</w:t>
            </w:r>
          </w:p>
        </w:tc>
      </w:tr>
    </w:tbl>
    <w:p w14:paraId="266B8CD9" w14:textId="77777777" w:rsidR="00780580" w:rsidRPr="006127F0" w:rsidRDefault="00780580" w:rsidP="00780580">
      <w:pPr>
        <w:ind w:left="-426"/>
        <w:rPr>
          <w:rFonts w:ascii="Bookman Old Style" w:eastAsia="Calibri" w:hAnsi="Bookman Old Style" w:cs="Calibri"/>
          <w:i/>
          <w:iCs/>
          <w:sz w:val="20"/>
          <w:szCs w:val="20"/>
        </w:rPr>
      </w:pPr>
      <w:r w:rsidRPr="006127F0">
        <w:rPr>
          <w:rFonts w:ascii="Bookman Old Style" w:eastAsia="Calibri" w:hAnsi="Bookman Old Style" w:cs="Calibri"/>
          <w:i/>
          <w:iCs/>
          <w:sz w:val="20"/>
          <w:szCs w:val="20"/>
        </w:rPr>
        <w:t>Fuente: UTL-Juan Fernando Reyes Kuri</w:t>
      </w:r>
    </w:p>
    <w:p w14:paraId="07073608" w14:textId="77777777" w:rsidR="00780580" w:rsidRPr="00780580" w:rsidRDefault="00780580" w:rsidP="00780580">
      <w:pPr>
        <w:ind w:left="-426"/>
        <w:rPr>
          <w:rFonts w:ascii="Bookman Old Style" w:eastAsia="Calibri" w:hAnsi="Bookman Old Style" w:cs="Calibri"/>
        </w:rPr>
      </w:pPr>
    </w:p>
    <w:p w14:paraId="3AB0722D" w14:textId="47966FF5" w:rsidR="00780580" w:rsidRPr="00780580" w:rsidRDefault="00780580" w:rsidP="00780580">
      <w:pPr>
        <w:jc w:val="both"/>
        <w:rPr>
          <w:rFonts w:ascii="Bookman Old Style" w:eastAsia="Calibri" w:hAnsi="Bookman Old Style"/>
        </w:rPr>
      </w:pPr>
      <w:r w:rsidRPr="00780580">
        <w:rPr>
          <w:rFonts w:ascii="Bookman Old Style" w:eastAsia="Calibri" w:hAnsi="Bookman Old Style"/>
        </w:rPr>
        <w:t xml:space="preserve">Por otra parte, las elecciones de 2020 en Estados Unidos le dieron una victoria al cannabis </w:t>
      </w:r>
      <w:r w:rsidR="009A3BA5">
        <w:rPr>
          <w:rFonts w:ascii="Bookman Old Style" w:eastAsia="Calibri" w:hAnsi="Bookman Old Style"/>
        </w:rPr>
        <w:t>de uso adulto</w:t>
      </w:r>
      <w:r w:rsidRPr="00780580">
        <w:rPr>
          <w:rFonts w:ascii="Bookman Old Style" w:eastAsia="Calibri" w:hAnsi="Bookman Old Style"/>
        </w:rPr>
        <w:t>. Arizona, Montana, Nueva Jersey y Dakota del Sur ahora hacen parte de los estados que aprobaron el consumo de cannabis para adultos.</w:t>
      </w:r>
      <w:r w:rsidRPr="00780580">
        <w:rPr>
          <w:rStyle w:val="Refdenotaalpie"/>
          <w:rFonts w:ascii="Bookman Old Style" w:eastAsia="Calibri" w:hAnsi="Bookman Old Style"/>
        </w:rPr>
        <w:footnoteReference w:id="8"/>
      </w:r>
      <w:r w:rsidRPr="00780580">
        <w:rPr>
          <w:rFonts w:ascii="Bookman Old Style" w:eastAsia="Calibri" w:hAnsi="Bookman Old Style"/>
        </w:rPr>
        <w:t xml:space="preserve"> Así mismo, el 31 de marzo del 2021, el estado de Nueva York legalizo el consumo de cannabis </w:t>
      </w:r>
      <w:r w:rsidR="009A3BA5">
        <w:rPr>
          <w:rFonts w:ascii="Bookman Old Style" w:eastAsia="Calibri" w:hAnsi="Bookman Old Style"/>
        </w:rPr>
        <w:t>de uso adulto</w:t>
      </w:r>
      <w:r w:rsidRPr="00780580">
        <w:rPr>
          <w:rFonts w:ascii="Bookman Old Style" w:eastAsia="Calibri" w:hAnsi="Bookman Old Style"/>
        </w:rPr>
        <w:t>, convirtiéndose en el decimosexto estado que regula su consumo.</w:t>
      </w:r>
    </w:p>
    <w:p w14:paraId="1E18F4B4" w14:textId="5AD6D0A7" w:rsidR="00780580" w:rsidRDefault="00780580" w:rsidP="00780580">
      <w:pPr>
        <w:jc w:val="both"/>
        <w:rPr>
          <w:rFonts w:ascii="Bookman Old Style" w:eastAsia="Calibri" w:hAnsi="Bookman Old Style"/>
        </w:rPr>
      </w:pPr>
    </w:p>
    <w:p w14:paraId="7E0F7320" w14:textId="31C09860" w:rsidR="00AF62CD" w:rsidRDefault="00AF62CD" w:rsidP="00780580">
      <w:pPr>
        <w:jc w:val="both"/>
        <w:rPr>
          <w:rFonts w:ascii="Bookman Old Style" w:eastAsia="Calibri" w:hAnsi="Bookman Old Style"/>
        </w:rPr>
      </w:pPr>
    </w:p>
    <w:p w14:paraId="44A25731" w14:textId="22F7D51C" w:rsidR="00AF62CD" w:rsidRDefault="00AF62CD" w:rsidP="00780580">
      <w:pPr>
        <w:jc w:val="both"/>
        <w:rPr>
          <w:rFonts w:ascii="Bookman Old Style" w:eastAsia="Calibri" w:hAnsi="Bookman Old Style"/>
        </w:rPr>
      </w:pPr>
    </w:p>
    <w:p w14:paraId="18B752A4" w14:textId="4BEA0B49" w:rsidR="00AF62CD" w:rsidRDefault="00AF62CD" w:rsidP="00780580">
      <w:pPr>
        <w:jc w:val="both"/>
        <w:rPr>
          <w:rFonts w:ascii="Bookman Old Style" w:eastAsia="Calibri" w:hAnsi="Bookman Old Style"/>
        </w:rPr>
      </w:pPr>
    </w:p>
    <w:p w14:paraId="6CBFC1B7" w14:textId="13776D4A" w:rsidR="00AF62CD" w:rsidRDefault="00AF62CD" w:rsidP="00780580">
      <w:pPr>
        <w:jc w:val="both"/>
        <w:rPr>
          <w:rFonts w:ascii="Bookman Old Style" w:eastAsia="Calibri" w:hAnsi="Bookman Old Style"/>
        </w:rPr>
      </w:pPr>
    </w:p>
    <w:p w14:paraId="67A86142" w14:textId="41A815B7" w:rsidR="00AF62CD" w:rsidRDefault="00AF62CD" w:rsidP="00780580">
      <w:pPr>
        <w:jc w:val="both"/>
        <w:rPr>
          <w:rFonts w:ascii="Bookman Old Style" w:eastAsia="Calibri" w:hAnsi="Bookman Old Style"/>
        </w:rPr>
      </w:pPr>
    </w:p>
    <w:p w14:paraId="6855E72B" w14:textId="429246B8" w:rsidR="00AF62CD" w:rsidRDefault="00AF62CD" w:rsidP="00780580">
      <w:pPr>
        <w:jc w:val="both"/>
        <w:rPr>
          <w:rFonts w:ascii="Bookman Old Style" w:eastAsia="Calibri" w:hAnsi="Bookman Old Style"/>
        </w:rPr>
      </w:pPr>
    </w:p>
    <w:p w14:paraId="00AFE27B" w14:textId="76902FCB" w:rsidR="00AF62CD" w:rsidRDefault="00AF62CD" w:rsidP="00780580">
      <w:pPr>
        <w:jc w:val="both"/>
        <w:rPr>
          <w:rFonts w:ascii="Bookman Old Style" w:eastAsia="Calibri" w:hAnsi="Bookman Old Style"/>
        </w:rPr>
      </w:pPr>
    </w:p>
    <w:p w14:paraId="148677E9" w14:textId="77777777" w:rsidR="00AF62CD" w:rsidRPr="00780580" w:rsidRDefault="00AF62CD" w:rsidP="00780580">
      <w:pPr>
        <w:jc w:val="both"/>
        <w:rPr>
          <w:rFonts w:ascii="Bookman Old Style" w:eastAsia="Calibri" w:hAnsi="Bookman Old Style"/>
        </w:rPr>
      </w:pPr>
    </w:p>
    <w:p w14:paraId="3E705463" w14:textId="77777777" w:rsidR="00780580" w:rsidRPr="00780580" w:rsidRDefault="00780580" w:rsidP="00780580">
      <w:pPr>
        <w:jc w:val="center"/>
        <w:rPr>
          <w:rFonts w:ascii="Bookman Old Style" w:eastAsia="Calibri" w:hAnsi="Bookman Old Style"/>
          <w:b/>
          <w:bCs/>
        </w:rPr>
      </w:pPr>
      <w:r w:rsidRPr="00780580">
        <w:rPr>
          <w:rFonts w:ascii="Bookman Old Style" w:eastAsia="Calibri" w:hAnsi="Bookman Old Style"/>
          <w:noProof/>
        </w:rPr>
        <w:drawing>
          <wp:anchor distT="0" distB="0" distL="114300" distR="114300" simplePos="0" relativeHeight="251659264" behindDoc="0" locked="0" layoutInCell="1" allowOverlap="1" wp14:anchorId="75E497FA" wp14:editId="5DA736D2">
            <wp:simplePos x="0" y="0"/>
            <wp:positionH relativeFrom="margin">
              <wp:align>center</wp:align>
            </wp:positionH>
            <wp:positionV relativeFrom="paragraph">
              <wp:posOffset>245511</wp:posOffset>
            </wp:positionV>
            <wp:extent cx="4746458" cy="3148585"/>
            <wp:effectExtent l="0" t="0" r="0" b="0"/>
            <wp:wrapTopAndBottom/>
            <wp:docPr id="3" name="Imagen 3" descr="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Mapa&#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46458" cy="3148585"/>
                    </a:xfrm>
                    <a:prstGeom prst="rect">
                      <a:avLst/>
                    </a:prstGeom>
                  </pic:spPr>
                </pic:pic>
              </a:graphicData>
            </a:graphic>
          </wp:anchor>
        </w:drawing>
      </w:r>
      <w:r w:rsidRPr="00780580">
        <w:rPr>
          <w:rFonts w:ascii="Bookman Old Style" w:eastAsia="Calibri" w:hAnsi="Bookman Old Style"/>
          <w:b/>
          <w:bCs/>
        </w:rPr>
        <w:t>Gráfico 1. Industria del cannabis en Estados Unidos</w:t>
      </w:r>
    </w:p>
    <w:p w14:paraId="7662403D" w14:textId="77777777" w:rsidR="00780580" w:rsidRPr="006127F0" w:rsidRDefault="00780580" w:rsidP="00780580">
      <w:pPr>
        <w:jc w:val="center"/>
        <w:rPr>
          <w:rFonts w:ascii="Bookman Old Style" w:eastAsia="Calibri" w:hAnsi="Bookman Old Style"/>
          <w:i/>
          <w:iCs/>
          <w:sz w:val="20"/>
          <w:szCs w:val="20"/>
        </w:rPr>
      </w:pPr>
      <w:r w:rsidRPr="006127F0">
        <w:rPr>
          <w:rFonts w:ascii="Bookman Old Style" w:eastAsia="Calibri" w:hAnsi="Bookman Old Style"/>
          <w:i/>
          <w:iCs/>
          <w:sz w:val="20"/>
          <w:szCs w:val="20"/>
        </w:rPr>
        <w:t>Fuente: Marijuana Policy Project, gráfico desarrollado por Vox</w:t>
      </w:r>
    </w:p>
    <w:p w14:paraId="3247620A" w14:textId="77777777" w:rsidR="00780580" w:rsidRPr="00780580" w:rsidRDefault="00780580" w:rsidP="00780580">
      <w:pPr>
        <w:jc w:val="both"/>
        <w:rPr>
          <w:rFonts w:ascii="Bookman Old Style" w:eastAsia="Calibri" w:hAnsi="Bookman Old Style"/>
        </w:rPr>
      </w:pPr>
    </w:p>
    <w:p w14:paraId="7788F977" w14:textId="77777777" w:rsidR="00780580" w:rsidRPr="00780580" w:rsidRDefault="00780580" w:rsidP="00780580">
      <w:pPr>
        <w:jc w:val="both"/>
        <w:rPr>
          <w:rFonts w:ascii="Bookman Old Style" w:eastAsia="Calibri" w:hAnsi="Bookman Old Style"/>
        </w:rPr>
      </w:pPr>
      <w:r w:rsidRPr="00780580">
        <w:rPr>
          <w:rFonts w:ascii="Bookman Old Style" w:eastAsia="Calibri" w:hAnsi="Bookman Old Style"/>
        </w:rPr>
        <w:t>En particular, la compañía de análisis e investigación de mercado que se especializa en la industria del cannabis, Brightfield Group, proyecta que, con los nuevos Estados que aprobaron el uso adulto de cannabis y las recientes incorporaciones como lo es el estado de Nueva York, Estados Unidos alcanzará los 45.000 millones de dólares en ventas para 2025.</w:t>
      </w:r>
      <w:r w:rsidRPr="00780580">
        <w:rPr>
          <w:rStyle w:val="Refdenotaalpie"/>
          <w:rFonts w:ascii="Bookman Old Style" w:eastAsia="Calibri" w:hAnsi="Bookman Old Style"/>
        </w:rPr>
        <w:footnoteReference w:id="9"/>
      </w:r>
    </w:p>
    <w:p w14:paraId="5CD73048" w14:textId="77777777" w:rsidR="00780580" w:rsidRPr="00780580" w:rsidRDefault="00780580" w:rsidP="00780580">
      <w:pPr>
        <w:jc w:val="both"/>
        <w:rPr>
          <w:rFonts w:ascii="Bookman Old Style" w:eastAsia="Calibri" w:hAnsi="Bookman Old Style"/>
        </w:rPr>
      </w:pPr>
    </w:p>
    <w:p w14:paraId="46642348" w14:textId="116C1051" w:rsidR="00780580" w:rsidRDefault="00780580" w:rsidP="00780580">
      <w:pPr>
        <w:jc w:val="both"/>
        <w:rPr>
          <w:rFonts w:ascii="Bookman Old Style" w:eastAsia="Calibri" w:hAnsi="Bookman Old Style"/>
        </w:rPr>
      </w:pPr>
      <w:r w:rsidRPr="00780580">
        <w:rPr>
          <w:rFonts w:ascii="Bookman Old Style" w:eastAsia="Calibri" w:hAnsi="Bookman Old Style"/>
        </w:rPr>
        <w:t xml:space="preserve">El caso de México es particular, desde el 28 de junio del 2021 la ley no prohíbe el consumo de cannabis. Precisamente, la Suprema Corte emitió una declaratoria general de inconstitucionalidad sobre la norma que prohíbe el uso </w:t>
      </w:r>
      <w:r w:rsidR="009A3BA5">
        <w:rPr>
          <w:rFonts w:ascii="Bookman Old Style" w:eastAsia="Calibri" w:hAnsi="Bookman Old Style"/>
        </w:rPr>
        <w:t>adulto</w:t>
      </w:r>
      <w:r w:rsidRPr="00780580">
        <w:rPr>
          <w:rFonts w:ascii="Bookman Old Style" w:eastAsia="Calibri" w:hAnsi="Bookman Old Style"/>
        </w:rPr>
        <w:t xml:space="preserve"> de cannabis, anunciando la inexistencia de riesgos colectivos para la salud. Esto a modo comparativo con el resto de las drogas legales, como lo es el alcohol y el tabaco. Así las cosas, se podría interpretar que México es el segundo país de América Latina en aprobar el uso </w:t>
      </w:r>
      <w:r w:rsidR="009A3BA5">
        <w:rPr>
          <w:rFonts w:ascii="Bookman Old Style" w:eastAsia="Calibri" w:hAnsi="Bookman Old Style"/>
        </w:rPr>
        <w:t>adulto</w:t>
      </w:r>
      <w:r w:rsidRPr="00780580">
        <w:rPr>
          <w:rFonts w:ascii="Bookman Old Style" w:eastAsia="Calibri" w:hAnsi="Bookman Old Style"/>
        </w:rPr>
        <w:t xml:space="preserve"> de cannabis y su producción para consumo personal. En consecuencia, el paso a seguir es el desarrollo integral de la regulación del cannabis.</w:t>
      </w:r>
    </w:p>
    <w:p w14:paraId="39574AE6" w14:textId="64E13856" w:rsidR="00AF62CD" w:rsidRDefault="00AF62CD" w:rsidP="00780580">
      <w:pPr>
        <w:jc w:val="both"/>
        <w:rPr>
          <w:rFonts w:ascii="Bookman Old Style" w:eastAsia="Calibri" w:hAnsi="Bookman Old Style"/>
        </w:rPr>
      </w:pPr>
    </w:p>
    <w:p w14:paraId="2F3B32D4" w14:textId="0D19C4F6" w:rsidR="00AF62CD" w:rsidRDefault="00AF62CD" w:rsidP="00780580">
      <w:pPr>
        <w:jc w:val="both"/>
        <w:rPr>
          <w:rFonts w:ascii="Bookman Old Style" w:eastAsia="Calibri" w:hAnsi="Bookman Old Style"/>
        </w:rPr>
      </w:pPr>
    </w:p>
    <w:p w14:paraId="30A5D1F5" w14:textId="64746D82" w:rsidR="00AF62CD" w:rsidRDefault="00AF62CD" w:rsidP="00780580">
      <w:pPr>
        <w:jc w:val="both"/>
        <w:rPr>
          <w:rFonts w:ascii="Bookman Old Style" w:eastAsia="Calibri" w:hAnsi="Bookman Old Style"/>
        </w:rPr>
      </w:pPr>
    </w:p>
    <w:p w14:paraId="6199F555" w14:textId="6A65A74D" w:rsidR="00AF62CD" w:rsidRDefault="00AF62CD" w:rsidP="00780580">
      <w:pPr>
        <w:jc w:val="both"/>
        <w:rPr>
          <w:rFonts w:ascii="Bookman Old Style" w:eastAsia="Calibri" w:hAnsi="Bookman Old Style"/>
        </w:rPr>
      </w:pPr>
    </w:p>
    <w:p w14:paraId="58D0249D" w14:textId="44198D9A" w:rsidR="00AF62CD" w:rsidRDefault="00AF62CD" w:rsidP="00780580">
      <w:pPr>
        <w:jc w:val="both"/>
        <w:rPr>
          <w:rFonts w:ascii="Bookman Old Style" w:eastAsia="Calibri" w:hAnsi="Bookman Old Style"/>
        </w:rPr>
      </w:pPr>
    </w:p>
    <w:p w14:paraId="235A1C5F" w14:textId="52FF30AB" w:rsidR="00AF62CD" w:rsidRDefault="00AF62CD" w:rsidP="00780580">
      <w:pPr>
        <w:jc w:val="both"/>
        <w:rPr>
          <w:rFonts w:ascii="Bookman Old Style" w:eastAsia="Calibri" w:hAnsi="Bookman Old Style"/>
        </w:rPr>
      </w:pPr>
    </w:p>
    <w:p w14:paraId="22FAE6E4" w14:textId="77777777" w:rsidR="00AF62CD" w:rsidRPr="00780580" w:rsidRDefault="00AF62CD" w:rsidP="00780580">
      <w:pPr>
        <w:jc w:val="both"/>
        <w:rPr>
          <w:rFonts w:ascii="Bookman Old Style" w:eastAsia="Calibri" w:hAnsi="Bookman Old Style"/>
        </w:rPr>
      </w:pPr>
    </w:p>
    <w:p w14:paraId="0AAA54EE" w14:textId="77777777" w:rsidR="00780580" w:rsidRPr="00780580" w:rsidRDefault="00780580" w:rsidP="00780580">
      <w:pPr>
        <w:jc w:val="both"/>
        <w:rPr>
          <w:rFonts w:ascii="Bookman Old Style" w:eastAsia="Calibri" w:hAnsi="Bookman Old Style"/>
        </w:rPr>
      </w:pPr>
    </w:p>
    <w:p w14:paraId="4388E4C9" w14:textId="77777777" w:rsidR="00780580" w:rsidRPr="00780580" w:rsidRDefault="00780580" w:rsidP="00780580">
      <w:pPr>
        <w:jc w:val="center"/>
        <w:rPr>
          <w:rFonts w:ascii="Bookman Old Style" w:eastAsia="Calibri" w:hAnsi="Bookman Old Style"/>
          <w:b/>
          <w:bCs/>
        </w:rPr>
      </w:pPr>
      <w:r w:rsidRPr="00780580">
        <w:rPr>
          <w:rFonts w:ascii="Bookman Old Style" w:eastAsia="Calibri" w:hAnsi="Bookman Old Style"/>
          <w:b/>
          <w:bCs/>
        </w:rPr>
        <w:t>Gráfico 2. Legislación sobre el uso del cannabis en América</w:t>
      </w:r>
    </w:p>
    <w:p w14:paraId="75BDC0F1" w14:textId="77777777" w:rsidR="00780580" w:rsidRPr="00780580" w:rsidRDefault="00780580" w:rsidP="00780580">
      <w:pPr>
        <w:jc w:val="center"/>
        <w:rPr>
          <w:rFonts w:ascii="Bookman Old Style" w:eastAsia="Calibri" w:hAnsi="Bookman Old Style"/>
          <w:noProof/>
        </w:rPr>
      </w:pPr>
    </w:p>
    <w:p w14:paraId="0B9FDA29" w14:textId="77777777" w:rsidR="00780580" w:rsidRPr="00780580" w:rsidRDefault="00780580" w:rsidP="00780580">
      <w:pPr>
        <w:jc w:val="center"/>
        <w:rPr>
          <w:rFonts w:ascii="Bookman Old Style" w:eastAsia="Calibri" w:hAnsi="Bookman Old Style"/>
        </w:rPr>
      </w:pPr>
      <w:r w:rsidRPr="00780580">
        <w:rPr>
          <w:rFonts w:ascii="Bookman Old Style" w:eastAsia="Calibri" w:hAnsi="Bookman Old Style"/>
          <w:noProof/>
        </w:rPr>
        <w:drawing>
          <wp:inline distT="0" distB="0" distL="0" distR="0" wp14:anchorId="72EF10CB" wp14:editId="58643B46">
            <wp:extent cx="4253760" cy="4794585"/>
            <wp:effectExtent l="0" t="0" r="0" b="6350"/>
            <wp:docPr id="7" name="Imagen 7" descr="Map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Mapa&#10;&#10;Descripción generada automáticamente con confianza media"/>
                    <pic:cNvPicPr/>
                  </pic:nvPicPr>
                  <pic:blipFill rotWithShape="1">
                    <a:blip r:embed="rId9" cstate="print">
                      <a:extLst>
                        <a:ext uri="{28A0092B-C50C-407E-A947-70E740481C1C}">
                          <a14:useLocalDpi xmlns:a14="http://schemas.microsoft.com/office/drawing/2010/main" val="0"/>
                        </a:ext>
                      </a:extLst>
                    </a:blip>
                    <a:srcRect l="5470" b="5621"/>
                    <a:stretch/>
                  </pic:blipFill>
                  <pic:spPr bwMode="auto">
                    <a:xfrm>
                      <a:off x="0" y="0"/>
                      <a:ext cx="4257888" cy="4799237"/>
                    </a:xfrm>
                    <a:prstGeom prst="rect">
                      <a:avLst/>
                    </a:prstGeom>
                    <a:ln>
                      <a:noFill/>
                    </a:ln>
                    <a:extLst>
                      <a:ext uri="{53640926-AAD7-44D8-BBD7-CCE9431645EC}">
                        <a14:shadowObscured xmlns:a14="http://schemas.microsoft.com/office/drawing/2010/main"/>
                      </a:ext>
                    </a:extLst>
                  </pic:spPr>
                </pic:pic>
              </a:graphicData>
            </a:graphic>
          </wp:inline>
        </w:drawing>
      </w:r>
    </w:p>
    <w:p w14:paraId="0E810D12" w14:textId="77777777" w:rsidR="00780580" w:rsidRPr="00780580" w:rsidRDefault="00780580" w:rsidP="00780580">
      <w:pPr>
        <w:jc w:val="center"/>
        <w:rPr>
          <w:rFonts w:ascii="Bookman Old Style" w:eastAsia="Calibri" w:hAnsi="Bookman Old Style"/>
          <w:i/>
          <w:iCs/>
        </w:rPr>
      </w:pPr>
      <w:r w:rsidRPr="00780580">
        <w:rPr>
          <w:rFonts w:ascii="Bookman Old Style" w:eastAsia="Calibri" w:hAnsi="Bookman Old Style"/>
          <w:i/>
          <w:iCs/>
        </w:rPr>
        <w:t>Fuente: CNNEE.</w:t>
      </w:r>
      <w:r w:rsidRPr="00780580">
        <w:rPr>
          <w:rStyle w:val="Refdenotaalpie"/>
          <w:rFonts w:ascii="Bookman Old Style" w:eastAsia="Calibri" w:hAnsi="Bookman Old Style"/>
          <w:i/>
          <w:iCs/>
        </w:rPr>
        <w:footnoteReference w:id="10"/>
      </w:r>
    </w:p>
    <w:p w14:paraId="07DF2B88" w14:textId="77777777" w:rsidR="00780580" w:rsidRPr="00780580" w:rsidRDefault="00780580" w:rsidP="00780580">
      <w:pPr>
        <w:jc w:val="center"/>
        <w:rPr>
          <w:rFonts w:ascii="Bookman Old Style" w:eastAsia="Calibri" w:hAnsi="Bookman Old Style"/>
          <w:i/>
          <w:iCs/>
        </w:rPr>
      </w:pPr>
    </w:p>
    <w:p w14:paraId="1795B888" w14:textId="3B9BD84D" w:rsidR="00780580" w:rsidRPr="00780580" w:rsidRDefault="00780580" w:rsidP="009A3BA5">
      <w:pPr>
        <w:pStyle w:val="Sinespaciado"/>
        <w:jc w:val="both"/>
        <w:rPr>
          <w:rFonts w:ascii="Bookman Old Style" w:eastAsia="Calibri" w:hAnsi="Bookman Old Style"/>
        </w:rPr>
      </w:pPr>
      <w:r w:rsidRPr="00780580">
        <w:rPr>
          <w:rFonts w:ascii="Bookman Old Style" w:eastAsia="Calibri" w:hAnsi="Bookman Old Style"/>
        </w:rPr>
        <w:t xml:space="preserve">Con lo anterior, se evidencia que al menos siete países en América Latina han aprobado el cannabis con fines medicinales y únicamente dos, México y Uruguay, lo han legalizado con fines </w:t>
      </w:r>
      <w:r w:rsidR="009A3BA5">
        <w:rPr>
          <w:rFonts w:ascii="Bookman Old Style" w:eastAsia="Calibri" w:hAnsi="Bookman Old Style"/>
        </w:rPr>
        <w:t>de uso adulto</w:t>
      </w:r>
      <w:r w:rsidRPr="00780580">
        <w:rPr>
          <w:rFonts w:ascii="Bookman Old Style" w:eastAsia="Calibri" w:hAnsi="Bookman Old Style"/>
        </w:rPr>
        <w:t>.</w:t>
      </w:r>
    </w:p>
    <w:p w14:paraId="65D4EEC1" w14:textId="77777777" w:rsidR="00780580" w:rsidRPr="00780580" w:rsidRDefault="00780580" w:rsidP="00780580">
      <w:pPr>
        <w:jc w:val="both"/>
        <w:rPr>
          <w:rFonts w:ascii="Bookman Old Style" w:eastAsia="Calibri" w:hAnsi="Bookman Old Style"/>
        </w:rPr>
      </w:pPr>
    </w:p>
    <w:p w14:paraId="6863BB95" w14:textId="312D9062" w:rsidR="00780580" w:rsidRPr="00780580" w:rsidRDefault="00780580" w:rsidP="00780580">
      <w:pPr>
        <w:jc w:val="both"/>
        <w:rPr>
          <w:rFonts w:ascii="Bookman Old Style" w:eastAsia="Calibri" w:hAnsi="Bookman Old Style" w:cs="Calibri"/>
          <w:b/>
          <w:bCs/>
        </w:rPr>
      </w:pPr>
      <w:r>
        <w:rPr>
          <w:rFonts w:ascii="Bookman Old Style" w:eastAsia="Calibri" w:hAnsi="Bookman Old Style" w:cs="Calibri"/>
          <w:b/>
          <w:bCs/>
        </w:rPr>
        <w:t>4</w:t>
      </w:r>
      <w:r w:rsidRPr="00780580">
        <w:rPr>
          <w:rFonts w:ascii="Bookman Old Style" w:eastAsia="Calibri" w:hAnsi="Bookman Old Style" w:cs="Calibri"/>
          <w:b/>
          <w:bCs/>
        </w:rPr>
        <w:t>.2.1 IMPACTO ECONÓMICO DE LA REGULACIÓN EN EL CASO INTERNACIONAL</w:t>
      </w:r>
      <w:r w:rsidR="008D6C03">
        <w:rPr>
          <w:rFonts w:ascii="Bookman Old Style" w:eastAsia="Calibri" w:hAnsi="Bookman Old Style" w:cs="Calibri"/>
          <w:b/>
          <w:bCs/>
        </w:rPr>
        <w:t>.</w:t>
      </w:r>
    </w:p>
    <w:p w14:paraId="55204115" w14:textId="77777777" w:rsidR="00780580" w:rsidRPr="00780580" w:rsidRDefault="00780580" w:rsidP="00780580">
      <w:pPr>
        <w:rPr>
          <w:rFonts w:ascii="Bookman Old Style" w:hAnsi="Bookman Old Style"/>
        </w:rPr>
      </w:pPr>
    </w:p>
    <w:p w14:paraId="516DA96E" w14:textId="77777777" w:rsidR="00780580" w:rsidRPr="00780580" w:rsidRDefault="00780580" w:rsidP="00780580">
      <w:pPr>
        <w:jc w:val="both"/>
        <w:rPr>
          <w:rFonts w:ascii="Bookman Old Style" w:hAnsi="Bookman Old Style" w:cs="Calibri"/>
        </w:rPr>
      </w:pPr>
      <w:r w:rsidRPr="00780580">
        <w:rPr>
          <w:rFonts w:ascii="Bookman Old Style" w:hAnsi="Bookman Old Style" w:cs="Calibri"/>
        </w:rPr>
        <w:t>Diferentes aspectos económicos muestran que la regulación del uso adulto del cannabis es un gran incentivo para fortalecer la economía. Si pensamos en impuestos al consumo, estamos mirando una fuente de financiación que puede ser usada para programas sociales de salud y prevención del abuso de sustancias. Además, con la regulación se están generando empleos en el marco de la legalidad e impulsando la economía. Lo cual repercute favorablemente en la lucha para terminar con el mercado negro e ilegal y aliviar el sistema carcelario y judicial y, convertir este flagelo en una política encaminada al desarrollo sostenible del país.</w:t>
      </w:r>
    </w:p>
    <w:p w14:paraId="7709C2E4" w14:textId="77777777" w:rsidR="00780580" w:rsidRPr="00780580" w:rsidRDefault="00780580" w:rsidP="00780580">
      <w:pPr>
        <w:jc w:val="both"/>
        <w:rPr>
          <w:rFonts w:ascii="Bookman Old Style" w:hAnsi="Bookman Old Style" w:cs="Calibri"/>
        </w:rPr>
      </w:pPr>
      <w:r w:rsidRPr="00780580">
        <w:rPr>
          <w:rFonts w:ascii="Bookman Old Style" w:hAnsi="Bookman Old Style" w:cs="Calibri"/>
        </w:rPr>
        <w:t xml:space="preserve"> </w:t>
      </w:r>
    </w:p>
    <w:p w14:paraId="4C868E2D" w14:textId="77777777" w:rsidR="00780580" w:rsidRPr="00780580" w:rsidRDefault="00780580" w:rsidP="00780580">
      <w:pPr>
        <w:pStyle w:val="Sinespaciado"/>
        <w:jc w:val="both"/>
        <w:rPr>
          <w:rFonts w:ascii="Bookman Old Style" w:hAnsi="Bookman Old Style"/>
          <w:b/>
        </w:rPr>
      </w:pPr>
      <w:bookmarkStart w:id="1" w:name="_Toc5023208"/>
      <w:r w:rsidRPr="00780580">
        <w:rPr>
          <w:rFonts w:ascii="Bookman Old Style" w:hAnsi="Bookman Old Style"/>
        </w:rPr>
        <w:t>Así como el alcohol y el tabaco están regulados y pagan impuesto, los impuestos al consumo del cannabis pueden ser una fuente de financiación para Programas Sociales, de Salud y de Prevención de Abuso de Sustancias</w:t>
      </w:r>
      <w:bookmarkEnd w:id="1"/>
      <w:r w:rsidRPr="00780580">
        <w:rPr>
          <w:rFonts w:ascii="Bookman Old Style" w:hAnsi="Bookman Old Style"/>
        </w:rPr>
        <w:t>.</w:t>
      </w:r>
    </w:p>
    <w:p w14:paraId="61093D2C" w14:textId="77777777" w:rsidR="00780580" w:rsidRPr="00780580" w:rsidRDefault="00780580" w:rsidP="00780580">
      <w:pPr>
        <w:jc w:val="both"/>
        <w:rPr>
          <w:rFonts w:ascii="Bookman Old Style" w:hAnsi="Bookman Old Style" w:cs="Calibri"/>
        </w:rPr>
      </w:pPr>
    </w:p>
    <w:p w14:paraId="3A7C9F3F" w14:textId="77777777" w:rsidR="00780580" w:rsidRPr="00780580" w:rsidRDefault="00780580" w:rsidP="00780580">
      <w:pPr>
        <w:jc w:val="both"/>
        <w:rPr>
          <w:rFonts w:ascii="Bookman Old Style" w:hAnsi="Bookman Old Style" w:cs="Calibri"/>
        </w:rPr>
      </w:pPr>
      <w:r w:rsidRPr="00780580">
        <w:rPr>
          <w:rFonts w:ascii="Bookman Old Style" w:hAnsi="Bookman Old Style" w:cs="Calibri"/>
        </w:rPr>
        <w:t>Este mercado en el mundo sigue generando ingresos y creciendo de manera exponencial, según Euromonitor International</w:t>
      </w:r>
      <w:r w:rsidRPr="00780580">
        <w:rPr>
          <w:rStyle w:val="Refdenotaalpie"/>
          <w:rFonts w:ascii="Bookman Old Style" w:hAnsi="Bookman Old Style" w:cs="Calibri"/>
        </w:rPr>
        <w:footnoteReference w:id="11"/>
      </w:r>
      <w:r w:rsidRPr="00780580">
        <w:rPr>
          <w:rFonts w:ascii="Bookman Old Style" w:hAnsi="Bookman Old Style" w:cs="Calibri"/>
        </w:rPr>
        <w:t xml:space="preserve"> el mercado legal de cannabis medicinal del mundo, estimado en 12.000 millones de dólares en 2018, llegará a 166.000 millones de dólares en 2025.</w:t>
      </w:r>
    </w:p>
    <w:p w14:paraId="59F5FAB1" w14:textId="77777777" w:rsidR="00780580" w:rsidRPr="00780580" w:rsidRDefault="00780580" w:rsidP="00780580">
      <w:pPr>
        <w:jc w:val="both"/>
        <w:rPr>
          <w:rFonts w:ascii="Bookman Old Style" w:hAnsi="Bookman Old Style" w:cs="Calibri"/>
        </w:rPr>
      </w:pPr>
      <w:r w:rsidRPr="00780580">
        <w:rPr>
          <w:rFonts w:ascii="Bookman Old Style" w:hAnsi="Bookman Old Style" w:cs="Calibri"/>
        </w:rPr>
        <w:cr/>
        <w:t>De otra parte, los profundos avances en la legislación de distintos países para aprobar su uso medicinal han generado un aumento considerable, pasando de 1,4 toneladas (ton) para el año 2000 a 406,1 ton en 2017 (JIFE, 2018).</w:t>
      </w:r>
      <w:r w:rsidRPr="00780580">
        <w:rPr>
          <w:rStyle w:val="Refdenotaalpie"/>
          <w:rFonts w:ascii="Bookman Old Style" w:hAnsi="Bookman Old Style" w:cs="Calibri"/>
        </w:rPr>
        <w:footnoteReference w:id="12"/>
      </w:r>
    </w:p>
    <w:p w14:paraId="4C9F4B17" w14:textId="77777777" w:rsidR="00780580" w:rsidRPr="00780580" w:rsidRDefault="00780580" w:rsidP="00780580">
      <w:pPr>
        <w:jc w:val="both"/>
        <w:rPr>
          <w:rFonts w:ascii="Bookman Old Style" w:hAnsi="Bookman Old Style" w:cs="Calibri"/>
        </w:rPr>
      </w:pPr>
    </w:p>
    <w:p w14:paraId="161095B0" w14:textId="77777777" w:rsidR="00780580" w:rsidRPr="00780580" w:rsidRDefault="00780580" w:rsidP="00780580">
      <w:pPr>
        <w:jc w:val="both"/>
        <w:rPr>
          <w:rFonts w:ascii="Bookman Old Style" w:hAnsi="Bookman Old Style" w:cs="Calibri"/>
        </w:rPr>
      </w:pPr>
      <w:r w:rsidRPr="00780580">
        <w:rPr>
          <w:rFonts w:ascii="Bookman Old Style" w:hAnsi="Bookman Old Style" w:cs="Calibri"/>
        </w:rPr>
        <w:t>En Estados Unidos la marihuana es legal en los estados de Washington, Oregon, Nevada, California, Alaska, Colorado, Illinois, Michigan, Vermont, Arizona, Nuevo México, Dakota del Sur, Virginia, Nueva York, Nueva Jersey, Connecticut, Massachusetts, Maine y Montana</w:t>
      </w:r>
      <w:r w:rsidRPr="00780580">
        <w:rPr>
          <w:rStyle w:val="Refdenotaalpie"/>
          <w:rFonts w:ascii="Bookman Old Style" w:hAnsi="Bookman Old Style" w:cs="Calibri"/>
        </w:rPr>
        <w:footnoteReference w:id="13"/>
      </w:r>
      <w:r w:rsidRPr="00780580">
        <w:rPr>
          <w:rFonts w:ascii="Bookman Old Style" w:hAnsi="Bookman Old Style" w:cs="Calibri"/>
        </w:rPr>
        <w:t>. En los Estados de Colorado, Washington, Oregón y Alaska, hoy los ingresos por los impuestos en este tema se encuentran por encima de los valores que habían estimado. Como lo muestra el reporte del Drug Policy Alliance (Alianza para Políticas de Drogas) de 2018</w:t>
      </w:r>
      <w:r w:rsidRPr="00780580">
        <w:rPr>
          <w:rStyle w:val="Refdenotaalpie"/>
          <w:rFonts w:ascii="Bookman Old Style" w:hAnsi="Bookman Old Style" w:cs="Calibri"/>
        </w:rPr>
        <w:footnoteReference w:id="14"/>
      </w:r>
      <w:r w:rsidRPr="00780580">
        <w:rPr>
          <w:rFonts w:ascii="Bookman Old Style" w:hAnsi="Bookman Old Style" w:cs="Calibri"/>
        </w:rPr>
        <w:t>, los impuestos recaudados por las ventas de marihuana:</w:t>
      </w:r>
    </w:p>
    <w:p w14:paraId="154B3CBC" w14:textId="77777777" w:rsidR="00780580" w:rsidRPr="00780580" w:rsidRDefault="00780580" w:rsidP="00780580">
      <w:pPr>
        <w:jc w:val="both"/>
        <w:rPr>
          <w:rFonts w:ascii="Bookman Old Style" w:hAnsi="Bookman Old Style"/>
        </w:rPr>
      </w:pPr>
    </w:p>
    <w:p w14:paraId="0265A9D4" w14:textId="77777777" w:rsidR="00780580" w:rsidRPr="00780580" w:rsidRDefault="00780580" w:rsidP="00780580">
      <w:pPr>
        <w:pStyle w:val="Prrafodelista"/>
        <w:numPr>
          <w:ilvl w:val="0"/>
          <w:numId w:val="7"/>
        </w:numPr>
        <w:spacing w:after="0" w:line="240" w:lineRule="auto"/>
        <w:jc w:val="both"/>
        <w:rPr>
          <w:rFonts w:ascii="Bookman Old Style" w:hAnsi="Bookman Old Style" w:cs="Calibri"/>
        </w:rPr>
      </w:pPr>
      <w:r w:rsidRPr="00780580">
        <w:rPr>
          <w:rFonts w:ascii="Bookman Old Style" w:hAnsi="Bookman Old Style" w:cs="Calibri"/>
        </w:rPr>
        <w:t>En Washington generaron ingresos por USD $315 millones en el año fiscal 2016-2017.</w:t>
      </w:r>
    </w:p>
    <w:p w14:paraId="1130DFF8" w14:textId="77777777" w:rsidR="00780580" w:rsidRPr="00780580" w:rsidRDefault="00780580" w:rsidP="00780580">
      <w:pPr>
        <w:pStyle w:val="Prrafodelista"/>
        <w:spacing w:after="0" w:line="240" w:lineRule="auto"/>
        <w:jc w:val="both"/>
        <w:rPr>
          <w:rFonts w:ascii="Bookman Old Style" w:hAnsi="Bookman Old Style" w:cs="Calibri"/>
        </w:rPr>
      </w:pPr>
    </w:p>
    <w:p w14:paraId="1B0CD82F" w14:textId="77777777" w:rsidR="00780580" w:rsidRPr="00780580" w:rsidRDefault="00780580" w:rsidP="00780580">
      <w:pPr>
        <w:pStyle w:val="Prrafodelista"/>
        <w:numPr>
          <w:ilvl w:val="0"/>
          <w:numId w:val="7"/>
        </w:numPr>
        <w:spacing w:after="0" w:line="240" w:lineRule="auto"/>
        <w:jc w:val="both"/>
        <w:rPr>
          <w:rFonts w:ascii="Bookman Old Style" w:hAnsi="Bookman Old Style" w:cs="Calibri"/>
        </w:rPr>
      </w:pPr>
      <w:r w:rsidRPr="00780580">
        <w:rPr>
          <w:rFonts w:ascii="Bookman Old Style" w:hAnsi="Bookman Old Style" w:cs="Calibri"/>
        </w:rPr>
        <w:t>En Colorado las ventas generaron USD $600 millones desde 2014.</w:t>
      </w:r>
    </w:p>
    <w:p w14:paraId="56CE3833" w14:textId="77777777" w:rsidR="00780580" w:rsidRPr="00780580" w:rsidRDefault="00780580" w:rsidP="00780580">
      <w:pPr>
        <w:jc w:val="both"/>
        <w:rPr>
          <w:rFonts w:ascii="Bookman Old Style" w:hAnsi="Bookman Old Style" w:cs="Calibri"/>
        </w:rPr>
      </w:pPr>
    </w:p>
    <w:p w14:paraId="404ECE0D" w14:textId="77777777" w:rsidR="00780580" w:rsidRPr="00780580" w:rsidRDefault="00780580" w:rsidP="00780580">
      <w:pPr>
        <w:pStyle w:val="Prrafodelista"/>
        <w:numPr>
          <w:ilvl w:val="0"/>
          <w:numId w:val="7"/>
        </w:numPr>
        <w:spacing w:after="0" w:line="240" w:lineRule="auto"/>
        <w:jc w:val="both"/>
        <w:rPr>
          <w:rFonts w:ascii="Bookman Old Style" w:hAnsi="Bookman Old Style" w:cs="Calibri"/>
        </w:rPr>
      </w:pPr>
      <w:r w:rsidRPr="00780580">
        <w:rPr>
          <w:rFonts w:ascii="Bookman Old Style" w:hAnsi="Bookman Old Style" w:cs="Calibri"/>
        </w:rPr>
        <w:t>En Oregón, se recaudaron en el periodo fiscal 2016-2017 USD $70 millones, el doble de lo presupuestado inicialmente.</w:t>
      </w:r>
    </w:p>
    <w:p w14:paraId="2A43942D" w14:textId="77777777" w:rsidR="00780580" w:rsidRPr="00780580" w:rsidRDefault="00780580" w:rsidP="00780580">
      <w:pPr>
        <w:jc w:val="both"/>
        <w:rPr>
          <w:rFonts w:ascii="Bookman Old Style" w:hAnsi="Bookman Old Style" w:cs="Calibri"/>
        </w:rPr>
      </w:pPr>
    </w:p>
    <w:p w14:paraId="7D9858D0" w14:textId="77777777" w:rsidR="00780580" w:rsidRPr="00780580" w:rsidRDefault="00780580" w:rsidP="00780580">
      <w:pPr>
        <w:jc w:val="both"/>
        <w:rPr>
          <w:rFonts w:ascii="Bookman Old Style" w:hAnsi="Bookman Old Style" w:cs="Calibri"/>
        </w:rPr>
      </w:pPr>
      <w:r w:rsidRPr="00780580">
        <w:rPr>
          <w:rFonts w:ascii="Bookman Old Style" w:hAnsi="Bookman Old Style" w:cs="Calibri"/>
        </w:rPr>
        <w:t>Así mismo, de acuerdo con el Departamento de Impuestos de California (CDTFE) la industria de cannabis, durante el tercer cuatrimestre de 2019, recaudó 845 millones de dólares en impuestos.</w:t>
      </w:r>
      <w:r w:rsidRPr="00780580">
        <w:rPr>
          <w:rStyle w:val="Refdenotaalpie"/>
          <w:rFonts w:ascii="Bookman Old Style" w:hAnsi="Bookman Old Style" w:cs="Calibri"/>
        </w:rPr>
        <w:footnoteReference w:id="15"/>
      </w:r>
    </w:p>
    <w:p w14:paraId="589414EE" w14:textId="77777777" w:rsidR="00780580" w:rsidRPr="00780580" w:rsidRDefault="00780580" w:rsidP="00780580">
      <w:pPr>
        <w:jc w:val="both"/>
        <w:rPr>
          <w:rFonts w:ascii="Bookman Old Style" w:hAnsi="Bookman Old Style" w:cs="Calibri"/>
        </w:rPr>
      </w:pPr>
    </w:p>
    <w:p w14:paraId="43F3C18E" w14:textId="77777777" w:rsidR="00780580" w:rsidRPr="00780580" w:rsidRDefault="00780580" w:rsidP="00780580">
      <w:pPr>
        <w:jc w:val="both"/>
        <w:rPr>
          <w:rFonts w:ascii="Bookman Old Style" w:hAnsi="Bookman Old Style" w:cs="Calibri"/>
        </w:rPr>
      </w:pPr>
      <w:r w:rsidRPr="00780580">
        <w:rPr>
          <w:rFonts w:ascii="Bookman Old Style" w:hAnsi="Bookman Old Style" w:cs="Calibri"/>
        </w:rPr>
        <w:t>Estos nuevos ingresos han podido ser utilizados para la financiación de programas de educación y política social</w:t>
      </w:r>
      <w:r w:rsidRPr="00780580">
        <w:rPr>
          <w:rStyle w:val="Refdenotaalpie"/>
          <w:rFonts w:ascii="Bookman Old Style" w:hAnsi="Bookman Old Style" w:cs="Calibri"/>
        </w:rPr>
        <w:footnoteReference w:id="16"/>
      </w:r>
      <w:r w:rsidRPr="00780580">
        <w:rPr>
          <w:rFonts w:ascii="Bookman Old Style" w:hAnsi="Bookman Old Style" w:cs="Calibri"/>
        </w:rPr>
        <w:t>:</w:t>
      </w:r>
    </w:p>
    <w:p w14:paraId="79554F48" w14:textId="77777777" w:rsidR="00780580" w:rsidRPr="00780580" w:rsidRDefault="00780580" w:rsidP="00780580">
      <w:pPr>
        <w:jc w:val="both"/>
        <w:rPr>
          <w:rFonts w:ascii="Bookman Old Style" w:hAnsi="Bookman Old Style" w:cs="Calibri"/>
        </w:rPr>
      </w:pPr>
    </w:p>
    <w:p w14:paraId="58CF702C" w14:textId="77777777" w:rsidR="00780580" w:rsidRPr="00780580" w:rsidRDefault="00780580" w:rsidP="00780580">
      <w:pPr>
        <w:pStyle w:val="Prrafodelista"/>
        <w:numPr>
          <w:ilvl w:val="0"/>
          <w:numId w:val="8"/>
        </w:numPr>
        <w:spacing w:after="0" w:line="240" w:lineRule="auto"/>
        <w:jc w:val="both"/>
        <w:rPr>
          <w:rFonts w:ascii="Bookman Old Style" w:hAnsi="Bookman Old Style" w:cs="Calibri"/>
        </w:rPr>
      </w:pPr>
      <w:r w:rsidRPr="00780580">
        <w:rPr>
          <w:rFonts w:ascii="Bookman Old Style" w:hAnsi="Bookman Old Style" w:cs="Calibri"/>
        </w:rPr>
        <w:t>Colorado distribuyó USD $230 millones al Departamento de Educación entre 2015 y 2017, para financiar la construcción de escuelas, programas de alfabetización temprana y de prevención del matoneo.</w:t>
      </w:r>
    </w:p>
    <w:p w14:paraId="290F1AEF" w14:textId="77777777" w:rsidR="00780580" w:rsidRPr="00780580" w:rsidRDefault="00780580" w:rsidP="00780580">
      <w:pPr>
        <w:pStyle w:val="Prrafodelista"/>
        <w:spacing w:after="0" w:line="240" w:lineRule="auto"/>
        <w:jc w:val="both"/>
        <w:rPr>
          <w:rFonts w:ascii="Bookman Old Style" w:hAnsi="Bookman Old Style" w:cs="Calibri"/>
        </w:rPr>
      </w:pPr>
    </w:p>
    <w:p w14:paraId="4388F939" w14:textId="77777777" w:rsidR="00780580" w:rsidRPr="00780580" w:rsidRDefault="00780580" w:rsidP="00780580">
      <w:pPr>
        <w:pStyle w:val="Prrafodelista"/>
        <w:numPr>
          <w:ilvl w:val="0"/>
          <w:numId w:val="8"/>
        </w:numPr>
        <w:spacing w:after="0" w:line="240" w:lineRule="auto"/>
        <w:jc w:val="both"/>
        <w:rPr>
          <w:rFonts w:ascii="Bookman Old Style" w:hAnsi="Bookman Old Style" w:cs="Calibri"/>
        </w:rPr>
      </w:pPr>
      <w:r w:rsidRPr="00780580">
        <w:rPr>
          <w:rFonts w:ascii="Bookman Old Style" w:hAnsi="Bookman Old Style" w:cs="Calibri"/>
        </w:rPr>
        <w:t>Oregón destina un 40% de los ingresos por impuestos a la marihuana para financiar el Fondo Estatal para las Escuelas y un 20% al tratamiento de adicciones al alcohol y las drogas.</w:t>
      </w:r>
    </w:p>
    <w:p w14:paraId="78CDD499" w14:textId="77777777" w:rsidR="00780580" w:rsidRPr="00780580" w:rsidRDefault="00780580" w:rsidP="00780580">
      <w:pPr>
        <w:jc w:val="both"/>
        <w:rPr>
          <w:rFonts w:ascii="Bookman Old Style" w:hAnsi="Bookman Old Style" w:cs="Calibri"/>
        </w:rPr>
      </w:pPr>
    </w:p>
    <w:p w14:paraId="0B61EA12" w14:textId="77777777" w:rsidR="00780580" w:rsidRPr="00780580" w:rsidRDefault="00780580" w:rsidP="00780580">
      <w:pPr>
        <w:pStyle w:val="Prrafodelista"/>
        <w:numPr>
          <w:ilvl w:val="0"/>
          <w:numId w:val="8"/>
        </w:numPr>
        <w:spacing w:after="0" w:line="240" w:lineRule="auto"/>
        <w:jc w:val="both"/>
        <w:rPr>
          <w:rFonts w:ascii="Bookman Old Style" w:hAnsi="Bookman Old Style" w:cs="Calibri"/>
        </w:rPr>
      </w:pPr>
      <w:r w:rsidRPr="00780580">
        <w:rPr>
          <w:rFonts w:ascii="Bookman Old Style" w:hAnsi="Bookman Old Style" w:cs="Calibri"/>
        </w:rPr>
        <w:t>Nevada proyecta invertir el 15% de su recaudo en el Fondo Estatal para las Escuelas, lo cual se espera esté alrededor de USD $56 millones para los próximos dos años.</w:t>
      </w:r>
    </w:p>
    <w:p w14:paraId="465D6B03" w14:textId="77777777" w:rsidR="00780580" w:rsidRPr="00780580" w:rsidRDefault="00780580" w:rsidP="00780580">
      <w:pPr>
        <w:jc w:val="both"/>
        <w:rPr>
          <w:rFonts w:ascii="Bookman Old Style" w:hAnsi="Bookman Old Style" w:cs="Calibri"/>
        </w:rPr>
      </w:pPr>
    </w:p>
    <w:p w14:paraId="08DF2DF5" w14:textId="77777777" w:rsidR="00780580" w:rsidRPr="00780580" w:rsidRDefault="00780580" w:rsidP="00780580">
      <w:pPr>
        <w:pStyle w:val="Prrafodelista"/>
        <w:numPr>
          <w:ilvl w:val="0"/>
          <w:numId w:val="8"/>
        </w:numPr>
        <w:spacing w:after="0" w:line="240" w:lineRule="auto"/>
        <w:jc w:val="both"/>
        <w:rPr>
          <w:rFonts w:ascii="Bookman Old Style" w:hAnsi="Bookman Old Style" w:cs="Calibri"/>
        </w:rPr>
      </w:pPr>
      <w:r w:rsidRPr="00780580">
        <w:rPr>
          <w:rFonts w:ascii="Bookman Old Style" w:hAnsi="Bookman Old Style" w:cs="Calibri"/>
        </w:rPr>
        <w:t>Washington destina el 25% de su recaudo para programas de tratamiento de abuso de substancias, la educación sobre éstas y prevención. Otro 55% se destina a financiar planes básicos de salud.</w:t>
      </w:r>
    </w:p>
    <w:p w14:paraId="74F2B7A3" w14:textId="77777777" w:rsidR="00780580" w:rsidRPr="00780580" w:rsidRDefault="00780580" w:rsidP="00780580">
      <w:pPr>
        <w:jc w:val="both"/>
        <w:rPr>
          <w:rFonts w:ascii="Bookman Old Style" w:hAnsi="Bookman Old Style" w:cs="Calibri"/>
        </w:rPr>
      </w:pPr>
    </w:p>
    <w:p w14:paraId="1E7BEBCB" w14:textId="77777777" w:rsidR="00780580" w:rsidRPr="00780580" w:rsidRDefault="00780580" w:rsidP="00780580">
      <w:pPr>
        <w:pStyle w:val="Prrafodelista"/>
        <w:numPr>
          <w:ilvl w:val="0"/>
          <w:numId w:val="8"/>
        </w:numPr>
        <w:spacing w:after="0" w:line="240" w:lineRule="auto"/>
        <w:jc w:val="both"/>
        <w:rPr>
          <w:rFonts w:ascii="Bookman Old Style" w:hAnsi="Bookman Old Style" w:cs="Calibri"/>
        </w:rPr>
      </w:pPr>
      <w:r w:rsidRPr="00780580">
        <w:rPr>
          <w:rFonts w:ascii="Bookman Old Style" w:hAnsi="Bookman Old Style" w:cs="Calibri"/>
        </w:rPr>
        <w:t>Se espera que, Alaska recoja USD $12 millones anuales que van a ser usados para financiar programas de tratamiento de adicción a las drogas y centros comunitarios residenciales.</w:t>
      </w:r>
    </w:p>
    <w:p w14:paraId="13117CBA" w14:textId="77777777" w:rsidR="00780580" w:rsidRPr="00780580" w:rsidRDefault="00780580" w:rsidP="00780580">
      <w:pPr>
        <w:jc w:val="both"/>
        <w:rPr>
          <w:rFonts w:ascii="Bookman Old Style" w:hAnsi="Bookman Old Style" w:cs="Calibri"/>
        </w:rPr>
      </w:pPr>
    </w:p>
    <w:p w14:paraId="20EAA4F8" w14:textId="77777777" w:rsidR="00780580" w:rsidRPr="00780580" w:rsidRDefault="00780580" w:rsidP="00780580">
      <w:pPr>
        <w:pStyle w:val="Prrafodelista"/>
        <w:numPr>
          <w:ilvl w:val="0"/>
          <w:numId w:val="8"/>
        </w:numPr>
        <w:spacing w:after="0" w:line="240" w:lineRule="auto"/>
        <w:jc w:val="both"/>
        <w:rPr>
          <w:rFonts w:ascii="Bookman Old Style" w:hAnsi="Bookman Old Style" w:cs="Calibri"/>
        </w:rPr>
      </w:pPr>
      <w:r w:rsidRPr="00780580">
        <w:rPr>
          <w:rFonts w:ascii="Bookman Old Style" w:hAnsi="Bookman Old Style" w:cs="Calibri"/>
        </w:rPr>
        <w:t>California y Massachusetts invertirán parte de su recaudo de impuestos en las comunidades más afectadas por arrestos de drogas, encarcelamiento, comunidades de bajos ingresos y para reparar el daño de la aplicación desigual de las políticas de drogas.</w:t>
      </w:r>
    </w:p>
    <w:p w14:paraId="64C776D0" w14:textId="77777777" w:rsidR="00780580" w:rsidRPr="00780580" w:rsidRDefault="00780580" w:rsidP="00780580">
      <w:pPr>
        <w:jc w:val="both"/>
        <w:rPr>
          <w:rFonts w:ascii="Bookman Old Style" w:hAnsi="Bookman Old Style" w:cs="Calibri"/>
        </w:rPr>
      </w:pPr>
    </w:p>
    <w:p w14:paraId="5325F6A8" w14:textId="77777777" w:rsidR="00780580" w:rsidRPr="00780580" w:rsidRDefault="00780580" w:rsidP="00780580">
      <w:pPr>
        <w:jc w:val="both"/>
        <w:rPr>
          <w:rFonts w:ascii="Bookman Old Style" w:hAnsi="Bookman Old Style" w:cs="Calibri"/>
        </w:rPr>
      </w:pPr>
      <w:r w:rsidRPr="00780580">
        <w:rPr>
          <w:rFonts w:ascii="Bookman Old Style" w:hAnsi="Bookman Old Style" w:cs="Calibri"/>
        </w:rPr>
        <w:t>Lo anterior es importante verlo a la luz de las cifras de judicialización, el consumo de marihuana y salud en los Estados que han regulado el consumo adulto, respecto al resto de los Estados en Estados Unidos que no lo han hecho. Por ejemplo:</w:t>
      </w:r>
    </w:p>
    <w:p w14:paraId="727476DA" w14:textId="77777777" w:rsidR="00780580" w:rsidRPr="00780580" w:rsidRDefault="00780580" w:rsidP="00780580">
      <w:pPr>
        <w:jc w:val="both"/>
        <w:rPr>
          <w:rFonts w:ascii="Bookman Old Style" w:hAnsi="Bookman Old Style" w:cs="Calibri"/>
        </w:rPr>
      </w:pPr>
    </w:p>
    <w:p w14:paraId="790071A4" w14:textId="77777777" w:rsidR="00780580" w:rsidRPr="00780580" w:rsidRDefault="00780580" w:rsidP="00780580">
      <w:pPr>
        <w:pStyle w:val="Prrafodelista"/>
        <w:numPr>
          <w:ilvl w:val="0"/>
          <w:numId w:val="9"/>
        </w:numPr>
        <w:spacing w:after="0" w:line="240" w:lineRule="auto"/>
        <w:jc w:val="both"/>
        <w:rPr>
          <w:rFonts w:ascii="Bookman Old Style" w:hAnsi="Bookman Old Style" w:cs="Calibri"/>
        </w:rPr>
      </w:pPr>
      <w:r w:rsidRPr="00780580">
        <w:rPr>
          <w:rFonts w:ascii="Bookman Old Style" w:hAnsi="Bookman Old Style" w:cs="Calibri"/>
        </w:rPr>
        <w:t>En los Estados donde fue regulada la marihuana bajaron significativamente los arrestos por posesión de drogas, ahorrándoles cientos de millones de dólares al Tesoro y antecedentes penales a las personas que los estigmatizarían de por vida.</w:t>
      </w:r>
      <w:r w:rsidRPr="00780580">
        <w:rPr>
          <w:rStyle w:val="Refdenotaalpie"/>
          <w:rFonts w:ascii="Bookman Old Style" w:hAnsi="Bookman Old Style" w:cs="Calibri"/>
        </w:rPr>
        <w:footnoteReference w:id="17"/>
      </w:r>
    </w:p>
    <w:p w14:paraId="2114A8E0" w14:textId="77777777" w:rsidR="00780580" w:rsidRPr="00780580" w:rsidRDefault="00780580" w:rsidP="00780580">
      <w:pPr>
        <w:ind w:left="360"/>
        <w:jc w:val="both"/>
        <w:rPr>
          <w:rFonts w:ascii="Bookman Old Style" w:hAnsi="Bookman Old Style" w:cs="Calibri"/>
        </w:rPr>
      </w:pPr>
    </w:p>
    <w:p w14:paraId="309F5C70" w14:textId="77777777" w:rsidR="00780580" w:rsidRPr="00780580" w:rsidRDefault="00780580" w:rsidP="00780580">
      <w:pPr>
        <w:pStyle w:val="Prrafodelista"/>
        <w:numPr>
          <w:ilvl w:val="0"/>
          <w:numId w:val="9"/>
        </w:numPr>
        <w:spacing w:after="0" w:line="240" w:lineRule="auto"/>
        <w:jc w:val="both"/>
        <w:rPr>
          <w:rFonts w:ascii="Bookman Old Style" w:hAnsi="Bookman Old Style" w:cs="Calibri"/>
        </w:rPr>
      </w:pPr>
      <w:r w:rsidRPr="00780580">
        <w:rPr>
          <w:rFonts w:ascii="Bookman Old Style" w:hAnsi="Bookman Old Style" w:cs="Calibri"/>
        </w:rPr>
        <w:t>El consumo de marihuana entre jóvenes se ha mantenido estable en los Estados que la han regulado. En los Estados de Washington, Colorado y Alaska, la cifra de consumo de marihuana entre estudiantes de secundaria está en línea con el promedio nacional.</w:t>
      </w:r>
      <w:r w:rsidRPr="00780580">
        <w:rPr>
          <w:rStyle w:val="Refdenotaalpie"/>
          <w:rFonts w:ascii="Bookman Old Style" w:hAnsi="Bookman Old Style" w:cs="Calibri"/>
        </w:rPr>
        <w:footnoteReference w:id="18"/>
      </w:r>
    </w:p>
    <w:p w14:paraId="6CA9FDF7" w14:textId="77777777" w:rsidR="00780580" w:rsidRPr="00780580" w:rsidRDefault="00780580" w:rsidP="00780580">
      <w:pPr>
        <w:jc w:val="both"/>
        <w:rPr>
          <w:rFonts w:ascii="Bookman Old Style" w:hAnsi="Bookman Old Style" w:cs="Calibri"/>
        </w:rPr>
      </w:pPr>
    </w:p>
    <w:p w14:paraId="5080DF4C" w14:textId="77777777" w:rsidR="00780580" w:rsidRPr="00780580" w:rsidRDefault="00780580" w:rsidP="00780580">
      <w:pPr>
        <w:pStyle w:val="Prrafodelista"/>
        <w:numPr>
          <w:ilvl w:val="0"/>
          <w:numId w:val="9"/>
        </w:numPr>
        <w:spacing w:after="0" w:line="240" w:lineRule="auto"/>
        <w:jc w:val="both"/>
        <w:rPr>
          <w:rFonts w:ascii="Bookman Old Style" w:hAnsi="Bookman Old Style" w:cs="Calibri"/>
        </w:rPr>
      </w:pPr>
      <w:r w:rsidRPr="00780580">
        <w:rPr>
          <w:rFonts w:ascii="Bookman Old Style" w:hAnsi="Bookman Old Style" w:cs="Calibri"/>
        </w:rPr>
        <w:t>La regulación de la marihuana está relacionada con tasas más bajas de sobredosis y muertes relacionadas a otras drogas más peligrosas como los opioides.</w:t>
      </w:r>
      <w:r w:rsidRPr="00780580">
        <w:rPr>
          <w:rStyle w:val="Refdenotaalpie"/>
          <w:rFonts w:ascii="Bookman Old Style" w:hAnsi="Bookman Old Style" w:cs="Calibri"/>
        </w:rPr>
        <w:footnoteReference w:id="19"/>
      </w:r>
    </w:p>
    <w:p w14:paraId="7B03361B" w14:textId="77777777" w:rsidR="00780580" w:rsidRPr="00780580" w:rsidRDefault="00780580" w:rsidP="00780580">
      <w:pPr>
        <w:jc w:val="both"/>
        <w:rPr>
          <w:rFonts w:ascii="Bookman Old Style" w:hAnsi="Bookman Old Style" w:cs="Calibri"/>
          <w:b/>
        </w:rPr>
      </w:pPr>
    </w:p>
    <w:p w14:paraId="453F9F4C" w14:textId="77777777" w:rsidR="00780580" w:rsidRPr="00780580" w:rsidRDefault="00780580" w:rsidP="00780580">
      <w:pPr>
        <w:pStyle w:val="Prrafodelista"/>
        <w:numPr>
          <w:ilvl w:val="0"/>
          <w:numId w:val="9"/>
        </w:numPr>
        <w:spacing w:after="0" w:line="240" w:lineRule="auto"/>
        <w:jc w:val="both"/>
        <w:rPr>
          <w:rFonts w:ascii="Bookman Old Style" w:hAnsi="Bookman Old Style" w:cs="Calibri"/>
        </w:rPr>
      </w:pPr>
      <w:r w:rsidRPr="00780580">
        <w:rPr>
          <w:rFonts w:ascii="Bookman Old Style" w:hAnsi="Bookman Old Style" w:cs="Calibri"/>
        </w:rPr>
        <w:t>La regulación de la marihuana no ha incremento los arrestos por conducir en estado de intoxicación por alcohol o drogas en los Estados de Colorado y Washington.</w:t>
      </w:r>
      <w:r w:rsidRPr="00780580">
        <w:rPr>
          <w:rStyle w:val="Refdenotaalpie"/>
          <w:rFonts w:ascii="Bookman Old Style" w:hAnsi="Bookman Old Style" w:cs="Calibri"/>
        </w:rPr>
        <w:footnoteReference w:id="20"/>
      </w:r>
    </w:p>
    <w:p w14:paraId="34CEF942" w14:textId="77777777" w:rsidR="00780580" w:rsidRPr="00780580" w:rsidRDefault="00780580" w:rsidP="00780580">
      <w:pPr>
        <w:jc w:val="both"/>
        <w:rPr>
          <w:rFonts w:ascii="Bookman Old Style" w:hAnsi="Bookman Old Style" w:cs="Calibri"/>
        </w:rPr>
      </w:pPr>
    </w:p>
    <w:p w14:paraId="033D19DE" w14:textId="77777777" w:rsidR="00780580" w:rsidRPr="00780580" w:rsidRDefault="00780580" w:rsidP="00780580">
      <w:pPr>
        <w:pStyle w:val="Prrafodelista"/>
        <w:numPr>
          <w:ilvl w:val="0"/>
          <w:numId w:val="9"/>
        </w:numPr>
        <w:spacing w:after="0" w:line="240" w:lineRule="auto"/>
        <w:jc w:val="both"/>
        <w:rPr>
          <w:rFonts w:ascii="Bookman Old Style" w:hAnsi="Bookman Old Style" w:cs="Calibri"/>
        </w:rPr>
      </w:pPr>
      <w:r w:rsidRPr="00780580">
        <w:rPr>
          <w:rFonts w:ascii="Bookman Old Style" w:hAnsi="Bookman Old Style" w:cs="Calibri"/>
        </w:rPr>
        <w:t>No hay tampoco correlación entre los accidentes de tránsito y la regulación. En Colorado y Washington, los accidentes son estadísticamente similares a aquellos sin marihuana legal.</w:t>
      </w:r>
      <w:r w:rsidRPr="00780580">
        <w:rPr>
          <w:rStyle w:val="Refdenotaalpie"/>
          <w:rFonts w:ascii="Bookman Old Style" w:hAnsi="Bookman Old Style" w:cs="Calibri"/>
        </w:rPr>
        <w:footnoteReference w:id="21"/>
      </w:r>
    </w:p>
    <w:p w14:paraId="5A1618A9" w14:textId="77777777" w:rsidR="00780580" w:rsidRPr="00780580" w:rsidRDefault="00780580" w:rsidP="00780580">
      <w:pPr>
        <w:jc w:val="both"/>
        <w:rPr>
          <w:rFonts w:ascii="Bookman Old Style" w:hAnsi="Bookman Old Style" w:cs="Calibri"/>
        </w:rPr>
      </w:pPr>
    </w:p>
    <w:p w14:paraId="1CBD0263" w14:textId="77777777" w:rsidR="00780580" w:rsidRPr="00780580" w:rsidRDefault="00780580" w:rsidP="00780580">
      <w:pPr>
        <w:jc w:val="both"/>
        <w:rPr>
          <w:rFonts w:ascii="Bookman Old Style" w:hAnsi="Bookman Old Style" w:cs="Calibri"/>
          <w:lang w:val="es-ES"/>
        </w:rPr>
      </w:pPr>
      <w:r w:rsidRPr="00780580">
        <w:rPr>
          <w:rFonts w:ascii="Bookman Old Style" w:hAnsi="Bookman Old Style" w:cs="Calibri"/>
          <w:lang w:val="es-ES"/>
        </w:rPr>
        <w:t>Por otra parte, los delitos en Estados Unidos relacionados con cannabis han sido en muchos casos una excusa para fomentar la discriminación racial. En particular, las comunidades negras tienen 3,6 veces más la probabilidad de ser arrestadas por posesión de marihuana en comparación con las personas blancas. Este hecho profundiza las desigualdades económicas entre las comunidades.</w:t>
      </w:r>
      <w:r w:rsidRPr="00780580">
        <w:rPr>
          <w:rStyle w:val="Refdenotaalpie"/>
          <w:rFonts w:ascii="Bookman Old Style" w:hAnsi="Bookman Old Style" w:cs="Calibri"/>
          <w:lang w:val="es-ES"/>
        </w:rPr>
        <w:footnoteReference w:id="22"/>
      </w:r>
    </w:p>
    <w:p w14:paraId="1A11452B" w14:textId="77777777" w:rsidR="00780580" w:rsidRPr="00780580" w:rsidRDefault="00780580" w:rsidP="00780580">
      <w:pPr>
        <w:jc w:val="both"/>
        <w:rPr>
          <w:rFonts w:ascii="Bookman Old Style" w:hAnsi="Bookman Old Style" w:cs="Calibri"/>
          <w:lang w:val="es-ES"/>
        </w:rPr>
      </w:pPr>
    </w:p>
    <w:p w14:paraId="239734C0" w14:textId="77777777" w:rsidR="00780580" w:rsidRPr="00780580" w:rsidRDefault="00780580" w:rsidP="00780580">
      <w:pPr>
        <w:jc w:val="both"/>
        <w:rPr>
          <w:rFonts w:ascii="Bookman Old Style" w:hAnsi="Bookman Old Style" w:cs="Calibri"/>
          <w:lang w:val="es-ES"/>
        </w:rPr>
      </w:pPr>
      <w:r w:rsidRPr="00780580">
        <w:rPr>
          <w:rFonts w:ascii="Bookman Old Style" w:hAnsi="Bookman Old Style" w:cs="Calibri"/>
          <w:lang w:val="es-ES"/>
        </w:rPr>
        <w:t xml:space="preserve">Una de las principales dificultades que enfrenta el sector de la marihuana legal en Estados Unidos es la restricción federal a los bancos de recibir dineros procedentes de negocios de marihuana, así estos sean legales en algunos estados. En 2019 fue aprobada en la cámara de representantes la </w:t>
      </w:r>
      <w:r w:rsidRPr="00780580">
        <w:rPr>
          <w:rFonts w:ascii="Bookman Old Style" w:hAnsi="Bookman Old Style" w:cs="Calibri"/>
          <w:i/>
          <w:lang w:val="es-ES"/>
        </w:rPr>
        <w:t xml:space="preserve">SAFE Banking Act, </w:t>
      </w:r>
      <w:r w:rsidRPr="00780580">
        <w:rPr>
          <w:rFonts w:ascii="Bookman Old Style" w:hAnsi="Bookman Old Style" w:cs="Calibri"/>
          <w:lang w:val="es-ES"/>
        </w:rPr>
        <w:t>la cual permitiría que los bancos reciban dineros lícitos de los negocios de marihuana en los estados donde ésta es legal, y prestarles servicios financieros.</w:t>
      </w:r>
      <w:r w:rsidRPr="00780580">
        <w:rPr>
          <w:rStyle w:val="Refdenotaalpie"/>
          <w:rFonts w:ascii="Bookman Old Style" w:hAnsi="Bookman Old Style" w:cs="Calibri"/>
          <w:lang w:val="es-ES"/>
        </w:rPr>
        <w:footnoteReference w:id="23"/>
      </w:r>
      <w:r w:rsidRPr="00780580">
        <w:rPr>
          <w:rFonts w:ascii="Bookman Old Style" w:hAnsi="Bookman Old Style" w:cs="Calibri"/>
          <w:lang w:val="es-ES"/>
        </w:rPr>
        <w:t xml:space="preserve"> El proyecto de ley ahora se encuentra en trámite en el Senado, donde de ser aprobado, mejoraría significativamente las circunstancias bajo las que operan estos negocios en Estados Unidos.</w:t>
      </w:r>
      <w:r w:rsidRPr="00780580">
        <w:rPr>
          <w:rStyle w:val="Refdenotaalpie"/>
          <w:rFonts w:ascii="Bookman Old Style" w:hAnsi="Bookman Old Style" w:cs="Calibri"/>
          <w:lang w:val="es-ES"/>
        </w:rPr>
        <w:footnoteReference w:id="24"/>
      </w:r>
    </w:p>
    <w:p w14:paraId="7ACF7114" w14:textId="77777777" w:rsidR="00780580" w:rsidRPr="00780580" w:rsidRDefault="00780580" w:rsidP="00780580">
      <w:pPr>
        <w:jc w:val="both"/>
        <w:rPr>
          <w:rFonts w:ascii="Bookman Old Style" w:hAnsi="Bookman Old Style" w:cs="Calibri"/>
        </w:rPr>
      </w:pPr>
    </w:p>
    <w:p w14:paraId="0332097A" w14:textId="77777777" w:rsidR="00780580" w:rsidRPr="00780580" w:rsidRDefault="00780580" w:rsidP="00780580">
      <w:pPr>
        <w:jc w:val="both"/>
        <w:rPr>
          <w:rFonts w:ascii="Bookman Old Style" w:hAnsi="Bookman Old Style" w:cs="Calibri"/>
        </w:rPr>
      </w:pPr>
      <w:r w:rsidRPr="00780580">
        <w:rPr>
          <w:rFonts w:ascii="Bookman Old Style" w:hAnsi="Bookman Old Style" w:cs="Calibri"/>
        </w:rPr>
        <w:t>Es importante resaltar que, de acuerdo con la agencia calificadora de riesgo crediticio Moody´s, los ingresos por impuestos de la regulación de la marihuana recreativa son positivos para los Estados y ciudades de Estados Unidos que han legalizado su consumo.</w:t>
      </w:r>
      <w:r w:rsidRPr="00780580">
        <w:rPr>
          <w:rStyle w:val="Refdenotaalpie"/>
          <w:rFonts w:ascii="Bookman Old Style" w:hAnsi="Bookman Old Style" w:cs="Calibri"/>
        </w:rPr>
        <w:footnoteReference w:id="25"/>
      </w:r>
    </w:p>
    <w:p w14:paraId="31A22E84" w14:textId="77777777" w:rsidR="00780580" w:rsidRPr="00780580" w:rsidRDefault="00780580" w:rsidP="00780580">
      <w:pPr>
        <w:jc w:val="both"/>
        <w:rPr>
          <w:rFonts w:ascii="Bookman Old Style" w:hAnsi="Bookman Old Style" w:cs="Calibri"/>
        </w:rPr>
      </w:pPr>
    </w:p>
    <w:p w14:paraId="35DF4357" w14:textId="77777777" w:rsidR="00780580" w:rsidRPr="00780580" w:rsidRDefault="00780580" w:rsidP="00780580">
      <w:pPr>
        <w:jc w:val="both"/>
        <w:rPr>
          <w:rFonts w:ascii="Bookman Old Style" w:hAnsi="Bookman Old Style" w:cs="Calibri"/>
        </w:rPr>
      </w:pPr>
      <w:r w:rsidRPr="00780580">
        <w:rPr>
          <w:rFonts w:ascii="Bookman Old Style" w:hAnsi="Bookman Old Style" w:cs="Calibri"/>
        </w:rPr>
        <w:t>Entonces, regular es una manera de impulsar la economía y generar empleos dentro del marco legal. En Estados Unidos, el consumo de cannabis adulto se ha vuelto un motor económico, según Drug Policy Alliance (2018)</w:t>
      </w:r>
      <w:r w:rsidRPr="00780580">
        <w:rPr>
          <w:rStyle w:val="Refdenotaalpie"/>
          <w:rFonts w:ascii="Bookman Old Style" w:hAnsi="Bookman Old Style" w:cs="Calibri"/>
        </w:rPr>
        <w:footnoteReference w:id="26"/>
      </w:r>
      <w:r w:rsidRPr="00780580">
        <w:rPr>
          <w:rFonts w:ascii="Bookman Old Style" w:hAnsi="Bookman Old Style" w:cs="Calibri"/>
        </w:rPr>
        <w:t>, la industria de la marihuana ha creado entre 165.000 y 230.000 empleos en ese país, cifra que se espera que crezca cuando más Estados legalicen la marihuana y los mercados cuenten con más actores legales.</w:t>
      </w:r>
    </w:p>
    <w:p w14:paraId="512732BA" w14:textId="77777777" w:rsidR="00780580" w:rsidRPr="00780580" w:rsidRDefault="00780580" w:rsidP="00780580">
      <w:pPr>
        <w:jc w:val="both"/>
        <w:rPr>
          <w:rFonts w:ascii="Bookman Old Style" w:hAnsi="Bookman Old Style" w:cs="Calibri"/>
        </w:rPr>
      </w:pPr>
    </w:p>
    <w:p w14:paraId="67D1E668" w14:textId="77777777" w:rsidR="00780580" w:rsidRPr="00780580" w:rsidRDefault="00780580" w:rsidP="00780580">
      <w:pPr>
        <w:jc w:val="both"/>
        <w:rPr>
          <w:rFonts w:ascii="Bookman Old Style" w:hAnsi="Bookman Old Style" w:cs="Calibri"/>
        </w:rPr>
      </w:pPr>
      <w:r w:rsidRPr="00780580">
        <w:rPr>
          <w:rFonts w:ascii="Bookman Old Style" w:hAnsi="Bookman Old Style" w:cs="Calibri"/>
        </w:rPr>
        <w:t>Además, un reporte del Congresista Norteamericano E. Blumenauer, señala cómo la industria de la marihuana se ha convertido en una de las de mayor crecimiento en Estados Unidos</w:t>
      </w:r>
      <w:r w:rsidRPr="00780580">
        <w:rPr>
          <w:rStyle w:val="Refdenotaalpie"/>
          <w:rFonts w:ascii="Bookman Old Style" w:hAnsi="Bookman Old Style" w:cs="Calibri"/>
        </w:rPr>
        <w:footnoteReference w:id="27"/>
      </w:r>
      <w:r w:rsidRPr="00780580">
        <w:rPr>
          <w:rFonts w:ascii="Bookman Old Style" w:hAnsi="Bookman Old Style" w:cs="Calibri"/>
        </w:rPr>
        <w:t xml:space="preserve">. Pues las ventas crecieron de USD $4,6 billones en 2014 a USD 5,5 billones en 2015, y se estiman en USD 7,2 billones en 2017. También, señala el Congresista que la industria de la marihuana podría producir en Estados Unidos alrededor de 300.000 empleos para 2020 y crecer a un monto cercano a los USD $24 billones. </w:t>
      </w:r>
    </w:p>
    <w:p w14:paraId="7A80FFA4" w14:textId="77777777" w:rsidR="00780580" w:rsidRPr="00780580" w:rsidRDefault="00780580" w:rsidP="00780580">
      <w:pPr>
        <w:jc w:val="both"/>
        <w:rPr>
          <w:rFonts w:ascii="Bookman Old Style" w:hAnsi="Bookman Old Style" w:cs="Calibri"/>
        </w:rPr>
      </w:pPr>
    </w:p>
    <w:p w14:paraId="41DC2AF1" w14:textId="77777777" w:rsidR="00780580" w:rsidRPr="00780580" w:rsidRDefault="00780580" w:rsidP="00780580">
      <w:pPr>
        <w:pStyle w:val="Sinespaciado"/>
        <w:jc w:val="both"/>
        <w:rPr>
          <w:rFonts w:ascii="Bookman Old Style" w:hAnsi="Bookman Old Style"/>
        </w:rPr>
      </w:pPr>
      <w:r w:rsidRPr="00780580">
        <w:rPr>
          <w:rFonts w:ascii="Bookman Old Style" w:hAnsi="Bookman Old Style"/>
        </w:rPr>
        <w:t>Debemos tener en cuenta que, muchos de los recursos generados por la industria de la marihuana en Estados Unidos ahora están ocurriendo en un mercado legal en el cual pagan impuestos y existe una regulación. Lo anterior es de gran importancia, pues permite debilitar estructuras ilegales que se benefician de los mercados generados por la ilegalidad de ciertas sustancias.</w:t>
      </w:r>
    </w:p>
    <w:p w14:paraId="36683CD6" w14:textId="77777777" w:rsidR="00780580" w:rsidRPr="00780580" w:rsidRDefault="00780580" w:rsidP="00780580">
      <w:pPr>
        <w:pStyle w:val="Sinespaciado"/>
        <w:jc w:val="both"/>
        <w:rPr>
          <w:rFonts w:ascii="Bookman Old Style" w:hAnsi="Bookman Old Style"/>
          <w:b/>
        </w:rPr>
      </w:pPr>
      <w:bookmarkStart w:id="2" w:name="_Toc5023212"/>
    </w:p>
    <w:p w14:paraId="57F2BD0D" w14:textId="77777777" w:rsidR="00780580" w:rsidRPr="00780580" w:rsidRDefault="00780580" w:rsidP="00780580">
      <w:pPr>
        <w:pStyle w:val="Sinespaciado"/>
        <w:jc w:val="both"/>
        <w:rPr>
          <w:rFonts w:ascii="Bookman Old Style" w:hAnsi="Bookman Old Style"/>
          <w:b/>
        </w:rPr>
      </w:pPr>
      <w:r w:rsidRPr="00780580">
        <w:rPr>
          <w:rFonts w:ascii="Bookman Old Style" w:hAnsi="Bookman Old Style"/>
        </w:rPr>
        <w:t xml:space="preserve">Por tanto, es importante pensar la regulación como una herramienta para desfinanciar economías ilegales, que en Colombia por más esfuerzos que hemos hecho no se ha podido lograr. </w:t>
      </w:r>
      <w:bookmarkEnd w:id="2"/>
    </w:p>
    <w:p w14:paraId="164B775D" w14:textId="77777777" w:rsidR="00780580" w:rsidRPr="00780580" w:rsidRDefault="00780580" w:rsidP="00780580">
      <w:pPr>
        <w:pStyle w:val="Sinespaciado"/>
        <w:jc w:val="both"/>
        <w:rPr>
          <w:rFonts w:ascii="Bookman Old Style" w:hAnsi="Bookman Old Style"/>
        </w:rPr>
      </w:pPr>
    </w:p>
    <w:p w14:paraId="682EE3E1" w14:textId="4A0C642A" w:rsidR="00780580" w:rsidRPr="00780580" w:rsidRDefault="00780580" w:rsidP="00780580">
      <w:pPr>
        <w:pStyle w:val="Sinespaciado"/>
        <w:jc w:val="both"/>
        <w:rPr>
          <w:rFonts w:ascii="Bookman Old Style" w:hAnsi="Bookman Old Style"/>
        </w:rPr>
      </w:pPr>
      <w:r w:rsidRPr="00780580">
        <w:rPr>
          <w:rFonts w:ascii="Bookman Old Style" w:hAnsi="Bookman Old Style"/>
        </w:rPr>
        <w:t>La regulación del consumo de la marihuana puede ser una herramienta para debilitar las organizaciones delictivas que se benefician de las economías ilegales que se desarrollan alrededor de esta actividad. El primer ministro de Canadá, Justin Trudeau, mencionó en una conferencia económica en 2016, que entre sus dos principales razones para regular la marihuana en Canadá está evitar que billones de billones de dólares vayan a los bolsillos del crimen organizado como parte del comercio ilegal de marihuana en su país, y así reducir significativamente el crimen</w:t>
      </w:r>
      <w:r w:rsidRPr="00780580">
        <w:rPr>
          <w:rStyle w:val="Refdenotaalpie"/>
          <w:rFonts w:ascii="Bookman Old Style" w:hAnsi="Bookman Old Style" w:cs="Calibri"/>
        </w:rPr>
        <w:footnoteReference w:id="28"/>
      </w:r>
      <w:r w:rsidRPr="00780580">
        <w:rPr>
          <w:rFonts w:ascii="Bookman Old Style" w:hAnsi="Bookman Old Style"/>
        </w:rPr>
        <w:t xml:space="preserve">. </w:t>
      </w:r>
    </w:p>
    <w:p w14:paraId="69E9184F" w14:textId="77777777" w:rsidR="00780580" w:rsidRPr="00780580" w:rsidRDefault="00780580" w:rsidP="00780580">
      <w:pPr>
        <w:jc w:val="both"/>
        <w:rPr>
          <w:rFonts w:ascii="Bookman Old Style" w:hAnsi="Bookman Old Style" w:cs="Calibri"/>
        </w:rPr>
      </w:pPr>
    </w:p>
    <w:p w14:paraId="2E568C48" w14:textId="040B5717" w:rsidR="00780580" w:rsidRPr="00780580" w:rsidRDefault="00780580" w:rsidP="00780580">
      <w:pPr>
        <w:jc w:val="both"/>
        <w:rPr>
          <w:rFonts w:ascii="Bookman Old Style" w:hAnsi="Bookman Old Style" w:cs="Calibri"/>
        </w:rPr>
      </w:pPr>
      <w:r w:rsidRPr="00780580">
        <w:rPr>
          <w:rFonts w:ascii="Bookman Old Style" w:hAnsi="Bookman Old Style" w:cs="Calibri"/>
        </w:rPr>
        <w:t>La Comisión Global de Políticas de Drogas</w:t>
      </w:r>
      <w:r w:rsidRPr="00780580">
        <w:rPr>
          <w:rStyle w:val="Refdenotaalpie"/>
          <w:rFonts w:ascii="Bookman Old Style" w:hAnsi="Bookman Old Style" w:cs="Calibri"/>
        </w:rPr>
        <w:footnoteReference w:id="29"/>
      </w:r>
      <w:r w:rsidRPr="00780580">
        <w:rPr>
          <w:rFonts w:ascii="Bookman Old Style" w:hAnsi="Bookman Old Style" w:cs="Calibri"/>
        </w:rPr>
        <w:t>, en su informe “</w:t>
      </w:r>
      <w:r w:rsidRPr="00780580">
        <w:rPr>
          <w:rFonts w:ascii="Bookman Old Style" w:hAnsi="Bookman Old Style" w:cs="Calibri"/>
          <w:i/>
          <w:iCs/>
        </w:rPr>
        <w:t>Regulación: El Control Responsable de las Drogas</w:t>
      </w:r>
      <w:r w:rsidRPr="00780580">
        <w:rPr>
          <w:rFonts w:ascii="Bookman Old Style" w:hAnsi="Bookman Old Style" w:cs="Calibri"/>
        </w:rPr>
        <w:t>”</w:t>
      </w:r>
      <w:r w:rsidRPr="00780580">
        <w:rPr>
          <w:rStyle w:val="Refdenotaalpie"/>
          <w:rFonts w:ascii="Bookman Old Style" w:hAnsi="Bookman Old Style" w:cs="Calibri"/>
        </w:rPr>
        <w:footnoteReference w:id="30"/>
      </w:r>
      <w:r w:rsidRPr="00780580">
        <w:rPr>
          <w:rFonts w:ascii="Bookman Old Style" w:hAnsi="Bookman Old Style" w:cs="Calibri"/>
        </w:rPr>
        <w:t xml:space="preserve">, menciona que la regulación de las drogas debe ser incremental – </w:t>
      </w:r>
      <w:r w:rsidRPr="00780580">
        <w:rPr>
          <w:rFonts w:ascii="Bookman Old Style" w:hAnsi="Bookman Old Style" w:cs="Calibri"/>
          <w:i/>
        </w:rPr>
        <w:t>iniciando con drogas de menor potencia</w:t>
      </w:r>
      <w:r w:rsidRPr="00780580">
        <w:rPr>
          <w:rFonts w:ascii="Bookman Old Style" w:hAnsi="Bookman Old Style" w:cs="Calibri"/>
        </w:rPr>
        <w:t xml:space="preserve"> – y que puede ser un camino para desempoderar al crimen organizado. Asimismo, menciona cómo la regulación es una oportunidad para un desarrollo alternativo de poblaciones vulnerables, al generar espacios para negocios legales, a través de canales reglamentados para suplir la demanda que desplazan los canales ilegales.</w:t>
      </w:r>
    </w:p>
    <w:p w14:paraId="49506A1E" w14:textId="77777777" w:rsidR="00780580" w:rsidRPr="00780580" w:rsidRDefault="00780580" w:rsidP="00780580">
      <w:pPr>
        <w:jc w:val="both"/>
        <w:rPr>
          <w:rFonts w:ascii="Bookman Old Style" w:hAnsi="Bookman Old Style" w:cs="Calibri"/>
        </w:rPr>
      </w:pPr>
    </w:p>
    <w:p w14:paraId="2D03D113" w14:textId="77777777" w:rsidR="00780580" w:rsidRPr="00780580" w:rsidRDefault="00780580" w:rsidP="00780580">
      <w:pPr>
        <w:jc w:val="both"/>
        <w:rPr>
          <w:rFonts w:ascii="Bookman Old Style" w:hAnsi="Bookman Old Style" w:cs="Calibri"/>
        </w:rPr>
      </w:pPr>
      <w:r w:rsidRPr="00780580">
        <w:rPr>
          <w:rFonts w:ascii="Bookman Old Style" w:hAnsi="Bookman Old Style" w:cs="Calibri"/>
        </w:rPr>
        <w:t>Más importante aún, señala el informe, es el hecho de que los impactos que puede tener y ha tenido la lucha contra las drogas, como ha sido planteada hasta ahora, son marginales sobre los índices de consumo y comercialización, pues “</w:t>
      </w:r>
      <w:r w:rsidRPr="00780580">
        <w:rPr>
          <w:rFonts w:ascii="Bookman Old Style" w:hAnsi="Bookman Old Style" w:cs="Calibri"/>
          <w:i/>
          <w:iCs/>
        </w:rPr>
        <w:t>las leyes económicas de la oferta y la demanda no se rompen tan fácilmente</w:t>
      </w:r>
      <w:r w:rsidRPr="00780580">
        <w:rPr>
          <w:rFonts w:ascii="Bookman Old Style" w:hAnsi="Bookman Old Style" w:cs="Calibri"/>
        </w:rPr>
        <w:t>” .</w:t>
      </w:r>
      <w:r w:rsidRPr="00780580">
        <w:rPr>
          <w:rStyle w:val="Refdenotaalpie"/>
          <w:rFonts w:ascii="Bookman Old Style" w:hAnsi="Bookman Old Style" w:cs="Calibri"/>
        </w:rPr>
        <w:footnoteReference w:id="31"/>
      </w:r>
      <w:r w:rsidRPr="00780580">
        <w:rPr>
          <w:rFonts w:ascii="Bookman Old Style" w:hAnsi="Bookman Old Style" w:cs="Calibri"/>
        </w:rPr>
        <w:t xml:space="preserve"> Es decir que, en el caso que el suministro de cierta droga se vea disminuido por mayor persecución o actividad policiva, esto solamente se va a ver reflejado en costos más altos de los productos ilegales o en productos de menor pureza en el mercado. Igualmente, los mayores precios en el mercado atraen nuevos actores al negocio de las drogas ilegales, pues a partir de la prohibición se generan retornos más altos, si bien existen mayores riesgos. </w:t>
      </w:r>
    </w:p>
    <w:p w14:paraId="06788705" w14:textId="77777777" w:rsidR="00780580" w:rsidRPr="00780580" w:rsidRDefault="00780580" w:rsidP="00780580">
      <w:pPr>
        <w:jc w:val="both"/>
        <w:rPr>
          <w:rFonts w:ascii="Bookman Old Style" w:hAnsi="Bookman Old Style" w:cs="Calibri"/>
        </w:rPr>
      </w:pPr>
    </w:p>
    <w:p w14:paraId="58E0785F" w14:textId="77777777" w:rsidR="00780580" w:rsidRPr="00780580" w:rsidRDefault="00780580" w:rsidP="00780580">
      <w:pPr>
        <w:pStyle w:val="Sinespaciado"/>
        <w:jc w:val="both"/>
        <w:rPr>
          <w:rFonts w:ascii="Bookman Old Style" w:hAnsi="Bookman Old Style"/>
        </w:rPr>
      </w:pPr>
      <w:r w:rsidRPr="00780580">
        <w:rPr>
          <w:rFonts w:ascii="Bookman Old Style" w:hAnsi="Bookman Old Style"/>
        </w:rPr>
        <w:t>Al disminuir el retorno y beneficio al que pueden acceder actores ilegales en el mercado de las drogas, se debilita el crimen organizado y se desarticulan canales que sustentan estas economías. Es importante mencionar que, la economía ilegal de las drogas trabaja en conexión con otras actividades delictivas, por lo que una disminución en el tráfico de drogas, como lo que se espera sucedería con la regulación del uso adulto de la marihuana, podría tener repercusiones importantes sobre otras actividades delictivas. De acuerdo con la OEA las actividades conexas al tráfico de drogas son: “</w:t>
      </w:r>
      <w:r w:rsidRPr="00780580">
        <w:rPr>
          <w:rFonts w:ascii="Bookman Old Style" w:hAnsi="Bookman Old Style"/>
          <w:i/>
        </w:rPr>
        <w:t>el tráfico internacional de armas, contrabando, falsificación y tráfico de personas, el control y la explotación doméstica del trabajo sexual, el robo y la venta de bienes robados, secuestro, extorsión y victimización de migrantes”</w:t>
      </w:r>
      <w:r w:rsidRPr="00780580">
        <w:rPr>
          <w:rFonts w:ascii="Bookman Old Style" w:hAnsi="Bookman Old Style"/>
        </w:rPr>
        <w:t>.</w:t>
      </w:r>
      <w:r w:rsidRPr="00780580">
        <w:rPr>
          <w:rStyle w:val="Refdenotaalpie"/>
          <w:rFonts w:ascii="Bookman Old Style" w:hAnsi="Bookman Old Style" w:cs="Calibri"/>
        </w:rPr>
        <w:footnoteReference w:id="32"/>
      </w:r>
    </w:p>
    <w:p w14:paraId="3676BF23" w14:textId="77777777" w:rsidR="00780580" w:rsidRPr="00780580" w:rsidRDefault="00780580" w:rsidP="00780580">
      <w:pPr>
        <w:pStyle w:val="Sinespaciado"/>
        <w:jc w:val="both"/>
        <w:rPr>
          <w:rFonts w:ascii="Bookman Old Style" w:hAnsi="Bookman Old Style"/>
        </w:rPr>
      </w:pPr>
      <w:bookmarkStart w:id="3" w:name="_Toc5023213"/>
    </w:p>
    <w:p w14:paraId="048F6767" w14:textId="77777777" w:rsidR="00780580" w:rsidRPr="00780580" w:rsidRDefault="00780580" w:rsidP="00780580">
      <w:pPr>
        <w:pStyle w:val="Sinespaciado"/>
        <w:jc w:val="both"/>
        <w:rPr>
          <w:rFonts w:ascii="Bookman Old Style" w:hAnsi="Bookman Old Style"/>
          <w:lang w:val="es-ES"/>
        </w:rPr>
      </w:pPr>
      <w:r w:rsidRPr="00780580">
        <w:rPr>
          <w:rFonts w:ascii="Bookman Old Style" w:hAnsi="Bookman Old Style"/>
          <w:lang w:val="es-ES"/>
        </w:rPr>
        <w:t>En marzo de 2020, Canadá hizo un balance de su política de salud pública de regulación del uso recreacional del cannabis ante la Comisión de Estupefacientes de las Naciones Unidas.</w:t>
      </w:r>
      <w:r w:rsidRPr="00780580">
        <w:rPr>
          <w:rStyle w:val="Refdenotaalpie"/>
          <w:rFonts w:ascii="Bookman Old Style" w:hAnsi="Bookman Old Style" w:cs="Calibri"/>
          <w:lang w:val="es-ES"/>
        </w:rPr>
        <w:footnoteReference w:id="33"/>
      </w:r>
      <w:r w:rsidRPr="00780580">
        <w:rPr>
          <w:rFonts w:ascii="Bookman Old Style" w:hAnsi="Bookman Old Style"/>
          <w:lang w:val="es-ES"/>
        </w:rPr>
        <w:t xml:space="preserve"> Casi un año después de la implementación de la medida, se tienen los siguientes resultados alentadores: </w:t>
      </w:r>
    </w:p>
    <w:p w14:paraId="0C7E8B0D" w14:textId="77777777" w:rsidR="00780580" w:rsidRPr="00780580" w:rsidRDefault="00780580" w:rsidP="00780580">
      <w:pPr>
        <w:pStyle w:val="Sinespaciado"/>
        <w:jc w:val="both"/>
        <w:rPr>
          <w:rFonts w:ascii="Bookman Old Style" w:hAnsi="Bookman Old Style"/>
          <w:lang w:val="es-ES"/>
        </w:rPr>
      </w:pPr>
    </w:p>
    <w:p w14:paraId="6DA920C6" w14:textId="77777777" w:rsidR="00780580" w:rsidRPr="00780580" w:rsidRDefault="00780580" w:rsidP="00780580">
      <w:pPr>
        <w:pStyle w:val="Sinespaciado"/>
        <w:widowControl w:val="0"/>
        <w:numPr>
          <w:ilvl w:val="0"/>
          <w:numId w:val="40"/>
        </w:numPr>
        <w:jc w:val="both"/>
        <w:rPr>
          <w:rFonts w:ascii="Bookman Old Style" w:hAnsi="Bookman Old Style"/>
          <w:lang w:val="es-ES"/>
        </w:rPr>
      </w:pPr>
      <w:r w:rsidRPr="00780580">
        <w:rPr>
          <w:rFonts w:ascii="Bookman Old Style" w:hAnsi="Bookman Old Style"/>
          <w:lang w:val="es-ES"/>
        </w:rPr>
        <w:t>El mercado ilegal ya ha perdido un 30% de su participación y no se ha visto un incremento del mercado total del cannabis. Esto representa alrededor de USD 2$ billones en ventas que no pasaron por organizaciones criminales.</w:t>
      </w:r>
    </w:p>
    <w:p w14:paraId="0C5B4ED5" w14:textId="77777777" w:rsidR="00780580" w:rsidRPr="00780580" w:rsidRDefault="00780580" w:rsidP="00780580">
      <w:pPr>
        <w:pStyle w:val="Sinespaciado"/>
        <w:widowControl w:val="0"/>
        <w:numPr>
          <w:ilvl w:val="0"/>
          <w:numId w:val="40"/>
        </w:numPr>
        <w:jc w:val="both"/>
        <w:rPr>
          <w:rFonts w:ascii="Bookman Old Style" w:hAnsi="Bookman Old Style"/>
          <w:lang w:val="es-ES"/>
        </w:rPr>
      </w:pPr>
      <w:r w:rsidRPr="00780580">
        <w:rPr>
          <w:rFonts w:ascii="Bookman Old Style" w:hAnsi="Bookman Old Style"/>
          <w:lang w:val="es-ES"/>
        </w:rPr>
        <w:t>Los datos preliminares no muestran un incremento en el uso del cannabis por parte de los jóvenes y adultos jóvenes.</w:t>
      </w:r>
    </w:p>
    <w:p w14:paraId="25EC0172" w14:textId="77777777" w:rsidR="00780580" w:rsidRPr="00780580" w:rsidRDefault="00780580" w:rsidP="00780580">
      <w:pPr>
        <w:pStyle w:val="Sinespaciado"/>
        <w:widowControl w:val="0"/>
        <w:numPr>
          <w:ilvl w:val="0"/>
          <w:numId w:val="40"/>
        </w:numPr>
        <w:jc w:val="both"/>
        <w:rPr>
          <w:rFonts w:ascii="Bookman Old Style" w:hAnsi="Bookman Old Style"/>
          <w:lang w:val="es-ES"/>
        </w:rPr>
      </w:pPr>
      <w:r w:rsidRPr="00780580">
        <w:rPr>
          <w:rFonts w:ascii="Bookman Old Style" w:hAnsi="Bookman Old Style"/>
          <w:lang w:val="es-ES"/>
        </w:rPr>
        <w:t xml:space="preserve">No se ha observado un incremento en el tráfico ilegal de cannabis a través de las fronteras internacionales. </w:t>
      </w:r>
    </w:p>
    <w:p w14:paraId="6A003180" w14:textId="77777777" w:rsidR="00780580" w:rsidRPr="00780580" w:rsidRDefault="00780580" w:rsidP="00780580">
      <w:pPr>
        <w:pStyle w:val="Sinespaciado"/>
        <w:jc w:val="both"/>
        <w:rPr>
          <w:rFonts w:ascii="Bookman Old Style" w:hAnsi="Bookman Old Style"/>
          <w:lang w:val="es-ES"/>
        </w:rPr>
      </w:pPr>
    </w:p>
    <w:p w14:paraId="2477F975" w14:textId="77777777" w:rsidR="00780580" w:rsidRPr="00780580" w:rsidRDefault="00780580" w:rsidP="00780580">
      <w:pPr>
        <w:pStyle w:val="Sinespaciado"/>
        <w:jc w:val="both"/>
        <w:rPr>
          <w:rFonts w:ascii="Bookman Old Style" w:hAnsi="Bookman Old Style"/>
          <w:b/>
        </w:rPr>
      </w:pPr>
      <w:r w:rsidRPr="00780580">
        <w:rPr>
          <w:rFonts w:ascii="Bookman Old Style" w:hAnsi="Bookman Old Style"/>
        </w:rPr>
        <w:t>Por otro lado, en Latinoamérica la experiencia de Uruguay es destacable pues ha tenido una lucha con el mercado negro a través de precios del mercado.</w:t>
      </w:r>
      <w:bookmarkEnd w:id="3"/>
      <w:r w:rsidRPr="00780580">
        <w:rPr>
          <w:rFonts w:ascii="Bookman Old Style" w:hAnsi="Bookman Old Style"/>
        </w:rPr>
        <w:t xml:space="preserve"> Con la regulación del uso adulto del cannabis, este país ha dado lecciones de una política de regulación estatal basada en el precio de una sustancia controlada en el mercado ilegal. En Uruguay las farmacias actúan como puntos de venta de la marihuana producida por las compañías que tienen autorización estatal y pueden vender hasta 40g al mes a los compradores. Además, existe la alternativa de formar clubes de marihuana, los cuales tienen permitido cultivar hasta 480g al año por persona. </w:t>
      </w:r>
    </w:p>
    <w:p w14:paraId="29A9BDF2" w14:textId="77777777" w:rsidR="00780580" w:rsidRPr="00780580" w:rsidRDefault="00780580" w:rsidP="00780580">
      <w:pPr>
        <w:pStyle w:val="Sinespaciado"/>
        <w:jc w:val="both"/>
        <w:rPr>
          <w:rFonts w:ascii="Bookman Old Style" w:hAnsi="Bookman Old Style"/>
          <w:b/>
        </w:rPr>
      </w:pPr>
    </w:p>
    <w:p w14:paraId="6FE8A87B" w14:textId="77777777" w:rsidR="00780580" w:rsidRPr="00780580" w:rsidRDefault="00780580" w:rsidP="00780580">
      <w:pPr>
        <w:pStyle w:val="Sinespaciado"/>
        <w:jc w:val="both"/>
        <w:rPr>
          <w:rFonts w:ascii="Bookman Old Style" w:hAnsi="Bookman Old Style"/>
          <w:b/>
        </w:rPr>
      </w:pPr>
      <w:r w:rsidRPr="00780580">
        <w:rPr>
          <w:rFonts w:ascii="Bookman Old Style" w:hAnsi="Bookman Old Style"/>
        </w:rPr>
        <w:t>Dichas opciones de compra y producción legales han representado un fuerte golpe a las economías al margen de la ley. El Instituto de Regulación y Control del Cannabis de Uruguay (IRCCA) en su reporte</w:t>
      </w:r>
      <w:r w:rsidRPr="00780580">
        <w:rPr>
          <w:rStyle w:val="Refdenotaalpie"/>
          <w:rFonts w:ascii="Bookman Old Style" w:hAnsi="Bookman Old Style" w:cs="Calibri"/>
        </w:rPr>
        <w:footnoteReference w:id="34"/>
      </w:r>
      <w:r w:rsidRPr="00780580">
        <w:rPr>
          <w:rFonts w:ascii="Bookman Old Style" w:hAnsi="Bookman Old Style"/>
        </w:rPr>
        <w:t xml:space="preserve"> para abril de 2020 indica que alrededor del 22% de los usuarios de marihuana participan en el mercado regulado. Según el reporte del IRCCA, el número de personas en el mercado regulado (ver Gráfico 1) muestra una tendencia ascendente, lo que indica que el mercado legal gana cada vez más espacio.</w:t>
      </w:r>
      <w:r w:rsidRPr="00780580">
        <w:rPr>
          <w:rStyle w:val="Refdenotaalpie"/>
          <w:rFonts w:ascii="Bookman Old Style" w:hAnsi="Bookman Old Style" w:cs="Calibri"/>
        </w:rPr>
        <w:t xml:space="preserve"> </w:t>
      </w:r>
      <w:r w:rsidRPr="00780580">
        <w:rPr>
          <w:rFonts w:ascii="Bookman Old Style" w:hAnsi="Bookman Old Style"/>
        </w:rPr>
        <w:t>Lo anterior es de gran importancia, pues las estructuras ilegales de comercio de marihuana se están viendo directamente afectadas a través de la pérdida de clientes que deciden participar en los canales legales. La compra promedio en los últimos 4 meses se encontraba según dicho reporte entre 15 y 16 gramos, muy por debajo del máximo permitido de 40 gramos.</w:t>
      </w:r>
      <w:r w:rsidRPr="00780580">
        <w:rPr>
          <w:rStyle w:val="Refdenotaalpie"/>
          <w:rFonts w:ascii="Bookman Old Style" w:hAnsi="Bookman Old Style" w:cs="Calibri"/>
        </w:rPr>
        <w:footnoteReference w:id="35"/>
      </w:r>
      <w:r w:rsidRPr="00780580">
        <w:rPr>
          <w:rFonts w:ascii="Bookman Old Style" w:hAnsi="Bookman Old Style"/>
        </w:rPr>
        <w:t xml:space="preserve"> Se registra que el principal problema ha sido la oferta, que no logra suplir toda la demanda, lo que se espera solucionar con las nuevas licencias otorgadas. Se espera que el mayor número de licencia logre aumentar la participación del mercado legal de marihuana en el país. </w:t>
      </w:r>
    </w:p>
    <w:p w14:paraId="4B946008" w14:textId="77777777" w:rsidR="00780580" w:rsidRPr="00780580" w:rsidRDefault="00780580" w:rsidP="00780580">
      <w:pPr>
        <w:rPr>
          <w:rFonts w:ascii="Bookman Old Style" w:hAnsi="Bookman Old Style"/>
        </w:rPr>
      </w:pPr>
    </w:p>
    <w:p w14:paraId="1634FBBC" w14:textId="77777777" w:rsidR="00780580" w:rsidRPr="00780580" w:rsidRDefault="00780580" w:rsidP="00780580">
      <w:pPr>
        <w:jc w:val="center"/>
        <w:rPr>
          <w:rFonts w:ascii="Bookman Old Style" w:hAnsi="Bookman Old Style"/>
        </w:rPr>
      </w:pPr>
      <w:r w:rsidRPr="00780580">
        <w:rPr>
          <w:rFonts w:ascii="Bookman Old Style" w:hAnsi="Bookman Old Style"/>
          <w:b/>
        </w:rPr>
        <w:t>Gráfico 3.</w:t>
      </w:r>
      <w:r w:rsidRPr="00780580">
        <w:rPr>
          <w:rFonts w:ascii="Bookman Old Style" w:hAnsi="Bookman Old Style"/>
        </w:rPr>
        <w:t xml:space="preserve"> </w:t>
      </w:r>
    </w:p>
    <w:p w14:paraId="09AA1332" w14:textId="77777777" w:rsidR="00780580" w:rsidRPr="00780580" w:rsidRDefault="00780580" w:rsidP="00780580">
      <w:pPr>
        <w:jc w:val="center"/>
        <w:rPr>
          <w:rFonts w:ascii="Bookman Old Style" w:hAnsi="Bookman Old Style"/>
          <w:b/>
        </w:rPr>
      </w:pPr>
      <w:r w:rsidRPr="00780580">
        <w:rPr>
          <w:rFonts w:ascii="Bookman Old Style" w:hAnsi="Bookman Old Style"/>
          <w:b/>
        </w:rPr>
        <w:t xml:space="preserve">Evolución de los registros totales en el mercado regulado </w:t>
      </w:r>
    </w:p>
    <w:p w14:paraId="5CAF2BF8" w14:textId="77777777" w:rsidR="00780580" w:rsidRPr="00780580" w:rsidRDefault="00780580" w:rsidP="00780580">
      <w:pPr>
        <w:jc w:val="center"/>
        <w:rPr>
          <w:rFonts w:ascii="Bookman Old Style" w:hAnsi="Bookman Old Style"/>
          <w:b/>
        </w:rPr>
      </w:pPr>
      <w:r w:rsidRPr="00780580">
        <w:rPr>
          <w:rFonts w:ascii="Bookman Old Style" w:hAnsi="Bookman Old Style"/>
          <w:b/>
        </w:rPr>
        <w:t>según fecha de informes realizados.</w:t>
      </w:r>
    </w:p>
    <w:p w14:paraId="4736BBE2" w14:textId="77777777" w:rsidR="00780580" w:rsidRPr="00780580" w:rsidRDefault="00780580" w:rsidP="00780580">
      <w:pPr>
        <w:pStyle w:val="Ttulo2"/>
        <w:ind w:left="0"/>
        <w:jc w:val="both"/>
        <w:rPr>
          <w:rFonts w:ascii="Bookman Old Style" w:hAnsi="Bookman Old Style" w:cs="Calibri"/>
          <w:b w:val="0"/>
          <w:sz w:val="22"/>
          <w:szCs w:val="22"/>
        </w:rPr>
      </w:pPr>
    </w:p>
    <w:p w14:paraId="19D2B16F" w14:textId="77777777" w:rsidR="00780580" w:rsidRPr="00780580" w:rsidRDefault="00780580" w:rsidP="00780580">
      <w:pPr>
        <w:rPr>
          <w:rFonts w:ascii="Bookman Old Style" w:hAnsi="Bookman Old Style"/>
        </w:rPr>
      </w:pPr>
      <w:r w:rsidRPr="00780580">
        <w:rPr>
          <w:rFonts w:ascii="Bookman Old Style" w:hAnsi="Bookman Old Style"/>
          <w:noProof/>
        </w:rPr>
        <w:drawing>
          <wp:inline distT="0" distB="0" distL="0" distR="0" wp14:anchorId="1842CC44" wp14:editId="55A30C64">
            <wp:extent cx="5593623" cy="2457450"/>
            <wp:effectExtent l="19050" t="0" r="7077" b="0"/>
            <wp:docPr id="2" name="Picture 2" descr="../Desktop/Screen%20Shot%202020-07-09%20at%2019.48.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20-07-09%20at%2019.48.4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03875" cy="2461954"/>
                    </a:xfrm>
                    <a:prstGeom prst="rect">
                      <a:avLst/>
                    </a:prstGeom>
                    <a:noFill/>
                    <a:ln>
                      <a:noFill/>
                    </a:ln>
                  </pic:spPr>
                </pic:pic>
              </a:graphicData>
            </a:graphic>
          </wp:inline>
        </w:drawing>
      </w:r>
    </w:p>
    <w:p w14:paraId="42EDAB1E" w14:textId="77777777" w:rsidR="00780580" w:rsidRPr="00780580" w:rsidRDefault="00780580" w:rsidP="00780580">
      <w:pPr>
        <w:rPr>
          <w:rFonts w:ascii="Bookman Old Style" w:hAnsi="Bookman Old Style"/>
          <w:b/>
        </w:rPr>
      </w:pPr>
    </w:p>
    <w:p w14:paraId="32CA75CA" w14:textId="77777777" w:rsidR="00780580" w:rsidRPr="00780580" w:rsidRDefault="00780580" w:rsidP="00780580">
      <w:pPr>
        <w:pStyle w:val="Sinespaciado"/>
        <w:jc w:val="both"/>
        <w:rPr>
          <w:rFonts w:ascii="Bookman Old Style" w:hAnsi="Bookman Old Style"/>
          <w:b/>
        </w:rPr>
      </w:pPr>
      <w:r w:rsidRPr="00780580">
        <w:rPr>
          <w:rFonts w:ascii="Bookman Old Style" w:hAnsi="Bookman Old Style"/>
        </w:rPr>
        <w:t>Lo anterior, se ha logrado dado que el Gobierno fija el precio de la marihuana legal y lo fija en línea al del mercado negro, por lo que no existen grandes incentivos para que dicho mercado prospere. Actualmente el precio de 1 gramo de marihuana se encuentra en $53 Pesos uruguayos, es decir alrededor de USD $1.2.</w:t>
      </w:r>
      <w:r w:rsidRPr="00780580">
        <w:rPr>
          <w:rStyle w:val="Refdenotaalpie"/>
          <w:rFonts w:ascii="Bookman Old Style" w:hAnsi="Bookman Old Style" w:cs="Calibri"/>
        </w:rPr>
        <w:footnoteReference w:id="36"/>
      </w:r>
      <w:r w:rsidRPr="00780580">
        <w:rPr>
          <w:rFonts w:ascii="Bookman Old Style" w:hAnsi="Bookman Old Style"/>
        </w:rPr>
        <w:t xml:space="preserve"> </w:t>
      </w:r>
    </w:p>
    <w:p w14:paraId="1C15A2B2" w14:textId="77777777" w:rsidR="00780580" w:rsidRPr="00780580" w:rsidRDefault="00780580" w:rsidP="00780580">
      <w:pPr>
        <w:pStyle w:val="Sinespaciado"/>
        <w:jc w:val="both"/>
        <w:rPr>
          <w:rFonts w:ascii="Bookman Old Style" w:hAnsi="Bookman Old Style"/>
          <w:b/>
        </w:rPr>
      </w:pPr>
    </w:p>
    <w:p w14:paraId="050F581D" w14:textId="77777777" w:rsidR="00780580" w:rsidRPr="00780580" w:rsidRDefault="00780580" w:rsidP="00780580">
      <w:pPr>
        <w:pStyle w:val="Sinespaciado"/>
        <w:jc w:val="both"/>
        <w:rPr>
          <w:rFonts w:ascii="Bookman Old Style" w:hAnsi="Bookman Old Style"/>
        </w:rPr>
      </w:pPr>
      <w:r w:rsidRPr="00780580">
        <w:rPr>
          <w:rFonts w:ascii="Bookman Old Style" w:hAnsi="Bookman Old Style"/>
        </w:rPr>
        <w:t>Otro punto importante es que la regulación de la marihuana para uso adulto puede llevar a que los países ahorren importantes recursos en políticas punitivas y sobrepoblación carcelaria.</w:t>
      </w:r>
      <w:r w:rsidRPr="00780580">
        <w:rPr>
          <w:rStyle w:val="Refdenotaalpie"/>
          <w:rFonts w:ascii="Bookman Old Style" w:hAnsi="Bookman Old Style" w:cs="Calibri"/>
        </w:rPr>
        <w:footnoteReference w:id="37"/>
      </w:r>
      <w:r w:rsidRPr="00780580">
        <w:rPr>
          <w:rFonts w:ascii="Bookman Old Style" w:hAnsi="Bookman Old Style"/>
        </w:rPr>
        <w:t xml:space="preserve"> Estados Unidos, por ejemplo, lo ha logrado pues cuando se dio la regulación, disminuyeron significativamente los arrestos por posesión de drogas.</w:t>
      </w:r>
      <w:r w:rsidRPr="00780580">
        <w:rPr>
          <w:rStyle w:val="Refdenotaalpie"/>
          <w:rFonts w:ascii="Bookman Old Style" w:hAnsi="Bookman Old Style" w:cs="Calibri"/>
        </w:rPr>
        <w:footnoteReference w:id="38"/>
      </w:r>
      <w:r w:rsidRPr="00780580">
        <w:rPr>
          <w:rFonts w:ascii="Bookman Old Style" w:hAnsi="Bookman Old Style"/>
        </w:rPr>
        <w:t xml:space="preserve"> Los expedientes judiciales para los Estados de Washington y Colorado entre 2011 y 2015 bajaron respectivamente 98% y 81%. Y los arrestos por posesión de marihuana han disminuido significativamente de la siguiente manera:</w:t>
      </w:r>
      <w:r w:rsidRPr="00780580">
        <w:rPr>
          <w:rStyle w:val="Refdenotaalpie"/>
          <w:rFonts w:ascii="Bookman Old Style" w:hAnsi="Bookman Old Style" w:cs="Calibri"/>
        </w:rPr>
        <w:footnoteReference w:id="39"/>
      </w:r>
    </w:p>
    <w:p w14:paraId="38B41505" w14:textId="77777777" w:rsidR="00780580" w:rsidRPr="00780580" w:rsidRDefault="00780580" w:rsidP="00780580">
      <w:pPr>
        <w:pStyle w:val="Sinespaciado"/>
        <w:jc w:val="both"/>
        <w:rPr>
          <w:rFonts w:ascii="Bookman Old Style" w:hAnsi="Bookman Old Style" w:cs="Calibri"/>
        </w:rPr>
      </w:pPr>
    </w:p>
    <w:p w14:paraId="6F973B67" w14:textId="77777777" w:rsidR="00780580" w:rsidRPr="00780580" w:rsidRDefault="00780580" w:rsidP="00780580">
      <w:pPr>
        <w:pStyle w:val="Sinespaciado"/>
        <w:widowControl w:val="0"/>
        <w:numPr>
          <w:ilvl w:val="0"/>
          <w:numId w:val="39"/>
        </w:numPr>
        <w:jc w:val="both"/>
        <w:rPr>
          <w:rFonts w:ascii="Bookman Old Style" w:hAnsi="Bookman Old Style" w:cs="Calibri"/>
        </w:rPr>
      </w:pPr>
      <w:r w:rsidRPr="00780580">
        <w:rPr>
          <w:rFonts w:ascii="Bookman Old Style" w:hAnsi="Bookman Old Style" w:cs="Calibri"/>
        </w:rPr>
        <w:t>Colorado: 88% (2012-2015).</w:t>
      </w:r>
    </w:p>
    <w:p w14:paraId="17CECF6A" w14:textId="77777777" w:rsidR="00780580" w:rsidRPr="00780580" w:rsidRDefault="00780580" w:rsidP="00780580">
      <w:pPr>
        <w:pStyle w:val="Sinespaciado"/>
        <w:widowControl w:val="0"/>
        <w:numPr>
          <w:ilvl w:val="0"/>
          <w:numId w:val="39"/>
        </w:numPr>
        <w:jc w:val="both"/>
        <w:rPr>
          <w:rFonts w:ascii="Bookman Old Style" w:hAnsi="Bookman Old Style" w:cs="Calibri"/>
        </w:rPr>
      </w:pPr>
      <w:r w:rsidRPr="00780580">
        <w:rPr>
          <w:rFonts w:ascii="Bookman Old Style" w:hAnsi="Bookman Old Style" w:cs="Calibri"/>
        </w:rPr>
        <w:t>Washington D.C.: 98.6% (2013-2016).</w:t>
      </w:r>
    </w:p>
    <w:p w14:paraId="73F7C5AF" w14:textId="77777777" w:rsidR="00780580" w:rsidRPr="00780580" w:rsidRDefault="00780580" w:rsidP="00780580">
      <w:pPr>
        <w:pStyle w:val="Sinespaciado"/>
        <w:widowControl w:val="0"/>
        <w:numPr>
          <w:ilvl w:val="0"/>
          <w:numId w:val="39"/>
        </w:numPr>
        <w:jc w:val="both"/>
        <w:rPr>
          <w:rFonts w:ascii="Bookman Old Style" w:hAnsi="Bookman Old Style" w:cs="Calibri"/>
        </w:rPr>
      </w:pPr>
      <w:r w:rsidRPr="00780580">
        <w:rPr>
          <w:rFonts w:ascii="Bookman Old Style" w:hAnsi="Bookman Old Style" w:cs="Calibri"/>
        </w:rPr>
        <w:t>Oregón: 96% (2013-2016).</w:t>
      </w:r>
    </w:p>
    <w:p w14:paraId="0367C2EA" w14:textId="77777777" w:rsidR="00780580" w:rsidRPr="00780580" w:rsidRDefault="00780580" w:rsidP="00780580">
      <w:pPr>
        <w:pStyle w:val="Sinespaciado"/>
        <w:widowControl w:val="0"/>
        <w:numPr>
          <w:ilvl w:val="0"/>
          <w:numId w:val="39"/>
        </w:numPr>
        <w:jc w:val="both"/>
        <w:rPr>
          <w:rFonts w:ascii="Bookman Old Style" w:hAnsi="Bookman Old Style" w:cs="Calibri"/>
        </w:rPr>
      </w:pPr>
      <w:r w:rsidRPr="00780580">
        <w:rPr>
          <w:rFonts w:ascii="Bookman Old Style" w:hAnsi="Bookman Old Style" w:cs="Calibri"/>
        </w:rPr>
        <w:t>Alaska: 93% (2013-2015).</w:t>
      </w:r>
    </w:p>
    <w:p w14:paraId="3EAD33B2" w14:textId="77777777" w:rsidR="00780580" w:rsidRPr="00780580" w:rsidRDefault="00780580" w:rsidP="00780580">
      <w:pPr>
        <w:pStyle w:val="Sinespaciado"/>
        <w:jc w:val="both"/>
        <w:rPr>
          <w:rFonts w:ascii="Bookman Old Style" w:hAnsi="Bookman Old Style"/>
        </w:rPr>
      </w:pPr>
      <w:bookmarkStart w:id="4" w:name="_Toc5023216"/>
    </w:p>
    <w:p w14:paraId="15A4FF58" w14:textId="77777777" w:rsidR="00780580" w:rsidRPr="00780580" w:rsidRDefault="00780580" w:rsidP="00780580">
      <w:pPr>
        <w:pStyle w:val="Sinespaciado"/>
        <w:jc w:val="both"/>
        <w:rPr>
          <w:rFonts w:ascii="Bookman Old Style" w:hAnsi="Bookman Old Style"/>
        </w:rPr>
      </w:pPr>
      <w:r w:rsidRPr="00780580">
        <w:rPr>
          <w:rFonts w:ascii="Bookman Old Style" w:hAnsi="Bookman Old Style" w:cs="Calibri"/>
        </w:rPr>
        <w:t xml:space="preserve">Emprender la regularización del uso adulto y científico del cannabis en Colombia, representa una oportunidad para fortalecer la economía del país, reducir el crimen y los mercados ilegales, y además aliviar el sistema carcelario y judicial </w:t>
      </w:r>
      <w:bookmarkEnd w:id="4"/>
      <w:r w:rsidRPr="00780580">
        <w:rPr>
          <w:rFonts w:ascii="Bookman Old Style" w:hAnsi="Bookman Old Style" w:cs="Calibri"/>
        </w:rPr>
        <w:t>nacional. Respecto a este aspecto, según un estudio de Econcept</w:t>
      </w:r>
      <w:r w:rsidRPr="00780580">
        <w:rPr>
          <w:rStyle w:val="Refdenotaalpie"/>
          <w:rFonts w:ascii="Bookman Old Style" w:hAnsi="Bookman Old Style" w:cs="Calibri"/>
        </w:rPr>
        <w:footnoteReference w:id="40"/>
      </w:r>
      <w:r w:rsidRPr="00780580">
        <w:rPr>
          <w:rFonts w:ascii="Bookman Old Style" w:hAnsi="Bookman Old Style" w:cs="Calibri"/>
        </w:rPr>
        <w:t>, la firma liderada por el ex ministro de Hacienda Juan Carlos Echeverry, las estimaciones de exportaciones de cannabis podrían ascender entre los 2,300 y 17,700 millones de dólares, con un recaudo de impuesto a la renta entre 1.2 y 3.5 billones de pesos.</w:t>
      </w:r>
    </w:p>
    <w:p w14:paraId="655B6069" w14:textId="77777777" w:rsidR="00F36280" w:rsidRPr="00485CC5" w:rsidRDefault="00F36280" w:rsidP="00F36280">
      <w:pPr>
        <w:rPr>
          <w:rFonts w:ascii="Bookman Old Style" w:hAnsi="Bookman Old Style"/>
          <w:szCs w:val="24"/>
        </w:rPr>
      </w:pPr>
    </w:p>
    <w:p w14:paraId="7C518C74" w14:textId="0C8ADD0B" w:rsidR="00291DEF" w:rsidRDefault="00291DEF" w:rsidP="00291DEF">
      <w:pPr>
        <w:pStyle w:val="Ttulo2"/>
        <w:numPr>
          <w:ilvl w:val="0"/>
          <w:numId w:val="35"/>
        </w:numPr>
        <w:jc w:val="center"/>
        <w:rPr>
          <w:rFonts w:ascii="Bookman Old Style" w:eastAsia="Calibri" w:hAnsi="Bookman Old Style" w:cs="Calibri"/>
          <w:sz w:val="22"/>
          <w:szCs w:val="24"/>
        </w:rPr>
      </w:pPr>
      <w:r>
        <w:rPr>
          <w:rFonts w:ascii="Bookman Old Style" w:eastAsia="Calibri" w:hAnsi="Bookman Old Style" w:cs="Calibri"/>
          <w:sz w:val="22"/>
          <w:szCs w:val="24"/>
        </w:rPr>
        <w:t>IMPACTO ECONÓMICO DE LA INDUSTRIA DEL CANNABIS MEDICINAL EN COLOMBIA.</w:t>
      </w:r>
    </w:p>
    <w:p w14:paraId="464E96C8" w14:textId="77777777" w:rsidR="00291DEF" w:rsidRPr="00291DEF" w:rsidRDefault="00291DEF" w:rsidP="00291DEF">
      <w:pPr>
        <w:rPr>
          <w:rFonts w:eastAsia="Calibri"/>
        </w:rPr>
      </w:pPr>
    </w:p>
    <w:p w14:paraId="75A3EF52" w14:textId="77777777" w:rsidR="00291DEF" w:rsidRPr="00BA2C74" w:rsidRDefault="00291DEF" w:rsidP="00291DEF">
      <w:pPr>
        <w:pStyle w:val="Ttulo2"/>
        <w:ind w:left="0"/>
        <w:jc w:val="both"/>
        <w:rPr>
          <w:rFonts w:ascii="Bookman Old Style" w:eastAsia="Calibri" w:hAnsi="Bookman Old Style" w:cs="Calibri"/>
          <w:b w:val="0"/>
          <w:sz w:val="22"/>
          <w:szCs w:val="22"/>
        </w:rPr>
      </w:pPr>
      <w:r w:rsidRPr="00BA2C74">
        <w:rPr>
          <w:rFonts w:ascii="Bookman Old Style" w:eastAsia="Calibri" w:hAnsi="Bookman Old Style" w:cs="Calibri"/>
          <w:b w:val="0"/>
          <w:sz w:val="22"/>
          <w:szCs w:val="22"/>
        </w:rPr>
        <w:t>Como ya se mencionó anteriormente, en el año 2016 se discutió y aprobó la Ley 1787,</w:t>
      </w:r>
      <w:r w:rsidRPr="00BA2C74">
        <w:rPr>
          <w:rFonts w:ascii="Bookman Old Style" w:eastAsia="Calibri" w:hAnsi="Bookman Old Style" w:cs="Calibri"/>
          <w:b w:val="0"/>
          <w:bCs/>
          <w:i/>
          <w:iCs/>
          <w:sz w:val="22"/>
          <w:szCs w:val="22"/>
        </w:rPr>
        <w:t xml:space="preserve"> “Por medio de la cual se reglamenta el Acto Legislativo 02 de 2009.”</w:t>
      </w:r>
      <w:r w:rsidRPr="00BA2C74">
        <w:rPr>
          <w:rFonts w:ascii="Bookman Old Style" w:eastAsia="Calibri" w:hAnsi="Bookman Old Style" w:cs="Calibri"/>
          <w:b w:val="0"/>
          <w:sz w:val="22"/>
          <w:szCs w:val="22"/>
        </w:rPr>
        <w:t xml:space="preserve">, </w:t>
      </w:r>
      <w:r w:rsidRPr="00BA2C74">
        <w:rPr>
          <w:rFonts w:ascii="Bookman Old Style" w:eastAsia="Calibri" w:hAnsi="Bookman Old Style" w:cs="Calibri"/>
          <w:b w:val="0"/>
          <w:i/>
          <w:sz w:val="22"/>
          <w:szCs w:val="22"/>
        </w:rPr>
        <w:t>(desarrollada mediante el Decreto 0613 de 2017)</w:t>
      </w:r>
      <w:r w:rsidRPr="00BA2C74">
        <w:rPr>
          <w:rFonts w:ascii="Bookman Old Style" w:eastAsia="Calibri" w:hAnsi="Bookman Old Style" w:cs="Calibri"/>
          <w:b w:val="0"/>
          <w:sz w:val="22"/>
          <w:szCs w:val="22"/>
        </w:rPr>
        <w:t>.</w:t>
      </w:r>
      <w:r w:rsidRPr="00BA2C74">
        <w:rPr>
          <w:rFonts w:ascii="Bookman Old Style" w:eastAsia="Calibri" w:hAnsi="Bookman Old Style" w:cs="Calibri"/>
          <w:b w:val="0"/>
          <w:i/>
          <w:sz w:val="22"/>
          <w:szCs w:val="22"/>
        </w:rPr>
        <w:t xml:space="preserve"> </w:t>
      </w:r>
      <w:r w:rsidRPr="00BA2C74">
        <w:rPr>
          <w:rFonts w:ascii="Bookman Old Style" w:eastAsia="Calibri" w:hAnsi="Bookman Old Style" w:cs="Calibri"/>
          <w:b w:val="0"/>
          <w:sz w:val="22"/>
          <w:szCs w:val="22"/>
        </w:rPr>
        <w:t>Dicha Ley definió los criterios generales para permitir la expedición de licencias de uso de semillas, cultivo de plantas y fabricación de derivados del cannabis, bajo unos criterios estrictos y unos requisitos sine qua non.</w:t>
      </w:r>
    </w:p>
    <w:p w14:paraId="2D210E02" w14:textId="77777777" w:rsidR="00291DEF" w:rsidRPr="00BA2C74" w:rsidRDefault="00291DEF" w:rsidP="00291DEF">
      <w:pPr>
        <w:pStyle w:val="Ttulo2"/>
        <w:ind w:left="0"/>
        <w:jc w:val="both"/>
        <w:rPr>
          <w:rFonts w:ascii="Bookman Old Style" w:eastAsia="Calibri" w:hAnsi="Bookman Old Style" w:cs="Calibri"/>
          <w:b w:val="0"/>
          <w:sz w:val="22"/>
          <w:szCs w:val="22"/>
        </w:rPr>
      </w:pPr>
    </w:p>
    <w:p w14:paraId="682327E2" w14:textId="77777777" w:rsidR="00291DEF" w:rsidRPr="00BA2C74" w:rsidRDefault="00291DEF" w:rsidP="00291DEF">
      <w:pPr>
        <w:pStyle w:val="Ttulo2"/>
        <w:ind w:left="0"/>
        <w:jc w:val="both"/>
        <w:rPr>
          <w:rFonts w:ascii="Bookman Old Style" w:eastAsia="Calibri" w:hAnsi="Bookman Old Style"/>
          <w:b w:val="0"/>
          <w:sz w:val="22"/>
          <w:szCs w:val="22"/>
        </w:rPr>
      </w:pPr>
      <w:r w:rsidRPr="00BA2C74">
        <w:rPr>
          <w:rFonts w:ascii="Bookman Old Style" w:eastAsia="Calibri" w:hAnsi="Bookman Old Style"/>
          <w:b w:val="0"/>
          <w:sz w:val="22"/>
          <w:szCs w:val="22"/>
        </w:rPr>
        <w:t>La industria del Cannabis medicinal le ha traído al país diversos beneficios teniendo en consideración que el solo tramité y expedición de las licencias tienen unos costos que oscilan entre los cuatro y los cinco millones.</w:t>
      </w:r>
    </w:p>
    <w:p w14:paraId="27BDFC0B" w14:textId="77777777" w:rsidR="00291DEF" w:rsidRPr="00BA2C74" w:rsidRDefault="00291DEF" w:rsidP="00291DEF">
      <w:pPr>
        <w:pStyle w:val="Prrafodelista"/>
        <w:numPr>
          <w:ilvl w:val="0"/>
          <w:numId w:val="42"/>
        </w:numPr>
        <w:pBdr>
          <w:top w:val="nil"/>
          <w:left w:val="nil"/>
          <w:bottom w:val="nil"/>
          <w:right w:val="nil"/>
          <w:between w:val="nil"/>
        </w:pBdr>
        <w:spacing w:before="280" w:line="240" w:lineRule="auto"/>
        <w:jc w:val="both"/>
        <w:rPr>
          <w:rFonts w:ascii="Bookman Old Style" w:eastAsia="Calibri" w:hAnsi="Bookman Old Style" w:cs="Arial"/>
          <w:i/>
          <w:color w:val="000000"/>
          <w:lang w:val="es-ES_tradnl"/>
        </w:rPr>
      </w:pPr>
      <w:r w:rsidRPr="00BA2C74">
        <w:rPr>
          <w:rFonts w:ascii="Bookman Old Style" w:eastAsia="Calibri" w:hAnsi="Bookman Old Style"/>
        </w:rPr>
        <w:t xml:space="preserve">De acuerdo con </w:t>
      </w:r>
      <w:r w:rsidRPr="00BA2C74">
        <w:rPr>
          <w:rFonts w:ascii="Bookman Old Style" w:eastAsia="Calibri" w:hAnsi="Bookman Old Style" w:cs="Arial"/>
          <w:color w:val="000000"/>
          <w:lang w:val="es-ES_tradnl"/>
        </w:rPr>
        <w:t>FEDESARROLLO, la industria del cannabis genera alrededor de 17,3 empleos formales por cada hectárea sembrada. Esto muestra que, en comparación con la industria de flores del país, el número de empleos que deja la marihuana medicinal es igual al de dicho sector</w:t>
      </w:r>
      <w:r w:rsidRPr="00BA2C74">
        <w:rPr>
          <w:rFonts w:ascii="Bookman Old Style" w:eastAsia="Calibri" w:hAnsi="Bookman Old Style" w:cs="Arial"/>
          <w:i/>
          <w:color w:val="000000"/>
          <w:lang w:val="es-ES_tradnl"/>
        </w:rPr>
        <w:t>.</w:t>
      </w:r>
      <w:r w:rsidRPr="00BA2C74">
        <w:rPr>
          <w:rStyle w:val="Refdenotaalpie"/>
          <w:rFonts w:ascii="Bookman Old Style" w:eastAsia="Calibri" w:hAnsi="Bookman Old Style" w:cs="Arial"/>
          <w:i/>
          <w:color w:val="000000"/>
          <w:lang w:val="es-ES_tradnl"/>
        </w:rPr>
        <w:footnoteReference w:id="41"/>
      </w:r>
    </w:p>
    <w:p w14:paraId="3E7AFDE6" w14:textId="77777777" w:rsidR="00291DEF" w:rsidRPr="00BA2C74" w:rsidRDefault="00291DEF" w:rsidP="00291DEF">
      <w:pPr>
        <w:widowControl/>
        <w:numPr>
          <w:ilvl w:val="0"/>
          <w:numId w:val="41"/>
        </w:numPr>
        <w:pBdr>
          <w:top w:val="nil"/>
          <w:left w:val="nil"/>
          <w:bottom w:val="nil"/>
          <w:right w:val="nil"/>
          <w:between w:val="nil"/>
        </w:pBdr>
        <w:jc w:val="both"/>
        <w:rPr>
          <w:rFonts w:ascii="Bookman Old Style" w:eastAsia="Calibri" w:hAnsi="Bookman Old Style" w:cs="Arial"/>
          <w:color w:val="000000"/>
          <w:lang w:val="es-ES_tradnl"/>
        </w:rPr>
      </w:pPr>
      <w:r w:rsidRPr="00BA2C74">
        <w:rPr>
          <w:rFonts w:ascii="Bookman Old Style" w:eastAsia="Calibri" w:hAnsi="Bookman Old Style" w:cs="Arial"/>
          <w:color w:val="000000"/>
          <w:lang w:val="es-ES_tradnl"/>
        </w:rPr>
        <w:t>A 2019 había en Colombia 56 hectáreas cultivadas responsables por la generación de 975 empleos y de US$99 millones en ingresos. FEDESARROLLO estima que para 2025, con un crecimiento tendencial de cerca de 10% del área cultivada, se podría llegar a 450 hectáreas, es decir, más de 7.700 empleos e ingresos cercanos a los US$790 millones.</w:t>
      </w:r>
      <w:r w:rsidRPr="00BA2C74">
        <w:rPr>
          <w:rStyle w:val="Refdenotaalpie"/>
          <w:rFonts w:ascii="Bookman Old Style" w:eastAsia="Calibri" w:hAnsi="Bookman Old Style" w:cs="Arial"/>
          <w:color w:val="000000"/>
          <w:lang w:val="es-ES_tradnl"/>
        </w:rPr>
        <w:footnoteReference w:id="42"/>
      </w:r>
    </w:p>
    <w:p w14:paraId="0F6B3A79" w14:textId="77777777" w:rsidR="00291DEF" w:rsidRPr="00BA2C74" w:rsidRDefault="00291DEF" w:rsidP="00291DEF">
      <w:pPr>
        <w:pBdr>
          <w:top w:val="nil"/>
          <w:left w:val="nil"/>
          <w:bottom w:val="nil"/>
          <w:right w:val="nil"/>
          <w:between w:val="nil"/>
        </w:pBdr>
        <w:ind w:left="720"/>
        <w:jc w:val="both"/>
        <w:rPr>
          <w:rFonts w:ascii="Bookman Old Style" w:eastAsia="Calibri" w:hAnsi="Bookman Old Style" w:cs="Arial"/>
          <w:color w:val="000000"/>
          <w:lang w:val="es-ES_tradnl"/>
        </w:rPr>
      </w:pPr>
    </w:p>
    <w:p w14:paraId="1FAEE63C" w14:textId="77777777" w:rsidR="00291DEF" w:rsidRPr="00BA2C74" w:rsidRDefault="00291DEF" w:rsidP="00291DEF">
      <w:pPr>
        <w:widowControl/>
        <w:numPr>
          <w:ilvl w:val="0"/>
          <w:numId w:val="41"/>
        </w:numPr>
        <w:jc w:val="both"/>
        <w:rPr>
          <w:rFonts w:ascii="Bookman Old Style" w:eastAsia="Calibri" w:hAnsi="Bookman Old Style" w:cs="Arial"/>
          <w:lang w:val="es-ES_tradnl"/>
        </w:rPr>
      </w:pPr>
      <w:r w:rsidRPr="00BA2C74">
        <w:rPr>
          <w:rFonts w:ascii="Bookman Old Style" w:eastAsia="Calibri" w:hAnsi="Bookman Old Style" w:cs="Arial"/>
          <w:lang w:val="es-ES_tradnl"/>
        </w:rPr>
        <w:t xml:space="preserve">Según FEDESARROLLO, con la producción obtenida a partir de las hectáreas ya cultivadas de cannabis medicinal o científico se generarían para el año 2020 una cifra de 109 millones de dólares de exportaciones y 1.214 empleos. </w:t>
      </w:r>
    </w:p>
    <w:p w14:paraId="13C36111" w14:textId="77777777" w:rsidR="00291DEF" w:rsidRPr="00BA2C74" w:rsidRDefault="00291DEF" w:rsidP="00291DEF">
      <w:pPr>
        <w:ind w:left="1440"/>
        <w:jc w:val="both"/>
        <w:rPr>
          <w:rFonts w:ascii="Bookman Old Style" w:eastAsia="Calibri" w:hAnsi="Bookman Old Style" w:cs="Arial"/>
          <w:lang w:val="es-ES_tradnl"/>
        </w:rPr>
      </w:pPr>
    </w:p>
    <w:p w14:paraId="496F97C6" w14:textId="77777777" w:rsidR="00291DEF" w:rsidRPr="00BA2C74" w:rsidRDefault="00291DEF" w:rsidP="00291DEF">
      <w:pPr>
        <w:widowControl/>
        <w:numPr>
          <w:ilvl w:val="1"/>
          <w:numId w:val="41"/>
        </w:numPr>
        <w:jc w:val="both"/>
        <w:rPr>
          <w:rFonts w:ascii="Bookman Old Style" w:eastAsia="Calibri" w:hAnsi="Bookman Old Style" w:cs="Arial"/>
          <w:lang w:val="es-ES_tradnl"/>
        </w:rPr>
      </w:pPr>
      <w:r w:rsidRPr="00BA2C74">
        <w:rPr>
          <w:rFonts w:ascii="Bookman Old Style" w:eastAsia="Calibri" w:hAnsi="Bookman Old Style" w:cs="Arial"/>
          <w:lang w:val="es-ES_tradnl"/>
        </w:rPr>
        <w:t>Con 1,558 H cultivadas en 2030 se podrían alcanzar ingresos entre USD 1.532 millones (escenario 2 caen los precios al 75%) y USD 3.065 millones (escenario 1- caen los precios al 50%). El empleo generado, llegaría a representar 41.748 empleos en 2030, incluyendo 26.968 empleos agrícolas.</w:t>
      </w:r>
      <w:r w:rsidRPr="00BA2C74">
        <w:rPr>
          <w:rStyle w:val="Refdenotaalpie"/>
          <w:rFonts w:ascii="Bookman Old Style" w:eastAsia="Calibri" w:hAnsi="Bookman Old Style" w:cs="Arial"/>
          <w:lang w:val="es-ES_tradnl"/>
        </w:rPr>
        <w:footnoteReference w:id="43"/>
      </w:r>
    </w:p>
    <w:p w14:paraId="591E7586" w14:textId="77777777" w:rsidR="00291DEF" w:rsidRPr="00BA2C74" w:rsidRDefault="00291DEF" w:rsidP="00291DEF">
      <w:pPr>
        <w:pStyle w:val="Prrafodelista"/>
        <w:spacing w:after="0" w:line="240" w:lineRule="auto"/>
        <w:ind w:left="993"/>
        <w:jc w:val="both"/>
        <w:rPr>
          <w:rFonts w:ascii="Bookman Old Style" w:eastAsia="Calibri" w:hAnsi="Bookman Old Style" w:cs="Arial"/>
          <w:lang w:val="es-ES_tradnl"/>
        </w:rPr>
      </w:pPr>
    </w:p>
    <w:p w14:paraId="008F736B" w14:textId="77777777" w:rsidR="00291DEF" w:rsidRPr="00BA2C74" w:rsidRDefault="00291DEF" w:rsidP="00291DEF">
      <w:pPr>
        <w:widowControl/>
        <w:numPr>
          <w:ilvl w:val="0"/>
          <w:numId w:val="41"/>
        </w:numPr>
        <w:pBdr>
          <w:top w:val="nil"/>
          <w:left w:val="nil"/>
          <w:bottom w:val="nil"/>
          <w:right w:val="nil"/>
          <w:between w:val="nil"/>
        </w:pBdr>
        <w:jc w:val="both"/>
        <w:rPr>
          <w:rFonts w:ascii="Bookman Old Style" w:eastAsia="Calibri" w:hAnsi="Bookman Old Style" w:cs="Arial"/>
          <w:color w:val="000000"/>
          <w:lang w:val="es-ES_tradnl"/>
        </w:rPr>
      </w:pPr>
      <w:r w:rsidRPr="00BA2C74">
        <w:rPr>
          <w:rFonts w:ascii="Bookman Old Style" w:eastAsia="Calibri" w:hAnsi="Bookman Old Style" w:cs="Arial"/>
          <w:color w:val="000000"/>
          <w:lang w:val="es-ES_tradnl"/>
        </w:rPr>
        <w:t>Durante los últimos cuatro años de legalización, los emprendedores colombianos han atraído más de US$500 millones en inversión extranjera.</w:t>
      </w:r>
      <w:r w:rsidRPr="00BA2C74">
        <w:rPr>
          <w:rStyle w:val="Refdenotaalpie"/>
          <w:rFonts w:ascii="Bookman Old Style" w:eastAsia="Calibri" w:hAnsi="Bookman Old Style" w:cs="Arial"/>
          <w:color w:val="000000"/>
          <w:lang w:val="es-ES_tradnl"/>
        </w:rPr>
        <w:footnoteReference w:id="44"/>
      </w:r>
    </w:p>
    <w:p w14:paraId="1A4B8C44" w14:textId="77777777" w:rsidR="00291DEF" w:rsidRPr="00BA2C74" w:rsidRDefault="00291DEF" w:rsidP="00291DEF">
      <w:pPr>
        <w:pStyle w:val="Ttulo2"/>
        <w:ind w:left="0"/>
        <w:jc w:val="both"/>
        <w:rPr>
          <w:rFonts w:ascii="Bookman Old Style" w:eastAsia="Calibri" w:hAnsi="Bookman Old Style"/>
          <w:b w:val="0"/>
          <w:sz w:val="22"/>
          <w:szCs w:val="22"/>
        </w:rPr>
      </w:pPr>
    </w:p>
    <w:p w14:paraId="5F50CF9D" w14:textId="4FFB61CE" w:rsidR="00291DEF" w:rsidRPr="00BA2C74" w:rsidRDefault="00291DEF" w:rsidP="00291DEF">
      <w:pPr>
        <w:pBdr>
          <w:top w:val="nil"/>
          <w:left w:val="nil"/>
          <w:bottom w:val="nil"/>
          <w:right w:val="nil"/>
          <w:between w:val="nil"/>
        </w:pBdr>
        <w:jc w:val="both"/>
        <w:rPr>
          <w:rFonts w:ascii="Bookman Old Style" w:eastAsia="Calibri" w:hAnsi="Bookman Old Style" w:cs="Arial"/>
          <w:color w:val="000000"/>
          <w:lang w:val="es-ES_tradnl"/>
        </w:rPr>
      </w:pPr>
      <w:r w:rsidRPr="00BA2C74">
        <w:rPr>
          <w:rFonts w:ascii="Bookman Old Style" w:eastAsia="Calibri" w:hAnsi="Bookman Old Style" w:cs="Arial"/>
          <w:color w:val="000000"/>
        </w:rPr>
        <w:t xml:space="preserve">Bajo esta misma línea, </w:t>
      </w:r>
      <w:r w:rsidRPr="00BA2C74">
        <w:rPr>
          <w:rFonts w:ascii="Bookman Old Style" w:eastAsia="Calibri" w:hAnsi="Bookman Old Style" w:cs="Arial"/>
          <w:color w:val="000000"/>
          <w:lang w:val="es-ES_tradnl"/>
        </w:rPr>
        <w:t>el exministro Juan Carlos Echeverry, el recaudo generado por esta industria podría evitarle al país una reforma tributaria, ya que el recaudo por concepto de impuesto de renta se podría ubicar entre 1,2 y 3,5 billones de pesos</w:t>
      </w:r>
      <w:r w:rsidRPr="00BA2C74">
        <w:rPr>
          <w:rFonts w:ascii="Bookman Old Style" w:eastAsia="Calibri" w:hAnsi="Bookman Old Style" w:cs="Arial"/>
          <w:i/>
          <w:lang w:val="es-ES_tradnl"/>
        </w:rPr>
        <w:t>.</w:t>
      </w:r>
      <w:r w:rsidRPr="00BA2C74">
        <w:rPr>
          <w:rStyle w:val="Refdenotaalpie"/>
          <w:rFonts w:ascii="Bookman Old Style" w:eastAsia="Calibri" w:hAnsi="Bookman Old Style" w:cs="Arial"/>
          <w:i/>
          <w:lang w:val="es-ES_tradnl"/>
        </w:rPr>
        <w:footnoteReference w:id="45"/>
      </w:r>
    </w:p>
    <w:p w14:paraId="3A39A73E" w14:textId="77777777" w:rsidR="00291DEF" w:rsidRPr="00BA2C74" w:rsidRDefault="00291DEF" w:rsidP="00291DEF">
      <w:pPr>
        <w:pBdr>
          <w:top w:val="nil"/>
          <w:left w:val="nil"/>
          <w:bottom w:val="nil"/>
          <w:right w:val="nil"/>
          <w:between w:val="nil"/>
        </w:pBdr>
        <w:jc w:val="both"/>
        <w:rPr>
          <w:rFonts w:ascii="Bookman Old Style" w:eastAsia="Calibri" w:hAnsi="Bookman Old Style" w:cs="Arial"/>
          <w:color w:val="000000"/>
          <w:lang w:val="es-ES_tradnl"/>
        </w:rPr>
      </w:pPr>
    </w:p>
    <w:p w14:paraId="50D1D894" w14:textId="77777777" w:rsidR="00291DEF" w:rsidRPr="00BA2C74" w:rsidRDefault="00291DEF" w:rsidP="00291DEF">
      <w:pPr>
        <w:pBdr>
          <w:top w:val="nil"/>
          <w:left w:val="nil"/>
          <w:bottom w:val="nil"/>
          <w:right w:val="nil"/>
          <w:between w:val="nil"/>
        </w:pBdr>
        <w:jc w:val="both"/>
        <w:rPr>
          <w:rFonts w:ascii="Bookman Old Style" w:eastAsia="Calibri" w:hAnsi="Bookman Old Style" w:cs="Arial"/>
          <w:color w:val="000000"/>
          <w:lang w:val="es-ES_tradnl"/>
        </w:rPr>
      </w:pPr>
      <w:r w:rsidRPr="00BA2C74">
        <w:rPr>
          <w:rFonts w:ascii="Bookman Old Style" w:eastAsia="Calibri" w:hAnsi="Bookman Old Style" w:cs="Arial"/>
          <w:color w:val="000000"/>
          <w:lang w:val="es-ES_tradnl"/>
        </w:rPr>
        <w:t>El hecho de que la industria de cannabis medicinal pueda alcanzar ingresos superiores a 100 millones de dólares a corto plazo es un hecho muy significativo, si se tiene en cuenta que las exportaciones de flores se demoraron diez años en superar los US$100 millones y casi 25 años en llegar a US$ 500 millones, como bien lo indica Fedesarrollo.</w:t>
      </w:r>
      <w:r w:rsidRPr="00BA2C74">
        <w:rPr>
          <w:rStyle w:val="Refdenotaalpie"/>
          <w:rFonts w:ascii="Bookman Old Style" w:eastAsia="Calibri" w:hAnsi="Bookman Old Style" w:cs="Arial"/>
          <w:color w:val="000000"/>
          <w:lang w:val="es-ES_tradnl"/>
        </w:rPr>
        <w:footnoteReference w:id="46"/>
      </w:r>
      <w:r w:rsidRPr="00BA2C74">
        <w:rPr>
          <w:rFonts w:ascii="Bookman Old Style" w:eastAsia="Calibri" w:hAnsi="Bookman Old Style" w:cs="Arial"/>
          <w:color w:val="000000"/>
          <w:lang w:val="es-ES_tradnl"/>
        </w:rPr>
        <w:t xml:space="preserve"> </w:t>
      </w:r>
    </w:p>
    <w:p w14:paraId="1D6E848D" w14:textId="77777777" w:rsidR="00291DEF" w:rsidRPr="00BA2C74" w:rsidRDefault="00291DEF" w:rsidP="00291DEF">
      <w:pPr>
        <w:pStyle w:val="Ttulo2"/>
        <w:ind w:left="0"/>
        <w:jc w:val="both"/>
        <w:rPr>
          <w:rFonts w:ascii="Bookman Old Style" w:eastAsia="Calibri" w:hAnsi="Bookman Old Style"/>
          <w:b w:val="0"/>
          <w:sz w:val="22"/>
          <w:szCs w:val="22"/>
          <w:lang w:val="es-ES_tradnl"/>
        </w:rPr>
      </w:pPr>
    </w:p>
    <w:p w14:paraId="32CB38A9" w14:textId="612CBE3C" w:rsidR="00291DEF" w:rsidRPr="00291DEF" w:rsidRDefault="00291DEF" w:rsidP="00291DEF">
      <w:pPr>
        <w:pStyle w:val="Ttulo2"/>
        <w:ind w:left="0"/>
        <w:jc w:val="both"/>
        <w:rPr>
          <w:rFonts w:ascii="Bookman Old Style" w:eastAsia="Calibri" w:hAnsi="Bookman Old Style"/>
          <w:b w:val="0"/>
          <w:sz w:val="22"/>
          <w:szCs w:val="22"/>
        </w:rPr>
      </w:pPr>
      <w:r w:rsidRPr="00BA2C74">
        <w:rPr>
          <w:rFonts w:ascii="Bookman Old Style" w:eastAsia="Calibri" w:hAnsi="Bookman Old Style"/>
          <w:b w:val="0"/>
          <w:sz w:val="22"/>
          <w:szCs w:val="22"/>
        </w:rPr>
        <w:t>Aunado a que las cifras pueden continuar en aumento teniendo en consideración 1) que dicho mercado deja de ser estigmatizado; 2) cada vez hay más cupos otorgados; 3) hay un aumento exponencial de solicitudes de licencias para el uso de semillas, el cultivo de plantas y la fabricación de derivados; y 4) Aumenta la cifra de países que se abren a este nuevo mercado.</w:t>
      </w:r>
    </w:p>
    <w:p w14:paraId="64FE1E5C" w14:textId="03DF8A04" w:rsidR="00291DEF" w:rsidRDefault="00291DEF" w:rsidP="00291DEF">
      <w:pPr>
        <w:rPr>
          <w:rFonts w:eastAsia="Calibri"/>
        </w:rPr>
      </w:pPr>
    </w:p>
    <w:p w14:paraId="31BE5FB8" w14:textId="77777777" w:rsidR="00291DEF" w:rsidRPr="00291DEF" w:rsidRDefault="00291DEF" w:rsidP="00291DEF">
      <w:pPr>
        <w:rPr>
          <w:rFonts w:eastAsia="Calibri"/>
        </w:rPr>
      </w:pPr>
    </w:p>
    <w:p w14:paraId="7D8E8C16" w14:textId="5F8640D0" w:rsidR="00F36280" w:rsidRPr="00485CC5" w:rsidRDefault="00291DEF" w:rsidP="000B0FBF">
      <w:pPr>
        <w:pStyle w:val="Ttulo2"/>
        <w:numPr>
          <w:ilvl w:val="0"/>
          <w:numId w:val="35"/>
        </w:numPr>
        <w:jc w:val="center"/>
        <w:rPr>
          <w:rFonts w:ascii="Bookman Old Style" w:eastAsia="Calibri" w:hAnsi="Bookman Old Style" w:cs="Calibri"/>
          <w:sz w:val="22"/>
          <w:szCs w:val="24"/>
        </w:rPr>
      </w:pPr>
      <w:r>
        <w:rPr>
          <w:rFonts w:ascii="Bookman Old Style" w:eastAsia="Calibri" w:hAnsi="Bookman Old Style" w:cs="Calibri"/>
          <w:sz w:val="22"/>
          <w:szCs w:val="24"/>
        </w:rPr>
        <w:t>R</w:t>
      </w:r>
      <w:r w:rsidR="00F36280" w:rsidRPr="00485CC5">
        <w:rPr>
          <w:rFonts w:ascii="Bookman Old Style" w:eastAsia="Calibri" w:hAnsi="Bookman Old Style" w:cs="Calibri"/>
          <w:sz w:val="22"/>
          <w:szCs w:val="24"/>
        </w:rPr>
        <w:t>EGULACIÓN DE ESTUPEFACIENTES EN COLOMBIA: ANÁLISIS CONSTITUCIONAL Y LEGAL.</w:t>
      </w:r>
    </w:p>
    <w:p w14:paraId="60A12712" w14:textId="77777777" w:rsidR="00F36280" w:rsidRPr="00485CC5" w:rsidRDefault="00F36280" w:rsidP="00F36280">
      <w:pPr>
        <w:rPr>
          <w:rFonts w:ascii="Bookman Old Style" w:eastAsia="Calibri" w:hAnsi="Bookman Old Style"/>
          <w:szCs w:val="24"/>
        </w:rPr>
      </w:pPr>
    </w:p>
    <w:p w14:paraId="2164B9C7" w14:textId="77777777" w:rsidR="00F36280" w:rsidRPr="00485CC5" w:rsidRDefault="00F36280" w:rsidP="00F36280">
      <w:pPr>
        <w:jc w:val="both"/>
        <w:rPr>
          <w:rFonts w:ascii="Bookman Old Style" w:eastAsia="Calibri" w:hAnsi="Bookman Old Style" w:cs="Calibri"/>
          <w:szCs w:val="24"/>
        </w:rPr>
      </w:pPr>
      <w:r w:rsidRPr="00485CC5">
        <w:rPr>
          <w:rFonts w:ascii="Bookman Old Style" w:eastAsia="Calibri" w:hAnsi="Bookman Old Style" w:cs="Calibri"/>
          <w:szCs w:val="24"/>
          <w:lang w:val="es-ES_tradnl"/>
        </w:rPr>
        <w:t xml:space="preserve">La Corte Constitucional en </w:t>
      </w:r>
      <w:r w:rsidRPr="00485CC5">
        <w:rPr>
          <w:rFonts w:ascii="Bookman Old Style" w:eastAsia="Calibri" w:hAnsi="Bookman Old Style" w:cs="Calibri"/>
          <w:bCs/>
          <w:szCs w:val="24"/>
        </w:rPr>
        <w:t>Sentencia T-388 de 2013</w:t>
      </w:r>
      <w:r w:rsidRPr="00485CC5">
        <w:rPr>
          <w:rFonts w:ascii="Bookman Old Style" w:eastAsia="Calibri" w:hAnsi="Bookman Old Style" w:cs="Calibri"/>
          <w:szCs w:val="24"/>
        </w:rPr>
        <w:t> determinó que la política criminal colombiana se ha caracterizado por ser reactiva, desprovista de una adecuada fundamentación empírica, incoherente, tendiente al endurecimiento punitivo, populista, poco reflexiva frente a los retos del contexto nacional, subordinada a la política de seguridad, volátil y débil. Estas características resultan problemáticas, en tanto, desligan la política criminal de sus objetivos principales: combatir la criminalidad y lograr la efectiva resocialización de los condenados.</w:t>
      </w:r>
    </w:p>
    <w:p w14:paraId="3037D1C6" w14:textId="77777777" w:rsidR="00F36280" w:rsidRPr="00485CC5" w:rsidRDefault="00F36280" w:rsidP="00F36280">
      <w:pPr>
        <w:jc w:val="both"/>
        <w:rPr>
          <w:rFonts w:ascii="Bookman Old Style" w:eastAsia="Calibri" w:hAnsi="Bookman Old Style" w:cs="Calibri"/>
          <w:szCs w:val="24"/>
        </w:rPr>
      </w:pPr>
    </w:p>
    <w:p w14:paraId="68776188"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rPr>
        <w:t xml:space="preserve">Bajo esta directriz, </w:t>
      </w:r>
      <w:r w:rsidRPr="00485CC5">
        <w:rPr>
          <w:rFonts w:ascii="Bookman Old Style" w:eastAsia="Calibri" w:hAnsi="Bookman Old Style" w:cs="Calibri"/>
          <w:szCs w:val="24"/>
          <w:lang w:val="es-ES_tradnl"/>
        </w:rPr>
        <w:t>Colombia ha enfrentado el problema que se deriva del narcotráfico, promoviendo políticas de criminalización que atacan indistintamente a todos los eslabones de la cadena, no sólo a su producción y tráfico sino además a su consumo. Estas políticas no han sido eficientes, principalmente porque a la fecha no han logrado reducir de manera contundente la oferta o la demanda de sustancias ilegales, generando efectos secundarios con graves repercusiones sociales, tales como: 1) economías ilícitas (narcotráfico), 2) una discriminación injustificada a grupos poblacionales vulnerables, 3) violencia, 4) inseguridad en los diferentes escenarios ciudadanos y 5) abuso de sustancias tanto legales como ilegales.</w:t>
      </w:r>
    </w:p>
    <w:p w14:paraId="46E59EFC" w14:textId="77777777" w:rsidR="00F36280" w:rsidRPr="00485CC5" w:rsidRDefault="00F36280" w:rsidP="00F36280">
      <w:pPr>
        <w:jc w:val="both"/>
        <w:rPr>
          <w:rFonts w:ascii="Bookman Old Style" w:eastAsia="Calibri" w:hAnsi="Bookman Old Style" w:cs="Calibri"/>
          <w:szCs w:val="24"/>
          <w:lang w:val="es-ES_tradnl"/>
        </w:rPr>
      </w:pPr>
    </w:p>
    <w:p w14:paraId="7210F7B2"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Las políticas prohibicionistas, además de ser infructuosas van en detrimento de los derechos fundamentales al libre desarrollo de la personalidad, igualdad y salud pública.</w:t>
      </w:r>
    </w:p>
    <w:p w14:paraId="0FFB52D1" w14:textId="77777777" w:rsidR="00F36280" w:rsidRPr="00485CC5" w:rsidRDefault="00F36280" w:rsidP="00F36280">
      <w:pPr>
        <w:jc w:val="both"/>
        <w:rPr>
          <w:rFonts w:ascii="Bookman Old Style" w:eastAsia="Calibri" w:hAnsi="Bookman Old Style" w:cs="Calibri"/>
          <w:szCs w:val="24"/>
          <w:lang w:val="es-ES_tradnl"/>
        </w:rPr>
      </w:pPr>
    </w:p>
    <w:p w14:paraId="37A4C5D0" w14:textId="77777777" w:rsidR="00F36280" w:rsidRPr="00485CC5" w:rsidRDefault="00F36280" w:rsidP="00F36280">
      <w:pPr>
        <w:jc w:val="both"/>
        <w:rPr>
          <w:rFonts w:ascii="Bookman Old Style" w:eastAsia="Calibri" w:hAnsi="Bookman Old Style" w:cs="Calibri"/>
          <w:bCs/>
          <w:i/>
          <w:iCs/>
          <w:szCs w:val="24"/>
          <w:lang w:val="es-ES_tradnl"/>
        </w:rPr>
      </w:pPr>
      <w:r w:rsidRPr="00485CC5">
        <w:rPr>
          <w:rFonts w:ascii="Bookman Old Style" w:eastAsia="Calibri" w:hAnsi="Bookman Old Style" w:cs="Calibri"/>
          <w:bCs/>
          <w:iCs/>
          <w:szCs w:val="24"/>
          <w:lang w:val="es-ES_tradnl"/>
        </w:rPr>
        <w:t>La penalización del cannabis no impide que las personas accedan a ella, pero las obliga a consumirla en condiciones de ilegalidad y bajo constante amenaza policial.</w:t>
      </w:r>
      <w:r w:rsidRPr="00485CC5">
        <w:rPr>
          <w:rStyle w:val="Refdenotaalpie"/>
          <w:rFonts w:ascii="Bookman Old Style" w:eastAsia="Calibri" w:hAnsi="Bookman Old Style" w:cs="Calibri"/>
          <w:bCs/>
          <w:iCs/>
          <w:szCs w:val="24"/>
          <w:lang w:val="es-ES_tradnl"/>
        </w:rPr>
        <w:footnoteReference w:id="47"/>
      </w:r>
      <w:r w:rsidRPr="00485CC5">
        <w:rPr>
          <w:rFonts w:ascii="Bookman Old Style" w:eastAsia="Calibri" w:hAnsi="Bookman Old Style" w:cs="Calibri"/>
          <w:bCs/>
          <w:i/>
          <w:iCs/>
          <w:szCs w:val="24"/>
          <w:lang w:val="es-ES_tradnl"/>
        </w:rPr>
        <w:t xml:space="preserve"> </w:t>
      </w:r>
    </w:p>
    <w:p w14:paraId="474584A5" w14:textId="77777777" w:rsidR="00F36280" w:rsidRPr="00485CC5" w:rsidRDefault="00F36280" w:rsidP="00F36280">
      <w:pPr>
        <w:jc w:val="both"/>
        <w:rPr>
          <w:rFonts w:ascii="Bookman Old Style" w:eastAsia="Calibri" w:hAnsi="Bookman Old Style" w:cs="Calibri"/>
          <w:bCs/>
          <w:i/>
          <w:iCs/>
          <w:szCs w:val="24"/>
          <w:lang w:val="es-ES_tradnl"/>
        </w:rPr>
      </w:pPr>
    </w:p>
    <w:p w14:paraId="55202756" w14:textId="62722817" w:rsidR="00251DA4" w:rsidRPr="00485CC5" w:rsidRDefault="00F36280" w:rsidP="00F36280">
      <w:pPr>
        <w:jc w:val="both"/>
        <w:rPr>
          <w:rFonts w:ascii="Bookman Old Style" w:eastAsia="Calibri" w:hAnsi="Bookman Old Style" w:cs="Calibri"/>
          <w:bCs/>
          <w:iCs/>
          <w:szCs w:val="24"/>
          <w:lang w:val="es-ES_tradnl"/>
        </w:rPr>
      </w:pPr>
      <w:r w:rsidRPr="00485CC5">
        <w:rPr>
          <w:rFonts w:ascii="Bookman Old Style" w:eastAsia="Calibri" w:hAnsi="Bookman Old Style" w:cs="Calibri"/>
          <w:bCs/>
          <w:iCs/>
          <w:szCs w:val="24"/>
          <w:lang w:val="es-ES_tradnl"/>
        </w:rPr>
        <w:t>A continuación, analizaremos las políticas actuales a la luz del derecho constitucional colombiano, así como de la política criminal vigente. Esto con el fin de evidenciar que es momento de cambiar la regulación vigente en aras de fortalecer un sistema jurídico coherente y de lograr resultados más efectivos en lo relativo al control del porte y consumo del cannabis.</w:t>
      </w:r>
    </w:p>
    <w:p w14:paraId="4D91E588" w14:textId="77777777" w:rsidR="00F36280" w:rsidRPr="00485CC5" w:rsidRDefault="00F36280" w:rsidP="00F36280">
      <w:pPr>
        <w:pStyle w:val="Ttulo2"/>
        <w:ind w:left="0"/>
        <w:rPr>
          <w:rFonts w:ascii="Bookman Old Style" w:eastAsia="Calibri" w:hAnsi="Bookman Old Style" w:cs="Calibri"/>
          <w:sz w:val="22"/>
          <w:szCs w:val="24"/>
        </w:rPr>
      </w:pPr>
    </w:p>
    <w:p w14:paraId="711F83B2" w14:textId="3762DA10" w:rsidR="00F36280" w:rsidRPr="00485CC5" w:rsidRDefault="008D6C03" w:rsidP="00F36280">
      <w:pPr>
        <w:pStyle w:val="Ttulo2"/>
        <w:ind w:left="0"/>
        <w:rPr>
          <w:rFonts w:ascii="Bookman Old Style" w:eastAsia="Calibri" w:hAnsi="Bookman Old Style" w:cs="Calibri"/>
          <w:sz w:val="22"/>
          <w:szCs w:val="24"/>
        </w:rPr>
      </w:pPr>
      <w:r>
        <w:rPr>
          <w:rFonts w:ascii="Bookman Old Style" w:eastAsia="Calibri" w:hAnsi="Bookman Old Style" w:cs="Calibri"/>
          <w:sz w:val="22"/>
          <w:szCs w:val="24"/>
        </w:rPr>
        <w:t>6</w:t>
      </w:r>
      <w:r w:rsidR="00F36280" w:rsidRPr="00485CC5">
        <w:rPr>
          <w:rFonts w:ascii="Bookman Old Style" w:eastAsia="Calibri" w:hAnsi="Bookman Old Style" w:cs="Calibri"/>
          <w:sz w:val="22"/>
          <w:szCs w:val="24"/>
        </w:rPr>
        <w:t>.1 PROHIBICIÓN VS. DERECHOS FUNDAMENTALES</w:t>
      </w:r>
    </w:p>
    <w:p w14:paraId="610C3614" w14:textId="77777777" w:rsidR="00F36280" w:rsidRPr="00485CC5" w:rsidRDefault="00F36280" w:rsidP="00F36280">
      <w:pPr>
        <w:jc w:val="both"/>
        <w:rPr>
          <w:rFonts w:ascii="Bookman Old Style" w:eastAsia="Calibri" w:hAnsi="Bookman Old Style" w:cs="Calibri"/>
          <w:szCs w:val="24"/>
        </w:rPr>
      </w:pPr>
    </w:p>
    <w:p w14:paraId="2C838531" w14:textId="77777777" w:rsidR="00F36280" w:rsidRPr="00485CC5" w:rsidRDefault="00F36280" w:rsidP="00F36280">
      <w:pPr>
        <w:jc w:val="both"/>
        <w:rPr>
          <w:rFonts w:ascii="Bookman Old Style" w:eastAsia="Calibri" w:hAnsi="Bookman Old Style" w:cs="Calibri"/>
          <w:szCs w:val="24"/>
        </w:rPr>
      </w:pPr>
      <w:r w:rsidRPr="00485CC5">
        <w:rPr>
          <w:rFonts w:ascii="Bookman Old Style" w:eastAsia="Calibri" w:hAnsi="Bookman Old Style" w:cs="Calibri"/>
          <w:szCs w:val="24"/>
        </w:rPr>
        <w:t xml:space="preserve">Como fue referido al inicio de este documento, el consumo de sustancias estupefacientes está relacionado con tres derechos fundamentales: </w:t>
      </w:r>
      <w:r w:rsidR="00750120">
        <w:rPr>
          <w:rFonts w:ascii="Bookman Old Style" w:eastAsia="Calibri" w:hAnsi="Bookman Old Style" w:cs="Calibri"/>
          <w:szCs w:val="24"/>
        </w:rPr>
        <w:t>el derecho al libre desarrollo de la personalidad, el derecho a la igualdad y</w:t>
      </w:r>
      <w:r w:rsidRPr="00485CC5">
        <w:rPr>
          <w:rFonts w:ascii="Bookman Old Style" w:eastAsia="Calibri" w:hAnsi="Bookman Old Style" w:cs="Calibri"/>
          <w:szCs w:val="24"/>
        </w:rPr>
        <w:t xml:space="preserve"> </w:t>
      </w:r>
      <w:r w:rsidR="00750120">
        <w:rPr>
          <w:rFonts w:ascii="Bookman Old Style" w:eastAsia="Calibri" w:hAnsi="Bookman Old Style" w:cs="Calibri"/>
          <w:szCs w:val="24"/>
        </w:rPr>
        <w:t xml:space="preserve">el derecho a </w:t>
      </w:r>
      <w:r w:rsidRPr="00485CC5">
        <w:rPr>
          <w:rFonts w:ascii="Bookman Old Style" w:eastAsia="Calibri" w:hAnsi="Bookman Old Style" w:cs="Calibri"/>
          <w:szCs w:val="24"/>
        </w:rPr>
        <w:t xml:space="preserve">la salud. </w:t>
      </w:r>
    </w:p>
    <w:p w14:paraId="4C99802B" w14:textId="77777777" w:rsidR="00F36280" w:rsidRPr="00485CC5" w:rsidRDefault="00F36280" w:rsidP="00F36280">
      <w:pPr>
        <w:pStyle w:val="Ttulo2"/>
        <w:ind w:left="0"/>
        <w:rPr>
          <w:rFonts w:ascii="Bookman Old Style" w:eastAsia="Calibri" w:hAnsi="Bookman Old Style" w:cs="Calibri"/>
          <w:sz w:val="22"/>
          <w:szCs w:val="24"/>
        </w:rPr>
      </w:pPr>
    </w:p>
    <w:p w14:paraId="37D6C385" w14:textId="5198B9D4" w:rsidR="00F36280" w:rsidRPr="00485CC5" w:rsidRDefault="008D6C03" w:rsidP="00F36280">
      <w:pPr>
        <w:pStyle w:val="Ttulo2"/>
        <w:ind w:left="0"/>
        <w:rPr>
          <w:rFonts w:ascii="Bookman Old Style" w:eastAsia="Calibri" w:hAnsi="Bookman Old Style" w:cs="Calibri"/>
          <w:sz w:val="22"/>
          <w:szCs w:val="24"/>
        </w:rPr>
      </w:pPr>
      <w:r>
        <w:rPr>
          <w:rFonts w:ascii="Bookman Old Style" w:eastAsia="Calibri" w:hAnsi="Bookman Old Style" w:cs="Calibri"/>
          <w:sz w:val="22"/>
          <w:szCs w:val="24"/>
        </w:rPr>
        <w:t>6</w:t>
      </w:r>
      <w:r w:rsidR="00F36280" w:rsidRPr="00485CC5">
        <w:rPr>
          <w:rFonts w:ascii="Bookman Old Style" w:eastAsia="Calibri" w:hAnsi="Bookman Old Style" w:cs="Calibri"/>
          <w:sz w:val="22"/>
          <w:szCs w:val="24"/>
        </w:rPr>
        <w:t>.1.1. DERECHO AL LIBRE DESARROLLO DE LA PERSONALIDAD</w:t>
      </w:r>
    </w:p>
    <w:p w14:paraId="45178D3F" w14:textId="77777777" w:rsidR="00F36280" w:rsidRPr="00485CC5" w:rsidRDefault="00F36280" w:rsidP="00F36280">
      <w:pPr>
        <w:jc w:val="both"/>
        <w:rPr>
          <w:rFonts w:ascii="Bookman Old Style" w:eastAsia="Calibri" w:hAnsi="Bookman Old Style" w:cs="Calibri"/>
          <w:szCs w:val="24"/>
        </w:rPr>
      </w:pPr>
    </w:p>
    <w:p w14:paraId="3392921D"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rPr>
        <w:t xml:space="preserve">El derecho al libre desarrollo de la personalidad, manifestación de la </w:t>
      </w:r>
      <w:r w:rsidRPr="00485CC5">
        <w:rPr>
          <w:rFonts w:ascii="Bookman Old Style" w:eastAsia="Calibri" w:hAnsi="Bookman Old Style" w:cs="Calibri"/>
          <w:szCs w:val="24"/>
          <w:lang w:val="es-ES_tradnl"/>
        </w:rPr>
        <w:t>libertad como un fin esencial del Estado Social de Derecho</w:t>
      </w:r>
      <w:r w:rsidRPr="00485CC5">
        <w:rPr>
          <w:rStyle w:val="Refdenotaalpie"/>
          <w:rFonts w:ascii="Bookman Old Style" w:eastAsia="Calibri" w:hAnsi="Bookman Old Style" w:cs="Calibri"/>
          <w:szCs w:val="24"/>
          <w:lang w:val="es-ES_tradnl"/>
        </w:rPr>
        <w:footnoteReference w:id="48"/>
      </w:r>
      <w:r w:rsidRPr="00485CC5">
        <w:rPr>
          <w:rFonts w:ascii="Bookman Old Style" w:eastAsia="Calibri" w:hAnsi="Bookman Old Style" w:cs="Calibri"/>
          <w:szCs w:val="24"/>
          <w:lang w:val="es-ES_tradnl"/>
        </w:rPr>
        <w:t xml:space="preserve">, se deriva del reconocimiento expreso realizado por el Constituyente en el artículo 16 de la Carta Política, en virtud del cual </w:t>
      </w:r>
      <w:r w:rsidRPr="00485CC5">
        <w:rPr>
          <w:rFonts w:ascii="Bookman Old Style" w:eastAsia="Calibri" w:hAnsi="Bookman Old Style" w:cs="Calibri"/>
          <w:i/>
          <w:szCs w:val="24"/>
          <w:lang w:val="es-ES_tradnl"/>
        </w:rPr>
        <w:t>“todas las personas tienen derecho al libre desarrollo de su personalidad sin más limitaciones que las que imponen los derechos de los demás y el orden jurídico.”</w:t>
      </w:r>
      <w:r w:rsidRPr="00485CC5">
        <w:rPr>
          <w:rFonts w:ascii="Bookman Old Style" w:eastAsia="Calibri" w:hAnsi="Bookman Old Style" w:cs="Calibri"/>
          <w:szCs w:val="24"/>
          <w:lang w:val="es-ES_tradnl"/>
        </w:rPr>
        <w:t xml:space="preserve"> </w:t>
      </w:r>
    </w:p>
    <w:p w14:paraId="18FC2F6A" w14:textId="77777777" w:rsidR="00F36280" w:rsidRPr="00485CC5" w:rsidRDefault="00F36280" w:rsidP="00F36280">
      <w:pPr>
        <w:jc w:val="both"/>
        <w:rPr>
          <w:rFonts w:ascii="Bookman Old Style" w:eastAsia="Calibri" w:hAnsi="Bookman Old Style" w:cs="Calibri"/>
          <w:szCs w:val="24"/>
          <w:lang w:val="es-ES_tradnl"/>
        </w:rPr>
      </w:pPr>
    </w:p>
    <w:p w14:paraId="1DB3B6EC" w14:textId="77777777" w:rsidR="00F36280" w:rsidRPr="00485CC5" w:rsidRDefault="00F36280" w:rsidP="00F36280">
      <w:pPr>
        <w:jc w:val="both"/>
        <w:rPr>
          <w:rFonts w:ascii="Bookman Old Style" w:eastAsia="Calibri" w:hAnsi="Bookman Old Style" w:cs="Calibri"/>
          <w:szCs w:val="24"/>
        </w:rPr>
      </w:pPr>
      <w:r w:rsidRPr="00485CC5">
        <w:rPr>
          <w:rFonts w:ascii="Bookman Old Style" w:eastAsia="Calibri" w:hAnsi="Bookman Old Style" w:cs="Calibri"/>
          <w:szCs w:val="24"/>
          <w:lang w:val="es-ES_tradnl"/>
        </w:rPr>
        <w:t xml:space="preserve">Este derecho, de naturaleza fundamental, </w:t>
      </w:r>
      <w:r w:rsidRPr="00485CC5">
        <w:rPr>
          <w:rFonts w:ascii="Bookman Old Style" w:eastAsia="Calibri" w:hAnsi="Bookman Old Style" w:cs="Calibri"/>
          <w:szCs w:val="24"/>
        </w:rPr>
        <w:t>ostenta un vínculo innegable con el derecho a la dignidad humana y “</w:t>
      </w:r>
      <w:r w:rsidRPr="00485CC5">
        <w:rPr>
          <w:rFonts w:ascii="Bookman Old Style" w:eastAsia="Calibri" w:hAnsi="Bookman Old Style" w:cs="Calibri"/>
          <w:i/>
          <w:szCs w:val="24"/>
        </w:rPr>
        <w:t>busca proteger la potestad del individuo para autodeterminarse; esto es, la posibilidad de adoptar, sin intromisiones ni presiones de ninguna clase, un modelo de vida acorde con sus propios intereses, convicciones, inclinaciones y deseos, siempre, claro está, que se respeten los derechos ajenos y el orden constitucional</w:t>
      </w:r>
      <w:r w:rsidRPr="00485CC5">
        <w:rPr>
          <w:rFonts w:ascii="Bookman Old Style" w:eastAsia="Calibri" w:hAnsi="Bookman Old Style" w:cs="Calibri"/>
          <w:szCs w:val="24"/>
        </w:rPr>
        <w:t>”.</w:t>
      </w:r>
      <w:r w:rsidRPr="00485CC5">
        <w:rPr>
          <w:rStyle w:val="Refdenotaalpie"/>
          <w:rFonts w:ascii="Bookman Old Style" w:eastAsia="Calibri" w:hAnsi="Bookman Old Style" w:cs="Calibri"/>
          <w:szCs w:val="24"/>
        </w:rPr>
        <w:footnoteReference w:id="49"/>
      </w:r>
    </w:p>
    <w:p w14:paraId="127D452B" w14:textId="77777777" w:rsidR="00F36280" w:rsidRPr="00485CC5" w:rsidRDefault="00F36280" w:rsidP="00F36280">
      <w:pPr>
        <w:jc w:val="both"/>
        <w:rPr>
          <w:rFonts w:ascii="Bookman Old Style" w:eastAsia="Calibri" w:hAnsi="Bookman Old Style" w:cs="Calibri"/>
          <w:szCs w:val="24"/>
          <w:lang w:val="es-ES_tradnl"/>
        </w:rPr>
      </w:pPr>
    </w:p>
    <w:p w14:paraId="6AD33665"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En reiterados pronunciamientos, la jurisprudencia de la Corte Constitucional ha sido enfática en que todas las limitaciones al derecho al libre desarrollo de la personalidad deben contar con un fundamento jurídico constitucional.</w:t>
      </w:r>
      <w:r w:rsidRPr="00485CC5">
        <w:rPr>
          <w:rStyle w:val="Refdenotaalpie"/>
          <w:rFonts w:ascii="Bookman Old Style" w:eastAsia="Calibri" w:hAnsi="Bookman Old Style" w:cs="Calibri"/>
          <w:szCs w:val="24"/>
          <w:lang w:val="es-ES_tradnl"/>
        </w:rPr>
        <w:footnoteReference w:id="50"/>
      </w:r>
      <w:r w:rsidRPr="00485CC5">
        <w:rPr>
          <w:rFonts w:ascii="Bookman Old Style" w:eastAsia="Calibri" w:hAnsi="Bookman Old Style" w:cs="Calibri"/>
          <w:szCs w:val="24"/>
          <w:lang w:val="es-ES_tradnl"/>
        </w:rPr>
        <w:t xml:space="preserve"> Lo anterior implica que la libertad de configuración legislativa se encuentra especialmente restringida y que, en cualquier caso, es necesario realizar un juicio de ponderación para garantizar que no se vea afectada la autonomía de cada ser humano para  alcanzar su realización personal.</w:t>
      </w:r>
      <w:r w:rsidRPr="00485CC5">
        <w:rPr>
          <w:rStyle w:val="Refdenotaalpie"/>
          <w:rFonts w:ascii="Bookman Old Style" w:eastAsia="Calibri" w:hAnsi="Bookman Old Style" w:cs="Calibri"/>
          <w:szCs w:val="24"/>
          <w:lang w:val="es-ES_tradnl"/>
        </w:rPr>
        <w:footnoteReference w:id="51"/>
      </w:r>
    </w:p>
    <w:p w14:paraId="43DAAE3D" w14:textId="77777777" w:rsidR="00F36280" w:rsidRPr="00485CC5" w:rsidRDefault="00F36280" w:rsidP="00F36280">
      <w:pPr>
        <w:tabs>
          <w:tab w:val="center" w:pos="4419"/>
        </w:tabs>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ab/>
      </w:r>
    </w:p>
    <w:p w14:paraId="375B2337"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Bajo esta línea jurisprudencial, la Corte ha reconocido, desde el año 1991, un extenso catálogo de derechos que habían sido limitados por iniciativa legislativa y que hacían referencia a aspectos íntimos de los ciudadanos, entre los que se resaltan aquellos relacionados con la orientación sexual o el consumo de sustancias psicoactivas.</w:t>
      </w:r>
    </w:p>
    <w:p w14:paraId="3E62D2A4" w14:textId="77777777" w:rsidR="00F36280" w:rsidRPr="00485CC5" w:rsidRDefault="00F36280" w:rsidP="00F36280">
      <w:pPr>
        <w:jc w:val="both"/>
        <w:rPr>
          <w:rFonts w:ascii="Bookman Old Style" w:eastAsia="Calibri" w:hAnsi="Bookman Old Style" w:cs="Calibri"/>
          <w:szCs w:val="24"/>
          <w:lang w:val="es-ES_tradnl"/>
        </w:rPr>
      </w:pPr>
    </w:p>
    <w:p w14:paraId="7037B95D"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Fue precisamente este último tema, la penalización del consumo de drogas, el que motivó en el año 1994 un análisis sobre el derecho al libre desarrollo de la personalidad y a los límites del legislador en esa materia. </w:t>
      </w:r>
    </w:p>
    <w:p w14:paraId="24CF122F" w14:textId="77777777" w:rsidR="00F36280" w:rsidRPr="00485CC5" w:rsidRDefault="00F36280" w:rsidP="00F36280">
      <w:pPr>
        <w:jc w:val="both"/>
        <w:rPr>
          <w:rFonts w:ascii="Bookman Old Style" w:eastAsia="Calibri" w:hAnsi="Bookman Old Style" w:cs="Calibri"/>
          <w:szCs w:val="24"/>
          <w:lang w:val="es-ES_tradnl"/>
        </w:rPr>
      </w:pPr>
    </w:p>
    <w:p w14:paraId="36F9500B"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Dentro del análisis realizado por la Corte en la sentencia referida, afirmó el Alto Tribunal que el “</w:t>
      </w:r>
      <w:r w:rsidRPr="00485CC5">
        <w:rPr>
          <w:rFonts w:ascii="Bookman Old Style" w:eastAsia="Calibri" w:hAnsi="Bookman Old Style" w:cs="Calibri"/>
          <w:i/>
          <w:szCs w:val="24"/>
          <w:lang w:val="es-ES_tradnl"/>
        </w:rPr>
        <w:t>legislador puede prescribirme la forma en que debo comportarme con otros, pero no la forma en que debo comportarme conmigo mismo, en la medida en que mi conducta no interfiere con la órbita de acción de nadie.  Si de hecho lo hace, su prescripción sólo puede interpretarse de una de estas tres maneras: 1) expresa un deseo sin connotaciones normativas; 2) se asume dueño absoluto de la conducta de cada persona, aún en los aspectos que nada tienen que ver con la conducta ajena; 3) toma en cuenta la situación de otras personas a quienes la conducta del sujeto destinatario puede afectar.”</w:t>
      </w:r>
    </w:p>
    <w:p w14:paraId="15808DF7" w14:textId="77777777" w:rsidR="00F36280" w:rsidRPr="00485CC5" w:rsidRDefault="00F36280" w:rsidP="00F36280">
      <w:pPr>
        <w:jc w:val="both"/>
        <w:rPr>
          <w:rFonts w:ascii="Bookman Old Style" w:eastAsia="Calibri" w:hAnsi="Bookman Old Style" w:cs="Calibri"/>
          <w:szCs w:val="24"/>
          <w:lang w:val="es-ES_tradnl"/>
        </w:rPr>
      </w:pPr>
    </w:p>
    <w:p w14:paraId="7FD2F9A5"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De lo anterior se desprende entonces que el Estado no está facultado para imponer, ni siquiera por la vía legislativa, unos límites al accionar de cada individuo en aquellas actividades que repercutan únicamente en su </w:t>
      </w:r>
      <w:r w:rsidR="00DC49AD" w:rsidRPr="00485CC5">
        <w:rPr>
          <w:rFonts w:ascii="Bookman Old Style" w:eastAsia="Calibri" w:hAnsi="Bookman Old Style" w:cs="Calibri"/>
          <w:szCs w:val="24"/>
          <w:lang w:val="es-ES_tradnl"/>
        </w:rPr>
        <w:t>autodeterminación,</w:t>
      </w:r>
      <w:r w:rsidRPr="00485CC5">
        <w:rPr>
          <w:rFonts w:ascii="Bookman Old Style" w:eastAsia="Calibri" w:hAnsi="Bookman Old Style" w:cs="Calibri"/>
          <w:szCs w:val="24"/>
          <w:lang w:val="es-ES_tradnl"/>
        </w:rPr>
        <w:t xml:space="preserve"> menos aun cuando estos límites tengan como único fundamento la imposición de una visión particular sobre lo que le conviene o no realizar al ser humano.</w:t>
      </w:r>
      <w:r w:rsidRPr="00485CC5">
        <w:rPr>
          <w:rStyle w:val="Refdenotaalpie"/>
          <w:rFonts w:ascii="Bookman Old Style" w:eastAsia="Calibri" w:hAnsi="Bookman Old Style" w:cs="Calibri"/>
          <w:szCs w:val="24"/>
          <w:lang w:val="es-ES_tradnl"/>
        </w:rPr>
        <w:footnoteReference w:id="52"/>
      </w:r>
    </w:p>
    <w:p w14:paraId="5BC022A1" w14:textId="77777777" w:rsidR="00F36280" w:rsidRPr="00485CC5" w:rsidRDefault="00F36280" w:rsidP="00F36280">
      <w:pPr>
        <w:jc w:val="both"/>
        <w:rPr>
          <w:rFonts w:ascii="Bookman Old Style" w:eastAsia="Calibri" w:hAnsi="Bookman Old Style" w:cs="Calibri"/>
          <w:szCs w:val="24"/>
          <w:lang w:val="es-ES_tradnl"/>
        </w:rPr>
      </w:pPr>
    </w:p>
    <w:p w14:paraId="74FD65B5"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Este análisis llevó a la Corte Constitucional, en aquella oportunidad, a declarar la inexequibilidad de los artículos 51 y 87 de la Ley 30 de 1986 que sancionaban el porte de dosis personal de cocaína, marihuana o cualquier otra droga que produjera dependencia, pues contrariaban abiertamente los postulados del derecho al libre desarrollo de la personalidad.</w:t>
      </w:r>
    </w:p>
    <w:p w14:paraId="3833CE2F" w14:textId="77777777" w:rsidR="00F36280" w:rsidRPr="00485CC5" w:rsidRDefault="00F36280" w:rsidP="00F36280">
      <w:pPr>
        <w:jc w:val="both"/>
        <w:rPr>
          <w:rFonts w:ascii="Bookman Old Style" w:eastAsia="Calibri" w:hAnsi="Bookman Old Style" w:cs="Calibri"/>
          <w:szCs w:val="24"/>
          <w:lang w:val="es-ES_tradnl"/>
        </w:rPr>
      </w:pPr>
    </w:p>
    <w:p w14:paraId="3679BD9D"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Sobre el particular, refirió la Corte que el consumo de este tipo de sustancias es un asunto que no escapa de la órbita del ser humano y, en consecuencia, no es un tema que pueda ser regulado por el Legislador, menos a través de la imposición de una prohibición absoluta. </w:t>
      </w:r>
    </w:p>
    <w:p w14:paraId="776BF005" w14:textId="77777777" w:rsidR="00F36280" w:rsidRPr="00485CC5" w:rsidRDefault="00F36280" w:rsidP="00F36280">
      <w:pPr>
        <w:jc w:val="both"/>
        <w:rPr>
          <w:rFonts w:ascii="Bookman Old Style" w:eastAsia="Calibri" w:hAnsi="Bookman Old Style" w:cs="Calibri"/>
          <w:szCs w:val="24"/>
          <w:lang w:val="es-ES_tradnl"/>
        </w:rPr>
      </w:pPr>
    </w:p>
    <w:p w14:paraId="02E3F4AB"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En esa medida, a partir de la fecha, las personas quedaron facultadas para el porte y consumo de la dosis mínima. Lo cual fijó un claro límite entre la política criminal del Estado en materia de estupefacientes y la facultad individual para consumir estas sustancias, como expresión del derecho fundamental al libre desarrollo de la personalidad. </w:t>
      </w:r>
    </w:p>
    <w:p w14:paraId="7E2DF98B" w14:textId="77777777" w:rsidR="00F36280" w:rsidRPr="00485CC5" w:rsidRDefault="00F36280" w:rsidP="00F36280">
      <w:pPr>
        <w:rPr>
          <w:rFonts w:ascii="Bookman Old Style" w:eastAsia="Calibri" w:hAnsi="Bookman Old Style"/>
          <w:szCs w:val="24"/>
          <w:lang w:val="es-ES_tradnl"/>
        </w:rPr>
      </w:pPr>
    </w:p>
    <w:p w14:paraId="44CB36E5" w14:textId="74CACDE8" w:rsidR="00F36280" w:rsidRPr="00485CC5" w:rsidRDefault="008D6C03" w:rsidP="00F36280">
      <w:pPr>
        <w:pStyle w:val="Ttulo2"/>
        <w:ind w:left="0"/>
        <w:rPr>
          <w:rFonts w:ascii="Bookman Old Style" w:eastAsia="Calibri" w:hAnsi="Bookman Old Style" w:cs="Calibri"/>
          <w:sz w:val="22"/>
          <w:szCs w:val="24"/>
        </w:rPr>
      </w:pPr>
      <w:r>
        <w:rPr>
          <w:rFonts w:ascii="Bookman Old Style" w:eastAsia="Calibri" w:hAnsi="Bookman Old Style" w:cs="Calibri"/>
          <w:sz w:val="22"/>
          <w:szCs w:val="24"/>
        </w:rPr>
        <w:t>6</w:t>
      </w:r>
      <w:r w:rsidR="00F36280" w:rsidRPr="00485CC5">
        <w:rPr>
          <w:rFonts w:ascii="Bookman Old Style" w:eastAsia="Calibri" w:hAnsi="Bookman Old Style" w:cs="Calibri"/>
          <w:sz w:val="22"/>
          <w:szCs w:val="24"/>
        </w:rPr>
        <w:t>.1.2. DERECHO A LA IGUALDAD</w:t>
      </w:r>
    </w:p>
    <w:p w14:paraId="4305C13D" w14:textId="77777777" w:rsidR="00F36280" w:rsidRPr="00485CC5" w:rsidRDefault="00F36280" w:rsidP="00F36280">
      <w:pPr>
        <w:jc w:val="both"/>
        <w:rPr>
          <w:rFonts w:ascii="Bookman Old Style" w:eastAsia="Calibri" w:hAnsi="Bookman Old Style" w:cs="Calibri"/>
          <w:szCs w:val="24"/>
          <w:lang w:val="es-ES_tradnl"/>
        </w:rPr>
      </w:pPr>
    </w:p>
    <w:p w14:paraId="4ED31707"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El derecho a la igualdad, consagrado en el artículo 13 de la Constitución Política</w:t>
      </w:r>
      <w:r w:rsidRPr="00485CC5">
        <w:rPr>
          <w:rStyle w:val="Refdenotaalpie"/>
          <w:rFonts w:ascii="Bookman Old Style" w:eastAsia="Calibri" w:hAnsi="Bookman Old Style" w:cs="Calibri"/>
          <w:szCs w:val="24"/>
          <w:lang w:val="es-ES_tradnl"/>
        </w:rPr>
        <w:footnoteReference w:id="53"/>
      </w:r>
      <w:r w:rsidRPr="00485CC5">
        <w:rPr>
          <w:rFonts w:ascii="Bookman Old Style" w:eastAsia="Calibri" w:hAnsi="Bookman Old Style" w:cs="Calibri"/>
          <w:szCs w:val="24"/>
          <w:lang w:val="es-ES_tradnl"/>
        </w:rPr>
        <w:t>, ha sido ampliamente desarrollado por la jurisprudencia constitucional que le ha reconocido una estructura compleja, compuesta por varias facetas</w:t>
      </w:r>
      <w:r w:rsidRPr="00485CC5">
        <w:rPr>
          <w:rStyle w:val="Refdenotaalpie"/>
          <w:rFonts w:ascii="Bookman Old Style" w:eastAsia="Calibri" w:hAnsi="Bookman Old Style" w:cs="Calibri"/>
          <w:szCs w:val="24"/>
          <w:lang w:val="es-ES_tradnl"/>
        </w:rPr>
        <w:footnoteReference w:id="54"/>
      </w:r>
      <w:r w:rsidRPr="00485CC5">
        <w:rPr>
          <w:rFonts w:ascii="Bookman Old Style" w:eastAsia="Calibri" w:hAnsi="Bookman Old Style" w:cs="Calibri"/>
          <w:szCs w:val="24"/>
          <w:lang w:val="es-ES_tradnl"/>
        </w:rPr>
        <w:t xml:space="preserve">: la igualdad como valor, como principio y como derecho. </w:t>
      </w:r>
    </w:p>
    <w:p w14:paraId="13274787" w14:textId="77777777" w:rsidR="00F36280" w:rsidRPr="00485CC5" w:rsidRDefault="00F36280" w:rsidP="00F36280">
      <w:pPr>
        <w:jc w:val="both"/>
        <w:rPr>
          <w:rFonts w:ascii="Bookman Old Style" w:eastAsia="Calibri" w:hAnsi="Bookman Old Style" w:cs="Calibri"/>
          <w:szCs w:val="24"/>
          <w:lang w:val="es-ES_tradnl"/>
        </w:rPr>
      </w:pPr>
    </w:p>
    <w:p w14:paraId="64EFD3AB" w14:textId="77777777" w:rsidR="00F36280" w:rsidRPr="00485CC5" w:rsidRDefault="00F36280" w:rsidP="00F36280">
      <w:pPr>
        <w:ind w:left="720" w:right="900"/>
        <w:jc w:val="both"/>
        <w:rPr>
          <w:rFonts w:ascii="Bookman Old Style" w:eastAsia="Calibri" w:hAnsi="Bookman Old Style" w:cs="Calibri"/>
          <w:i/>
          <w:sz w:val="20"/>
          <w:lang w:val="es-ES_tradnl"/>
        </w:rPr>
      </w:pPr>
      <w:r w:rsidRPr="00485CC5">
        <w:rPr>
          <w:rFonts w:ascii="Bookman Old Style" w:eastAsia="Calibri" w:hAnsi="Bookman Old Style" w:cs="Calibri"/>
          <w:i/>
          <w:sz w:val="20"/>
          <w:lang w:val="es-ES_tradnl"/>
        </w:rPr>
        <w:t xml:space="preserve">“En tanto valor, la igualdad es una norma que establece fines o propósitos, cuya realización es exigible a todas las autoridades públicas y en especial al legislador, en el desarrollo de su labor de concreción de los textos constitucionales. </w:t>
      </w:r>
    </w:p>
    <w:p w14:paraId="5F9827DA" w14:textId="77777777" w:rsidR="00F36280" w:rsidRPr="00485CC5" w:rsidRDefault="00F36280" w:rsidP="00F36280">
      <w:pPr>
        <w:ind w:left="720" w:right="900"/>
        <w:jc w:val="both"/>
        <w:rPr>
          <w:rFonts w:ascii="Bookman Old Style" w:eastAsia="Calibri" w:hAnsi="Bookman Old Style" w:cs="Calibri"/>
          <w:i/>
          <w:sz w:val="20"/>
          <w:lang w:val="es-ES_tradnl"/>
        </w:rPr>
      </w:pPr>
    </w:p>
    <w:p w14:paraId="6B3DC324" w14:textId="77777777" w:rsidR="00F36280" w:rsidRPr="00485CC5" w:rsidRDefault="00F36280" w:rsidP="00F36280">
      <w:pPr>
        <w:ind w:left="720" w:right="900"/>
        <w:jc w:val="both"/>
        <w:rPr>
          <w:rFonts w:ascii="Bookman Old Style" w:eastAsia="Calibri" w:hAnsi="Bookman Old Style" w:cs="Calibri"/>
          <w:i/>
          <w:sz w:val="20"/>
          <w:lang w:val="es-ES_tradnl"/>
        </w:rPr>
      </w:pPr>
      <w:r w:rsidRPr="00485CC5">
        <w:rPr>
          <w:rFonts w:ascii="Bookman Old Style" w:eastAsia="Calibri" w:hAnsi="Bookman Old Style" w:cs="Calibri"/>
          <w:i/>
          <w:sz w:val="20"/>
          <w:lang w:val="es-ES_tradnl"/>
        </w:rPr>
        <w:t xml:space="preserve">En su rol de principio, se ha considerado como un mandato de optimización que establece un deber ser específico, que admite su incorporación en reglas concretas derivadas del ejercicio de la función legislativa o que habilita su uso como herramienta general en la resolución de controversias sometidas a la decisión de los jueces. </w:t>
      </w:r>
    </w:p>
    <w:p w14:paraId="3B7419F7" w14:textId="77777777" w:rsidR="00F36280" w:rsidRPr="00485CC5" w:rsidRDefault="00F36280" w:rsidP="00F36280">
      <w:pPr>
        <w:ind w:left="720" w:right="900"/>
        <w:jc w:val="both"/>
        <w:rPr>
          <w:rFonts w:ascii="Bookman Old Style" w:eastAsia="Calibri" w:hAnsi="Bookman Old Style" w:cs="Calibri"/>
          <w:i/>
          <w:sz w:val="20"/>
          <w:lang w:val="es-ES_tradnl"/>
        </w:rPr>
      </w:pPr>
    </w:p>
    <w:p w14:paraId="7014E322" w14:textId="77777777" w:rsidR="00F36280" w:rsidRPr="00DC49AD" w:rsidRDefault="00F36280" w:rsidP="00DC49AD">
      <w:pPr>
        <w:ind w:left="720" w:right="900"/>
        <w:jc w:val="both"/>
        <w:rPr>
          <w:rFonts w:ascii="Bookman Old Style" w:eastAsia="Calibri" w:hAnsi="Bookman Old Style" w:cs="Calibri"/>
          <w:i/>
          <w:sz w:val="20"/>
          <w:lang w:val="es-ES_tradnl"/>
        </w:rPr>
      </w:pPr>
      <w:r w:rsidRPr="00485CC5">
        <w:rPr>
          <w:rFonts w:ascii="Bookman Old Style" w:eastAsia="Calibri" w:hAnsi="Bookman Old Style" w:cs="Calibri"/>
          <w:i/>
          <w:sz w:val="20"/>
          <w:lang w:val="es-ES_tradnl"/>
        </w:rPr>
        <w:t>Finalmente, en tanto derecho, la igualdad se manifiesta en una potestad o facultad subjetiva que impone deberes de abstención como la prohibición de la discriminación, al mismo tiempo que exige obligaciones puntuales de acción, como ocurre con la consagración de tratos favorables para grupos puestos en situación de debilidad manifiesta.”</w:t>
      </w:r>
      <w:r w:rsidRPr="00485CC5">
        <w:rPr>
          <w:rStyle w:val="Refdenotaalpie"/>
          <w:rFonts w:ascii="Bookman Old Style" w:eastAsia="Calibri" w:hAnsi="Bookman Old Style" w:cs="Calibri"/>
          <w:i/>
          <w:sz w:val="20"/>
          <w:lang w:val="es-ES_tradnl"/>
        </w:rPr>
        <w:footnoteReference w:id="55"/>
      </w:r>
    </w:p>
    <w:p w14:paraId="6C5A775A" w14:textId="77777777" w:rsidR="00F36280" w:rsidRPr="00485CC5" w:rsidRDefault="00F36280" w:rsidP="00F36280">
      <w:pPr>
        <w:jc w:val="both"/>
        <w:rPr>
          <w:rFonts w:ascii="Bookman Old Style" w:eastAsia="Calibri" w:hAnsi="Bookman Old Style" w:cs="Calibri"/>
          <w:i/>
          <w:szCs w:val="24"/>
          <w:lang w:val="es-ES_tradnl"/>
        </w:rPr>
      </w:pPr>
    </w:p>
    <w:p w14:paraId="65A19607"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El principio impone al Estado entonces el deber de tratar a todos sus ciudadanos, de tal modo que las cargas y las ventajas sociales se distribuyan equitativamente entre ellos. Este deber, a su vez implica la implementación de cuatro mandatos:</w:t>
      </w:r>
    </w:p>
    <w:p w14:paraId="03057EC3" w14:textId="77777777" w:rsidR="00F36280" w:rsidRPr="00485CC5" w:rsidRDefault="00F36280" w:rsidP="00F36280">
      <w:pPr>
        <w:ind w:left="851" w:hanging="283"/>
        <w:jc w:val="both"/>
        <w:rPr>
          <w:rFonts w:ascii="Bookman Old Style" w:eastAsia="Calibri" w:hAnsi="Bookman Old Style" w:cs="Calibri"/>
          <w:szCs w:val="24"/>
          <w:lang w:val="es-ES_tradnl"/>
        </w:rPr>
      </w:pPr>
    </w:p>
    <w:p w14:paraId="04DCA7C1" w14:textId="77777777" w:rsidR="00F36280" w:rsidRPr="00621929" w:rsidRDefault="00F36280" w:rsidP="00621929">
      <w:pPr>
        <w:pStyle w:val="Prrafodelista"/>
        <w:numPr>
          <w:ilvl w:val="0"/>
          <w:numId w:val="37"/>
        </w:numPr>
        <w:jc w:val="both"/>
        <w:rPr>
          <w:rFonts w:ascii="Bookman Old Style" w:eastAsia="Calibri" w:hAnsi="Bookman Old Style" w:cs="Calibri"/>
          <w:szCs w:val="24"/>
          <w:lang w:val="es-ES_tradnl"/>
        </w:rPr>
      </w:pPr>
      <w:r w:rsidRPr="00621929">
        <w:rPr>
          <w:rFonts w:ascii="Bookman Old Style" w:eastAsia="Calibri" w:hAnsi="Bookman Old Style" w:cs="Calibri"/>
          <w:szCs w:val="24"/>
          <w:lang w:val="es-ES_tradnl"/>
        </w:rPr>
        <w:t>-Trato idéntico a quienes se encuentren en circunstancias idénticas.</w:t>
      </w:r>
    </w:p>
    <w:p w14:paraId="201C5156" w14:textId="77777777" w:rsidR="00F36280" w:rsidRPr="00485CC5" w:rsidRDefault="00F36280" w:rsidP="00621929">
      <w:pPr>
        <w:jc w:val="both"/>
        <w:rPr>
          <w:rFonts w:ascii="Bookman Old Style" w:hAnsi="Bookman Old Style" w:cs="Calibri"/>
          <w:szCs w:val="24"/>
          <w:lang w:val="es-ES_tradnl"/>
        </w:rPr>
      </w:pPr>
    </w:p>
    <w:p w14:paraId="79691FE1" w14:textId="77777777" w:rsidR="00F36280" w:rsidRPr="00621929" w:rsidRDefault="00F36280" w:rsidP="00621929">
      <w:pPr>
        <w:pStyle w:val="Prrafodelista"/>
        <w:numPr>
          <w:ilvl w:val="0"/>
          <w:numId w:val="37"/>
        </w:numPr>
        <w:jc w:val="both"/>
        <w:rPr>
          <w:rFonts w:ascii="Bookman Old Style" w:eastAsia="Calibri" w:hAnsi="Bookman Old Style" w:cs="Calibri"/>
          <w:szCs w:val="24"/>
          <w:lang w:val="es-ES_tradnl"/>
        </w:rPr>
      </w:pPr>
      <w:r w:rsidRPr="00621929">
        <w:rPr>
          <w:rFonts w:ascii="Bookman Old Style" w:eastAsia="Calibri" w:hAnsi="Bookman Old Style" w:cs="Calibri"/>
          <w:szCs w:val="24"/>
          <w:lang w:val="es-ES_tradnl"/>
        </w:rPr>
        <w:t>-Trato enteramente diferenciado a quienes no compartan con otros, ningún elemento en común.</w:t>
      </w:r>
    </w:p>
    <w:p w14:paraId="50F8EEEA" w14:textId="77777777" w:rsidR="00F36280" w:rsidRPr="00485CC5" w:rsidRDefault="00F36280" w:rsidP="00F36280">
      <w:pPr>
        <w:ind w:left="568"/>
        <w:jc w:val="both"/>
        <w:rPr>
          <w:rFonts w:ascii="Bookman Old Style" w:hAnsi="Bookman Old Style" w:cs="Calibri"/>
          <w:szCs w:val="24"/>
          <w:lang w:val="es-ES_tradnl"/>
        </w:rPr>
      </w:pPr>
    </w:p>
    <w:p w14:paraId="78F26617" w14:textId="77777777" w:rsidR="00F36280" w:rsidRPr="00621929" w:rsidRDefault="00F36280" w:rsidP="00621929">
      <w:pPr>
        <w:pStyle w:val="Prrafodelista"/>
        <w:numPr>
          <w:ilvl w:val="0"/>
          <w:numId w:val="37"/>
        </w:numPr>
        <w:jc w:val="both"/>
        <w:rPr>
          <w:rFonts w:ascii="Bookman Old Style" w:eastAsia="Calibri" w:hAnsi="Bookman Old Style" w:cs="Calibri"/>
          <w:szCs w:val="24"/>
          <w:lang w:val="es-ES_tradnl"/>
        </w:rPr>
      </w:pPr>
      <w:r w:rsidRPr="00621929">
        <w:rPr>
          <w:rFonts w:ascii="Bookman Old Style" w:eastAsia="Calibri" w:hAnsi="Bookman Old Style" w:cs="Calibri"/>
          <w:szCs w:val="24"/>
          <w:lang w:val="es-ES_tradnl"/>
        </w:rPr>
        <w:t>-Trato paritario a quienes se encuentren en una posición similar y diversa, pero las similitudes sean más relevantes que las diferencias (trato igual a pesar de las diferencias).</w:t>
      </w:r>
    </w:p>
    <w:p w14:paraId="06436D74" w14:textId="77777777" w:rsidR="00F36280" w:rsidRPr="00485CC5" w:rsidRDefault="00F36280" w:rsidP="00F36280">
      <w:pPr>
        <w:ind w:left="568"/>
        <w:jc w:val="both"/>
        <w:rPr>
          <w:rFonts w:ascii="Bookman Old Style" w:hAnsi="Bookman Old Style" w:cs="Calibri"/>
          <w:szCs w:val="24"/>
          <w:lang w:val="es-ES_tradnl"/>
        </w:rPr>
      </w:pPr>
    </w:p>
    <w:p w14:paraId="63CAC099" w14:textId="77777777" w:rsidR="00F36280" w:rsidRPr="00621929" w:rsidRDefault="00F36280" w:rsidP="00621929">
      <w:pPr>
        <w:pStyle w:val="Prrafodelista"/>
        <w:numPr>
          <w:ilvl w:val="0"/>
          <w:numId w:val="37"/>
        </w:numPr>
        <w:jc w:val="both"/>
        <w:rPr>
          <w:rFonts w:ascii="Bookman Old Style" w:hAnsi="Bookman Old Style" w:cs="Calibri"/>
          <w:szCs w:val="24"/>
          <w:lang w:val="es-ES_tradnl"/>
        </w:rPr>
      </w:pPr>
      <w:r w:rsidRPr="00621929">
        <w:rPr>
          <w:rFonts w:ascii="Bookman Old Style" w:eastAsia="Calibri" w:hAnsi="Bookman Old Style" w:cs="Calibri"/>
          <w:szCs w:val="24"/>
          <w:lang w:val="es-ES_tradnl"/>
        </w:rPr>
        <w:t>-Trato diferenciado a destinatarios a quienes se encuentren en una posición en parte similar y en parte diversa, pero que las diferencias sean más relevantes que las similitudes.</w:t>
      </w:r>
      <w:r w:rsidRPr="00485CC5">
        <w:rPr>
          <w:rStyle w:val="Refdenotaalpie"/>
          <w:rFonts w:ascii="Bookman Old Style" w:eastAsia="Calibri" w:hAnsi="Bookman Old Style" w:cs="Calibri"/>
          <w:szCs w:val="24"/>
          <w:lang w:val="es-ES_tradnl"/>
        </w:rPr>
        <w:footnoteReference w:id="56"/>
      </w:r>
    </w:p>
    <w:p w14:paraId="744B9607" w14:textId="77777777" w:rsidR="00F36280" w:rsidRPr="00485CC5" w:rsidRDefault="00F36280" w:rsidP="00F36280">
      <w:pPr>
        <w:jc w:val="both"/>
        <w:rPr>
          <w:rFonts w:ascii="Bookman Old Style" w:eastAsia="Calibri" w:hAnsi="Bookman Old Style" w:cs="Calibri"/>
          <w:szCs w:val="24"/>
          <w:lang w:val="es-ES_tradnl"/>
        </w:rPr>
      </w:pPr>
    </w:p>
    <w:p w14:paraId="12C792B1" w14:textId="77777777" w:rsidR="00F36280" w:rsidRPr="00485CC5" w:rsidRDefault="00F36280" w:rsidP="00F36280">
      <w:pPr>
        <w:jc w:val="both"/>
        <w:rPr>
          <w:rFonts w:ascii="Bookman Old Style" w:eastAsia="Calibri" w:hAnsi="Bookman Old Style" w:cs="Calibri"/>
          <w:b/>
          <w:i/>
          <w:szCs w:val="24"/>
          <w:lang w:val="es-ES_tradnl"/>
        </w:rPr>
      </w:pPr>
      <w:r w:rsidRPr="00485CC5">
        <w:rPr>
          <w:rFonts w:ascii="Bookman Old Style" w:eastAsia="Calibri" w:hAnsi="Bookman Old Style" w:cs="Calibri"/>
          <w:szCs w:val="24"/>
          <w:lang w:val="es-ES_tradnl"/>
        </w:rPr>
        <w:t xml:space="preserve">Lo anterior es consecuente con el pronunciamiento de la Corte Constitucional, en la Sentencia C-221 de 1994 en la que una de las circunstancias que motivó la inexequibilidad de las disposiciones que penalizaban la dosis personal fue que esta medida implicaba un trato discriminatorio hacia los consumidores. Esto, en tanto no se demostró que existiera un fundamento constitucional para soportar esta prohibición que únicamente traía como efecto la limitación de los derechos de un grupo poblacional. </w:t>
      </w:r>
    </w:p>
    <w:p w14:paraId="0D53456E" w14:textId="77777777" w:rsidR="00F36280" w:rsidRPr="00485CC5" w:rsidRDefault="00F36280" w:rsidP="00F36280">
      <w:pPr>
        <w:jc w:val="both"/>
        <w:rPr>
          <w:rFonts w:ascii="Bookman Old Style" w:eastAsia="Calibri" w:hAnsi="Bookman Old Style" w:cs="Calibri"/>
          <w:b/>
          <w:i/>
          <w:szCs w:val="24"/>
          <w:lang w:val="es-ES_tradnl"/>
        </w:rPr>
      </w:pPr>
    </w:p>
    <w:p w14:paraId="4E9B381E" w14:textId="6F11F33A" w:rsidR="00F36280" w:rsidRPr="00485CC5" w:rsidRDefault="008D6C03" w:rsidP="00F36280">
      <w:pPr>
        <w:jc w:val="both"/>
        <w:rPr>
          <w:rFonts w:ascii="Bookman Old Style" w:eastAsia="Calibri" w:hAnsi="Bookman Old Style" w:cs="Calibri"/>
          <w:b/>
          <w:szCs w:val="24"/>
          <w:lang w:val="es-ES_tradnl"/>
        </w:rPr>
      </w:pPr>
      <w:r>
        <w:rPr>
          <w:rFonts w:ascii="Bookman Old Style" w:eastAsia="Calibri" w:hAnsi="Bookman Old Style" w:cs="Calibri"/>
          <w:b/>
          <w:szCs w:val="24"/>
          <w:lang w:val="es-ES_tradnl"/>
        </w:rPr>
        <w:t>6</w:t>
      </w:r>
      <w:r w:rsidR="00F36280" w:rsidRPr="00485CC5">
        <w:rPr>
          <w:rFonts w:ascii="Bookman Old Style" w:eastAsia="Calibri" w:hAnsi="Bookman Old Style" w:cs="Calibri"/>
          <w:b/>
          <w:szCs w:val="24"/>
          <w:lang w:val="es-ES_tradnl"/>
        </w:rPr>
        <w:t>.1.3. DERECHO A LA SALUD.</w:t>
      </w:r>
    </w:p>
    <w:p w14:paraId="33C4C8B7" w14:textId="77777777" w:rsidR="00F36280" w:rsidRPr="00485CC5" w:rsidRDefault="00F36280" w:rsidP="00F36280">
      <w:pPr>
        <w:jc w:val="both"/>
        <w:rPr>
          <w:rFonts w:ascii="Bookman Old Style" w:eastAsia="Calibri" w:hAnsi="Bookman Old Style" w:cs="Calibri"/>
          <w:b/>
          <w:szCs w:val="24"/>
          <w:lang w:val="es-ES_tradnl"/>
        </w:rPr>
      </w:pPr>
    </w:p>
    <w:p w14:paraId="12FCDC60" w14:textId="77777777" w:rsidR="00517032" w:rsidRPr="00BA2C74" w:rsidRDefault="00517032" w:rsidP="00517032">
      <w:pPr>
        <w:jc w:val="both"/>
        <w:rPr>
          <w:rFonts w:ascii="Bookman Old Style" w:eastAsia="Calibri" w:hAnsi="Bookman Old Style" w:cs="Calibri"/>
          <w:lang w:val="es-ES_tradnl"/>
        </w:rPr>
      </w:pPr>
      <w:r w:rsidRPr="00BA2C74">
        <w:rPr>
          <w:rFonts w:ascii="Bookman Old Style" w:eastAsia="Calibri" w:hAnsi="Bookman Old Style" w:cs="Calibri"/>
          <w:lang w:val="es-ES_tradnl"/>
        </w:rPr>
        <w:t xml:space="preserve">Ahora bien, como fue advertido al inicio de esta exposición de motivos, a pesar del pronunciamiento de la Corte Constitucional y del reconocimiento, realizado vía jurisprudencial, de los derechos al libre desarrollo de la personalidad y la igualdad de los consumidores, desde el año 1994 iniciaron las iniciativas de reforma constitucional para prohibir el porte y consumo de estupefacientes. </w:t>
      </w:r>
    </w:p>
    <w:p w14:paraId="099F0726" w14:textId="77777777" w:rsidR="00517032" w:rsidRPr="00BA2C74" w:rsidRDefault="00517032" w:rsidP="00517032">
      <w:pPr>
        <w:jc w:val="both"/>
        <w:rPr>
          <w:rFonts w:ascii="Bookman Old Style" w:eastAsia="Calibri" w:hAnsi="Bookman Old Style" w:cs="Calibri"/>
          <w:lang w:val="es-ES_tradnl"/>
        </w:rPr>
      </w:pPr>
    </w:p>
    <w:p w14:paraId="34E20017" w14:textId="77777777" w:rsidR="00517032" w:rsidRPr="00BA2C74" w:rsidRDefault="00517032" w:rsidP="00517032">
      <w:pPr>
        <w:jc w:val="both"/>
        <w:rPr>
          <w:rFonts w:ascii="Bookman Old Style" w:eastAsia="Calibri" w:hAnsi="Bookman Old Style" w:cs="Calibri"/>
          <w:lang w:val="es-ES_tradnl"/>
        </w:rPr>
      </w:pPr>
      <w:r w:rsidRPr="00BA2C74">
        <w:rPr>
          <w:rFonts w:ascii="Bookman Old Style" w:eastAsia="Calibri" w:hAnsi="Bookman Old Style" w:cs="Calibri"/>
          <w:lang w:val="es-ES_tradnl"/>
        </w:rPr>
        <w:t xml:space="preserve">En la sentencia C-574 de 2011, a través de la cual la Corte Constitucional estudió la demanda del Acto Legislativo 02 de 2009, se relataron todos los intentos de modificación del artículo 16 de la Constitución Política que finalmente se concretaron en el 2009 con un enfoque distinto: la protección al derecho a la salud. </w:t>
      </w:r>
    </w:p>
    <w:p w14:paraId="5D2A508A" w14:textId="77777777" w:rsidR="00517032" w:rsidRPr="00BA2C74" w:rsidRDefault="00517032" w:rsidP="00517032">
      <w:pPr>
        <w:jc w:val="both"/>
        <w:rPr>
          <w:rFonts w:ascii="Bookman Old Style" w:eastAsia="Calibri" w:hAnsi="Bookman Old Style" w:cs="Calibri"/>
          <w:lang w:val="es-ES_tradnl"/>
        </w:rPr>
      </w:pPr>
    </w:p>
    <w:p w14:paraId="3B60A456" w14:textId="77777777" w:rsidR="00517032" w:rsidRPr="00BA2C74" w:rsidRDefault="00517032" w:rsidP="00517032">
      <w:pPr>
        <w:jc w:val="both"/>
        <w:rPr>
          <w:rFonts w:ascii="Bookman Old Style" w:eastAsia="Calibri" w:hAnsi="Bookman Old Style" w:cs="Calibri"/>
          <w:lang w:val="es-ES_tradnl"/>
        </w:rPr>
      </w:pPr>
      <w:r w:rsidRPr="00BA2C74">
        <w:rPr>
          <w:rFonts w:ascii="Bookman Old Style" w:eastAsia="Calibri" w:hAnsi="Bookman Old Style" w:cs="Calibri"/>
          <w:lang w:val="es-ES_tradnl"/>
        </w:rPr>
        <w:t>El artículo 49 de la Carta Política consagra la salud como un servicio público a cargo del Estado, entendido como el conjunto de políticas que buscan garantizar integralmente la salud de la población, por medio de acciones de salubridad colectiva e individual, y sus resultados se constituyen en indicadores de las condiciones de vida, bienestar y desarrollo del país.</w:t>
      </w:r>
    </w:p>
    <w:p w14:paraId="058D47CB" w14:textId="77777777" w:rsidR="00517032" w:rsidRPr="00BA2C74" w:rsidRDefault="00517032" w:rsidP="00517032">
      <w:pPr>
        <w:jc w:val="both"/>
        <w:rPr>
          <w:rFonts w:ascii="Bookman Old Style" w:eastAsia="Calibri" w:hAnsi="Bookman Old Style" w:cs="Calibri"/>
          <w:lang w:val="es-ES_tradnl"/>
        </w:rPr>
      </w:pPr>
    </w:p>
    <w:p w14:paraId="1807F457" w14:textId="77777777" w:rsidR="00517032" w:rsidRPr="00BA2C74" w:rsidRDefault="00517032" w:rsidP="00517032">
      <w:pPr>
        <w:jc w:val="both"/>
        <w:rPr>
          <w:rFonts w:ascii="Bookman Old Style" w:eastAsia="Calibri" w:hAnsi="Bookman Old Style" w:cs="Calibri"/>
          <w:lang w:val="es-ES_tradnl"/>
        </w:rPr>
      </w:pPr>
      <w:r w:rsidRPr="00BA2C74">
        <w:rPr>
          <w:rFonts w:ascii="Bookman Old Style" w:eastAsia="Calibri" w:hAnsi="Bookman Old Style" w:cs="Calibri"/>
          <w:lang w:val="es-ES_tradnl"/>
        </w:rPr>
        <w:t>No obstante, a través de amplia jurisprudencia, la Corte Constitucional consolidó un proceso de reconocimiento de la Salud como un derecho fundamental que culminó con la expedición de la Ley 1751 de 2015.</w:t>
      </w:r>
      <w:r w:rsidRPr="00BA2C74">
        <w:rPr>
          <w:rStyle w:val="Refdenotaalpie"/>
          <w:rFonts w:ascii="Bookman Old Style" w:eastAsia="Calibri" w:hAnsi="Bookman Old Style" w:cs="Calibri"/>
          <w:lang w:val="es-ES_tradnl"/>
        </w:rPr>
        <w:footnoteReference w:id="57"/>
      </w:r>
    </w:p>
    <w:p w14:paraId="04356CED" w14:textId="77777777" w:rsidR="00517032" w:rsidRPr="00BA2C74" w:rsidRDefault="00517032" w:rsidP="00517032">
      <w:pPr>
        <w:jc w:val="both"/>
        <w:rPr>
          <w:rFonts w:ascii="Bookman Old Style" w:eastAsia="Calibri" w:hAnsi="Bookman Old Style" w:cs="Calibri"/>
          <w:lang w:val="es-ES_tradnl"/>
        </w:rPr>
      </w:pPr>
    </w:p>
    <w:p w14:paraId="10A05FDF" w14:textId="77777777" w:rsidR="00517032" w:rsidRPr="00BA2C74" w:rsidRDefault="00517032" w:rsidP="00517032">
      <w:pPr>
        <w:jc w:val="both"/>
        <w:rPr>
          <w:rFonts w:ascii="Bookman Old Style" w:eastAsia="Calibri" w:hAnsi="Bookman Old Style" w:cs="Calibri"/>
          <w:lang w:val="es-ES_tradnl"/>
        </w:rPr>
      </w:pPr>
      <w:r w:rsidRPr="00BA2C74">
        <w:rPr>
          <w:rFonts w:ascii="Bookman Old Style" w:eastAsia="Calibri" w:hAnsi="Bookman Old Style" w:cs="Calibri"/>
          <w:lang w:val="es-ES_tradnl"/>
        </w:rPr>
        <w:t>Teniendo en cuenta que el consumo de estupefacientes había sido tratado también por la jurisprudencia constitucional desde el enfoque de los sujetos farmacodependientes, en el año 2009 se impulsó el Acto Legislativo que incluyó la prohibición del porte y consumo de estas sustancias, desde el artículo 49 constitucional.</w:t>
      </w:r>
    </w:p>
    <w:p w14:paraId="738AA216" w14:textId="77777777" w:rsidR="00517032" w:rsidRPr="00BA2C74" w:rsidRDefault="00517032" w:rsidP="00517032">
      <w:pPr>
        <w:jc w:val="both"/>
        <w:rPr>
          <w:rFonts w:ascii="Bookman Old Style" w:eastAsia="Calibri" w:hAnsi="Bookman Old Style" w:cs="Calibri"/>
          <w:lang w:val="es-ES_tradnl"/>
        </w:rPr>
      </w:pPr>
    </w:p>
    <w:p w14:paraId="2879090D" w14:textId="77777777" w:rsidR="00517032" w:rsidRPr="00BA2C74" w:rsidRDefault="00517032" w:rsidP="00517032">
      <w:pPr>
        <w:jc w:val="both"/>
        <w:rPr>
          <w:rFonts w:ascii="Bookman Old Style" w:eastAsia="Calibri" w:hAnsi="Bookman Old Style" w:cs="Calibri"/>
          <w:lang w:val="es-ES_tradnl"/>
        </w:rPr>
      </w:pPr>
      <w:r w:rsidRPr="00BA2C74">
        <w:rPr>
          <w:rFonts w:ascii="Bookman Old Style" w:eastAsia="Calibri" w:hAnsi="Bookman Old Style" w:cs="Calibri"/>
          <w:lang w:val="es-ES_tradnl"/>
        </w:rPr>
        <w:t xml:space="preserve">Sobre esta materia, la Corte había venido reconociendo que es </w:t>
      </w:r>
      <w:r w:rsidRPr="00BA2C74">
        <w:rPr>
          <w:rFonts w:ascii="Bookman Old Style" w:eastAsia="Calibri" w:hAnsi="Bookman Old Style" w:cs="Calibri"/>
          <w:i/>
          <w:lang w:val="es-ES_tradnl"/>
        </w:rPr>
        <w:t>“deber del Estado de brindar a las personas farmacodependiente el tratamiento necesario para superar el estado de alteración al que se encuentra sometido, resaltando que para la prestación de este servicio se debe tener en cuenta aspectos como el tiempo de consumo, la sustancia ingerida y los problemas personales que del consumo se han derivado”.</w:t>
      </w:r>
      <w:r w:rsidRPr="00BA2C74">
        <w:rPr>
          <w:rStyle w:val="Refdenotaalpie"/>
          <w:rFonts w:ascii="Bookman Old Style" w:eastAsia="Calibri" w:hAnsi="Bookman Old Style" w:cs="Calibri"/>
          <w:i/>
          <w:lang w:val="es-ES_tradnl"/>
        </w:rPr>
        <w:footnoteReference w:id="58"/>
      </w:r>
    </w:p>
    <w:p w14:paraId="465CF04B" w14:textId="77777777" w:rsidR="00517032" w:rsidRPr="00BA2C74" w:rsidRDefault="00517032" w:rsidP="00517032">
      <w:pPr>
        <w:jc w:val="both"/>
        <w:rPr>
          <w:rFonts w:ascii="Bookman Old Style" w:eastAsia="Calibri" w:hAnsi="Bookman Old Style" w:cs="Calibri"/>
          <w:b/>
          <w:i/>
          <w:lang w:val="es-ES_tradnl"/>
        </w:rPr>
      </w:pPr>
    </w:p>
    <w:p w14:paraId="767B4C67" w14:textId="77777777" w:rsidR="00517032" w:rsidRPr="00BA2C74" w:rsidRDefault="00517032" w:rsidP="00517032">
      <w:pPr>
        <w:jc w:val="both"/>
        <w:rPr>
          <w:rFonts w:ascii="Bookman Old Style" w:eastAsia="Calibri" w:hAnsi="Bookman Old Style" w:cs="Calibri"/>
          <w:lang w:val="es-ES_tradnl"/>
        </w:rPr>
      </w:pPr>
      <w:r w:rsidRPr="00BA2C74">
        <w:rPr>
          <w:rFonts w:ascii="Bookman Old Style" w:eastAsia="Calibri" w:hAnsi="Bookman Old Style" w:cs="Calibri"/>
          <w:lang w:val="es-ES_tradnl"/>
        </w:rPr>
        <w:t>Así las cosas, partiendo de la posible afectación que el consumo podría generar en los individuos y en la protección al derecho a la salud de los colombianos, en el 2009 se incluyeron las siguientes modificaciones al artículo 49 C.P:</w:t>
      </w:r>
    </w:p>
    <w:p w14:paraId="732EFF7B" w14:textId="77777777" w:rsidR="00517032" w:rsidRPr="00BA2C74" w:rsidRDefault="00517032" w:rsidP="00517032">
      <w:pPr>
        <w:jc w:val="both"/>
        <w:rPr>
          <w:rFonts w:ascii="Bookman Old Style" w:eastAsia="Calibri" w:hAnsi="Bookman Old Style" w:cs="Calibri"/>
          <w:lang w:val="es-ES_tradnl"/>
        </w:rPr>
      </w:pPr>
    </w:p>
    <w:p w14:paraId="6D0BF975" w14:textId="77777777" w:rsidR="00517032" w:rsidRPr="00517032" w:rsidRDefault="00517032" w:rsidP="00517032">
      <w:pPr>
        <w:ind w:left="851" w:right="900"/>
        <w:jc w:val="both"/>
        <w:rPr>
          <w:rFonts w:ascii="Bookman Old Style" w:eastAsia="Calibri" w:hAnsi="Bookman Old Style" w:cs="Calibri"/>
          <w:b/>
          <w:i/>
          <w:sz w:val="20"/>
          <w:szCs w:val="20"/>
          <w:lang w:val="es-ES_tradnl"/>
        </w:rPr>
      </w:pPr>
      <w:r w:rsidRPr="00517032">
        <w:rPr>
          <w:rFonts w:ascii="Bookman Old Style" w:eastAsia="Calibri" w:hAnsi="Bookman Old Style" w:cs="Calibri"/>
          <w:b/>
          <w:i/>
          <w:sz w:val="20"/>
          <w:szCs w:val="20"/>
          <w:lang w:val="es-ES_tradnl"/>
        </w:rPr>
        <w:t>“El porte y el consumo de sustancias estupefacientes o sicotrópicas está prohibido, salvo prescripción médica. Con fines preventivos y rehabilitadores la ley establecerá medidas y tratamientos administrativos de orden pedagógico, profiláctico o terapéutico para las personas que consuman dichas sustancias. El sometimiento a esas medidas y tratamientos requiere el consentimiento informado del adicto.</w:t>
      </w:r>
    </w:p>
    <w:p w14:paraId="7F6DED5E" w14:textId="77777777" w:rsidR="00517032" w:rsidRPr="00517032" w:rsidRDefault="00517032" w:rsidP="00517032">
      <w:pPr>
        <w:ind w:left="851" w:right="900"/>
        <w:jc w:val="both"/>
        <w:rPr>
          <w:rFonts w:ascii="Bookman Old Style" w:eastAsia="Calibri" w:hAnsi="Bookman Old Style" w:cs="Calibri"/>
          <w:b/>
          <w:i/>
          <w:sz w:val="20"/>
          <w:szCs w:val="20"/>
          <w:lang w:val="es-ES_tradnl"/>
        </w:rPr>
      </w:pPr>
    </w:p>
    <w:p w14:paraId="373836B2" w14:textId="77777777" w:rsidR="00517032" w:rsidRPr="00517032" w:rsidRDefault="00517032" w:rsidP="00517032">
      <w:pPr>
        <w:ind w:left="851" w:right="900"/>
        <w:jc w:val="both"/>
        <w:rPr>
          <w:rFonts w:ascii="Bookman Old Style" w:eastAsia="Calibri" w:hAnsi="Bookman Old Style" w:cs="Calibri"/>
          <w:b/>
          <w:i/>
          <w:sz w:val="20"/>
          <w:szCs w:val="20"/>
          <w:lang w:val="es-ES_tradnl"/>
        </w:rPr>
      </w:pPr>
      <w:r w:rsidRPr="00517032">
        <w:rPr>
          <w:rFonts w:ascii="Bookman Old Style" w:eastAsia="Calibri" w:hAnsi="Bookman Old Style" w:cs="Calibri"/>
          <w:b/>
          <w:i/>
          <w:sz w:val="20"/>
          <w:szCs w:val="20"/>
          <w:lang w:val="es-ES_tradnl"/>
        </w:rPr>
        <w:t>Así mismo el Estado dedicará especial atención al enfermo dependiente o adicto y a su familia para fortalecerla en valores y principios que contribuyan a prevenir comportamientos que afecten el cuidado integral de la salud de las personas y, por consiguiente, de la comunidad, y desarrollará en forma permanente campañas de prevención contra el consumo de drogas o sustancias estupefacientes y en favor de la recuperación de los adictos.”</w:t>
      </w:r>
    </w:p>
    <w:p w14:paraId="029714C6" w14:textId="77777777" w:rsidR="00517032" w:rsidRPr="00BA2C74" w:rsidRDefault="00517032" w:rsidP="00517032">
      <w:pPr>
        <w:ind w:left="720" w:right="900"/>
        <w:jc w:val="both"/>
        <w:rPr>
          <w:rFonts w:ascii="Bookman Old Style" w:eastAsia="Calibri" w:hAnsi="Bookman Old Style" w:cs="Calibri"/>
          <w:i/>
          <w:lang w:val="es-ES_tradnl"/>
        </w:rPr>
      </w:pPr>
    </w:p>
    <w:p w14:paraId="790495B1" w14:textId="77777777" w:rsidR="00517032" w:rsidRPr="00BA2C74" w:rsidRDefault="00517032" w:rsidP="00517032">
      <w:pPr>
        <w:jc w:val="both"/>
        <w:rPr>
          <w:rFonts w:ascii="Bookman Old Style" w:eastAsia="Calibri" w:hAnsi="Bookman Old Style" w:cs="Calibri"/>
        </w:rPr>
      </w:pPr>
      <w:r w:rsidRPr="00BA2C74">
        <w:rPr>
          <w:rFonts w:ascii="Bookman Old Style" w:eastAsia="Calibri" w:hAnsi="Bookman Old Style" w:cs="Calibri"/>
        </w:rPr>
        <w:t>De lo anterior se desprende que hoy en día está consagrada una prohibición de orden constitucional frente al consumo de sustancias estupefacientes o psicotrópicas, salvo prescripción médica, en contraposición a una prohibición de orden legal donde se exceptúan los fines medicinales y científicos, como lo dispuso la Ley 1787 de 2016. Lo anterior, como parte de la protección y reconocimiento del derecho a la salud.</w:t>
      </w:r>
    </w:p>
    <w:p w14:paraId="342802C7" w14:textId="77777777" w:rsidR="00F36280" w:rsidRPr="00485CC5" w:rsidRDefault="00F36280" w:rsidP="00F36280">
      <w:pPr>
        <w:jc w:val="both"/>
        <w:rPr>
          <w:rFonts w:ascii="Bookman Old Style" w:eastAsia="Calibri" w:hAnsi="Bookman Old Style" w:cs="Calibri"/>
          <w:szCs w:val="24"/>
        </w:rPr>
      </w:pPr>
    </w:p>
    <w:p w14:paraId="7DFF57D2" w14:textId="6A75E15A" w:rsidR="00F36280" w:rsidRPr="00485CC5" w:rsidRDefault="008D6C03" w:rsidP="00F36280">
      <w:pPr>
        <w:jc w:val="both"/>
        <w:rPr>
          <w:rFonts w:ascii="Bookman Old Style" w:eastAsia="Calibri" w:hAnsi="Bookman Old Style" w:cs="Calibri"/>
          <w:b/>
          <w:szCs w:val="24"/>
        </w:rPr>
      </w:pPr>
      <w:r>
        <w:rPr>
          <w:rFonts w:ascii="Bookman Old Style" w:eastAsia="Calibri" w:hAnsi="Bookman Old Style" w:cs="Calibri"/>
          <w:b/>
          <w:szCs w:val="24"/>
        </w:rPr>
        <w:t>6</w:t>
      </w:r>
      <w:r w:rsidR="00F36280" w:rsidRPr="00485CC5">
        <w:rPr>
          <w:rFonts w:ascii="Bookman Old Style" w:eastAsia="Calibri" w:hAnsi="Bookman Old Style" w:cs="Calibri"/>
          <w:b/>
          <w:szCs w:val="24"/>
        </w:rPr>
        <w:t>.</w:t>
      </w:r>
      <w:r w:rsidR="00DC49AD">
        <w:rPr>
          <w:rFonts w:ascii="Bookman Old Style" w:eastAsia="Calibri" w:hAnsi="Bookman Old Style" w:cs="Calibri"/>
          <w:b/>
          <w:szCs w:val="24"/>
        </w:rPr>
        <w:t>2</w:t>
      </w:r>
      <w:r w:rsidR="00F36280" w:rsidRPr="00485CC5">
        <w:rPr>
          <w:rFonts w:ascii="Bookman Old Style" w:eastAsia="Calibri" w:hAnsi="Bookman Old Style" w:cs="Calibri"/>
          <w:b/>
          <w:szCs w:val="24"/>
        </w:rPr>
        <w:t>. ANÁLISIS CONSTITUCIONAL DE LA REGULACIÓN ACTUAL FRENTE AL PORTE Y CONSUMO DE ESTUPEFACIENTES.</w:t>
      </w:r>
    </w:p>
    <w:p w14:paraId="47D8FC3A" w14:textId="77777777" w:rsidR="00F36280" w:rsidRPr="00485CC5" w:rsidRDefault="00F36280" w:rsidP="00F36280">
      <w:pPr>
        <w:jc w:val="both"/>
        <w:rPr>
          <w:rFonts w:ascii="Bookman Old Style" w:eastAsia="Calibri" w:hAnsi="Bookman Old Style" w:cs="Calibri"/>
          <w:b/>
          <w:szCs w:val="24"/>
        </w:rPr>
      </w:pPr>
    </w:p>
    <w:p w14:paraId="6A5112B6"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rPr>
        <w:t xml:space="preserve">Es menester analizar los efectos de la política actual frente al consumo y porte de estupefacientes. Preliminarmente, es pertinente hacer referencia a un pronunciamiento de la Corte Constitucional realizado en el 2002 </w:t>
      </w:r>
      <w:r w:rsidRPr="00485CC5">
        <w:rPr>
          <w:rFonts w:ascii="Bookman Old Style" w:eastAsia="Calibri" w:hAnsi="Bookman Old Style" w:cs="Calibri"/>
          <w:szCs w:val="24"/>
          <w:lang w:val="es-ES_tradnl"/>
        </w:rPr>
        <w:t>con ocasión de una demanda de inconstitucionalidad presentada contra todas las normas que tipificaban los delitos de tráfico de estupefacientes.</w:t>
      </w:r>
    </w:p>
    <w:p w14:paraId="4347C18F" w14:textId="77777777" w:rsidR="00F36280" w:rsidRPr="00485CC5" w:rsidRDefault="00F36280" w:rsidP="00F36280">
      <w:pPr>
        <w:jc w:val="both"/>
        <w:rPr>
          <w:rFonts w:ascii="Bookman Old Style" w:eastAsia="Calibri" w:hAnsi="Bookman Old Style" w:cs="Calibri"/>
          <w:szCs w:val="24"/>
          <w:lang w:val="es-ES_tradnl"/>
        </w:rPr>
      </w:pPr>
    </w:p>
    <w:p w14:paraId="32D964F0"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En esa oportunidad la Corte Constitucional entró a analizar si el criterio político-criminal del legislador, que le condujo a tipificar el tráfico de estupefacientes, es susceptible de control constitucional.</w:t>
      </w:r>
      <w:r w:rsidR="009718AC">
        <w:rPr>
          <w:rFonts w:ascii="Bookman Old Style" w:eastAsia="Calibri" w:hAnsi="Bookman Old Style" w:cs="Calibri"/>
          <w:szCs w:val="24"/>
          <w:lang w:val="es-ES_tradnl"/>
        </w:rPr>
        <w:t xml:space="preserve"> </w:t>
      </w:r>
      <w:r w:rsidRPr="00485CC5">
        <w:rPr>
          <w:rFonts w:ascii="Bookman Old Style" w:eastAsia="Calibri" w:hAnsi="Bookman Old Style" w:cs="Calibri"/>
          <w:szCs w:val="24"/>
          <w:lang w:val="es-ES_tradnl"/>
        </w:rPr>
        <w:t xml:space="preserve">Sobre el particular, reconoció la Corte que </w:t>
      </w:r>
      <w:r w:rsidRPr="00485CC5">
        <w:rPr>
          <w:rFonts w:ascii="Bookman Old Style" w:eastAsia="Calibri" w:hAnsi="Bookman Old Style" w:cs="Calibri"/>
          <w:i/>
          <w:szCs w:val="24"/>
          <w:lang w:val="es-ES_tradnl"/>
        </w:rPr>
        <w:t>“(…) si bien es cierto que el parlamento no es, ni mucho menos, la única instancia del poder público en la que se pueden diseñar estrategias de política criminal, no puede desconocerse que su decisión de acudir a la penalización de comportamientos no sólo es legítima frente a la Carta por tratarse del ejercicio de una facultad de la que es titular sino también porque ella cuenta con el respaldo que le transmite el principio democrático”.</w:t>
      </w:r>
      <w:r w:rsidRPr="00485CC5">
        <w:rPr>
          <w:rStyle w:val="Refdenotaalpie"/>
          <w:rFonts w:ascii="Bookman Old Style" w:eastAsia="Calibri" w:hAnsi="Bookman Old Style" w:cs="Calibri"/>
          <w:i/>
          <w:szCs w:val="24"/>
          <w:lang w:val="es-ES_tradnl"/>
        </w:rPr>
        <w:footnoteReference w:id="59"/>
      </w:r>
    </w:p>
    <w:p w14:paraId="59022ACB" w14:textId="77777777" w:rsidR="00F36280" w:rsidRPr="00485CC5" w:rsidRDefault="00F36280" w:rsidP="00F36280">
      <w:pPr>
        <w:jc w:val="both"/>
        <w:rPr>
          <w:rFonts w:ascii="Bookman Old Style" w:eastAsia="Calibri" w:hAnsi="Bookman Old Style" w:cs="Calibri"/>
          <w:szCs w:val="24"/>
          <w:lang w:val="es-ES_tradnl"/>
        </w:rPr>
      </w:pPr>
    </w:p>
    <w:p w14:paraId="4330A542" w14:textId="77777777" w:rsidR="00F36280" w:rsidRPr="00485CC5" w:rsidRDefault="00F36280" w:rsidP="00F36280">
      <w:pPr>
        <w:jc w:val="both"/>
        <w:rPr>
          <w:rFonts w:ascii="Bookman Old Style" w:eastAsia="Calibri" w:hAnsi="Bookman Old Style" w:cs="Calibri"/>
          <w:b/>
          <w:szCs w:val="24"/>
        </w:rPr>
      </w:pPr>
      <w:r w:rsidRPr="00485CC5">
        <w:rPr>
          <w:rFonts w:ascii="Bookman Old Style" w:eastAsia="Calibri" w:hAnsi="Bookman Old Style" w:cs="Calibri"/>
          <w:szCs w:val="24"/>
          <w:lang w:val="es-ES_tradnl"/>
        </w:rPr>
        <w:t>No obstante reconoció, como ya lo había hecho en oportunidades anteriores, que el margen de libertad legislativa se encuentra enmarcado por los valores superiores del ordenamiento jurídico, los principios constitucionales y los derechos fundamentales.</w:t>
      </w:r>
      <w:r w:rsidRPr="00485CC5">
        <w:rPr>
          <w:rStyle w:val="Refdenotaalpie"/>
          <w:rFonts w:ascii="Bookman Old Style" w:eastAsia="Calibri" w:hAnsi="Bookman Old Style" w:cs="Calibri"/>
          <w:szCs w:val="24"/>
          <w:lang w:val="es-ES_tradnl"/>
        </w:rPr>
        <w:footnoteReference w:id="60"/>
      </w:r>
      <w:r w:rsidRPr="00485CC5">
        <w:rPr>
          <w:rFonts w:ascii="Bookman Old Style" w:eastAsia="Calibri" w:hAnsi="Bookman Old Style" w:cs="Calibri"/>
          <w:szCs w:val="24"/>
          <w:lang w:val="es-ES_tradnl"/>
        </w:rPr>
        <w:t xml:space="preserve"> En esa medida concluyó, en lo respectivo al caso concreto que </w:t>
      </w:r>
      <w:r w:rsidRPr="00485CC5">
        <w:rPr>
          <w:rFonts w:ascii="Bookman Old Style" w:eastAsia="Calibri" w:hAnsi="Bookman Old Style" w:cs="Calibri"/>
          <w:i/>
          <w:szCs w:val="24"/>
          <w:lang w:val="es-ES_tradnl"/>
        </w:rPr>
        <w:t>“De allí que el cuestionamiento de la constitucionalidad de las normas que tipifican el tráfico de estupefacientes no deba hacerse genéricamente cuestionando una política criminal que se estima equivocada sino específicamente, esto es, considerando cada una de las reglas de derecho contenidas en esas disposiciones y confrontándolas con el Texto Superior para evidenciar su incompatibilidad”.</w:t>
      </w:r>
      <w:r w:rsidRPr="00485CC5">
        <w:rPr>
          <w:rFonts w:ascii="Bookman Old Style" w:eastAsia="Calibri" w:hAnsi="Bookman Old Style" w:cs="Calibri"/>
          <w:szCs w:val="24"/>
          <w:lang w:val="es-ES_tradnl"/>
        </w:rPr>
        <w:t xml:space="preserve"> </w:t>
      </w:r>
    </w:p>
    <w:p w14:paraId="3C40A3F4" w14:textId="77777777" w:rsidR="00F36280" w:rsidRPr="00485CC5" w:rsidRDefault="00F36280" w:rsidP="00F36280">
      <w:pPr>
        <w:jc w:val="both"/>
        <w:rPr>
          <w:rFonts w:ascii="Bookman Old Style" w:eastAsia="Calibri" w:hAnsi="Bookman Old Style" w:cs="Calibri"/>
          <w:szCs w:val="24"/>
        </w:rPr>
      </w:pPr>
    </w:p>
    <w:p w14:paraId="16DE8C5A" w14:textId="77777777" w:rsidR="00F36280" w:rsidRPr="00485CC5" w:rsidRDefault="00F36280" w:rsidP="00F36280">
      <w:pPr>
        <w:jc w:val="both"/>
        <w:rPr>
          <w:rFonts w:ascii="Bookman Old Style" w:eastAsia="Calibri" w:hAnsi="Bookman Old Style" w:cs="Calibri"/>
          <w:szCs w:val="24"/>
        </w:rPr>
      </w:pPr>
      <w:r w:rsidRPr="00485CC5">
        <w:rPr>
          <w:rFonts w:ascii="Bookman Old Style" w:eastAsia="Calibri" w:hAnsi="Bookman Old Style" w:cs="Calibri"/>
          <w:szCs w:val="24"/>
        </w:rPr>
        <w:t xml:space="preserve">En esa oportunidad la Corte se declaró inhibida por ineptitud de la demanda, no obstante, es claro que en esta materia era plenamente aplicable lo que ya había sido dispuesto en la sentencia C-221 de 1994, en la medida en que el legislador no podía tipificar como delito una conducta que repercutía exclusivamente en la esfera del individuo. </w:t>
      </w:r>
    </w:p>
    <w:p w14:paraId="72BB21D3" w14:textId="77777777" w:rsidR="00F36280" w:rsidRPr="00485CC5" w:rsidRDefault="00F36280" w:rsidP="00F36280">
      <w:pPr>
        <w:jc w:val="both"/>
        <w:rPr>
          <w:rFonts w:ascii="Bookman Old Style" w:eastAsia="Calibri" w:hAnsi="Bookman Old Style" w:cs="Calibri"/>
          <w:szCs w:val="24"/>
        </w:rPr>
      </w:pPr>
    </w:p>
    <w:p w14:paraId="100D8049" w14:textId="77777777" w:rsidR="00BB5B9A" w:rsidRPr="00485CC5" w:rsidRDefault="00F36280" w:rsidP="00F36280">
      <w:pPr>
        <w:jc w:val="both"/>
        <w:rPr>
          <w:rFonts w:ascii="Bookman Old Style" w:eastAsia="Calibri" w:hAnsi="Bookman Old Style" w:cs="Calibri"/>
          <w:szCs w:val="24"/>
        </w:rPr>
      </w:pPr>
      <w:r w:rsidRPr="00485CC5">
        <w:rPr>
          <w:rFonts w:ascii="Bookman Old Style" w:eastAsia="Calibri" w:hAnsi="Bookman Old Style" w:cs="Calibri"/>
          <w:szCs w:val="24"/>
        </w:rPr>
        <w:t xml:space="preserve">En consecuencia, es posible diferenciar lo que compete a la política criminal, en tanto se trata de la tipificación de conductas que repercuten en el orden jurídico, que afectan bienes jurídicos y derechos de otros individuos de aquellas conductas que únicamente trascienden en el ámbito personal y que, en consecuencia, no deberían ser objeto de prohibición. </w:t>
      </w:r>
    </w:p>
    <w:p w14:paraId="70FF21E5" w14:textId="77777777" w:rsidR="00F36280" w:rsidRPr="00485CC5" w:rsidRDefault="00F36280" w:rsidP="00F36280">
      <w:pPr>
        <w:jc w:val="both"/>
        <w:rPr>
          <w:rFonts w:ascii="Bookman Old Style" w:eastAsia="Calibri" w:hAnsi="Bookman Old Style" w:cs="Calibri"/>
          <w:szCs w:val="24"/>
        </w:rPr>
      </w:pPr>
    </w:p>
    <w:p w14:paraId="06C442EF" w14:textId="0E270BE0" w:rsidR="00F36280" w:rsidRPr="00485CC5" w:rsidRDefault="0059124F" w:rsidP="00F36280">
      <w:pPr>
        <w:jc w:val="both"/>
        <w:rPr>
          <w:rFonts w:ascii="Bookman Old Style" w:eastAsia="Calibri" w:hAnsi="Bookman Old Style" w:cs="Calibri"/>
          <w:b/>
          <w:szCs w:val="24"/>
        </w:rPr>
      </w:pPr>
      <w:r>
        <w:rPr>
          <w:rFonts w:ascii="Bookman Old Style" w:eastAsia="Calibri" w:hAnsi="Bookman Old Style" w:cs="Calibri"/>
          <w:b/>
          <w:szCs w:val="24"/>
        </w:rPr>
        <w:t>6</w:t>
      </w:r>
      <w:r w:rsidR="00F36280" w:rsidRPr="00485CC5">
        <w:rPr>
          <w:rFonts w:ascii="Bookman Old Style" w:eastAsia="Calibri" w:hAnsi="Bookman Old Style" w:cs="Calibri"/>
          <w:b/>
          <w:szCs w:val="24"/>
        </w:rPr>
        <w:t>.</w:t>
      </w:r>
      <w:r w:rsidR="00F36280" w:rsidRPr="00C30DB4">
        <w:rPr>
          <w:rFonts w:ascii="Bookman Old Style" w:eastAsia="Calibri" w:hAnsi="Bookman Old Style" w:cs="Calibri"/>
          <w:b/>
          <w:szCs w:val="24"/>
        </w:rPr>
        <w:t>2.</w:t>
      </w:r>
      <w:r w:rsidR="00CD271D">
        <w:rPr>
          <w:rFonts w:ascii="Bookman Old Style" w:eastAsia="Calibri" w:hAnsi="Bookman Old Style" w:cs="Calibri"/>
          <w:b/>
          <w:szCs w:val="24"/>
        </w:rPr>
        <w:t>1</w:t>
      </w:r>
      <w:r w:rsidR="00F36280" w:rsidRPr="00485CC5">
        <w:rPr>
          <w:rFonts w:ascii="Bookman Old Style" w:eastAsia="Calibri" w:hAnsi="Bookman Old Style" w:cs="Calibri"/>
          <w:szCs w:val="24"/>
        </w:rPr>
        <w:t xml:space="preserve"> </w:t>
      </w:r>
      <w:r w:rsidR="00F36280" w:rsidRPr="00485CC5">
        <w:rPr>
          <w:rFonts w:ascii="Bookman Old Style" w:eastAsia="Calibri" w:hAnsi="Bookman Old Style" w:cs="Calibri"/>
          <w:b/>
          <w:szCs w:val="24"/>
        </w:rPr>
        <w:t xml:space="preserve">AFECTACIÓN DEL DERECHO A LA SALUD POR EL CONSUMO DE SUSTANCIAS ESTUPEFACIENTES O PSICOTRÓPICAS. </w:t>
      </w:r>
    </w:p>
    <w:p w14:paraId="32487E4D" w14:textId="77777777" w:rsidR="00F36280" w:rsidRPr="00485CC5" w:rsidRDefault="00F36280" w:rsidP="00F36280">
      <w:pPr>
        <w:jc w:val="both"/>
        <w:rPr>
          <w:rFonts w:ascii="Bookman Old Style" w:eastAsia="Calibri" w:hAnsi="Bookman Old Style" w:cs="Calibri"/>
          <w:szCs w:val="24"/>
          <w:lang w:val="es-ES_tradnl"/>
        </w:rPr>
      </w:pPr>
    </w:p>
    <w:p w14:paraId="222221A6" w14:textId="537656F6" w:rsidR="00F36280"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Vale la pena preguntarse si el fundamento del Acto Legislativo 02 de 2009 es plenamente aplicable para todos los tipos de sustancias estupefacientes o psicotrópicas. A saber, si el consumo de cualquiera de este tipo de sustancias tiene la virtualidad de afectar la salud, entendida como derecho, principio y servicio público y si, en consecuencia, todas deben ser objeto de prohibición constitucional.</w:t>
      </w:r>
    </w:p>
    <w:p w14:paraId="7DF2EA90" w14:textId="6B1D964A" w:rsidR="007F6FA2" w:rsidRDefault="007F6FA2" w:rsidP="00F36280">
      <w:pPr>
        <w:jc w:val="both"/>
        <w:rPr>
          <w:rFonts w:ascii="Bookman Old Style" w:eastAsia="Calibri" w:hAnsi="Bookman Old Style" w:cs="Calibri"/>
          <w:szCs w:val="24"/>
          <w:lang w:val="es-ES_tradnl"/>
        </w:rPr>
      </w:pPr>
    </w:p>
    <w:p w14:paraId="691B7803" w14:textId="3E1AC4B1" w:rsidR="007F6FA2" w:rsidRPr="007F6FA2" w:rsidRDefault="007F6FA2" w:rsidP="00F36280">
      <w:pPr>
        <w:jc w:val="both"/>
        <w:rPr>
          <w:rFonts w:ascii="Bookman Old Style" w:eastAsia="Calibri" w:hAnsi="Bookman Old Style" w:cs="Calibri"/>
          <w:lang w:val="es-ES_tradnl"/>
        </w:rPr>
      </w:pPr>
      <w:r w:rsidRPr="00B10001">
        <w:rPr>
          <w:rFonts w:ascii="Bookman Old Style" w:eastAsia="Calibri" w:hAnsi="Bookman Old Style" w:cs="Calibri"/>
          <w:lang w:val="es-ES_tradnl"/>
        </w:rPr>
        <w:t>En ese sentido, el cambio de enfoque en la política de drogas exige evaluar con detenimiento cuál es la variable crítica en este asunto. Por muchos años, la causa prohibicionista ha estado sustentada en gran parte en la creencia que el consumo no medicinal de cannabis es una gran amenaza contra la salud pública. Sin embargo, en este proceso hemos llegado a entender que definitivamente, no hay cambio de paradigma si no se despejan las dudas que en materia de salud hay alrededor del consumo de cannabis de uso adulto.</w:t>
      </w:r>
    </w:p>
    <w:p w14:paraId="12719055" w14:textId="03C0C242" w:rsidR="00F36280" w:rsidRDefault="00F36280" w:rsidP="00F36280">
      <w:pPr>
        <w:jc w:val="both"/>
        <w:rPr>
          <w:rFonts w:ascii="Bookman Old Style" w:eastAsia="Calibri" w:hAnsi="Bookman Old Style" w:cs="Calibri"/>
          <w:szCs w:val="24"/>
          <w:lang w:val="es-ES_tradnl"/>
        </w:rPr>
      </w:pPr>
    </w:p>
    <w:p w14:paraId="14E90637" w14:textId="7FAB0C2C" w:rsidR="0090168D" w:rsidRDefault="0090168D" w:rsidP="00F36280">
      <w:pPr>
        <w:jc w:val="both"/>
        <w:rPr>
          <w:rFonts w:ascii="Bookman Old Style" w:eastAsia="Calibri" w:hAnsi="Bookman Old Style" w:cs="Calibri"/>
          <w:b/>
          <w:szCs w:val="24"/>
        </w:rPr>
      </w:pPr>
      <w:r>
        <w:rPr>
          <w:rFonts w:ascii="Bookman Old Style" w:eastAsia="Calibri" w:hAnsi="Bookman Old Style" w:cs="Calibri"/>
          <w:b/>
          <w:szCs w:val="24"/>
        </w:rPr>
        <w:t>6</w:t>
      </w:r>
      <w:r w:rsidRPr="00485CC5">
        <w:rPr>
          <w:rFonts w:ascii="Bookman Old Style" w:eastAsia="Calibri" w:hAnsi="Bookman Old Style" w:cs="Calibri"/>
          <w:b/>
          <w:szCs w:val="24"/>
        </w:rPr>
        <w:t>.</w:t>
      </w:r>
      <w:r w:rsidRPr="00C30DB4">
        <w:rPr>
          <w:rFonts w:ascii="Bookman Old Style" w:eastAsia="Calibri" w:hAnsi="Bookman Old Style" w:cs="Calibri"/>
          <w:b/>
          <w:szCs w:val="24"/>
        </w:rPr>
        <w:t>2.</w:t>
      </w:r>
      <w:r>
        <w:rPr>
          <w:rFonts w:ascii="Bookman Old Style" w:eastAsia="Calibri" w:hAnsi="Bookman Old Style" w:cs="Calibri"/>
          <w:b/>
          <w:szCs w:val="24"/>
        </w:rPr>
        <w:t>1.1</w:t>
      </w:r>
      <w:r w:rsidRPr="00485CC5">
        <w:rPr>
          <w:rFonts w:ascii="Bookman Old Style" w:eastAsia="Calibri" w:hAnsi="Bookman Old Style" w:cs="Calibri"/>
          <w:szCs w:val="24"/>
        </w:rPr>
        <w:t xml:space="preserve"> </w:t>
      </w:r>
      <w:r w:rsidR="000F7EA5">
        <w:rPr>
          <w:rFonts w:ascii="Bookman Old Style" w:eastAsia="Calibri" w:hAnsi="Bookman Old Style" w:cs="Calibri"/>
          <w:b/>
          <w:szCs w:val="24"/>
        </w:rPr>
        <w:t>FRENTE AL D</w:t>
      </w:r>
      <w:r w:rsidR="00176820">
        <w:rPr>
          <w:rFonts w:ascii="Bookman Old Style" w:eastAsia="Calibri" w:hAnsi="Bookman Old Style" w:cs="Calibri"/>
          <w:b/>
          <w:szCs w:val="24"/>
        </w:rPr>
        <w:t>AÑO A</w:t>
      </w:r>
      <w:r w:rsidR="000F7EA5">
        <w:rPr>
          <w:rFonts w:ascii="Bookman Old Style" w:eastAsia="Calibri" w:hAnsi="Bookman Old Style" w:cs="Calibri"/>
          <w:b/>
          <w:szCs w:val="24"/>
        </w:rPr>
        <w:t>L CONSUMIDOR</w:t>
      </w:r>
      <w:r w:rsidRPr="00485CC5">
        <w:rPr>
          <w:rFonts w:ascii="Bookman Old Style" w:eastAsia="Calibri" w:hAnsi="Bookman Old Style" w:cs="Calibri"/>
          <w:b/>
          <w:szCs w:val="24"/>
        </w:rPr>
        <w:t>.</w:t>
      </w:r>
    </w:p>
    <w:p w14:paraId="5FFF027F" w14:textId="77777777" w:rsidR="00AC7FB2" w:rsidRPr="00AC7FB2" w:rsidRDefault="00AC7FB2" w:rsidP="00F36280">
      <w:pPr>
        <w:jc w:val="both"/>
        <w:rPr>
          <w:rFonts w:ascii="Bookman Old Style" w:eastAsia="Calibri" w:hAnsi="Bookman Old Style" w:cs="Calibri"/>
          <w:b/>
          <w:szCs w:val="24"/>
        </w:rPr>
      </w:pPr>
    </w:p>
    <w:p w14:paraId="29BADB1B" w14:textId="77777777" w:rsidR="00F36280" w:rsidRPr="00485CC5" w:rsidRDefault="00F36280" w:rsidP="00F36280">
      <w:pPr>
        <w:widowControl/>
        <w:shd w:val="clear" w:color="auto" w:fill="FFFFFF"/>
        <w:jc w:val="both"/>
        <w:rPr>
          <w:rFonts w:ascii="Bookman Old Style" w:hAnsi="Bookman Old Style"/>
          <w:szCs w:val="24"/>
          <w:lang w:val="es-ES_tradnl"/>
        </w:rPr>
      </w:pPr>
      <w:r w:rsidRPr="00485CC5">
        <w:rPr>
          <w:rFonts w:ascii="Bookman Old Style" w:eastAsia="Calibri" w:hAnsi="Bookman Old Style" w:cs="Calibri"/>
          <w:szCs w:val="24"/>
          <w:lang w:val="es-ES_tradnl"/>
        </w:rPr>
        <w:t xml:space="preserve">Sobre este particular, vale la pena traer a colación </w:t>
      </w:r>
      <w:hyperlink r:id="rId11" w:tgtFrame="_blank" w:history="1">
        <w:r w:rsidRPr="00485CC5">
          <w:rPr>
            <w:rFonts w:ascii="Bookman Old Style" w:hAnsi="Bookman Old Style"/>
            <w:szCs w:val="24"/>
            <w:lang w:val="es-ES_tradnl"/>
          </w:rPr>
          <w:t>el artículo “Drug harms in the UK: a multicriteria decision analysis”</w:t>
        </w:r>
        <w:r w:rsidRPr="00485CC5">
          <w:rPr>
            <w:rStyle w:val="Refdenotaalpie"/>
            <w:rFonts w:ascii="Bookman Old Style" w:hAnsi="Bookman Old Style"/>
            <w:szCs w:val="24"/>
            <w:lang w:val="es-ES_tradnl"/>
          </w:rPr>
          <w:footnoteReference w:id="61"/>
        </w:r>
        <w:r w:rsidRPr="00485CC5">
          <w:rPr>
            <w:rFonts w:ascii="Bookman Old Style" w:hAnsi="Bookman Old Style"/>
            <w:szCs w:val="24"/>
            <w:lang w:val="es-ES_tradnl"/>
          </w:rPr>
          <w:t xml:space="preserve"> publicado en 2010 en el diario médico The Lancet</w:t>
        </w:r>
      </w:hyperlink>
      <w:r w:rsidRPr="00485CC5">
        <w:rPr>
          <w:rFonts w:ascii="Bookman Old Style" w:hAnsi="Bookman Old Style"/>
          <w:szCs w:val="24"/>
          <w:lang w:val="es-ES_tradnl"/>
        </w:rPr>
        <w:t xml:space="preserve">, que evaluó los impactos que las drogas —tanto legales como ilegales— tenían en las personas que las consumían, considerando además el contexto en el cual estas vivían. </w:t>
      </w:r>
    </w:p>
    <w:p w14:paraId="00746691" w14:textId="77777777" w:rsidR="00F36280" w:rsidRPr="00485CC5" w:rsidRDefault="00F36280" w:rsidP="00F36280">
      <w:pPr>
        <w:widowControl/>
        <w:shd w:val="clear" w:color="auto" w:fill="FFFFFF"/>
        <w:jc w:val="both"/>
        <w:rPr>
          <w:rFonts w:ascii="Bookman Old Style" w:hAnsi="Bookman Old Style"/>
          <w:szCs w:val="24"/>
          <w:lang w:val="es-ES_tradnl"/>
        </w:rPr>
      </w:pPr>
    </w:p>
    <w:p w14:paraId="0C8F6E4B" w14:textId="77777777" w:rsidR="00F36280" w:rsidRPr="00485CC5" w:rsidRDefault="00F36280" w:rsidP="00F36280">
      <w:pPr>
        <w:widowControl/>
        <w:shd w:val="clear" w:color="auto" w:fill="FFFFFF"/>
        <w:jc w:val="both"/>
        <w:rPr>
          <w:rFonts w:ascii="Bookman Old Style" w:hAnsi="Bookman Old Style"/>
          <w:szCs w:val="24"/>
          <w:lang w:val="es-ES_tradnl"/>
        </w:rPr>
      </w:pPr>
      <w:r w:rsidRPr="00485CC5">
        <w:rPr>
          <w:rFonts w:ascii="Bookman Old Style" w:hAnsi="Bookman Old Style"/>
          <w:szCs w:val="24"/>
          <w:lang w:val="es-ES_tradnl"/>
        </w:rPr>
        <w:t xml:space="preserve">Entre las conclusiones a las que llega la investigación, se tiene que la sustancia que más daño causa, tanto al individuo como a la sociedad, es el alcohol, con una valoración de 72/100; el tabaco por su parte es el sexto en la lista y sólo es un poco menos nocivo que la cocaína. </w:t>
      </w:r>
    </w:p>
    <w:p w14:paraId="7586EDC3" w14:textId="77777777" w:rsidR="00F36280" w:rsidRPr="00485CC5" w:rsidRDefault="00F36280" w:rsidP="00F36280">
      <w:pPr>
        <w:widowControl/>
        <w:shd w:val="clear" w:color="auto" w:fill="FFFFFF"/>
        <w:jc w:val="both"/>
        <w:rPr>
          <w:rFonts w:ascii="Bookman Old Style" w:hAnsi="Bookman Old Style"/>
          <w:szCs w:val="24"/>
          <w:lang w:val="es-ES_tradnl"/>
        </w:rPr>
      </w:pPr>
    </w:p>
    <w:p w14:paraId="2663FE1D" w14:textId="77777777" w:rsidR="00AC7FB2" w:rsidRDefault="00F36280" w:rsidP="00F36280">
      <w:pPr>
        <w:widowControl/>
        <w:shd w:val="clear" w:color="auto" w:fill="FFFFFF"/>
        <w:jc w:val="center"/>
        <w:rPr>
          <w:rFonts w:ascii="Bookman Old Style" w:hAnsi="Bookman Old Style"/>
          <w:b/>
          <w:szCs w:val="24"/>
          <w:lang w:val="es-ES_tradnl"/>
        </w:rPr>
      </w:pPr>
      <w:r w:rsidRPr="00485CC5">
        <w:rPr>
          <w:rFonts w:ascii="Bookman Old Style" w:hAnsi="Bookman Old Style"/>
          <w:b/>
          <w:szCs w:val="24"/>
          <w:lang w:val="es-ES_tradnl"/>
        </w:rPr>
        <w:t xml:space="preserve">Gráfica 1. </w:t>
      </w:r>
    </w:p>
    <w:p w14:paraId="545C5839" w14:textId="65186AE3" w:rsidR="00F36280" w:rsidRDefault="00F36280" w:rsidP="00F36280">
      <w:pPr>
        <w:widowControl/>
        <w:shd w:val="clear" w:color="auto" w:fill="FFFFFF"/>
        <w:jc w:val="center"/>
        <w:rPr>
          <w:rFonts w:ascii="Bookman Old Style" w:hAnsi="Bookman Old Style"/>
          <w:b/>
          <w:szCs w:val="24"/>
          <w:lang w:val="es-ES_tradnl"/>
        </w:rPr>
      </w:pPr>
      <w:r w:rsidRPr="00485CC5">
        <w:rPr>
          <w:rFonts w:ascii="Bookman Old Style" w:hAnsi="Bookman Old Style"/>
          <w:b/>
          <w:szCs w:val="24"/>
          <w:lang w:val="es-ES_tradnl"/>
        </w:rPr>
        <w:t>Drogas por su nivel de daño, mostrando las contribuciones por tipo (daño al consumidor y daño hacia otros) al puntaje total.</w:t>
      </w:r>
    </w:p>
    <w:p w14:paraId="74C963D3" w14:textId="77777777" w:rsidR="00AC7FB2" w:rsidRPr="00485CC5" w:rsidRDefault="00AC7FB2" w:rsidP="00F36280">
      <w:pPr>
        <w:widowControl/>
        <w:shd w:val="clear" w:color="auto" w:fill="FFFFFF"/>
        <w:jc w:val="center"/>
        <w:rPr>
          <w:rFonts w:ascii="Bookman Old Style" w:hAnsi="Bookman Old Style"/>
          <w:b/>
          <w:szCs w:val="24"/>
          <w:lang w:val="es-ES_tradnl"/>
        </w:rPr>
      </w:pPr>
    </w:p>
    <w:p w14:paraId="75B16708" w14:textId="77777777" w:rsidR="00F36280" w:rsidRPr="00485CC5" w:rsidRDefault="00F36280" w:rsidP="00F36280">
      <w:pPr>
        <w:widowControl/>
        <w:shd w:val="clear" w:color="auto" w:fill="FFFFFF"/>
        <w:jc w:val="center"/>
        <w:rPr>
          <w:rFonts w:ascii="Bookman Old Style" w:hAnsi="Bookman Old Style"/>
          <w:szCs w:val="24"/>
          <w:lang w:val="es-ES_tradnl"/>
        </w:rPr>
      </w:pPr>
      <w:r w:rsidRPr="00485CC5">
        <w:rPr>
          <w:rFonts w:ascii="Bookman Old Style" w:hAnsi="Bookman Old Style"/>
          <w:noProof/>
          <w:szCs w:val="24"/>
        </w:rPr>
        <w:drawing>
          <wp:inline distT="0" distB="0" distL="0" distR="0" wp14:anchorId="2EE99003" wp14:editId="1CD0D27E">
            <wp:extent cx="5816599" cy="3562350"/>
            <wp:effectExtent l="0" t="0" r="0" b="0"/>
            <wp:docPr id="1" name="Imagen 1" descr="C:\Users\Dlz-Moony\Documents\Cuadro Daño Cannabi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lz-Moony\Documents\Cuadro Daño Cannabis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96596" cy="3795078"/>
                    </a:xfrm>
                    <a:prstGeom prst="rect">
                      <a:avLst/>
                    </a:prstGeom>
                    <a:noFill/>
                    <a:ln>
                      <a:noFill/>
                    </a:ln>
                  </pic:spPr>
                </pic:pic>
              </a:graphicData>
            </a:graphic>
          </wp:inline>
        </w:drawing>
      </w:r>
    </w:p>
    <w:p w14:paraId="31CAA66D" w14:textId="77777777" w:rsidR="00F36280" w:rsidRPr="00485CC5" w:rsidRDefault="00F36280" w:rsidP="00F36280">
      <w:pPr>
        <w:widowControl/>
        <w:shd w:val="clear" w:color="auto" w:fill="FFFFFF"/>
        <w:rPr>
          <w:rFonts w:ascii="Bookman Old Style" w:hAnsi="Bookman Old Style"/>
          <w:i/>
          <w:sz w:val="20"/>
          <w:szCs w:val="24"/>
        </w:rPr>
      </w:pPr>
      <w:r w:rsidRPr="00485CC5">
        <w:rPr>
          <w:rFonts w:ascii="Bookman Old Style" w:hAnsi="Bookman Old Style"/>
          <w:i/>
          <w:sz w:val="20"/>
          <w:szCs w:val="24"/>
          <w:lang w:val="en-US"/>
        </w:rPr>
        <w:t xml:space="preserve">Fuente: Drug harms in the UK: a multicriteria decision analysis. </w:t>
      </w:r>
      <w:r w:rsidRPr="00485CC5">
        <w:rPr>
          <w:rFonts w:ascii="Bookman Old Style" w:hAnsi="Bookman Old Style"/>
          <w:i/>
          <w:sz w:val="20"/>
          <w:szCs w:val="24"/>
        </w:rPr>
        <w:t>2010.</w:t>
      </w:r>
    </w:p>
    <w:p w14:paraId="465F7BA3" w14:textId="77777777" w:rsidR="00F36280" w:rsidRPr="00485CC5" w:rsidRDefault="00F36280" w:rsidP="00F36280">
      <w:pPr>
        <w:widowControl/>
        <w:shd w:val="clear" w:color="auto" w:fill="FFFFFF"/>
        <w:rPr>
          <w:rFonts w:ascii="Bookman Old Style" w:hAnsi="Bookman Old Style"/>
          <w:i/>
          <w:sz w:val="20"/>
          <w:szCs w:val="24"/>
        </w:rPr>
      </w:pPr>
    </w:p>
    <w:p w14:paraId="0C6B0FF1" w14:textId="77777777" w:rsidR="00F36280" w:rsidRPr="00485CC5" w:rsidRDefault="00F36280" w:rsidP="00F36280">
      <w:pPr>
        <w:widowControl/>
        <w:shd w:val="clear" w:color="auto" w:fill="FFFFFF"/>
        <w:jc w:val="both"/>
        <w:rPr>
          <w:rFonts w:ascii="Bookman Old Style" w:hAnsi="Bookman Old Style"/>
          <w:szCs w:val="24"/>
          <w:lang w:val="es-ES_tradnl"/>
        </w:rPr>
      </w:pPr>
      <w:r w:rsidRPr="00485CC5">
        <w:rPr>
          <w:rFonts w:ascii="Bookman Old Style" w:hAnsi="Bookman Old Style"/>
          <w:szCs w:val="24"/>
          <w:lang w:val="es-ES_tradnl"/>
        </w:rPr>
        <w:t>Ahora bien, el mismo artículo citado con anterioridad, realizó un análisis sobre las drogas que causan daño al consumidor y las drogas que causan daño a otros. A continuación, se presenta el resultado.</w:t>
      </w:r>
    </w:p>
    <w:p w14:paraId="024F447B" w14:textId="77777777" w:rsidR="00F36280" w:rsidRPr="00485CC5" w:rsidRDefault="00F36280" w:rsidP="00F36280">
      <w:pPr>
        <w:widowControl/>
        <w:shd w:val="clear" w:color="auto" w:fill="FFFFFF"/>
        <w:rPr>
          <w:rFonts w:ascii="Bookman Old Style" w:hAnsi="Bookman Old Style"/>
          <w:i/>
          <w:sz w:val="20"/>
          <w:szCs w:val="24"/>
        </w:rPr>
      </w:pPr>
    </w:p>
    <w:p w14:paraId="484A9582" w14:textId="77777777" w:rsidR="002722F9" w:rsidRDefault="00F36280" w:rsidP="00F36280">
      <w:pPr>
        <w:widowControl/>
        <w:shd w:val="clear" w:color="auto" w:fill="FFFFFF"/>
        <w:jc w:val="center"/>
        <w:rPr>
          <w:rFonts w:ascii="Bookman Old Style" w:hAnsi="Bookman Old Style"/>
          <w:b/>
          <w:szCs w:val="24"/>
          <w:lang w:val="es-ES_tradnl"/>
        </w:rPr>
      </w:pPr>
      <w:r w:rsidRPr="00485CC5">
        <w:rPr>
          <w:rFonts w:ascii="Bookman Old Style" w:hAnsi="Bookman Old Style"/>
          <w:b/>
          <w:szCs w:val="24"/>
        </w:rPr>
        <w:t>Gráfica 2.</w:t>
      </w:r>
      <w:r w:rsidRPr="00485CC5">
        <w:rPr>
          <w:rFonts w:ascii="Bookman Old Style" w:hAnsi="Bookman Old Style"/>
          <w:b/>
          <w:szCs w:val="24"/>
          <w:lang w:val="es-ES_tradnl"/>
        </w:rPr>
        <w:t xml:space="preserve"> </w:t>
      </w:r>
    </w:p>
    <w:p w14:paraId="3602D171" w14:textId="530D823F" w:rsidR="00F36280" w:rsidRPr="00485CC5" w:rsidRDefault="00F36280" w:rsidP="00F36280">
      <w:pPr>
        <w:widowControl/>
        <w:shd w:val="clear" w:color="auto" w:fill="FFFFFF"/>
        <w:jc w:val="center"/>
        <w:rPr>
          <w:rFonts w:ascii="Bookman Old Style" w:hAnsi="Bookman Old Style"/>
          <w:b/>
          <w:szCs w:val="24"/>
        </w:rPr>
      </w:pPr>
      <w:r w:rsidRPr="00485CC5">
        <w:rPr>
          <w:rFonts w:ascii="Bookman Old Style" w:hAnsi="Bookman Old Style"/>
          <w:b/>
          <w:szCs w:val="24"/>
          <w:lang w:val="es-ES_tradnl"/>
        </w:rPr>
        <w:t>Drogas mostradas por su daño al consumidor y daño hacia otros.</w:t>
      </w:r>
    </w:p>
    <w:p w14:paraId="25299CB8" w14:textId="77777777" w:rsidR="00F36280" w:rsidRPr="00485CC5" w:rsidRDefault="00F36280" w:rsidP="00F36280">
      <w:pPr>
        <w:widowControl/>
        <w:shd w:val="clear" w:color="auto" w:fill="FFFFFF"/>
        <w:jc w:val="both"/>
        <w:rPr>
          <w:rFonts w:ascii="Bookman Old Style" w:hAnsi="Bookman Old Style"/>
          <w:szCs w:val="24"/>
          <w:lang w:val="en-US"/>
        </w:rPr>
      </w:pPr>
      <w:r w:rsidRPr="00485CC5">
        <w:rPr>
          <w:rFonts w:ascii="Bookman Old Style" w:hAnsi="Bookman Old Style"/>
          <w:noProof/>
          <w:szCs w:val="24"/>
        </w:rPr>
        <w:drawing>
          <wp:inline distT="0" distB="0" distL="0" distR="0" wp14:anchorId="1B081EC4" wp14:editId="4379856D">
            <wp:extent cx="5612130" cy="2990850"/>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5612130" cy="2990850"/>
                    </a:xfrm>
                    <a:prstGeom prst="rect">
                      <a:avLst/>
                    </a:prstGeom>
                  </pic:spPr>
                </pic:pic>
              </a:graphicData>
            </a:graphic>
          </wp:inline>
        </w:drawing>
      </w:r>
    </w:p>
    <w:p w14:paraId="486DFFF5" w14:textId="77777777" w:rsidR="00F36280" w:rsidRPr="00485CC5" w:rsidRDefault="00F36280" w:rsidP="00F36280">
      <w:pPr>
        <w:widowControl/>
        <w:shd w:val="clear" w:color="auto" w:fill="FFFFFF"/>
        <w:jc w:val="both"/>
        <w:rPr>
          <w:rFonts w:ascii="Bookman Old Style" w:hAnsi="Bookman Old Style"/>
          <w:i/>
          <w:sz w:val="20"/>
          <w:szCs w:val="24"/>
        </w:rPr>
      </w:pPr>
      <w:r w:rsidRPr="00485CC5">
        <w:rPr>
          <w:rFonts w:ascii="Bookman Old Style" w:hAnsi="Bookman Old Style"/>
          <w:i/>
          <w:sz w:val="20"/>
          <w:szCs w:val="24"/>
          <w:lang w:val="en-US"/>
        </w:rPr>
        <w:t xml:space="preserve">Fuente: Drug harms in the UK: a multicriteria decision analysis. </w:t>
      </w:r>
      <w:r w:rsidRPr="00485CC5">
        <w:rPr>
          <w:rFonts w:ascii="Bookman Old Style" w:hAnsi="Bookman Old Style"/>
          <w:i/>
          <w:sz w:val="20"/>
          <w:szCs w:val="24"/>
        </w:rPr>
        <w:t>2010.</w:t>
      </w:r>
    </w:p>
    <w:p w14:paraId="3F012DED" w14:textId="77777777" w:rsidR="00F36280" w:rsidRPr="00485CC5" w:rsidRDefault="00F36280" w:rsidP="00F36280">
      <w:pPr>
        <w:jc w:val="both"/>
        <w:rPr>
          <w:rFonts w:ascii="Bookman Old Style" w:eastAsia="Calibri" w:hAnsi="Bookman Old Style" w:cs="Calibri"/>
          <w:szCs w:val="24"/>
          <w:lang w:val="es-ES_tradnl"/>
        </w:rPr>
      </w:pPr>
    </w:p>
    <w:p w14:paraId="2B4BA15C" w14:textId="77777777" w:rsidR="00F36280" w:rsidRPr="00485CC5" w:rsidRDefault="00F36280" w:rsidP="00F36280">
      <w:pPr>
        <w:widowControl/>
        <w:shd w:val="clear" w:color="auto" w:fill="FFFFFF"/>
        <w:jc w:val="both"/>
        <w:rPr>
          <w:rFonts w:ascii="Bookman Old Style" w:hAnsi="Bookman Old Style"/>
          <w:szCs w:val="24"/>
          <w:lang w:val="es-ES_tradnl"/>
        </w:rPr>
      </w:pPr>
      <w:r w:rsidRPr="00485CC5">
        <w:rPr>
          <w:rFonts w:ascii="Bookman Old Style" w:hAnsi="Bookman Old Style"/>
          <w:szCs w:val="24"/>
          <w:lang w:val="es-ES_tradnl"/>
        </w:rPr>
        <w:t xml:space="preserve">Como se observa, son pocas las drogas que realmente tienen afectación frente a los demás y aún más pocas las que causan un efecto grave, alcanzando el nivel más alto de afectación el consumo de alcohol, práctica que es plenamente legal en nuestro país. </w:t>
      </w:r>
    </w:p>
    <w:p w14:paraId="0F7A0C1C" w14:textId="77777777" w:rsidR="00F36280" w:rsidRPr="00485CC5" w:rsidRDefault="00F36280" w:rsidP="00F36280">
      <w:pPr>
        <w:widowControl/>
        <w:shd w:val="clear" w:color="auto" w:fill="FFFFFF"/>
        <w:jc w:val="both"/>
        <w:rPr>
          <w:rFonts w:ascii="Bookman Old Style" w:hAnsi="Bookman Old Style"/>
          <w:szCs w:val="24"/>
          <w:lang w:val="es-ES_tradnl"/>
        </w:rPr>
      </w:pPr>
    </w:p>
    <w:p w14:paraId="2F5547DD" w14:textId="77777777" w:rsidR="00ED3ACD" w:rsidRPr="00B10001" w:rsidRDefault="00ED3ACD" w:rsidP="00ED3ACD">
      <w:pPr>
        <w:shd w:val="clear" w:color="auto" w:fill="FFFFFF"/>
        <w:jc w:val="both"/>
        <w:rPr>
          <w:rFonts w:ascii="Bookman Old Style" w:hAnsi="Bookman Old Style"/>
          <w:lang w:val="es-ES_tradnl"/>
        </w:rPr>
      </w:pPr>
      <w:r w:rsidRPr="00B10001">
        <w:rPr>
          <w:rFonts w:ascii="Bookman Old Style" w:hAnsi="Bookman Old Style"/>
          <w:lang w:val="es-ES_tradnl"/>
        </w:rPr>
        <w:t>Por otra parte, según la OMS el uso nocivo de alcohol es un factor causal de 200 enfermedades y trastornos</w:t>
      </w:r>
      <w:r w:rsidRPr="00B10001">
        <w:rPr>
          <w:rStyle w:val="Refdenotaalpie"/>
          <w:rFonts w:ascii="Bookman Old Style" w:hAnsi="Bookman Old Style"/>
          <w:lang w:val="es-ES_tradnl"/>
        </w:rPr>
        <w:footnoteReference w:id="62"/>
      </w:r>
      <w:r w:rsidRPr="00B10001">
        <w:rPr>
          <w:rFonts w:ascii="Bookman Old Style" w:hAnsi="Bookman Old Style"/>
          <w:lang w:val="es-ES_tradnl"/>
        </w:rPr>
        <w:t>, además, existe evidencia de que la mitad de los consumidores de tabaco pueden morir por esta causa, siendo el 15% de esas muertes fumadores de humo ajeno o pasivos</w:t>
      </w:r>
      <w:r w:rsidRPr="00B10001">
        <w:rPr>
          <w:rStyle w:val="Refdenotaalpie"/>
          <w:rFonts w:ascii="Bookman Old Style" w:hAnsi="Bookman Old Style"/>
          <w:lang w:val="es-ES_tradnl"/>
        </w:rPr>
        <w:footnoteReference w:id="63"/>
      </w:r>
      <w:r w:rsidRPr="00B10001">
        <w:rPr>
          <w:rFonts w:ascii="Bookman Old Style" w:hAnsi="Bookman Old Style"/>
          <w:lang w:val="es-ES_tradnl"/>
        </w:rPr>
        <w:t xml:space="preserve">. </w:t>
      </w:r>
    </w:p>
    <w:p w14:paraId="75B2B733" w14:textId="77777777" w:rsidR="00ED3ACD" w:rsidRPr="00B10001" w:rsidRDefault="00ED3ACD" w:rsidP="00ED3ACD">
      <w:pPr>
        <w:shd w:val="clear" w:color="auto" w:fill="FFFFFF"/>
        <w:jc w:val="both"/>
        <w:rPr>
          <w:rFonts w:ascii="Bookman Old Style" w:hAnsi="Bookman Old Style"/>
          <w:lang w:val="es-ES_tradnl"/>
        </w:rPr>
      </w:pPr>
    </w:p>
    <w:p w14:paraId="338EE4E0" w14:textId="3AB278E7" w:rsidR="00AF4882" w:rsidRDefault="00ED3ACD" w:rsidP="00ED3ACD">
      <w:pPr>
        <w:widowControl/>
        <w:shd w:val="clear" w:color="auto" w:fill="FFFFFF"/>
        <w:jc w:val="both"/>
        <w:rPr>
          <w:rFonts w:ascii="Bookman Old Style" w:hAnsi="Bookman Old Style"/>
          <w:lang w:val="es-ES_tradnl"/>
        </w:rPr>
      </w:pPr>
      <w:r w:rsidRPr="00B10001">
        <w:rPr>
          <w:rFonts w:ascii="Bookman Old Style" w:hAnsi="Bookman Old Style"/>
          <w:lang w:val="es-ES_tradnl"/>
        </w:rPr>
        <w:t>De lo anterior, se desprende la conclusión de que en la actualidad existen sustancias, incluso más perjudiciales para la salud, cuyo consumo se encuentra permitido y que no han sido objeto de ningún intento de restricción vía legal o constitucional, como se adelantó en el año 2009 frente a todas las sustancias estupefacientes o psicotrópicas. No obstante, su producción y consumo a gran escala permiten el recaudo de impuestos destinados a financiar programas sociales, el sistema de salud, entre otros</w:t>
      </w:r>
    </w:p>
    <w:p w14:paraId="2CD99AB9" w14:textId="33116DAB" w:rsidR="00987C6B" w:rsidRDefault="00987C6B" w:rsidP="00ED3ACD">
      <w:pPr>
        <w:widowControl/>
        <w:shd w:val="clear" w:color="auto" w:fill="FFFFFF"/>
        <w:jc w:val="both"/>
        <w:rPr>
          <w:rFonts w:ascii="Bookman Old Style" w:hAnsi="Bookman Old Style"/>
          <w:lang w:val="es-ES_tradnl"/>
        </w:rPr>
      </w:pPr>
    </w:p>
    <w:p w14:paraId="39587592" w14:textId="79476938" w:rsidR="00987C6B" w:rsidRPr="00987C6B" w:rsidRDefault="00987C6B" w:rsidP="00987C6B">
      <w:pPr>
        <w:pBdr>
          <w:top w:val="nil"/>
          <w:left w:val="nil"/>
          <w:bottom w:val="nil"/>
          <w:right w:val="nil"/>
          <w:between w:val="nil"/>
        </w:pBdr>
        <w:ind w:right="115"/>
        <w:jc w:val="both"/>
        <w:rPr>
          <w:rFonts w:ascii="Bookman Old Style" w:eastAsia="Calibri" w:hAnsi="Bookman Old Style" w:cs="Calibri"/>
          <w:b/>
          <w:szCs w:val="24"/>
        </w:rPr>
      </w:pPr>
      <w:r w:rsidRPr="00987C6B">
        <w:rPr>
          <w:rFonts w:ascii="Bookman Old Style" w:eastAsia="Calibri" w:hAnsi="Bookman Old Style" w:cs="Calibri"/>
          <w:b/>
          <w:szCs w:val="24"/>
        </w:rPr>
        <w:t>6.2.1.2 FRENTE A LA PROBABILIDAD DE DESARROLLAR TRASTORNOS ASOCIADOS AL CONSUMO.</w:t>
      </w:r>
    </w:p>
    <w:p w14:paraId="1BBD3743" w14:textId="6E4390A7" w:rsidR="00AF4882" w:rsidRDefault="00AF4882" w:rsidP="00987C6B">
      <w:pPr>
        <w:pBdr>
          <w:top w:val="nil"/>
          <w:left w:val="nil"/>
          <w:bottom w:val="nil"/>
          <w:right w:val="nil"/>
          <w:between w:val="nil"/>
        </w:pBdr>
        <w:ind w:right="115"/>
        <w:jc w:val="both"/>
        <w:rPr>
          <w:rFonts w:ascii="Bookman Old Style" w:eastAsia="Calibri" w:hAnsi="Bookman Old Style" w:cs="Calibri"/>
          <w:b/>
          <w:szCs w:val="24"/>
        </w:rPr>
      </w:pPr>
    </w:p>
    <w:p w14:paraId="04AF4684" w14:textId="77777777" w:rsidR="00AF4882" w:rsidRPr="00B10001" w:rsidRDefault="00AF4882" w:rsidP="00AF4882">
      <w:pPr>
        <w:shd w:val="clear" w:color="auto" w:fill="FFFFFF"/>
        <w:jc w:val="both"/>
        <w:rPr>
          <w:rFonts w:ascii="Bookman Old Style" w:hAnsi="Bookman Old Style"/>
          <w:lang w:val="es-ES_tradnl"/>
        </w:rPr>
      </w:pPr>
      <w:r w:rsidRPr="00B10001">
        <w:rPr>
          <w:rFonts w:ascii="Bookman Old Style" w:hAnsi="Bookman Old Style"/>
          <w:lang w:val="es-ES_tradnl"/>
        </w:rPr>
        <w:t>Respecto a la posibilidad de desarrollar trastornos asociados al consumo por cannabis, vale traer a consideración el estudio publicado en por Catalina López, José Pérez y otros en el año 2011, en el que se menciona que la probabilidad acumulada de transición a desarrollar este tipo de trastornos por consumo de cannabis es de 8,9%; del 67,5% para los consumidores de nicotina; 22,7% para los consumidores de alcohol; y el 20,9% para los consumidores de cocaína.</w:t>
      </w:r>
      <w:r w:rsidRPr="00B10001">
        <w:rPr>
          <w:rStyle w:val="Refdenotaalpie"/>
          <w:rFonts w:ascii="Bookman Old Style" w:hAnsi="Bookman Old Style"/>
          <w:lang w:val="es-ES_tradnl"/>
        </w:rPr>
        <w:footnoteReference w:id="64"/>
      </w:r>
      <w:r w:rsidRPr="00B10001">
        <w:rPr>
          <w:rFonts w:ascii="Bookman Old Style" w:hAnsi="Bookman Old Style"/>
          <w:lang w:val="es-ES_tradnl"/>
        </w:rPr>
        <w:t xml:space="preserve"> Es decir, una de cada 10 personas podrían desarrollar lo que se conoce como consumo problemático. </w:t>
      </w:r>
    </w:p>
    <w:p w14:paraId="5330F20B" w14:textId="77777777" w:rsidR="00AF4882" w:rsidRPr="00B10001" w:rsidRDefault="00AF4882" w:rsidP="00AF4882">
      <w:pPr>
        <w:shd w:val="clear" w:color="auto" w:fill="FFFFFF"/>
        <w:jc w:val="both"/>
        <w:rPr>
          <w:rFonts w:ascii="Bookman Old Style" w:hAnsi="Bookman Old Style"/>
          <w:lang w:val="es-ES_tradnl"/>
        </w:rPr>
      </w:pPr>
    </w:p>
    <w:p w14:paraId="17C283C3" w14:textId="77777777" w:rsidR="00AF4882" w:rsidRPr="00B10001" w:rsidRDefault="00AF4882" w:rsidP="00AF4882">
      <w:pPr>
        <w:jc w:val="both"/>
        <w:rPr>
          <w:rFonts w:ascii="Bookman Old Style" w:hAnsi="Bookman Old Style"/>
          <w:lang w:val="es-ES_tradnl"/>
        </w:rPr>
      </w:pPr>
      <w:r w:rsidRPr="00B10001">
        <w:rPr>
          <w:rFonts w:ascii="Bookman Old Style" w:hAnsi="Bookman Old Style"/>
          <w:lang w:val="es-ES_tradnl"/>
        </w:rPr>
        <w:t>Un estudio más reciente del año 2019, realizado por los investigadores Christina Marel, Matthew Sunderland y otros, indica que las estimaciones de probabilidad acumulada de desarrollar trastornos por consumo de sustancias son: el 50,4% en consumidores de estimulantes, 46,6% de opioides, 39% de sedante, 37,5% de alcohol y 34,1% de los consumidores de cannabis.</w:t>
      </w:r>
      <w:r w:rsidRPr="00B10001">
        <w:rPr>
          <w:rStyle w:val="Refdenotaalpie"/>
          <w:rFonts w:ascii="Bookman Old Style" w:hAnsi="Bookman Old Style"/>
          <w:lang w:val="es-ES_tradnl"/>
        </w:rPr>
        <w:footnoteReference w:id="65"/>
      </w:r>
      <w:r w:rsidRPr="00B10001">
        <w:rPr>
          <w:rFonts w:ascii="Bookman Old Style" w:hAnsi="Bookman Old Style"/>
          <w:lang w:val="es-ES_tradnl"/>
        </w:rPr>
        <w:t xml:space="preserve"> Es decir, bajo este estudio 3 de cada 10 consumidores de consumidores de cannabis podrían desarrollar trastornos asociados al consumo. Una vez más, en términos de consumo problemático el cannabis sigue estando por debajo de sustancias legales como el alcohol y el tabaco.</w:t>
      </w:r>
    </w:p>
    <w:p w14:paraId="1C459BAB" w14:textId="77777777" w:rsidR="00AF4882" w:rsidRPr="00B10001" w:rsidRDefault="00AF4882" w:rsidP="00AF4882">
      <w:pPr>
        <w:jc w:val="both"/>
        <w:rPr>
          <w:rFonts w:ascii="Bookman Old Style" w:hAnsi="Bookman Old Style"/>
          <w:lang w:val="es-ES_tradnl"/>
        </w:rPr>
      </w:pPr>
    </w:p>
    <w:p w14:paraId="3111512D" w14:textId="40A76EBC" w:rsidR="00AF4882" w:rsidRPr="00AF4882" w:rsidRDefault="00AF4882" w:rsidP="00AF4882">
      <w:pPr>
        <w:shd w:val="clear" w:color="auto" w:fill="FFFFFF"/>
        <w:jc w:val="both"/>
        <w:rPr>
          <w:rFonts w:ascii="Bookman Old Style" w:hAnsi="Bookman Old Style"/>
          <w:lang w:val="es-ES_tradnl"/>
        </w:rPr>
      </w:pPr>
      <w:r w:rsidRPr="00B10001">
        <w:rPr>
          <w:rFonts w:ascii="Bookman Old Style" w:hAnsi="Bookman Old Style"/>
          <w:lang w:val="es-ES_tradnl"/>
        </w:rPr>
        <w:t>Adicional a lo anterior, de acuerdo con la publicación del National Institute on Drug Abuse (NIH) acerca del cannabis, no hay reportes de muertes por sobre dosis de consumo de esta sustancia.</w:t>
      </w:r>
      <w:r w:rsidRPr="00B10001">
        <w:rPr>
          <w:rStyle w:val="Refdenotaalpie"/>
          <w:rFonts w:ascii="Bookman Old Style" w:hAnsi="Bookman Old Style"/>
          <w:lang w:val="es-ES_tradnl"/>
        </w:rPr>
        <w:footnoteReference w:id="66"/>
      </w:r>
      <w:r w:rsidRPr="00B10001">
        <w:rPr>
          <w:rFonts w:ascii="Bookman Old Style" w:hAnsi="Bookman Old Style"/>
          <w:lang w:val="es-ES_tradnl"/>
        </w:rPr>
        <w:t xml:space="preserve"> En el mismo sentido se han pronunciado diversos expertos en la materia.</w:t>
      </w:r>
      <w:r w:rsidRPr="00B10001">
        <w:rPr>
          <w:rStyle w:val="Refdenotaalpie"/>
          <w:rFonts w:ascii="Bookman Old Style" w:hAnsi="Bookman Old Style"/>
          <w:lang w:val="es-ES_tradnl"/>
        </w:rPr>
        <w:footnoteReference w:id="67"/>
      </w:r>
    </w:p>
    <w:p w14:paraId="584871D3" w14:textId="77777777" w:rsidR="00AF4882" w:rsidRDefault="00AF4882" w:rsidP="00987C6B">
      <w:pPr>
        <w:pBdr>
          <w:top w:val="nil"/>
          <w:left w:val="nil"/>
          <w:bottom w:val="nil"/>
          <w:right w:val="nil"/>
          <w:between w:val="nil"/>
        </w:pBdr>
        <w:ind w:right="115"/>
        <w:jc w:val="both"/>
        <w:rPr>
          <w:rFonts w:ascii="Bookman Old Style" w:eastAsia="Calibri" w:hAnsi="Bookman Old Style" w:cs="Calibri"/>
          <w:b/>
          <w:szCs w:val="24"/>
        </w:rPr>
      </w:pPr>
    </w:p>
    <w:p w14:paraId="11A3465F" w14:textId="44FDD104" w:rsidR="00987C6B" w:rsidRPr="00987C6B" w:rsidRDefault="00987C6B" w:rsidP="00987C6B">
      <w:pPr>
        <w:pBdr>
          <w:top w:val="nil"/>
          <w:left w:val="nil"/>
          <w:bottom w:val="nil"/>
          <w:right w:val="nil"/>
          <w:between w:val="nil"/>
        </w:pBdr>
        <w:ind w:right="115"/>
        <w:jc w:val="both"/>
        <w:rPr>
          <w:rFonts w:ascii="Bookman Old Style" w:eastAsia="Calibri" w:hAnsi="Bookman Old Style" w:cs="Calibri"/>
          <w:b/>
          <w:szCs w:val="24"/>
        </w:rPr>
      </w:pPr>
      <w:r w:rsidRPr="00987C6B">
        <w:rPr>
          <w:rFonts w:ascii="Bookman Old Style" w:eastAsia="Calibri" w:hAnsi="Bookman Old Style" w:cs="Calibri"/>
          <w:b/>
          <w:szCs w:val="24"/>
        </w:rPr>
        <w:t>6.2.1.3 FRENTE AL AUMENTO DEL CONSUMO POR REGULACIÓN.</w:t>
      </w:r>
    </w:p>
    <w:p w14:paraId="42A828A5" w14:textId="2F633CC7" w:rsidR="00AF4882" w:rsidRDefault="00AF4882" w:rsidP="00987C6B">
      <w:pPr>
        <w:widowControl/>
        <w:shd w:val="clear" w:color="auto" w:fill="FFFFFF"/>
        <w:jc w:val="both"/>
        <w:rPr>
          <w:rFonts w:ascii="Bookman Old Style" w:eastAsia="Calibri" w:hAnsi="Bookman Old Style" w:cs="Calibri"/>
          <w:b/>
          <w:szCs w:val="24"/>
        </w:rPr>
      </w:pPr>
    </w:p>
    <w:p w14:paraId="4D9197C0" w14:textId="77777777" w:rsidR="00AF4882" w:rsidRPr="00B10001" w:rsidRDefault="00AF4882" w:rsidP="00AF4882">
      <w:pPr>
        <w:shd w:val="clear" w:color="auto" w:fill="FFFFFF"/>
        <w:jc w:val="both"/>
        <w:rPr>
          <w:rFonts w:ascii="Bookman Old Style" w:hAnsi="Bookman Old Style"/>
          <w:lang w:val="es-ES_tradnl"/>
        </w:rPr>
      </w:pPr>
      <w:r w:rsidRPr="00B10001">
        <w:rPr>
          <w:rFonts w:ascii="Bookman Old Style" w:hAnsi="Bookman Old Style"/>
          <w:lang w:val="es-ES_tradnl"/>
        </w:rPr>
        <w:t>El aumento del consumo problemático de cualquier sustancia es un problema de salud pública, más aún, si se trata de sustancias ilegales, de las cuales no se tiene conocimiento de su origen, proceso de producción y los efectos sobre la salud por malas prácticas.</w:t>
      </w:r>
    </w:p>
    <w:p w14:paraId="65776C5A" w14:textId="77777777" w:rsidR="00AF4882" w:rsidRPr="00B10001" w:rsidRDefault="00AF4882" w:rsidP="00AF4882">
      <w:pPr>
        <w:shd w:val="clear" w:color="auto" w:fill="FFFFFF"/>
        <w:jc w:val="both"/>
        <w:rPr>
          <w:rFonts w:ascii="Bookman Old Style" w:hAnsi="Bookman Old Style"/>
          <w:lang w:val="es-ES_tradnl"/>
        </w:rPr>
      </w:pPr>
    </w:p>
    <w:p w14:paraId="31849D1A" w14:textId="77777777" w:rsidR="00AF4882" w:rsidRPr="00B10001" w:rsidRDefault="00AF4882" w:rsidP="00AF4882">
      <w:pPr>
        <w:shd w:val="clear" w:color="auto" w:fill="FFFFFF"/>
        <w:jc w:val="both"/>
        <w:rPr>
          <w:rFonts w:ascii="Bookman Old Style" w:hAnsi="Bookman Old Style"/>
          <w:lang w:val="es-ES_tradnl"/>
        </w:rPr>
      </w:pPr>
      <w:r w:rsidRPr="00B10001">
        <w:rPr>
          <w:rFonts w:ascii="Bookman Old Style" w:hAnsi="Bookman Old Style"/>
          <w:lang w:val="es-ES_tradnl"/>
        </w:rPr>
        <w:t>En sentido, se ha mencionado en varias oportunidades que la regulación de esta droga aumentaría el consumo, en especial en menores de edad. Sin embargo, la evidencia de mercados ya regulados indica que la regulación de los mercados puede incidir en la reducción del consumo, e inclusive, mejorar la percepción del riesgo asociado al consumo y desincentivar prácticas riesgosas para los consumidores.</w:t>
      </w:r>
      <w:r w:rsidRPr="00B10001">
        <w:rPr>
          <w:rStyle w:val="Refdenotaalpie"/>
          <w:rFonts w:ascii="Bookman Old Style" w:hAnsi="Bookman Old Style"/>
          <w:lang w:val="es-ES_tradnl"/>
        </w:rPr>
        <w:footnoteReference w:id="68"/>
      </w:r>
    </w:p>
    <w:p w14:paraId="478BB135" w14:textId="77777777" w:rsidR="00AF4882" w:rsidRPr="00B10001" w:rsidRDefault="00AF4882" w:rsidP="00AF4882">
      <w:pPr>
        <w:shd w:val="clear" w:color="auto" w:fill="FFFFFF"/>
        <w:jc w:val="both"/>
        <w:rPr>
          <w:rFonts w:ascii="Bookman Old Style" w:hAnsi="Bookman Old Style"/>
          <w:lang w:val="es-ES_tradnl"/>
        </w:rPr>
      </w:pPr>
    </w:p>
    <w:p w14:paraId="551A1206" w14:textId="77777777" w:rsidR="00AF4882" w:rsidRPr="00B10001" w:rsidRDefault="00AF4882" w:rsidP="00AF4882">
      <w:pPr>
        <w:shd w:val="clear" w:color="auto" w:fill="FFFFFF"/>
        <w:jc w:val="both"/>
        <w:rPr>
          <w:rFonts w:ascii="Bookman Old Style" w:hAnsi="Bookman Old Style"/>
          <w:lang w:val="es-ES_tradnl"/>
        </w:rPr>
      </w:pPr>
      <w:r w:rsidRPr="00B10001">
        <w:rPr>
          <w:rFonts w:ascii="Bookman Old Style" w:hAnsi="Bookman Old Style"/>
          <w:lang w:val="es-ES_tradnl"/>
        </w:rPr>
        <w:t>De igual manera, frente al consumo de menores la evidencia internacional respalda la afirmación de que el mercado regulado no permitió el aumento en el consumo de menores de edad, todo lo contrario. En Estados Unidos se redujo hasta en un 9% el consumo en menores desde la legalización</w:t>
      </w:r>
      <w:r w:rsidRPr="00B10001">
        <w:rPr>
          <w:rStyle w:val="Refdenotaalpie"/>
          <w:rFonts w:ascii="Bookman Old Style" w:hAnsi="Bookman Old Style"/>
          <w:lang w:val="es-ES_tradnl"/>
        </w:rPr>
        <w:footnoteReference w:id="69"/>
      </w:r>
      <w:r w:rsidRPr="00B10001">
        <w:rPr>
          <w:rFonts w:ascii="Bookman Old Style" w:hAnsi="Bookman Old Style"/>
          <w:lang w:val="es-ES_tradnl"/>
        </w:rPr>
        <w:t>. De igual manera, en Uruguay</w:t>
      </w:r>
      <w:r w:rsidRPr="00B10001">
        <w:rPr>
          <w:rStyle w:val="Refdenotaalpie"/>
          <w:rFonts w:ascii="Bookman Old Style" w:hAnsi="Bookman Old Style"/>
          <w:lang w:val="es-ES_tradnl"/>
        </w:rPr>
        <w:footnoteReference w:id="70"/>
      </w:r>
      <w:r w:rsidRPr="00B10001">
        <w:rPr>
          <w:rFonts w:ascii="Bookman Old Style" w:hAnsi="Bookman Old Style"/>
          <w:lang w:val="es-ES_tradnl"/>
        </w:rPr>
        <w:t xml:space="preserve"> y en Canadá tampoco se aumentó el consumo en adolescentes.</w:t>
      </w:r>
      <w:r w:rsidRPr="00B10001">
        <w:rPr>
          <w:rStyle w:val="Refdenotaalpie"/>
          <w:rFonts w:ascii="Bookman Old Style" w:hAnsi="Bookman Old Style"/>
          <w:lang w:val="es-ES_tradnl"/>
        </w:rPr>
        <w:footnoteReference w:id="71"/>
      </w:r>
    </w:p>
    <w:p w14:paraId="64324CDD" w14:textId="77777777" w:rsidR="00AF4882" w:rsidRPr="00B10001" w:rsidRDefault="00AF4882" w:rsidP="00AF4882">
      <w:pPr>
        <w:shd w:val="clear" w:color="auto" w:fill="FFFFFF"/>
        <w:jc w:val="both"/>
        <w:rPr>
          <w:rFonts w:ascii="Bookman Old Style" w:hAnsi="Bookman Old Style"/>
          <w:lang w:val="es-ES_tradnl"/>
        </w:rPr>
      </w:pPr>
    </w:p>
    <w:p w14:paraId="78BBAE92" w14:textId="77777777" w:rsidR="00AF4882" w:rsidRPr="00B10001" w:rsidRDefault="00AF4882" w:rsidP="00AF4882">
      <w:pPr>
        <w:shd w:val="clear" w:color="auto" w:fill="FFFFFF"/>
        <w:jc w:val="both"/>
        <w:rPr>
          <w:rFonts w:ascii="Bookman Old Style" w:hAnsi="Bookman Old Style"/>
          <w:i/>
          <w:iCs/>
          <w:lang w:val="es-ES_tradnl"/>
        </w:rPr>
      </w:pPr>
      <w:r w:rsidRPr="00B10001">
        <w:rPr>
          <w:rFonts w:ascii="Bookman Old Style" w:hAnsi="Bookman Old Style"/>
          <w:lang w:val="es-ES_tradnl"/>
        </w:rPr>
        <w:t xml:space="preserve">En consonancia con lo anterior, el estudio realizado en Estados Unidos, determinó que: </w:t>
      </w:r>
      <w:r w:rsidRPr="00B10001">
        <w:rPr>
          <w:rFonts w:ascii="Bookman Old Style" w:hAnsi="Bookman Old Style"/>
          <w:i/>
          <w:iCs/>
          <w:lang w:val="es-ES_tradnl"/>
        </w:rPr>
        <w:t>“después de la legalización en 2012 de la venta de marihuana a adultos en Washington, el consumo de marihuana durante los últimos 30 días disminuyó o se mantuvo estable hasta 2016 entre los estudiantes del condado de King en los grados 6, 8, 10 y 12. Entre los estudiantes del grado 10, se produjo una disminución entre los hombres, mientras que la tasa entre las mujeres se mantuvo estable”.</w:t>
      </w:r>
      <w:r w:rsidRPr="00B10001">
        <w:rPr>
          <w:i/>
          <w:iCs/>
          <w:vertAlign w:val="superscript"/>
        </w:rPr>
        <w:footnoteReference w:id="72"/>
      </w:r>
    </w:p>
    <w:p w14:paraId="532513A5" w14:textId="77777777" w:rsidR="00AF4882" w:rsidRPr="00B10001" w:rsidRDefault="00AF4882" w:rsidP="00AF4882">
      <w:pPr>
        <w:shd w:val="clear" w:color="auto" w:fill="FFFFFF"/>
        <w:jc w:val="both"/>
        <w:rPr>
          <w:rFonts w:ascii="Bookman Old Style" w:hAnsi="Bookman Old Style"/>
          <w:i/>
          <w:iCs/>
          <w:lang w:val="es-ES_tradnl"/>
        </w:rPr>
      </w:pPr>
    </w:p>
    <w:p w14:paraId="506F7D7A" w14:textId="77777777" w:rsidR="00AF4882" w:rsidRPr="00B10001" w:rsidRDefault="00AF4882" w:rsidP="00AF4882">
      <w:pPr>
        <w:shd w:val="clear" w:color="auto" w:fill="FFFFFF"/>
        <w:jc w:val="both"/>
        <w:rPr>
          <w:rFonts w:ascii="Bookman Old Style" w:hAnsi="Bookman Old Style"/>
          <w:lang w:val="es-ES_tradnl"/>
        </w:rPr>
      </w:pPr>
      <w:r w:rsidRPr="00B10001">
        <w:rPr>
          <w:rFonts w:ascii="Bookman Old Style" w:hAnsi="Bookman Old Style"/>
          <w:lang w:val="es-ES_tradnl"/>
        </w:rPr>
        <w:t xml:space="preserve">Estos resultados tienen explicación en las bondades de la regulación que, frente a la salud pública, resulta más eficiente que el prohibicionismo.  El mercado controlado permite determinar cómo, quién, dónde y qué se consume, permitiendo alejar a los menores de edad y población en riesgo de cualquier tipo de consumo. </w:t>
      </w:r>
    </w:p>
    <w:p w14:paraId="602D97AC" w14:textId="77777777" w:rsidR="00AF4882" w:rsidRPr="00B10001" w:rsidRDefault="00AF4882" w:rsidP="00AF4882">
      <w:pPr>
        <w:shd w:val="clear" w:color="auto" w:fill="FFFFFF"/>
        <w:jc w:val="both"/>
        <w:rPr>
          <w:rFonts w:ascii="Bookman Old Style" w:hAnsi="Bookman Old Style"/>
          <w:lang w:val="es-ES_tradnl"/>
        </w:rPr>
      </w:pPr>
    </w:p>
    <w:p w14:paraId="0D1F77E9" w14:textId="0DE10318" w:rsidR="00AF4882" w:rsidRPr="00AF4882" w:rsidRDefault="00AF4882" w:rsidP="00AF4882">
      <w:pPr>
        <w:shd w:val="clear" w:color="auto" w:fill="FFFFFF"/>
        <w:jc w:val="both"/>
        <w:rPr>
          <w:rFonts w:ascii="Bookman Old Style" w:hAnsi="Bookman Old Style"/>
          <w:lang w:val="es-ES_tradnl"/>
        </w:rPr>
      </w:pPr>
      <w:r w:rsidRPr="00B10001">
        <w:rPr>
          <w:rFonts w:ascii="Bookman Old Style" w:hAnsi="Bookman Old Style"/>
          <w:lang w:val="es-ES_tradnl"/>
        </w:rPr>
        <w:t xml:space="preserve">Los que abogamos por un cambio en la política de drogas y los que buscan mantener las cosas como están, tenemos al menos varios puntos en común, este es uno de ellos. Todos queremos proteger a los niños, niñas y adolescentes y a la población vulnerable, hay acuerdo sobre eso, avancemos en la discusión de cuál es la mejor forma de hacerlo. </w:t>
      </w:r>
    </w:p>
    <w:p w14:paraId="5E63A2A3" w14:textId="77777777" w:rsidR="00AF4882" w:rsidRDefault="00AF4882" w:rsidP="00987C6B">
      <w:pPr>
        <w:widowControl/>
        <w:shd w:val="clear" w:color="auto" w:fill="FFFFFF"/>
        <w:jc w:val="both"/>
        <w:rPr>
          <w:rFonts w:ascii="Bookman Old Style" w:eastAsia="Calibri" w:hAnsi="Bookman Old Style" w:cs="Calibri"/>
          <w:b/>
          <w:szCs w:val="24"/>
        </w:rPr>
      </w:pPr>
    </w:p>
    <w:p w14:paraId="3EA91762" w14:textId="482C1663" w:rsidR="00987C6B" w:rsidRPr="00987C6B" w:rsidRDefault="00987C6B" w:rsidP="00987C6B">
      <w:pPr>
        <w:widowControl/>
        <w:shd w:val="clear" w:color="auto" w:fill="FFFFFF"/>
        <w:jc w:val="both"/>
        <w:rPr>
          <w:rFonts w:ascii="Bookman Old Style" w:hAnsi="Bookman Old Style"/>
          <w:b/>
          <w:lang w:val="es-ES_tradnl"/>
        </w:rPr>
      </w:pPr>
      <w:r w:rsidRPr="00987C6B">
        <w:rPr>
          <w:rFonts w:ascii="Bookman Old Style" w:eastAsia="Calibri" w:hAnsi="Bookman Old Style" w:cs="Calibri"/>
          <w:b/>
          <w:szCs w:val="24"/>
        </w:rPr>
        <w:t>6.2.1.4 FRENTE AL AUMENTO DE VIOLENCIA POR CONSUMO DE CANNABIS.</w:t>
      </w:r>
    </w:p>
    <w:p w14:paraId="73369556" w14:textId="71C6B1F2" w:rsidR="00ED3ACD" w:rsidRDefault="00ED3ACD" w:rsidP="00ED3ACD">
      <w:pPr>
        <w:widowControl/>
        <w:shd w:val="clear" w:color="auto" w:fill="FFFFFF"/>
        <w:jc w:val="both"/>
        <w:rPr>
          <w:rFonts w:ascii="Bookman Old Style" w:hAnsi="Bookman Old Style"/>
          <w:lang w:val="es-ES_tradnl"/>
        </w:rPr>
      </w:pPr>
    </w:p>
    <w:p w14:paraId="5C648F9E" w14:textId="27EB2374" w:rsidR="00987C6B" w:rsidRPr="00B10001" w:rsidRDefault="00987C6B" w:rsidP="00987C6B">
      <w:pPr>
        <w:shd w:val="clear" w:color="auto" w:fill="FFFFFF"/>
        <w:jc w:val="both"/>
        <w:rPr>
          <w:rFonts w:ascii="Bookman Old Style" w:hAnsi="Bookman Old Style" w:cs="Arial"/>
          <w:color w:val="000000"/>
          <w:lang w:val="es-ES_tradnl"/>
        </w:rPr>
      </w:pPr>
      <w:r w:rsidRPr="00B10001">
        <w:rPr>
          <w:rFonts w:ascii="Bookman Old Style" w:hAnsi="Bookman Old Style"/>
          <w:lang w:val="es-ES_tradnl"/>
        </w:rPr>
        <w:t xml:space="preserve">Sobre el particular, no existe evidencia concluyente que asocie el consumo de cannabis con el aumento de comportamientos violentos. Inclusive existen estudios que sugieren que el cannabis disminuye la agresividad, entre ellos los traídos a colación por la FIP menciona lo siguiente: </w:t>
      </w:r>
      <w:r w:rsidRPr="00B10001">
        <w:rPr>
          <w:rFonts w:ascii="Bookman Old Style" w:hAnsi="Bookman Old Style" w:cs="Arial"/>
          <w:color w:val="000000"/>
          <w:lang w:val="es-ES_tradnl"/>
        </w:rPr>
        <w:t>“</w:t>
      </w:r>
      <w:r w:rsidRPr="00B10001">
        <w:rPr>
          <w:rFonts w:ascii="Bookman Old Style" w:hAnsi="Bookman Old Style" w:cs="Arial"/>
          <w:i/>
          <w:iCs/>
          <w:color w:val="000000"/>
          <w:lang w:val="es-ES_tradnl"/>
        </w:rPr>
        <w:t>Los estudios sobre la conexión entre violencia y el consumo de marihuana y de alcohol indican que la marihuana parece disminuir la agresividad. Existe evidencia de la tendencia al comportamiento violento asociada al abuso de alcohol o de drogas duras como la cocaína y la heroína. El consumo de marihuana, en otras palabras, no parece conducir a más violencia”.</w:t>
      </w:r>
      <w:r w:rsidRPr="00B10001">
        <w:rPr>
          <w:rStyle w:val="Refdenotaalpie"/>
          <w:rFonts w:ascii="Bookman Old Style" w:hAnsi="Bookman Old Style" w:cs="Arial"/>
          <w:i/>
          <w:iCs/>
          <w:color w:val="000000"/>
          <w:lang w:val="es-ES_tradnl"/>
        </w:rPr>
        <w:footnoteReference w:id="73"/>
      </w:r>
    </w:p>
    <w:p w14:paraId="18E68FD2" w14:textId="77777777" w:rsidR="00987C6B" w:rsidRPr="00B10001" w:rsidRDefault="00987C6B" w:rsidP="00987C6B">
      <w:pPr>
        <w:shd w:val="clear" w:color="auto" w:fill="FFFFFF"/>
        <w:jc w:val="both"/>
        <w:rPr>
          <w:rFonts w:ascii="Bookman Old Style" w:hAnsi="Bookman Old Style"/>
          <w:lang w:val="es-ES_tradnl"/>
        </w:rPr>
      </w:pPr>
    </w:p>
    <w:p w14:paraId="60282296" w14:textId="77777777" w:rsidR="00987C6B" w:rsidRPr="00B10001" w:rsidRDefault="00987C6B" w:rsidP="00987C6B">
      <w:pPr>
        <w:jc w:val="both"/>
        <w:rPr>
          <w:rFonts w:ascii="Bookman Old Style" w:hAnsi="Bookman Old Style" w:cs="Arial"/>
          <w:color w:val="000000"/>
          <w:lang w:val="es-ES_tradnl"/>
        </w:rPr>
      </w:pPr>
      <w:r w:rsidRPr="00B10001">
        <w:rPr>
          <w:rFonts w:ascii="Bookman Old Style" w:hAnsi="Bookman Old Style" w:cs="Arial"/>
          <w:color w:val="000000"/>
          <w:lang w:val="es-ES_tradnl"/>
        </w:rPr>
        <w:t>En el mismo sentido, expertas como Paola Cubillos y María Isabel Gutiérrez señalan que, en términos de hechos violentos, el cannabis no genera la agresividad que con mayor frecuencia se asocia con el alcohol.</w:t>
      </w:r>
      <w:r w:rsidRPr="00987C6B">
        <w:rPr>
          <w:rStyle w:val="Refdenotaalpie"/>
          <w:rFonts w:ascii="Bookman Old Style" w:hAnsi="Bookman Old Style" w:cs="Arial"/>
          <w:color w:val="000000"/>
          <w:lang w:val="es-ES_tradnl"/>
        </w:rPr>
        <w:footnoteReference w:id="74"/>
      </w:r>
      <w:r w:rsidRPr="00B10001">
        <w:rPr>
          <w:rFonts w:ascii="Bookman Old Style" w:hAnsi="Bookman Old Style" w:cs="Arial"/>
          <w:color w:val="000000"/>
          <w:lang w:val="es-ES_tradnl"/>
        </w:rPr>
        <w:t xml:space="preserve"> </w:t>
      </w:r>
    </w:p>
    <w:p w14:paraId="7EC3B047" w14:textId="77777777" w:rsidR="00987C6B" w:rsidRPr="00B10001" w:rsidRDefault="00987C6B" w:rsidP="00987C6B">
      <w:pPr>
        <w:jc w:val="both"/>
        <w:rPr>
          <w:rFonts w:ascii="Bookman Old Style" w:hAnsi="Bookman Old Style" w:cs="Arial"/>
          <w:color w:val="000000"/>
          <w:lang w:val="es-ES_tradnl"/>
        </w:rPr>
      </w:pPr>
    </w:p>
    <w:p w14:paraId="344E8130" w14:textId="77777777" w:rsidR="00987C6B" w:rsidRPr="00B10001" w:rsidRDefault="00987C6B" w:rsidP="00987C6B">
      <w:pPr>
        <w:jc w:val="both"/>
        <w:rPr>
          <w:rFonts w:ascii="Bookman Old Style" w:hAnsi="Bookman Old Style" w:cs="Arial"/>
          <w:color w:val="000000"/>
          <w:lang w:val="es-ES_tradnl"/>
        </w:rPr>
      </w:pPr>
      <w:r w:rsidRPr="00B10001">
        <w:rPr>
          <w:rFonts w:ascii="Bookman Old Style" w:hAnsi="Bookman Old Style" w:cs="Arial"/>
          <w:color w:val="000000"/>
          <w:lang w:val="es-ES_tradnl"/>
        </w:rPr>
        <w:t>Finalmente, conforme al estudio realizado por Denson, Blundell y otros, el alcohol es el contribuyente psicotrópico más común al comportamiento agresivo. En muchas partes del mundo, el consumo agudo de alcohol está implicado en aproximadamente entre el 35% y el 60% de los delitos violentos.</w:t>
      </w:r>
      <w:r w:rsidRPr="00B10001">
        <w:rPr>
          <w:rStyle w:val="Refdenotaalpie"/>
          <w:rFonts w:ascii="Bookman Old Style" w:hAnsi="Bookman Old Style" w:cs="Arial"/>
          <w:color w:val="000000"/>
          <w:lang w:val="es-ES_tradnl"/>
        </w:rPr>
        <w:footnoteReference w:id="75"/>
      </w:r>
      <w:r w:rsidRPr="00B10001">
        <w:rPr>
          <w:rFonts w:ascii="Bookman Old Style" w:hAnsi="Bookman Old Style" w:cs="Arial"/>
          <w:color w:val="000000"/>
          <w:lang w:val="es-ES_tradnl"/>
        </w:rPr>
        <w:t> </w:t>
      </w:r>
    </w:p>
    <w:p w14:paraId="42BEEFC5" w14:textId="77777777" w:rsidR="00987C6B" w:rsidRPr="00B10001" w:rsidRDefault="00987C6B" w:rsidP="00987C6B">
      <w:pPr>
        <w:shd w:val="clear" w:color="auto" w:fill="FFFFFF"/>
        <w:jc w:val="both"/>
        <w:rPr>
          <w:rFonts w:ascii="Bookman Old Style" w:hAnsi="Bookman Old Style"/>
          <w:lang w:val="es-ES_tradnl"/>
        </w:rPr>
      </w:pPr>
    </w:p>
    <w:p w14:paraId="32013089" w14:textId="77777777" w:rsidR="00987C6B" w:rsidRPr="00B10001" w:rsidRDefault="00987C6B" w:rsidP="00987C6B">
      <w:pPr>
        <w:jc w:val="both"/>
        <w:rPr>
          <w:rFonts w:ascii="Bookman Old Style" w:hAnsi="Bookman Old Style"/>
          <w:lang w:val="es-ES_tradnl"/>
        </w:rPr>
      </w:pPr>
      <w:r w:rsidRPr="00B10001">
        <w:rPr>
          <w:rFonts w:ascii="Bookman Old Style" w:hAnsi="Bookman Old Style"/>
          <w:lang w:val="es-ES_tradnl"/>
        </w:rPr>
        <w:t xml:space="preserve">Es evidente que los diversos estudios realizados en la actualidad han empezado, y por fortuna, a cuestionar los mitos dados por ciertos alrededor del consumo de cannabis. A lo largo de este documento se podrá evidenciar buena parte de esa evidencia. No obstante, la discusión acerca del cambio en la política de drogas no se trata de una competencia entre cuál sustancia causa más o menos daño o cuál es más adictiva. La discusión realmente es sobre cómo el potencial uso excesivo o consumo problemático, puede desencadenar impactos negativos en la salud humana y cuál debería ser la respuesta del Estado, dentro de la cuál hay una caja de herramientas como la prohibición y la regulación. </w:t>
      </w:r>
    </w:p>
    <w:p w14:paraId="72AFB4AF" w14:textId="77777777" w:rsidR="00987C6B" w:rsidRPr="00B10001" w:rsidRDefault="00987C6B" w:rsidP="00987C6B">
      <w:pPr>
        <w:shd w:val="clear" w:color="auto" w:fill="FFFFFF"/>
        <w:jc w:val="both"/>
        <w:rPr>
          <w:rFonts w:ascii="Bookman Old Style" w:hAnsi="Bookman Old Style"/>
          <w:lang w:val="es-ES_tradnl"/>
        </w:rPr>
      </w:pPr>
    </w:p>
    <w:p w14:paraId="68EF89F4" w14:textId="227DC1F3" w:rsidR="007F6FA2" w:rsidRPr="007F6FA2" w:rsidRDefault="00987C6B" w:rsidP="007F6FA2">
      <w:pPr>
        <w:jc w:val="both"/>
        <w:rPr>
          <w:rFonts w:ascii="Bookman Old Style" w:eastAsia="Calibri" w:hAnsi="Bookman Old Style" w:cs="Calibri"/>
          <w:i/>
          <w:lang w:val="es-ES_tradnl"/>
        </w:rPr>
      </w:pPr>
      <w:r w:rsidRPr="00B10001">
        <w:rPr>
          <w:rFonts w:ascii="Bookman Old Style" w:hAnsi="Bookman Old Style"/>
          <w:lang w:val="es-ES_tradnl"/>
        </w:rPr>
        <w:t xml:space="preserve">En ese sentido, se puede concluir entonces que es necesario </w:t>
      </w:r>
      <w:r w:rsidRPr="00B10001">
        <w:rPr>
          <w:rFonts w:ascii="Bookman Old Style" w:eastAsia="Calibri" w:hAnsi="Bookman Old Style" w:cs="Calibri"/>
          <w:lang w:val="es-ES_tradnl"/>
        </w:rPr>
        <w:t xml:space="preserve">que los Estados diseñen respuestas diferenciadas para cada tipo de población y de sustancia ya que, como ya lo había advertido la Corte Constitucional en el año 1994 </w:t>
      </w:r>
      <w:r w:rsidRPr="00B10001">
        <w:rPr>
          <w:rFonts w:ascii="Bookman Old Style" w:eastAsia="Calibri" w:hAnsi="Bookman Old Style" w:cs="Calibri"/>
          <w:i/>
          <w:lang w:val="es-ES_tradnl"/>
        </w:rPr>
        <w:t>“no puede, pues, un Estado respetuoso de la dignidad humana, de la autonomía personal y el libre desarrollo de la personalidad, escamotear su obligación irrenunciable de educar, y sustituir a ella la represión como forma de controlar el consumo de sustancias que se juzgan nocivas para la persona individualmente considerada y, eventualmente, para la comunidad a la que necesariamente se halla integrada”.</w:t>
      </w:r>
      <w:r w:rsidRPr="00B10001">
        <w:rPr>
          <w:rStyle w:val="Refdenotaalpie"/>
          <w:rFonts w:ascii="Bookman Old Style" w:eastAsia="Calibri" w:hAnsi="Bookman Old Style" w:cs="Calibri"/>
          <w:i/>
          <w:lang w:val="es-ES_tradnl"/>
        </w:rPr>
        <w:footnoteReference w:id="76"/>
      </w:r>
    </w:p>
    <w:p w14:paraId="4AF40F12" w14:textId="77777777" w:rsidR="007F6FA2" w:rsidRDefault="007F6FA2" w:rsidP="00ED3ACD">
      <w:pPr>
        <w:widowControl/>
        <w:shd w:val="clear" w:color="auto" w:fill="FFFFFF"/>
        <w:jc w:val="both"/>
        <w:rPr>
          <w:rFonts w:ascii="Bookman Old Style" w:hAnsi="Bookman Old Style"/>
          <w:szCs w:val="24"/>
          <w:lang w:val="es-ES_tradnl"/>
        </w:rPr>
      </w:pPr>
    </w:p>
    <w:p w14:paraId="582F3ECD" w14:textId="488C570B" w:rsidR="00F36280" w:rsidRPr="00987C6B" w:rsidRDefault="00F36280" w:rsidP="00ED3ACD">
      <w:pPr>
        <w:widowControl/>
        <w:shd w:val="clear" w:color="auto" w:fill="FFFFFF"/>
        <w:jc w:val="both"/>
        <w:rPr>
          <w:rFonts w:ascii="Bookman Old Style" w:hAnsi="Bookman Old Style"/>
          <w:szCs w:val="24"/>
          <w:lang w:val="es-ES_tradnl"/>
        </w:rPr>
      </w:pPr>
      <w:r w:rsidRPr="00987C6B">
        <w:rPr>
          <w:rFonts w:ascii="Bookman Old Style" w:hAnsi="Bookman Old Style"/>
          <w:szCs w:val="24"/>
          <w:lang w:val="es-ES_tradnl"/>
        </w:rPr>
        <w:t xml:space="preserve">Adicionalmente, es importante </w:t>
      </w:r>
      <w:r w:rsidRPr="00987C6B">
        <w:rPr>
          <w:rFonts w:ascii="Bookman Old Style" w:eastAsia="Calibri" w:hAnsi="Bookman Old Style" w:cs="Calibri"/>
          <w:szCs w:val="24"/>
          <w:lang w:val="es-ES_tradnl"/>
        </w:rPr>
        <w:t xml:space="preserve">diferenciar el consumo problemático, del consumo ocasional o </w:t>
      </w:r>
      <w:r w:rsidR="00C94B82" w:rsidRPr="00987C6B">
        <w:rPr>
          <w:rFonts w:ascii="Bookman Old Style" w:eastAsia="Calibri" w:hAnsi="Bookman Old Style" w:cs="Calibri"/>
          <w:szCs w:val="24"/>
          <w:lang w:val="es-ES_tradnl"/>
        </w:rPr>
        <w:t>adulto</w:t>
      </w:r>
      <w:r w:rsidRPr="00987C6B">
        <w:rPr>
          <w:rFonts w:ascii="Bookman Old Style" w:eastAsia="Calibri" w:hAnsi="Bookman Old Style" w:cs="Calibri"/>
          <w:szCs w:val="24"/>
          <w:lang w:val="es-ES_tradnl"/>
        </w:rPr>
        <w:t xml:space="preserve">, siendo este segundo un tipo de consumo que no necesariamente tiene afectación sobre la salud pública, ni sobre los derechos de los demás. </w:t>
      </w:r>
    </w:p>
    <w:p w14:paraId="278913E5" w14:textId="77777777" w:rsidR="00F36280" w:rsidRPr="00987C6B" w:rsidRDefault="00F36280" w:rsidP="00F36280">
      <w:pPr>
        <w:widowControl/>
        <w:shd w:val="clear" w:color="auto" w:fill="FFFFFF"/>
        <w:jc w:val="both"/>
        <w:rPr>
          <w:rFonts w:ascii="Bookman Old Style" w:hAnsi="Bookman Old Style"/>
          <w:szCs w:val="24"/>
          <w:lang w:val="es-ES_tradnl"/>
        </w:rPr>
      </w:pPr>
    </w:p>
    <w:p w14:paraId="50CCEE5D" w14:textId="77777777" w:rsidR="00F36280" w:rsidRPr="00987C6B" w:rsidRDefault="00F36280" w:rsidP="00F36280">
      <w:pPr>
        <w:widowControl/>
        <w:shd w:val="clear" w:color="auto" w:fill="FFFFFF"/>
        <w:jc w:val="both"/>
        <w:rPr>
          <w:rFonts w:ascii="Bookman Old Style" w:hAnsi="Bookman Old Style"/>
          <w:szCs w:val="24"/>
          <w:lang w:val="es-ES_tradnl"/>
        </w:rPr>
      </w:pPr>
      <w:r w:rsidRPr="00987C6B">
        <w:rPr>
          <w:rFonts w:ascii="Bookman Old Style" w:hAnsi="Bookman Old Style"/>
          <w:szCs w:val="24"/>
          <w:lang w:val="es-ES_tradnl"/>
        </w:rPr>
        <w:t>En lo que respecta al consumo problemático, más que la prohibición, se debe garantizar una oferta de servicios de salud, con tratamientos que sean voluntarios y basados en evidencia, de acuerdo a: 1) lo detallado en los estándares de la Organización Mundial de la Salud (OMS); 2) el documento de resultados de la UNGASS (2016); y 3) la propia legislación colombiana a través de la Ley 1566 de 2012</w:t>
      </w:r>
      <w:r w:rsidRPr="00987C6B">
        <w:rPr>
          <w:rStyle w:val="Refdenotaalpie"/>
          <w:rFonts w:ascii="Bookman Old Style" w:hAnsi="Bookman Old Style"/>
          <w:szCs w:val="24"/>
          <w:lang w:val="es-ES_tradnl"/>
        </w:rPr>
        <w:footnoteReference w:id="77"/>
      </w:r>
      <w:r w:rsidRPr="00987C6B">
        <w:rPr>
          <w:rFonts w:ascii="Bookman Old Style" w:hAnsi="Bookman Old Style"/>
          <w:szCs w:val="24"/>
          <w:lang w:val="es-ES_tradnl"/>
        </w:rPr>
        <w:t>.</w:t>
      </w:r>
    </w:p>
    <w:p w14:paraId="60E14C23" w14:textId="77777777" w:rsidR="00F36280" w:rsidRPr="00987C6B" w:rsidRDefault="00F36280" w:rsidP="00F36280">
      <w:pPr>
        <w:widowControl/>
        <w:shd w:val="clear" w:color="auto" w:fill="FFFFFF"/>
        <w:jc w:val="both"/>
        <w:rPr>
          <w:rFonts w:ascii="Bookman Old Style" w:hAnsi="Bookman Old Style"/>
          <w:szCs w:val="24"/>
          <w:lang w:val="es-ES_tradnl"/>
        </w:rPr>
      </w:pPr>
    </w:p>
    <w:p w14:paraId="3E32B933" w14:textId="77777777" w:rsidR="00F36280" w:rsidRPr="00987C6B" w:rsidRDefault="00F36280" w:rsidP="00F36280">
      <w:pPr>
        <w:widowControl/>
        <w:shd w:val="clear" w:color="auto" w:fill="FFFFFF"/>
        <w:jc w:val="both"/>
        <w:rPr>
          <w:rFonts w:ascii="Bookman Old Style" w:eastAsia="Calibri" w:hAnsi="Bookman Old Style" w:cs="Calibri"/>
          <w:szCs w:val="24"/>
          <w:lang w:val="es-ES_tradnl"/>
        </w:rPr>
      </w:pPr>
      <w:r w:rsidRPr="00987C6B">
        <w:rPr>
          <w:rFonts w:ascii="Bookman Old Style" w:hAnsi="Bookman Old Style"/>
          <w:szCs w:val="24"/>
          <w:lang w:val="es-ES_tradnl"/>
        </w:rPr>
        <w:t xml:space="preserve">Si lo que se pretendió con el Acto Legislativo 02 de 2009 fue entonces proteger el derecho a la salud, </w:t>
      </w:r>
      <w:r w:rsidRPr="00987C6B">
        <w:rPr>
          <w:rFonts w:ascii="Bookman Old Style" w:eastAsia="Calibri" w:hAnsi="Bookman Old Style" w:cs="Calibri"/>
          <w:szCs w:val="24"/>
          <w:lang w:val="es-ES_tradnl"/>
        </w:rPr>
        <w:t>es necesario que el Estado colombiano adopte las medidas correspondientes para aplicar los principios de la salud pública, en vez de promover una política de naturaleza prohibitiva y penal.</w:t>
      </w:r>
      <w:r w:rsidRPr="00987C6B">
        <w:rPr>
          <w:rStyle w:val="Refdenotaalpie"/>
          <w:rFonts w:ascii="Bookman Old Style" w:eastAsia="Calibri" w:hAnsi="Bookman Old Style" w:cs="Calibri"/>
          <w:szCs w:val="24"/>
          <w:lang w:val="es-ES_tradnl"/>
        </w:rPr>
        <w:footnoteReference w:id="78"/>
      </w:r>
    </w:p>
    <w:p w14:paraId="3AF7B53D" w14:textId="77777777" w:rsidR="00F36280" w:rsidRPr="00987C6B" w:rsidRDefault="00F36280" w:rsidP="00F36280">
      <w:pPr>
        <w:widowControl/>
        <w:shd w:val="clear" w:color="auto" w:fill="FFFFFF"/>
        <w:jc w:val="both"/>
        <w:rPr>
          <w:rFonts w:ascii="Bookman Old Style" w:eastAsia="Calibri" w:hAnsi="Bookman Old Style" w:cs="Calibri"/>
          <w:szCs w:val="24"/>
          <w:lang w:val="es-ES_tradnl"/>
        </w:rPr>
      </w:pPr>
    </w:p>
    <w:p w14:paraId="4BF0CB96" w14:textId="77777777" w:rsidR="00F36280" w:rsidRPr="00987C6B" w:rsidRDefault="00F36280" w:rsidP="00F36280">
      <w:pPr>
        <w:jc w:val="both"/>
        <w:rPr>
          <w:rFonts w:ascii="Bookman Old Style" w:eastAsia="Calibri" w:hAnsi="Bookman Old Style" w:cs="Calibri"/>
          <w:szCs w:val="24"/>
          <w:lang w:val="es-ES_tradnl"/>
        </w:rPr>
      </w:pPr>
      <w:r w:rsidRPr="00987C6B">
        <w:rPr>
          <w:rFonts w:ascii="Bookman Old Style" w:eastAsia="Calibri" w:hAnsi="Bookman Old Style" w:cs="Calibri"/>
          <w:szCs w:val="24"/>
          <w:lang w:val="es-ES_tradnl"/>
        </w:rPr>
        <w:t>En este escenario, es imperativo fortalecer el enfoque de salud pública el cual permitirá definir estrategias y herramientas para abordar la problemática de las drogas, no solo desde la visión del individuo sino también de lo colectivo, teniendo en cuenta el medio ambiente, la comunidad, la familia y el ámbito económico, pues su abandono puede exacerbar factores de riesgo que contribuyen al consumo ilícito de drogas.</w:t>
      </w:r>
    </w:p>
    <w:p w14:paraId="6FBF1EF1" w14:textId="77777777" w:rsidR="00F36280" w:rsidRPr="00987C6B" w:rsidRDefault="00F36280" w:rsidP="00F36280">
      <w:pPr>
        <w:jc w:val="both"/>
        <w:rPr>
          <w:rFonts w:ascii="Bookman Old Style" w:eastAsia="Calibri" w:hAnsi="Bookman Old Style" w:cs="Calibri"/>
          <w:szCs w:val="24"/>
          <w:lang w:val="es-ES_tradnl"/>
        </w:rPr>
      </w:pPr>
    </w:p>
    <w:p w14:paraId="12130182" w14:textId="77777777" w:rsidR="00F36280" w:rsidRPr="00987C6B" w:rsidRDefault="00F36280" w:rsidP="00F36280">
      <w:pPr>
        <w:jc w:val="both"/>
        <w:rPr>
          <w:rFonts w:ascii="Bookman Old Style" w:eastAsia="Calibri" w:hAnsi="Bookman Old Style" w:cs="Calibri"/>
          <w:szCs w:val="24"/>
          <w:lang w:val="es-ES_tradnl"/>
        </w:rPr>
      </w:pPr>
      <w:r w:rsidRPr="00987C6B">
        <w:rPr>
          <w:rFonts w:ascii="Bookman Old Style" w:eastAsia="Calibri" w:hAnsi="Bookman Old Style" w:cs="Calibri"/>
          <w:szCs w:val="24"/>
          <w:lang w:val="es-ES_tradnl"/>
        </w:rPr>
        <w:t>Asimismo, y de acuerdo a lo planteado por Medina – Mora, definir el fenómeno de las drogas desde una perspectiva de salud pública permite reconocer diferencias entre las drogas y sus riesgos. Además, se aleja de conceptualizaciones que ven a las drogas como fin último, con el decomiso y la detención de personas como la meta, en cambio ve a las sustancias en su interacción con las personas que las usan o tienen potencial para hacerlo y que viven en contextos con mayor o menor riesgo y que son más o menos vulnerables a la experimentación.</w:t>
      </w:r>
      <w:r w:rsidRPr="00987C6B">
        <w:rPr>
          <w:rStyle w:val="Refdenotaalpie"/>
          <w:rFonts w:ascii="Bookman Old Style" w:eastAsia="Calibri" w:hAnsi="Bookman Old Style" w:cs="Calibri"/>
          <w:szCs w:val="24"/>
          <w:lang w:val="es-ES_tradnl"/>
        </w:rPr>
        <w:footnoteReference w:id="79"/>
      </w:r>
    </w:p>
    <w:p w14:paraId="7E2D98BD" w14:textId="77777777" w:rsidR="00F36280" w:rsidRPr="00987C6B" w:rsidRDefault="00F36280" w:rsidP="00F36280">
      <w:pPr>
        <w:jc w:val="both"/>
        <w:rPr>
          <w:rFonts w:ascii="Bookman Old Style" w:eastAsia="Calibri" w:hAnsi="Bookman Old Style" w:cs="Calibri"/>
          <w:szCs w:val="24"/>
          <w:lang w:val="es-ES_tradnl"/>
        </w:rPr>
      </w:pPr>
    </w:p>
    <w:p w14:paraId="36497390" w14:textId="1932ECFB" w:rsidR="00F36280" w:rsidRPr="00987C6B" w:rsidRDefault="00F36280" w:rsidP="00F36280">
      <w:pPr>
        <w:jc w:val="both"/>
        <w:rPr>
          <w:rFonts w:ascii="Bookman Old Style" w:eastAsia="Calibri" w:hAnsi="Bookman Old Style" w:cs="Calibri"/>
          <w:szCs w:val="24"/>
          <w:lang w:val="es-ES_tradnl"/>
        </w:rPr>
      </w:pPr>
      <w:r w:rsidRPr="00987C6B">
        <w:rPr>
          <w:rFonts w:ascii="Bookman Old Style" w:eastAsia="Calibri" w:hAnsi="Bookman Old Style" w:cs="Calibri"/>
          <w:szCs w:val="24"/>
          <w:lang w:val="es-ES_tradnl"/>
        </w:rPr>
        <w:t xml:space="preserve">En esta medida, se decide adoptar, de manera gradual, la visión de la dependencia como una enfermedad crónica y recurrente que requiere de atención integral. Porque los ciudadanos dependientes de las drogas deben ser tratados como pacientes necesitados de tratamiento y no como delincuentes merecedores de castigo, así como separar el consumo </w:t>
      </w:r>
      <w:r w:rsidR="00C94B82" w:rsidRPr="00987C6B">
        <w:rPr>
          <w:rFonts w:ascii="Bookman Old Style" w:eastAsia="Calibri" w:hAnsi="Bookman Old Style" w:cs="Calibri"/>
          <w:szCs w:val="24"/>
          <w:lang w:val="es-ES_tradnl"/>
        </w:rPr>
        <w:t>adulto</w:t>
      </w:r>
      <w:r w:rsidRPr="00987C6B">
        <w:rPr>
          <w:rFonts w:ascii="Bookman Old Style" w:eastAsia="Calibri" w:hAnsi="Bookman Old Style" w:cs="Calibri"/>
          <w:szCs w:val="24"/>
          <w:lang w:val="es-ES_tradnl"/>
        </w:rPr>
        <w:t xml:space="preserve"> del consumo problemático, deuda histórica del Estado frente a los consumidores. De este modo, el accionar del Gobierno no se agota en el sistema judicial, por el contrario, entre las estrategias se incluyen la promoción de estilos de vida saludable, la prevención, el tratamiento, la reducción del daño asociado a usos problemáticos y la reinserción social y, protegiendo los derechos humanos de las personas que usan drogas.</w:t>
      </w:r>
      <w:r w:rsidRPr="00987C6B">
        <w:rPr>
          <w:rStyle w:val="Refdenotaalpie"/>
          <w:rFonts w:ascii="Bookman Old Style" w:eastAsia="Calibri" w:hAnsi="Bookman Old Style" w:cs="Calibri"/>
          <w:szCs w:val="24"/>
          <w:lang w:val="es-ES_tradnl"/>
        </w:rPr>
        <w:footnoteReference w:id="80"/>
      </w:r>
    </w:p>
    <w:p w14:paraId="3AE31A2E" w14:textId="77777777" w:rsidR="00F36280" w:rsidRPr="00987C6B" w:rsidRDefault="00F36280" w:rsidP="00F36280">
      <w:pPr>
        <w:jc w:val="both"/>
        <w:rPr>
          <w:rFonts w:ascii="Bookman Old Style" w:eastAsia="Calibri" w:hAnsi="Bookman Old Style" w:cs="Calibri"/>
          <w:szCs w:val="24"/>
          <w:lang w:val="es-ES_tradnl"/>
        </w:rPr>
      </w:pPr>
    </w:p>
    <w:p w14:paraId="35701966" w14:textId="77777777" w:rsidR="00F36280" w:rsidRPr="00987C6B" w:rsidRDefault="00F36280" w:rsidP="00F36280">
      <w:pPr>
        <w:jc w:val="both"/>
        <w:rPr>
          <w:rFonts w:ascii="Bookman Old Style" w:hAnsi="Bookman Old Style"/>
          <w:i/>
          <w:szCs w:val="24"/>
          <w:lang w:val="es-ES_tradnl"/>
        </w:rPr>
      </w:pPr>
      <w:r w:rsidRPr="00987C6B">
        <w:rPr>
          <w:rFonts w:ascii="Bookman Old Style" w:eastAsia="Calibri" w:hAnsi="Bookman Old Style" w:cs="Calibri"/>
          <w:szCs w:val="24"/>
          <w:lang w:val="es-ES_tradnl"/>
        </w:rPr>
        <w:t xml:space="preserve">Durante los últimos 25 años luego de que la Honorable Corte Constitucional profiriera </w:t>
      </w:r>
      <w:r w:rsidRPr="00987C6B">
        <w:rPr>
          <w:rFonts w:ascii="Bookman Old Style" w:hAnsi="Bookman Old Style"/>
          <w:szCs w:val="24"/>
          <w:lang w:val="es-ES_tradnl"/>
        </w:rPr>
        <w:t xml:space="preserve">la sentencia C-221/94, se han llevado a cabo múltiples experiencias legislativas y de investigación en distintos países del mundo, que han agregado más argumentos a lo expresado por la Corte en su momento, bajo la misma premisa: </w:t>
      </w:r>
      <w:r w:rsidRPr="00987C6B">
        <w:rPr>
          <w:rFonts w:ascii="Bookman Old Style" w:hAnsi="Bookman Old Style"/>
          <w:i/>
          <w:szCs w:val="24"/>
          <w:lang w:val="es-ES_tradnl"/>
        </w:rPr>
        <w:t>la penalización del consumo de drogas, que se hace en nombre de la salud, es desastrosa para la salud pública y para los propios consumidores.</w:t>
      </w:r>
    </w:p>
    <w:p w14:paraId="288B2ADC" w14:textId="77777777" w:rsidR="00F36280" w:rsidRPr="00987C6B" w:rsidRDefault="00F36280" w:rsidP="00F36280">
      <w:pPr>
        <w:jc w:val="both"/>
        <w:rPr>
          <w:rFonts w:ascii="Bookman Old Style" w:eastAsia="Calibri" w:hAnsi="Bookman Old Style" w:cs="Calibri"/>
          <w:szCs w:val="24"/>
          <w:lang w:val="es-ES_tradnl"/>
        </w:rPr>
      </w:pPr>
    </w:p>
    <w:p w14:paraId="7DF7F45D" w14:textId="77777777" w:rsidR="00F36280" w:rsidRPr="00485CC5" w:rsidRDefault="00F36280" w:rsidP="00F36280">
      <w:pPr>
        <w:jc w:val="both"/>
        <w:rPr>
          <w:rFonts w:ascii="Bookman Old Style" w:eastAsia="Calibri" w:hAnsi="Bookman Old Style" w:cs="Calibri"/>
          <w:szCs w:val="24"/>
          <w:lang w:val="es-ES_tradnl"/>
        </w:rPr>
      </w:pPr>
      <w:r w:rsidRPr="00987C6B">
        <w:rPr>
          <w:rFonts w:ascii="Bookman Old Style" w:eastAsia="Calibri" w:hAnsi="Bookman Old Style" w:cs="Calibri"/>
          <w:szCs w:val="24"/>
          <w:lang w:val="es-ES_tradnl"/>
        </w:rPr>
        <w:t xml:space="preserve">Por la razón que aquí ya se ha expresado, la penalización no impide que las personas accedan a las drogas, pero si las obliga a consumirlas en el mundo de la ilegalidad y en condiciones que amenazan su seguridad y su salud. </w:t>
      </w:r>
      <w:r w:rsidRPr="00987C6B">
        <w:rPr>
          <w:rFonts w:ascii="Bookman Old Style" w:hAnsi="Bookman Old Style"/>
          <w:szCs w:val="24"/>
          <w:lang w:val="es-ES_tradnl"/>
        </w:rPr>
        <w:t>Esto no solo incrementa los riesgos sanitarios para los consumidores, sino que además evita que aquellos con problemas de dependencia busquen ayuda, pues temen la sanción y es profundamente discriminatorio.</w:t>
      </w:r>
      <w:r w:rsidRPr="00987C6B">
        <w:rPr>
          <w:rStyle w:val="Refdenotaalpie"/>
          <w:rFonts w:ascii="Bookman Old Style" w:hAnsi="Bookman Old Style"/>
          <w:szCs w:val="24"/>
          <w:lang w:val="es-ES_tradnl"/>
        </w:rPr>
        <w:footnoteReference w:id="81"/>
      </w:r>
    </w:p>
    <w:p w14:paraId="2C6687B3" w14:textId="77777777" w:rsidR="00F36280" w:rsidRPr="00485CC5" w:rsidRDefault="00F36280" w:rsidP="00F36280">
      <w:pPr>
        <w:jc w:val="both"/>
        <w:rPr>
          <w:rFonts w:ascii="Bookman Old Style" w:eastAsia="Calibri" w:hAnsi="Bookman Old Style" w:cs="Calibri"/>
          <w:szCs w:val="24"/>
          <w:lang w:val="es-ES_tradnl"/>
        </w:rPr>
      </w:pPr>
    </w:p>
    <w:p w14:paraId="7470B7DD" w14:textId="7EC68942" w:rsidR="00F36280" w:rsidRPr="001B4F33" w:rsidRDefault="0059124F" w:rsidP="00F36280">
      <w:pPr>
        <w:jc w:val="both"/>
        <w:rPr>
          <w:rFonts w:ascii="Bookman Old Style" w:eastAsia="Calibri" w:hAnsi="Bookman Old Style" w:cs="Calibri"/>
          <w:b/>
          <w:szCs w:val="24"/>
          <w:lang w:val="es-ES_tradnl"/>
        </w:rPr>
      </w:pPr>
      <w:r>
        <w:rPr>
          <w:rFonts w:ascii="Bookman Old Style" w:eastAsia="Calibri" w:hAnsi="Bookman Old Style" w:cs="Calibri"/>
          <w:b/>
          <w:szCs w:val="24"/>
          <w:lang w:val="es-ES_tradnl"/>
        </w:rPr>
        <w:t>6</w:t>
      </w:r>
      <w:r w:rsidR="00F36280" w:rsidRPr="001B4F33">
        <w:rPr>
          <w:rFonts w:ascii="Bookman Old Style" w:eastAsia="Calibri" w:hAnsi="Bookman Old Style" w:cs="Calibri"/>
          <w:b/>
          <w:szCs w:val="24"/>
          <w:lang w:val="es-ES_tradnl"/>
        </w:rPr>
        <w:t>.</w:t>
      </w:r>
      <w:r w:rsidR="00CD271D" w:rsidRPr="001B4F33">
        <w:rPr>
          <w:rFonts w:ascii="Bookman Old Style" w:eastAsia="Calibri" w:hAnsi="Bookman Old Style" w:cs="Calibri"/>
          <w:b/>
          <w:szCs w:val="24"/>
          <w:lang w:val="es-ES_tradnl"/>
        </w:rPr>
        <w:t>2.2</w:t>
      </w:r>
      <w:r w:rsidR="00F36280" w:rsidRPr="001B4F33">
        <w:rPr>
          <w:rFonts w:ascii="Bookman Old Style" w:eastAsia="Calibri" w:hAnsi="Bookman Old Style" w:cs="Calibri"/>
          <w:b/>
          <w:szCs w:val="24"/>
          <w:lang w:val="es-ES_tradnl"/>
        </w:rPr>
        <w:t xml:space="preserve"> REGULARIZACIÓN EXCLUSIVA DEL CANNABIS.</w:t>
      </w:r>
    </w:p>
    <w:p w14:paraId="234A9153" w14:textId="77777777" w:rsidR="00F36280" w:rsidRPr="00C30DB4" w:rsidRDefault="00F36280" w:rsidP="00F36280">
      <w:pPr>
        <w:jc w:val="both"/>
        <w:rPr>
          <w:rFonts w:ascii="Bookman Old Style" w:eastAsia="Calibri" w:hAnsi="Bookman Old Style" w:cs="Calibri"/>
          <w:b/>
          <w:szCs w:val="24"/>
          <w:highlight w:val="yellow"/>
          <w:lang w:val="es-ES_tradnl"/>
        </w:rPr>
      </w:pPr>
    </w:p>
    <w:p w14:paraId="772ACCAC" w14:textId="77777777" w:rsidR="008F2EDE" w:rsidRPr="00B10001" w:rsidRDefault="008F2EDE" w:rsidP="008F2EDE">
      <w:pPr>
        <w:jc w:val="both"/>
        <w:rPr>
          <w:rFonts w:ascii="Bookman Old Style" w:eastAsia="Calibri" w:hAnsi="Bookman Old Style" w:cs="Calibri"/>
          <w:lang w:val="es-ES_tradnl"/>
        </w:rPr>
      </w:pPr>
      <w:r w:rsidRPr="00B10001">
        <w:rPr>
          <w:rFonts w:ascii="Bookman Old Style" w:eastAsia="Calibri" w:hAnsi="Bookman Old Style" w:cs="Calibri"/>
          <w:lang w:val="es-ES_tradnl"/>
        </w:rPr>
        <w:t xml:space="preserve">Las sustancias estupefacientes y psicotrópicas, en general, tienen un potencial de adicción, entendido como la capacidad de desarrollar hábitos de consumo ligadas a una dependencia psicológica o fisiológica, así como generan un síndrome de abstinencia, entendido como las alteraciones físicas y psíquicas que aparecen en una persona cuando deja bruscamente de tomar una sustancia a la cual está habituada o es adicta. </w:t>
      </w:r>
    </w:p>
    <w:p w14:paraId="3FFACCBC" w14:textId="77777777" w:rsidR="008F2EDE" w:rsidRPr="00B10001" w:rsidRDefault="008F2EDE" w:rsidP="008F2EDE">
      <w:pPr>
        <w:jc w:val="both"/>
        <w:rPr>
          <w:rFonts w:ascii="Bookman Old Style" w:eastAsia="Calibri" w:hAnsi="Bookman Old Style" w:cs="Calibri"/>
          <w:lang w:val="es-ES_tradnl"/>
        </w:rPr>
      </w:pPr>
    </w:p>
    <w:p w14:paraId="138D11A8" w14:textId="77777777" w:rsidR="008F2EDE" w:rsidRPr="008F2EDE" w:rsidRDefault="008F2EDE" w:rsidP="008F2EDE">
      <w:pPr>
        <w:jc w:val="both"/>
        <w:rPr>
          <w:rFonts w:ascii="Bookman Old Style" w:eastAsia="Calibri" w:hAnsi="Bookman Old Style" w:cs="Calibri"/>
          <w:lang w:val="es-ES_tradnl"/>
        </w:rPr>
      </w:pPr>
      <w:r w:rsidRPr="008F2EDE">
        <w:rPr>
          <w:rFonts w:ascii="Bookman Old Style" w:eastAsia="Calibri" w:hAnsi="Bookman Old Style" w:cs="Calibri"/>
          <w:lang w:val="es-ES_tradnl"/>
        </w:rPr>
        <w:t>De acuerdo al estudio realizado por el profesor de Psicofarmacología en la Universidad de Bristol, David Nutt, sustancias prohibidas y no prohibidas como la heroína (peligrosa por su alta mortalidad)</w:t>
      </w:r>
      <w:r w:rsidRPr="008F2EDE">
        <w:rPr>
          <w:rStyle w:val="Refdenotaalpie"/>
          <w:rFonts w:ascii="Bookman Old Style" w:eastAsia="Calibri" w:hAnsi="Bookman Old Style" w:cs="Calibri"/>
          <w:lang w:val="es-ES_tradnl"/>
        </w:rPr>
        <w:footnoteReference w:id="82"/>
      </w:r>
      <w:r w:rsidRPr="008F2EDE">
        <w:rPr>
          <w:rFonts w:ascii="Bookman Old Style" w:eastAsia="Calibri" w:hAnsi="Bookman Old Style" w:cs="Calibri"/>
          <w:lang w:val="es-ES_tradnl"/>
        </w:rPr>
        <w:t>, la cocaína (que cuando decanta en muerte por sobredosis muestra edema cerebral y pulmonar)</w:t>
      </w:r>
      <w:r w:rsidRPr="008F2EDE">
        <w:rPr>
          <w:rStyle w:val="Refdenotaalpie"/>
          <w:rFonts w:ascii="Bookman Old Style" w:eastAsia="Calibri" w:hAnsi="Bookman Old Style" w:cs="Calibri"/>
          <w:lang w:val="es-ES_tradnl"/>
        </w:rPr>
        <w:footnoteReference w:id="83"/>
      </w:r>
      <w:r w:rsidRPr="008F2EDE">
        <w:rPr>
          <w:rFonts w:ascii="Bookman Old Style" w:eastAsia="Calibri" w:hAnsi="Bookman Old Style" w:cs="Calibri"/>
          <w:lang w:val="es-ES_tradnl"/>
        </w:rPr>
        <w:t>, la metanfetamina, el crack o el alcohol (el cual es uno de los causantes de la cirrosis) son las sustancias que más afectación al consumidor pueden generar.</w:t>
      </w:r>
      <w:r w:rsidRPr="008F2EDE">
        <w:rPr>
          <w:rStyle w:val="Refdenotaalpie"/>
          <w:rFonts w:ascii="Bookman Old Style" w:eastAsia="Calibri" w:hAnsi="Bookman Old Style" w:cs="Calibri"/>
          <w:lang w:val="es-ES_tradnl"/>
        </w:rPr>
        <w:footnoteReference w:id="84"/>
      </w:r>
    </w:p>
    <w:p w14:paraId="25EB06D7" w14:textId="77777777" w:rsidR="008F2EDE" w:rsidRPr="008F2EDE" w:rsidRDefault="008F2EDE" w:rsidP="008F2EDE">
      <w:pPr>
        <w:jc w:val="both"/>
        <w:rPr>
          <w:rFonts w:ascii="Bookman Old Style" w:eastAsia="Calibri" w:hAnsi="Bookman Old Style" w:cs="Calibri"/>
          <w:lang w:val="es-ES_tradnl"/>
        </w:rPr>
      </w:pPr>
    </w:p>
    <w:p w14:paraId="44723169" w14:textId="6A87C47E" w:rsidR="008F2EDE" w:rsidRPr="008F2EDE" w:rsidRDefault="008F2EDE" w:rsidP="008F2EDE">
      <w:pPr>
        <w:jc w:val="both"/>
        <w:rPr>
          <w:rFonts w:ascii="Bookman Old Style" w:eastAsia="Calibri" w:hAnsi="Bookman Old Style" w:cs="Calibri"/>
          <w:lang w:val="es-ES_tradnl"/>
        </w:rPr>
      </w:pPr>
      <w:r w:rsidRPr="008F2EDE">
        <w:rPr>
          <w:rFonts w:ascii="Bookman Old Style" w:eastAsia="Calibri" w:hAnsi="Bookman Old Style" w:cs="Calibri"/>
          <w:lang w:val="es-ES_tradnl"/>
        </w:rPr>
        <w:t>El alcohol como primer ejemplo, genera tolerancia, acostumbramiento y dependencia. Dicha sustancia ante su abuso presenta como consecuencia efectos negativos acentuados que tienen tendencia a decantar en una embriaguez patológica</w:t>
      </w:r>
      <w:r w:rsidRPr="008F2EDE">
        <w:rPr>
          <w:rStyle w:val="Refdenotaalpie"/>
          <w:rFonts w:ascii="Bookman Old Style" w:eastAsia="Calibri" w:hAnsi="Bookman Old Style" w:cs="Calibri"/>
          <w:lang w:val="es-ES_tradnl"/>
        </w:rPr>
        <w:footnoteReference w:id="85"/>
      </w:r>
      <w:r w:rsidRPr="008F2EDE">
        <w:rPr>
          <w:rFonts w:ascii="Bookman Old Style" w:eastAsia="Calibri" w:hAnsi="Bookman Old Style" w:cs="Calibri"/>
          <w:lang w:val="es-ES_tradnl"/>
        </w:rPr>
        <w:t>, entre otras afectaciones a la salud de sus consumidores, como bien lo ha venido advirtiendo la OMS.</w:t>
      </w:r>
    </w:p>
    <w:p w14:paraId="6BDE51AC" w14:textId="77777777" w:rsidR="008F2EDE" w:rsidRPr="008F2EDE" w:rsidRDefault="008F2EDE" w:rsidP="008F2EDE">
      <w:pPr>
        <w:jc w:val="both"/>
        <w:rPr>
          <w:rFonts w:ascii="Bookman Old Style" w:eastAsia="Calibri" w:hAnsi="Bookman Old Style" w:cs="Calibri"/>
          <w:lang w:val="es-ES_tradnl"/>
        </w:rPr>
      </w:pPr>
    </w:p>
    <w:p w14:paraId="4AF02D18" w14:textId="48ABA0D8" w:rsidR="008F2EDE" w:rsidRPr="008F2EDE" w:rsidRDefault="008F2EDE" w:rsidP="008F2EDE">
      <w:pPr>
        <w:jc w:val="both"/>
        <w:rPr>
          <w:rFonts w:ascii="Bookman Old Style" w:eastAsia="Calibri" w:hAnsi="Bookman Old Style" w:cs="Calibri"/>
          <w:lang w:val="es-ES_tradnl"/>
        </w:rPr>
      </w:pPr>
      <w:r w:rsidRPr="008F2EDE">
        <w:rPr>
          <w:rFonts w:ascii="Bookman Old Style" w:eastAsia="Calibri" w:hAnsi="Bookman Old Style" w:cs="Calibri"/>
          <w:lang w:val="es-ES_tradnl"/>
        </w:rPr>
        <w:t>La nicotina por su parte es una sustancia que genera dependencia, tolerancia y síndrome de abstinencia ante su interrupción, además, como ya se mencionó, según la OMS mata a la mitad de sus consumidores y genera distintas afectaciones a la salud. Mientras que los Opiáceos presentan facilidad para inducir farmacodependencia, lo que obliga a los médicos que los recetan, sean extremadamente cuidadosos, y no generosos en su prescripción.</w:t>
      </w:r>
      <w:r w:rsidRPr="008F2EDE">
        <w:rPr>
          <w:rStyle w:val="Refdenotaalpie"/>
          <w:rFonts w:ascii="Bookman Old Style" w:eastAsia="Calibri" w:hAnsi="Bookman Old Style" w:cs="Calibri"/>
          <w:lang w:val="es-ES_tradnl"/>
        </w:rPr>
        <w:footnoteReference w:id="86"/>
      </w:r>
    </w:p>
    <w:p w14:paraId="7AFEC410" w14:textId="77777777" w:rsidR="008F2EDE" w:rsidRPr="008F2EDE" w:rsidRDefault="008F2EDE" w:rsidP="008F2EDE">
      <w:pPr>
        <w:jc w:val="both"/>
        <w:rPr>
          <w:rFonts w:ascii="Bookman Old Style" w:eastAsia="Calibri" w:hAnsi="Bookman Old Style" w:cs="Calibri"/>
        </w:rPr>
      </w:pPr>
    </w:p>
    <w:p w14:paraId="501FF33C" w14:textId="1AB48B8E" w:rsidR="001B4F33" w:rsidRDefault="008F2EDE" w:rsidP="008F2EDE">
      <w:pPr>
        <w:jc w:val="both"/>
        <w:rPr>
          <w:rFonts w:ascii="Bookman Old Style" w:eastAsia="Calibri" w:hAnsi="Bookman Old Style" w:cs="Calibri"/>
          <w:szCs w:val="24"/>
          <w:lang w:val="es-ES_tradnl"/>
        </w:rPr>
      </w:pPr>
      <w:r w:rsidRPr="008F2EDE">
        <w:rPr>
          <w:rFonts w:ascii="Bookman Old Style" w:eastAsia="Calibri" w:hAnsi="Bookman Old Style" w:cs="Calibri"/>
        </w:rPr>
        <w:t>En lo que respecta al</w:t>
      </w:r>
      <w:r w:rsidRPr="008F2EDE">
        <w:rPr>
          <w:rFonts w:ascii="Bookman Old Style" w:eastAsia="Calibri" w:hAnsi="Bookman Old Style" w:cs="Calibri"/>
          <w:lang w:val="es-ES_tradnl"/>
        </w:rPr>
        <w:t xml:space="preserve"> Cannabis, varios autores y estudios señalan que es baja la probabilidad acumulada de desarrollar consumos problemáticos o trastornos asociados al consumo</w:t>
      </w:r>
      <w:r w:rsidRPr="008F2EDE">
        <w:rPr>
          <w:rStyle w:val="Refdenotaalpie"/>
          <w:rFonts w:ascii="Bookman Old Style" w:eastAsia="Calibri" w:hAnsi="Bookman Old Style" w:cs="Calibri"/>
          <w:lang w:val="es-ES_tradnl"/>
        </w:rPr>
        <w:footnoteReference w:id="87"/>
      </w:r>
      <w:r w:rsidRPr="008F2EDE">
        <w:rPr>
          <w:rFonts w:ascii="Bookman Old Style" w:eastAsia="Calibri" w:hAnsi="Bookman Old Style" w:cs="Calibri"/>
          <w:lang w:val="es-ES_tradnl"/>
        </w:rPr>
        <w:t>, no suele inducir tolerancia</w:t>
      </w:r>
      <w:r w:rsidRPr="008F2EDE">
        <w:rPr>
          <w:rStyle w:val="Refdenotaalpie"/>
          <w:rFonts w:ascii="Bookman Old Style" w:eastAsia="Calibri" w:hAnsi="Bookman Old Style" w:cs="Calibri"/>
          <w:lang w:val="es-ES_tradnl"/>
        </w:rPr>
        <w:footnoteReference w:id="88"/>
      </w:r>
      <w:r w:rsidRPr="008F2EDE">
        <w:rPr>
          <w:rFonts w:ascii="Bookman Old Style" w:eastAsia="Calibri" w:hAnsi="Bookman Old Style" w:cs="Calibri"/>
          <w:lang w:val="es-ES_tradnl"/>
        </w:rPr>
        <w:t xml:space="preserve"> o decantar en muerte por sobredosis. En contra posición con los ejemplos tanto lícitos como ilícitos ya</w:t>
      </w:r>
      <w:r w:rsidRPr="00B10001">
        <w:rPr>
          <w:rFonts w:ascii="Bookman Old Style" w:eastAsia="Calibri" w:hAnsi="Bookman Old Style" w:cs="Calibri"/>
          <w:lang w:val="es-ES_tradnl"/>
        </w:rPr>
        <w:t xml:space="preserve"> citados. Lo anterior aunado a sus aplicaciones en temas de salud y calidad de vida (cuidados paliativos) que hoy son una realidad</w:t>
      </w:r>
    </w:p>
    <w:p w14:paraId="3CF80310" w14:textId="77777777" w:rsidR="008F2EDE" w:rsidRDefault="008F2EDE" w:rsidP="001B4F33">
      <w:pPr>
        <w:jc w:val="both"/>
        <w:rPr>
          <w:rFonts w:ascii="Bookman Old Style" w:eastAsia="Calibri" w:hAnsi="Bookman Old Style" w:cs="Calibri"/>
          <w:szCs w:val="24"/>
          <w:lang w:val="es-ES_tradnl"/>
        </w:rPr>
      </w:pPr>
    </w:p>
    <w:p w14:paraId="74C31771" w14:textId="790B2E31" w:rsidR="001B4F33" w:rsidRDefault="001B4F33" w:rsidP="001B4F33">
      <w:pPr>
        <w:jc w:val="both"/>
        <w:rPr>
          <w:rFonts w:ascii="Bookman Old Style" w:eastAsia="Calibri" w:hAnsi="Bookman Old Style" w:cs="Calibri"/>
          <w:szCs w:val="24"/>
          <w:lang w:val="es-ES_tradnl"/>
        </w:rPr>
      </w:pPr>
      <w:r>
        <w:rPr>
          <w:rFonts w:ascii="Bookman Old Style" w:eastAsia="Calibri" w:hAnsi="Bookman Old Style" w:cs="Calibri"/>
          <w:szCs w:val="24"/>
          <w:lang w:val="es-ES_tradnl"/>
        </w:rPr>
        <w:t>Se evidencia entonces que los efectos del</w:t>
      </w:r>
      <w:r w:rsidRPr="00AE7B15">
        <w:rPr>
          <w:rFonts w:ascii="Bookman Old Style" w:eastAsia="Calibri" w:hAnsi="Bookman Old Style" w:cs="Calibri"/>
          <w:szCs w:val="24"/>
          <w:lang w:val="es-ES_tradnl"/>
        </w:rPr>
        <w:t xml:space="preserve"> cannabis </w:t>
      </w:r>
      <w:r>
        <w:rPr>
          <w:rFonts w:ascii="Bookman Old Style" w:eastAsia="Calibri" w:hAnsi="Bookman Old Style" w:cs="Calibri"/>
          <w:szCs w:val="24"/>
          <w:lang w:val="es-ES_tradnl"/>
        </w:rPr>
        <w:t>no</w:t>
      </w:r>
      <w:r w:rsidRPr="00AE7B15">
        <w:rPr>
          <w:rFonts w:ascii="Bookman Old Style" w:eastAsia="Calibri" w:hAnsi="Bookman Old Style" w:cs="Calibri"/>
          <w:szCs w:val="24"/>
          <w:lang w:val="es-ES_tradnl"/>
        </w:rPr>
        <w:t xml:space="preserve"> </w:t>
      </w:r>
      <w:r>
        <w:rPr>
          <w:rFonts w:ascii="Bookman Old Style" w:eastAsia="Calibri" w:hAnsi="Bookman Old Style" w:cs="Calibri"/>
          <w:szCs w:val="24"/>
          <w:lang w:val="es-ES_tradnl"/>
        </w:rPr>
        <w:t xml:space="preserve">son </w:t>
      </w:r>
      <w:r w:rsidRPr="00AE7B15">
        <w:rPr>
          <w:rFonts w:ascii="Bookman Old Style" w:eastAsia="Calibri" w:hAnsi="Bookman Old Style" w:cs="Calibri"/>
          <w:szCs w:val="24"/>
          <w:lang w:val="es-ES_tradnl"/>
        </w:rPr>
        <w:t>más nocivos que los efectos de</w:t>
      </w:r>
      <w:r>
        <w:rPr>
          <w:rFonts w:ascii="Bookman Old Style" w:eastAsia="Calibri" w:hAnsi="Bookman Old Style" w:cs="Calibri"/>
          <w:szCs w:val="24"/>
          <w:lang w:val="es-ES_tradnl"/>
        </w:rPr>
        <w:t>l</w:t>
      </w:r>
      <w:r w:rsidRPr="00AE7B15">
        <w:rPr>
          <w:rFonts w:ascii="Bookman Old Style" w:eastAsia="Calibri" w:hAnsi="Bookman Old Style" w:cs="Calibri"/>
          <w:szCs w:val="24"/>
          <w:lang w:val="es-ES_tradnl"/>
        </w:rPr>
        <w:t xml:space="preserve"> alcohol o </w:t>
      </w:r>
      <w:r>
        <w:rPr>
          <w:rFonts w:ascii="Bookman Old Style" w:eastAsia="Calibri" w:hAnsi="Bookman Old Style" w:cs="Calibri"/>
          <w:szCs w:val="24"/>
          <w:lang w:val="es-ES_tradnl"/>
        </w:rPr>
        <w:t>del cigarrillo.</w:t>
      </w:r>
      <w:r w:rsidRPr="00AE7B15">
        <w:rPr>
          <w:rFonts w:ascii="Bookman Old Style" w:eastAsia="Calibri" w:hAnsi="Bookman Old Style" w:cs="Calibri"/>
          <w:szCs w:val="24"/>
          <w:lang w:val="es-ES_tradnl"/>
        </w:rPr>
        <w:t xml:space="preserve"> </w:t>
      </w:r>
      <w:r>
        <w:rPr>
          <w:rFonts w:ascii="Bookman Old Style" w:eastAsia="Calibri" w:hAnsi="Bookman Old Style" w:cs="Calibri"/>
          <w:szCs w:val="24"/>
          <w:lang w:val="es-ES_tradnl"/>
        </w:rPr>
        <w:t>Por el contrario,</w:t>
      </w:r>
      <w:r w:rsidRPr="00AE7B15">
        <w:rPr>
          <w:rFonts w:ascii="Bookman Old Style" w:eastAsia="Calibri" w:hAnsi="Bookman Old Style" w:cs="Calibri"/>
          <w:szCs w:val="24"/>
          <w:lang w:val="es-ES_tradnl"/>
        </w:rPr>
        <w:t xml:space="preserve"> el cannabis genera un daño</w:t>
      </w:r>
      <w:r>
        <w:rPr>
          <w:rFonts w:ascii="Bookman Old Style" w:eastAsia="Calibri" w:hAnsi="Bookman Old Style" w:cs="Calibri"/>
          <w:szCs w:val="24"/>
          <w:lang w:val="es-ES_tradnl"/>
        </w:rPr>
        <w:t xml:space="preserve"> mínimo al consumidor y hacia otros, de acuerdo a </w:t>
      </w:r>
      <w:r w:rsidRPr="00AE7B15">
        <w:rPr>
          <w:rFonts w:ascii="Bookman Old Style" w:eastAsia="Calibri" w:hAnsi="Bookman Old Style" w:cs="Calibri"/>
          <w:szCs w:val="24"/>
          <w:lang w:val="es-ES_tradnl"/>
        </w:rPr>
        <w:t>las</w:t>
      </w:r>
      <w:r w:rsidRPr="00AE7B15">
        <w:rPr>
          <w:rFonts w:ascii="Bookman Old Style" w:eastAsia="Calibri" w:hAnsi="Bookman Old Style" w:cs="Calibri"/>
          <w:i/>
          <w:szCs w:val="24"/>
          <w:lang w:val="es-ES_tradnl"/>
        </w:rPr>
        <w:t xml:space="preserve"> </w:t>
      </w:r>
      <w:r w:rsidRPr="00AE7B15">
        <w:rPr>
          <w:rFonts w:ascii="Bookman Old Style" w:eastAsia="Calibri" w:hAnsi="Bookman Old Style" w:cs="Calibri"/>
          <w:szCs w:val="24"/>
          <w:lang w:val="es-ES_tradnl"/>
        </w:rPr>
        <w:t xml:space="preserve">gráficas 1 </w:t>
      </w:r>
      <w:r>
        <w:rPr>
          <w:rFonts w:ascii="Bookman Old Style" w:eastAsia="Calibri" w:hAnsi="Bookman Old Style" w:cs="Calibri"/>
          <w:szCs w:val="24"/>
          <w:lang w:val="es-ES_tradnl"/>
        </w:rPr>
        <w:t>y 2 relacionadas en las págs. 22 y 23.</w:t>
      </w:r>
    </w:p>
    <w:p w14:paraId="7B67314C" w14:textId="77777777" w:rsidR="001B4F33" w:rsidRPr="00AE7B15" w:rsidRDefault="001B4F33" w:rsidP="001B4F33">
      <w:pPr>
        <w:jc w:val="both"/>
        <w:rPr>
          <w:rFonts w:ascii="Bookman Old Style" w:eastAsia="Calibri" w:hAnsi="Bookman Old Style" w:cs="Calibri"/>
          <w:szCs w:val="24"/>
          <w:lang w:val="es-ES_tradnl"/>
        </w:rPr>
      </w:pPr>
    </w:p>
    <w:p w14:paraId="40DB3C80" w14:textId="73AC99B0" w:rsidR="001B4F33" w:rsidRPr="00AE7B15" w:rsidRDefault="001B4F33" w:rsidP="001B4F33">
      <w:pPr>
        <w:jc w:val="both"/>
        <w:rPr>
          <w:rFonts w:ascii="Bookman Old Style" w:eastAsia="Calibri" w:hAnsi="Bookman Old Style" w:cs="Calibri"/>
          <w:bCs/>
          <w:i/>
          <w:iCs/>
          <w:szCs w:val="24"/>
          <w:lang w:val="es-ES_tradnl"/>
        </w:rPr>
      </w:pPr>
      <w:r w:rsidRPr="00AE7B15">
        <w:rPr>
          <w:rFonts w:ascii="Bookman Old Style" w:eastAsia="Calibri" w:hAnsi="Bookman Old Style" w:cs="Calibri"/>
          <w:szCs w:val="24"/>
          <w:lang w:val="es-ES_tradnl"/>
        </w:rPr>
        <w:t xml:space="preserve">De acuerdo a lo expuesto es necesario ser claros respecto a que el presente Proyecto de Acto Legislativo exclusivamente busca la regularización del uso </w:t>
      </w:r>
      <w:r w:rsidR="00C94B82">
        <w:rPr>
          <w:rFonts w:ascii="Bookman Old Style" w:eastAsia="Calibri" w:hAnsi="Bookman Old Style" w:cs="Calibri"/>
          <w:szCs w:val="24"/>
          <w:lang w:val="es-ES_tradnl"/>
        </w:rPr>
        <w:t>adulto</w:t>
      </w:r>
      <w:r w:rsidRPr="00AE7B15">
        <w:rPr>
          <w:rFonts w:ascii="Bookman Old Style" w:eastAsia="Calibri" w:hAnsi="Bookman Old Style" w:cs="Calibri"/>
          <w:szCs w:val="24"/>
          <w:lang w:val="es-ES_tradnl"/>
        </w:rPr>
        <w:t xml:space="preserve"> del cannabis. Sustancias como la cocaína, el </w:t>
      </w:r>
      <w:r w:rsidRPr="00AE7B15">
        <w:rPr>
          <w:rFonts w:ascii="Bookman Old Style" w:eastAsia="Calibri" w:hAnsi="Bookman Old Style" w:cs="Calibri"/>
          <w:szCs w:val="24"/>
        </w:rPr>
        <w:t>hachís, los derivados de la amapola y la droga sintética deben continuar bajo la normativa actual.</w:t>
      </w:r>
    </w:p>
    <w:p w14:paraId="35ACD923" w14:textId="77777777" w:rsidR="001B4F33" w:rsidRPr="00AE7B15" w:rsidRDefault="001B4F33" w:rsidP="001B4F33">
      <w:pPr>
        <w:jc w:val="both"/>
        <w:rPr>
          <w:rFonts w:ascii="Bookman Old Style" w:eastAsia="Calibri" w:hAnsi="Bookman Old Style" w:cs="Calibri"/>
          <w:szCs w:val="24"/>
          <w:lang w:val="es-ES_tradnl"/>
        </w:rPr>
      </w:pPr>
    </w:p>
    <w:p w14:paraId="4312D700" w14:textId="77777777" w:rsidR="001B4F33" w:rsidRPr="00AE7B15" w:rsidRDefault="001B4F33" w:rsidP="001B4F33">
      <w:pPr>
        <w:jc w:val="both"/>
        <w:rPr>
          <w:rFonts w:ascii="Bookman Old Style" w:eastAsia="Calibri" w:hAnsi="Bookman Old Style" w:cs="Calibri"/>
          <w:szCs w:val="24"/>
          <w:lang w:val="es-ES_tradnl"/>
        </w:rPr>
      </w:pPr>
      <w:r w:rsidRPr="00AE7B15">
        <w:rPr>
          <w:rFonts w:ascii="Bookman Old Style" w:eastAsia="Calibri" w:hAnsi="Bookman Old Style" w:cs="Calibri"/>
          <w:szCs w:val="24"/>
          <w:lang w:val="es-ES_tradnl"/>
        </w:rPr>
        <w:t xml:space="preserve">En consecuencia, y considerando además que: </w:t>
      </w:r>
    </w:p>
    <w:p w14:paraId="44CEF92F" w14:textId="77777777" w:rsidR="001B4F33" w:rsidRPr="00AE7B15" w:rsidRDefault="001B4F33" w:rsidP="001B4F33">
      <w:pPr>
        <w:jc w:val="both"/>
        <w:rPr>
          <w:rFonts w:ascii="Bookman Old Style" w:eastAsia="Calibri" w:hAnsi="Bookman Old Style" w:cs="Calibri"/>
          <w:szCs w:val="24"/>
          <w:lang w:val="es-ES_tradnl"/>
        </w:rPr>
      </w:pPr>
    </w:p>
    <w:p w14:paraId="533A6647" w14:textId="7E130681" w:rsidR="009718AC" w:rsidRDefault="001B4F33" w:rsidP="001B4F33">
      <w:pPr>
        <w:pStyle w:val="Prrafodelista"/>
        <w:numPr>
          <w:ilvl w:val="0"/>
          <w:numId w:val="34"/>
        </w:numPr>
        <w:jc w:val="both"/>
        <w:rPr>
          <w:rFonts w:ascii="Bookman Old Style" w:eastAsia="Calibri" w:hAnsi="Bookman Old Style" w:cs="Calibri"/>
          <w:szCs w:val="24"/>
          <w:lang w:val="es-ES_tradnl"/>
        </w:rPr>
      </w:pPr>
      <w:r w:rsidRPr="00AE7B15">
        <w:rPr>
          <w:rFonts w:ascii="Bookman Old Style" w:eastAsia="Calibri" w:hAnsi="Bookman Old Style" w:cs="Calibri"/>
          <w:szCs w:val="24"/>
          <w:lang w:val="es-ES_tradnl"/>
        </w:rPr>
        <w:t xml:space="preserve">Colombia cuenta con una legislación vigente que reglamenta de forma idónea y eficaz el cultivo, la transformación, la comercialización y exportación del cannabis de uso medicinal que bien podría extenderse al </w:t>
      </w:r>
      <w:r w:rsidR="00C94B82">
        <w:rPr>
          <w:rFonts w:ascii="Bookman Old Style" w:eastAsia="Calibri" w:hAnsi="Bookman Old Style" w:cs="Calibri"/>
          <w:szCs w:val="24"/>
          <w:lang w:val="es-ES_tradnl"/>
        </w:rPr>
        <w:t>adulto</w:t>
      </w:r>
      <w:r w:rsidRPr="00AE7B15">
        <w:rPr>
          <w:rFonts w:ascii="Bookman Old Style" w:eastAsia="Calibri" w:hAnsi="Bookman Old Style" w:cs="Calibri"/>
          <w:szCs w:val="24"/>
          <w:lang w:val="es-ES_tradnl"/>
        </w:rPr>
        <w:t xml:space="preserve"> sin inconvenientes</w:t>
      </w:r>
      <w:r w:rsidR="009718AC">
        <w:rPr>
          <w:rFonts w:ascii="Bookman Old Style" w:eastAsia="Calibri" w:hAnsi="Bookman Old Style" w:cs="Calibri"/>
          <w:szCs w:val="24"/>
          <w:lang w:val="es-ES_tradnl"/>
        </w:rPr>
        <w:t>;</w:t>
      </w:r>
    </w:p>
    <w:p w14:paraId="02728258" w14:textId="77777777" w:rsidR="001B4F33" w:rsidRPr="00AE7B15" w:rsidRDefault="001B4F33" w:rsidP="00621929">
      <w:pPr>
        <w:pStyle w:val="Prrafodelista"/>
        <w:jc w:val="both"/>
        <w:rPr>
          <w:rFonts w:ascii="Bookman Old Style" w:eastAsia="Calibri" w:hAnsi="Bookman Old Style" w:cs="Calibri"/>
          <w:szCs w:val="24"/>
          <w:lang w:val="es-ES_tradnl"/>
        </w:rPr>
      </w:pPr>
      <w:r w:rsidRPr="00AE7B15">
        <w:rPr>
          <w:rFonts w:ascii="Bookman Old Style" w:eastAsia="Calibri" w:hAnsi="Bookman Old Style" w:cs="Calibri"/>
          <w:szCs w:val="24"/>
          <w:lang w:val="es-ES_tradnl"/>
        </w:rPr>
        <w:t xml:space="preserve"> </w:t>
      </w:r>
    </w:p>
    <w:p w14:paraId="7DFF278E" w14:textId="363A68D1" w:rsidR="009718AC" w:rsidRDefault="001B4F33" w:rsidP="001B4F33">
      <w:pPr>
        <w:pStyle w:val="Prrafodelista"/>
        <w:numPr>
          <w:ilvl w:val="0"/>
          <w:numId w:val="34"/>
        </w:numPr>
        <w:jc w:val="both"/>
        <w:rPr>
          <w:rFonts w:ascii="Bookman Old Style" w:eastAsia="Calibri" w:hAnsi="Bookman Old Style" w:cs="Calibri"/>
          <w:szCs w:val="24"/>
          <w:lang w:val="es-ES_tradnl"/>
        </w:rPr>
      </w:pPr>
      <w:r w:rsidRPr="00AE7B15">
        <w:rPr>
          <w:rFonts w:ascii="Bookman Old Style" w:eastAsia="Calibri" w:hAnsi="Bookman Old Style" w:cs="Calibri"/>
          <w:szCs w:val="24"/>
          <w:lang w:val="es-ES_tradnl"/>
        </w:rPr>
        <w:t xml:space="preserve">Existe una tendencia creciente en el ámbito internacional de reglamentar y permitir el uso </w:t>
      </w:r>
      <w:r w:rsidR="00C94B82">
        <w:rPr>
          <w:rFonts w:ascii="Bookman Old Style" w:eastAsia="Calibri" w:hAnsi="Bookman Old Style" w:cs="Calibri"/>
          <w:szCs w:val="24"/>
          <w:lang w:val="es-ES_tradnl"/>
        </w:rPr>
        <w:t>adulto</w:t>
      </w:r>
      <w:r w:rsidRPr="00AE7B15">
        <w:rPr>
          <w:rFonts w:ascii="Bookman Old Style" w:eastAsia="Calibri" w:hAnsi="Bookman Old Style" w:cs="Calibri"/>
          <w:szCs w:val="24"/>
          <w:lang w:val="es-ES_tradnl"/>
        </w:rPr>
        <w:t xml:space="preserve"> del cannabis</w:t>
      </w:r>
      <w:r w:rsidR="009718AC">
        <w:rPr>
          <w:rFonts w:ascii="Bookman Old Style" w:eastAsia="Calibri" w:hAnsi="Bookman Old Style" w:cs="Calibri"/>
          <w:szCs w:val="24"/>
          <w:lang w:val="es-ES_tradnl"/>
        </w:rPr>
        <w:t>;</w:t>
      </w:r>
    </w:p>
    <w:p w14:paraId="409D7EA1" w14:textId="77777777" w:rsidR="001B4F33" w:rsidRPr="00AE7B15" w:rsidRDefault="001B4F33" w:rsidP="00621929">
      <w:pPr>
        <w:pStyle w:val="Prrafodelista"/>
        <w:jc w:val="both"/>
        <w:rPr>
          <w:rFonts w:ascii="Bookman Old Style" w:eastAsia="Calibri" w:hAnsi="Bookman Old Style" w:cs="Calibri"/>
          <w:szCs w:val="24"/>
          <w:lang w:val="es-ES_tradnl"/>
        </w:rPr>
      </w:pPr>
    </w:p>
    <w:p w14:paraId="750FC39F" w14:textId="77777777" w:rsidR="001B4F33" w:rsidRPr="00AE7B15" w:rsidRDefault="001B4F33" w:rsidP="001B4F33">
      <w:pPr>
        <w:pStyle w:val="Prrafodelista"/>
        <w:numPr>
          <w:ilvl w:val="0"/>
          <w:numId w:val="34"/>
        </w:numPr>
        <w:jc w:val="both"/>
        <w:rPr>
          <w:rFonts w:ascii="Bookman Old Style" w:eastAsia="Calibri" w:hAnsi="Bookman Old Style" w:cs="Calibri"/>
          <w:szCs w:val="24"/>
          <w:lang w:val="es-ES_tradnl"/>
        </w:rPr>
      </w:pPr>
      <w:r w:rsidRPr="00AE7B15">
        <w:rPr>
          <w:rFonts w:ascii="Bookman Old Style" w:eastAsia="Calibri" w:hAnsi="Bookman Old Style" w:cs="Calibri"/>
          <w:szCs w:val="24"/>
          <w:lang w:val="es-ES_tradnl"/>
        </w:rPr>
        <w:t>Se está consolidando un nuevo mercado a nivel mundial que está generando ganancias.</w:t>
      </w:r>
    </w:p>
    <w:p w14:paraId="78D0A27E" w14:textId="7EFCE754" w:rsidR="009718AC" w:rsidRDefault="009718AC" w:rsidP="001B4F33">
      <w:pPr>
        <w:jc w:val="both"/>
        <w:rPr>
          <w:rFonts w:ascii="Bookman Old Style" w:eastAsia="Calibri" w:hAnsi="Bookman Old Style" w:cs="Calibri"/>
          <w:szCs w:val="24"/>
          <w:lang w:val="es-ES_tradnl"/>
        </w:rPr>
      </w:pPr>
      <w:r w:rsidRPr="009718AC">
        <w:rPr>
          <w:rFonts w:ascii="Bookman Old Style" w:eastAsia="Calibri" w:hAnsi="Bookman Old Style" w:cs="Calibri"/>
          <w:szCs w:val="24"/>
          <w:lang w:val="es-ES_tradnl"/>
        </w:rPr>
        <w:t xml:space="preserve">Se puede afirmar entonces que es viable y positivo regularizar el cannabis para su uso </w:t>
      </w:r>
      <w:r w:rsidR="00C94B82">
        <w:rPr>
          <w:rFonts w:ascii="Bookman Old Style" w:eastAsia="Calibri" w:hAnsi="Bookman Old Style" w:cs="Calibri"/>
          <w:szCs w:val="24"/>
          <w:lang w:val="es-ES_tradnl"/>
        </w:rPr>
        <w:t>adulto</w:t>
      </w:r>
      <w:r w:rsidRPr="009718AC">
        <w:rPr>
          <w:rFonts w:ascii="Bookman Old Style" w:eastAsia="Calibri" w:hAnsi="Bookman Old Style" w:cs="Calibri"/>
          <w:szCs w:val="24"/>
          <w:lang w:val="es-ES_tradnl"/>
        </w:rPr>
        <w:t>.</w:t>
      </w:r>
    </w:p>
    <w:p w14:paraId="76F6C62A" w14:textId="77777777" w:rsidR="009718AC" w:rsidRDefault="009718AC" w:rsidP="001B4F33">
      <w:pPr>
        <w:jc w:val="both"/>
        <w:rPr>
          <w:rFonts w:ascii="Bookman Old Style" w:eastAsia="Calibri" w:hAnsi="Bookman Old Style" w:cs="Calibri"/>
          <w:szCs w:val="24"/>
          <w:lang w:val="es-ES_tradnl"/>
        </w:rPr>
      </w:pPr>
    </w:p>
    <w:p w14:paraId="741D25FA" w14:textId="28610706" w:rsidR="001B4F33" w:rsidRPr="00AE7B15" w:rsidRDefault="001B4F33" w:rsidP="001B4F33">
      <w:pPr>
        <w:jc w:val="both"/>
        <w:rPr>
          <w:rFonts w:ascii="Bookman Old Style" w:eastAsia="Calibri" w:hAnsi="Bookman Old Style" w:cs="Calibri"/>
          <w:szCs w:val="24"/>
          <w:lang w:val="es-ES_tradnl"/>
        </w:rPr>
      </w:pPr>
      <w:r w:rsidRPr="00AE7B15">
        <w:rPr>
          <w:rFonts w:ascii="Bookman Old Style" w:eastAsia="Calibri" w:hAnsi="Bookman Old Style" w:cs="Calibri"/>
          <w:szCs w:val="24"/>
          <w:lang w:val="es-ES_tradnl"/>
        </w:rPr>
        <w:t xml:space="preserve">Sobre este asunto es pertinente traer a colación los estudios realizados por Dejusticia, que señalan que existen tres tipos de consumo, a saber: 1) cotidiano, 2) habitual y 3) problemático. Según las experiencias de Uruguay, Canadá y Estados Unidos, países en los que se reguló la producción y la comercialización de cannabis </w:t>
      </w:r>
      <w:r w:rsidR="00C94B82">
        <w:rPr>
          <w:rFonts w:ascii="Bookman Old Style" w:eastAsia="Calibri" w:hAnsi="Bookman Old Style" w:cs="Calibri"/>
          <w:szCs w:val="24"/>
          <w:lang w:val="es-ES_tradnl"/>
        </w:rPr>
        <w:t>adulto</w:t>
      </w:r>
      <w:r w:rsidRPr="00AE7B15">
        <w:rPr>
          <w:rFonts w:ascii="Bookman Old Style" w:eastAsia="Calibri" w:hAnsi="Bookman Old Style" w:cs="Calibri"/>
          <w:szCs w:val="24"/>
          <w:lang w:val="es-ES_tradnl"/>
        </w:rPr>
        <w:t xml:space="preserve">, de los distintos tipos de consumo, solo el problemático requiere un tratamiento. </w:t>
      </w:r>
    </w:p>
    <w:p w14:paraId="1D46D73E" w14:textId="77777777" w:rsidR="001B4F33" w:rsidRPr="00AE7B15" w:rsidRDefault="001B4F33" w:rsidP="001B4F33">
      <w:pPr>
        <w:jc w:val="both"/>
        <w:rPr>
          <w:rFonts w:ascii="Bookman Old Style" w:eastAsia="Calibri" w:hAnsi="Bookman Old Style" w:cs="Calibri"/>
          <w:szCs w:val="24"/>
          <w:lang w:val="es-ES_tradnl"/>
        </w:rPr>
      </w:pPr>
    </w:p>
    <w:p w14:paraId="41BC1CE5" w14:textId="77777777" w:rsidR="001B4F33" w:rsidRPr="00AE7B15" w:rsidRDefault="001B4F33" w:rsidP="001B4F33">
      <w:pPr>
        <w:jc w:val="both"/>
        <w:rPr>
          <w:rFonts w:ascii="Bookman Old Style" w:eastAsia="Calibri" w:hAnsi="Bookman Old Style" w:cs="Calibri"/>
          <w:szCs w:val="24"/>
          <w:lang w:val="es-ES_tradnl"/>
        </w:rPr>
      </w:pPr>
      <w:r w:rsidRPr="00AE7B15">
        <w:rPr>
          <w:rFonts w:ascii="Bookman Old Style" w:eastAsia="Calibri" w:hAnsi="Bookman Old Style" w:cs="Calibri"/>
          <w:szCs w:val="24"/>
          <w:lang w:val="es-ES_tradnl"/>
        </w:rPr>
        <w:t>Aunado a lo anterior y de acuerdo al Informe Mundial Sobre las Drogas 2018 de la Oficina de las Naciones Unidas contra la Droga y el Delito, solo el 11,27% de la totalidad de consumidores de drogas presentan este tipo de consumo.</w:t>
      </w:r>
    </w:p>
    <w:p w14:paraId="68AD5FF2" w14:textId="77777777" w:rsidR="001B4F33" w:rsidRPr="00AE7B15" w:rsidRDefault="001B4F33" w:rsidP="001B4F33">
      <w:pPr>
        <w:jc w:val="both"/>
        <w:rPr>
          <w:rFonts w:ascii="Bookman Old Style" w:eastAsia="Calibri" w:hAnsi="Bookman Old Style" w:cs="Calibri"/>
          <w:szCs w:val="24"/>
          <w:lang w:val="es-ES_tradnl"/>
        </w:rPr>
      </w:pPr>
    </w:p>
    <w:p w14:paraId="5E46B030" w14:textId="77777777" w:rsidR="001B4F33" w:rsidRPr="00AE7B15" w:rsidRDefault="001B4F33" w:rsidP="001B4F33">
      <w:pPr>
        <w:jc w:val="both"/>
        <w:rPr>
          <w:rFonts w:ascii="Bookman Old Style" w:eastAsia="Calibri" w:hAnsi="Bookman Old Style" w:cs="Calibri"/>
          <w:szCs w:val="24"/>
          <w:lang w:val="es-ES_tradnl"/>
        </w:rPr>
      </w:pPr>
      <w:r w:rsidRPr="00AE7B15">
        <w:rPr>
          <w:rFonts w:ascii="Bookman Old Style" w:eastAsia="Calibri" w:hAnsi="Bookman Old Style" w:cs="Calibri"/>
          <w:szCs w:val="24"/>
          <w:lang w:val="es-ES_tradnl"/>
        </w:rPr>
        <w:t>En el mismo sentido, Dejusticia trae a colación las cifras reportadas por la DEA que demuestran la cantidad de muertes directas por el consumo de drogas en Estados Unidos.</w:t>
      </w:r>
      <w:r w:rsidRPr="00AE7B15">
        <w:rPr>
          <w:rStyle w:val="Refdenotaalpie"/>
          <w:rFonts w:ascii="Bookman Old Style" w:eastAsia="Calibri" w:hAnsi="Bookman Old Style" w:cs="Calibri"/>
          <w:szCs w:val="24"/>
          <w:lang w:val="es-ES_tradnl"/>
        </w:rPr>
        <w:footnoteReference w:id="89"/>
      </w:r>
      <w:r w:rsidRPr="00AE7B15">
        <w:rPr>
          <w:rFonts w:ascii="Bookman Old Style" w:eastAsia="Calibri" w:hAnsi="Bookman Old Style" w:cs="Calibri"/>
          <w:szCs w:val="24"/>
          <w:lang w:val="es-ES_tradnl"/>
        </w:rPr>
        <w:t xml:space="preserve"> Su principal conclusión es que la droga más mortal, es el tabaco. Así como no se reporta ninguna muerte por el consumo de cannabis.</w:t>
      </w:r>
    </w:p>
    <w:p w14:paraId="58E20325" w14:textId="77777777" w:rsidR="001B4F33" w:rsidRPr="00AE7B15" w:rsidRDefault="001B4F33" w:rsidP="001B4F33">
      <w:pPr>
        <w:jc w:val="both"/>
        <w:rPr>
          <w:rFonts w:ascii="Bookman Old Style" w:eastAsia="Calibri" w:hAnsi="Bookman Old Style" w:cs="Calibri"/>
          <w:bCs/>
          <w:szCs w:val="24"/>
          <w:lang w:val="es-ES_tradnl"/>
        </w:rPr>
      </w:pPr>
    </w:p>
    <w:p w14:paraId="719F76E2" w14:textId="77777777" w:rsidR="00F36280" w:rsidRPr="00485CC5" w:rsidRDefault="001B4F33" w:rsidP="00F36280">
      <w:pPr>
        <w:jc w:val="both"/>
        <w:rPr>
          <w:rFonts w:ascii="Bookman Old Style" w:eastAsia="Calibri" w:hAnsi="Bookman Old Style" w:cs="Calibri"/>
          <w:szCs w:val="24"/>
          <w:lang w:val="es-ES_tradnl"/>
        </w:rPr>
      </w:pPr>
      <w:r w:rsidRPr="00AE7B15">
        <w:rPr>
          <w:rFonts w:ascii="Bookman Old Style" w:eastAsia="Calibri" w:hAnsi="Bookman Old Style" w:cs="Calibri"/>
          <w:bCs/>
          <w:szCs w:val="24"/>
          <w:lang w:val="es-ES_tradnl"/>
        </w:rPr>
        <w:t xml:space="preserve">Lo anterior no implica que no vayan a ser penalizadas las conductas delictivas cometidas por los consumidores de cannabis, </w:t>
      </w:r>
      <w:r w:rsidRPr="00AE7B15">
        <w:rPr>
          <w:rFonts w:ascii="Bookman Old Style" w:eastAsia="Calibri" w:hAnsi="Bookman Old Style" w:cs="Calibri"/>
          <w:szCs w:val="24"/>
          <w:lang w:val="es-ES_tradnl"/>
        </w:rPr>
        <w:t>como conducir bajo los efectos de la marihuana o del alcohol, se les penalizará por las conductas que realicen que atenten contra bienes jurídicos, y no por el hecho de ser consumidores.</w:t>
      </w:r>
    </w:p>
    <w:p w14:paraId="0DA0B125" w14:textId="77777777" w:rsidR="00F36280" w:rsidRPr="00485CC5" w:rsidRDefault="00F36280" w:rsidP="00F36280">
      <w:pPr>
        <w:jc w:val="both"/>
        <w:rPr>
          <w:rFonts w:ascii="Bookman Old Style" w:eastAsia="Calibri" w:hAnsi="Bookman Old Style" w:cs="Calibri"/>
          <w:szCs w:val="24"/>
          <w:lang w:val="es-ES_tradnl"/>
        </w:rPr>
      </w:pPr>
    </w:p>
    <w:p w14:paraId="68B8816D" w14:textId="6F773F59" w:rsidR="00F36280" w:rsidRPr="00485CC5" w:rsidRDefault="0059124F" w:rsidP="00F36280">
      <w:pPr>
        <w:jc w:val="both"/>
        <w:rPr>
          <w:rFonts w:ascii="Bookman Old Style" w:eastAsia="Calibri" w:hAnsi="Bookman Old Style" w:cs="Calibri"/>
          <w:b/>
          <w:szCs w:val="24"/>
          <w:lang w:val="es-ES_tradnl"/>
        </w:rPr>
      </w:pPr>
      <w:r>
        <w:rPr>
          <w:rFonts w:ascii="Bookman Old Style" w:eastAsia="Calibri" w:hAnsi="Bookman Old Style" w:cs="Calibri"/>
          <w:b/>
          <w:szCs w:val="24"/>
          <w:lang w:val="es-ES_tradnl"/>
        </w:rPr>
        <w:t>6</w:t>
      </w:r>
      <w:r w:rsidR="00F36280" w:rsidRPr="00485CC5">
        <w:rPr>
          <w:rFonts w:ascii="Bookman Old Style" w:eastAsia="Calibri" w:hAnsi="Bookman Old Style" w:cs="Calibri"/>
          <w:b/>
          <w:szCs w:val="24"/>
          <w:lang w:val="es-ES_tradnl"/>
        </w:rPr>
        <w:t>.</w:t>
      </w:r>
      <w:r w:rsidR="00CD271D">
        <w:rPr>
          <w:rFonts w:ascii="Bookman Old Style" w:eastAsia="Calibri" w:hAnsi="Bookman Old Style" w:cs="Calibri"/>
          <w:b/>
          <w:szCs w:val="24"/>
          <w:lang w:val="es-ES_tradnl"/>
        </w:rPr>
        <w:t>2</w:t>
      </w:r>
      <w:r w:rsidR="00F36280" w:rsidRPr="00485CC5">
        <w:rPr>
          <w:rFonts w:ascii="Bookman Old Style" w:eastAsia="Calibri" w:hAnsi="Bookman Old Style" w:cs="Calibri"/>
          <w:b/>
          <w:szCs w:val="24"/>
          <w:lang w:val="es-ES_tradnl"/>
        </w:rPr>
        <w:t>.3 JUICIO INTEGRADO DE IGUALDAD</w:t>
      </w:r>
    </w:p>
    <w:p w14:paraId="094A1A27" w14:textId="77777777" w:rsidR="00F36280" w:rsidRPr="00485CC5" w:rsidRDefault="00F36280" w:rsidP="00F36280">
      <w:pPr>
        <w:jc w:val="both"/>
        <w:rPr>
          <w:rFonts w:ascii="Bookman Old Style" w:eastAsia="Calibri" w:hAnsi="Bookman Old Style" w:cs="Calibri"/>
          <w:szCs w:val="24"/>
          <w:lang w:val="es-ES_tradnl"/>
        </w:rPr>
      </w:pPr>
    </w:p>
    <w:p w14:paraId="7AD9FEB0"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Es posible concluir entonces que, en el caso del cannabis, la prohibición actual es desproporcionada y deriva necesariamente en una afectación a derechos constitucionales que no se encuentra soportada por la protección a otro interés constitucional, como la salud pública. </w:t>
      </w:r>
    </w:p>
    <w:p w14:paraId="180CB2CE" w14:textId="77777777" w:rsidR="00F36280" w:rsidRPr="00485CC5" w:rsidRDefault="00F36280" w:rsidP="00F36280">
      <w:pPr>
        <w:jc w:val="both"/>
        <w:rPr>
          <w:rFonts w:ascii="Bookman Old Style" w:eastAsia="Calibri" w:hAnsi="Bookman Old Style" w:cs="Calibri"/>
          <w:szCs w:val="24"/>
          <w:lang w:val="es-ES_tradnl"/>
        </w:rPr>
      </w:pPr>
    </w:p>
    <w:p w14:paraId="3A344EE5"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Para demostrarlo, vale la pena realizar un juicio integrado de igualdad, en los términos fijados por la Corte Constitucional, en amplia línea jurisprudencial entre la que se resalta la sentencia C- 093 de 2001. Este análisis parte de la combinación del modelo europeo con el modelo norteamericano</w:t>
      </w:r>
      <w:r w:rsidRPr="00485CC5">
        <w:rPr>
          <w:rStyle w:val="Refdenotaalpie"/>
          <w:rFonts w:ascii="Bookman Old Style" w:eastAsia="Calibri" w:hAnsi="Bookman Old Style" w:cs="Calibri"/>
          <w:szCs w:val="24"/>
          <w:lang w:val="es-ES_tradnl"/>
        </w:rPr>
        <w:footnoteReference w:id="90"/>
      </w:r>
      <w:r w:rsidRPr="00485CC5">
        <w:rPr>
          <w:rFonts w:ascii="Bookman Old Style" w:eastAsia="Calibri" w:hAnsi="Bookman Old Style" w:cs="Calibri"/>
          <w:szCs w:val="24"/>
          <w:lang w:val="es-ES_tradnl"/>
        </w:rPr>
        <w:t xml:space="preserve"> que permite realizar el estudio de adecuación, idoneidad y proporcionalidad de la medida, utilizado además los criterios brindados por el test de igualdad estadounidense, con el fin de realizar un análisis de igualdad de diferente intensidad, dependiendo de si se está ante el caso de un test estricto, intermedio o flexible.</w:t>
      </w:r>
      <w:r w:rsidRPr="00485CC5">
        <w:rPr>
          <w:rStyle w:val="Refdenotaalpie"/>
          <w:rFonts w:ascii="Bookman Old Style" w:eastAsia="Calibri" w:hAnsi="Bookman Old Style" w:cs="Calibri"/>
          <w:szCs w:val="24"/>
          <w:lang w:val="es-ES_tradnl"/>
        </w:rPr>
        <w:footnoteReference w:id="91"/>
      </w:r>
    </w:p>
    <w:p w14:paraId="03C37AAA" w14:textId="77777777" w:rsidR="00F36280" w:rsidRPr="00485CC5" w:rsidRDefault="00F36280" w:rsidP="00F36280">
      <w:pPr>
        <w:jc w:val="both"/>
        <w:rPr>
          <w:rFonts w:ascii="Bookman Old Style" w:eastAsia="Calibri" w:hAnsi="Bookman Old Style" w:cs="Calibri"/>
          <w:szCs w:val="24"/>
          <w:lang w:val="es-ES_tradnl"/>
        </w:rPr>
      </w:pPr>
    </w:p>
    <w:p w14:paraId="7D458C91"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La realizaci</w:t>
      </w:r>
      <w:r w:rsidR="002801C2">
        <w:rPr>
          <w:rFonts w:ascii="Bookman Old Style" w:eastAsia="Calibri" w:hAnsi="Bookman Old Style" w:cs="Calibri"/>
          <w:szCs w:val="24"/>
          <w:lang w:val="es-ES_tradnl"/>
        </w:rPr>
        <w:t xml:space="preserve">ón del test permitirá verificar: </w:t>
      </w:r>
      <w:r w:rsidRPr="00485CC5">
        <w:rPr>
          <w:rFonts w:ascii="Bookman Old Style" w:eastAsia="Calibri" w:hAnsi="Bookman Old Style" w:cs="Calibri"/>
          <w:i/>
          <w:szCs w:val="24"/>
          <w:lang w:val="es-ES_tradnl"/>
        </w:rPr>
        <w:t>“(i) el establecimiento de una serie de medidas que tienen por finalidad la consecución de un objetivo constitucionalmente admisible, deseable o válido; (ii) la correlativa afectación que con la adopción de este tipo de medidas se puede generar; y (iii) la necesidad que existe de incurrir en dicha afectación, así como la imposibilidad de lograr esa finalidad por otros medios menos lesivos.”</w:t>
      </w:r>
      <w:r w:rsidRPr="00485CC5">
        <w:rPr>
          <w:rStyle w:val="Refdenotaalpie"/>
          <w:rFonts w:ascii="Bookman Old Style" w:eastAsia="Calibri" w:hAnsi="Bookman Old Style" w:cs="Calibri"/>
          <w:i/>
          <w:szCs w:val="24"/>
          <w:lang w:val="es-ES_tradnl"/>
        </w:rPr>
        <w:footnoteReference w:id="92"/>
      </w:r>
      <w:r w:rsidRPr="00485CC5">
        <w:rPr>
          <w:rFonts w:ascii="Bookman Old Style" w:eastAsia="Calibri" w:hAnsi="Bookman Old Style" w:cs="Calibri"/>
          <w:i/>
          <w:szCs w:val="24"/>
          <w:lang w:val="es-ES_tradnl"/>
        </w:rPr>
        <w:t xml:space="preserve"> </w:t>
      </w:r>
      <w:r w:rsidRPr="00485CC5">
        <w:rPr>
          <w:rFonts w:ascii="Bookman Old Style" w:eastAsia="Calibri" w:hAnsi="Bookman Old Style" w:cs="Calibri"/>
          <w:szCs w:val="24"/>
          <w:lang w:val="es-ES_tradnl"/>
        </w:rPr>
        <w:t>Todo esto con el fin de verificar si la medida implementada afecta, o no, en forma desmedida o excesiva, derechos o intereses jurídicos de alta envergadura.</w:t>
      </w:r>
      <w:r w:rsidRPr="00485CC5">
        <w:rPr>
          <w:rStyle w:val="Refdenotaalpie"/>
          <w:rFonts w:ascii="Bookman Old Style" w:eastAsia="Calibri" w:hAnsi="Bookman Old Style" w:cs="Calibri"/>
          <w:szCs w:val="24"/>
          <w:lang w:val="es-ES_tradnl"/>
        </w:rPr>
        <w:footnoteReference w:id="93"/>
      </w:r>
    </w:p>
    <w:p w14:paraId="702E9B72" w14:textId="77777777" w:rsidR="00F36280" w:rsidRPr="00485CC5" w:rsidRDefault="00F36280" w:rsidP="00F36280">
      <w:pPr>
        <w:jc w:val="both"/>
        <w:rPr>
          <w:rFonts w:ascii="Bookman Old Style" w:eastAsia="Calibri" w:hAnsi="Bookman Old Style" w:cs="Calibri"/>
          <w:szCs w:val="24"/>
          <w:lang w:val="es-ES_tradnl"/>
        </w:rPr>
      </w:pPr>
    </w:p>
    <w:p w14:paraId="470E5F85"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El primer elemento que debe ser tenido en cuenta para la realización del Juicio integrado de igualdad es determinar </w:t>
      </w:r>
      <w:r w:rsidRPr="00485CC5">
        <w:rPr>
          <w:rFonts w:ascii="Bookman Old Style" w:eastAsia="Calibri" w:hAnsi="Bookman Old Style" w:cs="Calibri"/>
          <w:i/>
          <w:szCs w:val="24"/>
          <w:lang w:val="es-ES_tradnl"/>
        </w:rPr>
        <w:t>“si los supuestos de hecho son susceptibles de compararse y si se confrontan sujetos o situaciones de la misma naturaleza”.</w:t>
      </w:r>
      <w:r w:rsidRPr="00485CC5">
        <w:rPr>
          <w:rStyle w:val="Refdenotaalpie"/>
          <w:rFonts w:ascii="Bookman Old Style" w:eastAsia="Calibri" w:hAnsi="Bookman Old Style" w:cs="Calibri"/>
          <w:i/>
          <w:szCs w:val="24"/>
          <w:lang w:val="es-ES_tradnl"/>
        </w:rPr>
        <w:footnoteReference w:id="94"/>
      </w:r>
      <w:r w:rsidRPr="00485CC5">
        <w:rPr>
          <w:rFonts w:ascii="Bookman Old Style" w:eastAsia="Calibri" w:hAnsi="Bookman Old Style" w:cs="Calibri"/>
          <w:i/>
          <w:szCs w:val="24"/>
          <w:lang w:val="es-ES_tradnl"/>
        </w:rPr>
        <w:t xml:space="preserve"> </w:t>
      </w:r>
      <w:r w:rsidRPr="00485CC5">
        <w:rPr>
          <w:rFonts w:ascii="Bookman Old Style" w:eastAsia="Calibri" w:hAnsi="Bookman Old Style" w:cs="Calibri"/>
          <w:szCs w:val="24"/>
          <w:lang w:val="es-ES_tradnl"/>
        </w:rPr>
        <w:t xml:space="preserve">Sobre el particular se considera como supuesto de comparación la habilitación legal a un individuo para el consumo personal de sustancias que generen algún tipo de alteración psíquica, comportamental o que puedan tener injerencia en su salud. </w:t>
      </w:r>
    </w:p>
    <w:p w14:paraId="0D735BF1" w14:textId="77777777" w:rsidR="00F36280" w:rsidRPr="00485CC5" w:rsidRDefault="00F36280" w:rsidP="00F36280">
      <w:pPr>
        <w:jc w:val="both"/>
        <w:rPr>
          <w:rFonts w:ascii="Bookman Old Style" w:eastAsia="Calibri" w:hAnsi="Bookman Old Style" w:cs="Calibri"/>
          <w:szCs w:val="24"/>
          <w:lang w:val="es-ES_tradnl"/>
        </w:rPr>
      </w:pPr>
    </w:p>
    <w:p w14:paraId="1D9AF23D"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En segunda medida, procede establecer si </w:t>
      </w:r>
      <w:r w:rsidRPr="00485CC5">
        <w:rPr>
          <w:rFonts w:ascii="Bookman Old Style" w:eastAsia="Calibri" w:hAnsi="Bookman Old Style" w:cs="Calibri"/>
          <w:i/>
          <w:szCs w:val="24"/>
          <w:lang w:val="es-ES_tradnl"/>
        </w:rPr>
        <w:t>“en el plano fáctico y en el plano jurídico existe un trato desigual entre iguales o igual entre desiguales</w:t>
      </w:r>
      <w:r w:rsidRPr="00485CC5">
        <w:rPr>
          <w:rFonts w:ascii="Bookman Old Style" w:eastAsia="Calibri" w:hAnsi="Bookman Old Style" w:cs="Calibri"/>
          <w:szCs w:val="24"/>
          <w:lang w:val="es-ES_tradnl"/>
        </w:rPr>
        <w:t>”.</w:t>
      </w:r>
      <w:r w:rsidRPr="00485CC5">
        <w:rPr>
          <w:rStyle w:val="Refdenotaalpie"/>
          <w:rFonts w:ascii="Bookman Old Style" w:eastAsia="Calibri" w:hAnsi="Bookman Old Style" w:cs="Calibri"/>
          <w:szCs w:val="24"/>
          <w:lang w:val="es-ES_tradnl"/>
        </w:rPr>
        <w:footnoteReference w:id="95"/>
      </w:r>
      <w:r w:rsidRPr="00485CC5">
        <w:rPr>
          <w:rFonts w:ascii="Bookman Old Style" w:eastAsia="Calibri" w:hAnsi="Bookman Old Style" w:cs="Calibri"/>
          <w:szCs w:val="24"/>
          <w:lang w:val="es-ES_tradnl"/>
        </w:rPr>
        <w:t xml:space="preserve"> Sobre este punto, es claro que, tanto en el plano fáctico, como en el plano jurídico existe un trato desigual, en tanto en la actualidad un particular puede consumir de forma legal sustancias tales como el alcohol y el tabaco, pero, por el contrario, le sea vedado el acceso a sustancias como el cannabis.</w:t>
      </w:r>
    </w:p>
    <w:p w14:paraId="5C4BBECA" w14:textId="77777777" w:rsidR="00F36280" w:rsidRPr="00485CC5" w:rsidRDefault="00F36280" w:rsidP="00F36280">
      <w:pPr>
        <w:jc w:val="both"/>
        <w:rPr>
          <w:rFonts w:ascii="Bookman Old Style" w:eastAsia="Calibri" w:hAnsi="Bookman Old Style" w:cs="Calibri"/>
          <w:szCs w:val="24"/>
          <w:lang w:val="es-ES_tradnl"/>
        </w:rPr>
      </w:pPr>
    </w:p>
    <w:p w14:paraId="60E320CD"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Ahora, ¿esta diferencia encuentra una justificación constitucional? Este punto plantea una dificultad en tanto en este caso se está estudiando una prohibición que fue incluida a través de un acto legislativo a la Constitución. No obstante, para efectos de continuar el ejercicio, vale la pena analizar la prohibición a la luz de los derechos fundamentales a la igualdad, al libre desarrollo de la personalidad y a la salud. </w:t>
      </w:r>
    </w:p>
    <w:p w14:paraId="046E3503" w14:textId="77777777" w:rsidR="00F36280" w:rsidRPr="00485CC5" w:rsidRDefault="00F36280" w:rsidP="00F36280">
      <w:pPr>
        <w:jc w:val="both"/>
        <w:rPr>
          <w:rFonts w:ascii="Bookman Old Style" w:eastAsia="Calibri" w:hAnsi="Bookman Old Style" w:cs="Calibri"/>
          <w:szCs w:val="24"/>
          <w:lang w:val="es-ES_tradnl"/>
        </w:rPr>
      </w:pPr>
    </w:p>
    <w:p w14:paraId="12F47415" w14:textId="56B68DA0"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Sobre este asunto, es claro que la actual normativa excluye un universo de personas a los que se les ha limitado su libre desarrollo de la personalidad, a saber, los consumidores de cannabis y aquellos que buscan un desarrollo investigativo y científico. Esta disposición no logra diferenciar entre el consumo problemático que la inspira y el consumidor que se ve reprimido por una intromisión indebida del poder público dentro de su esfera de decisión.</w:t>
      </w:r>
    </w:p>
    <w:p w14:paraId="471601C0" w14:textId="77777777" w:rsidR="00F36280" w:rsidRPr="00485CC5" w:rsidRDefault="00F36280" w:rsidP="00F36280">
      <w:pPr>
        <w:jc w:val="both"/>
        <w:rPr>
          <w:rFonts w:ascii="Bookman Old Style" w:eastAsia="Calibri" w:hAnsi="Bookman Old Style" w:cs="Calibri"/>
          <w:szCs w:val="24"/>
          <w:lang w:val="es-ES_tradnl"/>
        </w:rPr>
      </w:pPr>
    </w:p>
    <w:p w14:paraId="324DFE77"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Es relevante recordar lo dispuesto por Corte Constitucional, a través de la Sentencia C-221 de 1994, en virtud de la cual se estableció que:</w:t>
      </w:r>
    </w:p>
    <w:p w14:paraId="7527DB4B" w14:textId="77777777" w:rsidR="00F36280" w:rsidRPr="00485CC5" w:rsidRDefault="00F36280" w:rsidP="00F36280">
      <w:pPr>
        <w:jc w:val="both"/>
        <w:rPr>
          <w:rFonts w:ascii="Bookman Old Style" w:eastAsia="Calibri" w:hAnsi="Bookman Old Style" w:cs="Calibri"/>
          <w:szCs w:val="24"/>
          <w:lang w:val="es-ES_tradnl"/>
        </w:rPr>
      </w:pPr>
    </w:p>
    <w:p w14:paraId="1514B1B4" w14:textId="77777777" w:rsidR="00F36280" w:rsidRPr="00485CC5" w:rsidRDefault="00F36280" w:rsidP="00F36280">
      <w:pPr>
        <w:ind w:left="720" w:right="900"/>
        <w:jc w:val="both"/>
        <w:rPr>
          <w:rFonts w:ascii="Bookman Old Style" w:eastAsia="Calibri" w:hAnsi="Bookman Old Style" w:cs="Calibri"/>
          <w:i/>
          <w:sz w:val="20"/>
          <w:lang w:val="es-ES_tradnl"/>
        </w:rPr>
      </w:pPr>
      <w:r w:rsidRPr="00485CC5">
        <w:rPr>
          <w:rFonts w:ascii="Bookman Old Style" w:eastAsia="Calibri" w:hAnsi="Bookman Old Style" w:cs="Calibri"/>
          <w:i/>
          <w:sz w:val="20"/>
          <w:lang w:val="es-ES_tradnl"/>
        </w:rPr>
        <w:t>“La primera consecuencia que se deriva de la autonomía, consiste en que es la propia persona (y no nadie por ella) quien debe darle sentido a su existencia y, en armonía con él, un rumbo.  Si a la persona se le reconoce esa autonomía, no puede limitársela sino en la medida en que entra en conflicto con la autonomía ajena. El considerar a la persona como autónoma tiene sus consecuencias inevitables e inexorables, y la primera y más importante de todas consiste en que los asuntos que sólo a la persona atañen, sólo por ella deben ser decididos. Decidir por ella es arrebatarle brutalmente su condición ética, reducirla a la condición de objeto, cosificarla, convertirla en medio para los fines que por fuera de ella se eligen”.</w:t>
      </w:r>
      <w:r w:rsidRPr="00485CC5">
        <w:rPr>
          <w:rStyle w:val="Refdenotaalpie"/>
          <w:rFonts w:ascii="Bookman Old Style" w:eastAsia="Calibri" w:hAnsi="Bookman Old Style" w:cs="Calibri"/>
          <w:i/>
          <w:sz w:val="20"/>
          <w:lang w:val="es-ES_tradnl"/>
        </w:rPr>
        <w:footnoteReference w:id="96"/>
      </w:r>
    </w:p>
    <w:p w14:paraId="55F1F7C4" w14:textId="77777777" w:rsidR="00F36280" w:rsidRPr="00485CC5" w:rsidRDefault="00F36280" w:rsidP="00F36280">
      <w:pPr>
        <w:jc w:val="both"/>
        <w:rPr>
          <w:rFonts w:ascii="Bookman Old Style" w:eastAsia="Calibri" w:hAnsi="Bookman Old Style" w:cs="Calibri"/>
          <w:szCs w:val="24"/>
          <w:lang w:val="es-ES_tradnl"/>
        </w:rPr>
      </w:pPr>
    </w:p>
    <w:p w14:paraId="3EBB0EF1"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Ahora, en lo que respecta a la salud pública valdría la pena preguntarse si la razón del trato diferencial se origina en que el cannabis, a diferencia de sustancias legales como el alcohol y el tabaco, genera mayores afectaciones a la salud o si su consumo tiene injerencia negativa frente a los derechos de los demás y el bien común. Sobre este punto, vale la pena resaltar lo ya expuesto en los numerales 4.2.</w:t>
      </w:r>
      <w:r w:rsidR="002801C2">
        <w:rPr>
          <w:rFonts w:ascii="Bookman Old Style" w:eastAsia="Calibri" w:hAnsi="Bookman Old Style" w:cs="Calibri"/>
          <w:szCs w:val="24"/>
          <w:lang w:val="es-ES_tradnl"/>
        </w:rPr>
        <w:t>1 y 4.2</w:t>
      </w:r>
      <w:r w:rsidRPr="00485CC5">
        <w:rPr>
          <w:rFonts w:ascii="Bookman Old Style" w:eastAsia="Calibri" w:hAnsi="Bookman Old Style" w:cs="Calibri"/>
          <w:szCs w:val="24"/>
          <w:lang w:val="es-ES_tradnl"/>
        </w:rPr>
        <w:t>.</w:t>
      </w:r>
      <w:r w:rsidR="002801C2">
        <w:rPr>
          <w:rFonts w:ascii="Bookman Old Style" w:eastAsia="Calibri" w:hAnsi="Bookman Old Style" w:cs="Calibri"/>
          <w:szCs w:val="24"/>
          <w:lang w:val="es-ES_tradnl"/>
        </w:rPr>
        <w:t>2</w:t>
      </w:r>
      <w:r w:rsidRPr="00485CC5">
        <w:rPr>
          <w:rFonts w:ascii="Bookman Old Style" w:eastAsia="Calibri" w:hAnsi="Bookman Old Style" w:cs="Calibri"/>
          <w:szCs w:val="24"/>
          <w:lang w:val="es-ES_tradnl"/>
        </w:rPr>
        <w:t xml:space="preserve"> de este documento, en los que se evidenció que, por el contrario, el cannabis produce menos afectaciones a la salud del que lo consume y que genera una menor afectación al entorno social del consumidor que sustancias como, por ejemplo, el alcohol. </w:t>
      </w:r>
    </w:p>
    <w:p w14:paraId="29390D3E" w14:textId="77777777" w:rsidR="00F36280" w:rsidRPr="00485CC5" w:rsidRDefault="00F36280" w:rsidP="00F36280">
      <w:pPr>
        <w:jc w:val="both"/>
        <w:rPr>
          <w:rFonts w:ascii="Bookman Old Style" w:eastAsia="Calibri" w:hAnsi="Bookman Old Style" w:cs="Calibri"/>
          <w:szCs w:val="24"/>
          <w:lang w:val="es-ES_tradnl"/>
        </w:rPr>
      </w:pPr>
    </w:p>
    <w:p w14:paraId="0CBDC743"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En consecuencia, no se evidencia que exista un fin constitucional que justifique la prohibición del consumo de cannabis y que, por el contrario, se están afectando derechos fundamentales relativos a la libertad, la autonomía y autodeterminación de los individuos. Adicionalmente se encuentra que con la prohibición el Estado está desconociendo uno de sus deberes, también de rango constitucional, consistente en la promoción e implementación de servicios de salud efectivos. </w:t>
      </w:r>
    </w:p>
    <w:p w14:paraId="6792109B" w14:textId="77777777" w:rsidR="00F36280" w:rsidRPr="00485CC5" w:rsidRDefault="00F36280" w:rsidP="00F36280">
      <w:pPr>
        <w:jc w:val="both"/>
        <w:rPr>
          <w:rFonts w:ascii="Bookman Old Style" w:eastAsia="Calibri" w:hAnsi="Bookman Old Style" w:cs="Calibri"/>
          <w:szCs w:val="24"/>
          <w:lang w:val="es-ES_tradnl"/>
        </w:rPr>
      </w:pPr>
    </w:p>
    <w:p w14:paraId="6993FE25" w14:textId="2D572C4D"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Lo anterior deriva en que, en lo que respecta al caso concreto sea procedente exigirle al Estado la igualdad frente a las cargas públicas, razón por la cual el Legislador debe garantizar la aplicación del principio de igualdad levantando la prohibición en lo respectivo al consumo de cannabis. Esto con el fin de hacer cesar los actos discriminatorios y desproporcionados frente a las cargas que deben soportar los consumidores de esta sustancia en relación a quienes consumen otro tipo de sustancias legalmente permitidas. </w:t>
      </w:r>
    </w:p>
    <w:p w14:paraId="6D89CA99" w14:textId="77777777" w:rsidR="00F36280" w:rsidRPr="00485CC5" w:rsidRDefault="00F36280" w:rsidP="00F36280">
      <w:pPr>
        <w:jc w:val="both"/>
        <w:rPr>
          <w:rFonts w:ascii="Bookman Old Style" w:eastAsia="Calibri" w:hAnsi="Bookman Old Style" w:cs="Calibri"/>
          <w:szCs w:val="24"/>
          <w:lang w:val="es-ES_tradnl"/>
        </w:rPr>
      </w:pPr>
    </w:p>
    <w:p w14:paraId="5A2E44C5" w14:textId="77777777" w:rsidR="00F36280" w:rsidRPr="00485CC5" w:rsidRDefault="00F36280" w:rsidP="001E18FE">
      <w:pPr>
        <w:pStyle w:val="Ttulo2"/>
        <w:numPr>
          <w:ilvl w:val="0"/>
          <w:numId w:val="35"/>
        </w:numPr>
        <w:jc w:val="center"/>
        <w:rPr>
          <w:rFonts w:ascii="Bookman Old Style" w:eastAsia="Calibri" w:hAnsi="Bookman Old Style" w:cs="Calibri"/>
          <w:sz w:val="22"/>
          <w:szCs w:val="24"/>
        </w:rPr>
      </w:pPr>
      <w:r w:rsidRPr="00485CC5">
        <w:rPr>
          <w:rFonts w:ascii="Bookman Old Style" w:eastAsia="Calibri" w:hAnsi="Bookman Old Style" w:cs="Calibri"/>
          <w:sz w:val="22"/>
          <w:szCs w:val="24"/>
        </w:rPr>
        <w:t>ANÁLISIS DE LA EFECTIVIDAD DE LA POLÍTICA DE CRIMINALIZACIÓN DEL PORTE Y CONSUMO DE DROGAS</w:t>
      </w:r>
    </w:p>
    <w:p w14:paraId="3C1116B4" w14:textId="77777777" w:rsidR="00F36280" w:rsidRPr="00485CC5" w:rsidRDefault="00F36280" w:rsidP="00F36280">
      <w:pPr>
        <w:rPr>
          <w:rFonts w:ascii="Bookman Old Style" w:eastAsia="Calibri" w:hAnsi="Bookman Old Style"/>
          <w:szCs w:val="24"/>
        </w:rPr>
      </w:pPr>
    </w:p>
    <w:p w14:paraId="76A0C8C2" w14:textId="77777777"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Habiendo culminado el análisis constitucional, vale la pena analizar la efectividad de la política de criminalización del porte y consumo de drogas en el país.</w:t>
      </w:r>
    </w:p>
    <w:p w14:paraId="1142C4B9" w14:textId="77777777" w:rsidR="00F36280" w:rsidRPr="00485CC5" w:rsidRDefault="00F36280" w:rsidP="00F36280">
      <w:pPr>
        <w:jc w:val="both"/>
        <w:rPr>
          <w:rFonts w:ascii="Bookman Old Style" w:hAnsi="Bookman Old Style" w:cs="Calibri"/>
          <w:szCs w:val="24"/>
        </w:rPr>
      </w:pPr>
    </w:p>
    <w:p w14:paraId="4981A5A1" w14:textId="77777777"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La política de drogas en Colombia se ha enfocado en: “</w:t>
      </w:r>
      <w:r w:rsidRPr="00485CC5">
        <w:rPr>
          <w:rFonts w:ascii="Bookman Old Style" w:hAnsi="Bookman Old Style" w:cs="Calibri"/>
          <w:i/>
          <w:iCs/>
          <w:szCs w:val="24"/>
        </w:rPr>
        <w:t>1) el uso preferente del derecho penal, 2) el carácter expansivo de la sanción penal a los delitos de drogas (más conductas y mayores penas) y 3) el carácter indiferenciado de esas sanciones, pues a conductas muy disímiles –tanto por el tipo de actividad, como por la escala en que se realizan– se les han aplicado penas similares muy severas</w:t>
      </w:r>
      <w:r w:rsidRPr="00485CC5">
        <w:rPr>
          <w:rFonts w:ascii="Bookman Old Style" w:hAnsi="Bookman Old Style" w:cs="Calibri"/>
          <w:szCs w:val="24"/>
        </w:rPr>
        <w:t>”.</w:t>
      </w:r>
      <w:r w:rsidRPr="00485CC5">
        <w:rPr>
          <w:rStyle w:val="Refdenotaalpie"/>
          <w:rFonts w:ascii="Bookman Old Style" w:hAnsi="Bookman Old Style" w:cs="Calibri"/>
          <w:szCs w:val="24"/>
        </w:rPr>
        <w:footnoteReference w:id="97"/>
      </w:r>
      <w:r w:rsidRPr="00485CC5">
        <w:rPr>
          <w:rFonts w:ascii="Bookman Old Style" w:hAnsi="Bookman Old Style" w:cs="Calibri"/>
          <w:szCs w:val="24"/>
        </w:rPr>
        <w:t xml:space="preserve"> Por tanto, Dejusticia para el 2017, en “</w:t>
      </w:r>
      <w:r w:rsidRPr="00485CC5">
        <w:rPr>
          <w:rFonts w:ascii="Bookman Old Style" w:hAnsi="Bookman Old Style" w:cs="Calibri"/>
          <w:i/>
          <w:iCs/>
          <w:szCs w:val="24"/>
        </w:rPr>
        <w:t>Sobredosis Carcelaria y Política de Drogas en América Latina</w:t>
      </w:r>
      <w:r w:rsidRPr="00485CC5">
        <w:rPr>
          <w:rFonts w:ascii="Bookman Old Style" w:hAnsi="Bookman Old Style" w:cs="Calibri"/>
          <w:szCs w:val="24"/>
        </w:rPr>
        <w:t>”, ha señalado que el sistema carcelario en Colombia ha acarreado un costo muy alto por el prohibicionismo de las drogas.</w:t>
      </w:r>
      <w:r w:rsidRPr="00485CC5">
        <w:rPr>
          <w:rStyle w:val="Refdenotaalpie"/>
          <w:rFonts w:ascii="Bookman Old Style" w:hAnsi="Bookman Old Style" w:cs="Calibri"/>
          <w:szCs w:val="24"/>
        </w:rPr>
        <w:footnoteReference w:id="98"/>
      </w:r>
      <w:r w:rsidRPr="00485CC5">
        <w:rPr>
          <w:rFonts w:ascii="Bookman Old Style" w:hAnsi="Bookman Old Style" w:cs="Calibri"/>
          <w:szCs w:val="24"/>
        </w:rPr>
        <w:t xml:space="preserve"> Lo anterior ha llevado a un alto encarcelamiento de las personas más vulnerables dentro de la economía de las drogas, con repercusiones y sin llegar  a éxitos dentro de la lucha contra las drogas o el desmonte de las estructuras delictivas.</w:t>
      </w:r>
      <w:r w:rsidRPr="00485CC5">
        <w:rPr>
          <w:rStyle w:val="Refdenotaalpie"/>
          <w:rFonts w:ascii="Bookman Old Style" w:hAnsi="Bookman Old Style" w:cs="Calibri"/>
          <w:szCs w:val="24"/>
        </w:rPr>
        <w:footnoteReference w:id="99"/>
      </w:r>
    </w:p>
    <w:p w14:paraId="0DBBE2B7" w14:textId="77777777" w:rsidR="00F36280" w:rsidRPr="00485CC5" w:rsidRDefault="00F36280" w:rsidP="00F36280">
      <w:pPr>
        <w:jc w:val="both"/>
        <w:rPr>
          <w:rFonts w:ascii="Bookman Old Style" w:hAnsi="Bookman Old Style" w:cs="Calibri"/>
          <w:szCs w:val="24"/>
        </w:rPr>
      </w:pPr>
    </w:p>
    <w:p w14:paraId="7BF5360E" w14:textId="77777777"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En otras palabras, en Colombia la política de drogas se ha concentrado en la acción punitiva, generando los siguientes efectos indeseados, de acuerdo a Dejusticia 2017</w:t>
      </w:r>
      <w:r w:rsidRPr="00485CC5">
        <w:rPr>
          <w:rStyle w:val="Refdenotaalpie"/>
          <w:rFonts w:ascii="Bookman Old Style" w:hAnsi="Bookman Old Style" w:cs="Calibri"/>
          <w:szCs w:val="24"/>
        </w:rPr>
        <w:footnoteReference w:id="100"/>
      </w:r>
      <w:r w:rsidRPr="00485CC5">
        <w:rPr>
          <w:rFonts w:ascii="Bookman Old Style" w:hAnsi="Bookman Old Style" w:cs="Calibri"/>
          <w:szCs w:val="24"/>
        </w:rPr>
        <w:t>:</w:t>
      </w:r>
    </w:p>
    <w:p w14:paraId="0927C468" w14:textId="77777777" w:rsidR="00F36280" w:rsidRPr="00485CC5" w:rsidRDefault="00F36280" w:rsidP="00F36280">
      <w:pPr>
        <w:jc w:val="both"/>
        <w:rPr>
          <w:rFonts w:ascii="Bookman Old Style" w:hAnsi="Bookman Old Style" w:cs="Calibri"/>
          <w:szCs w:val="24"/>
        </w:rPr>
      </w:pPr>
    </w:p>
    <w:p w14:paraId="55A66D12" w14:textId="77777777" w:rsidR="00F36280" w:rsidRPr="00485CC5" w:rsidRDefault="00F36280" w:rsidP="00621929">
      <w:pPr>
        <w:pStyle w:val="Prrafodelista"/>
        <w:numPr>
          <w:ilvl w:val="0"/>
          <w:numId w:val="38"/>
        </w:numPr>
        <w:spacing w:after="0" w:line="240" w:lineRule="auto"/>
        <w:ind w:right="758"/>
        <w:jc w:val="both"/>
        <w:rPr>
          <w:rFonts w:ascii="Bookman Old Style" w:hAnsi="Bookman Old Style" w:cs="Calibri"/>
          <w:szCs w:val="24"/>
        </w:rPr>
      </w:pPr>
      <w:r w:rsidRPr="00485CC5">
        <w:rPr>
          <w:rFonts w:ascii="Bookman Old Style" w:hAnsi="Bookman Old Style" w:cs="Calibri"/>
          <w:szCs w:val="24"/>
        </w:rPr>
        <w:t xml:space="preserve">Primero, en el balance costo beneficio (desproporcionalidad utilitaria), pues ha implicado enormes costos fiscales, humanos y ha sobrecargado los sistemas judiciales y penitenciarios, sin que se perciban beneficios significativos en términos de reducción de la demanda (consumo) o de la oferta (producción). </w:t>
      </w:r>
    </w:p>
    <w:p w14:paraId="6CB33A95" w14:textId="77777777" w:rsidR="00F36280" w:rsidRPr="00485CC5" w:rsidRDefault="00F36280" w:rsidP="00F36280">
      <w:pPr>
        <w:pStyle w:val="Prrafodelista"/>
        <w:spacing w:after="0" w:line="240" w:lineRule="auto"/>
        <w:ind w:right="758"/>
        <w:jc w:val="both"/>
        <w:rPr>
          <w:rFonts w:ascii="Bookman Old Style" w:hAnsi="Bookman Old Style" w:cs="Calibri"/>
          <w:szCs w:val="24"/>
        </w:rPr>
      </w:pPr>
    </w:p>
    <w:p w14:paraId="32DB4750" w14:textId="77777777" w:rsidR="00F36280" w:rsidRPr="00485CC5" w:rsidRDefault="00F36280" w:rsidP="00621929">
      <w:pPr>
        <w:pStyle w:val="Prrafodelista"/>
        <w:numPr>
          <w:ilvl w:val="0"/>
          <w:numId w:val="38"/>
        </w:numPr>
        <w:spacing w:after="0" w:line="240" w:lineRule="auto"/>
        <w:ind w:right="758"/>
        <w:jc w:val="both"/>
        <w:rPr>
          <w:rFonts w:ascii="Bookman Old Style" w:hAnsi="Bookman Old Style" w:cs="Calibri"/>
          <w:szCs w:val="24"/>
        </w:rPr>
      </w:pPr>
      <w:r w:rsidRPr="00485CC5">
        <w:rPr>
          <w:rFonts w:ascii="Bookman Old Style" w:hAnsi="Bookman Old Style" w:cs="Calibri"/>
          <w:szCs w:val="24"/>
        </w:rPr>
        <w:t xml:space="preserve">Segundo, en materia penal, la tipificación de los delitos y la aplicación de las penas para el caso de los delitos de drogas no parece ser proporcional al daño efectivamente causado con la conducta penalizada. Además, los delitos de drogas se han llegado a castigar con penas superiores o similares a las que se aplicaron para delitos tan graves como el homicidio o los delitos en contra de la libertad y formación sexual. </w:t>
      </w:r>
    </w:p>
    <w:p w14:paraId="214B922B" w14:textId="77777777" w:rsidR="00F36280" w:rsidRPr="00485CC5" w:rsidRDefault="00F36280" w:rsidP="00F36280">
      <w:pPr>
        <w:pStyle w:val="Prrafodelista"/>
        <w:spacing w:after="0" w:line="240" w:lineRule="auto"/>
        <w:ind w:right="758"/>
        <w:jc w:val="both"/>
        <w:rPr>
          <w:rFonts w:ascii="Bookman Old Style" w:hAnsi="Bookman Old Style" w:cs="Calibri"/>
          <w:szCs w:val="24"/>
        </w:rPr>
      </w:pPr>
    </w:p>
    <w:p w14:paraId="6B3347BF" w14:textId="77777777" w:rsidR="00F36280" w:rsidRPr="00485CC5" w:rsidRDefault="00F36280" w:rsidP="00621929">
      <w:pPr>
        <w:pStyle w:val="Prrafodelista"/>
        <w:numPr>
          <w:ilvl w:val="0"/>
          <w:numId w:val="38"/>
        </w:numPr>
        <w:spacing w:after="0" w:line="240" w:lineRule="auto"/>
        <w:ind w:right="758"/>
        <w:jc w:val="both"/>
        <w:rPr>
          <w:rFonts w:ascii="Bookman Old Style" w:hAnsi="Bookman Old Style" w:cs="Calibri"/>
          <w:szCs w:val="24"/>
        </w:rPr>
      </w:pPr>
      <w:r w:rsidRPr="00485CC5">
        <w:rPr>
          <w:rFonts w:ascii="Bookman Old Style" w:hAnsi="Bookman Old Style" w:cs="Calibri"/>
          <w:szCs w:val="24"/>
        </w:rPr>
        <w:t xml:space="preserve">Tercero, en materia constitucional, la judicialización excesiva de los delitos de drogas limita derechos fundamentales (con el ánimo de proteger con eficacia dudosa la salud pública), generando una grave afectación de los derechos que juegan en sentido contrario (autonomía personal, libre desarrollo de la personalidad y dignidad humana), y sin tener en cuenta criterio alguno de adecuación, necesidad o proporcionalidad. </w:t>
      </w:r>
    </w:p>
    <w:p w14:paraId="29545935" w14:textId="77777777" w:rsidR="00F36280" w:rsidRPr="00485CC5" w:rsidRDefault="00F36280" w:rsidP="00F36280">
      <w:pPr>
        <w:pStyle w:val="Prrafodelista"/>
        <w:spacing w:after="0" w:line="240" w:lineRule="auto"/>
        <w:ind w:right="758"/>
        <w:jc w:val="both"/>
        <w:rPr>
          <w:rFonts w:ascii="Bookman Old Style" w:hAnsi="Bookman Old Style" w:cs="Calibri"/>
          <w:szCs w:val="24"/>
        </w:rPr>
      </w:pPr>
    </w:p>
    <w:p w14:paraId="23EF129C" w14:textId="77777777"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Es importante ver estas políticas punitivas a la luz de las actuales cifras de las prisiones en Colombia. Siguiendo la línea del informe de Dejusticia (2017) y actualizando las cifras para 2019, según los datos del International Center for Prison Studies (Centro Internacional de Estudios sobre Prisiones)</w:t>
      </w:r>
      <w:r w:rsidRPr="00485CC5">
        <w:rPr>
          <w:rStyle w:val="Refdenotaalpie"/>
          <w:rFonts w:ascii="Bookman Old Style" w:hAnsi="Bookman Old Style" w:cs="Calibri"/>
          <w:szCs w:val="24"/>
        </w:rPr>
        <w:footnoteReference w:id="101"/>
      </w:r>
      <w:r w:rsidRPr="00485CC5">
        <w:rPr>
          <w:rFonts w:ascii="Bookman Old Style" w:hAnsi="Bookman Old Style" w:cs="Calibri"/>
          <w:szCs w:val="24"/>
        </w:rPr>
        <w:t>:</w:t>
      </w:r>
    </w:p>
    <w:p w14:paraId="25A9A1AC" w14:textId="77777777" w:rsidR="00F36280" w:rsidRPr="00485CC5" w:rsidRDefault="00F36280" w:rsidP="00F36280">
      <w:pPr>
        <w:jc w:val="both"/>
        <w:rPr>
          <w:rFonts w:ascii="Bookman Old Style" w:hAnsi="Bookman Old Style" w:cs="Calibri"/>
          <w:szCs w:val="24"/>
        </w:rPr>
      </w:pPr>
    </w:p>
    <w:p w14:paraId="77AC0365" w14:textId="77777777" w:rsidR="00F36280" w:rsidRPr="00485CC5" w:rsidRDefault="00F36280" w:rsidP="00F36280">
      <w:pPr>
        <w:pStyle w:val="Prrafodelista"/>
        <w:numPr>
          <w:ilvl w:val="0"/>
          <w:numId w:val="11"/>
        </w:numPr>
        <w:spacing w:after="0" w:line="240" w:lineRule="auto"/>
        <w:jc w:val="both"/>
        <w:rPr>
          <w:rFonts w:ascii="Bookman Old Style" w:hAnsi="Bookman Old Style" w:cs="Calibri"/>
          <w:szCs w:val="24"/>
        </w:rPr>
      </w:pPr>
      <w:r w:rsidRPr="00485CC5">
        <w:rPr>
          <w:rFonts w:ascii="Bookman Old Style" w:hAnsi="Bookman Old Style" w:cs="Calibri"/>
          <w:szCs w:val="24"/>
        </w:rPr>
        <w:t>Colombia ocupa el puesto número 14 en términos de población privada de la libertad, con 119.896 personas en sus cárceles a 2018, población que en Latinoamérica solamente es superada por Brasil (719.998).</w:t>
      </w:r>
    </w:p>
    <w:p w14:paraId="1D0B3793" w14:textId="77777777" w:rsidR="00F36280" w:rsidRPr="00485CC5" w:rsidRDefault="00F36280" w:rsidP="00F36280">
      <w:pPr>
        <w:pStyle w:val="Prrafodelista"/>
        <w:spacing w:after="0" w:line="240" w:lineRule="auto"/>
        <w:jc w:val="both"/>
        <w:rPr>
          <w:rFonts w:ascii="Bookman Old Style" w:hAnsi="Bookman Old Style" w:cs="Calibri"/>
          <w:szCs w:val="24"/>
        </w:rPr>
      </w:pPr>
    </w:p>
    <w:p w14:paraId="525FBBDF" w14:textId="77777777" w:rsidR="00F36280" w:rsidRPr="00485CC5" w:rsidRDefault="00F36280" w:rsidP="00F36280">
      <w:pPr>
        <w:pStyle w:val="Prrafodelista"/>
        <w:numPr>
          <w:ilvl w:val="1"/>
          <w:numId w:val="11"/>
        </w:numPr>
        <w:spacing w:after="0" w:line="240" w:lineRule="auto"/>
        <w:jc w:val="both"/>
        <w:rPr>
          <w:rFonts w:ascii="Bookman Old Style" w:hAnsi="Bookman Old Style" w:cs="Calibri"/>
          <w:szCs w:val="24"/>
        </w:rPr>
      </w:pPr>
      <w:r w:rsidRPr="00485CC5">
        <w:rPr>
          <w:rFonts w:ascii="Bookman Old Style" w:hAnsi="Bookman Old Style" w:cs="Calibri"/>
          <w:szCs w:val="24"/>
        </w:rPr>
        <w:t>Ha habido un crecimiento acelerado de dicha población, creciendo un 133% desde el año 2000, superando el crecimiento porcentual de la población en Colombia para el mismo periodo 5.3 veces según las cifras del DANE.</w:t>
      </w:r>
      <w:r w:rsidRPr="00485CC5">
        <w:rPr>
          <w:rStyle w:val="Refdenotaalpie"/>
          <w:rFonts w:ascii="Bookman Old Style" w:hAnsi="Bookman Old Style" w:cs="Calibri"/>
          <w:szCs w:val="24"/>
        </w:rPr>
        <w:footnoteReference w:id="102"/>
      </w:r>
    </w:p>
    <w:p w14:paraId="3DB74011" w14:textId="77777777" w:rsidR="00F36280" w:rsidRPr="00485CC5" w:rsidRDefault="00F36280" w:rsidP="00F36280">
      <w:pPr>
        <w:jc w:val="both"/>
        <w:rPr>
          <w:rFonts w:ascii="Bookman Old Style" w:hAnsi="Bookman Old Style" w:cs="Calibri"/>
          <w:szCs w:val="24"/>
        </w:rPr>
      </w:pPr>
    </w:p>
    <w:p w14:paraId="3A218ECA" w14:textId="77777777" w:rsidR="00F36280" w:rsidRPr="00485CC5" w:rsidRDefault="00F36280" w:rsidP="00F36280">
      <w:pPr>
        <w:pStyle w:val="Prrafodelista"/>
        <w:numPr>
          <w:ilvl w:val="0"/>
          <w:numId w:val="11"/>
        </w:numPr>
        <w:spacing w:after="0" w:line="240" w:lineRule="auto"/>
        <w:jc w:val="both"/>
        <w:rPr>
          <w:rFonts w:ascii="Bookman Old Style" w:hAnsi="Bookman Old Style" w:cs="Calibri"/>
          <w:szCs w:val="24"/>
        </w:rPr>
      </w:pPr>
      <w:r w:rsidRPr="00485CC5">
        <w:rPr>
          <w:rFonts w:ascii="Bookman Old Style" w:hAnsi="Bookman Old Style" w:cs="Calibri"/>
          <w:szCs w:val="24"/>
        </w:rPr>
        <w:t xml:space="preserve">Colombia ocupa el puesto 48 en términos de países con mayores tasas de encarcelamiento, con 241 por cada 100.000 habitantes privados de la libertad. </w:t>
      </w:r>
    </w:p>
    <w:p w14:paraId="346FA138" w14:textId="77777777" w:rsidR="00F36280" w:rsidRPr="00485CC5" w:rsidRDefault="00F36280" w:rsidP="00F36280">
      <w:pPr>
        <w:pStyle w:val="Prrafodelista"/>
        <w:spacing w:after="0" w:line="240" w:lineRule="auto"/>
        <w:jc w:val="both"/>
        <w:rPr>
          <w:rFonts w:ascii="Bookman Old Style" w:hAnsi="Bookman Old Style" w:cs="Calibri"/>
          <w:szCs w:val="24"/>
        </w:rPr>
      </w:pPr>
    </w:p>
    <w:p w14:paraId="39889FE9" w14:textId="77777777" w:rsidR="00F36280" w:rsidRPr="00485CC5" w:rsidRDefault="00F36280" w:rsidP="00F36280">
      <w:pPr>
        <w:pStyle w:val="Prrafodelista"/>
        <w:numPr>
          <w:ilvl w:val="1"/>
          <w:numId w:val="11"/>
        </w:numPr>
        <w:spacing w:after="0" w:line="240" w:lineRule="auto"/>
        <w:jc w:val="both"/>
        <w:rPr>
          <w:rFonts w:ascii="Bookman Old Style" w:hAnsi="Bookman Old Style" w:cs="Calibri"/>
          <w:szCs w:val="24"/>
        </w:rPr>
      </w:pPr>
      <w:r w:rsidRPr="00485CC5">
        <w:rPr>
          <w:rFonts w:ascii="Bookman Old Style" w:hAnsi="Bookman Old Style" w:cs="Calibri"/>
          <w:szCs w:val="24"/>
        </w:rPr>
        <w:t>Esta cifra está muy por encima del promedio mundial reportado por el Centro Internacional de Estudios sobre Prisiones para 2018, que fue de 145 por cada 100.000 habitantes.</w:t>
      </w:r>
    </w:p>
    <w:p w14:paraId="496B7AD2" w14:textId="77777777" w:rsidR="00F36280" w:rsidRPr="00485CC5" w:rsidRDefault="00F36280" w:rsidP="00F36280">
      <w:pPr>
        <w:pStyle w:val="Prrafodelista"/>
        <w:spacing w:after="0" w:line="240" w:lineRule="auto"/>
        <w:ind w:left="1440"/>
        <w:jc w:val="both"/>
        <w:rPr>
          <w:rFonts w:ascii="Bookman Old Style" w:hAnsi="Bookman Old Style" w:cs="Calibri"/>
          <w:szCs w:val="24"/>
        </w:rPr>
      </w:pPr>
    </w:p>
    <w:p w14:paraId="3B53A793" w14:textId="77777777" w:rsidR="00F36280" w:rsidRPr="00485CC5" w:rsidRDefault="00F36280" w:rsidP="00F36280">
      <w:pPr>
        <w:pStyle w:val="Prrafodelista"/>
        <w:numPr>
          <w:ilvl w:val="1"/>
          <w:numId w:val="11"/>
        </w:numPr>
        <w:spacing w:after="0" w:line="240" w:lineRule="auto"/>
        <w:jc w:val="both"/>
        <w:rPr>
          <w:rFonts w:ascii="Bookman Old Style" w:hAnsi="Bookman Old Style" w:cs="Calibri"/>
          <w:szCs w:val="24"/>
        </w:rPr>
      </w:pPr>
      <w:r w:rsidRPr="00485CC5">
        <w:rPr>
          <w:rFonts w:ascii="Bookman Old Style" w:hAnsi="Bookman Old Style" w:cs="Calibri"/>
          <w:szCs w:val="24"/>
        </w:rPr>
        <w:t>También, resulta preocupante el crecimiento de esta cifra que aumentó en un 17% desde el año 2000 (128 por cada 100.000 habitantes).</w:t>
      </w:r>
    </w:p>
    <w:p w14:paraId="135091B7" w14:textId="77777777" w:rsidR="00F36280" w:rsidRPr="00485CC5" w:rsidRDefault="00F36280" w:rsidP="00F36280">
      <w:pPr>
        <w:pStyle w:val="Prrafodelista"/>
        <w:spacing w:after="0" w:line="240" w:lineRule="auto"/>
        <w:ind w:left="1440"/>
        <w:jc w:val="both"/>
        <w:rPr>
          <w:rFonts w:ascii="Bookman Old Style" w:hAnsi="Bookman Old Style" w:cs="Calibri"/>
          <w:szCs w:val="24"/>
        </w:rPr>
      </w:pPr>
    </w:p>
    <w:p w14:paraId="14F2CEC2" w14:textId="77777777" w:rsidR="00F36280" w:rsidRPr="00485CC5" w:rsidRDefault="00F36280" w:rsidP="00F36280">
      <w:pPr>
        <w:pStyle w:val="Prrafodelista"/>
        <w:numPr>
          <w:ilvl w:val="0"/>
          <w:numId w:val="11"/>
        </w:numPr>
        <w:spacing w:after="0" w:line="240" w:lineRule="auto"/>
        <w:jc w:val="both"/>
        <w:rPr>
          <w:rFonts w:ascii="Bookman Old Style" w:hAnsi="Bookman Old Style" w:cs="Calibri"/>
          <w:szCs w:val="24"/>
        </w:rPr>
      </w:pPr>
      <w:r w:rsidRPr="00485CC5">
        <w:rPr>
          <w:rFonts w:ascii="Bookman Old Style" w:hAnsi="Bookman Old Style" w:cs="Calibri"/>
          <w:szCs w:val="24"/>
        </w:rPr>
        <w:t>Colombia ocupa el puesto 51 en términos de países con mayor tasa de encarcelamiento femenino. Las mujeres representan el 6.9% de la población privada de la libertad en Colombia.</w:t>
      </w:r>
    </w:p>
    <w:p w14:paraId="41F2A192" w14:textId="77777777" w:rsidR="00F36280" w:rsidRPr="00485CC5" w:rsidRDefault="00F36280" w:rsidP="00F36280">
      <w:pPr>
        <w:pStyle w:val="Prrafodelista"/>
        <w:spacing w:after="0" w:line="240" w:lineRule="auto"/>
        <w:jc w:val="both"/>
        <w:rPr>
          <w:rFonts w:ascii="Bookman Old Style" w:hAnsi="Bookman Old Style" w:cs="Calibri"/>
          <w:szCs w:val="24"/>
        </w:rPr>
      </w:pPr>
    </w:p>
    <w:p w14:paraId="142D479E" w14:textId="77777777" w:rsidR="00F36280" w:rsidRPr="00485CC5" w:rsidRDefault="00F36280" w:rsidP="00F36280">
      <w:pPr>
        <w:pStyle w:val="Prrafodelista"/>
        <w:numPr>
          <w:ilvl w:val="1"/>
          <w:numId w:val="11"/>
        </w:numPr>
        <w:spacing w:after="0" w:line="240" w:lineRule="auto"/>
        <w:jc w:val="both"/>
        <w:rPr>
          <w:rFonts w:ascii="Bookman Old Style" w:hAnsi="Bookman Old Style" w:cs="Calibri"/>
          <w:szCs w:val="24"/>
        </w:rPr>
      </w:pPr>
      <w:r w:rsidRPr="00485CC5">
        <w:rPr>
          <w:rFonts w:ascii="Bookman Old Style" w:hAnsi="Bookman Old Style" w:cs="Calibri"/>
          <w:szCs w:val="24"/>
        </w:rPr>
        <w:t>La población femenina privada de la libertad ha crecido de una manera más acelerada que el promedio nacional, 163% desde el año 2000 superando el crecimiento porcentual de la población femenina en Colombia para el mismo periodo 6.5 veces según las cifras del DANE.</w:t>
      </w:r>
    </w:p>
    <w:p w14:paraId="28212941" w14:textId="77777777" w:rsidR="00F36280" w:rsidRPr="00485CC5" w:rsidRDefault="00F36280" w:rsidP="00F36280">
      <w:pPr>
        <w:pStyle w:val="Prrafodelista"/>
        <w:spacing w:after="0" w:line="240" w:lineRule="auto"/>
        <w:ind w:left="1440"/>
        <w:jc w:val="both"/>
        <w:rPr>
          <w:rFonts w:ascii="Bookman Old Style" w:hAnsi="Bookman Old Style" w:cs="Calibri"/>
          <w:szCs w:val="24"/>
        </w:rPr>
      </w:pPr>
    </w:p>
    <w:p w14:paraId="1B386693" w14:textId="77777777" w:rsidR="00F36280" w:rsidRPr="00485CC5" w:rsidRDefault="00F36280" w:rsidP="00F36280">
      <w:pPr>
        <w:pStyle w:val="Prrafodelista"/>
        <w:numPr>
          <w:ilvl w:val="0"/>
          <w:numId w:val="11"/>
        </w:numPr>
        <w:spacing w:after="0" w:line="240" w:lineRule="auto"/>
        <w:jc w:val="both"/>
        <w:rPr>
          <w:rFonts w:ascii="Bookman Old Style" w:hAnsi="Bookman Old Style" w:cs="Calibri"/>
          <w:szCs w:val="24"/>
        </w:rPr>
      </w:pPr>
      <w:r w:rsidRPr="00485CC5">
        <w:rPr>
          <w:rFonts w:ascii="Bookman Old Style" w:hAnsi="Bookman Old Style" w:cs="Calibri"/>
          <w:szCs w:val="24"/>
        </w:rPr>
        <w:t>Colombia ocupa el puesto 53 en términos de países con mayor hacinamiento carcelario, 149.4%.</w:t>
      </w:r>
    </w:p>
    <w:p w14:paraId="5DC3E593" w14:textId="77777777" w:rsidR="00F36280" w:rsidRPr="00485CC5" w:rsidRDefault="00F36280" w:rsidP="00F36280">
      <w:pPr>
        <w:pStyle w:val="Prrafodelista"/>
        <w:spacing w:after="0" w:line="240" w:lineRule="auto"/>
        <w:jc w:val="both"/>
        <w:rPr>
          <w:rFonts w:ascii="Bookman Old Style" w:hAnsi="Bookman Old Style" w:cs="Calibri"/>
          <w:szCs w:val="24"/>
        </w:rPr>
      </w:pPr>
    </w:p>
    <w:p w14:paraId="3F4B1FE1" w14:textId="77777777"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En este sentido, es importante ver estas cifras de privación de la libertad en Colombia a la luz de las capturas por delitos por drogas, pues estas representan una gran parte de las capturas que se dan en el país. De las 2.479.630 capturas realizadas por la Policía Nacional por presunta conducta delictiva en el periodo 2005-2014, “</w:t>
      </w:r>
      <w:r w:rsidRPr="00485CC5">
        <w:rPr>
          <w:rFonts w:ascii="Bookman Old Style" w:hAnsi="Bookman Old Style" w:cs="Calibri"/>
          <w:i/>
          <w:iCs/>
          <w:szCs w:val="24"/>
        </w:rPr>
        <w:t>727.091 (el 29,3 %) han sido por presunto porte, tráfico o fabricación de drogas</w:t>
      </w:r>
      <w:r w:rsidRPr="00485CC5">
        <w:rPr>
          <w:rFonts w:ascii="Bookman Old Style" w:hAnsi="Bookman Old Style" w:cs="Calibri"/>
          <w:szCs w:val="24"/>
        </w:rPr>
        <w:t>” (Dejusticia, 2017, pp. 30). Para el 2014, 1 de cada 3 capturas de la policía estuvo relacionada con drogas, capturas que son principalmente de jóvenes y menores de edad.</w:t>
      </w:r>
      <w:r w:rsidRPr="00485CC5">
        <w:rPr>
          <w:rStyle w:val="Refdenotaalpie"/>
          <w:rFonts w:ascii="Bookman Old Style" w:hAnsi="Bookman Old Style" w:cs="Calibri"/>
          <w:szCs w:val="24"/>
        </w:rPr>
        <w:footnoteReference w:id="103"/>
      </w:r>
    </w:p>
    <w:p w14:paraId="4012CEA9" w14:textId="77777777" w:rsidR="00F36280" w:rsidRPr="00485CC5" w:rsidRDefault="00F36280" w:rsidP="00F36280">
      <w:pPr>
        <w:jc w:val="both"/>
        <w:rPr>
          <w:rFonts w:ascii="Bookman Old Style" w:hAnsi="Bookman Old Style" w:cs="Calibri"/>
          <w:szCs w:val="24"/>
        </w:rPr>
      </w:pPr>
    </w:p>
    <w:p w14:paraId="2C8EEDA8" w14:textId="77777777"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Así como la población privada de la libertad en Colombia por delitos asociados a drogas pasó de 11% en 2000 a 22% en 2015. De la cual, la población de mujeres pasó de 40% en 2000 a 46% en 2015, mientras que la población masculina por este mismo tipo de conducta pasó de 10% en 2000 a 18% en 2015. Aunado al hecho que de cada 200 capturas solo 48 (24%) terminan en condena.</w:t>
      </w:r>
      <w:r w:rsidRPr="00485CC5">
        <w:rPr>
          <w:rStyle w:val="Refdenotaalpie"/>
          <w:rFonts w:ascii="Bookman Old Style" w:hAnsi="Bookman Old Style" w:cs="Calibri"/>
          <w:szCs w:val="24"/>
        </w:rPr>
        <w:footnoteReference w:id="104"/>
      </w:r>
    </w:p>
    <w:p w14:paraId="02400BB8" w14:textId="77777777" w:rsidR="00F36280" w:rsidRPr="00485CC5" w:rsidRDefault="00F36280" w:rsidP="00F36280">
      <w:pPr>
        <w:jc w:val="both"/>
        <w:rPr>
          <w:rFonts w:ascii="Bookman Old Style" w:hAnsi="Bookman Old Style" w:cs="Calibri"/>
          <w:szCs w:val="24"/>
        </w:rPr>
      </w:pPr>
    </w:p>
    <w:p w14:paraId="6E0E4278" w14:textId="77777777"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El 52% de las personas capturadas por delitos de tráfico, porte o fabricación de estupefacientes, son menores de 25 años.</w:t>
      </w:r>
      <w:r w:rsidRPr="00485CC5">
        <w:rPr>
          <w:rStyle w:val="Refdenotaalpie"/>
          <w:rFonts w:ascii="Bookman Old Style" w:hAnsi="Bookman Old Style" w:cs="Calibri"/>
          <w:szCs w:val="24"/>
        </w:rPr>
        <w:footnoteReference w:id="105"/>
      </w:r>
      <w:r w:rsidRPr="00485CC5">
        <w:rPr>
          <w:rFonts w:ascii="Bookman Old Style" w:hAnsi="Bookman Old Style" w:cs="Calibri"/>
          <w:szCs w:val="24"/>
        </w:rPr>
        <w:t xml:space="preserve"> Pero es preocupante que, de los 160.047 casos registrados de menores de edad que han ingresado al Sistema de Responsabilidad Penal para Adolescentes, el 30% de los casos eran relacionados con tráfico, fabricación o porte de estupefacientes</w:t>
      </w:r>
      <w:r w:rsidRPr="00485CC5">
        <w:rPr>
          <w:rStyle w:val="Refdenotaalpie"/>
          <w:rFonts w:ascii="Bookman Old Style" w:hAnsi="Bookman Old Style" w:cs="Calibri"/>
          <w:szCs w:val="24"/>
        </w:rPr>
        <w:footnoteReference w:id="106"/>
      </w:r>
      <w:r w:rsidRPr="00485CC5">
        <w:rPr>
          <w:rFonts w:ascii="Bookman Old Style" w:hAnsi="Bookman Old Style" w:cs="Calibri"/>
          <w:szCs w:val="24"/>
        </w:rPr>
        <w:t>, porcentaje que solamente es superado por los casos de hurto, que representan el 39%.</w:t>
      </w:r>
    </w:p>
    <w:p w14:paraId="3418F161" w14:textId="77777777" w:rsidR="00F36280" w:rsidRPr="00485CC5" w:rsidRDefault="00F36280" w:rsidP="00F36280">
      <w:pPr>
        <w:jc w:val="both"/>
        <w:rPr>
          <w:rFonts w:ascii="Bookman Old Style" w:hAnsi="Bookman Old Style" w:cs="Calibri"/>
          <w:szCs w:val="24"/>
        </w:rPr>
      </w:pPr>
    </w:p>
    <w:p w14:paraId="3BF0E37D" w14:textId="77777777"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Con las políticas punitivas en Colombia no solamente se están persiguiendo a los jóvenes, sino también a las personas más pobres, a las personas con menos nivel educativo y que menos oportunidades han tenido a lo largo de la historia de nuestro país. Ello se evidencia en las cifras arrojadas por un estudio realizado por Dejusticia sobre personas condenadas por tráfico, porte o fabricación de estupefacientes para el periodo 2010 – 2014</w:t>
      </w:r>
      <w:r w:rsidRPr="00485CC5">
        <w:rPr>
          <w:rStyle w:val="Refdenotaalpie"/>
          <w:rFonts w:ascii="Bookman Old Style" w:hAnsi="Bookman Old Style" w:cs="Calibri"/>
          <w:szCs w:val="24"/>
        </w:rPr>
        <w:footnoteReference w:id="107"/>
      </w:r>
      <w:r w:rsidRPr="00485CC5">
        <w:rPr>
          <w:rFonts w:ascii="Bookman Old Style" w:hAnsi="Bookman Old Style" w:cs="Calibri"/>
          <w:szCs w:val="24"/>
        </w:rPr>
        <w:t>, en donde el 19.4% de las personas condenadas se encontraban desempleadas o se ocupaban en la economía informal, y solamente 4.41% se dedicaba a un oficio profesional.</w:t>
      </w:r>
    </w:p>
    <w:p w14:paraId="235416AB" w14:textId="77777777" w:rsidR="00F36280" w:rsidRPr="00485CC5" w:rsidRDefault="00F36280" w:rsidP="00F36280">
      <w:pPr>
        <w:jc w:val="both"/>
        <w:rPr>
          <w:rFonts w:ascii="Bookman Old Style" w:hAnsi="Bookman Old Style" w:cs="Calibri"/>
          <w:szCs w:val="24"/>
        </w:rPr>
      </w:pPr>
    </w:p>
    <w:p w14:paraId="6BF652F1" w14:textId="77777777"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La situación de hacinamiento es crítica en las cárceles colombianas, debido en parte, al gran número de personas privadas de libertad por delitos en conexión con drogas y el acelerado crecimiento de estas cifras. Al punto que, de acuerdo a Dejusticia, si se hubieran implementado alternativas que permitieran la salida de la cárcel de las personas recluidas por delitos de drogas, el hacinamiento se reduciría en un promedio del 33.38% al 9.48% para el periodo.</w:t>
      </w:r>
      <w:r w:rsidRPr="00485CC5">
        <w:rPr>
          <w:rStyle w:val="Refdenotaalpie"/>
          <w:rFonts w:ascii="Bookman Old Style" w:hAnsi="Bookman Old Style" w:cs="Calibri"/>
          <w:szCs w:val="24"/>
        </w:rPr>
        <w:footnoteReference w:id="108"/>
      </w:r>
    </w:p>
    <w:p w14:paraId="63D8E9ED" w14:textId="77777777" w:rsidR="00F36280" w:rsidRPr="00485CC5" w:rsidRDefault="00F36280" w:rsidP="00F36280">
      <w:pPr>
        <w:jc w:val="both"/>
        <w:rPr>
          <w:rFonts w:ascii="Bookman Old Style" w:hAnsi="Bookman Old Style" w:cs="Calibri"/>
          <w:szCs w:val="24"/>
        </w:rPr>
      </w:pPr>
    </w:p>
    <w:p w14:paraId="1393050A" w14:textId="77777777"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La regulación del consumo de marihuana si bien no solucionaría completamente los problemas expuestos anteriormente, sí sería un primer paso para enmendar muchas de las injusticias contra los grupos más vulnerables y eslabones más débiles. No solamente ayudaría ahorrar recursos al Estado, sino también permitiría a las autoridades judiciales concentrar sus esfuerzos en conductas que realmente pongan en riesgo a la sociedad.</w:t>
      </w:r>
    </w:p>
    <w:p w14:paraId="0A34FF3E" w14:textId="77777777" w:rsidR="00F36280" w:rsidRPr="00485CC5" w:rsidRDefault="00F36280" w:rsidP="00F36280">
      <w:pPr>
        <w:jc w:val="both"/>
        <w:rPr>
          <w:rFonts w:ascii="Bookman Old Style" w:hAnsi="Bookman Old Style" w:cs="Calibri"/>
          <w:szCs w:val="24"/>
        </w:rPr>
      </w:pPr>
    </w:p>
    <w:p w14:paraId="2E30A040" w14:textId="77777777" w:rsidR="00F36280" w:rsidRPr="00485CC5" w:rsidRDefault="00F36280" w:rsidP="00F36280">
      <w:pPr>
        <w:pStyle w:val="Ttulo1"/>
        <w:jc w:val="both"/>
        <w:rPr>
          <w:rFonts w:ascii="Bookman Old Style" w:hAnsi="Bookman Old Style" w:cs="Calibri"/>
          <w:b w:val="0"/>
          <w:sz w:val="22"/>
          <w:szCs w:val="24"/>
        </w:rPr>
      </w:pPr>
      <w:bookmarkStart w:id="5" w:name="_Toc5023217"/>
      <w:r w:rsidRPr="00485CC5">
        <w:rPr>
          <w:rFonts w:ascii="Bookman Old Style" w:hAnsi="Bookman Old Style" w:cs="Calibri"/>
          <w:b w:val="0"/>
          <w:sz w:val="22"/>
          <w:szCs w:val="24"/>
        </w:rPr>
        <w:t>Finalmente, tenemos que tener en cuenta que las Políticas de Drogas están encaminadas a los Objetivos de Desarrollo Sostenible</w:t>
      </w:r>
      <w:bookmarkEnd w:id="5"/>
      <w:r w:rsidRPr="00485CC5">
        <w:rPr>
          <w:rFonts w:ascii="Bookman Old Style" w:hAnsi="Bookman Old Style" w:cs="Calibri"/>
          <w:b w:val="0"/>
          <w:sz w:val="22"/>
          <w:szCs w:val="24"/>
        </w:rPr>
        <w:t>. En el reporte de 2018 titulado “</w:t>
      </w:r>
      <w:r w:rsidRPr="00485CC5">
        <w:rPr>
          <w:rFonts w:ascii="Bookman Old Style" w:hAnsi="Bookman Old Style" w:cs="Calibri"/>
          <w:b w:val="0"/>
          <w:i/>
          <w:iCs/>
          <w:sz w:val="22"/>
          <w:szCs w:val="24"/>
        </w:rPr>
        <w:t>Políticas de Drogas y la Agenda para el Desarrollo Sostenible</w:t>
      </w:r>
      <w:r w:rsidRPr="00485CC5">
        <w:rPr>
          <w:rFonts w:ascii="Bookman Old Style" w:hAnsi="Bookman Old Style" w:cs="Calibri"/>
          <w:b w:val="0"/>
          <w:sz w:val="22"/>
          <w:szCs w:val="24"/>
        </w:rPr>
        <w:t>”</w:t>
      </w:r>
      <w:r w:rsidRPr="00485CC5">
        <w:rPr>
          <w:rStyle w:val="Refdenotaalpie"/>
          <w:rFonts w:ascii="Bookman Old Style" w:hAnsi="Bookman Old Style" w:cs="Calibri"/>
          <w:b w:val="0"/>
          <w:sz w:val="22"/>
          <w:szCs w:val="24"/>
        </w:rPr>
        <w:footnoteReference w:id="109"/>
      </w:r>
      <w:r w:rsidRPr="00485CC5">
        <w:rPr>
          <w:rFonts w:ascii="Bookman Old Style" w:hAnsi="Bookman Old Style" w:cs="Calibri"/>
          <w:b w:val="0"/>
          <w:sz w:val="22"/>
          <w:szCs w:val="24"/>
        </w:rPr>
        <w:t>, la Comisión Global de Políticas de Drogas</w:t>
      </w:r>
      <w:r w:rsidRPr="00485CC5">
        <w:rPr>
          <w:rStyle w:val="Refdenotaalpie"/>
          <w:rFonts w:ascii="Bookman Old Style" w:hAnsi="Bookman Old Style" w:cs="Calibri"/>
          <w:b w:val="0"/>
          <w:sz w:val="22"/>
          <w:szCs w:val="24"/>
        </w:rPr>
        <w:t xml:space="preserve"> </w:t>
      </w:r>
      <w:r w:rsidRPr="00485CC5">
        <w:rPr>
          <w:rFonts w:ascii="Bookman Old Style" w:hAnsi="Bookman Old Style" w:cs="Calibri"/>
          <w:b w:val="0"/>
          <w:sz w:val="22"/>
          <w:szCs w:val="24"/>
        </w:rPr>
        <w:t>señala cómo el lanzamiento de los Objetivos de Desarrollo Sostenible permite dirigir “</w:t>
      </w:r>
      <w:r w:rsidRPr="00485CC5">
        <w:rPr>
          <w:rFonts w:ascii="Bookman Old Style" w:hAnsi="Bookman Old Style" w:cs="Calibri"/>
          <w:b w:val="0"/>
          <w:i/>
          <w:iCs/>
          <w:sz w:val="22"/>
          <w:szCs w:val="24"/>
        </w:rPr>
        <w:t>las políticas de drogas para enfocarse en aquellos que están amenazados, en lugar de las amenazas que pueden representar las drogas mismas</w:t>
      </w:r>
      <w:r w:rsidRPr="00485CC5">
        <w:rPr>
          <w:rFonts w:ascii="Bookman Old Style" w:hAnsi="Bookman Old Style" w:cs="Calibri"/>
          <w:b w:val="0"/>
          <w:sz w:val="22"/>
          <w:szCs w:val="24"/>
        </w:rPr>
        <w:t>”</w:t>
      </w:r>
      <w:r w:rsidRPr="00485CC5">
        <w:rPr>
          <w:rStyle w:val="Refdenotaalpie"/>
          <w:rFonts w:ascii="Bookman Old Style" w:hAnsi="Bookman Old Style" w:cs="Calibri"/>
          <w:b w:val="0"/>
          <w:sz w:val="22"/>
          <w:szCs w:val="24"/>
        </w:rPr>
        <w:t xml:space="preserve"> </w:t>
      </w:r>
      <w:r w:rsidRPr="00485CC5">
        <w:rPr>
          <w:rStyle w:val="Refdenotaalpie"/>
          <w:rFonts w:ascii="Bookman Old Style" w:hAnsi="Bookman Old Style" w:cs="Calibri"/>
          <w:b w:val="0"/>
          <w:sz w:val="22"/>
          <w:szCs w:val="24"/>
        </w:rPr>
        <w:footnoteReference w:id="110"/>
      </w:r>
      <w:r w:rsidRPr="00485CC5">
        <w:rPr>
          <w:rFonts w:ascii="Bookman Old Style" w:hAnsi="Bookman Old Style" w:cs="Calibri"/>
          <w:b w:val="0"/>
          <w:sz w:val="22"/>
          <w:szCs w:val="24"/>
        </w:rPr>
        <w:t>.</w:t>
      </w:r>
    </w:p>
    <w:p w14:paraId="1A808FF8" w14:textId="77777777" w:rsidR="00F36280" w:rsidRPr="00485CC5" w:rsidRDefault="00F36280" w:rsidP="00F36280">
      <w:pPr>
        <w:rPr>
          <w:rFonts w:ascii="Bookman Old Style" w:hAnsi="Bookman Old Style"/>
          <w:szCs w:val="24"/>
        </w:rPr>
      </w:pPr>
    </w:p>
    <w:p w14:paraId="511FD2F7" w14:textId="77777777" w:rsidR="00F36280" w:rsidRPr="00485CC5" w:rsidRDefault="00F36280" w:rsidP="00F36280">
      <w:pPr>
        <w:pStyle w:val="Ttulo1"/>
        <w:jc w:val="both"/>
        <w:rPr>
          <w:rFonts w:ascii="Bookman Old Style" w:hAnsi="Bookman Old Style" w:cs="Calibri"/>
          <w:b w:val="0"/>
          <w:sz w:val="22"/>
          <w:szCs w:val="24"/>
        </w:rPr>
      </w:pPr>
      <w:r w:rsidRPr="00485CC5">
        <w:rPr>
          <w:rFonts w:ascii="Bookman Old Style" w:hAnsi="Bookman Old Style" w:cs="Calibri"/>
          <w:b w:val="0"/>
          <w:sz w:val="22"/>
          <w:szCs w:val="24"/>
        </w:rPr>
        <w:t>La política de drogas de regulación, y no de persecución, se puede enmarcar dentro de los diferentes ODS y, pueden generar oportunidades para la prevención y asistencia de los grupos más vulnerables. La lucha actual contra las drogas, dentro de las cuales se incluye la marihuana, afecta el alcance de los Objetivos de Desarrollo Sostenible, así:</w:t>
      </w:r>
    </w:p>
    <w:p w14:paraId="4CED3E92" w14:textId="77777777" w:rsidR="00F36280" w:rsidRPr="00485CC5" w:rsidRDefault="00F36280" w:rsidP="00F36280">
      <w:pPr>
        <w:rPr>
          <w:rFonts w:ascii="Bookman Old Style" w:hAnsi="Bookman Old Style"/>
          <w:szCs w:val="24"/>
        </w:rPr>
      </w:pPr>
    </w:p>
    <w:p w14:paraId="44865602" w14:textId="77777777" w:rsidR="00F36280" w:rsidRPr="00485CC5" w:rsidRDefault="00F36280" w:rsidP="00F36280">
      <w:pPr>
        <w:pStyle w:val="Prrafodelista"/>
        <w:numPr>
          <w:ilvl w:val="0"/>
          <w:numId w:val="5"/>
        </w:numPr>
        <w:spacing w:after="0" w:line="240" w:lineRule="auto"/>
        <w:jc w:val="both"/>
        <w:rPr>
          <w:rFonts w:ascii="Bookman Old Style" w:hAnsi="Bookman Old Style" w:cs="Calibri"/>
          <w:szCs w:val="24"/>
        </w:rPr>
      </w:pPr>
      <w:r w:rsidRPr="00485CC5">
        <w:rPr>
          <w:rFonts w:ascii="Bookman Old Style" w:hAnsi="Bookman Old Style" w:cs="Calibri"/>
          <w:szCs w:val="24"/>
        </w:rPr>
        <w:t>ODS 1 (fin de la pobreza): las políticas de control de drogas han exacerbado la pobreza sin enfrentar las causas que llevan a las personas a participar en el mercado de las drogas.</w:t>
      </w:r>
      <w:r w:rsidRPr="00485CC5">
        <w:rPr>
          <w:rStyle w:val="Refdenotaalpie"/>
          <w:rFonts w:ascii="Bookman Old Style" w:hAnsi="Bookman Old Style" w:cs="Calibri"/>
          <w:szCs w:val="24"/>
        </w:rPr>
        <w:footnoteReference w:id="111"/>
      </w:r>
      <w:r w:rsidRPr="00485CC5">
        <w:rPr>
          <w:rFonts w:ascii="Bookman Old Style" w:hAnsi="Bookman Old Style" w:cs="Calibri"/>
          <w:szCs w:val="24"/>
        </w:rPr>
        <w:t xml:space="preserve"> En el mercado ilícito de las drogas participan personas vulnerables y las políticas represivas han sido contraproducentes, afectando principalmente a las personas más vulnerables, grupos étnicos y comunidades marginalizadas. Muchos de los cultivos de drogas ilícitas se dan en regiones donde el Estado no llega y hay desigualdad en el acceso a la tierra. Las políticas de erradicación forzosa sin ofrecer alternativas de subsistencia, así como la persecución de los eslabones más débiles en las cadenas de producción, exacerban la pobreza en las poblaciones vulnerables.</w:t>
      </w:r>
      <w:r w:rsidRPr="00485CC5">
        <w:rPr>
          <w:rStyle w:val="Refdenotaalpie"/>
          <w:rFonts w:ascii="Bookman Old Style" w:hAnsi="Bookman Old Style" w:cs="Calibri"/>
          <w:szCs w:val="24"/>
        </w:rPr>
        <w:footnoteReference w:id="112"/>
      </w:r>
      <w:r w:rsidRPr="00485CC5">
        <w:rPr>
          <w:rFonts w:ascii="Bookman Old Style" w:hAnsi="Bookman Old Style" w:cs="Calibri"/>
          <w:szCs w:val="24"/>
        </w:rPr>
        <w:t xml:space="preserve"> Además, en diferentes regiones de conflicto es común que los agricultores de subsistencia se vean atrapados en disputas entre grupos armados, como ha sido el caso en Colombia.</w:t>
      </w:r>
    </w:p>
    <w:p w14:paraId="709E64F0" w14:textId="77777777" w:rsidR="00F36280" w:rsidRPr="00485CC5" w:rsidRDefault="00F36280" w:rsidP="00F36280">
      <w:pPr>
        <w:pStyle w:val="Prrafodelista"/>
        <w:spacing w:after="0" w:line="240" w:lineRule="auto"/>
        <w:jc w:val="both"/>
        <w:rPr>
          <w:rFonts w:ascii="Bookman Old Style" w:hAnsi="Bookman Old Style" w:cs="Calibri"/>
          <w:szCs w:val="24"/>
        </w:rPr>
      </w:pPr>
    </w:p>
    <w:p w14:paraId="07933FB4" w14:textId="77777777" w:rsidR="00F36280" w:rsidRPr="00485CC5" w:rsidRDefault="00F36280" w:rsidP="00F36280">
      <w:pPr>
        <w:pStyle w:val="Prrafodelista"/>
        <w:numPr>
          <w:ilvl w:val="0"/>
          <w:numId w:val="5"/>
        </w:numPr>
        <w:spacing w:after="0" w:line="240" w:lineRule="auto"/>
        <w:jc w:val="both"/>
        <w:rPr>
          <w:rFonts w:ascii="Bookman Old Style" w:hAnsi="Bookman Old Style" w:cs="Calibri"/>
          <w:szCs w:val="24"/>
        </w:rPr>
      </w:pPr>
      <w:r w:rsidRPr="00485CC5">
        <w:rPr>
          <w:rFonts w:ascii="Bookman Old Style" w:hAnsi="Bookman Old Style" w:cs="Calibri"/>
          <w:szCs w:val="24"/>
        </w:rPr>
        <w:t>ODS 3 (salud y bienestar): si bien el consumo de drogas permea todos los grupos sociales, las políticas represivas y “</w:t>
      </w:r>
      <w:r w:rsidRPr="00485CC5">
        <w:rPr>
          <w:rFonts w:ascii="Bookman Old Style" w:hAnsi="Bookman Old Style" w:cs="Calibri"/>
          <w:i/>
          <w:iCs/>
          <w:szCs w:val="24"/>
        </w:rPr>
        <w:t>falta de acceso sociales y de salud (que incluyen la reducción y el tratamiento del daño, pero también la atención médica general) suelen afectar a los segmentos más pobres y marginados de la sociedad</w:t>
      </w:r>
      <w:r w:rsidRPr="00485CC5">
        <w:rPr>
          <w:rFonts w:ascii="Bookman Old Style" w:hAnsi="Bookman Old Style" w:cs="Calibri"/>
          <w:szCs w:val="24"/>
        </w:rPr>
        <w:t>”.</w:t>
      </w:r>
      <w:r w:rsidRPr="00485CC5">
        <w:rPr>
          <w:rStyle w:val="Refdenotaalpie"/>
          <w:rFonts w:ascii="Bookman Old Style" w:hAnsi="Bookman Old Style" w:cs="Calibri"/>
          <w:szCs w:val="24"/>
        </w:rPr>
        <w:footnoteReference w:id="113"/>
      </w:r>
      <w:r w:rsidRPr="00485CC5">
        <w:rPr>
          <w:rFonts w:ascii="Bookman Old Style" w:hAnsi="Bookman Old Style" w:cs="Calibri"/>
          <w:szCs w:val="24"/>
        </w:rPr>
        <w:t xml:space="preserve"> Criminalizar a las personas que consumen drogas solamente aumenta más su exclusión del empleo, salud y servicios sociales.</w:t>
      </w:r>
    </w:p>
    <w:p w14:paraId="36FFA140" w14:textId="77777777" w:rsidR="00F36280" w:rsidRPr="00485CC5" w:rsidRDefault="00F36280" w:rsidP="00F36280">
      <w:pPr>
        <w:pStyle w:val="Prrafodelista"/>
        <w:spacing w:after="0" w:line="240" w:lineRule="auto"/>
        <w:jc w:val="both"/>
        <w:rPr>
          <w:rFonts w:ascii="Bookman Old Style" w:hAnsi="Bookman Old Style" w:cs="Calibri"/>
          <w:szCs w:val="24"/>
        </w:rPr>
      </w:pPr>
    </w:p>
    <w:p w14:paraId="07D9EB52" w14:textId="77777777" w:rsidR="00F36280" w:rsidRPr="00485CC5" w:rsidRDefault="00F36280" w:rsidP="00F36280">
      <w:pPr>
        <w:pStyle w:val="Prrafodelista"/>
        <w:numPr>
          <w:ilvl w:val="0"/>
          <w:numId w:val="5"/>
        </w:numPr>
        <w:spacing w:after="0" w:line="240" w:lineRule="auto"/>
        <w:jc w:val="both"/>
        <w:rPr>
          <w:rFonts w:ascii="Bookman Old Style" w:hAnsi="Bookman Old Style" w:cs="Calibri"/>
          <w:szCs w:val="24"/>
        </w:rPr>
      </w:pPr>
      <w:r w:rsidRPr="00485CC5">
        <w:rPr>
          <w:rFonts w:ascii="Bookman Old Style" w:hAnsi="Bookman Old Style" w:cs="Calibri"/>
          <w:szCs w:val="24"/>
        </w:rPr>
        <w:t>ODS 5 (Igualdad de género): las personas atrapadas en el tráfico de drogas son especialmente vulnerables y las acciones represivas por parte del Estado pueden llevar a un aumento de la corrupción, hacinamiento en las cárceles y agravamiento de la pobreza.</w:t>
      </w:r>
      <w:r w:rsidRPr="00485CC5">
        <w:rPr>
          <w:rStyle w:val="Refdenotaalpie"/>
          <w:rFonts w:ascii="Bookman Old Style" w:hAnsi="Bookman Old Style" w:cs="Calibri"/>
          <w:szCs w:val="24"/>
        </w:rPr>
        <w:footnoteReference w:id="114"/>
      </w:r>
      <w:r w:rsidRPr="00485CC5">
        <w:rPr>
          <w:rFonts w:ascii="Bookman Old Style" w:hAnsi="Bookman Old Style" w:cs="Calibri"/>
          <w:szCs w:val="24"/>
        </w:rPr>
        <w:t xml:space="preserve"> Las mujeres son más propensas a participar en el tráfico de drogas ilegales, debido a que las desigualdades de género “</w:t>
      </w:r>
      <w:r w:rsidRPr="00485CC5">
        <w:rPr>
          <w:rFonts w:ascii="Bookman Old Style" w:hAnsi="Bookman Old Style" w:cs="Calibri"/>
          <w:i/>
          <w:iCs/>
          <w:szCs w:val="24"/>
        </w:rPr>
        <w:t>obstaculizan su acceso a la educación y al empleo</w:t>
      </w:r>
      <w:r w:rsidRPr="00485CC5">
        <w:rPr>
          <w:rFonts w:ascii="Bookman Old Style" w:hAnsi="Bookman Old Style" w:cs="Calibri"/>
          <w:szCs w:val="24"/>
        </w:rPr>
        <w:t>”.</w:t>
      </w:r>
      <w:r w:rsidRPr="00485CC5">
        <w:rPr>
          <w:rStyle w:val="Refdenotaalpie"/>
          <w:rFonts w:ascii="Bookman Old Style" w:hAnsi="Bookman Old Style" w:cs="Calibri"/>
          <w:szCs w:val="24"/>
        </w:rPr>
        <w:footnoteReference w:id="115"/>
      </w:r>
      <w:r w:rsidRPr="00485CC5">
        <w:rPr>
          <w:rFonts w:ascii="Bookman Old Style" w:hAnsi="Bookman Old Style" w:cs="Calibri"/>
          <w:szCs w:val="24"/>
        </w:rPr>
        <w:t xml:space="preserve"> En América Latina la gran mayoría de las mujeres que participan en actividades de drogas ilícitas son madres solteras en condiciones de vulnerabilidad y sin formación formal, con pocas oportunidades en el mercado laboral.</w:t>
      </w:r>
      <w:r w:rsidRPr="00485CC5">
        <w:rPr>
          <w:rStyle w:val="Refdenotaalpie"/>
          <w:rFonts w:ascii="Bookman Old Style" w:hAnsi="Bookman Old Style" w:cs="Calibri"/>
          <w:szCs w:val="24"/>
        </w:rPr>
        <w:footnoteReference w:id="116"/>
      </w:r>
      <w:r w:rsidRPr="00485CC5">
        <w:rPr>
          <w:rFonts w:ascii="Bookman Old Style" w:hAnsi="Bookman Old Style" w:cs="Calibri"/>
          <w:szCs w:val="24"/>
        </w:rPr>
        <w:t xml:space="preserve"> Más allá, su encarcelamiento exacerba su problemática, afectando directamente a sus hijos y creando ciclos de pobreza y delincuencia. Lo anterior está ligado con el ODS 8 (trabajo decente y crecimiento económico) y la problemática que encuentran las personas al dejar los centros de reclusión para encontrar trabajo.</w:t>
      </w:r>
      <w:r w:rsidRPr="00485CC5">
        <w:rPr>
          <w:rStyle w:val="Refdenotaalpie"/>
          <w:rFonts w:ascii="Bookman Old Style" w:hAnsi="Bookman Old Style" w:cs="Calibri"/>
          <w:szCs w:val="24"/>
        </w:rPr>
        <w:footnoteReference w:id="117"/>
      </w:r>
    </w:p>
    <w:p w14:paraId="4E255ED0" w14:textId="77777777" w:rsidR="00F36280" w:rsidRPr="00485CC5" w:rsidRDefault="00F36280" w:rsidP="00F36280">
      <w:pPr>
        <w:pStyle w:val="Prrafodelista"/>
        <w:spacing w:after="0" w:line="240" w:lineRule="auto"/>
        <w:jc w:val="both"/>
        <w:rPr>
          <w:rFonts w:ascii="Bookman Old Style" w:hAnsi="Bookman Old Style" w:cs="Calibri"/>
          <w:szCs w:val="24"/>
        </w:rPr>
      </w:pPr>
    </w:p>
    <w:p w14:paraId="0AB329FB" w14:textId="77777777" w:rsidR="00F36280" w:rsidRPr="00485CC5" w:rsidRDefault="00F36280" w:rsidP="00F36280">
      <w:pPr>
        <w:pStyle w:val="Prrafodelista"/>
        <w:numPr>
          <w:ilvl w:val="0"/>
          <w:numId w:val="5"/>
        </w:numPr>
        <w:spacing w:after="0" w:line="240" w:lineRule="auto"/>
        <w:jc w:val="both"/>
        <w:rPr>
          <w:rFonts w:ascii="Bookman Old Style" w:hAnsi="Bookman Old Style" w:cs="Calibri"/>
          <w:szCs w:val="24"/>
        </w:rPr>
      </w:pPr>
      <w:r w:rsidRPr="00485CC5">
        <w:rPr>
          <w:rFonts w:ascii="Bookman Old Style" w:hAnsi="Bookman Old Style" w:cs="Calibri"/>
          <w:szCs w:val="24"/>
        </w:rPr>
        <w:t>ODS 16 (paz, justicia e instituciones sólidas): Las políticas punitivas y la guerra dura contra las drogas como ha sido planteada hasta ahora no ha logrado reducir significativamente el mercado, de acuerdo a las Naciones Unidas y la literatura científica.</w:t>
      </w:r>
      <w:r w:rsidRPr="00485CC5">
        <w:rPr>
          <w:rStyle w:val="Refdenotaalpie"/>
          <w:rFonts w:ascii="Bookman Old Style" w:hAnsi="Bookman Old Style" w:cs="Calibri"/>
          <w:szCs w:val="24"/>
        </w:rPr>
        <w:footnoteReference w:id="118"/>
      </w:r>
      <w:r w:rsidRPr="00485CC5">
        <w:rPr>
          <w:rFonts w:ascii="Bookman Old Style" w:hAnsi="Bookman Old Style" w:cs="Calibri"/>
          <w:szCs w:val="24"/>
        </w:rPr>
        <w:t xml:space="preserve"> Los sistemas de justicia y penales se han visto inundados de casos relacionados con delincuentes menores, agotando recursos ya escasos para atender a la justicia y no enfocándose en los verdaderos actores violentos.</w:t>
      </w:r>
      <w:r w:rsidRPr="00485CC5">
        <w:rPr>
          <w:rStyle w:val="Refdenotaalpie"/>
          <w:rFonts w:ascii="Bookman Old Style" w:hAnsi="Bookman Old Style" w:cs="Calibri"/>
          <w:szCs w:val="24"/>
        </w:rPr>
        <w:footnoteReference w:id="119"/>
      </w:r>
      <w:r w:rsidRPr="00485CC5">
        <w:rPr>
          <w:rFonts w:ascii="Bookman Old Style" w:hAnsi="Bookman Old Style" w:cs="Calibri"/>
          <w:szCs w:val="24"/>
        </w:rPr>
        <w:t xml:space="preserve"> Adicionalmente, las políticas represivas han llevado a encarcelamientos masivos y problemas de hacinamiento.</w:t>
      </w:r>
      <w:r w:rsidRPr="00485CC5">
        <w:rPr>
          <w:rStyle w:val="Refdenotaalpie"/>
          <w:rFonts w:ascii="Bookman Old Style" w:hAnsi="Bookman Old Style" w:cs="Calibri"/>
          <w:szCs w:val="24"/>
        </w:rPr>
        <w:footnoteReference w:id="120"/>
      </w:r>
    </w:p>
    <w:p w14:paraId="165E428D" w14:textId="77777777" w:rsidR="00F36280" w:rsidRPr="00485CC5" w:rsidRDefault="00F36280" w:rsidP="00F36280">
      <w:pPr>
        <w:pStyle w:val="Prrafodelista"/>
        <w:spacing w:after="0" w:line="240" w:lineRule="auto"/>
        <w:rPr>
          <w:rFonts w:ascii="Bookman Old Style" w:hAnsi="Bookman Old Style" w:cs="Calibri"/>
          <w:szCs w:val="24"/>
        </w:rPr>
      </w:pPr>
    </w:p>
    <w:p w14:paraId="392BCFD3" w14:textId="77777777" w:rsidR="00F36280" w:rsidRPr="00485CC5" w:rsidRDefault="00F36280" w:rsidP="00F36280">
      <w:pPr>
        <w:pStyle w:val="Prrafodelista"/>
        <w:spacing w:after="0" w:line="240" w:lineRule="auto"/>
        <w:jc w:val="both"/>
        <w:rPr>
          <w:rFonts w:ascii="Bookman Old Style" w:hAnsi="Bookman Old Style" w:cs="Calibri"/>
          <w:szCs w:val="24"/>
        </w:rPr>
      </w:pPr>
      <w:r w:rsidRPr="00485CC5">
        <w:rPr>
          <w:rFonts w:ascii="Bookman Old Style" w:hAnsi="Bookman Old Style" w:cs="Calibri"/>
          <w:szCs w:val="24"/>
        </w:rPr>
        <w:t>Las mujeres en América Latina, son la población carcelaria de mayor crecimiento, lo cual va en contravía del ODS 10 (reducción de las desigualdades) pues las leyes antidrogas son especialmente aplicadas a grupos minoritarios. Así mismo, el tamaño del mercado ilegal de las drogas ha generado incentivos para que haya corrupción y las instituciones del Estado sean cooptadas.</w:t>
      </w:r>
      <w:r w:rsidRPr="00485CC5">
        <w:rPr>
          <w:rStyle w:val="Refdenotaalpie"/>
          <w:rFonts w:ascii="Bookman Old Style" w:hAnsi="Bookman Old Style" w:cs="Calibri"/>
          <w:szCs w:val="24"/>
        </w:rPr>
        <w:footnoteReference w:id="121"/>
      </w:r>
    </w:p>
    <w:p w14:paraId="60D098C2" w14:textId="77777777" w:rsidR="00F36280" w:rsidRPr="00485CC5" w:rsidRDefault="00F36280" w:rsidP="00F36280">
      <w:pPr>
        <w:jc w:val="both"/>
        <w:rPr>
          <w:rFonts w:ascii="Bookman Old Style" w:hAnsi="Bookman Old Style" w:cs="Calibri"/>
          <w:szCs w:val="24"/>
        </w:rPr>
      </w:pPr>
    </w:p>
    <w:p w14:paraId="3D8132C7" w14:textId="77777777"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Por otra parte, también la Comisión replantea la manera de medir indicadores de control de drogas a partir indicadores de los ODS. Algunas de las propuestas son</w:t>
      </w:r>
      <w:r w:rsidRPr="00485CC5">
        <w:rPr>
          <w:rStyle w:val="Refdenotaalpie"/>
          <w:rFonts w:ascii="Bookman Old Style" w:hAnsi="Bookman Old Style" w:cs="Calibri"/>
          <w:szCs w:val="24"/>
        </w:rPr>
        <w:footnoteReference w:id="122"/>
      </w:r>
      <w:r w:rsidRPr="00485CC5">
        <w:rPr>
          <w:rFonts w:ascii="Bookman Old Style" w:hAnsi="Bookman Old Style" w:cs="Calibri"/>
          <w:szCs w:val="24"/>
        </w:rPr>
        <w:t>:</w:t>
      </w:r>
    </w:p>
    <w:p w14:paraId="2085D024" w14:textId="77777777" w:rsidR="00F36280" w:rsidRPr="00485CC5" w:rsidRDefault="00F36280" w:rsidP="00F36280">
      <w:pPr>
        <w:jc w:val="both"/>
        <w:rPr>
          <w:rFonts w:ascii="Bookman Old Style" w:hAnsi="Bookman Old Style" w:cs="Calibri"/>
          <w:szCs w:val="24"/>
        </w:rPr>
      </w:pPr>
    </w:p>
    <w:p w14:paraId="488EB25F" w14:textId="77777777" w:rsidR="009718AC" w:rsidRDefault="00F36280" w:rsidP="00F36280">
      <w:pPr>
        <w:pStyle w:val="Prrafodelista"/>
        <w:numPr>
          <w:ilvl w:val="0"/>
          <w:numId w:val="6"/>
        </w:numPr>
        <w:spacing w:after="0" w:line="240" w:lineRule="auto"/>
        <w:jc w:val="both"/>
        <w:rPr>
          <w:rFonts w:ascii="Bookman Old Style" w:hAnsi="Bookman Old Style" w:cs="Calibri"/>
          <w:szCs w:val="24"/>
        </w:rPr>
      </w:pPr>
      <w:r w:rsidRPr="00485CC5">
        <w:rPr>
          <w:rFonts w:ascii="Bookman Old Style" w:hAnsi="Bookman Old Style" w:cs="Calibri"/>
          <w:szCs w:val="24"/>
        </w:rPr>
        <w:t>ODS 1: Hectáreas de cultivos erradicados vs. Pobreza en las familias donde los cultivos ilícitos son predominante fuente de ingreso.</w:t>
      </w:r>
    </w:p>
    <w:p w14:paraId="255DB051" w14:textId="77777777" w:rsidR="00F36280" w:rsidRPr="00485CC5" w:rsidRDefault="00F36280" w:rsidP="00621929">
      <w:pPr>
        <w:pStyle w:val="Prrafodelista"/>
        <w:spacing w:after="0" w:line="240" w:lineRule="auto"/>
        <w:jc w:val="both"/>
        <w:rPr>
          <w:rFonts w:ascii="Bookman Old Style" w:hAnsi="Bookman Old Style" w:cs="Calibri"/>
          <w:szCs w:val="24"/>
        </w:rPr>
      </w:pPr>
    </w:p>
    <w:p w14:paraId="1641EA0C" w14:textId="77777777" w:rsidR="009718AC" w:rsidRDefault="00F36280">
      <w:pPr>
        <w:pStyle w:val="Prrafodelista"/>
        <w:numPr>
          <w:ilvl w:val="0"/>
          <w:numId w:val="6"/>
        </w:numPr>
        <w:spacing w:after="0" w:line="240" w:lineRule="auto"/>
        <w:jc w:val="both"/>
        <w:rPr>
          <w:rFonts w:ascii="Bookman Old Style" w:hAnsi="Bookman Old Style" w:cs="Calibri"/>
          <w:szCs w:val="24"/>
        </w:rPr>
      </w:pPr>
      <w:r w:rsidRPr="00485CC5">
        <w:rPr>
          <w:rFonts w:ascii="Bookman Old Style" w:hAnsi="Bookman Old Style" w:cs="Calibri"/>
          <w:szCs w:val="24"/>
        </w:rPr>
        <w:t>ODS 5: número de Micro traficantes encarcelados vs. número de mujeres encarceladas por primera vez por delitos menores relacionados con drogas.</w:t>
      </w:r>
    </w:p>
    <w:p w14:paraId="79BC80EF" w14:textId="77777777" w:rsidR="00145FCB" w:rsidRPr="00621929" w:rsidRDefault="00145FCB" w:rsidP="00621929">
      <w:pPr>
        <w:pStyle w:val="Prrafodelista"/>
        <w:rPr>
          <w:rFonts w:ascii="Bookman Old Style" w:hAnsi="Bookman Old Style" w:cs="Calibri"/>
          <w:szCs w:val="24"/>
        </w:rPr>
      </w:pPr>
    </w:p>
    <w:p w14:paraId="4FAB41F7" w14:textId="77777777" w:rsidR="00145FCB" w:rsidRDefault="00145FCB">
      <w:pPr>
        <w:pStyle w:val="Prrafodelista"/>
        <w:numPr>
          <w:ilvl w:val="0"/>
          <w:numId w:val="6"/>
        </w:numPr>
        <w:spacing w:after="0" w:line="240" w:lineRule="auto"/>
        <w:jc w:val="both"/>
        <w:rPr>
          <w:rFonts w:ascii="Bookman Old Style" w:hAnsi="Bookman Old Style" w:cs="Calibri"/>
          <w:szCs w:val="24"/>
        </w:rPr>
      </w:pPr>
      <w:r w:rsidRPr="0049598F">
        <w:rPr>
          <w:rFonts w:ascii="Bookman Old Style" w:hAnsi="Bookman Old Style" w:cs="Calibri"/>
          <w:szCs w:val="24"/>
        </w:rPr>
        <w:t>ODS 16: número de personas procesadas en el sistema penal por delitos relacionados con drogas vs. número de personas acusadas de delitos no violentos relacionados con drogas que se han visto beneficiados de alternativas de encarcelamiento.</w:t>
      </w:r>
    </w:p>
    <w:p w14:paraId="780E855B" w14:textId="77777777" w:rsidR="00F36280" w:rsidRPr="00485CC5" w:rsidRDefault="00F36280" w:rsidP="00621929"/>
    <w:p w14:paraId="601EF216" w14:textId="77777777"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Finalmente, debemos resaltar que la Comisión Global de Políticas de Drogas recomienda que la lucha contra las drogas de la manera como ha sido planteada (prohibición y persecución del consumidor), ha marginado a personas vulnerables y causado “</w:t>
      </w:r>
      <w:r w:rsidRPr="00485CC5">
        <w:rPr>
          <w:rFonts w:ascii="Bookman Old Style" w:hAnsi="Bookman Old Style" w:cs="Calibri"/>
          <w:i/>
          <w:iCs/>
          <w:szCs w:val="24"/>
        </w:rPr>
        <w:t>daños graves en los sectores de la sociedad, la educación y la economía</w:t>
      </w:r>
      <w:r w:rsidRPr="00485CC5">
        <w:rPr>
          <w:rFonts w:ascii="Bookman Old Style" w:hAnsi="Bookman Old Style" w:cs="Calibri"/>
          <w:szCs w:val="24"/>
        </w:rPr>
        <w:t>”.</w:t>
      </w:r>
      <w:r w:rsidRPr="00485CC5">
        <w:rPr>
          <w:rStyle w:val="Refdenotaalpie"/>
          <w:rFonts w:ascii="Bookman Old Style" w:hAnsi="Bookman Old Style" w:cs="Calibri"/>
          <w:szCs w:val="24"/>
        </w:rPr>
        <w:footnoteReference w:id="123"/>
      </w:r>
      <w:r w:rsidRPr="00485CC5">
        <w:rPr>
          <w:rFonts w:ascii="Bookman Old Style" w:hAnsi="Bookman Old Style" w:cs="Calibri"/>
          <w:szCs w:val="24"/>
        </w:rPr>
        <w:t xml:space="preserve"> Además, señala que “</w:t>
      </w:r>
      <w:r w:rsidRPr="00485CC5">
        <w:rPr>
          <w:rFonts w:ascii="Bookman Old Style" w:hAnsi="Bookman Old Style" w:cs="Calibri"/>
          <w:i/>
          <w:iCs/>
          <w:szCs w:val="24"/>
        </w:rPr>
        <w:t>los países deben considerar la política de drogas como parte de una deliberación más amplia sobre el tipo de sociedades que desean lograr para 2030 y cuán inclusivas deberían ser esas sociedades. Como respuesta a cuestiones tan trascendentales, los países deberían avanzar hacia la regulación de las drogas actualmente ilegales, con miras a sacar el mercado ilegal de las manos de la delincuencia organizada y garantizar la salud, la seguridad, la dignidad y el desarrollo equitativo de sus poblaciones</w:t>
      </w:r>
      <w:r w:rsidRPr="00485CC5">
        <w:rPr>
          <w:rFonts w:ascii="Bookman Old Style" w:hAnsi="Bookman Old Style" w:cs="Calibri"/>
          <w:szCs w:val="24"/>
        </w:rPr>
        <w:t>”.</w:t>
      </w:r>
      <w:r w:rsidRPr="00485CC5">
        <w:rPr>
          <w:rStyle w:val="Refdenotaalpie"/>
          <w:rFonts w:ascii="Bookman Old Style" w:hAnsi="Bookman Old Style" w:cs="Calibri"/>
          <w:szCs w:val="24"/>
        </w:rPr>
        <w:footnoteReference w:id="124"/>
      </w:r>
    </w:p>
    <w:p w14:paraId="1E3A23EA" w14:textId="77777777" w:rsidR="00F36280" w:rsidRPr="00485CC5" w:rsidRDefault="00F36280" w:rsidP="00F36280">
      <w:pPr>
        <w:pStyle w:val="NormalWeb"/>
        <w:spacing w:before="0" w:beforeAutospacing="0" w:after="0" w:afterAutospacing="0"/>
        <w:ind w:right="115"/>
        <w:jc w:val="both"/>
        <w:rPr>
          <w:rFonts w:ascii="Bookman Old Style" w:hAnsi="Bookman Old Style" w:cs="Calibri"/>
          <w:color w:val="000000"/>
          <w:sz w:val="22"/>
        </w:rPr>
      </w:pPr>
    </w:p>
    <w:p w14:paraId="37808D64" w14:textId="77777777" w:rsidR="00F36280" w:rsidRPr="00485CC5" w:rsidRDefault="00F36280" w:rsidP="000B0FBF">
      <w:pPr>
        <w:pStyle w:val="Ttulo2"/>
        <w:numPr>
          <w:ilvl w:val="0"/>
          <w:numId w:val="35"/>
        </w:numPr>
        <w:ind w:left="-1133" w:firstLine="0"/>
        <w:jc w:val="center"/>
        <w:rPr>
          <w:rFonts w:ascii="Bookman Old Style" w:eastAsia="Calibri" w:hAnsi="Bookman Old Style" w:cs="Calibri"/>
          <w:sz w:val="22"/>
          <w:szCs w:val="24"/>
        </w:rPr>
      </w:pPr>
      <w:r w:rsidRPr="00485CC5">
        <w:rPr>
          <w:rFonts w:ascii="Bookman Old Style" w:eastAsia="Calibri" w:hAnsi="Bookman Old Style" w:cs="Calibri"/>
          <w:sz w:val="22"/>
          <w:szCs w:val="24"/>
        </w:rPr>
        <w:t>MODIFICACIONES A LA CONSTITUCIÓN</w:t>
      </w:r>
    </w:p>
    <w:p w14:paraId="59BD16CF" w14:textId="77777777" w:rsidR="00F36280" w:rsidRPr="00485CC5" w:rsidRDefault="00F36280" w:rsidP="00F36280">
      <w:pPr>
        <w:rPr>
          <w:rFonts w:ascii="Bookman Old Style" w:hAnsi="Bookman Old Style" w:cs="Calibri"/>
          <w:szCs w:val="24"/>
        </w:rPr>
      </w:pPr>
    </w:p>
    <w:tbl>
      <w:tblPr>
        <w:tblStyle w:val="Tablaconcuadrcula"/>
        <w:tblW w:w="9072" w:type="dxa"/>
        <w:tblInd w:w="-5" w:type="dxa"/>
        <w:tblLook w:val="04A0" w:firstRow="1" w:lastRow="0" w:firstColumn="1" w:lastColumn="0" w:noHBand="0" w:noVBand="1"/>
      </w:tblPr>
      <w:tblGrid>
        <w:gridCol w:w="4536"/>
        <w:gridCol w:w="4536"/>
      </w:tblGrid>
      <w:tr w:rsidR="00F36280" w:rsidRPr="00485CC5" w14:paraId="1F911420" w14:textId="77777777" w:rsidTr="005B5FC0">
        <w:tc>
          <w:tcPr>
            <w:tcW w:w="4536" w:type="dxa"/>
          </w:tcPr>
          <w:p w14:paraId="4620E91A" w14:textId="77777777" w:rsidR="00F36280" w:rsidRPr="00485CC5" w:rsidRDefault="00F36280" w:rsidP="005B5FC0">
            <w:pPr>
              <w:ind w:right="616"/>
              <w:jc w:val="right"/>
              <w:rPr>
                <w:rFonts w:ascii="Bookman Old Style" w:hAnsi="Bookman Old Style" w:cs="Calibri"/>
                <w:b/>
                <w:szCs w:val="24"/>
              </w:rPr>
            </w:pPr>
            <w:bookmarkStart w:id="6" w:name="Nivel078"/>
            <w:r w:rsidRPr="00485CC5">
              <w:rPr>
                <w:rFonts w:ascii="Bookman Old Style" w:hAnsi="Bookman Old Style" w:cs="Calibri"/>
                <w:b/>
                <w:szCs w:val="24"/>
              </w:rPr>
              <w:t>TEXTO LEGAL VIGENTE</w:t>
            </w:r>
          </w:p>
        </w:tc>
        <w:tc>
          <w:tcPr>
            <w:tcW w:w="4536" w:type="dxa"/>
          </w:tcPr>
          <w:p w14:paraId="779B657B" w14:textId="77777777" w:rsidR="00F36280" w:rsidRPr="00485CC5" w:rsidRDefault="00F36280" w:rsidP="005B5FC0">
            <w:pPr>
              <w:ind w:right="884"/>
              <w:jc w:val="right"/>
              <w:rPr>
                <w:rFonts w:ascii="Bookman Old Style" w:hAnsi="Bookman Old Style" w:cs="Calibri"/>
                <w:b/>
                <w:szCs w:val="24"/>
              </w:rPr>
            </w:pPr>
            <w:r w:rsidRPr="00485CC5">
              <w:rPr>
                <w:rFonts w:ascii="Bookman Old Style" w:hAnsi="Bookman Old Style" w:cs="Calibri"/>
                <w:b/>
                <w:szCs w:val="24"/>
              </w:rPr>
              <w:t>TEXTO PROPUESTO</w:t>
            </w:r>
          </w:p>
        </w:tc>
      </w:tr>
      <w:tr w:rsidR="00F36280" w:rsidRPr="00485CC5" w14:paraId="5E31EDF7" w14:textId="77777777" w:rsidTr="005B5FC0">
        <w:tc>
          <w:tcPr>
            <w:tcW w:w="4536" w:type="dxa"/>
          </w:tcPr>
          <w:p w14:paraId="1BBDCD98" w14:textId="77777777" w:rsidR="00F36280" w:rsidRPr="00485CC5" w:rsidRDefault="00F36280" w:rsidP="005B5FC0">
            <w:pPr>
              <w:ind w:left="29"/>
              <w:jc w:val="center"/>
              <w:rPr>
                <w:rFonts w:ascii="Bookman Old Style" w:hAnsi="Bookman Old Style" w:cs="Calibri"/>
                <w:b/>
                <w:szCs w:val="24"/>
                <w:lang w:val="es-ES_tradnl"/>
              </w:rPr>
            </w:pPr>
            <w:r w:rsidRPr="00485CC5">
              <w:rPr>
                <w:rFonts w:ascii="Bookman Old Style" w:hAnsi="Bookman Old Style" w:cs="Calibri"/>
                <w:b/>
                <w:szCs w:val="24"/>
                <w:lang w:val="es-ES_tradnl"/>
              </w:rPr>
              <w:t>Constitución Política de Colombia</w:t>
            </w:r>
          </w:p>
          <w:p w14:paraId="5B84FC03" w14:textId="77777777" w:rsidR="00F36280" w:rsidRPr="00485CC5" w:rsidRDefault="00F36280" w:rsidP="005B5FC0">
            <w:pPr>
              <w:ind w:left="29"/>
              <w:jc w:val="both"/>
              <w:rPr>
                <w:rFonts w:ascii="Bookman Old Style" w:hAnsi="Bookman Old Style" w:cs="Calibri"/>
                <w:b/>
                <w:szCs w:val="24"/>
                <w:lang w:val="es-ES_tradnl"/>
              </w:rPr>
            </w:pPr>
          </w:p>
          <w:p w14:paraId="17C4D6FC" w14:textId="77777777" w:rsidR="00F36280" w:rsidRPr="00485CC5" w:rsidRDefault="00F36280" w:rsidP="005B5FC0">
            <w:pPr>
              <w:ind w:left="29"/>
              <w:jc w:val="both"/>
              <w:rPr>
                <w:rFonts w:ascii="Bookman Old Style" w:hAnsi="Bookman Old Style" w:cs="Calibri"/>
                <w:szCs w:val="24"/>
                <w:lang w:val="es-ES_tradnl"/>
              </w:rPr>
            </w:pPr>
            <w:r w:rsidRPr="00485CC5">
              <w:rPr>
                <w:rFonts w:ascii="Bookman Old Style" w:hAnsi="Bookman Old Style" w:cs="Calibri"/>
                <w:b/>
                <w:szCs w:val="24"/>
                <w:lang w:val="es-ES_tradnl"/>
              </w:rPr>
              <w:t>ARTICULO 49.</w:t>
            </w:r>
            <w:r w:rsidRPr="00485CC5">
              <w:rPr>
                <w:rFonts w:ascii="Bookman Old Style" w:hAnsi="Bookman Old Style" w:cs="Calibri"/>
                <w:szCs w:val="24"/>
                <w:lang w:val="es-ES_tradnl"/>
              </w:rPr>
              <w:t xml:space="preserve"> La atención de la salud y el saneamiento ambiental son servicios públicos a cargo del Estado. Se garantiza a todas las personas el acceso a los servicios de promoción, protección y recuperación de la salud.</w:t>
            </w:r>
          </w:p>
          <w:p w14:paraId="7578377E" w14:textId="77777777" w:rsidR="00F36280" w:rsidRPr="00485CC5" w:rsidRDefault="00F36280" w:rsidP="005B5FC0">
            <w:pPr>
              <w:ind w:left="29"/>
              <w:jc w:val="both"/>
              <w:rPr>
                <w:rFonts w:ascii="Bookman Old Style" w:hAnsi="Bookman Old Style" w:cs="Calibri"/>
                <w:szCs w:val="24"/>
                <w:lang w:val="es-ES_tradnl"/>
              </w:rPr>
            </w:pPr>
          </w:p>
          <w:p w14:paraId="1FF5D496" w14:textId="77777777" w:rsidR="00F36280" w:rsidRPr="00485CC5" w:rsidRDefault="00F36280" w:rsidP="005B5FC0">
            <w:pPr>
              <w:ind w:left="29"/>
              <w:jc w:val="both"/>
              <w:rPr>
                <w:rFonts w:ascii="Bookman Old Style" w:hAnsi="Bookman Old Style" w:cs="Calibri"/>
                <w:szCs w:val="24"/>
                <w:lang w:val="es-ES_tradnl"/>
              </w:rPr>
            </w:pPr>
            <w:r w:rsidRPr="00485CC5">
              <w:rPr>
                <w:rFonts w:ascii="Bookman Old Style" w:hAnsi="Bookman Old Style" w:cs="Calibri"/>
                <w:szCs w:val="24"/>
                <w:lang w:val="es-ES_tradnl"/>
              </w:rPr>
              <w:t>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w:t>
            </w:r>
          </w:p>
          <w:p w14:paraId="34E9430D" w14:textId="77777777" w:rsidR="00F36280" w:rsidRPr="00485CC5" w:rsidRDefault="00F36280" w:rsidP="005B5FC0">
            <w:pPr>
              <w:ind w:left="29"/>
              <w:jc w:val="both"/>
              <w:rPr>
                <w:rFonts w:ascii="Bookman Old Style" w:hAnsi="Bookman Old Style" w:cs="Calibri"/>
                <w:szCs w:val="24"/>
                <w:lang w:val="es-ES_tradnl"/>
              </w:rPr>
            </w:pPr>
          </w:p>
          <w:p w14:paraId="73BE2B47" w14:textId="77777777" w:rsidR="00F36280" w:rsidRPr="00485CC5" w:rsidRDefault="00F36280" w:rsidP="005B5FC0">
            <w:pPr>
              <w:ind w:left="29"/>
              <w:jc w:val="both"/>
              <w:rPr>
                <w:rFonts w:ascii="Bookman Old Style" w:hAnsi="Bookman Old Style" w:cs="Calibri"/>
                <w:szCs w:val="24"/>
                <w:lang w:val="es-ES_tradnl"/>
              </w:rPr>
            </w:pPr>
            <w:r w:rsidRPr="00485CC5">
              <w:rPr>
                <w:rFonts w:ascii="Bookman Old Style" w:hAnsi="Bookman Old Style" w:cs="Calibri"/>
                <w:szCs w:val="24"/>
                <w:lang w:val="es-ES_tradnl"/>
              </w:rPr>
              <w:t>Los servicios de salud se organizarán en forma descentralizada, por niveles de atención y con participación de la comunidad.</w:t>
            </w:r>
          </w:p>
          <w:p w14:paraId="618F2FA9" w14:textId="77777777" w:rsidR="00F36280" w:rsidRPr="00485CC5" w:rsidRDefault="00F36280" w:rsidP="005B5FC0">
            <w:pPr>
              <w:ind w:left="29"/>
              <w:jc w:val="both"/>
              <w:rPr>
                <w:rFonts w:ascii="Bookman Old Style" w:hAnsi="Bookman Old Style" w:cs="Calibri"/>
                <w:szCs w:val="24"/>
                <w:lang w:val="es-ES_tradnl"/>
              </w:rPr>
            </w:pPr>
          </w:p>
          <w:p w14:paraId="4D2463C0" w14:textId="77777777" w:rsidR="00F36280" w:rsidRPr="00485CC5" w:rsidRDefault="00F36280" w:rsidP="005B5FC0">
            <w:pPr>
              <w:ind w:left="29"/>
              <w:jc w:val="both"/>
              <w:rPr>
                <w:rFonts w:ascii="Bookman Old Style" w:hAnsi="Bookman Old Style" w:cs="Calibri"/>
                <w:szCs w:val="24"/>
                <w:lang w:val="es-ES_tradnl"/>
              </w:rPr>
            </w:pPr>
            <w:r w:rsidRPr="00485CC5">
              <w:rPr>
                <w:rFonts w:ascii="Bookman Old Style" w:hAnsi="Bookman Old Style" w:cs="Calibri"/>
                <w:szCs w:val="24"/>
                <w:lang w:val="es-ES_tradnl"/>
              </w:rPr>
              <w:t>La ley señalará los términos en los cuales la atención básica para todos los habitantes será gratuita y obligatoria.</w:t>
            </w:r>
          </w:p>
          <w:p w14:paraId="0813922C" w14:textId="77777777" w:rsidR="00F36280" w:rsidRPr="00485CC5" w:rsidRDefault="00F36280" w:rsidP="005B5FC0">
            <w:pPr>
              <w:ind w:left="29"/>
              <w:jc w:val="both"/>
              <w:rPr>
                <w:rFonts w:ascii="Bookman Old Style" w:hAnsi="Bookman Old Style" w:cs="Calibri"/>
                <w:szCs w:val="24"/>
                <w:lang w:val="es-ES_tradnl"/>
              </w:rPr>
            </w:pPr>
          </w:p>
          <w:p w14:paraId="71DB5828" w14:textId="77777777" w:rsidR="00F36280" w:rsidRPr="00485CC5" w:rsidRDefault="00F36280" w:rsidP="005B5FC0">
            <w:pPr>
              <w:ind w:left="29"/>
              <w:jc w:val="both"/>
              <w:rPr>
                <w:rFonts w:ascii="Bookman Old Style" w:hAnsi="Bookman Old Style" w:cs="Calibri"/>
                <w:szCs w:val="24"/>
                <w:lang w:val="es-ES_tradnl"/>
              </w:rPr>
            </w:pPr>
            <w:r w:rsidRPr="00485CC5">
              <w:rPr>
                <w:rFonts w:ascii="Bookman Old Style" w:hAnsi="Bookman Old Style" w:cs="Calibri"/>
                <w:szCs w:val="24"/>
                <w:lang w:val="es-ES_tradnl"/>
              </w:rPr>
              <w:t>Toda persona tiene el deber de procurar el cuidado integral de su salud y de su comunidad.</w:t>
            </w:r>
          </w:p>
          <w:p w14:paraId="06D1DCE3" w14:textId="77777777" w:rsidR="00F36280" w:rsidRPr="00485CC5" w:rsidRDefault="00F36280" w:rsidP="005B5FC0">
            <w:pPr>
              <w:ind w:left="29"/>
              <w:jc w:val="both"/>
              <w:rPr>
                <w:rFonts w:ascii="Bookman Old Style" w:hAnsi="Bookman Old Style" w:cs="Calibri"/>
                <w:szCs w:val="24"/>
                <w:lang w:val="es-ES_tradnl"/>
              </w:rPr>
            </w:pPr>
          </w:p>
          <w:p w14:paraId="3C13A8BD" w14:textId="77777777" w:rsidR="00F36280" w:rsidRPr="00485CC5" w:rsidRDefault="00F36280" w:rsidP="005B5FC0">
            <w:pPr>
              <w:ind w:left="29"/>
              <w:jc w:val="both"/>
              <w:rPr>
                <w:rFonts w:ascii="Bookman Old Style" w:hAnsi="Bookman Old Style" w:cs="Calibri"/>
                <w:szCs w:val="24"/>
                <w:lang w:val="es-ES_tradnl"/>
              </w:rPr>
            </w:pPr>
            <w:r w:rsidRPr="00485CC5">
              <w:rPr>
                <w:rFonts w:ascii="Bookman Old Style" w:hAnsi="Bookman Old Style" w:cs="Calibri"/>
                <w:szCs w:val="24"/>
                <w:lang w:val="es-ES_tradnl"/>
              </w:rPr>
              <w:t>El porte y el consumo de sustancias estupefacientes o sicotrópicas está prohibido, salvo prescripción médica. Con fines preventivos y rehabilitadores la ley establecerá medidas y tratamientos administrativos de orden pedagógico, profiláctico o terapéutico para las personas que consuman dichas sustancias. El sometimiento a esas medidas y tratamientos requiere el consentimiento informado del adicto.</w:t>
            </w:r>
          </w:p>
          <w:p w14:paraId="593D1DF2" w14:textId="77777777" w:rsidR="00F36280" w:rsidRPr="00485CC5" w:rsidRDefault="00F36280" w:rsidP="005B5FC0">
            <w:pPr>
              <w:ind w:left="29"/>
              <w:jc w:val="both"/>
              <w:rPr>
                <w:rFonts w:ascii="Bookman Old Style" w:hAnsi="Bookman Old Style" w:cs="Calibri"/>
                <w:szCs w:val="24"/>
                <w:lang w:val="es-ES_tradnl"/>
              </w:rPr>
            </w:pPr>
          </w:p>
          <w:p w14:paraId="18B2AB1A" w14:textId="77777777" w:rsidR="00F36280" w:rsidRPr="00485CC5" w:rsidRDefault="00F36280" w:rsidP="005B5FC0">
            <w:pPr>
              <w:ind w:left="29"/>
              <w:jc w:val="both"/>
              <w:rPr>
                <w:rFonts w:ascii="Bookman Old Style" w:hAnsi="Bookman Old Style" w:cs="Calibri"/>
                <w:szCs w:val="24"/>
                <w:lang w:val="es-ES_tradnl"/>
              </w:rPr>
            </w:pPr>
          </w:p>
          <w:p w14:paraId="195AC449" w14:textId="77777777" w:rsidR="00F36280" w:rsidRPr="00485CC5" w:rsidRDefault="00F36280" w:rsidP="005B5FC0">
            <w:pPr>
              <w:ind w:left="29"/>
              <w:jc w:val="both"/>
              <w:rPr>
                <w:rFonts w:ascii="Bookman Old Style" w:hAnsi="Bookman Old Style" w:cs="Calibri"/>
                <w:szCs w:val="24"/>
                <w:lang w:val="es-ES_tradnl"/>
              </w:rPr>
            </w:pPr>
          </w:p>
          <w:p w14:paraId="4A28F511" w14:textId="77777777" w:rsidR="00F36280" w:rsidRPr="00485CC5" w:rsidRDefault="00F36280" w:rsidP="005B5FC0">
            <w:pPr>
              <w:ind w:left="29"/>
              <w:jc w:val="both"/>
              <w:rPr>
                <w:rFonts w:ascii="Bookman Old Style" w:hAnsi="Bookman Old Style" w:cs="Calibri"/>
                <w:szCs w:val="24"/>
                <w:lang w:val="es-ES_tradnl"/>
              </w:rPr>
            </w:pPr>
          </w:p>
          <w:p w14:paraId="204E7122" w14:textId="77777777" w:rsidR="00F36280" w:rsidRPr="00485CC5" w:rsidRDefault="00F36280" w:rsidP="005B5FC0">
            <w:pPr>
              <w:ind w:left="29"/>
              <w:jc w:val="both"/>
              <w:rPr>
                <w:rFonts w:ascii="Bookman Old Style" w:hAnsi="Bookman Old Style" w:cs="Calibri"/>
                <w:szCs w:val="24"/>
                <w:lang w:val="es-ES_tradnl"/>
              </w:rPr>
            </w:pPr>
          </w:p>
          <w:p w14:paraId="7C56E4AA" w14:textId="77777777" w:rsidR="00F36280" w:rsidRPr="00485CC5" w:rsidRDefault="00F36280" w:rsidP="005B5FC0">
            <w:pPr>
              <w:ind w:left="29"/>
              <w:jc w:val="both"/>
              <w:rPr>
                <w:rFonts w:ascii="Bookman Old Style" w:hAnsi="Bookman Old Style" w:cs="Calibri"/>
                <w:szCs w:val="24"/>
                <w:lang w:val="es-ES_tradnl"/>
              </w:rPr>
            </w:pPr>
          </w:p>
          <w:p w14:paraId="2C8F3A41" w14:textId="77777777" w:rsidR="00F36280" w:rsidRPr="00485CC5" w:rsidRDefault="00F36280" w:rsidP="005B5FC0">
            <w:pPr>
              <w:ind w:left="29"/>
              <w:jc w:val="both"/>
              <w:rPr>
                <w:rFonts w:ascii="Bookman Old Style" w:hAnsi="Bookman Old Style" w:cs="Calibri"/>
                <w:szCs w:val="24"/>
                <w:lang w:val="es-ES_tradnl"/>
              </w:rPr>
            </w:pPr>
          </w:p>
          <w:p w14:paraId="0DBAAA0E" w14:textId="77777777" w:rsidR="00F36280" w:rsidRPr="00485CC5" w:rsidRDefault="00F36280" w:rsidP="005B5FC0">
            <w:pPr>
              <w:ind w:left="29"/>
              <w:jc w:val="both"/>
              <w:rPr>
                <w:rFonts w:ascii="Bookman Old Style" w:hAnsi="Bookman Old Style" w:cs="Calibri"/>
                <w:szCs w:val="24"/>
                <w:lang w:val="es-ES_tradnl"/>
              </w:rPr>
            </w:pPr>
          </w:p>
          <w:p w14:paraId="4D1A97C7" w14:textId="77777777" w:rsidR="00F36280" w:rsidRPr="00485CC5" w:rsidRDefault="00F36280" w:rsidP="005B5FC0">
            <w:pPr>
              <w:ind w:left="29"/>
              <w:jc w:val="both"/>
              <w:rPr>
                <w:rFonts w:ascii="Bookman Old Style" w:hAnsi="Bookman Old Style" w:cs="Calibri"/>
                <w:szCs w:val="24"/>
                <w:lang w:val="es-ES_tradnl"/>
              </w:rPr>
            </w:pPr>
          </w:p>
          <w:p w14:paraId="103D8C15" w14:textId="77777777" w:rsidR="00F36280" w:rsidRPr="00485CC5" w:rsidRDefault="00F36280" w:rsidP="005B5FC0">
            <w:pPr>
              <w:ind w:left="29"/>
              <w:jc w:val="both"/>
              <w:rPr>
                <w:rFonts w:ascii="Bookman Old Style" w:hAnsi="Bookman Old Style" w:cs="Calibri"/>
                <w:szCs w:val="24"/>
                <w:lang w:val="es-ES_tradnl"/>
              </w:rPr>
            </w:pPr>
          </w:p>
          <w:p w14:paraId="2433AC7D" w14:textId="77777777" w:rsidR="00F36280" w:rsidRPr="00485CC5" w:rsidRDefault="00F36280" w:rsidP="005B5FC0">
            <w:pPr>
              <w:ind w:left="29"/>
              <w:jc w:val="both"/>
              <w:rPr>
                <w:rFonts w:ascii="Bookman Old Style" w:hAnsi="Bookman Old Style" w:cs="Calibri"/>
                <w:szCs w:val="24"/>
                <w:lang w:val="es-ES_tradnl"/>
              </w:rPr>
            </w:pPr>
          </w:p>
          <w:p w14:paraId="6D6D0D5A" w14:textId="77777777" w:rsidR="00F36280" w:rsidRPr="00485CC5" w:rsidRDefault="00F36280" w:rsidP="005B5FC0">
            <w:pPr>
              <w:ind w:left="29"/>
              <w:jc w:val="both"/>
              <w:rPr>
                <w:rFonts w:ascii="Bookman Old Style" w:hAnsi="Bookman Old Style" w:cs="Calibri"/>
                <w:szCs w:val="24"/>
                <w:lang w:val="es-ES_tradnl"/>
              </w:rPr>
            </w:pPr>
          </w:p>
          <w:p w14:paraId="0BA61CA6" w14:textId="77777777" w:rsidR="00F36280" w:rsidRPr="00485CC5" w:rsidRDefault="00F36280" w:rsidP="005B5FC0">
            <w:pPr>
              <w:ind w:left="29"/>
              <w:jc w:val="both"/>
              <w:rPr>
                <w:rFonts w:ascii="Bookman Old Style" w:hAnsi="Bookman Old Style" w:cs="Calibri"/>
                <w:szCs w:val="24"/>
                <w:lang w:val="es-ES_tradnl"/>
              </w:rPr>
            </w:pPr>
          </w:p>
          <w:p w14:paraId="7EA5D5F5" w14:textId="77777777" w:rsidR="000046EF" w:rsidRDefault="000046EF" w:rsidP="005B5FC0">
            <w:pPr>
              <w:ind w:left="29"/>
              <w:jc w:val="both"/>
              <w:rPr>
                <w:rFonts w:ascii="Bookman Old Style" w:hAnsi="Bookman Old Style" w:cs="Calibri"/>
                <w:szCs w:val="24"/>
                <w:lang w:val="es-ES_tradnl"/>
              </w:rPr>
            </w:pPr>
          </w:p>
          <w:p w14:paraId="3B0E070C" w14:textId="77777777" w:rsidR="000046EF" w:rsidRDefault="000046EF" w:rsidP="005B5FC0">
            <w:pPr>
              <w:ind w:left="29"/>
              <w:jc w:val="both"/>
              <w:rPr>
                <w:rFonts w:ascii="Bookman Old Style" w:hAnsi="Bookman Old Style" w:cs="Calibri"/>
                <w:szCs w:val="24"/>
                <w:lang w:val="es-ES_tradnl"/>
              </w:rPr>
            </w:pPr>
          </w:p>
          <w:p w14:paraId="0F58B645" w14:textId="77777777" w:rsidR="00F36280" w:rsidRPr="00706B77" w:rsidRDefault="00F36280" w:rsidP="00706B77">
            <w:pPr>
              <w:jc w:val="both"/>
              <w:rPr>
                <w:rFonts w:ascii="Bookman Old Style" w:hAnsi="Bookman Old Style" w:cs="Calibri"/>
                <w:szCs w:val="24"/>
                <w:lang w:val="es-ES_tradnl"/>
              </w:rPr>
            </w:pPr>
            <w:r w:rsidRPr="00485CC5">
              <w:rPr>
                <w:rFonts w:ascii="Bookman Old Style" w:hAnsi="Bookman Old Style" w:cs="Calibri"/>
                <w:szCs w:val="24"/>
                <w:lang w:val="es-ES_tradnl"/>
              </w:rPr>
              <w:t>Así mismo el Estado dedicará especial atención al enfermo dependiente o adicto y a su familia para fortalecerla en valores y principios que contribuyan a prevenir comportamientos que afecten el cuidado integral de la salud de las personas y, por consiguiente, de la comunidad, y desarrollará en forma permanente campañas de prevención contra el consumo de drogas o sustancias estupefacientes y en favor de la recuperación de los adictos.</w:t>
            </w:r>
          </w:p>
        </w:tc>
        <w:tc>
          <w:tcPr>
            <w:tcW w:w="4536" w:type="dxa"/>
          </w:tcPr>
          <w:p w14:paraId="595531FB" w14:textId="77777777" w:rsidR="00F36280" w:rsidRPr="00485CC5" w:rsidRDefault="00F36280" w:rsidP="005B5FC0">
            <w:pPr>
              <w:ind w:left="29"/>
              <w:jc w:val="center"/>
              <w:rPr>
                <w:rFonts w:ascii="Bookman Old Style" w:hAnsi="Bookman Old Style" w:cs="Calibri"/>
                <w:b/>
                <w:szCs w:val="24"/>
              </w:rPr>
            </w:pPr>
            <w:r w:rsidRPr="00485CC5">
              <w:rPr>
                <w:rFonts w:ascii="Bookman Old Style" w:hAnsi="Bookman Old Style" w:cs="Calibri"/>
                <w:b/>
                <w:szCs w:val="24"/>
              </w:rPr>
              <w:t>Constitución Política de Colombia</w:t>
            </w:r>
          </w:p>
          <w:p w14:paraId="346B5DE0" w14:textId="77777777" w:rsidR="00F36280" w:rsidRPr="00485CC5" w:rsidRDefault="00F36280" w:rsidP="005B5FC0">
            <w:pPr>
              <w:ind w:left="29"/>
              <w:jc w:val="center"/>
              <w:rPr>
                <w:rFonts w:ascii="Bookman Old Style" w:hAnsi="Bookman Old Style" w:cs="Calibri"/>
                <w:b/>
                <w:szCs w:val="24"/>
              </w:rPr>
            </w:pPr>
          </w:p>
          <w:p w14:paraId="15FD1F3D" w14:textId="77777777" w:rsidR="00F36280" w:rsidRPr="00485CC5" w:rsidRDefault="00F36280" w:rsidP="005B5FC0">
            <w:pPr>
              <w:ind w:left="29"/>
              <w:jc w:val="both"/>
              <w:rPr>
                <w:rFonts w:ascii="Bookman Old Style" w:hAnsi="Bookman Old Style" w:cs="Calibri"/>
                <w:szCs w:val="24"/>
                <w:lang w:val="es-ES_tradnl"/>
              </w:rPr>
            </w:pPr>
            <w:r w:rsidRPr="00485CC5">
              <w:rPr>
                <w:rFonts w:ascii="Bookman Old Style" w:hAnsi="Bookman Old Style" w:cs="Calibri"/>
                <w:b/>
                <w:szCs w:val="24"/>
              </w:rPr>
              <w:t xml:space="preserve">ARTÍCULO 49. </w:t>
            </w:r>
            <w:r w:rsidRPr="00485CC5">
              <w:rPr>
                <w:rFonts w:ascii="Bookman Old Style" w:eastAsia="Times New Roman" w:hAnsi="Bookman Old Style" w:cs="Calibri"/>
                <w:szCs w:val="24"/>
                <w:lang w:eastAsia="es-CO"/>
              </w:rPr>
              <w:t>La atención de la salud y el saneamiento ambiental son servicios públicos a cargo del Estado. Se garantiza a todas las personas el acceso a los servicios de   promoción, protección y recuperación de la salud.</w:t>
            </w:r>
            <w:r w:rsidRPr="00485CC5">
              <w:rPr>
                <w:rFonts w:ascii="Bookman Old Style" w:eastAsia="Times New Roman" w:hAnsi="Bookman Old Style" w:cs="Calibri"/>
                <w:szCs w:val="24"/>
                <w:lang w:eastAsia="es-CO"/>
              </w:rPr>
              <w:br/>
            </w:r>
            <w:r w:rsidRPr="00485CC5">
              <w:rPr>
                <w:rFonts w:ascii="Bookman Old Style" w:eastAsia="Times New Roman" w:hAnsi="Bookman Old Style" w:cs="Calibri"/>
                <w:szCs w:val="24"/>
                <w:lang w:eastAsia="es-CO"/>
              </w:rPr>
              <w:br/>
            </w:r>
            <w:r w:rsidRPr="00485CC5">
              <w:rPr>
                <w:rFonts w:ascii="Bookman Old Style" w:hAnsi="Bookman Old Style" w:cs="Calibri"/>
                <w:szCs w:val="24"/>
                <w:lang w:val="es-ES_tradnl"/>
              </w:rPr>
              <w:t>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w:t>
            </w:r>
          </w:p>
          <w:p w14:paraId="2AA417DD" w14:textId="77777777" w:rsidR="00F36280" w:rsidRPr="00485CC5" w:rsidRDefault="00F36280" w:rsidP="005B5FC0">
            <w:pPr>
              <w:ind w:left="29"/>
              <w:jc w:val="both"/>
              <w:rPr>
                <w:rFonts w:ascii="Bookman Old Style" w:hAnsi="Bookman Old Style" w:cs="Calibri"/>
                <w:szCs w:val="24"/>
                <w:lang w:val="es-ES_tradnl"/>
              </w:rPr>
            </w:pPr>
          </w:p>
          <w:p w14:paraId="743455AB" w14:textId="77777777" w:rsidR="00F36280" w:rsidRPr="00485CC5" w:rsidRDefault="00F36280" w:rsidP="005B5FC0">
            <w:pPr>
              <w:ind w:left="29"/>
              <w:jc w:val="both"/>
              <w:rPr>
                <w:rFonts w:ascii="Bookman Old Style" w:hAnsi="Bookman Old Style" w:cs="Calibri"/>
                <w:szCs w:val="24"/>
                <w:lang w:val="es-ES_tradnl"/>
              </w:rPr>
            </w:pPr>
            <w:r w:rsidRPr="00485CC5">
              <w:rPr>
                <w:rFonts w:ascii="Bookman Old Style" w:hAnsi="Bookman Old Style" w:cs="Calibri"/>
                <w:szCs w:val="24"/>
                <w:lang w:val="es-ES_tradnl"/>
              </w:rPr>
              <w:t>Los servicios de salud se organizarán en forma descentralizada, por niveles de atención y con participación de la comunidad.</w:t>
            </w:r>
          </w:p>
          <w:p w14:paraId="16C77FE7" w14:textId="77777777" w:rsidR="00F36280" w:rsidRPr="00485CC5" w:rsidRDefault="00F36280" w:rsidP="005B5FC0">
            <w:pPr>
              <w:ind w:left="29"/>
              <w:jc w:val="both"/>
              <w:rPr>
                <w:rFonts w:ascii="Bookman Old Style" w:hAnsi="Bookman Old Style" w:cs="Calibri"/>
                <w:szCs w:val="24"/>
                <w:lang w:val="es-ES_tradnl"/>
              </w:rPr>
            </w:pPr>
          </w:p>
          <w:p w14:paraId="7E828147" w14:textId="77777777" w:rsidR="00F36280" w:rsidRPr="00485CC5" w:rsidRDefault="00F36280" w:rsidP="005B5FC0">
            <w:pPr>
              <w:ind w:left="29"/>
              <w:jc w:val="both"/>
              <w:rPr>
                <w:rFonts w:ascii="Bookman Old Style" w:hAnsi="Bookman Old Style" w:cs="Calibri"/>
                <w:szCs w:val="24"/>
                <w:lang w:val="es-ES_tradnl"/>
              </w:rPr>
            </w:pPr>
            <w:r w:rsidRPr="00485CC5">
              <w:rPr>
                <w:rFonts w:ascii="Bookman Old Style" w:hAnsi="Bookman Old Style" w:cs="Calibri"/>
                <w:szCs w:val="24"/>
                <w:lang w:val="es-ES_tradnl"/>
              </w:rPr>
              <w:t>La ley señalará los términos en los cuales la atención básica para todos los habitantes será gratuita y obligatoria.</w:t>
            </w:r>
          </w:p>
          <w:p w14:paraId="6FA6821E" w14:textId="77777777" w:rsidR="00F36280" w:rsidRPr="00485CC5" w:rsidRDefault="00F36280" w:rsidP="005B5FC0">
            <w:pPr>
              <w:ind w:left="29"/>
              <w:jc w:val="both"/>
              <w:rPr>
                <w:rFonts w:ascii="Bookman Old Style" w:hAnsi="Bookman Old Style" w:cs="Calibri"/>
                <w:szCs w:val="24"/>
                <w:lang w:val="es-ES_tradnl"/>
              </w:rPr>
            </w:pPr>
          </w:p>
          <w:p w14:paraId="61DAA684" w14:textId="77777777" w:rsidR="00F36280" w:rsidRPr="00485CC5" w:rsidRDefault="00F36280" w:rsidP="005B5FC0">
            <w:pPr>
              <w:ind w:left="29"/>
              <w:jc w:val="both"/>
              <w:rPr>
                <w:rFonts w:ascii="Bookman Old Style" w:hAnsi="Bookman Old Style" w:cs="Calibri"/>
                <w:szCs w:val="24"/>
                <w:lang w:val="es-ES_tradnl"/>
              </w:rPr>
            </w:pPr>
            <w:r w:rsidRPr="00485CC5">
              <w:rPr>
                <w:rFonts w:ascii="Bookman Old Style" w:hAnsi="Bookman Old Style" w:cs="Calibri"/>
                <w:szCs w:val="24"/>
                <w:lang w:val="es-ES_tradnl"/>
              </w:rPr>
              <w:t>Toda persona tiene el deber de procurar el cuidado integral de su salud y de su comunidad.</w:t>
            </w:r>
          </w:p>
          <w:p w14:paraId="1C330C44" w14:textId="77777777" w:rsidR="00F36280" w:rsidRPr="00485CC5" w:rsidRDefault="00F36280" w:rsidP="005B5FC0">
            <w:pPr>
              <w:ind w:left="29"/>
              <w:jc w:val="both"/>
              <w:rPr>
                <w:rFonts w:ascii="Bookman Old Style" w:hAnsi="Bookman Old Style" w:cs="Calibri"/>
                <w:szCs w:val="24"/>
                <w:lang w:val="es-ES_tradnl"/>
              </w:rPr>
            </w:pPr>
            <w:r w:rsidRPr="00485CC5">
              <w:rPr>
                <w:rFonts w:ascii="Bookman Old Style" w:eastAsia="Times New Roman" w:hAnsi="Bookman Old Style" w:cs="Calibri"/>
                <w:b/>
                <w:strike/>
                <w:szCs w:val="24"/>
                <w:lang w:eastAsia="es-CO"/>
              </w:rPr>
              <w:t xml:space="preserve"> </w:t>
            </w:r>
          </w:p>
          <w:p w14:paraId="6D6A5F46" w14:textId="77777777" w:rsidR="00F36280" w:rsidRPr="00485CC5" w:rsidRDefault="00F36280" w:rsidP="005B5FC0">
            <w:pPr>
              <w:ind w:left="29"/>
              <w:jc w:val="both"/>
              <w:rPr>
                <w:rFonts w:ascii="Bookman Old Style" w:hAnsi="Bookman Old Style" w:cs="Calibri"/>
                <w:szCs w:val="24"/>
                <w:lang w:val="es-ES_tradnl"/>
              </w:rPr>
            </w:pPr>
            <w:r w:rsidRPr="00485CC5">
              <w:rPr>
                <w:rFonts w:ascii="Bookman Old Style" w:hAnsi="Bookman Old Style" w:cs="Calibri"/>
                <w:szCs w:val="24"/>
                <w:lang w:val="es-ES_tradnl"/>
              </w:rPr>
              <w:t>El porte y el consumo de sustancias estupefacientes o sicotrópicas está prohibido, salvo prescripción médica. Con fines preventivos y rehabilitadores la ley establecerá medidas y tratamientos administrativos de orden pedagógico, profiláctico o terapéutico para las personas que consuman dichas sustancias. El sometimiento a esas medidas y tratamientos requiere el consentimiento informado del adicto.</w:t>
            </w:r>
          </w:p>
          <w:p w14:paraId="24D5E0B7" w14:textId="77777777" w:rsidR="00F36280" w:rsidRPr="00485CC5" w:rsidRDefault="00F36280" w:rsidP="005B5FC0">
            <w:pPr>
              <w:ind w:left="29"/>
              <w:jc w:val="both"/>
              <w:rPr>
                <w:rFonts w:ascii="Bookman Old Style" w:hAnsi="Bookman Old Style" w:cs="Calibri"/>
                <w:szCs w:val="24"/>
                <w:lang w:val="es-ES_tradnl"/>
              </w:rPr>
            </w:pPr>
          </w:p>
          <w:p w14:paraId="62075084" w14:textId="76695800" w:rsidR="00F36280" w:rsidRDefault="00C94B82" w:rsidP="005B5FC0">
            <w:pPr>
              <w:ind w:left="29"/>
              <w:jc w:val="both"/>
              <w:rPr>
                <w:rFonts w:ascii="Bookman Old Style" w:hAnsi="Bookman Old Style" w:cs="Calibri"/>
                <w:b/>
                <w:szCs w:val="24"/>
                <w:u w:val="single"/>
              </w:rPr>
            </w:pPr>
            <w:r w:rsidRPr="00C94B82">
              <w:rPr>
                <w:rFonts w:ascii="Bookman Old Style" w:hAnsi="Bookman Old Style" w:cs="Calibri"/>
                <w:b/>
                <w:szCs w:val="24"/>
                <w:u w:val="single"/>
              </w:rPr>
              <w:t>La prohibición prevista en el inciso anterior no aplicará frente al cannabis y sus derivados para el uso por parte de mayores de edad. Tampoco aplicará para la destinación científica de estas sustancias, siempre y cuando se cuente con las licencias otorgadas por la autoridad competente. La Ley podrá restringir y sancionar el porte y consumo del cannabis y sus derivados en espacios públicos, zonas comunes y entornos escolares, entre otros.</w:t>
            </w:r>
          </w:p>
          <w:p w14:paraId="4261FCD9" w14:textId="77777777" w:rsidR="00C94B82" w:rsidRPr="00485CC5" w:rsidRDefault="00C94B82" w:rsidP="005B5FC0">
            <w:pPr>
              <w:ind w:left="29"/>
              <w:jc w:val="both"/>
              <w:rPr>
                <w:rFonts w:ascii="Bookman Old Style" w:hAnsi="Bookman Old Style" w:cs="Calibri"/>
                <w:b/>
                <w:szCs w:val="24"/>
                <w:u w:val="single"/>
              </w:rPr>
            </w:pPr>
          </w:p>
          <w:p w14:paraId="4DA8C247" w14:textId="77777777" w:rsidR="00F36280" w:rsidRPr="00706B77" w:rsidRDefault="00F36280" w:rsidP="00706B77">
            <w:pPr>
              <w:ind w:left="29"/>
              <w:jc w:val="both"/>
              <w:rPr>
                <w:rFonts w:ascii="Bookman Old Style" w:hAnsi="Bookman Old Style" w:cs="Calibri"/>
                <w:b/>
                <w:szCs w:val="24"/>
                <w:u w:val="single"/>
                <w:lang w:val="es-ES_tradnl"/>
              </w:rPr>
            </w:pPr>
            <w:r w:rsidRPr="00485CC5">
              <w:rPr>
                <w:rFonts w:ascii="Bookman Old Style" w:hAnsi="Bookman Old Style" w:cs="Calibri"/>
                <w:szCs w:val="24"/>
                <w:lang w:val="es-ES_tradnl"/>
              </w:rPr>
              <w:t>Así mismo el Estado dedicará especial atención al enfermo dependiente o adicto y a su familia para fortalecerla en valores y principios que contribuyan a prevenir comportamientos que afecten el cuidado integral de la salud de las personas y, por consiguiente, de la comunidad, y desarrollará en forma permanente campañas de prevención contra el consumo de drogas o sustancias estupefacientes y en favor de la recuperación de los adictos.</w:t>
            </w:r>
          </w:p>
        </w:tc>
      </w:tr>
      <w:bookmarkEnd w:id="6"/>
    </w:tbl>
    <w:p w14:paraId="3C830435" w14:textId="77777777" w:rsidR="00F36280" w:rsidRPr="00485CC5" w:rsidRDefault="00F36280" w:rsidP="00F36280">
      <w:pPr>
        <w:pStyle w:val="NormalWeb"/>
        <w:spacing w:before="0" w:beforeAutospacing="0" w:after="0" w:afterAutospacing="0"/>
        <w:ind w:right="115"/>
        <w:jc w:val="both"/>
        <w:rPr>
          <w:rFonts w:ascii="Bookman Old Style" w:hAnsi="Bookman Old Style" w:cs="Calibri"/>
          <w:sz w:val="22"/>
        </w:rPr>
      </w:pPr>
    </w:p>
    <w:p w14:paraId="0945392D" w14:textId="77777777" w:rsidR="00F36280" w:rsidRPr="00485CC5" w:rsidRDefault="00F36280" w:rsidP="00F36280">
      <w:pPr>
        <w:rPr>
          <w:rFonts w:ascii="Bookman Old Style" w:eastAsia="Calibri" w:hAnsi="Bookman Old Style" w:cs="Calibri"/>
          <w:szCs w:val="24"/>
        </w:rPr>
      </w:pPr>
    </w:p>
    <w:p w14:paraId="3FAF379C" w14:textId="77777777" w:rsidR="00F36280" w:rsidRPr="00485CC5" w:rsidRDefault="00F36280" w:rsidP="000B0FBF">
      <w:pPr>
        <w:pStyle w:val="Ttulo2"/>
        <w:numPr>
          <w:ilvl w:val="0"/>
          <w:numId w:val="35"/>
        </w:numPr>
        <w:jc w:val="center"/>
        <w:rPr>
          <w:rFonts w:ascii="Bookman Old Style" w:eastAsia="Calibri" w:hAnsi="Bookman Old Style" w:cs="Calibri"/>
          <w:sz w:val="22"/>
          <w:szCs w:val="24"/>
        </w:rPr>
      </w:pPr>
      <w:r w:rsidRPr="00485CC5">
        <w:rPr>
          <w:rFonts w:ascii="Bookman Old Style" w:eastAsia="Calibri" w:hAnsi="Bookman Old Style" w:cs="Calibri"/>
          <w:sz w:val="22"/>
          <w:szCs w:val="24"/>
        </w:rPr>
        <w:t>CONCLUSIONES</w:t>
      </w:r>
    </w:p>
    <w:p w14:paraId="3FF5215B" w14:textId="77777777" w:rsidR="00F36280" w:rsidRPr="00485CC5" w:rsidRDefault="00F36280" w:rsidP="00F36280">
      <w:pPr>
        <w:pBdr>
          <w:top w:val="nil"/>
          <w:left w:val="nil"/>
          <w:bottom w:val="nil"/>
          <w:right w:val="nil"/>
          <w:between w:val="nil"/>
        </w:pBdr>
        <w:rPr>
          <w:rFonts w:ascii="Bookman Old Style" w:eastAsia="Calibri" w:hAnsi="Bookman Old Style" w:cs="Calibri"/>
          <w:szCs w:val="24"/>
        </w:rPr>
      </w:pPr>
    </w:p>
    <w:p w14:paraId="3A0D770D" w14:textId="77777777" w:rsidR="00F36280" w:rsidRPr="00485CC5" w:rsidRDefault="00F36280" w:rsidP="00F36280">
      <w:pPr>
        <w:pStyle w:val="NormalWeb"/>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rPr>
        <w:t xml:space="preserve">Según lo expuesto podemos afirmar que el presente </w:t>
      </w:r>
      <w:r w:rsidRPr="00485CC5">
        <w:rPr>
          <w:rFonts w:ascii="Bookman Old Style" w:eastAsia="Calibri" w:hAnsi="Bookman Old Style" w:cs="Calibri"/>
          <w:sz w:val="22"/>
          <w:szCs w:val="28"/>
          <w:lang w:val="es-ES_tradnl"/>
        </w:rPr>
        <w:t xml:space="preserve">Proyecto de Acto Legislativo es necesario, en razón a que: </w:t>
      </w:r>
    </w:p>
    <w:p w14:paraId="319D0324" w14:textId="77777777" w:rsidR="00F36280" w:rsidRPr="00485CC5" w:rsidRDefault="00F36280" w:rsidP="00F36280">
      <w:pPr>
        <w:pStyle w:val="NormalWeb"/>
        <w:spacing w:before="0" w:beforeAutospacing="0" w:after="0" w:afterAutospacing="0"/>
        <w:ind w:right="115"/>
        <w:jc w:val="both"/>
        <w:rPr>
          <w:rFonts w:ascii="Bookman Old Style" w:eastAsia="Calibri" w:hAnsi="Bookman Old Style" w:cs="Calibri"/>
          <w:sz w:val="22"/>
          <w:szCs w:val="28"/>
          <w:lang w:val="es-ES_tradnl"/>
        </w:rPr>
      </w:pPr>
    </w:p>
    <w:p w14:paraId="6F8E589D" w14:textId="77777777" w:rsidR="00F36280" w:rsidRPr="005C5218" w:rsidRDefault="00F36280" w:rsidP="005C5218">
      <w:pPr>
        <w:pStyle w:val="NormalWeb"/>
        <w:numPr>
          <w:ilvl w:val="0"/>
          <w:numId w:val="32"/>
        </w:numPr>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lang w:val="es-ES_tradnl"/>
        </w:rPr>
        <w:t>Corrige la contradicción constitución/ley que se encuentra vigente frente al uso científico del cannabis.</w:t>
      </w:r>
    </w:p>
    <w:p w14:paraId="42EA6563" w14:textId="77777777" w:rsidR="00F36280" w:rsidRPr="005C5218" w:rsidRDefault="00F36280" w:rsidP="005C5218">
      <w:pPr>
        <w:pStyle w:val="NormalWeb"/>
        <w:numPr>
          <w:ilvl w:val="0"/>
          <w:numId w:val="32"/>
        </w:numPr>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lang w:val="es-ES_tradnl"/>
        </w:rPr>
        <w:t xml:space="preserve">Evita la intromisión del Estado frente al derecho del libre desarrollo de la personalidad, permitiendo que los ciudadanos puedan decidir sobre el consumo del cannabis en un marco legal regulado. </w:t>
      </w:r>
    </w:p>
    <w:p w14:paraId="3540659A" w14:textId="77777777" w:rsidR="00F36280" w:rsidRPr="005C5218" w:rsidRDefault="00F36280" w:rsidP="005C5218">
      <w:pPr>
        <w:pStyle w:val="NormalWeb"/>
        <w:numPr>
          <w:ilvl w:val="0"/>
          <w:numId w:val="32"/>
        </w:numPr>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lang w:val="es-ES_tradnl"/>
        </w:rPr>
        <w:t>Evita tratos discriminatorios o desiguales arbitrarios frente a la población que consume.</w:t>
      </w:r>
    </w:p>
    <w:p w14:paraId="0286883C" w14:textId="77777777" w:rsidR="00F36280" w:rsidRPr="005C5218" w:rsidRDefault="00F36280" w:rsidP="005C5218">
      <w:pPr>
        <w:pStyle w:val="NormalWeb"/>
        <w:numPr>
          <w:ilvl w:val="0"/>
          <w:numId w:val="32"/>
        </w:numPr>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lang w:val="es-ES_tradnl"/>
        </w:rPr>
        <w:t>Fortalece el enfoque de política pública en salud en el que se considera al adicto como una persona que merece un tratamiento y no como un criminal.</w:t>
      </w:r>
    </w:p>
    <w:p w14:paraId="7E251D9D" w14:textId="77777777" w:rsidR="00F36280" w:rsidRPr="005C5218" w:rsidRDefault="00F36280" w:rsidP="005C5218">
      <w:pPr>
        <w:pStyle w:val="NormalWeb"/>
        <w:numPr>
          <w:ilvl w:val="0"/>
          <w:numId w:val="32"/>
        </w:numPr>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lang w:val="es-ES_tradnl"/>
        </w:rPr>
        <w:t>Ofrece la oportunidad de dar apertura a un mercado legal nuevo y prometedor con resultados positivos demostrables en el ámbito internacional.</w:t>
      </w:r>
    </w:p>
    <w:p w14:paraId="70EE1C9A" w14:textId="77777777" w:rsidR="00F36280" w:rsidRPr="005C5218" w:rsidRDefault="00F36280" w:rsidP="005C5218">
      <w:pPr>
        <w:pStyle w:val="NormalWeb"/>
        <w:numPr>
          <w:ilvl w:val="0"/>
          <w:numId w:val="32"/>
        </w:numPr>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lang w:val="es-ES_tradnl"/>
        </w:rPr>
        <w:t>Genera externalidades positivas en el ámbito fiscal, por un lado, implica un mayor recaudo y con ello mayor inversión social, por el otro crea empleo.</w:t>
      </w:r>
    </w:p>
    <w:p w14:paraId="79CC2791" w14:textId="77777777" w:rsidR="00F36280" w:rsidRPr="005C5218" w:rsidRDefault="00F36280" w:rsidP="005C5218">
      <w:pPr>
        <w:pStyle w:val="NormalWeb"/>
        <w:numPr>
          <w:ilvl w:val="0"/>
          <w:numId w:val="32"/>
        </w:numPr>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lang w:val="es-ES_tradnl"/>
        </w:rPr>
        <w:t>Desestimula los mercados ilegales de narcotráfico y su implementación gradual podría conducir a reducir el índice de otros delitos relacionados.</w:t>
      </w:r>
    </w:p>
    <w:p w14:paraId="2816EDF9" w14:textId="77777777" w:rsidR="00F36280" w:rsidRPr="00485CC5" w:rsidRDefault="00F36280" w:rsidP="00F36280">
      <w:pPr>
        <w:pStyle w:val="NormalWeb"/>
        <w:numPr>
          <w:ilvl w:val="0"/>
          <w:numId w:val="32"/>
        </w:numPr>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lang w:val="es-ES_tradnl"/>
        </w:rPr>
        <w:t>Aliviaría las cargas y sobrepoblación del sistema penitenciario.</w:t>
      </w:r>
    </w:p>
    <w:p w14:paraId="12B42C85" w14:textId="77777777" w:rsidR="00F709EB" w:rsidRPr="001E18FE" w:rsidRDefault="00F709EB" w:rsidP="00E44C45">
      <w:pPr>
        <w:pStyle w:val="NormalWeb"/>
        <w:spacing w:before="0" w:beforeAutospacing="0" w:after="0" w:afterAutospacing="0"/>
        <w:ind w:right="115"/>
        <w:jc w:val="both"/>
        <w:rPr>
          <w:rFonts w:ascii="Bookman Old Style" w:eastAsia="Calibri" w:hAnsi="Bookman Old Style" w:cs="Calibri"/>
          <w:b/>
          <w:sz w:val="22"/>
          <w:lang w:val="es-ES_tradnl"/>
        </w:rPr>
      </w:pPr>
    </w:p>
    <w:p w14:paraId="251CB399" w14:textId="77777777" w:rsidR="00726850" w:rsidRPr="001E18FE" w:rsidRDefault="00726850" w:rsidP="00726850">
      <w:pPr>
        <w:pStyle w:val="Ttulo2"/>
        <w:numPr>
          <w:ilvl w:val="0"/>
          <w:numId w:val="35"/>
        </w:numPr>
        <w:jc w:val="center"/>
        <w:rPr>
          <w:rFonts w:ascii="Bookman Old Style" w:eastAsia="Calibri" w:hAnsi="Bookman Old Style" w:cs="Calibri"/>
          <w:sz w:val="22"/>
          <w:szCs w:val="22"/>
        </w:rPr>
      </w:pPr>
      <w:r w:rsidRPr="001E18FE">
        <w:rPr>
          <w:rFonts w:ascii="Bookman Old Style" w:eastAsia="Calibri" w:hAnsi="Bookman Old Style" w:cs="Calibri"/>
          <w:sz w:val="22"/>
          <w:szCs w:val="22"/>
        </w:rPr>
        <w:t>CONFLICTO</w:t>
      </w:r>
      <w:r w:rsidR="00254DDC">
        <w:rPr>
          <w:rFonts w:ascii="Bookman Old Style" w:eastAsia="Calibri" w:hAnsi="Bookman Old Style" w:cs="Calibri"/>
          <w:sz w:val="22"/>
          <w:szCs w:val="22"/>
        </w:rPr>
        <w:t>S</w:t>
      </w:r>
      <w:r w:rsidRPr="001E18FE">
        <w:rPr>
          <w:rFonts w:ascii="Bookman Old Style" w:eastAsia="Calibri" w:hAnsi="Bookman Old Style" w:cs="Calibri"/>
          <w:sz w:val="22"/>
          <w:szCs w:val="22"/>
        </w:rPr>
        <w:t xml:space="preserve"> DE INTERÉS</w:t>
      </w:r>
    </w:p>
    <w:p w14:paraId="5922C0C8" w14:textId="77777777" w:rsidR="00726850" w:rsidRDefault="00726850" w:rsidP="001E18FE">
      <w:pPr>
        <w:pStyle w:val="Ttulo2"/>
        <w:ind w:left="0"/>
        <w:rPr>
          <w:rFonts w:ascii="Bookman Old Style" w:eastAsia="Calibri" w:hAnsi="Bookman Old Style" w:cs="Calibri"/>
          <w:b w:val="0"/>
          <w:sz w:val="22"/>
          <w:szCs w:val="22"/>
        </w:rPr>
      </w:pPr>
    </w:p>
    <w:p w14:paraId="254AAE72" w14:textId="30DB56CC" w:rsidR="00726850" w:rsidRPr="001E18FE" w:rsidRDefault="00726850" w:rsidP="001E18FE">
      <w:pPr>
        <w:pStyle w:val="Ttulo2"/>
        <w:ind w:left="0"/>
        <w:jc w:val="both"/>
        <w:rPr>
          <w:rFonts w:ascii="Bookman Old Style" w:eastAsia="Calibri" w:hAnsi="Bookman Old Style" w:cs="Calibri"/>
          <w:b w:val="0"/>
          <w:sz w:val="22"/>
          <w:szCs w:val="22"/>
        </w:rPr>
      </w:pPr>
      <w:r w:rsidRPr="001E18FE">
        <w:rPr>
          <w:rFonts w:ascii="Bookman Old Style" w:eastAsia="Calibri" w:hAnsi="Bookman Old Style" w:cs="Calibri"/>
          <w:b w:val="0"/>
          <w:sz w:val="22"/>
          <w:szCs w:val="22"/>
        </w:rPr>
        <w:t xml:space="preserve">Dando </w:t>
      </w:r>
      <w:r w:rsidR="00C94B82" w:rsidRPr="001E18FE">
        <w:rPr>
          <w:rFonts w:ascii="Bookman Old Style" w:eastAsia="Calibri" w:hAnsi="Bookman Old Style" w:cs="Calibri"/>
          <w:b w:val="0"/>
          <w:sz w:val="22"/>
          <w:szCs w:val="22"/>
        </w:rPr>
        <w:t>cumplimiento a</w:t>
      </w:r>
      <w:r w:rsidRPr="001E18FE">
        <w:rPr>
          <w:rFonts w:ascii="Bookman Old Style" w:eastAsia="Calibri" w:hAnsi="Bookman Old Style" w:cs="Calibri"/>
          <w:b w:val="0"/>
          <w:sz w:val="22"/>
          <w:szCs w:val="22"/>
        </w:rPr>
        <w:t xml:space="preserve"> lo establecido en el artículo 3 de la Ley 2003 del 19 de noviembre de 2019, por la cual se modifica parcialmente la Ley 5 de 1992, se hacen las siguientes consideraciones: </w:t>
      </w:r>
    </w:p>
    <w:p w14:paraId="3D131392" w14:textId="77777777" w:rsidR="00726850" w:rsidRDefault="00726850" w:rsidP="001E18FE">
      <w:pPr>
        <w:pStyle w:val="Ttulo2"/>
        <w:ind w:left="0"/>
        <w:rPr>
          <w:rFonts w:ascii="Bookman Old Style" w:eastAsia="Calibri" w:hAnsi="Bookman Old Style" w:cs="Calibri"/>
          <w:b w:val="0"/>
          <w:sz w:val="22"/>
          <w:szCs w:val="22"/>
        </w:rPr>
      </w:pPr>
    </w:p>
    <w:p w14:paraId="1FE29ECF" w14:textId="77777777" w:rsidR="00726850" w:rsidRDefault="00726850" w:rsidP="001E18FE">
      <w:pPr>
        <w:pStyle w:val="Ttulo2"/>
        <w:ind w:left="0"/>
        <w:jc w:val="both"/>
        <w:rPr>
          <w:rFonts w:ascii="Bookman Old Style" w:eastAsia="Calibri" w:hAnsi="Bookman Old Style" w:cs="Calibri"/>
          <w:b w:val="0"/>
          <w:sz w:val="22"/>
          <w:szCs w:val="22"/>
        </w:rPr>
      </w:pPr>
      <w:r w:rsidRPr="001E18FE">
        <w:rPr>
          <w:rFonts w:ascii="Bookman Old Style" w:eastAsia="Calibri" w:hAnsi="Bookman Old Style" w:cs="Calibri"/>
          <w:b w:val="0"/>
          <w:sz w:val="22"/>
          <w:szCs w:val="22"/>
        </w:rPr>
        <w:t>Se estima que la discusión y aprobación del presente Proyecto de Acto Legislativo podría generar conflictos de interés en razón de beneficios particulares, actuales y directos a los congresistas conforme a lo dispuesto en la ley, que cuenten con cultivos de cannabis y sus derivados para el uso medicinal o científico</w:t>
      </w:r>
      <w:r w:rsidR="00631E18">
        <w:rPr>
          <w:rFonts w:ascii="Bookman Old Style" w:eastAsia="Calibri" w:hAnsi="Bookman Old Style" w:cs="Calibri"/>
          <w:b w:val="0"/>
          <w:sz w:val="22"/>
          <w:szCs w:val="22"/>
        </w:rPr>
        <w:t>, o participación en empresas</w:t>
      </w:r>
      <w:r w:rsidRPr="001E18FE">
        <w:rPr>
          <w:rFonts w:ascii="Bookman Old Style" w:eastAsia="Calibri" w:hAnsi="Bookman Old Style" w:cs="Calibri"/>
          <w:b w:val="0"/>
          <w:sz w:val="22"/>
          <w:szCs w:val="22"/>
        </w:rPr>
        <w:t xml:space="preserve"> </w:t>
      </w:r>
      <w:r w:rsidR="00631E18">
        <w:rPr>
          <w:rFonts w:ascii="Bookman Old Style" w:eastAsia="Calibri" w:hAnsi="Bookman Old Style" w:cs="Calibri"/>
          <w:b w:val="0"/>
          <w:sz w:val="22"/>
          <w:szCs w:val="22"/>
        </w:rPr>
        <w:t xml:space="preserve">que se encarguen de su producción y comercialización </w:t>
      </w:r>
      <w:r w:rsidRPr="001E18FE">
        <w:rPr>
          <w:rFonts w:ascii="Bookman Old Style" w:eastAsia="Calibri" w:hAnsi="Bookman Old Style" w:cs="Calibri"/>
          <w:b w:val="0"/>
          <w:sz w:val="22"/>
          <w:szCs w:val="22"/>
        </w:rPr>
        <w:t>que puedan beneficiarse con el proyecto en mención.</w:t>
      </w:r>
    </w:p>
    <w:p w14:paraId="53F32BB6" w14:textId="77777777" w:rsidR="00726850" w:rsidRDefault="00726850" w:rsidP="001E18FE">
      <w:pPr>
        <w:pStyle w:val="Ttulo2"/>
        <w:ind w:left="0"/>
        <w:jc w:val="both"/>
        <w:rPr>
          <w:rFonts w:ascii="Bookman Old Style" w:eastAsia="Calibri" w:hAnsi="Bookman Old Style" w:cs="Calibri"/>
          <w:b w:val="0"/>
          <w:sz w:val="22"/>
          <w:szCs w:val="22"/>
        </w:rPr>
      </w:pPr>
    </w:p>
    <w:p w14:paraId="32E0CE05" w14:textId="77777777" w:rsidR="00726850" w:rsidRPr="001E18FE" w:rsidRDefault="00726850" w:rsidP="001E18FE">
      <w:pPr>
        <w:pStyle w:val="Ttulo2"/>
        <w:ind w:left="0"/>
        <w:jc w:val="both"/>
        <w:rPr>
          <w:rFonts w:ascii="Bookman Old Style" w:eastAsia="Calibri" w:hAnsi="Bookman Old Style" w:cs="Calibri"/>
          <w:b w:val="0"/>
          <w:sz w:val="22"/>
          <w:szCs w:val="22"/>
        </w:rPr>
      </w:pPr>
      <w:r w:rsidRPr="001E18FE">
        <w:rPr>
          <w:rFonts w:ascii="Bookman Old Style" w:eastAsia="Calibri" w:hAnsi="Bookman Old Style" w:cs="Calibri"/>
          <w:b w:val="0"/>
          <w:sz w:val="22"/>
          <w:szCs w:val="22"/>
        </w:rPr>
        <w:t>Sobre este asunto ha señalado el Consejo de Estado (2019):</w:t>
      </w:r>
    </w:p>
    <w:p w14:paraId="754C54AE" w14:textId="77777777" w:rsidR="00726850" w:rsidRDefault="00726850" w:rsidP="001E18FE">
      <w:pPr>
        <w:pStyle w:val="Ttulo2"/>
        <w:ind w:left="0"/>
        <w:rPr>
          <w:rFonts w:ascii="Bookman Old Style" w:eastAsia="Calibri" w:hAnsi="Bookman Old Style" w:cs="Calibri"/>
          <w:b w:val="0"/>
          <w:sz w:val="22"/>
          <w:szCs w:val="22"/>
        </w:rPr>
      </w:pPr>
    </w:p>
    <w:p w14:paraId="0C598044" w14:textId="77777777" w:rsidR="00726850" w:rsidRDefault="00726850" w:rsidP="00A21D0F">
      <w:pPr>
        <w:pStyle w:val="Ttulo2"/>
        <w:ind w:left="851" w:right="900"/>
        <w:jc w:val="both"/>
        <w:rPr>
          <w:rFonts w:ascii="Bookman Old Style" w:eastAsia="Calibri" w:hAnsi="Bookman Old Style" w:cs="Calibri"/>
          <w:b w:val="0"/>
          <w:i/>
          <w:sz w:val="22"/>
          <w:szCs w:val="22"/>
        </w:rPr>
      </w:pPr>
      <w:r w:rsidRPr="001E18FE">
        <w:rPr>
          <w:rFonts w:ascii="Bookman Old Style" w:eastAsia="Calibri" w:hAnsi="Bookman Old Style" w:cs="Calibri"/>
          <w:b w:val="0"/>
          <w:i/>
          <w:sz w:val="22"/>
          <w:szCs w:val="22"/>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609A574A" w14:textId="77777777" w:rsidR="00726850" w:rsidRPr="001E18FE" w:rsidRDefault="00726850" w:rsidP="001E18FE">
      <w:pPr>
        <w:rPr>
          <w:rFonts w:eastAsia="Calibri"/>
        </w:rPr>
      </w:pPr>
    </w:p>
    <w:p w14:paraId="1C13A0A1" w14:textId="77777777" w:rsidR="00726850" w:rsidRPr="001E18FE" w:rsidRDefault="00726850" w:rsidP="001E18FE">
      <w:pPr>
        <w:pStyle w:val="Ttulo2"/>
        <w:ind w:left="0"/>
        <w:jc w:val="both"/>
        <w:rPr>
          <w:rFonts w:ascii="Bookman Old Style" w:eastAsia="Calibri" w:hAnsi="Bookman Old Style" w:cs="Calibri"/>
          <w:b w:val="0"/>
          <w:sz w:val="22"/>
          <w:szCs w:val="22"/>
        </w:rPr>
      </w:pPr>
      <w:r w:rsidRPr="001E18FE">
        <w:rPr>
          <w:rFonts w:ascii="Bookman Old Style" w:eastAsia="Calibri" w:hAnsi="Bookman Old Style" w:cs="Calibri"/>
          <w:b w:val="0"/>
          <w:sz w:val="22"/>
          <w:szCs w:val="22"/>
        </w:rPr>
        <w:t>De igual forma, es pertinente señalar lo que la Ley 5 de 1992 dispone sobre la materia en el artículo 286, modificado por el artículo 1 de la Ley 2003 de 2019:</w:t>
      </w:r>
    </w:p>
    <w:p w14:paraId="380605CC" w14:textId="77777777" w:rsidR="00726850" w:rsidRDefault="00726850" w:rsidP="001E18FE">
      <w:pPr>
        <w:pStyle w:val="Ttulo2"/>
        <w:ind w:left="0"/>
        <w:rPr>
          <w:rFonts w:ascii="Bookman Old Style" w:eastAsia="Calibri" w:hAnsi="Bookman Old Style" w:cs="Calibri"/>
          <w:b w:val="0"/>
          <w:sz w:val="22"/>
          <w:szCs w:val="22"/>
        </w:rPr>
      </w:pPr>
    </w:p>
    <w:p w14:paraId="5A193D9F" w14:textId="77777777" w:rsidR="00726850" w:rsidRPr="001E18FE" w:rsidRDefault="00726850" w:rsidP="00A21D0F">
      <w:pPr>
        <w:pStyle w:val="Ttulo2"/>
        <w:ind w:left="851" w:right="900"/>
        <w:jc w:val="both"/>
        <w:rPr>
          <w:rFonts w:ascii="Bookman Old Style" w:eastAsia="Calibri" w:hAnsi="Bookman Old Style" w:cs="Calibri"/>
          <w:b w:val="0"/>
          <w:i/>
          <w:sz w:val="22"/>
          <w:szCs w:val="22"/>
        </w:rPr>
      </w:pPr>
      <w:r w:rsidRPr="001E18FE">
        <w:rPr>
          <w:rFonts w:ascii="Bookman Old Style" w:eastAsia="Calibri" w:hAnsi="Bookman Old Style" w:cs="Calibri"/>
          <w:b w:val="0"/>
          <w:i/>
          <w:sz w:val="22"/>
          <w:szCs w:val="22"/>
        </w:rPr>
        <w:t>“Se entiende como conflicto de interés una situación donde la discusión o votación de un proyecto de ley o acto legislativo o artículo, pueda resultar en un beneficio particular, actual y directo a favor del congresista.</w:t>
      </w:r>
    </w:p>
    <w:p w14:paraId="155DE6CA" w14:textId="77777777" w:rsidR="00726850" w:rsidRPr="001E18FE" w:rsidRDefault="00726850" w:rsidP="00A21D0F">
      <w:pPr>
        <w:ind w:left="851" w:right="900"/>
        <w:rPr>
          <w:rFonts w:eastAsia="Calibri"/>
          <w:i/>
        </w:rPr>
      </w:pPr>
    </w:p>
    <w:p w14:paraId="4E6B87AF" w14:textId="77777777" w:rsidR="00726850" w:rsidRPr="001E18FE" w:rsidRDefault="00726850" w:rsidP="00A21D0F">
      <w:pPr>
        <w:pStyle w:val="Ttulo2"/>
        <w:ind w:left="851" w:right="900"/>
        <w:jc w:val="both"/>
        <w:rPr>
          <w:rFonts w:ascii="Bookman Old Style" w:eastAsia="Calibri" w:hAnsi="Bookman Old Style" w:cs="Calibri"/>
          <w:b w:val="0"/>
          <w:i/>
          <w:sz w:val="22"/>
          <w:szCs w:val="22"/>
        </w:rPr>
      </w:pPr>
      <w:r w:rsidRPr="001E18FE">
        <w:rPr>
          <w:rFonts w:ascii="Bookman Old Style" w:eastAsia="Calibri" w:hAnsi="Bookman Old Style" w:cs="Calibri"/>
          <w:b w:val="0"/>
          <w:i/>
          <w:sz w:val="22"/>
          <w:szCs w:val="22"/>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0E41162D" w14:textId="77777777" w:rsidR="00726850" w:rsidRPr="001E18FE" w:rsidRDefault="00726850" w:rsidP="00A21D0F">
      <w:pPr>
        <w:pStyle w:val="Ttulo2"/>
        <w:ind w:left="851" w:right="900"/>
        <w:jc w:val="both"/>
        <w:rPr>
          <w:rFonts w:ascii="Bookman Old Style" w:eastAsia="Calibri" w:hAnsi="Bookman Old Style" w:cs="Calibri"/>
          <w:b w:val="0"/>
          <w:i/>
          <w:sz w:val="22"/>
          <w:szCs w:val="22"/>
        </w:rPr>
      </w:pPr>
    </w:p>
    <w:p w14:paraId="71FC6867" w14:textId="77777777" w:rsidR="00726850" w:rsidRPr="001E18FE" w:rsidRDefault="00726850" w:rsidP="00A21D0F">
      <w:pPr>
        <w:pStyle w:val="Ttulo2"/>
        <w:ind w:left="851" w:right="900"/>
        <w:jc w:val="both"/>
        <w:rPr>
          <w:rFonts w:ascii="Bookman Old Style" w:eastAsia="Calibri" w:hAnsi="Bookman Old Style" w:cs="Calibri"/>
          <w:b w:val="0"/>
          <w:i/>
          <w:sz w:val="22"/>
          <w:szCs w:val="22"/>
        </w:rPr>
      </w:pPr>
      <w:r w:rsidRPr="001E18FE">
        <w:rPr>
          <w:rFonts w:ascii="Bookman Old Style" w:eastAsia="Calibri" w:hAnsi="Bookman Old Style" w:cs="Calibri"/>
          <w:b w:val="0"/>
          <w:i/>
          <w:sz w:val="22"/>
          <w:szCs w:val="22"/>
        </w:rPr>
        <w:t>b) Beneficio actual: aquel que efectivamente se configura en las circunstancias presentes y existentes al momento en el que el congresista participa de la decisión. </w:t>
      </w:r>
    </w:p>
    <w:p w14:paraId="7B3E3020" w14:textId="77777777" w:rsidR="00726850" w:rsidRPr="001E18FE" w:rsidRDefault="00726850" w:rsidP="00A21D0F">
      <w:pPr>
        <w:pStyle w:val="Ttulo2"/>
        <w:ind w:left="851" w:right="900"/>
        <w:jc w:val="both"/>
        <w:rPr>
          <w:rFonts w:ascii="Bookman Old Style" w:eastAsia="Calibri" w:hAnsi="Bookman Old Style" w:cs="Calibri"/>
          <w:b w:val="0"/>
          <w:i/>
          <w:sz w:val="22"/>
          <w:szCs w:val="22"/>
        </w:rPr>
      </w:pPr>
    </w:p>
    <w:p w14:paraId="1BC92D72" w14:textId="77777777" w:rsidR="00726850" w:rsidRPr="001E18FE" w:rsidRDefault="00726850" w:rsidP="00A21D0F">
      <w:pPr>
        <w:pStyle w:val="Ttulo2"/>
        <w:ind w:left="851" w:right="900"/>
        <w:jc w:val="both"/>
        <w:rPr>
          <w:rFonts w:ascii="Bookman Old Style" w:eastAsia="Calibri" w:hAnsi="Bookman Old Style" w:cs="Calibri"/>
          <w:b w:val="0"/>
          <w:i/>
          <w:sz w:val="22"/>
          <w:szCs w:val="22"/>
        </w:rPr>
      </w:pPr>
      <w:r w:rsidRPr="001E18FE">
        <w:rPr>
          <w:rFonts w:ascii="Bookman Old Style" w:eastAsia="Calibri" w:hAnsi="Bookman Old Style" w:cs="Calibri"/>
          <w:b w:val="0"/>
          <w:i/>
          <w:sz w:val="22"/>
          <w:szCs w:val="22"/>
        </w:rPr>
        <w:t>c) Beneficio directo: aquel que se produzca de forma específica respecto del congresista, de su cónyuge, compañero o compañera permanente, o parientes dentro del segundo grado de consanguinidad, segundo de afinidad o primero civil.”</w:t>
      </w:r>
    </w:p>
    <w:p w14:paraId="0FE11E99" w14:textId="77777777" w:rsidR="00726850" w:rsidRDefault="00726850" w:rsidP="00A21D0F">
      <w:pPr>
        <w:pStyle w:val="Ttulo2"/>
        <w:ind w:left="851" w:right="900"/>
        <w:jc w:val="both"/>
        <w:rPr>
          <w:rFonts w:ascii="Bookman Old Style" w:eastAsia="Calibri" w:hAnsi="Bookman Old Style" w:cs="Calibri"/>
          <w:b w:val="0"/>
          <w:sz w:val="22"/>
          <w:szCs w:val="22"/>
        </w:rPr>
      </w:pPr>
    </w:p>
    <w:p w14:paraId="4A5F7F31" w14:textId="77777777" w:rsidR="00726850" w:rsidRDefault="00726850" w:rsidP="001E18FE">
      <w:pPr>
        <w:pStyle w:val="Ttulo2"/>
        <w:ind w:left="0"/>
        <w:jc w:val="both"/>
        <w:rPr>
          <w:rFonts w:ascii="Bookman Old Style" w:eastAsia="Calibri" w:hAnsi="Bookman Old Style" w:cs="Calibri"/>
          <w:b w:val="0"/>
          <w:sz w:val="22"/>
          <w:szCs w:val="22"/>
        </w:rPr>
      </w:pPr>
      <w:r w:rsidRPr="001E18FE">
        <w:rPr>
          <w:rFonts w:ascii="Bookman Old Style" w:eastAsia="Calibri" w:hAnsi="Bookman Old Style" w:cs="Calibri"/>
          <w:b w:val="0"/>
          <w:sz w:val="22"/>
          <w:szCs w:val="22"/>
        </w:rPr>
        <w:t>Se recuerda que la descripción de los posibles conflictos de interés que se puedan presentar frente al trámite del presente proyecto de ley, conforme a lo dispuesto en el artículo 291 de la ley 5 de 1992 modificado por la ley 2003 de 2019, no exime al Congresista de identificar causales adicionales.</w:t>
      </w:r>
    </w:p>
    <w:p w14:paraId="61104533" w14:textId="77777777" w:rsidR="00726850" w:rsidRPr="001E18FE" w:rsidRDefault="00726850" w:rsidP="001E18FE">
      <w:pPr>
        <w:rPr>
          <w:rFonts w:eastAsia="Calibri"/>
        </w:rPr>
      </w:pPr>
    </w:p>
    <w:p w14:paraId="483B90B7" w14:textId="77777777" w:rsidR="00F709EB" w:rsidRPr="001E18FE" w:rsidRDefault="00F709EB" w:rsidP="00726850">
      <w:pPr>
        <w:pStyle w:val="Ttulo2"/>
        <w:numPr>
          <w:ilvl w:val="0"/>
          <w:numId w:val="35"/>
        </w:numPr>
        <w:jc w:val="center"/>
        <w:rPr>
          <w:rFonts w:ascii="Bookman Old Style" w:eastAsia="Calibri" w:hAnsi="Bookman Old Style" w:cs="Calibri"/>
          <w:sz w:val="22"/>
          <w:szCs w:val="22"/>
        </w:rPr>
      </w:pPr>
      <w:r w:rsidRPr="001E18FE">
        <w:rPr>
          <w:rFonts w:ascii="Bookman Old Style" w:eastAsia="Calibri" w:hAnsi="Bookman Old Style" w:cs="Calibri"/>
          <w:sz w:val="22"/>
          <w:szCs w:val="22"/>
        </w:rPr>
        <w:t>RE</w:t>
      </w:r>
      <w:r w:rsidR="00F06C98" w:rsidRPr="001E18FE">
        <w:rPr>
          <w:rFonts w:ascii="Bookman Old Style" w:eastAsia="Calibri" w:hAnsi="Bookman Old Style" w:cs="Calibri"/>
          <w:sz w:val="22"/>
          <w:szCs w:val="22"/>
        </w:rPr>
        <w:t>F</w:t>
      </w:r>
      <w:r w:rsidRPr="001E18FE">
        <w:rPr>
          <w:rFonts w:ascii="Bookman Old Style" w:eastAsia="Calibri" w:hAnsi="Bookman Old Style" w:cs="Calibri"/>
          <w:sz w:val="22"/>
          <w:szCs w:val="22"/>
        </w:rPr>
        <w:t>ERENCIAS</w:t>
      </w:r>
    </w:p>
    <w:p w14:paraId="302B987E" w14:textId="77777777" w:rsidR="00F709EB" w:rsidRPr="00E819E1" w:rsidRDefault="00F709EB" w:rsidP="00E44C45">
      <w:pPr>
        <w:rPr>
          <w:rFonts w:ascii="Bookman Old Style" w:eastAsia="Calibri" w:hAnsi="Bookman Old Style"/>
          <w:sz w:val="20"/>
        </w:rPr>
      </w:pPr>
    </w:p>
    <w:p w14:paraId="1385F5B7" w14:textId="77777777" w:rsidR="00B61122" w:rsidRPr="005C5218" w:rsidRDefault="00B61122" w:rsidP="005C5218">
      <w:pPr>
        <w:pStyle w:val="Textonotapie"/>
        <w:numPr>
          <w:ilvl w:val="0"/>
          <w:numId w:val="33"/>
        </w:numPr>
        <w:jc w:val="both"/>
        <w:rPr>
          <w:rStyle w:val="Hipervnculo"/>
          <w:rFonts w:ascii="Bookman Old Style" w:hAnsi="Bookman Old Style" w:cs="Times New Roman"/>
          <w:i/>
          <w:color w:val="auto"/>
          <w:sz w:val="16"/>
          <w:szCs w:val="16"/>
        </w:rPr>
      </w:pPr>
      <w:r w:rsidRPr="00B61122">
        <w:rPr>
          <w:rFonts w:ascii="Bookman Old Style" w:hAnsi="Bookman Old Style" w:cs="Times New Roman"/>
          <w:i/>
          <w:sz w:val="16"/>
          <w:szCs w:val="16"/>
          <w:lang w:val="en-US"/>
        </w:rPr>
        <w:t xml:space="preserve">Blumenauer, E. 2018. The Path Forward: Rethinking Federal Marijuana Policy. </w:t>
      </w:r>
      <w:r w:rsidRPr="00B61122">
        <w:rPr>
          <w:rFonts w:ascii="Bookman Old Style" w:hAnsi="Bookman Old Style" w:cs="Times New Roman"/>
          <w:i/>
          <w:sz w:val="16"/>
          <w:szCs w:val="16"/>
        </w:rPr>
        <w:t xml:space="preserve">(P.p.10).  Recuperado de: </w:t>
      </w:r>
      <w:r w:rsidRPr="00B61122">
        <w:rPr>
          <w:rStyle w:val="Hipervnculo"/>
          <w:rFonts w:ascii="Bookman Old Style" w:hAnsi="Bookman Old Style" w:cs="Times New Roman"/>
          <w:i/>
          <w:color w:val="auto"/>
          <w:sz w:val="16"/>
          <w:szCs w:val="16"/>
        </w:rPr>
        <w:t>https://blumenauer.house.gov/sites/blumenauer.house.gov/files/BlumenauerReport_ThePathForward.pdf</w:t>
      </w:r>
    </w:p>
    <w:p w14:paraId="15301C17" w14:textId="77777777" w:rsidR="00B61122" w:rsidRPr="005C5218" w:rsidRDefault="00B61122" w:rsidP="00B61122">
      <w:pPr>
        <w:pStyle w:val="Textonotapie"/>
        <w:numPr>
          <w:ilvl w:val="0"/>
          <w:numId w:val="33"/>
        </w:numPr>
        <w:jc w:val="both"/>
        <w:rPr>
          <w:rFonts w:ascii="Bookman Old Style" w:hAnsi="Bookman Old Style" w:cs="Times New Roman"/>
          <w:i/>
          <w:sz w:val="16"/>
          <w:szCs w:val="16"/>
          <w:u w:val="single"/>
        </w:rPr>
      </w:pPr>
      <w:r w:rsidRPr="00B61122">
        <w:rPr>
          <w:rFonts w:ascii="Bookman Old Style" w:hAnsi="Bookman Old Style" w:cs="Times New Roman"/>
          <w:i/>
          <w:sz w:val="16"/>
          <w:szCs w:val="16"/>
          <w:u w:val="single"/>
        </w:rPr>
        <w:t>Cesar Augusto Giraldo Giraldo, Medicina Forense, 2009.</w:t>
      </w:r>
    </w:p>
    <w:p w14:paraId="71B25114" w14:textId="77777777" w:rsidR="00B61122" w:rsidRPr="005C5218" w:rsidRDefault="00B61122" w:rsidP="005C5218">
      <w:pPr>
        <w:pStyle w:val="Prrafodelista"/>
        <w:numPr>
          <w:ilvl w:val="0"/>
          <w:numId w:val="33"/>
        </w:numPr>
        <w:jc w:val="both"/>
        <w:rPr>
          <w:rFonts w:ascii="Bookman Old Style" w:hAnsi="Bookman Old Style"/>
          <w:i/>
          <w:sz w:val="16"/>
          <w:szCs w:val="16"/>
          <w:u w:val="single"/>
        </w:rPr>
      </w:pPr>
      <w:r w:rsidRPr="00B61122">
        <w:rPr>
          <w:rFonts w:ascii="Bookman Old Style" w:hAnsi="Bookman Old Style"/>
          <w:i/>
          <w:sz w:val="16"/>
          <w:szCs w:val="16"/>
        </w:rPr>
        <w:t xml:space="preserve">Centro de Estudios de Derecho, Justicia y Sociedad, Dejusticia. 2017. Sobredosis Carcelaria y Política de Drogas en América Latina. Documentos Dejusticia 37. Recuperado de: </w:t>
      </w:r>
      <w:r w:rsidRPr="00B61122">
        <w:rPr>
          <w:rStyle w:val="Hipervnculo"/>
          <w:rFonts w:ascii="Bookman Old Style" w:hAnsi="Bookman Old Style" w:cs="Times New Roman"/>
          <w:i/>
          <w:color w:val="auto"/>
          <w:sz w:val="16"/>
          <w:szCs w:val="16"/>
        </w:rPr>
        <w:t>https://www.dejusticia.org/wp-content/uploads/2017/07/Delitos-de-drogas-y-sobredosis-carcelaria-en-Colombia-Version-final-PDF-para-WEB.pdf</w:t>
      </w:r>
    </w:p>
    <w:p w14:paraId="60DD6B58" w14:textId="77777777" w:rsidR="00B61122" w:rsidRPr="005C5218" w:rsidRDefault="00B61122" w:rsidP="005C5218">
      <w:pPr>
        <w:pStyle w:val="Prrafodelista"/>
        <w:numPr>
          <w:ilvl w:val="0"/>
          <w:numId w:val="33"/>
        </w:numPr>
        <w:jc w:val="both"/>
        <w:rPr>
          <w:rStyle w:val="Hipervnculo"/>
          <w:rFonts w:ascii="Bookman Old Style" w:hAnsi="Bookman Old Style"/>
          <w:i/>
          <w:color w:val="auto"/>
          <w:sz w:val="16"/>
          <w:szCs w:val="16"/>
        </w:rPr>
      </w:pPr>
      <w:r w:rsidRPr="00B61122">
        <w:rPr>
          <w:rFonts w:ascii="Bookman Old Style" w:hAnsi="Bookman Old Style"/>
          <w:i/>
          <w:sz w:val="16"/>
          <w:szCs w:val="16"/>
        </w:rPr>
        <w:t xml:space="preserve">Comisión Global de Políticas de Drogas. 2018. Políticas De Drogas Y La Agenda Para El Desarrollo Sostenible. Recuperado de: </w:t>
      </w:r>
      <w:hyperlink r:id="rId14" w:history="1">
        <w:r w:rsidRPr="00B61122">
          <w:rPr>
            <w:rStyle w:val="Hipervnculo"/>
            <w:rFonts w:ascii="Bookman Old Style" w:hAnsi="Bookman Old Style" w:cs="Times New Roman"/>
            <w:i/>
            <w:color w:val="auto"/>
            <w:sz w:val="16"/>
            <w:szCs w:val="16"/>
            <w:u w:val="none"/>
          </w:rPr>
          <w:t>http://www.globalcommissionondrugs.org/wp-content/uploads/2018/11/SPA-2018_SDGPaper_WEB.pdf</w:t>
        </w:r>
      </w:hyperlink>
    </w:p>
    <w:p w14:paraId="296BEB35" w14:textId="77777777" w:rsidR="00B61122" w:rsidRPr="005C5218" w:rsidRDefault="00B61122" w:rsidP="005C5218">
      <w:pPr>
        <w:pStyle w:val="Prrafodelista"/>
        <w:numPr>
          <w:ilvl w:val="0"/>
          <w:numId w:val="33"/>
        </w:numPr>
        <w:jc w:val="both"/>
        <w:rPr>
          <w:rFonts w:ascii="Bookman Old Style" w:hAnsi="Bookman Old Style"/>
          <w:i/>
          <w:sz w:val="16"/>
          <w:szCs w:val="16"/>
        </w:rPr>
      </w:pPr>
      <w:r w:rsidRPr="00B61122">
        <w:rPr>
          <w:rStyle w:val="Hipervnculo"/>
          <w:rFonts w:ascii="Bookman Old Style" w:hAnsi="Bookman Old Style"/>
          <w:i/>
          <w:color w:val="auto"/>
          <w:sz w:val="16"/>
          <w:szCs w:val="16"/>
        </w:rPr>
        <w:t>Constitución Política de Colombia</w:t>
      </w:r>
    </w:p>
    <w:p w14:paraId="2C2B1ABC" w14:textId="77777777" w:rsidR="00B61122" w:rsidRPr="005C5218" w:rsidRDefault="00B61122" w:rsidP="00B61122">
      <w:pPr>
        <w:pStyle w:val="Textonotapie"/>
        <w:numPr>
          <w:ilvl w:val="0"/>
          <w:numId w:val="33"/>
        </w:numPr>
        <w:jc w:val="both"/>
        <w:rPr>
          <w:rFonts w:ascii="Bookman Old Style" w:hAnsi="Bookman Old Style" w:cs="Times New Roman"/>
          <w:i/>
          <w:sz w:val="16"/>
          <w:szCs w:val="16"/>
        </w:rPr>
      </w:pPr>
      <w:r w:rsidRPr="00B61122">
        <w:rPr>
          <w:rFonts w:ascii="Bookman Old Style" w:hAnsi="Bookman Old Style" w:cs="Times New Roman"/>
          <w:i/>
          <w:sz w:val="16"/>
          <w:szCs w:val="16"/>
        </w:rPr>
        <w:t>Corte Constitucional, Sentencia C-221 de 1994. M.P. Carlos Gaviria Díaz.</w:t>
      </w:r>
    </w:p>
    <w:p w14:paraId="0CAD66E8" w14:textId="77777777" w:rsidR="00B61122" w:rsidRPr="005C5218" w:rsidRDefault="00B61122" w:rsidP="00B61122">
      <w:pPr>
        <w:pStyle w:val="Textonotapie"/>
        <w:numPr>
          <w:ilvl w:val="0"/>
          <w:numId w:val="33"/>
        </w:numPr>
        <w:jc w:val="both"/>
        <w:rPr>
          <w:rFonts w:ascii="Bookman Old Style" w:hAnsi="Bookman Old Style" w:cs="Times New Roman"/>
          <w:i/>
          <w:sz w:val="16"/>
          <w:szCs w:val="16"/>
        </w:rPr>
      </w:pPr>
      <w:r w:rsidRPr="00B61122">
        <w:rPr>
          <w:rFonts w:ascii="Bookman Old Style" w:hAnsi="Bookman Old Style" w:cs="Times New Roman"/>
          <w:i/>
          <w:sz w:val="16"/>
          <w:szCs w:val="16"/>
        </w:rPr>
        <w:t>Corte Constitucional, Sentencia T-516 de 1998 M.P. Antonio Barrera.</w:t>
      </w:r>
    </w:p>
    <w:p w14:paraId="73518621" w14:textId="77777777" w:rsidR="00B61122" w:rsidRPr="005C5218" w:rsidRDefault="00B61122" w:rsidP="00B61122">
      <w:pPr>
        <w:pStyle w:val="Textonotapie"/>
        <w:numPr>
          <w:ilvl w:val="0"/>
          <w:numId w:val="33"/>
        </w:numPr>
        <w:jc w:val="both"/>
        <w:rPr>
          <w:rFonts w:ascii="Bookman Old Style" w:eastAsia="Calibri" w:hAnsi="Bookman Old Style" w:cs="Times New Roman"/>
          <w:i/>
          <w:sz w:val="16"/>
          <w:szCs w:val="16"/>
          <w:lang w:eastAsia="es-CO"/>
        </w:rPr>
      </w:pPr>
      <w:r w:rsidRPr="00B61122">
        <w:rPr>
          <w:rFonts w:ascii="Bookman Old Style" w:eastAsia="Calibri" w:hAnsi="Bookman Old Style" w:cs="Times New Roman"/>
          <w:i/>
          <w:sz w:val="16"/>
          <w:szCs w:val="16"/>
          <w:lang w:eastAsia="es-CO"/>
        </w:rPr>
        <w:t>Corte Constitucional, sentencia C-420 de 2002, M.P. Jaime Córdoba Triviño.</w:t>
      </w:r>
    </w:p>
    <w:p w14:paraId="19939481" w14:textId="77777777" w:rsidR="00B61122" w:rsidRPr="005C5218" w:rsidRDefault="00B61122" w:rsidP="00B61122">
      <w:pPr>
        <w:pStyle w:val="Textonotapie"/>
        <w:numPr>
          <w:ilvl w:val="0"/>
          <w:numId w:val="33"/>
        </w:numPr>
        <w:jc w:val="both"/>
        <w:rPr>
          <w:rFonts w:ascii="Bookman Old Style" w:hAnsi="Bookman Old Style" w:cs="Times New Roman"/>
          <w:i/>
          <w:sz w:val="16"/>
          <w:szCs w:val="16"/>
        </w:rPr>
      </w:pPr>
      <w:r w:rsidRPr="00B61122">
        <w:rPr>
          <w:rFonts w:ascii="Bookman Old Style" w:hAnsi="Bookman Old Style" w:cs="Times New Roman"/>
          <w:i/>
          <w:sz w:val="16"/>
          <w:szCs w:val="16"/>
        </w:rPr>
        <w:t>Corte Constitucional, Sentencia C-336 de 2008. M.P. Clara Inés Vargas Hernández.</w:t>
      </w:r>
    </w:p>
    <w:p w14:paraId="4DB4DDB9" w14:textId="77777777" w:rsidR="00B61122" w:rsidRPr="005C5218" w:rsidRDefault="00B61122" w:rsidP="005C5218">
      <w:pPr>
        <w:pStyle w:val="Prrafodelista"/>
        <w:numPr>
          <w:ilvl w:val="0"/>
          <w:numId w:val="33"/>
        </w:numPr>
        <w:jc w:val="both"/>
        <w:rPr>
          <w:rFonts w:ascii="Bookman Old Style" w:eastAsia="Calibri" w:hAnsi="Bookman Old Style"/>
          <w:i/>
          <w:sz w:val="16"/>
          <w:szCs w:val="16"/>
        </w:rPr>
      </w:pPr>
      <w:r w:rsidRPr="00B61122">
        <w:rPr>
          <w:rFonts w:ascii="Bookman Old Style" w:hAnsi="Bookman Old Style"/>
          <w:i/>
          <w:sz w:val="16"/>
          <w:szCs w:val="16"/>
        </w:rPr>
        <w:t>Corte Constitucional,</w:t>
      </w:r>
      <w:r w:rsidRPr="00B61122">
        <w:rPr>
          <w:rFonts w:ascii="Bookman Old Style" w:eastAsia="Calibri" w:hAnsi="Bookman Old Style"/>
          <w:i/>
          <w:sz w:val="16"/>
          <w:szCs w:val="16"/>
          <w:lang w:val="es-ES_tradnl"/>
        </w:rPr>
        <w:t xml:space="preserve"> Sentencia C-574 de 2011. M.P. </w:t>
      </w:r>
      <w:r w:rsidRPr="00B61122">
        <w:rPr>
          <w:rFonts w:ascii="Bookman Old Style" w:eastAsia="Calibri" w:hAnsi="Bookman Old Style"/>
          <w:i/>
          <w:sz w:val="16"/>
          <w:szCs w:val="16"/>
        </w:rPr>
        <w:t>Juan Carlos Henao Pérez.</w:t>
      </w:r>
    </w:p>
    <w:p w14:paraId="2EAAD946" w14:textId="77777777" w:rsidR="00B61122" w:rsidRPr="005C5218" w:rsidRDefault="00B61122" w:rsidP="005C5218">
      <w:pPr>
        <w:pStyle w:val="Prrafodelista"/>
        <w:numPr>
          <w:ilvl w:val="0"/>
          <w:numId w:val="33"/>
        </w:numPr>
        <w:jc w:val="both"/>
        <w:rPr>
          <w:rFonts w:ascii="Bookman Old Style" w:eastAsia="Calibri" w:hAnsi="Bookman Old Style"/>
          <w:i/>
          <w:sz w:val="16"/>
          <w:szCs w:val="16"/>
        </w:rPr>
      </w:pPr>
      <w:r w:rsidRPr="00B61122">
        <w:rPr>
          <w:rFonts w:ascii="Bookman Old Style" w:hAnsi="Bookman Old Style"/>
          <w:i/>
          <w:sz w:val="16"/>
          <w:szCs w:val="16"/>
        </w:rPr>
        <w:t>Corte Constitucional</w:t>
      </w:r>
      <w:r w:rsidRPr="00B61122">
        <w:rPr>
          <w:rFonts w:ascii="Bookman Old Style" w:eastAsia="Calibri" w:hAnsi="Bookman Old Style"/>
          <w:bCs/>
          <w:i/>
          <w:sz w:val="16"/>
          <w:szCs w:val="16"/>
        </w:rPr>
        <w:t>, Sentencia T-388 de 2013</w:t>
      </w:r>
      <w:r w:rsidRPr="00B61122">
        <w:rPr>
          <w:rFonts w:ascii="Bookman Old Style" w:eastAsia="Calibri" w:hAnsi="Bookman Old Style"/>
          <w:i/>
          <w:sz w:val="16"/>
          <w:szCs w:val="16"/>
        </w:rPr>
        <w:t>.M.P. María Victoria Calle Correa.</w:t>
      </w:r>
    </w:p>
    <w:p w14:paraId="6B5E2ED0" w14:textId="77777777" w:rsidR="00B61122" w:rsidRPr="005C5218" w:rsidRDefault="00B61122" w:rsidP="005C5218">
      <w:pPr>
        <w:pStyle w:val="Prrafodelista"/>
        <w:numPr>
          <w:ilvl w:val="0"/>
          <w:numId w:val="33"/>
        </w:numPr>
        <w:jc w:val="both"/>
        <w:rPr>
          <w:rFonts w:ascii="Bookman Old Style" w:eastAsia="Calibri" w:hAnsi="Bookman Old Style"/>
          <w:i/>
          <w:sz w:val="16"/>
          <w:szCs w:val="16"/>
        </w:rPr>
      </w:pPr>
      <w:r w:rsidRPr="00B61122">
        <w:rPr>
          <w:rFonts w:ascii="Bookman Old Style" w:eastAsia="Calibri" w:hAnsi="Bookman Old Style"/>
          <w:i/>
          <w:sz w:val="16"/>
          <w:szCs w:val="16"/>
        </w:rPr>
        <w:t>Corte Constitucional, Sentencia C-144 de 2015. M.P. Martha Victoria Sáchica Méndez.</w:t>
      </w:r>
    </w:p>
    <w:p w14:paraId="1736E058" w14:textId="77777777" w:rsidR="00B61122" w:rsidRPr="005C5218" w:rsidRDefault="00B61122" w:rsidP="005C5218">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rPr>
        <w:t>Corte Constitucional, Sentencia C-104 de 2016, M.P. Luis Guillermo Guerrero Pérez.</w:t>
      </w:r>
    </w:p>
    <w:p w14:paraId="2F495055" w14:textId="77777777" w:rsidR="00B61122" w:rsidRPr="005C5218" w:rsidRDefault="00B61122" w:rsidP="005C5218">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rPr>
        <w:t>Corte Constitucional, sentencia C-220 de 2017. M.P. José Antonio Cepeda Amarís (E).</w:t>
      </w:r>
    </w:p>
    <w:p w14:paraId="2A9BA7D8" w14:textId="77777777" w:rsidR="00B61122" w:rsidRPr="005C5218" w:rsidRDefault="00B61122" w:rsidP="005C5218">
      <w:pPr>
        <w:pStyle w:val="Prrafodelista"/>
        <w:numPr>
          <w:ilvl w:val="0"/>
          <w:numId w:val="33"/>
        </w:numPr>
        <w:jc w:val="both"/>
        <w:rPr>
          <w:rFonts w:ascii="Bookman Old Style" w:eastAsia="Calibri" w:hAnsi="Bookman Old Style"/>
          <w:i/>
          <w:sz w:val="16"/>
          <w:szCs w:val="16"/>
        </w:rPr>
      </w:pPr>
      <w:r w:rsidRPr="00B61122">
        <w:rPr>
          <w:rFonts w:ascii="Bookman Old Style" w:eastAsia="Calibri" w:hAnsi="Bookman Old Style"/>
          <w:i/>
          <w:sz w:val="16"/>
          <w:szCs w:val="16"/>
        </w:rPr>
        <w:t>Corte Constitucional, Sentencia T-171 de 2018. M.P.</w:t>
      </w:r>
      <w:r w:rsidRPr="00B61122">
        <w:rPr>
          <w:rFonts w:ascii="Bookman Old Style" w:hAnsi="Bookman Old Style"/>
          <w:i/>
          <w:sz w:val="16"/>
          <w:szCs w:val="16"/>
          <w:shd w:val="clear" w:color="auto" w:fill="FFFFFF"/>
        </w:rPr>
        <w:t xml:space="preserve"> </w:t>
      </w:r>
      <w:r w:rsidRPr="00B61122">
        <w:rPr>
          <w:rFonts w:ascii="Bookman Old Style" w:eastAsia="Calibri" w:hAnsi="Bookman Old Style"/>
          <w:i/>
          <w:sz w:val="16"/>
          <w:szCs w:val="16"/>
        </w:rPr>
        <w:t>Cristina Pardo Schlesinger.</w:t>
      </w:r>
    </w:p>
    <w:p w14:paraId="3082D094" w14:textId="77777777" w:rsidR="00B61122" w:rsidRPr="005C5218" w:rsidRDefault="00B61122" w:rsidP="005C5218">
      <w:pPr>
        <w:pStyle w:val="Prrafodelista"/>
        <w:numPr>
          <w:ilvl w:val="0"/>
          <w:numId w:val="33"/>
        </w:numPr>
        <w:jc w:val="both"/>
        <w:rPr>
          <w:rFonts w:ascii="Bookman Old Style" w:eastAsia="Calibri" w:hAnsi="Bookman Old Style"/>
          <w:i/>
          <w:sz w:val="16"/>
          <w:szCs w:val="16"/>
        </w:rPr>
      </w:pPr>
      <w:r w:rsidRPr="00B61122">
        <w:rPr>
          <w:rFonts w:ascii="Bookman Old Style" w:eastAsia="Calibri" w:hAnsi="Bookman Old Style"/>
          <w:i/>
          <w:sz w:val="16"/>
          <w:szCs w:val="16"/>
        </w:rPr>
        <w:t>Corte Constitucional, Sentencia T-452 de 2018 M.P. José Fernando Reyes Cuartas.</w:t>
      </w:r>
    </w:p>
    <w:p w14:paraId="25887FB4" w14:textId="77777777" w:rsidR="00B61122" w:rsidRPr="005C5218" w:rsidRDefault="00B61122" w:rsidP="005C5218">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rPr>
        <w:t>Corte Constitucional, Comunicado de Prensa del 6 de junio de 2019.</w:t>
      </w:r>
    </w:p>
    <w:p w14:paraId="0097F03D" w14:textId="77777777" w:rsidR="00B61122" w:rsidRPr="005C5218" w:rsidRDefault="00B61122" w:rsidP="005C5218">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rPr>
        <w:t>British Broadcasting Corporation BBC, Cuáles son las sustancias más adictivas del mundo y qué le hacen a nuestro cerebro, recuperado de https://www.bbc.com/mundo/noticias-46877409</w:t>
      </w:r>
    </w:p>
    <w:p w14:paraId="5FE81173" w14:textId="77777777" w:rsidR="00B61122" w:rsidRPr="005C5218" w:rsidRDefault="00B61122" w:rsidP="005C5218">
      <w:pPr>
        <w:pStyle w:val="Prrafodelista"/>
        <w:numPr>
          <w:ilvl w:val="0"/>
          <w:numId w:val="33"/>
        </w:numPr>
        <w:jc w:val="both"/>
        <w:rPr>
          <w:rStyle w:val="Hipervnculo"/>
          <w:rFonts w:ascii="Bookman Old Style" w:hAnsi="Bookman Old Style" w:cs="Times New Roman"/>
          <w:i/>
          <w:color w:val="auto"/>
          <w:sz w:val="16"/>
          <w:szCs w:val="16"/>
        </w:rPr>
      </w:pPr>
      <w:r w:rsidRPr="00B61122">
        <w:rPr>
          <w:rFonts w:ascii="Bookman Old Style" w:hAnsi="Bookman Old Style"/>
          <w:i/>
          <w:sz w:val="16"/>
          <w:szCs w:val="16"/>
        </w:rPr>
        <w:t xml:space="preserve">DANE. Estimaciones De Población 1985-2005 Y Proyecciones De Población 2005-2020 Nacional y Departamental Desagregado por Área, Sexo Y Grupos Quinquenales De Edad. Recuperado de: </w:t>
      </w:r>
      <w:hyperlink r:id="rId15" w:anchor="cuantos00" w:history="1">
        <w:r w:rsidRPr="00B61122">
          <w:rPr>
            <w:rStyle w:val="Hipervnculo"/>
            <w:rFonts w:ascii="Bookman Old Style" w:hAnsi="Bookman Old Style" w:cs="Times New Roman"/>
            <w:i/>
            <w:color w:val="auto"/>
            <w:sz w:val="16"/>
            <w:szCs w:val="16"/>
            <w:u w:val="none"/>
          </w:rPr>
          <w:t>https://sitios.dane.gov.co/cnpv-presentacion/src/#cuantos00</w:t>
        </w:r>
      </w:hyperlink>
    </w:p>
    <w:p w14:paraId="64F258F2" w14:textId="77777777" w:rsidR="00B61122" w:rsidRPr="005C5218" w:rsidRDefault="00B61122" w:rsidP="005C5218">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rPr>
        <w:t>Dejusticia, “Comentarios borrador de decreto por medio del cual se adiciona el capítulo 9 del título 8 de la parte 2 del libro 2 del Decreto 1070 de 2015, "Decreto Único Reglamentario del Sector Administrativo de Defensa", para reglamentar parcialmente el Código Nacional de Policía y Convivencia, en lo referente a la prohibición de poseer, tener, entregar, distribuir o comercializar drogas o sustancias prohibidas” 2018.</w:t>
      </w:r>
    </w:p>
    <w:p w14:paraId="404B1DFF" w14:textId="77777777" w:rsidR="00B61122" w:rsidRPr="005C5218" w:rsidRDefault="00B61122" w:rsidP="005C5218">
      <w:pPr>
        <w:pStyle w:val="Textonotapie"/>
        <w:numPr>
          <w:ilvl w:val="0"/>
          <w:numId w:val="33"/>
        </w:numPr>
        <w:jc w:val="both"/>
        <w:rPr>
          <w:rFonts w:ascii="Bookman Old Style" w:hAnsi="Bookman Old Style" w:cs="Times New Roman"/>
          <w:i/>
          <w:sz w:val="16"/>
          <w:szCs w:val="16"/>
          <w:lang w:val="en-US"/>
        </w:rPr>
      </w:pPr>
      <w:r w:rsidRPr="00B61122">
        <w:rPr>
          <w:rFonts w:ascii="Bookman Old Style" w:hAnsi="Bookman Old Style" w:cs="Times New Roman"/>
          <w:i/>
          <w:sz w:val="16"/>
          <w:szCs w:val="16"/>
          <w:lang w:val="en-US"/>
        </w:rPr>
        <w:t xml:space="preserve">Drug Policy Alliance. 2018. From Prohibition to Progress: A Status Report on Marijuana Legalization. What We Know About Marijuana Legalization in Eight States and Washington, D.C. Recuperado de: </w:t>
      </w:r>
      <w:hyperlink r:id="rId16" w:history="1">
        <w:r w:rsidRPr="00B61122">
          <w:rPr>
            <w:rStyle w:val="Hipervnculo"/>
            <w:rFonts w:ascii="Bookman Old Style" w:hAnsi="Bookman Old Style" w:cs="Times New Roman"/>
            <w:i/>
            <w:color w:val="auto"/>
            <w:sz w:val="16"/>
            <w:szCs w:val="16"/>
            <w:u w:val="none"/>
            <w:lang w:val="en-US"/>
          </w:rPr>
          <w:t>http://fileserver.idpc.net/library/dpa_marijuana_legalization_report_v8_0.pdf</w:t>
        </w:r>
      </w:hyperlink>
      <w:r w:rsidRPr="00B61122">
        <w:rPr>
          <w:rFonts w:ascii="Bookman Old Style" w:hAnsi="Bookman Old Style" w:cs="Times New Roman"/>
          <w:i/>
          <w:sz w:val="16"/>
          <w:szCs w:val="16"/>
          <w:lang w:val="en-US"/>
        </w:rPr>
        <w:t xml:space="preserve">    </w:t>
      </w:r>
    </w:p>
    <w:p w14:paraId="1CCA9090" w14:textId="77777777" w:rsidR="00B61122" w:rsidRPr="005C5218" w:rsidRDefault="00B61122" w:rsidP="00B61122">
      <w:pPr>
        <w:pStyle w:val="Textonotapie"/>
        <w:numPr>
          <w:ilvl w:val="0"/>
          <w:numId w:val="33"/>
        </w:numPr>
        <w:jc w:val="both"/>
        <w:rPr>
          <w:rFonts w:ascii="Bookman Old Style" w:hAnsi="Bookman Old Style" w:cs="Times New Roman"/>
          <w:i/>
          <w:sz w:val="16"/>
          <w:szCs w:val="16"/>
        </w:rPr>
      </w:pPr>
      <w:r w:rsidRPr="00B61122">
        <w:rPr>
          <w:rFonts w:ascii="Bookman Old Style" w:hAnsi="Bookman Old Style" w:cs="Times New Roman"/>
          <w:i/>
          <w:sz w:val="16"/>
          <w:szCs w:val="16"/>
        </w:rPr>
        <w:t>El Observador. 2018. El jueves aumenta el precio de la marihuana a $200. Recuperado de: https://www.elobservador.com.uy/nota/el-jueves-aumenta-el-precio-de-la-marihuana-a-200--201813019260.</w:t>
      </w:r>
    </w:p>
    <w:p w14:paraId="22189E62" w14:textId="77777777" w:rsidR="00B61122" w:rsidRPr="005C5218" w:rsidRDefault="00B61122" w:rsidP="005C5218">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lang w:val="en-US"/>
        </w:rPr>
        <w:t xml:space="preserve">German Lopez. </w:t>
      </w:r>
      <w:hyperlink r:id="rId17" w:tgtFrame="_blank" w:history="1">
        <w:r w:rsidRPr="00B61122">
          <w:rPr>
            <w:rFonts w:ascii="Bookman Old Style" w:hAnsi="Bookman Old Style"/>
            <w:i/>
            <w:sz w:val="16"/>
            <w:szCs w:val="16"/>
            <w:lang w:val="en-US"/>
          </w:rPr>
          <w:t xml:space="preserve">The three deathliest drugs in America. </w:t>
        </w:r>
        <w:r w:rsidRPr="00B61122">
          <w:rPr>
            <w:rFonts w:ascii="Bookman Old Style" w:hAnsi="Bookman Old Style"/>
            <w:i/>
            <w:sz w:val="16"/>
            <w:szCs w:val="16"/>
          </w:rPr>
          <w:t>Vox 2017</w:t>
        </w:r>
      </w:hyperlink>
      <w:r w:rsidRPr="00B61122">
        <w:rPr>
          <w:rFonts w:ascii="Bookman Old Style" w:hAnsi="Bookman Old Style"/>
          <w:i/>
          <w:sz w:val="16"/>
          <w:szCs w:val="16"/>
        </w:rPr>
        <w:t>.</w:t>
      </w:r>
    </w:p>
    <w:p w14:paraId="2580E6AD" w14:textId="77777777" w:rsidR="00B61122" w:rsidRPr="005C5218" w:rsidRDefault="00B61122" w:rsidP="005C5218">
      <w:pPr>
        <w:pStyle w:val="Prrafodelista"/>
        <w:numPr>
          <w:ilvl w:val="0"/>
          <w:numId w:val="33"/>
        </w:numPr>
        <w:jc w:val="both"/>
        <w:rPr>
          <w:rFonts w:ascii="Bookman Old Style" w:hAnsi="Bookman Old Style"/>
          <w:i/>
          <w:sz w:val="16"/>
          <w:szCs w:val="16"/>
        </w:rPr>
      </w:pPr>
      <w:r w:rsidRPr="00B61122">
        <w:rPr>
          <w:rFonts w:ascii="Bookman Old Style" w:hAnsi="Bookman Old Style"/>
          <w:i/>
          <w:iCs/>
          <w:sz w:val="16"/>
          <w:szCs w:val="16"/>
        </w:rPr>
        <w:t>International Drug Policy Consortium, 2019. La OMS cambia su posición con respecto a la marihuana, recuperado de: https://idpc.net/es/alerts/2019/02/la-OMS-cambia-su-posicion#.XTS1wX3xB0k.whatsapp.</w:t>
      </w:r>
    </w:p>
    <w:p w14:paraId="5D1E42DA" w14:textId="77777777" w:rsidR="00B61122" w:rsidRPr="005C5218" w:rsidRDefault="00B61122" w:rsidP="005C5218">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lang w:val="en-US"/>
        </w:rPr>
        <w:t xml:space="preserve">Leslie King and Lawrence Phillips. “Drug harms in the UK: a multicriteria decision analysis”. </w:t>
      </w:r>
      <w:r w:rsidRPr="00B61122">
        <w:rPr>
          <w:rFonts w:ascii="Bookman Old Style" w:hAnsi="Bookman Old Style"/>
          <w:i/>
          <w:sz w:val="16"/>
          <w:szCs w:val="16"/>
        </w:rPr>
        <w:t>David Nutt. The Lancet, 2010.</w:t>
      </w:r>
    </w:p>
    <w:p w14:paraId="6CF79463" w14:textId="77777777" w:rsidR="00B61122" w:rsidRPr="005C5218" w:rsidRDefault="00B61122" w:rsidP="005C5218">
      <w:pPr>
        <w:pStyle w:val="Prrafodelista"/>
        <w:numPr>
          <w:ilvl w:val="0"/>
          <w:numId w:val="33"/>
        </w:numPr>
        <w:jc w:val="both"/>
        <w:rPr>
          <w:rFonts w:ascii="Bookman Old Style" w:eastAsia="Calibri" w:hAnsi="Bookman Old Style"/>
          <w:i/>
          <w:sz w:val="16"/>
          <w:szCs w:val="16"/>
        </w:rPr>
      </w:pPr>
      <w:r w:rsidRPr="00B61122">
        <w:rPr>
          <w:rFonts w:ascii="Bookman Old Style" w:eastAsia="Calibri" w:hAnsi="Bookman Old Style"/>
          <w:i/>
          <w:sz w:val="16"/>
          <w:szCs w:val="16"/>
        </w:rPr>
        <w:t>Medina-Mora, Real, Villatoro, &amp; Natera, “Las drogas y la salud pública: ¿hacia dónde vamos?”, 2013; página 68</w:t>
      </w:r>
    </w:p>
    <w:p w14:paraId="71048915" w14:textId="77777777" w:rsidR="00B61122" w:rsidRPr="00B61122" w:rsidRDefault="00B61122" w:rsidP="00B61122">
      <w:pPr>
        <w:pStyle w:val="Prrafodelista"/>
        <w:numPr>
          <w:ilvl w:val="0"/>
          <w:numId w:val="33"/>
        </w:numPr>
        <w:jc w:val="both"/>
        <w:rPr>
          <w:rFonts w:ascii="Bookman Old Style" w:eastAsia="Calibri" w:hAnsi="Bookman Old Style"/>
          <w:i/>
          <w:sz w:val="16"/>
          <w:szCs w:val="16"/>
        </w:rPr>
      </w:pPr>
      <w:r w:rsidRPr="00B61122">
        <w:rPr>
          <w:rFonts w:ascii="Bookman Old Style" w:eastAsia="Calibri" w:hAnsi="Bookman Old Style"/>
          <w:i/>
          <w:sz w:val="16"/>
          <w:szCs w:val="16"/>
        </w:rPr>
        <w:t>Ministerio de Salud, Dirección de Promoción y prevención,”El consumo de SPA en colombia” 2015.</w:t>
      </w:r>
    </w:p>
    <w:p w14:paraId="560BD2DA" w14:textId="77777777" w:rsidR="00B61122" w:rsidRPr="005C5218" w:rsidRDefault="00B61122" w:rsidP="00B61122">
      <w:pPr>
        <w:pStyle w:val="Textonotapie"/>
        <w:numPr>
          <w:ilvl w:val="0"/>
          <w:numId w:val="33"/>
        </w:numPr>
        <w:jc w:val="both"/>
        <w:rPr>
          <w:rFonts w:ascii="Bookman Old Style" w:hAnsi="Bookman Old Style" w:cs="Times New Roman"/>
          <w:i/>
          <w:sz w:val="16"/>
          <w:szCs w:val="16"/>
        </w:rPr>
      </w:pPr>
      <w:r w:rsidRPr="00B61122">
        <w:rPr>
          <w:rFonts w:ascii="Bookman Old Style" w:hAnsi="Bookman Old Style" w:cs="Times New Roman"/>
          <w:i/>
          <w:sz w:val="16"/>
          <w:szCs w:val="16"/>
          <w:lang w:val="en-US"/>
        </w:rPr>
        <w:t xml:space="preserve">Moody´s. 2018. Recreational Marijuana Tax Revenues are Marginal Credit Positives. </w:t>
      </w:r>
      <w:r w:rsidRPr="00B61122">
        <w:rPr>
          <w:rFonts w:ascii="Bookman Old Style" w:hAnsi="Bookman Old Style" w:cs="Times New Roman"/>
          <w:i/>
          <w:sz w:val="16"/>
          <w:szCs w:val="16"/>
        </w:rPr>
        <w:t xml:space="preserve">Recuperado de: </w:t>
      </w:r>
      <w:r w:rsidRPr="00B61122">
        <w:rPr>
          <w:rStyle w:val="Hipervnculo"/>
          <w:rFonts w:ascii="Bookman Old Style" w:hAnsi="Bookman Old Style" w:cs="Times New Roman"/>
          <w:i/>
          <w:color w:val="auto"/>
          <w:sz w:val="16"/>
          <w:szCs w:val="16"/>
        </w:rPr>
        <w:t>https://www.capitaliq.com/CIQDotNet/CreditResearch/RenderArticle.aspx?articleId=2170361&amp;SctArtId=467339&amp;from=CM&amp;nsl_code=LIME&amp;sourceObjectId=10882078&amp;sourceRevId=3&amp;fee_ind=N&amp;exp_date=20290221-02:28:22</w:t>
      </w:r>
      <w:r w:rsidRPr="00B61122">
        <w:rPr>
          <w:rFonts w:ascii="Bookman Old Style" w:hAnsi="Bookman Old Style" w:cs="Times New Roman"/>
          <w:i/>
          <w:sz w:val="16"/>
          <w:szCs w:val="16"/>
        </w:rPr>
        <w:t xml:space="preserve"> </w:t>
      </w:r>
    </w:p>
    <w:p w14:paraId="1EA4E883" w14:textId="77777777" w:rsidR="00B61122" w:rsidRPr="005C5218" w:rsidRDefault="00B61122" w:rsidP="005C5218">
      <w:pPr>
        <w:pStyle w:val="Prrafodelista"/>
        <w:numPr>
          <w:ilvl w:val="0"/>
          <w:numId w:val="33"/>
        </w:numPr>
        <w:jc w:val="both"/>
        <w:rPr>
          <w:rFonts w:ascii="Bookman Old Style" w:eastAsia="Calibri" w:hAnsi="Bookman Old Style"/>
          <w:i/>
          <w:sz w:val="16"/>
          <w:szCs w:val="16"/>
          <w:lang w:val="en-US"/>
        </w:rPr>
      </w:pPr>
      <w:r w:rsidRPr="00B61122">
        <w:rPr>
          <w:rFonts w:ascii="Bookman Old Style" w:eastAsia="Calibri" w:hAnsi="Bookman Old Style"/>
          <w:i/>
          <w:sz w:val="16"/>
          <w:szCs w:val="16"/>
          <w:lang w:val="en-US"/>
        </w:rPr>
        <w:t>P. Westen. Speaking of equality. An Analisis of the Rhetorical forcé of Equality” in moral and legal discoruse, Princenton University Press, 1990, cap.v.</w:t>
      </w:r>
    </w:p>
    <w:p w14:paraId="3778B1F9" w14:textId="77777777" w:rsidR="00B61122" w:rsidRPr="005C5218" w:rsidRDefault="00B61122" w:rsidP="005C5218">
      <w:pPr>
        <w:pStyle w:val="Prrafodelista"/>
        <w:numPr>
          <w:ilvl w:val="0"/>
          <w:numId w:val="33"/>
        </w:numPr>
        <w:jc w:val="both"/>
        <w:rPr>
          <w:rFonts w:ascii="Bookman Old Style" w:hAnsi="Bookman Old Style"/>
          <w:i/>
          <w:sz w:val="16"/>
          <w:szCs w:val="16"/>
        </w:rPr>
      </w:pPr>
      <w:r w:rsidRPr="00B61122">
        <w:rPr>
          <w:rFonts w:ascii="Bookman Old Style" w:hAnsi="Bookman Old Style"/>
          <w:i/>
          <w:iCs/>
          <w:sz w:val="16"/>
          <w:szCs w:val="16"/>
        </w:rPr>
        <w:t>Roberto Serpa Flórez, Psiquiatría médica y jurídica, 2007.</w:t>
      </w:r>
    </w:p>
    <w:p w14:paraId="2C5062C4" w14:textId="77777777" w:rsidR="00B61122" w:rsidRPr="005C5218" w:rsidRDefault="00B61122" w:rsidP="005C5218">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rPr>
        <w:t>Roberto Solórzano Niño, Medicina Lega, criminalística y toxicología para abogados, 1996.</w:t>
      </w:r>
    </w:p>
    <w:p w14:paraId="22E9D3B8" w14:textId="77777777" w:rsidR="00B61122" w:rsidRPr="005C5218" w:rsidRDefault="00B61122" w:rsidP="005C5218">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rPr>
        <w:t>Rodrigo Uprimny, “Una oportunidad perdida”, Dejusticia. 2019</w:t>
      </w:r>
    </w:p>
    <w:p w14:paraId="7F6BFD80" w14:textId="77777777" w:rsidR="00B61122" w:rsidRPr="005C5218" w:rsidRDefault="00B61122" w:rsidP="005C5218">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rPr>
        <w:t>UNODC, Estudio Nacional de Consumo de Sustancias Psicoactivas en Colombia 2013 – Informe Final, 2013, recuperado de: https://www.unodc.org/documents/colombia/2014/Julio/Estudio_de_Consumo_UNODC.pdf</w:t>
      </w:r>
    </w:p>
    <w:p w14:paraId="6CE91886" w14:textId="77777777" w:rsidR="00B61122" w:rsidRPr="005C5218" w:rsidRDefault="00B61122" w:rsidP="005C5218">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lang w:val="en-US"/>
        </w:rPr>
        <w:t xml:space="preserve">Washington Post.  2016. Justin Trudeau may have made the best case for legal pot ever. </w:t>
      </w:r>
      <w:r w:rsidRPr="00B61122">
        <w:rPr>
          <w:rFonts w:ascii="Bookman Old Style" w:hAnsi="Bookman Old Style"/>
          <w:i/>
          <w:sz w:val="16"/>
          <w:szCs w:val="16"/>
        </w:rPr>
        <w:t>Recuperado de: https://www.washingtonpost.com/news/wonk/wp/2016/06/10/why-people-who-hate-marijuana-should-legalize-it-anyway-according-to-justin-trudeau/?noredirect=on&amp;utm_term=.75678dd510b9</w:t>
      </w:r>
    </w:p>
    <w:p w14:paraId="455EC4CA" w14:textId="77777777" w:rsidR="00B61122" w:rsidRPr="00B61122" w:rsidRDefault="00B61122" w:rsidP="00B61122">
      <w:pPr>
        <w:pStyle w:val="Prrafodelista"/>
        <w:numPr>
          <w:ilvl w:val="0"/>
          <w:numId w:val="33"/>
        </w:numPr>
        <w:jc w:val="both"/>
        <w:rPr>
          <w:rFonts w:ascii="Bookman Old Style" w:hAnsi="Bookman Old Style"/>
          <w:i/>
          <w:sz w:val="16"/>
          <w:szCs w:val="16"/>
          <w:u w:val="single"/>
        </w:rPr>
      </w:pPr>
      <w:r w:rsidRPr="00B61122">
        <w:rPr>
          <w:rFonts w:ascii="Bookman Old Style" w:hAnsi="Bookman Old Style"/>
          <w:i/>
          <w:sz w:val="16"/>
          <w:szCs w:val="16"/>
          <w:lang w:val="en-US"/>
        </w:rPr>
        <w:t xml:space="preserve">World Prison Brief, Institute for Criminal Policy Research. </w:t>
      </w:r>
      <w:r w:rsidRPr="00B61122">
        <w:rPr>
          <w:rFonts w:ascii="Bookman Old Style" w:hAnsi="Bookman Old Style"/>
          <w:i/>
          <w:sz w:val="16"/>
          <w:szCs w:val="16"/>
        </w:rPr>
        <w:t xml:space="preserve">Recuperado de: </w:t>
      </w:r>
      <w:r w:rsidRPr="00B61122">
        <w:rPr>
          <w:rStyle w:val="Hipervnculo"/>
          <w:rFonts w:ascii="Bookman Old Style" w:hAnsi="Bookman Old Style" w:cs="Times New Roman"/>
          <w:i/>
          <w:color w:val="auto"/>
          <w:sz w:val="16"/>
          <w:szCs w:val="16"/>
        </w:rPr>
        <w:t>http://www.prisonstudies.org/highest-to-lowest/prison-population-total</w:t>
      </w:r>
      <w:r w:rsidRPr="00B61122">
        <w:rPr>
          <w:rFonts w:ascii="Bookman Old Style" w:hAnsi="Bookman Old Style"/>
          <w:i/>
          <w:sz w:val="16"/>
          <w:szCs w:val="16"/>
        </w:rPr>
        <w:t xml:space="preserve"> y </w:t>
      </w:r>
      <w:hyperlink r:id="rId18" w:history="1">
        <w:r w:rsidRPr="00B61122">
          <w:rPr>
            <w:rStyle w:val="Hipervnculo"/>
            <w:rFonts w:ascii="Bookman Old Style" w:hAnsi="Bookman Old Style" w:cs="Times New Roman"/>
            <w:i/>
            <w:color w:val="auto"/>
            <w:sz w:val="16"/>
            <w:szCs w:val="16"/>
            <w:u w:val="none"/>
          </w:rPr>
          <w:t>http://www.prisonstudies.org/country/colombia</w:t>
        </w:r>
      </w:hyperlink>
    </w:p>
    <w:p w14:paraId="5FB059D0" w14:textId="77777777" w:rsidR="00FB38D7" w:rsidRPr="00E819E1" w:rsidRDefault="00FB38D7" w:rsidP="00A21D0F">
      <w:pPr>
        <w:jc w:val="both"/>
        <w:rPr>
          <w:rFonts w:ascii="Bookman Old Style" w:eastAsia="Calibri" w:hAnsi="Bookman Old Style" w:cs="Calibri"/>
          <w:i/>
          <w:sz w:val="18"/>
        </w:rPr>
        <w:sectPr w:rsidR="00FB38D7" w:rsidRPr="00E819E1" w:rsidSect="00267BD5">
          <w:headerReference w:type="default" r:id="rId19"/>
          <w:footerReference w:type="default" r:id="rId20"/>
          <w:pgSz w:w="12240" w:h="15840" w:code="1"/>
          <w:pgMar w:top="1417" w:right="1701" w:bottom="1417" w:left="1701" w:header="680" w:footer="680" w:gutter="0"/>
          <w:pgNumType w:start="1"/>
          <w:cols w:space="720"/>
          <w:docGrid w:linePitch="299"/>
        </w:sectPr>
      </w:pPr>
    </w:p>
    <w:p w14:paraId="0B727800" w14:textId="77777777" w:rsidR="004151CA" w:rsidRPr="00E819E1" w:rsidRDefault="004151CA" w:rsidP="00E44C45">
      <w:pPr>
        <w:pBdr>
          <w:top w:val="nil"/>
          <w:left w:val="nil"/>
          <w:bottom w:val="nil"/>
          <w:right w:val="nil"/>
          <w:between w:val="nil"/>
        </w:pBdr>
        <w:rPr>
          <w:rFonts w:ascii="Bookman Old Style" w:eastAsia="Calibri" w:hAnsi="Bookman Old Style" w:cs="Calibri"/>
          <w:i/>
          <w:sz w:val="18"/>
        </w:rPr>
        <w:sectPr w:rsidR="004151CA" w:rsidRPr="00E819E1">
          <w:type w:val="continuous"/>
          <w:pgSz w:w="12240" w:h="15840"/>
          <w:pgMar w:top="1940" w:right="1580" w:bottom="2080" w:left="2905" w:header="708" w:footer="1893" w:gutter="0"/>
          <w:cols w:space="720"/>
        </w:sectPr>
      </w:pPr>
    </w:p>
    <w:p w14:paraId="53AE37B4" w14:textId="0280AFB2" w:rsidR="00366E17" w:rsidRDefault="00366E17" w:rsidP="00A21D0F">
      <w:pPr>
        <w:rPr>
          <w:rFonts w:ascii="Bookman Old Style" w:eastAsia="Calibri" w:hAnsi="Bookman Old Style" w:cs="Calibri"/>
          <w:color w:val="000000"/>
          <w:szCs w:val="24"/>
          <w:highlight w:val="white"/>
        </w:rPr>
      </w:pPr>
    </w:p>
    <w:p w14:paraId="1DE0DF10" w14:textId="56DA2069" w:rsidR="00EE71AD" w:rsidRDefault="00EE71AD" w:rsidP="00A21D0F">
      <w:pPr>
        <w:rPr>
          <w:rFonts w:ascii="Bookman Old Style" w:eastAsia="Calibri" w:hAnsi="Bookman Old Style" w:cs="Calibri"/>
          <w:color w:val="000000"/>
          <w:szCs w:val="24"/>
          <w:highlight w:val="white"/>
        </w:rPr>
      </w:pPr>
    </w:p>
    <w:p w14:paraId="091A4473" w14:textId="4FC09D42" w:rsidR="00EE71AD" w:rsidRDefault="00EE71AD" w:rsidP="00A21D0F">
      <w:pPr>
        <w:rPr>
          <w:rFonts w:ascii="Bookman Old Style" w:eastAsia="Calibri" w:hAnsi="Bookman Old Style" w:cs="Calibri"/>
          <w:color w:val="000000"/>
          <w:szCs w:val="24"/>
          <w:highlight w:val="white"/>
        </w:rPr>
      </w:pPr>
    </w:p>
    <w:p w14:paraId="2B5DD0A2" w14:textId="4919A0A8" w:rsidR="00EE71AD" w:rsidRDefault="00EE71AD" w:rsidP="00A21D0F">
      <w:pPr>
        <w:rPr>
          <w:rFonts w:ascii="Bookman Old Style" w:eastAsia="Calibri" w:hAnsi="Bookman Old Style" w:cs="Calibri"/>
          <w:color w:val="000000"/>
          <w:szCs w:val="24"/>
          <w:highlight w:val="white"/>
        </w:rPr>
      </w:pPr>
    </w:p>
    <w:p w14:paraId="773523A5" w14:textId="77777777" w:rsidR="00EE71AD" w:rsidRDefault="00EE71AD" w:rsidP="00A21D0F">
      <w:pPr>
        <w:rPr>
          <w:rFonts w:ascii="Bookman Old Style" w:eastAsia="Calibri" w:hAnsi="Bookman Old Style" w:cs="Calibri"/>
          <w:color w:val="000000"/>
          <w:szCs w:val="24"/>
          <w:highlight w:val="white"/>
        </w:rPr>
      </w:pPr>
    </w:p>
    <w:p w14:paraId="5D9BDC8A" w14:textId="77777777" w:rsidR="004151CA" w:rsidRDefault="005A0028" w:rsidP="00C04E96">
      <w:pPr>
        <w:ind w:hanging="567"/>
        <w:rPr>
          <w:rFonts w:ascii="Bookman Old Style" w:eastAsia="Calibri" w:hAnsi="Bookman Old Style" w:cs="Calibri"/>
          <w:color w:val="000000"/>
          <w:szCs w:val="24"/>
        </w:rPr>
      </w:pPr>
      <w:r w:rsidRPr="00F06C98">
        <w:rPr>
          <w:rFonts w:ascii="Bookman Old Style" w:eastAsia="Calibri" w:hAnsi="Bookman Old Style" w:cs="Calibri"/>
          <w:color w:val="000000"/>
          <w:szCs w:val="24"/>
          <w:highlight w:val="white"/>
        </w:rPr>
        <w:t xml:space="preserve">De los honorables congresistas, </w:t>
      </w:r>
    </w:p>
    <w:p w14:paraId="3F688668" w14:textId="71D92851" w:rsidR="006C0501" w:rsidRDefault="006C0501" w:rsidP="00E44C45">
      <w:pPr>
        <w:ind w:hanging="1080"/>
        <w:rPr>
          <w:rFonts w:ascii="Bookman Old Style" w:eastAsia="Calibri" w:hAnsi="Bookman Old Style" w:cs="Calibri"/>
          <w:color w:val="000000"/>
          <w:szCs w:val="24"/>
        </w:rPr>
      </w:pPr>
    </w:p>
    <w:tbl>
      <w:tblPr>
        <w:tblStyle w:val="Tablaconcuadrcula"/>
        <w:tblW w:w="0" w:type="auto"/>
        <w:jc w:val="center"/>
        <w:tblLook w:val="04A0" w:firstRow="1" w:lastRow="0" w:firstColumn="1" w:lastColumn="0" w:noHBand="0" w:noVBand="1"/>
      </w:tblPr>
      <w:tblGrid>
        <w:gridCol w:w="4390"/>
        <w:gridCol w:w="4348"/>
      </w:tblGrid>
      <w:tr w:rsidR="00011ACE" w:rsidRPr="00011ACE" w14:paraId="644328CE" w14:textId="77777777" w:rsidTr="002D7D3A">
        <w:trPr>
          <w:trHeight w:val="70"/>
          <w:jc w:val="center"/>
        </w:trPr>
        <w:tc>
          <w:tcPr>
            <w:tcW w:w="4390" w:type="dxa"/>
          </w:tcPr>
          <w:p w14:paraId="3D168A83" w14:textId="77777777" w:rsidR="00011ACE" w:rsidRPr="00011ACE" w:rsidRDefault="00011ACE" w:rsidP="002D7D3A">
            <w:pPr>
              <w:tabs>
                <w:tab w:val="right" w:pos="8838"/>
              </w:tabs>
              <w:jc w:val="center"/>
              <w:rPr>
                <w:rFonts w:ascii="Bookman Old Style" w:hAnsi="Bookman Old Style" w:cs="Arial"/>
                <w:b/>
                <w:bCs/>
                <w:sz w:val="20"/>
                <w:szCs w:val="20"/>
                <w:lang w:val="es-ES_tradnl"/>
              </w:rPr>
            </w:pPr>
          </w:p>
          <w:p w14:paraId="24CC8D79" w14:textId="77777777" w:rsidR="00011ACE" w:rsidRPr="00011ACE" w:rsidRDefault="00011ACE" w:rsidP="002D7D3A">
            <w:pPr>
              <w:tabs>
                <w:tab w:val="right" w:pos="8838"/>
              </w:tabs>
              <w:jc w:val="center"/>
              <w:rPr>
                <w:rFonts w:ascii="Bookman Old Style" w:hAnsi="Bookman Old Style" w:cs="Arial"/>
                <w:b/>
                <w:bCs/>
                <w:sz w:val="20"/>
                <w:szCs w:val="20"/>
                <w:lang w:val="es-ES_tradnl"/>
              </w:rPr>
            </w:pPr>
            <w:r w:rsidRPr="00011ACE">
              <w:rPr>
                <w:rFonts w:ascii="Bookman Old Style" w:hAnsi="Bookman Old Style" w:cs="Arial"/>
                <w:b/>
                <w:bCs/>
                <w:sz w:val="20"/>
                <w:szCs w:val="20"/>
                <w:lang w:val="es-ES_tradnl"/>
              </w:rPr>
              <w:t>JUAN CARLOS LOZADA VARGAS</w:t>
            </w:r>
          </w:p>
          <w:p w14:paraId="565C122E" w14:textId="77777777" w:rsidR="00011ACE" w:rsidRPr="00011ACE" w:rsidRDefault="00011ACE" w:rsidP="002D7D3A">
            <w:pPr>
              <w:tabs>
                <w:tab w:val="right" w:pos="8838"/>
              </w:tabs>
              <w:jc w:val="center"/>
              <w:rPr>
                <w:rFonts w:ascii="Bookman Old Style" w:hAnsi="Bookman Old Style" w:cs="Arial"/>
                <w:sz w:val="20"/>
                <w:szCs w:val="20"/>
                <w:lang w:val="es-ES_tradnl"/>
              </w:rPr>
            </w:pPr>
            <w:r w:rsidRPr="00011ACE">
              <w:rPr>
                <w:rFonts w:ascii="Bookman Old Style" w:hAnsi="Bookman Old Style" w:cs="Arial"/>
                <w:sz w:val="20"/>
                <w:szCs w:val="20"/>
                <w:lang w:val="es-ES_tradnl"/>
              </w:rPr>
              <w:t>Representante a la Cámara por Bogotá</w:t>
            </w:r>
          </w:p>
          <w:p w14:paraId="25324388" w14:textId="77777777" w:rsidR="00011ACE" w:rsidRPr="00011ACE" w:rsidRDefault="00011ACE" w:rsidP="002D7D3A">
            <w:pPr>
              <w:tabs>
                <w:tab w:val="right" w:pos="8838"/>
              </w:tabs>
              <w:jc w:val="center"/>
              <w:rPr>
                <w:rFonts w:ascii="Bookman Old Style" w:hAnsi="Bookman Old Style" w:cs="Arial"/>
                <w:sz w:val="20"/>
                <w:szCs w:val="20"/>
                <w:lang w:val="es-ES_tradnl"/>
              </w:rPr>
            </w:pPr>
            <w:r w:rsidRPr="00011ACE">
              <w:rPr>
                <w:rFonts w:ascii="Bookman Old Style" w:hAnsi="Bookman Old Style" w:cs="Arial"/>
                <w:sz w:val="20"/>
                <w:szCs w:val="20"/>
                <w:lang w:val="es-ES_tradnl"/>
              </w:rPr>
              <w:t>Partido Liberal Colombiano</w:t>
            </w:r>
          </w:p>
        </w:tc>
        <w:tc>
          <w:tcPr>
            <w:tcW w:w="4348" w:type="dxa"/>
          </w:tcPr>
          <w:p w14:paraId="14558390" w14:textId="77777777" w:rsidR="00011ACE" w:rsidRPr="00011ACE" w:rsidRDefault="00011ACE" w:rsidP="002D7D3A">
            <w:pPr>
              <w:tabs>
                <w:tab w:val="right" w:pos="8838"/>
              </w:tabs>
              <w:jc w:val="center"/>
              <w:rPr>
                <w:rFonts w:ascii="Bookman Old Style" w:hAnsi="Bookman Old Style" w:cs="Arial"/>
                <w:b/>
                <w:bCs/>
                <w:sz w:val="20"/>
                <w:szCs w:val="20"/>
                <w:lang w:val="es-ES_tradnl"/>
              </w:rPr>
            </w:pPr>
          </w:p>
          <w:p w14:paraId="2FA4E5E8" w14:textId="77777777" w:rsidR="00011ACE" w:rsidRPr="00011ACE" w:rsidRDefault="00011ACE" w:rsidP="002D7D3A">
            <w:pPr>
              <w:tabs>
                <w:tab w:val="right" w:pos="8838"/>
              </w:tabs>
              <w:jc w:val="center"/>
              <w:rPr>
                <w:rFonts w:ascii="Bookman Old Style" w:hAnsi="Bookman Old Style" w:cs="Arial"/>
                <w:b/>
                <w:bCs/>
                <w:sz w:val="20"/>
                <w:szCs w:val="20"/>
                <w:lang w:val="es-ES_tradnl"/>
              </w:rPr>
            </w:pPr>
            <w:r w:rsidRPr="00011ACE">
              <w:rPr>
                <w:rFonts w:ascii="Bookman Old Style" w:hAnsi="Bookman Old Style" w:cs="Arial"/>
                <w:b/>
                <w:bCs/>
                <w:sz w:val="20"/>
                <w:szCs w:val="20"/>
                <w:lang w:val="es-ES_tradnl"/>
              </w:rPr>
              <w:t>JUAN FERNANDO REYES KURI</w:t>
            </w:r>
          </w:p>
          <w:p w14:paraId="6414D0C4" w14:textId="77777777" w:rsidR="00011ACE" w:rsidRPr="00011ACE" w:rsidRDefault="00011ACE" w:rsidP="002D7D3A">
            <w:pPr>
              <w:tabs>
                <w:tab w:val="right" w:pos="8838"/>
              </w:tabs>
              <w:jc w:val="center"/>
              <w:rPr>
                <w:rFonts w:ascii="Bookman Old Style" w:hAnsi="Bookman Old Style" w:cs="Arial"/>
                <w:sz w:val="20"/>
                <w:szCs w:val="20"/>
                <w:lang w:val="es-ES_tradnl"/>
              </w:rPr>
            </w:pPr>
            <w:r w:rsidRPr="00011ACE">
              <w:rPr>
                <w:rFonts w:ascii="Bookman Old Style" w:hAnsi="Bookman Old Style" w:cs="Arial"/>
                <w:sz w:val="20"/>
                <w:szCs w:val="20"/>
                <w:lang w:val="es-ES_tradnl"/>
              </w:rPr>
              <w:t>Representante a la Cámara por el Valle</w:t>
            </w:r>
          </w:p>
          <w:p w14:paraId="0D99E717" w14:textId="77777777" w:rsidR="00011ACE" w:rsidRPr="00011ACE" w:rsidRDefault="00011ACE" w:rsidP="002D7D3A">
            <w:pPr>
              <w:tabs>
                <w:tab w:val="right" w:pos="8838"/>
              </w:tabs>
              <w:jc w:val="center"/>
              <w:rPr>
                <w:rFonts w:ascii="Bookman Old Style" w:hAnsi="Bookman Old Style" w:cs="Arial"/>
                <w:sz w:val="20"/>
                <w:szCs w:val="20"/>
                <w:lang w:val="es-ES_tradnl"/>
              </w:rPr>
            </w:pPr>
            <w:r w:rsidRPr="00011ACE">
              <w:rPr>
                <w:rFonts w:ascii="Bookman Old Style" w:hAnsi="Bookman Old Style" w:cs="Arial"/>
                <w:sz w:val="20"/>
                <w:szCs w:val="20"/>
                <w:lang w:val="es-ES_tradnl"/>
              </w:rPr>
              <w:t>Partido Liberal Colombiano</w:t>
            </w:r>
          </w:p>
        </w:tc>
      </w:tr>
      <w:tr w:rsidR="00011ACE" w:rsidRPr="00011ACE" w14:paraId="08975CF8" w14:textId="77777777" w:rsidTr="002D7D3A">
        <w:trPr>
          <w:jc w:val="center"/>
        </w:trPr>
        <w:tc>
          <w:tcPr>
            <w:tcW w:w="4390" w:type="dxa"/>
          </w:tcPr>
          <w:p w14:paraId="7F8163AA" w14:textId="77777777" w:rsidR="00011ACE" w:rsidRPr="00011ACE" w:rsidRDefault="00011ACE" w:rsidP="002D7D3A">
            <w:pPr>
              <w:pStyle w:val="NormalWeb"/>
              <w:spacing w:before="0" w:beforeAutospacing="0" w:after="0" w:afterAutospacing="0"/>
              <w:jc w:val="center"/>
              <w:rPr>
                <w:rFonts w:ascii="Bookman Old Style" w:hAnsi="Bookman Old Style" w:cs="Arial"/>
                <w:b/>
                <w:bCs/>
                <w:color w:val="000000"/>
                <w:sz w:val="20"/>
                <w:szCs w:val="20"/>
                <w:bdr w:val="none" w:sz="0" w:space="0" w:color="auto" w:frame="1"/>
              </w:rPr>
            </w:pPr>
          </w:p>
          <w:p w14:paraId="21D96220" w14:textId="77777777" w:rsidR="00011ACE" w:rsidRPr="00011ACE" w:rsidRDefault="00011ACE" w:rsidP="002D7D3A">
            <w:pPr>
              <w:pStyle w:val="NormalWeb"/>
              <w:spacing w:before="0" w:beforeAutospacing="0" w:after="0" w:afterAutospacing="0"/>
              <w:jc w:val="center"/>
              <w:rPr>
                <w:rFonts w:ascii="Bookman Old Style" w:hAnsi="Bookman Old Style" w:cs="Arial"/>
                <w:b/>
                <w:bCs/>
                <w:color w:val="000000"/>
                <w:sz w:val="20"/>
                <w:szCs w:val="20"/>
                <w:bdr w:val="none" w:sz="0" w:space="0" w:color="auto" w:frame="1"/>
              </w:rPr>
            </w:pPr>
            <w:r w:rsidRPr="00011ACE">
              <w:rPr>
                <w:rFonts w:ascii="Bookman Old Style" w:hAnsi="Bookman Old Style" w:cs="Arial"/>
                <w:b/>
                <w:bCs/>
                <w:color w:val="000000"/>
                <w:sz w:val="20"/>
                <w:szCs w:val="20"/>
                <w:bdr w:val="none" w:sz="0" w:space="0" w:color="auto" w:frame="1"/>
              </w:rPr>
              <w:t>MAURICIO ANDRÉS TORO ORJUELA</w:t>
            </w:r>
          </w:p>
          <w:p w14:paraId="2B9638B9" w14:textId="77777777" w:rsidR="00011ACE" w:rsidRPr="00011ACE" w:rsidRDefault="00011ACE" w:rsidP="002D7D3A">
            <w:pPr>
              <w:pStyle w:val="NormalWeb"/>
              <w:spacing w:before="0" w:beforeAutospacing="0" w:after="0" w:afterAutospacing="0"/>
              <w:jc w:val="center"/>
              <w:rPr>
                <w:rFonts w:ascii="Bookman Old Style" w:hAnsi="Bookman Old Style" w:cs="Arial"/>
                <w:color w:val="000000"/>
                <w:sz w:val="20"/>
                <w:szCs w:val="20"/>
                <w:bdr w:val="none" w:sz="0" w:space="0" w:color="auto" w:frame="1"/>
              </w:rPr>
            </w:pPr>
            <w:r w:rsidRPr="00011ACE">
              <w:rPr>
                <w:rFonts w:ascii="Bookman Old Style" w:hAnsi="Bookman Old Style" w:cs="Arial"/>
                <w:color w:val="000000"/>
                <w:sz w:val="20"/>
                <w:szCs w:val="20"/>
                <w:bdr w:val="none" w:sz="0" w:space="0" w:color="auto" w:frame="1"/>
              </w:rPr>
              <w:t>Representante a la Cámara por Bogotá</w:t>
            </w:r>
          </w:p>
          <w:p w14:paraId="3D0AD58B" w14:textId="77777777" w:rsidR="00011ACE" w:rsidRPr="00011ACE" w:rsidRDefault="00011ACE" w:rsidP="002D7D3A">
            <w:pPr>
              <w:pStyle w:val="NormalWeb"/>
              <w:spacing w:before="0" w:beforeAutospacing="0" w:after="0" w:afterAutospacing="0"/>
              <w:jc w:val="center"/>
              <w:rPr>
                <w:rFonts w:ascii="Bookman Old Style" w:hAnsi="Bookman Old Style" w:cs="Arial"/>
                <w:color w:val="000000"/>
                <w:sz w:val="20"/>
                <w:szCs w:val="20"/>
                <w:bdr w:val="none" w:sz="0" w:space="0" w:color="auto" w:frame="1"/>
              </w:rPr>
            </w:pPr>
            <w:r w:rsidRPr="00011ACE">
              <w:rPr>
                <w:rFonts w:ascii="Bookman Old Style" w:hAnsi="Bookman Old Style" w:cs="Arial"/>
                <w:color w:val="000000"/>
                <w:sz w:val="20"/>
                <w:szCs w:val="20"/>
                <w:bdr w:val="none" w:sz="0" w:space="0" w:color="auto" w:frame="1"/>
              </w:rPr>
              <w:t>Partido Alianza Verde</w:t>
            </w:r>
          </w:p>
        </w:tc>
        <w:tc>
          <w:tcPr>
            <w:tcW w:w="4348" w:type="dxa"/>
          </w:tcPr>
          <w:p w14:paraId="63AF0225" w14:textId="77777777" w:rsidR="00011ACE" w:rsidRPr="00011ACE" w:rsidRDefault="00011ACE" w:rsidP="002D7D3A">
            <w:pPr>
              <w:pStyle w:val="NormalWeb"/>
              <w:spacing w:before="0" w:beforeAutospacing="0" w:after="0" w:afterAutospacing="0"/>
              <w:jc w:val="center"/>
              <w:rPr>
                <w:rFonts w:ascii="Bookman Old Style" w:hAnsi="Bookman Old Style" w:cs="Arial"/>
                <w:b/>
                <w:bCs/>
                <w:sz w:val="20"/>
                <w:szCs w:val="20"/>
                <w:lang w:val="es-ES_tradnl"/>
              </w:rPr>
            </w:pPr>
          </w:p>
          <w:p w14:paraId="4BF23EAD" w14:textId="77777777" w:rsidR="00011ACE" w:rsidRPr="00011ACE" w:rsidRDefault="00011ACE" w:rsidP="002D7D3A">
            <w:pPr>
              <w:pStyle w:val="NormalWeb"/>
              <w:spacing w:before="0" w:beforeAutospacing="0" w:after="0" w:afterAutospacing="0"/>
              <w:jc w:val="center"/>
              <w:rPr>
                <w:rFonts w:ascii="Bookman Old Style" w:hAnsi="Bookman Old Style" w:cs="Arial"/>
                <w:b/>
                <w:bCs/>
                <w:sz w:val="20"/>
                <w:szCs w:val="20"/>
                <w:lang w:val="es-ES_tradnl"/>
              </w:rPr>
            </w:pPr>
            <w:r w:rsidRPr="00011ACE">
              <w:rPr>
                <w:rFonts w:ascii="Bookman Old Style" w:hAnsi="Bookman Old Style" w:cs="Arial"/>
                <w:b/>
                <w:bCs/>
                <w:sz w:val="20"/>
                <w:szCs w:val="20"/>
                <w:lang w:val="es-ES_tradnl"/>
              </w:rPr>
              <w:t>RODRIGO ROJAS LARA</w:t>
            </w:r>
          </w:p>
          <w:p w14:paraId="275B48A4" w14:textId="77777777" w:rsidR="00011ACE" w:rsidRPr="00011ACE" w:rsidRDefault="00011ACE" w:rsidP="002D7D3A">
            <w:pPr>
              <w:pStyle w:val="NormalWeb"/>
              <w:spacing w:before="0" w:beforeAutospacing="0" w:after="0" w:afterAutospacing="0"/>
              <w:jc w:val="center"/>
              <w:rPr>
                <w:rFonts w:ascii="Bookman Old Style" w:hAnsi="Bookman Old Style" w:cs="Arial"/>
                <w:sz w:val="20"/>
                <w:szCs w:val="20"/>
                <w:lang w:val="es-ES_tradnl"/>
              </w:rPr>
            </w:pPr>
            <w:r w:rsidRPr="00011ACE">
              <w:rPr>
                <w:rFonts w:ascii="Bookman Old Style" w:hAnsi="Bookman Old Style" w:cs="Arial"/>
                <w:sz w:val="20"/>
                <w:szCs w:val="20"/>
                <w:lang w:val="es-ES_tradnl"/>
              </w:rPr>
              <w:t>Representante a la Cámara</w:t>
            </w:r>
          </w:p>
          <w:p w14:paraId="73FE9497" w14:textId="77777777" w:rsidR="00011ACE" w:rsidRPr="00011ACE" w:rsidRDefault="00011ACE" w:rsidP="002D7D3A">
            <w:pPr>
              <w:pStyle w:val="NormalWeb"/>
              <w:spacing w:before="0" w:beforeAutospacing="0" w:after="0" w:afterAutospacing="0"/>
              <w:jc w:val="center"/>
              <w:rPr>
                <w:rFonts w:ascii="Bookman Old Style" w:hAnsi="Bookman Old Style" w:cs="Arial"/>
                <w:sz w:val="20"/>
                <w:szCs w:val="20"/>
                <w:lang w:val="es-ES_tradnl"/>
              </w:rPr>
            </w:pPr>
            <w:r w:rsidRPr="00011ACE">
              <w:rPr>
                <w:rFonts w:ascii="Bookman Old Style" w:hAnsi="Bookman Old Style" w:cs="Arial"/>
                <w:sz w:val="20"/>
                <w:szCs w:val="20"/>
                <w:lang w:val="es-ES_tradnl"/>
              </w:rPr>
              <w:t>Partido Liberal Colombiano</w:t>
            </w:r>
          </w:p>
        </w:tc>
      </w:tr>
      <w:tr w:rsidR="00011ACE" w:rsidRPr="00011ACE" w14:paraId="0582E540" w14:textId="77777777" w:rsidTr="002D7D3A">
        <w:trPr>
          <w:jc w:val="center"/>
        </w:trPr>
        <w:tc>
          <w:tcPr>
            <w:tcW w:w="4390" w:type="dxa"/>
          </w:tcPr>
          <w:p w14:paraId="31D6502A" w14:textId="77777777" w:rsidR="00011ACE" w:rsidRPr="00011ACE" w:rsidRDefault="00011ACE" w:rsidP="002D7D3A">
            <w:pPr>
              <w:pStyle w:val="NormalWeb"/>
              <w:spacing w:before="0" w:beforeAutospacing="0" w:after="0" w:afterAutospacing="0"/>
              <w:jc w:val="center"/>
              <w:rPr>
                <w:rFonts w:ascii="Bookman Old Style" w:hAnsi="Bookman Old Style" w:cs="Arial"/>
                <w:b/>
                <w:bCs/>
                <w:color w:val="000000"/>
                <w:sz w:val="20"/>
                <w:szCs w:val="20"/>
                <w:bdr w:val="none" w:sz="0" w:space="0" w:color="auto" w:frame="1"/>
              </w:rPr>
            </w:pPr>
          </w:p>
          <w:p w14:paraId="05CE2C56" w14:textId="77777777" w:rsidR="00011ACE" w:rsidRPr="00011ACE" w:rsidRDefault="00011ACE" w:rsidP="002D7D3A">
            <w:pPr>
              <w:pStyle w:val="NormalWeb"/>
              <w:spacing w:before="0" w:beforeAutospacing="0" w:after="0" w:afterAutospacing="0"/>
              <w:jc w:val="center"/>
              <w:rPr>
                <w:rFonts w:ascii="Bookman Old Style" w:hAnsi="Bookman Old Style" w:cs="Arial"/>
                <w:b/>
                <w:bCs/>
                <w:color w:val="000000"/>
                <w:sz w:val="20"/>
                <w:szCs w:val="20"/>
                <w:bdr w:val="none" w:sz="0" w:space="0" w:color="auto" w:frame="1"/>
              </w:rPr>
            </w:pPr>
            <w:r w:rsidRPr="00011ACE">
              <w:rPr>
                <w:rFonts w:ascii="Bookman Old Style" w:hAnsi="Bookman Old Style" w:cs="Arial"/>
                <w:b/>
                <w:bCs/>
                <w:color w:val="000000"/>
                <w:sz w:val="20"/>
                <w:szCs w:val="20"/>
                <w:bdr w:val="none" w:sz="0" w:space="0" w:color="auto" w:frame="1"/>
              </w:rPr>
              <w:t>JOSÉ DANIEL LOPEZ</w:t>
            </w:r>
          </w:p>
          <w:p w14:paraId="518780E2" w14:textId="77777777" w:rsidR="00011ACE" w:rsidRPr="00011ACE" w:rsidRDefault="00011ACE" w:rsidP="002D7D3A">
            <w:pPr>
              <w:pStyle w:val="NormalWeb"/>
              <w:spacing w:before="0" w:beforeAutospacing="0" w:after="0" w:afterAutospacing="0"/>
              <w:jc w:val="center"/>
              <w:rPr>
                <w:rFonts w:ascii="Bookman Old Style" w:hAnsi="Bookman Old Style" w:cs="Arial"/>
                <w:color w:val="000000"/>
                <w:sz w:val="20"/>
                <w:szCs w:val="20"/>
                <w:bdr w:val="none" w:sz="0" w:space="0" w:color="auto" w:frame="1"/>
              </w:rPr>
            </w:pPr>
            <w:r w:rsidRPr="00011ACE">
              <w:rPr>
                <w:rFonts w:ascii="Bookman Old Style" w:hAnsi="Bookman Old Style" w:cs="Arial"/>
                <w:color w:val="000000"/>
                <w:sz w:val="20"/>
                <w:szCs w:val="20"/>
                <w:bdr w:val="none" w:sz="0" w:space="0" w:color="auto" w:frame="1"/>
              </w:rPr>
              <w:t>Representante a la Cámara por Bogotá</w:t>
            </w:r>
          </w:p>
        </w:tc>
        <w:tc>
          <w:tcPr>
            <w:tcW w:w="4348" w:type="dxa"/>
          </w:tcPr>
          <w:p w14:paraId="56684D4B" w14:textId="77777777" w:rsidR="00011ACE" w:rsidRPr="00011ACE" w:rsidRDefault="00011ACE" w:rsidP="002D7D3A">
            <w:pPr>
              <w:pStyle w:val="NormalWeb"/>
              <w:spacing w:before="0" w:beforeAutospacing="0" w:after="0" w:afterAutospacing="0"/>
              <w:jc w:val="center"/>
              <w:rPr>
                <w:rFonts w:ascii="Bookman Old Style" w:hAnsi="Bookman Old Style" w:cs="Arial"/>
                <w:b/>
                <w:bCs/>
                <w:color w:val="000000"/>
                <w:sz w:val="20"/>
                <w:szCs w:val="20"/>
                <w:bdr w:val="none" w:sz="0" w:space="0" w:color="auto" w:frame="1"/>
              </w:rPr>
            </w:pPr>
          </w:p>
          <w:p w14:paraId="7A6A255D" w14:textId="77777777" w:rsidR="00011ACE" w:rsidRPr="00011ACE" w:rsidRDefault="00011ACE" w:rsidP="002D7D3A">
            <w:pPr>
              <w:pStyle w:val="NormalWeb"/>
              <w:spacing w:before="0" w:beforeAutospacing="0" w:after="0" w:afterAutospacing="0"/>
              <w:jc w:val="center"/>
              <w:rPr>
                <w:rFonts w:ascii="Bookman Old Style" w:hAnsi="Bookman Old Style" w:cs="Arial"/>
                <w:b/>
                <w:bCs/>
                <w:color w:val="000000"/>
                <w:sz w:val="20"/>
                <w:szCs w:val="20"/>
                <w:bdr w:val="none" w:sz="0" w:space="0" w:color="auto" w:frame="1"/>
              </w:rPr>
            </w:pPr>
            <w:r w:rsidRPr="00011ACE">
              <w:rPr>
                <w:rFonts w:ascii="Bookman Old Style" w:hAnsi="Bookman Old Style" w:cs="Arial"/>
                <w:b/>
                <w:bCs/>
                <w:color w:val="000000"/>
                <w:sz w:val="20"/>
                <w:szCs w:val="20"/>
                <w:bdr w:val="none" w:sz="0" w:space="0" w:color="auto" w:frame="1"/>
              </w:rPr>
              <w:t>JORGE ENRIQUE BENEDETTI M</w:t>
            </w:r>
          </w:p>
          <w:p w14:paraId="552848EF" w14:textId="77777777" w:rsidR="00011ACE" w:rsidRPr="00011ACE" w:rsidRDefault="00011ACE" w:rsidP="002D7D3A">
            <w:pPr>
              <w:pStyle w:val="NormalWeb"/>
              <w:spacing w:before="0" w:beforeAutospacing="0" w:after="0" w:afterAutospacing="0"/>
              <w:jc w:val="center"/>
              <w:rPr>
                <w:rFonts w:ascii="Bookman Old Style" w:hAnsi="Bookman Old Style" w:cs="Arial"/>
                <w:color w:val="000000"/>
                <w:sz w:val="20"/>
                <w:szCs w:val="20"/>
                <w:bdr w:val="none" w:sz="0" w:space="0" w:color="auto" w:frame="1"/>
              </w:rPr>
            </w:pPr>
            <w:r w:rsidRPr="00011ACE">
              <w:rPr>
                <w:rFonts w:ascii="Bookman Old Style" w:hAnsi="Bookman Old Style" w:cs="Arial"/>
                <w:color w:val="000000"/>
                <w:sz w:val="20"/>
                <w:szCs w:val="20"/>
                <w:bdr w:val="none" w:sz="0" w:space="0" w:color="auto" w:frame="1"/>
              </w:rPr>
              <w:t>Representante a la Cámara por Bolívar</w:t>
            </w:r>
          </w:p>
        </w:tc>
      </w:tr>
      <w:tr w:rsidR="00011ACE" w:rsidRPr="00011ACE" w14:paraId="37759F67" w14:textId="77777777" w:rsidTr="002D7D3A">
        <w:trPr>
          <w:jc w:val="center"/>
        </w:trPr>
        <w:tc>
          <w:tcPr>
            <w:tcW w:w="4390" w:type="dxa"/>
          </w:tcPr>
          <w:p w14:paraId="09A1755C" w14:textId="77777777" w:rsidR="00011ACE" w:rsidRPr="00011ACE" w:rsidRDefault="00011ACE" w:rsidP="002D7D3A">
            <w:pPr>
              <w:jc w:val="center"/>
              <w:rPr>
                <w:rFonts w:ascii="Bookman Old Style" w:hAnsi="Bookman Old Style"/>
                <w:b/>
                <w:bCs/>
                <w:sz w:val="20"/>
                <w:szCs w:val="20"/>
                <w:bdr w:val="none" w:sz="0" w:space="0" w:color="auto" w:frame="1"/>
              </w:rPr>
            </w:pPr>
          </w:p>
          <w:p w14:paraId="12200B3D" w14:textId="77777777" w:rsidR="00011ACE" w:rsidRPr="00011ACE" w:rsidRDefault="00011ACE" w:rsidP="002D7D3A">
            <w:pPr>
              <w:jc w:val="center"/>
              <w:rPr>
                <w:rFonts w:ascii="Bookman Old Style" w:hAnsi="Bookman Old Style"/>
                <w:b/>
                <w:bCs/>
                <w:sz w:val="20"/>
                <w:szCs w:val="20"/>
                <w:bdr w:val="none" w:sz="0" w:space="0" w:color="auto" w:frame="1"/>
              </w:rPr>
            </w:pPr>
            <w:r w:rsidRPr="00011ACE">
              <w:rPr>
                <w:rFonts w:ascii="Bookman Old Style" w:hAnsi="Bookman Old Style"/>
                <w:b/>
                <w:bCs/>
                <w:sz w:val="20"/>
                <w:szCs w:val="20"/>
                <w:bdr w:val="none" w:sz="0" w:space="0" w:color="auto" w:frame="1"/>
              </w:rPr>
              <w:t>JUANITA GOEBERTUS ESTRADA</w:t>
            </w:r>
          </w:p>
          <w:p w14:paraId="725BDB34" w14:textId="77777777" w:rsidR="00011ACE" w:rsidRPr="00011ACE" w:rsidRDefault="00011ACE" w:rsidP="002D7D3A">
            <w:pPr>
              <w:jc w:val="center"/>
              <w:rPr>
                <w:rFonts w:ascii="Bookman Old Style" w:hAnsi="Bookman Old Style"/>
                <w:sz w:val="20"/>
                <w:szCs w:val="20"/>
                <w:bdr w:val="none" w:sz="0" w:space="0" w:color="auto" w:frame="1"/>
              </w:rPr>
            </w:pPr>
            <w:r w:rsidRPr="00011ACE">
              <w:rPr>
                <w:rFonts w:ascii="Bookman Old Style" w:hAnsi="Bookman Old Style"/>
                <w:sz w:val="20"/>
                <w:szCs w:val="20"/>
                <w:bdr w:val="none" w:sz="0" w:space="0" w:color="auto" w:frame="1"/>
              </w:rPr>
              <w:t>Representante a la Cámara por Bogotá</w:t>
            </w:r>
          </w:p>
        </w:tc>
        <w:tc>
          <w:tcPr>
            <w:tcW w:w="4348" w:type="dxa"/>
          </w:tcPr>
          <w:p w14:paraId="48F554FF" w14:textId="77777777" w:rsidR="00011ACE" w:rsidRPr="00011ACE" w:rsidRDefault="00011ACE" w:rsidP="002D7D3A">
            <w:pPr>
              <w:pStyle w:val="NormalWeb"/>
              <w:spacing w:before="0" w:beforeAutospacing="0" w:after="0" w:afterAutospacing="0"/>
              <w:jc w:val="center"/>
              <w:rPr>
                <w:rFonts w:ascii="Bookman Old Style" w:hAnsi="Bookman Old Style" w:cs="Arial"/>
                <w:b/>
                <w:bCs/>
                <w:color w:val="000000"/>
                <w:sz w:val="20"/>
                <w:szCs w:val="20"/>
                <w:bdr w:val="none" w:sz="0" w:space="0" w:color="auto" w:frame="1"/>
              </w:rPr>
            </w:pPr>
          </w:p>
          <w:p w14:paraId="06CAA543" w14:textId="77777777" w:rsidR="00011ACE" w:rsidRPr="00011ACE" w:rsidRDefault="00011ACE" w:rsidP="002D7D3A">
            <w:pPr>
              <w:pStyle w:val="NormalWeb"/>
              <w:spacing w:before="0" w:beforeAutospacing="0" w:after="0" w:afterAutospacing="0"/>
              <w:jc w:val="center"/>
              <w:rPr>
                <w:rFonts w:ascii="Bookman Old Style" w:hAnsi="Bookman Old Style" w:cs="Arial"/>
                <w:b/>
                <w:bCs/>
                <w:color w:val="000000"/>
                <w:sz w:val="20"/>
                <w:szCs w:val="20"/>
                <w:bdr w:val="none" w:sz="0" w:space="0" w:color="auto" w:frame="1"/>
              </w:rPr>
            </w:pPr>
            <w:r w:rsidRPr="00011ACE">
              <w:rPr>
                <w:rFonts w:ascii="Bookman Old Style" w:hAnsi="Bookman Old Style" w:cs="Arial"/>
                <w:b/>
                <w:bCs/>
                <w:color w:val="000000"/>
                <w:sz w:val="20"/>
                <w:szCs w:val="20"/>
                <w:bdr w:val="none" w:sz="0" w:space="0" w:color="auto" w:frame="1"/>
              </w:rPr>
              <w:t>CARLOS ARDILA ESPINOSA</w:t>
            </w:r>
          </w:p>
          <w:p w14:paraId="2732C106" w14:textId="77777777" w:rsidR="00011ACE" w:rsidRPr="00011ACE" w:rsidRDefault="00011ACE" w:rsidP="002D7D3A">
            <w:pPr>
              <w:pStyle w:val="NormalWeb"/>
              <w:spacing w:before="0" w:beforeAutospacing="0" w:after="0" w:afterAutospacing="0"/>
              <w:jc w:val="center"/>
              <w:rPr>
                <w:rFonts w:ascii="Bookman Old Style" w:hAnsi="Bookman Old Style" w:cs="Arial"/>
                <w:color w:val="000000"/>
                <w:sz w:val="20"/>
                <w:szCs w:val="20"/>
                <w:bdr w:val="none" w:sz="0" w:space="0" w:color="auto" w:frame="1"/>
              </w:rPr>
            </w:pPr>
            <w:r w:rsidRPr="00011ACE">
              <w:rPr>
                <w:rFonts w:ascii="Bookman Old Style" w:hAnsi="Bookman Old Style" w:cs="Arial"/>
                <w:color w:val="000000"/>
                <w:sz w:val="20"/>
                <w:szCs w:val="20"/>
                <w:bdr w:val="none" w:sz="0" w:space="0" w:color="auto" w:frame="1"/>
              </w:rPr>
              <w:t>Representante a la Cámara</w:t>
            </w:r>
          </w:p>
          <w:p w14:paraId="6123DA2B" w14:textId="77777777" w:rsidR="00011ACE" w:rsidRPr="00011ACE" w:rsidRDefault="00011ACE" w:rsidP="002D7D3A">
            <w:pPr>
              <w:pStyle w:val="NormalWeb"/>
              <w:spacing w:before="0" w:beforeAutospacing="0" w:after="0" w:afterAutospacing="0"/>
              <w:jc w:val="center"/>
              <w:rPr>
                <w:rFonts w:ascii="Bookman Old Style" w:hAnsi="Bookman Old Style" w:cs="Arial"/>
                <w:color w:val="000000"/>
                <w:sz w:val="20"/>
                <w:szCs w:val="20"/>
                <w:bdr w:val="none" w:sz="0" w:space="0" w:color="auto" w:frame="1"/>
              </w:rPr>
            </w:pPr>
            <w:r w:rsidRPr="00011ACE">
              <w:rPr>
                <w:rFonts w:ascii="Bookman Old Style" w:hAnsi="Bookman Old Style" w:cs="Arial"/>
                <w:color w:val="000000"/>
                <w:sz w:val="20"/>
                <w:szCs w:val="20"/>
                <w:bdr w:val="none" w:sz="0" w:space="0" w:color="auto" w:frame="1"/>
              </w:rPr>
              <w:t>Departamento del Putumayo</w:t>
            </w:r>
          </w:p>
        </w:tc>
      </w:tr>
      <w:tr w:rsidR="00011ACE" w:rsidRPr="00011ACE" w14:paraId="3B7D7AA8" w14:textId="77777777" w:rsidTr="002D7D3A">
        <w:trPr>
          <w:jc w:val="center"/>
        </w:trPr>
        <w:tc>
          <w:tcPr>
            <w:tcW w:w="4390" w:type="dxa"/>
          </w:tcPr>
          <w:p w14:paraId="36710EF5" w14:textId="77777777" w:rsidR="00011ACE" w:rsidRPr="00011ACE" w:rsidRDefault="00011ACE" w:rsidP="002D7D3A">
            <w:pPr>
              <w:tabs>
                <w:tab w:val="right" w:pos="8838"/>
              </w:tabs>
              <w:jc w:val="center"/>
              <w:rPr>
                <w:rFonts w:ascii="Bookman Old Style" w:hAnsi="Bookman Old Style" w:cs="Arial"/>
                <w:b/>
                <w:bCs/>
                <w:noProof/>
                <w:color w:val="000000"/>
                <w:sz w:val="20"/>
                <w:szCs w:val="20"/>
                <w:bdr w:val="none" w:sz="0" w:space="0" w:color="auto" w:frame="1"/>
              </w:rPr>
            </w:pPr>
          </w:p>
          <w:p w14:paraId="2A578CFF" w14:textId="77777777" w:rsidR="00011ACE" w:rsidRPr="00011ACE" w:rsidRDefault="00011ACE" w:rsidP="002D7D3A">
            <w:pPr>
              <w:tabs>
                <w:tab w:val="right" w:pos="8838"/>
              </w:tabs>
              <w:jc w:val="center"/>
              <w:rPr>
                <w:rFonts w:ascii="Bookman Old Style" w:hAnsi="Bookman Old Style" w:cs="Arial"/>
                <w:b/>
                <w:bCs/>
                <w:noProof/>
                <w:color w:val="000000"/>
                <w:sz w:val="20"/>
                <w:szCs w:val="20"/>
                <w:bdr w:val="none" w:sz="0" w:space="0" w:color="auto" w:frame="1"/>
              </w:rPr>
            </w:pPr>
            <w:r w:rsidRPr="00011ACE">
              <w:rPr>
                <w:rFonts w:ascii="Bookman Old Style" w:hAnsi="Bookman Old Style" w:cs="Arial"/>
                <w:b/>
                <w:bCs/>
                <w:noProof/>
                <w:color w:val="000000"/>
                <w:sz w:val="20"/>
                <w:szCs w:val="20"/>
                <w:bdr w:val="none" w:sz="0" w:space="0" w:color="auto" w:frame="1"/>
              </w:rPr>
              <w:t>JHON ARLEY MURILLO BENITEZ</w:t>
            </w:r>
          </w:p>
          <w:p w14:paraId="7BC8CAC1" w14:textId="77777777" w:rsidR="00011ACE" w:rsidRPr="00011ACE" w:rsidRDefault="00011ACE" w:rsidP="002D7D3A">
            <w:pPr>
              <w:tabs>
                <w:tab w:val="right" w:pos="8838"/>
              </w:tabs>
              <w:jc w:val="center"/>
              <w:rPr>
                <w:rFonts w:ascii="Bookman Old Style" w:hAnsi="Bookman Old Style" w:cs="Arial"/>
                <w:noProof/>
                <w:color w:val="000000"/>
                <w:sz w:val="20"/>
                <w:szCs w:val="20"/>
                <w:bdr w:val="none" w:sz="0" w:space="0" w:color="auto" w:frame="1"/>
              </w:rPr>
            </w:pPr>
            <w:r w:rsidRPr="00011ACE">
              <w:rPr>
                <w:rFonts w:ascii="Bookman Old Style" w:hAnsi="Bookman Old Style" w:cs="Arial"/>
                <w:noProof/>
                <w:color w:val="000000"/>
                <w:sz w:val="20"/>
                <w:szCs w:val="20"/>
                <w:bdr w:val="none" w:sz="0" w:space="0" w:color="auto" w:frame="1"/>
              </w:rPr>
              <w:t>Representante a la Cámara</w:t>
            </w:r>
          </w:p>
          <w:p w14:paraId="61175030" w14:textId="77777777" w:rsidR="00011ACE" w:rsidRPr="00011ACE" w:rsidRDefault="00011ACE" w:rsidP="002D7D3A">
            <w:pPr>
              <w:tabs>
                <w:tab w:val="right" w:pos="8838"/>
              </w:tabs>
              <w:jc w:val="center"/>
              <w:rPr>
                <w:rFonts w:ascii="Bookman Old Style" w:hAnsi="Bookman Old Style" w:cs="Arial"/>
                <w:noProof/>
                <w:color w:val="000000"/>
                <w:sz w:val="20"/>
                <w:szCs w:val="20"/>
                <w:bdr w:val="none" w:sz="0" w:space="0" w:color="auto" w:frame="1"/>
              </w:rPr>
            </w:pPr>
            <w:r w:rsidRPr="00011ACE">
              <w:rPr>
                <w:rFonts w:ascii="Bookman Old Style" w:hAnsi="Bookman Old Style" w:cs="Arial"/>
                <w:noProof/>
                <w:color w:val="000000"/>
                <w:sz w:val="20"/>
                <w:szCs w:val="20"/>
                <w:bdr w:val="none" w:sz="0" w:space="0" w:color="auto" w:frame="1"/>
              </w:rPr>
              <w:t>Circunscripción Especial Afro</w:t>
            </w:r>
          </w:p>
          <w:p w14:paraId="566C27DD" w14:textId="77777777" w:rsidR="00011ACE" w:rsidRPr="00011ACE" w:rsidRDefault="00011ACE" w:rsidP="002D7D3A">
            <w:pPr>
              <w:tabs>
                <w:tab w:val="right" w:pos="8838"/>
              </w:tabs>
              <w:jc w:val="center"/>
              <w:rPr>
                <w:rFonts w:ascii="Bookman Old Style" w:hAnsi="Bookman Old Style" w:cs="Arial"/>
                <w:noProof/>
                <w:color w:val="000000"/>
                <w:sz w:val="20"/>
                <w:szCs w:val="20"/>
                <w:bdr w:val="none" w:sz="0" w:space="0" w:color="auto" w:frame="1"/>
              </w:rPr>
            </w:pPr>
            <w:r w:rsidRPr="00011ACE">
              <w:rPr>
                <w:rFonts w:ascii="Bookman Old Style" w:hAnsi="Bookman Old Style" w:cs="Arial"/>
                <w:noProof/>
                <w:color w:val="000000"/>
                <w:sz w:val="20"/>
                <w:szCs w:val="20"/>
                <w:bdr w:val="none" w:sz="0" w:space="0" w:color="auto" w:frame="1"/>
              </w:rPr>
              <w:t>Partido Colombia Renaciente</w:t>
            </w:r>
          </w:p>
        </w:tc>
        <w:tc>
          <w:tcPr>
            <w:tcW w:w="4348" w:type="dxa"/>
          </w:tcPr>
          <w:p w14:paraId="0E422EBE" w14:textId="77777777" w:rsidR="00011ACE" w:rsidRPr="00011ACE" w:rsidRDefault="00011ACE" w:rsidP="002D7D3A">
            <w:pPr>
              <w:jc w:val="center"/>
              <w:rPr>
                <w:rFonts w:ascii="Bookman Old Style" w:hAnsi="Bookman Old Style" w:cs="Arial"/>
                <w:b/>
                <w:bCs/>
                <w:color w:val="000000"/>
                <w:sz w:val="20"/>
                <w:szCs w:val="20"/>
                <w:bdr w:val="none" w:sz="0" w:space="0" w:color="auto" w:frame="1"/>
              </w:rPr>
            </w:pPr>
          </w:p>
          <w:p w14:paraId="1C07E041" w14:textId="77777777" w:rsidR="00011ACE" w:rsidRPr="00011ACE" w:rsidRDefault="00011ACE" w:rsidP="002D7D3A">
            <w:pPr>
              <w:jc w:val="center"/>
              <w:rPr>
                <w:rFonts w:ascii="Bookman Old Style" w:hAnsi="Bookman Old Style" w:cs="Arial"/>
                <w:b/>
                <w:bCs/>
                <w:color w:val="000000"/>
                <w:sz w:val="20"/>
                <w:szCs w:val="20"/>
                <w:bdr w:val="none" w:sz="0" w:space="0" w:color="auto" w:frame="1"/>
              </w:rPr>
            </w:pPr>
            <w:r w:rsidRPr="00011ACE">
              <w:rPr>
                <w:rFonts w:ascii="Bookman Old Style" w:hAnsi="Bookman Old Style" w:cs="Arial"/>
                <w:b/>
                <w:bCs/>
                <w:color w:val="000000"/>
                <w:sz w:val="20"/>
                <w:szCs w:val="20"/>
                <w:bdr w:val="none" w:sz="0" w:space="0" w:color="auto" w:frame="1"/>
              </w:rPr>
              <w:t>FABER ALBERTO MUÑOZ CERÓN</w:t>
            </w:r>
          </w:p>
          <w:p w14:paraId="7532DE0C" w14:textId="77777777" w:rsidR="00011ACE" w:rsidRPr="00011ACE" w:rsidRDefault="00011ACE" w:rsidP="002D7D3A">
            <w:pPr>
              <w:jc w:val="center"/>
              <w:rPr>
                <w:rFonts w:ascii="Bookman Old Style" w:hAnsi="Bookman Old Style" w:cs="Arial"/>
                <w:color w:val="000000"/>
                <w:sz w:val="20"/>
                <w:szCs w:val="20"/>
                <w:bdr w:val="none" w:sz="0" w:space="0" w:color="auto" w:frame="1"/>
              </w:rPr>
            </w:pPr>
            <w:r w:rsidRPr="00011ACE">
              <w:rPr>
                <w:rFonts w:ascii="Bookman Old Style" w:hAnsi="Bookman Old Style" w:cs="Arial"/>
                <w:color w:val="000000"/>
                <w:sz w:val="20"/>
                <w:szCs w:val="20"/>
                <w:bdr w:val="none" w:sz="0" w:space="0" w:color="auto" w:frame="1"/>
              </w:rPr>
              <w:t>Representante a la Cámara por Cauca</w:t>
            </w:r>
          </w:p>
        </w:tc>
      </w:tr>
      <w:tr w:rsidR="00011ACE" w:rsidRPr="00011ACE" w14:paraId="787BFBF5" w14:textId="77777777" w:rsidTr="002D7D3A">
        <w:trPr>
          <w:trHeight w:val="120"/>
          <w:jc w:val="center"/>
        </w:trPr>
        <w:tc>
          <w:tcPr>
            <w:tcW w:w="4390" w:type="dxa"/>
          </w:tcPr>
          <w:p w14:paraId="57D74217" w14:textId="77777777" w:rsidR="00011ACE" w:rsidRPr="00011ACE" w:rsidRDefault="00011ACE" w:rsidP="002D7D3A">
            <w:pPr>
              <w:tabs>
                <w:tab w:val="right" w:pos="8838"/>
              </w:tabs>
              <w:jc w:val="center"/>
              <w:rPr>
                <w:rFonts w:ascii="Bookman Old Style" w:hAnsi="Bookman Old Style" w:cs="Arial"/>
                <w:b/>
                <w:bCs/>
                <w:sz w:val="20"/>
                <w:szCs w:val="20"/>
                <w:lang w:val="es-ES_tradnl"/>
              </w:rPr>
            </w:pPr>
          </w:p>
          <w:p w14:paraId="780F5BFF" w14:textId="77777777" w:rsidR="00011ACE" w:rsidRPr="00011ACE" w:rsidRDefault="00011ACE" w:rsidP="002D7D3A">
            <w:pPr>
              <w:tabs>
                <w:tab w:val="right" w:pos="8838"/>
              </w:tabs>
              <w:jc w:val="center"/>
              <w:rPr>
                <w:rFonts w:ascii="Bookman Old Style" w:hAnsi="Bookman Old Style" w:cs="Arial"/>
                <w:b/>
                <w:bCs/>
                <w:sz w:val="20"/>
                <w:szCs w:val="20"/>
                <w:lang w:val="es-ES_tradnl"/>
              </w:rPr>
            </w:pPr>
            <w:r w:rsidRPr="00011ACE">
              <w:rPr>
                <w:rFonts w:ascii="Bookman Old Style" w:hAnsi="Bookman Old Style" w:cs="Arial"/>
                <w:b/>
                <w:bCs/>
                <w:sz w:val="20"/>
                <w:szCs w:val="20"/>
                <w:lang w:val="es-ES_tradnl"/>
              </w:rPr>
              <w:t>KATHERINE MIRANDA</w:t>
            </w:r>
          </w:p>
          <w:p w14:paraId="00493835" w14:textId="77777777" w:rsidR="00011ACE" w:rsidRPr="00011ACE" w:rsidRDefault="00011ACE" w:rsidP="002D7D3A">
            <w:pPr>
              <w:tabs>
                <w:tab w:val="right" w:pos="8838"/>
              </w:tabs>
              <w:jc w:val="center"/>
              <w:rPr>
                <w:rFonts w:ascii="Bookman Old Style" w:hAnsi="Bookman Old Style" w:cs="Arial"/>
                <w:sz w:val="20"/>
                <w:szCs w:val="20"/>
                <w:lang w:val="es-ES_tradnl"/>
              </w:rPr>
            </w:pPr>
            <w:r w:rsidRPr="00011ACE">
              <w:rPr>
                <w:rFonts w:ascii="Bookman Old Style" w:hAnsi="Bookman Old Style" w:cs="Arial"/>
                <w:sz w:val="20"/>
                <w:szCs w:val="20"/>
                <w:lang w:val="es-ES_tradnl"/>
              </w:rPr>
              <w:t>Representante a la Cámara por Bogotá</w:t>
            </w:r>
          </w:p>
          <w:p w14:paraId="13FDF264" w14:textId="77777777" w:rsidR="00011ACE" w:rsidRPr="00011ACE" w:rsidRDefault="00011ACE" w:rsidP="002D7D3A">
            <w:pPr>
              <w:tabs>
                <w:tab w:val="right" w:pos="8838"/>
              </w:tabs>
              <w:jc w:val="center"/>
              <w:rPr>
                <w:rFonts w:ascii="Bookman Old Style" w:hAnsi="Bookman Old Style" w:cs="Arial"/>
                <w:sz w:val="20"/>
                <w:szCs w:val="20"/>
                <w:lang w:val="es-ES_tradnl"/>
              </w:rPr>
            </w:pPr>
            <w:r w:rsidRPr="00011ACE">
              <w:rPr>
                <w:rFonts w:ascii="Bookman Old Style" w:hAnsi="Bookman Old Style" w:cs="Arial"/>
                <w:sz w:val="20"/>
                <w:szCs w:val="20"/>
                <w:lang w:val="es-ES_tradnl"/>
              </w:rPr>
              <w:t>Partido Alianza Verde</w:t>
            </w:r>
          </w:p>
        </w:tc>
        <w:tc>
          <w:tcPr>
            <w:tcW w:w="4348" w:type="dxa"/>
          </w:tcPr>
          <w:p w14:paraId="1048B575" w14:textId="77777777" w:rsidR="00011ACE" w:rsidRPr="00011ACE" w:rsidRDefault="00011ACE" w:rsidP="002D7D3A">
            <w:pPr>
              <w:tabs>
                <w:tab w:val="right" w:pos="8838"/>
              </w:tabs>
              <w:jc w:val="center"/>
              <w:rPr>
                <w:rFonts w:ascii="Bookman Old Style" w:hAnsi="Bookman Old Style" w:cs="Arial"/>
                <w:b/>
                <w:bCs/>
                <w:sz w:val="20"/>
                <w:szCs w:val="20"/>
                <w:lang w:val="es-ES_tradnl"/>
              </w:rPr>
            </w:pPr>
          </w:p>
          <w:p w14:paraId="50660427" w14:textId="77777777" w:rsidR="00011ACE" w:rsidRPr="00011ACE" w:rsidRDefault="00011ACE" w:rsidP="002D7D3A">
            <w:pPr>
              <w:tabs>
                <w:tab w:val="right" w:pos="8838"/>
              </w:tabs>
              <w:jc w:val="center"/>
              <w:rPr>
                <w:rFonts w:ascii="Bookman Old Style" w:hAnsi="Bookman Old Style" w:cs="Arial"/>
                <w:b/>
                <w:bCs/>
                <w:sz w:val="20"/>
                <w:szCs w:val="20"/>
                <w:lang w:val="es-ES_tradnl"/>
              </w:rPr>
            </w:pPr>
            <w:r w:rsidRPr="00011ACE">
              <w:rPr>
                <w:rFonts w:ascii="Bookman Old Style" w:hAnsi="Bookman Old Style" w:cs="Arial"/>
                <w:b/>
                <w:bCs/>
                <w:sz w:val="20"/>
                <w:szCs w:val="20"/>
                <w:lang w:val="es-ES_tradnl"/>
              </w:rPr>
              <w:t>CARLOS GERMAN NAVAS TALERO</w:t>
            </w:r>
          </w:p>
          <w:p w14:paraId="74BA3678" w14:textId="77777777" w:rsidR="00011ACE" w:rsidRPr="00011ACE" w:rsidRDefault="00011ACE" w:rsidP="002D7D3A">
            <w:pPr>
              <w:tabs>
                <w:tab w:val="right" w:pos="8838"/>
              </w:tabs>
              <w:jc w:val="center"/>
              <w:rPr>
                <w:rFonts w:ascii="Bookman Old Style" w:hAnsi="Bookman Old Style" w:cs="Arial"/>
                <w:sz w:val="20"/>
                <w:szCs w:val="20"/>
                <w:lang w:val="es-ES_tradnl"/>
              </w:rPr>
            </w:pPr>
            <w:r w:rsidRPr="00011ACE">
              <w:rPr>
                <w:rFonts w:ascii="Bookman Old Style" w:hAnsi="Bookman Old Style" w:cs="Arial"/>
                <w:sz w:val="20"/>
                <w:szCs w:val="20"/>
                <w:lang w:val="es-ES_tradnl"/>
              </w:rPr>
              <w:t>Representante a la Cámara por Bogotá</w:t>
            </w:r>
          </w:p>
          <w:p w14:paraId="26C89800" w14:textId="77777777" w:rsidR="00011ACE" w:rsidRPr="00011ACE" w:rsidRDefault="00011ACE" w:rsidP="002D7D3A">
            <w:pPr>
              <w:tabs>
                <w:tab w:val="right" w:pos="8838"/>
              </w:tabs>
              <w:jc w:val="center"/>
              <w:rPr>
                <w:rFonts w:ascii="Bookman Old Style" w:hAnsi="Bookman Old Style" w:cs="Arial"/>
                <w:sz w:val="20"/>
                <w:szCs w:val="20"/>
                <w:lang w:val="es-ES_tradnl"/>
              </w:rPr>
            </w:pPr>
            <w:r w:rsidRPr="00011ACE">
              <w:rPr>
                <w:rFonts w:ascii="Bookman Old Style" w:hAnsi="Bookman Old Style" w:cs="Arial"/>
                <w:sz w:val="20"/>
                <w:szCs w:val="20"/>
                <w:lang w:val="es-ES_tradnl"/>
              </w:rPr>
              <w:t>Polo Democrático Alternativo</w:t>
            </w:r>
          </w:p>
        </w:tc>
      </w:tr>
      <w:tr w:rsidR="00011ACE" w:rsidRPr="00011ACE" w14:paraId="6131DD25" w14:textId="77777777" w:rsidTr="002D7D3A">
        <w:trPr>
          <w:jc w:val="center"/>
        </w:trPr>
        <w:tc>
          <w:tcPr>
            <w:tcW w:w="4390" w:type="dxa"/>
          </w:tcPr>
          <w:p w14:paraId="477DDC8A" w14:textId="77777777" w:rsidR="00011ACE" w:rsidRPr="00011ACE" w:rsidRDefault="00011ACE" w:rsidP="002D7D3A">
            <w:pPr>
              <w:pStyle w:val="NormalWeb"/>
              <w:spacing w:before="0" w:beforeAutospacing="0" w:after="0" w:afterAutospacing="0"/>
              <w:jc w:val="center"/>
              <w:rPr>
                <w:rFonts w:ascii="Bookman Old Style" w:hAnsi="Bookman Old Style" w:cs="Arial"/>
                <w:b/>
                <w:bCs/>
                <w:color w:val="000000"/>
                <w:sz w:val="20"/>
                <w:szCs w:val="20"/>
              </w:rPr>
            </w:pPr>
          </w:p>
          <w:p w14:paraId="428281C2" w14:textId="77777777" w:rsidR="00011ACE" w:rsidRPr="00011ACE" w:rsidRDefault="00011ACE" w:rsidP="002D7D3A">
            <w:pPr>
              <w:pStyle w:val="NormalWeb"/>
              <w:spacing w:before="0" w:beforeAutospacing="0" w:after="0" w:afterAutospacing="0"/>
              <w:jc w:val="center"/>
              <w:rPr>
                <w:rFonts w:ascii="Bookman Old Style" w:hAnsi="Bookman Old Style" w:cs="Arial"/>
                <w:b/>
                <w:bCs/>
                <w:color w:val="000000"/>
                <w:sz w:val="20"/>
                <w:szCs w:val="20"/>
              </w:rPr>
            </w:pPr>
            <w:r w:rsidRPr="00011ACE">
              <w:rPr>
                <w:rFonts w:ascii="Bookman Old Style" w:hAnsi="Bookman Old Style" w:cs="Arial"/>
                <w:b/>
                <w:bCs/>
                <w:color w:val="000000"/>
                <w:sz w:val="20"/>
                <w:szCs w:val="20"/>
              </w:rPr>
              <w:t>ÁNGEL MARÍA GAITÁN PULIDO</w:t>
            </w:r>
          </w:p>
          <w:p w14:paraId="23B8D156" w14:textId="77777777" w:rsidR="00011ACE" w:rsidRPr="00011ACE" w:rsidRDefault="00011ACE" w:rsidP="002D7D3A">
            <w:pPr>
              <w:pStyle w:val="NormalWeb"/>
              <w:spacing w:before="0" w:beforeAutospacing="0" w:after="0" w:afterAutospacing="0"/>
              <w:jc w:val="center"/>
              <w:rPr>
                <w:rFonts w:ascii="Bookman Old Style" w:hAnsi="Bookman Old Style" w:cs="Arial"/>
                <w:color w:val="000000"/>
                <w:sz w:val="20"/>
                <w:szCs w:val="20"/>
              </w:rPr>
            </w:pPr>
            <w:r w:rsidRPr="00011ACE">
              <w:rPr>
                <w:rFonts w:ascii="Bookman Old Style" w:hAnsi="Bookman Old Style" w:cs="Arial"/>
                <w:color w:val="000000"/>
                <w:sz w:val="20"/>
                <w:szCs w:val="20"/>
              </w:rPr>
              <w:t>Representante a la Cámara por Tolima</w:t>
            </w:r>
          </w:p>
          <w:p w14:paraId="04438C44" w14:textId="77777777" w:rsidR="00011ACE" w:rsidRPr="00011ACE" w:rsidRDefault="00011ACE" w:rsidP="002D7D3A">
            <w:pPr>
              <w:pStyle w:val="NormalWeb"/>
              <w:spacing w:before="0" w:beforeAutospacing="0" w:after="0" w:afterAutospacing="0"/>
              <w:jc w:val="center"/>
              <w:rPr>
                <w:rFonts w:ascii="Bookman Old Style" w:hAnsi="Bookman Old Style" w:cs="Arial"/>
                <w:color w:val="000000"/>
                <w:sz w:val="20"/>
                <w:szCs w:val="20"/>
              </w:rPr>
            </w:pPr>
            <w:r w:rsidRPr="00011ACE">
              <w:rPr>
                <w:rFonts w:ascii="Bookman Old Style" w:hAnsi="Bookman Old Style" w:cs="Arial"/>
                <w:color w:val="000000"/>
                <w:sz w:val="20"/>
                <w:szCs w:val="20"/>
              </w:rPr>
              <w:t>Partido Liberal Colombiano</w:t>
            </w:r>
          </w:p>
        </w:tc>
        <w:tc>
          <w:tcPr>
            <w:tcW w:w="4348" w:type="dxa"/>
          </w:tcPr>
          <w:p w14:paraId="2E68ACC6" w14:textId="77777777" w:rsidR="00011ACE" w:rsidRPr="00011ACE" w:rsidRDefault="00011ACE" w:rsidP="002D7D3A">
            <w:pPr>
              <w:tabs>
                <w:tab w:val="right" w:pos="8838"/>
              </w:tabs>
              <w:jc w:val="center"/>
              <w:rPr>
                <w:rFonts w:ascii="Bookman Old Style" w:hAnsi="Bookman Old Style" w:cs="Arial"/>
                <w:b/>
                <w:bCs/>
                <w:color w:val="000000"/>
                <w:sz w:val="20"/>
                <w:szCs w:val="20"/>
              </w:rPr>
            </w:pPr>
          </w:p>
          <w:p w14:paraId="00B8F7E2" w14:textId="77777777" w:rsidR="00011ACE" w:rsidRPr="00011ACE" w:rsidRDefault="00011ACE" w:rsidP="002D7D3A">
            <w:pPr>
              <w:tabs>
                <w:tab w:val="right" w:pos="8838"/>
              </w:tabs>
              <w:jc w:val="center"/>
              <w:rPr>
                <w:rFonts w:ascii="Bookman Old Style" w:hAnsi="Bookman Old Style" w:cs="Arial"/>
                <w:b/>
                <w:bCs/>
                <w:color w:val="000000"/>
                <w:sz w:val="20"/>
                <w:szCs w:val="20"/>
              </w:rPr>
            </w:pPr>
            <w:r w:rsidRPr="00011ACE">
              <w:rPr>
                <w:rFonts w:ascii="Bookman Old Style" w:hAnsi="Bookman Old Style" w:cs="Arial"/>
                <w:b/>
                <w:bCs/>
                <w:color w:val="000000"/>
                <w:sz w:val="20"/>
                <w:szCs w:val="20"/>
              </w:rPr>
              <w:t>HARRY GIOVANNY GONZÁLEZ GARCÍA</w:t>
            </w:r>
          </w:p>
          <w:p w14:paraId="530A454F" w14:textId="77777777" w:rsidR="00011ACE" w:rsidRPr="00011ACE" w:rsidRDefault="00011ACE" w:rsidP="002D7D3A">
            <w:pPr>
              <w:tabs>
                <w:tab w:val="right" w:pos="8838"/>
              </w:tabs>
              <w:jc w:val="center"/>
              <w:rPr>
                <w:rFonts w:ascii="Bookman Old Style" w:hAnsi="Bookman Old Style" w:cs="Arial"/>
                <w:color w:val="000000"/>
                <w:sz w:val="20"/>
                <w:szCs w:val="20"/>
              </w:rPr>
            </w:pPr>
            <w:r w:rsidRPr="00011ACE">
              <w:rPr>
                <w:rFonts w:ascii="Bookman Old Style" w:hAnsi="Bookman Old Style" w:cs="Arial"/>
                <w:color w:val="000000"/>
                <w:sz w:val="20"/>
                <w:szCs w:val="20"/>
              </w:rPr>
              <w:t>Representante a la Cámara</w:t>
            </w:r>
          </w:p>
          <w:p w14:paraId="4C11C7FC" w14:textId="77777777" w:rsidR="00011ACE" w:rsidRPr="00011ACE" w:rsidRDefault="00011ACE" w:rsidP="002D7D3A">
            <w:pPr>
              <w:tabs>
                <w:tab w:val="right" w:pos="8838"/>
              </w:tabs>
              <w:jc w:val="center"/>
              <w:rPr>
                <w:rFonts w:ascii="Bookman Old Style" w:hAnsi="Bookman Old Style" w:cs="Arial"/>
                <w:color w:val="000000"/>
                <w:sz w:val="20"/>
                <w:szCs w:val="20"/>
              </w:rPr>
            </w:pPr>
            <w:r w:rsidRPr="00011ACE">
              <w:rPr>
                <w:rFonts w:ascii="Bookman Old Style" w:hAnsi="Bookman Old Style" w:cs="Arial"/>
                <w:color w:val="000000"/>
                <w:sz w:val="20"/>
                <w:szCs w:val="20"/>
              </w:rPr>
              <w:t>Departamento del Caquetá</w:t>
            </w:r>
          </w:p>
        </w:tc>
      </w:tr>
      <w:tr w:rsidR="00011ACE" w:rsidRPr="00011ACE" w14:paraId="1ACF9D13" w14:textId="77777777" w:rsidTr="002D7D3A">
        <w:trPr>
          <w:jc w:val="center"/>
        </w:trPr>
        <w:tc>
          <w:tcPr>
            <w:tcW w:w="4390" w:type="dxa"/>
          </w:tcPr>
          <w:p w14:paraId="50FDC309" w14:textId="77777777" w:rsidR="00011ACE" w:rsidRPr="00011ACE" w:rsidRDefault="00011ACE" w:rsidP="002D7D3A">
            <w:pPr>
              <w:pStyle w:val="NormalWeb"/>
              <w:spacing w:before="0" w:beforeAutospacing="0" w:after="0" w:afterAutospacing="0"/>
              <w:jc w:val="center"/>
              <w:rPr>
                <w:rFonts w:ascii="Bookman Old Style" w:hAnsi="Bookman Old Style"/>
                <w:b/>
                <w:sz w:val="20"/>
                <w:szCs w:val="20"/>
              </w:rPr>
            </w:pPr>
          </w:p>
          <w:p w14:paraId="32300E02" w14:textId="77777777" w:rsidR="00011ACE" w:rsidRPr="00011ACE" w:rsidRDefault="00011ACE" w:rsidP="002D7D3A">
            <w:pPr>
              <w:pStyle w:val="NormalWeb"/>
              <w:spacing w:before="0" w:beforeAutospacing="0" w:after="0" w:afterAutospacing="0"/>
              <w:jc w:val="center"/>
              <w:rPr>
                <w:rFonts w:ascii="Bookman Old Style" w:hAnsi="Bookman Old Style"/>
                <w:b/>
                <w:sz w:val="20"/>
                <w:szCs w:val="20"/>
              </w:rPr>
            </w:pPr>
            <w:r w:rsidRPr="00011ACE">
              <w:rPr>
                <w:rFonts w:ascii="Bookman Old Style" w:hAnsi="Bookman Old Style"/>
                <w:b/>
                <w:sz w:val="20"/>
                <w:szCs w:val="20"/>
              </w:rPr>
              <w:t>CATALINA ORTIZ LALINDE</w:t>
            </w:r>
          </w:p>
          <w:p w14:paraId="78961F1E" w14:textId="77777777" w:rsidR="00011ACE" w:rsidRPr="00011ACE" w:rsidRDefault="00011ACE" w:rsidP="002D7D3A">
            <w:pPr>
              <w:pStyle w:val="NormalWeb"/>
              <w:spacing w:before="0" w:beforeAutospacing="0" w:after="0" w:afterAutospacing="0"/>
              <w:jc w:val="center"/>
              <w:rPr>
                <w:rFonts w:ascii="Bookman Old Style" w:hAnsi="Bookman Old Style"/>
                <w:bCs/>
                <w:sz w:val="20"/>
                <w:szCs w:val="20"/>
              </w:rPr>
            </w:pPr>
            <w:r w:rsidRPr="00011ACE">
              <w:rPr>
                <w:rFonts w:ascii="Bookman Old Style" w:hAnsi="Bookman Old Style"/>
                <w:bCs/>
                <w:sz w:val="20"/>
                <w:szCs w:val="20"/>
              </w:rPr>
              <w:t>Representante a la Cámara</w:t>
            </w:r>
          </w:p>
          <w:p w14:paraId="3234AB2D" w14:textId="77777777" w:rsidR="00011ACE" w:rsidRPr="00011ACE" w:rsidRDefault="00011ACE" w:rsidP="002D7D3A">
            <w:pPr>
              <w:pStyle w:val="NormalWeb"/>
              <w:spacing w:before="0" w:beforeAutospacing="0" w:after="0" w:afterAutospacing="0"/>
              <w:jc w:val="center"/>
              <w:rPr>
                <w:rFonts w:ascii="Bookman Old Style" w:hAnsi="Bookman Old Style"/>
                <w:bCs/>
                <w:sz w:val="20"/>
                <w:szCs w:val="20"/>
              </w:rPr>
            </w:pPr>
            <w:r w:rsidRPr="00011ACE">
              <w:rPr>
                <w:rFonts w:ascii="Bookman Old Style" w:hAnsi="Bookman Old Style"/>
                <w:bCs/>
                <w:sz w:val="20"/>
                <w:szCs w:val="20"/>
              </w:rPr>
              <w:t>Partido Alianza Verde</w:t>
            </w:r>
          </w:p>
        </w:tc>
        <w:tc>
          <w:tcPr>
            <w:tcW w:w="4348" w:type="dxa"/>
          </w:tcPr>
          <w:p w14:paraId="299798C4" w14:textId="77777777" w:rsidR="00011ACE" w:rsidRPr="00011ACE" w:rsidRDefault="00011ACE" w:rsidP="002D7D3A">
            <w:pPr>
              <w:tabs>
                <w:tab w:val="right" w:pos="8838"/>
              </w:tabs>
              <w:jc w:val="center"/>
              <w:rPr>
                <w:rFonts w:ascii="Bookman Old Style" w:hAnsi="Bookman Old Style" w:cs="Arial"/>
                <w:b/>
                <w:bCs/>
                <w:sz w:val="20"/>
                <w:szCs w:val="20"/>
                <w:lang w:val="es-ES_tradnl"/>
              </w:rPr>
            </w:pPr>
          </w:p>
          <w:p w14:paraId="37CC729E" w14:textId="77777777" w:rsidR="00011ACE" w:rsidRPr="00011ACE" w:rsidRDefault="00011ACE" w:rsidP="002D7D3A">
            <w:pPr>
              <w:tabs>
                <w:tab w:val="right" w:pos="8838"/>
              </w:tabs>
              <w:jc w:val="center"/>
              <w:rPr>
                <w:rFonts w:ascii="Bookman Old Style" w:hAnsi="Bookman Old Style" w:cs="Arial"/>
                <w:b/>
                <w:bCs/>
                <w:sz w:val="20"/>
                <w:szCs w:val="20"/>
                <w:lang w:val="es-ES_tradnl"/>
              </w:rPr>
            </w:pPr>
            <w:r w:rsidRPr="00011ACE">
              <w:rPr>
                <w:rFonts w:ascii="Bookman Old Style" w:hAnsi="Bookman Old Style" w:cs="Arial"/>
                <w:b/>
                <w:bCs/>
                <w:sz w:val="20"/>
                <w:szCs w:val="20"/>
                <w:lang w:val="es-ES_tradnl"/>
              </w:rPr>
              <w:t>MARÍA JOSÉ PIZARRO</w:t>
            </w:r>
          </w:p>
          <w:p w14:paraId="3955E1F4" w14:textId="77777777" w:rsidR="00011ACE" w:rsidRPr="00011ACE" w:rsidRDefault="00011ACE" w:rsidP="002D7D3A">
            <w:pPr>
              <w:tabs>
                <w:tab w:val="right" w:pos="8838"/>
              </w:tabs>
              <w:jc w:val="center"/>
              <w:rPr>
                <w:rFonts w:ascii="Bookman Old Style" w:hAnsi="Bookman Old Style" w:cs="Arial"/>
                <w:sz w:val="20"/>
                <w:szCs w:val="20"/>
                <w:lang w:val="es-ES_tradnl"/>
              </w:rPr>
            </w:pPr>
            <w:r w:rsidRPr="00011ACE">
              <w:rPr>
                <w:rFonts w:ascii="Bookman Old Style" w:hAnsi="Bookman Old Style" w:cs="Arial"/>
                <w:sz w:val="20"/>
                <w:szCs w:val="20"/>
                <w:lang w:val="es-ES_tradnl"/>
              </w:rPr>
              <w:t>Representante a la Cámara</w:t>
            </w:r>
          </w:p>
          <w:p w14:paraId="2ECA1D37" w14:textId="77777777" w:rsidR="00011ACE" w:rsidRPr="00011ACE" w:rsidRDefault="00011ACE" w:rsidP="002D7D3A">
            <w:pPr>
              <w:tabs>
                <w:tab w:val="right" w:pos="8838"/>
              </w:tabs>
              <w:jc w:val="center"/>
              <w:rPr>
                <w:rFonts w:ascii="Bookman Old Style" w:hAnsi="Bookman Old Style" w:cs="Arial"/>
                <w:sz w:val="20"/>
                <w:szCs w:val="20"/>
                <w:lang w:val="es-ES_tradnl"/>
              </w:rPr>
            </w:pPr>
            <w:r w:rsidRPr="00011ACE">
              <w:rPr>
                <w:rFonts w:ascii="Bookman Old Style" w:hAnsi="Bookman Old Style" w:cs="Arial"/>
                <w:sz w:val="20"/>
                <w:szCs w:val="20"/>
                <w:lang w:val="es-ES_tradnl"/>
              </w:rPr>
              <w:t>Coalición Lista de la Decencia</w:t>
            </w:r>
          </w:p>
        </w:tc>
      </w:tr>
      <w:tr w:rsidR="00011ACE" w:rsidRPr="00011ACE" w14:paraId="54949B72" w14:textId="77777777" w:rsidTr="002D7D3A">
        <w:trPr>
          <w:jc w:val="center"/>
        </w:trPr>
        <w:tc>
          <w:tcPr>
            <w:tcW w:w="4390" w:type="dxa"/>
          </w:tcPr>
          <w:p w14:paraId="29C9B06E" w14:textId="77777777" w:rsidR="00011ACE" w:rsidRPr="00011ACE" w:rsidRDefault="00011ACE" w:rsidP="002D7D3A">
            <w:pPr>
              <w:pStyle w:val="NormalWeb"/>
              <w:spacing w:before="0" w:beforeAutospacing="0" w:after="0" w:afterAutospacing="0"/>
              <w:jc w:val="center"/>
              <w:rPr>
                <w:rFonts w:ascii="Bookman Old Style" w:hAnsi="Bookman Old Style" w:cs="Arial"/>
                <w:b/>
                <w:bCs/>
                <w:color w:val="000000"/>
                <w:sz w:val="20"/>
                <w:szCs w:val="20"/>
              </w:rPr>
            </w:pPr>
          </w:p>
          <w:p w14:paraId="39822D39" w14:textId="77777777" w:rsidR="00011ACE" w:rsidRPr="00011ACE" w:rsidRDefault="00011ACE" w:rsidP="002D7D3A">
            <w:pPr>
              <w:pStyle w:val="NormalWeb"/>
              <w:spacing w:before="0" w:beforeAutospacing="0" w:after="0" w:afterAutospacing="0"/>
              <w:jc w:val="center"/>
              <w:rPr>
                <w:rFonts w:ascii="Bookman Old Style" w:hAnsi="Bookman Old Style" w:cs="Arial"/>
                <w:b/>
                <w:bCs/>
                <w:color w:val="000000"/>
                <w:sz w:val="20"/>
                <w:szCs w:val="20"/>
              </w:rPr>
            </w:pPr>
            <w:r w:rsidRPr="00011ACE">
              <w:rPr>
                <w:rFonts w:ascii="Bookman Old Style" w:hAnsi="Bookman Old Style" w:cs="Arial"/>
                <w:b/>
                <w:bCs/>
                <w:color w:val="000000"/>
                <w:sz w:val="20"/>
                <w:szCs w:val="20"/>
              </w:rPr>
              <w:t>HENRY FERNANDO CORREAL</w:t>
            </w:r>
          </w:p>
          <w:p w14:paraId="520DC590" w14:textId="77777777" w:rsidR="00011ACE" w:rsidRPr="00011ACE" w:rsidRDefault="00011ACE" w:rsidP="002D7D3A">
            <w:pPr>
              <w:pStyle w:val="NormalWeb"/>
              <w:spacing w:before="0" w:beforeAutospacing="0" w:after="0" w:afterAutospacing="0"/>
              <w:jc w:val="center"/>
              <w:rPr>
                <w:rFonts w:ascii="Bookman Old Style" w:hAnsi="Bookman Old Style" w:cs="Arial"/>
                <w:color w:val="000000"/>
                <w:sz w:val="20"/>
                <w:szCs w:val="20"/>
              </w:rPr>
            </w:pPr>
            <w:r w:rsidRPr="00011ACE">
              <w:rPr>
                <w:rFonts w:ascii="Bookman Old Style" w:hAnsi="Bookman Old Style" w:cs="Arial"/>
                <w:color w:val="000000"/>
                <w:sz w:val="20"/>
                <w:szCs w:val="20"/>
              </w:rPr>
              <w:t>Representante a la Cámara</w:t>
            </w:r>
          </w:p>
          <w:p w14:paraId="756107B1" w14:textId="77777777" w:rsidR="00011ACE" w:rsidRPr="00011ACE" w:rsidRDefault="00011ACE" w:rsidP="002D7D3A">
            <w:pPr>
              <w:pStyle w:val="NormalWeb"/>
              <w:spacing w:before="0" w:beforeAutospacing="0" w:after="0" w:afterAutospacing="0"/>
              <w:jc w:val="center"/>
              <w:rPr>
                <w:rFonts w:ascii="Bookman Old Style" w:hAnsi="Bookman Old Style" w:cs="Arial"/>
                <w:color w:val="000000"/>
                <w:sz w:val="20"/>
                <w:szCs w:val="20"/>
              </w:rPr>
            </w:pPr>
            <w:r w:rsidRPr="00011ACE">
              <w:rPr>
                <w:rFonts w:ascii="Bookman Old Style" w:hAnsi="Bookman Old Style" w:cs="Arial"/>
                <w:color w:val="000000"/>
                <w:sz w:val="20"/>
                <w:szCs w:val="20"/>
              </w:rPr>
              <w:t>Partido Liberal Colombiano</w:t>
            </w:r>
          </w:p>
        </w:tc>
        <w:tc>
          <w:tcPr>
            <w:tcW w:w="4348" w:type="dxa"/>
          </w:tcPr>
          <w:p w14:paraId="2670FE19" w14:textId="77777777" w:rsidR="00011ACE" w:rsidRPr="00011ACE" w:rsidRDefault="00011ACE" w:rsidP="002D7D3A">
            <w:pPr>
              <w:jc w:val="center"/>
              <w:rPr>
                <w:rFonts w:ascii="Bookman Old Style" w:hAnsi="Bookman Old Style" w:cs="Arial"/>
                <w:b/>
                <w:bCs/>
                <w:noProof/>
                <w:color w:val="000000"/>
                <w:sz w:val="20"/>
                <w:szCs w:val="20"/>
                <w:bdr w:val="none" w:sz="0" w:space="0" w:color="auto" w:frame="1"/>
              </w:rPr>
            </w:pPr>
          </w:p>
          <w:p w14:paraId="57D0D508" w14:textId="77777777" w:rsidR="00011ACE" w:rsidRPr="00011ACE" w:rsidRDefault="00011ACE" w:rsidP="002D7D3A">
            <w:pPr>
              <w:jc w:val="center"/>
              <w:rPr>
                <w:rFonts w:ascii="Bookman Old Style" w:hAnsi="Bookman Old Style" w:cs="Arial"/>
                <w:b/>
                <w:bCs/>
                <w:noProof/>
                <w:color w:val="000000"/>
                <w:sz w:val="20"/>
                <w:szCs w:val="20"/>
                <w:bdr w:val="none" w:sz="0" w:space="0" w:color="auto" w:frame="1"/>
              </w:rPr>
            </w:pPr>
            <w:r w:rsidRPr="00011ACE">
              <w:rPr>
                <w:rFonts w:ascii="Bookman Old Style" w:hAnsi="Bookman Old Style" w:cs="Arial"/>
                <w:b/>
                <w:bCs/>
                <w:noProof/>
                <w:color w:val="000000"/>
                <w:sz w:val="20"/>
                <w:szCs w:val="20"/>
                <w:bdr w:val="none" w:sz="0" w:space="0" w:color="auto" w:frame="1"/>
              </w:rPr>
              <w:t>ANDRÉS DAVID CALLE AGUAS</w:t>
            </w:r>
          </w:p>
          <w:p w14:paraId="0189667B" w14:textId="77777777" w:rsidR="00011ACE" w:rsidRPr="00011ACE" w:rsidRDefault="00011ACE" w:rsidP="002D7D3A">
            <w:pPr>
              <w:jc w:val="center"/>
              <w:rPr>
                <w:rFonts w:ascii="Bookman Old Style" w:hAnsi="Bookman Old Style" w:cs="Arial"/>
                <w:noProof/>
                <w:color w:val="000000"/>
                <w:sz w:val="20"/>
                <w:szCs w:val="20"/>
                <w:bdr w:val="none" w:sz="0" w:space="0" w:color="auto" w:frame="1"/>
              </w:rPr>
            </w:pPr>
            <w:r w:rsidRPr="00011ACE">
              <w:rPr>
                <w:rFonts w:ascii="Bookman Old Style" w:hAnsi="Bookman Old Style" w:cs="Arial"/>
                <w:noProof/>
                <w:color w:val="000000"/>
                <w:sz w:val="20"/>
                <w:szCs w:val="20"/>
                <w:bdr w:val="none" w:sz="0" w:space="0" w:color="auto" w:frame="1"/>
              </w:rPr>
              <w:t>Representante a la Cámara</w:t>
            </w:r>
          </w:p>
          <w:p w14:paraId="0F2D369B" w14:textId="77777777" w:rsidR="00011ACE" w:rsidRPr="00011ACE" w:rsidRDefault="00011ACE" w:rsidP="002D7D3A">
            <w:pPr>
              <w:jc w:val="center"/>
              <w:rPr>
                <w:rFonts w:ascii="Bookman Old Style" w:hAnsi="Bookman Old Style" w:cs="Arial"/>
                <w:noProof/>
                <w:color w:val="000000"/>
                <w:sz w:val="20"/>
                <w:szCs w:val="20"/>
                <w:bdr w:val="none" w:sz="0" w:space="0" w:color="auto" w:frame="1"/>
              </w:rPr>
            </w:pPr>
            <w:r w:rsidRPr="00011ACE">
              <w:rPr>
                <w:rFonts w:ascii="Bookman Old Style" w:hAnsi="Bookman Old Style" w:cs="Arial"/>
                <w:noProof/>
                <w:color w:val="000000"/>
                <w:sz w:val="20"/>
                <w:szCs w:val="20"/>
                <w:bdr w:val="none" w:sz="0" w:space="0" w:color="auto" w:frame="1"/>
              </w:rPr>
              <w:t>Partido Liberal Colombiano</w:t>
            </w:r>
          </w:p>
        </w:tc>
      </w:tr>
      <w:tr w:rsidR="00011ACE" w:rsidRPr="00011ACE" w14:paraId="4D277A1E" w14:textId="77777777" w:rsidTr="002D7D3A">
        <w:trPr>
          <w:jc w:val="center"/>
        </w:trPr>
        <w:tc>
          <w:tcPr>
            <w:tcW w:w="4390" w:type="dxa"/>
          </w:tcPr>
          <w:p w14:paraId="641C4029" w14:textId="77777777" w:rsidR="00011ACE" w:rsidRPr="00011ACE" w:rsidRDefault="00011ACE" w:rsidP="002D7D3A">
            <w:pPr>
              <w:pStyle w:val="NormalWeb"/>
              <w:spacing w:before="0" w:beforeAutospacing="0" w:after="0" w:afterAutospacing="0"/>
              <w:jc w:val="center"/>
              <w:rPr>
                <w:rFonts w:ascii="Bookman Old Style" w:hAnsi="Bookman Old Style" w:cs="Arial"/>
                <w:b/>
                <w:bCs/>
                <w:color w:val="000000"/>
                <w:sz w:val="20"/>
                <w:szCs w:val="20"/>
              </w:rPr>
            </w:pPr>
          </w:p>
          <w:p w14:paraId="2AD66207" w14:textId="77777777" w:rsidR="00011ACE" w:rsidRPr="00011ACE" w:rsidRDefault="00011ACE" w:rsidP="002D7D3A">
            <w:pPr>
              <w:pStyle w:val="NormalWeb"/>
              <w:spacing w:before="0" w:beforeAutospacing="0" w:after="0" w:afterAutospacing="0"/>
              <w:jc w:val="center"/>
              <w:rPr>
                <w:rFonts w:ascii="Bookman Old Style" w:hAnsi="Bookman Old Style" w:cs="Arial"/>
                <w:b/>
                <w:bCs/>
                <w:color w:val="000000"/>
                <w:sz w:val="20"/>
                <w:szCs w:val="20"/>
              </w:rPr>
            </w:pPr>
            <w:r w:rsidRPr="00011ACE">
              <w:rPr>
                <w:rFonts w:ascii="Bookman Old Style" w:hAnsi="Bookman Old Style" w:cs="Arial"/>
                <w:b/>
                <w:bCs/>
                <w:color w:val="000000"/>
                <w:sz w:val="20"/>
                <w:szCs w:val="20"/>
              </w:rPr>
              <w:t>JULIÁN PEINADO RAMÍREZ</w:t>
            </w:r>
          </w:p>
          <w:p w14:paraId="7D7B670E" w14:textId="77777777" w:rsidR="00011ACE" w:rsidRPr="00011ACE" w:rsidRDefault="00011ACE" w:rsidP="002D7D3A">
            <w:pPr>
              <w:pStyle w:val="NormalWeb"/>
              <w:spacing w:before="0" w:beforeAutospacing="0" w:after="0" w:afterAutospacing="0"/>
              <w:jc w:val="center"/>
              <w:rPr>
                <w:rFonts w:ascii="Bookman Old Style" w:hAnsi="Bookman Old Style" w:cs="Arial"/>
                <w:color w:val="000000"/>
                <w:sz w:val="20"/>
                <w:szCs w:val="20"/>
              </w:rPr>
            </w:pPr>
            <w:r w:rsidRPr="00011ACE">
              <w:rPr>
                <w:rFonts w:ascii="Bookman Old Style" w:hAnsi="Bookman Old Style" w:cs="Arial"/>
                <w:color w:val="000000"/>
                <w:sz w:val="20"/>
                <w:szCs w:val="20"/>
              </w:rPr>
              <w:t>Representante a la Cámara</w:t>
            </w:r>
          </w:p>
          <w:p w14:paraId="022D6CFD" w14:textId="77777777" w:rsidR="00011ACE" w:rsidRPr="00011ACE" w:rsidRDefault="00011ACE" w:rsidP="002D7D3A">
            <w:pPr>
              <w:pStyle w:val="NormalWeb"/>
              <w:spacing w:before="0" w:beforeAutospacing="0" w:after="0" w:afterAutospacing="0"/>
              <w:jc w:val="center"/>
              <w:rPr>
                <w:rFonts w:ascii="Bookman Old Style" w:hAnsi="Bookman Old Style" w:cs="Arial"/>
                <w:color w:val="000000"/>
                <w:sz w:val="20"/>
                <w:szCs w:val="20"/>
              </w:rPr>
            </w:pPr>
            <w:r w:rsidRPr="00011ACE">
              <w:rPr>
                <w:rFonts w:ascii="Bookman Old Style" w:hAnsi="Bookman Old Style" w:cs="Arial"/>
                <w:color w:val="000000"/>
                <w:sz w:val="20"/>
                <w:szCs w:val="20"/>
              </w:rPr>
              <w:t>Departamento de Antioquia</w:t>
            </w:r>
          </w:p>
        </w:tc>
        <w:tc>
          <w:tcPr>
            <w:tcW w:w="4348" w:type="dxa"/>
          </w:tcPr>
          <w:p w14:paraId="23BAE4C7" w14:textId="77777777" w:rsidR="00011ACE" w:rsidRPr="00011ACE" w:rsidRDefault="00011ACE" w:rsidP="002D7D3A">
            <w:pPr>
              <w:jc w:val="center"/>
              <w:rPr>
                <w:rFonts w:ascii="Bookman Old Style" w:hAnsi="Bookman Old Style" w:cs="Arial"/>
                <w:b/>
                <w:bCs/>
                <w:noProof/>
                <w:color w:val="000000"/>
                <w:sz w:val="20"/>
                <w:szCs w:val="20"/>
                <w:bdr w:val="none" w:sz="0" w:space="0" w:color="auto" w:frame="1"/>
              </w:rPr>
            </w:pPr>
          </w:p>
          <w:p w14:paraId="53E768FB" w14:textId="77777777" w:rsidR="00011ACE" w:rsidRPr="00011ACE" w:rsidRDefault="00011ACE" w:rsidP="002D7D3A">
            <w:pPr>
              <w:jc w:val="center"/>
              <w:rPr>
                <w:rFonts w:ascii="Bookman Old Style" w:hAnsi="Bookman Old Style" w:cs="Arial"/>
                <w:b/>
                <w:bCs/>
                <w:noProof/>
                <w:color w:val="000000"/>
                <w:sz w:val="20"/>
                <w:szCs w:val="20"/>
                <w:bdr w:val="none" w:sz="0" w:space="0" w:color="auto" w:frame="1"/>
              </w:rPr>
            </w:pPr>
            <w:r w:rsidRPr="00011ACE">
              <w:rPr>
                <w:rFonts w:ascii="Bookman Old Style" w:hAnsi="Bookman Old Style" w:cs="Arial"/>
                <w:b/>
                <w:bCs/>
                <w:noProof/>
                <w:color w:val="000000"/>
                <w:sz w:val="20"/>
                <w:szCs w:val="20"/>
                <w:bdr w:val="none" w:sz="0" w:space="0" w:color="auto" w:frame="1"/>
              </w:rPr>
              <w:t>ELIZABETH JAY-PANG DÍAZ</w:t>
            </w:r>
          </w:p>
          <w:p w14:paraId="6FB348FC" w14:textId="77777777" w:rsidR="00011ACE" w:rsidRPr="00011ACE" w:rsidRDefault="00011ACE" w:rsidP="002D7D3A">
            <w:pPr>
              <w:jc w:val="center"/>
              <w:rPr>
                <w:rFonts w:ascii="Bookman Old Style" w:hAnsi="Bookman Old Style" w:cs="Arial"/>
                <w:noProof/>
                <w:color w:val="000000"/>
                <w:sz w:val="20"/>
                <w:szCs w:val="20"/>
                <w:bdr w:val="none" w:sz="0" w:space="0" w:color="auto" w:frame="1"/>
              </w:rPr>
            </w:pPr>
            <w:r w:rsidRPr="00011ACE">
              <w:rPr>
                <w:rFonts w:ascii="Bookman Old Style" w:hAnsi="Bookman Old Style" w:cs="Arial"/>
                <w:noProof/>
                <w:color w:val="000000"/>
                <w:sz w:val="20"/>
                <w:szCs w:val="20"/>
                <w:bdr w:val="none" w:sz="0" w:space="0" w:color="auto" w:frame="1"/>
              </w:rPr>
              <w:t>Representante a la Cámara</w:t>
            </w:r>
          </w:p>
          <w:p w14:paraId="4C03E9A7" w14:textId="77777777" w:rsidR="00011ACE" w:rsidRPr="00011ACE" w:rsidRDefault="00011ACE" w:rsidP="002D7D3A">
            <w:pPr>
              <w:jc w:val="center"/>
              <w:rPr>
                <w:rFonts w:ascii="Bookman Old Style" w:hAnsi="Bookman Old Style" w:cs="Arial"/>
                <w:noProof/>
                <w:color w:val="000000"/>
                <w:sz w:val="20"/>
                <w:szCs w:val="20"/>
                <w:bdr w:val="none" w:sz="0" w:space="0" w:color="auto" w:frame="1"/>
              </w:rPr>
            </w:pPr>
            <w:r w:rsidRPr="00011ACE">
              <w:rPr>
                <w:rFonts w:ascii="Bookman Old Style" w:hAnsi="Bookman Old Style" w:cs="Arial"/>
                <w:noProof/>
                <w:color w:val="000000"/>
                <w:sz w:val="20"/>
                <w:szCs w:val="20"/>
                <w:bdr w:val="none" w:sz="0" w:space="0" w:color="auto" w:frame="1"/>
              </w:rPr>
              <w:t>Departamento de Archipielgalo San Andrés, Providencia y Santa Catalina</w:t>
            </w:r>
          </w:p>
        </w:tc>
      </w:tr>
      <w:tr w:rsidR="00011ACE" w:rsidRPr="00011ACE" w14:paraId="45FB53D2" w14:textId="77777777" w:rsidTr="002D7D3A">
        <w:trPr>
          <w:jc w:val="center"/>
        </w:trPr>
        <w:tc>
          <w:tcPr>
            <w:tcW w:w="4390" w:type="dxa"/>
          </w:tcPr>
          <w:p w14:paraId="7E84B18D" w14:textId="77777777" w:rsidR="00011ACE" w:rsidRPr="00011ACE" w:rsidRDefault="00011ACE" w:rsidP="002D7D3A">
            <w:pPr>
              <w:pStyle w:val="NormalWeb"/>
              <w:spacing w:before="0" w:beforeAutospacing="0" w:after="0" w:afterAutospacing="0"/>
              <w:jc w:val="center"/>
              <w:rPr>
                <w:rFonts w:ascii="Bookman Old Style" w:hAnsi="Bookman Old Style" w:cs="Arial"/>
                <w:b/>
                <w:bCs/>
                <w:color w:val="000000"/>
                <w:sz w:val="20"/>
                <w:szCs w:val="20"/>
              </w:rPr>
            </w:pPr>
          </w:p>
          <w:p w14:paraId="439C7A90" w14:textId="77777777" w:rsidR="00011ACE" w:rsidRPr="00011ACE" w:rsidRDefault="00011ACE" w:rsidP="002D7D3A">
            <w:pPr>
              <w:pStyle w:val="NormalWeb"/>
              <w:spacing w:before="0" w:beforeAutospacing="0" w:after="0" w:afterAutospacing="0"/>
              <w:jc w:val="center"/>
              <w:rPr>
                <w:rFonts w:ascii="Bookman Old Style" w:hAnsi="Bookman Old Style" w:cs="Arial"/>
                <w:b/>
                <w:bCs/>
                <w:color w:val="000000"/>
                <w:sz w:val="20"/>
                <w:szCs w:val="20"/>
              </w:rPr>
            </w:pPr>
            <w:r w:rsidRPr="00011ACE">
              <w:rPr>
                <w:rFonts w:ascii="Bookman Old Style" w:hAnsi="Bookman Old Style" w:cs="Arial"/>
                <w:b/>
                <w:bCs/>
                <w:color w:val="000000"/>
                <w:sz w:val="20"/>
                <w:szCs w:val="20"/>
              </w:rPr>
              <w:t>INTI RAÚL ASPRILLA REYES</w:t>
            </w:r>
          </w:p>
          <w:p w14:paraId="6516C864" w14:textId="77777777" w:rsidR="00011ACE" w:rsidRPr="00011ACE" w:rsidRDefault="00011ACE" w:rsidP="002D7D3A">
            <w:pPr>
              <w:pStyle w:val="NormalWeb"/>
              <w:spacing w:before="0" w:beforeAutospacing="0" w:after="0" w:afterAutospacing="0"/>
              <w:jc w:val="center"/>
              <w:rPr>
                <w:rFonts w:ascii="Bookman Old Style" w:hAnsi="Bookman Old Style" w:cs="Arial"/>
                <w:color w:val="000000"/>
                <w:sz w:val="20"/>
                <w:szCs w:val="20"/>
              </w:rPr>
            </w:pPr>
            <w:r w:rsidRPr="00011ACE">
              <w:rPr>
                <w:rFonts w:ascii="Bookman Old Style" w:hAnsi="Bookman Old Style" w:cs="Arial"/>
                <w:color w:val="000000"/>
                <w:sz w:val="20"/>
                <w:szCs w:val="20"/>
              </w:rPr>
              <w:t>Representante a la Cámara por Bogotá</w:t>
            </w:r>
          </w:p>
        </w:tc>
        <w:tc>
          <w:tcPr>
            <w:tcW w:w="4348" w:type="dxa"/>
          </w:tcPr>
          <w:p w14:paraId="36129B9D" w14:textId="77777777" w:rsidR="00011ACE" w:rsidRPr="00011ACE" w:rsidRDefault="00011ACE" w:rsidP="002D7D3A">
            <w:pPr>
              <w:jc w:val="center"/>
              <w:rPr>
                <w:rFonts w:ascii="Bookman Old Style" w:hAnsi="Bookman Old Style" w:cs="Arial"/>
                <w:b/>
                <w:bCs/>
                <w:noProof/>
                <w:color w:val="000000"/>
                <w:sz w:val="20"/>
                <w:szCs w:val="20"/>
                <w:bdr w:val="none" w:sz="0" w:space="0" w:color="auto" w:frame="1"/>
              </w:rPr>
            </w:pPr>
          </w:p>
          <w:p w14:paraId="02E8B679" w14:textId="77777777" w:rsidR="00011ACE" w:rsidRPr="00011ACE" w:rsidRDefault="00011ACE" w:rsidP="002D7D3A">
            <w:pPr>
              <w:jc w:val="center"/>
              <w:rPr>
                <w:rFonts w:ascii="Bookman Old Style" w:hAnsi="Bookman Old Style" w:cs="Arial"/>
                <w:b/>
                <w:bCs/>
                <w:noProof/>
                <w:color w:val="000000"/>
                <w:sz w:val="20"/>
                <w:szCs w:val="20"/>
                <w:bdr w:val="none" w:sz="0" w:space="0" w:color="auto" w:frame="1"/>
              </w:rPr>
            </w:pPr>
            <w:r w:rsidRPr="00011ACE">
              <w:rPr>
                <w:rFonts w:ascii="Bookman Old Style" w:hAnsi="Bookman Old Style" w:cs="Arial"/>
                <w:b/>
                <w:bCs/>
                <w:noProof/>
                <w:color w:val="000000"/>
                <w:sz w:val="20"/>
                <w:szCs w:val="20"/>
                <w:bdr w:val="none" w:sz="0" w:space="0" w:color="auto" w:frame="1"/>
              </w:rPr>
              <w:t>JAIRO REINALDO CALA SUÁREZ</w:t>
            </w:r>
          </w:p>
          <w:p w14:paraId="34ACEAAB" w14:textId="77777777" w:rsidR="00011ACE" w:rsidRPr="00011ACE" w:rsidRDefault="00011ACE" w:rsidP="002D7D3A">
            <w:pPr>
              <w:jc w:val="center"/>
              <w:rPr>
                <w:rFonts w:ascii="Bookman Old Style" w:hAnsi="Bookman Old Style" w:cs="Arial"/>
                <w:noProof/>
                <w:color w:val="000000"/>
                <w:sz w:val="20"/>
                <w:szCs w:val="20"/>
                <w:bdr w:val="none" w:sz="0" w:space="0" w:color="auto" w:frame="1"/>
              </w:rPr>
            </w:pPr>
            <w:r w:rsidRPr="00011ACE">
              <w:rPr>
                <w:rFonts w:ascii="Bookman Old Style" w:hAnsi="Bookman Old Style" w:cs="Arial"/>
                <w:noProof/>
                <w:color w:val="000000"/>
                <w:sz w:val="20"/>
                <w:szCs w:val="20"/>
                <w:bdr w:val="none" w:sz="0" w:space="0" w:color="auto" w:frame="1"/>
              </w:rPr>
              <w:t>Representante a la Cámara</w:t>
            </w:r>
          </w:p>
          <w:p w14:paraId="68B36A21" w14:textId="77777777" w:rsidR="00011ACE" w:rsidRPr="00011ACE" w:rsidRDefault="00011ACE" w:rsidP="002D7D3A">
            <w:pPr>
              <w:jc w:val="center"/>
              <w:rPr>
                <w:rFonts w:ascii="Bookman Old Style" w:hAnsi="Bookman Old Style" w:cs="Arial"/>
                <w:noProof/>
                <w:color w:val="000000"/>
                <w:sz w:val="20"/>
                <w:szCs w:val="20"/>
                <w:bdr w:val="none" w:sz="0" w:space="0" w:color="auto" w:frame="1"/>
              </w:rPr>
            </w:pPr>
            <w:r w:rsidRPr="00011ACE">
              <w:rPr>
                <w:rFonts w:ascii="Bookman Old Style" w:hAnsi="Bookman Old Style" w:cs="Arial"/>
                <w:noProof/>
                <w:color w:val="000000"/>
                <w:sz w:val="20"/>
                <w:szCs w:val="20"/>
                <w:bdr w:val="none" w:sz="0" w:space="0" w:color="auto" w:frame="1"/>
              </w:rPr>
              <w:t>Partido Comunes</w:t>
            </w:r>
          </w:p>
        </w:tc>
      </w:tr>
      <w:tr w:rsidR="00011ACE" w:rsidRPr="00011ACE" w14:paraId="366DBBB5" w14:textId="77777777" w:rsidTr="002D7D3A">
        <w:trPr>
          <w:jc w:val="center"/>
        </w:trPr>
        <w:tc>
          <w:tcPr>
            <w:tcW w:w="4390" w:type="dxa"/>
          </w:tcPr>
          <w:p w14:paraId="55CB8557" w14:textId="77777777" w:rsidR="00011ACE" w:rsidRPr="00011ACE" w:rsidRDefault="00011ACE" w:rsidP="002D7D3A">
            <w:pPr>
              <w:pStyle w:val="NormalWeb"/>
              <w:spacing w:before="0" w:beforeAutospacing="0" w:after="0" w:afterAutospacing="0"/>
              <w:jc w:val="center"/>
              <w:rPr>
                <w:rFonts w:ascii="Bookman Old Style" w:hAnsi="Bookman Old Style" w:cs="Arial"/>
                <w:b/>
                <w:bCs/>
                <w:color w:val="000000"/>
                <w:sz w:val="20"/>
                <w:szCs w:val="20"/>
              </w:rPr>
            </w:pPr>
          </w:p>
          <w:p w14:paraId="7BC74394" w14:textId="77777777" w:rsidR="00011ACE" w:rsidRPr="00011ACE" w:rsidRDefault="00011ACE" w:rsidP="002D7D3A">
            <w:pPr>
              <w:pStyle w:val="NormalWeb"/>
              <w:spacing w:before="0" w:beforeAutospacing="0" w:after="0" w:afterAutospacing="0"/>
              <w:jc w:val="center"/>
              <w:rPr>
                <w:rFonts w:ascii="Bookman Old Style" w:hAnsi="Bookman Old Style" w:cs="Arial"/>
                <w:b/>
                <w:bCs/>
                <w:color w:val="000000"/>
                <w:sz w:val="20"/>
                <w:szCs w:val="20"/>
              </w:rPr>
            </w:pPr>
            <w:r w:rsidRPr="00011ACE">
              <w:rPr>
                <w:rFonts w:ascii="Bookman Old Style" w:hAnsi="Bookman Old Style" w:cs="Arial"/>
                <w:b/>
                <w:bCs/>
                <w:color w:val="000000"/>
                <w:sz w:val="20"/>
                <w:szCs w:val="20"/>
              </w:rPr>
              <w:t>ALEJANDRO VEGA PÉREZ</w:t>
            </w:r>
          </w:p>
          <w:p w14:paraId="267870F7" w14:textId="77777777" w:rsidR="00011ACE" w:rsidRPr="00011ACE" w:rsidRDefault="00011ACE" w:rsidP="002D7D3A">
            <w:pPr>
              <w:pStyle w:val="NormalWeb"/>
              <w:spacing w:before="0" w:beforeAutospacing="0" w:after="0" w:afterAutospacing="0"/>
              <w:jc w:val="center"/>
              <w:rPr>
                <w:rFonts w:ascii="Bookman Old Style" w:hAnsi="Bookman Old Style" w:cs="Arial"/>
                <w:color w:val="000000"/>
                <w:sz w:val="20"/>
                <w:szCs w:val="20"/>
              </w:rPr>
            </w:pPr>
            <w:r w:rsidRPr="00011ACE">
              <w:rPr>
                <w:rFonts w:ascii="Bookman Old Style" w:hAnsi="Bookman Old Style" w:cs="Arial"/>
                <w:color w:val="000000"/>
                <w:sz w:val="20"/>
                <w:szCs w:val="20"/>
              </w:rPr>
              <w:t>Representante a la Cámara</w:t>
            </w:r>
          </w:p>
          <w:p w14:paraId="7592724B" w14:textId="77777777" w:rsidR="00011ACE" w:rsidRPr="00011ACE" w:rsidRDefault="00011ACE" w:rsidP="002D7D3A">
            <w:pPr>
              <w:pStyle w:val="NormalWeb"/>
              <w:spacing w:before="0" w:beforeAutospacing="0" w:after="0" w:afterAutospacing="0"/>
              <w:jc w:val="center"/>
              <w:rPr>
                <w:rFonts w:ascii="Bookman Old Style" w:hAnsi="Bookman Old Style" w:cs="Arial"/>
                <w:color w:val="000000"/>
                <w:sz w:val="20"/>
                <w:szCs w:val="20"/>
              </w:rPr>
            </w:pPr>
            <w:r w:rsidRPr="00011ACE">
              <w:rPr>
                <w:rFonts w:ascii="Bookman Old Style" w:hAnsi="Bookman Old Style" w:cs="Arial"/>
                <w:color w:val="000000"/>
                <w:sz w:val="20"/>
                <w:szCs w:val="20"/>
              </w:rPr>
              <w:t>Partido Liberal Colombiano</w:t>
            </w:r>
          </w:p>
        </w:tc>
        <w:tc>
          <w:tcPr>
            <w:tcW w:w="4348" w:type="dxa"/>
          </w:tcPr>
          <w:p w14:paraId="0E379ACA" w14:textId="77777777" w:rsidR="00011ACE" w:rsidRPr="00011ACE" w:rsidRDefault="00011ACE" w:rsidP="002D7D3A">
            <w:pPr>
              <w:jc w:val="center"/>
              <w:rPr>
                <w:rFonts w:ascii="Bookman Old Style" w:hAnsi="Bookman Old Style" w:cs="Arial"/>
                <w:b/>
                <w:bCs/>
                <w:noProof/>
                <w:color w:val="000000"/>
                <w:sz w:val="20"/>
                <w:szCs w:val="20"/>
                <w:bdr w:val="none" w:sz="0" w:space="0" w:color="auto" w:frame="1"/>
              </w:rPr>
            </w:pPr>
          </w:p>
          <w:p w14:paraId="0639EE75" w14:textId="77777777" w:rsidR="00011ACE" w:rsidRPr="00011ACE" w:rsidRDefault="00011ACE" w:rsidP="002D7D3A">
            <w:pPr>
              <w:jc w:val="center"/>
              <w:rPr>
                <w:rFonts w:ascii="Bookman Old Style" w:hAnsi="Bookman Old Style" w:cs="Arial"/>
                <w:b/>
                <w:bCs/>
                <w:noProof/>
                <w:color w:val="000000"/>
                <w:sz w:val="20"/>
                <w:szCs w:val="20"/>
                <w:bdr w:val="none" w:sz="0" w:space="0" w:color="auto" w:frame="1"/>
              </w:rPr>
            </w:pPr>
            <w:r w:rsidRPr="00011ACE">
              <w:rPr>
                <w:rFonts w:ascii="Bookman Old Style" w:hAnsi="Bookman Old Style" w:cs="Arial"/>
                <w:b/>
                <w:bCs/>
                <w:noProof/>
                <w:color w:val="000000"/>
                <w:sz w:val="20"/>
                <w:szCs w:val="20"/>
                <w:bdr w:val="none" w:sz="0" w:space="0" w:color="auto" w:frame="1"/>
              </w:rPr>
              <w:t>LUIS ALBERTO ALBAN URBANO</w:t>
            </w:r>
          </w:p>
          <w:p w14:paraId="777DC562" w14:textId="77777777" w:rsidR="00011ACE" w:rsidRPr="00011ACE" w:rsidRDefault="00011ACE" w:rsidP="002D7D3A">
            <w:pPr>
              <w:jc w:val="center"/>
              <w:rPr>
                <w:rFonts w:ascii="Bookman Old Style" w:hAnsi="Bookman Old Style" w:cs="Arial"/>
                <w:noProof/>
                <w:color w:val="000000"/>
                <w:sz w:val="20"/>
                <w:szCs w:val="20"/>
                <w:bdr w:val="none" w:sz="0" w:space="0" w:color="auto" w:frame="1"/>
              </w:rPr>
            </w:pPr>
            <w:r w:rsidRPr="00011ACE">
              <w:rPr>
                <w:rFonts w:ascii="Bookman Old Style" w:hAnsi="Bookman Old Style" w:cs="Arial"/>
                <w:noProof/>
                <w:color w:val="000000"/>
                <w:sz w:val="20"/>
                <w:szCs w:val="20"/>
                <w:bdr w:val="none" w:sz="0" w:space="0" w:color="auto" w:frame="1"/>
              </w:rPr>
              <w:t>Representante a la Cámara</w:t>
            </w:r>
          </w:p>
          <w:p w14:paraId="2F0A3A5D" w14:textId="77777777" w:rsidR="00011ACE" w:rsidRPr="00011ACE" w:rsidRDefault="00011ACE" w:rsidP="002D7D3A">
            <w:pPr>
              <w:jc w:val="center"/>
              <w:rPr>
                <w:rFonts w:ascii="Bookman Old Style" w:hAnsi="Bookman Old Style" w:cs="Arial"/>
                <w:noProof/>
                <w:color w:val="000000"/>
                <w:sz w:val="20"/>
                <w:szCs w:val="20"/>
                <w:bdr w:val="none" w:sz="0" w:space="0" w:color="auto" w:frame="1"/>
              </w:rPr>
            </w:pPr>
            <w:r w:rsidRPr="00011ACE">
              <w:rPr>
                <w:rFonts w:ascii="Bookman Old Style" w:hAnsi="Bookman Old Style" w:cs="Arial"/>
                <w:noProof/>
                <w:color w:val="000000"/>
                <w:sz w:val="20"/>
                <w:szCs w:val="20"/>
                <w:bdr w:val="none" w:sz="0" w:space="0" w:color="auto" w:frame="1"/>
              </w:rPr>
              <w:t>Partido Comunes</w:t>
            </w:r>
          </w:p>
        </w:tc>
      </w:tr>
      <w:tr w:rsidR="00011ACE" w:rsidRPr="00011ACE" w14:paraId="3FA3D04A" w14:textId="77777777" w:rsidTr="002D7D3A">
        <w:trPr>
          <w:jc w:val="center"/>
        </w:trPr>
        <w:tc>
          <w:tcPr>
            <w:tcW w:w="4390" w:type="dxa"/>
          </w:tcPr>
          <w:p w14:paraId="2AC6D1E4" w14:textId="77777777" w:rsidR="00011ACE" w:rsidRPr="00011ACE" w:rsidRDefault="00011ACE" w:rsidP="002D7D3A">
            <w:pPr>
              <w:pStyle w:val="NormalWeb"/>
              <w:spacing w:before="0" w:beforeAutospacing="0" w:after="0" w:afterAutospacing="0"/>
              <w:jc w:val="center"/>
              <w:rPr>
                <w:rFonts w:ascii="Bookman Old Style" w:hAnsi="Bookman Old Style" w:cs="Arial"/>
                <w:b/>
                <w:bCs/>
                <w:color w:val="000000"/>
                <w:sz w:val="20"/>
                <w:szCs w:val="20"/>
              </w:rPr>
            </w:pPr>
          </w:p>
          <w:p w14:paraId="286EE814" w14:textId="77777777" w:rsidR="00011ACE" w:rsidRPr="00011ACE" w:rsidRDefault="00011ACE" w:rsidP="002D7D3A">
            <w:pPr>
              <w:pStyle w:val="NormalWeb"/>
              <w:spacing w:before="0" w:beforeAutospacing="0" w:after="0" w:afterAutospacing="0"/>
              <w:jc w:val="center"/>
              <w:rPr>
                <w:rFonts w:ascii="Bookman Old Style" w:hAnsi="Bookman Old Style" w:cs="Arial"/>
                <w:b/>
                <w:bCs/>
                <w:color w:val="000000"/>
                <w:sz w:val="20"/>
                <w:szCs w:val="20"/>
              </w:rPr>
            </w:pPr>
            <w:r w:rsidRPr="00011ACE">
              <w:rPr>
                <w:rFonts w:ascii="Bookman Old Style" w:hAnsi="Bookman Old Style" w:cs="Arial"/>
                <w:b/>
                <w:bCs/>
                <w:color w:val="000000"/>
                <w:sz w:val="20"/>
                <w:szCs w:val="20"/>
              </w:rPr>
              <w:t>GABRIEL SANTOS GARCÍA</w:t>
            </w:r>
          </w:p>
          <w:p w14:paraId="41CA0F59" w14:textId="77777777" w:rsidR="00011ACE" w:rsidRPr="00011ACE" w:rsidRDefault="00011ACE" w:rsidP="002D7D3A">
            <w:pPr>
              <w:pStyle w:val="NormalWeb"/>
              <w:spacing w:before="0" w:beforeAutospacing="0" w:after="0" w:afterAutospacing="0"/>
              <w:jc w:val="center"/>
              <w:rPr>
                <w:rFonts w:ascii="Bookman Old Style" w:hAnsi="Bookman Old Style" w:cs="Arial"/>
                <w:color w:val="000000"/>
                <w:sz w:val="20"/>
                <w:szCs w:val="20"/>
              </w:rPr>
            </w:pPr>
            <w:r w:rsidRPr="00011ACE">
              <w:rPr>
                <w:rFonts w:ascii="Bookman Old Style" w:hAnsi="Bookman Old Style" w:cs="Arial"/>
                <w:color w:val="000000"/>
                <w:sz w:val="20"/>
                <w:szCs w:val="20"/>
              </w:rPr>
              <w:t>Representante a la Cámara</w:t>
            </w:r>
          </w:p>
        </w:tc>
        <w:tc>
          <w:tcPr>
            <w:tcW w:w="4348" w:type="dxa"/>
          </w:tcPr>
          <w:p w14:paraId="7FBB9921" w14:textId="77777777" w:rsidR="00011ACE" w:rsidRPr="00011ACE" w:rsidRDefault="00011ACE" w:rsidP="002D7D3A">
            <w:pPr>
              <w:jc w:val="center"/>
              <w:rPr>
                <w:rFonts w:ascii="Bookman Old Style" w:hAnsi="Bookman Old Style" w:cs="Arial"/>
                <w:b/>
                <w:bCs/>
                <w:noProof/>
                <w:color w:val="000000"/>
                <w:sz w:val="20"/>
                <w:szCs w:val="20"/>
                <w:bdr w:val="none" w:sz="0" w:space="0" w:color="auto" w:frame="1"/>
              </w:rPr>
            </w:pPr>
          </w:p>
          <w:p w14:paraId="5AEE71FC" w14:textId="77777777" w:rsidR="00011ACE" w:rsidRPr="00011ACE" w:rsidRDefault="00011ACE" w:rsidP="002D7D3A">
            <w:pPr>
              <w:jc w:val="center"/>
              <w:rPr>
                <w:rFonts w:ascii="Bookman Old Style" w:hAnsi="Bookman Old Style" w:cs="Arial"/>
                <w:b/>
                <w:bCs/>
                <w:noProof/>
                <w:color w:val="000000"/>
                <w:sz w:val="20"/>
                <w:szCs w:val="20"/>
                <w:bdr w:val="none" w:sz="0" w:space="0" w:color="auto" w:frame="1"/>
              </w:rPr>
            </w:pPr>
            <w:r w:rsidRPr="00011ACE">
              <w:rPr>
                <w:rFonts w:ascii="Bookman Old Style" w:hAnsi="Bookman Old Style" w:cs="Arial"/>
                <w:b/>
                <w:bCs/>
                <w:noProof/>
                <w:color w:val="000000"/>
                <w:sz w:val="20"/>
                <w:szCs w:val="20"/>
                <w:bdr w:val="none" w:sz="0" w:space="0" w:color="auto" w:frame="1"/>
              </w:rPr>
              <w:t>ALFREDO RAFAEL DELUQUE</w:t>
            </w:r>
          </w:p>
          <w:p w14:paraId="0897B913" w14:textId="77777777" w:rsidR="00011ACE" w:rsidRPr="00011ACE" w:rsidRDefault="00011ACE" w:rsidP="002D7D3A">
            <w:pPr>
              <w:jc w:val="center"/>
              <w:rPr>
                <w:rFonts w:ascii="Bookman Old Style" w:hAnsi="Bookman Old Style" w:cs="Arial"/>
                <w:noProof/>
                <w:color w:val="000000"/>
                <w:sz w:val="20"/>
                <w:szCs w:val="20"/>
                <w:bdr w:val="none" w:sz="0" w:space="0" w:color="auto" w:frame="1"/>
              </w:rPr>
            </w:pPr>
            <w:r w:rsidRPr="00011ACE">
              <w:rPr>
                <w:rFonts w:ascii="Bookman Old Style" w:hAnsi="Bookman Old Style" w:cs="Arial"/>
                <w:noProof/>
                <w:color w:val="000000"/>
                <w:sz w:val="20"/>
                <w:szCs w:val="20"/>
                <w:bdr w:val="none" w:sz="0" w:space="0" w:color="auto" w:frame="1"/>
              </w:rPr>
              <w:t>Representante a la Cámara</w:t>
            </w:r>
          </w:p>
        </w:tc>
      </w:tr>
      <w:tr w:rsidR="00011ACE" w:rsidRPr="00011ACE" w14:paraId="4791D8A1" w14:textId="77777777" w:rsidTr="002D7D3A">
        <w:trPr>
          <w:jc w:val="center"/>
        </w:trPr>
        <w:tc>
          <w:tcPr>
            <w:tcW w:w="4390" w:type="dxa"/>
          </w:tcPr>
          <w:p w14:paraId="0A7A7E2E" w14:textId="77777777" w:rsidR="00011ACE" w:rsidRPr="00011ACE" w:rsidRDefault="00011ACE" w:rsidP="002D7D3A">
            <w:pPr>
              <w:pStyle w:val="NormalWeb"/>
              <w:spacing w:before="0" w:beforeAutospacing="0" w:after="0" w:afterAutospacing="0"/>
              <w:jc w:val="center"/>
              <w:rPr>
                <w:rFonts w:ascii="Bookman Old Style" w:hAnsi="Bookman Old Style" w:cs="Arial"/>
                <w:b/>
                <w:bCs/>
                <w:color w:val="000000"/>
                <w:sz w:val="20"/>
                <w:szCs w:val="20"/>
              </w:rPr>
            </w:pPr>
          </w:p>
          <w:p w14:paraId="18474F47" w14:textId="77777777" w:rsidR="00011ACE" w:rsidRPr="00011ACE" w:rsidRDefault="00011ACE" w:rsidP="002D7D3A">
            <w:pPr>
              <w:pStyle w:val="NormalWeb"/>
              <w:spacing w:before="0" w:beforeAutospacing="0" w:after="0" w:afterAutospacing="0"/>
              <w:jc w:val="center"/>
              <w:rPr>
                <w:rFonts w:ascii="Bookman Old Style" w:hAnsi="Bookman Old Style" w:cs="Arial"/>
                <w:b/>
                <w:bCs/>
                <w:color w:val="000000"/>
                <w:sz w:val="20"/>
                <w:szCs w:val="20"/>
              </w:rPr>
            </w:pPr>
            <w:r w:rsidRPr="00011ACE">
              <w:rPr>
                <w:rFonts w:ascii="Bookman Old Style" w:hAnsi="Bookman Old Style" w:cs="Arial"/>
                <w:b/>
                <w:bCs/>
                <w:color w:val="000000"/>
                <w:sz w:val="20"/>
                <w:szCs w:val="20"/>
              </w:rPr>
              <w:t>ALEJANDRO CARLOS CHACÓN CAMARGO</w:t>
            </w:r>
          </w:p>
          <w:p w14:paraId="02B922D9" w14:textId="77777777" w:rsidR="00011ACE" w:rsidRPr="00011ACE" w:rsidRDefault="00011ACE" w:rsidP="002D7D3A">
            <w:pPr>
              <w:pStyle w:val="NormalWeb"/>
              <w:spacing w:before="0" w:beforeAutospacing="0" w:after="0" w:afterAutospacing="0"/>
              <w:jc w:val="center"/>
              <w:rPr>
                <w:rFonts w:ascii="Bookman Old Style" w:hAnsi="Bookman Old Style" w:cs="Arial"/>
                <w:color w:val="000000"/>
                <w:sz w:val="20"/>
                <w:szCs w:val="20"/>
              </w:rPr>
            </w:pPr>
            <w:r w:rsidRPr="00011ACE">
              <w:rPr>
                <w:rFonts w:ascii="Bookman Old Style" w:hAnsi="Bookman Old Style" w:cs="Arial"/>
                <w:color w:val="000000"/>
                <w:sz w:val="20"/>
                <w:szCs w:val="20"/>
              </w:rPr>
              <w:t>Representante a la Cámara por Norte de Santander</w:t>
            </w:r>
          </w:p>
          <w:p w14:paraId="137AA053" w14:textId="77777777" w:rsidR="00011ACE" w:rsidRPr="00011ACE" w:rsidRDefault="00011ACE" w:rsidP="002D7D3A">
            <w:pPr>
              <w:pStyle w:val="NormalWeb"/>
              <w:spacing w:before="0" w:beforeAutospacing="0" w:after="0" w:afterAutospacing="0"/>
              <w:jc w:val="center"/>
              <w:rPr>
                <w:rFonts w:ascii="Bookman Old Style" w:hAnsi="Bookman Old Style" w:cs="Arial"/>
                <w:color w:val="000000"/>
                <w:sz w:val="20"/>
                <w:szCs w:val="20"/>
              </w:rPr>
            </w:pPr>
            <w:r w:rsidRPr="00011ACE">
              <w:rPr>
                <w:rFonts w:ascii="Bookman Old Style" w:hAnsi="Bookman Old Style" w:cs="Arial"/>
                <w:color w:val="000000"/>
                <w:sz w:val="20"/>
                <w:szCs w:val="20"/>
              </w:rPr>
              <w:t>Partido Liberal Colombiano</w:t>
            </w:r>
          </w:p>
        </w:tc>
        <w:tc>
          <w:tcPr>
            <w:tcW w:w="4348" w:type="dxa"/>
          </w:tcPr>
          <w:p w14:paraId="62653A30" w14:textId="77777777" w:rsidR="00011ACE" w:rsidRPr="00011ACE" w:rsidRDefault="00011ACE" w:rsidP="002D7D3A">
            <w:pPr>
              <w:jc w:val="center"/>
              <w:rPr>
                <w:rFonts w:ascii="Bookman Old Style" w:hAnsi="Bookman Old Style" w:cs="Arial"/>
                <w:b/>
                <w:bCs/>
                <w:noProof/>
                <w:color w:val="000000"/>
                <w:sz w:val="20"/>
                <w:szCs w:val="20"/>
                <w:bdr w:val="none" w:sz="0" w:space="0" w:color="auto" w:frame="1"/>
              </w:rPr>
            </w:pPr>
          </w:p>
          <w:p w14:paraId="60763075" w14:textId="77777777" w:rsidR="00011ACE" w:rsidRPr="00011ACE" w:rsidRDefault="00011ACE" w:rsidP="002D7D3A">
            <w:pPr>
              <w:jc w:val="center"/>
              <w:rPr>
                <w:rFonts w:ascii="Bookman Old Style" w:hAnsi="Bookman Old Style" w:cs="Arial"/>
                <w:b/>
                <w:bCs/>
                <w:noProof/>
                <w:color w:val="000000"/>
                <w:sz w:val="20"/>
                <w:szCs w:val="20"/>
                <w:bdr w:val="none" w:sz="0" w:space="0" w:color="auto" w:frame="1"/>
              </w:rPr>
            </w:pPr>
            <w:r w:rsidRPr="00011ACE">
              <w:rPr>
                <w:rFonts w:ascii="Bookman Old Style" w:hAnsi="Bookman Old Style" w:cs="Arial"/>
                <w:b/>
                <w:bCs/>
                <w:noProof/>
                <w:color w:val="000000"/>
                <w:sz w:val="20"/>
                <w:szCs w:val="20"/>
                <w:bdr w:val="none" w:sz="0" w:space="0" w:color="auto" w:frame="1"/>
              </w:rPr>
              <w:t>JUAN LUIS CASTRO CORDOBA</w:t>
            </w:r>
          </w:p>
          <w:p w14:paraId="312DDD5C" w14:textId="77777777" w:rsidR="00011ACE" w:rsidRPr="00011ACE" w:rsidRDefault="00011ACE" w:rsidP="002D7D3A">
            <w:pPr>
              <w:jc w:val="center"/>
              <w:rPr>
                <w:rFonts w:ascii="Bookman Old Style" w:hAnsi="Bookman Old Style" w:cs="Arial"/>
                <w:noProof/>
                <w:color w:val="000000"/>
                <w:sz w:val="20"/>
                <w:szCs w:val="20"/>
                <w:bdr w:val="none" w:sz="0" w:space="0" w:color="auto" w:frame="1"/>
              </w:rPr>
            </w:pPr>
            <w:r w:rsidRPr="00011ACE">
              <w:rPr>
                <w:rFonts w:ascii="Bookman Old Style" w:hAnsi="Bookman Old Style" w:cs="Arial"/>
                <w:noProof/>
                <w:color w:val="000000"/>
                <w:sz w:val="20"/>
                <w:szCs w:val="20"/>
                <w:bdr w:val="none" w:sz="0" w:space="0" w:color="auto" w:frame="1"/>
              </w:rPr>
              <w:t>Senador Alianza Verde</w:t>
            </w:r>
          </w:p>
        </w:tc>
      </w:tr>
      <w:tr w:rsidR="00011ACE" w:rsidRPr="00011ACE" w14:paraId="4B2F360D" w14:textId="77777777" w:rsidTr="002D7D3A">
        <w:trPr>
          <w:jc w:val="center"/>
        </w:trPr>
        <w:tc>
          <w:tcPr>
            <w:tcW w:w="4390" w:type="dxa"/>
          </w:tcPr>
          <w:p w14:paraId="413079E5" w14:textId="77777777" w:rsidR="00011ACE" w:rsidRPr="00011ACE" w:rsidRDefault="00011ACE" w:rsidP="002D7D3A">
            <w:pPr>
              <w:pStyle w:val="NormalWeb"/>
              <w:spacing w:before="0" w:beforeAutospacing="0" w:after="0" w:afterAutospacing="0"/>
              <w:jc w:val="center"/>
              <w:rPr>
                <w:rFonts w:ascii="Bookman Old Style" w:hAnsi="Bookman Old Style" w:cs="Arial"/>
                <w:b/>
                <w:bCs/>
                <w:color w:val="000000"/>
                <w:sz w:val="20"/>
                <w:szCs w:val="20"/>
              </w:rPr>
            </w:pPr>
          </w:p>
          <w:p w14:paraId="7BC1251F" w14:textId="77777777" w:rsidR="00011ACE" w:rsidRPr="00011ACE" w:rsidRDefault="00011ACE" w:rsidP="002D7D3A">
            <w:pPr>
              <w:pStyle w:val="NormalWeb"/>
              <w:spacing w:before="0" w:beforeAutospacing="0" w:after="0" w:afterAutospacing="0"/>
              <w:jc w:val="center"/>
              <w:rPr>
                <w:rFonts w:ascii="Bookman Old Style" w:hAnsi="Bookman Old Style" w:cs="Arial"/>
                <w:b/>
                <w:bCs/>
                <w:color w:val="000000"/>
                <w:sz w:val="20"/>
                <w:szCs w:val="20"/>
              </w:rPr>
            </w:pPr>
            <w:r w:rsidRPr="00011ACE">
              <w:rPr>
                <w:rFonts w:ascii="Bookman Old Style" w:hAnsi="Bookman Old Style" w:cs="Arial"/>
                <w:b/>
                <w:bCs/>
                <w:color w:val="000000"/>
                <w:sz w:val="20"/>
                <w:szCs w:val="20"/>
              </w:rPr>
              <w:t>HORACIO JOSÉ SERPA MONCADA</w:t>
            </w:r>
          </w:p>
          <w:p w14:paraId="3BBA1BC9" w14:textId="77777777" w:rsidR="00011ACE" w:rsidRPr="00011ACE" w:rsidRDefault="00011ACE" w:rsidP="002D7D3A">
            <w:pPr>
              <w:pStyle w:val="NormalWeb"/>
              <w:spacing w:before="0" w:beforeAutospacing="0" w:after="0" w:afterAutospacing="0"/>
              <w:jc w:val="center"/>
              <w:rPr>
                <w:rFonts w:ascii="Bookman Old Style" w:hAnsi="Bookman Old Style" w:cs="Arial"/>
                <w:color w:val="000000"/>
                <w:sz w:val="20"/>
                <w:szCs w:val="20"/>
              </w:rPr>
            </w:pPr>
            <w:r w:rsidRPr="00011ACE">
              <w:rPr>
                <w:rFonts w:ascii="Bookman Old Style" w:hAnsi="Bookman Old Style" w:cs="Arial"/>
                <w:color w:val="000000"/>
                <w:sz w:val="20"/>
                <w:szCs w:val="20"/>
              </w:rPr>
              <w:t>Senador de la República</w:t>
            </w:r>
          </w:p>
        </w:tc>
        <w:tc>
          <w:tcPr>
            <w:tcW w:w="4348" w:type="dxa"/>
          </w:tcPr>
          <w:p w14:paraId="6DC8BBDE" w14:textId="77777777" w:rsidR="00011ACE" w:rsidRPr="00011ACE" w:rsidRDefault="00011ACE" w:rsidP="002D7D3A">
            <w:pPr>
              <w:jc w:val="center"/>
              <w:rPr>
                <w:rFonts w:ascii="Bookman Old Style" w:hAnsi="Bookman Old Style" w:cs="Arial"/>
                <w:b/>
                <w:bCs/>
                <w:noProof/>
                <w:color w:val="000000"/>
                <w:sz w:val="20"/>
                <w:szCs w:val="20"/>
                <w:bdr w:val="none" w:sz="0" w:space="0" w:color="auto" w:frame="1"/>
              </w:rPr>
            </w:pPr>
          </w:p>
          <w:p w14:paraId="48DC2949" w14:textId="77777777" w:rsidR="00011ACE" w:rsidRPr="00011ACE" w:rsidRDefault="00011ACE" w:rsidP="002D7D3A">
            <w:pPr>
              <w:jc w:val="center"/>
              <w:rPr>
                <w:rFonts w:ascii="Bookman Old Style" w:hAnsi="Bookman Old Style" w:cs="Arial"/>
                <w:b/>
                <w:bCs/>
                <w:noProof/>
                <w:color w:val="000000"/>
                <w:sz w:val="20"/>
                <w:szCs w:val="20"/>
                <w:bdr w:val="none" w:sz="0" w:space="0" w:color="auto" w:frame="1"/>
              </w:rPr>
            </w:pPr>
            <w:r w:rsidRPr="00011ACE">
              <w:rPr>
                <w:rFonts w:ascii="Bookman Old Style" w:hAnsi="Bookman Old Style" w:cs="Arial"/>
                <w:b/>
                <w:bCs/>
                <w:noProof/>
                <w:color w:val="000000"/>
                <w:sz w:val="20"/>
                <w:szCs w:val="20"/>
                <w:bdr w:val="none" w:sz="0" w:space="0" w:color="auto" w:frame="1"/>
              </w:rPr>
              <w:t>DAVID RACERO MAYORCA</w:t>
            </w:r>
          </w:p>
          <w:p w14:paraId="4128B641" w14:textId="77777777" w:rsidR="00011ACE" w:rsidRPr="00011ACE" w:rsidRDefault="00011ACE" w:rsidP="002D7D3A">
            <w:pPr>
              <w:jc w:val="center"/>
              <w:rPr>
                <w:rFonts w:ascii="Bookman Old Style" w:hAnsi="Bookman Old Style" w:cs="Arial"/>
                <w:noProof/>
                <w:color w:val="000000"/>
                <w:sz w:val="20"/>
                <w:szCs w:val="20"/>
                <w:bdr w:val="none" w:sz="0" w:space="0" w:color="auto" w:frame="1"/>
              </w:rPr>
            </w:pPr>
            <w:r w:rsidRPr="00011ACE">
              <w:rPr>
                <w:rFonts w:ascii="Bookman Old Style" w:hAnsi="Bookman Old Style" w:cs="Arial"/>
                <w:noProof/>
                <w:color w:val="000000"/>
                <w:sz w:val="20"/>
                <w:szCs w:val="20"/>
                <w:bdr w:val="none" w:sz="0" w:space="0" w:color="auto" w:frame="1"/>
              </w:rPr>
              <w:t>Representante a la Cámara por Bogotá</w:t>
            </w:r>
          </w:p>
          <w:p w14:paraId="51E4A232" w14:textId="77777777" w:rsidR="00011ACE" w:rsidRPr="00011ACE" w:rsidRDefault="00011ACE" w:rsidP="002D7D3A">
            <w:pPr>
              <w:jc w:val="center"/>
              <w:rPr>
                <w:rFonts w:ascii="Bookman Old Style" w:hAnsi="Bookman Old Style" w:cs="Arial"/>
                <w:noProof/>
                <w:color w:val="000000"/>
                <w:sz w:val="20"/>
                <w:szCs w:val="20"/>
                <w:bdr w:val="none" w:sz="0" w:space="0" w:color="auto" w:frame="1"/>
              </w:rPr>
            </w:pPr>
            <w:r w:rsidRPr="00011ACE">
              <w:rPr>
                <w:rFonts w:ascii="Bookman Old Style" w:hAnsi="Bookman Old Style" w:cs="Arial"/>
                <w:noProof/>
                <w:color w:val="000000"/>
                <w:sz w:val="20"/>
                <w:szCs w:val="20"/>
                <w:bdr w:val="none" w:sz="0" w:space="0" w:color="auto" w:frame="1"/>
              </w:rPr>
              <w:t>Coalición Decentes</w:t>
            </w:r>
          </w:p>
        </w:tc>
      </w:tr>
      <w:tr w:rsidR="00011ACE" w:rsidRPr="00011ACE" w14:paraId="1AACE7B5" w14:textId="77777777" w:rsidTr="002D7D3A">
        <w:trPr>
          <w:jc w:val="center"/>
        </w:trPr>
        <w:tc>
          <w:tcPr>
            <w:tcW w:w="4390" w:type="dxa"/>
          </w:tcPr>
          <w:p w14:paraId="6D395B0D" w14:textId="77777777" w:rsidR="00011ACE" w:rsidRPr="00011ACE" w:rsidRDefault="00011ACE" w:rsidP="002D7D3A">
            <w:pPr>
              <w:pStyle w:val="NormalWeb"/>
              <w:spacing w:before="0" w:beforeAutospacing="0" w:after="0" w:afterAutospacing="0"/>
              <w:jc w:val="center"/>
              <w:rPr>
                <w:rFonts w:ascii="Bookman Old Style" w:hAnsi="Bookman Old Style" w:cs="Arial"/>
                <w:b/>
                <w:bCs/>
                <w:color w:val="000000"/>
                <w:sz w:val="20"/>
                <w:szCs w:val="20"/>
              </w:rPr>
            </w:pPr>
          </w:p>
          <w:p w14:paraId="4C66E2C1" w14:textId="77777777" w:rsidR="00011ACE" w:rsidRPr="00011ACE" w:rsidRDefault="00011ACE" w:rsidP="002D7D3A">
            <w:pPr>
              <w:pStyle w:val="NormalWeb"/>
              <w:spacing w:before="0" w:beforeAutospacing="0" w:after="0" w:afterAutospacing="0"/>
              <w:jc w:val="center"/>
              <w:rPr>
                <w:rFonts w:ascii="Bookman Old Style" w:hAnsi="Bookman Old Style" w:cs="Arial"/>
                <w:b/>
                <w:bCs/>
                <w:color w:val="000000"/>
                <w:sz w:val="20"/>
                <w:szCs w:val="20"/>
              </w:rPr>
            </w:pPr>
            <w:r w:rsidRPr="00011ACE">
              <w:rPr>
                <w:rFonts w:ascii="Bookman Old Style" w:hAnsi="Bookman Old Style" w:cs="Arial"/>
                <w:b/>
                <w:bCs/>
                <w:color w:val="000000"/>
                <w:sz w:val="20"/>
                <w:szCs w:val="20"/>
              </w:rPr>
              <w:t>TERESA ENRÍQUEZ ROSERO</w:t>
            </w:r>
          </w:p>
          <w:p w14:paraId="2215E8A5" w14:textId="77777777" w:rsidR="00011ACE" w:rsidRPr="00011ACE" w:rsidRDefault="00011ACE" w:rsidP="002D7D3A">
            <w:pPr>
              <w:pStyle w:val="NormalWeb"/>
              <w:spacing w:before="0" w:beforeAutospacing="0" w:after="0" w:afterAutospacing="0"/>
              <w:jc w:val="center"/>
              <w:rPr>
                <w:rFonts w:ascii="Bookman Old Style" w:hAnsi="Bookman Old Style" w:cs="Arial"/>
                <w:color w:val="000000"/>
                <w:sz w:val="20"/>
                <w:szCs w:val="20"/>
              </w:rPr>
            </w:pPr>
            <w:r w:rsidRPr="00011ACE">
              <w:rPr>
                <w:rFonts w:ascii="Bookman Old Style" w:hAnsi="Bookman Old Style" w:cs="Arial"/>
                <w:color w:val="000000"/>
                <w:sz w:val="20"/>
                <w:szCs w:val="20"/>
              </w:rPr>
              <w:t>Representante a la Cámara por Nariño</w:t>
            </w:r>
          </w:p>
        </w:tc>
        <w:tc>
          <w:tcPr>
            <w:tcW w:w="4348" w:type="dxa"/>
          </w:tcPr>
          <w:p w14:paraId="3D8AD650" w14:textId="77777777" w:rsidR="00011ACE" w:rsidRPr="00011ACE" w:rsidRDefault="00011ACE" w:rsidP="002D7D3A">
            <w:pPr>
              <w:jc w:val="center"/>
              <w:rPr>
                <w:rFonts w:ascii="Bookman Old Style" w:hAnsi="Bookman Old Style" w:cs="Arial"/>
                <w:b/>
                <w:bCs/>
                <w:noProof/>
                <w:color w:val="000000"/>
                <w:sz w:val="20"/>
                <w:szCs w:val="20"/>
                <w:bdr w:val="none" w:sz="0" w:space="0" w:color="auto" w:frame="1"/>
              </w:rPr>
            </w:pPr>
          </w:p>
          <w:p w14:paraId="124C82C6" w14:textId="77777777" w:rsidR="00011ACE" w:rsidRPr="00011ACE" w:rsidRDefault="00011ACE" w:rsidP="002D7D3A">
            <w:pPr>
              <w:jc w:val="center"/>
              <w:rPr>
                <w:rFonts w:ascii="Bookman Old Style" w:hAnsi="Bookman Old Style" w:cs="Arial"/>
                <w:b/>
                <w:bCs/>
                <w:noProof/>
                <w:color w:val="000000"/>
                <w:sz w:val="20"/>
                <w:szCs w:val="20"/>
                <w:bdr w:val="none" w:sz="0" w:space="0" w:color="auto" w:frame="1"/>
              </w:rPr>
            </w:pPr>
            <w:r w:rsidRPr="00011ACE">
              <w:rPr>
                <w:rFonts w:ascii="Bookman Old Style" w:hAnsi="Bookman Old Style" w:cs="Arial"/>
                <w:b/>
                <w:bCs/>
                <w:noProof/>
                <w:color w:val="000000"/>
                <w:sz w:val="20"/>
                <w:szCs w:val="20"/>
                <w:bdr w:val="none" w:sz="0" w:space="0" w:color="auto" w:frame="1"/>
              </w:rPr>
              <w:t>ALVARO HENRY MONEDERO RIVERA</w:t>
            </w:r>
          </w:p>
          <w:p w14:paraId="1C4192E4" w14:textId="77777777" w:rsidR="00011ACE" w:rsidRPr="00011ACE" w:rsidRDefault="00011ACE" w:rsidP="002D7D3A">
            <w:pPr>
              <w:jc w:val="center"/>
              <w:rPr>
                <w:rFonts w:ascii="Bookman Old Style" w:hAnsi="Bookman Old Style" w:cs="Arial"/>
                <w:noProof/>
                <w:color w:val="000000"/>
                <w:sz w:val="20"/>
                <w:szCs w:val="20"/>
                <w:bdr w:val="none" w:sz="0" w:space="0" w:color="auto" w:frame="1"/>
              </w:rPr>
            </w:pPr>
            <w:r w:rsidRPr="00011ACE">
              <w:rPr>
                <w:rFonts w:ascii="Bookman Old Style" w:hAnsi="Bookman Old Style" w:cs="Arial"/>
                <w:noProof/>
                <w:color w:val="000000"/>
                <w:sz w:val="20"/>
                <w:szCs w:val="20"/>
                <w:bdr w:val="none" w:sz="0" w:space="0" w:color="auto" w:frame="1"/>
              </w:rPr>
              <w:t>Representante a la Cámara por el Valle del Cauca</w:t>
            </w:r>
          </w:p>
        </w:tc>
      </w:tr>
      <w:tr w:rsidR="00011ACE" w:rsidRPr="00011ACE" w14:paraId="46A166D4" w14:textId="77777777" w:rsidTr="002D7D3A">
        <w:trPr>
          <w:jc w:val="center"/>
        </w:trPr>
        <w:tc>
          <w:tcPr>
            <w:tcW w:w="4390" w:type="dxa"/>
          </w:tcPr>
          <w:p w14:paraId="7641CB0A" w14:textId="77777777" w:rsidR="00011ACE" w:rsidRPr="00011ACE" w:rsidRDefault="00011ACE" w:rsidP="002D7D3A">
            <w:pPr>
              <w:pStyle w:val="NormalWeb"/>
              <w:spacing w:before="0" w:beforeAutospacing="0" w:after="0" w:afterAutospacing="0"/>
              <w:jc w:val="center"/>
              <w:rPr>
                <w:rFonts w:ascii="Bookman Old Style" w:hAnsi="Bookman Old Style" w:cs="Arial"/>
                <w:b/>
                <w:bCs/>
                <w:color w:val="000000"/>
                <w:sz w:val="20"/>
                <w:szCs w:val="20"/>
              </w:rPr>
            </w:pPr>
          </w:p>
          <w:p w14:paraId="551738FD" w14:textId="77777777" w:rsidR="00011ACE" w:rsidRPr="00011ACE" w:rsidRDefault="00011ACE" w:rsidP="002D7D3A">
            <w:pPr>
              <w:pStyle w:val="NormalWeb"/>
              <w:spacing w:before="0" w:beforeAutospacing="0" w:after="0" w:afterAutospacing="0"/>
              <w:jc w:val="center"/>
              <w:rPr>
                <w:rFonts w:ascii="Bookman Old Style" w:hAnsi="Bookman Old Style" w:cs="Arial"/>
                <w:b/>
                <w:bCs/>
                <w:color w:val="000000"/>
                <w:sz w:val="20"/>
                <w:szCs w:val="20"/>
              </w:rPr>
            </w:pPr>
            <w:r w:rsidRPr="00011ACE">
              <w:rPr>
                <w:rFonts w:ascii="Bookman Old Style" w:hAnsi="Bookman Old Style" w:cs="Arial"/>
                <w:b/>
                <w:bCs/>
                <w:color w:val="000000"/>
                <w:sz w:val="20"/>
                <w:szCs w:val="20"/>
              </w:rPr>
              <w:t>LUCIANO GRISALES LONDOÑO</w:t>
            </w:r>
          </w:p>
          <w:p w14:paraId="76F23393" w14:textId="77777777" w:rsidR="00011ACE" w:rsidRPr="00011ACE" w:rsidRDefault="00011ACE" w:rsidP="002D7D3A">
            <w:pPr>
              <w:pStyle w:val="NormalWeb"/>
              <w:spacing w:before="0" w:beforeAutospacing="0" w:after="0" w:afterAutospacing="0"/>
              <w:jc w:val="center"/>
              <w:rPr>
                <w:rFonts w:ascii="Bookman Old Style" w:hAnsi="Bookman Old Style" w:cs="Arial"/>
                <w:color w:val="000000"/>
                <w:sz w:val="20"/>
                <w:szCs w:val="20"/>
              </w:rPr>
            </w:pPr>
            <w:r w:rsidRPr="00011ACE">
              <w:rPr>
                <w:rFonts w:ascii="Bookman Old Style" w:hAnsi="Bookman Old Style" w:cs="Arial"/>
                <w:color w:val="000000"/>
                <w:sz w:val="20"/>
                <w:szCs w:val="20"/>
              </w:rPr>
              <w:t>Representante a la Cámara por el Quindío</w:t>
            </w:r>
          </w:p>
          <w:p w14:paraId="44B17D4C" w14:textId="77777777" w:rsidR="00011ACE" w:rsidRPr="00011ACE" w:rsidRDefault="00011ACE" w:rsidP="002D7D3A">
            <w:pPr>
              <w:pStyle w:val="NormalWeb"/>
              <w:spacing w:before="0" w:beforeAutospacing="0" w:after="0" w:afterAutospacing="0"/>
              <w:jc w:val="center"/>
              <w:rPr>
                <w:rFonts w:ascii="Bookman Old Style" w:hAnsi="Bookman Old Style" w:cs="Arial"/>
                <w:color w:val="000000"/>
                <w:sz w:val="20"/>
                <w:szCs w:val="20"/>
              </w:rPr>
            </w:pPr>
            <w:r w:rsidRPr="00011ACE">
              <w:rPr>
                <w:rFonts w:ascii="Bookman Old Style" w:hAnsi="Bookman Old Style" w:cs="Arial"/>
                <w:color w:val="000000"/>
                <w:sz w:val="20"/>
                <w:szCs w:val="20"/>
              </w:rPr>
              <w:t>Partido Liberal Colombiano</w:t>
            </w:r>
          </w:p>
        </w:tc>
        <w:tc>
          <w:tcPr>
            <w:tcW w:w="4348" w:type="dxa"/>
          </w:tcPr>
          <w:p w14:paraId="68209FDA" w14:textId="77777777" w:rsidR="00011ACE" w:rsidRPr="00011ACE" w:rsidRDefault="00011ACE" w:rsidP="002D7D3A">
            <w:pPr>
              <w:jc w:val="center"/>
              <w:rPr>
                <w:rFonts w:ascii="Bookman Old Style" w:hAnsi="Bookman Old Style" w:cs="Arial"/>
                <w:b/>
                <w:bCs/>
                <w:noProof/>
                <w:color w:val="000000"/>
                <w:sz w:val="20"/>
                <w:szCs w:val="20"/>
                <w:bdr w:val="none" w:sz="0" w:space="0" w:color="auto" w:frame="1"/>
              </w:rPr>
            </w:pPr>
          </w:p>
        </w:tc>
      </w:tr>
    </w:tbl>
    <w:p w14:paraId="32ECAF87" w14:textId="77777777" w:rsidR="00011ACE" w:rsidRDefault="00011ACE" w:rsidP="00E44C45">
      <w:pPr>
        <w:ind w:hanging="1080"/>
        <w:rPr>
          <w:rFonts w:ascii="Bookman Old Style" w:eastAsia="Calibri" w:hAnsi="Bookman Old Style" w:cs="Calibri"/>
          <w:color w:val="000000"/>
          <w:szCs w:val="24"/>
        </w:rPr>
      </w:pPr>
    </w:p>
    <w:sectPr w:rsidR="00011ACE" w:rsidSect="006C0501">
      <w:type w:val="continuous"/>
      <w:pgSz w:w="12240" w:h="15840"/>
      <w:pgMar w:top="1940" w:right="1580" w:bottom="2080" w:left="1912" w:header="708" w:footer="189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A9191" w14:textId="77777777" w:rsidR="00DF4052" w:rsidRDefault="00DF4052">
      <w:r>
        <w:separator/>
      </w:r>
    </w:p>
  </w:endnote>
  <w:endnote w:type="continuationSeparator" w:id="0">
    <w:p w14:paraId="190D8DD6" w14:textId="77777777" w:rsidR="00DF4052" w:rsidRDefault="00DF4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2371729"/>
      <w:docPartObj>
        <w:docPartGallery w:val="Page Numbers (Bottom of Page)"/>
        <w:docPartUnique/>
      </w:docPartObj>
    </w:sdtPr>
    <w:sdtEndPr/>
    <w:sdtContent>
      <w:sdt>
        <w:sdtPr>
          <w:id w:val="1728636285"/>
          <w:docPartObj>
            <w:docPartGallery w:val="Page Numbers (Top of Page)"/>
            <w:docPartUnique/>
          </w:docPartObj>
        </w:sdtPr>
        <w:sdtEndPr/>
        <w:sdtContent>
          <w:p w14:paraId="63BE7199" w14:textId="78DA1B31" w:rsidR="00C04E96" w:rsidRDefault="00C04E96" w:rsidP="006C0501">
            <w:pPr>
              <w:pStyle w:val="Piedepgina"/>
              <w:ind w:left="-1701"/>
            </w:pPr>
            <w:r>
              <w:rPr>
                <w:noProof/>
                <w:sz w:val="20"/>
                <w:szCs w:val="20"/>
              </w:rPr>
              <w:drawing>
                <wp:anchor distT="0" distB="0" distL="114300" distR="114300" simplePos="0" relativeHeight="251659264" behindDoc="1" locked="0" layoutInCell="1" allowOverlap="1" wp14:anchorId="21E92EBB" wp14:editId="09B28AE9">
                  <wp:simplePos x="0" y="0"/>
                  <wp:positionH relativeFrom="column">
                    <wp:posOffset>19050</wp:posOffset>
                  </wp:positionH>
                  <wp:positionV relativeFrom="paragraph">
                    <wp:posOffset>-11430</wp:posOffset>
                  </wp:positionV>
                  <wp:extent cx="1102360" cy="564515"/>
                  <wp:effectExtent l="0" t="0" r="2540" b="0"/>
                  <wp:wrapTight wrapText="bothSides">
                    <wp:wrapPolygon edited="0">
                      <wp:start x="0" y="0"/>
                      <wp:lineTo x="0" y="20895"/>
                      <wp:lineTo x="21401" y="20895"/>
                      <wp:lineTo x="21401" y="0"/>
                      <wp:lineTo x="0" y="0"/>
                    </wp:wrapPolygon>
                  </wp:wrapTight>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102360" cy="564515"/>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2187D15B" wp14:editId="72775930">
                  <wp:simplePos x="0" y="0"/>
                  <wp:positionH relativeFrom="column">
                    <wp:posOffset>4047450</wp:posOffset>
                  </wp:positionH>
                  <wp:positionV relativeFrom="paragraph">
                    <wp:posOffset>-10819</wp:posOffset>
                  </wp:positionV>
                  <wp:extent cx="1435261" cy="520861"/>
                  <wp:effectExtent l="0" t="0" r="0" b="0"/>
                  <wp:wrapNone/>
                  <wp:docPr id="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449393" cy="525990"/>
                          </a:xfrm>
                          <a:prstGeom prst="rect">
                            <a:avLst/>
                          </a:prstGeom>
                          <a:ln/>
                        </pic:spPr>
                      </pic:pic>
                    </a:graphicData>
                  </a:graphic>
                  <wp14:sizeRelH relativeFrom="margin">
                    <wp14:pctWidth>0</wp14:pctWidth>
                  </wp14:sizeRelH>
                  <wp14:sizeRelV relativeFrom="margin">
                    <wp14:pctHeight>0</wp14:pctHeight>
                  </wp14:sizeRelV>
                </wp:anchor>
              </w:drawing>
            </w:r>
            <w:r>
              <w:t xml:space="preserve">                            </w:t>
            </w:r>
            <w:r>
              <w:rPr>
                <w:lang w:val="es-ES"/>
              </w:rPr>
              <w:t xml:space="preserve">Página </w:t>
            </w:r>
            <w:r>
              <w:rPr>
                <w:b/>
                <w:bCs/>
                <w:sz w:val="24"/>
                <w:szCs w:val="24"/>
              </w:rPr>
              <w:fldChar w:fldCharType="begin"/>
            </w:r>
            <w:r>
              <w:rPr>
                <w:b/>
                <w:bCs/>
              </w:rPr>
              <w:instrText>PAGE</w:instrText>
            </w:r>
            <w:r>
              <w:rPr>
                <w:b/>
                <w:bCs/>
                <w:sz w:val="24"/>
                <w:szCs w:val="24"/>
              </w:rPr>
              <w:fldChar w:fldCharType="separate"/>
            </w:r>
            <w:r w:rsidR="00435FBF">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35FBF">
              <w:rPr>
                <w:b/>
                <w:bCs/>
                <w:noProof/>
              </w:rPr>
              <w:t>28</w:t>
            </w:r>
            <w:r>
              <w:rPr>
                <w:b/>
                <w:bCs/>
                <w:sz w:val="24"/>
                <w:szCs w:val="24"/>
              </w:rPr>
              <w:fldChar w:fldCharType="end"/>
            </w:r>
          </w:p>
        </w:sdtContent>
      </w:sdt>
    </w:sdtContent>
  </w:sdt>
  <w:p w14:paraId="1C18F578" w14:textId="77777777" w:rsidR="00C04E96" w:rsidRDefault="00C04E9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A2C970" w14:textId="77777777" w:rsidR="00DF4052" w:rsidRDefault="00DF4052">
      <w:r>
        <w:separator/>
      </w:r>
    </w:p>
  </w:footnote>
  <w:footnote w:type="continuationSeparator" w:id="0">
    <w:p w14:paraId="407EA832" w14:textId="77777777" w:rsidR="00DF4052" w:rsidRDefault="00DF4052">
      <w:r>
        <w:continuationSeparator/>
      </w:r>
    </w:p>
  </w:footnote>
  <w:footnote w:id="1">
    <w:p w14:paraId="67A56B10" w14:textId="77777777" w:rsidR="00C04E96" w:rsidRPr="000A2331" w:rsidRDefault="00C04E96" w:rsidP="006127F0">
      <w:pPr>
        <w:pStyle w:val="Textonotapie"/>
        <w:jc w:val="both"/>
        <w:rPr>
          <w:rFonts w:ascii="Bookman Old Style" w:hAnsi="Bookman Old Style" w:cs="Times New Roman"/>
          <w:sz w:val="14"/>
          <w:szCs w:val="14"/>
        </w:rPr>
      </w:pPr>
      <w:r w:rsidRPr="000A2331">
        <w:rPr>
          <w:rStyle w:val="Refdenotaalpie"/>
          <w:rFonts w:ascii="Bookman Old Style" w:hAnsi="Bookman Old Style" w:cs="Times New Roman"/>
          <w:sz w:val="14"/>
          <w:szCs w:val="14"/>
        </w:rPr>
        <w:footnoteRef/>
      </w:r>
      <w:r w:rsidRPr="000A2331">
        <w:rPr>
          <w:rFonts w:ascii="Bookman Old Style" w:hAnsi="Bookman Old Style" w:cs="Times New Roman"/>
          <w:sz w:val="14"/>
          <w:szCs w:val="14"/>
        </w:rPr>
        <w:t xml:space="preserve"> </w:t>
      </w:r>
      <w:r w:rsidRPr="000A2331">
        <w:rPr>
          <w:rFonts w:ascii="Bookman Old Style" w:eastAsia="Calibri" w:hAnsi="Bookman Old Style" w:cs="Times New Roman"/>
          <w:sz w:val="14"/>
          <w:szCs w:val="14"/>
        </w:rPr>
        <w:t>“</w:t>
      </w:r>
      <w:r w:rsidRPr="000A2331">
        <w:rPr>
          <w:rFonts w:ascii="Bookman Old Style" w:eastAsia="Calibri" w:hAnsi="Bookman Old Style" w:cs="Times New Roman"/>
          <w:i/>
          <w:sz w:val="14"/>
          <w:szCs w:val="14"/>
        </w:rPr>
        <w:t>Por el cual se reforma el artículo 49 de la Constitución Política</w:t>
      </w:r>
      <w:r w:rsidRPr="000A2331">
        <w:rPr>
          <w:rFonts w:ascii="Bookman Old Style" w:eastAsia="Calibri" w:hAnsi="Bookman Old Style" w:cs="Times New Roman"/>
          <w:sz w:val="14"/>
          <w:szCs w:val="14"/>
        </w:rPr>
        <w:t>.”</w:t>
      </w:r>
    </w:p>
  </w:footnote>
  <w:footnote w:id="2">
    <w:p w14:paraId="500942EB" w14:textId="77777777" w:rsidR="00C04E96" w:rsidRPr="000A2331" w:rsidRDefault="00C04E96" w:rsidP="006127F0">
      <w:pPr>
        <w:pStyle w:val="Textonotapie"/>
        <w:jc w:val="both"/>
        <w:rPr>
          <w:rFonts w:ascii="Bookman Old Style" w:hAnsi="Bookman Old Style" w:cs="Times New Roman"/>
          <w:sz w:val="14"/>
          <w:szCs w:val="14"/>
        </w:rPr>
      </w:pPr>
      <w:r w:rsidRPr="000A2331">
        <w:rPr>
          <w:rStyle w:val="Refdenotaalpie"/>
          <w:rFonts w:ascii="Bookman Old Style" w:hAnsi="Bookman Old Style" w:cs="Times New Roman"/>
          <w:sz w:val="14"/>
          <w:szCs w:val="14"/>
        </w:rPr>
        <w:footnoteRef/>
      </w:r>
      <w:r w:rsidRPr="000A2331">
        <w:rPr>
          <w:rFonts w:ascii="Bookman Old Style" w:hAnsi="Bookman Old Style" w:cs="Times New Roman"/>
          <w:sz w:val="14"/>
          <w:szCs w:val="14"/>
        </w:rPr>
        <w:t xml:space="preserve"> </w:t>
      </w:r>
      <w:r w:rsidRPr="000A2331">
        <w:rPr>
          <w:rFonts w:ascii="Bookman Old Style" w:hAnsi="Bookman Old Style" w:cs="Times New Roman"/>
          <w:i/>
          <w:iCs/>
          <w:sz w:val="14"/>
          <w:szCs w:val="14"/>
        </w:rPr>
        <w:t>Roberto Serpa Flórez, Psiquiatría médica y jurídica, 2007.</w:t>
      </w:r>
    </w:p>
  </w:footnote>
  <w:footnote w:id="3">
    <w:p w14:paraId="0E58FFC0" w14:textId="77777777" w:rsidR="00C04E96" w:rsidRPr="000A2331" w:rsidRDefault="00C04E96" w:rsidP="006127F0">
      <w:pPr>
        <w:pStyle w:val="Textonotapie"/>
        <w:jc w:val="both"/>
        <w:rPr>
          <w:rFonts w:ascii="Bookman Old Style" w:hAnsi="Bookman Old Style" w:cs="Times New Roman"/>
          <w:i/>
          <w:iCs/>
          <w:sz w:val="14"/>
          <w:szCs w:val="14"/>
        </w:rPr>
      </w:pPr>
      <w:r w:rsidRPr="000A2331">
        <w:rPr>
          <w:rStyle w:val="Refdenotaalpie"/>
          <w:rFonts w:ascii="Bookman Old Style" w:hAnsi="Bookman Old Style" w:cs="Times New Roman"/>
          <w:i/>
          <w:iCs/>
          <w:sz w:val="14"/>
          <w:szCs w:val="14"/>
        </w:rPr>
        <w:footnoteRef/>
      </w:r>
      <w:r w:rsidRPr="000A2331">
        <w:rPr>
          <w:rFonts w:ascii="Bookman Old Style" w:hAnsi="Bookman Old Style" w:cs="Times New Roman"/>
          <w:i/>
          <w:iCs/>
          <w:sz w:val="14"/>
          <w:szCs w:val="14"/>
        </w:rPr>
        <w:t xml:space="preserve"> </w:t>
      </w:r>
      <w:r w:rsidRPr="000A2331">
        <w:rPr>
          <w:rFonts w:ascii="Bookman Old Style" w:eastAsia="Calibri" w:hAnsi="Bookman Old Style" w:cs="Times New Roman"/>
          <w:i/>
          <w:iCs/>
          <w:sz w:val="14"/>
          <w:szCs w:val="14"/>
        </w:rPr>
        <w:t>(la categoría más restrictiva de la convención sobre drogas de 1961 que reúne las sustancias que se consideran particularmente dañinas y con beneficios médicos limitados).</w:t>
      </w:r>
    </w:p>
  </w:footnote>
  <w:footnote w:id="4">
    <w:p w14:paraId="07581C14" w14:textId="77777777" w:rsidR="00C04E96" w:rsidRPr="000A2331" w:rsidRDefault="00C04E96" w:rsidP="006127F0">
      <w:pPr>
        <w:pStyle w:val="Textonotapie"/>
        <w:jc w:val="both"/>
        <w:rPr>
          <w:rFonts w:ascii="Bookman Old Style" w:hAnsi="Bookman Old Style" w:cs="Times New Roman"/>
          <w:b/>
          <w:bCs/>
          <w:sz w:val="14"/>
          <w:szCs w:val="14"/>
        </w:rPr>
      </w:pPr>
      <w:r w:rsidRPr="000A2331">
        <w:rPr>
          <w:rStyle w:val="Refdenotaalpie"/>
          <w:rFonts w:ascii="Bookman Old Style" w:hAnsi="Bookman Old Style" w:cs="Times New Roman"/>
          <w:sz w:val="14"/>
          <w:szCs w:val="14"/>
        </w:rPr>
        <w:footnoteRef/>
      </w:r>
      <w:r w:rsidRPr="000A2331">
        <w:rPr>
          <w:rFonts w:ascii="Bookman Old Style" w:hAnsi="Bookman Old Style" w:cs="Times New Roman"/>
          <w:sz w:val="14"/>
          <w:szCs w:val="14"/>
        </w:rPr>
        <w:t xml:space="preserve"> </w:t>
      </w:r>
      <w:r w:rsidRPr="000A2331">
        <w:rPr>
          <w:rFonts w:ascii="Bookman Old Style" w:hAnsi="Bookman Old Style" w:cs="Times New Roman"/>
          <w:i/>
          <w:iCs/>
          <w:sz w:val="14"/>
          <w:szCs w:val="14"/>
        </w:rPr>
        <w:t>International Drug Policy Consortium, 2019. La OMS cambia su posición con respecto a la marihuana, recuperado de: https://idpc.net/es/alerts/2019/02/la-OMS-cambia-su-posicion#.XTS1wX3xB0k.whatsapp.</w:t>
      </w:r>
    </w:p>
  </w:footnote>
  <w:footnote w:id="5">
    <w:p w14:paraId="016C0C91" w14:textId="607ED0D1" w:rsidR="000512D5" w:rsidRPr="000512D5" w:rsidRDefault="000512D5" w:rsidP="006127F0">
      <w:pPr>
        <w:pStyle w:val="Textonotapie"/>
        <w:jc w:val="both"/>
        <w:rPr>
          <w:rFonts w:ascii="Times New Roman" w:hAnsi="Times New Roman" w:cs="Times New Roman"/>
          <w:sz w:val="14"/>
          <w:szCs w:val="14"/>
          <w:lang w:val="es-ES"/>
        </w:rPr>
      </w:pPr>
      <w:r w:rsidRPr="000A2331">
        <w:rPr>
          <w:rStyle w:val="Refdenotaalpie"/>
          <w:rFonts w:ascii="Bookman Old Style" w:hAnsi="Bookman Old Style" w:cs="Times New Roman"/>
          <w:sz w:val="14"/>
          <w:szCs w:val="14"/>
        </w:rPr>
        <w:footnoteRef/>
      </w:r>
      <w:r w:rsidRPr="000A2331">
        <w:rPr>
          <w:rFonts w:ascii="Bookman Old Style" w:hAnsi="Bookman Old Style" w:cs="Times New Roman"/>
          <w:sz w:val="14"/>
          <w:szCs w:val="14"/>
        </w:rPr>
        <w:t>https://www.eltiempo.com/justicia/servicios/onu-saca-cannabis-de-lista-de-drogas-mas-peligrosas-y-reconoce-propiedades-medicinales-552551#:~:text=La%20ONU%20aprob%C3%B3%20este%20mi%C3%A9rcoles,con%20fines%20recreativos%20sigue%20prohibido.</w:t>
      </w:r>
    </w:p>
  </w:footnote>
  <w:footnote w:id="6">
    <w:p w14:paraId="5A39EF00" w14:textId="77777777" w:rsidR="00C04E96" w:rsidRPr="000A2331" w:rsidRDefault="00C04E96" w:rsidP="00F36280">
      <w:pPr>
        <w:jc w:val="both"/>
        <w:rPr>
          <w:rFonts w:ascii="Bookman Old Style" w:hAnsi="Bookman Old Style"/>
          <w:i/>
          <w:sz w:val="14"/>
          <w:szCs w:val="14"/>
        </w:rPr>
      </w:pPr>
      <w:r w:rsidRPr="000A2331">
        <w:rPr>
          <w:rStyle w:val="Refdenotaalpie"/>
          <w:rFonts w:ascii="Bookman Old Style" w:hAnsi="Bookman Old Style"/>
          <w:i/>
          <w:sz w:val="14"/>
          <w:szCs w:val="14"/>
        </w:rPr>
        <w:footnoteRef/>
      </w:r>
      <w:r w:rsidRPr="000A2331">
        <w:rPr>
          <w:rFonts w:ascii="Bookman Old Style" w:hAnsi="Bookman Old Style"/>
          <w:i/>
          <w:sz w:val="14"/>
          <w:szCs w:val="14"/>
        </w:rPr>
        <w:t xml:space="preserve"> Corte Constitucional, Comunicado de Prensa del 6 de junio de 2019.</w:t>
      </w:r>
    </w:p>
  </w:footnote>
  <w:footnote w:id="7">
    <w:p w14:paraId="6B1F414D" w14:textId="77777777" w:rsidR="00780580" w:rsidRPr="000A2331" w:rsidRDefault="00780580" w:rsidP="006127F0">
      <w:pPr>
        <w:pStyle w:val="Textonotapie"/>
        <w:jc w:val="both"/>
        <w:rPr>
          <w:rFonts w:ascii="Bookman Old Style" w:hAnsi="Bookman Old Style" w:cs="Times New Roman"/>
          <w:sz w:val="14"/>
          <w:szCs w:val="14"/>
        </w:rPr>
      </w:pPr>
      <w:r w:rsidRPr="000A2331">
        <w:rPr>
          <w:rStyle w:val="Refdenotaalpie"/>
          <w:rFonts w:ascii="Bookman Old Style" w:hAnsi="Bookman Old Style" w:cs="Times New Roman"/>
          <w:i/>
          <w:sz w:val="14"/>
          <w:szCs w:val="14"/>
        </w:rPr>
        <w:footnoteRef/>
      </w:r>
      <w:r w:rsidRPr="000A2331">
        <w:rPr>
          <w:rFonts w:ascii="Bookman Old Style" w:hAnsi="Bookman Old Style" w:cs="Times New Roman"/>
          <w:i/>
          <w:sz w:val="14"/>
          <w:szCs w:val="14"/>
        </w:rPr>
        <w:t xml:space="preserve"> Esta comparación se basa en la regulación y normatividad de acuerdo a investigaciones publicadas por la Fundación Renovatio y por la Organización de los Estados Americanos (OEA), en específico por la Comisión Interamericana para el Control del Abuso de las Drogas (CICAD) que se encarga del análisis de los procesos regulatorios frente al cannabis y al problema de drogas en las Américas.</w:t>
      </w:r>
    </w:p>
  </w:footnote>
  <w:footnote w:id="8">
    <w:p w14:paraId="2919132C" w14:textId="77777777" w:rsidR="00780580" w:rsidRPr="000A2331" w:rsidRDefault="00780580" w:rsidP="006127F0">
      <w:pPr>
        <w:pStyle w:val="Textonotapie"/>
        <w:jc w:val="both"/>
        <w:rPr>
          <w:rFonts w:ascii="Bookman Old Style" w:hAnsi="Bookman Old Style" w:cs="Times New Roman"/>
          <w:i/>
          <w:iCs/>
          <w:sz w:val="14"/>
          <w:szCs w:val="14"/>
        </w:rPr>
      </w:pPr>
      <w:r w:rsidRPr="000A2331">
        <w:rPr>
          <w:rStyle w:val="Refdenotaalpie"/>
          <w:rFonts w:ascii="Bookman Old Style" w:hAnsi="Bookman Old Style" w:cs="Times New Roman"/>
          <w:i/>
          <w:iCs/>
          <w:sz w:val="14"/>
          <w:szCs w:val="14"/>
        </w:rPr>
        <w:footnoteRef/>
      </w:r>
      <w:r w:rsidRPr="000A2331">
        <w:rPr>
          <w:rFonts w:ascii="Bookman Old Style" w:hAnsi="Bookman Old Style" w:cs="Times New Roman"/>
          <w:i/>
          <w:iCs/>
          <w:sz w:val="14"/>
          <w:szCs w:val="14"/>
        </w:rPr>
        <w:t xml:space="preserve"> https://cnnespanol.cnn.com/2020/11/06/la-marihuana-recreativa-legal-tuvo-una-gran-victoria-durante-las-elecciones/</w:t>
      </w:r>
    </w:p>
  </w:footnote>
  <w:footnote w:id="9">
    <w:p w14:paraId="42013D8D" w14:textId="77777777" w:rsidR="00780580" w:rsidRPr="000A2331" w:rsidRDefault="00780580" w:rsidP="006127F0">
      <w:pPr>
        <w:pStyle w:val="Textonotapie"/>
        <w:jc w:val="both"/>
        <w:rPr>
          <w:rFonts w:ascii="Bookman Old Style" w:hAnsi="Bookman Old Style" w:cs="Times New Roman"/>
          <w:i/>
          <w:iCs/>
          <w:sz w:val="14"/>
          <w:szCs w:val="14"/>
        </w:rPr>
      </w:pPr>
      <w:r w:rsidRPr="000A2331">
        <w:rPr>
          <w:rStyle w:val="Refdenotaalpie"/>
          <w:rFonts w:ascii="Bookman Old Style" w:hAnsi="Bookman Old Style" w:cs="Times New Roman"/>
          <w:i/>
          <w:iCs/>
          <w:sz w:val="14"/>
          <w:szCs w:val="14"/>
        </w:rPr>
        <w:footnoteRef/>
      </w:r>
      <w:r w:rsidRPr="000A2331">
        <w:rPr>
          <w:rFonts w:ascii="Bookman Old Style" w:hAnsi="Bookman Old Style" w:cs="Times New Roman"/>
          <w:i/>
          <w:iCs/>
          <w:sz w:val="14"/>
          <w:szCs w:val="14"/>
          <w:lang w:val="en-US"/>
        </w:rPr>
        <w:t xml:space="preserve"> Hemp CBD Market. Brightfield Group. </w:t>
      </w:r>
      <w:r w:rsidRPr="000A2331">
        <w:rPr>
          <w:rFonts w:ascii="Bookman Old Style" w:hAnsi="Bookman Old Style" w:cs="Times New Roman"/>
          <w:i/>
          <w:iCs/>
          <w:sz w:val="14"/>
          <w:szCs w:val="14"/>
        </w:rPr>
        <w:t>2021. Recuperado de: https://cnnespanol.cnn.com/2020/11/06/la-marihuana-recreativa-legal-tuvo-una-gran-victoria-durante-las-elecciones/</w:t>
      </w:r>
    </w:p>
  </w:footnote>
  <w:footnote w:id="10">
    <w:p w14:paraId="44A31766" w14:textId="77777777" w:rsidR="00780580" w:rsidRPr="000A2331" w:rsidRDefault="00780580" w:rsidP="006127F0">
      <w:pPr>
        <w:pStyle w:val="Textonotapie"/>
        <w:jc w:val="both"/>
        <w:rPr>
          <w:rFonts w:ascii="Bookman Old Style" w:hAnsi="Bookman Old Style"/>
        </w:rPr>
      </w:pPr>
      <w:r w:rsidRPr="000A2331">
        <w:rPr>
          <w:rStyle w:val="Refdenotaalpie"/>
          <w:rFonts w:ascii="Bookman Old Style" w:hAnsi="Bookman Old Style"/>
          <w:i/>
          <w:iCs/>
          <w:sz w:val="14"/>
          <w:szCs w:val="14"/>
        </w:rPr>
        <w:footnoteRef/>
      </w:r>
      <w:r w:rsidRPr="000A2331">
        <w:rPr>
          <w:rFonts w:ascii="Bookman Old Style" w:hAnsi="Bookman Old Style"/>
          <w:i/>
          <w:iCs/>
          <w:sz w:val="14"/>
          <w:szCs w:val="14"/>
        </w:rPr>
        <w:t xml:space="preserve"> </w:t>
      </w:r>
      <w:r w:rsidRPr="000A2331">
        <w:rPr>
          <w:rFonts w:ascii="Bookman Old Style" w:hAnsi="Bookman Old Style" w:cs="Times New Roman"/>
          <w:i/>
          <w:iCs/>
          <w:sz w:val="14"/>
          <w:szCs w:val="14"/>
        </w:rPr>
        <w:t>https://cnnespanol.cnn.com/2021/06/29/marihuana-legal-paises-america-latina-cannabis-legal-orix/</w:t>
      </w:r>
    </w:p>
  </w:footnote>
  <w:footnote w:id="11">
    <w:p w14:paraId="3FC58157" w14:textId="77777777" w:rsidR="00780580" w:rsidRPr="000A2331" w:rsidRDefault="00780580" w:rsidP="00780580">
      <w:pPr>
        <w:pStyle w:val="Textonotapie"/>
        <w:jc w:val="both"/>
        <w:rPr>
          <w:rFonts w:ascii="Bookman Old Style" w:hAnsi="Bookman Old Style"/>
          <w:sz w:val="14"/>
          <w:szCs w:val="14"/>
        </w:rPr>
      </w:pPr>
      <w:r w:rsidRPr="000A2331">
        <w:rPr>
          <w:rStyle w:val="Refdenotaalpie"/>
          <w:rFonts w:ascii="Bookman Old Style" w:hAnsi="Bookman Old Style"/>
          <w:i/>
          <w:iCs/>
          <w:sz w:val="14"/>
          <w:szCs w:val="14"/>
        </w:rPr>
        <w:footnoteRef/>
      </w:r>
      <w:r w:rsidRPr="000A2331">
        <w:rPr>
          <w:rFonts w:ascii="Bookman Old Style" w:hAnsi="Bookman Old Style"/>
          <w:i/>
          <w:iCs/>
          <w:sz w:val="14"/>
          <w:szCs w:val="14"/>
        </w:rPr>
        <w:t xml:space="preserve"> Cannabis medicinal, una oportunidad económica para Colombia. Portafolio. Obtenido de: https://www.portafolio.co/negocios/cannabis-medicinal-una-oportunidad-economica-para-colombia-537448</w:t>
      </w:r>
    </w:p>
  </w:footnote>
  <w:footnote w:id="12">
    <w:p w14:paraId="16FFC5EB" w14:textId="77777777" w:rsidR="00780580" w:rsidRPr="000A2331" w:rsidRDefault="00780580" w:rsidP="00780580">
      <w:pPr>
        <w:pStyle w:val="Textonotapie"/>
        <w:jc w:val="both"/>
        <w:rPr>
          <w:rFonts w:ascii="Bookman Old Style" w:hAnsi="Bookman Old Style"/>
          <w:sz w:val="14"/>
          <w:szCs w:val="14"/>
        </w:rPr>
      </w:pPr>
      <w:r w:rsidRPr="000A2331">
        <w:rPr>
          <w:rStyle w:val="Refdenotaalpie"/>
          <w:rFonts w:ascii="Bookman Old Style" w:hAnsi="Bookman Old Style"/>
          <w:sz w:val="14"/>
          <w:szCs w:val="14"/>
        </w:rPr>
        <w:footnoteRef/>
      </w:r>
      <w:r w:rsidRPr="000A2331">
        <w:rPr>
          <w:rFonts w:ascii="Bookman Old Style" w:hAnsi="Bookman Old Style"/>
          <w:sz w:val="14"/>
          <w:szCs w:val="14"/>
        </w:rPr>
        <w:t xml:space="preserve"> </w:t>
      </w:r>
      <w:r w:rsidRPr="000A2331">
        <w:rPr>
          <w:rFonts w:ascii="Bookman Old Style" w:hAnsi="Bookman Old Style" w:cs="Calibri"/>
          <w:sz w:val="14"/>
          <w:szCs w:val="14"/>
        </w:rPr>
        <w:t>Informe 2017. Viena: Oficina de las Naciones Unidas.</w:t>
      </w:r>
    </w:p>
  </w:footnote>
  <w:footnote w:id="13">
    <w:p w14:paraId="6D587DA5" w14:textId="77777777" w:rsidR="00780580" w:rsidRPr="000A2331" w:rsidRDefault="00780580" w:rsidP="00780580">
      <w:pPr>
        <w:pStyle w:val="Textonotapie"/>
        <w:jc w:val="both"/>
        <w:rPr>
          <w:rFonts w:ascii="Bookman Old Style" w:hAnsi="Bookman Old Style"/>
          <w:sz w:val="14"/>
          <w:szCs w:val="14"/>
        </w:rPr>
      </w:pPr>
      <w:r w:rsidRPr="000A2331">
        <w:rPr>
          <w:rStyle w:val="Refdenotaalpie"/>
          <w:rFonts w:ascii="Bookman Old Style" w:hAnsi="Bookman Old Style"/>
          <w:sz w:val="14"/>
          <w:szCs w:val="14"/>
        </w:rPr>
        <w:footnoteRef/>
      </w:r>
      <w:r w:rsidRPr="000A2331">
        <w:rPr>
          <w:rFonts w:ascii="Bookman Old Style" w:hAnsi="Bookman Old Style"/>
          <w:i/>
          <w:sz w:val="14"/>
          <w:szCs w:val="14"/>
        </w:rPr>
        <w:t xml:space="preserve"> https://www.drugpolicy.org/issues/marijuana-legalization-and-regulation</w:t>
      </w:r>
    </w:p>
  </w:footnote>
  <w:footnote w:id="14">
    <w:p w14:paraId="76D90266" w14:textId="77777777" w:rsidR="00780580" w:rsidRPr="000A2331" w:rsidRDefault="00780580" w:rsidP="00780580">
      <w:pPr>
        <w:pStyle w:val="Textonotapie"/>
        <w:jc w:val="both"/>
        <w:rPr>
          <w:rFonts w:ascii="Bookman Old Style" w:hAnsi="Bookman Old Style" w:cs="Times New Roman"/>
          <w:i/>
          <w:sz w:val="14"/>
          <w:szCs w:val="14"/>
          <w:lang w:val="en-US"/>
        </w:rPr>
      </w:pPr>
      <w:r w:rsidRPr="000A2331">
        <w:rPr>
          <w:rStyle w:val="Refdenotaalpie"/>
          <w:rFonts w:ascii="Bookman Old Style" w:hAnsi="Bookman Old Style" w:cs="Times New Roman"/>
          <w:i/>
          <w:sz w:val="14"/>
          <w:szCs w:val="14"/>
        </w:rPr>
        <w:footnoteRef/>
      </w:r>
      <w:r w:rsidRPr="000A2331">
        <w:rPr>
          <w:rFonts w:ascii="Bookman Old Style" w:hAnsi="Bookman Old Style" w:cs="Times New Roman"/>
          <w:i/>
          <w:sz w:val="14"/>
          <w:szCs w:val="14"/>
          <w:lang w:val="en-US"/>
        </w:rPr>
        <w:t xml:space="preserve"> Drug Policy Alliance. 2018. From Prohibition to Progress: A Status Report on Marijuana Legalization. What We Know About Marijuana Legalization in Eight States and Washington, D.C. (pp.2) Recuperado de: http://fileserver.idpc.net/library/dpa_marijuana_legalization_report_v8_0.pdf</w:t>
      </w:r>
    </w:p>
  </w:footnote>
  <w:footnote w:id="15">
    <w:p w14:paraId="7E3DECC6" w14:textId="77777777" w:rsidR="00780580" w:rsidRPr="00005C61" w:rsidRDefault="00780580" w:rsidP="00780580">
      <w:pPr>
        <w:pStyle w:val="Textonotapie"/>
        <w:jc w:val="both"/>
        <w:rPr>
          <w:rFonts w:ascii="Bookman Old Style" w:hAnsi="Bookman Old Style"/>
          <w:i/>
          <w:sz w:val="14"/>
          <w:szCs w:val="14"/>
        </w:rPr>
      </w:pPr>
      <w:r w:rsidRPr="000A2331">
        <w:rPr>
          <w:rStyle w:val="Refdenotaalpie"/>
          <w:rFonts w:ascii="Bookman Old Style" w:hAnsi="Bookman Old Style"/>
          <w:i/>
          <w:sz w:val="14"/>
          <w:szCs w:val="14"/>
        </w:rPr>
        <w:footnoteRef/>
      </w:r>
      <w:r w:rsidRPr="000A2331">
        <w:rPr>
          <w:rFonts w:ascii="Bookman Old Style" w:hAnsi="Bookman Old Style"/>
          <w:i/>
          <w:sz w:val="14"/>
          <w:szCs w:val="14"/>
        </w:rPr>
        <w:t xml:space="preserve"> https://theeconreview.com/2020/12/18/high-economy-impacts-of-marijuana-legalization-on-the-us-economy/</w:t>
      </w:r>
    </w:p>
  </w:footnote>
  <w:footnote w:id="16">
    <w:p w14:paraId="28B17386" w14:textId="77777777" w:rsidR="00780580" w:rsidRPr="000A2331" w:rsidRDefault="00780580" w:rsidP="00780580">
      <w:pPr>
        <w:pStyle w:val="Textonotapie"/>
        <w:jc w:val="both"/>
        <w:rPr>
          <w:rFonts w:ascii="Bookman Old Style" w:hAnsi="Bookman Old Style" w:cs="Times New Roman"/>
          <w:sz w:val="14"/>
          <w:szCs w:val="14"/>
        </w:rPr>
      </w:pPr>
      <w:r w:rsidRPr="000A2331">
        <w:rPr>
          <w:rStyle w:val="Refdenotaalpie"/>
          <w:rFonts w:ascii="Bookman Old Style" w:hAnsi="Bookman Old Style" w:cs="Times New Roman"/>
          <w:i/>
          <w:sz w:val="14"/>
          <w:szCs w:val="14"/>
        </w:rPr>
        <w:footnoteRef/>
      </w:r>
      <w:r w:rsidRPr="000A2331">
        <w:rPr>
          <w:rFonts w:ascii="Bookman Old Style" w:hAnsi="Bookman Old Style" w:cs="Times New Roman"/>
          <w:i/>
          <w:sz w:val="14"/>
          <w:szCs w:val="14"/>
        </w:rPr>
        <w:t xml:space="preserve"> Ibidem.</w:t>
      </w:r>
    </w:p>
  </w:footnote>
  <w:footnote w:id="17">
    <w:p w14:paraId="3AA99E71" w14:textId="77777777" w:rsidR="00780580" w:rsidRPr="000A2331" w:rsidRDefault="00780580" w:rsidP="00780580">
      <w:pPr>
        <w:pStyle w:val="Textonotapie"/>
        <w:jc w:val="both"/>
        <w:rPr>
          <w:rFonts w:ascii="Bookman Old Style" w:hAnsi="Bookman Old Style" w:cs="Times New Roman"/>
          <w:i/>
          <w:sz w:val="14"/>
          <w:szCs w:val="14"/>
        </w:rPr>
      </w:pPr>
      <w:r w:rsidRPr="000A2331">
        <w:rPr>
          <w:rStyle w:val="Refdenotaalpie"/>
          <w:rFonts w:ascii="Bookman Old Style" w:hAnsi="Bookman Old Style" w:cs="Times New Roman"/>
          <w:i/>
          <w:sz w:val="14"/>
          <w:szCs w:val="14"/>
        </w:rPr>
        <w:footnoteRef/>
      </w:r>
      <w:r w:rsidRPr="000A2331">
        <w:rPr>
          <w:rFonts w:ascii="Bookman Old Style" w:hAnsi="Bookman Old Style" w:cs="Times New Roman"/>
          <w:i/>
          <w:sz w:val="14"/>
          <w:szCs w:val="14"/>
          <w:lang w:val="en-US"/>
        </w:rPr>
        <w:t xml:space="preserve"> Drug Policy Alliance. 2018. From Prohibition to Progress: A Status Report on Marijuana Legalization. What We Know About Marijuana Legalization in Eight States and Washington, D.C.  </w:t>
      </w:r>
      <w:r w:rsidRPr="000A2331">
        <w:rPr>
          <w:rFonts w:ascii="Bookman Old Style" w:hAnsi="Bookman Old Style" w:cs="Times New Roman"/>
          <w:i/>
          <w:sz w:val="14"/>
          <w:szCs w:val="14"/>
        </w:rPr>
        <w:t>(Pp.1) Recuperado de: http://fileserver.idpc.net/library/dpa_marijuana_legalization_report_v8_0.pdf</w:t>
      </w:r>
    </w:p>
  </w:footnote>
  <w:footnote w:id="18">
    <w:p w14:paraId="183028D3" w14:textId="77777777" w:rsidR="00780580" w:rsidRPr="00207603" w:rsidRDefault="00780580" w:rsidP="00780580">
      <w:pPr>
        <w:pStyle w:val="Textonotapie"/>
        <w:jc w:val="both"/>
        <w:rPr>
          <w:rFonts w:ascii="Times New Roman" w:hAnsi="Times New Roman" w:cs="Times New Roman"/>
          <w:i/>
          <w:sz w:val="14"/>
          <w:szCs w:val="14"/>
          <w:lang w:val="en-US"/>
        </w:rPr>
      </w:pPr>
      <w:r w:rsidRPr="000A2331">
        <w:rPr>
          <w:rStyle w:val="Refdenotaalpie"/>
          <w:rFonts w:ascii="Bookman Old Style" w:hAnsi="Bookman Old Style" w:cs="Times New Roman"/>
          <w:i/>
          <w:sz w:val="14"/>
          <w:szCs w:val="14"/>
        </w:rPr>
        <w:footnoteRef/>
      </w:r>
      <w:r w:rsidRPr="000A2331">
        <w:rPr>
          <w:rFonts w:ascii="Bookman Old Style" w:hAnsi="Bookman Old Style" w:cs="Times New Roman"/>
          <w:i/>
          <w:sz w:val="14"/>
          <w:szCs w:val="14"/>
          <w:lang w:val="en-US"/>
        </w:rPr>
        <w:t xml:space="preserve"> Ibidem</w:t>
      </w:r>
    </w:p>
  </w:footnote>
  <w:footnote w:id="19">
    <w:p w14:paraId="0A9ADCFB" w14:textId="77777777" w:rsidR="00780580" w:rsidRPr="000A2331" w:rsidRDefault="00780580" w:rsidP="00780580">
      <w:pPr>
        <w:pStyle w:val="Textonotapie"/>
        <w:jc w:val="both"/>
        <w:rPr>
          <w:rFonts w:ascii="Bookman Old Style" w:hAnsi="Bookman Old Style" w:cs="Times New Roman"/>
          <w:sz w:val="14"/>
          <w:szCs w:val="14"/>
        </w:rPr>
      </w:pPr>
      <w:r w:rsidRPr="000A2331">
        <w:rPr>
          <w:rStyle w:val="Refdenotaalpie"/>
          <w:rFonts w:ascii="Bookman Old Style" w:hAnsi="Bookman Old Style" w:cs="Times New Roman"/>
          <w:i/>
          <w:sz w:val="14"/>
          <w:szCs w:val="14"/>
        </w:rPr>
        <w:footnoteRef/>
      </w:r>
      <w:r w:rsidRPr="000A2331">
        <w:rPr>
          <w:rFonts w:ascii="Bookman Old Style" w:hAnsi="Bookman Old Style" w:cs="Times New Roman"/>
          <w:i/>
          <w:sz w:val="14"/>
          <w:szCs w:val="14"/>
          <w:lang w:val="en-US"/>
        </w:rPr>
        <w:t xml:space="preserve"> Drug Policy Alliance. 2018. From Prohibition to Progress: A Status Report on Marijuana Legalization. What We Know About Marijuana Legalization in Eight States and Washington, D.C.  </w:t>
      </w:r>
      <w:r w:rsidRPr="000A2331">
        <w:rPr>
          <w:rFonts w:ascii="Bookman Old Style" w:hAnsi="Bookman Old Style" w:cs="Times New Roman"/>
          <w:i/>
          <w:sz w:val="14"/>
          <w:szCs w:val="14"/>
        </w:rPr>
        <w:t>(Pp.2) Recuperado de: http://fileserver.idpc.net/library/dpa_marijuana_legalization_report_v8_0.pdf</w:t>
      </w:r>
    </w:p>
  </w:footnote>
  <w:footnote w:id="20">
    <w:p w14:paraId="721C30BE" w14:textId="77777777" w:rsidR="00780580" w:rsidRPr="000A2331" w:rsidRDefault="00780580" w:rsidP="006127F0">
      <w:pPr>
        <w:pStyle w:val="Textonotapie"/>
        <w:jc w:val="both"/>
        <w:rPr>
          <w:rFonts w:ascii="Bookman Old Style" w:hAnsi="Bookman Old Style" w:cs="Times New Roman"/>
          <w:i/>
          <w:sz w:val="14"/>
          <w:szCs w:val="14"/>
          <w:lang w:val="en-US"/>
        </w:rPr>
      </w:pPr>
      <w:r w:rsidRPr="000A2331">
        <w:rPr>
          <w:rStyle w:val="Refdenotaalpie"/>
          <w:rFonts w:ascii="Bookman Old Style" w:hAnsi="Bookman Old Style" w:cs="Times New Roman"/>
          <w:i/>
          <w:sz w:val="14"/>
          <w:szCs w:val="14"/>
        </w:rPr>
        <w:footnoteRef/>
      </w:r>
      <w:r w:rsidRPr="000A2331">
        <w:rPr>
          <w:rFonts w:ascii="Bookman Old Style" w:hAnsi="Bookman Old Style" w:cs="Times New Roman"/>
          <w:i/>
          <w:sz w:val="14"/>
          <w:szCs w:val="14"/>
          <w:lang w:val="en-US"/>
        </w:rPr>
        <w:t xml:space="preserve"> Ibidem.</w:t>
      </w:r>
    </w:p>
  </w:footnote>
  <w:footnote w:id="21">
    <w:p w14:paraId="3E86E5A1" w14:textId="77777777" w:rsidR="00780580" w:rsidRPr="000A2331" w:rsidRDefault="00780580" w:rsidP="006127F0">
      <w:pPr>
        <w:pStyle w:val="Textonotapie"/>
        <w:jc w:val="both"/>
        <w:rPr>
          <w:rFonts w:ascii="Bookman Old Style" w:hAnsi="Bookman Old Style" w:cs="Times New Roman"/>
          <w:i/>
          <w:sz w:val="14"/>
          <w:szCs w:val="14"/>
        </w:rPr>
      </w:pPr>
      <w:r w:rsidRPr="000A2331">
        <w:rPr>
          <w:rStyle w:val="Refdenotaalpie"/>
          <w:rFonts w:ascii="Bookman Old Style" w:hAnsi="Bookman Old Style" w:cs="Times New Roman"/>
          <w:i/>
          <w:sz w:val="14"/>
          <w:szCs w:val="14"/>
        </w:rPr>
        <w:footnoteRef/>
      </w:r>
      <w:r w:rsidRPr="000A2331">
        <w:rPr>
          <w:rFonts w:ascii="Bookman Old Style" w:hAnsi="Bookman Old Style" w:cs="Times New Roman"/>
          <w:i/>
          <w:sz w:val="14"/>
          <w:szCs w:val="14"/>
          <w:lang w:val="en-US"/>
        </w:rPr>
        <w:t xml:space="preserve"> Drug Policy Alliance. 2018. From Prohibition to Progress: A Status Report on Marijuana Legalization. What We Know About Marijuana Legalization in Eight States and Washington, D.C.  </w:t>
      </w:r>
      <w:r w:rsidRPr="000A2331">
        <w:rPr>
          <w:rFonts w:ascii="Bookman Old Style" w:hAnsi="Bookman Old Style" w:cs="Times New Roman"/>
          <w:i/>
          <w:sz w:val="14"/>
          <w:szCs w:val="14"/>
        </w:rPr>
        <w:t xml:space="preserve">(Pp.2) Recuperado de: http://fileserver.idpc.net/library/dpa_marijuana_legalization_report_v8_0.pdf    </w:t>
      </w:r>
    </w:p>
  </w:footnote>
  <w:footnote w:id="22">
    <w:p w14:paraId="58242E06" w14:textId="77777777" w:rsidR="00780580" w:rsidRPr="000A2331" w:rsidRDefault="00780580" w:rsidP="006127F0">
      <w:pPr>
        <w:pStyle w:val="Textonotapie"/>
        <w:jc w:val="both"/>
        <w:rPr>
          <w:rFonts w:ascii="Bookman Old Style" w:hAnsi="Bookman Old Style"/>
          <w:i/>
          <w:sz w:val="14"/>
          <w:szCs w:val="14"/>
        </w:rPr>
      </w:pPr>
      <w:r w:rsidRPr="000A2331">
        <w:rPr>
          <w:rStyle w:val="Refdenotaalpie"/>
          <w:rFonts w:ascii="Bookman Old Style" w:hAnsi="Bookman Old Style"/>
          <w:i/>
          <w:sz w:val="14"/>
          <w:szCs w:val="14"/>
        </w:rPr>
        <w:footnoteRef/>
      </w:r>
      <w:r w:rsidRPr="000A2331">
        <w:rPr>
          <w:rFonts w:ascii="Bookman Old Style" w:hAnsi="Bookman Old Style"/>
          <w:i/>
          <w:sz w:val="14"/>
          <w:szCs w:val="14"/>
        </w:rPr>
        <w:t xml:space="preserve"> https://theeconreview.com/2020/12/18/high-economy-impacts-of-marijuana-legalization-on-the-us-economy/</w:t>
      </w:r>
    </w:p>
  </w:footnote>
  <w:footnote w:id="23">
    <w:p w14:paraId="7F068287" w14:textId="77777777" w:rsidR="00780580" w:rsidRPr="000A2331" w:rsidRDefault="00780580" w:rsidP="006127F0">
      <w:pPr>
        <w:pStyle w:val="Textonotapie"/>
        <w:jc w:val="both"/>
        <w:rPr>
          <w:rFonts w:ascii="Bookman Old Style" w:hAnsi="Bookman Old Style"/>
          <w:i/>
          <w:sz w:val="14"/>
          <w:szCs w:val="14"/>
        </w:rPr>
      </w:pPr>
      <w:r w:rsidRPr="000A2331">
        <w:rPr>
          <w:rStyle w:val="Refdenotaalpie"/>
          <w:rFonts w:ascii="Bookman Old Style" w:hAnsi="Bookman Old Style"/>
          <w:i/>
          <w:sz w:val="14"/>
          <w:szCs w:val="14"/>
        </w:rPr>
        <w:footnoteRef/>
      </w:r>
      <w:r w:rsidRPr="000A2331">
        <w:rPr>
          <w:rFonts w:ascii="Bookman Old Style" w:hAnsi="Bookman Old Style"/>
          <w:i/>
          <w:sz w:val="14"/>
          <w:szCs w:val="14"/>
        </w:rPr>
        <w:t xml:space="preserve"> https://www.nytimes.com/2019/12/03/business/hemp-producers-banks.html</w:t>
      </w:r>
    </w:p>
  </w:footnote>
  <w:footnote w:id="24">
    <w:p w14:paraId="37CA79E4" w14:textId="77777777" w:rsidR="00780580" w:rsidRPr="000A2331" w:rsidRDefault="00780580" w:rsidP="006127F0">
      <w:pPr>
        <w:pStyle w:val="Textonotapie"/>
        <w:jc w:val="both"/>
        <w:rPr>
          <w:rFonts w:ascii="Bookman Old Style" w:hAnsi="Bookman Old Style"/>
          <w:i/>
          <w:sz w:val="14"/>
          <w:szCs w:val="14"/>
        </w:rPr>
      </w:pPr>
      <w:r w:rsidRPr="000A2331">
        <w:rPr>
          <w:rStyle w:val="Refdenotaalpie"/>
          <w:rFonts w:ascii="Bookman Old Style" w:hAnsi="Bookman Old Style"/>
          <w:i/>
          <w:sz w:val="14"/>
          <w:szCs w:val="14"/>
        </w:rPr>
        <w:footnoteRef/>
      </w:r>
      <w:r w:rsidRPr="000A2331">
        <w:rPr>
          <w:rFonts w:ascii="Bookman Old Style" w:hAnsi="Bookman Old Style"/>
          <w:i/>
          <w:sz w:val="14"/>
          <w:szCs w:val="14"/>
        </w:rPr>
        <w:t xml:space="preserve"> https://www.law360.com/articles/1286752/congress-could-still-pass-cannabis-legislation-in-2020</w:t>
      </w:r>
    </w:p>
  </w:footnote>
  <w:footnote w:id="25">
    <w:p w14:paraId="6DB2FB9D" w14:textId="77777777" w:rsidR="00780580" w:rsidRPr="000A2331" w:rsidRDefault="00780580" w:rsidP="006127F0">
      <w:pPr>
        <w:pStyle w:val="Textonotapie"/>
        <w:jc w:val="both"/>
        <w:rPr>
          <w:rFonts w:ascii="Bookman Old Style" w:hAnsi="Bookman Old Style" w:cs="Times New Roman"/>
          <w:i/>
          <w:sz w:val="14"/>
          <w:szCs w:val="14"/>
        </w:rPr>
      </w:pPr>
      <w:r w:rsidRPr="000A2331">
        <w:rPr>
          <w:rStyle w:val="Refdenotaalpie"/>
          <w:rFonts w:ascii="Bookman Old Style" w:hAnsi="Bookman Old Style" w:cs="Times New Roman"/>
          <w:i/>
          <w:sz w:val="14"/>
          <w:szCs w:val="14"/>
        </w:rPr>
        <w:footnoteRef/>
      </w:r>
      <w:r w:rsidRPr="000A2331">
        <w:rPr>
          <w:rFonts w:ascii="Bookman Old Style" w:hAnsi="Bookman Old Style" w:cs="Times New Roman"/>
          <w:i/>
          <w:sz w:val="14"/>
          <w:szCs w:val="14"/>
          <w:lang w:val="en-US"/>
        </w:rPr>
        <w:t xml:space="preserve"> Moody´s. 2018. Recreational Marijuana Tax Revenues are Marginal Credit Positives. </w:t>
      </w:r>
      <w:r w:rsidRPr="000A2331">
        <w:rPr>
          <w:rFonts w:ascii="Bookman Old Style" w:hAnsi="Bookman Old Style" w:cs="Times New Roman"/>
          <w:i/>
          <w:sz w:val="14"/>
          <w:szCs w:val="14"/>
        </w:rPr>
        <w:t>Recuperado de: https://www.capitaliq.com/CIQDotNet/CreditResearch/RenderArticle.aspx?articleId=2170361&amp;SctArtId=467339&amp;from=CM&amp;nsl_code=LIME&amp;sourceObjectId=10882078&amp;sourceRevId=3&amp;fee_ind=N&amp;exp_date=20290221-02:28:22</w:t>
      </w:r>
    </w:p>
  </w:footnote>
  <w:footnote w:id="26">
    <w:p w14:paraId="066BA36F" w14:textId="77777777" w:rsidR="00780580" w:rsidRPr="00207603" w:rsidRDefault="00780580" w:rsidP="006127F0">
      <w:pPr>
        <w:pStyle w:val="Textonotapie"/>
        <w:jc w:val="both"/>
        <w:rPr>
          <w:rFonts w:ascii="Times New Roman" w:hAnsi="Times New Roman" w:cs="Times New Roman"/>
          <w:i/>
          <w:sz w:val="14"/>
          <w:szCs w:val="14"/>
          <w:lang w:val="en-US"/>
        </w:rPr>
      </w:pPr>
      <w:r w:rsidRPr="000A2331">
        <w:rPr>
          <w:rStyle w:val="Refdenotaalpie"/>
          <w:rFonts w:ascii="Bookman Old Style" w:hAnsi="Bookman Old Style" w:cs="Times New Roman"/>
          <w:i/>
          <w:sz w:val="14"/>
          <w:szCs w:val="14"/>
        </w:rPr>
        <w:footnoteRef/>
      </w:r>
      <w:r w:rsidRPr="000A2331">
        <w:rPr>
          <w:rFonts w:ascii="Bookman Old Style" w:hAnsi="Bookman Old Style" w:cs="Times New Roman"/>
          <w:i/>
          <w:sz w:val="14"/>
          <w:szCs w:val="14"/>
          <w:lang w:val="en-US"/>
        </w:rPr>
        <w:t xml:space="preserve"> Drug Policy Alliance. 2018. From Prohibition to Progress: A Status Report on Marijuana Legalization. What We Know About Marijuana Legalization in Eight States and Washington, D.C. Recuperado de: http://fileserver.idpc.net/library/dpa_marijuana_legalization_report_v8_0.pdf</w:t>
      </w:r>
    </w:p>
  </w:footnote>
  <w:footnote w:id="27">
    <w:p w14:paraId="6A69944A" w14:textId="77777777" w:rsidR="00780580" w:rsidRPr="00EE71AD" w:rsidRDefault="00780580" w:rsidP="006127F0">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lang w:val="en-US"/>
        </w:rPr>
        <w:t xml:space="preserve"> Blumenauer, E. 2018. The Path Forward: Rethinking Federal Marijuana Policy. </w:t>
      </w:r>
      <w:r w:rsidRPr="00EE71AD">
        <w:rPr>
          <w:rFonts w:ascii="Bookman Old Style" w:hAnsi="Bookman Old Style" w:cs="Times New Roman"/>
          <w:i/>
          <w:sz w:val="14"/>
          <w:szCs w:val="14"/>
        </w:rPr>
        <w:t>(P.p.10).  Recuperado de: https://blumenauer.house.gov/sites/blumenauer.house.gov/files/BlumenauerReport_ThePathForward.pdf</w:t>
      </w:r>
    </w:p>
  </w:footnote>
  <w:footnote w:id="28">
    <w:p w14:paraId="6F6AD936" w14:textId="77777777" w:rsidR="00780580" w:rsidRPr="00EE71AD" w:rsidRDefault="00780580" w:rsidP="006127F0">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lang w:val="en-US"/>
        </w:rPr>
        <w:t xml:space="preserve"> Washington Post.  2016. Justin Trudeau may have made the best case for legal pot ever. </w:t>
      </w:r>
      <w:r w:rsidRPr="00EE71AD">
        <w:rPr>
          <w:rFonts w:ascii="Bookman Old Style" w:hAnsi="Bookman Old Style" w:cs="Times New Roman"/>
          <w:i/>
          <w:sz w:val="14"/>
          <w:szCs w:val="14"/>
        </w:rPr>
        <w:t>Recuperado de: https://www.washingtonpost.com/news/wonk/wp/2016/06/10/why-people-who-hate-marijuana-should-legalize-it-anyway-according-to-justin-trudeau/?noredirect=on&amp;utm_term=.75678dd510b9</w:t>
      </w:r>
    </w:p>
  </w:footnote>
  <w:footnote w:id="29">
    <w:p w14:paraId="711BCFE5" w14:textId="77777777" w:rsidR="00780580" w:rsidRPr="00EE71AD" w:rsidRDefault="00780580" w:rsidP="006127F0">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Establecida en 2011, la Comisión Global de Políticas de Drogas fue fundada por un grupo de líderes políticos del mundo y expresidentes con el fin de “poner fin a la fracasada guerra a las drogas, y pedir reformas fundamentales del régimen mundial de prohibición de las drogas”. “La Comisión es el grupo más distinguido de líderes de alto nivel que ha convocado a realizar tales cambios de gran alcance – incluyendo no sólo alternativas al encarcelamiento y un mayor énfasis en los enfoques de salud pública al uso de drogas sino también descriminalización y experimentación de regulaciones legales”. Algunos de los comisionados son:  Louise Arbour (Ex-Alta Comisionada para los Derechos Humanos de las Naciones Unidas), Sir Richard Branson (Fundador Virgin Group), Fernando Henrique Cardoso (Expresidente de Brazil), Helen Clark (Ex Primer Ministra de Nueva Zelanda), Ruth Dreifuss (Expresidenta de Suiza), Mohamed ElBaradei (Director General Emerito del Organismo Internacional de Energía Atómica y premio Nobel de Paz), Joyce Banda (Expresidenta de Malawi), César Gaviria (Expresidente de Colombia, Ricardo Lagos (Expresidente de Chile), José Ramos-Horta (Expresidente de Timor-Leste y premio Nobel de Paz), Juan Manuel Santos (Expresidente de Colombia y Premio Nobel de Paz). Recuperado de:  http://www.globalcommissionondrugs.org/wp-content/themes/gcdp_v1/pdf/Global_Commission_on_Drug_Policy_Press_Release_Spanish.pdf</w:t>
      </w:r>
    </w:p>
  </w:footnote>
  <w:footnote w:id="30">
    <w:p w14:paraId="530377F4" w14:textId="77777777" w:rsidR="00780580" w:rsidRPr="00207603" w:rsidRDefault="00780580" w:rsidP="006127F0">
      <w:pPr>
        <w:pStyle w:val="Textonotapie"/>
        <w:jc w:val="both"/>
        <w:rPr>
          <w:rFonts w:ascii="Times New Roman" w:hAnsi="Times New Roman" w:cs="Times New Roman"/>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Comisión Global de Políticas de Drogas. 2018. Regulación: El Control Responsable de las Drogas. Recuperado de: http://fileserver.idpc.net/library/SPA-2018_Regulation_Report_WEB-FINAL.pdf</w:t>
      </w:r>
    </w:p>
  </w:footnote>
  <w:footnote w:id="31">
    <w:p w14:paraId="471DBDE8" w14:textId="77777777" w:rsidR="00780580" w:rsidRPr="00EE71AD" w:rsidRDefault="00780580" w:rsidP="006127F0">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sz w:val="14"/>
          <w:szCs w:val="14"/>
        </w:rPr>
        <w:footnoteRef/>
      </w:r>
      <w:r w:rsidRPr="00EE71AD">
        <w:rPr>
          <w:rFonts w:ascii="Bookman Old Style" w:hAnsi="Bookman Old Style" w:cs="Times New Roman"/>
          <w:sz w:val="14"/>
          <w:szCs w:val="14"/>
        </w:rPr>
        <w:t xml:space="preserve"> </w:t>
      </w:r>
      <w:r w:rsidRPr="00EE71AD">
        <w:rPr>
          <w:rFonts w:ascii="Bookman Old Style" w:hAnsi="Bookman Old Style" w:cs="Times New Roman"/>
          <w:i/>
          <w:iCs/>
          <w:sz w:val="14"/>
          <w:szCs w:val="14"/>
        </w:rPr>
        <w:t>Ibidem.</w:t>
      </w:r>
    </w:p>
  </w:footnote>
  <w:footnote w:id="32">
    <w:p w14:paraId="5B0B4732" w14:textId="77777777" w:rsidR="00780580" w:rsidRPr="00EE71AD" w:rsidRDefault="00780580" w:rsidP="006127F0">
      <w:pPr>
        <w:pStyle w:val="Textonotapie"/>
        <w:jc w:val="both"/>
        <w:rPr>
          <w:rFonts w:ascii="Bookman Old Style" w:hAnsi="Bookman Old Style" w:cs="Times New Roman"/>
          <w:i/>
          <w:color w:val="0000FF" w:themeColor="hyperlink"/>
          <w:sz w:val="14"/>
          <w:szCs w:val="14"/>
          <w:u w:val="single"/>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Comisión Global de Políticas de Drogas. 2018. Regulación: El Control Responsable de las Drogas. (P.p. 33). Recuperado de: http://fileserver.idpc.net/library/SPA-2018_Regulation_Report_WEB-FINAL.pdf.</w:t>
      </w:r>
    </w:p>
  </w:footnote>
  <w:footnote w:id="33">
    <w:p w14:paraId="5AB721CE" w14:textId="77777777" w:rsidR="00780580" w:rsidRPr="00207603" w:rsidRDefault="00780580" w:rsidP="006127F0">
      <w:pPr>
        <w:pStyle w:val="Textonotapie"/>
        <w:jc w:val="both"/>
        <w:rPr>
          <w:rFonts w:ascii="Times New Roman" w:hAnsi="Times New Roman"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https://www.unodc.org/documents/commissions/CND/CND_Sessions/CND_63/Statements63_02.03.2020/Country_03.03.2020/Canada.pdf</w:t>
      </w:r>
    </w:p>
  </w:footnote>
  <w:footnote w:id="34">
    <w:p w14:paraId="3E98B11B" w14:textId="77777777" w:rsidR="00780580" w:rsidRPr="00EE71AD" w:rsidRDefault="00780580" w:rsidP="00780580">
      <w:pPr>
        <w:pStyle w:val="Textonotapie"/>
        <w:jc w:val="both"/>
        <w:rPr>
          <w:rFonts w:ascii="Bookman Old Style" w:hAnsi="Bookman Old Style"/>
          <w:i/>
          <w:sz w:val="14"/>
          <w:szCs w:val="14"/>
        </w:rPr>
      </w:pPr>
      <w:r w:rsidRPr="00EE71AD">
        <w:rPr>
          <w:rStyle w:val="Refdenotaalpie"/>
          <w:rFonts w:ascii="Bookman Old Style" w:hAnsi="Bookman Old Style"/>
          <w:i/>
          <w:sz w:val="14"/>
          <w:szCs w:val="14"/>
        </w:rPr>
        <w:footnoteRef/>
      </w:r>
      <w:r w:rsidRPr="00EE71AD">
        <w:rPr>
          <w:rFonts w:ascii="Bookman Old Style" w:hAnsi="Bookman Old Style"/>
          <w:i/>
          <w:sz w:val="14"/>
          <w:szCs w:val="14"/>
        </w:rPr>
        <w:t xml:space="preserve"> https://www.ircca.gub.uy/wp-content/uploads/2020/04/InformeMercadoReguladoCannabis-29feb2020.pdf</w:t>
      </w:r>
    </w:p>
  </w:footnote>
  <w:footnote w:id="35">
    <w:p w14:paraId="02CF276A" w14:textId="77777777" w:rsidR="00780580" w:rsidRPr="00EE71AD" w:rsidRDefault="00780580" w:rsidP="00780580">
      <w:pPr>
        <w:pStyle w:val="Textonotapie"/>
        <w:jc w:val="both"/>
        <w:rPr>
          <w:rFonts w:ascii="Bookman Old Style" w:hAnsi="Bookman Old Style"/>
          <w:i/>
          <w:sz w:val="14"/>
          <w:szCs w:val="14"/>
        </w:rPr>
      </w:pPr>
      <w:r w:rsidRPr="00EE71AD">
        <w:rPr>
          <w:rStyle w:val="Refdenotaalpie"/>
          <w:rFonts w:ascii="Bookman Old Style" w:hAnsi="Bookman Old Style"/>
          <w:i/>
          <w:sz w:val="14"/>
          <w:szCs w:val="14"/>
        </w:rPr>
        <w:footnoteRef/>
      </w:r>
      <w:r w:rsidRPr="00EE71AD">
        <w:rPr>
          <w:rFonts w:ascii="Bookman Old Style" w:hAnsi="Bookman Old Style"/>
          <w:i/>
          <w:sz w:val="14"/>
          <w:szCs w:val="14"/>
        </w:rPr>
        <w:t xml:space="preserve"> https://www.ircca.gub.uy/wp-content/uploads/2020/04/InformeMercadoReguladoCannabis-29feb2020.pdf</w:t>
      </w:r>
    </w:p>
  </w:footnote>
  <w:footnote w:id="36">
    <w:p w14:paraId="6027AF60" w14:textId="77777777" w:rsidR="00780580" w:rsidRPr="00207603" w:rsidRDefault="00780580" w:rsidP="00780580">
      <w:pPr>
        <w:pStyle w:val="Textonotapie"/>
        <w:jc w:val="both"/>
        <w:rPr>
          <w:rFonts w:ascii="Times New Roman" w:hAnsi="Times New Roman"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https://eleconomista.com.ar/2020-04-cannabis-en-uruguay-los-problemas-de-suministro-siguen-obstaculizando-el-crecimiento-del-mercado/</w:t>
      </w:r>
    </w:p>
  </w:footnote>
  <w:footnote w:id="37">
    <w:p w14:paraId="6D7FD39C" w14:textId="77777777" w:rsidR="00780580" w:rsidRPr="00EE71AD" w:rsidRDefault="00780580" w:rsidP="00780580">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Referencia a “Sobredosis Carcelaria” tomada del título del informe de Dejusticia de 2017 titulado “Sobredosis Carcelaria y Política de Drogas en América Latina”.</w:t>
      </w:r>
    </w:p>
  </w:footnote>
  <w:footnote w:id="38">
    <w:p w14:paraId="5BE6016E" w14:textId="77777777" w:rsidR="00780580" w:rsidRPr="00EE71AD" w:rsidRDefault="00780580" w:rsidP="008D6C03">
      <w:pPr>
        <w:pStyle w:val="Textonotapie"/>
        <w:jc w:val="both"/>
        <w:rPr>
          <w:rFonts w:ascii="Bookman Old Style" w:hAnsi="Bookman Old Style" w:cs="Times New Roman"/>
          <w:sz w:val="14"/>
          <w:szCs w:val="14"/>
          <w:lang w:val="en-US"/>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lang w:val="en-US"/>
        </w:rPr>
        <w:t xml:space="preserve"> Drug Policy Alliance. 2018. From Prohibition to Progress: A Status Report on Marijuana Legalization. What We Know About Marijuana Legalization in Eight States and Washington, D.C. (P.p 1) Recuperado de: http://fileserver.idpc.net/library/dpa_marijuana_legalization_report_v8_0.pdf.</w:t>
      </w:r>
    </w:p>
  </w:footnote>
  <w:footnote w:id="39">
    <w:p w14:paraId="21D1B93F" w14:textId="77777777" w:rsidR="00780580" w:rsidRPr="00EE71AD" w:rsidRDefault="00780580" w:rsidP="008D6C03">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Ibidem.</w:t>
      </w:r>
    </w:p>
  </w:footnote>
  <w:footnote w:id="40">
    <w:p w14:paraId="05BC6907" w14:textId="77777777" w:rsidR="00780580" w:rsidRPr="00EE71AD" w:rsidRDefault="00780580" w:rsidP="008D6C03">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https://www.eltiempo.com/politica/congreso/legalizacion-de-la-marihuana-en-colombia-pulso-politico-538760</w:t>
      </w:r>
    </w:p>
  </w:footnote>
  <w:footnote w:id="41">
    <w:p w14:paraId="2F98795C" w14:textId="77777777" w:rsidR="00291DEF" w:rsidRPr="00207603" w:rsidRDefault="00291DEF" w:rsidP="008D6C03">
      <w:pPr>
        <w:pStyle w:val="Textonotapie"/>
        <w:jc w:val="both"/>
        <w:rPr>
          <w:rFonts w:ascii="Bookman Old Style" w:hAnsi="Bookman Old Style"/>
          <w:i/>
          <w:sz w:val="14"/>
          <w:szCs w:val="14"/>
        </w:rPr>
      </w:pPr>
      <w:r w:rsidRPr="00EE71AD">
        <w:rPr>
          <w:rStyle w:val="Refdenotaalpie"/>
          <w:rFonts w:ascii="Bookman Old Style" w:hAnsi="Bookman Old Style"/>
          <w:i/>
          <w:sz w:val="14"/>
          <w:szCs w:val="14"/>
        </w:rPr>
        <w:footnoteRef/>
      </w:r>
      <w:r w:rsidRPr="00EE71AD">
        <w:rPr>
          <w:rFonts w:ascii="Bookman Old Style" w:hAnsi="Bookman Old Style"/>
          <w:i/>
          <w:sz w:val="14"/>
          <w:szCs w:val="14"/>
        </w:rPr>
        <w:t xml:space="preserve"> Fedesarrollo (2019) La industria del cannabis medicinal en Colombia. Ramírez, Naranjo, Torres &amp; Mejía. Bogotá. Obtenido de: https://www.repository.fedesarrollo.org.co/handle/11445/3823</w:t>
      </w:r>
    </w:p>
  </w:footnote>
  <w:footnote w:id="42">
    <w:p w14:paraId="07747F04" w14:textId="77777777" w:rsidR="00291DEF" w:rsidRPr="00EE71AD" w:rsidRDefault="00291DEF" w:rsidP="008D6C03">
      <w:pPr>
        <w:pStyle w:val="Textonotapie"/>
        <w:jc w:val="both"/>
        <w:rPr>
          <w:rFonts w:ascii="Bookman Old Style" w:hAnsi="Bookman Old Style"/>
          <w:i/>
          <w:sz w:val="14"/>
          <w:szCs w:val="14"/>
        </w:rPr>
      </w:pPr>
      <w:r w:rsidRPr="00EE71AD">
        <w:rPr>
          <w:rStyle w:val="Refdenotaalpie"/>
          <w:rFonts w:ascii="Bookman Old Style" w:hAnsi="Bookman Old Style"/>
          <w:i/>
          <w:sz w:val="14"/>
          <w:szCs w:val="14"/>
        </w:rPr>
        <w:footnoteRef/>
      </w:r>
      <w:r w:rsidRPr="00EE71AD">
        <w:rPr>
          <w:rFonts w:ascii="Bookman Old Style" w:hAnsi="Bookman Old Style"/>
          <w:i/>
          <w:sz w:val="14"/>
          <w:szCs w:val="14"/>
        </w:rPr>
        <w:t xml:space="preserve"> Ibídem.</w:t>
      </w:r>
    </w:p>
  </w:footnote>
  <w:footnote w:id="43">
    <w:p w14:paraId="1B395F99" w14:textId="77777777" w:rsidR="00291DEF" w:rsidRPr="00EE71AD" w:rsidRDefault="00291DEF" w:rsidP="00291DEF">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Ibídem.</w:t>
      </w:r>
    </w:p>
  </w:footnote>
  <w:footnote w:id="44">
    <w:p w14:paraId="03152B54" w14:textId="77777777" w:rsidR="00291DEF" w:rsidRPr="00EE71AD" w:rsidRDefault="00291DEF" w:rsidP="00291DEF">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Revista Dinero. Colombia "lidera" industria emergente del cannabis medicinal en Latinoamérica.  Obtenido de: https://www.dinero.com/empresas/articulo/industria-del-cannabis-medicinal-en-colombia/291948</w:t>
      </w:r>
    </w:p>
  </w:footnote>
  <w:footnote w:id="45">
    <w:p w14:paraId="5E2BF893" w14:textId="77777777" w:rsidR="00291DEF" w:rsidRPr="00EE71AD" w:rsidRDefault="00291DEF" w:rsidP="00291DEF">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Asocolcanna. ¿Cannabis medicinal, el salvavidas que necesita la economía? Obtenida de: http://asocolcanna.org/noticias/cannabis-medicinal-el-salvavidas-que-necesita-la-economia/</w:t>
      </w:r>
    </w:p>
  </w:footnote>
  <w:footnote w:id="46">
    <w:p w14:paraId="57EC0F0C" w14:textId="77777777" w:rsidR="00291DEF" w:rsidRPr="00207603" w:rsidRDefault="00291DEF" w:rsidP="00291DEF">
      <w:pPr>
        <w:pStyle w:val="Textonotapie"/>
        <w:jc w:val="both"/>
        <w:rPr>
          <w:sz w:val="14"/>
          <w:szCs w:val="14"/>
        </w:rPr>
      </w:pPr>
      <w:r w:rsidRPr="00EE71AD">
        <w:rPr>
          <w:rStyle w:val="Refdenotaalpie"/>
          <w:rFonts w:ascii="Bookman Old Style" w:hAnsi="Bookman Old Style" w:cs="Times New Roman"/>
          <w:sz w:val="14"/>
          <w:szCs w:val="14"/>
        </w:rPr>
        <w:footnoteRef/>
      </w:r>
      <w:r w:rsidRPr="00EE71AD">
        <w:rPr>
          <w:rFonts w:ascii="Bookman Old Style" w:hAnsi="Bookman Old Style" w:cs="Times New Roman"/>
          <w:sz w:val="14"/>
          <w:szCs w:val="14"/>
        </w:rPr>
        <w:t xml:space="preserve"> Fedesarrollo (2019) La industria del cannabis medicinal en Colombia. Ramírez, Naranjo, Torres &amp; Mejía. Bogotá. Obtenido de: https://www.repository.fedesarrollo.org.co/handle/11445/3823</w:t>
      </w:r>
    </w:p>
  </w:footnote>
  <w:footnote w:id="47">
    <w:p w14:paraId="33FD6946" w14:textId="77777777" w:rsidR="00C04E96" w:rsidRPr="00EE71AD" w:rsidRDefault="00C04E96" w:rsidP="00EE71A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Rodrigo Uprimny, “Una oportunidad perdida”, Dejusticia. 2019.</w:t>
      </w:r>
    </w:p>
  </w:footnote>
  <w:footnote w:id="48">
    <w:p w14:paraId="1BBC69CD" w14:textId="77777777" w:rsidR="00C04E96" w:rsidRPr="001E18FE" w:rsidRDefault="00C04E96" w:rsidP="00EE71AD">
      <w:pPr>
        <w:pStyle w:val="Textonotapie"/>
        <w:jc w:val="both"/>
        <w:rPr>
          <w:rFonts w:ascii="Times New Roman" w:hAnsi="Times New Roman" w:cs="Times New Roman"/>
          <w:i/>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Preámbulo de la Constitución Política de 1991.</w:t>
      </w:r>
    </w:p>
  </w:footnote>
  <w:footnote w:id="49">
    <w:p w14:paraId="2633A49E" w14:textId="77777777" w:rsidR="00C04E96" w:rsidRPr="00EE71AD" w:rsidRDefault="00C04E96" w:rsidP="006127F0">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Corte Constitucional, Sentencia C-336 de 2008. M.P. Clara Inés Vargas Hernández.</w:t>
      </w:r>
    </w:p>
  </w:footnote>
  <w:footnote w:id="50">
    <w:p w14:paraId="263F1A01" w14:textId="77777777" w:rsidR="00C04E96" w:rsidRPr="00EE71AD" w:rsidRDefault="00C04E96" w:rsidP="006127F0">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w:t>
      </w:r>
      <w:r w:rsidRPr="00EE71AD">
        <w:rPr>
          <w:rFonts w:ascii="Bookman Old Style" w:hAnsi="Bookman Old Style" w:cs="Times New Roman"/>
          <w:i/>
          <w:iCs/>
          <w:sz w:val="14"/>
          <w:szCs w:val="14"/>
        </w:rPr>
        <w:t>Ibidem.</w:t>
      </w:r>
    </w:p>
  </w:footnote>
  <w:footnote w:id="51">
    <w:p w14:paraId="5DD556F7" w14:textId="77777777" w:rsidR="00C04E96" w:rsidRPr="00EE71AD" w:rsidRDefault="00C04E96" w:rsidP="006127F0">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No le corresponde al Estado, ni a la sociedad, sino a las propias personas, decidir sobre la manera en como desarrollan sus derechos y construyen sus proyectos y modelos de realización personal”. Corte Constitucional Sentencia T-516 de 1998 M.P.: Antonio Barrera.</w:t>
      </w:r>
    </w:p>
  </w:footnote>
  <w:footnote w:id="52">
    <w:p w14:paraId="5C762592" w14:textId="77777777" w:rsidR="00C04E96" w:rsidRPr="001E18FE" w:rsidRDefault="00C04E96" w:rsidP="006127F0">
      <w:pPr>
        <w:pStyle w:val="Textonotapie"/>
        <w:jc w:val="both"/>
        <w:rPr>
          <w:rFonts w:ascii="Times New Roman" w:hAnsi="Times New Roman" w:cs="Times New Roman"/>
          <w:i/>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Corte Constitucional, Sentencia C-221 de 1994. M.P. Carlos Gaviria Díaz.</w:t>
      </w:r>
    </w:p>
  </w:footnote>
  <w:footnote w:id="53">
    <w:p w14:paraId="3B8C407C" w14:textId="77777777" w:rsidR="00C04E96" w:rsidRPr="00EE71AD" w:rsidRDefault="00C04E96" w:rsidP="00F36280">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 El Estado promoverá las condiciones para que la igualdad sea real y efectiva y adoptará medidas en favor de grupos discriminados o marginados.</w:t>
      </w:r>
    </w:p>
    <w:p w14:paraId="0E92A4D9" w14:textId="77777777" w:rsidR="00C04E96" w:rsidRPr="00EE71AD" w:rsidRDefault="00C04E96" w:rsidP="00F36280">
      <w:pPr>
        <w:jc w:val="both"/>
        <w:rPr>
          <w:rFonts w:ascii="Bookman Old Style" w:hAnsi="Bookman Old Style"/>
          <w:i/>
          <w:sz w:val="14"/>
          <w:szCs w:val="14"/>
        </w:rPr>
      </w:pPr>
      <w:r w:rsidRPr="00EE71AD">
        <w:rPr>
          <w:rFonts w:ascii="Bookman Old Style" w:hAnsi="Bookman Old Style"/>
          <w:i/>
          <w:sz w:val="14"/>
          <w:szCs w:val="14"/>
        </w:rPr>
        <w:t>El Estado protegerá especialmente a aquellas personas que, por su condición económica, física o mental, se encuentren en circunstancia de debilidad manifiesta y sancionará los abusos o maltratos que contra ellas se cometan”</w:t>
      </w:r>
    </w:p>
  </w:footnote>
  <w:footnote w:id="54">
    <w:p w14:paraId="2ACADD78" w14:textId="77777777" w:rsidR="00C04E96" w:rsidRPr="00EE71AD" w:rsidRDefault="00C04E96" w:rsidP="00F36280">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Corte Constitucional, sentencia C-220 de 2017. M.P. José Antonio Cepeda Amarís (E).</w:t>
      </w:r>
    </w:p>
  </w:footnote>
  <w:footnote w:id="55">
    <w:p w14:paraId="439F06C1" w14:textId="77777777" w:rsidR="00C04E96" w:rsidRPr="001E18FE" w:rsidRDefault="00C04E96" w:rsidP="00F36280">
      <w:pPr>
        <w:pStyle w:val="Textonotapie"/>
        <w:jc w:val="both"/>
        <w:rPr>
          <w:rFonts w:ascii="Times New Roman" w:hAnsi="Times New Roman" w:cs="Times New Roman"/>
          <w:i/>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w:t>
      </w:r>
      <w:r w:rsidRPr="00EE71AD">
        <w:rPr>
          <w:rFonts w:ascii="Bookman Old Style" w:eastAsia="Calibri" w:hAnsi="Bookman Old Style" w:cs="Times New Roman"/>
          <w:i/>
          <w:sz w:val="14"/>
          <w:szCs w:val="14"/>
          <w:lang w:eastAsia="es-CO"/>
        </w:rPr>
        <w:t>Corte Constitucional, Sentencia C-104 de 2016. M.P. Luis Guillermo Guerrero Pérez.</w:t>
      </w:r>
    </w:p>
  </w:footnote>
  <w:footnote w:id="56">
    <w:p w14:paraId="46D302DD" w14:textId="77777777" w:rsidR="00C04E96" w:rsidRPr="00EE71AD" w:rsidRDefault="00C04E96" w:rsidP="00F36280">
      <w:pPr>
        <w:pStyle w:val="Textonotapie"/>
        <w:jc w:val="both"/>
        <w:rPr>
          <w:rFonts w:ascii="Bookman Old Style" w:hAnsi="Bookman Old Style" w:cs="Times New Roman"/>
          <w:i/>
          <w:sz w:val="14"/>
          <w:szCs w:val="14"/>
          <w:lang w:val="en-US"/>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lang w:val="en-US"/>
        </w:rPr>
        <w:t xml:space="preserve"> </w:t>
      </w:r>
      <w:r w:rsidRPr="00EE71AD">
        <w:rPr>
          <w:rFonts w:ascii="Bookman Old Style" w:eastAsia="Calibri" w:hAnsi="Bookman Old Style" w:cs="Times New Roman"/>
          <w:i/>
          <w:sz w:val="14"/>
          <w:szCs w:val="14"/>
          <w:lang w:val="en-US"/>
        </w:rPr>
        <w:t>P. Westen. Speaking of equality. An Analisis of the Rhetorical forcé of Equality” in moral and legal discoruse, Princenton University Press, 1990, cap.v.</w:t>
      </w:r>
    </w:p>
  </w:footnote>
  <w:footnote w:id="57">
    <w:p w14:paraId="3FEF961F" w14:textId="77777777" w:rsidR="00517032" w:rsidRPr="00EE71AD" w:rsidRDefault="00517032" w:rsidP="00EE71AD">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w:t>
      </w:r>
      <w:r w:rsidRPr="00EE71AD">
        <w:rPr>
          <w:rFonts w:ascii="Bookman Old Style" w:eastAsia="Calibri" w:hAnsi="Bookman Old Style" w:cs="Times New Roman"/>
          <w:i/>
          <w:sz w:val="14"/>
          <w:szCs w:val="14"/>
          <w:lang w:eastAsia="es-CO"/>
        </w:rPr>
        <w:t>Corte Constitucional, Sentencia T-171 de 2018. Cristina Pardo Schlesinger.</w:t>
      </w:r>
    </w:p>
  </w:footnote>
  <w:footnote w:id="58">
    <w:p w14:paraId="655F068A" w14:textId="77777777" w:rsidR="00517032" w:rsidRPr="00207603" w:rsidRDefault="00517032" w:rsidP="00EE71AD">
      <w:pPr>
        <w:pStyle w:val="Textonotapie"/>
        <w:jc w:val="both"/>
        <w:rPr>
          <w:rFonts w:ascii="Times New Roman" w:hAnsi="Times New Roman" w:cs="Times New Roman"/>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w:t>
      </w:r>
      <w:r w:rsidRPr="00EE71AD">
        <w:rPr>
          <w:rFonts w:ascii="Bookman Old Style" w:eastAsia="Calibri" w:hAnsi="Bookman Old Style" w:cs="Times New Roman"/>
          <w:i/>
          <w:sz w:val="14"/>
          <w:szCs w:val="14"/>
          <w:lang w:eastAsia="es-CO"/>
        </w:rPr>
        <w:t>Corte Constitucional, Sentencia T-452 de 2018 M.P. José Fernando Reyes Cuartas.</w:t>
      </w:r>
    </w:p>
  </w:footnote>
  <w:footnote w:id="59">
    <w:p w14:paraId="1950F7B8" w14:textId="77777777" w:rsidR="00C04E96" w:rsidRPr="00EE71AD" w:rsidRDefault="00C04E96" w:rsidP="00F36280">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w:t>
      </w:r>
      <w:r w:rsidRPr="00EE71AD">
        <w:rPr>
          <w:rFonts w:ascii="Bookman Old Style" w:eastAsia="Calibri" w:hAnsi="Bookman Old Style" w:cs="Times New Roman"/>
          <w:i/>
          <w:sz w:val="14"/>
          <w:szCs w:val="14"/>
          <w:lang w:eastAsia="es-CO"/>
        </w:rPr>
        <w:t>Corte Constitucional, sentencia C-420 de 2002, M.P. Jaime Córdoba Triviño.</w:t>
      </w:r>
    </w:p>
  </w:footnote>
  <w:footnote w:id="60">
    <w:p w14:paraId="523C0F55" w14:textId="77777777" w:rsidR="00C04E96" w:rsidRPr="001E18FE" w:rsidRDefault="00C04E96" w:rsidP="00F36280">
      <w:pPr>
        <w:pStyle w:val="Textonotapie"/>
        <w:jc w:val="both"/>
        <w:rPr>
          <w:rFonts w:ascii="Times New Roman" w:hAnsi="Times New Roman" w:cs="Times New Roman"/>
          <w:lang w:val="en-US"/>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lang w:val="en-US"/>
        </w:rPr>
        <w:t xml:space="preserve"> </w:t>
      </w:r>
      <w:r w:rsidRPr="00EE71AD">
        <w:rPr>
          <w:rFonts w:ascii="Bookman Old Style" w:hAnsi="Bookman Old Style" w:cs="Times New Roman"/>
          <w:i/>
          <w:iCs/>
          <w:sz w:val="14"/>
          <w:szCs w:val="14"/>
          <w:lang w:val="en-US"/>
        </w:rPr>
        <w:t>Ibidem.</w:t>
      </w:r>
    </w:p>
  </w:footnote>
  <w:footnote w:id="61">
    <w:p w14:paraId="65250046" w14:textId="77777777" w:rsidR="00C04E96" w:rsidRPr="00EE71AD" w:rsidRDefault="00C04E96" w:rsidP="00F36280">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lang w:val="en-US"/>
        </w:rPr>
        <w:t xml:space="preserve"> Leslie King and Lawrence Phillips. “Drug harms in the UK: a multicriteria decision analysis”. </w:t>
      </w:r>
      <w:r w:rsidRPr="00EE71AD">
        <w:rPr>
          <w:rFonts w:ascii="Bookman Old Style" w:hAnsi="Bookman Old Style" w:cs="Times New Roman"/>
          <w:i/>
          <w:sz w:val="14"/>
          <w:szCs w:val="14"/>
        </w:rPr>
        <w:t>David Nutt. The Lancet, 2010.</w:t>
      </w:r>
    </w:p>
  </w:footnote>
  <w:footnote w:id="62">
    <w:p w14:paraId="629A2B2B" w14:textId="77777777" w:rsidR="00ED3ACD" w:rsidRPr="00EE71AD" w:rsidRDefault="00ED3ACD" w:rsidP="00EE71AD">
      <w:pPr>
        <w:pStyle w:val="Textonotapie"/>
        <w:jc w:val="both"/>
        <w:rPr>
          <w:rFonts w:ascii="Bookman Old Style" w:hAnsi="Bookman Old Style" w:cs="Times New Roman"/>
          <w:i/>
          <w:sz w:val="14"/>
          <w:szCs w:val="14"/>
        </w:rPr>
      </w:pPr>
      <w:r w:rsidRPr="00EE71AD">
        <w:rPr>
          <w:rFonts w:ascii="Bookman Old Style" w:hAnsi="Bookman Old Style" w:cs="Times New Roman"/>
          <w:i/>
          <w:sz w:val="14"/>
          <w:szCs w:val="14"/>
          <w:lang w:val="en-US"/>
        </w:rPr>
        <w:footnoteRef/>
      </w:r>
      <w:r w:rsidRPr="00EE71AD">
        <w:rPr>
          <w:rFonts w:ascii="Bookman Old Style" w:hAnsi="Bookman Old Style" w:cs="Times New Roman"/>
          <w:i/>
          <w:sz w:val="14"/>
          <w:szCs w:val="14"/>
        </w:rPr>
        <w:t xml:space="preserve"> Organización Mundial de la Salud (2019). Alcohol. Disponible en: </w:t>
      </w:r>
      <w:hyperlink r:id="rId1" w:history="1">
        <w:r w:rsidRPr="00EE71AD">
          <w:rPr>
            <w:rStyle w:val="Hipervnculo"/>
            <w:rFonts w:ascii="Bookman Old Style" w:hAnsi="Bookman Old Style" w:cs="Times New Roman"/>
            <w:i/>
            <w:sz w:val="14"/>
            <w:szCs w:val="14"/>
          </w:rPr>
          <w:t>https://www.who.int/es/news-room/fact-sheets/detail/tobacco</w:t>
        </w:r>
      </w:hyperlink>
    </w:p>
  </w:footnote>
  <w:footnote w:id="63">
    <w:p w14:paraId="4F76EE22" w14:textId="77777777" w:rsidR="00ED3ACD" w:rsidRPr="003F1DF3" w:rsidRDefault="00ED3ACD" w:rsidP="00EE71AD">
      <w:pPr>
        <w:pStyle w:val="Textonotapie"/>
        <w:jc w:val="both"/>
        <w:rPr>
          <w:rFonts w:ascii="Times New Roman" w:hAnsi="Times New Roman" w:cs="Times New Roman"/>
          <w:i/>
          <w:sz w:val="14"/>
          <w:szCs w:val="14"/>
        </w:rPr>
      </w:pPr>
      <w:r w:rsidRPr="00EE71AD">
        <w:rPr>
          <w:rFonts w:ascii="Bookman Old Style" w:hAnsi="Bookman Old Style" w:cs="Times New Roman"/>
          <w:i/>
          <w:sz w:val="14"/>
          <w:szCs w:val="14"/>
          <w:lang w:val="en-US"/>
        </w:rPr>
        <w:footnoteRef/>
      </w:r>
      <w:r w:rsidRPr="00EE71AD">
        <w:rPr>
          <w:rFonts w:ascii="Bookman Old Style" w:hAnsi="Bookman Old Style" w:cs="Times New Roman"/>
          <w:i/>
          <w:sz w:val="14"/>
          <w:szCs w:val="14"/>
        </w:rPr>
        <w:t xml:space="preserve"> Organización Mundial de la Salud (2019). Tabaco. Disponible en: https://www.who.int/es/news-room/fact-sheets/detail/tobacco</w:t>
      </w:r>
    </w:p>
  </w:footnote>
  <w:footnote w:id="64">
    <w:p w14:paraId="682EE2EF" w14:textId="77777777" w:rsidR="00AF4882" w:rsidRPr="00EE71AD" w:rsidRDefault="00AF4882" w:rsidP="00EE71AD">
      <w:pPr>
        <w:jc w:val="both"/>
        <w:rPr>
          <w:rFonts w:ascii="Bookman Old Style" w:eastAsiaTheme="minorHAnsi" w:hAnsi="Bookman Old Style"/>
          <w:i/>
          <w:sz w:val="14"/>
          <w:szCs w:val="14"/>
          <w:lang w:val="en-US" w:eastAsia="en-US"/>
        </w:rPr>
      </w:pPr>
      <w:r w:rsidRPr="00EE71AD">
        <w:rPr>
          <w:rFonts w:ascii="Bookman Old Style" w:eastAsiaTheme="minorHAnsi" w:hAnsi="Bookman Old Style"/>
          <w:i/>
          <w:sz w:val="14"/>
          <w:szCs w:val="14"/>
          <w:lang w:val="en-US" w:eastAsia="en-US"/>
        </w:rPr>
        <w:footnoteRef/>
      </w:r>
      <w:r w:rsidRPr="00EE71AD">
        <w:rPr>
          <w:rFonts w:ascii="Bookman Old Style" w:eastAsiaTheme="minorHAnsi" w:hAnsi="Bookman Old Style"/>
          <w:i/>
          <w:sz w:val="14"/>
          <w:szCs w:val="14"/>
          <w:lang w:eastAsia="en-US"/>
        </w:rPr>
        <w:t xml:space="preserve"> Lopez-Quintero C, Pérez de los Cobos J, Hasin DS, et al. </w:t>
      </w:r>
      <w:r w:rsidRPr="00EE71AD">
        <w:rPr>
          <w:rFonts w:ascii="Bookman Old Style" w:eastAsiaTheme="minorHAnsi" w:hAnsi="Bookman Old Style"/>
          <w:i/>
          <w:sz w:val="14"/>
          <w:szCs w:val="14"/>
          <w:lang w:val="en-US" w:eastAsia="en-US"/>
        </w:rPr>
        <w:t>(2011) Probability and predictors of transition from first use to dependence on nicotine, alcohol, cannabis, and cocaine: results of the National Epidemiologic Survey on Alcohol and Related Conditions (NESARC). Drug Alcohol Depend. 2011;115(1-2):120-130. doi:10.1016/j.drugalcdep.2010.11.004</w:t>
      </w:r>
    </w:p>
  </w:footnote>
  <w:footnote w:id="65">
    <w:p w14:paraId="69C4E614" w14:textId="77777777" w:rsidR="00AF4882" w:rsidRPr="00EE71AD" w:rsidRDefault="00AF4882" w:rsidP="00EE71AD">
      <w:pPr>
        <w:jc w:val="both"/>
        <w:rPr>
          <w:rFonts w:ascii="Bookman Old Style" w:hAnsi="Bookman Old Style"/>
          <w:color w:val="000000"/>
          <w:sz w:val="14"/>
          <w:szCs w:val="14"/>
        </w:rPr>
      </w:pPr>
      <w:r w:rsidRPr="00EE71AD">
        <w:rPr>
          <w:rFonts w:ascii="Bookman Old Style" w:eastAsiaTheme="minorHAnsi" w:hAnsi="Bookman Old Style"/>
          <w:i/>
          <w:sz w:val="14"/>
          <w:szCs w:val="14"/>
          <w:lang w:val="en-US" w:eastAsia="en-US"/>
        </w:rPr>
        <w:footnoteRef/>
      </w:r>
      <w:r w:rsidRPr="00EE71AD">
        <w:rPr>
          <w:rFonts w:ascii="Bookman Old Style" w:eastAsiaTheme="minorHAnsi" w:hAnsi="Bookman Old Style"/>
          <w:i/>
          <w:sz w:val="14"/>
          <w:szCs w:val="14"/>
          <w:lang w:val="en-US" w:eastAsia="en-US"/>
        </w:rPr>
        <w:t xml:space="preserve"> Marel, C., Sunderland, M., Mills, K. L., Slade, T., Teesson, M., &amp; Chapman, C. (2019). Conditional probabilities of substance use disorders and associated risk factors: Progression from first use to use disorder on alcohol, cannabis, stimulants, sedatives and opioids. </w:t>
      </w:r>
      <w:r w:rsidRPr="00EE71AD">
        <w:rPr>
          <w:rFonts w:ascii="Bookman Old Style" w:eastAsiaTheme="minorHAnsi" w:hAnsi="Bookman Old Style"/>
          <w:i/>
          <w:sz w:val="14"/>
          <w:szCs w:val="14"/>
          <w:lang w:eastAsia="en-US"/>
        </w:rPr>
        <w:t>Drug and alcohol dependence, 194, 136–142. https://doi.org/10.1016/j.drugalcdep.2018.10.010</w:t>
      </w:r>
    </w:p>
  </w:footnote>
  <w:footnote w:id="66">
    <w:p w14:paraId="41BB85C0" w14:textId="77777777" w:rsidR="00AF4882" w:rsidRPr="00EE71AD" w:rsidRDefault="00AF4882" w:rsidP="00EE71AD">
      <w:pPr>
        <w:jc w:val="both"/>
        <w:rPr>
          <w:rFonts w:ascii="Bookman Old Style" w:eastAsiaTheme="minorHAnsi" w:hAnsi="Bookman Old Style"/>
          <w:i/>
          <w:sz w:val="14"/>
          <w:szCs w:val="14"/>
          <w:lang w:eastAsia="en-US"/>
        </w:rPr>
      </w:pPr>
      <w:r w:rsidRPr="00EE71AD">
        <w:rPr>
          <w:rFonts w:ascii="Bookman Old Style" w:eastAsiaTheme="minorHAnsi" w:hAnsi="Bookman Old Style"/>
          <w:i/>
          <w:sz w:val="14"/>
          <w:szCs w:val="14"/>
          <w:lang w:val="en-US" w:eastAsia="en-US"/>
        </w:rPr>
        <w:footnoteRef/>
      </w:r>
      <w:r w:rsidRPr="00EE71AD">
        <w:rPr>
          <w:rFonts w:ascii="Bookman Old Style" w:eastAsiaTheme="minorHAnsi" w:hAnsi="Bookman Old Style"/>
          <w:i/>
          <w:sz w:val="14"/>
          <w:szCs w:val="14"/>
          <w:lang w:eastAsia="en-US"/>
        </w:rPr>
        <w:t xml:space="preserve"> NIH. La mariguana- DrugFacts. Obtenido de: https://www.drugabuse.gov/es/publicaciones/drugfacts/la-marihuana</w:t>
      </w:r>
    </w:p>
  </w:footnote>
  <w:footnote w:id="67">
    <w:p w14:paraId="5206F396" w14:textId="77777777" w:rsidR="00AF4882" w:rsidRPr="00EE71AD" w:rsidRDefault="00AF4882" w:rsidP="00EE71AD">
      <w:pPr>
        <w:jc w:val="both"/>
        <w:rPr>
          <w:rFonts w:ascii="Bookman Old Style" w:eastAsiaTheme="minorHAnsi" w:hAnsi="Bookman Old Style"/>
          <w:i/>
          <w:sz w:val="14"/>
          <w:szCs w:val="14"/>
          <w:lang w:eastAsia="en-US"/>
        </w:rPr>
      </w:pPr>
      <w:r w:rsidRPr="00EE71AD">
        <w:rPr>
          <w:rFonts w:ascii="Bookman Old Style" w:eastAsiaTheme="minorHAnsi" w:hAnsi="Bookman Old Style"/>
          <w:i/>
          <w:sz w:val="14"/>
          <w:szCs w:val="14"/>
          <w:lang w:val="en-US" w:eastAsia="en-US"/>
        </w:rPr>
        <w:footnoteRef/>
      </w:r>
      <w:r w:rsidRPr="00EE71AD">
        <w:rPr>
          <w:rFonts w:ascii="Bookman Old Style" w:eastAsiaTheme="minorHAnsi" w:hAnsi="Bookman Old Style"/>
          <w:i/>
          <w:sz w:val="14"/>
          <w:szCs w:val="14"/>
          <w:lang w:val="en-US" w:eastAsia="en-US"/>
        </w:rPr>
        <w:t xml:space="preserve"> Ver también: German Lopez. </w:t>
      </w:r>
      <w:hyperlink r:id="rId2" w:tgtFrame="_blank" w:history="1">
        <w:r w:rsidRPr="00EE71AD">
          <w:rPr>
            <w:rFonts w:ascii="Bookman Old Style" w:eastAsiaTheme="minorHAnsi" w:hAnsi="Bookman Old Style"/>
            <w:i/>
            <w:sz w:val="14"/>
            <w:szCs w:val="14"/>
            <w:lang w:val="en-US" w:eastAsia="en-US"/>
          </w:rPr>
          <w:t xml:space="preserve">The three deathliest drugs in America. </w:t>
        </w:r>
        <w:r w:rsidRPr="00EE71AD">
          <w:rPr>
            <w:rFonts w:ascii="Bookman Old Style" w:eastAsiaTheme="minorHAnsi" w:hAnsi="Bookman Old Style"/>
            <w:i/>
            <w:sz w:val="14"/>
            <w:szCs w:val="14"/>
            <w:lang w:eastAsia="en-US"/>
          </w:rPr>
          <w:t>Vox 2017</w:t>
        </w:r>
      </w:hyperlink>
      <w:r w:rsidRPr="00EE71AD">
        <w:rPr>
          <w:rFonts w:ascii="Bookman Old Style" w:eastAsiaTheme="minorHAnsi" w:hAnsi="Bookman Old Style"/>
          <w:i/>
          <w:sz w:val="14"/>
          <w:szCs w:val="14"/>
          <w:lang w:eastAsia="en-US"/>
        </w:rPr>
        <w:t>.</w:t>
      </w:r>
    </w:p>
  </w:footnote>
  <w:footnote w:id="68">
    <w:p w14:paraId="09DA28CF" w14:textId="77777777" w:rsidR="00AF4882" w:rsidRPr="00AF4882" w:rsidRDefault="00AF4882" w:rsidP="00EE71AD">
      <w:pPr>
        <w:jc w:val="both"/>
        <w:rPr>
          <w:sz w:val="14"/>
          <w:szCs w:val="14"/>
        </w:rPr>
      </w:pPr>
      <w:r w:rsidRPr="00EE71AD">
        <w:rPr>
          <w:rFonts w:ascii="Bookman Old Style" w:eastAsiaTheme="minorHAnsi" w:hAnsi="Bookman Old Style"/>
          <w:i/>
          <w:sz w:val="14"/>
          <w:szCs w:val="14"/>
          <w:lang w:val="en-US" w:eastAsia="en-US"/>
        </w:rPr>
        <w:footnoteRef/>
      </w:r>
      <w:r w:rsidRPr="00EE71AD">
        <w:rPr>
          <w:rFonts w:ascii="Bookman Old Style" w:eastAsiaTheme="minorHAnsi" w:hAnsi="Bookman Old Style"/>
          <w:i/>
          <w:sz w:val="14"/>
          <w:szCs w:val="14"/>
          <w:lang w:eastAsia="en-US"/>
        </w:rPr>
        <w:t xml:space="preserve"> Pablo Zuleta (2020). Nuevas políticas de drogas deben prevenir el consumo problemático. Obtenido de: https://redesdal.org/blog/f/el-cambio-en-pol%C3%ADtica-de-drogas-debe-buscar-prevenir-el-consumo.</w:t>
      </w:r>
    </w:p>
  </w:footnote>
  <w:footnote w:id="69">
    <w:p w14:paraId="115C4D44" w14:textId="77777777" w:rsidR="00AF4882" w:rsidRPr="00EE71AD" w:rsidRDefault="00AF4882" w:rsidP="00AF4882">
      <w:pPr>
        <w:jc w:val="both"/>
        <w:rPr>
          <w:rFonts w:ascii="Bookman Old Style" w:eastAsiaTheme="minorHAnsi" w:hAnsi="Bookman Old Style"/>
          <w:i/>
          <w:sz w:val="14"/>
          <w:szCs w:val="14"/>
          <w:lang w:eastAsia="en-US"/>
        </w:rPr>
      </w:pPr>
      <w:r w:rsidRPr="00EE71AD">
        <w:rPr>
          <w:rFonts w:ascii="Bookman Old Style" w:eastAsiaTheme="minorHAnsi" w:hAnsi="Bookman Old Style"/>
          <w:i/>
          <w:sz w:val="14"/>
          <w:szCs w:val="14"/>
          <w:lang w:val="en-US" w:eastAsia="en-US"/>
        </w:rPr>
        <w:footnoteRef/>
      </w:r>
      <w:r w:rsidRPr="00EE71AD">
        <w:rPr>
          <w:rFonts w:ascii="Bookman Old Style" w:eastAsiaTheme="minorHAnsi" w:hAnsi="Bookman Old Style"/>
          <w:i/>
          <w:sz w:val="14"/>
          <w:szCs w:val="14"/>
          <w:lang w:eastAsia="en-US"/>
        </w:rPr>
        <w:t xml:space="preserve"> Revista médica JAVA Pediatrics, 2019.</w:t>
      </w:r>
    </w:p>
  </w:footnote>
  <w:footnote w:id="70">
    <w:p w14:paraId="1D0CE8CC" w14:textId="77777777" w:rsidR="00AF4882" w:rsidRPr="00EE71AD" w:rsidRDefault="00AF4882" w:rsidP="00AF4882">
      <w:pPr>
        <w:jc w:val="both"/>
        <w:rPr>
          <w:rFonts w:ascii="Bookman Old Style" w:eastAsiaTheme="minorHAnsi" w:hAnsi="Bookman Old Style"/>
          <w:i/>
          <w:sz w:val="14"/>
          <w:szCs w:val="14"/>
          <w:lang w:eastAsia="en-US"/>
        </w:rPr>
      </w:pPr>
      <w:r w:rsidRPr="00EE71AD">
        <w:rPr>
          <w:rFonts w:ascii="Bookman Old Style" w:eastAsiaTheme="minorHAnsi" w:hAnsi="Bookman Old Style"/>
          <w:i/>
          <w:sz w:val="14"/>
          <w:szCs w:val="14"/>
          <w:lang w:val="en-US" w:eastAsia="en-US"/>
        </w:rPr>
        <w:footnoteRef/>
      </w:r>
      <w:r w:rsidRPr="00EE71AD">
        <w:rPr>
          <w:rFonts w:ascii="Bookman Old Style" w:eastAsiaTheme="minorHAnsi" w:hAnsi="Bookman Old Style"/>
          <w:i/>
          <w:sz w:val="14"/>
          <w:szCs w:val="14"/>
          <w:lang w:eastAsia="en-US"/>
        </w:rPr>
        <w:t xml:space="preserve"> Hannah Laqueur, Ariadne Rivera-Aguirre, Aaron Shev, Alvaro Castillo-Carniglia, Kara E. Rudolph, Jessica Ramirez, Silvia S. Martins, Magdalena Cerdá, The impact of cannabis legalization in Uruguay on adolescent cannabis use, International Jou</w:t>
      </w:r>
    </w:p>
  </w:footnote>
  <w:footnote w:id="71">
    <w:p w14:paraId="134B8B57" w14:textId="77777777" w:rsidR="00AF4882" w:rsidRPr="00EE71AD" w:rsidRDefault="00AF4882" w:rsidP="00AF4882">
      <w:pPr>
        <w:jc w:val="both"/>
        <w:rPr>
          <w:rFonts w:ascii="Bookman Old Style" w:eastAsiaTheme="minorHAnsi" w:hAnsi="Bookman Old Style"/>
          <w:i/>
          <w:sz w:val="14"/>
          <w:szCs w:val="14"/>
          <w:lang w:eastAsia="en-US"/>
        </w:rPr>
      </w:pPr>
      <w:r w:rsidRPr="00EE71AD">
        <w:rPr>
          <w:rFonts w:ascii="Bookman Old Style" w:eastAsiaTheme="minorHAnsi" w:hAnsi="Bookman Old Style"/>
          <w:i/>
          <w:sz w:val="14"/>
          <w:szCs w:val="14"/>
          <w:lang w:val="en-US" w:eastAsia="en-US"/>
        </w:rPr>
        <w:footnoteRef/>
      </w:r>
      <w:r w:rsidRPr="00EE71AD">
        <w:rPr>
          <w:rFonts w:ascii="Bookman Old Style" w:eastAsiaTheme="minorHAnsi" w:hAnsi="Bookman Old Style"/>
          <w:i/>
          <w:sz w:val="14"/>
          <w:szCs w:val="14"/>
          <w:lang w:eastAsia="en-US"/>
        </w:rPr>
        <w:t xml:space="preserve"> https://www.unodc.org/documents/commissions/CND/CND_Sessions/CND_63/Statements63_02.03.2020/Country_03.03.2020/Canada.pdf</w:t>
      </w:r>
    </w:p>
  </w:footnote>
  <w:footnote w:id="72">
    <w:p w14:paraId="542D490B" w14:textId="77777777" w:rsidR="00AF4882" w:rsidRPr="00EE71AD" w:rsidRDefault="00AF4882" w:rsidP="00AF4882">
      <w:pPr>
        <w:jc w:val="both"/>
        <w:rPr>
          <w:rFonts w:ascii="Bookman Old Style" w:eastAsiaTheme="minorHAnsi" w:hAnsi="Bookman Old Style"/>
          <w:i/>
          <w:sz w:val="14"/>
          <w:szCs w:val="14"/>
          <w:lang w:eastAsia="en-US"/>
        </w:rPr>
      </w:pPr>
      <w:r w:rsidRPr="00EE71AD">
        <w:rPr>
          <w:rFonts w:ascii="Bookman Old Style" w:eastAsiaTheme="minorHAnsi" w:hAnsi="Bookman Old Style"/>
          <w:i/>
          <w:sz w:val="14"/>
          <w:szCs w:val="14"/>
          <w:lang w:val="en-US" w:eastAsia="en-US"/>
        </w:rPr>
        <w:footnoteRef/>
      </w:r>
      <w:r w:rsidRPr="00EE71AD">
        <w:rPr>
          <w:rFonts w:ascii="Bookman Old Style" w:eastAsiaTheme="minorHAnsi" w:hAnsi="Bookman Old Style"/>
          <w:i/>
          <w:sz w:val="14"/>
          <w:szCs w:val="14"/>
          <w:lang w:val="en-US" w:eastAsia="en-US"/>
        </w:rPr>
        <w:t xml:space="preserve"> Ta M, Greto L, Bolt K. Trends and Characteristics in Marijuana Use Among Public School Students — King County, Washington, 2004–2016. </w:t>
      </w:r>
      <w:r w:rsidRPr="00EE71AD">
        <w:rPr>
          <w:rFonts w:ascii="Bookman Old Style" w:eastAsiaTheme="minorHAnsi" w:hAnsi="Bookman Old Style"/>
          <w:i/>
          <w:sz w:val="14"/>
          <w:szCs w:val="14"/>
          <w:lang w:eastAsia="en-US"/>
        </w:rPr>
        <w:t xml:space="preserve">MMWR Morb Mortal Wkly Rep 2019;68:845–850.Obtenido de: </w:t>
      </w:r>
      <w:hyperlink r:id="rId3" w:anchor="suggestedcitation" w:history="1">
        <w:r w:rsidRPr="00EE71AD">
          <w:rPr>
            <w:rFonts w:ascii="Bookman Old Style" w:eastAsiaTheme="minorHAnsi" w:hAnsi="Bookman Old Style"/>
            <w:i/>
            <w:sz w:val="14"/>
            <w:szCs w:val="14"/>
            <w:lang w:eastAsia="en-US"/>
          </w:rPr>
          <w:t>https://www.cdc.gov/mmwr/volumes/68/wr/mm6839a3.htm?s_cid=mm6839a3_w#suggestedcitation</w:t>
        </w:r>
      </w:hyperlink>
      <w:r w:rsidRPr="00EE71AD">
        <w:rPr>
          <w:rFonts w:ascii="Bookman Old Style" w:eastAsiaTheme="minorHAnsi" w:hAnsi="Bookman Old Style"/>
          <w:i/>
          <w:sz w:val="14"/>
          <w:szCs w:val="14"/>
          <w:lang w:eastAsia="en-US"/>
        </w:rPr>
        <w:t> </w:t>
      </w:r>
    </w:p>
  </w:footnote>
  <w:footnote w:id="73">
    <w:p w14:paraId="58D8A290" w14:textId="77777777" w:rsidR="00987C6B" w:rsidRPr="00EE71AD" w:rsidRDefault="00987C6B" w:rsidP="00987C6B">
      <w:pPr>
        <w:jc w:val="both"/>
        <w:rPr>
          <w:rFonts w:ascii="Bookman Old Style" w:eastAsiaTheme="minorHAnsi" w:hAnsi="Bookman Old Style"/>
          <w:i/>
          <w:sz w:val="14"/>
          <w:szCs w:val="14"/>
          <w:lang w:eastAsia="en-US"/>
        </w:rPr>
      </w:pPr>
      <w:r w:rsidRPr="00EE71AD">
        <w:rPr>
          <w:rFonts w:ascii="Bookman Old Style" w:eastAsiaTheme="minorHAnsi" w:hAnsi="Bookman Old Style"/>
          <w:i/>
          <w:sz w:val="14"/>
          <w:szCs w:val="14"/>
          <w:lang w:val="en-US" w:eastAsia="en-US"/>
        </w:rPr>
        <w:footnoteRef/>
      </w:r>
      <w:r w:rsidRPr="00EE71AD">
        <w:rPr>
          <w:rFonts w:ascii="Bookman Old Style" w:eastAsiaTheme="minorHAnsi" w:hAnsi="Bookman Old Style"/>
          <w:i/>
          <w:sz w:val="14"/>
          <w:szCs w:val="14"/>
          <w:lang w:eastAsia="en-US"/>
        </w:rPr>
        <w:t xml:space="preserve"> FIP. Nueve preguntas sobre marihuana medicinal. Obtenido de: https://www.ideaspaz.org/especiales/marihuana-medicinal/</w:t>
      </w:r>
    </w:p>
  </w:footnote>
  <w:footnote w:id="74">
    <w:p w14:paraId="09E14562" w14:textId="77777777" w:rsidR="00987C6B" w:rsidRPr="003702B6" w:rsidRDefault="00987C6B" w:rsidP="00987C6B">
      <w:pPr>
        <w:jc w:val="both"/>
        <w:rPr>
          <w:rFonts w:eastAsiaTheme="minorHAnsi"/>
          <w:i/>
          <w:sz w:val="14"/>
          <w:szCs w:val="14"/>
          <w:lang w:eastAsia="en-US"/>
        </w:rPr>
      </w:pPr>
      <w:r w:rsidRPr="00EE71AD">
        <w:rPr>
          <w:rFonts w:ascii="Bookman Old Style" w:eastAsiaTheme="minorHAnsi" w:hAnsi="Bookman Old Style"/>
          <w:i/>
          <w:sz w:val="14"/>
          <w:szCs w:val="14"/>
          <w:lang w:val="en-US" w:eastAsia="en-US"/>
        </w:rPr>
        <w:footnoteRef/>
      </w:r>
      <w:r w:rsidRPr="00EE71AD">
        <w:rPr>
          <w:rFonts w:ascii="Bookman Old Style" w:eastAsiaTheme="minorHAnsi" w:hAnsi="Bookman Old Style"/>
          <w:i/>
          <w:sz w:val="14"/>
          <w:szCs w:val="14"/>
          <w:lang w:eastAsia="en-US"/>
        </w:rPr>
        <w:t xml:space="preserve">  Colombian Check (2020). Obtenido de: https://colombiacheck.com/chequeos/miranda-compartio-viejo-meme-chileno-con-cifras-sin-fuente-favor-del-cannabis</w:t>
      </w:r>
    </w:p>
  </w:footnote>
  <w:footnote w:id="75">
    <w:p w14:paraId="222F76A1" w14:textId="77777777" w:rsidR="00987C6B" w:rsidRPr="00EE71AD" w:rsidRDefault="00987C6B" w:rsidP="00987C6B">
      <w:pPr>
        <w:jc w:val="both"/>
        <w:rPr>
          <w:rFonts w:ascii="Bookman Old Style" w:hAnsi="Bookman Old Style"/>
          <w:i/>
          <w:sz w:val="14"/>
          <w:szCs w:val="14"/>
        </w:rPr>
      </w:pPr>
      <w:r w:rsidRPr="00EE71AD">
        <w:rPr>
          <w:rFonts w:ascii="Bookman Old Style" w:eastAsiaTheme="minorHAnsi" w:hAnsi="Bookman Old Style"/>
          <w:i/>
          <w:sz w:val="14"/>
          <w:szCs w:val="14"/>
          <w:lang w:val="en-US" w:eastAsia="en-US"/>
        </w:rPr>
        <w:footnoteRef/>
      </w:r>
      <w:r w:rsidRPr="00EE71AD">
        <w:rPr>
          <w:rFonts w:ascii="Bookman Old Style" w:eastAsiaTheme="minorHAnsi" w:hAnsi="Bookman Old Style"/>
          <w:i/>
          <w:sz w:val="14"/>
          <w:szCs w:val="14"/>
          <w:lang w:val="en-US" w:eastAsia="en-US"/>
        </w:rPr>
        <w:t xml:space="preserve">  Denson, TF, Blundell,</w:t>
      </w:r>
      <w:r w:rsidRPr="00EE71AD">
        <w:rPr>
          <w:rFonts w:ascii="Bookman Old Style" w:hAnsi="Bookman Old Style"/>
          <w:i/>
          <w:sz w:val="14"/>
          <w:szCs w:val="14"/>
          <w:lang w:val="en-US" w:eastAsia="en-US"/>
        </w:rPr>
        <w:t xml:space="preserve"> KA, Schofield, TP y col. </w:t>
      </w:r>
      <w:r w:rsidRPr="00EE71AD">
        <w:rPr>
          <w:rFonts w:ascii="Bookman Old Style" w:hAnsi="Bookman Old Style"/>
          <w:i/>
          <w:sz w:val="14"/>
          <w:szCs w:val="14"/>
          <w:lang w:eastAsia="en-US"/>
        </w:rPr>
        <w:t>Los correlatos neurales de la agresión relacionada con el alcohol. Cogn Affect Behav Neurosci 18, 203–215 (2018).https://doi.org/10.3758/s13415-017-0558-0</w:t>
      </w:r>
    </w:p>
  </w:footnote>
  <w:footnote w:id="76">
    <w:p w14:paraId="11E6B08B" w14:textId="77777777" w:rsidR="00987C6B" w:rsidRPr="00EE71AD" w:rsidRDefault="00987C6B" w:rsidP="00987C6B">
      <w:pPr>
        <w:pStyle w:val="Textonotapie"/>
        <w:jc w:val="both"/>
        <w:rPr>
          <w:rFonts w:ascii="Bookman Old Style" w:hAnsi="Bookman Old Style" w:cs="Times New Roman"/>
          <w:sz w:val="14"/>
          <w:szCs w:val="14"/>
        </w:rPr>
      </w:pPr>
      <w:r w:rsidRPr="00EE71AD">
        <w:rPr>
          <w:rFonts w:ascii="Bookman Old Style" w:hAnsi="Bookman Old Style" w:cs="Times New Roman"/>
          <w:i/>
          <w:sz w:val="14"/>
          <w:szCs w:val="14"/>
        </w:rPr>
        <w:footnoteRef/>
      </w:r>
      <w:r w:rsidRPr="00EE71AD">
        <w:rPr>
          <w:rFonts w:ascii="Bookman Old Style" w:hAnsi="Bookman Old Style" w:cs="Times New Roman"/>
          <w:i/>
          <w:sz w:val="14"/>
          <w:szCs w:val="14"/>
        </w:rPr>
        <w:t xml:space="preserve"> Corte Constitucional, Sentencia C-221 de 1994. M.P. Carlos Gaviria Díaz.</w:t>
      </w:r>
    </w:p>
  </w:footnote>
  <w:footnote w:id="77">
    <w:p w14:paraId="29B5E81F" w14:textId="77777777" w:rsidR="00C04E96" w:rsidRPr="00EE71AD" w:rsidRDefault="00C04E96" w:rsidP="00987C6B">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i/>
          <w:iCs/>
          <w:sz w:val="14"/>
          <w:szCs w:val="14"/>
        </w:rPr>
        <w:footnoteRef/>
      </w:r>
      <w:r w:rsidRPr="00EE71AD">
        <w:rPr>
          <w:rFonts w:ascii="Bookman Old Style" w:hAnsi="Bookman Old Style" w:cs="Times New Roman"/>
          <w:i/>
          <w:iCs/>
          <w:sz w:val="14"/>
          <w:szCs w:val="14"/>
        </w:rPr>
        <w:t xml:space="preserve"> </w:t>
      </w:r>
      <w:r w:rsidRPr="00EE71AD">
        <w:rPr>
          <w:rFonts w:ascii="Bookman Old Style" w:hAnsi="Bookman Old Style" w:cs="Times New Roman"/>
          <w:i/>
          <w:iCs/>
          <w:sz w:val="14"/>
          <w:szCs w:val="14"/>
          <w:lang w:val="es-ES_tradnl"/>
        </w:rPr>
        <w:t>“</w:t>
      </w:r>
      <w:r w:rsidRPr="00EE71AD">
        <w:rPr>
          <w:rFonts w:ascii="Bookman Old Style" w:hAnsi="Bookman Old Style" w:cs="Times New Roman"/>
          <w:i/>
          <w:sz w:val="14"/>
          <w:szCs w:val="14"/>
          <w:lang w:val="es-ES_tradnl"/>
        </w:rPr>
        <w:t>Por la cual se dictan normas para garantizar la atención integral a personas que consumen sustancias psicoactivas y se crea el premio nacional "entidad comprometida con la prevención del consumo, abuso y adicción a sustancias psicoactivas"</w:t>
      </w:r>
      <w:r w:rsidRPr="00EE71AD">
        <w:rPr>
          <w:rFonts w:ascii="Bookman Old Style" w:hAnsi="Bookman Old Style" w:cs="Times New Roman"/>
          <w:sz w:val="14"/>
          <w:szCs w:val="14"/>
          <w:lang w:val="es-ES_tradnl"/>
        </w:rPr>
        <w:t xml:space="preserve">, la cual indica en su Artículo 2 que </w:t>
      </w:r>
      <w:r w:rsidRPr="00EE71AD">
        <w:rPr>
          <w:rFonts w:ascii="Bookman Old Style" w:hAnsi="Bookman Old Style" w:cs="Times New Roman"/>
          <w:i/>
          <w:sz w:val="14"/>
          <w:szCs w:val="14"/>
          <w:lang w:val="es-ES_tradnl"/>
        </w:rPr>
        <w:t>“toda persona que sufra trastornos mentales o cualquier otra patología derivada del consumo, abuso y adicción a sustancias psicoactivas lícitas o ilícitas, tendrá derecho a ser atendida en forma integral por las entidades que conforman el Sistema General de Seguridad Social en Salud y las instituciones públicas o privadas especializadas para el tratamiento de dichos trastornos”</w:t>
      </w:r>
    </w:p>
  </w:footnote>
  <w:footnote w:id="78">
    <w:p w14:paraId="4296B2A5" w14:textId="77777777" w:rsidR="00C04E96" w:rsidRPr="00987C6B" w:rsidRDefault="00C04E96" w:rsidP="00987C6B">
      <w:pPr>
        <w:pStyle w:val="Textonotapie"/>
        <w:jc w:val="both"/>
        <w:rPr>
          <w:rFonts w:ascii="Times New Roman" w:hAnsi="Times New Roman"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Dejusticia, “Comentarios borrador de decreto por medio del cual se adiciona el capítulo 9 del título 8 de la parte 2 del libro 2 del Decreto 1070 de 2015, "Decreto Único Reglamentario del Sector Administrativo de Defensa", para reglamentar parcialmente el Código Nacional de Policía y Convivencia, en lo referente a la prohibición de poseer, tener, entregar, distribuir o comercializar drogas o sustancias prohibidas” 2018.</w:t>
      </w:r>
    </w:p>
  </w:footnote>
  <w:footnote w:id="79">
    <w:p w14:paraId="2A50456D" w14:textId="77777777" w:rsidR="00C04E96" w:rsidRPr="00EE71AD" w:rsidRDefault="00C04E96" w:rsidP="00987C6B">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w:t>
      </w:r>
      <w:r w:rsidRPr="00EE71AD">
        <w:rPr>
          <w:rFonts w:ascii="Bookman Old Style" w:eastAsia="Calibri" w:hAnsi="Bookman Old Style" w:cs="Times New Roman"/>
          <w:i/>
          <w:sz w:val="14"/>
          <w:szCs w:val="14"/>
        </w:rPr>
        <w:t>Medina-Mora, Real, Villatoro, &amp; Natera, “Las drogas y la salud pública: ¿hacia dónde vamos?”, 2013; página 68</w:t>
      </w:r>
    </w:p>
  </w:footnote>
  <w:footnote w:id="80">
    <w:p w14:paraId="64842623" w14:textId="77777777" w:rsidR="00C04E96" w:rsidRPr="00EE71AD" w:rsidRDefault="00C04E96" w:rsidP="00F36280">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w:t>
      </w:r>
      <w:r w:rsidRPr="00EE71AD">
        <w:rPr>
          <w:rFonts w:ascii="Bookman Old Style" w:eastAsia="Calibri" w:hAnsi="Bookman Old Style" w:cs="Times New Roman"/>
          <w:i/>
          <w:sz w:val="14"/>
          <w:szCs w:val="14"/>
        </w:rPr>
        <w:t>Ministerio de Salud, Dirección de Promoción y prevención,”El consumo de SPA en Colombia” 2015.</w:t>
      </w:r>
    </w:p>
  </w:footnote>
  <w:footnote w:id="81">
    <w:p w14:paraId="3CB7E7C1" w14:textId="77777777" w:rsidR="00C04E96" w:rsidRPr="00EC7C59" w:rsidRDefault="00C04E96" w:rsidP="00F36280">
      <w:pPr>
        <w:jc w:val="both"/>
        <w:rPr>
          <w:rFonts w:eastAsia="Calibri"/>
          <w:i/>
          <w:sz w:val="16"/>
          <w:szCs w:val="16"/>
        </w:rPr>
      </w:pPr>
      <w:r w:rsidRPr="00EE71AD">
        <w:rPr>
          <w:rStyle w:val="Refdenotaalpie"/>
          <w:rFonts w:ascii="Bookman Old Style" w:hAnsi="Bookman Old Style"/>
          <w:i/>
          <w:sz w:val="14"/>
          <w:szCs w:val="14"/>
        </w:rPr>
        <w:footnoteRef/>
      </w:r>
      <w:r w:rsidRPr="00EE71AD">
        <w:rPr>
          <w:rFonts w:ascii="Bookman Old Style" w:hAnsi="Bookman Old Style"/>
          <w:i/>
          <w:sz w:val="14"/>
          <w:szCs w:val="14"/>
        </w:rPr>
        <w:t xml:space="preserve"> Rodrigo Uprimny, “Una oportunidad perdida”, Dejusticia. 2019</w:t>
      </w:r>
    </w:p>
  </w:footnote>
  <w:footnote w:id="82">
    <w:p w14:paraId="1B5A963D" w14:textId="77777777" w:rsidR="008F2EDE" w:rsidRPr="00EE71AD" w:rsidRDefault="008F2EDE" w:rsidP="00EE71A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sz w:val="14"/>
          <w:szCs w:val="14"/>
        </w:rPr>
        <w:footnoteRef/>
      </w:r>
      <w:r w:rsidRPr="00EE71AD">
        <w:rPr>
          <w:rFonts w:ascii="Bookman Old Style" w:hAnsi="Bookman Old Style" w:cs="Times New Roman"/>
          <w:sz w:val="14"/>
          <w:szCs w:val="14"/>
        </w:rPr>
        <w:t xml:space="preserve"> </w:t>
      </w:r>
      <w:r w:rsidRPr="00EE71AD">
        <w:rPr>
          <w:rFonts w:ascii="Bookman Old Style" w:hAnsi="Bookman Old Style" w:cs="Times New Roman"/>
          <w:i/>
          <w:sz w:val="14"/>
          <w:szCs w:val="14"/>
        </w:rPr>
        <w:t>British Broadcasting Corporation BBC Cuáles son las sustancias más adictivas del mundo y qué le hacen a nuestro cerebro, recuperado de https://www.bbc.com/mundo/noticias-46877409</w:t>
      </w:r>
    </w:p>
  </w:footnote>
  <w:footnote w:id="83">
    <w:p w14:paraId="7D4258DB" w14:textId="77777777" w:rsidR="008F2EDE" w:rsidRPr="00EE71AD" w:rsidRDefault="008F2EDE" w:rsidP="00EE71A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sz w:val="14"/>
          <w:szCs w:val="14"/>
        </w:rPr>
        <w:footnoteRef/>
      </w:r>
      <w:r w:rsidRPr="00EE71AD">
        <w:rPr>
          <w:rFonts w:ascii="Bookman Old Style" w:hAnsi="Bookman Old Style" w:cs="Times New Roman"/>
          <w:sz w:val="14"/>
          <w:szCs w:val="14"/>
        </w:rPr>
        <w:t xml:space="preserve"> </w:t>
      </w:r>
      <w:r w:rsidRPr="00EE71AD">
        <w:rPr>
          <w:rFonts w:ascii="Bookman Old Style" w:hAnsi="Bookman Old Style" w:cs="Times New Roman"/>
          <w:i/>
          <w:sz w:val="14"/>
          <w:szCs w:val="14"/>
        </w:rPr>
        <w:t>Cesar Augusto Giraldo Giraldo, Medicina Forense, 2009.</w:t>
      </w:r>
    </w:p>
  </w:footnote>
  <w:footnote w:id="84">
    <w:p w14:paraId="7557BA53" w14:textId="77777777" w:rsidR="008F2EDE" w:rsidRPr="00EE71AD" w:rsidRDefault="008F2EDE" w:rsidP="00EE71A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sz w:val="14"/>
          <w:szCs w:val="14"/>
        </w:rPr>
        <w:footnoteRef/>
      </w:r>
      <w:r w:rsidRPr="00EE71AD">
        <w:rPr>
          <w:rFonts w:ascii="Bookman Old Style" w:hAnsi="Bookman Old Style" w:cs="Times New Roman"/>
          <w:sz w:val="14"/>
          <w:szCs w:val="14"/>
          <w:lang w:val="en-US"/>
        </w:rPr>
        <w:t xml:space="preserve"> </w:t>
      </w:r>
      <w:r w:rsidRPr="00EE71AD">
        <w:rPr>
          <w:rFonts w:ascii="Bookman Old Style" w:hAnsi="Bookman Old Style" w:cs="Times New Roman"/>
          <w:i/>
          <w:sz w:val="14"/>
          <w:szCs w:val="14"/>
          <w:lang w:val="en-US"/>
        </w:rPr>
        <w:t xml:space="preserve">Leslie King and Lawrence Phillips. “Drug harms in the UK: a multicriteria decision analysis”. </w:t>
      </w:r>
      <w:r w:rsidRPr="00EE71AD">
        <w:rPr>
          <w:rFonts w:ascii="Bookman Old Style" w:hAnsi="Bookman Old Style" w:cs="Times New Roman"/>
          <w:i/>
          <w:sz w:val="14"/>
          <w:szCs w:val="14"/>
        </w:rPr>
        <w:t>David Nutt. The Lancet, 2010.</w:t>
      </w:r>
    </w:p>
  </w:footnote>
  <w:footnote w:id="85">
    <w:p w14:paraId="4193EA3A" w14:textId="77777777" w:rsidR="008F2EDE" w:rsidRPr="00EE71AD" w:rsidRDefault="008F2EDE" w:rsidP="00EE71A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sz w:val="14"/>
          <w:szCs w:val="14"/>
        </w:rPr>
        <w:footnoteRef/>
      </w:r>
      <w:r w:rsidRPr="00EE71AD">
        <w:rPr>
          <w:rFonts w:ascii="Bookman Old Style" w:hAnsi="Bookman Old Style" w:cs="Times New Roman"/>
          <w:sz w:val="14"/>
          <w:szCs w:val="14"/>
        </w:rPr>
        <w:t xml:space="preserve"> </w:t>
      </w:r>
      <w:r w:rsidRPr="00EE71AD">
        <w:rPr>
          <w:rFonts w:ascii="Bookman Old Style" w:hAnsi="Bookman Old Style" w:cs="Times New Roman"/>
          <w:i/>
          <w:sz w:val="14"/>
          <w:szCs w:val="14"/>
        </w:rPr>
        <w:t>Cesar Augusto Giraldo Giraldo, Medicina Forense, 2009.</w:t>
      </w:r>
    </w:p>
  </w:footnote>
  <w:footnote w:id="86">
    <w:p w14:paraId="628D9872" w14:textId="77777777" w:rsidR="008F2EDE" w:rsidRPr="00EE71AD" w:rsidRDefault="008F2EDE" w:rsidP="00EE71A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sz w:val="14"/>
          <w:szCs w:val="14"/>
        </w:rPr>
        <w:footnoteRef/>
      </w:r>
      <w:r w:rsidRPr="00EE71AD">
        <w:rPr>
          <w:rFonts w:ascii="Bookman Old Style" w:hAnsi="Bookman Old Style" w:cs="Times New Roman"/>
          <w:sz w:val="14"/>
          <w:szCs w:val="14"/>
        </w:rPr>
        <w:t xml:space="preserve"> </w:t>
      </w:r>
      <w:r w:rsidRPr="00EE71AD">
        <w:rPr>
          <w:rFonts w:ascii="Bookman Old Style" w:hAnsi="Bookman Old Style" w:cs="Times New Roman"/>
          <w:i/>
          <w:sz w:val="14"/>
          <w:szCs w:val="14"/>
        </w:rPr>
        <w:t>Cesar Augusto Giraldo Giraldo, Medicina Forense, 2009.</w:t>
      </w:r>
    </w:p>
  </w:footnote>
  <w:footnote w:id="87">
    <w:p w14:paraId="6D1E4466" w14:textId="77777777" w:rsidR="008F2EDE" w:rsidRPr="00EE71AD" w:rsidRDefault="008F2EDE" w:rsidP="00EE71AD">
      <w:pPr>
        <w:pStyle w:val="Textonotapie"/>
        <w:jc w:val="both"/>
        <w:rPr>
          <w:rFonts w:ascii="Bookman Old Style" w:hAnsi="Bookman Old Style"/>
          <w:sz w:val="14"/>
          <w:szCs w:val="14"/>
          <w:lang w:val="en-US"/>
        </w:rPr>
      </w:pPr>
      <w:r w:rsidRPr="00EE71AD">
        <w:rPr>
          <w:rStyle w:val="Refdenotaalpie"/>
          <w:rFonts w:ascii="Bookman Old Style" w:hAnsi="Bookman Old Style"/>
          <w:sz w:val="14"/>
          <w:szCs w:val="14"/>
        </w:rPr>
        <w:footnoteRef/>
      </w:r>
      <w:r w:rsidRPr="00EE71AD">
        <w:rPr>
          <w:rFonts w:ascii="Bookman Old Style" w:hAnsi="Bookman Old Style"/>
          <w:sz w:val="14"/>
          <w:szCs w:val="14"/>
          <w:lang w:val="en-US"/>
        </w:rPr>
        <w:t xml:space="preserve"> </w:t>
      </w:r>
      <w:r w:rsidRPr="00EE71AD">
        <w:rPr>
          <w:rFonts w:ascii="Bookman Old Style" w:hAnsi="Bookman Old Style" w:cs="Times New Roman"/>
          <w:i/>
          <w:sz w:val="14"/>
          <w:szCs w:val="14"/>
          <w:lang w:val="en-US"/>
        </w:rPr>
        <w:t>Marel, C., Sunderland, M., Mills, K. L., Slade, T., Teesson, M., &amp; Chapman, C. (2019). Conditional probabilities of substance use disorders and associated risk factors: Progression from first use to use disorder on alcohol, cannabis, stimulants, sedatives and opioids. Drug and alcohol dependence, 194, 136–142. https://doi.org/10.1016/j.drugalcdep.2018.10.010</w:t>
      </w:r>
    </w:p>
  </w:footnote>
  <w:footnote w:id="88">
    <w:p w14:paraId="3D32E7FA" w14:textId="77777777" w:rsidR="008F2EDE" w:rsidRPr="003702B6" w:rsidRDefault="008F2EDE" w:rsidP="00EE71AD">
      <w:pPr>
        <w:pStyle w:val="Textonotapie"/>
        <w:jc w:val="both"/>
        <w:rPr>
          <w:rFonts w:ascii="Times New Roman" w:hAnsi="Times New Roman" w:cs="Times New Roman"/>
          <w:sz w:val="14"/>
          <w:szCs w:val="14"/>
          <w:lang w:val="en-US"/>
        </w:rPr>
      </w:pPr>
      <w:r w:rsidRPr="00EE71AD">
        <w:rPr>
          <w:rStyle w:val="Refdenotaalpie"/>
          <w:rFonts w:ascii="Bookman Old Style" w:hAnsi="Bookman Old Style" w:cs="Times New Roman"/>
          <w:sz w:val="14"/>
          <w:szCs w:val="14"/>
        </w:rPr>
        <w:footnoteRef/>
      </w:r>
      <w:r w:rsidRPr="00EE71AD">
        <w:rPr>
          <w:rFonts w:ascii="Bookman Old Style" w:hAnsi="Bookman Old Style" w:cs="Times New Roman"/>
          <w:sz w:val="14"/>
          <w:szCs w:val="14"/>
          <w:lang w:val="en-US"/>
        </w:rPr>
        <w:t xml:space="preserve"> </w:t>
      </w:r>
      <w:r w:rsidRPr="00EE71AD">
        <w:rPr>
          <w:rFonts w:ascii="Bookman Old Style" w:hAnsi="Bookman Old Style" w:cs="Times New Roman"/>
          <w:i/>
          <w:sz w:val="14"/>
          <w:szCs w:val="14"/>
          <w:lang w:val="en-US"/>
        </w:rPr>
        <w:t>Cesar Augusto Giraldo Giraldo, Medicina Forense, 2009.</w:t>
      </w:r>
    </w:p>
  </w:footnote>
  <w:footnote w:id="89">
    <w:p w14:paraId="3510FF1D" w14:textId="77777777" w:rsidR="00C04E96" w:rsidRPr="00EE71AD" w:rsidRDefault="00C04E96" w:rsidP="001B4F33">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lang w:val="en-US"/>
        </w:rPr>
        <w:t xml:space="preserve"> German Lopez. </w:t>
      </w:r>
      <w:hyperlink r:id="rId4" w:tgtFrame="_blank" w:history="1">
        <w:r w:rsidRPr="00EE71AD">
          <w:rPr>
            <w:rFonts w:ascii="Bookman Old Style" w:hAnsi="Bookman Old Style" w:cs="Times New Roman"/>
            <w:i/>
            <w:sz w:val="14"/>
            <w:szCs w:val="14"/>
            <w:lang w:val="en-US"/>
          </w:rPr>
          <w:t xml:space="preserve">The three deathliest drugs in America. </w:t>
        </w:r>
        <w:r w:rsidRPr="00EE71AD">
          <w:rPr>
            <w:rFonts w:ascii="Bookman Old Style" w:hAnsi="Bookman Old Style" w:cs="Times New Roman"/>
            <w:i/>
            <w:sz w:val="14"/>
            <w:szCs w:val="14"/>
          </w:rPr>
          <w:t>Vox 2017</w:t>
        </w:r>
      </w:hyperlink>
      <w:r w:rsidRPr="00EE71AD">
        <w:rPr>
          <w:rFonts w:ascii="Bookman Old Style" w:hAnsi="Bookman Old Style" w:cs="Times New Roman"/>
          <w:i/>
          <w:sz w:val="14"/>
          <w:szCs w:val="14"/>
        </w:rPr>
        <w:t>.</w:t>
      </w:r>
    </w:p>
  </w:footnote>
  <w:footnote w:id="90">
    <w:p w14:paraId="6817D094" w14:textId="77777777" w:rsidR="00C04E96" w:rsidRPr="00EE71AD" w:rsidRDefault="00C04E96" w:rsidP="00F36280">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Pretendiendo que cada uno de los sub-principios del test se pudiese aplicar de manera gradual, de acuerdo con la extensión del margen de apreciación del legislador o la administración.</w:t>
      </w:r>
    </w:p>
  </w:footnote>
  <w:footnote w:id="91">
    <w:p w14:paraId="74A99DD2" w14:textId="77777777" w:rsidR="00C04E96" w:rsidRPr="00EE71AD" w:rsidRDefault="00C04E96" w:rsidP="00F36280">
      <w:pPr>
        <w:jc w:val="both"/>
        <w:rPr>
          <w:rFonts w:ascii="Bookman Old Style" w:eastAsia="Calibri" w:hAnsi="Bookman Old Style"/>
          <w:i/>
          <w:sz w:val="14"/>
          <w:szCs w:val="14"/>
        </w:rPr>
      </w:pPr>
      <w:r w:rsidRPr="00EE71AD">
        <w:rPr>
          <w:rStyle w:val="Refdenotaalpie"/>
          <w:rFonts w:ascii="Bookman Old Style" w:hAnsi="Bookman Old Style"/>
          <w:i/>
          <w:sz w:val="14"/>
          <w:szCs w:val="14"/>
        </w:rPr>
        <w:footnoteRef/>
      </w:r>
      <w:r w:rsidRPr="00EE71AD">
        <w:rPr>
          <w:rFonts w:ascii="Bookman Old Style" w:hAnsi="Bookman Old Style"/>
          <w:i/>
          <w:sz w:val="14"/>
          <w:szCs w:val="14"/>
        </w:rPr>
        <w:t xml:space="preserve"> Corte Constitucional, Sentencia C-104 de 2016, M.P. Luis Guillermo Guerrero Pérez.</w:t>
      </w:r>
    </w:p>
  </w:footnote>
  <w:footnote w:id="92">
    <w:p w14:paraId="2A187C40" w14:textId="77777777" w:rsidR="00C04E96" w:rsidRPr="00EE71AD" w:rsidRDefault="00C04E96" w:rsidP="00F36280">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w:t>
      </w:r>
      <w:r w:rsidRPr="00EE71AD">
        <w:rPr>
          <w:rFonts w:ascii="Bookman Old Style" w:eastAsia="Calibri" w:hAnsi="Bookman Old Style" w:cs="Times New Roman"/>
          <w:i/>
          <w:sz w:val="14"/>
          <w:szCs w:val="14"/>
        </w:rPr>
        <w:t>Corte Constitucional, Sentencia C-144 de 2015. M.P. Martha Victoria Sáchica Méndez.</w:t>
      </w:r>
    </w:p>
  </w:footnote>
  <w:footnote w:id="93">
    <w:p w14:paraId="08635994" w14:textId="77777777" w:rsidR="00C04E96" w:rsidRPr="00EE71AD" w:rsidRDefault="00C04E96" w:rsidP="00F36280">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Ibidem.</w:t>
      </w:r>
    </w:p>
  </w:footnote>
  <w:footnote w:id="94">
    <w:p w14:paraId="66702A53" w14:textId="77777777" w:rsidR="00C04E96" w:rsidRPr="00EE71AD" w:rsidRDefault="00C04E96" w:rsidP="00F36280">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Corte Constitucional, Sentencia C-104 de 2016, M.P. Luis Guillermo Guerrero Pérez.</w:t>
      </w:r>
    </w:p>
  </w:footnote>
  <w:footnote w:id="95">
    <w:p w14:paraId="7814AEC1" w14:textId="77777777" w:rsidR="00C04E96" w:rsidRPr="001E18FE" w:rsidRDefault="00C04E96" w:rsidP="00F36280">
      <w:pPr>
        <w:pStyle w:val="Textonotapie"/>
        <w:jc w:val="both"/>
        <w:rPr>
          <w:rFonts w:ascii="Times New Roman" w:hAnsi="Times New Roman" w:cs="Times New Roman"/>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Ibidem.</w:t>
      </w:r>
    </w:p>
  </w:footnote>
  <w:footnote w:id="96">
    <w:p w14:paraId="4C8124F0" w14:textId="77777777" w:rsidR="00C04E96" w:rsidRPr="00EE71AD" w:rsidRDefault="00C04E96" w:rsidP="00F36280">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Corte Constitucional, Sentencia C-221 de 1994. M.P. Carlos Gaviria Díaz.</w:t>
      </w:r>
    </w:p>
  </w:footnote>
  <w:footnote w:id="97">
    <w:p w14:paraId="1172EAB9" w14:textId="77777777" w:rsidR="00C04E96" w:rsidRPr="00EE71AD" w:rsidRDefault="00C04E96" w:rsidP="00F36280">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Centro de Estudios de Derecho, Justicia y Sociedad, Dejusticia. 2017. Sobredosis Carcelaria y Política de Drogas en América Latina. Documentos Dejusticia 37. (PP.10) Recuperado de: https://www.dejusticia.org/wp-content/uploads/2017/07/Delitos-de-drogas-y-sobredosis-carcelaria-en-Colombia-Version-final-PDF-para-WEB.pdf</w:t>
      </w:r>
    </w:p>
  </w:footnote>
  <w:footnote w:id="98">
    <w:p w14:paraId="00A38564" w14:textId="77777777" w:rsidR="00C04E96" w:rsidRPr="00EE71AD" w:rsidRDefault="00C04E96" w:rsidP="00F36280">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Centro de Estudios de Derecho, Justicia y Sociedad, Dejusticia. 2017. Sobredosis Carcelaria y Política de Drogas en América Latina. Documentos Dejusticia 37. (PP.20) Recuperado de: https://www.dejusticia.org/wp-content/uploads/2017/07/Delitos-de-drogas-y-sobredosis-carcelaria-en-Colombia-Version-final-PDF-para-WEB.pdf</w:t>
      </w:r>
    </w:p>
  </w:footnote>
  <w:footnote w:id="99">
    <w:p w14:paraId="1C40FA10" w14:textId="77777777" w:rsidR="00C04E96" w:rsidRPr="00EE71AD" w:rsidRDefault="00C04E96" w:rsidP="00F36280">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Centro de Estudios de Derecho, Justicia y Sociedad, Dejusticia. 2017. Sobredosis Carcelaria y Política de Drogas en América Latina. Documentos Dejusticia 37. (PP.10) Recuperado de: https://www.dejusticia.org/wp-content/uploads/2017/07/Delitos-de-drogas-y-sobredosis-carcelaria-en-Colombia-Version-final-PDF-para-WEB.pdf</w:t>
      </w:r>
    </w:p>
  </w:footnote>
  <w:footnote w:id="100">
    <w:p w14:paraId="03C5FC27" w14:textId="77777777" w:rsidR="00C04E96" w:rsidRPr="001E18FE" w:rsidRDefault="00C04E96" w:rsidP="00F36280">
      <w:pPr>
        <w:pStyle w:val="Textonotapie"/>
        <w:jc w:val="both"/>
        <w:rPr>
          <w:rFonts w:ascii="Times New Roman" w:hAnsi="Times New Roman" w:cs="Times New Roman"/>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Centro de Estudios de Derecho, Justicia y Sociedad, Dejusticia. 2017. Sobredosis Carcelaria y Política de Drogas en América Latina. Documentos Dejusticia 37.  Recuperado de: https://www.dejusticia.org/wp-content/uploads/2017/07/Delitos-de-drogas-y-sobredosis-carcelaria-en-Colombia-Version-final-PDF-para-WEB.pdf</w:t>
      </w:r>
    </w:p>
  </w:footnote>
  <w:footnote w:id="101">
    <w:p w14:paraId="5D6715F5" w14:textId="77777777" w:rsidR="00C04E96" w:rsidRPr="00EE71AD" w:rsidRDefault="00C04E96" w:rsidP="00F36280">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lang w:val="en-US"/>
        </w:rPr>
        <w:t xml:space="preserve"> World Prison Brief, Institute for Criminal Policy Research. </w:t>
      </w:r>
      <w:r w:rsidRPr="00EE71AD">
        <w:rPr>
          <w:rFonts w:ascii="Bookman Old Style" w:hAnsi="Bookman Old Style" w:cs="Times New Roman"/>
          <w:i/>
          <w:sz w:val="14"/>
          <w:szCs w:val="14"/>
        </w:rPr>
        <w:t>Recuperado de: http://www.prisonstudies.org/highest-to-lowest/prison-population-total y http://www.prisonstudies.org/country/colombia</w:t>
      </w:r>
    </w:p>
  </w:footnote>
  <w:footnote w:id="102">
    <w:p w14:paraId="56C23986" w14:textId="77777777" w:rsidR="00C04E96" w:rsidRPr="001E18FE" w:rsidRDefault="00C04E96" w:rsidP="00F36280">
      <w:pPr>
        <w:pStyle w:val="Textonotapie"/>
        <w:jc w:val="both"/>
        <w:rPr>
          <w:rFonts w:ascii="Times New Roman" w:hAnsi="Times New Roman" w:cs="Times New Roman"/>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DANE. Estimaciones De Población 1985-2005 Y Proyecciones De Población 2005-2020 Nacional y Departamental Desagregado por Área, Sexo Y Grupos Quinquenales De Edad. Recuperado de: https://sitios.dane.gov.co/cnpv-presentacion/src/#cuantos00</w:t>
      </w:r>
    </w:p>
  </w:footnote>
  <w:footnote w:id="103">
    <w:p w14:paraId="74259FD8" w14:textId="77777777" w:rsidR="00C04E96" w:rsidRPr="00EE71AD" w:rsidRDefault="00C04E96" w:rsidP="00EE71AD">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Centro de Estudios de Derecho, Justicia y Sociedad, Dejusticia. 2017. Sobredosis Carcelaria y Política de Drogas en América Latina. Documentos Dejusticia 37. Recuperado de: https://www.dejusticia.org/wp-content/uploads/2017/07/Delitos-de-drogas-y-sobredosis-carcelaria-en-Colombia-Version-final-PDF-para-WEB.pdf</w:t>
      </w:r>
    </w:p>
  </w:footnote>
  <w:footnote w:id="104">
    <w:p w14:paraId="62721D53" w14:textId="77777777" w:rsidR="00C04E96" w:rsidRPr="00EE71AD" w:rsidRDefault="00C04E96" w:rsidP="00EE71A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i/>
          <w:iCs/>
          <w:sz w:val="14"/>
          <w:szCs w:val="14"/>
        </w:rPr>
        <w:footnoteRef/>
      </w:r>
      <w:r w:rsidRPr="00EE71AD">
        <w:rPr>
          <w:rFonts w:ascii="Bookman Old Style" w:hAnsi="Bookman Old Style" w:cs="Times New Roman"/>
          <w:i/>
          <w:iCs/>
          <w:sz w:val="14"/>
          <w:szCs w:val="14"/>
        </w:rPr>
        <w:t xml:space="preserve"> </w:t>
      </w:r>
      <w:r w:rsidRPr="00EE71AD">
        <w:rPr>
          <w:rFonts w:ascii="Bookman Old Style" w:hAnsi="Bookman Old Style" w:cs="Times New Roman"/>
          <w:i/>
          <w:sz w:val="14"/>
          <w:szCs w:val="14"/>
        </w:rPr>
        <w:t>Centro de Estudios de Derecho, Justicia y Sociedad, Dejusticia. 2017. Sobredosis Carcelaria y Política de Drogas en América Latina. Documentos Dejusticia 37. (Pp. 46) Recuperado de: https://www.dejusticia.org/wp-content/uploads/2017/07/Delitos-de-drogas-y-sobredosis-carcelaria-en-Colombia-Version-final-PDF-para-WEB.pdf</w:t>
      </w:r>
    </w:p>
  </w:footnote>
  <w:footnote w:id="105">
    <w:p w14:paraId="4EDBDCBB" w14:textId="77777777" w:rsidR="00C04E96" w:rsidRPr="00EE71AD" w:rsidRDefault="00C04E96" w:rsidP="00EE71AD">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Centro de Estudios de Derecho, Justicia y Sociedad, Dejusticia. 2017. Sobredosis Carcelaria y Política de Drogas en América Latina. Documentos Dejusticia 37. (Pp. 32) Recuperado de: https://www.dejusticia.org/wp-content/uploads/2017/07/Delitos-de-drogas-y-sobredosis-carcelaria-en-Colombia-Version-final-PDF-para-WEB.pdf</w:t>
      </w:r>
    </w:p>
  </w:footnote>
  <w:footnote w:id="106">
    <w:p w14:paraId="63AFDB22" w14:textId="77777777" w:rsidR="00C04E96" w:rsidRPr="00EE71AD" w:rsidRDefault="00C04E96" w:rsidP="00EE71AD">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Centro de Estudios de Derecho, Justicia y Sociedad, Dejusticia. 2017. Sobredosis Carcelaria y Política de Drogas en América Latina. Documentos Dejusticia 37. (Pp. 58) Recuperado de: https://www.dejusticia.org/wp-content/uploads/2017/07/Delitos-de-drogas-y-sobredosis-carcelaria-en-Colombia-Version-final-PDF-para-WEB.pdf</w:t>
      </w:r>
    </w:p>
  </w:footnote>
  <w:footnote w:id="107">
    <w:p w14:paraId="6C768216" w14:textId="77777777" w:rsidR="00C04E96" w:rsidRPr="00EE71AD" w:rsidRDefault="00C04E96" w:rsidP="00EE71A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Centro de Estudios de Derecho, Justicia y Sociedad, Dejusticia. 2017. Sobredosis Carcelaria y Política de Drogas en América Latina. Documentos Dejusticia 37. (Pp. 50) Recuperado de: https://www.dejusticia.org/wp-content/uploads/2017/07/Delitos-de-drogas-y-sobredosis-carcelaria-en-Colombia-Version-final-PDF-para-WEB.pdf</w:t>
      </w:r>
    </w:p>
  </w:footnote>
  <w:footnote w:id="108">
    <w:p w14:paraId="196984EC" w14:textId="77777777" w:rsidR="00C04E96" w:rsidRPr="001E18FE" w:rsidRDefault="00C04E96" w:rsidP="00EE71AD">
      <w:pPr>
        <w:pStyle w:val="Textonotapie"/>
        <w:jc w:val="both"/>
        <w:rPr>
          <w:rFonts w:ascii="Times New Roman" w:hAnsi="Times New Roman" w:cs="Times New Roman"/>
          <w:i/>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Centro de Estudios de Derecho, Justicia y Sociedad, Dejusticia. 2017. Sobredosis Carcelaria y Política de Drogas en América Latina. Documentos Dejusticia 37. (Pp. 73) Recuperado de: </w:t>
      </w:r>
      <w:hyperlink r:id="rId5" w:history="1">
        <w:r w:rsidRPr="00EE71AD">
          <w:rPr>
            <w:rStyle w:val="Hipervnculo"/>
            <w:rFonts w:ascii="Bookman Old Style" w:hAnsi="Bookman Old Style" w:cs="Times New Roman"/>
            <w:i/>
            <w:color w:val="auto"/>
            <w:sz w:val="14"/>
            <w:szCs w:val="14"/>
            <w:u w:val="none"/>
          </w:rPr>
          <w:t>https://www.dejusticia.org/wp-content/uploads/2017/07/Delitos-de-drogas-y-sobredosis-carcelaria-en-Colombia-Version-final-PDF-para-WEB.pdf</w:t>
        </w:r>
      </w:hyperlink>
    </w:p>
  </w:footnote>
  <w:footnote w:id="109">
    <w:p w14:paraId="001D2030" w14:textId="77777777" w:rsidR="00C04E96" w:rsidRPr="00EE71AD" w:rsidRDefault="00C04E96" w:rsidP="00EE71A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Comisión Global de Políticas de Drogas. 2018. Políticas De Drogas Y La Agenda Para El Desarrollo Sostenible. Recuperado de: </w:t>
      </w:r>
      <w:hyperlink r:id="rId6" w:history="1">
        <w:r w:rsidRPr="00EE71AD">
          <w:rPr>
            <w:rStyle w:val="Hipervnculo"/>
            <w:rFonts w:ascii="Bookman Old Style" w:hAnsi="Bookman Old Style" w:cs="Times New Roman"/>
            <w:i/>
            <w:color w:val="auto"/>
            <w:sz w:val="14"/>
            <w:szCs w:val="14"/>
            <w:u w:val="none"/>
          </w:rPr>
          <w:t>http://www.globalcommissionondrugs.org/wp-content/uploads/2018/11/SPA-2018_SDGPaper_WEB.pdf</w:t>
        </w:r>
      </w:hyperlink>
    </w:p>
  </w:footnote>
  <w:footnote w:id="110">
    <w:p w14:paraId="78688BBB" w14:textId="77777777" w:rsidR="00C04E96" w:rsidRPr="00EE71AD" w:rsidRDefault="00C04E96" w:rsidP="00EE71AD">
      <w:pPr>
        <w:pStyle w:val="Textonotapie"/>
        <w:jc w:val="both"/>
        <w:rPr>
          <w:rFonts w:ascii="Bookman Old Style" w:hAnsi="Bookman Old Style" w:cs="Times New Roman"/>
          <w:i/>
          <w:iCs/>
          <w:sz w:val="14"/>
          <w:szCs w:val="14"/>
        </w:rPr>
      </w:pPr>
      <w:r w:rsidRPr="00EE71AD">
        <w:rPr>
          <w:rStyle w:val="Refdenotaalpie"/>
          <w:rFonts w:ascii="Bookman Old Style" w:hAnsi="Bookman Old Style" w:cs="Times New Roman"/>
          <w:i/>
          <w:iCs/>
          <w:sz w:val="14"/>
          <w:szCs w:val="14"/>
        </w:rPr>
        <w:footnoteRef/>
      </w:r>
      <w:r w:rsidRPr="00EE71AD">
        <w:rPr>
          <w:rFonts w:ascii="Bookman Old Style" w:hAnsi="Bookman Old Style" w:cs="Times New Roman"/>
          <w:i/>
          <w:iCs/>
          <w:sz w:val="14"/>
          <w:szCs w:val="14"/>
        </w:rPr>
        <w:t xml:space="preserve"> Comisión Global de Políticas de Drogas. 2018. Políticas De Drogas Y La Agenda Para El Desarrollo Sostenible. (Pp.6) Recuperado de: </w:t>
      </w:r>
      <w:hyperlink r:id="rId7" w:history="1">
        <w:r w:rsidRPr="00EE71AD">
          <w:rPr>
            <w:rStyle w:val="Hipervnculo"/>
            <w:rFonts w:ascii="Bookman Old Style" w:hAnsi="Bookman Old Style" w:cs="Times New Roman"/>
            <w:i/>
            <w:iCs/>
            <w:color w:val="auto"/>
            <w:sz w:val="14"/>
            <w:szCs w:val="14"/>
            <w:u w:val="none"/>
          </w:rPr>
          <w:t>http://www.globalcommissionondrugs.org/wp-content/uploads/2018/11/SPA-2018_SDGPaper_WEB.pdf</w:t>
        </w:r>
      </w:hyperlink>
    </w:p>
  </w:footnote>
  <w:footnote w:id="111">
    <w:p w14:paraId="5DC56AE9" w14:textId="77777777" w:rsidR="00C04E96" w:rsidRPr="00EE71AD" w:rsidRDefault="00C04E96" w:rsidP="00EE71AD">
      <w:pPr>
        <w:pStyle w:val="Textonotapie"/>
        <w:jc w:val="both"/>
        <w:rPr>
          <w:rFonts w:ascii="Bookman Old Style" w:hAnsi="Bookman Old Style" w:cs="Times New Roman"/>
          <w:i/>
          <w:iCs/>
          <w:sz w:val="14"/>
          <w:szCs w:val="14"/>
        </w:rPr>
      </w:pPr>
      <w:r w:rsidRPr="00EE71AD">
        <w:rPr>
          <w:rStyle w:val="Refdenotaalpie"/>
          <w:rFonts w:ascii="Bookman Old Style" w:hAnsi="Bookman Old Style" w:cs="Times New Roman"/>
          <w:i/>
          <w:iCs/>
          <w:sz w:val="14"/>
          <w:szCs w:val="14"/>
        </w:rPr>
        <w:footnoteRef/>
      </w:r>
      <w:r w:rsidRPr="00EE71AD">
        <w:rPr>
          <w:rFonts w:ascii="Bookman Old Style" w:hAnsi="Bookman Old Style" w:cs="Times New Roman"/>
          <w:i/>
          <w:iCs/>
          <w:sz w:val="14"/>
          <w:szCs w:val="14"/>
        </w:rPr>
        <w:t xml:space="preserve"> Ibidem.</w:t>
      </w:r>
    </w:p>
  </w:footnote>
  <w:footnote w:id="112">
    <w:p w14:paraId="79A35D1C" w14:textId="77777777" w:rsidR="00C04E96" w:rsidRPr="00EE71AD" w:rsidRDefault="00C04E96" w:rsidP="00EE71A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sz w:val="14"/>
          <w:szCs w:val="14"/>
        </w:rPr>
        <w:footnoteRef/>
      </w:r>
      <w:r w:rsidRPr="00EE71AD">
        <w:rPr>
          <w:rFonts w:ascii="Bookman Old Style" w:hAnsi="Bookman Old Style" w:cs="Times New Roman"/>
          <w:sz w:val="14"/>
          <w:szCs w:val="14"/>
        </w:rPr>
        <w:t xml:space="preserve"> </w:t>
      </w:r>
      <w:r w:rsidRPr="00EE71AD">
        <w:rPr>
          <w:rFonts w:ascii="Bookman Old Style" w:hAnsi="Bookman Old Style" w:cs="Times New Roman"/>
          <w:i/>
          <w:iCs/>
          <w:sz w:val="14"/>
          <w:szCs w:val="14"/>
        </w:rPr>
        <w:t>Ibidem.</w:t>
      </w:r>
    </w:p>
  </w:footnote>
  <w:footnote w:id="113">
    <w:p w14:paraId="0B37EDAA" w14:textId="77777777" w:rsidR="00C04E96" w:rsidRPr="001E18FE" w:rsidRDefault="00C04E96" w:rsidP="00EE71AD">
      <w:pPr>
        <w:pStyle w:val="Textonotapie"/>
        <w:jc w:val="both"/>
        <w:rPr>
          <w:rFonts w:ascii="Times New Roman" w:hAnsi="Times New Roman" w:cs="Times New Roman"/>
        </w:rPr>
      </w:pPr>
      <w:r w:rsidRPr="00EE71AD">
        <w:rPr>
          <w:rStyle w:val="Refdenotaalpie"/>
          <w:rFonts w:ascii="Bookman Old Style" w:hAnsi="Bookman Old Style" w:cs="Times New Roman"/>
          <w:sz w:val="14"/>
          <w:szCs w:val="14"/>
        </w:rPr>
        <w:footnoteRef/>
      </w:r>
      <w:r w:rsidRPr="00EE71AD">
        <w:rPr>
          <w:rFonts w:ascii="Bookman Old Style" w:hAnsi="Bookman Old Style" w:cs="Times New Roman"/>
          <w:sz w:val="14"/>
          <w:szCs w:val="14"/>
        </w:rPr>
        <w:t xml:space="preserve"> </w:t>
      </w:r>
      <w:r w:rsidRPr="00EE71AD">
        <w:rPr>
          <w:rFonts w:ascii="Bookman Old Style" w:hAnsi="Bookman Old Style" w:cs="Times New Roman"/>
          <w:i/>
          <w:sz w:val="14"/>
          <w:szCs w:val="14"/>
        </w:rPr>
        <w:t xml:space="preserve">Comisión Global de Políticas de Drogas. 2018. Políticas De Drogas Y La Agenda Para El Desarrollo Sostenible. (Pp.8) Recuperado de: </w:t>
      </w:r>
      <w:hyperlink r:id="rId8" w:history="1">
        <w:r w:rsidRPr="00EE71AD">
          <w:rPr>
            <w:rStyle w:val="Hipervnculo"/>
            <w:rFonts w:ascii="Bookman Old Style" w:hAnsi="Bookman Old Style" w:cs="Times New Roman"/>
            <w:i/>
            <w:color w:val="auto"/>
            <w:sz w:val="14"/>
            <w:szCs w:val="14"/>
            <w:u w:val="none"/>
          </w:rPr>
          <w:t>http://www.globalcommissionondrugs.org/wp-content/uploads/2018/11/SPA-2018_SDGPaper_WEB.pdf</w:t>
        </w:r>
      </w:hyperlink>
    </w:p>
  </w:footnote>
  <w:footnote w:id="114">
    <w:p w14:paraId="7BA55B36" w14:textId="77777777" w:rsidR="00C04E96" w:rsidRPr="00EE71AD" w:rsidRDefault="00C04E96" w:rsidP="00EE71A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sz w:val="14"/>
          <w:szCs w:val="14"/>
        </w:rPr>
        <w:footnoteRef/>
      </w:r>
      <w:r w:rsidRPr="00EE71AD">
        <w:rPr>
          <w:rFonts w:ascii="Bookman Old Style" w:hAnsi="Bookman Old Style" w:cs="Times New Roman"/>
          <w:sz w:val="14"/>
          <w:szCs w:val="14"/>
        </w:rPr>
        <w:t xml:space="preserve"> Comisión Global de Políticas de Drogas. 2018. Políticas De Drogas Y La Agenda Para El Desarrollo Sostenible. (Pp.7) Recuperado de: </w:t>
      </w:r>
      <w:hyperlink r:id="rId9" w:history="1">
        <w:r w:rsidRPr="00EE71AD">
          <w:rPr>
            <w:rStyle w:val="Hipervnculo"/>
            <w:rFonts w:ascii="Bookman Old Style" w:hAnsi="Bookman Old Style" w:cs="Times New Roman"/>
            <w:color w:val="auto"/>
            <w:sz w:val="14"/>
            <w:szCs w:val="14"/>
            <w:u w:val="none"/>
          </w:rPr>
          <w:t>http://www.globalcommissionondrugs.org/wp-content/uploads/2018/11/SPA-2018_SDGPaper_WEB.pdf</w:t>
        </w:r>
      </w:hyperlink>
    </w:p>
  </w:footnote>
  <w:footnote w:id="115">
    <w:p w14:paraId="11A91943" w14:textId="77777777" w:rsidR="00C04E96" w:rsidRPr="00EE71AD" w:rsidRDefault="00C04E96" w:rsidP="00EE71AD">
      <w:pPr>
        <w:pStyle w:val="Textonotapie"/>
        <w:jc w:val="both"/>
        <w:rPr>
          <w:rFonts w:ascii="Bookman Old Style" w:hAnsi="Bookman Old Style" w:cs="Times New Roman"/>
          <w:i/>
          <w:iCs/>
          <w:sz w:val="14"/>
          <w:szCs w:val="14"/>
        </w:rPr>
      </w:pPr>
      <w:r w:rsidRPr="00EE71AD">
        <w:rPr>
          <w:rStyle w:val="Refdenotaalpie"/>
          <w:rFonts w:ascii="Bookman Old Style" w:hAnsi="Bookman Old Style" w:cs="Times New Roman"/>
          <w:i/>
          <w:iCs/>
          <w:sz w:val="14"/>
          <w:szCs w:val="14"/>
        </w:rPr>
        <w:footnoteRef/>
      </w:r>
      <w:r w:rsidRPr="00EE71AD">
        <w:rPr>
          <w:rFonts w:ascii="Bookman Old Style" w:hAnsi="Bookman Old Style" w:cs="Times New Roman"/>
          <w:i/>
          <w:iCs/>
          <w:sz w:val="14"/>
          <w:szCs w:val="14"/>
        </w:rPr>
        <w:t xml:space="preserve"> Ibidem.</w:t>
      </w:r>
    </w:p>
  </w:footnote>
  <w:footnote w:id="116">
    <w:p w14:paraId="1F3ACF85" w14:textId="77777777" w:rsidR="00C04E96" w:rsidRPr="00EE71AD" w:rsidRDefault="00C04E96" w:rsidP="00EE71A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sz w:val="14"/>
          <w:szCs w:val="14"/>
        </w:rPr>
        <w:footnoteRef/>
      </w:r>
      <w:r w:rsidRPr="00EE71AD">
        <w:rPr>
          <w:rFonts w:ascii="Bookman Old Style" w:hAnsi="Bookman Old Style" w:cs="Times New Roman"/>
          <w:sz w:val="14"/>
          <w:szCs w:val="14"/>
        </w:rPr>
        <w:t xml:space="preserve"> </w:t>
      </w:r>
      <w:r w:rsidRPr="00EE71AD">
        <w:rPr>
          <w:rFonts w:ascii="Bookman Old Style" w:hAnsi="Bookman Old Style" w:cs="Times New Roman"/>
          <w:i/>
          <w:iCs/>
          <w:sz w:val="14"/>
          <w:szCs w:val="14"/>
        </w:rPr>
        <w:t>Ibidem.</w:t>
      </w:r>
    </w:p>
  </w:footnote>
  <w:footnote w:id="117">
    <w:p w14:paraId="2E37F34A" w14:textId="77777777" w:rsidR="00C04E96" w:rsidRPr="00EE71AD" w:rsidRDefault="00C04E96" w:rsidP="00EE71AD">
      <w:pPr>
        <w:pStyle w:val="Textonotapie"/>
        <w:jc w:val="both"/>
        <w:rPr>
          <w:rFonts w:ascii="Bookman Old Style" w:hAnsi="Bookman Old Style" w:cs="Times New Roman"/>
          <w:i/>
          <w:iCs/>
          <w:sz w:val="14"/>
          <w:szCs w:val="14"/>
        </w:rPr>
      </w:pPr>
      <w:r w:rsidRPr="00EE71AD">
        <w:rPr>
          <w:rStyle w:val="Refdenotaalpie"/>
          <w:rFonts w:ascii="Bookman Old Style" w:hAnsi="Bookman Old Style" w:cs="Times New Roman"/>
          <w:i/>
          <w:iCs/>
          <w:sz w:val="14"/>
          <w:szCs w:val="14"/>
        </w:rPr>
        <w:footnoteRef/>
      </w:r>
      <w:r w:rsidRPr="00EE71AD">
        <w:rPr>
          <w:rFonts w:ascii="Bookman Old Style" w:hAnsi="Bookman Old Style" w:cs="Times New Roman"/>
          <w:i/>
          <w:iCs/>
          <w:sz w:val="14"/>
          <w:szCs w:val="14"/>
        </w:rPr>
        <w:t xml:space="preserve"> Comisión Global de Políticas de Drogas. 2018. Políticas De Drogas Y La Agenda Para El Desarrollo Sostenible. (Pp.7) Recuperado de: </w:t>
      </w:r>
      <w:hyperlink r:id="rId10" w:history="1">
        <w:r w:rsidRPr="00EE71AD">
          <w:rPr>
            <w:rStyle w:val="Hipervnculo"/>
            <w:rFonts w:ascii="Bookman Old Style" w:hAnsi="Bookman Old Style" w:cs="Times New Roman"/>
            <w:i/>
            <w:iCs/>
            <w:color w:val="auto"/>
            <w:sz w:val="14"/>
            <w:szCs w:val="14"/>
            <w:u w:val="none"/>
          </w:rPr>
          <w:t>http://www.globalcommissionondrugs.org/wp-content/uploads/2018/11/SPA-2018_SDGPaper_WEB.pdf</w:t>
        </w:r>
      </w:hyperlink>
    </w:p>
  </w:footnote>
  <w:footnote w:id="118">
    <w:p w14:paraId="337D2CC9" w14:textId="77777777" w:rsidR="00C04E96" w:rsidRPr="00EE71AD" w:rsidRDefault="00C04E96" w:rsidP="00EE71AD">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Comisión Global de Políticas de Drogas. 2018. Políticas De Drogas Y La Agenda Para El Desarrollo Sostenible. (Pp.8) Recuperado de: </w:t>
      </w:r>
      <w:hyperlink r:id="rId11" w:history="1">
        <w:r w:rsidRPr="00EE71AD">
          <w:rPr>
            <w:rStyle w:val="Hipervnculo"/>
            <w:rFonts w:ascii="Bookman Old Style" w:hAnsi="Bookman Old Style" w:cs="Times New Roman"/>
            <w:i/>
            <w:color w:val="auto"/>
            <w:sz w:val="14"/>
            <w:szCs w:val="14"/>
            <w:u w:val="none"/>
          </w:rPr>
          <w:t>http://www.globalcommissionondrugs.org/wp-content/uploads/2018/11/SPA-2018_SDGPaper_WEB.pdf</w:t>
        </w:r>
      </w:hyperlink>
    </w:p>
  </w:footnote>
  <w:footnote w:id="119">
    <w:p w14:paraId="642BD8C2" w14:textId="77777777" w:rsidR="00C04E96" w:rsidRPr="00EE71AD" w:rsidRDefault="00C04E96" w:rsidP="00EE71AD">
      <w:pPr>
        <w:jc w:val="both"/>
        <w:rPr>
          <w:rFonts w:ascii="Bookman Old Style" w:hAnsi="Bookman Old Style"/>
          <w:i/>
          <w:sz w:val="14"/>
          <w:szCs w:val="14"/>
        </w:rPr>
      </w:pPr>
      <w:r w:rsidRPr="00EE71AD">
        <w:rPr>
          <w:rStyle w:val="Refdenotaalpie"/>
          <w:rFonts w:ascii="Bookman Old Style" w:hAnsi="Bookman Old Style"/>
          <w:i/>
          <w:sz w:val="14"/>
          <w:szCs w:val="14"/>
        </w:rPr>
        <w:footnoteRef/>
      </w:r>
      <w:r w:rsidRPr="00EE71AD">
        <w:rPr>
          <w:rFonts w:ascii="Bookman Old Style" w:hAnsi="Bookman Old Style"/>
          <w:i/>
          <w:sz w:val="14"/>
          <w:szCs w:val="14"/>
        </w:rPr>
        <w:t xml:space="preserve"> </w:t>
      </w:r>
      <w:r w:rsidRPr="00EE71AD">
        <w:rPr>
          <w:rFonts w:ascii="Bookman Old Style" w:hAnsi="Bookman Old Style"/>
          <w:i/>
          <w:iCs/>
          <w:sz w:val="14"/>
          <w:szCs w:val="14"/>
        </w:rPr>
        <w:t>Ibidem.</w:t>
      </w:r>
    </w:p>
  </w:footnote>
  <w:footnote w:id="120">
    <w:p w14:paraId="01277E18" w14:textId="77777777" w:rsidR="00C04E96" w:rsidRPr="00EE71AD" w:rsidRDefault="00C04E96" w:rsidP="00EE71AD">
      <w:pPr>
        <w:jc w:val="both"/>
        <w:rPr>
          <w:rFonts w:ascii="Bookman Old Style" w:hAnsi="Bookman Old Style"/>
          <w:i/>
          <w:sz w:val="14"/>
          <w:szCs w:val="14"/>
        </w:rPr>
      </w:pPr>
      <w:r w:rsidRPr="00EE71AD">
        <w:rPr>
          <w:rStyle w:val="Refdenotaalpie"/>
          <w:rFonts w:ascii="Bookman Old Style" w:hAnsi="Bookman Old Style"/>
          <w:i/>
          <w:sz w:val="14"/>
          <w:szCs w:val="14"/>
        </w:rPr>
        <w:footnoteRef/>
      </w:r>
      <w:r w:rsidRPr="00EE71AD">
        <w:rPr>
          <w:rFonts w:ascii="Bookman Old Style" w:hAnsi="Bookman Old Style"/>
          <w:i/>
          <w:sz w:val="14"/>
          <w:szCs w:val="14"/>
        </w:rPr>
        <w:t xml:space="preserve"> Comisión Global de Políticas de Drogas. 2018. Políticas De Drogas Y La Agenda Para El Desarrollo Sostenible. (Pp.9) Recuperado de: </w:t>
      </w:r>
      <w:hyperlink r:id="rId12" w:history="1">
        <w:r w:rsidRPr="00EE71AD">
          <w:rPr>
            <w:rStyle w:val="Hipervnculo"/>
            <w:rFonts w:ascii="Bookman Old Style" w:hAnsi="Bookman Old Style"/>
            <w:i/>
            <w:color w:val="auto"/>
            <w:sz w:val="14"/>
            <w:szCs w:val="14"/>
            <w:u w:val="none"/>
          </w:rPr>
          <w:t>http://www.globalcommissionondrugs.org/wp-content/uploads/2018/11/SPA-2018_SDGPaper_WEB.pdf</w:t>
        </w:r>
      </w:hyperlink>
    </w:p>
  </w:footnote>
  <w:footnote w:id="121">
    <w:p w14:paraId="631D1C9C" w14:textId="77777777" w:rsidR="00C04E96" w:rsidRPr="00EE71AD" w:rsidRDefault="00C04E96" w:rsidP="00EE71A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Comisión Global de Políticas de Drogas. 2018. Políticas De Drogas Y La Agenda Para El Desarrollo Sostenible. (Pp.10) Recuperado de: </w:t>
      </w:r>
      <w:hyperlink r:id="rId13" w:history="1">
        <w:r w:rsidRPr="00EE71AD">
          <w:rPr>
            <w:rStyle w:val="Hipervnculo"/>
            <w:rFonts w:ascii="Bookman Old Style" w:hAnsi="Bookman Old Style" w:cs="Times New Roman"/>
            <w:i/>
            <w:color w:val="auto"/>
            <w:sz w:val="14"/>
            <w:szCs w:val="14"/>
            <w:u w:val="none"/>
          </w:rPr>
          <w:t>http://www.globalcommissionondrugs.org/wp-content/uploads/2018/11/SPA-2018_SDGPaper_WEB.pdf</w:t>
        </w:r>
      </w:hyperlink>
    </w:p>
  </w:footnote>
  <w:footnote w:id="122">
    <w:p w14:paraId="6EDF67DC" w14:textId="77777777" w:rsidR="00C04E96" w:rsidRPr="001E18FE" w:rsidRDefault="00C04E96" w:rsidP="00EE71AD">
      <w:pPr>
        <w:pStyle w:val="Textonotapie"/>
        <w:jc w:val="both"/>
        <w:rPr>
          <w:rFonts w:ascii="Times New Roman" w:hAnsi="Times New Roman" w:cs="Times New Roman"/>
        </w:rPr>
      </w:pPr>
      <w:r w:rsidRPr="00EE71AD">
        <w:rPr>
          <w:rStyle w:val="Refdenotaalpie"/>
          <w:rFonts w:ascii="Bookman Old Style" w:hAnsi="Bookman Old Style" w:cs="Times New Roman"/>
          <w:i/>
          <w:iCs/>
          <w:sz w:val="14"/>
          <w:szCs w:val="14"/>
        </w:rPr>
        <w:footnoteRef/>
      </w:r>
      <w:r w:rsidRPr="00EE71AD">
        <w:rPr>
          <w:rFonts w:ascii="Bookman Old Style" w:hAnsi="Bookman Old Style" w:cs="Times New Roman"/>
          <w:i/>
          <w:iCs/>
          <w:sz w:val="14"/>
          <w:szCs w:val="14"/>
        </w:rPr>
        <w:t xml:space="preserve"> </w:t>
      </w:r>
      <w:r w:rsidRPr="00EE71AD">
        <w:rPr>
          <w:rFonts w:ascii="Bookman Old Style" w:hAnsi="Bookman Old Style" w:cs="Times New Roman"/>
          <w:i/>
          <w:sz w:val="14"/>
          <w:szCs w:val="14"/>
        </w:rPr>
        <w:t xml:space="preserve">Comisión Global de Políticas de Drogas. 2018. Políticas De Drogas Y La Agenda Para El Desarrollo Sostenible. (Pp.16) Recuperado de: </w:t>
      </w:r>
      <w:hyperlink r:id="rId14" w:history="1">
        <w:r w:rsidRPr="00EE71AD">
          <w:rPr>
            <w:rStyle w:val="Hipervnculo"/>
            <w:rFonts w:ascii="Bookman Old Style" w:hAnsi="Bookman Old Style" w:cs="Times New Roman"/>
            <w:i/>
            <w:color w:val="auto"/>
            <w:sz w:val="14"/>
            <w:szCs w:val="14"/>
            <w:u w:val="none"/>
          </w:rPr>
          <w:t>http://www.globalcommissionondrugs.org/wp-content/uploads/2018/11/SPA-2018_SDGPaper_WEB.pdf</w:t>
        </w:r>
      </w:hyperlink>
    </w:p>
  </w:footnote>
  <w:footnote w:id="123">
    <w:p w14:paraId="0BA04A67" w14:textId="77777777" w:rsidR="00C04E96" w:rsidRPr="00EE71AD" w:rsidRDefault="00C04E96" w:rsidP="00EE71A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sz w:val="14"/>
          <w:szCs w:val="14"/>
        </w:rPr>
        <w:footnoteRef/>
      </w:r>
      <w:r w:rsidRPr="00EE71AD">
        <w:rPr>
          <w:rFonts w:ascii="Bookman Old Style" w:hAnsi="Bookman Old Style" w:cs="Times New Roman"/>
          <w:sz w:val="14"/>
          <w:szCs w:val="14"/>
        </w:rPr>
        <w:t xml:space="preserve"> </w:t>
      </w:r>
      <w:r w:rsidRPr="00EE71AD">
        <w:rPr>
          <w:rFonts w:ascii="Bookman Old Style" w:hAnsi="Bookman Old Style" w:cs="Times New Roman"/>
          <w:i/>
          <w:sz w:val="14"/>
          <w:szCs w:val="14"/>
        </w:rPr>
        <w:t xml:space="preserve">Comisión Global de Políticas de Drogas. 2018. Políticas De Drogas Y La Agenda Para El Desarrollo Sostenible. (Pp.17) Recuperado de: </w:t>
      </w:r>
      <w:hyperlink r:id="rId15" w:history="1">
        <w:r w:rsidRPr="00EE71AD">
          <w:rPr>
            <w:rStyle w:val="Hipervnculo"/>
            <w:rFonts w:ascii="Bookman Old Style" w:hAnsi="Bookman Old Style" w:cs="Times New Roman"/>
            <w:i/>
            <w:color w:val="auto"/>
            <w:sz w:val="14"/>
            <w:szCs w:val="14"/>
            <w:u w:val="none"/>
          </w:rPr>
          <w:t>http://www.globalcommissionondrugs.org/wp-content/uploads/2018/11/SPA-2018_SDGPaper_WEB.pdf</w:t>
        </w:r>
      </w:hyperlink>
    </w:p>
  </w:footnote>
  <w:footnote w:id="124">
    <w:p w14:paraId="1F52FF0D" w14:textId="77777777" w:rsidR="00C04E96" w:rsidRPr="00422FC6" w:rsidRDefault="00C04E96" w:rsidP="00EE71AD">
      <w:pPr>
        <w:pStyle w:val="Textonotapie"/>
        <w:jc w:val="both"/>
        <w:rPr>
          <w:rFonts w:ascii="Times New Roman" w:hAnsi="Times New Roman" w:cs="Times New Roman"/>
          <w:i/>
          <w:iCs/>
          <w:sz w:val="16"/>
          <w:szCs w:val="16"/>
        </w:rPr>
      </w:pPr>
      <w:r w:rsidRPr="00EE71AD">
        <w:rPr>
          <w:rStyle w:val="Refdenotaalpie"/>
          <w:rFonts w:ascii="Bookman Old Style" w:hAnsi="Bookman Old Style" w:cs="Times New Roman"/>
          <w:i/>
          <w:iCs/>
          <w:sz w:val="14"/>
          <w:szCs w:val="14"/>
        </w:rPr>
        <w:footnoteRef/>
      </w:r>
      <w:r w:rsidRPr="00EE71AD">
        <w:rPr>
          <w:rFonts w:ascii="Bookman Old Style" w:hAnsi="Bookman Old Style" w:cs="Times New Roman"/>
          <w:i/>
          <w:iCs/>
          <w:sz w:val="14"/>
          <w:szCs w:val="14"/>
        </w:rPr>
        <w:t xml:space="preserve"> Ibidem.</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BF53B" w14:textId="77777777" w:rsidR="00C04E96" w:rsidRDefault="00C04E96">
    <w:pPr>
      <w:pBdr>
        <w:top w:val="nil"/>
        <w:left w:val="nil"/>
        <w:bottom w:val="nil"/>
        <w:right w:val="nil"/>
        <w:between w:val="nil"/>
      </w:pBdr>
      <w:rPr>
        <w:sz w:val="20"/>
        <w:szCs w:val="20"/>
      </w:rPr>
    </w:pPr>
    <w:r>
      <w:rPr>
        <w:noProof/>
      </w:rPr>
      <w:drawing>
        <wp:anchor distT="0" distB="0" distL="0" distR="0" simplePos="0" relativeHeight="251658240" behindDoc="0" locked="0" layoutInCell="1" allowOverlap="1" wp14:anchorId="1C17EB22" wp14:editId="5CA43098">
          <wp:simplePos x="0" y="0"/>
          <wp:positionH relativeFrom="margin">
            <wp:align>center</wp:align>
          </wp:positionH>
          <wp:positionV relativeFrom="paragraph">
            <wp:posOffset>-23854</wp:posOffset>
          </wp:positionV>
          <wp:extent cx="2200619" cy="647700"/>
          <wp:effectExtent l="0" t="0" r="9525" b="0"/>
          <wp:wrapSquare wrapText="bothSides" distT="0" distB="0" distL="0" distR="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00619" cy="647700"/>
                  </a:xfrm>
                  <a:prstGeom prst="rect">
                    <a:avLst/>
                  </a:prstGeom>
                  <a:ln/>
                </pic:spPr>
              </pic:pic>
            </a:graphicData>
          </a:graphic>
        </wp:anchor>
      </w:drawing>
    </w:r>
  </w:p>
  <w:p w14:paraId="7C4B91AD" w14:textId="77777777" w:rsidR="00C04E96" w:rsidRDefault="00C04E96">
    <w:pPr>
      <w:pBdr>
        <w:top w:val="nil"/>
        <w:left w:val="nil"/>
        <w:bottom w:val="nil"/>
        <w:right w:val="nil"/>
        <w:between w:val="nil"/>
      </w:pBdr>
      <w:rPr>
        <w:sz w:val="20"/>
        <w:szCs w:val="20"/>
      </w:rPr>
    </w:pPr>
  </w:p>
  <w:p w14:paraId="7A20915B" w14:textId="77777777" w:rsidR="00C04E96" w:rsidRDefault="00C04E96">
    <w:pPr>
      <w:pBdr>
        <w:top w:val="nil"/>
        <w:left w:val="nil"/>
        <w:bottom w:val="nil"/>
        <w:right w:val="nil"/>
        <w:between w:val="nil"/>
      </w:pBdr>
      <w:ind w:left="-1133"/>
      <w:rPr>
        <w:sz w:val="20"/>
        <w:szCs w:val="20"/>
      </w:rPr>
    </w:pPr>
  </w:p>
  <w:p w14:paraId="4E754578" w14:textId="77777777" w:rsidR="00C04E96" w:rsidRDefault="00C04E96">
    <w:pPr>
      <w:pBdr>
        <w:top w:val="nil"/>
        <w:left w:val="nil"/>
        <w:bottom w:val="nil"/>
        <w:right w:val="nil"/>
        <w:between w:val="nil"/>
      </w:pBdr>
      <w:rPr>
        <w:sz w:val="20"/>
        <w:szCs w:val="20"/>
      </w:rPr>
    </w:pPr>
  </w:p>
  <w:p w14:paraId="03F6FEB7" w14:textId="77777777" w:rsidR="00C04E96" w:rsidRDefault="00C04E96"/>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1F8"/>
    <w:multiLevelType w:val="hybridMultilevel"/>
    <w:tmpl w:val="7E6A27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B536D2"/>
    <w:multiLevelType w:val="hybridMultilevel"/>
    <w:tmpl w:val="B036A49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6FB76D0"/>
    <w:multiLevelType w:val="hybridMultilevel"/>
    <w:tmpl w:val="BBECE54C"/>
    <w:lvl w:ilvl="0" w:tplc="240A001B">
      <w:start w:val="1"/>
      <w:numFmt w:val="lowerRoman"/>
      <w:lvlText w:val="%1."/>
      <w:lvlJc w:val="right"/>
      <w:pPr>
        <w:ind w:left="1288" w:hanging="360"/>
      </w:pPr>
    </w:lvl>
    <w:lvl w:ilvl="1" w:tplc="240A0019" w:tentative="1">
      <w:start w:val="1"/>
      <w:numFmt w:val="lowerLetter"/>
      <w:lvlText w:val="%2."/>
      <w:lvlJc w:val="left"/>
      <w:pPr>
        <w:ind w:left="2008" w:hanging="360"/>
      </w:pPr>
    </w:lvl>
    <w:lvl w:ilvl="2" w:tplc="240A001B" w:tentative="1">
      <w:start w:val="1"/>
      <w:numFmt w:val="lowerRoman"/>
      <w:lvlText w:val="%3."/>
      <w:lvlJc w:val="right"/>
      <w:pPr>
        <w:ind w:left="2728" w:hanging="180"/>
      </w:pPr>
    </w:lvl>
    <w:lvl w:ilvl="3" w:tplc="240A000F" w:tentative="1">
      <w:start w:val="1"/>
      <w:numFmt w:val="decimal"/>
      <w:lvlText w:val="%4."/>
      <w:lvlJc w:val="left"/>
      <w:pPr>
        <w:ind w:left="3448" w:hanging="360"/>
      </w:pPr>
    </w:lvl>
    <w:lvl w:ilvl="4" w:tplc="240A0019" w:tentative="1">
      <w:start w:val="1"/>
      <w:numFmt w:val="lowerLetter"/>
      <w:lvlText w:val="%5."/>
      <w:lvlJc w:val="left"/>
      <w:pPr>
        <w:ind w:left="4168" w:hanging="360"/>
      </w:pPr>
    </w:lvl>
    <w:lvl w:ilvl="5" w:tplc="240A001B" w:tentative="1">
      <w:start w:val="1"/>
      <w:numFmt w:val="lowerRoman"/>
      <w:lvlText w:val="%6."/>
      <w:lvlJc w:val="right"/>
      <w:pPr>
        <w:ind w:left="4888" w:hanging="180"/>
      </w:pPr>
    </w:lvl>
    <w:lvl w:ilvl="6" w:tplc="240A000F" w:tentative="1">
      <w:start w:val="1"/>
      <w:numFmt w:val="decimal"/>
      <w:lvlText w:val="%7."/>
      <w:lvlJc w:val="left"/>
      <w:pPr>
        <w:ind w:left="5608" w:hanging="360"/>
      </w:pPr>
    </w:lvl>
    <w:lvl w:ilvl="7" w:tplc="240A0019" w:tentative="1">
      <w:start w:val="1"/>
      <w:numFmt w:val="lowerLetter"/>
      <w:lvlText w:val="%8."/>
      <w:lvlJc w:val="left"/>
      <w:pPr>
        <w:ind w:left="6328" w:hanging="360"/>
      </w:pPr>
    </w:lvl>
    <w:lvl w:ilvl="8" w:tplc="240A001B" w:tentative="1">
      <w:start w:val="1"/>
      <w:numFmt w:val="lowerRoman"/>
      <w:lvlText w:val="%9."/>
      <w:lvlJc w:val="right"/>
      <w:pPr>
        <w:ind w:left="7048" w:hanging="180"/>
      </w:pPr>
    </w:lvl>
  </w:abstractNum>
  <w:abstractNum w:abstractNumId="3" w15:restartNumberingAfterBreak="0">
    <w:nsid w:val="08AF5976"/>
    <w:multiLevelType w:val="hybridMultilevel"/>
    <w:tmpl w:val="B4885C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8FF52F2"/>
    <w:multiLevelType w:val="hybridMultilevel"/>
    <w:tmpl w:val="88D86D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B43425C"/>
    <w:multiLevelType w:val="hybridMultilevel"/>
    <w:tmpl w:val="C874BC4C"/>
    <w:lvl w:ilvl="0" w:tplc="D73A51B4">
      <w:start w:val="3"/>
      <w:numFmt w:val="bullet"/>
      <w:lvlText w:val=""/>
      <w:lvlJc w:val="left"/>
      <w:pPr>
        <w:ind w:left="720" w:hanging="360"/>
      </w:pPr>
      <w:rPr>
        <w:rFonts w:ascii="Symbol" w:eastAsiaTheme="minorHAnsi" w:hAnsi="Symbol" w:cstheme="minorBidi" w:hint="default"/>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E5F128B"/>
    <w:multiLevelType w:val="hybridMultilevel"/>
    <w:tmpl w:val="14FC45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EB20099"/>
    <w:multiLevelType w:val="hybridMultilevel"/>
    <w:tmpl w:val="4B485F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46B0DB7"/>
    <w:multiLevelType w:val="hybridMultilevel"/>
    <w:tmpl w:val="A4527A62"/>
    <w:lvl w:ilvl="0" w:tplc="C8142AC6">
      <w:numFmt w:val="bullet"/>
      <w:lvlText w:val="-"/>
      <w:lvlJc w:val="left"/>
      <w:pPr>
        <w:ind w:left="360" w:hanging="360"/>
      </w:pPr>
      <w:rPr>
        <w:rFonts w:ascii="Bookman Old Style" w:eastAsia="Calibri" w:hAnsi="Bookman Old Style"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15797F79"/>
    <w:multiLevelType w:val="hybridMultilevel"/>
    <w:tmpl w:val="5510A44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8D735CF"/>
    <w:multiLevelType w:val="hybridMultilevel"/>
    <w:tmpl w:val="0082F0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8DA0818"/>
    <w:multiLevelType w:val="hybridMultilevel"/>
    <w:tmpl w:val="4AAC0A9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CE24A0E"/>
    <w:multiLevelType w:val="multilevel"/>
    <w:tmpl w:val="8FBC8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DDD59C1"/>
    <w:multiLevelType w:val="hybridMultilevel"/>
    <w:tmpl w:val="1AEC536A"/>
    <w:lvl w:ilvl="0" w:tplc="B39E4A38">
      <w:numFmt w:val="bullet"/>
      <w:lvlText w:val="•"/>
      <w:lvlJc w:val="left"/>
      <w:pPr>
        <w:ind w:left="704" w:hanging="420"/>
      </w:pPr>
      <w:rPr>
        <w:rFonts w:ascii="Bookman Old Style" w:eastAsia="Times New Roman" w:hAnsi="Bookman Old Style" w:cs="Times New Roman"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4" w15:restartNumberingAfterBreak="0">
    <w:nsid w:val="1E6653E2"/>
    <w:multiLevelType w:val="hybridMultilevel"/>
    <w:tmpl w:val="E8C0A624"/>
    <w:lvl w:ilvl="0" w:tplc="F566E97C">
      <w:numFmt w:val="bullet"/>
      <w:lvlText w:val="-"/>
      <w:lvlJc w:val="left"/>
      <w:pPr>
        <w:ind w:left="720" w:hanging="360"/>
      </w:pPr>
      <w:rPr>
        <w:rFonts w:ascii="Calibri" w:eastAsia="Times New Roman" w:hAnsi="Calibri"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204247E"/>
    <w:multiLevelType w:val="hybridMultilevel"/>
    <w:tmpl w:val="70EC83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24D2BED"/>
    <w:multiLevelType w:val="hybridMultilevel"/>
    <w:tmpl w:val="4A700DD8"/>
    <w:lvl w:ilvl="0" w:tplc="C8142AC6">
      <w:numFmt w:val="bullet"/>
      <w:lvlText w:val="-"/>
      <w:lvlJc w:val="left"/>
      <w:pPr>
        <w:ind w:left="720" w:hanging="360"/>
      </w:pPr>
      <w:rPr>
        <w:rFonts w:ascii="Bookman Old Style" w:eastAsia="Calibri" w:hAnsi="Bookman Old Style"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8BF5725"/>
    <w:multiLevelType w:val="multilevel"/>
    <w:tmpl w:val="D6806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A901F59"/>
    <w:multiLevelType w:val="hybridMultilevel"/>
    <w:tmpl w:val="8328F9D4"/>
    <w:lvl w:ilvl="0" w:tplc="C8142AC6">
      <w:numFmt w:val="bullet"/>
      <w:lvlText w:val="-"/>
      <w:lvlJc w:val="left"/>
      <w:pPr>
        <w:ind w:left="720" w:hanging="360"/>
      </w:pPr>
      <w:rPr>
        <w:rFonts w:ascii="Bookman Old Style" w:eastAsia="Calibri" w:hAnsi="Bookman Old Style"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AFD62B7"/>
    <w:multiLevelType w:val="hybridMultilevel"/>
    <w:tmpl w:val="BD2E1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AF2F27"/>
    <w:multiLevelType w:val="hybridMultilevel"/>
    <w:tmpl w:val="2DBE18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8D15EE0"/>
    <w:multiLevelType w:val="multilevel"/>
    <w:tmpl w:val="D6806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AB02AF4"/>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CCD3CB1"/>
    <w:multiLevelType w:val="hybridMultilevel"/>
    <w:tmpl w:val="042C7F4C"/>
    <w:lvl w:ilvl="0" w:tplc="240A001B">
      <w:start w:val="1"/>
      <w:numFmt w:val="lowerRoman"/>
      <w:lvlText w:val="%1."/>
      <w:lvlJc w:val="righ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26900A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8C6255C"/>
    <w:multiLevelType w:val="multilevel"/>
    <w:tmpl w:val="F8D232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8E96444"/>
    <w:multiLevelType w:val="hybridMultilevel"/>
    <w:tmpl w:val="8EC498A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9742DF9"/>
    <w:multiLevelType w:val="multilevel"/>
    <w:tmpl w:val="B3D4498A"/>
    <w:lvl w:ilvl="0">
      <w:start w:val="1"/>
      <w:numFmt w:val="bullet"/>
      <w:lvlText w:val="●"/>
      <w:lvlJc w:val="left"/>
      <w:pPr>
        <w:ind w:left="720" w:hanging="360"/>
      </w:pPr>
      <w:rPr>
        <w:rFonts w:ascii="Bookman Old Style" w:eastAsia="Noto Sans Symbols" w:hAnsi="Bookman Old Style" w:cs="Noto Sans Symbols" w:hint="default"/>
        <w:sz w:val="18"/>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AE90ED5"/>
    <w:multiLevelType w:val="hybridMultilevel"/>
    <w:tmpl w:val="53FA0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A163B3"/>
    <w:multiLevelType w:val="hybridMultilevel"/>
    <w:tmpl w:val="2AC6709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33263AE"/>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8EB6951"/>
    <w:multiLevelType w:val="hybridMultilevel"/>
    <w:tmpl w:val="00C6F41A"/>
    <w:lvl w:ilvl="0" w:tplc="2F2023DC">
      <w:numFmt w:val="bullet"/>
      <w:lvlText w:val="-"/>
      <w:lvlJc w:val="left"/>
      <w:pPr>
        <w:ind w:left="720" w:hanging="360"/>
      </w:pPr>
      <w:rPr>
        <w:rFonts w:ascii="Bookman Old Style" w:eastAsia="Calibri" w:hAnsi="Bookman Old Style"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B021E58"/>
    <w:multiLevelType w:val="hybridMultilevel"/>
    <w:tmpl w:val="BDA03E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C5E5661"/>
    <w:multiLevelType w:val="multilevel"/>
    <w:tmpl w:val="3330453E"/>
    <w:lvl w:ilvl="0">
      <w:start w:val="1"/>
      <w:numFmt w:val="decimal"/>
      <w:lvlText w:val="%1."/>
      <w:lvlJc w:val="left"/>
      <w:pPr>
        <w:ind w:left="644" w:hanging="360"/>
      </w:pPr>
    </w:lvl>
    <w:lvl w:ilvl="1">
      <w:start w:val="1"/>
      <w:numFmt w:val="lowerLetter"/>
      <w:lvlText w:val="%2."/>
      <w:lvlJc w:val="left"/>
      <w:pPr>
        <w:ind w:left="1182" w:hanging="360"/>
      </w:pPr>
    </w:lvl>
    <w:lvl w:ilvl="2">
      <w:start w:val="1"/>
      <w:numFmt w:val="lowerRoman"/>
      <w:lvlText w:val="%3."/>
      <w:lvlJc w:val="right"/>
      <w:pPr>
        <w:ind w:left="1902" w:hanging="180"/>
      </w:pPr>
    </w:lvl>
    <w:lvl w:ilvl="3">
      <w:start w:val="1"/>
      <w:numFmt w:val="decimal"/>
      <w:lvlText w:val="%4."/>
      <w:lvlJc w:val="left"/>
      <w:pPr>
        <w:ind w:left="2622" w:hanging="360"/>
      </w:pPr>
    </w:lvl>
    <w:lvl w:ilvl="4">
      <w:start w:val="1"/>
      <w:numFmt w:val="lowerLetter"/>
      <w:lvlText w:val="%5."/>
      <w:lvlJc w:val="left"/>
      <w:pPr>
        <w:ind w:left="3342" w:hanging="360"/>
      </w:pPr>
    </w:lvl>
    <w:lvl w:ilvl="5">
      <w:start w:val="1"/>
      <w:numFmt w:val="lowerRoman"/>
      <w:lvlText w:val="%6."/>
      <w:lvlJc w:val="right"/>
      <w:pPr>
        <w:ind w:left="4062" w:hanging="180"/>
      </w:pPr>
    </w:lvl>
    <w:lvl w:ilvl="6">
      <w:start w:val="1"/>
      <w:numFmt w:val="decimal"/>
      <w:lvlText w:val="%7."/>
      <w:lvlJc w:val="left"/>
      <w:pPr>
        <w:ind w:left="4782" w:hanging="360"/>
      </w:pPr>
    </w:lvl>
    <w:lvl w:ilvl="7">
      <w:start w:val="1"/>
      <w:numFmt w:val="lowerLetter"/>
      <w:lvlText w:val="%8."/>
      <w:lvlJc w:val="left"/>
      <w:pPr>
        <w:ind w:left="5502" w:hanging="360"/>
      </w:pPr>
    </w:lvl>
    <w:lvl w:ilvl="8">
      <w:start w:val="1"/>
      <w:numFmt w:val="lowerRoman"/>
      <w:lvlText w:val="%9."/>
      <w:lvlJc w:val="right"/>
      <w:pPr>
        <w:ind w:left="6222" w:hanging="180"/>
      </w:pPr>
    </w:lvl>
  </w:abstractNum>
  <w:abstractNum w:abstractNumId="34" w15:restartNumberingAfterBreak="0">
    <w:nsid w:val="5DB77198"/>
    <w:multiLevelType w:val="hybridMultilevel"/>
    <w:tmpl w:val="6D56DDF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455593A"/>
    <w:multiLevelType w:val="hybridMultilevel"/>
    <w:tmpl w:val="84BA7A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82A5C73"/>
    <w:multiLevelType w:val="hybridMultilevel"/>
    <w:tmpl w:val="020245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F0F530B"/>
    <w:multiLevelType w:val="multilevel"/>
    <w:tmpl w:val="D6806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F6A0764"/>
    <w:multiLevelType w:val="hybridMultilevel"/>
    <w:tmpl w:val="D2CA3C50"/>
    <w:lvl w:ilvl="0" w:tplc="4CD87B7C">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0997689"/>
    <w:multiLevelType w:val="hybridMultilevel"/>
    <w:tmpl w:val="7AD6C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89721F"/>
    <w:multiLevelType w:val="hybridMultilevel"/>
    <w:tmpl w:val="CB226F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D0E54F3"/>
    <w:multiLevelType w:val="hybridMultilevel"/>
    <w:tmpl w:val="72F20E4E"/>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17"/>
  </w:num>
  <w:num w:numId="2">
    <w:abstractNumId w:val="33"/>
  </w:num>
  <w:num w:numId="3">
    <w:abstractNumId w:val="30"/>
  </w:num>
  <w:num w:numId="4">
    <w:abstractNumId w:val="25"/>
  </w:num>
  <w:num w:numId="5">
    <w:abstractNumId w:val="10"/>
  </w:num>
  <w:num w:numId="6">
    <w:abstractNumId w:val="15"/>
  </w:num>
  <w:num w:numId="7">
    <w:abstractNumId w:val="6"/>
  </w:num>
  <w:num w:numId="8">
    <w:abstractNumId w:val="32"/>
  </w:num>
  <w:num w:numId="9">
    <w:abstractNumId w:val="0"/>
  </w:num>
  <w:num w:numId="10">
    <w:abstractNumId w:val="4"/>
  </w:num>
  <w:num w:numId="11">
    <w:abstractNumId w:val="29"/>
  </w:num>
  <w:num w:numId="12">
    <w:abstractNumId w:val="37"/>
  </w:num>
  <w:num w:numId="13">
    <w:abstractNumId w:val="21"/>
  </w:num>
  <w:num w:numId="14">
    <w:abstractNumId w:val="20"/>
  </w:num>
  <w:num w:numId="15">
    <w:abstractNumId w:val="5"/>
  </w:num>
  <w:num w:numId="16">
    <w:abstractNumId w:val="12"/>
  </w:num>
  <w:num w:numId="17">
    <w:abstractNumId w:val="36"/>
  </w:num>
  <w:num w:numId="18">
    <w:abstractNumId w:val="40"/>
  </w:num>
  <w:num w:numId="19">
    <w:abstractNumId w:val="26"/>
  </w:num>
  <w:num w:numId="20">
    <w:abstractNumId w:val="22"/>
  </w:num>
  <w:num w:numId="21">
    <w:abstractNumId w:val="14"/>
  </w:num>
  <w:num w:numId="22">
    <w:abstractNumId w:val="16"/>
  </w:num>
  <w:num w:numId="23">
    <w:abstractNumId w:val="3"/>
  </w:num>
  <w:num w:numId="24">
    <w:abstractNumId w:val="31"/>
  </w:num>
  <w:num w:numId="25">
    <w:abstractNumId w:val="41"/>
  </w:num>
  <w:num w:numId="26">
    <w:abstractNumId w:val="1"/>
  </w:num>
  <w:num w:numId="27">
    <w:abstractNumId w:val="35"/>
  </w:num>
  <w:num w:numId="28">
    <w:abstractNumId w:val="8"/>
  </w:num>
  <w:num w:numId="29">
    <w:abstractNumId w:val="18"/>
  </w:num>
  <w:num w:numId="30">
    <w:abstractNumId w:val="13"/>
  </w:num>
  <w:num w:numId="31">
    <w:abstractNumId w:val="11"/>
  </w:num>
  <w:num w:numId="32">
    <w:abstractNumId w:val="9"/>
  </w:num>
  <w:num w:numId="33">
    <w:abstractNumId w:val="38"/>
  </w:num>
  <w:num w:numId="34">
    <w:abstractNumId w:val="34"/>
  </w:num>
  <w:num w:numId="35">
    <w:abstractNumId w:val="24"/>
  </w:num>
  <w:num w:numId="36">
    <w:abstractNumId w:val="28"/>
  </w:num>
  <w:num w:numId="37">
    <w:abstractNumId w:val="2"/>
  </w:num>
  <w:num w:numId="38">
    <w:abstractNumId w:val="23"/>
  </w:num>
  <w:num w:numId="39">
    <w:abstractNumId w:val="39"/>
  </w:num>
  <w:num w:numId="40">
    <w:abstractNumId w:val="19"/>
  </w:num>
  <w:num w:numId="41">
    <w:abstractNumId w:val="27"/>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1CA"/>
    <w:rsid w:val="000046EF"/>
    <w:rsid w:val="0000563C"/>
    <w:rsid w:val="00005C61"/>
    <w:rsid w:val="00011ACE"/>
    <w:rsid w:val="00014056"/>
    <w:rsid w:val="000162F9"/>
    <w:rsid w:val="000270BE"/>
    <w:rsid w:val="00042193"/>
    <w:rsid w:val="00046119"/>
    <w:rsid w:val="000512D5"/>
    <w:rsid w:val="00052783"/>
    <w:rsid w:val="00052A0B"/>
    <w:rsid w:val="0005414D"/>
    <w:rsid w:val="000630CE"/>
    <w:rsid w:val="00065154"/>
    <w:rsid w:val="000722E4"/>
    <w:rsid w:val="000735F7"/>
    <w:rsid w:val="00076CAE"/>
    <w:rsid w:val="00077ACA"/>
    <w:rsid w:val="0008764E"/>
    <w:rsid w:val="00094288"/>
    <w:rsid w:val="000A0C3F"/>
    <w:rsid w:val="000A1BE0"/>
    <w:rsid w:val="000A2331"/>
    <w:rsid w:val="000B09F5"/>
    <w:rsid w:val="000B0FBF"/>
    <w:rsid w:val="000B2201"/>
    <w:rsid w:val="000B60A8"/>
    <w:rsid w:val="000C1A6A"/>
    <w:rsid w:val="000C7D93"/>
    <w:rsid w:val="000D695E"/>
    <w:rsid w:val="000E4706"/>
    <w:rsid w:val="000F026E"/>
    <w:rsid w:val="000F230B"/>
    <w:rsid w:val="000F6DEA"/>
    <w:rsid w:val="000F7EA5"/>
    <w:rsid w:val="0010074B"/>
    <w:rsid w:val="00101F36"/>
    <w:rsid w:val="0010392A"/>
    <w:rsid w:val="001044CA"/>
    <w:rsid w:val="00105026"/>
    <w:rsid w:val="00107C2A"/>
    <w:rsid w:val="00111B26"/>
    <w:rsid w:val="00114B56"/>
    <w:rsid w:val="00114CF9"/>
    <w:rsid w:val="001207C8"/>
    <w:rsid w:val="00123065"/>
    <w:rsid w:val="0012331A"/>
    <w:rsid w:val="001239FE"/>
    <w:rsid w:val="0013321A"/>
    <w:rsid w:val="001339FE"/>
    <w:rsid w:val="00141696"/>
    <w:rsid w:val="00145FCB"/>
    <w:rsid w:val="00150D77"/>
    <w:rsid w:val="00153ABB"/>
    <w:rsid w:val="00157A02"/>
    <w:rsid w:val="00157FAD"/>
    <w:rsid w:val="001600E5"/>
    <w:rsid w:val="001610AF"/>
    <w:rsid w:val="00165E31"/>
    <w:rsid w:val="001669E7"/>
    <w:rsid w:val="00167B87"/>
    <w:rsid w:val="00170353"/>
    <w:rsid w:val="00172842"/>
    <w:rsid w:val="00176820"/>
    <w:rsid w:val="00177B55"/>
    <w:rsid w:val="00181D6F"/>
    <w:rsid w:val="001A4AA6"/>
    <w:rsid w:val="001A51DC"/>
    <w:rsid w:val="001B1C71"/>
    <w:rsid w:val="001B4F33"/>
    <w:rsid w:val="001C6197"/>
    <w:rsid w:val="001C7182"/>
    <w:rsid w:val="001C7E8C"/>
    <w:rsid w:val="001D0620"/>
    <w:rsid w:val="001D3C09"/>
    <w:rsid w:val="001D40DA"/>
    <w:rsid w:val="001D665B"/>
    <w:rsid w:val="001E18FE"/>
    <w:rsid w:val="001E3462"/>
    <w:rsid w:val="001E3746"/>
    <w:rsid w:val="001E4F39"/>
    <w:rsid w:val="001E7A73"/>
    <w:rsid w:val="001F1D61"/>
    <w:rsid w:val="00201497"/>
    <w:rsid w:val="0020374C"/>
    <w:rsid w:val="0020530C"/>
    <w:rsid w:val="00205F20"/>
    <w:rsid w:val="0020675D"/>
    <w:rsid w:val="00216F89"/>
    <w:rsid w:val="00217CCE"/>
    <w:rsid w:val="00221308"/>
    <w:rsid w:val="00226CBA"/>
    <w:rsid w:val="00227788"/>
    <w:rsid w:val="00233318"/>
    <w:rsid w:val="0023556E"/>
    <w:rsid w:val="00241DE6"/>
    <w:rsid w:val="00243376"/>
    <w:rsid w:val="00246DEE"/>
    <w:rsid w:val="00251DA4"/>
    <w:rsid w:val="00254DDC"/>
    <w:rsid w:val="002566D0"/>
    <w:rsid w:val="002604DB"/>
    <w:rsid w:val="00265ECD"/>
    <w:rsid w:val="00267BD5"/>
    <w:rsid w:val="002722F9"/>
    <w:rsid w:val="00273E46"/>
    <w:rsid w:val="0027789D"/>
    <w:rsid w:val="002801C2"/>
    <w:rsid w:val="00282F87"/>
    <w:rsid w:val="00283F81"/>
    <w:rsid w:val="00286901"/>
    <w:rsid w:val="00286FA3"/>
    <w:rsid w:val="00291DEF"/>
    <w:rsid w:val="002921B3"/>
    <w:rsid w:val="0029353A"/>
    <w:rsid w:val="002B0DF0"/>
    <w:rsid w:val="002B11D9"/>
    <w:rsid w:val="002B1845"/>
    <w:rsid w:val="002B237E"/>
    <w:rsid w:val="002B31F4"/>
    <w:rsid w:val="002B66B2"/>
    <w:rsid w:val="002B6B8C"/>
    <w:rsid w:val="002C24BA"/>
    <w:rsid w:val="002E0C5F"/>
    <w:rsid w:val="002E130A"/>
    <w:rsid w:val="002E290A"/>
    <w:rsid w:val="002E341B"/>
    <w:rsid w:val="002E6292"/>
    <w:rsid w:val="002F0580"/>
    <w:rsid w:val="002F4AFF"/>
    <w:rsid w:val="002F5A1E"/>
    <w:rsid w:val="002F6C67"/>
    <w:rsid w:val="002F7282"/>
    <w:rsid w:val="0030440D"/>
    <w:rsid w:val="0030792C"/>
    <w:rsid w:val="0031300C"/>
    <w:rsid w:val="00331601"/>
    <w:rsid w:val="00334B2E"/>
    <w:rsid w:val="00347F08"/>
    <w:rsid w:val="0035640A"/>
    <w:rsid w:val="00360CAA"/>
    <w:rsid w:val="0036234C"/>
    <w:rsid w:val="0036381C"/>
    <w:rsid w:val="00364A84"/>
    <w:rsid w:val="00366E17"/>
    <w:rsid w:val="00374D1A"/>
    <w:rsid w:val="003860F8"/>
    <w:rsid w:val="003A0C32"/>
    <w:rsid w:val="003B7E6E"/>
    <w:rsid w:val="003C1F07"/>
    <w:rsid w:val="003D75D6"/>
    <w:rsid w:val="003E0039"/>
    <w:rsid w:val="003E1722"/>
    <w:rsid w:val="003E1ACA"/>
    <w:rsid w:val="003E6C6A"/>
    <w:rsid w:val="003F4FE8"/>
    <w:rsid w:val="003F5182"/>
    <w:rsid w:val="003F6420"/>
    <w:rsid w:val="003F6492"/>
    <w:rsid w:val="003F7B12"/>
    <w:rsid w:val="00404730"/>
    <w:rsid w:val="00407458"/>
    <w:rsid w:val="00413FBA"/>
    <w:rsid w:val="0041471B"/>
    <w:rsid w:val="004151CA"/>
    <w:rsid w:val="00422FC6"/>
    <w:rsid w:val="00435FBF"/>
    <w:rsid w:val="00440DC4"/>
    <w:rsid w:val="00444E3F"/>
    <w:rsid w:val="00451771"/>
    <w:rsid w:val="00452196"/>
    <w:rsid w:val="004561C0"/>
    <w:rsid w:val="00464CCE"/>
    <w:rsid w:val="00466547"/>
    <w:rsid w:val="00467F87"/>
    <w:rsid w:val="00470A0B"/>
    <w:rsid w:val="00470AE7"/>
    <w:rsid w:val="00474C2B"/>
    <w:rsid w:val="00475543"/>
    <w:rsid w:val="004762E0"/>
    <w:rsid w:val="0048234F"/>
    <w:rsid w:val="00484D81"/>
    <w:rsid w:val="00485B08"/>
    <w:rsid w:val="004869B9"/>
    <w:rsid w:val="0048735C"/>
    <w:rsid w:val="004920BC"/>
    <w:rsid w:val="00497D15"/>
    <w:rsid w:val="004A0B24"/>
    <w:rsid w:val="004A7291"/>
    <w:rsid w:val="004B07EF"/>
    <w:rsid w:val="004C1887"/>
    <w:rsid w:val="004C6694"/>
    <w:rsid w:val="004D0A44"/>
    <w:rsid w:val="004D515A"/>
    <w:rsid w:val="004E207C"/>
    <w:rsid w:val="004E2D40"/>
    <w:rsid w:val="004E6155"/>
    <w:rsid w:val="004F34EA"/>
    <w:rsid w:val="004F37BA"/>
    <w:rsid w:val="004F4302"/>
    <w:rsid w:val="004F57D0"/>
    <w:rsid w:val="004F666C"/>
    <w:rsid w:val="00500B87"/>
    <w:rsid w:val="00507DF0"/>
    <w:rsid w:val="00510F82"/>
    <w:rsid w:val="00513841"/>
    <w:rsid w:val="0051582D"/>
    <w:rsid w:val="0051681E"/>
    <w:rsid w:val="00517032"/>
    <w:rsid w:val="00521561"/>
    <w:rsid w:val="00522AEF"/>
    <w:rsid w:val="0052377B"/>
    <w:rsid w:val="00523C6F"/>
    <w:rsid w:val="00524AF4"/>
    <w:rsid w:val="00527D33"/>
    <w:rsid w:val="00530DC4"/>
    <w:rsid w:val="0053508D"/>
    <w:rsid w:val="0053597B"/>
    <w:rsid w:val="00537196"/>
    <w:rsid w:val="00537748"/>
    <w:rsid w:val="00543204"/>
    <w:rsid w:val="00546AD7"/>
    <w:rsid w:val="0055232E"/>
    <w:rsid w:val="005614AC"/>
    <w:rsid w:val="005647AE"/>
    <w:rsid w:val="00565530"/>
    <w:rsid w:val="00566088"/>
    <w:rsid w:val="0058171F"/>
    <w:rsid w:val="00582C8C"/>
    <w:rsid w:val="00590D4F"/>
    <w:rsid w:val="0059124F"/>
    <w:rsid w:val="00591595"/>
    <w:rsid w:val="0059231F"/>
    <w:rsid w:val="005947A7"/>
    <w:rsid w:val="00596B89"/>
    <w:rsid w:val="00597B4D"/>
    <w:rsid w:val="005A0028"/>
    <w:rsid w:val="005A1EE1"/>
    <w:rsid w:val="005A2DD7"/>
    <w:rsid w:val="005A42C0"/>
    <w:rsid w:val="005A581B"/>
    <w:rsid w:val="005A693D"/>
    <w:rsid w:val="005B214D"/>
    <w:rsid w:val="005B302D"/>
    <w:rsid w:val="005B5606"/>
    <w:rsid w:val="005B598C"/>
    <w:rsid w:val="005B5FC0"/>
    <w:rsid w:val="005B76C1"/>
    <w:rsid w:val="005C5218"/>
    <w:rsid w:val="005D0EC2"/>
    <w:rsid w:val="005D2978"/>
    <w:rsid w:val="005D4361"/>
    <w:rsid w:val="005D43AE"/>
    <w:rsid w:val="005E1CCC"/>
    <w:rsid w:val="005E2983"/>
    <w:rsid w:val="005F3882"/>
    <w:rsid w:val="005F39A4"/>
    <w:rsid w:val="005F6149"/>
    <w:rsid w:val="00604B59"/>
    <w:rsid w:val="00604EFF"/>
    <w:rsid w:val="0060522E"/>
    <w:rsid w:val="0061072A"/>
    <w:rsid w:val="006127F0"/>
    <w:rsid w:val="0061336F"/>
    <w:rsid w:val="0061619A"/>
    <w:rsid w:val="006163DA"/>
    <w:rsid w:val="0061646A"/>
    <w:rsid w:val="00616FE2"/>
    <w:rsid w:val="00621929"/>
    <w:rsid w:val="00623A7D"/>
    <w:rsid w:val="00631E18"/>
    <w:rsid w:val="00635E45"/>
    <w:rsid w:val="00641104"/>
    <w:rsid w:val="00642B4D"/>
    <w:rsid w:val="006430E7"/>
    <w:rsid w:val="00644E30"/>
    <w:rsid w:val="00647748"/>
    <w:rsid w:val="00650B75"/>
    <w:rsid w:val="00651345"/>
    <w:rsid w:val="006533F9"/>
    <w:rsid w:val="0065417F"/>
    <w:rsid w:val="00670E79"/>
    <w:rsid w:val="00670F1C"/>
    <w:rsid w:val="00671451"/>
    <w:rsid w:val="00673F79"/>
    <w:rsid w:val="006816C1"/>
    <w:rsid w:val="006905C7"/>
    <w:rsid w:val="006A4844"/>
    <w:rsid w:val="006A4C6D"/>
    <w:rsid w:val="006B01C7"/>
    <w:rsid w:val="006B5396"/>
    <w:rsid w:val="006B558E"/>
    <w:rsid w:val="006B572D"/>
    <w:rsid w:val="006C0501"/>
    <w:rsid w:val="006C75A9"/>
    <w:rsid w:val="006D04A0"/>
    <w:rsid w:val="006E0162"/>
    <w:rsid w:val="006E2F1E"/>
    <w:rsid w:val="006E36F8"/>
    <w:rsid w:val="006F1A50"/>
    <w:rsid w:val="00700900"/>
    <w:rsid w:val="00701F81"/>
    <w:rsid w:val="00706B77"/>
    <w:rsid w:val="00710A07"/>
    <w:rsid w:val="00726850"/>
    <w:rsid w:val="00731C8C"/>
    <w:rsid w:val="007450AC"/>
    <w:rsid w:val="007457F0"/>
    <w:rsid w:val="00750120"/>
    <w:rsid w:val="00753C73"/>
    <w:rsid w:val="007570F5"/>
    <w:rsid w:val="007625A8"/>
    <w:rsid w:val="00767B0B"/>
    <w:rsid w:val="00773D52"/>
    <w:rsid w:val="00774D1B"/>
    <w:rsid w:val="00780580"/>
    <w:rsid w:val="007840E2"/>
    <w:rsid w:val="00787B1D"/>
    <w:rsid w:val="007946CC"/>
    <w:rsid w:val="0079491D"/>
    <w:rsid w:val="007A100A"/>
    <w:rsid w:val="007A6349"/>
    <w:rsid w:val="007B0B54"/>
    <w:rsid w:val="007B2B1D"/>
    <w:rsid w:val="007B514F"/>
    <w:rsid w:val="007B7910"/>
    <w:rsid w:val="007C00D8"/>
    <w:rsid w:val="007C03BC"/>
    <w:rsid w:val="007C33E0"/>
    <w:rsid w:val="007D64B5"/>
    <w:rsid w:val="007E394B"/>
    <w:rsid w:val="007E41E3"/>
    <w:rsid w:val="007E446F"/>
    <w:rsid w:val="007E657A"/>
    <w:rsid w:val="007E733E"/>
    <w:rsid w:val="007F5631"/>
    <w:rsid w:val="007F6FA2"/>
    <w:rsid w:val="008029BE"/>
    <w:rsid w:val="00804E6C"/>
    <w:rsid w:val="00805F5F"/>
    <w:rsid w:val="00807589"/>
    <w:rsid w:val="008364B1"/>
    <w:rsid w:val="00840C22"/>
    <w:rsid w:val="0084110A"/>
    <w:rsid w:val="008450BB"/>
    <w:rsid w:val="00847EF6"/>
    <w:rsid w:val="0086491B"/>
    <w:rsid w:val="008665E2"/>
    <w:rsid w:val="0087042D"/>
    <w:rsid w:val="00870636"/>
    <w:rsid w:val="00871D9C"/>
    <w:rsid w:val="0087312F"/>
    <w:rsid w:val="008748EE"/>
    <w:rsid w:val="00874A9A"/>
    <w:rsid w:val="00884B2A"/>
    <w:rsid w:val="00885056"/>
    <w:rsid w:val="008859ED"/>
    <w:rsid w:val="00887C26"/>
    <w:rsid w:val="00893BCD"/>
    <w:rsid w:val="00897A62"/>
    <w:rsid w:val="008A1534"/>
    <w:rsid w:val="008A3FAE"/>
    <w:rsid w:val="008A7E74"/>
    <w:rsid w:val="008B3E73"/>
    <w:rsid w:val="008B599D"/>
    <w:rsid w:val="008B59BE"/>
    <w:rsid w:val="008D6C03"/>
    <w:rsid w:val="008E0EB9"/>
    <w:rsid w:val="008E35A3"/>
    <w:rsid w:val="008E6A66"/>
    <w:rsid w:val="008F056B"/>
    <w:rsid w:val="008F0CBB"/>
    <w:rsid w:val="008F2EDE"/>
    <w:rsid w:val="008F6E74"/>
    <w:rsid w:val="00900BD5"/>
    <w:rsid w:val="0090168D"/>
    <w:rsid w:val="009039AD"/>
    <w:rsid w:val="0090453E"/>
    <w:rsid w:val="00905273"/>
    <w:rsid w:val="00905CE1"/>
    <w:rsid w:val="009264F9"/>
    <w:rsid w:val="00947E59"/>
    <w:rsid w:val="009530B8"/>
    <w:rsid w:val="00954123"/>
    <w:rsid w:val="00955BE3"/>
    <w:rsid w:val="009602F0"/>
    <w:rsid w:val="009621D5"/>
    <w:rsid w:val="00962F80"/>
    <w:rsid w:val="0096352C"/>
    <w:rsid w:val="00963B79"/>
    <w:rsid w:val="00965204"/>
    <w:rsid w:val="009718AC"/>
    <w:rsid w:val="009727D6"/>
    <w:rsid w:val="0097387B"/>
    <w:rsid w:val="00974814"/>
    <w:rsid w:val="00980DEC"/>
    <w:rsid w:val="00987C6B"/>
    <w:rsid w:val="009903A6"/>
    <w:rsid w:val="009934B7"/>
    <w:rsid w:val="00997F25"/>
    <w:rsid w:val="009A3BA5"/>
    <w:rsid w:val="009A70F4"/>
    <w:rsid w:val="009B6C3A"/>
    <w:rsid w:val="009C4756"/>
    <w:rsid w:val="009C479B"/>
    <w:rsid w:val="009C61AC"/>
    <w:rsid w:val="009D7859"/>
    <w:rsid w:val="009D7CC7"/>
    <w:rsid w:val="009E16C0"/>
    <w:rsid w:val="009E179B"/>
    <w:rsid w:val="009F60DE"/>
    <w:rsid w:val="00A04304"/>
    <w:rsid w:val="00A10791"/>
    <w:rsid w:val="00A11C45"/>
    <w:rsid w:val="00A14815"/>
    <w:rsid w:val="00A201BB"/>
    <w:rsid w:val="00A21D0F"/>
    <w:rsid w:val="00A2457B"/>
    <w:rsid w:val="00A32C8F"/>
    <w:rsid w:val="00A35E2B"/>
    <w:rsid w:val="00A52F19"/>
    <w:rsid w:val="00A559E0"/>
    <w:rsid w:val="00A56F31"/>
    <w:rsid w:val="00A570BF"/>
    <w:rsid w:val="00A62DEC"/>
    <w:rsid w:val="00A66627"/>
    <w:rsid w:val="00A671A8"/>
    <w:rsid w:val="00A74E9F"/>
    <w:rsid w:val="00A75F14"/>
    <w:rsid w:val="00A76026"/>
    <w:rsid w:val="00A77431"/>
    <w:rsid w:val="00A82A58"/>
    <w:rsid w:val="00A8335E"/>
    <w:rsid w:val="00A94C92"/>
    <w:rsid w:val="00A95292"/>
    <w:rsid w:val="00AB0626"/>
    <w:rsid w:val="00AB17F2"/>
    <w:rsid w:val="00AC1220"/>
    <w:rsid w:val="00AC3537"/>
    <w:rsid w:val="00AC69F2"/>
    <w:rsid w:val="00AC7731"/>
    <w:rsid w:val="00AC7FB2"/>
    <w:rsid w:val="00AD0A33"/>
    <w:rsid w:val="00AD4551"/>
    <w:rsid w:val="00AD56C3"/>
    <w:rsid w:val="00AD5D59"/>
    <w:rsid w:val="00AD61CB"/>
    <w:rsid w:val="00AE0FDA"/>
    <w:rsid w:val="00AE3A7E"/>
    <w:rsid w:val="00AE3D41"/>
    <w:rsid w:val="00AF2FE8"/>
    <w:rsid w:val="00AF4882"/>
    <w:rsid w:val="00AF4F69"/>
    <w:rsid w:val="00AF62CD"/>
    <w:rsid w:val="00AF6DD4"/>
    <w:rsid w:val="00B01914"/>
    <w:rsid w:val="00B022B6"/>
    <w:rsid w:val="00B03B20"/>
    <w:rsid w:val="00B1424D"/>
    <w:rsid w:val="00B17C6A"/>
    <w:rsid w:val="00B221B8"/>
    <w:rsid w:val="00B23AD0"/>
    <w:rsid w:val="00B2465B"/>
    <w:rsid w:val="00B3493B"/>
    <w:rsid w:val="00B355AD"/>
    <w:rsid w:val="00B4025D"/>
    <w:rsid w:val="00B53136"/>
    <w:rsid w:val="00B54281"/>
    <w:rsid w:val="00B5664B"/>
    <w:rsid w:val="00B605AC"/>
    <w:rsid w:val="00B6105E"/>
    <w:rsid w:val="00B61122"/>
    <w:rsid w:val="00B700C8"/>
    <w:rsid w:val="00B735CE"/>
    <w:rsid w:val="00B80FC0"/>
    <w:rsid w:val="00B81B8D"/>
    <w:rsid w:val="00B84B23"/>
    <w:rsid w:val="00B91B6E"/>
    <w:rsid w:val="00B94F08"/>
    <w:rsid w:val="00BA1722"/>
    <w:rsid w:val="00BA5C86"/>
    <w:rsid w:val="00BA6309"/>
    <w:rsid w:val="00BB26C0"/>
    <w:rsid w:val="00BB2D93"/>
    <w:rsid w:val="00BB5B9A"/>
    <w:rsid w:val="00BB5BB4"/>
    <w:rsid w:val="00BC6E1D"/>
    <w:rsid w:val="00BD0133"/>
    <w:rsid w:val="00BD3008"/>
    <w:rsid w:val="00BD32FE"/>
    <w:rsid w:val="00BD5121"/>
    <w:rsid w:val="00BF3C27"/>
    <w:rsid w:val="00BF54C2"/>
    <w:rsid w:val="00C016AF"/>
    <w:rsid w:val="00C020B8"/>
    <w:rsid w:val="00C04E96"/>
    <w:rsid w:val="00C05C64"/>
    <w:rsid w:val="00C10A78"/>
    <w:rsid w:val="00C1238B"/>
    <w:rsid w:val="00C13DE8"/>
    <w:rsid w:val="00C23346"/>
    <w:rsid w:val="00C2727C"/>
    <w:rsid w:val="00C33C66"/>
    <w:rsid w:val="00C33DA6"/>
    <w:rsid w:val="00C37B21"/>
    <w:rsid w:val="00C45082"/>
    <w:rsid w:val="00C45625"/>
    <w:rsid w:val="00C467D1"/>
    <w:rsid w:val="00C53D01"/>
    <w:rsid w:val="00C624D6"/>
    <w:rsid w:val="00C65360"/>
    <w:rsid w:val="00C7479B"/>
    <w:rsid w:val="00C817BF"/>
    <w:rsid w:val="00C84051"/>
    <w:rsid w:val="00C8439A"/>
    <w:rsid w:val="00C91164"/>
    <w:rsid w:val="00C923AB"/>
    <w:rsid w:val="00C9240D"/>
    <w:rsid w:val="00C924B4"/>
    <w:rsid w:val="00C94B82"/>
    <w:rsid w:val="00C9513E"/>
    <w:rsid w:val="00CA0C96"/>
    <w:rsid w:val="00CA3D60"/>
    <w:rsid w:val="00CA737A"/>
    <w:rsid w:val="00CB2EEF"/>
    <w:rsid w:val="00CB6ED5"/>
    <w:rsid w:val="00CD102D"/>
    <w:rsid w:val="00CD271D"/>
    <w:rsid w:val="00CE2C9F"/>
    <w:rsid w:val="00CF0C66"/>
    <w:rsid w:val="00CF48D8"/>
    <w:rsid w:val="00D03B38"/>
    <w:rsid w:val="00D05A5D"/>
    <w:rsid w:val="00D06788"/>
    <w:rsid w:val="00D101BB"/>
    <w:rsid w:val="00D1322B"/>
    <w:rsid w:val="00D13D58"/>
    <w:rsid w:val="00D22848"/>
    <w:rsid w:val="00D27C48"/>
    <w:rsid w:val="00D333F2"/>
    <w:rsid w:val="00D3676C"/>
    <w:rsid w:val="00D42C20"/>
    <w:rsid w:val="00D44225"/>
    <w:rsid w:val="00D56D03"/>
    <w:rsid w:val="00D6651D"/>
    <w:rsid w:val="00D67A46"/>
    <w:rsid w:val="00D728A4"/>
    <w:rsid w:val="00D740BA"/>
    <w:rsid w:val="00D76136"/>
    <w:rsid w:val="00D854B0"/>
    <w:rsid w:val="00DA10E6"/>
    <w:rsid w:val="00DA1347"/>
    <w:rsid w:val="00DA389D"/>
    <w:rsid w:val="00DA6F85"/>
    <w:rsid w:val="00DA77BE"/>
    <w:rsid w:val="00DB51C1"/>
    <w:rsid w:val="00DB66BE"/>
    <w:rsid w:val="00DC06BB"/>
    <w:rsid w:val="00DC48E0"/>
    <w:rsid w:val="00DC49AD"/>
    <w:rsid w:val="00DD1BF4"/>
    <w:rsid w:val="00DD272D"/>
    <w:rsid w:val="00DD418E"/>
    <w:rsid w:val="00DD5051"/>
    <w:rsid w:val="00DE2721"/>
    <w:rsid w:val="00DE3C8F"/>
    <w:rsid w:val="00DF146E"/>
    <w:rsid w:val="00DF4052"/>
    <w:rsid w:val="00DF40EE"/>
    <w:rsid w:val="00DF426A"/>
    <w:rsid w:val="00DF4698"/>
    <w:rsid w:val="00DF6048"/>
    <w:rsid w:val="00E02A58"/>
    <w:rsid w:val="00E02F41"/>
    <w:rsid w:val="00E044E7"/>
    <w:rsid w:val="00E07E5E"/>
    <w:rsid w:val="00E110A9"/>
    <w:rsid w:val="00E11144"/>
    <w:rsid w:val="00E111BB"/>
    <w:rsid w:val="00E1154E"/>
    <w:rsid w:val="00E13EFE"/>
    <w:rsid w:val="00E2053B"/>
    <w:rsid w:val="00E21E2B"/>
    <w:rsid w:val="00E244CF"/>
    <w:rsid w:val="00E26778"/>
    <w:rsid w:val="00E3517E"/>
    <w:rsid w:val="00E35558"/>
    <w:rsid w:val="00E37B3B"/>
    <w:rsid w:val="00E44C45"/>
    <w:rsid w:val="00E51EBE"/>
    <w:rsid w:val="00E5373A"/>
    <w:rsid w:val="00E55B3E"/>
    <w:rsid w:val="00E63CEF"/>
    <w:rsid w:val="00E71FBE"/>
    <w:rsid w:val="00E762A1"/>
    <w:rsid w:val="00E819E1"/>
    <w:rsid w:val="00E83A56"/>
    <w:rsid w:val="00E921B4"/>
    <w:rsid w:val="00E972B3"/>
    <w:rsid w:val="00EB478E"/>
    <w:rsid w:val="00EC206B"/>
    <w:rsid w:val="00EC741C"/>
    <w:rsid w:val="00EC7C59"/>
    <w:rsid w:val="00ED3ACD"/>
    <w:rsid w:val="00ED4C76"/>
    <w:rsid w:val="00EE71AD"/>
    <w:rsid w:val="00EE7F6C"/>
    <w:rsid w:val="00EF1152"/>
    <w:rsid w:val="00EF33D7"/>
    <w:rsid w:val="00F06C98"/>
    <w:rsid w:val="00F15185"/>
    <w:rsid w:val="00F201CD"/>
    <w:rsid w:val="00F2141D"/>
    <w:rsid w:val="00F2439C"/>
    <w:rsid w:val="00F36280"/>
    <w:rsid w:val="00F36D2F"/>
    <w:rsid w:val="00F41E7E"/>
    <w:rsid w:val="00F46986"/>
    <w:rsid w:val="00F61263"/>
    <w:rsid w:val="00F62A94"/>
    <w:rsid w:val="00F64826"/>
    <w:rsid w:val="00F709EB"/>
    <w:rsid w:val="00F70DD7"/>
    <w:rsid w:val="00F733D7"/>
    <w:rsid w:val="00F74463"/>
    <w:rsid w:val="00F74818"/>
    <w:rsid w:val="00F75A0D"/>
    <w:rsid w:val="00F80873"/>
    <w:rsid w:val="00F8312B"/>
    <w:rsid w:val="00F8577D"/>
    <w:rsid w:val="00F87108"/>
    <w:rsid w:val="00F91970"/>
    <w:rsid w:val="00F939DD"/>
    <w:rsid w:val="00FA367E"/>
    <w:rsid w:val="00FA4474"/>
    <w:rsid w:val="00FA6FB0"/>
    <w:rsid w:val="00FB0CC2"/>
    <w:rsid w:val="00FB25BF"/>
    <w:rsid w:val="00FB2EFD"/>
    <w:rsid w:val="00FB37C6"/>
    <w:rsid w:val="00FB38D7"/>
    <w:rsid w:val="00FB3BE8"/>
    <w:rsid w:val="00FB6310"/>
    <w:rsid w:val="00FB72B5"/>
    <w:rsid w:val="00FC09FB"/>
    <w:rsid w:val="00FC0BF1"/>
    <w:rsid w:val="00FD77AB"/>
    <w:rsid w:val="00FD7AFD"/>
    <w:rsid w:val="00FE120A"/>
    <w:rsid w:val="00FE1D30"/>
    <w:rsid w:val="00FE2E01"/>
    <w:rsid w:val="00FE4DF6"/>
    <w:rsid w:val="00FE5D6D"/>
    <w:rsid w:val="00FF2ED8"/>
    <w:rsid w:val="00FF35F1"/>
    <w:rsid w:val="00FF3973"/>
    <w:rsid w:val="00FF71FC"/>
    <w:rsid w:val="00FF73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1DCC43"/>
  <w15:docId w15:val="{4CE2ADAC-E3CD-634C-8219-CDC057B9A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CO" w:eastAsia="es-CO"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728A4"/>
  </w:style>
  <w:style w:type="paragraph" w:styleId="Ttulo1">
    <w:name w:val="heading 1"/>
    <w:basedOn w:val="Normal"/>
    <w:next w:val="Normal"/>
    <w:rsid w:val="00D728A4"/>
    <w:pPr>
      <w:outlineLvl w:val="0"/>
    </w:pPr>
    <w:rPr>
      <w:b/>
      <w:sz w:val="32"/>
      <w:szCs w:val="32"/>
    </w:rPr>
  </w:style>
  <w:style w:type="paragraph" w:styleId="Ttulo2">
    <w:name w:val="heading 2"/>
    <w:basedOn w:val="Normal"/>
    <w:next w:val="Normal"/>
    <w:link w:val="Ttulo2Car"/>
    <w:rsid w:val="00D728A4"/>
    <w:pPr>
      <w:ind w:left="102"/>
      <w:outlineLvl w:val="1"/>
    </w:pPr>
    <w:rPr>
      <w:b/>
      <w:sz w:val="28"/>
      <w:szCs w:val="28"/>
    </w:rPr>
  </w:style>
  <w:style w:type="paragraph" w:styleId="Ttulo3">
    <w:name w:val="heading 3"/>
    <w:basedOn w:val="Normal"/>
    <w:next w:val="Normal"/>
    <w:rsid w:val="00D728A4"/>
    <w:pPr>
      <w:keepNext/>
      <w:keepLines/>
      <w:spacing w:before="280" w:after="80"/>
      <w:outlineLvl w:val="2"/>
    </w:pPr>
    <w:rPr>
      <w:b/>
      <w:sz w:val="28"/>
      <w:szCs w:val="28"/>
    </w:rPr>
  </w:style>
  <w:style w:type="paragraph" w:styleId="Ttulo4">
    <w:name w:val="heading 4"/>
    <w:basedOn w:val="Normal"/>
    <w:next w:val="Normal"/>
    <w:rsid w:val="00D728A4"/>
    <w:pPr>
      <w:keepNext/>
      <w:keepLines/>
      <w:spacing w:before="240" w:after="40"/>
      <w:outlineLvl w:val="3"/>
    </w:pPr>
    <w:rPr>
      <w:b/>
      <w:sz w:val="24"/>
      <w:szCs w:val="24"/>
    </w:rPr>
  </w:style>
  <w:style w:type="paragraph" w:styleId="Ttulo5">
    <w:name w:val="heading 5"/>
    <w:basedOn w:val="Normal"/>
    <w:next w:val="Normal"/>
    <w:rsid w:val="00D728A4"/>
    <w:pPr>
      <w:keepNext/>
      <w:keepLines/>
      <w:spacing w:before="220" w:after="40"/>
      <w:outlineLvl w:val="4"/>
    </w:pPr>
    <w:rPr>
      <w:b/>
    </w:rPr>
  </w:style>
  <w:style w:type="paragraph" w:styleId="Ttulo6">
    <w:name w:val="heading 6"/>
    <w:basedOn w:val="Normal"/>
    <w:next w:val="Normal"/>
    <w:rsid w:val="00D728A4"/>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rsid w:val="00D728A4"/>
    <w:tblPr>
      <w:tblCellMar>
        <w:top w:w="0" w:type="dxa"/>
        <w:left w:w="0" w:type="dxa"/>
        <w:bottom w:w="0" w:type="dxa"/>
        <w:right w:w="0" w:type="dxa"/>
      </w:tblCellMar>
    </w:tblPr>
  </w:style>
  <w:style w:type="paragraph" w:styleId="Ttulo">
    <w:name w:val="Title"/>
    <w:basedOn w:val="Normal"/>
    <w:next w:val="Normal"/>
    <w:rsid w:val="00D728A4"/>
    <w:pPr>
      <w:keepNext/>
      <w:keepLines/>
      <w:spacing w:before="480" w:after="120"/>
    </w:pPr>
    <w:rPr>
      <w:b/>
      <w:sz w:val="72"/>
      <w:szCs w:val="72"/>
    </w:rPr>
  </w:style>
  <w:style w:type="paragraph" w:styleId="Subttulo">
    <w:name w:val="Subtitle"/>
    <w:basedOn w:val="Normal"/>
    <w:next w:val="Normal"/>
    <w:rsid w:val="00D728A4"/>
    <w:pPr>
      <w:keepNext/>
      <w:keepLines/>
      <w:spacing w:before="360" w:after="80"/>
    </w:pPr>
    <w:rPr>
      <w:rFonts w:ascii="Georgia" w:eastAsia="Georgia" w:hAnsi="Georgia" w:cs="Georgia"/>
      <w:i/>
      <w:color w:val="666666"/>
      <w:sz w:val="48"/>
      <w:szCs w:val="48"/>
    </w:rPr>
  </w:style>
  <w:style w:type="table" w:customStyle="1" w:styleId="a">
    <w:basedOn w:val="TableNormal1"/>
    <w:rsid w:val="00D728A4"/>
    <w:tblPr>
      <w:tblStyleRowBandSize w:val="1"/>
      <w:tblStyleColBandSize w:val="1"/>
      <w:tblCellMar>
        <w:top w:w="100" w:type="dxa"/>
        <w:left w:w="100" w:type="dxa"/>
        <w:bottom w:w="100" w:type="dxa"/>
        <w:right w:w="100" w:type="dxa"/>
      </w:tblCellMar>
    </w:tblPr>
  </w:style>
  <w:style w:type="table" w:customStyle="1" w:styleId="a0">
    <w:basedOn w:val="TableNormal1"/>
    <w:rsid w:val="00D728A4"/>
    <w:tblPr>
      <w:tblStyleRowBandSize w:val="1"/>
      <w:tblStyleColBandSize w:val="1"/>
      <w:tblCellMar>
        <w:top w:w="100" w:type="dxa"/>
        <w:left w:w="100" w:type="dxa"/>
        <w:bottom w:w="100" w:type="dxa"/>
        <w:right w:w="100" w:type="dxa"/>
      </w:tblCellMar>
    </w:tblPr>
  </w:style>
  <w:style w:type="table" w:customStyle="1" w:styleId="a1">
    <w:basedOn w:val="TableNormal1"/>
    <w:rsid w:val="00D728A4"/>
    <w:tblPr>
      <w:tblStyleRowBandSize w:val="1"/>
      <w:tblStyleColBandSize w:val="1"/>
      <w:tblCellMar>
        <w:top w:w="100" w:type="dxa"/>
        <w:left w:w="100" w:type="dxa"/>
        <w:bottom w:w="100" w:type="dxa"/>
        <w:right w:w="100" w:type="dxa"/>
      </w:tblCellMar>
    </w:tblPr>
  </w:style>
  <w:style w:type="table" w:customStyle="1" w:styleId="a2">
    <w:basedOn w:val="TableNormal1"/>
    <w:rsid w:val="00D728A4"/>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semiHidden/>
    <w:unhideWhenUsed/>
    <w:rsid w:val="00D728A4"/>
    <w:rPr>
      <w:sz w:val="20"/>
      <w:szCs w:val="20"/>
    </w:rPr>
  </w:style>
  <w:style w:type="character" w:customStyle="1" w:styleId="TextocomentarioCar">
    <w:name w:val="Texto comentario Car"/>
    <w:basedOn w:val="Fuentedeprrafopredeter"/>
    <w:link w:val="Textocomentario"/>
    <w:uiPriority w:val="99"/>
    <w:semiHidden/>
    <w:rsid w:val="00D728A4"/>
    <w:rPr>
      <w:sz w:val="20"/>
      <w:szCs w:val="20"/>
    </w:rPr>
  </w:style>
  <w:style w:type="character" w:styleId="Refdecomentario">
    <w:name w:val="annotation reference"/>
    <w:basedOn w:val="Fuentedeprrafopredeter"/>
    <w:uiPriority w:val="99"/>
    <w:semiHidden/>
    <w:unhideWhenUsed/>
    <w:rsid w:val="00D728A4"/>
    <w:rPr>
      <w:sz w:val="16"/>
      <w:szCs w:val="16"/>
    </w:rPr>
  </w:style>
  <w:style w:type="paragraph" w:styleId="Textodeglobo">
    <w:name w:val="Balloon Text"/>
    <w:basedOn w:val="Normal"/>
    <w:link w:val="TextodegloboCar"/>
    <w:uiPriority w:val="99"/>
    <w:semiHidden/>
    <w:unhideWhenUsed/>
    <w:rsid w:val="0065417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417F"/>
    <w:rPr>
      <w:rFonts w:ascii="Segoe UI" w:hAnsi="Segoe UI" w:cs="Segoe UI"/>
      <w:sz w:val="18"/>
      <w:szCs w:val="18"/>
    </w:rPr>
  </w:style>
  <w:style w:type="paragraph" w:styleId="Encabezado">
    <w:name w:val="header"/>
    <w:basedOn w:val="Normal"/>
    <w:link w:val="EncabezadoCar"/>
    <w:uiPriority w:val="99"/>
    <w:unhideWhenUsed/>
    <w:rsid w:val="0065417F"/>
    <w:pPr>
      <w:tabs>
        <w:tab w:val="center" w:pos="4419"/>
        <w:tab w:val="right" w:pos="8838"/>
      </w:tabs>
    </w:pPr>
  </w:style>
  <w:style w:type="character" w:customStyle="1" w:styleId="EncabezadoCar">
    <w:name w:val="Encabezado Car"/>
    <w:basedOn w:val="Fuentedeprrafopredeter"/>
    <w:link w:val="Encabezado"/>
    <w:uiPriority w:val="99"/>
    <w:rsid w:val="0065417F"/>
  </w:style>
  <w:style w:type="paragraph" w:styleId="Piedepgina">
    <w:name w:val="footer"/>
    <w:basedOn w:val="Normal"/>
    <w:link w:val="PiedepginaCar"/>
    <w:uiPriority w:val="99"/>
    <w:unhideWhenUsed/>
    <w:rsid w:val="0065417F"/>
    <w:pPr>
      <w:tabs>
        <w:tab w:val="center" w:pos="4419"/>
        <w:tab w:val="right" w:pos="8838"/>
      </w:tabs>
    </w:pPr>
  </w:style>
  <w:style w:type="character" w:customStyle="1" w:styleId="PiedepginaCar">
    <w:name w:val="Pie de página Car"/>
    <w:basedOn w:val="Fuentedeprrafopredeter"/>
    <w:link w:val="Piedepgina"/>
    <w:uiPriority w:val="99"/>
    <w:rsid w:val="0065417F"/>
  </w:style>
  <w:style w:type="character" w:styleId="Hipervnculo">
    <w:name w:val="Hyperlink"/>
    <w:basedOn w:val="Fuentedeprrafopredeter"/>
    <w:uiPriority w:val="99"/>
    <w:unhideWhenUsed/>
    <w:rsid w:val="0065417F"/>
    <w:rPr>
      <w:color w:val="0000FF" w:themeColor="hyperlink"/>
      <w:u w:val="single"/>
    </w:rPr>
  </w:style>
  <w:style w:type="paragraph" w:styleId="Textonotapie">
    <w:name w:val="footnote text"/>
    <w:basedOn w:val="Normal"/>
    <w:link w:val="TextonotapieCar"/>
    <w:uiPriority w:val="99"/>
    <w:unhideWhenUsed/>
    <w:rsid w:val="0065417F"/>
    <w:pPr>
      <w:widowControl/>
    </w:pPr>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rsid w:val="0065417F"/>
    <w:rPr>
      <w:rFonts w:asciiTheme="minorHAnsi" w:eastAsiaTheme="minorHAnsi" w:hAnsiTheme="minorHAnsi" w:cstheme="minorBidi"/>
      <w:sz w:val="20"/>
      <w:szCs w:val="20"/>
      <w:lang w:eastAsia="en-US"/>
    </w:rPr>
  </w:style>
  <w:style w:type="character" w:styleId="Refdenotaalpie">
    <w:name w:val="footnote reference"/>
    <w:basedOn w:val="Fuentedeprrafopredeter"/>
    <w:uiPriority w:val="99"/>
    <w:unhideWhenUsed/>
    <w:rsid w:val="0065417F"/>
    <w:rPr>
      <w:vertAlign w:val="superscript"/>
    </w:rPr>
  </w:style>
  <w:style w:type="paragraph" w:styleId="Prrafodelista">
    <w:name w:val="List Paragraph"/>
    <w:aliases w:val="Ha,Resume Title,titulo 3,Bullet,Párrafo de lista1,Lista vistosa - Énfasis 11,HOJA,Bolita,Párrafo de lista4,BOLADEF,Párrafo de lista2,Párrafo de lista3,Párrafo de lista21,BOLA,Nivel 1 OS,Colorful List Accent 1,Colorful List - Accent 11"/>
    <w:basedOn w:val="Normal"/>
    <w:link w:val="PrrafodelistaCar"/>
    <w:uiPriority w:val="34"/>
    <w:qFormat/>
    <w:rsid w:val="0065417F"/>
    <w:pPr>
      <w:widowControl/>
      <w:spacing w:after="160" w:line="259" w:lineRule="auto"/>
      <w:ind w:left="720"/>
      <w:contextualSpacing/>
    </w:pPr>
    <w:rPr>
      <w:rFonts w:asciiTheme="minorHAnsi" w:eastAsiaTheme="minorHAnsi" w:hAnsiTheme="minorHAnsi" w:cstheme="minorBidi"/>
      <w:lang w:eastAsia="en-US"/>
    </w:rPr>
  </w:style>
  <w:style w:type="paragraph" w:styleId="Asuntodelcomentario">
    <w:name w:val="annotation subject"/>
    <w:basedOn w:val="Textocomentario"/>
    <w:next w:val="Textocomentario"/>
    <w:link w:val="AsuntodelcomentarioCar"/>
    <w:uiPriority w:val="99"/>
    <w:semiHidden/>
    <w:unhideWhenUsed/>
    <w:rsid w:val="0065417F"/>
    <w:rPr>
      <w:b/>
      <w:bCs/>
    </w:rPr>
  </w:style>
  <w:style w:type="character" w:customStyle="1" w:styleId="AsuntodelcomentarioCar">
    <w:name w:val="Asunto del comentario Car"/>
    <w:basedOn w:val="TextocomentarioCar"/>
    <w:link w:val="Asuntodelcomentario"/>
    <w:uiPriority w:val="99"/>
    <w:semiHidden/>
    <w:rsid w:val="0065417F"/>
    <w:rPr>
      <w:b/>
      <w:bCs/>
      <w:sz w:val="20"/>
      <w:szCs w:val="20"/>
    </w:rPr>
  </w:style>
  <w:style w:type="paragraph" w:styleId="NormalWeb">
    <w:name w:val="Normal (Web)"/>
    <w:basedOn w:val="Normal"/>
    <w:uiPriority w:val="99"/>
    <w:unhideWhenUsed/>
    <w:rsid w:val="005D43AE"/>
    <w:pPr>
      <w:widowControl/>
      <w:spacing w:before="100" w:beforeAutospacing="1" w:after="100" w:afterAutospacing="1"/>
    </w:pPr>
    <w:rPr>
      <w:sz w:val="24"/>
      <w:szCs w:val="24"/>
    </w:rPr>
  </w:style>
  <w:style w:type="table" w:styleId="Tablaconcuadrcula">
    <w:name w:val="Table Grid"/>
    <w:basedOn w:val="Tablanormal"/>
    <w:uiPriority w:val="39"/>
    <w:rsid w:val="00CD102D"/>
    <w:pPr>
      <w:widowControl/>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Ha Car,Resume Title Car,titulo 3 Car,Bullet Car,Párrafo de lista1 Car,Lista vistosa - Énfasis 11 Car,HOJA Car,Bolita Car,Párrafo de lista4 Car,BOLADEF Car,Párrafo de lista2 Car,Párrafo de lista3 Car,Párrafo de lista21 Car,BOLA Car"/>
    <w:link w:val="Prrafodelista"/>
    <w:uiPriority w:val="34"/>
    <w:locked/>
    <w:rsid w:val="00A14815"/>
    <w:rPr>
      <w:rFonts w:asciiTheme="minorHAnsi" w:eastAsiaTheme="minorHAnsi" w:hAnsiTheme="minorHAnsi" w:cstheme="minorBidi"/>
      <w:lang w:eastAsia="en-US"/>
    </w:rPr>
  </w:style>
  <w:style w:type="character" w:styleId="Textoennegrita">
    <w:name w:val="Strong"/>
    <w:basedOn w:val="Fuentedeprrafopredeter"/>
    <w:uiPriority w:val="22"/>
    <w:qFormat/>
    <w:rsid w:val="001D40DA"/>
    <w:rPr>
      <w:b/>
      <w:bCs/>
    </w:rPr>
  </w:style>
  <w:style w:type="character" w:customStyle="1" w:styleId="Ttulo2Car">
    <w:name w:val="Título 2 Car"/>
    <w:basedOn w:val="Fuentedeprrafopredeter"/>
    <w:link w:val="Ttulo2"/>
    <w:rsid w:val="004F4302"/>
    <w:rPr>
      <w:b/>
      <w:sz w:val="28"/>
      <w:szCs w:val="28"/>
    </w:rPr>
  </w:style>
  <w:style w:type="paragraph" w:customStyle="1" w:styleId="cita">
    <w:name w:val="cita"/>
    <w:basedOn w:val="Normal"/>
    <w:rsid w:val="00524AF4"/>
    <w:pPr>
      <w:widowControl/>
      <w:spacing w:before="100" w:beforeAutospacing="1" w:after="100" w:afterAutospacing="1"/>
    </w:pPr>
    <w:rPr>
      <w:sz w:val="24"/>
      <w:szCs w:val="24"/>
    </w:rPr>
  </w:style>
  <w:style w:type="paragraph" w:styleId="Revisin">
    <w:name w:val="Revision"/>
    <w:hidden/>
    <w:uiPriority w:val="99"/>
    <w:semiHidden/>
    <w:rsid w:val="00404730"/>
    <w:pPr>
      <w:widowControl/>
    </w:pPr>
  </w:style>
  <w:style w:type="paragraph" w:styleId="Textonotaalfinal">
    <w:name w:val="endnote text"/>
    <w:basedOn w:val="Normal"/>
    <w:link w:val="TextonotaalfinalCar"/>
    <w:uiPriority w:val="99"/>
    <w:semiHidden/>
    <w:unhideWhenUsed/>
    <w:rsid w:val="00165E31"/>
    <w:rPr>
      <w:sz w:val="20"/>
      <w:szCs w:val="20"/>
    </w:rPr>
  </w:style>
  <w:style w:type="character" w:customStyle="1" w:styleId="TextonotaalfinalCar">
    <w:name w:val="Texto nota al final Car"/>
    <w:basedOn w:val="Fuentedeprrafopredeter"/>
    <w:link w:val="Textonotaalfinal"/>
    <w:uiPriority w:val="99"/>
    <w:semiHidden/>
    <w:rsid w:val="00165E31"/>
    <w:rPr>
      <w:sz w:val="20"/>
      <w:szCs w:val="20"/>
    </w:rPr>
  </w:style>
  <w:style w:type="character" w:styleId="Refdenotaalfinal">
    <w:name w:val="endnote reference"/>
    <w:basedOn w:val="Fuentedeprrafopredeter"/>
    <w:uiPriority w:val="99"/>
    <w:semiHidden/>
    <w:unhideWhenUsed/>
    <w:rsid w:val="00165E31"/>
    <w:rPr>
      <w:vertAlign w:val="superscript"/>
    </w:rPr>
  </w:style>
  <w:style w:type="paragraph" w:customStyle="1" w:styleId="centrado">
    <w:name w:val="centrado"/>
    <w:basedOn w:val="Normal"/>
    <w:rsid w:val="00167B87"/>
    <w:pPr>
      <w:widowControl/>
      <w:spacing w:before="100" w:beforeAutospacing="1" w:after="100" w:afterAutospacing="1"/>
    </w:pPr>
    <w:rPr>
      <w:sz w:val="24"/>
      <w:szCs w:val="24"/>
    </w:rPr>
  </w:style>
  <w:style w:type="paragraph" w:styleId="Sinespaciado">
    <w:name w:val="No Spacing"/>
    <w:link w:val="SinespaciadoCar"/>
    <w:uiPriority w:val="1"/>
    <w:qFormat/>
    <w:rsid w:val="00F06C98"/>
    <w:pPr>
      <w:widowControl/>
    </w:pPr>
    <w:rPr>
      <w:rFonts w:asciiTheme="minorHAnsi" w:eastAsiaTheme="minorHAnsi" w:hAnsiTheme="minorHAnsi" w:cstheme="minorBidi"/>
      <w:lang w:eastAsia="en-US"/>
    </w:rPr>
  </w:style>
  <w:style w:type="character" w:customStyle="1" w:styleId="SinespaciadoCar">
    <w:name w:val="Sin espaciado Car"/>
    <w:link w:val="Sinespaciado"/>
    <w:uiPriority w:val="1"/>
    <w:locked/>
    <w:rsid w:val="00F06C98"/>
    <w:rPr>
      <w:rFonts w:asciiTheme="minorHAnsi" w:eastAsiaTheme="minorHAnsi" w:hAnsiTheme="minorHAnsi" w:cstheme="minorBidi"/>
      <w:lang w:eastAsia="en-US"/>
    </w:rPr>
  </w:style>
  <w:style w:type="character" w:customStyle="1" w:styleId="Mencinsinresolver1">
    <w:name w:val="Mención sin resolver1"/>
    <w:basedOn w:val="Fuentedeprrafopredeter"/>
    <w:uiPriority w:val="99"/>
    <w:semiHidden/>
    <w:unhideWhenUsed/>
    <w:rsid w:val="00F362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14148">
      <w:bodyDiv w:val="1"/>
      <w:marLeft w:val="0"/>
      <w:marRight w:val="0"/>
      <w:marTop w:val="0"/>
      <w:marBottom w:val="0"/>
      <w:divBdr>
        <w:top w:val="none" w:sz="0" w:space="0" w:color="auto"/>
        <w:left w:val="none" w:sz="0" w:space="0" w:color="auto"/>
        <w:bottom w:val="none" w:sz="0" w:space="0" w:color="auto"/>
        <w:right w:val="none" w:sz="0" w:space="0" w:color="auto"/>
      </w:divBdr>
    </w:div>
    <w:div w:id="149714372">
      <w:bodyDiv w:val="1"/>
      <w:marLeft w:val="0"/>
      <w:marRight w:val="0"/>
      <w:marTop w:val="0"/>
      <w:marBottom w:val="0"/>
      <w:divBdr>
        <w:top w:val="none" w:sz="0" w:space="0" w:color="auto"/>
        <w:left w:val="none" w:sz="0" w:space="0" w:color="auto"/>
        <w:bottom w:val="none" w:sz="0" w:space="0" w:color="auto"/>
        <w:right w:val="none" w:sz="0" w:space="0" w:color="auto"/>
      </w:divBdr>
    </w:div>
    <w:div w:id="195889824">
      <w:bodyDiv w:val="1"/>
      <w:marLeft w:val="0"/>
      <w:marRight w:val="0"/>
      <w:marTop w:val="0"/>
      <w:marBottom w:val="0"/>
      <w:divBdr>
        <w:top w:val="none" w:sz="0" w:space="0" w:color="auto"/>
        <w:left w:val="none" w:sz="0" w:space="0" w:color="auto"/>
        <w:bottom w:val="none" w:sz="0" w:space="0" w:color="auto"/>
        <w:right w:val="none" w:sz="0" w:space="0" w:color="auto"/>
      </w:divBdr>
    </w:div>
    <w:div w:id="253713838">
      <w:bodyDiv w:val="1"/>
      <w:marLeft w:val="0"/>
      <w:marRight w:val="0"/>
      <w:marTop w:val="0"/>
      <w:marBottom w:val="0"/>
      <w:divBdr>
        <w:top w:val="none" w:sz="0" w:space="0" w:color="auto"/>
        <w:left w:val="none" w:sz="0" w:space="0" w:color="auto"/>
        <w:bottom w:val="none" w:sz="0" w:space="0" w:color="auto"/>
        <w:right w:val="none" w:sz="0" w:space="0" w:color="auto"/>
      </w:divBdr>
    </w:div>
    <w:div w:id="270474475">
      <w:bodyDiv w:val="1"/>
      <w:marLeft w:val="0"/>
      <w:marRight w:val="0"/>
      <w:marTop w:val="0"/>
      <w:marBottom w:val="0"/>
      <w:divBdr>
        <w:top w:val="none" w:sz="0" w:space="0" w:color="auto"/>
        <w:left w:val="none" w:sz="0" w:space="0" w:color="auto"/>
        <w:bottom w:val="none" w:sz="0" w:space="0" w:color="auto"/>
        <w:right w:val="none" w:sz="0" w:space="0" w:color="auto"/>
      </w:divBdr>
    </w:div>
    <w:div w:id="270745732">
      <w:bodyDiv w:val="1"/>
      <w:marLeft w:val="0"/>
      <w:marRight w:val="0"/>
      <w:marTop w:val="0"/>
      <w:marBottom w:val="0"/>
      <w:divBdr>
        <w:top w:val="none" w:sz="0" w:space="0" w:color="auto"/>
        <w:left w:val="none" w:sz="0" w:space="0" w:color="auto"/>
        <w:bottom w:val="none" w:sz="0" w:space="0" w:color="auto"/>
        <w:right w:val="none" w:sz="0" w:space="0" w:color="auto"/>
      </w:divBdr>
    </w:div>
    <w:div w:id="355352275">
      <w:bodyDiv w:val="1"/>
      <w:marLeft w:val="0"/>
      <w:marRight w:val="0"/>
      <w:marTop w:val="0"/>
      <w:marBottom w:val="0"/>
      <w:divBdr>
        <w:top w:val="none" w:sz="0" w:space="0" w:color="auto"/>
        <w:left w:val="none" w:sz="0" w:space="0" w:color="auto"/>
        <w:bottom w:val="none" w:sz="0" w:space="0" w:color="auto"/>
        <w:right w:val="none" w:sz="0" w:space="0" w:color="auto"/>
      </w:divBdr>
    </w:div>
    <w:div w:id="380132580">
      <w:bodyDiv w:val="1"/>
      <w:marLeft w:val="0"/>
      <w:marRight w:val="0"/>
      <w:marTop w:val="0"/>
      <w:marBottom w:val="0"/>
      <w:divBdr>
        <w:top w:val="none" w:sz="0" w:space="0" w:color="auto"/>
        <w:left w:val="none" w:sz="0" w:space="0" w:color="auto"/>
        <w:bottom w:val="none" w:sz="0" w:space="0" w:color="auto"/>
        <w:right w:val="none" w:sz="0" w:space="0" w:color="auto"/>
      </w:divBdr>
    </w:div>
    <w:div w:id="423913690">
      <w:bodyDiv w:val="1"/>
      <w:marLeft w:val="0"/>
      <w:marRight w:val="0"/>
      <w:marTop w:val="0"/>
      <w:marBottom w:val="0"/>
      <w:divBdr>
        <w:top w:val="none" w:sz="0" w:space="0" w:color="auto"/>
        <w:left w:val="none" w:sz="0" w:space="0" w:color="auto"/>
        <w:bottom w:val="none" w:sz="0" w:space="0" w:color="auto"/>
        <w:right w:val="none" w:sz="0" w:space="0" w:color="auto"/>
      </w:divBdr>
    </w:div>
    <w:div w:id="527573256">
      <w:bodyDiv w:val="1"/>
      <w:marLeft w:val="0"/>
      <w:marRight w:val="0"/>
      <w:marTop w:val="0"/>
      <w:marBottom w:val="0"/>
      <w:divBdr>
        <w:top w:val="none" w:sz="0" w:space="0" w:color="auto"/>
        <w:left w:val="none" w:sz="0" w:space="0" w:color="auto"/>
        <w:bottom w:val="none" w:sz="0" w:space="0" w:color="auto"/>
        <w:right w:val="none" w:sz="0" w:space="0" w:color="auto"/>
      </w:divBdr>
    </w:div>
    <w:div w:id="867182917">
      <w:bodyDiv w:val="1"/>
      <w:marLeft w:val="0"/>
      <w:marRight w:val="0"/>
      <w:marTop w:val="0"/>
      <w:marBottom w:val="0"/>
      <w:divBdr>
        <w:top w:val="none" w:sz="0" w:space="0" w:color="auto"/>
        <w:left w:val="none" w:sz="0" w:space="0" w:color="auto"/>
        <w:bottom w:val="none" w:sz="0" w:space="0" w:color="auto"/>
        <w:right w:val="none" w:sz="0" w:space="0" w:color="auto"/>
      </w:divBdr>
    </w:div>
    <w:div w:id="915285613">
      <w:bodyDiv w:val="1"/>
      <w:marLeft w:val="0"/>
      <w:marRight w:val="0"/>
      <w:marTop w:val="0"/>
      <w:marBottom w:val="0"/>
      <w:divBdr>
        <w:top w:val="none" w:sz="0" w:space="0" w:color="auto"/>
        <w:left w:val="none" w:sz="0" w:space="0" w:color="auto"/>
        <w:bottom w:val="none" w:sz="0" w:space="0" w:color="auto"/>
        <w:right w:val="none" w:sz="0" w:space="0" w:color="auto"/>
      </w:divBdr>
    </w:div>
    <w:div w:id="937257414">
      <w:bodyDiv w:val="1"/>
      <w:marLeft w:val="0"/>
      <w:marRight w:val="0"/>
      <w:marTop w:val="0"/>
      <w:marBottom w:val="0"/>
      <w:divBdr>
        <w:top w:val="none" w:sz="0" w:space="0" w:color="auto"/>
        <w:left w:val="none" w:sz="0" w:space="0" w:color="auto"/>
        <w:bottom w:val="none" w:sz="0" w:space="0" w:color="auto"/>
        <w:right w:val="none" w:sz="0" w:space="0" w:color="auto"/>
      </w:divBdr>
    </w:div>
    <w:div w:id="969630989">
      <w:bodyDiv w:val="1"/>
      <w:marLeft w:val="0"/>
      <w:marRight w:val="0"/>
      <w:marTop w:val="0"/>
      <w:marBottom w:val="0"/>
      <w:divBdr>
        <w:top w:val="none" w:sz="0" w:space="0" w:color="auto"/>
        <w:left w:val="none" w:sz="0" w:space="0" w:color="auto"/>
        <w:bottom w:val="none" w:sz="0" w:space="0" w:color="auto"/>
        <w:right w:val="none" w:sz="0" w:space="0" w:color="auto"/>
      </w:divBdr>
    </w:div>
    <w:div w:id="1094588125">
      <w:bodyDiv w:val="1"/>
      <w:marLeft w:val="0"/>
      <w:marRight w:val="0"/>
      <w:marTop w:val="0"/>
      <w:marBottom w:val="0"/>
      <w:divBdr>
        <w:top w:val="none" w:sz="0" w:space="0" w:color="auto"/>
        <w:left w:val="none" w:sz="0" w:space="0" w:color="auto"/>
        <w:bottom w:val="none" w:sz="0" w:space="0" w:color="auto"/>
        <w:right w:val="none" w:sz="0" w:space="0" w:color="auto"/>
      </w:divBdr>
    </w:div>
    <w:div w:id="1151755452">
      <w:bodyDiv w:val="1"/>
      <w:marLeft w:val="0"/>
      <w:marRight w:val="0"/>
      <w:marTop w:val="0"/>
      <w:marBottom w:val="0"/>
      <w:divBdr>
        <w:top w:val="none" w:sz="0" w:space="0" w:color="auto"/>
        <w:left w:val="none" w:sz="0" w:space="0" w:color="auto"/>
        <w:bottom w:val="none" w:sz="0" w:space="0" w:color="auto"/>
        <w:right w:val="none" w:sz="0" w:space="0" w:color="auto"/>
      </w:divBdr>
    </w:div>
    <w:div w:id="1301884814">
      <w:bodyDiv w:val="1"/>
      <w:marLeft w:val="0"/>
      <w:marRight w:val="0"/>
      <w:marTop w:val="0"/>
      <w:marBottom w:val="0"/>
      <w:divBdr>
        <w:top w:val="none" w:sz="0" w:space="0" w:color="auto"/>
        <w:left w:val="none" w:sz="0" w:space="0" w:color="auto"/>
        <w:bottom w:val="none" w:sz="0" w:space="0" w:color="auto"/>
        <w:right w:val="none" w:sz="0" w:space="0" w:color="auto"/>
      </w:divBdr>
    </w:div>
    <w:div w:id="1314526101">
      <w:bodyDiv w:val="1"/>
      <w:marLeft w:val="0"/>
      <w:marRight w:val="0"/>
      <w:marTop w:val="0"/>
      <w:marBottom w:val="0"/>
      <w:divBdr>
        <w:top w:val="none" w:sz="0" w:space="0" w:color="auto"/>
        <w:left w:val="none" w:sz="0" w:space="0" w:color="auto"/>
        <w:bottom w:val="none" w:sz="0" w:space="0" w:color="auto"/>
        <w:right w:val="none" w:sz="0" w:space="0" w:color="auto"/>
      </w:divBdr>
    </w:div>
    <w:div w:id="1327517504">
      <w:bodyDiv w:val="1"/>
      <w:marLeft w:val="0"/>
      <w:marRight w:val="0"/>
      <w:marTop w:val="0"/>
      <w:marBottom w:val="0"/>
      <w:divBdr>
        <w:top w:val="none" w:sz="0" w:space="0" w:color="auto"/>
        <w:left w:val="none" w:sz="0" w:space="0" w:color="auto"/>
        <w:bottom w:val="none" w:sz="0" w:space="0" w:color="auto"/>
        <w:right w:val="none" w:sz="0" w:space="0" w:color="auto"/>
      </w:divBdr>
    </w:div>
    <w:div w:id="1334994726">
      <w:bodyDiv w:val="1"/>
      <w:marLeft w:val="0"/>
      <w:marRight w:val="0"/>
      <w:marTop w:val="0"/>
      <w:marBottom w:val="0"/>
      <w:divBdr>
        <w:top w:val="none" w:sz="0" w:space="0" w:color="auto"/>
        <w:left w:val="none" w:sz="0" w:space="0" w:color="auto"/>
        <w:bottom w:val="none" w:sz="0" w:space="0" w:color="auto"/>
        <w:right w:val="none" w:sz="0" w:space="0" w:color="auto"/>
      </w:divBdr>
    </w:div>
    <w:div w:id="1406491101">
      <w:bodyDiv w:val="1"/>
      <w:marLeft w:val="0"/>
      <w:marRight w:val="0"/>
      <w:marTop w:val="0"/>
      <w:marBottom w:val="0"/>
      <w:divBdr>
        <w:top w:val="none" w:sz="0" w:space="0" w:color="auto"/>
        <w:left w:val="none" w:sz="0" w:space="0" w:color="auto"/>
        <w:bottom w:val="none" w:sz="0" w:space="0" w:color="auto"/>
        <w:right w:val="none" w:sz="0" w:space="0" w:color="auto"/>
      </w:divBdr>
    </w:div>
    <w:div w:id="1468820738">
      <w:bodyDiv w:val="1"/>
      <w:marLeft w:val="0"/>
      <w:marRight w:val="0"/>
      <w:marTop w:val="0"/>
      <w:marBottom w:val="0"/>
      <w:divBdr>
        <w:top w:val="none" w:sz="0" w:space="0" w:color="auto"/>
        <w:left w:val="none" w:sz="0" w:space="0" w:color="auto"/>
        <w:bottom w:val="none" w:sz="0" w:space="0" w:color="auto"/>
        <w:right w:val="none" w:sz="0" w:space="0" w:color="auto"/>
      </w:divBdr>
    </w:div>
    <w:div w:id="1838107276">
      <w:bodyDiv w:val="1"/>
      <w:marLeft w:val="0"/>
      <w:marRight w:val="0"/>
      <w:marTop w:val="0"/>
      <w:marBottom w:val="0"/>
      <w:divBdr>
        <w:top w:val="none" w:sz="0" w:space="0" w:color="auto"/>
        <w:left w:val="none" w:sz="0" w:space="0" w:color="auto"/>
        <w:bottom w:val="none" w:sz="0" w:space="0" w:color="auto"/>
        <w:right w:val="none" w:sz="0" w:space="0" w:color="auto"/>
      </w:divBdr>
    </w:div>
    <w:div w:id="1861116819">
      <w:bodyDiv w:val="1"/>
      <w:marLeft w:val="0"/>
      <w:marRight w:val="0"/>
      <w:marTop w:val="0"/>
      <w:marBottom w:val="0"/>
      <w:divBdr>
        <w:top w:val="none" w:sz="0" w:space="0" w:color="auto"/>
        <w:left w:val="none" w:sz="0" w:space="0" w:color="auto"/>
        <w:bottom w:val="none" w:sz="0" w:space="0" w:color="auto"/>
        <w:right w:val="none" w:sz="0" w:space="0" w:color="auto"/>
      </w:divBdr>
    </w:div>
    <w:div w:id="1903365742">
      <w:bodyDiv w:val="1"/>
      <w:marLeft w:val="0"/>
      <w:marRight w:val="0"/>
      <w:marTop w:val="0"/>
      <w:marBottom w:val="0"/>
      <w:divBdr>
        <w:top w:val="none" w:sz="0" w:space="0" w:color="auto"/>
        <w:left w:val="none" w:sz="0" w:space="0" w:color="auto"/>
        <w:bottom w:val="none" w:sz="0" w:space="0" w:color="auto"/>
        <w:right w:val="none" w:sz="0" w:space="0" w:color="auto"/>
      </w:divBdr>
    </w:div>
    <w:div w:id="1910309220">
      <w:bodyDiv w:val="1"/>
      <w:marLeft w:val="0"/>
      <w:marRight w:val="0"/>
      <w:marTop w:val="0"/>
      <w:marBottom w:val="0"/>
      <w:divBdr>
        <w:top w:val="none" w:sz="0" w:space="0" w:color="auto"/>
        <w:left w:val="none" w:sz="0" w:space="0" w:color="auto"/>
        <w:bottom w:val="none" w:sz="0" w:space="0" w:color="auto"/>
        <w:right w:val="none" w:sz="0" w:space="0" w:color="auto"/>
      </w:divBdr>
    </w:div>
    <w:div w:id="1938781554">
      <w:bodyDiv w:val="1"/>
      <w:marLeft w:val="0"/>
      <w:marRight w:val="0"/>
      <w:marTop w:val="0"/>
      <w:marBottom w:val="0"/>
      <w:divBdr>
        <w:top w:val="none" w:sz="0" w:space="0" w:color="auto"/>
        <w:left w:val="none" w:sz="0" w:space="0" w:color="auto"/>
        <w:bottom w:val="none" w:sz="0" w:space="0" w:color="auto"/>
        <w:right w:val="none" w:sz="0" w:space="0" w:color="auto"/>
      </w:divBdr>
    </w:div>
    <w:div w:id="1993369935">
      <w:bodyDiv w:val="1"/>
      <w:marLeft w:val="0"/>
      <w:marRight w:val="0"/>
      <w:marTop w:val="0"/>
      <w:marBottom w:val="0"/>
      <w:divBdr>
        <w:top w:val="none" w:sz="0" w:space="0" w:color="auto"/>
        <w:left w:val="none" w:sz="0" w:space="0" w:color="auto"/>
        <w:bottom w:val="none" w:sz="0" w:space="0" w:color="auto"/>
        <w:right w:val="none" w:sz="0" w:space="0" w:color="auto"/>
      </w:divBdr>
    </w:div>
    <w:div w:id="20720755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png"/><Relationship Id="rId18" Type="http://schemas.openxmlformats.org/officeDocument/2006/relationships/hyperlink" Target="http://www.prisonstudies.org/country/colombi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www.vox.com/2014/5/19/5727712/drug-alcohol-deaths" TargetMode="External"/><Relationship Id="rId2" Type="http://schemas.openxmlformats.org/officeDocument/2006/relationships/numbering" Target="numbering.xml"/><Relationship Id="rId16" Type="http://schemas.openxmlformats.org/officeDocument/2006/relationships/hyperlink" Target="http://fileserver.idpc.net/library/dpa_marijuana_legalization_report_v8_0.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as.org.uk/uploads/pdf/News%20stories/dnutt-lancet-011110.pdf" TargetMode="External"/><Relationship Id="rId5" Type="http://schemas.openxmlformats.org/officeDocument/2006/relationships/webSettings" Target="webSettings.xml"/><Relationship Id="rId15" Type="http://schemas.openxmlformats.org/officeDocument/2006/relationships/hyperlink" Target="https://sitios.dane.gov.co/cnpv-presentacion/src/" TargetMode="Externa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globalcommissionondrugs.org/wp-content/uploads/2018/11/SPA-2018_SDGPaper_WEB.pdf"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8" Type="http://schemas.openxmlformats.org/officeDocument/2006/relationships/hyperlink" Target="http://www.globalcommissionondrugs.org/wp-content/uploads/2018/11/SPA-2018_SDGPaper_WEB.pdf" TargetMode="External"/><Relationship Id="rId13" Type="http://schemas.openxmlformats.org/officeDocument/2006/relationships/hyperlink" Target="http://www.globalcommissionondrugs.org/wp-content/uploads/2018/11/SPA-2018_SDGPaper_WEB.pdf" TargetMode="External"/><Relationship Id="rId3" Type="http://schemas.openxmlformats.org/officeDocument/2006/relationships/hyperlink" Target="https://www.cdc.gov/mmwr/volumes/68/wr/mm6839a3.htm?s_cid=mm6839a3_w" TargetMode="External"/><Relationship Id="rId7" Type="http://schemas.openxmlformats.org/officeDocument/2006/relationships/hyperlink" Target="http://www.globalcommissionondrugs.org/wp-content/uploads/2018/11/SPA-2018_SDGPaper_WEB.pdf" TargetMode="External"/><Relationship Id="rId12" Type="http://schemas.openxmlformats.org/officeDocument/2006/relationships/hyperlink" Target="http://www.globalcommissionondrugs.org/wp-content/uploads/2018/11/SPA-2018_SDGPaper_WEB.pdf" TargetMode="External"/><Relationship Id="rId2" Type="http://schemas.openxmlformats.org/officeDocument/2006/relationships/hyperlink" Target="https://www.vox.com/2014/5/19/5727712/drug-alcohol-deaths" TargetMode="External"/><Relationship Id="rId1" Type="http://schemas.openxmlformats.org/officeDocument/2006/relationships/hyperlink" Target="https://www.who.int/es/news-room/fact-sheets/detail/tobacco" TargetMode="External"/><Relationship Id="rId6" Type="http://schemas.openxmlformats.org/officeDocument/2006/relationships/hyperlink" Target="http://www.globalcommissionondrugs.org/wp-content/uploads/2018/11/SPA-2018_SDGPaper_WEB.pdf" TargetMode="External"/><Relationship Id="rId11" Type="http://schemas.openxmlformats.org/officeDocument/2006/relationships/hyperlink" Target="http://www.globalcommissionondrugs.org/wp-content/uploads/2018/11/SPA-2018_SDGPaper_WEB.pdf" TargetMode="External"/><Relationship Id="rId5" Type="http://schemas.openxmlformats.org/officeDocument/2006/relationships/hyperlink" Target="https://www.dejusticia.org/wp-content/uploads/2017/07/Delitos-de-drogas-y-sobredosis-carcelaria-en-Colombia-Version-final-PDF-para-WEB.pdf" TargetMode="External"/><Relationship Id="rId15" Type="http://schemas.openxmlformats.org/officeDocument/2006/relationships/hyperlink" Target="http://www.globalcommissionondrugs.org/wp-content/uploads/2018/11/SPA-2018_SDGPaper_WEB.pdf" TargetMode="External"/><Relationship Id="rId10" Type="http://schemas.openxmlformats.org/officeDocument/2006/relationships/hyperlink" Target="http://www.globalcommissionondrugs.org/wp-content/uploads/2018/11/SPA-2018_SDGPaper_WEB.pdf" TargetMode="External"/><Relationship Id="rId4" Type="http://schemas.openxmlformats.org/officeDocument/2006/relationships/hyperlink" Target="https://www.vox.com/2014/5/19/5727712/drug-alcohol-deaths" TargetMode="External"/><Relationship Id="rId9" Type="http://schemas.openxmlformats.org/officeDocument/2006/relationships/hyperlink" Target="http://www.globalcommissionondrugs.org/wp-content/uploads/2018/11/SPA-2018_SDGPaper_WEB.pdf" TargetMode="External"/><Relationship Id="rId14" Type="http://schemas.openxmlformats.org/officeDocument/2006/relationships/hyperlink" Target="http://www.globalcommissionondrugs.org/wp-content/uploads/2018/11/SPA-2018_SDGPaper_WEB.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DC3ED-6E5C-460C-8131-71C22F4D0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18055</Words>
  <Characters>99308</Characters>
  <Application>Microsoft Office Word</Application>
  <DocSecurity>0</DocSecurity>
  <Lines>827</Lines>
  <Paragraphs>234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Equipo Personal</Company>
  <LinksUpToDate>false</LinksUpToDate>
  <CharactersWithSpaces>117129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cadavid</dc:creator>
  <cp:lastModifiedBy>camilo acuna</cp:lastModifiedBy>
  <cp:revision>2</cp:revision>
  <cp:lastPrinted>2020-07-20T04:47:00Z</cp:lastPrinted>
  <dcterms:created xsi:type="dcterms:W3CDTF">2021-07-20T13:53:00Z</dcterms:created>
  <dcterms:modified xsi:type="dcterms:W3CDTF">2021-07-20T13:53:00Z</dcterms:modified>
</cp:coreProperties>
</file>