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13ABE" w14:textId="2DF3401B" w:rsidR="007C7193" w:rsidRDefault="00CB54C9" w:rsidP="00521740">
      <w:pPr>
        <w:pStyle w:val="Sinespaciado"/>
        <w:jc w:val="center"/>
        <w:rPr>
          <w:rFonts w:asciiTheme="majorHAnsi" w:hAnsiTheme="majorHAnsi" w:cstheme="majorHAnsi"/>
          <w:b/>
          <w:bCs/>
          <w:sz w:val="28"/>
          <w:szCs w:val="28"/>
        </w:rPr>
      </w:pPr>
      <w:r>
        <w:rPr>
          <w:rFonts w:asciiTheme="majorHAnsi" w:hAnsiTheme="majorHAnsi" w:cstheme="majorHAnsi"/>
          <w:b/>
          <w:bCs/>
          <w:sz w:val="28"/>
          <w:szCs w:val="28"/>
        </w:rPr>
        <w:t>PROYECTO DE LEY No</w:t>
      </w:r>
      <w:r w:rsidR="005F6D2E">
        <w:rPr>
          <w:rFonts w:asciiTheme="majorHAnsi" w:hAnsiTheme="majorHAnsi" w:cstheme="majorHAnsi"/>
          <w:b/>
          <w:bCs/>
          <w:sz w:val="28"/>
          <w:szCs w:val="28"/>
        </w:rPr>
        <w:t xml:space="preserve"> ____ de 2021</w:t>
      </w:r>
    </w:p>
    <w:p w14:paraId="466097FF" w14:textId="0364013D" w:rsidR="00CB54C9" w:rsidRDefault="00CB54C9" w:rsidP="00521740">
      <w:pPr>
        <w:pStyle w:val="Sinespaciado"/>
        <w:jc w:val="center"/>
        <w:rPr>
          <w:rFonts w:asciiTheme="majorHAnsi" w:hAnsiTheme="majorHAnsi" w:cstheme="majorHAnsi"/>
          <w:b/>
          <w:bCs/>
          <w:sz w:val="28"/>
          <w:szCs w:val="28"/>
        </w:rPr>
      </w:pPr>
    </w:p>
    <w:p w14:paraId="4AFBBD64" w14:textId="1957F43A" w:rsidR="00CB54C9" w:rsidRPr="00E20DB7" w:rsidRDefault="00CB54C9" w:rsidP="00521740">
      <w:pPr>
        <w:pStyle w:val="Sinespaciado"/>
        <w:jc w:val="center"/>
        <w:rPr>
          <w:rFonts w:asciiTheme="majorHAnsi" w:hAnsiTheme="majorHAnsi" w:cstheme="majorHAnsi"/>
          <w:b/>
          <w:bCs/>
        </w:rPr>
      </w:pPr>
      <w:r>
        <w:rPr>
          <w:rFonts w:asciiTheme="majorHAnsi" w:hAnsiTheme="majorHAnsi" w:cstheme="majorHAnsi"/>
          <w:b/>
          <w:bCs/>
          <w:sz w:val="28"/>
          <w:szCs w:val="28"/>
        </w:rPr>
        <w:t>Por medio de la cual se modifican las leyes 488 de 1998 y 788 de 2002</w:t>
      </w:r>
    </w:p>
    <w:p w14:paraId="3CE89B99" w14:textId="77777777" w:rsidR="00521740" w:rsidRPr="00E20DB7" w:rsidRDefault="00521740" w:rsidP="00521740">
      <w:pPr>
        <w:pStyle w:val="pa23"/>
        <w:spacing w:before="0" w:beforeAutospacing="0" w:after="0" w:afterAutospacing="0"/>
        <w:ind w:right="-568"/>
        <w:contextualSpacing/>
        <w:jc w:val="both"/>
        <w:rPr>
          <w:rFonts w:asciiTheme="majorHAnsi" w:eastAsiaTheme="minorHAnsi" w:hAnsiTheme="majorHAnsi" w:cstheme="majorHAnsi"/>
          <w:b/>
          <w:iCs/>
          <w:color w:val="000000" w:themeColor="text1"/>
          <w:sz w:val="22"/>
          <w:szCs w:val="22"/>
          <w:lang w:val="es-ES" w:eastAsia="en-US"/>
        </w:rPr>
      </w:pPr>
    </w:p>
    <w:p w14:paraId="512CB578" w14:textId="77777777" w:rsidR="00CB54C9" w:rsidRPr="00CB54C9" w:rsidRDefault="00CB54C9" w:rsidP="00CB54C9">
      <w:pPr>
        <w:pStyle w:val="centrado"/>
        <w:spacing w:line="270" w:lineRule="atLeast"/>
        <w:jc w:val="center"/>
        <w:rPr>
          <w:rFonts w:asciiTheme="majorHAnsi" w:eastAsiaTheme="minorEastAsia" w:hAnsiTheme="majorHAnsi" w:cstheme="majorHAnsi"/>
          <w:b/>
          <w:bCs/>
          <w:sz w:val="28"/>
          <w:szCs w:val="28"/>
          <w:lang w:val="es-ES_tradnl" w:eastAsia="es-ES"/>
        </w:rPr>
      </w:pPr>
      <w:r w:rsidRPr="00CB54C9">
        <w:rPr>
          <w:rFonts w:asciiTheme="majorHAnsi" w:eastAsiaTheme="minorEastAsia" w:hAnsiTheme="majorHAnsi" w:cstheme="majorHAnsi"/>
          <w:b/>
          <w:bCs/>
          <w:sz w:val="28"/>
          <w:szCs w:val="28"/>
          <w:lang w:val="es-ES_tradnl" w:eastAsia="es-ES"/>
        </w:rPr>
        <w:t>EL CONGRESO DE COLOMBIA,</w:t>
      </w:r>
    </w:p>
    <w:p w14:paraId="3B3A9DA0" w14:textId="77777777" w:rsidR="00CB54C9" w:rsidRPr="00CB54C9" w:rsidRDefault="00CB54C9" w:rsidP="00CB54C9">
      <w:pPr>
        <w:pStyle w:val="centrado"/>
        <w:spacing w:line="270" w:lineRule="atLeast"/>
        <w:jc w:val="center"/>
        <w:rPr>
          <w:rFonts w:asciiTheme="majorHAnsi" w:eastAsiaTheme="minorEastAsia" w:hAnsiTheme="majorHAnsi" w:cstheme="majorHAnsi"/>
          <w:b/>
          <w:bCs/>
          <w:sz w:val="28"/>
          <w:szCs w:val="28"/>
          <w:lang w:val="es-ES_tradnl" w:eastAsia="es-ES"/>
        </w:rPr>
      </w:pPr>
      <w:r w:rsidRPr="00CB54C9">
        <w:rPr>
          <w:rFonts w:asciiTheme="majorHAnsi" w:eastAsiaTheme="minorEastAsia" w:hAnsiTheme="majorHAnsi" w:cstheme="majorHAnsi"/>
          <w:b/>
          <w:bCs/>
          <w:sz w:val="28"/>
          <w:szCs w:val="28"/>
          <w:lang w:val="es-ES_tradnl" w:eastAsia="es-ES"/>
        </w:rPr>
        <w:t>DECRETA:</w:t>
      </w:r>
    </w:p>
    <w:p w14:paraId="42A607F6" w14:textId="18C3B5F8" w:rsidR="00521740" w:rsidRPr="006C12CD" w:rsidRDefault="00521740" w:rsidP="00521740">
      <w:pPr>
        <w:keepNext/>
        <w:widowControl w:val="0"/>
        <w:tabs>
          <w:tab w:val="left" w:pos="1560"/>
        </w:tabs>
        <w:spacing w:after="0" w:line="276" w:lineRule="auto"/>
        <w:jc w:val="both"/>
        <w:rPr>
          <w:rFonts w:asciiTheme="majorHAnsi" w:hAnsiTheme="majorHAnsi" w:cstheme="majorHAnsi"/>
          <w:sz w:val="24"/>
          <w:szCs w:val="24"/>
          <w:lang w:val="es-ES"/>
        </w:rPr>
      </w:pPr>
      <w:r w:rsidRPr="006C12CD">
        <w:rPr>
          <w:rFonts w:asciiTheme="majorHAnsi" w:hAnsiTheme="majorHAnsi" w:cstheme="majorHAnsi"/>
          <w:b/>
          <w:bCs/>
          <w:sz w:val="24"/>
          <w:szCs w:val="24"/>
        </w:rPr>
        <w:t xml:space="preserve">ARTÍCULO </w:t>
      </w:r>
      <w:r w:rsidR="00CB54C9">
        <w:rPr>
          <w:rFonts w:asciiTheme="majorHAnsi" w:hAnsiTheme="majorHAnsi" w:cstheme="majorHAnsi"/>
          <w:b/>
          <w:bCs/>
          <w:sz w:val="24"/>
          <w:szCs w:val="24"/>
        </w:rPr>
        <w:t>1</w:t>
      </w:r>
      <w:r w:rsidRPr="006C12CD">
        <w:rPr>
          <w:rFonts w:asciiTheme="majorHAnsi" w:hAnsiTheme="majorHAnsi" w:cstheme="majorHAnsi"/>
          <w:b/>
          <w:bCs/>
          <w:sz w:val="24"/>
          <w:szCs w:val="24"/>
        </w:rPr>
        <w:t xml:space="preserve">. </w:t>
      </w:r>
      <w:r w:rsidRPr="006C12CD">
        <w:rPr>
          <w:rFonts w:asciiTheme="majorHAnsi" w:hAnsiTheme="majorHAnsi" w:cstheme="majorHAnsi"/>
          <w:sz w:val="24"/>
          <w:szCs w:val="24"/>
          <w:lang w:val="es-ES"/>
        </w:rPr>
        <w:t>Modifíquese el artículo 117 de la Ley 488 de 1998, el cual quedará así:</w:t>
      </w:r>
    </w:p>
    <w:p w14:paraId="768C37DD" w14:textId="77777777" w:rsidR="00521740" w:rsidRPr="006C12CD" w:rsidRDefault="00521740" w:rsidP="00521740">
      <w:pPr>
        <w:pStyle w:val="Prrafodelista"/>
        <w:keepNext/>
        <w:widowControl w:val="0"/>
        <w:tabs>
          <w:tab w:val="left" w:pos="1560"/>
        </w:tabs>
        <w:spacing w:after="0" w:line="276" w:lineRule="auto"/>
        <w:ind w:left="0"/>
        <w:jc w:val="both"/>
        <w:rPr>
          <w:rFonts w:asciiTheme="majorHAnsi" w:hAnsiTheme="majorHAnsi" w:cstheme="majorHAnsi"/>
          <w:sz w:val="24"/>
          <w:szCs w:val="24"/>
          <w:lang w:val="es-ES"/>
        </w:rPr>
      </w:pPr>
    </w:p>
    <w:p w14:paraId="7C480EC5" w14:textId="78E43D73" w:rsidR="00521740" w:rsidRPr="006C12CD" w:rsidRDefault="00521740" w:rsidP="00521740">
      <w:pPr>
        <w:pStyle w:val="pa23"/>
        <w:spacing w:before="0" w:beforeAutospacing="0" w:after="0" w:afterAutospacing="0" w:line="276" w:lineRule="auto"/>
        <w:ind w:left="708"/>
        <w:jc w:val="both"/>
        <w:rPr>
          <w:rFonts w:asciiTheme="majorHAnsi" w:eastAsiaTheme="minorHAnsi" w:hAnsiTheme="majorHAnsi" w:cstheme="majorHAnsi"/>
          <w:lang w:val="es-ES" w:eastAsia="en-US"/>
        </w:rPr>
      </w:pPr>
      <w:r w:rsidRPr="006C12CD">
        <w:rPr>
          <w:rFonts w:asciiTheme="majorHAnsi" w:eastAsiaTheme="minorHAnsi" w:hAnsiTheme="majorHAnsi" w:cstheme="majorHAnsi"/>
          <w:b/>
          <w:lang w:val="es-ES" w:eastAsia="en-US"/>
        </w:rPr>
        <w:t xml:space="preserve">ARTÍCULO </w:t>
      </w:r>
      <w:r w:rsidR="007300D3">
        <w:rPr>
          <w:rFonts w:asciiTheme="majorHAnsi" w:eastAsiaTheme="minorHAnsi" w:hAnsiTheme="majorHAnsi" w:cstheme="majorHAnsi"/>
          <w:b/>
          <w:lang w:val="es-ES" w:eastAsia="en-US"/>
        </w:rPr>
        <w:t>117°</w:t>
      </w:r>
      <w:r w:rsidRPr="006C12CD">
        <w:rPr>
          <w:rFonts w:asciiTheme="majorHAnsi" w:eastAsiaTheme="minorHAnsi" w:hAnsiTheme="majorHAnsi" w:cstheme="majorHAnsi"/>
          <w:b/>
          <w:lang w:val="es-ES" w:eastAsia="en-US"/>
        </w:rPr>
        <w:t>. Sobretasa a la gasolina motor y al ACPM.</w:t>
      </w:r>
      <w:r w:rsidRPr="006C12CD">
        <w:rPr>
          <w:rFonts w:asciiTheme="majorHAnsi" w:eastAsiaTheme="minorHAnsi" w:hAnsiTheme="majorHAnsi" w:cstheme="majorHAnsi"/>
          <w:lang w:val="es-ES" w:eastAsia="en-US"/>
        </w:rPr>
        <w:t xml:space="preserve"> Autorícese a los municipios, distritos y departamentos, para adoptar la sobretasa a la gasolina motor extra y corriente, en las condiciones establecidas en la presente ley.</w:t>
      </w:r>
    </w:p>
    <w:p w14:paraId="736B9493" w14:textId="77777777" w:rsidR="00521740" w:rsidRPr="006C12CD" w:rsidRDefault="00521740" w:rsidP="00521740">
      <w:pPr>
        <w:pStyle w:val="pa23"/>
        <w:spacing w:before="0" w:beforeAutospacing="0" w:after="0" w:afterAutospacing="0" w:line="276" w:lineRule="auto"/>
        <w:ind w:left="708"/>
        <w:jc w:val="both"/>
        <w:rPr>
          <w:rFonts w:asciiTheme="majorHAnsi" w:eastAsiaTheme="minorHAnsi" w:hAnsiTheme="majorHAnsi" w:cstheme="majorHAnsi"/>
          <w:lang w:val="es-ES" w:eastAsia="en-US"/>
        </w:rPr>
      </w:pPr>
    </w:p>
    <w:p w14:paraId="012FB2BC" w14:textId="77777777" w:rsidR="00521740" w:rsidRPr="006C12CD" w:rsidRDefault="00521740" w:rsidP="00521740">
      <w:pPr>
        <w:spacing w:after="0" w:line="276" w:lineRule="auto"/>
        <w:ind w:left="708"/>
        <w:jc w:val="both"/>
        <w:rPr>
          <w:rFonts w:asciiTheme="majorHAnsi" w:hAnsiTheme="majorHAnsi" w:cstheme="majorHAnsi"/>
          <w:sz w:val="24"/>
          <w:szCs w:val="24"/>
          <w:lang w:val="es-ES"/>
        </w:rPr>
      </w:pPr>
      <w:r w:rsidRPr="006C12CD">
        <w:rPr>
          <w:rFonts w:asciiTheme="majorHAnsi" w:hAnsiTheme="majorHAnsi" w:cstheme="majorHAnsi"/>
          <w:sz w:val="24"/>
          <w:szCs w:val="24"/>
          <w:lang w:val="es-ES"/>
        </w:rPr>
        <w:t xml:space="preserve">Créase como contribución nacional la sobretasa al ACPM. La sobretasa al ACPM </w:t>
      </w:r>
      <w:r w:rsidRPr="006C12CD" w:rsidDel="00C33A6D">
        <w:rPr>
          <w:rFonts w:asciiTheme="majorHAnsi" w:hAnsiTheme="majorHAnsi" w:cstheme="majorHAnsi"/>
          <w:sz w:val="24"/>
          <w:szCs w:val="24"/>
          <w:lang w:val="es-ES"/>
        </w:rPr>
        <w:t xml:space="preserve">será </w:t>
      </w:r>
      <w:r w:rsidRPr="006C12CD">
        <w:rPr>
          <w:rFonts w:asciiTheme="majorHAnsi" w:hAnsiTheme="majorHAnsi" w:cstheme="majorHAnsi"/>
          <w:sz w:val="24"/>
          <w:szCs w:val="24"/>
          <w:lang w:val="es-ES"/>
        </w:rPr>
        <w:t>cobrada por la Nación y distribuida en un cincuenta por ciento (50%) para el mantenimiento de la red vial nacional y otro cincuenta por ciento (50%) para los departamentos incluido el Distrito Capital con destino al mantenimiento de la red vial. La base gravable, el hecho generador, la declaración, el pago, la causación y los otros aspectos técnicos serán iguales a los de la sobretasa de la gasolina, en lo que no sea expresamente definido para la sobretasa al ACPM.</w:t>
      </w:r>
    </w:p>
    <w:p w14:paraId="1DE875FE" w14:textId="77777777" w:rsidR="00521740" w:rsidRPr="006C12CD" w:rsidRDefault="00521740" w:rsidP="00521740">
      <w:pPr>
        <w:spacing w:after="0" w:line="276" w:lineRule="auto"/>
        <w:ind w:left="708"/>
        <w:jc w:val="both"/>
        <w:rPr>
          <w:rFonts w:asciiTheme="majorHAnsi" w:hAnsiTheme="majorHAnsi" w:cstheme="majorHAnsi"/>
          <w:sz w:val="24"/>
          <w:szCs w:val="24"/>
          <w:lang w:val="es-ES"/>
        </w:rPr>
      </w:pPr>
    </w:p>
    <w:p w14:paraId="7A0364BE" w14:textId="77777777" w:rsidR="00521740" w:rsidRPr="006C12CD" w:rsidRDefault="00521740" w:rsidP="00521740">
      <w:pPr>
        <w:spacing w:after="0" w:line="276" w:lineRule="auto"/>
        <w:ind w:left="708"/>
        <w:jc w:val="both"/>
        <w:rPr>
          <w:rFonts w:asciiTheme="majorHAnsi" w:hAnsiTheme="majorHAnsi" w:cstheme="majorHAnsi"/>
          <w:sz w:val="24"/>
          <w:szCs w:val="24"/>
          <w:lang w:val="es-ES"/>
        </w:rPr>
      </w:pPr>
      <w:r w:rsidRPr="006C12CD">
        <w:rPr>
          <w:rFonts w:asciiTheme="majorHAnsi" w:hAnsiTheme="majorHAnsi" w:cstheme="majorHAnsi"/>
          <w:b/>
          <w:bCs/>
          <w:sz w:val="24"/>
          <w:szCs w:val="24"/>
          <w:lang w:val="es-ES"/>
        </w:rPr>
        <w:t>Parágrafo transitorio</w:t>
      </w:r>
      <w:r w:rsidRPr="006C12CD">
        <w:rPr>
          <w:rFonts w:asciiTheme="majorHAnsi" w:hAnsiTheme="majorHAnsi" w:cstheme="majorHAnsi"/>
          <w:sz w:val="24"/>
          <w:szCs w:val="24"/>
          <w:lang w:val="es-ES"/>
        </w:rPr>
        <w:t>. Las condiciones de distribución de la sobretasa al ACPM dispuestas en el inciso segundo de este artículo entrarán en vigencia a partir del 1 de enero de 2022. Las disposiciones contenidas en el artículo 8 del Decreto Legislativo 678 de 2020 permanecerán vigentes hasta que se cumpla el plazo allí establecido, esto es, hasta el periodo gravable diciembre de 2021.</w:t>
      </w:r>
    </w:p>
    <w:p w14:paraId="6F3CBFB3" w14:textId="77777777" w:rsidR="00521740" w:rsidRPr="006C12CD" w:rsidRDefault="00521740" w:rsidP="00521740">
      <w:pPr>
        <w:pStyle w:val="Prrafodelista"/>
        <w:keepNext/>
        <w:widowControl w:val="0"/>
        <w:tabs>
          <w:tab w:val="left" w:pos="1560"/>
        </w:tabs>
        <w:spacing w:after="0" w:line="276" w:lineRule="auto"/>
        <w:ind w:left="0"/>
        <w:jc w:val="both"/>
        <w:rPr>
          <w:rFonts w:asciiTheme="majorHAnsi" w:hAnsiTheme="majorHAnsi" w:cstheme="majorHAnsi"/>
          <w:sz w:val="24"/>
          <w:szCs w:val="24"/>
          <w:lang w:val="es-ES"/>
        </w:rPr>
      </w:pPr>
    </w:p>
    <w:p w14:paraId="08932334" w14:textId="4AFADAC1" w:rsidR="00521740" w:rsidRPr="006C12CD" w:rsidRDefault="00521740" w:rsidP="00521740">
      <w:pPr>
        <w:pStyle w:val="Prrafodelista"/>
        <w:keepNext/>
        <w:widowControl w:val="0"/>
        <w:tabs>
          <w:tab w:val="left" w:pos="1560"/>
        </w:tabs>
        <w:spacing w:after="0" w:line="276" w:lineRule="auto"/>
        <w:ind w:left="0"/>
        <w:jc w:val="both"/>
        <w:rPr>
          <w:rFonts w:asciiTheme="majorHAnsi" w:hAnsiTheme="majorHAnsi" w:cstheme="majorHAnsi"/>
          <w:sz w:val="24"/>
          <w:szCs w:val="24"/>
          <w:lang w:val="es-ES"/>
        </w:rPr>
      </w:pPr>
      <w:r w:rsidRPr="006C12CD">
        <w:rPr>
          <w:rFonts w:asciiTheme="majorHAnsi" w:hAnsiTheme="majorHAnsi" w:cstheme="majorHAnsi"/>
          <w:b/>
          <w:bCs/>
          <w:sz w:val="24"/>
          <w:szCs w:val="24"/>
          <w:lang w:val="es-ES"/>
        </w:rPr>
        <w:t xml:space="preserve">ARTÍCULO </w:t>
      </w:r>
      <w:r w:rsidR="00CB54C9">
        <w:rPr>
          <w:rFonts w:asciiTheme="majorHAnsi" w:hAnsiTheme="majorHAnsi" w:cstheme="majorHAnsi"/>
          <w:b/>
          <w:bCs/>
          <w:sz w:val="24"/>
          <w:szCs w:val="24"/>
          <w:lang w:val="es-ES"/>
        </w:rPr>
        <w:t>2</w:t>
      </w:r>
      <w:r w:rsidRPr="006C12CD">
        <w:rPr>
          <w:rFonts w:asciiTheme="majorHAnsi" w:hAnsiTheme="majorHAnsi" w:cstheme="majorHAnsi"/>
          <w:b/>
          <w:bCs/>
          <w:sz w:val="24"/>
          <w:szCs w:val="24"/>
          <w:lang w:val="es-ES"/>
        </w:rPr>
        <w:t>.</w:t>
      </w:r>
      <w:r w:rsidRPr="006C12CD">
        <w:rPr>
          <w:rFonts w:asciiTheme="majorHAnsi" w:hAnsiTheme="majorHAnsi" w:cstheme="majorHAnsi"/>
          <w:sz w:val="24"/>
          <w:szCs w:val="24"/>
          <w:lang w:val="es-ES"/>
        </w:rPr>
        <w:t xml:space="preserve"> Modifíquese el artículo 121 de la Ley 488 de 1998, el cual quedará así:</w:t>
      </w:r>
    </w:p>
    <w:p w14:paraId="0FBA2808" w14:textId="77777777" w:rsidR="00521740" w:rsidRPr="006C12CD" w:rsidRDefault="00521740" w:rsidP="00521740">
      <w:pPr>
        <w:pStyle w:val="Prrafodelista"/>
        <w:keepNext/>
        <w:widowControl w:val="0"/>
        <w:tabs>
          <w:tab w:val="left" w:pos="1560"/>
        </w:tabs>
        <w:spacing w:after="0" w:line="276" w:lineRule="auto"/>
        <w:ind w:left="0"/>
        <w:jc w:val="both"/>
        <w:rPr>
          <w:rFonts w:asciiTheme="majorHAnsi" w:hAnsiTheme="majorHAnsi" w:cstheme="majorHAnsi"/>
          <w:sz w:val="24"/>
          <w:szCs w:val="24"/>
          <w:lang w:val="es-ES"/>
        </w:rPr>
      </w:pPr>
    </w:p>
    <w:p w14:paraId="739E7FD6" w14:textId="77777777" w:rsidR="00521740" w:rsidRPr="006C12CD" w:rsidRDefault="00521740" w:rsidP="00521740">
      <w:pPr>
        <w:spacing w:after="0" w:line="276" w:lineRule="auto"/>
        <w:ind w:left="708"/>
        <w:jc w:val="both"/>
        <w:rPr>
          <w:rFonts w:asciiTheme="majorHAnsi" w:hAnsiTheme="majorHAnsi" w:cstheme="majorHAnsi"/>
          <w:sz w:val="24"/>
          <w:szCs w:val="24"/>
          <w:lang w:val="es-ES"/>
        </w:rPr>
      </w:pPr>
      <w:r w:rsidRPr="006C12CD">
        <w:rPr>
          <w:rFonts w:asciiTheme="majorHAnsi" w:hAnsiTheme="majorHAnsi" w:cstheme="majorHAnsi"/>
          <w:b/>
          <w:sz w:val="24"/>
          <w:szCs w:val="24"/>
          <w:lang w:val="es-ES"/>
        </w:rPr>
        <w:t>ARTÍCULO 121. Base gravable.</w:t>
      </w:r>
      <w:r w:rsidRPr="006C12CD">
        <w:rPr>
          <w:rFonts w:asciiTheme="majorHAnsi" w:hAnsiTheme="majorHAnsi" w:cstheme="majorHAnsi"/>
          <w:sz w:val="24"/>
          <w:szCs w:val="24"/>
          <w:lang w:val="es-ES"/>
        </w:rPr>
        <w:t xml:space="preserve"> La base gravable de la sobretasa a la gasolina motor tanto extra como corriente, y de la sobretasa al ACPM, será el volumen del respectivo producto expresado en galones.</w:t>
      </w:r>
    </w:p>
    <w:p w14:paraId="229B3925" w14:textId="77777777" w:rsidR="00521740" w:rsidRPr="006C12CD" w:rsidRDefault="00521740" w:rsidP="00521740">
      <w:pPr>
        <w:spacing w:after="0" w:line="276" w:lineRule="auto"/>
        <w:ind w:left="708"/>
        <w:jc w:val="both"/>
        <w:rPr>
          <w:rFonts w:asciiTheme="majorHAnsi" w:hAnsiTheme="majorHAnsi" w:cstheme="majorHAnsi"/>
          <w:sz w:val="24"/>
          <w:szCs w:val="24"/>
          <w:lang w:val="es-ES"/>
        </w:rPr>
      </w:pPr>
    </w:p>
    <w:p w14:paraId="37EBF26B" w14:textId="77777777" w:rsidR="00521740" w:rsidRPr="006C12CD" w:rsidRDefault="00521740" w:rsidP="00521740">
      <w:pPr>
        <w:spacing w:after="0" w:line="276" w:lineRule="auto"/>
        <w:ind w:left="708"/>
        <w:jc w:val="both"/>
        <w:rPr>
          <w:rFonts w:asciiTheme="majorHAnsi" w:hAnsiTheme="majorHAnsi" w:cstheme="majorHAnsi"/>
          <w:sz w:val="24"/>
          <w:szCs w:val="24"/>
          <w:lang w:val="es-ES"/>
        </w:rPr>
      </w:pPr>
      <w:r w:rsidRPr="006C12CD">
        <w:rPr>
          <w:rFonts w:asciiTheme="majorHAnsi" w:hAnsiTheme="majorHAnsi" w:cstheme="majorHAnsi"/>
          <w:sz w:val="24"/>
          <w:szCs w:val="24"/>
          <w:lang w:val="es-ES"/>
        </w:rPr>
        <w:t xml:space="preserve">Para la base gravable de la gasolina motor corriente y extra oxigenadas, no se incluirá el alcohol carburante en cumplimiento con la exención del artículo 88 de la Ley 788 de 2002. </w:t>
      </w:r>
    </w:p>
    <w:p w14:paraId="71BFD2A0" w14:textId="77777777" w:rsidR="00521740" w:rsidRPr="006C12CD" w:rsidRDefault="00521740" w:rsidP="00521740">
      <w:pPr>
        <w:spacing w:after="0" w:line="276" w:lineRule="auto"/>
        <w:jc w:val="both"/>
        <w:rPr>
          <w:rFonts w:asciiTheme="majorHAnsi" w:hAnsiTheme="majorHAnsi" w:cstheme="majorHAnsi"/>
          <w:sz w:val="24"/>
          <w:szCs w:val="24"/>
          <w:lang w:val="es-ES"/>
        </w:rPr>
      </w:pPr>
    </w:p>
    <w:p w14:paraId="67004992" w14:textId="04F08AED" w:rsidR="00521740" w:rsidRPr="006C12CD" w:rsidRDefault="00521740" w:rsidP="00521740">
      <w:pPr>
        <w:keepNext/>
        <w:widowControl w:val="0"/>
        <w:tabs>
          <w:tab w:val="left" w:pos="1560"/>
        </w:tabs>
        <w:spacing w:after="0" w:line="276" w:lineRule="auto"/>
        <w:jc w:val="both"/>
        <w:rPr>
          <w:rFonts w:asciiTheme="majorHAnsi" w:hAnsiTheme="majorHAnsi" w:cstheme="majorHAnsi"/>
          <w:sz w:val="24"/>
          <w:szCs w:val="24"/>
          <w:lang w:val="es-ES"/>
        </w:rPr>
      </w:pPr>
      <w:r w:rsidRPr="006C12CD">
        <w:rPr>
          <w:rFonts w:asciiTheme="majorHAnsi" w:hAnsiTheme="majorHAnsi" w:cstheme="majorHAnsi"/>
          <w:b/>
          <w:bCs/>
          <w:sz w:val="24"/>
          <w:szCs w:val="24"/>
        </w:rPr>
        <w:lastRenderedPageBreak/>
        <w:t xml:space="preserve">ARTÍCULO </w:t>
      </w:r>
      <w:r w:rsidR="00CB54C9">
        <w:rPr>
          <w:rFonts w:asciiTheme="majorHAnsi" w:hAnsiTheme="majorHAnsi" w:cstheme="majorHAnsi"/>
          <w:b/>
          <w:bCs/>
          <w:sz w:val="24"/>
          <w:szCs w:val="24"/>
        </w:rPr>
        <w:t>3</w:t>
      </w:r>
      <w:r w:rsidRPr="006C12CD">
        <w:rPr>
          <w:rFonts w:asciiTheme="majorHAnsi" w:hAnsiTheme="majorHAnsi" w:cstheme="majorHAnsi"/>
          <w:b/>
          <w:bCs/>
          <w:sz w:val="24"/>
          <w:szCs w:val="24"/>
        </w:rPr>
        <w:t xml:space="preserve">. </w:t>
      </w:r>
      <w:r w:rsidRPr="006C12CD">
        <w:rPr>
          <w:rFonts w:asciiTheme="majorHAnsi" w:hAnsiTheme="majorHAnsi" w:cstheme="majorHAnsi"/>
          <w:bCs/>
          <w:sz w:val="24"/>
          <w:szCs w:val="24"/>
        </w:rPr>
        <w:t>Modifíquese el artículo 55 de la Ley 788</w:t>
      </w:r>
      <w:r w:rsidRPr="006C12CD">
        <w:rPr>
          <w:rFonts w:asciiTheme="majorHAnsi" w:hAnsiTheme="majorHAnsi" w:cstheme="majorHAnsi"/>
          <w:sz w:val="24"/>
          <w:szCs w:val="24"/>
          <w:lang w:val="es-ES"/>
        </w:rPr>
        <w:t xml:space="preserve"> de 2002, el cual quedará así:</w:t>
      </w:r>
    </w:p>
    <w:p w14:paraId="11135336" w14:textId="77777777" w:rsidR="00521740" w:rsidRPr="006C12CD" w:rsidRDefault="00521740" w:rsidP="00521740">
      <w:pPr>
        <w:pStyle w:val="Prrafodelista"/>
        <w:keepNext/>
        <w:widowControl w:val="0"/>
        <w:tabs>
          <w:tab w:val="left" w:pos="1560"/>
        </w:tabs>
        <w:spacing w:after="0" w:line="276" w:lineRule="auto"/>
        <w:ind w:left="0"/>
        <w:jc w:val="both"/>
        <w:rPr>
          <w:rFonts w:asciiTheme="majorHAnsi" w:hAnsiTheme="majorHAnsi" w:cstheme="majorHAnsi"/>
          <w:sz w:val="24"/>
          <w:szCs w:val="24"/>
          <w:lang w:val="es-ES"/>
        </w:rPr>
      </w:pPr>
    </w:p>
    <w:p w14:paraId="2D6C0B0C"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r w:rsidRPr="006C12CD">
        <w:rPr>
          <w:rFonts w:asciiTheme="majorHAnsi" w:hAnsiTheme="majorHAnsi" w:cstheme="majorHAnsi"/>
          <w:b/>
          <w:color w:val="000000" w:themeColor="text1"/>
          <w:sz w:val="24"/>
          <w:szCs w:val="24"/>
          <w:lang w:val="es-ES"/>
        </w:rPr>
        <w:t>ARTÍCULO 55. Tarifas.</w:t>
      </w:r>
      <w:r w:rsidRPr="006C12CD">
        <w:rPr>
          <w:rFonts w:asciiTheme="majorHAnsi" w:hAnsiTheme="majorHAnsi" w:cstheme="majorHAnsi"/>
          <w:color w:val="000000" w:themeColor="text1"/>
          <w:sz w:val="24"/>
          <w:szCs w:val="24"/>
          <w:lang w:val="es-ES"/>
        </w:rPr>
        <w:t> Las tarifas de la sobretasa a la gasolina y de la sobretasa al ACPM, por galón, serán las siguientes:</w:t>
      </w:r>
    </w:p>
    <w:p w14:paraId="24F08954"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p>
    <w:p w14:paraId="3AD1174F"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r w:rsidRPr="006C12CD">
        <w:rPr>
          <w:rFonts w:asciiTheme="majorHAnsi" w:hAnsiTheme="majorHAnsi" w:cstheme="majorHAnsi"/>
          <w:color w:val="000000" w:themeColor="text1"/>
          <w:sz w:val="24"/>
          <w:szCs w:val="24"/>
          <w:lang w:val="es-ES"/>
        </w:rPr>
        <w:t>a. Sobretasa a la gasolina</w:t>
      </w:r>
    </w:p>
    <w:p w14:paraId="02780998"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2"/>
        <w:gridCol w:w="2319"/>
        <w:gridCol w:w="2157"/>
        <w:gridCol w:w="2069"/>
      </w:tblGrid>
      <w:tr w:rsidR="00521740" w:rsidRPr="006C12CD" w14:paraId="6E56D910" w14:textId="77777777" w:rsidTr="00BB2B73">
        <w:trPr>
          <w:trHeight w:val="255"/>
          <w:jc w:val="center"/>
        </w:trPr>
        <w:tc>
          <w:tcPr>
            <w:tcW w:w="4111" w:type="dxa"/>
            <w:gridSpan w:val="2"/>
            <w:vAlign w:val="center"/>
          </w:tcPr>
          <w:p w14:paraId="5214C22B" w14:textId="77777777" w:rsidR="00521740" w:rsidRPr="006C12CD" w:rsidRDefault="00521740" w:rsidP="00BB2B73">
            <w:pPr>
              <w:jc w:val="center"/>
              <w:rPr>
                <w:rFonts w:asciiTheme="majorHAnsi" w:hAnsiTheme="majorHAnsi" w:cstheme="majorHAnsi"/>
                <w:b/>
                <w:color w:val="000000"/>
                <w:sz w:val="24"/>
                <w:szCs w:val="24"/>
                <w:lang w:eastAsia="es-CO"/>
              </w:rPr>
            </w:pPr>
          </w:p>
        </w:tc>
        <w:tc>
          <w:tcPr>
            <w:tcW w:w="2157" w:type="dxa"/>
            <w:shd w:val="clear" w:color="auto" w:fill="auto"/>
            <w:vAlign w:val="center"/>
            <w:hideMark/>
          </w:tcPr>
          <w:p w14:paraId="0169BD13" w14:textId="77777777" w:rsidR="00521740" w:rsidRPr="006C12CD" w:rsidRDefault="00521740" w:rsidP="00BB2B73">
            <w:pPr>
              <w:jc w:val="center"/>
              <w:rPr>
                <w:rFonts w:asciiTheme="majorHAnsi" w:hAnsiTheme="majorHAnsi" w:cstheme="majorHAnsi"/>
                <w:b/>
                <w:color w:val="000000"/>
                <w:sz w:val="24"/>
                <w:szCs w:val="24"/>
                <w:lang w:eastAsia="es-CO"/>
              </w:rPr>
            </w:pPr>
            <w:r w:rsidRPr="006C12CD">
              <w:rPr>
                <w:rFonts w:asciiTheme="majorHAnsi" w:hAnsiTheme="majorHAnsi" w:cstheme="majorHAnsi"/>
                <w:b/>
                <w:color w:val="000000"/>
                <w:sz w:val="24"/>
                <w:szCs w:val="24"/>
                <w:lang w:eastAsia="es-CO"/>
              </w:rPr>
              <w:t>Gasolina corriente</w:t>
            </w:r>
          </w:p>
        </w:tc>
        <w:tc>
          <w:tcPr>
            <w:tcW w:w="2069" w:type="dxa"/>
            <w:shd w:val="clear" w:color="auto" w:fill="auto"/>
            <w:vAlign w:val="center"/>
            <w:hideMark/>
          </w:tcPr>
          <w:p w14:paraId="50873707" w14:textId="77777777" w:rsidR="00521740" w:rsidRPr="006C12CD" w:rsidRDefault="00521740" w:rsidP="00BB2B73">
            <w:pPr>
              <w:jc w:val="center"/>
              <w:rPr>
                <w:rFonts w:asciiTheme="majorHAnsi" w:hAnsiTheme="majorHAnsi" w:cstheme="majorHAnsi"/>
                <w:b/>
                <w:color w:val="000000"/>
                <w:sz w:val="24"/>
                <w:szCs w:val="24"/>
                <w:lang w:eastAsia="es-CO"/>
              </w:rPr>
            </w:pPr>
            <w:r w:rsidRPr="006C12CD">
              <w:rPr>
                <w:rFonts w:asciiTheme="majorHAnsi" w:hAnsiTheme="majorHAnsi" w:cstheme="majorHAnsi"/>
                <w:b/>
                <w:color w:val="000000"/>
                <w:sz w:val="24"/>
                <w:szCs w:val="24"/>
                <w:lang w:eastAsia="es-CO"/>
              </w:rPr>
              <w:t>Gasolina extra</w:t>
            </w:r>
          </w:p>
        </w:tc>
      </w:tr>
      <w:tr w:rsidR="00521740" w:rsidRPr="006C12CD" w14:paraId="75B44992" w14:textId="77777777" w:rsidTr="00BB2B73">
        <w:trPr>
          <w:trHeight w:val="268"/>
          <w:jc w:val="center"/>
        </w:trPr>
        <w:tc>
          <w:tcPr>
            <w:tcW w:w="1792" w:type="dxa"/>
            <w:vMerge w:val="restart"/>
            <w:vAlign w:val="center"/>
          </w:tcPr>
          <w:p w14:paraId="14D23818"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Tarifa General</w:t>
            </w:r>
          </w:p>
        </w:tc>
        <w:tc>
          <w:tcPr>
            <w:tcW w:w="2319" w:type="dxa"/>
            <w:shd w:val="clear" w:color="auto" w:fill="auto"/>
            <w:noWrap/>
            <w:vAlign w:val="center"/>
            <w:hideMark/>
          </w:tcPr>
          <w:p w14:paraId="5FBEBF2B"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Municipal y Distrital:</w:t>
            </w:r>
          </w:p>
        </w:tc>
        <w:tc>
          <w:tcPr>
            <w:tcW w:w="2157" w:type="dxa"/>
            <w:shd w:val="clear" w:color="auto" w:fill="auto"/>
            <w:noWrap/>
            <w:vAlign w:val="center"/>
            <w:hideMark/>
          </w:tcPr>
          <w:p w14:paraId="33B8B548"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$940</w:t>
            </w:r>
          </w:p>
        </w:tc>
        <w:tc>
          <w:tcPr>
            <w:tcW w:w="2069" w:type="dxa"/>
            <w:shd w:val="clear" w:color="auto" w:fill="auto"/>
            <w:noWrap/>
            <w:vAlign w:val="center"/>
            <w:hideMark/>
          </w:tcPr>
          <w:p w14:paraId="500F4AC5"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$1.314</w:t>
            </w:r>
          </w:p>
        </w:tc>
      </w:tr>
      <w:tr w:rsidR="00521740" w:rsidRPr="006C12CD" w14:paraId="68CBAF4A" w14:textId="77777777" w:rsidTr="00BB2B73">
        <w:trPr>
          <w:trHeight w:val="268"/>
          <w:jc w:val="center"/>
        </w:trPr>
        <w:tc>
          <w:tcPr>
            <w:tcW w:w="1792" w:type="dxa"/>
            <w:vMerge/>
            <w:vAlign w:val="center"/>
          </w:tcPr>
          <w:p w14:paraId="2077565C" w14:textId="77777777" w:rsidR="00521740" w:rsidRPr="006C12CD" w:rsidRDefault="00521740" w:rsidP="00BB2B73">
            <w:pPr>
              <w:jc w:val="center"/>
              <w:rPr>
                <w:rFonts w:asciiTheme="majorHAnsi" w:hAnsiTheme="majorHAnsi" w:cstheme="majorHAnsi"/>
                <w:color w:val="000000"/>
                <w:sz w:val="24"/>
                <w:szCs w:val="24"/>
                <w:lang w:eastAsia="es-CO"/>
              </w:rPr>
            </w:pPr>
          </w:p>
        </w:tc>
        <w:tc>
          <w:tcPr>
            <w:tcW w:w="2319" w:type="dxa"/>
            <w:shd w:val="clear" w:color="auto" w:fill="auto"/>
            <w:noWrap/>
            <w:vAlign w:val="center"/>
          </w:tcPr>
          <w:p w14:paraId="1D38C5B1"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Departamental:</w:t>
            </w:r>
          </w:p>
        </w:tc>
        <w:tc>
          <w:tcPr>
            <w:tcW w:w="2157" w:type="dxa"/>
            <w:shd w:val="clear" w:color="auto" w:fill="auto"/>
            <w:noWrap/>
            <w:vAlign w:val="center"/>
          </w:tcPr>
          <w:p w14:paraId="2604C89B"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$330</w:t>
            </w:r>
          </w:p>
        </w:tc>
        <w:tc>
          <w:tcPr>
            <w:tcW w:w="2069" w:type="dxa"/>
            <w:shd w:val="clear" w:color="auto" w:fill="auto"/>
            <w:noWrap/>
            <w:vAlign w:val="center"/>
          </w:tcPr>
          <w:p w14:paraId="2090A9B8"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$462</w:t>
            </w:r>
          </w:p>
        </w:tc>
      </w:tr>
      <w:tr w:rsidR="00521740" w:rsidRPr="006C12CD" w14:paraId="34A1A1F6" w14:textId="77777777" w:rsidTr="00BB2B73">
        <w:trPr>
          <w:trHeight w:val="268"/>
          <w:jc w:val="center"/>
        </w:trPr>
        <w:tc>
          <w:tcPr>
            <w:tcW w:w="1792" w:type="dxa"/>
            <w:vMerge/>
            <w:vAlign w:val="center"/>
          </w:tcPr>
          <w:p w14:paraId="6910939B" w14:textId="77777777" w:rsidR="00521740" w:rsidRPr="006C12CD" w:rsidRDefault="00521740" w:rsidP="00BB2B73">
            <w:pPr>
              <w:jc w:val="center"/>
              <w:rPr>
                <w:rFonts w:asciiTheme="majorHAnsi" w:hAnsiTheme="majorHAnsi" w:cstheme="majorHAnsi"/>
                <w:color w:val="000000"/>
                <w:sz w:val="24"/>
                <w:szCs w:val="24"/>
                <w:lang w:eastAsia="es-CO"/>
              </w:rPr>
            </w:pPr>
          </w:p>
        </w:tc>
        <w:tc>
          <w:tcPr>
            <w:tcW w:w="2319" w:type="dxa"/>
            <w:shd w:val="clear" w:color="auto" w:fill="auto"/>
            <w:noWrap/>
            <w:vAlign w:val="center"/>
          </w:tcPr>
          <w:p w14:paraId="3BFB8676"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Distrito Capital:</w:t>
            </w:r>
          </w:p>
        </w:tc>
        <w:tc>
          <w:tcPr>
            <w:tcW w:w="2157" w:type="dxa"/>
            <w:shd w:val="clear" w:color="auto" w:fill="auto"/>
            <w:noWrap/>
            <w:vAlign w:val="center"/>
          </w:tcPr>
          <w:p w14:paraId="3B623EF3"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$1.270</w:t>
            </w:r>
          </w:p>
        </w:tc>
        <w:tc>
          <w:tcPr>
            <w:tcW w:w="2069" w:type="dxa"/>
            <w:shd w:val="clear" w:color="auto" w:fill="auto"/>
            <w:noWrap/>
            <w:vAlign w:val="center"/>
          </w:tcPr>
          <w:p w14:paraId="4315C133"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$1.775</w:t>
            </w:r>
          </w:p>
        </w:tc>
      </w:tr>
      <w:tr w:rsidR="00521740" w:rsidRPr="006C12CD" w14:paraId="201CD2CC" w14:textId="77777777" w:rsidTr="00BB2B73">
        <w:trPr>
          <w:trHeight w:val="268"/>
          <w:jc w:val="center"/>
        </w:trPr>
        <w:tc>
          <w:tcPr>
            <w:tcW w:w="1792" w:type="dxa"/>
            <w:vMerge w:val="restart"/>
            <w:vAlign w:val="center"/>
          </w:tcPr>
          <w:p w14:paraId="37CF2B71"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Tarifa en Zonas de frontera</w:t>
            </w:r>
          </w:p>
        </w:tc>
        <w:tc>
          <w:tcPr>
            <w:tcW w:w="2319" w:type="dxa"/>
            <w:shd w:val="clear" w:color="auto" w:fill="auto"/>
            <w:noWrap/>
            <w:vAlign w:val="center"/>
          </w:tcPr>
          <w:p w14:paraId="21C2560F"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Municipal y Distrital:</w:t>
            </w:r>
          </w:p>
        </w:tc>
        <w:tc>
          <w:tcPr>
            <w:tcW w:w="2157" w:type="dxa"/>
            <w:shd w:val="clear" w:color="auto" w:fill="auto"/>
            <w:noWrap/>
            <w:vAlign w:val="center"/>
          </w:tcPr>
          <w:p w14:paraId="376C4648"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$352</w:t>
            </w:r>
          </w:p>
        </w:tc>
        <w:tc>
          <w:tcPr>
            <w:tcW w:w="2069" w:type="dxa"/>
            <w:shd w:val="clear" w:color="auto" w:fill="auto"/>
            <w:noWrap/>
            <w:vAlign w:val="center"/>
          </w:tcPr>
          <w:p w14:paraId="4FD100E9"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$1.314</w:t>
            </w:r>
          </w:p>
        </w:tc>
      </w:tr>
      <w:tr w:rsidR="00521740" w:rsidRPr="006C12CD" w14:paraId="44DCD6EF" w14:textId="77777777" w:rsidTr="00BB2B73">
        <w:trPr>
          <w:trHeight w:val="268"/>
          <w:jc w:val="center"/>
        </w:trPr>
        <w:tc>
          <w:tcPr>
            <w:tcW w:w="1792" w:type="dxa"/>
            <w:vMerge/>
            <w:vAlign w:val="center"/>
          </w:tcPr>
          <w:p w14:paraId="0CCFA205" w14:textId="77777777" w:rsidR="00521740" w:rsidRPr="006C12CD" w:rsidRDefault="00521740" w:rsidP="00BB2B73">
            <w:pPr>
              <w:jc w:val="center"/>
              <w:rPr>
                <w:rFonts w:asciiTheme="majorHAnsi" w:hAnsiTheme="majorHAnsi" w:cstheme="majorHAnsi"/>
                <w:color w:val="000000"/>
                <w:sz w:val="24"/>
                <w:szCs w:val="24"/>
                <w:lang w:eastAsia="es-CO"/>
              </w:rPr>
            </w:pPr>
          </w:p>
        </w:tc>
        <w:tc>
          <w:tcPr>
            <w:tcW w:w="2319" w:type="dxa"/>
            <w:shd w:val="clear" w:color="auto" w:fill="auto"/>
            <w:noWrap/>
            <w:vAlign w:val="center"/>
          </w:tcPr>
          <w:p w14:paraId="14875F5A"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Departamental:</w:t>
            </w:r>
          </w:p>
        </w:tc>
        <w:tc>
          <w:tcPr>
            <w:tcW w:w="2157" w:type="dxa"/>
            <w:shd w:val="clear" w:color="auto" w:fill="auto"/>
            <w:noWrap/>
            <w:vAlign w:val="center"/>
          </w:tcPr>
          <w:p w14:paraId="2861C8C1"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$124</w:t>
            </w:r>
          </w:p>
        </w:tc>
        <w:tc>
          <w:tcPr>
            <w:tcW w:w="2069" w:type="dxa"/>
            <w:shd w:val="clear" w:color="auto" w:fill="auto"/>
            <w:noWrap/>
            <w:vAlign w:val="center"/>
          </w:tcPr>
          <w:p w14:paraId="4A5F4B69" w14:textId="77777777" w:rsidR="00521740" w:rsidRPr="006C12CD" w:rsidRDefault="00521740" w:rsidP="00BB2B73">
            <w:pPr>
              <w:jc w:val="center"/>
              <w:rPr>
                <w:rFonts w:asciiTheme="majorHAnsi" w:hAnsiTheme="majorHAnsi" w:cstheme="majorHAnsi"/>
                <w:color w:val="000000"/>
                <w:sz w:val="24"/>
                <w:szCs w:val="24"/>
                <w:lang w:eastAsia="es-CO"/>
              </w:rPr>
            </w:pPr>
            <w:r w:rsidRPr="006C12CD">
              <w:rPr>
                <w:rFonts w:asciiTheme="majorHAnsi" w:hAnsiTheme="majorHAnsi" w:cstheme="majorHAnsi"/>
                <w:color w:val="000000"/>
                <w:sz w:val="24"/>
                <w:szCs w:val="24"/>
                <w:lang w:eastAsia="es-CO"/>
              </w:rPr>
              <w:t>$462</w:t>
            </w:r>
          </w:p>
        </w:tc>
      </w:tr>
    </w:tbl>
    <w:p w14:paraId="672E55DB" w14:textId="77777777" w:rsidR="00521740" w:rsidRPr="006C12CD" w:rsidRDefault="00521740" w:rsidP="00521740">
      <w:pPr>
        <w:spacing w:after="0" w:line="276" w:lineRule="auto"/>
        <w:jc w:val="both"/>
        <w:rPr>
          <w:rFonts w:asciiTheme="majorHAnsi" w:hAnsiTheme="majorHAnsi" w:cstheme="majorHAnsi"/>
          <w:color w:val="000000" w:themeColor="text1"/>
          <w:sz w:val="24"/>
          <w:szCs w:val="24"/>
        </w:rPr>
      </w:pPr>
    </w:p>
    <w:p w14:paraId="77A093E3" w14:textId="77777777" w:rsidR="00521740" w:rsidRPr="006C12CD" w:rsidRDefault="00521740" w:rsidP="00521740">
      <w:pPr>
        <w:spacing w:after="0" w:line="276" w:lineRule="auto"/>
        <w:ind w:left="708"/>
        <w:jc w:val="both"/>
        <w:rPr>
          <w:rFonts w:asciiTheme="majorHAnsi" w:hAnsiTheme="majorHAnsi" w:cstheme="majorHAnsi"/>
          <w:color w:val="FF0000"/>
          <w:sz w:val="24"/>
          <w:szCs w:val="24"/>
          <w:lang w:val="es-ES"/>
        </w:rPr>
      </w:pPr>
    </w:p>
    <w:p w14:paraId="665669CB" w14:textId="77777777" w:rsidR="00521740" w:rsidRPr="006C12CD" w:rsidRDefault="00521740" w:rsidP="00521740">
      <w:pPr>
        <w:spacing w:after="0" w:line="276" w:lineRule="auto"/>
        <w:ind w:left="708"/>
        <w:jc w:val="both"/>
        <w:rPr>
          <w:rFonts w:asciiTheme="majorHAnsi" w:hAnsiTheme="majorHAnsi" w:cstheme="majorHAnsi"/>
          <w:color w:val="FF0000"/>
          <w:sz w:val="24"/>
          <w:szCs w:val="24"/>
          <w:lang w:val="es-ES"/>
        </w:rPr>
      </w:pPr>
      <w:r w:rsidRPr="006C12CD">
        <w:rPr>
          <w:rFonts w:asciiTheme="majorHAnsi" w:hAnsiTheme="majorHAnsi" w:cstheme="majorHAnsi"/>
          <w:color w:val="000000" w:themeColor="text1"/>
          <w:sz w:val="24"/>
          <w:szCs w:val="24"/>
          <w:lang w:val="es-ES"/>
        </w:rPr>
        <w:t>b. Sobretasa al ACPM</w:t>
      </w:r>
    </w:p>
    <w:p w14:paraId="1C25742E" w14:textId="77777777" w:rsidR="00521740" w:rsidRPr="006C12CD" w:rsidRDefault="00521740" w:rsidP="00521740">
      <w:pPr>
        <w:spacing w:after="0" w:line="276" w:lineRule="auto"/>
        <w:ind w:left="708"/>
        <w:jc w:val="both"/>
        <w:rPr>
          <w:rFonts w:asciiTheme="majorHAnsi" w:hAnsiTheme="majorHAnsi" w:cstheme="majorHAnsi"/>
          <w:color w:val="FF0000"/>
          <w:sz w:val="24"/>
          <w:szCs w:val="24"/>
          <w:lang w:val="es-ES"/>
        </w:rPr>
      </w:pPr>
    </w:p>
    <w:p w14:paraId="63E6BD9C"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r w:rsidRPr="006C12CD">
        <w:rPr>
          <w:rFonts w:asciiTheme="majorHAnsi" w:hAnsiTheme="majorHAnsi" w:cstheme="majorHAnsi"/>
          <w:color w:val="000000" w:themeColor="text1"/>
          <w:sz w:val="24"/>
          <w:szCs w:val="24"/>
          <w:lang w:val="es-ES"/>
        </w:rPr>
        <w:t xml:space="preserve">La tarifa de la sobretasa al ACPM será de $301 pesos por galón. La sobretasa al ACPM para consumo en municipios zonas de frontera se liquidará con una tarifa de $204 por galón para el producto nacional y $114 por galón para el producto importado. </w:t>
      </w:r>
    </w:p>
    <w:p w14:paraId="2604ECA7"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p>
    <w:p w14:paraId="25F79A7C"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r w:rsidRPr="006C12CD">
        <w:rPr>
          <w:rFonts w:asciiTheme="majorHAnsi" w:hAnsiTheme="majorHAnsi" w:cstheme="majorHAnsi"/>
          <w:b/>
          <w:bCs/>
          <w:color w:val="000000" w:themeColor="text1"/>
          <w:sz w:val="24"/>
          <w:szCs w:val="24"/>
          <w:lang w:val="es-ES"/>
        </w:rPr>
        <w:t>Parágrafo 1.</w:t>
      </w:r>
      <w:r w:rsidRPr="006C12CD">
        <w:rPr>
          <w:rFonts w:asciiTheme="majorHAnsi" w:hAnsiTheme="majorHAnsi" w:cstheme="majorHAnsi"/>
          <w:color w:val="000000" w:themeColor="text1"/>
          <w:sz w:val="24"/>
          <w:szCs w:val="24"/>
          <w:lang w:val="es-ES"/>
        </w:rPr>
        <w:t> Para los fines de este artículo, el Departamento de Cundinamarca no incluye al Distrito Capital de Bogotá.</w:t>
      </w:r>
    </w:p>
    <w:p w14:paraId="26EE5C64"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p>
    <w:p w14:paraId="215B3DE6"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r w:rsidRPr="006C12CD">
        <w:rPr>
          <w:rFonts w:asciiTheme="majorHAnsi" w:hAnsiTheme="majorHAnsi" w:cstheme="majorHAnsi"/>
          <w:b/>
          <w:bCs/>
          <w:color w:val="000000" w:themeColor="text1"/>
          <w:sz w:val="24"/>
          <w:szCs w:val="24"/>
          <w:lang w:val="es-ES"/>
        </w:rPr>
        <w:t>Parágrafo 2.</w:t>
      </w:r>
      <w:r w:rsidRPr="006C12CD">
        <w:rPr>
          <w:rFonts w:asciiTheme="majorHAnsi" w:hAnsiTheme="majorHAnsi" w:cstheme="majorHAnsi"/>
          <w:color w:val="000000" w:themeColor="text1"/>
          <w:sz w:val="24"/>
          <w:szCs w:val="24"/>
          <w:lang w:val="es-ES"/>
        </w:rPr>
        <w:t xml:space="preserve"> Para el caso de la sobretasa a la gasolina, los Concejos de los municipios ubicados en zonas de frontera podrán optar entre la tarifa municipal para zonas de frontera establecida en la tabla de este artículo o la adopción de una tarifa diferencial de $114 por galón de gasolina corriente y de $426 por galón de gasolina extra. </w:t>
      </w:r>
    </w:p>
    <w:p w14:paraId="446264AA"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p>
    <w:p w14:paraId="0DBCABDF"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r w:rsidRPr="006C12CD">
        <w:rPr>
          <w:rFonts w:asciiTheme="majorHAnsi" w:hAnsiTheme="majorHAnsi" w:cstheme="majorHAnsi"/>
          <w:color w:val="000000" w:themeColor="text1"/>
          <w:sz w:val="24"/>
          <w:szCs w:val="24"/>
          <w:lang w:val="es-ES"/>
        </w:rPr>
        <w:t xml:space="preserve">En caso de adoptar la tarifa diferencial establecida en este parágrafo, deberán informar de esta situación a los responsables de declarar y pagar el impuesto, antes de iniciar el periodo gravable para el cual aplica la mencionada tarifa. </w:t>
      </w:r>
    </w:p>
    <w:p w14:paraId="1A1A42E3"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p>
    <w:p w14:paraId="7C84ACC4" w14:textId="77777777" w:rsidR="00521740" w:rsidRPr="006C12CD" w:rsidRDefault="00521740" w:rsidP="00521740">
      <w:pPr>
        <w:spacing w:after="0" w:line="276" w:lineRule="auto"/>
        <w:ind w:left="708"/>
        <w:jc w:val="both"/>
        <w:rPr>
          <w:rFonts w:asciiTheme="majorHAnsi" w:hAnsiTheme="majorHAnsi" w:cstheme="majorHAnsi"/>
          <w:color w:val="FF0000"/>
          <w:sz w:val="24"/>
          <w:szCs w:val="24"/>
          <w:lang w:val="es-ES"/>
        </w:rPr>
      </w:pPr>
      <w:r w:rsidRPr="006C12CD">
        <w:rPr>
          <w:rFonts w:asciiTheme="majorHAnsi" w:hAnsiTheme="majorHAnsi" w:cstheme="majorHAnsi"/>
          <w:color w:val="000000" w:themeColor="text1"/>
          <w:sz w:val="24"/>
          <w:szCs w:val="24"/>
          <w:lang w:val="es-ES"/>
        </w:rPr>
        <w:t xml:space="preserve">En todo caso, mientras la entidad territorial no haya informado al responsable la adopción de la tarifa diferencial establecida en este parágrafo, la tarifa aplicable será </w:t>
      </w:r>
      <w:r w:rsidRPr="006C12CD">
        <w:rPr>
          <w:rFonts w:asciiTheme="majorHAnsi" w:hAnsiTheme="majorHAnsi" w:cstheme="majorHAnsi"/>
          <w:color w:val="000000" w:themeColor="text1"/>
          <w:sz w:val="24"/>
          <w:szCs w:val="24"/>
          <w:lang w:val="es-ES"/>
        </w:rPr>
        <w:lastRenderedPageBreak/>
        <w:t xml:space="preserve">la tarifa municipal para cada tipo de combustible establecida para los municipios de zonas de frontera. </w:t>
      </w:r>
    </w:p>
    <w:p w14:paraId="08E4E526" w14:textId="77777777" w:rsidR="00521740" w:rsidRPr="006C12CD" w:rsidRDefault="00521740" w:rsidP="00521740">
      <w:pPr>
        <w:spacing w:after="0" w:line="276" w:lineRule="auto"/>
        <w:ind w:left="708"/>
        <w:jc w:val="both"/>
        <w:rPr>
          <w:rFonts w:asciiTheme="majorHAnsi" w:hAnsiTheme="majorHAnsi" w:cstheme="majorHAnsi"/>
          <w:color w:val="FF0000"/>
          <w:sz w:val="24"/>
          <w:szCs w:val="24"/>
          <w:lang w:val="es-ES"/>
        </w:rPr>
      </w:pPr>
    </w:p>
    <w:p w14:paraId="5037A5B7"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lang w:val="es-ES"/>
        </w:rPr>
      </w:pPr>
      <w:r w:rsidRPr="006C12CD">
        <w:rPr>
          <w:rFonts w:asciiTheme="majorHAnsi" w:hAnsiTheme="majorHAnsi" w:cstheme="majorHAnsi"/>
          <w:b/>
          <w:bCs/>
          <w:color w:val="000000" w:themeColor="text1"/>
          <w:sz w:val="24"/>
          <w:szCs w:val="24"/>
          <w:lang w:val="es-ES"/>
        </w:rPr>
        <w:t>Parágrafo 3.</w:t>
      </w:r>
      <w:r w:rsidRPr="006C12CD">
        <w:rPr>
          <w:rFonts w:asciiTheme="majorHAnsi" w:hAnsiTheme="majorHAnsi" w:cstheme="majorHAnsi"/>
          <w:color w:val="000000" w:themeColor="text1"/>
          <w:sz w:val="24"/>
          <w:szCs w:val="24"/>
          <w:lang w:val="es-ES"/>
        </w:rPr>
        <w:t xml:space="preserve"> Las tarifas en zonas de frontera para la sobretasa a la gasolina y la sobretasa al ACPM para el producto nacional aplicarán exclusivamente a los volúmenes máximos asignados a los diferentes agentes de la cadena de distribución de combustibles. Para ventas por encima de los volúmenes en mención o agentes que no son objeto de los mismos, la tarifa de la sobretasa a la gasolina por galón y la sobretasa al ACPM por galón será la tarifa general respectiva señalada en el presente artículo.</w:t>
      </w:r>
    </w:p>
    <w:p w14:paraId="01DD3F31"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rPr>
      </w:pPr>
    </w:p>
    <w:p w14:paraId="1FCDE8E2"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rPr>
      </w:pPr>
      <w:r w:rsidRPr="006C12CD">
        <w:rPr>
          <w:rFonts w:asciiTheme="majorHAnsi" w:hAnsiTheme="majorHAnsi" w:cstheme="majorHAnsi"/>
          <w:b/>
          <w:bCs/>
          <w:color w:val="000000" w:themeColor="text1"/>
          <w:sz w:val="24"/>
          <w:szCs w:val="24"/>
        </w:rPr>
        <w:t>Parágrafo 4.</w:t>
      </w:r>
      <w:r w:rsidRPr="006C12CD">
        <w:rPr>
          <w:rFonts w:asciiTheme="majorHAnsi" w:hAnsiTheme="majorHAnsi" w:cstheme="majorHAnsi"/>
          <w:color w:val="000000" w:themeColor="text1"/>
          <w:sz w:val="24"/>
          <w:szCs w:val="24"/>
        </w:rPr>
        <w:t xml:space="preserve"> Para el consumo de nafta o cualquier otro combustible o líquido derivado del petróleo que pueda ser usado como carburante en motores diseñados para ser utilizados con gasolina, la tarifa será la misma de la gasolina motor extra.</w:t>
      </w:r>
    </w:p>
    <w:p w14:paraId="396BF4C8"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rPr>
      </w:pPr>
    </w:p>
    <w:p w14:paraId="7D9A5C7E" w14:textId="77777777" w:rsidR="00521740" w:rsidRPr="006C12CD" w:rsidRDefault="00521740" w:rsidP="00521740">
      <w:pPr>
        <w:spacing w:after="0" w:line="276" w:lineRule="auto"/>
        <w:ind w:left="708"/>
        <w:jc w:val="both"/>
        <w:rPr>
          <w:rFonts w:asciiTheme="majorHAnsi" w:hAnsiTheme="majorHAnsi" w:cstheme="majorHAnsi"/>
          <w:color w:val="000000" w:themeColor="text1"/>
          <w:sz w:val="24"/>
          <w:szCs w:val="24"/>
        </w:rPr>
      </w:pPr>
      <w:r w:rsidRPr="006C12CD">
        <w:rPr>
          <w:rFonts w:asciiTheme="majorHAnsi" w:hAnsiTheme="majorHAnsi" w:cstheme="majorHAnsi"/>
          <w:b/>
          <w:bCs/>
          <w:color w:val="000000" w:themeColor="text1"/>
          <w:sz w:val="24"/>
          <w:szCs w:val="24"/>
        </w:rPr>
        <w:t>Parágrafo 5.</w:t>
      </w:r>
      <w:r w:rsidRPr="006C12CD">
        <w:rPr>
          <w:rFonts w:asciiTheme="majorHAnsi" w:hAnsiTheme="majorHAnsi" w:cstheme="majorHAnsi"/>
          <w:color w:val="000000" w:themeColor="text1"/>
          <w:sz w:val="24"/>
          <w:szCs w:val="24"/>
        </w:rPr>
        <w:t xml:space="preserve">  Las tarifas previstas en este artículo se incrementarán a partir del 1 de enero del año 2022, con la variación anual del índice de precios al consumidor certificado por el Departamento Administrativo Nacional de Estadística -DANE al 30 de noviembre y el resultado se aproximará al peso más cercano. La Dirección de Apoyo Fiscal del Ministerio de Hacienda y Crédito Público certificará y publicará, antes del 1 de enero de cada año, las tarifas así indexadas.</w:t>
      </w:r>
    </w:p>
    <w:p w14:paraId="25DB44B0" w14:textId="77777777" w:rsidR="00521740" w:rsidRPr="006C12CD" w:rsidRDefault="00521740" w:rsidP="00521740">
      <w:pPr>
        <w:rPr>
          <w:rFonts w:asciiTheme="majorHAnsi" w:hAnsiTheme="majorHAnsi" w:cstheme="majorHAnsi"/>
          <w:sz w:val="24"/>
          <w:szCs w:val="24"/>
        </w:rPr>
      </w:pPr>
    </w:p>
    <w:p w14:paraId="67E6D19A" w14:textId="3A1AC7CC" w:rsidR="00521740" w:rsidRPr="006C12CD" w:rsidRDefault="00521740" w:rsidP="00521740">
      <w:pPr>
        <w:rPr>
          <w:rFonts w:asciiTheme="majorHAnsi" w:hAnsiTheme="majorHAnsi" w:cstheme="majorHAnsi"/>
          <w:sz w:val="24"/>
          <w:szCs w:val="24"/>
        </w:rPr>
      </w:pPr>
      <w:r w:rsidRPr="006C12CD">
        <w:rPr>
          <w:rFonts w:asciiTheme="majorHAnsi" w:hAnsiTheme="majorHAnsi" w:cstheme="majorHAnsi"/>
          <w:b/>
          <w:sz w:val="24"/>
          <w:szCs w:val="24"/>
        </w:rPr>
        <w:t xml:space="preserve">ARTÍCULO </w:t>
      </w:r>
      <w:r w:rsidR="00CB54C9">
        <w:rPr>
          <w:rFonts w:asciiTheme="majorHAnsi" w:hAnsiTheme="majorHAnsi" w:cstheme="majorHAnsi"/>
          <w:b/>
          <w:sz w:val="24"/>
          <w:szCs w:val="24"/>
        </w:rPr>
        <w:t>4</w:t>
      </w:r>
      <w:r w:rsidRPr="006C12CD">
        <w:rPr>
          <w:rFonts w:asciiTheme="majorHAnsi" w:hAnsiTheme="majorHAnsi" w:cstheme="majorHAnsi"/>
          <w:b/>
          <w:sz w:val="24"/>
          <w:szCs w:val="24"/>
        </w:rPr>
        <w:t xml:space="preserve">. </w:t>
      </w:r>
      <w:r w:rsidR="00CB54C9">
        <w:rPr>
          <w:rFonts w:asciiTheme="majorHAnsi" w:hAnsiTheme="majorHAnsi" w:cstheme="majorHAnsi"/>
          <w:b/>
          <w:sz w:val="24"/>
          <w:szCs w:val="24"/>
        </w:rPr>
        <w:t xml:space="preserve">Vigencia. </w:t>
      </w:r>
      <w:r w:rsidR="00CB54C9">
        <w:rPr>
          <w:rFonts w:asciiTheme="majorHAnsi" w:hAnsiTheme="majorHAnsi" w:cstheme="majorHAnsi"/>
          <w:sz w:val="24"/>
          <w:szCs w:val="24"/>
        </w:rPr>
        <w:t>La presente ley rige</w:t>
      </w:r>
      <w:r w:rsidRPr="006C12CD">
        <w:rPr>
          <w:rFonts w:asciiTheme="majorHAnsi" w:hAnsiTheme="majorHAnsi" w:cstheme="majorHAnsi"/>
          <w:sz w:val="24"/>
          <w:szCs w:val="24"/>
        </w:rPr>
        <w:t xml:space="preserve"> a partir del 1 de junio de 202</w:t>
      </w:r>
      <w:r w:rsidR="00CB54C9">
        <w:rPr>
          <w:rFonts w:asciiTheme="majorHAnsi" w:hAnsiTheme="majorHAnsi" w:cstheme="majorHAnsi"/>
          <w:sz w:val="24"/>
          <w:szCs w:val="24"/>
        </w:rPr>
        <w:t xml:space="preserve">1.  </w:t>
      </w:r>
      <w:r w:rsidRPr="006C12CD">
        <w:rPr>
          <w:rFonts w:asciiTheme="majorHAnsi" w:hAnsiTheme="majorHAnsi" w:cstheme="majorHAnsi"/>
          <w:sz w:val="24"/>
          <w:szCs w:val="24"/>
        </w:rPr>
        <w:t xml:space="preserve">  </w:t>
      </w:r>
    </w:p>
    <w:p w14:paraId="0DFDBC59" w14:textId="40B3D5CA" w:rsidR="005F6D2E" w:rsidRPr="00D954BF" w:rsidRDefault="00D954BF" w:rsidP="00D954BF">
      <w:pPr>
        <w:pStyle w:val="Sinespaciado"/>
        <w:rPr>
          <w:rFonts w:asciiTheme="majorHAnsi" w:hAnsiTheme="majorHAnsi" w:cstheme="majorHAnsi"/>
          <w:b/>
          <w:bCs/>
        </w:rPr>
      </w:pPr>
      <w:r>
        <w:rPr>
          <w:rFonts w:asciiTheme="majorHAnsi" w:hAnsiTheme="majorHAnsi" w:cstheme="majorHAnsi"/>
          <w:b/>
          <w:bCs/>
          <w:noProof/>
          <w:lang w:val="es-CO" w:eastAsia="es-CO"/>
        </w:rPr>
        <w:drawing>
          <wp:inline distT="0" distB="0" distL="0" distR="0" wp14:anchorId="212537DD" wp14:editId="4B10059B">
            <wp:extent cx="2085975" cy="1104900"/>
            <wp:effectExtent l="0" t="0" r="9525" b="0"/>
            <wp:docPr id="1" name="Imagen 1"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en blanco y negr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2085975" cy="11049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F6D2E" w14:paraId="33E97C02" w14:textId="77777777" w:rsidTr="005F6D2E">
        <w:tc>
          <w:tcPr>
            <w:tcW w:w="4414" w:type="dxa"/>
          </w:tcPr>
          <w:p w14:paraId="4C881771" w14:textId="77777777" w:rsidR="005F6D2E" w:rsidRDefault="00D954BF" w:rsidP="005F6D2E">
            <w:pPr>
              <w:pStyle w:val="Sinespaciado"/>
              <w:jc w:val="both"/>
              <w:rPr>
                <w:rFonts w:asciiTheme="majorHAnsi" w:hAnsiTheme="majorHAnsi" w:cstheme="majorHAnsi"/>
                <w:b/>
                <w:bCs/>
                <w:sz w:val="28"/>
                <w:szCs w:val="28"/>
              </w:rPr>
            </w:pPr>
            <w:r>
              <w:rPr>
                <w:rFonts w:asciiTheme="majorHAnsi" w:hAnsiTheme="majorHAnsi" w:cstheme="majorHAnsi"/>
                <w:b/>
                <w:bCs/>
                <w:sz w:val="28"/>
                <w:szCs w:val="28"/>
              </w:rPr>
              <w:t>BAYARDO BETANCOURT PÉREZ</w:t>
            </w:r>
          </w:p>
          <w:p w14:paraId="1DBCD234" w14:textId="77777777" w:rsidR="00D954BF" w:rsidRDefault="00D954BF" w:rsidP="005F6D2E">
            <w:pPr>
              <w:pStyle w:val="Sinespaciado"/>
              <w:jc w:val="both"/>
              <w:rPr>
                <w:rFonts w:asciiTheme="majorHAnsi" w:hAnsiTheme="majorHAnsi" w:cstheme="majorHAnsi"/>
                <w:b/>
                <w:bCs/>
                <w:sz w:val="28"/>
                <w:szCs w:val="28"/>
              </w:rPr>
            </w:pPr>
            <w:r>
              <w:rPr>
                <w:rFonts w:asciiTheme="majorHAnsi" w:hAnsiTheme="majorHAnsi" w:cstheme="majorHAnsi"/>
                <w:b/>
                <w:bCs/>
                <w:sz w:val="28"/>
                <w:szCs w:val="28"/>
              </w:rPr>
              <w:t xml:space="preserve">Representante a la Cámara </w:t>
            </w:r>
          </w:p>
          <w:p w14:paraId="2CE8AF65" w14:textId="714CBC15" w:rsidR="00D954BF" w:rsidRDefault="00D954BF" w:rsidP="005F6D2E">
            <w:pPr>
              <w:pStyle w:val="Sinespaciado"/>
              <w:jc w:val="both"/>
              <w:rPr>
                <w:rFonts w:asciiTheme="majorHAnsi" w:hAnsiTheme="majorHAnsi" w:cstheme="majorHAnsi"/>
                <w:b/>
                <w:bCs/>
                <w:sz w:val="28"/>
                <w:szCs w:val="28"/>
              </w:rPr>
            </w:pPr>
            <w:r>
              <w:rPr>
                <w:rFonts w:asciiTheme="majorHAnsi" w:hAnsiTheme="majorHAnsi" w:cstheme="majorHAnsi"/>
                <w:b/>
                <w:bCs/>
                <w:sz w:val="28"/>
                <w:szCs w:val="28"/>
              </w:rPr>
              <w:t>Nariño</w:t>
            </w:r>
          </w:p>
        </w:tc>
        <w:tc>
          <w:tcPr>
            <w:tcW w:w="4414" w:type="dxa"/>
          </w:tcPr>
          <w:p w14:paraId="759D7048" w14:textId="01A7A870" w:rsidR="005F6D2E" w:rsidRDefault="005F6D2E" w:rsidP="005F6D2E">
            <w:pPr>
              <w:pStyle w:val="Sinespaciado"/>
              <w:jc w:val="both"/>
              <w:rPr>
                <w:rFonts w:asciiTheme="majorHAnsi" w:hAnsiTheme="majorHAnsi" w:cstheme="majorHAnsi"/>
                <w:b/>
                <w:bCs/>
                <w:sz w:val="28"/>
                <w:szCs w:val="28"/>
              </w:rPr>
            </w:pPr>
            <w:r>
              <w:rPr>
                <w:rFonts w:asciiTheme="majorHAnsi" w:hAnsiTheme="majorHAnsi" w:cstheme="majorHAnsi"/>
                <w:b/>
                <w:bCs/>
                <w:sz w:val="28"/>
                <w:szCs w:val="28"/>
              </w:rPr>
              <w:t>_____________________________</w:t>
            </w:r>
          </w:p>
        </w:tc>
      </w:tr>
      <w:tr w:rsidR="005F6D2E" w14:paraId="53E64385" w14:textId="77777777" w:rsidTr="005F6D2E">
        <w:tc>
          <w:tcPr>
            <w:tcW w:w="4414" w:type="dxa"/>
          </w:tcPr>
          <w:p w14:paraId="24725851" w14:textId="77777777" w:rsidR="005F6D2E" w:rsidRDefault="005F6D2E" w:rsidP="005F6D2E">
            <w:pPr>
              <w:pStyle w:val="Sinespaciado"/>
              <w:jc w:val="both"/>
              <w:rPr>
                <w:rFonts w:asciiTheme="majorHAnsi" w:hAnsiTheme="majorHAnsi" w:cstheme="majorHAnsi"/>
                <w:b/>
                <w:bCs/>
                <w:sz w:val="28"/>
                <w:szCs w:val="28"/>
              </w:rPr>
            </w:pPr>
          </w:p>
        </w:tc>
        <w:tc>
          <w:tcPr>
            <w:tcW w:w="4414" w:type="dxa"/>
          </w:tcPr>
          <w:p w14:paraId="51B2D01A" w14:textId="77777777" w:rsidR="005F6D2E" w:rsidRDefault="005F6D2E" w:rsidP="005F6D2E">
            <w:pPr>
              <w:pStyle w:val="Sinespaciado"/>
              <w:jc w:val="both"/>
              <w:rPr>
                <w:rFonts w:asciiTheme="majorHAnsi" w:hAnsiTheme="majorHAnsi" w:cstheme="majorHAnsi"/>
                <w:b/>
                <w:bCs/>
                <w:sz w:val="28"/>
                <w:szCs w:val="28"/>
              </w:rPr>
            </w:pPr>
          </w:p>
        </w:tc>
      </w:tr>
      <w:tr w:rsidR="005F6D2E" w14:paraId="31B3EF47" w14:textId="77777777" w:rsidTr="005F6D2E">
        <w:tc>
          <w:tcPr>
            <w:tcW w:w="4414" w:type="dxa"/>
          </w:tcPr>
          <w:p w14:paraId="26FBA032" w14:textId="77777777" w:rsidR="005F6D2E" w:rsidRDefault="005F6D2E" w:rsidP="005F6D2E">
            <w:pPr>
              <w:pStyle w:val="Sinespaciado"/>
              <w:jc w:val="both"/>
              <w:rPr>
                <w:rFonts w:asciiTheme="majorHAnsi" w:hAnsiTheme="majorHAnsi" w:cstheme="majorHAnsi"/>
                <w:b/>
                <w:bCs/>
                <w:sz w:val="28"/>
                <w:szCs w:val="28"/>
              </w:rPr>
            </w:pPr>
          </w:p>
        </w:tc>
        <w:tc>
          <w:tcPr>
            <w:tcW w:w="4414" w:type="dxa"/>
          </w:tcPr>
          <w:p w14:paraId="1E3D535E" w14:textId="77777777" w:rsidR="005F6D2E" w:rsidRDefault="005F6D2E" w:rsidP="005F6D2E">
            <w:pPr>
              <w:pStyle w:val="Sinespaciado"/>
              <w:jc w:val="both"/>
              <w:rPr>
                <w:rFonts w:asciiTheme="majorHAnsi" w:hAnsiTheme="majorHAnsi" w:cstheme="majorHAnsi"/>
                <w:b/>
                <w:bCs/>
                <w:sz w:val="28"/>
                <w:szCs w:val="28"/>
              </w:rPr>
            </w:pPr>
          </w:p>
        </w:tc>
      </w:tr>
      <w:tr w:rsidR="005F6D2E" w14:paraId="7E327A9F" w14:textId="77777777" w:rsidTr="005F6D2E">
        <w:tc>
          <w:tcPr>
            <w:tcW w:w="4414" w:type="dxa"/>
          </w:tcPr>
          <w:p w14:paraId="174B3724" w14:textId="77777777" w:rsidR="005F6D2E" w:rsidRDefault="005F6D2E" w:rsidP="005F6D2E">
            <w:pPr>
              <w:pStyle w:val="Sinespaciado"/>
              <w:jc w:val="both"/>
              <w:rPr>
                <w:rFonts w:asciiTheme="majorHAnsi" w:hAnsiTheme="majorHAnsi" w:cstheme="majorHAnsi"/>
                <w:b/>
                <w:bCs/>
                <w:sz w:val="28"/>
                <w:szCs w:val="28"/>
              </w:rPr>
            </w:pPr>
          </w:p>
        </w:tc>
        <w:tc>
          <w:tcPr>
            <w:tcW w:w="4414" w:type="dxa"/>
          </w:tcPr>
          <w:p w14:paraId="3B8F295C" w14:textId="77777777" w:rsidR="005F6D2E" w:rsidRDefault="005F6D2E" w:rsidP="005F6D2E">
            <w:pPr>
              <w:pStyle w:val="Sinespaciado"/>
              <w:jc w:val="both"/>
              <w:rPr>
                <w:rFonts w:asciiTheme="majorHAnsi" w:hAnsiTheme="majorHAnsi" w:cstheme="majorHAnsi"/>
                <w:b/>
                <w:bCs/>
                <w:sz w:val="28"/>
                <w:szCs w:val="28"/>
              </w:rPr>
            </w:pPr>
          </w:p>
        </w:tc>
      </w:tr>
      <w:tr w:rsidR="005F6D2E" w14:paraId="21FDCDC0" w14:textId="77777777" w:rsidTr="005F6D2E">
        <w:tc>
          <w:tcPr>
            <w:tcW w:w="4414" w:type="dxa"/>
          </w:tcPr>
          <w:p w14:paraId="471C49E4" w14:textId="234B8A28" w:rsidR="005F6D2E" w:rsidRDefault="005F6D2E" w:rsidP="005F6D2E">
            <w:pPr>
              <w:pStyle w:val="Sinespaciado"/>
              <w:pBdr>
                <w:bottom w:val="single" w:sz="12" w:space="1" w:color="auto"/>
              </w:pBdr>
              <w:jc w:val="both"/>
              <w:rPr>
                <w:rFonts w:asciiTheme="majorHAnsi" w:hAnsiTheme="majorHAnsi" w:cstheme="majorHAnsi"/>
                <w:b/>
                <w:bCs/>
                <w:sz w:val="28"/>
                <w:szCs w:val="28"/>
              </w:rPr>
            </w:pPr>
          </w:p>
          <w:p w14:paraId="1F472A53" w14:textId="0E5AA944" w:rsidR="005F6D2E" w:rsidRDefault="005F6D2E" w:rsidP="005F6D2E">
            <w:pPr>
              <w:pStyle w:val="Sinespaciado"/>
              <w:jc w:val="both"/>
              <w:rPr>
                <w:rFonts w:asciiTheme="majorHAnsi" w:hAnsiTheme="majorHAnsi" w:cstheme="majorHAnsi"/>
                <w:b/>
                <w:bCs/>
                <w:sz w:val="28"/>
                <w:szCs w:val="28"/>
              </w:rPr>
            </w:pPr>
          </w:p>
        </w:tc>
        <w:tc>
          <w:tcPr>
            <w:tcW w:w="4414" w:type="dxa"/>
          </w:tcPr>
          <w:p w14:paraId="521DEF44" w14:textId="6170E243" w:rsidR="005F6D2E" w:rsidRDefault="005F6D2E" w:rsidP="005F6D2E">
            <w:pPr>
              <w:pStyle w:val="Sinespaciado"/>
              <w:pBdr>
                <w:bottom w:val="single" w:sz="12" w:space="1" w:color="auto"/>
              </w:pBdr>
              <w:jc w:val="both"/>
              <w:rPr>
                <w:rFonts w:asciiTheme="majorHAnsi" w:hAnsiTheme="majorHAnsi" w:cstheme="majorHAnsi"/>
                <w:b/>
                <w:bCs/>
                <w:sz w:val="28"/>
                <w:szCs w:val="28"/>
              </w:rPr>
            </w:pPr>
          </w:p>
          <w:p w14:paraId="500B2D1F" w14:textId="77777777" w:rsidR="005F6D2E" w:rsidRDefault="005F6D2E" w:rsidP="005F6D2E">
            <w:pPr>
              <w:pStyle w:val="Sinespaciado"/>
              <w:jc w:val="both"/>
              <w:rPr>
                <w:rFonts w:asciiTheme="majorHAnsi" w:hAnsiTheme="majorHAnsi" w:cstheme="majorHAnsi"/>
                <w:b/>
                <w:bCs/>
                <w:sz w:val="28"/>
                <w:szCs w:val="28"/>
              </w:rPr>
            </w:pPr>
          </w:p>
          <w:p w14:paraId="37111A6D" w14:textId="77777777" w:rsidR="005F6D2E" w:rsidRDefault="005F6D2E" w:rsidP="005F6D2E">
            <w:pPr>
              <w:pStyle w:val="Sinespaciado"/>
              <w:jc w:val="both"/>
              <w:rPr>
                <w:rFonts w:asciiTheme="majorHAnsi" w:hAnsiTheme="majorHAnsi" w:cstheme="majorHAnsi"/>
                <w:b/>
                <w:bCs/>
                <w:sz w:val="28"/>
                <w:szCs w:val="28"/>
              </w:rPr>
            </w:pPr>
          </w:p>
          <w:p w14:paraId="082F8494" w14:textId="57CEE417" w:rsidR="005F6D2E" w:rsidRDefault="005F6D2E" w:rsidP="005F6D2E">
            <w:pPr>
              <w:pStyle w:val="Sinespaciado"/>
              <w:jc w:val="both"/>
              <w:rPr>
                <w:rFonts w:asciiTheme="majorHAnsi" w:hAnsiTheme="majorHAnsi" w:cstheme="majorHAnsi"/>
                <w:b/>
                <w:bCs/>
                <w:sz w:val="28"/>
                <w:szCs w:val="28"/>
              </w:rPr>
            </w:pPr>
          </w:p>
        </w:tc>
      </w:tr>
      <w:tr w:rsidR="005F6D2E" w14:paraId="2F058189" w14:textId="77777777" w:rsidTr="005F6D2E">
        <w:tc>
          <w:tcPr>
            <w:tcW w:w="4414" w:type="dxa"/>
          </w:tcPr>
          <w:p w14:paraId="20CB0A21" w14:textId="62571E02" w:rsidR="005F6D2E" w:rsidRDefault="005F6D2E" w:rsidP="005F6D2E">
            <w:pPr>
              <w:pStyle w:val="Sinespaciado"/>
              <w:jc w:val="both"/>
              <w:rPr>
                <w:rFonts w:asciiTheme="majorHAnsi" w:hAnsiTheme="majorHAnsi" w:cstheme="majorHAnsi"/>
                <w:b/>
                <w:bCs/>
                <w:sz w:val="28"/>
                <w:szCs w:val="28"/>
              </w:rPr>
            </w:pPr>
            <w:r>
              <w:rPr>
                <w:rFonts w:asciiTheme="majorHAnsi" w:hAnsiTheme="majorHAnsi" w:cstheme="majorHAnsi"/>
                <w:b/>
                <w:bCs/>
                <w:sz w:val="28"/>
                <w:szCs w:val="28"/>
              </w:rPr>
              <w:lastRenderedPageBreak/>
              <w:t>________________</w:t>
            </w:r>
            <w:bookmarkStart w:id="0" w:name="_GoBack"/>
            <w:bookmarkEnd w:id="0"/>
            <w:r>
              <w:rPr>
                <w:rFonts w:asciiTheme="majorHAnsi" w:hAnsiTheme="majorHAnsi" w:cstheme="majorHAnsi"/>
                <w:b/>
                <w:bCs/>
                <w:sz w:val="28"/>
                <w:szCs w:val="28"/>
              </w:rPr>
              <w:t>_____________</w:t>
            </w:r>
          </w:p>
        </w:tc>
        <w:tc>
          <w:tcPr>
            <w:tcW w:w="4414" w:type="dxa"/>
          </w:tcPr>
          <w:p w14:paraId="4D08B861" w14:textId="62963814" w:rsidR="005F6D2E" w:rsidRDefault="005F6D2E" w:rsidP="005F6D2E">
            <w:pPr>
              <w:pStyle w:val="Sinespaciado"/>
              <w:pBdr>
                <w:bottom w:val="single" w:sz="12" w:space="1" w:color="auto"/>
              </w:pBdr>
              <w:jc w:val="both"/>
              <w:rPr>
                <w:rFonts w:asciiTheme="majorHAnsi" w:hAnsiTheme="majorHAnsi" w:cstheme="majorHAnsi"/>
                <w:b/>
                <w:bCs/>
                <w:sz w:val="28"/>
                <w:szCs w:val="28"/>
              </w:rPr>
            </w:pPr>
          </w:p>
          <w:p w14:paraId="2850637D" w14:textId="71971B8C" w:rsidR="005F6D2E" w:rsidRDefault="005F6D2E" w:rsidP="005F6D2E">
            <w:pPr>
              <w:pStyle w:val="Sinespaciado"/>
              <w:jc w:val="both"/>
              <w:rPr>
                <w:rFonts w:asciiTheme="majorHAnsi" w:hAnsiTheme="majorHAnsi" w:cstheme="majorHAnsi"/>
                <w:b/>
                <w:bCs/>
                <w:sz w:val="28"/>
                <w:szCs w:val="28"/>
              </w:rPr>
            </w:pPr>
          </w:p>
        </w:tc>
      </w:tr>
      <w:tr w:rsidR="005F6D2E" w14:paraId="53EFD852" w14:textId="77777777" w:rsidTr="005F6D2E">
        <w:tc>
          <w:tcPr>
            <w:tcW w:w="4414" w:type="dxa"/>
          </w:tcPr>
          <w:p w14:paraId="52A2DD42" w14:textId="77777777" w:rsidR="005F6D2E" w:rsidRDefault="005F6D2E" w:rsidP="005F6D2E">
            <w:pPr>
              <w:pStyle w:val="Sinespaciado"/>
              <w:jc w:val="both"/>
              <w:rPr>
                <w:rFonts w:asciiTheme="majorHAnsi" w:hAnsiTheme="majorHAnsi" w:cstheme="majorHAnsi"/>
                <w:b/>
                <w:bCs/>
                <w:sz w:val="28"/>
                <w:szCs w:val="28"/>
              </w:rPr>
            </w:pPr>
          </w:p>
        </w:tc>
        <w:tc>
          <w:tcPr>
            <w:tcW w:w="4414" w:type="dxa"/>
          </w:tcPr>
          <w:p w14:paraId="4D0F02EB" w14:textId="77777777" w:rsidR="005F6D2E" w:rsidRDefault="005F6D2E" w:rsidP="005F6D2E">
            <w:pPr>
              <w:pStyle w:val="Sinespaciado"/>
              <w:jc w:val="both"/>
              <w:rPr>
                <w:rFonts w:asciiTheme="majorHAnsi" w:hAnsiTheme="majorHAnsi" w:cstheme="majorHAnsi"/>
                <w:b/>
                <w:bCs/>
                <w:sz w:val="28"/>
                <w:szCs w:val="28"/>
              </w:rPr>
            </w:pPr>
          </w:p>
        </w:tc>
      </w:tr>
      <w:tr w:rsidR="005F6D2E" w14:paraId="57FA2BDB" w14:textId="77777777" w:rsidTr="005F6D2E">
        <w:tc>
          <w:tcPr>
            <w:tcW w:w="4414" w:type="dxa"/>
          </w:tcPr>
          <w:p w14:paraId="0147376B" w14:textId="645227F3" w:rsidR="005F6D2E" w:rsidRDefault="005F6D2E" w:rsidP="005F6D2E">
            <w:pPr>
              <w:pStyle w:val="Sinespaciado"/>
              <w:jc w:val="both"/>
              <w:rPr>
                <w:rFonts w:asciiTheme="majorHAnsi" w:hAnsiTheme="majorHAnsi" w:cstheme="majorHAnsi"/>
                <w:b/>
                <w:bCs/>
                <w:sz w:val="28"/>
                <w:szCs w:val="28"/>
              </w:rPr>
            </w:pPr>
          </w:p>
        </w:tc>
        <w:tc>
          <w:tcPr>
            <w:tcW w:w="4414" w:type="dxa"/>
          </w:tcPr>
          <w:p w14:paraId="2425C4C3" w14:textId="37F2451C" w:rsidR="005F6D2E" w:rsidRDefault="005F6D2E" w:rsidP="005F6D2E">
            <w:pPr>
              <w:pStyle w:val="Sinespaciado"/>
              <w:jc w:val="both"/>
              <w:rPr>
                <w:rFonts w:asciiTheme="majorHAnsi" w:hAnsiTheme="majorHAnsi" w:cstheme="majorHAnsi"/>
                <w:b/>
                <w:bCs/>
                <w:sz w:val="28"/>
                <w:szCs w:val="28"/>
              </w:rPr>
            </w:pPr>
          </w:p>
        </w:tc>
      </w:tr>
    </w:tbl>
    <w:p w14:paraId="0CECED5B" w14:textId="68410E52" w:rsidR="0031221E" w:rsidRPr="006C12CD" w:rsidRDefault="00521740" w:rsidP="00521740">
      <w:pPr>
        <w:pStyle w:val="Sinespaciado"/>
        <w:jc w:val="center"/>
        <w:rPr>
          <w:rFonts w:asciiTheme="majorHAnsi" w:hAnsiTheme="majorHAnsi" w:cstheme="majorHAnsi"/>
          <w:b/>
          <w:bCs/>
          <w:sz w:val="28"/>
          <w:szCs w:val="28"/>
        </w:rPr>
      </w:pPr>
      <w:r w:rsidRPr="006C12CD">
        <w:rPr>
          <w:rFonts w:asciiTheme="majorHAnsi" w:hAnsiTheme="majorHAnsi" w:cstheme="majorHAnsi"/>
          <w:b/>
          <w:bCs/>
          <w:sz w:val="28"/>
          <w:szCs w:val="28"/>
        </w:rPr>
        <w:t>EXPOSICIÓN DE MOTIVOS</w:t>
      </w:r>
    </w:p>
    <w:p w14:paraId="22CF5654" w14:textId="072F95A2" w:rsidR="00521740" w:rsidRPr="00E20DB7" w:rsidRDefault="00521740" w:rsidP="00521740">
      <w:pPr>
        <w:pStyle w:val="Sinespaciado"/>
        <w:jc w:val="center"/>
        <w:rPr>
          <w:rFonts w:asciiTheme="majorHAnsi" w:hAnsiTheme="majorHAnsi" w:cstheme="majorHAnsi"/>
          <w:b/>
          <w:bCs/>
        </w:rPr>
      </w:pPr>
    </w:p>
    <w:p w14:paraId="43E0441E" w14:textId="77777777" w:rsidR="00823C42" w:rsidRPr="00823C42" w:rsidRDefault="00823C42" w:rsidP="00823C42">
      <w:pPr>
        <w:pStyle w:val="Sinespaciado"/>
        <w:jc w:val="both"/>
        <w:rPr>
          <w:rFonts w:asciiTheme="majorHAnsi" w:hAnsiTheme="majorHAnsi" w:cstheme="majorHAnsi"/>
        </w:rPr>
      </w:pPr>
      <w:r w:rsidRPr="00823C42">
        <w:rPr>
          <w:rFonts w:asciiTheme="majorHAnsi" w:hAnsiTheme="majorHAnsi" w:cstheme="majorHAnsi"/>
        </w:rPr>
        <w:t>La sobretasa a la gasolina es un tributo regido por la Ley 488 de 1998, el cual tiene como hecho generador el consumo de gasolina motor extra y corriente nacional o importada, en la jurisdicción de cada municipio, distrito y departamento. El sujeto pasivo es el distribuidor mayorista y los productores e importadores de gasolina motor extra, corriente y de ACPM.</w:t>
      </w:r>
    </w:p>
    <w:p w14:paraId="0DA217AE" w14:textId="77777777" w:rsidR="00823C42" w:rsidRPr="00823C42" w:rsidRDefault="00823C42" w:rsidP="00823C42">
      <w:pPr>
        <w:pStyle w:val="Sinespaciado"/>
        <w:jc w:val="both"/>
        <w:rPr>
          <w:rFonts w:asciiTheme="majorHAnsi" w:hAnsiTheme="majorHAnsi" w:cstheme="majorHAnsi"/>
        </w:rPr>
      </w:pPr>
    </w:p>
    <w:p w14:paraId="2E4999C4" w14:textId="1E732D74" w:rsidR="00823C42" w:rsidRDefault="00823C42" w:rsidP="00823C42">
      <w:pPr>
        <w:pStyle w:val="Sinespaciado"/>
        <w:jc w:val="both"/>
        <w:rPr>
          <w:rFonts w:asciiTheme="majorHAnsi" w:hAnsiTheme="majorHAnsi" w:cstheme="majorHAnsi"/>
        </w:rPr>
      </w:pPr>
      <w:r w:rsidRPr="00823C42">
        <w:rPr>
          <w:rFonts w:asciiTheme="majorHAnsi" w:hAnsiTheme="majorHAnsi" w:cstheme="majorHAnsi"/>
        </w:rPr>
        <w:t>La base gravable es “el valor de referencia de venta al público de la gasolina motor tanto extra como corriente y del ACPM, por galón, que certifique mensualmente el Ministerio de Minas y Energía, no obstante, esta fue declarada inconstitucional por la Sentencia C-030 de 2019 toda vez que el artículo 121 de la Ley 488 de 1998 no definía con “suficiente claridad y precisión” la base gravable del tributo, dado que no se establecían claramente unos parámetros para el cálculo del valor de referencia.</w:t>
      </w:r>
    </w:p>
    <w:p w14:paraId="0E7D3D01" w14:textId="77777777" w:rsidR="00823C42" w:rsidRDefault="00823C42" w:rsidP="00956D1F">
      <w:pPr>
        <w:pStyle w:val="Sinespaciado"/>
        <w:jc w:val="both"/>
        <w:rPr>
          <w:rFonts w:asciiTheme="majorHAnsi" w:hAnsiTheme="majorHAnsi" w:cstheme="majorHAnsi"/>
        </w:rPr>
      </w:pPr>
    </w:p>
    <w:p w14:paraId="609497EA" w14:textId="589CB29E" w:rsidR="00521740" w:rsidRPr="00E20DB7" w:rsidRDefault="00521740" w:rsidP="00956D1F">
      <w:pPr>
        <w:pStyle w:val="Sinespaciado"/>
        <w:jc w:val="both"/>
        <w:rPr>
          <w:rFonts w:asciiTheme="majorHAnsi" w:hAnsiTheme="majorHAnsi" w:cstheme="majorHAnsi"/>
        </w:rPr>
      </w:pPr>
      <w:r w:rsidRPr="00E20DB7">
        <w:rPr>
          <w:rFonts w:asciiTheme="majorHAnsi" w:hAnsiTheme="majorHAnsi" w:cstheme="majorHAnsi"/>
        </w:rPr>
        <w:t>La Corte Constitucional en sentencia C-30-19 declaró la inexequibilidad del artículo 121 de la Ley 488 de 1998 por medio del cual se fija la base gravable de la sobretasa a la gasolina y al ACPM. Esta decisión se tomó debido a que:</w:t>
      </w:r>
    </w:p>
    <w:p w14:paraId="4C4E26C9" w14:textId="77777777" w:rsidR="00521740" w:rsidRPr="00E20DB7" w:rsidRDefault="00521740" w:rsidP="00956D1F">
      <w:pPr>
        <w:pStyle w:val="Sinespaciado"/>
        <w:jc w:val="both"/>
        <w:rPr>
          <w:rFonts w:asciiTheme="majorHAnsi" w:hAnsiTheme="majorHAnsi" w:cstheme="majorHAnsi"/>
        </w:rPr>
      </w:pPr>
    </w:p>
    <w:p w14:paraId="478C1568" w14:textId="6D84B464" w:rsidR="00521740" w:rsidRDefault="00521740" w:rsidP="00956D1F">
      <w:pPr>
        <w:pStyle w:val="Sinespaciado"/>
        <w:jc w:val="both"/>
        <w:rPr>
          <w:rFonts w:asciiTheme="majorHAnsi" w:hAnsiTheme="majorHAnsi" w:cstheme="majorHAnsi"/>
        </w:rPr>
      </w:pPr>
      <w:r w:rsidRPr="00E20DB7">
        <w:rPr>
          <w:rFonts w:asciiTheme="majorHAnsi" w:hAnsiTheme="majorHAnsi" w:cstheme="majorHAnsi"/>
          <w:i/>
          <w:iCs/>
        </w:rPr>
        <w:t>“El Legislador vulneró el principio de legalidad tributaria en sus dimensiones de reserva de ley en materia tributaria y certeza tributaria por haber delegado al Ministerio de Minas y Energía la certificación del “valor de referencia de venta al público” que constituye la base gravable del impuesto de la sobretasa a la gasolina y el ACPM, sin haber dispuesto para ello ningún criterio, pauta o referente, que fijara con concreción la labor de la administración.”</w:t>
      </w:r>
      <w:r w:rsidRPr="00E20DB7">
        <w:rPr>
          <w:rFonts w:asciiTheme="majorHAnsi" w:hAnsiTheme="majorHAnsi" w:cstheme="majorHAnsi"/>
        </w:rPr>
        <w:t xml:space="preserve"> </w:t>
      </w:r>
    </w:p>
    <w:p w14:paraId="17094D20" w14:textId="5AE09492" w:rsidR="00823C42" w:rsidRDefault="00823C42" w:rsidP="00956D1F">
      <w:pPr>
        <w:pStyle w:val="Sinespaciado"/>
        <w:jc w:val="both"/>
        <w:rPr>
          <w:rFonts w:asciiTheme="majorHAnsi" w:hAnsiTheme="majorHAnsi" w:cstheme="majorHAnsi"/>
        </w:rPr>
      </w:pPr>
    </w:p>
    <w:p w14:paraId="74B09DF8" w14:textId="5A7A3B2B" w:rsidR="00823C42" w:rsidRDefault="00823C42" w:rsidP="00956D1F">
      <w:pPr>
        <w:pStyle w:val="Sinespaciado"/>
        <w:jc w:val="both"/>
        <w:rPr>
          <w:rFonts w:asciiTheme="majorHAnsi" w:hAnsiTheme="majorHAnsi" w:cstheme="majorHAnsi"/>
        </w:rPr>
      </w:pPr>
      <w:r>
        <w:rPr>
          <w:rFonts w:asciiTheme="majorHAnsi" w:hAnsiTheme="majorHAnsi" w:cstheme="majorHAnsi"/>
        </w:rPr>
        <w:t>Así mismo, señalo que:</w:t>
      </w:r>
    </w:p>
    <w:p w14:paraId="1E3CB7FD" w14:textId="1A6B36CF" w:rsidR="00823C42" w:rsidRDefault="00823C42" w:rsidP="00956D1F">
      <w:pPr>
        <w:pStyle w:val="Sinespaciado"/>
        <w:jc w:val="both"/>
        <w:rPr>
          <w:rFonts w:asciiTheme="majorHAnsi" w:hAnsiTheme="majorHAnsi" w:cstheme="majorHAnsi"/>
        </w:rPr>
      </w:pPr>
    </w:p>
    <w:p w14:paraId="1E226B22" w14:textId="7F4591E8" w:rsidR="00823C42" w:rsidRPr="00E20DB7" w:rsidRDefault="00823C42" w:rsidP="00956D1F">
      <w:pPr>
        <w:pStyle w:val="Sinespaciado"/>
        <w:jc w:val="both"/>
        <w:rPr>
          <w:rFonts w:asciiTheme="majorHAnsi" w:hAnsiTheme="majorHAnsi" w:cstheme="majorHAnsi"/>
        </w:rPr>
      </w:pPr>
      <w:r w:rsidRPr="00823C42">
        <w:rPr>
          <w:rFonts w:asciiTheme="majorHAnsi" w:hAnsiTheme="majorHAnsi" w:cstheme="majorHAnsi"/>
        </w:rPr>
        <w:t>“</w:t>
      </w:r>
      <w:r>
        <w:rPr>
          <w:rFonts w:asciiTheme="majorHAnsi" w:hAnsiTheme="majorHAnsi" w:cstheme="majorHAnsi"/>
        </w:rPr>
        <w:t>L</w:t>
      </w:r>
      <w:r w:rsidRPr="00823C42">
        <w:rPr>
          <w:rFonts w:asciiTheme="majorHAnsi" w:hAnsiTheme="majorHAnsi" w:cstheme="majorHAnsi"/>
        </w:rPr>
        <w:t>a ausencia de parámetros legales para el cálculo de la base gravable de la sobretasa a la gasolina y al ACPM no hace posible dilucidar el contenido del elemento estructural del tributo, y ello tiene como efecto práctico la incertidumbre sobre elementos esenciales del tributo, lo que repercute en la dificultad para calcular el presupuesto de ingresos de departamentos y municipios, y la posibilidad de estar sometidos a cambios abruptos e imprevisibles que afecten notoriamente los recaudos territoriales. Esto evidencia la contradicción con el principio constitucional de certeza en materia tributaria.”</w:t>
      </w:r>
    </w:p>
    <w:p w14:paraId="16C0B430" w14:textId="79CD5712" w:rsidR="00521740" w:rsidRPr="00E20DB7" w:rsidRDefault="00521740" w:rsidP="00956D1F">
      <w:pPr>
        <w:pStyle w:val="Sinespaciado"/>
        <w:jc w:val="both"/>
        <w:rPr>
          <w:rFonts w:asciiTheme="majorHAnsi" w:hAnsiTheme="majorHAnsi" w:cstheme="majorHAnsi"/>
        </w:rPr>
      </w:pPr>
    </w:p>
    <w:p w14:paraId="5592523C" w14:textId="2832E186" w:rsidR="00521740" w:rsidRDefault="0097454A" w:rsidP="00956D1F">
      <w:pPr>
        <w:pStyle w:val="Sinespaciado"/>
        <w:jc w:val="both"/>
        <w:rPr>
          <w:rFonts w:asciiTheme="majorHAnsi" w:hAnsiTheme="majorHAnsi" w:cstheme="majorHAnsi"/>
        </w:rPr>
      </w:pPr>
      <w:r w:rsidRPr="00E20DB7">
        <w:rPr>
          <w:rFonts w:asciiTheme="majorHAnsi" w:hAnsiTheme="majorHAnsi" w:cstheme="majorHAnsi"/>
        </w:rPr>
        <w:t>Para tal efecto</w:t>
      </w:r>
      <w:r w:rsidR="00521740" w:rsidRPr="00E20DB7">
        <w:rPr>
          <w:rFonts w:asciiTheme="majorHAnsi" w:hAnsiTheme="majorHAnsi" w:cstheme="majorHAnsi"/>
        </w:rPr>
        <w:t>, definió un plazo de dos legislaturas para que el congreso expida la norma que fije los criterios específicos para definir la base gravable de la sobretasa a la gasolina y al ACPM.</w:t>
      </w:r>
    </w:p>
    <w:p w14:paraId="430295CA" w14:textId="5539447E" w:rsidR="00823C42" w:rsidRDefault="00823C42" w:rsidP="00956D1F">
      <w:pPr>
        <w:pStyle w:val="Sinespaciado"/>
        <w:jc w:val="both"/>
        <w:rPr>
          <w:rFonts w:asciiTheme="majorHAnsi" w:hAnsiTheme="majorHAnsi" w:cstheme="majorHAnsi"/>
        </w:rPr>
      </w:pPr>
    </w:p>
    <w:p w14:paraId="11057503" w14:textId="2BDC161D" w:rsidR="00823C42" w:rsidRDefault="00823C42" w:rsidP="00956D1F">
      <w:pPr>
        <w:pStyle w:val="Sinespaciado"/>
        <w:jc w:val="both"/>
        <w:rPr>
          <w:rFonts w:asciiTheme="majorHAnsi" w:hAnsiTheme="majorHAnsi" w:cstheme="majorHAnsi"/>
        </w:rPr>
      </w:pPr>
      <w:r w:rsidRPr="00823C42">
        <w:rPr>
          <w:rFonts w:asciiTheme="majorHAnsi" w:hAnsiTheme="majorHAnsi" w:cstheme="majorHAnsi"/>
        </w:rPr>
        <w:lastRenderedPageBreak/>
        <w:t xml:space="preserve">Así las cosas, es manifiesta la urgencia de determinar la base gravable de la sobretasa a la gasolina mediante parámetros objetivos y claros que permitan realizar el cálculo progresivo conforme al volumen del respectivo producto expresado en galones, toda vez que los precios de referencia que establece el Ministerio de Minas y Energía no han variado en los últimos 10 años, a excepción del 2016 en donde se tuvo una caída en la base gravable debido al cambio en el valor de referencia que trajo la Resolución 41279 del 30 de diciembre de ese año, la cual estableció el cálculo mediante las reglas establecidas para la determinación de la base gravable del impuesto a las ventas, hecho que se modificó con la Resolución 4147 del 27 de febrero de 2017, la cual fijo nuevamente en los valores promedio históricos.   </w:t>
      </w:r>
    </w:p>
    <w:p w14:paraId="35491148" w14:textId="4F28BA37" w:rsidR="002A20C0" w:rsidRDefault="002A20C0" w:rsidP="00956D1F">
      <w:pPr>
        <w:pStyle w:val="Sinespaciado"/>
        <w:jc w:val="both"/>
        <w:rPr>
          <w:rFonts w:asciiTheme="majorHAnsi" w:hAnsiTheme="majorHAnsi" w:cstheme="majorHAnsi"/>
        </w:rPr>
      </w:pPr>
    </w:p>
    <w:p w14:paraId="687CBF9F" w14:textId="01CC59E1" w:rsidR="002A20C0" w:rsidRPr="00E20DB7" w:rsidRDefault="002A20C0" w:rsidP="00956D1F">
      <w:pPr>
        <w:pStyle w:val="Sinespaciado"/>
        <w:jc w:val="both"/>
        <w:rPr>
          <w:rFonts w:asciiTheme="majorHAnsi" w:hAnsiTheme="majorHAnsi" w:cstheme="majorHAnsi"/>
        </w:rPr>
      </w:pPr>
      <w:r>
        <w:rPr>
          <w:rFonts w:asciiTheme="majorHAnsi" w:hAnsiTheme="majorHAnsi" w:cstheme="majorHAnsi"/>
        </w:rPr>
        <w:t>La propuesta de modificación se hace teniendo en cuenta las siguientes consideraciones:</w:t>
      </w:r>
    </w:p>
    <w:p w14:paraId="4958F239" w14:textId="58B58806" w:rsidR="0097454A" w:rsidRPr="00E20DB7" w:rsidRDefault="0097454A" w:rsidP="00956D1F">
      <w:pPr>
        <w:pStyle w:val="Sinespaciado"/>
        <w:jc w:val="both"/>
        <w:rPr>
          <w:rFonts w:asciiTheme="majorHAnsi" w:hAnsiTheme="majorHAnsi" w:cstheme="majorHAnsi"/>
        </w:rPr>
      </w:pPr>
    </w:p>
    <w:p w14:paraId="47302F83" w14:textId="0E596FF6" w:rsidR="00E32A59" w:rsidRPr="00E20DB7" w:rsidRDefault="00E32A59" w:rsidP="00F83529">
      <w:pPr>
        <w:pStyle w:val="Sinespaciado"/>
        <w:numPr>
          <w:ilvl w:val="0"/>
          <w:numId w:val="32"/>
        </w:numPr>
        <w:jc w:val="both"/>
        <w:rPr>
          <w:rFonts w:asciiTheme="majorHAnsi" w:hAnsiTheme="majorHAnsi" w:cstheme="majorHAnsi"/>
          <w:b/>
          <w:bCs/>
          <w:sz w:val="28"/>
          <w:szCs w:val="28"/>
        </w:rPr>
      </w:pPr>
      <w:r w:rsidRPr="00E20DB7">
        <w:rPr>
          <w:rFonts w:asciiTheme="majorHAnsi" w:hAnsiTheme="majorHAnsi" w:cstheme="majorHAnsi"/>
          <w:b/>
          <w:bCs/>
          <w:sz w:val="28"/>
          <w:szCs w:val="28"/>
        </w:rPr>
        <w:t>Base gravable y tarifas</w:t>
      </w:r>
    </w:p>
    <w:p w14:paraId="7B114655" w14:textId="77777777" w:rsidR="0025796E" w:rsidRDefault="0025796E" w:rsidP="00956D1F">
      <w:pPr>
        <w:pStyle w:val="Sinespaciado"/>
        <w:jc w:val="both"/>
        <w:rPr>
          <w:rFonts w:asciiTheme="majorHAnsi" w:hAnsiTheme="majorHAnsi" w:cstheme="majorHAnsi"/>
        </w:rPr>
      </w:pPr>
    </w:p>
    <w:p w14:paraId="6EB9374C" w14:textId="53D13529" w:rsidR="00CD23DA" w:rsidRPr="00E20DB7" w:rsidRDefault="00E32A59" w:rsidP="00956D1F">
      <w:pPr>
        <w:pStyle w:val="Sinespaciado"/>
        <w:jc w:val="both"/>
        <w:rPr>
          <w:rFonts w:asciiTheme="majorHAnsi" w:hAnsiTheme="majorHAnsi" w:cstheme="majorHAnsi"/>
        </w:rPr>
      </w:pPr>
      <w:r w:rsidRPr="00E20DB7">
        <w:rPr>
          <w:rFonts w:asciiTheme="majorHAnsi" w:hAnsiTheme="majorHAnsi" w:cstheme="majorHAnsi"/>
        </w:rPr>
        <w:t>S</w:t>
      </w:r>
      <w:r w:rsidR="0097454A" w:rsidRPr="00E20DB7">
        <w:rPr>
          <w:rFonts w:asciiTheme="majorHAnsi" w:hAnsiTheme="majorHAnsi" w:cstheme="majorHAnsi"/>
        </w:rPr>
        <w:t>e define la base gravable de la sobretasa a la gasolina a través del volumen de venta del respectivo producto expresado en galones. Las tarifas se definieron partiendo del valor de referencia ya fijado por el Ministerio de Minas y Energía y se obtuv</w:t>
      </w:r>
      <w:r w:rsidR="00D470BD">
        <w:rPr>
          <w:rFonts w:asciiTheme="majorHAnsi" w:hAnsiTheme="majorHAnsi" w:cstheme="majorHAnsi"/>
        </w:rPr>
        <w:t>ieron</w:t>
      </w:r>
      <w:r w:rsidR="0097454A" w:rsidRPr="00E20DB7">
        <w:rPr>
          <w:rFonts w:asciiTheme="majorHAnsi" w:hAnsiTheme="majorHAnsi" w:cstheme="majorHAnsi"/>
        </w:rPr>
        <w:t xml:space="preserve"> partiendo del porcentaje de asignación que le corresponde a municipios y departamentos</w:t>
      </w:r>
      <w:r w:rsidR="0000739A" w:rsidRPr="00E20DB7">
        <w:rPr>
          <w:rFonts w:asciiTheme="majorHAnsi" w:hAnsiTheme="majorHAnsi" w:cstheme="majorHAnsi"/>
        </w:rPr>
        <w:t xml:space="preserve"> (municipios 18.5%, departamentos 6.5% y distrito capital 25%)</w:t>
      </w:r>
      <w:r w:rsidR="0097454A" w:rsidRPr="00E20DB7">
        <w:rPr>
          <w:rFonts w:asciiTheme="majorHAnsi" w:hAnsiTheme="majorHAnsi" w:cstheme="majorHAnsi"/>
        </w:rPr>
        <w:t>, de la siguiente forma:</w:t>
      </w:r>
    </w:p>
    <w:p w14:paraId="552FA4FB" w14:textId="069BE04B" w:rsidR="00CD23DA" w:rsidRPr="00E20DB7" w:rsidRDefault="00CD23DA" w:rsidP="00956D1F">
      <w:pPr>
        <w:pStyle w:val="Sinespaciado"/>
        <w:jc w:val="both"/>
        <w:rPr>
          <w:rFonts w:asciiTheme="majorHAnsi" w:hAnsiTheme="majorHAnsi" w:cstheme="majorHAnsi"/>
        </w:rPr>
      </w:pPr>
    </w:p>
    <w:p w14:paraId="24F856DE" w14:textId="543498FF" w:rsidR="0002762D" w:rsidRPr="00E20DB7" w:rsidRDefault="00702EBB" w:rsidP="0002762D">
      <w:pPr>
        <w:pStyle w:val="Sinespaciado"/>
        <w:jc w:val="center"/>
        <w:rPr>
          <w:rFonts w:asciiTheme="majorHAnsi" w:hAnsiTheme="majorHAnsi" w:cstheme="majorHAnsi"/>
          <w:b/>
          <w:bCs/>
        </w:rPr>
      </w:pPr>
      <w:r>
        <w:rPr>
          <w:rFonts w:asciiTheme="majorHAnsi" w:hAnsiTheme="majorHAnsi" w:cstheme="majorHAnsi"/>
          <w:b/>
          <w:bCs/>
        </w:rPr>
        <w:t xml:space="preserve">Tabla 1. </w:t>
      </w:r>
      <w:r w:rsidR="0002762D" w:rsidRPr="00E20DB7">
        <w:rPr>
          <w:rFonts w:asciiTheme="majorHAnsi" w:hAnsiTheme="majorHAnsi" w:cstheme="majorHAnsi"/>
          <w:b/>
          <w:bCs/>
        </w:rPr>
        <w:t>Valores de referencia de venta al público</w:t>
      </w:r>
      <w:r w:rsidR="00E57B50" w:rsidRPr="00E20DB7">
        <w:rPr>
          <w:rFonts w:asciiTheme="majorHAnsi" w:hAnsiTheme="majorHAnsi" w:cstheme="majorHAnsi"/>
          <w:b/>
          <w:bCs/>
        </w:rPr>
        <w:t xml:space="preserve"> por galón</w:t>
      </w:r>
    </w:p>
    <w:tbl>
      <w:tblPr>
        <w:tblStyle w:val="Tablaconcuadrcula"/>
        <w:tblW w:w="0" w:type="auto"/>
        <w:tblLook w:val="04A0" w:firstRow="1" w:lastRow="0" w:firstColumn="1" w:lastColumn="0" w:noHBand="0" w:noVBand="1"/>
      </w:tblPr>
      <w:tblGrid>
        <w:gridCol w:w="2207"/>
        <w:gridCol w:w="2207"/>
        <w:gridCol w:w="2207"/>
        <w:gridCol w:w="2207"/>
      </w:tblGrid>
      <w:tr w:rsidR="00CD23DA" w:rsidRPr="00E20DB7" w14:paraId="075AB9E7" w14:textId="77777777" w:rsidTr="00894F47">
        <w:tc>
          <w:tcPr>
            <w:tcW w:w="2207" w:type="dxa"/>
          </w:tcPr>
          <w:p w14:paraId="73C75CAF" w14:textId="2DE9143D" w:rsidR="00CD23DA" w:rsidRPr="0025796E" w:rsidRDefault="00CD23DA" w:rsidP="0025796E">
            <w:pPr>
              <w:pStyle w:val="Sinespaciado"/>
              <w:jc w:val="center"/>
              <w:rPr>
                <w:rFonts w:asciiTheme="majorHAnsi" w:hAnsiTheme="majorHAnsi" w:cstheme="majorHAnsi"/>
                <w:b/>
                <w:bCs/>
              </w:rPr>
            </w:pPr>
            <w:r w:rsidRPr="0025796E">
              <w:rPr>
                <w:rFonts w:asciiTheme="majorHAnsi" w:hAnsiTheme="majorHAnsi" w:cstheme="majorHAnsi"/>
                <w:b/>
                <w:bCs/>
              </w:rPr>
              <w:t>Origen</w:t>
            </w:r>
          </w:p>
        </w:tc>
        <w:tc>
          <w:tcPr>
            <w:tcW w:w="2207" w:type="dxa"/>
          </w:tcPr>
          <w:p w14:paraId="423B8DF3" w14:textId="22DE0813" w:rsidR="00CD23DA" w:rsidRPr="0025796E" w:rsidRDefault="00CD23DA" w:rsidP="0025796E">
            <w:pPr>
              <w:pStyle w:val="Sinespaciado"/>
              <w:jc w:val="center"/>
              <w:rPr>
                <w:rFonts w:asciiTheme="majorHAnsi" w:hAnsiTheme="majorHAnsi" w:cstheme="majorHAnsi"/>
                <w:b/>
                <w:bCs/>
              </w:rPr>
            </w:pPr>
            <w:r w:rsidRPr="0025796E">
              <w:rPr>
                <w:rFonts w:asciiTheme="majorHAnsi" w:hAnsiTheme="majorHAnsi" w:cstheme="majorHAnsi"/>
                <w:b/>
                <w:bCs/>
              </w:rPr>
              <w:t>Importado</w:t>
            </w:r>
          </w:p>
        </w:tc>
        <w:tc>
          <w:tcPr>
            <w:tcW w:w="4414" w:type="dxa"/>
            <w:gridSpan w:val="2"/>
          </w:tcPr>
          <w:p w14:paraId="7711F7C2" w14:textId="106E91F2" w:rsidR="00CD23DA" w:rsidRPr="0025796E" w:rsidRDefault="00CD23DA" w:rsidP="0025796E">
            <w:pPr>
              <w:pStyle w:val="Sinespaciado"/>
              <w:jc w:val="center"/>
              <w:rPr>
                <w:rFonts w:asciiTheme="majorHAnsi" w:hAnsiTheme="majorHAnsi" w:cstheme="majorHAnsi"/>
                <w:b/>
                <w:bCs/>
              </w:rPr>
            </w:pPr>
            <w:r w:rsidRPr="0025796E">
              <w:rPr>
                <w:rFonts w:asciiTheme="majorHAnsi" w:hAnsiTheme="majorHAnsi" w:cstheme="majorHAnsi"/>
                <w:b/>
                <w:bCs/>
              </w:rPr>
              <w:t>Nacional</w:t>
            </w:r>
          </w:p>
        </w:tc>
      </w:tr>
      <w:tr w:rsidR="00CD23DA" w:rsidRPr="00E20DB7" w14:paraId="1F296E39" w14:textId="77777777" w:rsidTr="00CD23DA">
        <w:tc>
          <w:tcPr>
            <w:tcW w:w="2207" w:type="dxa"/>
          </w:tcPr>
          <w:p w14:paraId="3E9A9707" w14:textId="36DC6528" w:rsidR="00CD23DA" w:rsidRPr="00E20DB7" w:rsidRDefault="00CD23DA" w:rsidP="00956D1F">
            <w:pPr>
              <w:pStyle w:val="Sinespaciado"/>
              <w:jc w:val="both"/>
              <w:rPr>
                <w:rFonts w:asciiTheme="majorHAnsi" w:hAnsiTheme="majorHAnsi" w:cstheme="majorHAnsi"/>
              </w:rPr>
            </w:pPr>
            <w:r w:rsidRPr="00E20DB7">
              <w:rPr>
                <w:rFonts w:asciiTheme="majorHAnsi" w:hAnsiTheme="majorHAnsi" w:cstheme="majorHAnsi"/>
              </w:rPr>
              <w:t>Tipo combustible</w:t>
            </w:r>
          </w:p>
        </w:tc>
        <w:tc>
          <w:tcPr>
            <w:tcW w:w="2207" w:type="dxa"/>
          </w:tcPr>
          <w:p w14:paraId="4BA0C5A7" w14:textId="6C3BA1F4" w:rsidR="00CD23DA" w:rsidRPr="00E20DB7" w:rsidRDefault="00CD23DA" w:rsidP="00956D1F">
            <w:pPr>
              <w:pStyle w:val="Sinespaciado"/>
              <w:jc w:val="both"/>
              <w:rPr>
                <w:rFonts w:asciiTheme="majorHAnsi" w:hAnsiTheme="majorHAnsi" w:cstheme="majorHAnsi"/>
              </w:rPr>
            </w:pPr>
            <w:r w:rsidRPr="00E20DB7">
              <w:rPr>
                <w:rFonts w:asciiTheme="majorHAnsi" w:hAnsiTheme="majorHAnsi" w:cstheme="majorHAnsi"/>
              </w:rPr>
              <w:t>Zona de frontera</w:t>
            </w:r>
          </w:p>
        </w:tc>
        <w:tc>
          <w:tcPr>
            <w:tcW w:w="2207" w:type="dxa"/>
          </w:tcPr>
          <w:p w14:paraId="71CB76E6" w14:textId="3A2060AF" w:rsidR="00CD23DA" w:rsidRPr="00E20DB7" w:rsidRDefault="00CD23DA" w:rsidP="00956D1F">
            <w:pPr>
              <w:pStyle w:val="Sinespaciado"/>
              <w:jc w:val="both"/>
              <w:rPr>
                <w:rFonts w:asciiTheme="majorHAnsi" w:hAnsiTheme="majorHAnsi" w:cstheme="majorHAnsi"/>
              </w:rPr>
            </w:pPr>
            <w:r w:rsidRPr="00E20DB7">
              <w:rPr>
                <w:rFonts w:asciiTheme="majorHAnsi" w:hAnsiTheme="majorHAnsi" w:cstheme="majorHAnsi"/>
              </w:rPr>
              <w:t>Municipios frontera</w:t>
            </w:r>
          </w:p>
        </w:tc>
        <w:tc>
          <w:tcPr>
            <w:tcW w:w="2207" w:type="dxa"/>
          </w:tcPr>
          <w:p w14:paraId="259D5097" w14:textId="283D4839" w:rsidR="00CD23DA" w:rsidRPr="00E20DB7" w:rsidRDefault="00CD23DA" w:rsidP="00956D1F">
            <w:pPr>
              <w:pStyle w:val="Sinespaciado"/>
              <w:jc w:val="both"/>
              <w:rPr>
                <w:rFonts w:asciiTheme="majorHAnsi" w:hAnsiTheme="majorHAnsi" w:cstheme="majorHAnsi"/>
              </w:rPr>
            </w:pPr>
            <w:r w:rsidRPr="00E20DB7">
              <w:rPr>
                <w:rFonts w:asciiTheme="majorHAnsi" w:hAnsiTheme="majorHAnsi" w:cstheme="majorHAnsi"/>
              </w:rPr>
              <w:t>Resto del país</w:t>
            </w:r>
          </w:p>
        </w:tc>
      </w:tr>
      <w:tr w:rsidR="00CD23DA" w:rsidRPr="00E20DB7" w14:paraId="37DCC359" w14:textId="77777777" w:rsidTr="00CD23DA">
        <w:tc>
          <w:tcPr>
            <w:tcW w:w="2207" w:type="dxa"/>
          </w:tcPr>
          <w:p w14:paraId="1376517C" w14:textId="039E05CB" w:rsidR="00CD23DA" w:rsidRPr="00E20DB7" w:rsidRDefault="00CD23DA" w:rsidP="0002762D">
            <w:pPr>
              <w:pStyle w:val="Sinespaciado"/>
              <w:jc w:val="center"/>
              <w:rPr>
                <w:rFonts w:asciiTheme="majorHAnsi" w:hAnsiTheme="majorHAnsi" w:cstheme="majorHAnsi"/>
              </w:rPr>
            </w:pPr>
            <w:r w:rsidRPr="00E20DB7">
              <w:rPr>
                <w:rFonts w:asciiTheme="majorHAnsi" w:hAnsiTheme="majorHAnsi" w:cstheme="majorHAnsi"/>
              </w:rPr>
              <w:t>Gasolina motor corriente</w:t>
            </w:r>
          </w:p>
        </w:tc>
        <w:tc>
          <w:tcPr>
            <w:tcW w:w="2207" w:type="dxa"/>
          </w:tcPr>
          <w:p w14:paraId="3D20AE2E" w14:textId="0A069C37" w:rsidR="00CD23DA" w:rsidRPr="00E20DB7" w:rsidRDefault="00CD23DA" w:rsidP="00CD23DA">
            <w:pPr>
              <w:pStyle w:val="Sinespaciado"/>
              <w:jc w:val="center"/>
              <w:rPr>
                <w:rFonts w:asciiTheme="majorHAnsi" w:hAnsiTheme="majorHAnsi" w:cstheme="majorHAnsi"/>
              </w:rPr>
            </w:pPr>
            <w:r w:rsidRPr="00E20DB7">
              <w:rPr>
                <w:rFonts w:asciiTheme="majorHAnsi" w:hAnsiTheme="majorHAnsi" w:cstheme="majorHAnsi"/>
              </w:rPr>
              <w:t>$1.900</w:t>
            </w:r>
          </w:p>
        </w:tc>
        <w:tc>
          <w:tcPr>
            <w:tcW w:w="2207" w:type="dxa"/>
          </w:tcPr>
          <w:p w14:paraId="29C6F407" w14:textId="622DC174" w:rsidR="00CD23DA" w:rsidRPr="00E20DB7" w:rsidRDefault="00CD23DA" w:rsidP="00CD23DA">
            <w:pPr>
              <w:pStyle w:val="Sinespaciado"/>
              <w:jc w:val="center"/>
              <w:rPr>
                <w:rFonts w:asciiTheme="majorHAnsi" w:hAnsiTheme="majorHAnsi" w:cstheme="majorHAnsi"/>
              </w:rPr>
            </w:pPr>
            <w:r w:rsidRPr="00E20DB7">
              <w:rPr>
                <w:rFonts w:asciiTheme="majorHAnsi" w:hAnsiTheme="majorHAnsi" w:cstheme="majorHAnsi"/>
              </w:rPr>
              <w:t>$1.900</w:t>
            </w:r>
          </w:p>
        </w:tc>
        <w:tc>
          <w:tcPr>
            <w:tcW w:w="2207" w:type="dxa"/>
          </w:tcPr>
          <w:p w14:paraId="508C77CD" w14:textId="310D80D1" w:rsidR="00CD23DA" w:rsidRPr="00E20DB7" w:rsidRDefault="00CD23DA" w:rsidP="00CD23DA">
            <w:pPr>
              <w:pStyle w:val="Sinespaciado"/>
              <w:jc w:val="center"/>
              <w:rPr>
                <w:rFonts w:asciiTheme="majorHAnsi" w:hAnsiTheme="majorHAnsi" w:cstheme="majorHAnsi"/>
              </w:rPr>
            </w:pPr>
            <w:r w:rsidRPr="00E20DB7">
              <w:rPr>
                <w:rFonts w:asciiTheme="majorHAnsi" w:hAnsiTheme="majorHAnsi" w:cstheme="majorHAnsi"/>
              </w:rPr>
              <w:t>$5.078,77</w:t>
            </w:r>
          </w:p>
        </w:tc>
      </w:tr>
      <w:tr w:rsidR="00CD23DA" w:rsidRPr="00E20DB7" w14:paraId="7ACC0582" w14:textId="77777777" w:rsidTr="00CD23DA">
        <w:tc>
          <w:tcPr>
            <w:tcW w:w="2207" w:type="dxa"/>
          </w:tcPr>
          <w:p w14:paraId="2B3EF8F0" w14:textId="56F5BC62" w:rsidR="00CD23DA" w:rsidRPr="00E20DB7" w:rsidRDefault="00CD23DA" w:rsidP="0002762D">
            <w:pPr>
              <w:pStyle w:val="Sinespaciado"/>
              <w:jc w:val="center"/>
              <w:rPr>
                <w:rFonts w:asciiTheme="majorHAnsi" w:hAnsiTheme="majorHAnsi" w:cstheme="majorHAnsi"/>
              </w:rPr>
            </w:pPr>
            <w:r w:rsidRPr="00E20DB7">
              <w:rPr>
                <w:rFonts w:asciiTheme="majorHAnsi" w:hAnsiTheme="majorHAnsi" w:cstheme="majorHAnsi"/>
              </w:rPr>
              <w:t>Gasolina motor extra</w:t>
            </w:r>
          </w:p>
        </w:tc>
        <w:tc>
          <w:tcPr>
            <w:tcW w:w="2207" w:type="dxa"/>
          </w:tcPr>
          <w:p w14:paraId="29E0CD3B" w14:textId="258BDDCF" w:rsidR="00CD23DA" w:rsidRPr="00E20DB7" w:rsidRDefault="00CD23DA" w:rsidP="00CD23DA">
            <w:pPr>
              <w:pStyle w:val="Sinespaciado"/>
              <w:jc w:val="center"/>
              <w:rPr>
                <w:rFonts w:asciiTheme="majorHAnsi" w:hAnsiTheme="majorHAnsi" w:cstheme="majorHAnsi"/>
              </w:rPr>
            </w:pPr>
            <w:r w:rsidRPr="00E20DB7">
              <w:rPr>
                <w:rFonts w:asciiTheme="majorHAnsi" w:hAnsiTheme="majorHAnsi" w:cstheme="majorHAnsi"/>
              </w:rPr>
              <w:t>N/A</w:t>
            </w:r>
          </w:p>
        </w:tc>
        <w:tc>
          <w:tcPr>
            <w:tcW w:w="2207" w:type="dxa"/>
          </w:tcPr>
          <w:p w14:paraId="302E1332" w14:textId="1053D3D6" w:rsidR="00CD23DA" w:rsidRPr="00E20DB7" w:rsidRDefault="00CD23DA" w:rsidP="00CD23DA">
            <w:pPr>
              <w:pStyle w:val="Sinespaciado"/>
              <w:jc w:val="center"/>
              <w:rPr>
                <w:rFonts w:asciiTheme="majorHAnsi" w:hAnsiTheme="majorHAnsi" w:cstheme="majorHAnsi"/>
              </w:rPr>
            </w:pPr>
            <w:r w:rsidRPr="00E20DB7">
              <w:rPr>
                <w:rFonts w:asciiTheme="majorHAnsi" w:hAnsiTheme="majorHAnsi" w:cstheme="majorHAnsi"/>
              </w:rPr>
              <w:t>N/A</w:t>
            </w:r>
          </w:p>
        </w:tc>
        <w:tc>
          <w:tcPr>
            <w:tcW w:w="2207" w:type="dxa"/>
          </w:tcPr>
          <w:p w14:paraId="72A338EE" w14:textId="340C97F1" w:rsidR="00CD23DA" w:rsidRPr="00E20DB7" w:rsidRDefault="00CD23DA" w:rsidP="00CD23DA">
            <w:pPr>
              <w:pStyle w:val="Sinespaciado"/>
              <w:jc w:val="center"/>
              <w:rPr>
                <w:rFonts w:asciiTheme="majorHAnsi" w:hAnsiTheme="majorHAnsi" w:cstheme="majorHAnsi"/>
              </w:rPr>
            </w:pPr>
            <w:r w:rsidRPr="00E20DB7">
              <w:rPr>
                <w:rFonts w:asciiTheme="majorHAnsi" w:hAnsiTheme="majorHAnsi" w:cstheme="majorHAnsi"/>
              </w:rPr>
              <w:t>$7.107,81</w:t>
            </w:r>
          </w:p>
        </w:tc>
      </w:tr>
      <w:tr w:rsidR="00CD23DA" w:rsidRPr="00E20DB7" w14:paraId="0F1CC44C" w14:textId="77777777" w:rsidTr="00CD23DA">
        <w:tc>
          <w:tcPr>
            <w:tcW w:w="2207" w:type="dxa"/>
          </w:tcPr>
          <w:p w14:paraId="7FFC4096" w14:textId="339EFE69" w:rsidR="00CD23DA" w:rsidRPr="00E20DB7" w:rsidRDefault="00CD23DA" w:rsidP="0002762D">
            <w:pPr>
              <w:pStyle w:val="Sinespaciado"/>
              <w:jc w:val="center"/>
              <w:rPr>
                <w:rFonts w:asciiTheme="majorHAnsi" w:hAnsiTheme="majorHAnsi" w:cstheme="majorHAnsi"/>
              </w:rPr>
            </w:pPr>
            <w:r w:rsidRPr="00E20DB7">
              <w:rPr>
                <w:rFonts w:asciiTheme="majorHAnsi" w:hAnsiTheme="majorHAnsi" w:cstheme="majorHAnsi"/>
              </w:rPr>
              <w:t>ACPM</w:t>
            </w:r>
          </w:p>
        </w:tc>
        <w:tc>
          <w:tcPr>
            <w:tcW w:w="2207" w:type="dxa"/>
          </w:tcPr>
          <w:p w14:paraId="0B46BE25" w14:textId="1CA1BE5A" w:rsidR="00CD23DA" w:rsidRPr="00E20DB7" w:rsidRDefault="00CD23DA" w:rsidP="00CD23DA">
            <w:pPr>
              <w:pStyle w:val="Sinespaciado"/>
              <w:jc w:val="center"/>
              <w:rPr>
                <w:rFonts w:asciiTheme="majorHAnsi" w:hAnsiTheme="majorHAnsi" w:cstheme="majorHAnsi"/>
              </w:rPr>
            </w:pPr>
            <w:r w:rsidRPr="00E20DB7">
              <w:rPr>
                <w:rFonts w:asciiTheme="majorHAnsi" w:hAnsiTheme="majorHAnsi" w:cstheme="majorHAnsi"/>
              </w:rPr>
              <w:t>$1.900</w:t>
            </w:r>
          </w:p>
        </w:tc>
        <w:tc>
          <w:tcPr>
            <w:tcW w:w="2207" w:type="dxa"/>
          </w:tcPr>
          <w:p w14:paraId="33F94A77" w14:textId="4F171F5E" w:rsidR="00CD23DA" w:rsidRPr="00E20DB7" w:rsidRDefault="00CD23DA" w:rsidP="00CD23DA">
            <w:pPr>
              <w:pStyle w:val="Sinespaciado"/>
              <w:jc w:val="center"/>
              <w:rPr>
                <w:rFonts w:asciiTheme="majorHAnsi" w:hAnsiTheme="majorHAnsi" w:cstheme="majorHAnsi"/>
              </w:rPr>
            </w:pPr>
            <w:r w:rsidRPr="00E20DB7">
              <w:rPr>
                <w:rFonts w:asciiTheme="majorHAnsi" w:hAnsiTheme="majorHAnsi" w:cstheme="majorHAnsi"/>
              </w:rPr>
              <w:t>$3.400</w:t>
            </w:r>
          </w:p>
        </w:tc>
        <w:tc>
          <w:tcPr>
            <w:tcW w:w="2207" w:type="dxa"/>
          </w:tcPr>
          <w:p w14:paraId="7DAA7378" w14:textId="3E27A2D7" w:rsidR="00CD23DA" w:rsidRPr="00E20DB7" w:rsidRDefault="00CD23DA" w:rsidP="00CD23DA">
            <w:pPr>
              <w:pStyle w:val="Sinespaciado"/>
              <w:jc w:val="center"/>
              <w:rPr>
                <w:rFonts w:asciiTheme="majorHAnsi" w:hAnsiTheme="majorHAnsi" w:cstheme="majorHAnsi"/>
              </w:rPr>
            </w:pPr>
            <w:r w:rsidRPr="00E20DB7">
              <w:rPr>
                <w:rFonts w:asciiTheme="majorHAnsi" w:hAnsiTheme="majorHAnsi" w:cstheme="majorHAnsi"/>
              </w:rPr>
              <w:t>$5.024,59</w:t>
            </w:r>
          </w:p>
        </w:tc>
      </w:tr>
    </w:tbl>
    <w:p w14:paraId="6D844AEF" w14:textId="6D8446C5" w:rsidR="0097454A" w:rsidRPr="00E20DB7" w:rsidRDefault="0002762D" w:rsidP="0002762D">
      <w:pPr>
        <w:pStyle w:val="Sinespaciado"/>
        <w:jc w:val="center"/>
        <w:rPr>
          <w:rFonts w:asciiTheme="majorHAnsi" w:hAnsiTheme="majorHAnsi" w:cstheme="majorHAnsi"/>
          <w:sz w:val="20"/>
          <w:szCs w:val="20"/>
        </w:rPr>
      </w:pPr>
      <w:r w:rsidRPr="00E20DB7">
        <w:rPr>
          <w:rFonts w:asciiTheme="majorHAnsi" w:hAnsiTheme="majorHAnsi" w:cstheme="majorHAnsi"/>
          <w:sz w:val="20"/>
          <w:szCs w:val="20"/>
        </w:rPr>
        <w:t>Fuente: Resolución 40147 de 2017 (MinMinas)</w:t>
      </w:r>
    </w:p>
    <w:p w14:paraId="41EB7FEF" w14:textId="343DC8EC" w:rsidR="0097454A" w:rsidRPr="00E20DB7" w:rsidRDefault="0097454A" w:rsidP="00956D1F">
      <w:pPr>
        <w:pStyle w:val="Sinespaciado"/>
        <w:jc w:val="both"/>
        <w:rPr>
          <w:rFonts w:asciiTheme="majorHAnsi" w:hAnsiTheme="majorHAnsi" w:cstheme="majorHAnsi"/>
        </w:rPr>
      </w:pPr>
    </w:p>
    <w:p w14:paraId="02F4A82F" w14:textId="4141CCE0" w:rsidR="00CD23DA" w:rsidRPr="00E20DB7" w:rsidRDefault="00CD23DA" w:rsidP="00CD23DA">
      <w:pPr>
        <w:pStyle w:val="Sinespaciado"/>
        <w:jc w:val="both"/>
        <w:rPr>
          <w:rFonts w:asciiTheme="majorHAnsi" w:hAnsiTheme="majorHAnsi" w:cstheme="majorHAnsi"/>
        </w:rPr>
      </w:pPr>
      <w:r w:rsidRPr="00E20DB7">
        <w:rPr>
          <w:rFonts w:asciiTheme="majorHAnsi" w:hAnsiTheme="majorHAnsi" w:cstheme="majorHAnsi"/>
        </w:rPr>
        <w:t>Utilizando los valores de referencia se calculan las tarifas para cada uno de los componentes:</w:t>
      </w:r>
    </w:p>
    <w:p w14:paraId="145D7BAE" w14:textId="4A2F6619" w:rsidR="00CD23DA" w:rsidRDefault="00CD23DA" w:rsidP="00CD23DA">
      <w:pPr>
        <w:pStyle w:val="Sinespaciado"/>
        <w:jc w:val="both"/>
        <w:rPr>
          <w:rFonts w:asciiTheme="majorHAnsi" w:hAnsiTheme="majorHAnsi" w:cstheme="majorHAnsi"/>
        </w:rPr>
      </w:pPr>
    </w:p>
    <w:p w14:paraId="176CB3A9" w14:textId="64C493AF" w:rsidR="00702EBB" w:rsidRPr="00702EBB" w:rsidRDefault="00702EBB" w:rsidP="00702EBB">
      <w:pPr>
        <w:pStyle w:val="Sinespaciado"/>
        <w:jc w:val="center"/>
        <w:rPr>
          <w:rFonts w:asciiTheme="majorHAnsi" w:hAnsiTheme="majorHAnsi" w:cstheme="majorHAnsi"/>
          <w:b/>
          <w:bCs/>
        </w:rPr>
      </w:pPr>
      <w:r>
        <w:rPr>
          <w:rFonts w:asciiTheme="majorHAnsi" w:hAnsiTheme="majorHAnsi" w:cstheme="majorHAnsi"/>
          <w:b/>
          <w:bCs/>
        </w:rPr>
        <w:t>Tabla 2. Definición de tarifas sobretasa a la gasolina y ACPM</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2410"/>
        <w:gridCol w:w="2977"/>
        <w:gridCol w:w="3669"/>
      </w:tblGrid>
      <w:tr w:rsidR="0000739A" w:rsidRPr="00E20DB7" w14:paraId="505AE1BC" w14:textId="77777777" w:rsidTr="0000739A">
        <w:trPr>
          <w:trHeight w:val="255"/>
          <w:jc w:val="center"/>
        </w:trPr>
        <w:tc>
          <w:tcPr>
            <w:tcW w:w="3539" w:type="dxa"/>
            <w:gridSpan w:val="2"/>
            <w:vAlign w:val="center"/>
          </w:tcPr>
          <w:p w14:paraId="4F1A1ACA" w14:textId="77777777" w:rsidR="0000739A" w:rsidRPr="00E20DB7" w:rsidRDefault="0000739A" w:rsidP="00BB2B73">
            <w:pPr>
              <w:jc w:val="center"/>
              <w:rPr>
                <w:rFonts w:asciiTheme="majorHAnsi" w:hAnsiTheme="majorHAnsi" w:cstheme="majorHAnsi"/>
                <w:b/>
                <w:color w:val="000000"/>
                <w:lang w:eastAsia="es-CO"/>
              </w:rPr>
            </w:pPr>
          </w:p>
        </w:tc>
        <w:tc>
          <w:tcPr>
            <w:tcW w:w="2977" w:type="dxa"/>
            <w:shd w:val="clear" w:color="auto" w:fill="auto"/>
            <w:vAlign w:val="center"/>
            <w:hideMark/>
          </w:tcPr>
          <w:p w14:paraId="3782A873" w14:textId="77777777" w:rsidR="0000739A" w:rsidRPr="00E20DB7" w:rsidRDefault="0000739A" w:rsidP="00BB2B73">
            <w:pPr>
              <w:jc w:val="center"/>
              <w:rPr>
                <w:rFonts w:asciiTheme="majorHAnsi" w:hAnsiTheme="majorHAnsi" w:cstheme="majorHAnsi"/>
                <w:b/>
                <w:color w:val="000000"/>
                <w:sz w:val="24"/>
                <w:szCs w:val="24"/>
                <w:lang w:eastAsia="es-CO"/>
              </w:rPr>
            </w:pPr>
            <w:r w:rsidRPr="00E20DB7">
              <w:rPr>
                <w:rFonts w:asciiTheme="majorHAnsi" w:hAnsiTheme="majorHAnsi" w:cstheme="majorHAnsi"/>
                <w:b/>
                <w:color w:val="000000"/>
                <w:sz w:val="24"/>
                <w:szCs w:val="24"/>
                <w:lang w:eastAsia="es-CO"/>
              </w:rPr>
              <w:t>Gasolina corriente</w:t>
            </w:r>
          </w:p>
        </w:tc>
        <w:tc>
          <w:tcPr>
            <w:tcW w:w="3669" w:type="dxa"/>
            <w:shd w:val="clear" w:color="auto" w:fill="auto"/>
            <w:vAlign w:val="center"/>
            <w:hideMark/>
          </w:tcPr>
          <w:p w14:paraId="2A85214A" w14:textId="77777777" w:rsidR="0000739A" w:rsidRPr="00E20DB7" w:rsidRDefault="0000739A" w:rsidP="00BB2B73">
            <w:pPr>
              <w:jc w:val="center"/>
              <w:rPr>
                <w:rFonts w:asciiTheme="majorHAnsi" w:hAnsiTheme="majorHAnsi" w:cstheme="majorHAnsi"/>
                <w:b/>
                <w:color w:val="000000"/>
                <w:sz w:val="24"/>
                <w:szCs w:val="24"/>
                <w:lang w:eastAsia="es-CO"/>
              </w:rPr>
            </w:pPr>
            <w:r w:rsidRPr="00E20DB7">
              <w:rPr>
                <w:rFonts w:asciiTheme="majorHAnsi" w:hAnsiTheme="majorHAnsi" w:cstheme="majorHAnsi"/>
                <w:b/>
                <w:color w:val="000000"/>
                <w:sz w:val="24"/>
                <w:szCs w:val="24"/>
                <w:lang w:eastAsia="es-CO"/>
              </w:rPr>
              <w:t>Gasolina extra</w:t>
            </w:r>
          </w:p>
        </w:tc>
      </w:tr>
      <w:tr w:rsidR="0000739A" w:rsidRPr="00E20DB7" w14:paraId="54F21451" w14:textId="77777777" w:rsidTr="0007648D">
        <w:trPr>
          <w:trHeight w:val="268"/>
          <w:jc w:val="center"/>
        </w:trPr>
        <w:tc>
          <w:tcPr>
            <w:tcW w:w="1129" w:type="dxa"/>
            <w:vMerge w:val="restart"/>
            <w:vAlign w:val="center"/>
          </w:tcPr>
          <w:p w14:paraId="4992B892" w14:textId="77777777" w:rsidR="0000739A" w:rsidRPr="00E20DB7" w:rsidRDefault="0000739A" w:rsidP="00BB2B73">
            <w:pPr>
              <w:jc w:val="center"/>
              <w:rPr>
                <w:rFonts w:asciiTheme="majorHAnsi" w:hAnsiTheme="majorHAnsi" w:cstheme="majorHAnsi"/>
                <w:color w:val="000000"/>
                <w:sz w:val="24"/>
                <w:szCs w:val="24"/>
                <w:lang w:eastAsia="es-CO"/>
              </w:rPr>
            </w:pPr>
            <w:r w:rsidRPr="00E20DB7">
              <w:rPr>
                <w:rFonts w:asciiTheme="majorHAnsi" w:hAnsiTheme="majorHAnsi" w:cstheme="majorHAnsi"/>
                <w:color w:val="000000"/>
                <w:sz w:val="24"/>
                <w:szCs w:val="24"/>
                <w:lang w:eastAsia="es-CO"/>
              </w:rPr>
              <w:t>Tarifa General</w:t>
            </w:r>
          </w:p>
        </w:tc>
        <w:tc>
          <w:tcPr>
            <w:tcW w:w="2410" w:type="dxa"/>
            <w:shd w:val="clear" w:color="auto" w:fill="auto"/>
            <w:noWrap/>
            <w:vAlign w:val="center"/>
            <w:hideMark/>
          </w:tcPr>
          <w:p w14:paraId="1CBF99A0" w14:textId="77777777" w:rsidR="0000739A" w:rsidRPr="00E20DB7" w:rsidRDefault="0000739A" w:rsidP="00BB2B73">
            <w:pPr>
              <w:jc w:val="center"/>
              <w:rPr>
                <w:rFonts w:asciiTheme="majorHAnsi" w:hAnsiTheme="majorHAnsi" w:cstheme="majorHAnsi"/>
                <w:color w:val="000000"/>
                <w:sz w:val="24"/>
                <w:szCs w:val="24"/>
                <w:lang w:eastAsia="es-CO"/>
              </w:rPr>
            </w:pPr>
            <w:r w:rsidRPr="00E20DB7">
              <w:rPr>
                <w:rFonts w:asciiTheme="majorHAnsi" w:hAnsiTheme="majorHAnsi" w:cstheme="majorHAnsi"/>
                <w:color w:val="000000"/>
                <w:sz w:val="24"/>
                <w:szCs w:val="24"/>
                <w:lang w:eastAsia="es-CO"/>
              </w:rPr>
              <w:t>Municipal y Distrital:</w:t>
            </w:r>
          </w:p>
        </w:tc>
        <w:tc>
          <w:tcPr>
            <w:tcW w:w="2977" w:type="dxa"/>
            <w:shd w:val="clear" w:color="auto" w:fill="auto"/>
            <w:noWrap/>
            <w:vAlign w:val="center"/>
            <w:hideMark/>
          </w:tcPr>
          <w:p w14:paraId="7D7547C4" w14:textId="0105E746" w:rsidR="0000739A" w:rsidRPr="00E20DB7" w:rsidRDefault="0000739A"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$5.078,77 x 18,5% = </w:t>
            </w:r>
            <w:r w:rsidRPr="00E20DB7">
              <w:rPr>
                <w:rFonts w:asciiTheme="majorHAnsi" w:hAnsiTheme="majorHAnsi" w:cstheme="majorHAnsi"/>
                <w:b/>
                <w:bCs/>
                <w:color w:val="000000"/>
                <w:lang w:eastAsia="es-CO"/>
              </w:rPr>
              <w:t>$940</w:t>
            </w:r>
          </w:p>
        </w:tc>
        <w:tc>
          <w:tcPr>
            <w:tcW w:w="3669" w:type="dxa"/>
            <w:shd w:val="clear" w:color="auto" w:fill="auto"/>
            <w:noWrap/>
            <w:vAlign w:val="center"/>
            <w:hideMark/>
          </w:tcPr>
          <w:p w14:paraId="174F36B2" w14:textId="63C092C0" w:rsidR="0000739A" w:rsidRPr="00E20DB7" w:rsidRDefault="002A47CB"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$7.107,81 x 18,5% = </w:t>
            </w:r>
            <w:r w:rsidR="0000739A" w:rsidRPr="00E20DB7">
              <w:rPr>
                <w:rFonts w:asciiTheme="majorHAnsi" w:hAnsiTheme="majorHAnsi" w:cstheme="majorHAnsi"/>
                <w:b/>
                <w:bCs/>
                <w:color w:val="000000"/>
                <w:lang w:eastAsia="es-CO"/>
              </w:rPr>
              <w:t>$1.314</w:t>
            </w:r>
          </w:p>
        </w:tc>
      </w:tr>
      <w:tr w:rsidR="0000739A" w:rsidRPr="00E20DB7" w14:paraId="4EBC1FA2" w14:textId="77777777" w:rsidTr="0007648D">
        <w:trPr>
          <w:trHeight w:val="268"/>
          <w:jc w:val="center"/>
        </w:trPr>
        <w:tc>
          <w:tcPr>
            <w:tcW w:w="1129" w:type="dxa"/>
            <w:vMerge/>
            <w:vAlign w:val="center"/>
          </w:tcPr>
          <w:p w14:paraId="66025678" w14:textId="77777777" w:rsidR="0000739A" w:rsidRPr="00E20DB7" w:rsidRDefault="0000739A" w:rsidP="00BB2B73">
            <w:pPr>
              <w:jc w:val="center"/>
              <w:rPr>
                <w:rFonts w:asciiTheme="majorHAnsi" w:hAnsiTheme="majorHAnsi" w:cstheme="majorHAnsi"/>
                <w:color w:val="000000"/>
                <w:sz w:val="24"/>
                <w:szCs w:val="24"/>
                <w:lang w:eastAsia="es-CO"/>
              </w:rPr>
            </w:pPr>
          </w:p>
        </w:tc>
        <w:tc>
          <w:tcPr>
            <w:tcW w:w="2410" w:type="dxa"/>
            <w:shd w:val="clear" w:color="auto" w:fill="auto"/>
            <w:noWrap/>
            <w:vAlign w:val="center"/>
          </w:tcPr>
          <w:p w14:paraId="02BC1AC8" w14:textId="77777777" w:rsidR="0000739A" w:rsidRPr="00E20DB7" w:rsidRDefault="0000739A" w:rsidP="00BB2B73">
            <w:pPr>
              <w:jc w:val="center"/>
              <w:rPr>
                <w:rFonts w:asciiTheme="majorHAnsi" w:hAnsiTheme="majorHAnsi" w:cstheme="majorHAnsi"/>
                <w:color w:val="000000"/>
                <w:sz w:val="24"/>
                <w:szCs w:val="24"/>
                <w:lang w:eastAsia="es-CO"/>
              </w:rPr>
            </w:pPr>
            <w:r w:rsidRPr="00E20DB7">
              <w:rPr>
                <w:rFonts w:asciiTheme="majorHAnsi" w:hAnsiTheme="majorHAnsi" w:cstheme="majorHAnsi"/>
                <w:color w:val="000000"/>
                <w:sz w:val="24"/>
                <w:szCs w:val="24"/>
                <w:lang w:eastAsia="es-CO"/>
              </w:rPr>
              <w:t>Departamental:</w:t>
            </w:r>
          </w:p>
        </w:tc>
        <w:tc>
          <w:tcPr>
            <w:tcW w:w="2977" w:type="dxa"/>
            <w:shd w:val="clear" w:color="auto" w:fill="auto"/>
            <w:noWrap/>
            <w:vAlign w:val="center"/>
          </w:tcPr>
          <w:p w14:paraId="055C0E53" w14:textId="584E3A23" w:rsidR="0000739A" w:rsidRPr="00E20DB7" w:rsidRDefault="0000739A"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$5.078,77 x 6,5% = </w:t>
            </w:r>
            <w:r w:rsidRPr="00E20DB7">
              <w:rPr>
                <w:rFonts w:asciiTheme="majorHAnsi" w:hAnsiTheme="majorHAnsi" w:cstheme="majorHAnsi"/>
                <w:b/>
                <w:bCs/>
                <w:color w:val="000000"/>
                <w:lang w:eastAsia="es-CO"/>
              </w:rPr>
              <w:t>$330</w:t>
            </w:r>
          </w:p>
        </w:tc>
        <w:tc>
          <w:tcPr>
            <w:tcW w:w="3669" w:type="dxa"/>
            <w:shd w:val="clear" w:color="auto" w:fill="auto"/>
            <w:noWrap/>
            <w:vAlign w:val="center"/>
          </w:tcPr>
          <w:p w14:paraId="379E4B50" w14:textId="4E7B1AD1" w:rsidR="0000739A" w:rsidRPr="00E20DB7" w:rsidRDefault="002A47CB"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$7.107,81 x 6,5% = </w:t>
            </w:r>
            <w:r w:rsidR="0000739A" w:rsidRPr="00E20DB7">
              <w:rPr>
                <w:rFonts w:asciiTheme="majorHAnsi" w:hAnsiTheme="majorHAnsi" w:cstheme="majorHAnsi"/>
                <w:b/>
                <w:bCs/>
                <w:color w:val="000000"/>
                <w:lang w:eastAsia="es-CO"/>
              </w:rPr>
              <w:t>$462</w:t>
            </w:r>
          </w:p>
        </w:tc>
      </w:tr>
      <w:tr w:rsidR="0000739A" w:rsidRPr="00E20DB7" w14:paraId="63F8C092" w14:textId="77777777" w:rsidTr="0007648D">
        <w:trPr>
          <w:trHeight w:val="268"/>
          <w:jc w:val="center"/>
        </w:trPr>
        <w:tc>
          <w:tcPr>
            <w:tcW w:w="1129" w:type="dxa"/>
            <w:vMerge/>
            <w:vAlign w:val="center"/>
          </w:tcPr>
          <w:p w14:paraId="221663C5" w14:textId="77777777" w:rsidR="0000739A" w:rsidRPr="00E20DB7" w:rsidRDefault="0000739A" w:rsidP="00BB2B73">
            <w:pPr>
              <w:jc w:val="center"/>
              <w:rPr>
                <w:rFonts w:asciiTheme="majorHAnsi" w:hAnsiTheme="majorHAnsi" w:cstheme="majorHAnsi"/>
                <w:color w:val="000000"/>
                <w:sz w:val="24"/>
                <w:szCs w:val="24"/>
                <w:lang w:eastAsia="es-CO"/>
              </w:rPr>
            </w:pPr>
          </w:p>
        </w:tc>
        <w:tc>
          <w:tcPr>
            <w:tcW w:w="2410" w:type="dxa"/>
            <w:shd w:val="clear" w:color="auto" w:fill="auto"/>
            <w:noWrap/>
            <w:vAlign w:val="center"/>
          </w:tcPr>
          <w:p w14:paraId="4FFE2ED8" w14:textId="77777777" w:rsidR="0000739A" w:rsidRPr="00E20DB7" w:rsidRDefault="0000739A" w:rsidP="00BB2B73">
            <w:pPr>
              <w:jc w:val="center"/>
              <w:rPr>
                <w:rFonts w:asciiTheme="majorHAnsi" w:hAnsiTheme="majorHAnsi" w:cstheme="majorHAnsi"/>
                <w:color w:val="000000"/>
                <w:sz w:val="24"/>
                <w:szCs w:val="24"/>
                <w:lang w:eastAsia="es-CO"/>
              </w:rPr>
            </w:pPr>
            <w:r w:rsidRPr="00E20DB7">
              <w:rPr>
                <w:rFonts w:asciiTheme="majorHAnsi" w:hAnsiTheme="majorHAnsi" w:cstheme="majorHAnsi"/>
                <w:color w:val="000000"/>
                <w:sz w:val="24"/>
                <w:szCs w:val="24"/>
                <w:lang w:eastAsia="es-CO"/>
              </w:rPr>
              <w:t>Distrito Capital:</w:t>
            </w:r>
          </w:p>
        </w:tc>
        <w:tc>
          <w:tcPr>
            <w:tcW w:w="2977" w:type="dxa"/>
            <w:shd w:val="clear" w:color="auto" w:fill="auto"/>
            <w:noWrap/>
            <w:vAlign w:val="center"/>
          </w:tcPr>
          <w:p w14:paraId="6557E9BC" w14:textId="465885F5" w:rsidR="0000739A" w:rsidRPr="00E20DB7" w:rsidRDefault="0000739A"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$5.078,77 x 25% = </w:t>
            </w:r>
            <w:r w:rsidRPr="00E20DB7">
              <w:rPr>
                <w:rFonts w:asciiTheme="majorHAnsi" w:hAnsiTheme="majorHAnsi" w:cstheme="majorHAnsi"/>
                <w:b/>
                <w:bCs/>
                <w:color w:val="000000"/>
                <w:lang w:eastAsia="es-CO"/>
              </w:rPr>
              <w:t>$1.270</w:t>
            </w:r>
          </w:p>
        </w:tc>
        <w:tc>
          <w:tcPr>
            <w:tcW w:w="3669" w:type="dxa"/>
            <w:shd w:val="clear" w:color="auto" w:fill="auto"/>
            <w:noWrap/>
            <w:vAlign w:val="center"/>
          </w:tcPr>
          <w:p w14:paraId="78AEC642" w14:textId="5E36D3CD" w:rsidR="0000739A" w:rsidRPr="00E20DB7" w:rsidRDefault="002A47CB"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$7.107,81 x 25% = </w:t>
            </w:r>
            <w:r w:rsidR="0000739A" w:rsidRPr="00E20DB7">
              <w:rPr>
                <w:rFonts w:asciiTheme="majorHAnsi" w:hAnsiTheme="majorHAnsi" w:cstheme="majorHAnsi"/>
                <w:b/>
                <w:bCs/>
                <w:color w:val="000000"/>
                <w:lang w:eastAsia="es-CO"/>
              </w:rPr>
              <w:t>$1.775</w:t>
            </w:r>
          </w:p>
        </w:tc>
      </w:tr>
      <w:tr w:rsidR="0000739A" w:rsidRPr="00E20DB7" w14:paraId="3874FD92" w14:textId="77777777" w:rsidTr="0007648D">
        <w:trPr>
          <w:trHeight w:val="268"/>
          <w:jc w:val="center"/>
        </w:trPr>
        <w:tc>
          <w:tcPr>
            <w:tcW w:w="1129" w:type="dxa"/>
            <w:vMerge w:val="restart"/>
            <w:vAlign w:val="center"/>
          </w:tcPr>
          <w:p w14:paraId="59007EC6" w14:textId="77777777" w:rsidR="0000739A" w:rsidRPr="00E20DB7" w:rsidRDefault="0000739A" w:rsidP="00BB2B73">
            <w:pPr>
              <w:jc w:val="center"/>
              <w:rPr>
                <w:rFonts w:asciiTheme="majorHAnsi" w:hAnsiTheme="majorHAnsi" w:cstheme="majorHAnsi"/>
                <w:color w:val="000000"/>
                <w:sz w:val="24"/>
                <w:szCs w:val="24"/>
                <w:lang w:eastAsia="es-CO"/>
              </w:rPr>
            </w:pPr>
            <w:r w:rsidRPr="00E20DB7">
              <w:rPr>
                <w:rFonts w:asciiTheme="majorHAnsi" w:hAnsiTheme="majorHAnsi" w:cstheme="majorHAnsi"/>
                <w:color w:val="000000"/>
                <w:sz w:val="24"/>
                <w:szCs w:val="24"/>
                <w:lang w:eastAsia="es-CO"/>
              </w:rPr>
              <w:t>Tarifa en Zonas de frontera</w:t>
            </w:r>
          </w:p>
        </w:tc>
        <w:tc>
          <w:tcPr>
            <w:tcW w:w="2410" w:type="dxa"/>
            <w:shd w:val="clear" w:color="auto" w:fill="auto"/>
            <w:noWrap/>
            <w:vAlign w:val="center"/>
          </w:tcPr>
          <w:p w14:paraId="030C54B0" w14:textId="77777777" w:rsidR="0000739A" w:rsidRPr="00E20DB7" w:rsidRDefault="0000739A" w:rsidP="00BB2B73">
            <w:pPr>
              <w:jc w:val="center"/>
              <w:rPr>
                <w:rFonts w:asciiTheme="majorHAnsi" w:hAnsiTheme="majorHAnsi" w:cstheme="majorHAnsi"/>
                <w:color w:val="000000"/>
                <w:sz w:val="24"/>
                <w:szCs w:val="24"/>
                <w:lang w:eastAsia="es-CO"/>
              </w:rPr>
            </w:pPr>
            <w:r w:rsidRPr="00E20DB7">
              <w:rPr>
                <w:rFonts w:asciiTheme="majorHAnsi" w:hAnsiTheme="majorHAnsi" w:cstheme="majorHAnsi"/>
                <w:color w:val="000000"/>
                <w:sz w:val="24"/>
                <w:szCs w:val="24"/>
                <w:lang w:eastAsia="es-CO"/>
              </w:rPr>
              <w:t>Municipal y Distrital:</w:t>
            </w:r>
          </w:p>
        </w:tc>
        <w:tc>
          <w:tcPr>
            <w:tcW w:w="2977" w:type="dxa"/>
            <w:shd w:val="clear" w:color="auto" w:fill="auto"/>
            <w:noWrap/>
            <w:vAlign w:val="center"/>
          </w:tcPr>
          <w:p w14:paraId="0B19A6DA" w14:textId="6588BCBF" w:rsidR="0000739A" w:rsidRPr="00E20DB7" w:rsidRDefault="0000739A"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$1.900 x 18,5% = </w:t>
            </w:r>
            <w:r w:rsidRPr="00E20DB7">
              <w:rPr>
                <w:rFonts w:asciiTheme="majorHAnsi" w:hAnsiTheme="majorHAnsi" w:cstheme="majorHAnsi"/>
                <w:b/>
                <w:bCs/>
                <w:color w:val="000000"/>
                <w:lang w:eastAsia="es-CO"/>
              </w:rPr>
              <w:t>$352</w:t>
            </w:r>
          </w:p>
        </w:tc>
        <w:tc>
          <w:tcPr>
            <w:tcW w:w="3669" w:type="dxa"/>
            <w:shd w:val="clear" w:color="auto" w:fill="auto"/>
            <w:noWrap/>
            <w:vAlign w:val="center"/>
          </w:tcPr>
          <w:p w14:paraId="7222B48A" w14:textId="16B368D9" w:rsidR="0000739A" w:rsidRPr="00E20DB7" w:rsidRDefault="006F7261"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$7.107,81 x 18,5% = </w:t>
            </w:r>
            <w:r w:rsidR="0000739A" w:rsidRPr="00E20DB7">
              <w:rPr>
                <w:rFonts w:asciiTheme="majorHAnsi" w:hAnsiTheme="majorHAnsi" w:cstheme="majorHAnsi"/>
                <w:b/>
                <w:bCs/>
                <w:color w:val="000000"/>
                <w:lang w:eastAsia="es-CO"/>
              </w:rPr>
              <w:t>$1.314</w:t>
            </w:r>
          </w:p>
        </w:tc>
      </w:tr>
      <w:tr w:rsidR="0000739A" w:rsidRPr="00E20DB7" w14:paraId="2F481AEF" w14:textId="77777777" w:rsidTr="0007648D">
        <w:trPr>
          <w:trHeight w:val="268"/>
          <w:jc w:val="center"/>
        </w:trPr>
        <w:tc>
          <w:tcPr>
            <w:tcW w:w="1129" w:type="dxa"/>
            <w:vMerge/>
            <w:vAlign w:val="center"/>
          </w:tcPr>
          <w:p w14:paraId="7B30A6DF" w14:textId="77777777" w:rsidR="0000739A" w:rsidRPr="00E20DB7" w:rsidRDefault="0000739A" w:rsidP="00BB2B73">
            <w:pPr>
              <w:jc w:val="center"/>
              <w:rPr>
                <w:rFonts w:asciiTheme="majorHAnsi" w:hAnsiTheme="majorHAnsi" w:cstheme="majorHAnsi"/>
                <w:color w:val="000000"/>
                <w:sz w:val="24"/>
                <w:szCs w:val="24"/>
                <w:lang w:eastAsia="es-CO"/>
              </w:rPr>
            </w:pPr>
          </w:p>
        </w:tc>
        <w:tc>
          <w:tcPr>
            <w:tcW w:w="2410" w:type="dxa"/>
            <w:shd w:val="clear" w:color="auto" w:fill="auto"/>
            <w:noWrap/>
            <w:vAlign w:val="center"/>
          </w:tcPr>
          <w:p w14:paraId="147EBB3D" w14:textId="77777777" w:rsidR="0000739A" w:rsidRPr="00E20DB7" w:rsidRDefault="0000739A" w:rsidP="00BB2B73">
            <w:pPr>
              <w:jc w:val="center"/>
              <w:rPr>
                <w:rFonts w:asciiTheme="majorHAnsi" w:hAnsiTheme="majorHAnsi" w:cstheme="majorHAnsi"/>
                <w:color w:val="000000"/>
                <w:sz w:val="24"/>
                <w:szCs w:val="24"/>
                <w:lang w:eastAsia="es-CO"/>
              </w:rPr>
            </w:pPr>
            <w:r w:rsidRPr="00E20DB7">
              <w:rPr>
                <w:rFonts w:asciiTheme="majorHAnsi" w:hAnsiTheme="majorHAnsi" w:cstheme="majorHAnsi"/>
                <w:color w:val="000000"/>
                <w:sz w:val="24"/>
                <w:szCs w:val="24"/>
                <w:lang w:eastAsia="es-CO"/>
              </w:rPr>
              <w:t>Departamental:</w:t>
            </w:r>
          </w:p>
        </w:tc>
        <w:tc>
          <w:tcPr>
            <w:tcW w:w="2977" w:type="dxa"/>
            <w:shd w:val="clear" w:color="auto" w:fill="auto"/>
            <w:noWrap/>
            <w:vAlign w:val="center"/>
          </w:tcPr>
          <w:p w14:paraId="5CE1E14F" w14:textId="5CA03537" w:rsidR="0000739A" w:rsidRPr="00E20DB7" w:rsidRDefault="0000739A"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$1.900 x 6,5% = </w:t>
            </w:r>
            <w:r w:rsidRPr="00E20DB7">
              <w:rPr>
                <w:rFonts w:asciiTheme="majorHAnsi" w:hAnsiTheme="majorHAnsi" w:cstheme="majorHAnsi"/>
                <w:b/>
                <w:bCs/>
                <w:color w:val="000000"/>
                <w:lang w:eastAsia="es-CO"/>
              </w:rPr>
              <w:t>$124</w:t>
            </w:r>
          </w:p>
        </w:tc>
        <w:tc>
          <w:tcPr>
            <w:tcW w:w="3669" w:type="dxa"/>
            <w:shd w:val="clear" w:color="auto" w:fill="auto"/>
            <w:noWrap/>
            <w:vAlign w:val="center"/>
          </w:tcPr>
          <w:p w14:paraId="608D7ED8" w14:textId="3B7A10DD" w:rsidR="0000739A" w:rsidRPr="00E20DB7" w:rsidRDefault="006F7261" w:rsidP="00BB2B73">
            <w:pPr>
              <w:jc w:val="center"/>
              <w:rPr>
                <w:rFonts w:asciiTheme="majorHAnsi" w:hAnsiTheme="majorHAnsi" w:cstheme="majorHAnsi"/>
                <w:color w:val="000000"/>
                <w:lang w:eastAsia="es-CO"/>
              </w:rPr>
            </w:pPr>
            <w:r w:rsidRPr="00E20DB7">
              <w:rPr>
                <w:rFonts w:asciiTheme="majorHAnsi" w:hAnsiTheme="majorHAnsi" w:cstheme="majorHAnsi"/>
                <w:color w:val="000000"/>
                <w:lang w:eastAsia="es-CO"/>
              </w:rPr>
              <w:t xml:space="preserve">$7.107,81 x 6,5% = </w:t>
            </w:r>
            <w:r w:rsidR="0000739A" w:rsidRPr="00E20DB7">
              <w:rPr>
                <w:rFonts w:asciiTheme="majorHAnsi" w:hAnsiTheme="majorHAnsi" w:cstheme="majorHAnsi"/>
                <w:b/>
                <w:bCs/>
                <w:color w:val="000000"/>
                <w:lang w:eastAsia="es-CO"/>
              </w:rPr>
              <w:t>$462</w:t>
            </w:r>
          </w:p>
        </w:tc>
      </w:tr>
    </w:tbl>
    <w:p w14:paraId="1C40CC5E" w14:textId="69815715" w:rsidR="003D076B" w:rsidRPr="00E20DB7" w:rsidRDefault="003D076B" w:rsidP="003D076B">
      <w:pPr>
        <w:pStyle w:val="Sinespaciado"/>
        <w:jc w:val="center"/>
        <w:rPr>
          <w:rFonts w:asciiTheme="majorHAnsi" w:hAnsiTheme="majorHAnsi" w:cstheme="majorHAnsi"/>
          <w:sz w:val="20"/>
          <w:szCs w:val="20"/>
        </w:rPr>
      </w:pPr>
      <w:r w:rsidRPr="00E20DB7">
        <w:rPr>
          <w:rFonts w:asciiTheme="majorHAnsi" w:hAnsiTheme="majorHAnsi" w:cstheme="majorHAnsi"/>
          <w:sz w:val="20"/>
          <w:szCs w:val="20"/>
        </w:rPr>
        <w:lastRenderedPageBreak/>
        <w:t xml:space="preserve">Fuente: </w:t>
      </w:r>
      <w:r>
        <w:rPr>
          <w:rFonts w:asciiTheme="majorHAnsi" w:hAnsiTheme="majorHAnsi" w:cstheme="majorHAnsi"/>
          <w:sz w:val="20"/>
          <w:szCs w:val="20"/>
        </w:rPr>
        <w:t xml:space="preserve">Elaboración Propia con base en </w:t>
      </w:r>
      <w:r w:rsidRPr="00E20DB7">
        <w:rPr>
          <w:rFonts w:asciiTheme="majorHAnsi" w:hAnsiTheme="majorHAnsi" w:cstheme="majorHAnsi"/>
          <w:sz w:val="20"/>
          <w:szCs w:val="20"/>
        </w:rPr>
        <w:t>Resolución 40147 de 2017 (MinMinas)</w:t>
      </w:r>
      <w:r>
        <w:rPr>
          <w:rFonts w:asciiTheme="majorHAnsi" w:hAnsiTheme="majorHAnsi" w:cstheme="majorHAnsi"/>
          <w:sz w:val="20"/>
          <w:szCs w:val="20"/>
        </w:rPr>
        <w:t xml:space="preserve"> y Ley 788 de 2002</w:t>
      </w:r>
    </w:p>
    <w:p w14:paraId="7EC49EE4" w14:textId="3A0A0D32" w:rsidR="00CD23DA" w:rsidRDefault="00CD23DA" w:rsidP="00CD23DA">
      <w:pPr>
        <w:pStyle w:val="Sinespaciado"/>
        <w:jc w:val="both"/>
        <w:rPr>
          <w:rFonts w:asciiTheme="majorHAnsi" w:hAnsiTheme="majorHAnsi" w:cstheme="majorHAnsi"/>
        </w:rPr>
      </w:pPr>
    </w:p>
    <w:p w14:paraId="2EA91760" w14:textId="30185409" w:rsidR="003D076B" w:rsidRDefault="003D076B" w:rsidP="00CD23DA">
      <w:pPr>
        <w:pStyle w:val="Sinespaciado"/>
        <w:jc w:val="both"/>
        <w:rPr>
          <w:rFonts w:asciiTheme="majorHAnsi" w:hAnsiTheme="majorHAnsi" w:cstheme="majorHAnsi"/>
        </w:rPr>
      </w:pPr>
    </w:p>
    <w:p w14:paraId="305C9E89" w14:textId="6C3AA943" w:rsidR="00655315" w:rsidRDefault="00655315" w:rsidP="00CD23DA">
      <w:pPr>
        <w:pStyle w:val="Sinespaciado"/>
        <w:jc w:val="both"/>
        <w:rPr>
          <w:rFonts w:asciiTheme="majorHAnsi" w:hAnsiTheme="majorHAnsi" w:cstheme="majorHAnsi"/>
        </w:rPr>
      </w:pPr>
    </w:p>
    <w:p w14:paraId="217C51B9" w14:textId="77777777" w:rsidR="00655315" w:rsidRPr="00E20DB7" w:rsidRDefault="00655315" w:rsidP="00CD23DA">
      <w:pPr>
        <w:pStyle w:val="Sinespaciado"/>
        <w:jc w:val="both"/>
        <w:rPr>
          <w:rFonts w:asciiTheme="majorHAnsi" w:hAnsiTheme="majorHAnsi" w:cstheme="majorHAnsi"/>
        </w:rPr>
      </w:pPr>
    </w:p>
    <w:p w14:paraId="5B1FE921" w14:textId="1E3A94FC" w:rsidR="0097454A" w:rsidRPr="00E20DB7" w:rsidRDefault="001B7E29" w:rsidP="0097454A">
      <w:pPr>
        <w:pStyle w:val="Sinespaciado"/>
        <w:jc w:val="both"/>
        <w:rPr>
          <w:rFonts w:asciiTheme="majorHAnsi" w:hAnsiTheme="majorHAnsi" w:cstheme="majorHAnsi"/>
        </w:rPr>
      </w:pPr>
      <w:r w:rsidRPr="00E20DB7">
        <w:rPr>
          <w:rFonts w:asciiTheme="majorHAnsi" w:hAnsiTheme="majorHAnsi" w:cstheme="majorHAnsi"/>
        </w:rPr>
        <w:t>De igual forma, las tarifas de la sobretasa al ACPM quedan de la siguiente forma:</w:t>
      </w:r>
    </w:p>
    <w:p w14:paraId="1424F6AD" w14:textId="77777777" w:rsidR="006B5443" w:rsidRDefault="006B5443" w:rsidP="0097454A">
      <w:pPr>
        <w:pStyle w:val="Sinespaciado"/>
        <w:jc w:val="both"/>
        <w:rPr>
          <w:rFonts w:asciiTheme="majorHAnsi" w:hAnsiTheme="majorHAnsi" w:cstheme="majorHAnsi"/>
        </w:rPr>
      </w:pPr>
    </w:p>
    <w:p w14:paraId="6D1C7CFE" w14:textId="1D9C66EB" w:rsidR="00876765" w:rsidRPr="00E20DB7" w:rsidRDefault="00876765" w:rsidP="0097454A">
      <w:pPr>
        <w:pStyle w:val="Sinespaciado"/>
        <w:jc w:val="both"/>
        <w:rPr>
          <w:rFonts w:asciiTheme="majorHAnsi" w:hAnsiTheme="majorHAnsi" w:cstheme="majorHAnsi"/>
          <w:b/>
          <w:bCs/>
        </w:rPr>
      </w:pPr>
      <w:r w:rsidRPr="006B5443">
        <w:rPr>
          <w:rFonts w:asciiTheme="majorHAnsi" w:hAnsiTheme="majorHAnsi" w:cstheme="majorHAnsi"/>
          <w:b/>
          <w:bCs/>
        </w:rPr>
        <w:t>Tarifa general:</w:t>
      </w:r>
      <w:r w:rsidRPr="00E20DB7">
        <w:rPr>
          <w:rFonts w:asciiTheme="majorHAnsi" w:hAnsiTheme="majorHAnsi" w:cstheme="majorHAnsi"/>
        </w:rPr>
        <w:t xml:space="preserve"> $5.024,59 x 6% = </w:t>
      </w:r>
      <w:r w:rsidRPr="00E20DB7">
        <w:rPr>
          <w:rFonts w:asciiTheme="majorHAnsi" w:hAnsiTheme="majorHAnsi" w:cstheme="majorHAnsi"/>
          <w:b/>
          <w:bCs/>
        </w:rPr>
        <w:t>$301</w:t>
      </w:r>
    </w:p>
    <w:p w14:paraId="25C4147A" w14:textId="765492B6" w:rsidR="00876765" w:rsidRPr="006B5443" w:rsidRDefault="00876765" w:rsidP="0097454A">
      <w:pPr>
        <w:pStyle w:val="Sinespaciado"/>
        <w:jc w:val="both"/>
        <w:rPr>
          <w:rFonts w:asciiTheme="majorHAnsi" w:hAnsiTheme="majorHAnsi" w:cstheme="majorHAnsi"/>
          <w:b/>
          <w:bCs/>
        </w:rPr>
      </w:pPr>
      <w:r w:rsidRPr="006B5443">
        <w:rPr>
          <w:rFonts w:asciiTheme="majorHAnsi" w:hAnsiTheme="majorHAnsi" w:cstheme="majorHAnsi"/>
          <w:b/>
          <w:bCs/>
        </w:rPr>
        <w:t>Zonas de frontera:</w:t>
      </w:r>
    </w:p>
    <w:p w14:paraId="258D47DB" w14:textId="58FB2A4F" w:rsidR="00876765" w:rsidRPr="00E20DB7" w:rsidRDefault="00876765" w:rsidP="0097454A">
      <w:pPr>
        <w:pStyle w:val="Sinespaciado"/>
        <w:jc w:val="both"/>
        <w:rPr>
          <w:rFonts w:asciiTheme="majorHAnsi" w:hAnsiTheme="majorHAnsi" w:cstheme="majorHAnsi"/>
          <w:b/>
          <w:bCs/>
        </w:rPr>
      </w:pPr>
      <w:r w:rsidRPr="00E20DB7">
        <w:rPr>
          <w:rFonts w:asciiTheme="majorHAnsi" w:hAnsiTheme="majorHAnsi" w:cstheme="majorHAnsi"/>
        </w:rPr>
        <w:tab/>
        <w:t xml:space="preserve">Producto importado: $1.900 x 6% = </w:t>
      </w:r>
      <w:r w:rsidRPr="00E20DB7">
        <w:rPr>
          <w:rFonts w:asciiTheme="majorHAnsi" w:hAnsiTheme="majorHAnsi" w:cstheme="majorHAnsi"/>
          <w:b/>
          <w:bCs/>
        </w:rPr>
        <w:t>$114</w:t>
      </w:r>
    </w:p>
    <w:p w14:paraId="110E6C91" w14:textId="1BE4C1A2" w:rsidR="00876765" w:rsidRPr="00E20DB7" w:rsidRDefault="00876765" w:rsidP="00876765">
      <w:pPr>
        <w:pStyle w:val="Sinespaciado"/>
        <w:jc w:val="both"/>
        <w:rPr>
          <w:rFonts w:asciiTheme="majorHAnsi" w:hAnsiTheme="majorHAnsi" w:cstheme="majorHAnsi"/>
          <w:b/>
          <w:bCs/>
        </w:rPr>
      </w:pPr>
      <w:r w:rsidRPr="00E20DB7">
        <w:rPr>
          <w:rFonts w:asciiTheme="majorHAnsi" w:hAnsiTheme="majorHAnsi" w:cstheme="majorHAnsi"/>
        </w:rPr>
        <w:tab/>
        <w:t xml:space="preserve">Producto nacional: $3.400 x 6% = </w:t>
      </w:r>
      <w:r w:rsidRPr="00E20DB7">
        <w:rPr>
          <w:rFonts w:asciiTheme="majorHAnsi" w:hAnsiTheme="majorHAnsi" w:cstheme="majorHAnsi"/>
          <w:b/>
          <w:bCs/>
        </w:rPr>
        <w:t>$204</w:t>
      </w:r>
    </w:p>
    <w:p w14:paraId="43717B09" w14:textId="4ADA7FBA" w:rsidR="00876765" w:rsidRPr="00E20DB7" w:rsidRDefault="00876765" w:rsidP="0097454A">
      <w:pPr>
        <w:pStyle w:val="Sinespaciado"/>
        <w:jc w:val="both"/>
        <w:rPr>
          <w:rFonts w:asciiTheme="majorHAnsi" w:hAnsiTheme="majorHAnsi" w:cstheme="majorHAnsi"/>
        </w:rPr>
      </w:pPr>
    </w:p>
    <w:p w14:paraId="3B62F210" w14:textId="01A7CCB2" w:rsidR="007D58BB" w:rsidRPr="00E20DB7" w:rsidRDefault="007D58BB" w:rsidP="0097454A">
      <w:pPr>
        <w:pStyle w:val="Sinespaciado"/>
        <w:jc w:val="both"/>
        <w:rPr>
          <w:rFonts w:asciiTheme="majorHAnsi" w:hAnsiTheme="majorHAnsi" w:cstheme="majorHAnsi"/>
        </w:rPr>
      </w:pPr>
      <w:r w:rsidRPr="00E20DB7">
        <w:rPr>
          <w:rFonts w:asciiTheme="majorHAnsi" w:hAnsiTheme="majorHAnsi" w:cstheme="majorHAnsi"/>
        </w:rPr>
        <w:t xml:space="preserve">Es fundamental tener en cuenta que este nuevo marco normativo define que estas tarifas previstas para </w:t>
      </w:r>
      <w:r w:rsidR="00CA5614">
        <w:rPr>
          <w:rFonts w:asciiTheme="majorHAnsi" w:hAnsiTheme="majorHAnsi" w:cstheme="majorHAnsi"/>
        </w:rPr>
        <w:t>l</w:t>
      </w:r>
      <w:r w:rsidRPr="00E20DB7">
        <w:rPr>
          <w:rFonts w:asciiTheme="majorHAnsi" w:hAnsiTheme="majorHAnsi" w:cstheme="majorHAnsi"/>
        </w:rPr>
        <w:t xml:space="preserve">a liquidación de la sobretasa a la gasolina y al ACPM se incrementarán conforme a la variación anual del Índice de Precios al Consumidor (IPC) certificada por el DANE. Este factor tiene en cuenta la variación anual de los precios de los combustibles en la fijación de las tarifas para la sobretasa a la gasolina, lo que repercute positivamente en un mayor recaudo para las entidades territoriales. </w:t>
      </w:r>
    </w:p>
    <w:p w14:paraId="4392359F" w14:textId="77777777" w:rsidR="0097454A" w:rsidRPr="00E20DB7" w:rsidRDefault="0097454A" w:rsidP="00956D1F">
      <w:pPr>
        <w:pStyle w:val="Sinespaciado"/>
        <w:jc w:val="both"/>
        <w:rPr>
          <w:rFonts w:asciiTheme="majorHAnsi" w:hAnsiTheme="majorHAnsi" w:cstheme="majorHAnsi"/>
        </w:rPr>
      </w:pPr>
    </w:p>
    <w:p w14:paraId="5B581CC5" w14:textId="6659FDD0" w:rsidR="001A41FA" w:rsidRPr="00E20DB7" w:rsidRDefault="001A41FA" w:rsidP="00F83529">
      <w:pPr>
        <w:pStyle w:val="Sinespaciado"/>
        <w:numPr>
          <w:ilvl w:val="0"/>
          <w:numId w:val="32"/>
        </w:numPr>
        <w:jc w:val="both"/>
        <w:rPr>
          <w:rFonts w:asciiTheme="majorHAnsi" w:hAnsiTheme="majorHAnsi" w:cstheme="majorHAnsi"/>
          <w:b/>
          <w:bCs/>
          <w:sz w:val="28"/>
          <w:szCs w:val="28"/>
        </w:rPr>
      </w:pPr>
      <w:r w:rsidRPr="00E20DB7">
        <w:rPr>
          <w:rFonts w:asciiTheme="majorHAnsi" w:hAnsiTheme="majorHAnsi" w:cstheme="majorHAnsi"/>
          <w:b/>
          <w:bCs/>
          <w:sz w:val="28"/>
          <w:szCs w:val="28"/>
        </w:rPr>
        <w:t>Recaudo</w:t>
      </w:r>
    </w:p>
    <w:p w14:paraId="10FD3A20" w14:textId="5DABA960" w:rsidR="007C6C99" w:rsidRPr="00E20DB7" w:rsidRDefault="007C6C99" w:rsidP="001A41FA">
      <w:pPr>
        <w:pStyle w:val="Sinespaciado"/>
        <w:jc w:val="both"/>
        <w:rPr>
          <w:rFonts w:asciiTheme="majorHAnsi" w:hAnsiTheme="majorHAnsi" w:cstheme="majorHAnsi"/>
          <w:b/>
          <w:bCs/>
        </w:rPr>
      </w:pPr>
    </w:p>
    <w:p w14:paraId="1D8DBA38" w14:textId="212CAA3F" w:rsidR="007C6C99" w:rsidRPr="00E20DB7" w:rsidRDefault="007C6C99" w:rsidP="006C0658">
      <w:pPr>
        <w:pStyle w:val="Sinespaciado"/>
        <w:numPr>
          <w:ilvl w:val="1"/>
          <w:numId w:val="32"/>
        </w:numPr>
        <w:jc w:val="both"/>
        <w:rPr>
          <w:rFonts w:asciiTheme="majorHAnsi" w:hAnsiTheme="majorHAnsi" w:cstheme="majorHAnsi"/>
          <w:b/>
          <w:bCs/>
        </w:rPr>
      </w:pPr>
      <w:r w:rsidRPr="00E20DB7">
        <w:rPr>
          <w:rFonts w:asciiTheme="majorHAnsi" w:hAnsiTheme="majorHAnsi" w:cstheme="majorHAnsi"/>
          <w:b/>
          <w:bCs/>
        </w:rPr>
        <w:t>Sobretasa a la gasolina</w:t>
      </w:r>
      <w:r w:rsidR="00A46234">
        <w:rPr>
          <w:rFonts w:asciiTheme="majorHAnsi" w:hAnsiTheme="majorHAnsi" w:cstheme="majorHAnsi"/>
          <w:b/>
          <w:bCs/>
        </w:rPr>
        <w:t xml:space="preserve"> y al ACPM</w:t>
      </w:r>
    </w:p>
    <w:p w14:paraId="2FF555F1" w14:textId="71EEBBC4" w:rsidR="00B02B7D" w:rsidRPr="00E20DB7" w:rsidRDefault="00B02B7D" w:rsidP="001A41FA">
      <w:pPr>
        <w:pStyle w:val="Sinespaciado"/>
        <w:jc w:val="both"/>
        <w:rPr>
          <w:rFonts w:asciiTheme="majorHAnsi" w:hAnsiTheme="majorHAnsi" w:cstheme="majorHAnsi"/>
          <w:b/>
          <w:bCs/>
        </w:rPr>
      </w:pPr>
    </w:p>
    <w:p w14:paraId="6EA63766" w14:textId="07989A7E" w:rsidR="00B02B7D" w:rsidRDefault="009E0715" w:rsidP="007C6C99">
      <w:pPr>
        <w:pStyle w:val="Sinespaciado"/>
        <w:jc w:val="both"/>
        <w:rPr>
          <w:rFonts w:asciiTheme="majorHAnsi" w:hAnsiTheme="majorHAnsi" w:cstheme="majorHAnsi"/>
        </w:rPr>
      </w:pPr>
      <w:r w:rsidRPr="00E20DB7">
        <w:rPr>
          <w:rFonts w:asciiTheme="majorHAnsi" w:hAnsiTheme="majorHAnsi" w:cstheme="majorHAnsi"/>
        </w:rPr>
        <w:t>Según la información del informe de la Comisión de Estudios del Sistema Tributario Territorial, e</w:t>
      </w:r>
      <w:r w:rsidR="007C6C99" w:rsidRPr="00E20DB7">
        <w:rPr>
          <w:rFonts w:asciiTheme="majorHAnsi" w:hAnsiTheme="majorHAnsi" w:cstheme="majorHAnsi"/>
        </w:rPr>
        <w:t xml:space="preserve">n 2019 el recaudo de la sobretasa a la gasolina ascendió a $2,1 billones, donde $1,6 billones fueron ingresos de los municipios y </w:t>
      </w:r>
      <w:r w:rsidRPr="00E20DB7">
        <w:rPr>
          <w:rFonts w:asciiTheme="majorHAnsi" w:hAnsiTheme="majorHAnsi" w:cstheme="majorHAnsi"/>
        </w:rPr>
        <w:t>$500.000 millones fueron ingresos de los departamentos. Por su parte, l</w:t>
      </w:r>
      <w:r w:rsidR="007C6C99" w:rsidRPr="00E20DB7">
        <w:rPr>
          <w:rFonts w:asciiTheme="majorHAnsi" w:hAnsiTheme="majorHAnsi" w:cstheme="majorHAnsi"/>
        </w:rPr>
        <w:t>a sobretasa al</w:t>
      </w:r>
      <w:r w:rsidR="00635E60" w:rsidRPr="00E20DB7">
        <w:rPr>
          <w:rFonts w:asciiTheme="majorHAnsi" w:hAnsiTheme="majorHAnsi" w:cstheme="majorHAnsi"/>
        </w:rPr>
        <w:t xml:space="preserve"> </w:t>
      </w:r>
      <w:r w:rsidR="007C6C99" w:rsidRPr="00E20DB7">
        <w:rPr>
          <w:rFonts w:asciiTheme="majorHAnsi" w:hAnsiTheme="majorHAnsi" w:cstheme="majorHAnsi"/>
        </w:rPr>
        <w:t>ACPM</w:t>
      </w:r>
      <w:r w:rsidRPr="00E20DB7">
        <w:rPr>
          <w:rFonts w:asciiTheme="majorHAnsi" w:hAnsiTheme="majorHAnsi" w:cstheme="majorHAnsi"/>
        </w:rPr>
        <w:t xml:space="preserve"> </w:t>
      </w:r>
      <w:r w:rsidR="007C6C99" w:rsidRPr="00E20DB7">
        <w:rPr>
          <w:rFonts w:asciiTheme="majorHAnsi" w:hAnsiTheme="majorHAnsi" w:cstheme="majorHAnsi"/>
        </w:rPr>
        <w:t xml:space="preserve">representó </w:t>
      </w:r>
      <w:r w:rsidRPr="00E20DB7">
        <w:rPr>
          <w:rFonts w:asciiTheme="majorHAnsi" w:hAnsiTheme="majorHAnsi" w:cstheme="majorHAnsi"/>
        </w:rPr>
        <w:t>ingresos por concepto de $310.000 millones</w:t>
      </w:r>
      <w:r w:rsidR="00E41D06">
        <w:rPr>
          <w:rFonts w:asciiTheme="majorHAnsi" w:hAnsiTheme="majorHAnsi" w:cstheme="majorHAnsi"/>
        </w:rPr>
        <w:t xml:space="preserve"> en 2019</w:t>
      </w:r>
      <w:r w:rsidRPr="00E20DB7">
        <w:rPr>
          <w:rFonts w:asciiTheme="majorHAnsi" w:hAnsiTheme="majorHAnsi" w:cstheme="majorHAnsi"/>
        </w:rPr>
        <w:t>.</w:t>
      </w:r>
      <w:r w:rsidR="00635E60" w:rsidRPr="00E20DB7">
        <w:rPr>
          <w:rFonts w:asciiTheme="majorHAnsi" w:hAnsiTheme="majorHAnsi" w:cstheme="majorHAnsi"/>
        </w:rPr>
        <w:t xml:space="preserve"> </w:t>
      </w:r>
      <w:r w:rsidR="007C6C99" w:rsidRPr="00E20DB7">
        <w:rPr>
          <w:rFonts w:asciiTheme="majorHAnsi" w:hAnsiTheme="majorHAnsi" w:cstheme="majorHAnsi"/>
        </w:rPr>
        <w:t>El recaudo de la sobretasa a la gasolina ha crecido en promedio</w:t>
      </w:r>
      <w:r w:rsidR="00635E60" w:rsidRPr="00E20DB7">
        <w:rPr>
          <w:rFonts w:asciiTheme="majorHAnsi" w:hAnsiTheme="majorHAnsi" w:cstheme="majorHAnsi"/>
        </w:rPr>
        <w:t xml:space="preserve"> </w:t>
      </w:r>
      <w:r w:rsidR="007C6C99" w:rsidRPr="00E20DB7">
        <w:rPr>
          <w:rFonts w:asciiTheme="majorHAnsi" w:hAnsiTheme="majorHAnsi" w:cstheme="majorHAnsi"/>
        </w:rPr>
        <w:t>5,9 % en</w:t>
      </w:r>
      <w:r w:rsidR="00635E60" w:rsidRPr="00E20DB7">
        <w:rPr>
          <w:rFonts w:asciiTheme="majorHAnsi" w:hAnsiTheme="majorHAnsi" w:cstheme="majorHAnsi"/>
        </w:rPr>
        <w:t xml:space="preserve"> </w:t>
      </w:r>
      <w:r w:rsidR="007C6C99" w:rsidRPr="00E20DB7">
        <w:rPr>
          <w:rFonts w:asciiTheme="majorHAnsi" w:hAnsiTheme="majorHAnsi" w:cstheme="majorHAnsi"/>
        </w:rPr>
        <w:t>términos nominales desde 2013, mientras que el total de los impuestos</w:t>
      </w:r>
      <w:r w:rsidR="00635E60" w:rsidRPr="00E20DB7">
        <w:rPr>
          <w:rFonts w:asciiTheme="majorHAnsi" w:hAnsiTheme="majorHAnsi" w:cstheme="majorHAnsi"/>
        </w:rPr>
        <w:t xml:space="preserve"> </w:t>
      </w:r>
      <w:r w:rsidR="007C6C99" w:rsidRPr="00E20DB7">
        <w:rPr>
          <w:rFonts w:asciiTheme="majorHAnsi" w:hAnsiTheme="majorHAnsi" w:cstheme="majorHAnsi"/>
        </w:rPr>
        <w:t>territoriales registra</w:t>
      </w:r>
      <w:r w:rsidR="00635E60" w:rsidRPr="00E20DB7">
        <w:rPr>
          <w:rFonts w:asciiTheme="majorHAnsi" w:hAnsiTheme="majorHAnsi" w:cstheme="majorHAnsi"/>
        </w:rPr>
        <w:t xml:space="preserve"> </w:t>
      </w:r>
      <w:r w:rsidR="007C6C99" w:rsidRPr="00E20DB7">
        <w:rPr>
          <w:rFonts w:asciiTheme="majorHAnsi" w:hAnsiTheme="majorHAnsi" w:cstheme="majorHAnsi"/>
        </w:rPr>
        <w:t>una tasa promedio de aumento de 9,3 %</w:t>
      </w:r>
      <w:r w:rsidR="00FA0BEB">
        <w:rPr>
          <w:rFonts w:asciiTheme="majorHAnsi" w:hAnsiTheme="majorHAnsi" w:cstheme="majorHAnsi"/>
        </w:rPr>
        <w:t xml:space="preserve"> (CESTT, 2019)</w:t>
      </w:r>
      <w:r w:rsidR="007C6C99" w:rsidRPr="00E20DB7">
        <w:rPr>
          <w:rFonts w:asciiTheme="majorHAnsi" w:hAnsiTheme="majorHAnsi" w:cstheme="majorHAnsi"/>
        </w:rPr>
        <w:t xml:space="preserve">. </w:t>
      </w:r>
      <w:r w:rsidR="00FA0BEB">
        <w:rPr>
          <w:rFonts w:asciiTheme="majorHAnsi" w:hAnsiTheme="majorHAnsi" w:cstheme="majorHAnsi"/>
        </w:rPr>
        <w:t>Efecto de este crecimiento más lento,</w:t>
      </w:r>
      <w:r w:rsidR="007C6C99" w:rsidRPr="00E20DB7">
        <w:rPr>
          <w:rFonts w:asciiTheme="majorHAnsi" w:hAnsiTheme="majorHAnsi" w:cstheme="majorHAnsi"/>
        </w:rPr>
        <w:t xml:space="preserve"> la importancia relativa de la sobretasa a la</w:t>
      </w:r>
      <w:r w:rsidR="00635E60" w:rsidRPr="00E20DB7">
        <w:rPr>
          <w:rFonts w:asciiTheme="majorHAnsi" w:hAnsiTheme="majorHAnsi" w:cstheme="majorHAnsi"/>
        </w:rPr>
        <w:t xml:space="preserve"> </w:t>
      </w:r>
      <w:r w:rsidR="007C6C99" w:rsidRPr="00E20DB7">
        <w:rPr>
          <w:rFonts w:asciiTheme="majorHAnsi" w:hAnsiTheme="majorHAnsi" w:cstheme="majorHAnsi"/>
        </w:rPr>
        <w:t>gasolina en los ingresos tributarios de los entes territoriales ha disminuido,</w:t>
      </w:r>
      <w:r w:rsidR="00635E60" w:rsidRPr="00E20DB7">
        <w:rPr>
          <w:rFonts w:asciiTheme="majorHAnsi" w:hAnsiTheme="majorHAnsi" w:cstheme="majorHAnsi"/>
        </w:rPr>
        <w:t xml:space="preserve"> p</w:t>
      </w:r>
      <w:r w:rsidR="007C6C99" w:rsidRPr="00E20DB7">
        <w:rPr>
          <w:rFonts w:asciiTheme="majorHAnsi" w:hAnsiTheme="majorHAnsi" w:cstheme="majorHAnsi"/>
        </w:rPr>
        <w:t>asando de 8,8 % al inicio de la década a 5,7 % en 2019.</w:t>
      </w:r>
      <w:r w:rsidR="00FA0BEB">
        <w:rPr>
          <w:rFonts w:asciiTheme="majorHAnsi" w:hAnsiTheme="majorHAnsi" w:cstheme="majorHAnsi"/>
        </w:rPr>
        <w:t xml:space="preserve"> (CESTT, 2019).</w:t>
      </w:r>
    </w:p>
    <w:p w14:paraId="37D2009E" w14:textId="0E6E8418" w:rsidR="00702EBB" w:rsidRDefault="00702EBB" w:rsidP="007C6C99">
      <w:pPr>
        <w:pStyle w:val="Sinespaciado"/>
        <w:jc w:val="both"/>
        <w:rPr>
          <w:rFonts w:asciiTheme="majorHAnsi" w:hAnsiTheme="majorHAnsi" w:cstheme="majorHAnsi"/>
        </w:rPr>
      </w:pPr>
    </w:p>
    <w:p w14:paraId="00A78E6A" w14:textId="1EA84DE8" w:rsidR="001A41FA" w:rsidRPr="00E20DB7" w:rsidRDefault="002D29F2" w:rsidP="005F6D2E">
      <w:pPr>
        <w:pStyle w:val="Sinespaciado"/>
        <w:jc w:val="center"/>
        <w:rPr>
          <w:rFonts w:asciiTheme="majorHAnsi" w:hAnsiTheme="majorHAnsi" w:cstheme="majorHAnsi"/>
          <w:b/>
          <w:bCs/>
        </w:rPr>
      </w:pPr>
      <w:r w:rsidRPr="002D29F2">
        <w:rPr>
          <w:rFonts w:asciiTheme="majorHAnsi" w:hAnsiTheme="majorHAnsi" w:cstheme="majorHAnsi"/>
          <w:b/>
          <w:bCs/>
        </w:rPr>
        <w:lastRenderedPageBreak/>
        <w:t>Figura 1. Recaudo sobretasa a la gasolina (2000-2019)</w:t>
      </w:r>
      <w:r w:rsidR="00B02B7D" w:rsidRPr="00E20DB7">
        <w:rPr>
          <w:rFonts w:asciiTheme="majorHAnsi" w:hAnsiTheme="majorHAnsi" w:cstheme="majorHAnsi"/>
          <w:b/>
          <w:bCs/>
          <w:noProof/>
          <w:lang w:val="es-CO" w:eastAsia="es-CO"/>
        </w:rPr>
        <w:drawing>
          <wp:inline distT="0" distB="0" distL="0" distR="0" wp14:anchorId="09523660" wp14:editId="653B02CE">
            <wp:extent cx="5612130" cy="3937000"/>
            <wp:effectExtent l="0" t="0" r="7620" b="6350"/>
            <wp:docPr id="4" name="Imagen 4"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Histograma&#10;&#10;Descripción generada automáticamente"/>
                    <pic:cNvPicPr/>
                  </pic:nvPicPr>
                  <pic:blipFill rotWithShape="1">
                    <a:blip r:embed="rId9"/>
                    <a:srcRect t="6174"/>
                    <a:stretch/>
                  </pic:blipFill>
                  <pic:spPr bwMode="auto">
                    <a:xfrm>
                      <a:off x="0" y="0"/>
                      <a:ext cx="5612130" cy="3937000"/>
                    </a:xfrm>
                    <a:prstGeom prst="rect">
                      <a:avLst/>
                    </a:prstGeom>
                    <a:ln>
                      <a:noFill/>
                    </a:ln>
                    <a:extLst>
                      <a:ext uri="{53640926-AAD7-44D8-BBD7-CCE9431645EC}">
                        <a14:shadowObscured xmlns:a14="http://schemas.microsoft.com/office/drawing/2010/main"/>
                      </a:ext>
                    </a:extLst>
                  </pic:spPr>
                </pic:pic>
              </a:graphicData>
            </a:graphic>
          </wp:inline>
        </w:drawing>
      </w:r>
    </w:p>
    <w:p w14:paraId="20778B36" w14:textId="7C81B22B" w:rsidR="00360B04" w:rsidRPr="00E20DB7" w:rsidRDefault="002D29F2" w:rsidP="002D29F2">
      <w:pPr>
        <w:pStyle w:val="Sinespaciado"/>
        <w:jc w:val="center"/>
        <w:rPr>
          <w:rFonts w:asciiTheme="majorHAnsi" w:hAnsiTheme="majorHAnsi" w:cstheme="majorHAnsi"/>
        </w:rPr>
      </w:pPr>
      <w:r w:rsidRPr="00E20DB7">
        <w:rPr>
          <w:rFonts w:asciiTheme="majorHAnsi" w:hAnsiTheme="majorHAnsi" w:cstheme="majorHAnsi"/>
          <w:sz w:val="20"/>
          <w:szCs w:val="20"/>
        </w:rPr>
        <w:t xml:space="preserve">Fuente: </w:t>
      </w:r>
      <w:r>
        <w:rPr>
          <w:rFonts w:asciiTheme="majorHAnsi" w:hAnsiTheme="majorHAnsi" w:cstheme="majorHAnsi"/>
          <w:sz w:val="20"/>
          <w:szCs w:val="20"/>
        </w:rPr>
        <w:t>CESTT con base en DAF, FUT y Secretarias de Hacienda</w:t>
      </w:r>
    </w:p>
    <w:p w14:paraId="7A8A7172" w14:textId="3A4CD172" w:rsidR="00376A31" w:rsidRPr="00E20DB7" w:rsidRDefault="00376A31" w:rsidP="00360B04">
      <w:pPr>
        <w:spacing w:after="0"/>
        <w:ind w:left="-142" w:firstLine="3"/>
        <w:rPr>
          <w:rFonts w:asciiTheme="majorHAnsi" w:hAnsiTheme="majorHAnsi" w:cstheme="majorHAnsi"/>
          <w:sz w:val="18"/>
          <w:szCs w:val="18"/>
        </w:rPr>
      </w:pPr>
    </w:p>
    <w:p w14:paraId="67024AE0" w14:textId="0489C618" w:rsidR="00181D41" w:rsidRDefault="00F17654" w:rsidP="007C6C99">
      <w:pPr>
        <w:spacing w:after="0"/>
        <w:jc w:val="both"/>
        <w:rPr>
          <w:rFonts w:asciiTheme="majorHAnsi" w:hAnsiTheme="majorHAnsi" w:cstheme="majorHAnsi"/>
          <w:bCs/>
          <w:sz w:val="24"/>
          <w:szCs w:val="24"/>
        </w:rPr>
      </w:pPr>
      <w:r>
        <w:rPr>
          <w:rFonts w:asciiTheme="majorHAnsi" w:hAnsiTheme="majorHAnsi" w:cstheme="majorHAnsi"/>
          <w:bCs/>
          <w:sz w:val="24"/>
          <w:szCs w:val="24"/>
        </w:rPr>
        <w:t xml:space="preserve">La tendencia decreciente en la participación de los ingresos tributarios no es coherente con el incremento constante del parque automotor, el cual pasó de 3 millones de vehículos a 15 millones entre 2000-2019 (CESTT, 2019). Este efecto se debe a que la base gravable de la sobretasa a la </w:t>
      </w:r>
      <w:r w:rsidR="002F1C72">
        <w:rPr>
          <w:rFonts w:asciiTheme="majorHAnsi" w:hAnsiTheme="majorHAnsi" w:cstheme="majorHAnsi"/>
          <w:bCs/>
          <w:sz w:val="24"/>
          <w:szCs w:val="24"/>
        </w:rPr>
        <w:t>gasolina</w:t>
      </w:r>
      <w:r>
        <w:rPr>
          <w:rFonts w:asciiTheme="majorHAnsi" w:hAnsiTheme="majorHAnsi" w:cstheme="majorHAnsi"/>
          <w:bCs/>
          <w:sz w:val="24"/>
          <w:szCs w:val="24"/>
        </w:rPr>
        <w:t xml:space="preserve"> se ha mantenido constante desde 2010 debido a que el Ministerio de Minas fija el valor de referencia por medio de resolución.</w:t>
      </w:r>
      <w:r w:rsidR="00181D41">
        <w:rPr>
          <w:rFonts w:asciiTheme="majorHAnsi" w:hAnsiTheme="majorHAnsi" w:cstheme="majorHAnsi"/>
          <w:bCs/>
          <w:sz w:val="24"/>
          <w:szCs w:val="24"/>
        </w:rPr>
        <w:t xml:space="preserve"> </w:t>
      </w:r>
    </w:p>
    <w:p w14:paraId="27DA364A" w14:textId="77777777" w:rsidR="00181D41" w:rsidRDefault="00181D41" w:rsidP="007C6C99">
      <w:pPr>
        <w:spacing w:after="0"/>
        <w:jc w:val="both"/>
        <w:rPr>
          <w:rFonts w:asciiTheme="majorHAnsi" w:hAnsiTheme="majorHAnsi" w:cstheme="majorHAnsi"/>
          <w:bCs/>
          <w:sz w:val="24"/>
          <w:szCs w:val="24"/>
        </w:rPr>
      </w:pPr>
    </w:p>
    <w:p w14:paraId="793EC75B" w14:textId="6EB7FFCA" w:rsidR="00F17654" w:rsidRDefault="00181D41" w:rsidP="007C6C99">
      <w:pPr>
        <w:spacing w:after="0"/>
        <w:jc w:val="both"/>
        <w:rPr>
          <w:rFonts w:asciiTheme="majorHAnsi" w:hAnsiTheme="majorHAnsi" w:cstheme="majorHAnsi"/>
          <w:bCs/>
          <w:sz w:val="24"/>
          <w:szCs w:val="24"/>
        </w:rPr>
      </w:pPr>
      <w:r>
        <w:rPr>
          <w:rFonts w:asciiTheme="majorHAnsi" w:hAnsiTheme="majorHAnsi" w:cstheme="majorHAnsi"/>
          <w:bCs/>
          <w:sz w:val="24"/>
          <w:szCs w:val="24"/>
        </w:rPr>
        <w:t>Tomando los valores de</w:t>
      </w:r>
      <w:r w:rsidR="003B13E6">
        <w:rPr>
          <w:rFonts w:asciiTheme="majorHAnsi" w:hAnsiTheme="majorHAnsi" w:cstheme="majorHAnsi"/>
          <w:bCs/>
          <w:sz w:val="24"/>
          <w:szCs w:val="24"/>
        </w:rPr>
        <w:t>l</w:t>
      </w:r>
      <w:r>
        <w:rPr>
          <w:rFonts w:asciiTheme="majorHAnsi" w:hAnsiTheme="majorHAnsi" w:cstheme="majorHAnsi"/>
          <w:bCs/>
          <w:sz w:val="24"/>
          <w:szCs w:val="24"/>
        </w:rPr>
        <w:t xml:space="preserve"> recaudo de 2019, teniendo en cuenta que 2020 no es un año comparable, y asumiendo una variación del IPC del 3%, el</w:t>
      </w:r>
      <w:r w:rsidR="00891B33">
        <w:rPr>
          <w:rFonts w:asciiTheme="majorHAnsi" w:hAnsiTheme="majorHAnsi" w:cstheme="majorHAnsi"/>
          <w:bCs/>
          <w:sz w:val="24"/>
          <w:szCs w:val="24"/>
        </w:rPr>
        <w:t xml:space="preserve"> </w:t>
      </w:r>
      <w:r>
        <w:rPr>
          <w:rFonts w:asciiTheme="majorHAnsi" w:hAnsiTheme="majorHAnsi" w:cstheme="majorHAnsi"/>
          <w:bCs/>
          <w:sz w:val="24"/>
          <w:szCs w:val="24"/>
        </w:rPr>
        <w:t>recaudo</w:t>
      </w:r>
      <w:r w:rsidR="00891B33">
        <w:rPr>
          <w:rFonts w:asciiTheme="majorHAnsi" w:hAnsiTheme="majorHAnsi" w:cstheme="majorHAnsi"/>
          <w:bCs/>
          <w:sz w:val="24"/>
          <w:szCs w:val="24"/>
        </w:rPr>
        <w:t xml:space="preserve"> </w:t>
      </w:r>
      <w:r w:rsidR="003804F3">
        <w:rPr>
          <w:rFonts w:asciiTheme="majorHAnsi" w:hAnsiTheme="majorHAnsi" w:cstheme="majorHAnsi"/>
          <w:bCs/>
          <w:sz w:val="24"/>
          <w:szCs w:val="24"/>
        </w:rPr>
        <w:t xml:space="preserve">anual </w:t>
      </w:r>
      <w:r w:rsidR="00891B33">
        <w:rPr>
          <w:rFonts w:asciiTheme="majorHAnsi" w:hAnsiTheme="majorHAnsi" w:cstheme="majorHAnsi"/>
          <w:bCs/>
          <w:sz w:val="24"/>
          <w:szCs w:val="24"/>
        </w:rPr>
        <w:t>adicional</w:t>
      </w:r>
      <w:r>
        <w:rPr>
          <w:rFonts w:asciiTheme="majorHAnsi" w:hAnsiTheme="majorHAnsi" w:cstheme="majorHAnsi"/>
          <w:bCs/>
          <w:sz w:val="24"/>
          <w:szCs w:val="24"/>
        </w:rPr>
        <w:t xml:space="preserve"> </w:t>
      </w:r>
      <w:r w:rsidR="00891B33">
        <w:rPr>
          <w:rFonts w:asciiTheme="majorHAnsi" w:hAnsiTheme="majorHAnsi" w:cstheme="majorHAnsi"/>
          <w:bCs/>
          <w:sz w:val="24"/>
          <w:szCs w:val="24"/>
        </w:rPr>
        <w:t>de sobretasa a la gasolina</w:t>
      </w:r>
      <w:r w:rsidR="00551D3D">
        <w:rPr>
          <w:rFonts w:asciiTheme="majorHAnsi" w:hAnsiTheme="majorHAnsi" w:cstheme="majorHAnsi"/>
          <w:bCs/>
          <w:sz w:val="24"/>
          <w:szCs w:val="24"/>
        </w:rPr>
        <w:t xml:space="preserve"> luego de implementado este nuevo artículo</w:t>
      </w:r>
      <w:r w:rsidR="00891B33">
        <w:rPr>
          <w:rFonts w:asciiTheme="majorHAnsi" w:hAnsiTheme="majorHAnsi" w:cstheme="majorHAnsi"/>
          <w:bCs/>
          <w:sz w:val="24"/>
          <w:szCs w:val="24"/>
        </w:rPr>
        <w:t xml:space="preserve"> ser</w:t>
      </w:r>
      <w:r>
        <w:rPr>
          <w:rFonts w:asciiTheme="majorHAnsi" w:hAnsiTheme="majorHAnsi" w:cstheme="majorHAnsi"/>
          <w:bCs/>
          <w:sz w:val="24"/>
          <w:szCs w:val="24"/>
        </w:rPr>
        <w:t xml:space="preserve">ía del alrededor de </w:t>
      </w:r>
      <w:r w:rsidRPr="003478AC">
        <w:rPr>
          <w:rFonts w:asciiTheme="majorHAnsi" w:hAnsiTheme="majorHAnsi" w:cstheme="majorHAnsi"/>
          <w:b/>
          <w:sz w:val="24"/>
          <w:szCs w:val="24"/>
        </w:rPr>
        <w:t>$48.000 millones</w:t>
      </w:r>
      <w:r>
        <w:rPr>
          <w:rFonts w:asciiTheme="majorHAnsi" w:hAnsiTheme="majorHAnsi" w:cstheme="majorHAnsi"/>
          <w:bCs/>
          <w:sz w:val="24"/>
          <w:szCs w:val="24"/>
        </w:rPr>
        <w:t xml:space="preserve"> para los municipios y </w:t>
      </w:r>
      <w:r w:rsidRPr="003478AC">
        <w:rPr>
          <w:rFonts w:asciiTheme="majorHAnsi" w:hAnsiTheme="majorHAnsi" w:cstheme="majorHAnsi"/>
          <w:b/>
          <w:sz w:val="24"/>
          <w:szCs w:val="24"/>
        </w:rPr>
        <w:t>$15.000 millones</w:t>
      </w:r>
      <w:r>
        <w:rPr>
          <w:rFonts w:asciiTheme="majorHAnsi" w:hAnsiTheme="majorHAnsi" w:cstheme="majorHAnsi"/>
          <w:bCs/>
          <w:sz w:val="24"/>
          <w:szCs w:val="24"/>
        </w:rPr>
        <w:t xml:space="preserve"> para los departamentos. </w:t>
      </w:r>
      <w:r w:rsidR="00891B33">
        <w:rPr>
          <w:rFonts w:asciiTheme="majorHAnsi" w:hAnsiTheme="majorHAnsi" w:cstheme="majorHAnsi"/>
          <w:bCs/>
          <w:sz w:val="24"/>
          <w:szCs w:val="24"/>
        </w:rPr>
        <w:t xml:space="preserve">Por otro lado, el recaudo adicional por sobretasa al ACPM sería de aproximadamente </w:t>
      </w:r>
      <w:r w:rsidR="00891B33" w:rsidRPr="00891B33">
        <w:rPr>
          <w:rFonts w:asciiTheme="majorHAnsi" w:hAnsiTheme="majorHAnsi" w:cstheme="majorHAnsi"/>
          <w:b/>
          <w:sz w:val="24"/>
          <w:szCs w:val="24"/>
        </w:rPr>
        <w:t>$9.300 millones</w:t>
      </w:r>
      <w:r w:rsidR="002F1C72">
        <w:rPr>
          <w:rFonts w:asciiTheme="majorHAnsi" w:hAnsiTheme="majorHAnsi" w:cstheme="majorHAnsi"/>
          <w:b/>
          <w:sz w:val="24"/>
          <w:szCs w:val="24"/>
        </w:rPr>
        <w:t xml:space="preserve"> </w:t>
      </w:r>
      <w:r w:rsidR="002F1C72">
        <w:rPr>
          <w:rFonts w:asciiTheme="majorHAnsi" w:hAnsiTheme="majorHAnsi" w:cstheme="majorHAnsi"/>
          <w:bCs/>
          <w:sz w:val="24"/>
          <w:szCs w:val="24"/>
        </w:rPr>
        <w:t>para los departamentos</w:t>
      </w:r>
      <w:r w:rsidR="00891B33">
        <w:rPr>
          <w:rFonts w:asciiTheme="majorHAnsi" w:hAnsiTheme="majorHAnsi" w:cstheme="majorHAnsi"/>
          <w:bCs/>
          <w:sz w:val="24"/>
          <w:szCs w:val="24"/>
        </w:rPr>
        <w:t xml:space="preserve">. </w:t>
      </w:r>
      <w:r w:rsidR="00962A27">
        <w:rPr>
          <w:rFonts w:asciiTheme="majorHAnsi" w:hAnsiTheme="majorHAnsi" w:cstheme="majorHAnsi"/>
          <w:bCs/>
          <w:sz w:val="24"/>
          <w:szCs w:val="24"/>
        </w:rPr>
        <w:t>S</w:t>
      </w:r>
      <w:r w:rsidR="006A7B3F">
        <w:rPr>
          <w:rFonts w:asciiTheme="majorHAnsi" w:hAnsiTheme="majorHAnsi" w:cstheme="majorHAnsi"/>
          <w:bCs/>
          <w:sz w:val="24"/>
          <w:szCs w:val="24"/>
        </w:rPr>
        <w:t xml:space="preserve">e estima el recaudo para 2021 </w:t>
      </w:r>
      <w:r w:rsidR="00962A27">
        <w:rPr>
          <w:rFonts w:asciiTheme="majorHAnsi" w:hAnsiTheme="majorHAnsi" w:cstheme="majorHAnsi"/>
          <w:bCs/>
          <w:sz w:val="24"/>
          <w:szCs w:val="24"/>
        </w:rPr>
        <w:t>a partir de</w:t>
      </w:r>
      <w:r w:rsidR="006A7B3F">
        <w:rPr>
          <w:rFonts w:asciiTheme="majorHAnsi" w:hAnsiTheme="majorHAnsi" w:cstheme="majorHAnsi"/>
          <w:bCs/>
          <w:sz w:val="24"/>
          <w:szCs w:val="24"/>
        </w:rPr>
        <w:t xml:space="preserve"> un crecimiento del 6% respecto a 2019. Para 2022 en adelante, se asume una tasa de crecimiento del 6% en el recaudo,</w:t>
      </w:r>
      <w:r w:rsidR="00D43C34">
        <w:rPr>
          <w:rFonts w:asciiTheme="majorHAnsi" w:hAnsiTheme="majorHAnsi" w:cstheme="majorHAnsi"/>
          <w:bCs/>
          <w:sz w:val="24"/>
          <w:szCs w:val="24"/>
        </w:rPr>
        <w:t xml:space="preserve"> junto con una inflación anual proyectada del 3%</w:t>
      </w:r>
      <w:r w:rsidR="006A7B3F">
        <w:rPr>
          <w:rFonts w:asciiTheme="majorHAnsi" w:hAnsiTheme="majorHAnsi" w:cstheme="majorHAnsi"/>
          <w:bCs/>
          <w:sz w:val="24"/>
          <w:szCs w:val="24"/>
        </w:rPr>
        <w:t>. Se</w:t>
      </w:r>
      <w:r w:rsidR="00D43C34">
        <w:rPr>
          <w:rFonts w:asciiTheme="majorHAnsi" w:hAnsiTheme="majorHAnsi" w:cstheme="majorHAnsi"/>
          <w:bCs/>
          <w:sz w:val="24"/>
          <w:szCs w:val="24"/>
        </w:rPr>
        <w:t xml:space="preserve"> estima un comportamiento del recaudo </w:t>
      </w:r>
      <w:r w:rsidR="006C0658">
        <w:rPr>
          <w:rFonts w:asciiTheme="majorHAnsi" w:hAnsiTheme="majorHAnsi" w:cstheme="majorHAnsi"/>
          <w:bCs/>
          <w:sz w:val="24"/>
          <w:szCs w:val="24"/>
        </w:rPr>
        <w:t xml:space="preserve">de sobretasa a la gasolina </w:t>
      </w:r>
      <w:r w:rsidR="00D43C34">
        <w:rPr>
          <w:rFonts w:asciiTheme="majorHAnsi" w:hAnsiTheme="majorHAnsi" w:cstheme="majorHAnsi"/>
          <w:bCs/>
          <w:sz w:val="24"/>
          <w:szCs w:val="24"/>
        </w:rPr>
        <w:t>de la siguiente forma:</w:t>
      </w:r>
    </w:p>
    <w:p w14:paraId="23DCC7EB" w14:textId="67EE4C9F" w:rsidR="00655315" w:rsidRDefault="00655315" w:rsidP="007C6C99">
      <w:pPr>
        <w:spacing w:after="0"/>
        <w:jc w:val="both"/>
        <w:rPr>
          <w:rFonts w:asciiTheme="majorHAnsi" w:hAnsiTheme="majorHAnsi" w:cstheme="majorHAnsi"/>
          <w:bCs/>
          <w:sz w:val="24"/>
          <w:szCs w:val="24"/>
        </w:rPr>
      </w:pPr>
    </w:p>
    <w:p w14:paraId="3BFE7030" w14:textId="2B22C804" w:rsidR="00655315" w:rsidRDefault="00655315" w:rsidP="007C6C99">
      <w:pPr>
        <w:spacing w:after="0"/>
        <w:jc w:val="both"/>
        <w:rPr>
          <w:rFonts w:asciiTheme="majorHAnsi" w:hAnsiTheme="majorHAnsi" w:cstheme="majorHAnsi"/>
          <w:bCs/>
          <w:sz w:val="24"/>
          <w:szCs w:val="24"/>
        </w:rPr>
      </w:pPr>
    </w:p>
    <w:p w14:paraId="70600E7A" w14:textId="77777777" w:rsidR="00655315" w:rsidRDefault="00655315" w:rsidP="007C6C99">
      <w:pPr>
        <w:spacing w:after="0"/>
        <w:jc w:val="both"/>
        <w:rPr>
          <w:rFonts w:asciiTheme="majorHAnsi" w:hAnsiTheme="majorHAnsi" w:cstheme="majorHAnsi"/>
          <w:bCs/>
          <w:sz w:val="24"/>
          <w:szCs w:val="24"/>
        </w:rPr>
      </w:pPr>
    </w:p>
    <w:p w14:paraId="7085EAA3" w14:textId="5C8769B9" w:rsidR="00E70360" w:rsidRDefault="00E70360" w:rsidP="007C6C99">
      <w:pPr>
        <w:spacing w:after="0"/>
        <w:jc w:val="both"/>
        <w:rPr>
          <w:rFonts w:asciiTheme="majorHAnsi" w:hAnsiTheme="majorHAnsi" w:cstheme="majorHAnsi"/>
          <w:bCs/>
          <w:sz w:val="24"/>
          <w:szCs w:val="24"/>
        </w:rPr>
      </w:pPr>
    </w:p>
    <w:p w14:paraId="50D612CB" w14:textId="77777777" w:rsidR="003804F3" w:rsidRDefault="00E70360" w:rsidP="00E70360">
      <w:pPr>
        <w:pStyle w:val="Sinespaciado"/>
        <w:jc w:val="center"/>
        <w:rPr>
          <w:rFonts w:asciiTheme="majorHAnsi" w:hAnsiTheme="majorHAnsi" w:cstheme="majorHAnsi"/>
          <w:b/>
          <w:bCs/>
        </w:rPr>
      </w:pPr>
      <w:r w:rsidRPr="002D29F2">
        <w:rPr>
          <w:rFonts w:asciiTheme="majorHAnsi" w:hAnsiTheme="majorHAnsi" w:cstheme="majorHAnsi"/>
          <w:b/>
          <w:bCs/>
        </w:rPr>
        <w:lastRenderedPageBreak/>
        <w:t xml:space="preserve">Figura </w:t>
      </w:r>
      <w:r>
        <w:rPr>
          <w:rFonts w:asciiTheme="majorHAnsi" w:hAnsiTheme="majorHAnsi" w:cstheme="majorHAnsi"/>
          <w:b/>
          <w:bCs/>
        </w:rPr>
        <w:t>2</w:t>
      </w:r>
      <w:r w:rsidRPr="002D29F2">
        <w:rPr>
          <w:rFonts w:asciiTheme="majorHAnsi" w:hAnsiTheme="majorHAnsi" w:cstheme="majorHAnsi"/>
          <w:b/>
          <w:bCs/>
        </w:rPr>
        <w:t xml:space="preserve">. </w:t>
      </w:r>
      <w:r>
        <w:rPr>
          <w:rFonts w:asciiTheme="majorHAnsi" w:hAnsiTheme="majorHAnsi" w:cstheme="majorHAnsi"/>
          <w:b/>
          <w:bCs/>
        </w:rPr>
        <w:t>Proyección recaudo</w:t>
      </w:r>
      <w:r w:rsidRPr="002D29F2">
        <w:rPr>
          <w:rFonts w:asciiTheme="majorHAnsi" w:hAnsiTheme="majorHAnsi" w:cstheme="majorHAnsi"/>
          <w:b/>
          <w:bCs/>
        </w:rPr>
        <w:t xml:space="preserve"> sobretasa a la gasolina (</w:t>
      </w:r>
      <w:r>
        <w:rPr>
          <w:rFonts w:asciiTheme="majorHAnsi" w:hAnsiTheme="majorHAnsi" w:cstheme="majorHAnsi"/>
          <w:b/>
          <w:bCs/>
        </w:rPr>
        <w:t>202</w:t>
      </w:r>
      <w:r w:rsidR="002F06DF">
        <w:rPr>
          <w:rFonts w:asciiTheme="majorHAnsi" w:hAnsiTheme="majorHAnsi" w:cstheme="majorHAnsi"/>
          <w:b/>
          <w:bCs/>
        </w:rPr>
        <w:t>1</w:t>
      </w:r>
      <w:r w:rsidRPr="002D29F2">
        <w:rPr>
          <w:rFonts w:asciiTheme="majorHAnsi" w:hAnsiTheme="majorHAnsi" w:cstheme="majorHAnsi"/>
          <w:b/>
          <w:bCs/>
        </w:rPr>
        <w:t>-20</w:t>
      </w:r>
      <w:r w:rsidR="00563A8C">
        <w:rPr>
          <w:rFonts w:asciiTheme="majorHAnsi" w:hAnsiTheme="majorHAnsi" w:cstheme="majorHAnsi"/>
          <w:b/>
          <w:bCs/>
        </w:rPr>
        <w:t>2</w:t>
      </w:r>
      <w:r w:rsidR="006A7B3F">
        <w:rPr>
          <w:rFonts w:asciiTheme="majorHAnsi" w:hAnsiTheme="majorHAnsi" w:cstheme="majorHAnsi"/>
          <w:b/>
          <w:bCs/>
        </w:rPr>
        <w:t>4</w:t>
      </w:r>
      <w:r w:rsidRPr="002D29F2">
        <w:rPr>
          <w:rFonts w:asciiTheme="majorHAnsi" w:hAnsiTheme="majorHAnsi" w:cstheme="majorHAnsi"/>
          <w:b/>
          <w:bCs/>
        </w:rPr>
        <w:t>)</w:t>
      </w:r>
      <w:r w:rsidR="003804F3">
        <w:rPr>
          <w:rFonts w:asciiTheme="majorHAnsi" w:hAnsiTheme="majorHAnsi" w:cstheme="majorHAnsi"/>
          <w:b/>
          <w:bCs/>
        </w:rPr>
        <w:t xml:space="preserve">. </w:t>
      </w:r>
    </w:p>
    <w:p w14:paraId="41808FD8" w14:textId="65678E97" w:rsidR="00D43C34" w:rsidRPr="00E70360" w:rsidRDefault="003804F3" w:rsidP="00E70360">
      <w:pPr>
        <w:pStyle w:val="Sinespaciado"/>
        <w:jc w:val="center"/>
        <w:rPr>
          <w:rFonts w:asciiTheme="majorHAnsi" w:hAnsiTheme="majorHAnsi" w:cstheme="majorHAnsi"/>
          <w:b/>
          <w:bCs/>
        </w:rPr>
      </w:pPr>
      <w:r>
        <w:rPr>
          <w:rFonts w:asciiTheme="majorHAnsi" w:hAnsiTheme="majorHAnsi" w:cstheme="majorHAnsi"/>
          <w:b/>
          <w:bCs/>
        </w:rPr>
        <w:t>Billones de pesos</w:t>
      </w:r>
    </w:p>
    <w:p w14:paraId="40BF5F47" w14:textId="3628E778" w:rsidR="00702EBB" w:rsidRDefault="006A7B3F" w:rsidP="007C6C99">
      <w:pPr>
        <w:spacing w:after="0"/>
        <w:jc w:val="both"/>
        <w:rPr>
          <w:rFonts w:asciiTheme="majorHAnsi" w:hAnsiTheme="majorHAnsi" w:cstheme="majorHAnsi"/>
          <w:bCs/>
          <w:sz w:val="24"/>
          <w:szCs w:val="24"/>
        </w:rPr>
      </w:pPr>
      <w:r>
        <w:rPr>
          <w:noProof/>
          <w:lang w:eastAsia="es-CO"/>
        </w:rPr>
        <w:drawing>
          <wp:inline distT="0" distB="0" distL="0" distR="0" wp14:anchorId="5A44B019" wp14:editId="0C1CF647">
            <wp:extent cx="5612130" cy="2867660"/>
            <wp:effectExtent l="0" t="0" r="7620" b="8890"/>
            <wp:docPr id="9" name="Gráfico 9">
              <a:extLst xmlns:a="http://schemas.openxmlformats.org/drawingml/2006/main">
                <a:ext uri="{FF2B5EF4-FFF2-40B4-BE49-F238E27FC236}">
                  <a16:creationId xmlns:a16="http://schemas.microsoft.com/office/drawing/2014/main" id="{C15E622B-4131-3745-A1A9-D4E599DBE9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1732EA" w14:textId="088196B6" w:rsidR="00F17654" w:rsidRDefault="00352021" w:rsidP="00352021">
      <w:pPr>
        <w:spacing w:after="0"/>
        <w:jc w:val="center"/>
        <w:rPr>
          <w:rFonts w:asciiTheme="majorHAnsi" w:hAnsiTheme="majorHAnsi" w:cstheme="majorHAnsi"/>
          <w:sz w:val="20"/>
          <w:szCs w:val="20"/>
        </w:rPr>
      </w:pPr>
      <w:r w:rsidRPr="00E20DB7">
        <w:rPr>
          <w:rFonts w:asciiTheme="majorHAnsi" w:hAnsiTheme="majorHAnsi" w:cstheme="majorHAnsi"/>
          <w:sz w:val="20"/>
          <w:szCs w:val="20"/>
        </w:rPr>
        <w:t xml:space="preserve">Fuente: </w:t>
      </w:r>
      <w:r>
        <w:rPr>
          <w:rFonts w:asciiTheme="majorHAnsi" w:hAnsiTheme="majorHAnsi" w:cstheme="majorHAnsi"/>
          <w:sz w:val="20"/>
          <w:szCs w:val="20"/>
        </w:rPr>
        <w:t>FUT. Cálculos propios.</w:t>
      </w:r>
    </w:p>
    <w:p w14:paraId="3CB2B5FE" w14:textId="2EFCA652" w:rsidR="00352021" w:rsidRDefault="00352021" w:rsidP="009B2E68">
      <w:pPr>
        <w:spacing w:after="0"/>
        <w:jc w:val="both"/>
        <w:rPr>
          <w:rFonts w:asciiTheme="majorHAnsi" w:hAnsiTheme="majorHAnsi" w:cstheme="majorHAnsi"/>
          <w:sz w:val="20"/>
          <w:szCs w:val="20"/>
        </w:rPr>
      </w:pPr>
    </w:p>
    <w:p w14:paraId="605CBFCE" w14:textId="0E280874" w:rsidR="00281A62" w:rsidRDefault="00281A62" w:rsidP="009B2E68">
      <w:pPr>
        <w:spacing w:after="0"/>
        <w:jc w:val="both"/>
        <w:rPr>
          <w:rFonts w:asciiTheme="majorHAnsi" w:hAnsiTheme="majorHAnsi" w:cstheme="majorHAnsi"/>
          <w:bCs/>
          <w:sz w:val="24"/>
          <w:szCs w:val="24"/>
        </w:rPr>
      </w:pPr>
      <w:r>
        <w:rPr>
          <w:rFonts w:asciiTheme="majorHAnsi" w:hAnsiTheme="majorHAnsi" w:cstheme="majorHAnsi"/>
          <w:bCs/>
          <w:sz w:val="24"/>
          <w:szCs w:val="24"/>
        </w:rPr>
        <w:t xml:space="preserve">Este resultado se estima </w:t>
      </w:r>
      <w:r w:rsidR="00B65BAC">
        <w:rPr>
          <w:rFonts w:asciiTheme="majorHAnsi" w:hAnsiTheme="majorHAnsi" w:cstheme="majorHAnsi"/>
          <w:bCs/>
          <w:sz w:val="24"/>
          <w:szCs w:val="24"/>
        </w:rPr>
        <w:t xml:space="preserve">sin </w:t>
      </w:r>
      <w:r w:rsidR="003F56A6">
        <w:rPr>
          <w:rFonts w:asciiTheme="majorHAnsi" w:hAnsiTheme="majorHAnsi" w:cstheme="majorHAnsi"/>
          <w:bCs/>
          <w:sz w:val="24"/>
          <w:szCs w:val="24"/>
        </w:rPr>
        <w:t>tener en cuenta</w:t>
      </w:r>
      <w:r>
        <w:rPr>
          <w:rFonts w:asciiTheme="majorHAnsi" w:hAnsiTheme="majorHAnsi" w:cstheme="majorHAnsi"/>
          <w:bCs/>
          <w:sz w:val="24"/>
          <w:szCs w:val="24"/>
        </w:rPr>
        <w:t xml:space="preserve"> </w:t>
      </w:r>
      <w:r w:rsidR="003F56A6">
        <w:rPr>
          <w:rFonts w:asciiTheme="majorHAnsi" w:hAnsiTheme="majorHAnsi" w:cstheme="majorHAnsi"/>
          <w:bCs/>
          <w:sz w:val="24"/>
          <w:szCs w:val="24"/>
        </w:rPr>
        <w:t>algunas de las realidades que erosionan la base gravable de la sobretasa a la gasolina tales como el aumento en el porcentaje de biocombustibles en la gasolina</w:t>
      </w:r>
      <w:r>
        <w:rPr>
          <w:rFonts w:asciiTheme="majorHAnsi" w:hAnsiTheme="majorHAnsi" w:cstheme="majorHAnsi"/>
          <w:bCs/>
          <w:sz w:val="24"/>
          <w:szCs w:val="24"/>
        </w:rPr>
        <w:t xml:space="preserve"> y </w:t>
      </w:r>
      <w:r w:rsidR="003F56A6">
        <w:rPr>
          <w:rFonts w:asciiTheme="majorHAnsi" w:hAnsiTheme="majorHAnsi" w:cstheme="majorHAnsi"/>
          <w:bCs/>
          <w:sz w:val="24"/>
          <w:szCs w:val="24"/>
        </w:rPr>
        <w:t xml:space="preserve">el consumo de combustibles no fósiles (electricidad, gas, </w:t>
      </w:r>
      <w:proofErr w:type="spellStart"/>
      <w:r w:rsidR="003F56A6">
        <w:rPr>
          <w:rFonts w:asciiTheme="majorHAnsi" w:hAnsiTheme="majorHAnsi" w:cstheme="majorHAnsi"/>
          <w:bCs/>
          <w:sz w:val="24"/>
          <w:szCs w:val="24"/>
        </w:rPr>
        <w:t>etc</w:t>
      </w:r>
      <w:proofErr w:type="spellEnd"/>
      <w:r w:rsidR="003F56A6">
        <w:rPr>
          <w:rFonts w:asciiTheme="majorHAnsi" w:hAnsiTheme="majorHAnsi" w:cstheme="majorHAnsi"/>
          <w:bCs/>
          <w:sz w:val="24"/>
          <w:szCs w:val="24"/>
        </w:rPr>
        <w:t>)</w:t>
      </w:r>
      <w:r>
        <w:rPr>
          <w:rFonts w:asciiTheme="majorHAnsi" w:hAnsiTheme="majorHAnsi" w:cstheme="majorHAnsi"/>
          <w:bCs/>
          <w:sz w:val="24"/>
          <w:szCs w:val="24"/>
        </w:rPr>
        <w:t xml:space="preserve">. </w:t>
      </w:r>
    </w:p>
    <w:p w14:paraId="2BD0874F" w14:textId="77777777" w:rsidR="00281A62" w:rsidRDefault="00281A62" w:rsidP="009B2E68">
      <w:pPr>
        <w:spacing w:after="0"/>
        <w:jc w:val="both"/>
        <w:rPr>
          <w:rFonts w:asciiTheme="majorHAnsi" w:hAnsiTheme="majorHAnsi" w:cstheme="majorHAnsi"/>
          <w:bCs/>
          <w:sz w:val="24"/>
          <w:szCs w:val="24"/>
        </w:rPr>
      </w:pPr>
    </w:p>
    <w:p w14:paraId="2D85517C" w14:textId="50B8E602" w:rsidR="00352021" w:rsidRDefault="006C0658" w:rsidP="009B2E68">
      <w:pPr>
        <w:spacing w:after="0"/>
        <w:jc w:val="both"/>
        <w:rPr>
          <w:rFonts w:asciiTheme="majorHAnsi" w:hAnsiTheme="majorHAnsi" w:cstheme="majorHAnsi"/>
          <w:bCs/>
          <w:sz w:val="24"/>
          <w:szCs w:val="24"/>
        </w:rPr>
      </w:pPr>
      <w:r>
        <w:rPr>
          <w:rFonts w:asciiTheme="majorHAnsi" w:hAnsiTheme="majorHAnsi" w:cstheme="majorHAnsi"/>
          <w:bCs/>
          <w:sz w:val="24"/>
          <w:szCs w:val="24"/>
        </w:rPr>
        <w:t>Por otro lado,</w:t>
      </w:r>
      <w:r w:rsidR="00951C37">
        <w:rPr>
          <w:rFonts w:asciiTheme="majorHAnsi" w:hAnsiTheme="majorHAnsi" w:cstheme="majorHAnsi"/>
          <w:bCs/>
          <w:sz w:val="24"/>
          <w:szCs w:val="24"/>
        </w:rPr>
        <w:t xml:space="preserve"> se observa que en promedio el crecimiento del recaudo de la sobretasa al ACPM fue de 3% entre 2012 y 2020. En ese sentido,</w:t>
      </w:r>
      <w:r>
        <w:rPr>
          <w:rFonts w:asciiTheme="majorHAnsi" w:hAnsiTheme="majorHAnsi" w:cstheme="majorHAnsi"/>
          <w:bCs/>
          <w:sz w:val="24"/>
          <w:szCs w:val="24"/>
        </w:rPr>
        <w:t xml:space="preserve"> asumiendo una inflación constante de 3% y un crecimiento promedio del recaudo de sobretasa al ACPM del 3%, se estima un recaudo de sobretasa al ACPM de la siguiente forma:</w:t>
      </w:r>
    </w:p>
    <w:p w14:paraId="758A33EB" w14:textId="51F6C3AB" w:rsidR="006C0658" w:rsidRDefault="006C0658" w:rsidP="006C0658">
      <w:pPr>
        <w:spacing w:after="0"/>
        <w:rPr>
          <w:rFonts w:asciiTheme="majorHAnsi" w:hAnsiTheme="majorHAnsi" w:cstheme="majorHAnsi"/>
          <w:bCs/>
          <w:sz w:val="24"/>
          <w:szCs w:val="24"/>
        </w:rPr>
      </w:pPr>
    </w:p>
    <w:p w14:paraId="54FBF9EE" w14:textId="337A2C9A" w:rsidR="006C0658" w:rsidRPr="00E70360" w:rsidRDefault="006C0658" w:rsidP="006C0658">
      <w:pPr>
        <w:pStyle w:val="Sinespaciado"/>
        <w:jc w:val="center"/>
        <w:rPr>
          <w:rFonts w:asciiTheme="majorHAnsi" w:hAnsiTheme="majorHAnsi" w:cstheme="majorHAnsi"/>
          <w:b/>
          <w:bCs/>
        </w:rPr>
      </w:pPr>
      <w:r w:rsidRPr="002D29F2">
        <w:rPr>
          <w:rFonts w:asciiTheme="majorHAnsi" w:hAnsiTheme="majorHAnsi" w:cstheme="majorHAnsi"/>
          <w:b/>
          <w:bCs/>
        </w:rPr>
        <w:t xml:space="preserve">Figura </w:t>
      </w:r>
      <w:r>
        <w:rPr>
          <w:rFonts w:asciiTheme="majorHAnsi" w:hAnsiTheme="majorHAnsi" w:cstheme="majorHAnsi"/>
          <w:b/>
          <w:bCs/>
        </w:rPr>
        <w:t>3</w:t>
      </w:r>
      <w:r w:rsidRPr="002D29F2">
        <w:rPr>
          <w:rFonts w:asciiTheme="majorHAnsi" w:hAnsiTheme="majorHAnsi" w:cstheme="majorHAnsi"/>
          <w:b/>
          <w:bCs/>
        </w:rPr>
        <w:t xml:space="preserve">. </w:t>
      </w:r>
      <w:r>
        <w:rPr>
          <w:rFonts w:asciiTheme="majorHAnsi" w:hAnsiTheme="majorHAnsi" w:cstheme="majorHAnsi"/>
          <w:b/>
          <w:bCs/>
        </w:rPr>
        <w:t>Proyección recaudo</w:t>
      </w:r>
      <w:r w:rsidRPr="002D29F2">
        <w:rPr>
          <w:rFonts w:asciiTheme="majorHAnsi" w:hAnsiTheme="majorHAnsi" w:cstheme="majorHAnsi"/>
          <w:b/>
          <w:bCs/>
        </w:rPr>
        <w:t xml:space="preserve"> sobretasa a</w:t>
      </w:r>
      <w:r>
        <w:rPr>
          <w:rFonts w:asciiTheme="majorHAnsi" w:hAnsiTheme="majorHAnsi" w:cstheme="majorHAnsi"/>
          <w:b/>
          <w:bCs/>
        </w:rPr>
        <w:t xml:space="preserve">l ACPM </w:t>
      </w:r>
      <w:r w:rsidRPr="002D29F2">
        <w:rPr>
          <w:rFonts w:asciiTheme="majorHAnsi" w:hAnsiTheme="majorHAnsi" w:cstheme="majorHAnsi"/>
          <w:b/>
          <w:bCs/>
        </w:rPr>
        <w:t>(</w:t>
      </w:r>
      <w:r>
        <w:rPr>
          <w:rFonts w:asciiTheme="majorHAnsi" w:hAnsiTheme="majorHAnsi" w:cstheme="majorHAnsi"/>
          <w:b/>
          <w:bCs/>
        </w:rPr>
        <w:t>2021</w:t>
      </w:r>
      <w:r w:rsidRPr="002D29F2">
        <w:rPr>
          <w:rFonts w:asciiTheme="majorHAnsi" w:hAnsiTheme="majorHAnsi" w:cstheme="majorHAnsi"/>
          <w:b/>
          <w:bCs/>
        </w:rPr>
        <w:t>-20</w:t>
      </w:r>
      <w:r>
        <w:rPr>
          <w:rFonts w:asciiTheme="majorHAnsi" w:hAnsiTheme="majorHAnsi" w:cstheme="majorHAnsi"/>
          <w:b/>
          <w:bCs/>
        </w:rPr>
        <w:t>25</w:t>
      </w:r>
      <w:r w:rsidRPr="002D29F2">
        <w:rPr>
          <w:rFonts w:asciiTheme="majorHAnsi" w:hAnsiTheme="majorHAnsi" w:cstheme="majorHAnsi"/>
          <w:b/>
          <w:bCs/>
        </w:rPr>
        <w:t>)</w:t>
      </w:r>
      <w:r w:rsidR="00B12C03">
        <w:rPr>
          <w:rFonts w:asciiTheme="majorHAnsi" w:hAnsiTheme="majorHAnsi" w:cstheme="majorHAnsi"/>
          <w:b/>
          <w:bCs/>
        </w:rPr>
        <w:t>. Miles de millones</w:t>
      </w:r>
    </w:p>
    <w:p w14:paraId="03FB2661" w14:textId="064A5BB0" w:rsidR="006C0658" w:rsidRDefault="006D4F29" w:rsidP="006C0658">
      <w:pPr>
        <w:spacing w:after="0"/>
        <w:rPr>
          <w:rFonts w:asciiTheme="majorHAnsi" w:hAnsiTheme="majorHAnsi" w:cstheme="majorHAnsi"/>
          <w:bCs/>
          <w:sz w:val="24"/>
          <w:szCs w:val="24"/>
        </w:rPr>
      </w:pPr>
      <w:r>
        <w:rPr>
          <w:noProof/>
          <w:lang w:eastAsia="es-CO"/>
        </w:rPr>
        <w:lastRenderedPageBreak/>
        <w:drawing>
          <wp:inline distT="0" distB="0" distL="0" distR="0" wp14:anchorId="6DAC2051" wp14:editId="3912919E">
            <wp:extent cx="5612130" cy="2689860"/>
            <wp:effectExtent l="0" t="0" r="7620" b="0"/>
            <wp:docPr id="8" name="Gráfico 8">
              <a:extLst xmlns:a="http://schemas.openxmlformats.org/drawingml/2006/main">
                <a:ext uri="{FF2B5EF4-FFF2-40B4-BE49-F238E27FC236}">
                  <a16:creationId xmlns:a16="http://schemas.microsoft.com/office/drawing/2014/main" id="{4F1D6C80-B2BA-F54F-B6CC-D36706648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6A0AAE" w14:textId="208FC71A" w:rsidR="006C0658" w:rsidRDefault="00B12C03" w:rsidP="00B12C03">
      <w:pPr>
        <w:spacing w:after="0"/>
        <w:jc w:val="center"/>
        <w:rPr>
          <w:rFonts w:asciiTheme="majorHAnsi" w:hAnsiTheme="majorHAnsi" w:cstheme="majorHAnsi"/>
          <w:sz w:val="20"/>
          <w:szCs w:val="20"/>
        </w:rPr>
      </w:pPr>
      <w:r w:rsidRPr="00E20DB7">
        <w:rPr>
          <w:rFonts w:asciiTheme="majorHAnsi" w:hAnsiTheme="majorHAnsi" w:cstheme="majorHAnsi"/>
          <w:sz w:val="20"/>
          <w:szCs w:val="20"/>
        </w:rPr>
        <w:t xml:space="preserve">Fuente: </w:t>
      </w:r>
      <w:r>
        <w:rPr>
          <w:rFonts w:asciiTheme="majorHAnsi" w:hAnsiTheme="majorHAnsi" w:cstheme="majorHAnsi"/>
          <w:sz w:val="20"/>
          <w:szCs w:val="20"/>
        </w:rPr>
        <w:t>FUT. Cálculos propios</w:t>
      </w:r>
    </w:p>
    <w:p w14:paraId="46D5FDFF" w14:textId="77777777" w:rsidR="00B12C03" w:rsidRDefault="00B12C03" w:rsidP="006C0658">
      <w:pPr>
        <w:spacing w:after="0"/>
        <w:rPr>
          <w:rFonts w:asciiTheme="majorHAnsi" w:hAnsiTheme="majorHAnsi" w:cstheme="majorHAnsi"/>
          <w:bCs/>
          <w:sz w:val="24"/>
          <w:szCs w:val="24"/>
        </w:rPr>
      </w:pPr>
    </w:p>
    <w:p w14:paraId="05B7AC78" w14:textId="034060B6" w:rsidR="00360B04" w:rsidRDefault="0086758B" w:rsidP="007C077A">
      <w:pPr>
        <w:pStyle w:val="Sinespaciado"/>
        <w:numPr>
          <w:ilvl w:val="0"/>
          <w:numId w:val="32"/>
        </w:numPr>
        <w:jc w:val="both"/>
        <w:rPr>
          <w:rFonts w:asciiTheme="majorHAnsi" w:hAnsiTheme="majorHAnsi" w:cstheme="majorHAnsi"/>
          <w:b/>
          <w:bCs/>
          <w:sz w:val="28"/>
          <w:szCs w:val="28"/>
        </w:rPr>
      </w:pPr>
      <w:r>
        <w:rPr>
          <w:rFonts w:asciiTheme="majorHAnsi" w:hAnsiTheme="majorHAnsi" w:cstheme="majorHAnsi"/>
          <w:b/>
          <w:bCs/>
          <w:sz w:val="28"/>
          <w:szCs w:val="28"/>
        </w:rPr>
        <w:t>Precio de venta al público</w:t>
      </w:r>
    </w:p>
    <w:p w14:paraId="58E8C5BC" w14:textId="74F6A6F1" w:rsidR="00B641A5" w:rsidRDefault="00B641A5" w:rsidP="0086758B">
      <w:pPr>
        <w:pStyle w:val="Sinespaciado"/>
        <w:jc w:val="both"/>
        <w:rPr>
          <w:rFonts w:asciiTheme="majorHAnsi" w:hAnsiTheme="majorHAnsi" w:cstheme="majorHAnsi"/>
          <w:b/>
          <w:bCs/>
          <w:sz w:val="28"/>
          <w:szCs w:val="28"/>
        </w:rPr>
      </w:pPr>
    </w:p>
    <w:p w14:paraId="356F701A" w14:textId="6501875F" w:rsidR="00B641A5" w:rsidRDefault="00B641A5" w:rsidP="0086758B">
      <w:pPr>
        <w:pStyle w:val="Sinespaciado"/>
        <w:jc w:val="both"/>
        <w:rPr>
          <w:rFonts w:asciiTheme="majorHAnsi" w:hAnsiTheme="majorHAnsi" w:cstheme="majorHAnsi"/>
        </w:rPr>
      </w:pPr>
      <w:r>
        <w:rPr>
          <w:rFonts w:asciiTheme="majorHAnsi" w:hAnsiTheme="majorHAnsi" w:cstheme="majorHAnsi"/>
        </w:rPr>
        <w:t xml:space="preserve">En cuanto al precio, el comportamiento histórico es heterogéneo, teniendo en cuenta </w:t>
      </w:r>
      <w:r w:rsidR="009B2E68">
        <w:rPr>
          <w:rFonts w:asciiTheme="majorHAnsi" w:hAnsiTheme="majorHAnsi" w:cstheme="majorHAnsi"/>
        </w:rPr>
        <w:t>que,</w:t>
      </w:r>
      <w:r>
        <w:rPr>
          <w:rFonts w:asciiTheme="majorHAnsi" w:hAnsiTheme="majorHAnsi" w:cstheme="majorHAnsi"/>
        </w:rPr>
        <w:t xml:space="preserve"> al fijar la sobretasa a partir de un valor de referencia fijo, el comportamiento del precio depende principalmente de los costos de transporte del combustible. Sin embargo, la nueva propuesta prevé un crecimiento en la tarifa acorde con la variación anual del IPC. En ese sentido, el precio de venta al público </w:t>
      </w:r>
      <w:r w:rsidR="00ED13CA">
        <w:rPr>
          <w:rFonts w:asciiTheme="majorHAnsi" w:hAnsiTheme="majorHAnsi" w:cstheme="majorHAnsi"/>
        </w:rPr>
        <w:t>se incrementaría</w:t>
      </w:r>
      <w:r>
        <w:rPr>
          <w:rFonts w:asciiTheme="majorHAnsi" w:hAnsiTheme="majorHAnsi" w:cstheme="majorHAnsi"/>
        </w:rPr>
        <w:t xml:space="preserve"> acorde con la inflación de la siguiente forma:</w:t>
      </w:r>
    </w:p>
    <w:p w14:paraId="085FC521" w14:textId="77777777" w:rsidR="002F0294" w:rsidRDefault="002F0294" w:rsidP="0086758B">
      <w:pPr>
        <w:pStyle w:val="Sinespaciado"/>
        <w:jc w:val="both"/>
        <w:rPr>
          <w:rFonts w:asciiTheme="majorHAnsi" w:hAnsiTheme="majorHAnsi" w:cstheme="majorHAnsi"/>
        </w:rPr>
      </w:pPr>
    </w:p>
    <w:p w14:paraId="30E92BAF" w14:textId="23EE74F8" w:rsidR="00B641A5" w:rsidRDefault="002F0294" w:rsidP="002F0294">
      <w:pPr>
        <w:pStyle w:val="Sinespaciado"/>
        <w:jc w:val="center"/>
        <w:rPr>
          <w:rFonts w:asciiTheme="majorHAnsi" w:hAnsiTheme="majorHAnsi" w:cstheme="majorHAnsi"/>
          <w:b/>
          <w:bCs/>
        </w:rPr>
      </w:pPr>
      <w:r>
        <w:rPr>
          <w:rFonts w:asciiTheme="majorHAnsi" w:hAnsiTheme="majorHAnsi" w:cstheme="majorHAnsi"/>
          <w:b/>
          <w:bCs/>
        </w:rPr>
        <w:t xml:space="preserve">Tabla </w:t>
      </w:r>
      <w:r w:rsidR="001C4837">
        <w:rPr>
          <w:rFonts w:asciiTheme="majorHAnsi" w:hAnsiTheme="majorHAnsi" w:cstheme="majorHAnsi"/>
          <w:b/>
          <w:bCs/>
        </w:rPr>
        <w:t>3</w:t>
      </w:r>
      <w:r>
        <w:rPr>
          <w:rFonts w:asciiTheme="majorHAnsi" w:hAnsiTheme="majorHAnsi" w:cstheme="majorHAnsi"/>
          <w:b/>
          <w:bCs/>
        </w:rPr>
        <w:t xml:space="preserve">. </w:t>
      </w:r>
      <w:r w:rsidR="001C4837">
        <w:rPr>
          <w:rFonts w:asciiTheme="majorHAnsi" w:hAnsiTheme="majorHAnsi" w:cstheme="majorHAnsi"/>
          <w:b/>
          <w:bCs/>
        </w:rPr>
        <w:t>Proyección del precio promedio de venta al público de gasolina motor corriente y ACPM (2021-2025)</w:t>
      </w:r>
    </w:p>
    <w:p w14:paraId="0E0A1175" w14:textId="77777777" w:rsidR="00B36E60" w:rsidRPr="002F0294" w:rsidRDefault="00B36E60" w:rsidP="002F0294">
      <w:pPr>
        <w:pStyle w:val="Sinespaciado"/>
        <w:jc w:val="center"/>
        <w:rPr>
          <w:rFonts w:asciiTheme="majorHAnsi" w:hAnsiTheme="majorHAnsi" w:cstheme="majorHAnsi"/>
          <w:b/>
          <w:bCs/>
        </w:rPr>
      </w:pPr>
    </w:p>
    <w:tbl>
      <w:tblPr>
        <w:tblW w:w="10421" w:type="dxa"/>
        <w:tblInd w:w="-799" w:type="dxa"/>
        <w:tblCellMar>
          <w:left w:w="70" w:type="dxa"/>
          <w:right w:w="70" w:type="dxa"/>
        </w:tblCellMar>
        <w:tblLook w:val="04A0" w:firstRow="1" w:lastRow="0" w:firstColumn="1" w:lastColumn="0" w:noHBand="0" w:noVBand="1"/>
      </w:tblPr>
      <w:tblGrid>
        <w:gridCol w:w="1333"/>
        <w:gridCol w:w="962"/>
        <w:gridCol w:w="962"/>
        <w:gridCol w:w="962"/>
        <w:gridCol w:w="962"/>
        <w:gridCol w:w="1040"/>
        <w:gridCol w:w="1050"/>
        <w:gridCol w:w="1050"/>
        <w:gridCol w:w="1050"/>
        <w:gridCol w:w="1050"/>
      </w:tblGrid>
      <w:tr w:rsidR="00B641A5" w:rsidRPr="00B641A5" w14:paraId="5AE95F15" w14:textId="77777777" w:rsidTr="00B641A5">
        <w:trPr>
          <w:trHeight w:val="312"/>
        </w:trPr>
        <w:tc>
          <w:tcPr>
            <w:tcW w:w="10421" w:type="dxa"/>
            <w:gridSpan w:val="10"/>
            <w:tcBorders>
              <w:top w:val="single" w:sz="8" w:space="0" w:color="auto"/>
              <w:left w:val="single" w:sz="8" w:space="0" w:color="auto"/>
              <w:bottom w:val="single" w:sz="4" w:space="0" w:color="auto"/>
              <w:right w:val="single" w:sz="8" w:space="0" w:color="000000"/>
            </w:tcBorders>
            <w:shd w:val="clear" w:color="000000" w:fill="002060"/>
            <w:noWrap/>
            <w:vAlign w:val="bottom"/>
            <w:hideMark/>
          </w:tcPr>
          <w:p w14:paraId="5C699E43" w14:textId="77777777" w:rsidR="00B641A5" w:rsidRPr="00B641A5" w:rsidRDefault="00B641A5" w:rsidP="00B641A5">
            <w:pPr>
              <w:spacing w:after="0" w:line="240" w:lineRule="auto"/>
              <w:jc w:val="center"/>
              <w:rPr>
                <w:rFonts w:ascii="Century Gothic" w:eastAsia="Times New Roman" w:hAnsi="Century Gothic" w:cs="Times New Roman"/>
                <w:b/>
                <w:bCs/>
                <w:color w:val="FFFFFF"/>
                <w:sz w:val="24"/>
                <w:szCs w:val="24"/>
                <w:lang w:eastAsia="es-CO"/>
              </w:rPr>
            </w:pPr>
            <w:r w:rsidRPr="00B641A5">
              <w:rPr>
                <w:rFonts w:ascii="Century Gothic" w:eastAsia="Times New Roman" w:hAnsi="Century Gothic" w:cs="Times New Roman"/>
                <w:b/>
                <w:bCs/>
                <w:color w:val="FFFFFF"/>
                <w:sz w:val="24"/>
                <w:szCs w:val="24"/>
                <w:lang w:eastAsia="es-CO"/>
              </w:rPr>
              <w:t>PRECIO PROMEDIO DE VENTA AL PÚBLICO</w:t>
            </w:r>
          </w:p>
        </w:tc>
      </w:tr>
      <w:tr w:rsidR="00B641A5" w:rsidRPr="00B641A5" w14:paraId="7FD2C5B7" w14:textId="77777777" w:rsidTr="00B641A5">
        <w:trPr>
          <w:trHeight w:val="312"/>
        </w:trPr>
        <w:tc>
          <w:tcPr>
            <w:tcW w:w="1333" w:type="dxa"/>
            <w:tcBorders>
              <w:top w:val="nil"/>
              <w:left w:val="single" w:sz="8" w:space="0" w:color="auto"/>
              <w:bottom w:val="single" w:sz="4" w:space="0" w:color="auto"/>
              <w:right w:val="single" w:sz="4" w:space="0" w:color="auto"/>
            </w:tcBorders>
            <w:shd w:val="clear" w:color="auto" w:fill="auto"/>
            <w:noWrap/>
            <w:vAlign w:val="bottom"/>
            <w:hideMark/>
          </w:tcPr>
          <w:p w14:paraId="45F1944D" w14:textId="77777777" w:rsidR="00B641A5" w:rsidRPr="00B641A5" w:rsidRDefault="00B641A5" w:rsidP="00B641A5">
            <w:pPr>
              <w:spacing w:after="0" w:line="240" w:lineRule="auto"/>
              <w:rPr>
                <w:rFonts w:ascii="Calibri" w:eastAsia="Times New Roman" w:hAnsi="Calibri" w:cs="Times New Roman"/>
                <w:color w:val="000000"/>
                <w:sz w:val="24"/>
                <w:szCs w:val="24"/>
                <w:lang w:eastAsia="es-CO"/>
              </w:rPr>
            </w:pPr>
            <w:r w:rsidRPr="00B641A5">
              <w:rPr>
                <w:rFonts w:ascii="Calibri" w:eastAsia="Times New Roman" w:hAnsi="Calibri" w:cs="Times New Roman"/>
                <w:color w:val="000000"/>
                <w:sz w:val="24"/>
                <w:szCs w:val="24"/>
                <w:lang w:eastAsia="es-CO"/>
              </w:rPr>
              <w:t> </w:t>
            </w:r>
          </w:p>
        </w:tc>
        <w:tc>
          <w:tcPr>
            <w:tcW w:w="962" w:type="dxa"/>
            <w:tcBorders>
              <w:top w:val="nil"/>
              <w:left w:val="nil"/>
              <w:bottom w:val="single" w:sz="4" w:space="0" w:color="auto"/>
              <w:right w:val="single" w:sz="4" w:space="0" w:color="auto"/>
            </w:tcBorders>
            <w:shd w:val="clear" w:color="auto" w:fill="auto"/>
            <w:noWrap/>
            <w:vAlign w:val="bottom"/>
            <w:hideMark/>
          </w:tcPr>
          <w:p w14:paraId="5FD3287C"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2017</w:t>
            </w:r>
          </w:p>
        </w:tc>
        <w:tc>
          <w:tcPr>
            <w:tcW w:w="962" w:type="dxa"/>
            <w:tcBorders>
              <w:top w:val="nil"/>
              <w:left w:val="nil"/>
              <w:bottom w:val="single" w:sz="4" w:space="0" w:color="auto"/>
              <w:right w:val="single" w:sz="4" w:space="0" w:color="auto"/>
            </w:tcBorders>
            <w:shd w:val="clear" w:color="auto" w:fill="auto"/>
            <w:noWrap/>
            <w:vAlign w:val="bottom"/>
            <w:hideMark/>
          </w:tcPr>
          <w:p w14:paraId="42C50712"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2018</w:t>
            </w:r>
          </w:p>
        </w:tc>
        <w:tc>
          <w:tcPr>
            <w:tcW w:w="962" w:type="dxa"/>
            <w:tcBorders>
              <w:top w:val="nil"/>
              <w:left w:val="nil"/>
              <w:bottom w:val="single" w:sz="4" w:space="0" w:color="auto"/>
              <w:right w:val="single" w:sz="4" w:space="0" w:color="auto"/>
            </w:tcBorders>
            <w:shd w:val="clear" w:color="auto" w:fill="auto"/>
            <w:noWrap/>
            <w:vAlign w:val="bottom"/>
            <w:hideMark/>
          </w:tcPr>
          <w:p w14:paraId="1BAD1834"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2019</w:t>
            </w:r>
          </w:p>
        </w:tc>
        <w:tc>
          <w:tcPr>
            <w:tcW w:w="962" w:type="dxa"/>
            <w:tcBorders>
              <w:top w:val="nil"/>
              <w:left w:val="nil"/>
              <w:bottom w:val="single" w:sz="4" w:space="0" w:color="auto"/>
              <w:right w:val="single" w:sz="4" w:space="0" w:color="auto"/>
            </w:tcBorders>
            <w:shd w:val="clear" w:color="auto" w:fill="auto"/>
            <w:noWrap/>
            <w:vAlign w:val="bottom"/>
            <w:hideMark/>
          </w:tcPr>
          <w:p w14:paraId="5A86547C"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2020</w:t>
            </w:r>
          </w:p>
        </w:tc>
        <w:tc>
          <w:tcPr>
            <w:tcW w:w="1040" w:type="dxa"/>
            <w:tcBorders>
              <w:top w:val="nil"/>
              <w:left w:val="nil"/>
              <w:bottom w:val="single" w:sz="4" w:space="0" w:color="auto"/>
              <w:right w:val="single" w:sz="4" w:space="0" w:color="auto"/>
            </w:tcBorders>
            <w:shd w:val="clear" w:color="auto" w:fill="auto"/>
            <w:noWrap/>
            <w:vAlign w:val="bottom"/>
            <w:hideMark/>
          </w:tcPr>
          <w:p w14:paraId="6E6411D4"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2021</w:t>
            </w:r>
          </w:p>
        </w:tc>
        <w:tc>
          <w:tcPr>
            <w:tcW w:w="1050" w:type="dxa"/>
            <w:tcBorders>
              <w:top w:val="nil"/>
              <w:left w:val="nil"/>
              <w:bottom w:val="single" w:sz="4" w:space="0" w:color="auto"/>
              <w:right w:val="single" w:sz="4" w:space="0" w:color="auto"/>
            </w:tcBorders>
            <w:shd w:val="clear" w:color="auto" w:fill="auto"/>
            <w:noWrap/>
            <w:vAlign w:val="bottom"/>
            <w:hideMark/>
          </w:tcPr>
          <w:p w14:paraId="100CEABA"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2022</w:t>
            </w:r>
          </w:p>
        </w:tc>
        <w:tc>
          <w:tcPr>
            <w:tcW w:w="1050" w:type="dxa"/>
            <w:tcBorders>
              <w:top w:val="nil"/>
              <w:left w:val="nil"/>
              <w:bottom w:val="single" w:sz="4" w:space="0" w:color="auto"/>
              <w:right w:val="single" w:sz="4" w:space="0" w:color="auto"/>
            </w:tcBorders>
            <w:shd w:val="clear" w:color="auto" w:fill="auto"/>
            <w:noWrap/>
            <w:vAlign w:val="bottom"/>
            <w:hideMark/>
          </w:tcPr>
          <w:p w14:paraId="5A95AD06"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2023</w:t>
            </w:r>
          </w:p>
        </w:tc>
        <w:tc>
          <w:tcPr>
            <w:tcW w:w="1050" w:type="dxa"/>
            <w:tcBorders>
              <w:top w:val="nil"/>
              <w:left w:val="nil"/>
              <w:bottom w:val="single" w:sz="4" w:space="0" w:color="auto"/>
              <w:right w:val="single" w:sz="4" w:space="0" w:color="auto"/>
            </w:tcBorders>
            <w:shd w:val="clear" w:color="auto" w:fill="auto"/>
            <w:noWrap/>
            <w:vAlign w:val="bottom"/>
            <w:hideMark/>
          </w:tcPr>
          <w:p w14:paraId="3B1B95A6"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2024</w:t>
            </w:r>
          </w:p>
        </w:tc>
        <w:tc>
          <w:tcPr>
            <w:tcW w:w="1050" w:type="dxa"/>
            <w:tcBorders>
              <w:top w:val="nil"/>
              <w:left w:val="nil"/>
              <w:bottom w:val="single" w:sz="4" w:space="0" w:color="auto"/>
              <w:right w:val="single" w:sz="8" w:space="0" w:color="auto"/>
            </w:tcBorders>
            <w:shd w:val="clear" w:color="auto" w:fill="auto"/>
            <w:noWrap/>
            <w:vAlign w:val="bottom"/>
            <w:hideMark/>
          </w:tcPr>
          <w:p w14:paraId="2C48CC4F"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2025</w:t>
            </w:r>
          </w:p>
        </w:tc>
      </w:tr>
      <w:tr w:rsidR="00B641A5" w:rsidRPr="00B641A5" w14:paraId="5C847FBF" w14:textId="77777777" w:rsidTr="00B641A5">
        <w:trPr>
          <w:trHeight w:val="600"/>
        </w:trPr>
        <w:tc>
          <w:tcPr>
            <w:tcW w:w="1333" w:type="dxa"/>
            <w:tcBorders>
              <w:top w:val="nil"/>
              <w:left w:val="single" w:sz="8" w:space="0" w:color="auto"/>
              <w:bottom w:val="single" w:sz="4" w:space="0" w:color="auto"/>
              <w:right w:val="single" w:sz="4" w:space="0" w:color="auto"/>
            </w:tcBorders>
            <w:shd w:val="clear" w:color="auto" w:fill="auto"/>
            <w:vAlign w:val="center"/>
            <w:hideMark/>
          </w:tcPr>
          <w:p w14:paraId="53F80793"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Gasolina corriente</w:t>
            </w:r>
          </w:p>
        </w:tc>
        <w:tc>
          <w:tcPr>
            <w:tcW w:w="962" w:type="dxa"/>
            <w:tcBorders>
              <w:top w:val="nil"/>
              <w:left w:val="nil"/>
              <w:bottom w:val="single" w:sz="4" w:space="0" w:color="auto"/>
              <w:right w:val="single" w:sz="4" w:space="0" w:color="auto"/>
            </w:tcBorders>
            <w:shd w:val="clear" w:color="auto" w:fill="auto"/>
            <w:noWrap/>
            <w:vAlign w:val="center"/>
            <w:hideMark/>
          </w:tcPr>
          <w:p w14:paraId="6D47633F"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$8.296 </w:t>
            </w:r>
          </w:p>
        </w:tc>
        <w:tc>
          <w:tcPr>
            <w:tcW w:w="962" w:type="dxa"/>
            <w:tcBorders>
              <w:top w:val="nil"/>
              <w:left w:val="nil"/>
              <w:bottom w:val="single" w:sz="4" w:space="0" w:color="auto"/>
              <w:right w:val="single" w:sz="4" w:space="0" w:color="auto"/>
            </w:tcBorders>
            <w:shd w:val="clear" w:color="auto" w:fill="auto"/>
            <w:noWrap/>
            <w:vAlign w:val="center"/>
            <w:hideMark/>
          </w:tcPr>
          <w:p w14:paraId="66B767B6"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$8.927 </w:t>
            </w:r>
          </w:p>
        </w:tc>
        <w:tc>
          <w:tcPr>
            <w:tcW w:w="962" w:type="dxa"/>
            <w:tcBorders>
              <w:top w:val="nil"/>
              <w:left w:val="nil"/>
              <w:bottom w:val="single" w:sz="4" w:space="0" w:color="auto"/>
              <w:right w:val="single" w:sz="4" w:space="0" w:color="auto"/>
            </w:tcBorders>
            <w:shd w:val="clear" w:color="auto" w:fill="auto"/>
            <w:noWrap/>
            <w:vAlign w:val="center"/>
            <w:hideMark/>
          </w:tcPr>
          <w:p w14:paraId="2512ACD3"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$9.354 </w:t>
            </w:r>
          </w:p>
        </w:tc>
        <w:tc>
          <w:tcPr>
            <w:tcW w:w="962" w:type="dxa"/>
            <w:tcBorders>
              <w:top w:val="nil"/>
              <w:left w:val="nil"/>
              <w:bottom w:val="single" w:sz="4" w:space="0" w:color="auto"/>
              <w:right w:val="single" w:sz="4" w:space="0" w:color="auto"/>
            </w:tcBorders>
            <w:shd w:val="clear" w:color="auto" w:fill="auto"/>
            <w:noWrap/>
            <w:vAlign w:val="center"/>
            <w:hideMark/>
          </w:tcPr>
          <w:p w14:paraId="587CF038"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$8.340 </w:t>
            </w:r>
          </w:p>
        </w:tc>
        <w:tc>
          <w:tcPr>
            <w:tcW w:w="1040" w:type="dxa"/>
            <w:tcBorders>
              <w:top w:val="nil"/>
              <w:left w:val="nil"/>
              <w:bottom w:val="single" w:sz="4" w:space="0" w:color="auto"/>
              <w:right w:val="single" w:sz="4" w:space="0" w:color="auto"/>
            </w:tcBorders>
            <w:shd w:val="clear" w:color="auto" w:fill="auto"/>
            <w:noWrap/>
            <w:vAlign w:val="center"/>
            <w:hideMark/>
          </w:tcPr>
          <w:p w14:paraId="4C187ED1"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$ 8.340 </w:t>
            </w:r>
          </w:p>
        </w:tc>
        <w:tc>
          <w:tcPr>
            <w:tcW w:w="1050" w:type="dxa"/>
            <w:tcBorders>
              <w:top w:val="nil"/>
              <w:left w:val="nil"/>
              <w:bottom w:val="single" w:sz="4" w:space="0" w:color="auto"/>
              <w:right w:val="single" w:sz="4" w:space="0" w:color="auto"/>
            </w:tcBorders>
            <w:shd w:val="clear" w:color="auto" w:fill="auto"/>
            <w:noWrap/>
            <w:vAlign w:val="center"/>
            <w:hideMark/>
          </w:tcPr>
          <w:p w14:paraId="62C5F609"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 xml:space="preserve"> $ 8.591 </w:t>
            </w:r>
          </w:p>
        </w:tc>
        <w:tc>
          <w:tcPr>
            <w:tcW w:w="1050" w:type="dxa"/>
            <w:tcBorders>
              <w:top w:val="nil"/>
              <w:left w:val="nil"/>
              <w:bottom w:val="single" w:sz="4" w:space="0" w:color="auto"/>
              <w:right w:val="single" w:sz="4" w:space="0" w:color="auto"/>
            </w:tcBorders>
            <w:shd w:val="clear" w:color="auto" w:fill="auto"/>
            <w:noWrap/>
            <w:vAlign w:val="center"/>
            <w:hideMark/>
          </w:tcPr>
          <w:p w14:paraId="5F7C9680"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 xml:space="preserve"> $ 8.848 </w:t>
            </w:r>
          </w:p>
        </w:tc>
        <w:tc>
          <w:tcPr>
            <w:tcW w:w="1050" w:type="dxa"/>
            <w:tcBorders>
              <w:top w:val="nil"/>
              <w:left w:val="nil"/>
              <w:bottom w:val="single" w:sz="4" w:space="0" w:color="auto"/>
              <w:right w:val="single" w:sz="4" w:space="0" w:color="auto"/>
            </w:tcBorders>
            <w:shd w:val="clear" w:color="auto" w:fill="auto"/>
            <w:noWrap/>
            <w:vAlign w:val="center"/>
            <w:hideMark/>
          </w:tcPr>
          <w:p w14:paraId="49A6A788"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 xml:space="preserve"> $ 9.114 </w:t>
            </w:r>
          </w:p>
        </w:tc>
        <w:tc>
          <w:tcPr>
            <w:tcW w:w="1050" w:type="dxa"/>
            <w:tcBorders>
              <w:top w:val="nil"/>
              <w:left w:val="nil"/>
              <w:bottom w:val="single" w:sz="4" w:space="0" w:color="auto"/>
              <w:right w:val="single" w:sz="8" w:space="0" w:color="auto"/>
            </w:tcBorders>
            <w:shd w:val="clear" w:color="auto" w:fill="auto"/>
            <w:noWrap/>
            <w:vAlign w:val="center"/>
            <w:hideMark/>
          </w:tcPr>
          <w:p w14:paraId="1975EFFD"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 xml:space="preserve"> $ 9.387 </w:t>
            </w:r>
          </w:p>
        </w:tc>
      </w:tr>
      <w:tr w:rsidR="00B641A5" w:rsidRPr="00B641A5" w14:paraId="60367891" w14:textId="77777777" w:rsidTr="00B641A5">
        <w:trPr>
          <w:trHeight w:val="324"/>
        </w:trPr>
        <w:tc>
          <w:tcPr>
            <w:tcW w:w="1333" w:type="dxa"/>
            <w:tcBorders>
              <w:top w:val="nil"/>
              <w:left w:val="single" w:sz="8" w:space="0" w:color="auto"/>
              <w:bottom w:val="single" w:sz="8" w:space="0" w:color="auto"/>
              <w:right w:val="single" w:sz="4" w:space="0" w:color="auto"/>
            </w:tcBorders>
            <w:shd w:val="clear" w:color="auto" w:fill="auto"/>
            <w:noWrap/>
            <w:vAlign w:val="center"/>
            <w:hideMark/>
          </w:tcPr>
          <w:p w14:paraId="62259D20"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ACPM</w:t>
            </w:r>
          </w:p>
        </w:tc>
        <w:tc>
          <w:tcPr>
            <w:tcW w:w="962" w:type="dxa"/>
            <w:tcBorders>
              <w:top w:val="nil"/>
              <w:left w:val="nil"/>
              <w:bottom w:val="single" w:sz="8" w:space="0" w:color="auto"/>
              <w:right w:val="single" w:sz="4" w:space="0" w:color="auto"/>
            </w:tcBorders>
            <w:shd w:val="clear" w:color="auto" w:fill="auto"/>
            <w:noWrap/>
            <w:vAlign w:val="center"/>
            <w:hideMark/>
          </w:tcPr>
          <w:p w14:paraId="5809AD30"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$7.681 </w:t>
            </w:r>
          </w:p>
        </w:tc>
        <w:tc>
          <w:tcPr>
            <w:tcW w:w="962" w:type="dxa"/>
            <w:tcBorders>
              <w:top w:val="nil"/>
              <w:left w:val="nil"/>
              <w:bottom w:val="single" w:sz="8" w:space="0" w:color="auto"/>
              <w:right w:val="single" w:sz="4" w:space="0" w:color="auto"/>
            </w:tcBorders>
            <w:shd w:val="clear" w:color="auto" w:fill="auto"/>
            <w:noWrap/>
            <w:vAlign w:val="center"/>
            <w:hideMark/>
          </w:tcPr>
          <w:p w14:paraId="0645FF1B"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$8.300 </w:t>
            </w:r>
          </w:p>
        </w:tc>
        <w:tc>
          <w:tcPr>
            <w:tcW w:w="962" w:type="dxa"/>
            <w:tcBorders>
              <w:top w:val="nil"/>
              <w:left w:val="nil"/>
              <w:bottom w:val="single" w:sz="8" w:space="0" w:color="auto"/>
              <w:right w:val="single" w:sz="4" w:space="0" w:color="auto"/>
            </w:tcBorders>
            <w:shd w:val="clear" w:color="auto" w:fill="auto"/>
            <w:noWrap/>
            <w:vAlign w:val="center"/>
            <w:hideMark/>
          </w:tcPr>
          <w:p w14:paraId="46585B2B"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$8.898 </w:t>
            </w:r>
          </w:p>
        </w:tc>
        <w:tc>
          <w:tcPr>
            <w:tcW w:w="962" w:type="dxa"/>
            <w:tcBorders>
              <w:top w:val="nil"/>
              <w:left w:val="nil"/>
              <w:bottom w:val="single" w:sz="8" w:space="0" w:color="auto"/>
              <w:right w:val="single" w:sz="4" w:space="0" w:color="auto"/>
            </w:tcBorders>
            <w:shd w:val="clear" w:color="auto" w:fill="auto"/>
            <w:noWrap/>
            <w:vAlign w:val="center"/>
            <w:hideMark/>
          </w:tcPr>
          <w:p w14:paraId="46AE487A"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$8.343 </w:t>
            </w:r>
          </w:p>
        </w:tc>
        <w:tc>
          <w:tcPr>
            <w:tcW w:w="1040" w:type="dxa"/>
            <w:tcBorders>
              <w:top w:val="nil"/>
              <w:left w:val="nil"/>
              <w:bottom w:val="single" w:sz="8" w:space="0" w:color="auto"/>
              <w:right w:val="single" w:sz="4" w:space="0" w:color="auto"/>
            </w:tcBorders>
            <w:shd w:val="clear" w:color="auto" w:fill="auto"/>
            <w:noWrap/>
            <w:vAlign w:val="center"/>
            <w:hideMark/>
          </w:tcPr>
          <w:p w14:paraId="271F5194" w14:textId="77777777" w:rsidR="00B641A5" w:rsidRPr="00B641A5" w:rsidRDefault="00B641A5" w:rsidP="00B641A5">
            <w:pPr>
              <w:spacing w:after="0" w:line="240" w:lineRule="auto"/>
              <w:jc w:val="center"/>
              <w:rPr>
                <w:rFonts w:ascii="Century Gothic" w:eastAsia="Times New Roman" w:hAnsi="Century Gothic" w:cs="Times New Roman"/>
                <w:color w:val="000000"/>
                <w:sz w:val="24"/>
                <w:szCs w:val="24"/>
                <w:lang w:eastAsia="es-CO"/>
              </w:rPr>
            </w:pPr>
            <w:r w:rsidRPr="00B641A5">
              <w:rPr>
                <w:rFonts w:ascii="Century Gothic" w:eastAsia="Times New Roman" w:hAnsi="Century Gothic" w:cs="Times New Roman"/>
                <w:color w:val="000000"/>
                <w:sz w:val="24"/>
                <w:szCs w:val="24"/>
                <w:lang w:eastAsia="es-CO"/>
              </w:rPr>
              <w:t xml:space="preserve"> $ 8.343 </w:t>
            </w:r>
          </w:p>
        </w:tc>
        <w:tc>
          <w:tcPr>
            <w:tcW w:w="1050" w:type="dxa"/>
            <w:tcBorders>
              <w:top w:val="nil"/>
              <w:left w:val="nil"/>
              <w:bottom w:val="single" w:sz="8" w:space="0" w:color="auto"/>
              <w:right w:val="single" w:sz="4" w:space="0" w:color="auto"/>
            </w:tcBorders>
            <w:shd w:val="clear" w:color="auto" w:fill="auto"/>
            <w:noWrap/>
            <w:vAlign w:val="center"/>
            <w:hideMark/>
          </w:tcPr>
          <w:p w14:paraId="77896BC3"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 xml:space="preserve"> $ 8.593 </w:t>
            </w:r>
          </w:p>
        </w:tc>
        <w:tc>
          <w:tcPr>
            <w:tcW w:w="1050" w:type="dxa"/>
            <w:tcBorders>
              <w:top w:val="nil"/>
              <w:left w:val="nil"/>
              <w:bottom w:val="single" w:sz="8" w:space="0" w:color="auto"/>
              <w:right w:val="single" w:sz="4" w:space="0" w:color="auto"/>
            </w:tcBorders>
            <w:shd w:val="clear" w:color="auto" w:fill="auto"/>
            <w:noWrap/>
            <w:vAlign w:val="center"/>
            <w:hideMark/>
          </w:tcPr>
          <w:p w14:paraId="6DF7FF3D"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 xml:space="preserve"> $ 8.851 </w:t>
            </w:r>
          </w:p>
        </w:tc>
        <w:tc>
          <w:tcPr>
            <w:tcW w:w="1050" w:type="dxa"/>
            <w:tcBorders>
              <w:top w:val="nil"/>
              <w:left w:val="nil"/>
              <w:bottom w:val="single" w:sz="8" w:space="0" w:color="auto"/>
              <w:right w:val="single" w:sz="4" w:space="0" w:color="auto"/>
            </w:tcBorders>
            <w:shd w:val="clear" w:color="auto" w:fill="auto"/>
            <w:noWrap/>
            <w:vAlign w:val="center"/>
            <w:hideMark/>
          </w:tcPr>
          <w:p w14:paraId="5E07BA79"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 xml:space="preserve"> $ 9.117 </w:t>
            </w:r>
          </w:p>
        </w:tc>
        <w:tc>
          <w:tcPr>
            <w:tcW w:w="1050" w:type="dxa"/>
            <w:tcBorders>
              <w:top w:val="nil"/>
              <w:left w:val="nil"/>
              <w:bottom w:val="single" w:sz="8" w:space="0" w:color="auto"/>
              <w:right w:val="single" w:sz="8" w:space="0" w:color="auto"/>
            </w:tcBorders>
            <w:shd w:val="clear" w:color="auto" w:fill="auto"/>
            <w:noWrap/>
            <w:vAlign w:val="center"/>
            <w:hideMark/>
          </w:tcPr>
          <w:p w14:paraId="6989A2C6" w14:textId="77777777" w:rsidR="00B641A5" w:rsidRPr="00B641A5" w:rsidRDefault="00B641A5" w:rsidP="00B641A5">
            <w:pPr>
              <w:spacing w:after="0" w:line="240" w:lineRule="auto"/>
              <w:jc w:val="center"/>
              <w:rPr>
                <w:rFonts w:ascii="Century Gothic" w:eastAsia="Times New Roman" w:hAnsi="Century Gothic" w:cs="Times New Roman"/>
                <w:b/>
                <w:bCs/>
                <w:color w:val="FF0000"/>
                <w:sz w:val="24"/>
                <w:szCs w:val="24"/>
                <w:lang w:eastAsia="es-CO"/>
              </w:rPr>
            </w:pPr>
            <w:r w:rsidRPr="00B641A5">
              <w:rPr>
                <w:rFonts w:ascii="Century Gothic" w:eastAsia="Times New Roman" w:hAnsi="Century Gothic" w:cs="Times New Roman"/>
                <w:b/>
                <w:bCs/>
                <w:color w:val="FF0000"/>
                <w:sz w:val="24"/>
                <w:szCs w:val="24"/>
                <w:lang w:eastAsia="es-CO"/>
              </w:rPr>
              <w:t xml:space="preserve"> $ 9.390 </w:t>
            </w:r>
          </w:p>
        </w:tc>
      </w:tr>
    </w:tbl>
    <w:p w14:paraId="4812D588" w14:textId="177E6B4C" w:rsidR="00504D16" w:rsidRDefault="00504D16" w:rsidP="00504D16">
      <w:pPr>
        <w:spacing w:after="0"/>
        <w:jc w:val="center"/>
        <w:rPr>
          <w:rFonts w:asciiTheme="majorHAnsi" w:hAnsiTheme="majorHAnsi" w:cstheme="majorHAnsi"/>
          <w:sz w:val="20"/>
          <w:szCs w:val="20"/>
        </w:rPr>
      </w:pPr>
      <w:r w:rsidRPr="00E20DB7">
        <w:rPr>
          <w:rFonts w:asciiTheme="majorHAnsi" w:hAnsiTheme="majorHAnsi" w:cstheme="majorHAnsi"/>
          <w:sz w:val="20"/>
          <w:szCs w:val="20"/>
        </w:rPr>
        <w:t xml:space="preserve">Fuente: </w:t>
      </w:r>
      <w:r>
        <w:rPr>
          <w:rFonts w:asciiTheme="majorHAnsi" w:hAnsiTheme="majorHAnsi" w:cstheme="majorHAnsi"/>
          <w:sz w:val="20"/>
          <w:szCs w:val="20"/>
        </w:rPr>
        <w:t>MinMinas. Cálculos propios</w:t>
      </w:r>
    </w:p>
    <w:p w14:paraId="63A238D2" w14:textId="0AC572FF" w:rsidR="00B641A5" w:rsidRDefault="00B641A5" w:rsidP="0086758B">
      <w:pPr>
        <w:pStyle w:val="Sinespaciado"/>
        <w:jc w:val="both"/>
        <w:rPr>
          <w:rFonts w:asciiTheme="majorHAnsi" w:hAnsiTheme="majorHAnsi" w:cstheme="majorHAnsi"/>
        </w:rPr>
      </w:pPr>
    </w:p>
    <w:p w14:paraId="3E1D3EB1" w14:textId="02FADF54" w:rsidR="006E6427" w:rsidRDefault="006E6427" w:rsidP="0086758B">
      <w:pPr>
        <w:pStyle w:val="Sinespaciado"/>
        <w:jc w:val="both"/>
        <w:rPr>
          <w:rFonts w:asciiTheme="majorHAnsi" w:hAnsiTheme="majorHAnsi" w:cstheme="majorHAnsi"/>
        </w:rPr>
      </w:pPr>
    </w:p>
    <w:p w14:paraId="6D563EE7" w14:textId="7EBF9202" w:rsidR="006E6427" w:rsidRPr="00D03F1A" w:rsidRDefault="006E6427" w:rsidP="00D03F1A">
      <w:pPr>
        <w:pStyle w:val="Sinespaciado"/>
        <w:jc w:val="center"/>
        <w:rPr>
          <w:rFonts w:asciiTheme="majorHAnsi" w:hAnsiTheme="majorHAnsi" w:cstheme="majorHAnsi"/>
          <w:b/>
          <w:bCs/>
        </w:rPr>
      </w:pPr>
      <w:r>
        <w:rPr>
          <w:rFonts w:asciiTheme="majorHAnsi" w:hAnsiTheme="majorHAnsi" w:cstheme="majorHAnsi"/>
          <w:b/>
          <w:bCs/>
        </w:rPr>
        <w:t>Figura 3. Proyección del precio promedio de venta al público de gasolina motor corriente y ACPM (2021-2025)</w:t>
      </w:r>
    </w:p>
    <w:p w14:paraId="66AE03F8" w14:textId="0718B7E3" w:rsidR="009B411D" w:rsidRDefault="009B411D" w:rsidP="00B65BAC">
      <w:pPr>
        <w:pStyle w:val="Sinespaciado"/>
        <w:jc w:val="both"/>
        <w:rPr>
          <w:rFonts w:asciiTheme="majorHAnsi" w:hAnsiTheme="majorHAnsi" w:cstheme="majorHAnsi"/>
        </w:rPr>
      </w:pPr>
      <w:r>
        <w:rPr>
          <w:noProof/>
          <w:lang w:val="es-CO" w:eastAsia="es-CO"/>
        </w:rPr>
        <w:lastRenderedPageBreak/>
        <w:drawing>
          <wp:inline distT="0" distB="0" distL="0" distR="0" wp14:anchorId="5A53448C" wp14:editId="32873A85">
            <wp:extent cx="5612130" cy="3475990"/>
            <wp:effectExtent l="0" t="0" r="7620" b="0"/>
            <wp:docPr id="11" name="Gráfico 11">
              <a:extLst xmlns:a="http://schemas.openxmlformats.org/drawingml/2006/main">
                <a:ext uri="{FF2B5EF4-FFF2-40B4-BE49-F238E27FC236}">
                  <a16:creationId xmlns:a16="http://schemas.microsoft.com/office/drawing/2014/main" id="{1666E181-D3D0-46B1-981E-5FF19D4FBC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4DCB17" w14:textId="77777777" w:rsidR="0029773E" w:rsidRDefault="0029773E" w:rsidP="0029773E">
      <w:pPr>
        <w:spacing w:after="0"/>
        <w:jc w:val="center"/>
        <w:rPr>
          <w:rFonts w:asciiTheme="majorHAnsi" w:hAnsiTheme="majorHAnsi" w:cstheme="majorHAnsi"/>
          <w:sz w:val="20"/>
          <w:szCs w:val="20"/>
        </w:rPr>
      </w:pPr>
      <w:r w:rsidRPr="00E20DB7">
        <w:rPr>
          <w:rFonts w:asciiTheme="majorHAnsi" w:hAnsiTheme="majorHAnsi" w:cstheme="majorHAnsi"/>
          <w:sz w:val="20"/>
          <w:szCs w:val="20"/>
        </w:rPr>
        <w:t xml:space="preserve">Fuente: </w:t>
      </w:r>
      <w:r>
        <w:rPr>
          <w:rFonts w:asciiTheme="majorHAnsi" w:hAnsiTheme="majorHAnsi" w:cstheme="majorHAnsi"/>
          <w:sz w:val="20"/>
          <w:szCs w:val="20"/>
        </w:rPr>
        <w:t>FUT. Cálculos propios</w:t>
      </w:r>
    </w:p>
    <w:p w14:paraId="407388A8" w14:textId="77777777" w:rsidR="009B411D" w:rsidRDefault="009B411D" w:rsidP="00B65BAC">
      <w:pPr>
        <w:pStyle w:val="Sinespaciado"/>
        <w:jc w:val="both"/>
        <w:rPr>
          <w:rFonts w:asciiTheme="majorHAnsi" w:hAnsiTheme="majorHAnsi" w:cstheme="majorHAnsi"/>
        </w:rPr>
      </w:pPr>
    </w:p>
    <w:p w14:paraId="725738AA" w14:textId="3CDB3455" w:rsidR="00B641A5" w:rsidRDefault="000C7A98" w:rsidP="00B65BAC">
      <w:pPr>
        <w:pStyle w:val="Sinespaciado"/>
        <w:jc w:val="both"/>
        <w:rPr>
          <w:rFonts w:asciiTheme="majorHAnsi" w:hAnsiTheme="majorHAnsi" w:cstheme="majorHAnsi"/>
        </w:rPr>
      </w:pPr>
      <w:r>
        <w:rPr>
          <w:rFonts w:asciiTheme="majorHAnsi" w:hAnsiTheme="majorHAnsi" w:cstheme="majorHAnsi"/>
        </w:rPr>
        <w:t>Esto quiere decir</w:t>
      </w:r>
      <w:r w:rsidR="000A48C7">
        <w:rPr>
          <w:rFonts w:asciiTheme="majorHAnsi" w:hAnsiTheme="majorHAnsi" w:cstheme="majorHAnsi"/>
        </w:rPr>
        <w:t xml:space="preserve"> que,</w:t>
      </w:r>
      <w:r>
        <w:rPr>
          <w:rFonts w:asciiTheme="majorHAnsi" w:hAnsiTheme="majorHAnsi" w:cstheme="majorHAnsi"/>
        </w:rPr>
        <w:t xml:space="preserve"> de implementar el artículo propuesto, </w:t>
      </w:r>
      <w:r w:rsidR="00B65BAC">
        <w:rPr>
          <w:rFonts w:asciiTheme="majorHAnsi" w:hAnsiTheme="majorHAnsi" w:cstheme="majorHAnsi"/>
        </w:rPr>
        <w:t>el</w:t>
      </w:r>
      <w:r>
        <w:rPr>
          <w:rFonts w:asciiTheme="majorHAnsi" w:hAnsiTheme="majorHAnsi" w:cstheme="majorHAnsi"/>
        </w:rPr>
        <w:t xml:space="preserve"> precio promedio de venta al público de la gasolina motor corriente y ACPM incrementarían en $1.000 al cabo de 5 años</w:t>
      </w:r>
      <w:r w:rsidR="00B65BAC">
        <w:rPr>
          <w:rFonts w:asciiTheme="majorHAnsi" w:hAnsiTheme="majorHAnsi" w:cstheme="majorHAnsi"/>
        </w:rPr>
        <w:t xml:space="preserve"> solo ajustando esta variable de la sobretasa a la gasolina sin prever los demás elementos para fijar el precio del combustible.</w:t>
      </w:r>
    </w:p>
    <w:p w14:paraId="6AADEA8E" w14:textId="0B2AA6FF" w:rsidR="0025796E" w:rsidRDefault="0025796E" w:rsidP="0086758B">
      <w:pPr>
        <w:pStyle w:val="Sinespaciado"/>
        <w:jc w:val="both"/>
        <w:rPr>
          <w:rFonts w:asciiTheme="majorHAnsi" w:hAnsiTheme="majorHAnsi" w:cstheme="majorHAnsi"/>
        </w:rPr>
      </w:pPr>
    </w:p>
    <w:p w14:paraId="7E554A8B" w14:textId="520DF10E" w:rsidR="00823C42" w:rsidRDefault="00823C42" w:rsidP="00823C42">
      <w:pPr>
        <w:pStyle w:val="Sinespaciado"/>
        <w:jc w:val="both"/>
        <w:rPr>
          <w:rFonts w:asciiTheme="majorHAnsi" w:hAnsiTheme="majorHAnsi" w:cstheme="majorHAnsi"/>
        </w:rPr>
      </w:pPr>
      <w:r>
        <w:rPr>
          <w:rFonts w:asciiTheme="majorHAnsi" w:hAnsiTheme="majorHAnsi" w:cstheme="majorHAnsi"/>
        </w:rPr>
        <w:t>Finalmente, es</w:t>
      </w:r>
      <w:r w:rsidRPr="00823C42">
        <w:rPr>
          <w:rFonts w:asciiTheme="majorHAnsi" w:hAnsiTheme="majorHAnsi" w:cstheme="majorHAnsi"/>
        </w:rPr>
        <w:t xml:space="preserve"> importante resaltar que la sobretasa a la gasolina constituye un ingreso corriente de libre destinación que financia gastos de funcionamiento e inversión, según las prioridades definidas por las entidades territoriales, particularmente con este tributo se han podido materializar las principales infraestructuras de los sistemas integrados de transporte masivo, como es el caso de Bogotá, Medellín, Pereira, entre otras ciudades.</w:t>
      </w:r>
      <w:r>
        <w:rPr>
          <w:rFonts w:asciiTheme="majorHAnsi" w:hAnsiTheme="majorHAnsi" w:cstheme="majorHAnsi"/>
        </w:rPr>
        <w:t xml:space="preserve"> Adicionalmente, de acuerdo con el informe final de la </w:t>
      </w:r>
      <w:r w:rsidRPr="00823C42">
        <w:rPr>
          <w:rFonts w:asciiTheme="majorHAnsi" w:hAnsiTheme="majorHAnsi" w:cstheme="majorHAnsi"/>
        </w:rPr>
        <w:t>Comisión de Estudios del Sistema Tributario Territorial</w:t>
      </w:r>
      <w:r>
        <w:rPr>
          <w:rFonts w:asciiTheme="majorHAnsi" w:hAnsiTheme="majorHAnsi" w:cstheme="majorHAnsi"/>
        </w:rPr>
        <w:t xml:space="preserve">, indica que </w:t>
      </w:r>
      <w:r w:rsidRPr="00823C42">
        <w:rPr>
          <w:rFonts w:asciiTheme="majorHAnsi" w:hAnsiTheme="majorHAnsi" w:cstheme="majorHAnsi"/>
          <w:i/>
          <w:iCs/>
        </w:rPr>
        <w:t>“La sobretasa a la gasolina es un impuesto altamente eficiente para la compensación de externalidades del transporte privado, incluyendo los costos ambientales, de congestión y de accidentalidad”.</w:t>
      </w:r>
    </w:p>
    <w:p w14:paraId="0ADCC020" w14:textId="49CF0506" w:rsidR="0025796E" w:rsidRDefault="0025796E" w:rsidP="0086758B">
      <w:pPr>
        <w:pStyle w:val="Sinespaciado"/>
        <w:jc w:val="both"/>
        <w:rPr>
          <w:rFonts w:asciiTheme="majorHAnsi" w:hAnsiTheme="majorHAnsi" w:cstheme="majorHAnsi"/>
        </w:rPr>
      </w:pPr>
    </w:p>
    <w:p w14:paraId="26008A6D" w14:textId="2A209A5E" w:rsidR="00823C42" w:rsidRDefault="002A20C0" w:rsidP="0086758B">
      <w:pPr>
        <w:pStyle w:val="Sinespaciado"/>
        <w:jc w:val="both"/>
        <w:rPr>
          <w:rFonts w:asciiTheme="majorHAnsi" w:hAnsiTheme="majorHAnsi" w:cstheme="majorHAnsi"/>
        </w:rPr>
      </w:pPr>
      <w:r>
        <w:rPr>
          <w:rFonts w:asciiTheme="majorHAnsi" w:hAnsiTheme="majorHAnsi" w:cstheme="majorHAnsi"/>
        </w:rPr>
        <w:t>Por tal motivo</w:t>
      </w:r>
      <w:r w:rsidR="00823C42">
        <w:rPr>
          <w:rFonts w:asciiTheme="majorHAnsi" w:hAnsiTheme="majorHAnsi" w:cstheme="majorHAnsi"/>
        </w:rPr>
        <w:t xml:space="preserve">, </w:t>
      </w:r>
      <w:r w:rsidR="00823C42" w:rsidRPr="00823C42">
        <w:rPr>
          <w:rFonts w:asciiTheme="majorHAnsi" w:hAnsiTheme="majorHAnsi" w:cstheme="majorHAnsi"/>
        </w:rPr>
        <w:t>se reitera la importancia que tiene este tributo para las entidades territoriales, siendo prioritario modificar su base gravable, no solo en cumplimiento de una orden constitucional sino a fin de tener un mayor recaudo, con el objetivo de que pueda ser invertido en los proyectos de mayor necesidad de municipios y departamentos, así como en el mejoramiento de los indicadores, y sobre todo para enfrentar las consecuencias negativas que ha generado la pandemia por COVID-19 en las finanzas territoriales.</w:t>
      </w:r>
    </w:p>
    <w:p w14:paraId="3FCED7B9" w14:textId="75F68B86" w:rsidR="005F6D2E" w:rsidRDefault="005F6D2E" w:rsidP="0086758B">
      <w:pPr>
        <w:pStyle w:val="Sinespaciado"/>
        <w:jc w:val="both"/>
        <w:rPr>
          <w:rFonts w:asciiTheme="majorHAnsi" w:hAnsiTheme="majorHAnsi" w:cstheme="majorHAnsi"/>
        </w:rPr>
      </w:pPr>
    </w:p>
    <w:p w14:paraId="0E53776A" w14:textId="77777777" w:rsidR="005F6D2E" w:rsidRDefault="005F6D2E" w:rsidP="0086758B">
      <w:pPr>
        <w:pStyle w:val="Sinespaciado"/>
        <w:jc w:val="both"/>
        <w:rPr>
          <w:rFonts w:asciiTheme="majorHAnsi" w:hAnsiTheme="majorHAnsi" w:cstheme="majorHAnsi"/>
        </w:rPr>
      </w:pPr>
    </w:p>
    <w:p w14:paraId="35301A80" w14:textId="4F066FEF" w:rsidR="005F6D2E" w:rsidRDefault="005F6D2E" w:rsidP="0086758B">
      <w:pPr>
        <w:pStyle w:val="Sinespaciado"/>
        <w:jc w:val="both"/>
        <w:rPr>
          <w:rFonts w:asciiTheme="majorHAnsi" w:hAnsiTheme="majorHAnsi" w:cstheme="majorHAnsi"/>
        </w:rPr>
      </w:pPr>
      <w:r>
        <w:rPr>
          <w:rFonts w:asciiTheme="majorHAnsi" w:hAnsiTheme="majorHAnsi" w:cstheme="majorHAnsi"/>
        </w:rPr>
        <w:lastRenderedPageBreak/>
        <w:t xml:space="preserve">De los Honorables Congresistas, </w:t>
      </w:r>
    </w:p>
    <w:p w14:paraId="450106CE" w14:textId="77777777" w:rsidR="00C07F34" w:rsidRDefault="00C07F34" w:rsidP="0086758B">
      <w:pPr>
        <w:pStyle w:val="Sinespaciado"/>
        <w:jc w:val="both"/>
        <w:rPr>
          <w:rFonts w:asciiTheme="majorHAnsi" w:hAnsiTheme="majorHAnsi" w:cstheme="majorHAnsi"/>
        </w:rPr>
      </w:pPr>
    </w:p>
    <w:p w14:paraId="58BD34BD" w14:textId="6D9D0BDA" w:rsidR="005F6D2E" w:rsidRDefault="005F6D2E" w:rsidP="0086758B">
      <w:pPr>
        <w:pStyle w:val="Sinespaciado"/>
        <w:jc w:val="both"/>
        <w:rPr>
          <w:rFonts w:asciiTheme="majorHAnsi" w:hAnsiTheme="majorHAnsi" w:cstheme="majorHAnsi"/>
        </w:rPr>
      </w:pPr>
    </w:p>
    <w:p w14:paraId="3CDC9831" w14:textId="75EA1087" w:rsidR="005F6D2E" w:rsidRDefault="00D954BF" w:rsidP="0086758B">
      <w:pPr>
        <w:pStyle w:val="Sinespaciado"/>
        <w:jc w:val="both"/>
        <w:rPr>
          <w:rFonts w:asciiTheme="majorHAnsi" w:hAnsiTheme="majorHAnsi" w:cstheme="majorHAnsi"/>
        </w:rPr>
      </w:pPr>
      <w:r>
        <w:rPr>
          <w:rFonts w:asciiTheme="majorHAnsi" w:hAnsiTheme="majorHAnsi" w:cstheme="majorHAnsi"/>
          <w:noProof/>
          <w:lang w:val="es-CO" w:eastAsia="es-CO"/>
        </w:rPr>
        <w:drawing>
          <wp:inline distT="0" distB="0" distL="0" distR="0" wp14:anchorId="2F88F19F" wp14:editId="731D111C">
            <wp:extent cx="2085975" cy="552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2085975" cy="55245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F6D2E" w14:paraId="55C8EE55" w14:textId="77777777" w:rsidTr="0031178C">
        <w:tc>
          <w:tcPr>
            <w:tcW w:w="4414" w:type="dxa"/>
          </w:tcPr>
          <w:p w14:paraId="4592BD4B" w14:textId="77777777" w:rsidR="005F6D2E" w:rsidRDefault="00D954BF" w:rsidP="0031178C">
            <w:pPr>
              <w:pStyle w:val="Sinespaciado"/>
              <w:jc w:val="both"/>
              <w:rPr>
                <w:rFonts w:asciiTheme="majorHAnsi" w:hAnsiTheme="majorHAnsi" w:cstheme="majorHAnsi"/>
                <w:b/>
                <w:bCs/>
                <w:sz w:val="28"/>
                <w:szCs w:val="28"/>
              </w:rPr>
            </w:pPr>
            <w:r>
              <w:rPr>
                <w:rFonts w:asciiTheme="majorHAnsi" w:hAnsiTheme="majorHAnsi" w:cstheme="majorHAnsi"/>
                <w:b/>
                <w:bCs/>
                <w:sz w:val="28"/>
                <w:szCs w:val="28"/>
              </w:rPr>
              <w:t>BAYARDO BETANCOURT PÉREZ</w:t>
            </w:r>
          </w:p>
          <w:p w14:paraId="65D9BE15" w14:textId="77777777" w:rsidR="00D954BF" w:rsidRDefault="00D954BF" w:rsidP="0031178C">
            <w:pPr>
              <w:pStyle w:val="Sinespaciado"/>
              <w:jc w:val="both"/>
              <w:rPr>
                <w:rFonts w:asciiTheme="majorHAnsi" w:hAnsiTheme="majorHAnsi" w:cstheme="majorHAnsi"/>
                <w:b/>
                <w:bCs/>
                <w:sz w:val="28"/>
                <w:szCs w:val="28"/>
              </w:rPr>
            </w:pPr>
            <w:r>
              <w:rPr>
                <w:rFonts w:asciiTheme="majorHAnsi" w:hAnsiTheme="majorHAnsi" w:cstheme="majorHAnsi"/>
                <w:b/>
                <w:bCs/>
                <w:sz w:val="28"/>
                <w:szCs w:val="28"/>
              </w:rPr>
              <w:t xml:space="preserve">Representante a la Cámara </w:t>
            </w:r>
          </w:p>
          <w:p w14:paraId="74D8C42B" w14:textId="25E1C50A" w:rsidR="00D954BF" w:rsidRDefault="00D954BF" w:rsidP="0031178C">
            <w:pPr>
              <w:pStyle w:val="Sinespaciado"/>
              <w:jc w:val="both"/>
              <w:rPr>
                <w:rFonts w:asciiTheme="majorHAnsi" w:hAnsiTheme="majorHAnsi" w:cstheme="majorHAnsi"/>
                <w:b/>
                <w:bCs/>
                <w:sz w:val="28"/>
                <w:szCs w:val="28"/>
              </w:rPr>
            </w:pPr>
            <w:r>
              <w:rPr>
                <w:rFonts w:asciiTheme="majorHAnsi" w:hAnsiTheme="majorHAnsi" w:cstheme="majorHAnsi"/>
                <w:b/>
                <w:bCs/>
                <w:sz w:val="28"/>
                <w:szCs w:val="28"/>
              </w:rPr>
              <w:t>Nariño</w:t>
            </w:r>
          </w:p>
        </w:tc>
        <w:tc>
          <w:tcPr>
            <w:tcW w:w="4414" w:type="dxa"/>
          </w:tcPr>
          <w:p w14:paraId="3AEA9E55" w14:textId="77777777" w:rsidR="005F6D2E" w:rsidRDefault="005F6D2E" w:rsidP="0031178C">
            <w:pPr>
              <w:pStyle w:val="Sinespaciado"/>
              <w:jc w:val="both"/>
              <w:rPr>
                <w:rFonts w:asciiTheme="majorHAnsi" w:hAnsiTheme="majorHAnsi" w:cstheme="majorHAnsi"/>
                <w:b/>
                <w:bCs/>
                <w:sz w:val="28"/>
                <w:szCs w:val="28"/>
              </w:rPr>
            </w:pPr>
            <w:r>
              <w:rPr>
                <w:rFonts w:asciiTheme="majorHAnsi" w:hAnsiTheme="majorHAnsi" w:cstheme="majorHAnsi"/>
                <w:b/>
                <w:bCs/>
                <w:sz w:val="28"/>
                <w:szCs w:val="28"/>
              </w:rPr>
              <w:t>_____________________________</w:t>
            </w:r>
          </w:p>
        </w:tc>
      </w:tr>
      <w:tr w:rsidR="005F6D2E" w14:paraId="7AF5C442" w14:textId="77777777" w:rsidTr="0031178C">
        <w:tc>
          <w:tcPr>
            <w:tcW w:w="4414" w:type="dxa"/>
          </w:tcPr>
          <w:p w14:paraId="186C0959" w14:textId="77777777" w:rsidR="005F6D2E" w:rsidRDefault="005F6D2E" w:rsidP="0031178C">
            <w:pPr>
              <w:pStyle w:val="Sinespaciado"/>
              <w:jc w:val="both"/>
              <w:rPr>
                <w:rFonts w:asciiTheme="majorHAnsi" w:hAnsiTheme="majorHAnsi" w:cstheme="majorHAnsi"/>
                <w:b/>
                <w:bCs/>
                <w:sz w:val="28"/>
                <w:szCs w:val="28"/>
              </w:rPr>
            </w:pPr>
          </w:p>
        </w:tc>
        <w:tc>
          <w:tcPr>
            <w:tcW w:w="4414" w:type="dxa"/>
          </w:tcPr>
          <w:p w14:paraId="03AF6657" w14:textId="77777777" w:rsidR="005F6D2E" w:rsidRDefault="005F6D2E" w:rsidP="0031178C">
            <w:pPr>
              <w:pStyle w:val="Sinespaciado"/>
              <w:jc w:val="both"/>
              <w:rPr>
                <w:rFonts w:asciiTheme="majorHAnsi" w:hAnsiTheme="majorHAnsi" w:cstheme="majorHAnsi"/>
                <w:b/>
                <w:bCs/>
                <w:sz w:val="28"/>
                <w:szCs w:val="28"/>
              </w:rPr>
            </w:pPr>
          </w:p>
        </w:tc>
      </w:tr>
      <w:tr w:rsidR="005F6D2E" w14:paraId="75D3F86D" w14:textId="77777777" w:rsidTr="0031178C">
        <w:tc>
          <w:tcPr>
            <w:tcW w:w="4414" w:type="dxa"/>
          </w:tcPr>
          <w:p w14:paraId="41772212" w14:textId="77777777" w:rsidR="005F6D2E" w:rsidRDefault="005F6D2E" w:rsidP="0031178C">
            <w:pPr>
              <w:pStyle w:val="Sinespaciado"/>
              <w:jc w:val="both"/>
              <w:rPr>
                <w:rFonts w:asciiTheme="majorHAnsi" w:hAnsiTheme="majorHAnsi" w:cstheme="majorHAnsi"/>
                <w:b/>
                <w:bCs/>
                <w:sz w:val="28"/>
                <w:szCs w:val="28"/>
              </w:rPr>
            </w:pPr>
          </w:p>
        </w:tc>
        <w:tc>
          <w:tcPr>
            <w:tcW w:w="4414" w:type="dxa"/>
          </w:tcPr>
          <w:p w14:paraId="1262DD64" w14:textId="77777777" w:rsidR="005F6D2E" w:rsidRDefault="005F6D2E" w:rsidP="0031178C">
            <w:pPr>
              <w:pStyle w:val="Sinespaciado"/>
              <w:jc w:val="both"/>
              <w:rPr>
                <w:rFonts w:asciiTheme="majorHAnsi" w:hAnsiTheme="majorHAnsi" w:cstheme="majorHAnsi"/>
                <w:b/>
                <w:bCs/>
                <w:sz w:val="28"/>
                <w:szCs w:val="28"/>
              </w:rPr>
            </w:pPr>
          </w:p>
        </w:tc>
      </w:tr>
      <w:tr w:rsidR="005F6D2E" w14:paraId="6701567A" w14:textId="77777777" w:rsidTr="0031178C">
        <w:tc>
          <w:tcPr>
            <w:tcW w:w="4414" w:type="dxa"/>
          </w:tcPr>
          <w:p w14:paraId="5FEE6927" w14:textId="77777777" w:rsidR="005F6D2E" w:rsidRDefault="005F6D2E" w:rsidP="0031178C">
            <w:pPr>
              <w:pStyle w:val="Sinespaciado"/>
              <w:jc w:val="both"/>
              <w:rPr>
                <w:rFonts w:asciiTheme="majorHAnsi" w:hAnsiTheme="majorHAnsi" w:cstheme="majorHAnsi"/>
                <w:b/>
                <w:bCs/>
                <w:sz w:val="28"/>
                <w:szCs w:val="28"/>
              </w:rPr>
            </w:pPr>
          </w:p>
        </w:tc>
        <w:tc>
          <w:tcPr>
            <w:tcW w:w="4414" w:type="dxa"/>
          </w:tcPr>
          <w:p w14:paraId="5844EB3D" w14:textId="77777777" w:rsidR="005F6D2E" w:rsidRDefault="005F6D2E" w:rsidP="0031178C">
            <w:pPr>
              <w:pStyle w:val="Sinespaciado"/>
              <w:jc w:val="both"/>
              <w:rPr>
                <w:rFonts w:asciiTheme="majorHAnsi" w:hAnsiTheme="majorHAnsi" w:cstheme="majorHAnsi"/>
                <w:b/>
                <w:bCs/>
                <w:sz w:val="28"/>
                <w:szCs w:val="28"/>
              </w:rPr>
            </w:pPr>
          </w:p>
        </w:tc>
      </w:tr>
      <w:tr w:rsidR="005F6D2E" w14:paraId="366C0A19" w14:textId="77777777" w:rsidTr="0031178C">
        <w:tc>
          <w:tcPr>
            <w:tcW w:w="4414" w:type="dxa"/>
          </w:tcPr>
          <w:p w14:paraId="395F85ED" w14:textId="77777777" w:rsidR="005F6D2E" w:rsidRDefault="005F6D2E" w:rsidP="0031178C">
            <w:pPr>
              <w:pStyle w:val="Sinespaciado"/>
              <w:pBdr>
                <w:bottom w:val="single" w:sz="12" w:space="1" w:color="auto"/>
              </w:pBdr>
              <w:jc w:val="both"/>
              <w:rPr>
                <w:rFonts w:asciiTheme="majorHAnsi" w:hAnsiTheme="majorHAnsi" w:cstheme="majorHAnsi"/>
                <w:b/>
                <w:bCs/>
                <w:sz w:val="28"/>
                <w:szCs w:val="28"/>
              </w:rPr>
            </w:pPr>
          </w:p>
          <w:p w14:paraId="20A19563" w14:textId="77777777" w:rsidR="005F6D2E" w:rsidRDefault="005F6D2E" w:rsidP="0031178C">
            <w:pPr>
              <w:pStyle w:val="Sinespaciado"/>
              <w:jc w:val="both"/>
              <w:rPr>
                <w:rFonts w:asciiTheme="majorHAnsi" w:hAnsiTheme="majorHAnsi" w:cstheme="majorHAnsi"/>
                <w:b/>
                <w:bCs/>
                <w:sz w:val="28"/>
                <w:szCs w:val="28"/>
              </w:rPr>
            </w:pPr>
          </w:p>
        </w:tc>
        <w:tc>
          <w:tcPr>
            <w:tcW w:w="4414" w:type="dxa"/>
          </w:tcPr>
          <w:p w14:paraId="71ECCAF5" w14:textId="77777777" w:rsidR="005F6D2E" w:rsidRDefault="005F6D2E" w:rsidP="0031178C">
            <w:pPr>
              <w:pStyle w:val="Sinespaciado"/>
              <w:pBdr>
                <w:bottom w:val="single" w:sz="12" w:space="1" w:color="auto"/>
              </w:pBdr>
              <w:jc w:val="both"/>
              <w:rPr>
                <w:rFonts w:asciiTheme="majorHAnsi" w:hAnsiTheme="majorHAnsi" w:cstheme="majorHAnsi"/>
                <w:b/>
                <w:bCs/>
                <w:sz w:val="28"/>
                <w:szCs w:val="28"/>
              </w:rPr>
            </w:pPr>
          </w:p>
          <w:p w14:paraId="24330A99" w14:textId="77777777" w:rsidR="005F6D2E" w:rsidRDefault="005F6D2E" w:rsidP="0031178C">
            <w:pPr>
              <w:pStyle w:val="Sinespaciado"/>
              <w:jc w:val="both"/>
              <w:rPr>
                <w:rFonts w:asciiTheme="majorHAnsi" w:hAnsiTheme="majorHAnsi" w:cstheme="majorHAnsi"/>
                <w:b/>
                <w:bCs/>
                <w:sz w:val="28"/>
                <w:szCs w:val="28"/>
              </w:rPr>
            </w:pPr>
          </w:p>
          <w:p w14:paraId="552A5125" w14:textId="77777777" w:rsidR="005F6D2E" w:rsidRDefault="005F6D2E" w:rsidP="0031178C">
            <w:pPr>
              <w:pStyle w:val="Sinespaciado"/>
              <w:jc w:val="both"/>
              <w:rPr>
                <w:rFonts w:asciiTheme="majorHAnsi" w:hAnsiTheme="majorHAnsi" w:cstheme="majorHAnsi"/>
                <w:b/>
                <w:bCs/>
                <w:sz w:val="28"/>
                <w:szCs w:val="28"/>
              </w:rPr>
            </w:pPr>
          </w:p>
          <w:p w14:paraId="5377CFCF" w14:textId="77777777" w:rsidR="005F6D2E" w:rsidRDefault="005F6D2E" w:rsidP="0031178C">
            <w:pPr>
              <w:pStyle w:val="Sinespaciado"/>
              <w:jc w:val="both"/>
              <w:rPr>
                <w:rFonts w:asciiTheme="majorHAnsi" w:hAnsiTheme="majorHAnsi" w:cstheme="majorHAnsi"/>
                <w:b/>
                <w:bCs/>
                <w:sz w:val="28"/>
                <w:szCs w:val="28"/>
              </w:rPr>
            </w:pPr>
          </w:p>
        </w:tc>
      </w:tr>
      <w:tr w:rsidR="005F6D2E" w14:paraId="0177E1C1" w14:textId="77777777" w:rsidTr="0031178C">
        <w:tc>
          <w:tcPr>
            <w:tcW w:w="4414" w:type="dxa"/>
          </w:tcPr>
          <w:p w14:paraId="69CC2903" w14:textId="77777777" w:rsidR="005F6D2E" w:rsidRDefault="005F6D2E" w:rsidP="0031178C">
            <w:pPr>
              <w:pStyle w:val="Sinespaciado"/>
              <w:jc w:val="both"/>
              <w:rPr>
                <w:rFonts w:asciiTheme="majorHAnsi" w:hAnsiTheme="majorHAnsi" w:cstheme="majorHAnsi"/>
                <w:b/>
                <w:bCs/>
                <w:sz w:val="28"/>
                <w:szCs w:val="28"/>
              </w:rPr>
            </w:pPr>
            <w:r>
              <w:rPr>
                <w:rFonts w:asciiTheme="majorHAnsi" w:hAnsiTheme="majorHAnsi" w:cstheme="majorHAnsi"/>
                <w:b/>
                <w:bCs/>
                <w:sz w:val="28"/>
                <w:szCs w:val="28"/>
              </w:rPr>
              <w:t>_____________________________</w:t>
            </w:r>
          </w:p>
        </w:tc>
        <w:tc>
          <w:tcPr>
            <w:tcW w:w="4414" w:type="dxa"/>
          </w:tcPr>
          <w:p w14:paraId="584E4050" w14:textId="77777777" w:rsidR="005F6D2E" w:rsidRDefault="005F6D2E" w:rsidP="0031178C">
            <w:pPr>
              <w:pStyle w:val="Sinespaciado"/>
              <w:pBdr>
                <w:bottom w:val="single" w:sz="12" w:space="1" w:color="auto"/>
              </w:pBdr>
              <w:jc w:val="both"/>
              <w:rPr>
                <w:rFonts w:asciiTheme="majorHAnsi" w:hAnsiTheme="majorHAnsi" w:cstheme="majorHAnsi"/>
                <w:b/>
                <w:bCs/>
                <w:sz w:val="28"/>
                <w:szCs w:val="28"/>
              </w:rPr>
            </w:pPr>
          </w:p>
          <w:p w14:paraId="4D06304D" w14:textId="77777777" w:rsidR="005F6D2E" w:rsidRDefault="005F6D2E" w:rsidP="0031178C">
            <w:pPr>
              <w:pStyle w:val="Sinespaciado"/>
              <w:jc w:val="both"/>
              <w:rPr>
                <w:rFonts w:asciiTheme="majorHAnsi" w:hAnsiTheme="majorHAnsi" w:cstheme="majorHAnsi"/>
                <w:b/>
                <w:bCs/>
                <w:sz w:val="28"/>
                <w:szCs w:val="28"/>
              </w:rPr>
            </w:pPr>
          </w:p>
        </w:tc>
      </w:tr>
      <w:tr w:rsidR="005F6D2E" w14:paraId="34E12FFE" w14:textId="77777777" w:rsidTr="0031178C">
        <w:tc>
          <w:tcPr>
            <w:tcW w:w="4414" w:type="dxa"/>
          </w:tcPr>
          <w:p w14:paraId="6F1C4C2D" w14:textId="77777777" w:rsidR="005F6D2E" w:rsidRDefault="005F6D2E" w:rsidP="0031178C">
            <w:pPr>
              <w:pStyle w:val="Sinespaciado"/>
              <w:jc w:val="both"/>
              <w:rPr>
                <w:rFonts w:asciiTheme="majorHAnsi" w:hAnsiTheme="majorHAnsi" w:cstheme="majorHAnsi"/>
                <w:b/>
                <w:bCs/>
                <w:sz w:val="28"/>
                <w:szCs w:val="28"/>
              </w:rPr>
            </w:pPr>
          </w:p>
        </w:tc>
        <w:tc>
          <w:tcPr>
            <w:tcW w:w="4414" w:type="dxa"/>
          </w:tcPr>
          <w:p w14:paraId="2BA35ADA" w14:textId="77777777" w:rsidR="005F6D2E" w:rsidRDefault="005F6D2E" w:rsidP="0031178C">
            <w:pPr>
              <w:pStyle w:val="Sinespaciado"/>
              <w:jc w:val="both"/>
              <w:rPr>
                <w:rFonts w:asciiTheme="majorHAnsi" w:hAnsiTheme="majorHAnsi" w:cstheme="majorHAnsi"/>
                <w:b/>
                <w:bCs/>
                <w:sz w:val="28"/>
                <w:szCs w:val="28"/>
              </w:rPr>
            </w:pPr>
          </w:p>
        </w:tc>
      </w:tr>
      <w:tr w:rsidR="005F6D2E" w14:paraId="37E7C75C" w14:textId="77777777" w:rsidTr="0031178C">
        <w:tc>
          <w:tcPr>
            <w:tcW w:w="4414" w:type="dxa"/>
          </w:tcPr>
          <w:p w14:paraId="3DFAF219" w14:textId="77777777" w:rsidR="005F6D2E" w:rsidRDefault="005F6D2E" w:rsidP="0031178C">
            <w:pPr>
              <w:pStyle w:val="Sinespaciado"/>
              <w:jc w:val="both"/>
              <w:rPr>
                <w:rFonts w:asciiTheme="majorHAnsi" w:hAnsiTheme="majorHAnsi" w:cstheme="majorHAnsi"/>
                <w:b/>
                <w:bCs/>
                <w:sz w:val="28"/>
                <w:szCs w:val="28"/>
              </w:rPr>
            </w:pPr>
          </w:p>
          <w:p w14:paraId="5F268637" w14:textId="77777777" w:rsidR="005F6D2E" w:rsidRDefault="005F6D2E" w:rsidP="0031178C">
            <w:pPr>
              <w:pStyle w:val="Sinespaciado"/>
              <w:jc w:val="both"/>
              <w:rPr>
                <w:rFonts w:asciiTheme="majorHAnsi" w:hAnsiTheme="majorHAnsi" w:cstheme="majorHAnsi"/>
                <w:b/>
                <w:bCs/>
                <w:sz w:val="28"/>
                <w:szCs w:val="28"/>
              </w:rPr>
            </w:pPr>
          </w:p>
        </w:tc>
        <w:tc>
          <w:tcPr>
            <w:tcW w:w="4414" w:type="dxa"/>
          </w:tcPr>
          <w:p w14:paraId="63F7E3B7" w14:textId="77777777" w:rsidR="005F6D2E" w:rsidRDefault="005F6D2E" w:rsidP="0031178C">
            <w:pPr>
              <w:pStyle w:val="Sinespaciado"/>
              <w:jc w:val="both"/>
              <w:rPr>
                <w:rFonts w:asciiTheme="majorHAnsi" w:hAnsiTheme="majorHAnsi" w:cstheme="majorHAnsi"/>
                <w:b/>
                <w:bCs/>
                <w:sz w:val="28"/>
                <w:szCs w:val="28"/>
              </w:rPr>
            </w:pPr>
          </w:p>
        </w:tc>
      </w:tr>
      <w:tr w:rsidR="005F6D2E" w14:paraId="1623F960" w14:textId="77777777" w:rsidTr="0031178C">
        <w:tc>
          <w:tcPr>
            <w:tcW w:w="4414" w:type="dxa"/>
          </w:tcPr>
          <w:p w14:paraId="51D7F321" w14:textId="77777777" w:rsidR="005F6D2E" w:rsidRDefault="005F6D2E" w:rsidP="0031178C">
            <w:pPr>
              <w:pStyle w:val="Sinespaciado"/>
              <w:jc w:val="both"/>
              <w:rPr>
                <w:rFonts w:asciiTheme="majorHAnsi" w:hAnsiTheme="majorHAnsi" w:cstheme="majorHAnsi"/>
                <w:b/>
                <w:bCs/>
                <w:sz w:val="28"/>
                <w:szCs w:val="28"/>
              </w:rPr>
            </w:pPr>
          </w:p>
        </w:tc>
        <w:tc>
          <w:tcPr>
            <w:tcW w:w="4414" w:type="dxa"/>
          </w:tcPr>
          <w:p w14:paraId="6497299B" w14:textId="77777777" w:rsidR="005F6D2E" w:rsidRDefault="005F6D2E" w:rsidP="0031178C">
            <w:pPr>
              <w:pStyle w:val="Sinespaciado"/>
              <w:jc w:val="both"/>
              <w:rPr>
                <w:rFonts w:asciiTheme="majorHAnsi" w:hAnsiTheme="majorHAnsi" w:cstheme="majorHAnsi"/>
                <w:b/>
                <w:bCs/>
                <w:sz w:val="28"/>
                <w:szCs w:val="28"/>
              </w:rPr>
            </w:pPr>
          </w:p>
        </w:tc>
      </w:tr>
    </w:tbl>
    <w:p w14:paraId="734D3AE1" w14:textId="77777777" w:rsidR="005F6D2E" w:rsidRPr="00B641A5" w:rsidRDefault="005F6D2E" w:rsidP="005F6D2E">
      <w:pPr>
        <w:pStyle w:val="Sinespaciado"/>
        <w:jc w:val="both"/>
        <w:rPr>
          <w:rFonts w:asciiTheme="majorHAnsi" w:hAnsiTheme="majorHAnsi" w:cstheme="majorHAnsi"/>
        </w:rPr>
      </w:pPr>
    </w:p>
    <w:sectPr w:rsidR="005F6D2E" w:rsidRPr="00B641A5" w:rsidSect="002B4304">
      <w:headerReference w:type="default" r:id="rId1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03CB0" w14:textId="77777777" w:rsidR="00EA79BE" w:rsidRDefault="00EA79BE" w:rsidP="00DA7CDA">
      <w:pPr>
        <w:spacing w:after="0" w:line="240" w:lineRule="auto"/>
      </w:pPr>
      <w:r>
        <w:separator/>
      </w:r>
    </w:p>
  </w:endnote>
  <w:endnote w:type="continuationSeparator" w:id="0">
    <w:p w14:paraId="2CA92EA1" w14:textId="77777777" w:rsidR="00EA79BE" w:rsidRDefault="00EA79BE" w:rsidP="00DA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90C4" w14:textId="77777777" w:rsidR="00EA79BE" w:rsidRDefault="00EA79BE" w:rsidP="00DA7CDA">
      <w:pPr>
        <w:spacing w:after="0" w:line="240" w:lineRule="auto"/>
      </w:pPr>
      <w:r>
        <w:separator/>
      </w:r>
    </w:p>
  </w:footnote>
  <w:footnote w:type="continuationSeparator" w:id="0">
    <w:p w14:paraId="0F386820" w14:textId="77777777" w:rsidR="00EA79BE" w:rsidRDefault="00EA79BE" w:rsidP="00DA7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85B50" w14:textId="63877AB1" w:rsidR="00DB39BC" w:rsidRPr="007C7193" w:rsidRDefault="007C7193" w:rsidP="005A7D3D">
    <w:pPr>
      <w:pStyle w:val="Encabezado"/>
      <w:rPr>
        <w:lang w:val="es-ES"/>
      </w:rPr>
    </w:pPr>
    <w:r>
      <w:rPr>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108"/>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90592F"/>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F85CBD"/>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6B2381"/>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500F9F"/>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F571D7"/>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2876AC"/>
    <w:multiLevelType w:val="multilevel"/>
    <w:tmpl w:val="93162F1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35F25"/>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FF5541"/>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4846EF"/>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BB4DB4"/>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BA08E9"/>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B03890"/>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300DE6"/>
    <w:multiLevelType w:val="hybridMultilevel"/>
    <w:tmpl w:val="A7B2FD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766944"/>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DE184D"/>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C33865"/>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811142"/>
    <w:multiLevelType w:val="hybridMultilevel"/>
    <w:tmpl w:val="952639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390CB3"/>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B6B1BD4"/>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431187"/>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614B8B"/>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EB1649"/>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106FE8"/>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C95D70"/>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5B50F4"/>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AD126B"/>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B20A06"/>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F477DA"/>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44006F3"/>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7B4872"/>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DB67C3F"/>
    <w:multiLevelType w:val="hybridMultilevel"/>
    <w:tmpl w:val="DF36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1"/>
  </w:num>
  <w:num w:numId="4">
    <w:abstractNumId w:val="21"/>
  </w:num>
  <w:num w:numId="5">
    <w:abstractNumId w:val="25"/>
  </w:num>
  <w:num w:numId="6">
    <w:abstractNumId w:val="24"/>
  </w:num>
  <w:num w:numId="7">
    <w:abstractNumId w:val="22"/>
  </w:num>
  <w:num w:numId="8">
    <w:abstractNumId w:val="7"/>
  </w:num>
  <w:num w:numId="9">
    <w:abstractNumId w:val="26"/>
  </w:num>
  <w:num w:numId="10">
    <w:abstractNumId w:val="16"/>
  </w:num>
  <w:num w:numId="11">
    <w:abstractNumId w:val="10"/>
  </w:num>
  <w:num w:numId="12">
    <w:abstractNumId w:val="9"/>
  </w:num>
  <w:num w:numId="13">
    <w:abstractNumId w:val="27"/>
  </w:num>
  <w:num w:numId="14">
    <w:abstractNumId w:val="14"/>
  </w:num>
  <w:num w:numId="15">
    <w:abstractNumId w:val="12"/>
  </w:num>
  <w:num w:numId="16">
    <w:abstractNumId w:val="11"/>
  </w:num>
  <w:num w:numId="17">
    <w:abstractNumId w:val="1"/>
  </w:num>
  <w:num w:numId="18">
    <w:abstractNumId w:val="8"/>
  </w:num>
  <w:num w:numId="19">
    <w:abstractNumId w:val="28"/>
  </w:num>
  <w:num w:numId="20">
    <w:abstractNumId w:val="18"/>
  </w:num>
  <w:num w:numId="21">
    <w:abstractNumId w:val="23"/>
  </w:num>
  <w:num w:numId="22">
    <w:abstractNumId w:val="29"/>
  </w:num>
  <w:num w:numId="23">
    <w:abstractNumId w:val="19"/>
  </w:num>
  <w:num w:numId="24">
    <w:abstractNumId w:val="20"/>
  </w:num>
  <w:num w:numId="25">
    <w:abstractNumId w:val="3"/>
  </w:num>
  <w:num w:numId="26">
    <w:abstractNumId w:val="15"/>
  </w:num>
  <w:num w:numId="27">
    <w:abstractNumId w:val="30"/>
  </w:num>
  <w:num w:numId="28">
    <w:abstractNumId w:val="5"/>
  </w:num>
  <w:num w:numId="29">
    <w:abstractNumId w:val="2"/>
  </w:num>
  <w:num w:numId="30">
    <w:abstractNumId w:val="17"/>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E5"/>
    <w:rsid w:val="00002137"/>
    <w:rsid w:val="00002775"/>
    <w:rsid w:val="0000739A"/>
    <w:rsid w:val="000130CE"/>
    <w:rsid w:val="00020F63"/>
    <w:rsid w:val="00023C64"/>
    <w:rsid w:val="000250D7"/>
    <w:rsid w:val="0002762D"/>
    <w:rsid w:val="0004347F"/>
    <w:rsid w:val="00043F4F"/>
    <w:rsid w:val="00067778"/>
    <w:rsid w:val="00072353"/>
    <w:rsid w:val="00072DEE"/>
    <w:rsid w:val="00075964"/>
    <w:rsid w:val="0007648D"/>
    <w:rsid w:val="00082109"/>
    <w:rsid w:val="00082B99"/>
    <w:rsid w:val="000852A4"/>
    <w:rsid w:val="000A48C7"/>
    <w:rsid w:val="000B3384"/>
    <w:rsid w:val="000C2DAD"/>
    <w:rsid w:val="000C5FF1"/>
    <w:rsid w:val="000C7A98"/>
    <w:rsid w:val="000D08C9"/>
    <w:rsid w:val="000D1995"/>
    <w:rsid w:val="000D21EF"/>
    <w:rsid w:val="000F0B42"/>
    <w:rsid w:val="000F36DF"/>
    <w:rsid w:val="000F7C3C"/>
    <w:rsid w:val="00112E95"/>
    <w:rsid w:val="00130635"/>
    <w:rsid w:val="001338B7"/>
    <w:rsid w:val="00140940"/>
    <w:rsid w:val="00152A3E"/>
    <w:rsid w:val="00154677"/>
    <w:rsid w:val="00155CC6"/>
    <w:rsid w:val="0016137E"/>
    <w:rsid w:val="001642AE"/>
    <w:rsid w:val="00170AE6"/>
    <w:rsid w:val="00181D41"/>
    <w:rsid w:val="00187093"/>
    <w:rsid w:val="00197399"/>
    <w:rsid w:val="001A4050"/>
    <w:rsid w:val="001A41FA"/>
    <w:rsid w:val="001B0ECF"/>
    <w:rsid w:val="001B105E"/>
    <w:rsid w:val="001B1CBF"/>
    <w:rsid w:val="001B7E29"/>
    <w:rsid w:val="001C2A75"/>
    <w:rsid w:val="001C4837"/>
    <w:rsid w:val="001C4EFC"/>
    <w:rsid w:val="001D78BB"/>
    <w:rsid w:val="001E3BAF"/>
    <w:rsid w:val="001E57A7"/>
    <w:rsid w:val="00210D24"/>
    <w:rsid w:val="00213CA6"/>
    <w:rsid w:val="00215524"/>
    <w:rsid w:val="00222143"/>
    <w:rsid w:val="00223EC1"/>
    <w:rsid w:val="00226838"/>
    <w:rsid w:val="002343AC"/>
    <w:rsid w:val="00242C0A"/>
    <w:rsid w:val="00244B16"/>
    <w:rsid w:val="0024507F"/>
    <w:rsid w:val="00246DAD"/>
    <w:rsid w:val="00247EE3"/>
    <w:rsid w:val="0025796E"/>
    <w:rsid w:val="00260FB5"/>
    <w:rsid w:val="00265A1A"/>
    <w:rsid w:val="00272314"/>
    <w:rsid w:val="00281A62"/>
    <w:rsid w:val="00282ADD"/>
    <w:rsid w:val="00284C1B"/>
    <w:rsid w:val="0028505B"/>
    <w:rsid w:val="00291D21"/>
    <w:rsid w:val="00295094"/>
    <w:rsid w:val="0029773E"/>
    <w:rsid w:val="002A20C0"/>
    <w:rsid w:val="002A2AEC"/>
    <w:rsid w:val="002A47CB"/>
    <w:rsid w:val="002A53D6"/>
    <w:rsid w:val="002B4304"/>
    <w:rsid w:val="002B4F2A"/>
    <w:rsid w:val="002C0F73"/>
    <w:rsid w:val="002C56EF"/>
    <w:rsid w:val="002D1606"/>
    <w:rsid w:val="002D29F2"/>
    <w:rsid w:val="002D6429"/>
    <w:rsid w:val="002D7FF8"/>
    <w:rsid w:val="002E2739"/>
    <w:rsid w:val="002E3E5A"/>
    <w:rsid w:val="002F0294"/>
    <w:rsid w:val="002F06DF"/>
    <w:rsid w:val="002F1C72"/>
    <w:rsid w:val="003043AD"/>
    <w:rsid w:val="003063E0"/>
    <w:rsid w:val="00306FA0"/>
    <w:rsid w:val="0031221E"/>
    <w:rsid w:val="003143EB"/>
    <w:rsid w:val="00323A66"/>
    <w:rsid w:val="00342636"/>
    <w:rsid w:val="003478AC"/>
    <w:rsid w:val="00352021"/>
    <w:rsid w:val="00356CB6"/>
    <w:rsid w:val="00360B04"/>
    <w:rsid w:val="0036194B"/>
    <w:rsid w:val="003716A1"/>
    <w:rsid w:val="003767D6"/>
    <w:rsid w:val="00376A31"/>
    <w:rsid w:val="003804F3"/>
    <w:rsid w:val="0038635B"/>
    <w:rsid w:val="003A194F"/>
    <w:rsid w:val="003A4F2F"/>
    <w:rsid w:val="003B13E6"/>
    <w:rsid w:val="003B25C4"/>
    <w:rsid w:val="003B2E84"/>
    <w:rsid w:val="003B45A4"/>
    <w:rsid w:val="003B7D58"/>
    <w:rsid w:val="003C7B66"/>
    <w:rsid w:val="003D076B"/>
    <w:rsid w:val="003D2B83"/>
    <w:rsid w:val="003E04DE"/>
    <w:rsid w:val="003E1524"/>
    <w:rsid w:val="003E6ECC"/>
    <w:rsid w:val="003E7715"/>
    <w:rsid w:val="003F56A6"/>
    <w:rsid w:val="00410317"/>
    <w:rsid w:val="00420702"/>
    <w:rsid w:val="004341CD"/>
    <w:rsid w:val="00443213"/>
    <w:rsid w:val="00450921"/>
    <w:rsid w:val="0045156C"/>
    <w:rsid w:val="00453433"/>
    <w:rsid w:val="00460BFD"/>
    <w:rsid w:val="00467567"/>
    <w:rsid w:val="004768B5"/>
    <w:rsid w:val="00476BB8"/>
    <w:rsid w:val="00481C87"/>
    <w:rsid w:val="00486798"/>
    <w:rsid w:val="004945A2"/>
    <w:rsid w:val="00494A84"/>
    <w:rsid w:val="004A0898"/>
    <w:rsid w:val="004D3776"/>
    <w:rsid w:val="004D5C85"/>
    <w:rsid w:val="004E7EF6"/>
    <w:rsid w:val="00504D16"/>
    <w:rsid w:val="00510F9B"/>
    <w:rsid w:val="005150D3"/>
    <w:rsid w:val="00521740"/>
    <w:rsid w:val="00523B78"/>
    <w:rsid w:val="0054159D"/>
    <w:rsid w:val="0054718B"/>
    <w:rsid w:val="00551D3D"/>
    <w:rsid w:val="00561306"/>
    <w:rsid w:val="00563449"/>
    <w:rsid w:val="00563A8C"/>
    <w:rsid w:val="00565C90"/>
    <w:rsid w:val="00572265"/>
    <w:rsid w:val="00580640"/>
    <w:rsid w:val="005A748C"/>
    <w:rsid w:val="005A7D3D"/>
    <w:rsid w:val="005E55F8"/>
    <w:rsid w:val="005F1FDA"/>
    <w:rsid w:val="005F2A9D"/>
    <w:rsid w:val="005F3B38"/>
    <w:rsid w:val="005F5E8D"/>
    <w:rsid w:val="005F6023"/>
    <w:rsid w:val="005F6D2E"/>
    <w:rsid w:val="00600732"/>
    <w:rsid w:val="0060123A"/>
    <w:rsid w:val="006057AE"/>
    <w:rsid w:val="00610B49"/>
    <w:rsid w:val="00613414"/>
    <w:rsid w:val="006161C1"/>
    <w:rsid w:val="0062541A"/>
    <w:rsid w:val="00627204"/>
    <w:rsid w:val="0062771F"/>
    <w:rsid w:val="00633C4F"/>
    <w:rsid w:val="00635E60"/>
    <w:rsid w:val="00644A8A"/>
    <w:rsid w:val="006529B0"/>
    <w:rsid w:val="00655315"/>
    <w:rsid w:val="0066047B"/>
    <w:rsid w:val="00671099"/>
    <w:rsid w:val="006769C4"/>
    <w:rsid w:val="00682DB6"/>
    <w:rsid w:val="00684D74"/>
    <w:rsid w:val="006904AC"/>
    <w:rsid w:val="00694960"/>
    <w:rsid w:val="006A4311"/>
    <w:rsid w:val="006A7B3F"/>
    <w:rsid w:val="006B2182"/>
    <w:rsid w:val="006B5443"/>
    <w:rsid w:val="006C052E"/>
    <w:rsid w:val="006C0658"/>
    <w:rsid w:val="006C12CD"/>
    <w:rsid w:val="006C239C"/>
    <w:rsid w:val="006D4F29"/>
    <w:rsid w:val="006E6427"/>
    <w:rsid w:val="006F3D84"/>
    <w:rsid w:val="006F7261"/>
    <w:rsid w:val="00702EBB"/>
    <w:rsid w:val="00716737"/>
    <w:rsid w:val="00722577"/>
    <w:rsid w:val="00727610"/>
    <w:rsid w:val="007300D3"/>
    <w:rsid w:val="00737093"/>
    <w:rsid w:val="00762497"/>
    <w:rsid w:val="00790391"/>
    <w:rsid w:val="007C077A"/>
    <w:rsid w:val="007C6C99"/>
    <w:rsid w:val="007C7193"/>
    <w:rsid w:val="007D1771"/>
    <w:rsid w:val="007D4D4A"/>
    <w:rsid w:val="007D5272"/>
    <w:rsid w:val="007D58BB"/>
    <w:rsid w:val="007D6824"/>
    <w:rsid w:val="007F4648"/>
    <w:rsid w:val="007F491F"/>
    <w:rsid w:val="007F5967"/>
    <w:rsid w:val="007F7CE5"/>
    <w:rsid w:val="007F7E68"/>
    <w:rsid w:val="00801D3F"/>
    <w:rsid w:val="00811C7A"/>
    <w:rsid w:val="00816967"/>
    <w:rsid w:val="008225E0"/>
    <w:rsid w:val="00823C42"/>
    <w:rsid w:val="008256F4"/>
    <w:rsid w:val="00841737"/>
    <w:rsid w:val="00843232"/>
    <w:rsid w:val="008479C3"/>
    <w:rsid w:val="00851929"/>
    <w:rsid w:val="0085274F"/>
    <w:rsid w:val="008617A6"/>
    <w:rsid w:val="0086758B"/>
    <w:rsid w:val="00875E5C"/>
    <w:rsid w:val="00876765"/>
    <w:rsid w:val="008778E1"/>
    <w:rsid w:val="008836D1"/>
    <w:rsid w:val="008843C3"/>
    <w:rsid w:val="008858A2"/>
    <w:rsid w:val="00891B33"/>
    <w:rsid w:val="008925CD"/>
    <w:rsid w:val="00893916"/>
    <w:rsid w:val="00894A78"/>
    <w:rsid w:val="00895AEF"/>
    <w:rsid w:val="008B3A52"/>
    <w:rsid w:val="008B5F72"/>
    <w:rsid w:val="008C0EBC"/>
    <w:rsid w:val="008C6913"/>
    <w:rsid w:val="008C77E0"/>
    <w:rsid w:val="008D2C60"/>
    <w:rsid w:val="008D72E8"/>
    <w:rsid w:val="008E1CA7"/>
    <w:rsid w:val="008E759B"/>
    <w:rsid w:val="008F6436"/>
    <w:rsid w:val="00901B2A"/>
    <w:rsid w:val="00905382"/>
    <w:rsid w:val="00907BF5"/>
    <w:rsid w:val="00921586"/>
    <w:rsid w:val="009238C3"/>
    <w:rsid w:val="00931857"/>
    <w:rsid w:val="0093471D"/>
    <w:rsid w:val="00951475"/>
    <w:rsid w:val="00951C37"/>
    <w:rsid w:val="00956395"/>
    <w:rsid w:val="00956D1F"/>
    <w:rsid w:val="009626D4"/>
    <w:rsid w:val="00962A27"/>
    <w:rsid w:val="0096607F"/>
    <w:rsid w:val="0097454A"/>
    <w:rsid w:val="00984312"/>
    <w:rsid w:val="00990A22"/>
    <w:rsid w:val="00990C00"/>
    <w:rsid w:val="00994763"/>
    <w:rsid w:val="009A55CC"/>
    <w:rsid w:val="009A5D7B"/>
    <w:rsid w:val="009A7A51"/>
    <w:rsid w:val="009B1F1F"/>
    <w:rsid w:val="009B2D69"/>
    <w:rsid w:val="009B2E68"/>
    <w:rsid w:val="009B411D"/>
    <w:rsid w:val="009B5AA4"/>
    <w:rsid w:val="009B7170"/>
    <w:rsid w:val="009B7581"/>
    <w:rsid w:val="009C6A3C"/>
    <w:rsid w:val="009C73CB"/>
    <w:rsid w:val="009D1246"/>
    <w:rsid w:val="009E0715"/>
    <w:rsid w:val="009F6DB5"/>
    <w:rsid w:val="00A02488"/>
    <w:rsid w:val="00A04570"/>
    <w:rsid w:val="00A119F9"/>
    <w:rsid w:val="00A15253"/>
    <w:rsid w:val="00A162CE"/>
    <w:rsid w:val="00A23CF9"/>
    <w:rsid w:val="00A3005D"/>
    <w:rsid w:val="00A32A7A"/>
    <w:rsid w:val="00A355D2"/>
    <w:rsid w:val="00A42199"/>
    <w:rsid w:val="00A43E78"/>
    <w:rsid w:val="00A46234"/>
    <w:rsid w:val="00A52AB9"/>
    <w:rsid w:val="00A56D72"/>
    <w:rsid w:val="00A61C72"/>
    <w:rsid w:val="00A64C50"/>
    <w:rsid w:val="00A64FF4"/>
    <w:rsid w:val="00A711B4"/>
    <w:rsid w:val="00A7505E"/>
    <w:rsid w:val="00A81DA8"/>
    <w:rsid w:val="00A843B0"/>
    <w:rsid w:val="00A86A97"/>
    <w:rsid w:val="00A96EC9"/>
    <w:rsid w:val="00AA0967"/>
    <w:rsid w:val="00AC1A18"/>
    <w:rsid w:val="00AD584B"/>
    <w:rsid w:val="00AE277E"/>
    <w:rsid w:val="00AE49AE"/>
    <w:rsid w:val="00AE7FEE"/>
    <w:rsid w:val="00AF4E12"/>
    <w:rsid w:val="00AF584A"/>
    <w:rsid w:val="00B02B7D"/>
    <w:rsid w:val="00B04A2D"/>
    <w:rsid w:val="00B07897"/>
    <w:rsid w:val="00B07E9F"/>
    <w:rsid w:val="00B12C03"/>
    <w:rsid w:val="00B22E02"/>
    <w:rsid w:val="00B242B6"/>
    <w:rsid w:val="00B334A5"/>
    <w:rsid w:val="00B36E60"/>
    <w:rsid w:val="00B372C6"/>
    <w:rsid w:val="00B41EB0"/>
    <w:rsid w:val="00B42C3F"/>
    <w:rsid w:val="00B46AD9"/>
    <w:rsid w:val="00B60057"/>
    <w:rsid w:val="00B641A5"/>
    <w:rsid w:val="00B65BAC"/>
    <w:rsid w:val="00B70E69"/>
    <w:rsid w:val="00B73184"/>
    <w:rsid w:val="00B74666"/>
    <w:rsid w:val="00B74B6F"/>
    <w:rsid w:val="00B75183"/>
    <w:rsid w:val="00B76252"/>
    <w:rsid w:val="00B828F9"/>
    <w:rsid w:val="00B922A6"/>
    <w:rsid w:val="00B979D7"/>
    <w:rsid w:val="00BA216C"/>
    <w:rsid w:val="00BA4157"/>
    <w:rsid w:val="00BA57A6"/>
    <w:rsid w:val="00BB0065"/>
    <w:rsid w:val="00BC13A0"/>
    <w:rsid w:val="00BC1D83"/>
    <w:rsid w:val="00BC237A"/>
    <w:rsid w:val="00BC5CD8"/>
    <w:rsid w:val="00BD483D"/>
    <w:rsid w:val="00BE1AAC"/>
    <w:rsid w:val="00BF662A"/>
    <w:rsid w:val="00BF6F16"/>
    <w:rsid w:val="00C07F34"/>
    <w:rsid w:val="00C20FB5"/>
    <w:rsid w:val="00C23FC9"/>
    <w:rsid w:val="00C27BDA"/>
    <w:rsid w:val="00C3406D"/>
    <w:rsid w:val="00C3545F"/>
    <w:rsid w:val="00C40BFE"/>
    <w:rsid w:val="00C5402A"/>
    <w:rsid w:val="00C64CAA"/>
    <w:rsid w:val="00C71AA4"/>
    <w:rsid w:val="00C75278"/>
    <w:rsid w:val="00C76C36"/>
    <w:rsid w:val="00C81819"/>
    <w:rsid w:val="00C82E33"/>
    <w:rsid w:val="00C83907"/>
    <w:rsid w:val="00CA5614"/>
    <w:rsid w:val="00CB3ACA"/>
    <w:rsid w:val="00CB54C9"/>
    <w:rsid w:val="00CB5E89"/>
    <w:rsid w:val="00CC214D"/>
    <w:rsid w:val="00CC5D1D"/>
    <w:rsid w:val="00CD0EF0"/>
    <w:rsid w:val="00CD23DA"/>
    <w:rsid w:val="00CE57CB"/>
    <w:rsid w:val="00CE6F54"/>
    <w:rsid w:val="00CF595D"/>
    <w:rsid w:val="00D03F1A"/>
    <w:rsid w:val="00D10A2B"/>
    <w:rsid w:val="00D24505"/>
    <w:rsid w:val="00D3300B"/>
    <w:rsid w:val="00D34909"/>
    <w:rsid w:val="00D4102B"/>
    <w:rsid w:val="00D415DE"/>
    <w:rsid w:val="00D43C34"/>
    <w:rsid w:val="00D470BD"/>
    <w:rsid w:val="00D6363A"/>
    <w:rsid w:val="00D64E71"/>
    <w:rsid w:val="00D65C01"/>
    <w:rsid w:val="00D72A67"/>
    <w:rsid w:val="00D80C46"/>
    <w:rsid w:val="00D8408C"/>
    <w:rsid w:val="00D8572F"/>
    <w:rsid w:val="00D86AE7"/>
    <w:rsid w:val="00D94B33"/>
    <w:rsid w:val="00D954BF"/>
    <w:rsid w:val="00DA0F96"/>
    <w:rsid w:val="00DA7CDA"/>
    <w:rsid w:val="00DB2124"/>
    <w:rsid w:val="00DB39BC"/>
    <w:rsid w:val="00DC37DC"/>
    <w:rsid w:val="00DC7DCF"/>
    <w:rsid w:val="00DD59FE"/>
    <w:rsid w:val="00E01236"/>
    <w:rsid w:val="00E14115"/>
    <w:rsid w:val="00E20DB7"/>
    <w:rsid w:val="00E225E7"/>
    <w:rsid w:val="00E32A59"/>
    <w:rsid w:val="00E366DA"/>
    <w:rsid w:val="00E41D06"/>
    <w:rsid w:val="00E467B2"/>
    <w:rsid w:val="00E50E12"/>
    <w:rsid w:val="00E5341B"/>
    <w:rsid w:val="00E57B50"/>
    <w:rsid w:val="00E610FD"/>
    <w:rsid w:val="00E61335"/>
    <w:rsid w:val="00E70360"/>
    <w:rsid w:val="00E735C3"/>
    <w:rsid w:val="00E826B6"/>
    <w:rsid w:val="00E94007"/>
    <w:rsid w:val="00E94502"/>
    <w:rsid w:val="00EA385B"/>
    <w:rsid w:val="00EA79BE"/>
    <w:rsid w:val="00EB618E"/>
    <w:rsid w:val="00EC1344"/>
    <w:rsid w:val="00EC2D1A"/>
    <w:rsid w:val="00ED13CA"/>
    <w:rsid w:val="00ED4764"/>
    <w:rsid w:val="00ED60F8"/>
    <w:rsid w:val="00EE0294"/>
    <w:rsid w:val="00EE51F8"/>
    <w:rsid w:val="00EE664C"/>
    <w:rsid w:val="00EF30D1"/>
    <w:rsid w:val="00EF6771"/>
    <w:rsid w:val="00F05DE7"/>
    <w:rsid w:val="00F17654"/>
    <w:rsid w:val="00F31630"/>
    <w:rsid w:val="00F32465"/>
    <w:rsid w:val="00F35EE6"/>
    <w:rsid w:val="00F53FBD"/>
    <w:rsid w:val="00F5698C"/>
    <w:rsid w:val="00F57698"/>
    <w:rsid w:val="00F600AE"/>
    <w:rsid w:val="00F600FF"/>
    <w:rsid w:val="00F64D50"/>
    <w:rsid w:val="00F8211A"/>
    <w:rsid w:val="00F831A8"/>
    <w:rsid w:val="00F83529"/>
    <w:rsid w:val="00F83FC4"/>
    <w:rsid w:val="00F9219F"/>
    <w:rsid w:val="00F97460"/>
    <w:rsid w:val="00FA0BEB"/>
    <w:rsid w:val="00FA61FF"/>
    <w:rsid w:val="00FA6ADB"/>
    <w:rsid w:val="00FC6C4B"/>
    <w:rsid w:val="00FD7C83"/>
    <w:rsid w:val="00FE29B4"/>
    <w:rsid w:val="00FE6B7B"/>
    <w:rsid w:val="00FF1118"/>
    <w:rsid w:val="00FF5A45"/>
    <w:rsid w:val="00FF68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20B28"/>
  <w15:chartTrackingRefBased/>
  <w15:docId w15:val="{C958EADC-541F-4582-925E-A23BFA00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73E"/>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405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A4050"/>
    <w:rPr>
      <w:color w:val="0563C1" w:themeColor="hyperlink"/>
      <w:u w:val="single"/>
    </w:rPr>
  </w:style>
  <w:style w:type="paragraph" w:styleId="Sinespaciado">
    <w:name w:val="No Spacing"/>
    <w:uiPriority w:val="1"/>
    <w:qFormat/>
    <w:rsid w:val="001A4050"/>
    <w:pPr>
      <w:spacing w:after="0" w:line="240" w:lineRule="auto"/>
    </w:pPr>
    <w:rPr>
      <w:rFonts w:eastAsiaTheme="minorEastAsia"/>
      <w:sz w:val="24"/>
      <w:szCs w:val="24"/>
      <w:lang w:val="es-ES_tradnl" w:eastAsia="es-ES"/>
    </w:rPr>
  </w:style>
  <w:style w:type="paragraph" w:styleId="Encabezado">
    <w:name w:val="header"/>
    <w:basedOn w:val="Normal"/>
    <w:link w:val="EncabezadoCar"/>
    <w:uiPriority w:val="99"/>
    <w:unhideWhenUsed/>
    <w:rsid w:val="00DA7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CDA"/>
  </w:style>
  <w:style w:type="paragraph" w:styleId="Piedepgina">
    <w:name w:val="footer"/>
    <w:basedOn w:val="Normal"/>
    <w:link w:val="PiedepginaCar"/>
    <w:uiPriority w:val="99"/>
    <w:unhideWhenUsed/>
    <w:rsid w:val="00DA7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CDA"/>
  </w:style>
  <w:style w:type="paragraph" w:styleId="Textodeglobo">
    <w:name w:val="Balloon Text"/>
    <w:basedOn w:val="Normal"/>
    <w:link w:val="TextodegloboCar"/>
    <w:uiPriority w:val="99"/>
    <w:semiHidden/>
    <w:unhideWhenUsed/>
    <w:rsid w:val="006C23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39C"/>
    <w:rPr>
      <w:rFonts w:ascii="Segoe UI" w:hAnsi="Segoe UI" w:cs="Segoe UI"/>
      <w:sz w:val="18"/>
      <w:szCs w:val="18"/>
    </w:rPr>
  </w:style>
  <w:style w:type="paragraph" w:styleId="NormalWeb">
    <w:name w:val="Normal (Web)"/>
    <w:basedOn w:val="Normal"/>
    <w:uiPriority w:val="99"/>
    <w:semiHidden/>
    <w:unhideWhenUsed/>
    <w:rsid w:val="009D12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D1246"/>
    <w:rPr>
      <w:b/>
      <w:bCs/>
    </w:rPr>
  </w:style>
  <w:style w:type="paragraph" w:styleId="Prrafodelista">
    <w:name w:val="List Paragraph"/>
    <w:aliases w:val="# pharagraph,List,Viñeta 1,Bolita,Párrafo de lista3,Párrafo de lista4,Párrafo de lista5,items,Ha,titulo 3,HOJA,BOLADEF,Párrafo de lista21,BOLA,Nivel 1 OS,EITI list,Bullets,Cuadrícula media 1 - Énfasis 21,Pбrrafo de lista,Fluvial1,Dot pt"/>
    <w:basedOn w:val="Normal"/>
    <w:link w:val="PrrafodelistaCar"/>
    <w:uiPriority w:val="34"/>
    <w:qFormat/>
    <w:rsid w:val="009D1246"/>
    <w:pPr>
      <w:ind w:left="720"/>
      <w:contextualSpacing/>
    </w:pPr>
  </w:style>
  <w:style w:type="character" w:customStyle="1" w:styleId="Mencinsinresolver1">
    <w:name w:val="Mención sin resolver1"/>
    <w:basedOn w:val="Fuentedeprrafopredeter"/>
    <w:uiPriority w:val="99"/>
    <w:semiHidden/>
    <w:unhideWhenUsed/>
    <w:rsid w:val="00DB39BC"/>
    <w:rPr>
      <w:color w:val="605E5C"/>
      <w:shd w:val="clear" w:color="auto" w:fill="E1DFDD"/>
    </w:rPr>
  </w:style>
  <w:style w:type="character" w:styleId="Refdecomentario">
    <w:name w:val="annotation reference"/>
    <w:basedOn w:val="Fuentedeprrafopredeter"/>
    <w:uiPriority w:val="99"/>
    <w:semiHidden/>
    <w:unhideWhenUsed/>
    <w:rsid w:val="0085274F"/>
    <w:rPr>
      <w:sz w:val="16"/>
      <w:szCs w:val="16"/>
    </w:rPr>
  </w:style>
  <w:style w:type="paragraph" w:styleId="Textocomentario">
    <w:name w:val="annotation text"/>
    <w:basedOn w:val="Normal"/>
    <w:link w:val="TextocomentarioCar"/>
    <w:uiPriority w:val="99"/>
    <w:semiHidden/>
    <w:unhideWhenUsed/>
    <w:rsid w:val="008527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274F"/>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5274F"/>
    <w:rPr>
      <w:b/>
      <w:bCs/>
    </w:rPr>
  </w:style>
  <w:style w:type="character" w:customStyle="1" w:styleId="AsuntodelcomentarioCar">
    <w:name w:val="Asunto del comentario Car"/>
    <w:basedOn w:val="TextocomentarioCar"/>
    <w:link w:val="Asuntodelcomentario"/>
    <w:uiPriority w:val="99"/>
    <w:semiHidden/>
    <w:rsid w:val="0085274F"/>
    <w:rPr>
      <w:b/>
      <w:bCs/>
      <w:sz w:val="20"/>
      <w:szCs w:val="20"/>
      <w:lang w:val="es-CO"/>
    </w:rPr>
  </w:style>
  <w:style w:type="table" w:customStyle="1" w:styleId="TableNormal">
    <w:name w:val="Table Normal"/>
    <w:uiPriority w:val="2"/>
    <w:semiHidden/>
    <w:unhideWhenUsed/>
    <w:qFormat/>
    <w:rsid w:val="003043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43AD"/>
    <w:pPr>
      <w:widowControl w:val="0"/>
      <w:autoSpaceDE w:val="0"/>
      <w:autoSpaceDN w:val="0"/>
      <w:spacing w:after="0" w:line="240" w:lineRule="auto"/>
    </w:pPr>
    <w:rPr>
      <w:rFonts w:ascii="Arial" w:eastAsia="Arial" w:hAnsi="Arial" w:cs="Arial"/>
      <w:lang w:val="es-ES"/>
    </w:rPr>
  </w:style>
  <w:style w:type="character" w:customStyle="1" w:styleId="PrrafodelistaCar">
    <w:name w:val="Párrafo de lista Car"/>
    <w:aliases w:val="# pharagraph Car,List Car,Viñeta 1 Car,Bolita Car,Párrafo de lista3 Car,Párrafo de lista4 Car,Párrafo de lista5 Car,items Car,Ha Car,titulo 3 Car,HOJA Car,BOLADEF Car,Párrafo de lista21 Car,BOLA Car,Nivel 1 OS Car,EITI list Car"/>
    <w:link w:val="Prrafodelista"/>
    <w:uiPriority w:val="34"/>
    <w:qFormat/>
    <w:locked/>
    <w:rsid w:val="00521740"/>
    <w:rPr>
      <w:lang w:val="es-CO"/>
    </w:rPr>
  </w:style>
  <w:style w:type="paragraph" w:customStyle="1" w:styleId="pa23">
    <w:name w:val="pa23"/>
    <w:basedOn w:val="Normal"/>
    <w:rsid w:val="0052174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entrado">
    <w:name w:val="centrado"/>
    <w:basedOn w:val="Normal"/>
    <w:rsid w:val="00CB54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CB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16">
      <w:bodyDiv w:val="1"/>
      <w:marLeft w:val="0"/>
      <w:marRight w:val="0"/>
      <w:marTop w:val="0"/>
      <w:marBottom w:val="0"/>
      <w:divBdr>
        <w:top w:val="none" w:sz="0" w:space="0" w:color="auto"/>
        <w:left w:val="none" w:sz="0" w:space="0" w:color="auto"/>
        <w:bottom w:val="none" w:sz="0" w:space="0" w:color="auto"/>
        <w:right w:val="none" w:sz="0" w:space="0" w:color="auto"/>
      </w:divBdr>
    </w:div>
    <w:div w:id="159126250">
      <w:bodyDiv w:val="1"/>
      <w:marLeft w:val="0"/>
      <w:marRight w:val="0"/>
      <w:marTop w:val="0"/>
      <w:marBottom w:val="0"/>
      <w:divBdr>
        <w:top w:val="none" w:sz="0" w:space="0" w:color="auto"/>
        <w:left w:val="none" w:sz="0" w:space="0" w:color="auto"/>
        <w:bottom w:val="none" w:sz="0" w:space="0" w:color="auto"/>
        <w:right w:val="none" w:sz="0" w:space="0" w:color="auto"/>
      </w:divBdr>
    </w:div>
    <w:div w:id="192574536">
      <w:bodyDiv w:val="1"/>
      <w:marLeft w:val="0"/>
      <w:marRight w:val="0"/>
      <w:marTop w:val="0"/>
      <w:marBottom w:val="0"/>
      <w:divBdr>
        <w:top w:val="none" w:sz="0" w:space="0" w:color="auto"/>
        <w:left w:val="none" w:sz="0" w:space="0" w:color="auto"/>
        <w:bottom w:val="none" w:sz="0" w:space="0" w:color="auto"/>
        <w:right w:val="none" w:sz="0" w:space="0" w:color="auto"/>
      </w:divBdr>
    </w:div>
    <w:div w:id="243223168">
      <w:bodyDiv w:val="1"/>
      <w:marLeft w:val="0"/>
      <w:marRight w:val="0"/>
      <w:marTop w:val="0"/>
      <w:marBottom w:val="0"/>
      <w:divBdr>
        <w:top w:val="none" w:sz="0" w:space="0" w:color="auto"/>
        <w:left w:val="none" w:sz="0" w:space="0" w:color="auto"/>
        <w:bottom w:val="none" w:sz="0" w:space="0" w:color="auto"/>
        <w:right w:val="none" w:sz="0" w:space="0" w:color="auto"/>
      </w:divBdr>
    </w:div>
    <w:div w:id="701252708">
      <w:bodyDiv w:val="1"/>
      <w:marLeft w:val="0"/>
      <w:marRight w:val="0"/>
      <w:marTop w:val="0"/>
      <w:marBottom w:val="0"/>
      <w:divBdr>
        <w:top w:val="none" w:sz="0" w:space="0" w:color="auto"/>
        <w:left w:val="none" w:sz="0" w:space="0" w:color="auto"/>
        <w:bottom w:val="none" w:sz="0" w:space="0" w:color="auto"/>
        <w:right w:val="none" w:sz="0" w:space="0" w:color="auto"/>
      </w:divBdr>
    </w:div>
    <w:div w:id="861670379">
      <w:bodyDiv w:val="1"/>
      <w:marLeft w:val="0"/>
      <w:marRight w:val="0"/>
      <w:marTop w:val="0"/>
      <w:marBottom w:val="0"/>
      <w:divBdr>
        <w:top w:val="none" w:sz="0" w:space="0" w:color="auto"/>
        <w:left w:val="none" w:sz="0" w:space="0" w:color="auto"/>
        <w:bottom w:val="none" w:sz="0" w:space="0" w:color="auto"/>
        <w:right w:val="none" w:sz="0" w:space="0" w:color="auto"/>
      </w:divBdr>
    </w:div>
    <w:div w:id="994378819">
      <w:bodyDiv w:val="1"/>
      <w:marLeft w:val="0"/>
      <w:marRight w:val="0"/>
      <w:marTop w:val="0"/>
      <w:marBottom w:val="0"/>
      <w:divBdr>
        <w:top w:val="none" w:sz="0" w:space="0" w:color="auto"/>
        <w:left w:val="none" w:sz="0" w:space="0" w:color="auto"/>
        <w:bottom w:val="none" w:sz="0" w:space="0" w:color="auto"/>
        <w:right w:val="none" w:sz="0" w:space="0" w:color="auto"/>
      </w:divBdr>
    </w:div>
    <w:div w:id="1133061827">
      <w:bodyDiv w:val="1"/>
      <w:marLeft w:val="0"/>
      <w:marRight w:val="0"/>
      <w:marTop w:val="0"/>
      <w:marBottom w:val="0"/>
      <w:divBdr>
        <w:top w:val="none" w:sz="0" w:space="0" w:color="auto"/>
        <w:left w:val="none" w:sz="0" w:space="0" w:color="auto"/>
        <w:bottom w:val="none" w:sz="0" w:space="0" w:color="auto"/>
        <w:right w:val="none" w:sz="0" w:space="0" w:color="auto"/>
      </w:divBdr>
    </w:div>
    <w:div w:id="1300377121">
      <w:bodyDiv w:val="1"/>
      <w:marLeft w:val="0"/>
      <w:marRight w:val="0"/>
      <w:marTop w:val="0"/>
      <w:marBottom w:val="0"/>
      <w:divBdr>
        <w:top w:val="none" w:sz="0" w:space="0" w:color="auto"/>
        <w:left w:val="none" w:sz="0" w:space="0" w:color="auto"/>
        <w:bottom w:val="none" w:sz="0" w:space="0" w:color="auto"/>
        <w:right w:val="none" w:sz="0" w:space="0" w:color="auto"/>
      </w:divBdr>
    </w:div>
    <w:div w:id="1415282420">
      <w:bodyDiv w:val="1"/>
      <w:marLeft w:val="0"/>
      <w:marRight w:val="0"/>
      <w:marTop w:val="0"/>
      <w:marBottom w:val="0"/>
      <w:divBdr>
        <w:top w:val="none" w:sz="0" w:space="0" w:color="auto"/>
        <w:left w:val="none" w:sz="0" w:space="0" w:color="auto"/>
        <w:bottom w:val="none" w:sz="0" w:space="0" w:color="auto"/>
        <w:right w:val="none" w:sz="0" w:space="0" w:color="auto"/>
      </w:divBdr>
    </w:div>
    <w:div w:id="1527138503">
      <w:bodyDiv w:val="1"/>
      <w:marLeft w:val="0"/>
      <w:marRight w:val="0"/>
      <w:marTop w:val="0"/>
      <w:marBottom w:val="0"/>
      <w:divBdr>
        <w:top w:val="none" w:sz="0" w:space="0" w:color="auto"/>
        <w:left w:val="none" w:sz="0" w:space="0" w:color="auto"/>
        <w:bottom w:val="none" w:sz="0" w:space="0" w:color="auto"/>
        <w:right w:val="none" w:sz="0" w:space="0" w:color="auto"/>
      </w:divBdr>
    </w:div>
    <w:div w:id="1529829602">
      <w:bodyDiv w:val="1"/>
      <w:marLeft w:val="0"/>
      <w:marRight w:val="0"/>
      <w:marTop w:val="0"/>
      <w:marBottom w:val="0"/>
      <w:divBdr>
        <w:top w:val="none" w:sz="0" w:space="0" w:color="auto"/>
        <w:left w:val="none" w:sz="0" w:space="0" w:color="auto"/>
        <w:bottom w:val="none" w:sz="0" w:space="0" w:color="auto"/>
        <w:right w:val="none" w:sz="0" w:space="0" w:color="auto"/>
      </w:divBdr>
    </w:div>
    <w:div w:id="1682703725">
      <w:bodyDiv w:val="1"/>
      <w:marLeft w:val="0"/>
      <w:marRight w:val="0"/>
      <w:marTop w:val="0"/>
      <w:marBottom w:val="0"/>
      <w:divBdr>
        <w:top w:val="none" w:sz="0" w:space="0" w:color="auto"/>
        <w:left w:val="none" w:sz="0" w:space="0" w:color="auto"/>
        <w:bottom w:val="none" w:sz="0" w:space="0" w:color="auto"/>
        <w:right w:val="none" w:sz="0" w:space="0" w:color="auto"/>
      </w:divBdr>
    </w:div>
    <w:div w:id="18111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ASOCAPITALES\DIRECCI&#211;N%20DE%20ESTUDIOS\REFORMA%20TRIBUTARIA\Sobretasa\Sobretasa%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icol\Downloads\Sobretasa%20VF%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ASOCAPITALES\DIRECCI&#211;N%20DE%20ESTUDIOS\REFORMA%20TRIBUTARIA\Sobretasa\Proyecci&#243;n%20Sobretasa%20gasolina%20corriente%20y%20ACPM%20VF.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'[Sobretasa (1).xlsx]Hoja1'!$A$18</c:f>
              <c:strCache>
                <c:ptCount val="1"/>
                <c:pt idx="0">
                  <c:v>Total</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j-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'[Sobretasa (1).xlsx]Hoja1'!$D$17:$K$17</c:f>
              <c:numCache>
                <c:formatCode>General</c:formatCode>
                <c:ptCount val="8"/>
                <c:pt idx="0">
                  <c:v>2017</c:v>
                </c:pt>
                <c:pt idx="1">
                  <c:v>2018</c:v>
                </c:pt>
                <c:pt idx="2">
                  <c:v>2019</c:v>
                </c:pt>
                <c:pt idx="3">
                  <c:v>2020</c:v>
                </c:pt>
                <c:pt idx="4">
                  <c:v>2021</c:v>
                </c:pt>
                <c:pt idx="5">
                  <c:v>2022</c:v>
                </c:pt>
                <c:pt idx="6">
                  <c:v>2023</c:v>
                </c:pt>
                <c:pt idx="7">
                  <c:v>2024</c:v>
                </c:pt>
              </c:numCache>
            </c:numRef>
          </c:cat>
          <c:val>
            <c:numRef>
              <c:f>'[Sobretasa (1).xlsx]Hoja1'!$D$18:$K$18</c:f>
              <c:numCache>
                <c:formatCode>0.0</c:formatCode>
                <c:ptCount val="8"/>
                <c:pt idx="0">
                  <c:v>1.92266535376058</c:v>
                </c:pt>
                <c:pt idx="1">
                  <c:v>2.0205800159051801</c:v>
                </c:pt>
                <c:pt idx="2">
                  <c:v>2.09854002172876</c:v>
                </c:pt>
                <c:pt idx="3">
                  <c:v>1.6585099812094601</c:v>
                </c:pt>
                <c:pt idx="4">
                  <c:v>2.2244524230324858</c:v>
                </c:pt>
                <c:pt idx="5">
                  <c:v>2.4246531411054097</c:v>
                </c:pt>
                <c:pt idx="6">
                  <c:v>2.642871923804897</c:v>
                </c:pt>
                <c:pt idx="7">
                  <c:v>2.8807303969473379</c:v>
                </c:pt>
              </c:numCache>
            </c:numRef>
          </c:val>
          <c:extLst>
            <c:ext xmlns:c16="http://schemas.microsoft.com/office/drawing/2014/chart" uri="{C3380CC4-5D6E-409C-BE32-E72D297353CC}">
              <c16:uniqueId val="{00000000-271F-4615-B85E-C29CC81B2321}"/>
            </c:ext>
          </c:extLst>
        </c:ser>
        <c:ser>
          <c:idx val="1"/>
          <c:order val="1"/>
          <c:tx>
            <c:strRef>
              <c:f>'[Sobretasa (1).xlsx]Hoja1'!$A$19</c:f>
              <c:strCache>
                <c:ptCount val="1"/>
                <c:pt idx="0">
                  <c:v>Municipios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j-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'[Sobretasa (1).xlsx]Hoja1'!$D$17:$K$17</c:f>
              <c:numCache>
                <c:formatCode>General</c:formatCode>
                <c:ptCount val="8"/>
                <c:pt idx="0">
                  <c:v>2017</c:v>
                </c:pt>
                <c:pt idx="1">
                  <c:v>2018</c:v>
                </c:pt>
                <c:pt idx="2">
                  <c:v>2019</c:v>
                </c:pt>
                <c:pt idx="3">
                  <c:v>2020</c:v>
                </c:pt>
                <c:pt idx="4">
                  <c:v>2021</c:v>
                </c:pt>
                <c:pt idx="5">
                  <c:v>2022</c:v>
                </c:pt>
                <c:pt idx="6">
                  <c:v>2023</c:v>
                </c:pt>
                <c:pt idx="7">
                  <c:v>2024</c:v>
                </c:pt>
              </c:numCache>
            </c:numRef>
          </c:cat>
          <c:val>
            <c:numRef>
              <c:f>'[Sobretasa (1).xlsx]Hoja1'!$D$19:$K$19</c:f>
              <c:numCache>
                <c:formatCode>0.0</c:formatCode>
                <c:ptCount val="8"/>
                <c:pt idx="0">
                  <c:v>1.51055139278808</c:v>
                </c:pt>
                <c:pt idx="1">
                  <c:v>1.5877534836092799</c:v>
                </c:pt>
                <c:pt idx="2">
                  <c:v>1.64227897094376</c:v>
                </c:pt>
                <c:pt idx="3">
                  <c:v>1.2681112376104602</c:v>
                </c:pt>
                <c:pt idx="4">
                  <c:v>1.7408157092003858</c:v>
                </c:pt>
                <c:pt idx="5">
                  <c:v>1.8974891230284205</c:v>
                </c:pt>
                <c:pt idx="6">
                  <c:v>2.0682631441009787</c:v>
                </c:pt>
                <c:pt idx="7">
                  <c:v>2.254406827070067</c:v>
                </c:pt>
              </c:numCache>
            </c:numRef>
          </c:val>
          <c:extLst>
            <c:ext xmlns:c16="http://schemas.microsoft.com/office/drawing/2014/chart" uri="{C3380CC4-5D6E-409C-BE32-E72D297353CC}">
              <c16:uniqueId val="{00000001-271F-4615-B85E-C29CC81B2321}"/>
            </c:ext>
          </c:extLst>
        </c:ser>
        <c:ser>
          <c:idx val="2"/>
          <c:order val="2"/>
          <c:tx>
            <c:strRef>
              <c:f>'[Sobretasa (1).xlsx]Hoja1'!$A$20</c:f>
              <c:strCache>
                <c:ptCount val="1"/>
                <c:pt idx="0">
                  <c:v>Departamentos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j-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'[Sobretasa (1).xlsx]Hoja1'!$D$17:$K$17</c:f>
              <c:numCache>
                <c:formatCode>General</c:formatCode>
                <c:ptCount val="8"/>
                <c:pt idx="0">
                  <c:v>2017</c:v>
                </c:pt>
                <c:pt idx="1">
                  <c:v>2018</c:v>
                </c:pt>
                <c:pt idx="2">
                  <c:v>2019</c:v>
                </c:pt>
                <c:pt idx="3">
                  <c:v>2020</c:v>
                </c:pt>
                <c:pt idx="4">
                  <c:v>2021</c:v>
                </c:pt>
                <c:pt idx="5">
                  <c:v>2022</c:v>
                </c:pt>
                <c:pt idx="6">
                  <c:v>2023</c:v>
                </c:pt>
                <c:pt idx="7">
                  <c:v>2024</c:v>
                </c:pt>
              </c:numCache>
            </c:numRef>
          </c:cat>
          <c:val>
            <c:numRef>
              <c:f>'[Sobretasa (1).xlsx]Hoja1'!$D$20:$K$20</c:f>
              <c:numCache>
                <c:formatCode>0.0</c:formatCode>
                <c:ptCount val="8"/>
                <c:pt idx="0">
                  <c:v>0.41211396097250003</c:v>
                </c:pt>
                <c:pt idx="1">
                  <c:v>0.43282653229590001</c:v>
                </c:pt>
                <c:pt idx="2">
                  <c:v>0.45626105078500001</c:v>
                </c:pt>
                <c:pt idx="3">
                  <c:v>0.39039874359900001</c:v>
                </c:pt>
                <c:pt idx="4">
                  <c:v>0.48363671383210005</c:v>
                </c:pt>
                <c:pt idx="5">
                  <c:v>0.52716401807698909</c:v>
                </c:pt>
                <c:pt idx="6">
                  <c:v>0.5746087797039181</c:v>
                </c:pt>
                <c:pt idx="7">
                  <c:v>0.62632356987727078</c:v>
                </c:pt>
              </c:numCache>
            </c:numRef>
          </c:val>
          <c:extLst>
            <c:ext xmlns:c16="http://schemas.microsoft.com/office/drawing/2014/chart" uri="{C3380CC4-5D6E-409C-BE32-E72D297353CC}">
              <c16:uniqueId val="{00000002-271F-4615-B85E-C29CC81B2321}"/>
            </c:ext>
          </c:extLst>
        </c:ser>
        <c:dLbls>
          <c:dLblPos val="outEnd"/>
          <c:showLegendKey val="0"/>
          <c:showVal val="1"/>
          <c:showCatName val="0"/>
          <c:showSerName val="0"/>
          <c:showPercent val="0"/>
          <c:showBubbleSize val="0"/>
        </c:dLbls>
        <c:gapWidth val="100"/>
        <c:overlap val="-27"/>
        <c:axId val="528254063"/>
        <c:axId val="528399791"/>
      </c:barChart>
      <c:catAx>
        <c:axId val="528254063"/>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j-lt"/>
                <a:ea typeface="+mn-ea"/>
                <a:cs typeface="+mn-cs"/>
              </a:defRPr>
            </a:pPr>
            <a:endParaRPr lang="es-CO"/>
          </a:p>
        </c:txPr>
        <c:crossAx val="528399791"/>
        <c:crosses val="autoZero"/>
        <c:auto val="1"/>
        <c:lblAlgn val="ctr"/>
        <c:lblOffset val="100"/>
        <c:noMultiLvlLbl val="0"/>
      </c:catAx>
      <c:valAx>
        <c:axId val="528399791"/>
        <c:scaling>
          <c:orientation val="minMax"/>
        </c:scaling>
        <c:delete val="1"/>
        <c:axPos val="l"/>
        <c:numFmt formatCode="0.0" sourceLinked="1"/>
        <c:majorTickMark val="out"/>
        <c:minorTickMark val="none"/>
        <c:tickLblPos val="nextTo"/>
        <c:crossAx val="52825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j-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j-lt"/>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Hoja2!$B$6:$O$6</c:f>
              <c:numCache>
                <c:formatCode>General</c:formatCode>
                <c:ptCount val="14"/>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numCache>
            </c:numRef>
          </c:cat>
          <c:val>
            <c:numRef>
              <c:f>Hoja2!$B$7:$O$7</c:f>
              <c:numCache>
                <c:formatCode>0</c:formatCode>
                <c:ptCount val="14"/>
                <c:pt idx="0">
                  <c:v>282.06234398999999</c:v>
                </c:pt>
                <c:pt idx="1">
                  <c:v>285.21385635000001</c:v>
                </c:pt>
                <c:pt idx="2">
                  <c:v>295.33148033999998</c:v>
                </c:pt>
                <c:pt idx="3">
                  <c:v>295.54777754999998</c:v>
                </c:pt>
                <c:pt idx="4">
                  <c:v>301.92552983000002</c:v>
                </c:pt>
                <c:pt idx="5">
                  <c:v>274.88044039699997</c:v>
                </c:pt>
                <c:pt idx="6">
                  <c:v>288.69022393389002</c:v>
                </c:pt>
                <c:pt idx="7">
                  <c:v>309.74009761828</c:v>
                </c:pt>
                <c:pt idx="8">
                  <c:v>349.34847130315995</c:v>
                </c:pt>
                <c:pt idx="9">
                  <c:v>370.30937958134962</c:v>
                </c:pt>
                <c:pt idx="10">
                  <c:v>392.5279423562306</c:v>
                </c:pt>
                <c:pt idx="11">
                  <c:v>416.0796188976044</c:v>
                </c:pt>
                <c:pt idx="12">
                  <c:v>441.04439603146068</c:v>
                </c:pt>
                <c:pt idx="13">
                  <c:v>467.50705979334839</c:v>
                </c:pt>
              </c:numCache>
            </c:numRef>
          </c:val>
          <c:extLst>
            <c:ext xmlns:c16="http://schemas.microsoft.com/office/drawing/2014/chart" uri="{C3380CC4-5D6E-409C-BE32-E72D297353CC}">
              <c16:uniqueId val="{00000000-7E77-442C-B6DC-D9C99B6A347C}"/>
            </c:ext>
          </c:extLst>
        </c:ser>
        <c:dLbls>
          <c:showLegendKey val="0"/>
          <c:showVal val="0"/>
          <c:showCatName val="0"/>
          <c:showSerName val="0"/>
          <c:showPercent val="0"/>
          <c:showBubbleSize val="0"/>
        </c:dLbls>
        <c:gapWidth val="100"/>
        <c:overlap val="-27"/>
        <c:axId val="764789151"/>
        <c:axId val="764790831"/>
      </c:barChart>
      <c:catAx>
        <c:axId val="76478915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s-CO"/>
          </a:p>
        </c:txPr>
        <c:crossAx val="764790831"/>
        <c:crosses val="autoZero"/>
        <c:auto val="1"/>
        <c:lblAlgn val="ctr"/>
        <c:lblOffset val="100"/>
        <c:noMultiLvlLbl val="0"/>
      </c:catAx>
      <c:valAx>
        <c:axId val="764790831"/>
        <c:scaling>
          <c:orientation val="minMax"/>
        </c:scaling>
        <c:delete val="1"/>
        <c:axPos val="l"/>
        <c:numFmt formatCode="0" sourceLinked="1"/>
        <c:majorTickMark val="none"/>
        <c:minorTickMark val="none"/>
        <c:tickLblPos val="nextTo"/>
        <c:crossAx val="76478915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j-lt"/>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Hoja1!$A$11</c:f>
              <c:strCache>
                <c:ptCount val="1"/>
                <c:pt idx="0">
                  <c:v>Gasolina corriente</c:v>
                </c:pt>
              </c:strCache>
            </c:strRef>
          </c:tx>
          <c:spPr>
            <a:solidFill>
              <a:srgbClr val="002060"/>
            </a:solidFill>
            <a:ln>
              <a:noFill/>
            </a:ln>
            <a:effectLst/>
          </c:spPr>
          <c:invertIfNegative val="0"/>
          <c:dLbls>
            <c:dLbl>
              <c:idx val="0"/>
              <c:layout>
                <c:manualLayout>
                  <c:x val="0"/>
                  <c:y val="7.30727073438070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206-4997-9238-8E270D0A96FC}"/>
                </c:ext>
              </c:extLst>
            </c:dLbl>
            <c:dLbl>
              <c:idx val="1"/>
              <c:delete val="1"/>
              <c:extLst>
                <c:ext xmlns:c15="http://schemas.microsoft.com/office/drawing/2012/chart" uri="{CE6537A1-D6FC-4f65-9D91-7224C49458BB}"/>
                <c:ext xmlns:c16="http://schemas.microsoft.com/office/drawing/2014/chart" uri="{C3380CC4-5D6E-409C-BE32-E72D297353CC}">
                  <c16:uniqueId val="{00000000-C206-4997-9238-8E270D0A96FC}"/>
                </c:ext>
              </c:extLst>
            </c:dLbl>
            <c:dLbl>
              <c:idx val="2"/>
              <c:delete val="1"/>
              <c:extLst>
                <c:ext xmlns:c15="http://schemas.microsoft.com/office/drawing/2012/chart" uri="{CE6537A1-D6FC-4f65-9D91-7224C49458BB}"/>
                <c:ext xmlns:c16="http://schemas.microsoft.com/office/drawing/2014/chart" uri="{C3380CC4-5D6E-409C-BE32-E72D297353CC}">
                  <c16:uniqueId val="{00000001-C206-4997-9238-8E270D0A96FC}"/>
                </c:ext>
              </c:extLst>
            </c:dLbl>
            <c:dLbl>
              <c:idx val="3"/>
              <c:delete val="1"/>
              <c:extLst>
                <c:ext xmlns:c15="http://schemas.microsoft.com/office/drawing/2012/chart" uri="{CE6537A1-D6FC-4f65-9D91-7224C49458BB}"/>
                <c:ext xmlns:c16="http://schemas.microsoft.com/office/drawing/2014/chart" uri="{C3380CC4-5D6E-409C-BE32-E72D297353CC}">
                  <c16:uniqueId val="{00000002-C206-4997-9238-8E270D0A96FC}"/>
                </c:ext>
              </c:extLst>
            </c:dLbl>
            <c:dLbl>
              <c:idx val="4"/>
              <c:delete val="1"/>
              <c:extLst>
                <c:ext xmlns:c15="http://schemas.microsoft.com/office/drawing/2012/chart" uri="{CE6537A1-D6FC-4f65-9D91-7224C49458BB}"/>
                <c:ext xmlns:c16="http://schemas.microsoft.com/office/drawing/2014/chart" uri="{C3380CC4-5D6E-409C-BE32-E72D297353CC}">
                  <c16:uniqueId val="{00000003-C206-4997-9238-8E270D0A96FC}"/>
                </c:ext>
              </c:extLst>
            </c:dLbl>
            <c:dLbl>
              <c:idx val="5"/>
              <c:delete val="1"/>
              <c:extLst>
                <c:ext xmlns:c15="http://schemas.microsoft.com/office/drawing/2012/chart" uri="{CE6537A1-D6FC-4f65-9D91-7224C49458BB}"/>
                <c:ext xmlns:c16="http://schemas.microsoft.com/office/drawing/2014/chart" uri="{C3380CC4-5D6E-409C-BE32-E72D297353CC}">
                  <c16:uniqueId val="{00000004-C206-4997-9238-8E270D0A96FC}"/>
                </c:ext>
              </c:extLst>
            </c:dLbl>
            <c:dLbl>
              <c:idx val="6"/>
              <c:delete val="1"/>
              <c:extLst>
                <c:ext xmlns:c15="http://schemas.microsoft.com/office/drawing/2012/chart" uri="{CE6537A1-D6FC-4f65-9D91-7224C49458BB}"/>
                <c:ext xmlns:c16="http://schemas.microsoft.com/office/drawing/2014/chart" uri="{C3380CC4-5D6E-409C-BE32-E72D297353CC}">
                  <c16:uniqueId val="{00000005-C206-4997-9238-8E270D0A96FC}"/>
                </c:ext>
              </c:extLst>
            </c:dLbl>
            <c:dLbl>
              <c:idx val="7"/>
              <c:delete val="1"/>
              <c:extLst>
                <c:ext xmlns:c15="http://schemas.microsoft.com/office/drawing/2012/chart" uri="{CE6537A1-D6FC-4f65-9D91-7224C49458BB}"/>
                <c:ext xmlns:c16="http://schemas.microsoft.com/office/drawing/2014/chart" uri="{C3380CC4-5D6E-409C-BE32-E72D297353CC}">
                  <c16:uniqueId val="{00000006-C206-4997-9238-8E270D0A96FC}"/>
                </c:ext>
              </c:extLst>
            </c:dLbl>
            <c:dLbl>
              <c:idx val="8"/>
              <c:layout>
                <c:manualLayout>
                  <c:x val="-4.632426988922457E-2"/>
                  <c:y val="2.60162601626015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06-4997-9238-8E270D0A96FC}"/>
                </c:ext>
              </c:extLst>
            </c:dLbl>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j-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Hoja1!$B$10:$J$10</c:f>
              <c:numCache>
                <c:formatCode>General</c:formatCode>
                <c:ptCount val="9"/>
                <c:pt idx="0">
                  <c:v>2017</c:v>
                </c:pt>
                <c:pt idx="1">
                  <c:v>2018</c:v>
                </c:pt>
                <c:pt idx="2">
                  <c:v>2019</c:v>
                </c:pt>
                <c:pt idx="3">
                  <c:v>2020</c:v>
                </c:pt>
                <c:pt idx="4">
                  <c:v>2021</c:v>
                </c:pt>
                <c:pt idx="5">
                  <c:v>2022</c:v>
                </c:pt>
                <c:pt idx="6">
                  <c:v>2023</c:v>
                </c:pt>
                <c:pt idx="7">
                  <c:v>2024</c:v>
                </c:pt>
                <c:pt idx="8">
                  <c:v>2025</c:v>
                </c:pt>
              </c:numCache>
            </c:numRef>
          </c:cat>
          <c:val>
            <c:numRef>
              <c:f>Hoja1!$B$11:$J$11</c:f>
              <c:numCache>
                <c:formatCode>_("$"* #,##0_);_("$"* \(#,##0\);_("$"* "-"_);_(@_)</c:formatCode>
                <c:ptCount val="9"/>
                <c:pt idx="0">
                  <c:v>8296.3666666666686</c:v>
                </c:pt>
                <c:pt idx="1">
                  <c:v>8927.117835097004</c:v>
                </c:pt>
                <c:pt idx="2">
                  <c:v>9354.3908730158746</c:v>
                </c:pt>
                <c:pt idx="3">
                  <c:v>8340.3024691358023</c:v>
                </c:pt>
                <c:pt idx="4">
                  <c:v>8340.3024691358023</c:v>
                </c:pt>
                <c:pt idx="5">
                  <c:v>8590.5115432098773</c:v>
                </c:pt>
                <c:pt idx="6">
                  <c:v>8848.2268895061734</c:v>
                </c:pt>
                <c:pt idx="7">
                  <c:v>9113.6736961913593</c:v>
                </c:pt>
                <c:pt idx="8">
                  <c:v>9387.0839070770999</c:v>
                </c:pt>
              </c:numCache>
            </c:numRef>
          </c:val>
          <c:extLst>
            <c:ext xmlns:c16="http://schemas.microsoft.com/office/drawing/2014/chart" uri="{C3380CC4-5D6E-409C-BE32-E72D297353CC}">
              <c16:uniqueId val="{00000008-C206-4997-9238-8E270D0A96FC}"/>
            </c:ext>
          </c:extLst>
        </c:ser>
        <c:ser>
          <c:idx val="1"/>
          <c:order val="1"/>
          <c:tx>
            <c:strRef>
              <c:f>Hoja1!$A$12</c:f>
              <c:strCache>
                <c:ptCount val="1"/>
                <c:pt idx="0">
                  <c:v>ACPM</c:v>
                </c:pt>
              </c:strCache>
            </c:strRef>
          </c:tx>
          <c:spPr>
            <a:solidFill>
              <a:srgbClr val="FF0000"/>
            </a:solidFill>
            <a:ln>
              <a:noFill/>
            </a:ln>
            <a:effectLst/>
          </c:spPr>
          <c:invertIfNegative val="0"/>
          <c:dLbls>
            <c:dLbl>
              <c:idx val="0"/>
              <c:layout>
                <c:manualLayout>
                  <c:x val="1.8126888217522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06-4997-9238-8E270D0A96FC}"/>
                </c:ext>
              </c:extLst>
            </c:dLbl>
            <c:dLbl>
              <c:idx val="1"/>
              <c:delete val="1"/>
              <c:extLst>
                <c:ext xmlns:c15="http://schemas.microsoft.com/office/drawing/2012/chart" uri="{CE6537A1-D6FC-4f65-9D91-7224C49458BB}"/>
                <c:ext xmlns:c16="http://schemas.microsoft.com/office/drawing/2014/chart" uri="{C3380CC4-5D6E-409C-BE32-E72D297353CC}">
                  <c16:uniqueId val="{0000000A-C206-4997-9238-8E270D0A96FC}"/>
                </c:ext>
              </c:extLst>
            </c:dLbl>
            <c:dLbl>
              <c:idx val="2"/>
              <c:delete val="1"/>
              <c:extLst>
                <c:ext xmlns:c15="http://schemas.microsoft.com/office/drawing/2012/chart" uri="{CE6537A1-D6FC-4f65-9D91-7224C49458BB}"/>
                <c:ext xmlns:c16="http://schemas.microsoft.com/office/drawing/2014/chart" uri="{C3380CC4-5D6E-409C-BE32-E72D297353CC}">
                  <c16:uniqueId val="{0000000B-C206-4997-9238-8E270D0A96FC}"/>
                </c:ext>
              </c:extLst>
            </c:dLbl>
            <c:dLbl>
              <c:idx val="3"/>
              <c:delete val="1"/>
              <c:extLst>
                <c:ext xmlns:c15="http://schemas.microsoft.com/office/drawing/2012/chart" uri="{CE6537A1-D6FC-4f65-9D91-7224C49458BB}"/>
                <c:ext xmlns:c16="http://schemas.microsoft.com/office/drawing/2014/chart" uri="{C3380CC4-5D6E-409C-BE32-E72D297353CC}">
                  <c16:uniqueId val="{0000000C-C206-4997-9238-8E270D0A96FC}"/>
                </c:ext>
              </c:extLst>
            </c:dLbl>
            <c:dLbl>
              <c:idx val="4"/>
              <c:delete val="1"/>
              <c:extLst>
                <c:ext xmlns:c15="http://schemas.microsoft.com/office/drawing/2012/chart" uri="{CE6537A1-D6FC-4f65-9D91-7224C49458BB}"/>
                <c:ext xmlns:c16="http://schemas.microsoft.com/office/drawing/2014/chart" uri="{C3380CC4-5D6E-409C-BE32-E72D297353CC}">
                  <c16:uniqueId val="{0000000D-C206-4997-9238-8E270D0A96FC}"/>
                </c:ext>
              </c:extLst>
            </c:dLbl>
            <c:dLbl>
              <c:idx val="5"/>
              <c:delete val="1"/>
              <c:extLst>
                <c:ext xmlns:c15="http://schemas.microsoft.com/office/drawing/2012/chart" uri="{CE6537A1-D6FC-4f65-9D91-7224C49458BB}"/>
                <c:ext xmlns:c16="http://schemas.microsoft.com/office/drawing/2014/chart" uri="{C3380CC4-5D6E-409C-BE32-E72D297353CC}">
                  <c16:uniqueId val="{0000000E-C206-4997-9238-8E270D0A96FC}"/>
                </c:ext>
              </c:extLst>
            </c:dLbl>
            <c:dLbl>
              <c:idx val="6"/>
              <c:delete val="1"/>
              <c:extLst>
                <c:ext xmlns:c15="http://schemas.microsoft.com/office/drawing/2012/chart" uri="{CE6537A1-D6FC-4f65-9D91-7224C49458BB}"/>
                <c:ext xmlns:c16="http://schemas.microsoft.com/office/drawing/2014/chart" uri="{C3380CC4-5D6E-409C-BE32-E72D297353CC}">
                  <c16:uniqueId val="{0000000F-C206-4997-9238-8E270D0A96FC}"/>
                </c:ext>
              </c:extLst>
            </c:dLbl>
            <c:dLbl>
              <c:idx val="7"/>
              <c:delete val="1"/>
              <c:extLst>
                <c:ext xmlns:c15="http://schemas.microsoft.com/office/drawing/2012/chart" uri="{CE6537A1-D6FC-4f65-9D91-7224C49458BB}"/>
                <c:ext xmlns:c16="http://schemas.microsoft.com/office/drawing/2014/chart" uri="{C3380CC4-5D6E-409C-BE32-E72D297353CC}">
                  <c16:uniqueId val="{00000010-C206-4997-9238-8E270D0A96FC}"/>
                </c:ext>
              </c:extLst>
            </c:dLbl>
            <c:dLbl>
              <c:idx val="8"/>
              <c:layout>
                <c:manualLayout>
                  <c:x val="1.2084592145015106E-2"/>
                  <c:y val="-1.30081300813008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206-4997-9238-8E270D0A96FC}"/>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Hoja1!$B$10:$J$10</c:f>
              <c:numCache>
                <c:formatCode>General</c:formatCode>
                <c:ptCount val="9"/>
                <c:pt idx="0">
                  <c:v>2017</c:v>
                </c:pt>
                <c:pt idx="1">
                  <c:v>2018</c:v>
                </c:pt>
                <c:pt idx="2">
                  <c:v>2019</c:v>
                </c:pt>
                <c:pt idx="3">
                  <c:v>2020</c:v>
                </c:pt>
                <c:pt idx="4">
                  <c:v>2021</c:v>
                </c:pt>
                <c:pt idx="5">
                  <c:v>2022</c:v>
                </c:pt>
                <c:pt idx="6">
                  <c:v>2023</c:v>
                </c:pt>
                <c:pt idx="7">
                  <c:v>2024</c:v>
                </c:pt>
                <c:pt idx="8">
                  <c:v>2025</c:v>
                </c:pt>
              </c:numCache>
            </c:numRef>
          </c:cat>
          <c:val>
            <c:numRef>
              <c:f>Hoja1!$B$12:$J$12</c:f>
              <c:numCache>
                <c:formatCode>_("$"* #,##0_);_("$"* \(#,##0\);_("$"* "-"_);_(@_)</c:formatCode>
                <c:ptCount val="9"/>
                <c:pt idx="0">
                  <c:v>7680.7277777777781</c:v>
                </c:pt>
                <c:pt idx="1">
                  <c:v>8299.9106040564366</c:v>
                </c:pt>
                <c:pt idx="2">
                  <c:v>8897.9950396825388</c:v>
                </c:pt>
                <c:pt idx="3">
                  <c:v>8343.1049382716046</c:v>
                </c:pt>
                <c:pt idx="4">
                  <c:v>8343.1049382716046</c:v>
                </c:pt>
                <c:pt idx="5">
                  <c:v>8593.3980864197529</c:v>
                </c:pt>
                <c:pt idx="6">
                  <c:v>8851.2000290123451</c:v>
                </c:pt>
                <c:pt idx="7">
                  <c:v>9116.7360298827152</c:v>
                </c:pt>
                <c:pt idx="8">
                  <c:v>9390.2381107791971</c:v>
                </c:pt>
              </c:numCache>
            </c:numRef>
          </c:val>
          <c:extLst>
            <c:ext xmlns:c16="http://schemas.microsoft.com/office/drawing/2014/chart" uri="{C3380CC4-5D6E-409C-BE32-E72D297353CC}">
              <c16:uniqueId val="{00000012-C206-4997-9238-8E270D0A96FC}"/>
            </c:ext>
          </c:extLst>
        </c:ser>
        <c:dLbls>
          <c:dLblPos val="outEnd"/>
          <c:showLegendKey val="0"/>
          <c:showVal val="1"/>
          <c:showCatName val="0"/>
          <c:showSerName val="0"/>
          <c:showPercent val="0"/>
          <c:showBubbleSize val="0"/>
        </c:dLbls>
        <c:gapWidth val="150"/>
        <c:axId val="1660626352"/>
        <c:axId val="1660627184"/>
      </c:barChart>
      <c:catAx>
        <c:axId val="16606263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s-CO"/>
          </a:p>
        </c:txPr>
        <c:crossAx val="1660627184"/>
        <c:crosses val="autoZero"/>
        <c:auto val="1"/>
        <c:lblAlgn val="ctr"/>
        <c:lblOffset val="100"/>
        <c:noMultiLvlLbl val="0"/>
      </c:catAx>
      <c:valAx>
        <c:axId val="1660627184"/>
        <c:scaling>
          <c:orientation val="minMax"/>
          <c:min val="7000"/>
        </c:scaling>
        <c:delete val="0"/>
        <c:axPos val="l"/>
        <c:majorGridlines>
          <c:spPr>
            <a:ln w="9525" cap="flat" cmpd="sng" algn="ctr">
              <a:solidFill>
                <a:schemeClr val="tx1"/>
              </a:solidFill>
              <a:prstDash val="lgDash"/>
              <a:round/>
            </a:ln>
            <a:effectLst/>
          </c:spPr>
        </c:majorGridlines>
        <c:numFmt formatCode="_(&quot;$&quot;* #,##0_);_(&quot;$&quot;* \(#,##0\);_(&quot;$&quot;* &quot;-&quot;_);_(@_)"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j-lt"/>
                <a:ea typeface="+mn-ea"/>
                <a:cs typeface="+mn-cs"/>
              </a:defRPr>
            </a:pPr>
            <a:endParaRPr lang="es-CO"/>
          </a:p>
        </c:txPr>
        <c:crossAx val="166062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j-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j-lt"/>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7CC5-AFFD-4DD8-BEC1-0ABCFB50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2521</Words>
  <Characters>13871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Contable</dc:creator>
  <cp:keywords/>
  <dc:description/>
  <cp:lastModifiedBy>hasbleidy suarez</cp:lastModifiedBy>
  <cp:revision>2</cp:revision>
  <cp:lastPrinted>2020-08-10T18:01:00Z</cp:lastPrinted>
  <dcterms:created xsi:type="dcterms:W3CDTF">2021-05-07T19:31:00Z</dcterms:created>
  <dcterms:modified xsi:type="dcterms:W3CDTF">2021-05-07T19:31:00Z</dcterms:modified>
</cp:coreProperties>
</file>