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bookmarkStart w:id="0" w:name="_GoBack"/>
      <w:bookmarkEnd w:id="0"/>
      <w:r>
        <w:rPr>
          <w:rFonts w:ascii="Century Gothic" w:eastAsia="Century Gothic" w:hAnsi="Century Gothic" w:cs="Century Gothic"/>
          <w:color w:val="000000"/>
          <w:sz w:val="22"/>
          <w:szCs w:val="22"/>
        </w:rPr>
        <w:t xml:space="preserve">Bogotá, </w:t>
      </w:r>
      <w:r>
        <w:rPr>
          <w:rFonts w:ascii="Century Gothic" w:eastAsia="Century Gothic" w:hAnsi="Century Gothic" w:cs="Century Gothic"/>
          <w:sz w:val="22"/>
          <w:szCs w:val="22"/>
        </w:rPr>
        <w:t>16</w:t>
      </w:r>
      <w:r>
        <w:rPr>
          <w:rFonts w:ascii="Century Gothic" w:eastAsia="Century Gothic" w:hAnsi="Century Gothic" w:cs="Century Gothic"/>
          <w:color w:val="000000"/>
          <w:sz w:val="22"/>
          <w:szCs w:val="22"/>
        </w:rPr>
        <w:t xml:space="preserve"> de marzo de 2021</w:t>
      </w: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bookmarkStart w:id="1" w:name="_heading=h.gjdgxs" w:colFirst="0" w:colLast="0"/>
      <w:bookmarkEnd w:id="1"/>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Doctor </w:t>
      </w:r>
    </w:p>
    <w:p w:rsidR="00820B31" w:rsidRDefault="00F22EC3">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JORGE HUMBERTO MANTILLA</w:t>
      </w: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Secretario General </w:t>
      </w: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Cámara de Representantes </w:t>
      </w: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Bogotá D.C</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Asunto:</w:t>
      </w:r>
      <w:r>
        <w:rPr>
          <w:rFonts w:ascii="Century Gothic" w:eastAsia="Century Gothic" w:hAnsi="Century Gothic" w:cs="Century Gothic"/>
          <w:color w:val="000000"/>
          <w:sz w:val="22"/>
          <w:szCs w:val="22"/>
        </w:rPr>
        <w:t xml:space="preserve"> Radicación de Proyecto de Ley </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Apreciado señor secretario. </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spacing w:after="200"/>
        <w:jc w:val="both"/>
        <w:rPr>
          <w:rFonts w:ascii="Century Gothic" w:eastAsia="Century Gothic" w:hAnsi="Century Gothic" w:cs="Century Gothic"/>
          <w:b/>
          <w:i/>
          <w:color w:val="000000"/>
          <w:sz w:val="22"/>
          <w:szCs w:val="22"/>
        </w:rPr>
      </w:pPr>
      <w:r>
        <w:rPr>
          <w:rFonts w:ascii="Century Gothic" w:eastAsia="Century Gothic" w:hAnsi="Century Gothic" w:cs="Century Gothic"/>
          <w:color w:val="000000"/>
          <w:sz w:val="22"/>
          <w:szCs w:val="22"/>
        </w:rPr>
        <w:t>Con toda atención me permito presentar ante la Honorable Cámara de Representantes el proyecto de Ley “</w:t>
      </w:r>
      <w:r>
        <w:rPr>
          <w:rFonts w:ascii="Century Gothic" w:eastAsia="Century Gothic" w:hAnsi="Century Gothic" w:cs="Century Gothic"/>
          <w:b/>
          <w:i/>
          <w:color w:val="000000"/>
          <w:sz w:val="22"/>
          <w:szCs w:val="22"/>
        </w:rPr>
        <w:t xml:space="preserve">Por medio del cual se modifica </w:t>
      </w:r>
      <w:r w:rsidR="001B567E">
        <w:rPr>
          <w:rFonts w:ascii="Century Gothic" w:eastAsia="Century Gothic" w:hAnsi="Century Gothic" w:cs="Century Gothic"/>
          <w:b/>
          <w:i/>
          <w:color w:val="000000"/>
          <w:sz w:val="22"/>
          <w:szCs w:val="22"/>
        </w:rPr>
        <w:t>el artículo</w:t>
      </w:r>
      <w:r>
        <w:rPr>
          <w:rFonts w:ascii="Century Gothic" w:eastAsia="Century Gothic" w:hAnsi="Century Gothic" w:cs="Century Gothic"/>
          <w:b/>
          <w:i/>
          <w:color w:val="000000"/>
          <w:sz w:val="22"/>
          <w:szCs w:val="22"/>
        </w:rPr>
        <w:t xml:space="preserve"> 43 de la Ley 769 de 2002 y se dictan otras disposiciones”.</w:t>
      </w:r>
    </w:p>
    <w:p w:rsidR="00820B31" w:rsidRDefault="00820B31">
      <w:pPr>
        <w:pBdr>
          <w:top w:val="nil"/>
          <w:left w:val="nil"/>
          <w:bottom w:val="nil"/>
          <w:right w:val="nil"/>
          <w:between w:val="nil"/>
        </w:pBdr>
        <w:spacing w:after="200"/>
        <w:rPr>
          <w:rFonts w:ascii="Century Gothic" w:eastAsia="Century Gothic" w:hAnsi="Century Gothic" w:cs="Century Gothic"/>
          <w:b/>
          <w:i/>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Cordialmente, </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820B31">
      <w:pPr>
        <w:pBdr>
          <w:top w:val="nil"/>
          <w:left w:val="nil"/>
          <w:bottom w:val="nil"/>
          <w:right w:val="nil"/>
          <w:between w:val="nil"/>
        </w:pBdr>
        <w:jc w:val="both"/>
        <w:rPr>
          <w:rFonts w:ascii="Century Gothic" w:eastAsia="Century Gothic" w:hAnsi="Century Gothic" w:cs="Century Gothic"/>
          <w:noProof/>
          <w:sz w:val="22"/>
          <w:szCs w:val="22"/>
          <w:lang w:val="es-CO" w:eastAsia="es-CO"/>
        </w:rPr>
      </w:pPr>
    </w:p>
    <w:p w:rsidR="001B567E" w:rsidRDefault="001B567E">
      <w:pPr>
        <w:pBdr>
          <w:top w:val="nil"/>
          <w:left w:val="nil"/>
          <w:bottom w:val="nil"/>
          <w:right w:val="nil"/>
          <w:between w:val="nil"/>
        </w:pBdr>
        <w:jc w:val="both"/>
        <w:rPr>
          <w:rFonts w:ascii="Century Gothic" w:eastAsia="Century Gothic" w:hAnsi="Century Gothic" w:cs="Century Gothic"/>
          <w:noProof/>
          <w:sz w:val="22"/>
          <w:szCs w:val="22"/>
          <w:lang w:val="es-CO" w:eastAsia="es-CO"/>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CARLOS ARDILA ESPINOSA</w:t>
      </w: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w:t>
      </w:r>
    </w:p>
    <w:p w:rsidR="00820B31" w:rsidRDefault="00F22EC3">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Departamento del Putumayo</w:t>
      </w: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1B567E" w:rsidRDefault="001B567E">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spacing w:after="200"/>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PROYECTO DE LEY ________ DE 2021</w:t>
      </w:r>
    </w:p>
    <w:p w:rsidR="00820B31" w:rsidRDefault="00F22EC3">
      <w:pPr>
        <w:pBdr>
          <w:top w:val="nil"/>
          <w:left w:val="nil"/>
          <w:bottom w:val="nil"/>
          <w:right w:val="nil"/>
          <w:between w:val="nil"/>
        </w:pBdr>
        <w:spacing w:after="200"/>
        <w:jc w:val="cente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t>“</w:t>
      </w:r>
      <w:r>
        <w:rPr>
          <w:rFonts w:ascii="Century Gothic" w:eastAsia="Century Gothic" w:hAnsi="Century Gothic" w:cs="Century Gothic"/>
          <w:b/>
          <w:i/>
          <w:color w:val="000000"/>
          <w:sz w:val="20"/>
          <w:szCs w:val="20"/>
        </w:rPr>
        <w:t>Por medio del cual se modifica el  artículo 43 de la Ley 769 de 2002 y se dictan otras disposiciones”.</w:t>
      </w:r>
    </w:p>
    <w:p w:rsidR="00820B31" w:rsidRDefault="00F22EC3">
      <w:pPr>
        <w:pBdr>
          <w:top w:val="nil"/>
          <w:left w:val="nil"/>
          <w:bottom w:val="nil"/>
          <w:right w:val="nil"/>
          <w:between w:val="nil"/>
        </w:pBdr>
        <w:spacing w:after="200"/>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El Congreso de Colombia </w:t>
      </w:r>
    </w:p>
    <w:p w:rsidR="00820B31" w:rsidRDefault="00F22EC3">
      <w:pPr>
        <w:pBdr>
          <w:top w:val="nil"/>
          <w:left w:val="nil"/>
          <w:bottom w:val="nil"/>
          <w:right w:val="nil"/>
          <w:between w:val="nil"/>
        </w:pBdr>
        <w:spacing w:after="200"/>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DECRETA: </w:t>
      </w:r>
    </w:p>
    <w:p w:rsidR="00820B31" w:rsidRDefault="00F22EC3">
      <w:pPr>
        <w:pBdr>
          <w:top w:val="nil"/>
          <w:left w:val="nil"/>
          <w:bottom w:val="nil"/>
          <w:right w:val="nil"/>
          <w:between w:val="nil"/>
        </w:pBdr>
        <w:spacing w:after="20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1º. </w:t>
      </w:r>
      <w:r>
        <w:rPr>
          <w:rFonts w:ascii="Century Gothic" w:eastAsia="Century Gothic" w:hAnsi="Century Gothic" w:cs="Century Gothic"/>
          <w:color w:val="000000"/>
          <w:sz w:val="20"/>
          <w:szCs w:val="20"/>
        </w:rPr>
        <w:t>La presente ley tiene por objeto que se elimine del diseño de la placa única nacional para los vehículos automotores, el nombre del municipio o distrito donde se matriculó el vehículo. Esto, con el fin de evitar la discriminación contra los propietarios  de los vehículos automotores que ocurre en el mercado al momento de vender, reflejada en un menor precio por causa de la ciudad de matrícula.  Así mismo, se busca evitar el menor recaudo tributario que sufren los municipios y distritos por causa de este fenómeno del mercado.</w:t>
      </w:r>
    </w:p>
    <w:p w:rsidR="00820B31" w:rsidRDefault="00F22EC3">
      <w:pPr>
        <w:pBdr>
          <w:top w:val="nil"/>
          <w:left w:val="nil"/>
          <w:bottom w:val="nil"/>
          <w:right w:val="nil"/>
          <w:between w:val="nil"/>
        </w:pBdr>
        <w:spacing w:after="200"/>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Artículo 2°. </w:t>
      </w:r>
      <w:r>
        <w:rPr>
          <w:rFonts w:ascii="Century Gothic" w:eastAsia="Century Gothic" w:hAnsi="Century Gothic" w:cs="Century Gothic"/>
          <w:color w:val="000000"/>
          <w:sz w:val="20"/>
          <w:szCs w:val="20"/>
        </w:rPr>
        <w:t>Adiciónese un parágrafo al artículo 43 de la Ley 769 de 2002, el cual quedará así:</w:t>
      </w:r>
    </w:p>
    <w:p w:rsidR="00820B31" w:rsidRDefault="00F22EC3">
      <w:pPr>
        <w:pBdr>
          <w:top w:val="nil"/>
          <w:left w:val="nil"/>
          <w:bottom w:val="nil"/>
          <w:right w:val="nil"/>
          <w:between w:val="nil"/>
        </w:pBdr>
        <w:spacing w:before="100" w:after="10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Artículo 43. </w:t>
      </w:r>
      <w:r>
        <w:rPr>
          <w:rFonts w:ascii="Century Gothic" w:eastAsia="Century Gothic" w:hAnsi="Century Gothic" w:cs="Century Gothic"/>
          <w:b/>
          <w:i/>
          <w:color w:val="000000"/>
          <w:sz w:val="20"/>
          <w:szCs w:val="20"/>
        </w:rPr>
        <w:t>Diseño y elaboración.</w:t>
      </w:r>
      <w:r>
        <w:rPr>
          <w:rFonts w:ascii="Century Gothic" w:eastAsia="Century Gothic" w:hAnsi="Century Gothic" w:cs="Century Gothic"/>
          <w:color w:val="000000"/>
          <w:sz w:val="20"/>
          <w:szCs w:val="20"/>
        </w:rPr>
        <w:t> Corresponde al Ministerio de Transporte diseñar y establecer las características y ficha técnica de la placa única nacional para los vehículos automotores, asignar sus series, rangos y códigos, y a las autoridades de tránsito competentes o a quien el Ministerio de transporte autorice, su elaboración y entrega. Así mismo, el Ministerio de Transporte reglamentará lo referente a la placa que deberán tener los vehículos que ingresen en el país por programas especiales o por importación temporal.</w:t>
      </w:r>
    </w:p>
    <w:p w:rsidR="00820B31" w:rsidRDefault="00820B31">
      <w:pPr>
        <w:pBdr>
          <w:top w:val="nil"/>
          <w:left w:val="nil"/>
          <w:bottom w:val="nil"/>
          <w:right w:val="nil"/>
          <w:between w:val="nil"/>
        </w:pBdr>
        <w:spacing w:before="100" w:after="100"/>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spacing w:before="100" w:after="100"/>
        <w:jc w:val="both"/>
        <w:rPr>
          <w:rFonts w:ascii="Century Gothic" w:eastAsia="Century Gothic" w:hAnsi="Century Gothic" w:cs="Century Gothic"/>
          <w:b/>
          <w:color w:val="000000"/>
          <w:sz w:val="20"/>
          <w:szCs w:val="20"/>
          <w:u w:val="single"/>
        </w:rPr>
      </w:pPr>
      <w:r>
        <w:rPr>
          <w:rFonts w:ascii="Century Gothic" w:eastAsia="Century Gothic" w:hAnsi="Century Gothic" w:cs="Century Gothic"/>
          <w:b/>
          <w:color w:val="000000"/>
          <w:sz w:val="20"/>
          <w:szCs w:val="20"/>
          <w:u w:val="single"/>
        </w:rPr>
        <w:t>PARÁGRAFO 1:  Dentro de los seis (6) meses siguientes a la expedición de la presente Ley,  El Ministerio de Transporte deberá modificar el diseño, las características y ficha técnica de la placa única nacional para los vehículos automotores, eliminando del diseño de las placas el nombre del municipio o distrito donde se matriculó el vehículo automotor.</w:t>
      </w:r>
    </w:p>
    <w:p w:rsidR="00820B31" w:rsidRDefault="00820B31">
      <w:pPr>
        <w:pBdr>
          <w:top w:val="nil"/>
          <w:left w:val="nil"/>
          <w:bottom w:val="nil"/>
          <w:right w:val="nil"/>
          <w:between w:val="nil"/>
        </w:pBdr>
        <w:spacing w:before="100" w:after="100"/>
        <w:jc w:val="both"/>
        <w:rPr>
          <w:rFonts w:ascii="Century Gothic" w:eastAsia="Century Gothic" w:hAnsi="Century Gothic" w:cs="Century Gothic"/>
          <w:b/>
          <w:color w:val="000000"/>
          <w:sz w:val="20"/>
          <w:szCs w:val="20"/>
          <w:u w:val="single"/>
        </w:rPr>
      </w:pPr>
    </w:p>
    <w:p w:rsidR="00820B31" w:rsidRDefault="00F22EC3">
      <w:pPr>
        <w:pBdr>
          <w:top w:val="nil"/>
          <w:left w:val="nil"/>
          <w:bottom w:val="nil"/>
          <w:right w:val="nil"/>
          <w:between w:val="nil"/>
        </w:pBdr>
        <w:spacing w:after="200"/>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Artículo 3º. </w:t>
      </w:r>
      <w:r>
        <w:rPr>
          <w:rFonts w:ascii="Century Gothic" w:eastAsia="Century Gothic" w:hAnsi="Century Gothic" w:cs="Century Gothic"/>
          <w:color w:val="000000"/>
          <w:sz w:val="20"/>
          <w:szCs w:val="20"/>
        </w:rPr>
        <w:t>La presente Ley rige a partir de su promulgación y deroga las disposiciones que le sean contrarias.</w:t>
      </w:r>
    </w:p>
    <w:p w:rsidR="00820B31" w:rsidRDefault="00F22EC3">
      <w:pPr>
        <w:pBdr>
          <w:top w:val="nil"/>
          <w:left w:val="nil"/>
          <w:bottom w:val="nil"/>
          <w:right w:val="nil"/>
          <w:between w:val="nil"/>
        </w:pBdr>
        <w:spacing w:after="20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De los Honorables Representantes, </w:t>
      </w:r>
    </w:p>
    <w:p w:rsidR="00820B31" w:rsidRDefault="00820B31">
      <w:pPr>
        <w:pBdr>
          <w:top w:val="nil"/>
          <w:left w:val="nil"/>
          <w:bottom w:val="nil"/>
          <w:right w:val="nil"/>
          <w:between w:val="nil"/>
        </w:pBdr>
        <w:spacing w:after="200"/>
        <w:rPr>
          <w:rFonts w:ascii="Century Gothic" w:eastAsia="Century Gothic" w:hAnsi="Century Gothic" w:cs="Century Gothic"/>
          <w:color w:val="000000"/>
          <w:sz w:val="20"/>
          <w:szCs w:val="20"/>
        </w:rPr>
      </w:pPr>
    </w:p>
    <w:p w:rsidR="00820B31" w:rsidRDefault="00F22EC3">
      <w:pPr>
        <w:spacing w:after="200"/>
        <w:rPr>
          <w:rFonts w:ascii="Century Gothic" w:eastAsia="Century Gothic" w:hAnsi="Century Gothic" w:cs="Century Gothic"/>
          <w:color w:val="000000"/>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           </w:t>
      </w:r>
    </w:p>
    <w:p w:rsidR="00820B31" w:rsidRDefault="00F22EC3">
      <w:pPr>
        <w:pBdr>
          <w:top w:val="nil"/>
          <w:left w:val="nil"/>
          <w:bottom w:val="nil"/>
          <w:right w:val="nil"/>
          <w:between w:val="nil"/>
        </w:pBd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CARLOS ADOLFO ARDILA ESPINOSA</w:t>
      </w:r>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r>
        <w:rPr>
          <w:rFonts w:ascii="Century Gothic" w:eastAsia="Century Gothic" w:hAnsi="Century Gothic" w:cs="Century Gothic"/>
          <w:b/>
          <w:color w:val="000000"/>
          <w:sz w:val="20"/>
          <w:szCs w:val="20"/>
        </w:rPr>
        <w:tab/>
      </w:r>
    </w:p>
    <w:p w:rsidR="00820B31" w:rsidRDefault="00F22EC3">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Representante a la Cámara </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820B31" w:rsidRDefault="00F22EC3">
      <w:pPr>
        <w:pBdr>
          <w:top w:val="nil"/>
          <w:left w:val="nil"/>
          <w:bottom w:val="nil"/>
          <w:right w:val="nil"/>
          <w:between w:val="nil"/>
        </w:pBd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Departamento del Putumayo</w:t>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r>
        <w:rPr>
          <w:rFonts w:ascii="Century Gothic" w:eastAsia="Century Gothic" w:hAnsi="Century Gothic" w:cs="Century Gothic"/>
          <w:color w:val="000000"/>
          <w:sz w:val="20"/>
          <w:szCs w:val="20"/>
        </w:rPr>
        <w:tab/>
      </w:r>
    </w:p>
    <w:p w:rsidR="00820B31" w:rsidRDefault="00820B31">
      <w:pPr>
        <w:pBdr>
          <w:top w:val="nil"/>
          <w:left w:val="nil"/>
          <w:bottom w:val="nil"/>
          <w:right w:val="nil"/>
          <w:between w:val="nil"/>
        </w:pBdr>
        <w:rPr>
          <w:rFonts w:ascii="Century Gothic" w:eastAsia="Century Gothic" w:hAnsi="Century Gothic" w:cs="Century Gothic"/>
          <w:sz w:val="20"/>
          <w:szCs w:val="20"/>
        </w:rPr>
      </w:pPr>
    </w:p>
    <w:p w:rsidR="00820B31" w:rsidRDefault="00F22EC3" w:rsidP="001B567E">
      <w:pPr>
        <w:jc w:val="center"/>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lastRenderedPageBreak/>
        <w:t>EXPOSICIÓN DE MOTIVOS</w:t>
      </w:r>
    </w:p>
    <w:p w:rsidR="00820B31" w:rsidRDefault="00820B31">
      <w:pPr>
        <w:pBdr>
          <w:top w:val="nil"/>
          <w:left w:val="nil"/>
          <w:bottom w:val="nil"/>
          <w:right w:val="nil"/>
          <w:between w:val="nil"/>
        </w:pBdr>
        <w:spacing w:after="200"/>
        <w:jc w:val="center"/>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spacing w:after="200"/>
        <w:jc w:val="center"/>
        <w:rPr>
          <w:rFonts w:ascii="Century Gothic" w:eastAsia="Century Gothic" w:hAnsi="Century Gothic" w:cs="Century Gothic"/>
          <w:b/>
          <w:i/>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b/>
          <w:i/>
          <w:color w:val="000000"/>
          <w:sz w:val="22"/>
          <w:szCs w:val="22"/>
        </w:rPr>
        <w:t>Por medio del cual se modifica el artículo 43 de la Ley 769 de 2002 y se dictan otras disposiciones”.</w:t>
      </w:r>
    </w:p>
    <w:p w:rsidR="00820B31" w:rsidRDefault="00820B31">
      <w:pPr>
        <w:pBdr>
          <w:top w:val="nil"/>
          <w:left w:val="nil"/>
          <w:bottom w:val="nil"/>
          <w:right w:val="nil"/>
          <w:between w:val="nil"/>
        </w:pBdr>
        <w:spacing w:after="200"/>
        <w:rPr>
          <w:rFonts w:ascii="Century Gothic" w:eastAsia="Century Gothic" w:hAnsi="Century Gothic" w:cs="Century Gothic"/>
          <w:color w:val="000000"/>
          <w:sz w:val="22"/>
          <w:szCs w:val="22"/>
        </w:rPr>
      </w:pPr>
    </w:p>
    <w:p w:rsidR="00820B31" w:rsidRDefault="00F22EC3">
      <w:pPr>
        <w:numPr>
          <w:ilvl w:val="0"/>
          <w:numId w:val="2"/>
        </w:numPr>
        <w:pBdr>
          <w:top w:val="nil"/>
          <w:left w:val="nil"/>
          <w:bottom w:val="nil"/>
          <w:right w:val="nil"/>
          <w:between w:val="nil"/>
        </w:pBdr>
        <w:spacing w:after="20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ANTECEDENTES</w:t>
      </w: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Ministerio de Transporte es la Institución en Colombia encargada de diseñar y</w:t>
      </w:r>
      <w:r>
        <w:rPr>
          <w:rFonts w:ascii="Century Gothic" w:eastAsia="Century Gothic" w:hAnsi="Century Gothic" w:cs="Century Gothic"/>
          <w:color w:val="000000"/>
          <w:sz w:val="20"/>
          <w:szCs w:val="20"/>
        </w:rPr>
        <w:br/>
        <w:t>establecer las características de la placa única nacional para los vehículos</w:t>
      </w:r>
      <w:r>
        <w:rPr>
          <w:rFonts w:ascii="Century Gothic" w:eastAsia="Century Gothic" w:hAnsi="Century Gothic" w:cs="Century Gothic"/>
          <w:color w:val="000000"/>
          <w:sz w:val="20"/>
          <w:szCs w:val="20"/>
        </w:rPr>
        <w:br/>
        <w:t>automotores. A partir de 1990, las placas tienen 3 letras y 3 dígitos, debajo llevan</w:t>
      </w:r>
      <w:r>
        <w:rPr>
          <w:rFonts w:ascii="Century Gothic" w:eastAsia="Century Gothic" w:hAnsi="Century Gothic" w:cs="Century Gothic"/>
          <w:color w:val="000000"/>
          <w:sz w:val="20"/>
          <w:szCs w:val="20"/>
        </w:rPr>
        <w:br/>
        <w:t>el nombre del municipio donde se encuentra matriculado el vehículo.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Estas identificaciones -tal y como las conocemos hoy- nacieron en 1988, cuando por iniciativa del gobierno de entonces y como consecuencia de la nomenclatura insuficiente, se decidió 'arrancar de ceros' y con una lógica numérica diferente.</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Las placas negras que antecedieron a las amarillas estaban conformadas por dos letras, escritas verticalmente, y cuatro números escritos de forma horizontal.  Con el cambio de nomenclatura, ahora de tres letras y tres números, se aumentó significativamente el 'cupo' para placas nuevas.</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Las placas actuales están escritas horizontalmente y llaman más la atención por su color, pero también porque son reflectivas y fáciles de leer de noche. Esto permite que el carro pueda ser visualizado en caso de que se vare o en sitios oscuros, ya que al ser reflectiva advierte sobre la presencia del vehículo en la vía.</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Uno de los cambios generados en ese entonces, y que se pretende modificar mediante el proyecto de ley, tiene que ver con la desaparición de la expresión “Colombia” que se ubicaba en la parte inferior de las placas, para darle paso al municipio donde el auto está matriculado. Esta decisión, aunque se fundamenta en que es más fácil hacerle seguimiento inmediato a un vehículo sospechoso si se sabe inmediatamente el sitio donde fue matriculado, ha generado otro tipo de fenómenos imprevistos que buscan ser subsanados con el presente proyecto de ley.</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Así  por ejemplo, la medida ha causado la percepción de que los automotores con placas distintas a las de grandes ciudades pueden ser objeto de mayores controles de tránsito, y por esta razón tendrían una menor apreciación en el mercado.</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2"/>
          <w:szCs w:val="22"/>
        </w:rPr>
        <w:t>Como consecuencia de este castigo del mercado a los vehículos con placas matriculadas en municipios distintos a Bogotá y grandes ciudades, los municipios ven afectadas sus finanzas por concepto de impuestos de rodamiento dejados de percibir, pues l</w:t>
      </w:r>
      <w:r>
        <w:rPr>
          <w:rFonts w:ascii="Century Gothic" w:eastAsia="Century Gothic" w:hAnsi="Century Gothic" w:cs="Century Gothic"/>
          <w:color w:val="000000"/>
          <w:sz w:val="20"/>
          <w:szCs w:val="20"/>
        </w:rPr>
        <w:t>a práctica más común para no perderle valor al vehículo y evitar la posibilidad de ser objeto de  con las autoridades de tránsito, es matricular el vehículo en una ciudad o municipio diferente al cual realiza su rodamiento. con lo cual se paga el rodamiento y semaforización de un lugar donde no se afecta la maya vial, y distorsionando así la locación de recursos púbicos.</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2"/>
          <w:szCs w:val="22"/>
        </w:rPr>
        <w:t xml:space="preserve">Por eso se propone la presente medida como solución a un diseño que genera efectos indeseados en el mercado y en las finanzas públicas. </w:t>
      </w:r>
      <w:r>
        <w:rPr>
          <w:rFonts w:ascii="Century Gothic" w:eastAsia="Century Gothic" w:hAnsi="Century Gothic" w:cs="Century Gothic"/>
          <w:color w:val="000000"/>
          <w:sz w:val="20"/>
          <w:szCs w:val="20"/>
        </w:rPr>
        <w:t>Es importante mencionar que las placas son para toda la vida, si por alguna razón el vehículo se vendiera o se cambiara su domicilio y deciden matricularlo en su nuevo lugar de residencia, se recibirían placas nuevas con las mismas letras y los mismos números, pero con la leyenda del municipio de donde queda rematriculado.</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Quiere decir esto que los números son constantes y permiten la plena identificación del vehículo, sin necesidad de que tenga </w:t>
      </w:r>
      <w:r>
        <w:rPr>
          <w:rFonts w:ascii="Century Gothic" w:eastAsia="Century Gothic" w:hAnsi="Century Gothic" w:cs="Century Gothic"/>
          <w:color w:val="000000"/>
          <w:sz w:val="20"/>
          <w:szCs w:val="20"/>
        </w:rPr>
        <w:tab/>
        <w:t>que estar escrito en la placa el municipio en el cual está matriculado. Con todo, la información siempre podrá ser validada por las autoridades de tránsito en sus respectivas bases de datos.</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numPr>
          <w:ilvl w:val="0"/>
          <w:numId w:val="2"/>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FUNDAMENTOS JURÍDICOS</w:t>
      </w:r>
    </w:p>
    <w:p w:rsidR="00820B31" w:rsidRDefault="00820B31">
      <w:pPr>
        <w:pBdr>
          <w:top w:val="nil"/>
          <w:left w:val="nil"/>
          <w:bottom w:val="nil"/>
          <w:right w:val="nil"/>
          <w:between w:val="nil"/>
        </w:pBdr>
        <w:jc w:val="both"/>
        <w:rPr>
          <w:rFonts w:ascii="Century Gothic" w:eastAsia="Century Gothic" w:hAnsi="Century Gothic" w:cs="Century Gothic"/>
          <w:b/>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El artículo 1 de la Ley 769 de 2002, modificado por la ley 1383 de 2010, le corresponde al Ministerio de Transporte como autoridad suprema de tránsito, definir, orientar, vigilar e inspeccionar la ejecución de la política nacional en materia de tránsito.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Según el Código Nacional de Tránsito, la placa es el mecanismo de identificación de un vehículo y tiene carácter 'intransferible e inmodificable’, por lo que deberá acompañarlo hasta que se presente la destrucción del mismo.</w:t>
      </w:r>
      <w:r>
        <w:rPr>
          <w:rFonts w:ascii="Century Gothic" w:eastAsia="Century Gothic" w:hAnsi="Century Gothic" w:cs="Century Gothic"/>
          <w:color w:val="000000"/>
          <w:sz w:val="20"/>
          <w:szCs w:val="20"/>
        </w:rPr>
        <w:br/>
      </w:r>
      <w:r>
        <w:rPr>
          <w:rFonts w:ascii="Century Gothic" w:eastAsia="Century Gothic" w:hAnsi="Century Gothic" w:cs="Century Gothic"/>
          <w:color w:val="000000"/>
          <w:sz w:val="20"/>
          <w:szCs w:val="20"/>
        </w:rPr>
        <w:br/>
        <w:t>Artículo 43. Diseño y elaboración. "Corresponde al Ministerio de Transporte diseñar y establecer las características y ficha técnica de la placa única nacional para los vehículos automotores, asignar sus series, rangos y códigos, y a las autoridades de tránsito competentes o a quien el Ministerio de Transporte autorice, su elaboración y entrega (¿)".</w:t>
      </w:r>
      <w:r>
        <w:rPr>
          <w:rFonts w:ascii="Century Gothic" w:eastAsia="Century Gothic" w:hAnsi="Century Gothic" w:cs="Century Gothic"/>
          <w:color w:val="000000"/>
          <w:sz w:val="20"/>
          <w:szCs w:val="20"/>
        </w:rPr>
        <w:br/>
      </w:r>
      <w:r>
        <w:rPr>
          <w:rFonts w:ascii="Century Gothic" w:eastAsia="Century Gothic" w:hAnsi="Century Gothic" w:cs="Century Gothic"/>
          <w:color w:val="000000"/>
          <w:sz w:val="20"/>
          <w:szCs w:val="20"/>
        </w:rPr>
        <w:br/>
        <w:t>Artículo 44. Clasificación. "Las placas se clasifican, en razón del servicio del vehículo, así: de servicio oficial, público, particular, diplomático, consular y de misiones especiales (¿)".</w:t>
      </w:r>
      <w:r>
        <w:rPr>
          <w:rFonts w:ascii="Century Gothic" w:eastAsia="Century Gothic" w:hAnsi="Century Gothic" w:cs="Century Gothic"/>
          <w:color w:val="000000"/>
          <w:sz w:val="20"/>
          <w:szCs w:val="20"/>
        </w:rPr>
        <w:br/>
      </w:r>
      <w:r>
        <w:rPr>
          <w:rFonts w:ascii="Century Gothic" w:eastAsia="Century Gothic" w:hAnsi="Century Gothic" w:cs="Century Gothic"/>
          <w:color w:val="000000"/>
          <w:sz w:val="20"/>
          <w:szCs w:val="20"/>
        </w:rPr>
        <w:br/>
        <w:t>Artículo 45. Ubicación. "Los vehículos automotores llevarán dos (2) placas iguales: una en el extremo delantero y otra en el extremo trasero (). Ningún vehículo automotor matriculado en Colombia podrá llevar, en el lugar destinado a las placas, distintivos similares a éstas o que la imiten, ni que correspondan a placas de otros países, so pena de incurrir en la sanción prevista en este Código para quien transite sin placas; estas deben estar libres de obstáculos que dificulten su plena identificación".</w:t>
      </w:r>
      <w:r>
        <w:rPr>
          <w:rFonts w:ascii="Century Gothic" w:eastAsia="Century Gothic" w:hAnsi="Century Gothic" w:cs="Century Gothic"/>
          <w:color w:val="000000"/>
          <w:sz w:val="20"/>
          <w:szCs w:val="20"/>
        </w:rPr>
        <w:br/>
      </w:r>
      <w:r>
        <w:rPr>
          <w:rFonts w:ascii="Century Gothic" w:eastAsia="Century Gothic" w:hAnsi="Century Gothic" w:cs="Century Gothic"/>
          <w:color w:val="000000"/>
          <w:sz w:val="20"/>
          <w:szCs w:val="20"/>
        </w:rPr>
        <w:br/>
        <w:t>"Parágrafo. En caso de hurto o pérdida de la placa, se expedirá el duplicado con el mismo número".</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numPr>
          <w:ilvl w:val="0"/>
          <w:numId w:val="2"/>
        </w:numPr>
        <w:pBdr>
          <w:top w:val="nil"/>
          <w:left w:val="nil"/>
          <w:bottom w:val="nil"/>
          <w:right w:val="nil"/>
          <w:between w:val="nil"/>
        </w:pBdr>
        <w:jc w:val="both"/>
        <w:rPr>
          <w:rFonts w:ascii="Century Gothic" w:eastAsia="Century Gothic" w:hAnsi="Century Gothic" w:cs="Century Gothic"/>
          <w:b/>
          <w:i/>
          <w:color w:val="000000"/>
          <w:sz w:val="22"/>
          <w:szCs w:val="22"/>
        </w:rPr>
      </w:pPr>
      <w:r>
        <w:rPr>
          <w:rFonts w:ascii="Century Gothic" w:eastAsia="Century Gothic" w:hAnsi="Century Gothic" w:cs="Century Gothic"/>
          <w:b/>
          <w:color w:val="000000"/>
          <w:sz w:val="22"/>
          <w:szCs w:val="22"/>
        </w:rPr>
        <w:t>DEL ARTICULADO EN GENERAL</w:t>
      </w:r>
    </w:p>
    <w:p w:rsidR="00820B31" w:rsidRDefault="00820B31">
      <w:pPr>
        <w:pBdr>
          <w:top w:val="nil"/>
          <w:left w:val="nil"/>
          <w:bottom w:val="nil"/>
          <w:right w:val="nil"/>
          <w:between w:val="nil"/>
        </w:pBdr>
        <w:ind w:left="720"/>
        <w:jc w:val="both"/>
        <w:rPr>
          <w:rFonts w:ascii="Century Gothic" w:eastAsia="Century Gothic" w:hAnsi="Century Gothic" w:cs="Century Gothic"/>
          <w:b/>
          <w:i/>
          <w:color w:val="000000"/>
          <w:sz w:val="22"/>
          <w:szCs w:val="22"/>
        </w:rPr>
      </w:pPr>
    </w:p>
    <w:p w:rsidR="00820B31" w:rsidRDefault="00F22EC3">
      <w:pPr>
        <w:pBdr>
          <w:top w:val="nil"/>
          <w:left w:val="nil"/>
          <w:bottom w:val="nil"/>
          <w:right w:val="nil"/>
          <w:between w:val="nil"/>
        </w:pBdr>
        <w:spacing w:after="20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El proyecto consta de tres artículos, incluido el relativo a vigencia, y básicamente consiste en la adición de un parágrafo al artículo 43 del Código de Tránsito. Señalando un plazo de 6 meses contados a partir de la entrada en vigencia de la norma, para que el Ministerio de Transporte modifique el diseño, eliminando el nombre del municipio o distrito de la placa. Es un proyecto sucinto para una problemática puntual.</w:t>
      </w:r>
    </w:p>
    <w:p w:rsidR="00820B31" w:rsidRDefault="00F22EC3">
      <w:pPr>
        <w:numPr>
          <w:ilvl w:val="0"/>
          <w:numId w:val="2"/>
        </w:num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CONVENIENCIA DEL PROYECTO</w:t>
      </w:r>
    </w:p>
    <w:p w:rsidR="00820B31" w:rsidRDefault="00820B31">
      <w:pPr>
        <w:pBdr>
          <w:top w:val="nil"/>
          <w:left w:val="nil"/>
          <w:bottom w:val="nil"/>
          <w:right w:val="nil"/>
          <w:between w:val="nil"/>
        </w:pBdr>
        <w:rPr>
          <w:rFonts w:ascii="Century Gothic" w:eastAsia="Century Gothic" w:hAnsi="Century Gothic" w:cs="Century Gothic"/>
          <w:b/>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Estimamos que resulta muy conveniente el presente proyecto de ley que ponemos a consideración de los Honorables Congresistas, toda vez que al eliminar el nombre de la cuidad, municipio o distrito donde se encuentra matriculado el vehículo, se elimina el factor que genera la distorsión en el mercado y en el recaudo del impuesto de rodamiento. No habrá motivo para que el ciudadano perciba algún tipo de discriminación estadística</w:t>
      </w:r>
      <w:r>
        <w:rPr>
          <w:rFonts w:ascii="Century Gothic" w:eastAsia="Century Gothic" w:hAnsi="Century Gothic" w:cs="Century Gothic"/>
          <w:color w:val="000000"/>
          <w:sz w:val="20"/>
          <w:szCs w:val="20"/>
          <w:vertAlign w:val="superscript"/>
        </w:rPr>
        <w:footnoteReference w:id="1"/>
      </w:r>
      <w:r>
        <w:rPr>
          <w:rFonts w:ascii="Century Gothic" w:eastAsia="Century Gothic" w:hAnsi="Century Gothic" w:cs="Century Gothic"/>
          <w:color w:val="000000"/>
          <w:sz w:val="20"/>
          <w:szCs w:val="20"/>
        </w:rPr>
        <w:t xml:space="preserve"> ni para que sientan que pierden recursos si llegarán a matricular su automotor en el municipio donde realiza la mayor parte del rodamiento. De esta manera los recursos podrán ser alocados eficientemente y utilizados para el mantenimiento y mejora de la maya vial.</w:t>
      </w:r>
    </w:p>
    <w:p w:rsidR="00820B31" w:rsidRDefault="00820B31">
      <w:pPr>
        <w:pBdr>
          <w:top w:val="nil"/>
          <w:left w:val="nil"/>
          <w:bottom w:val="nil"/>
          <w:right w:val="nil"/>
          <w:between w:val="nil"/>
        </w:pBdr>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Por lo anterior, invito a los Honorables Congresistas a que acompañen y enriquezcan este proyecto de ley, que tiene como propósito eliminar del diseño de la placa única nacional para los vehículos automotores el nombre o municipio o distrito donde se matriculo.</w:t>
      </w:r>
    </w:p>
    <w:p w:rsidR="00820B31" w:rsidRDefault="00820B31">
      <w:pPr>
        <w:pBdr>
          <w:top w:val="nil"/>
          <w:left w:val="nil"/>
          <w:bottom w:val="nil"/>
          <w:right w:val="nil"/>
          <w:between w:val="nil"/>
        </w:pBdr>
        <w:rPr>
          <w:rFonts w:ascii="Century Gothic" w:eastAsia="Century Gothic" w:hAnsi="Century Gothic" w:cs="Century Gothic"/>
          <w:b/>
          <w:color w:val="000000"/>
          <w:sz w:val="22"/>
          <w:szCs w:val="22"/>
        </w:rPr>
      </w:pPr>
    </w:p>
    <w:p w:rsidR="00820B31" w:rsidRDefault="00F22EC3">
      <w:pPr>
        <w:numPr>
          <w:ilvl w:val="0"/>
          <w:numId w:val="2"/>
        </w:numPr>
        <w:pBdr>
          <w:top w:val="nil"/>
          <w:left w:val="nil"/>
          <w:bottom w:val="nil"/>
          <w:right w:val="nil"/>
          <w:between w:val="nil"/>
        </w:pBdr>
        <w:spacing w:after="200"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CONFLICTO DE INTERESES</w:t>
      </w: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procedo a indicar los criterios que la Ley 2003 de 2019 contempla para hacer el análisis frente a los posibles impedimentos que se puedan presentar en razón a un conflicto de interés en el ejercicio de la función congresional, entre ellas la legislativa, así: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“Artículo 1º. El artículo 286 de la Ley 5 de 1992 quedará así: (…)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numPr>
          <w:ilvl w:val="0"/>
          <w:numId w:val="1"/>
        </w:num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820B31" w:rsidRDefault="00820B31">
      <w:pPr>
        <w:pBdr>
          <w:top w:val="nil"/>
          <w:left w:val="nil"/>
          <w:bottom w:val="nil"/>
          <w:right w:val="nil"/>
          <w:between w:val="nil"/>
        </w:pBdr>
        <w:ind w:left="720"/>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 Beneficio actual: aquel que efectivamente se configura en las circunstancias presentes y existentes al momento en el que el congresista participa de la decisión.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 Beneficio directo: aquel que se produzca de forma específica respecto del congresista, de su cónyuge, compañero o compañera permanente, o parientes dentro del segundo grado de consanguinidad, segundo de afinidad o primero civil.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Para todos los efectos se entiende que no hay conflicto de interés en las siguientes circunstancias:</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 Cuando el beneficio podría o no configurarse para el congresista en el futuro.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f) Cuando el congresista participa en la elección de otros servidores públicos mediante el voto secreto. Se exceptúan los casos en que se presenten inhabilidades referidas al parentesco con los candidatos (...)”.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rsidR="00820B31" w:rsidRDefault="00820B31">
      <w:pPr>
        <w:pBdr>
          <w:top w:val="nil"/>
          <w:left w:val="nil"/>
          <w:bottom w:val="nil"/>
          <w:right w:val="nil"/>
          <w:between w:val="nil"/>
        </w:pBdr>
        <w:jc w:val="both"/>
        <w:rPr>
          <w:rFonts w:ascii="Century Gothic" w:eastAsia="Century Gothic" w:hAnsi="Century Gothic" w:cs="Century Gothic"/>
          <w:color w:val="000000"/>
          <w:sz w:val="20"/>
          <w:szCs w:val="20"/>
        </w:rPr>
      </w:pPr>
    </w:p>
    <w:p w:rsidR="00820B31" w:rsidRDefault="00F22EC3">
      <w:pPr>
        <w:pBdr>
          <w:top w:val="nil"/>
          <w:left w:val="nil"/>
          <w:bottom w:val="nil"/>
          <w:right w:val="nil"/>
          <w:between w:val="nil"/>
        </w:pBdr>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rsidR="00820B31" w:rsidRDefault="00820B31">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p>
    <w:p w:rsidR="00820B31" w:rsidRDefault="00F22EC3">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Cordialmente,</w:t>
      </w:r>
    </w:p>
    <w:p w:rsidR="00820B31" w:rsidRDefault="00820B31">
      <w:pPr>
        <w:pBdr>
          <w:top w:val="nil"/>
          <w:left w:val="nil"/>
          <w:bottom w:val="nil"/>
          <w:right w:val="nil"/>
          <w:between w:val="nil"/>
        </w:pBdr>
        <w:rPr>
          <w:rFonts w:ascii="Century Gothic" w:eastAsia="Century Gothic" w:hAnsi="Century Gothic" w:cs="Century Gothic"/>
          <w:b/>
          <w:color w:val="000000"/>
          <w:sz w:val="20"/>
          <w:szCs w:val="20"/>
        </w:rPr>
      </w:pPr>
    </w:p>
    <w:p w:rsidR="00820B31" w:rsidRDefault="00F22EC3">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r>
      <w:r>
        <w:rPr>
          <w:rFonts w:ascii="Century Gothic" w:eastAsia="Century Gothic" w:hAnsi="Century Gothic" w:cs="Century Gothic"/>
          <w:b/>
          <w:sz w:val="22"/>
          <w:szCs w:val="22"/>
        </w:rPr>
        <w:tab/>
        <w:t xml:space="preserve">          </w:t>
      </w:r>
    </w:p>
    <w:p w:rsidR="00820B31" w:rsidRDefault="00F22EC3">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CARLOS ADOLFO ARDILA ESPINOSA</w:t>
      </w:r>
      <w:r>
        <w:rPr>
          <w:rFonts w:ascii="Century Gothic" w:eastAsia="Century Gothic" w:hAnsi="Century Gothic" w:cs="Century Gothic"/>
          <w:b/>
          <w:color w:val="000000"/>
          <w:sz w:val="22"/>
          <w:szCs w:val="22"/>
        </w:rPr>
        <w:tab/>
      </w:r>
      <w:r>
        <w:rPr>
          <w:rFonts w:ascii="Century Gothic" w:eastAsia="Century Gothic" w:hAnsi="Century Gothic" w:cs="Century Gothic"/>
          <w:b/>
          <w:color w:val="000000"/>
          <w:sz w:val="22"/>
          <w:szCs w:val="22"/>
        </w:rPr>
        <w:tab/>
      </w:r>
      <w:r>
        <w:rPr>
          <w:rFonts w:ascii="Century Gothic" w:eastAsia="Century Gothic" w:hAnsi="Century Gothic" w:cs="Century Gothic"/>
          <w:b/>
          <w:color w:val="000000"/>
          <w:sz w:val="22"/>
          <w:szCs w:val="22"/>
        </w:rPr>
        <w:tab/>
      </w:r>
    </w:p>
    <w:p w:rsidR="00820B31" w:rsidRDefault="00F22EC3">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t xml:space="preserve"> </w:t>
      </w:r>
    </w:p>
    <w:p w:rsidR="00820B31" w:rsidRDefault="00F22EC3">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Departamento del Putumayo</w:t>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r>
        <w:rPr>
          <w:rFonts w:ascii="Century Gothic" w:eastAsia="Century Gothic" w:hAnsi="Century Gothic" w:cs="Century Gothic"/>
          <w:color w:val="000000"/>
          <w:sz w:val="22"/>
          <w:szCs w:val="22"/>
        </w:rPr>
        <w:tab/>
      </w:r>
    </w:p>
    <w:p w:rsidR="00820B31" w:rsidRDefault="00820B31">
      <w:pPr>
        <w:pBdr>
          <w:top w:val="nil"/>
          <w:left w:val="nil"/>
          <w:bottom w:val="nil"/>
          <w:right w:val="nil"/>
          <w:between w:val="nil"/>
        </w:pBdr>
        <w:rPr>
          <w:rFonts w:ascii="Century Gothic" w:eastAsia="Century Gothic" w:hAnsi="Century Gothic" w:cs="Century Gothic"/>
          <w:sz w:val="22"/>
          <w:szCs w:val="22"/>
        </w:rPr>
      </w:pPr>
    </w:p>
    <w:p w:rsidR="00820B31" w:rsidRDefault="00820B31">
      <w:pPr>
        <w:pBdr>
          <w:top w:val="nil"/>
          <w:left w:val="nil"/>
          <w:bottom w:val="nil"/>
          <w:right w:val="nil"/>
          <w:between w:val="nil"/>
        </w:pBdr>
        <w:rPr>
          <w:rFonts w:ascii="Century Gothic" w:eastAsia="Century Gothic" w:hAnsi="Century Gothic" w:cs="Century Gothic"/>
          <w:sz w:val="22"/>
          <w:szCs w:val="22"/>
        </w:rPr>
      </w:pPr>
    </w:p>
    <w:sectPr w:rsidR="00820B31">
      <w:headerReference w:type="default" r:id="rId8"/>
      <w:footerReference w:type="default" r:id="rId9"/>
      <w:pgSz w:w="12240" w:h="15840"/>
      <w:pgMar w:top="2532"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EC3" w:rsidRDefault="00F22EC3">
      <w:r>
        <w:separator/>
      </w:r>
    </w:p>
  </w:endnote>
  <w:endnote w:type="continuationSeparator" w:id="0">
    <w:p w:rsidR="00F22EC3" w:rsidRDefault="00F2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31" w:rsidRDefault="00820B31">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p>
  <w:p w:rsidR="00820B31" w:rsidRDefault="00820B31">
    <w:pPr>
      <w:pBdr>
        <w:top w:val="nil"/>
        <w:left w:val="nil"/>
        <w:bottom w:val="nil"/>
        <w:right w:val="nil"/>
        <w:between w:val="nil"/>
      </w:pBdr>
      <w:jc w:val="center"/>
      <w:rPr>
        <w:rFonts w:ascii="Arial Narrow" w:eastAsia="Arial Narrow" w:hAnsi="Arial Narrow" w:cs="Arial Narrow"/>
        <w:color w:val="000000"/>
        <w:sz w:val="18"/>
        <w:szCs w:val="18"/>
      </w:rPr>
    </w:pPr>
  </w:p>
  <w:p w:rsidR="00820B31" w:rsidRDefault="00F22EC3">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del Congreso: Carrera 7 No 8 – 68, Oficina 635, Bogotá. </w:t>
    </w:r>
  </w:p>
  <w:p w:rsidR="00820B31" w:rsidRDefault="00F22EC3">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carlos.ardila@camara.gov.co </w:t>
    </w:r>
  </w:p>
  <w:p w:rsidR="00820B31" w:rsidRDefault="00F22EC3">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r>
      <w:rPr>
        <w:rFonts w:ascii="Arial Narrow" w:eastAsia="Arial Narrow" w:hAnsi="Arial Narrow" w:cs="Arial Narrow"/>
        <w:color w:val="00000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EC3" w:rsidRDefault="00F22EC3">
      <w:r>
        <w:separator/>
      </w:r>
    </w:p>
  </w:footnote>
  <w:footnote w:type="continuationSeparator" w:id="0">
    <w:p w:rsidR="00F22EC3" w:rsidRDefault="00F22EC3">
      <w:r>
        <w:continuationSeparator/>
      </w:r>
    </w:p>
  </w:footnote>
  <w:footnote w:id="1">
    <w:p w:rsidR="00820B31" w:rsidRDefault="00F22EC3">
      <w:pPr>
        <w:pBdr>
          <w:top w:val="nil"/>
          <w:left w:val="nil"/>
          <w:bottom w:val="nil"/>
          <w:right w:val="nil"/>
          <w:between w:val="nil"/>
        </w:pBdr>
        <w:rPr>
          <w:rFonts w:ascii="Helvetica Neue" w:eastAsia="Helvetica Neue" w:hAnsi="Helvetica Neue" w:cs="Helvetica Neue"/>
          <w:color w:val="000000"/>
          <w:sz w:val="22"/>
          <w:szCs w:val="22"/>
        </w:rPr>
      </w:pPr>
      <w:r>
        <w:rPr>
          <w:vertAlign w:val="superscript"/>
        </w:rPr>
        <w:footnoteRef/>
      </w:r>
      <w:r>
        <w:rPr>
          <w:rFonts w:ascii="Helvetica Neue" w:eastAsia="Helvetica Neue" w:hAnsi="Helvetica Neue" w:cs="Helvetica Neue"/>
          <w:color w:val="000000"/>
          <w:sz w:val="22"/>
          <w:szCs w:val="22"/>
        </w:rPr>
        <w:t xml:space="preserve"> la discriminación estadística…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31" w:rsidRDefault="00F22EC3">
    <w:pPr>
      <w:pBdr>
        <w:top w:val="nil"/>
        <w:left w:val="nil"/>
        <w:bottom w:val="nil"/>
        <w:right w:val="nil"/>
        <w:between w:val="nil"/>
      </w:pBdr>
      <w:tabs>
        <w:tab w:val="center" w:pos="4419"/>
        <w:tab w:val="right" w:pos="8838"/>
        <w:tab w:val="right" w:pos="8818"/>
      </w:tabs>
      <w:rPr>
        <w:rFonts w:ascii="Calibri" w:eastAsia="Calibri" w:hAnsi="Calibri" w:cs="Calibri"/>
        <w:color w:val="000000"/>
        <w:sz w:val="22"/>
        <w:szCs w:val="22"/>
      </w:rPr>
    </w:pPr>
    <w:r>
      <w:rPr>
        <w:rFonts w:ascii="Calibri" w:eastAsia="Calibri" w:hAnsi="Calibri" w:cs="Calibri"/>
        <w:noProof/>
        <w:color w:val="000000"/>
        <w:sz w:val="22"/>
        <w:szCs w:val="22"/>
        <w:lang w:val="es-CO" w:eastAsia="es-CO"/>
      </w:rPr>
      <w:drawing>
        <wp:anchor distT="0" distB="0" distL="0" distR="0" simplePos="0" relativeHeight="251658240" behindDoc="0" locked="0" layoutInCell="1" hidden="0" allowOverlap="1">
          <wp:simplePos x="0" y="0"/>
          <wp:positionH relativeFrom="page">
            <wp:posOffset>994410</wp:posOffset>
          </wp:positionH>
          <wp:positionV relativeFrom="page">
            <wp:posOffset>353695</wp:posOffset>
          </wp:positionV>
          <wp:extent cx="2714625" cy="885825"/>
          <wp:effectExtent l="0" t="0" r="0" b="0"/>
          <wp:wrapSquare wrapText="bothSides" distT="0" distB="0" distL="0" distR="0"/>
          <wp:docPr id="1073741847" name="image8.png" descr="Imagen 1"/>
          <wp:cNvGraphicFramePr/>
          <a:graphic xmlns:a="http://schemas.openxmlformats.org/drawingml/2006/main">
            <a:graphicData uri="http://schemas.openxmlformats.org/drawingml/2006/picture">
              <pic:pic xmlns:pic="http://schemas.openxmlformats.org/drawingml/2006/picture">
                <pic:nvPicPr>
                  <pic:cNvPr id="0" name="image8.png" descr="Imagen 1"/>
                  <pic:cNvPicPr preferRelativeResize="0"/>
                </pic:nvPicPr>
                <pic:blipFill>
                  <a:blip r:embed="rId1"/>
                  <a:srcRect l="12511" t="12806" r="67792" b="75748"/>
                  <a:stretch>
                    <a:fillRect/>
                  </a:stretch>
                </pic:blipFill>
                <pic:spPr>
                  <a:xfrm>
                    <a:off x="0" y="0"/>
                    <a:ext cx="2714625" cy="885825"/>
                  </a:xfrm>
                  <a:prstGeom prst="rect">
                    <a:avLst/>
                  </a:prstGeom>
                  <a:ln/>
                </pic:spPr>
              </pic:pic>
            </a:graphicData>
          </a:graphic>
        </wp:anchor>
      </w:drawing>
    </w:r>
    <w:r>
      <w:rPr>
        <w:rFonts w:ascii="Calibri" w:eastAsia="Calibri" w:hAnsi="Calibri" w:cs="Calibri"/>
        <w:noProof/>
        <w:color w:val="000000"/>
        <w:sz w:val="22"/>
        <w:szCs w:val="22"/>
        <w:lang w:val="es-CO" w:eastAsia="es-CO"/>
      </w:rPr>
      <w:drawing>
        <wp:anchor distT="0" distB="0" distL="0" distR="0" simplePos="0" relativeHeight="251659264" behindDoc="0" locked="0" layoutInCell="1" hidden="0" allowOverlap="1">
          <wp:simplePos x="0" y="0"/>
          <wp:positionH relativeFrom="page">
            <wp:posOffset>4909184</wp:posOffset>
          </wp:positionH>
          <wp:positionV relativeFrom="page">
            <wp:posOffset>467359</wp:posOffset>
          </wp:positionV>
          <wp:extent cx="2505075" cy="857250"/>
          <wp:effectExtent l="0" t="0" r="0" b="0"/>
          <wp:wrapSquare wrapText="bothSides" distT="0" distB="0" distL="0" distR="0"/>
          <wp:docPr id="1073741836" name="image5.png" descr="Picture 1"/>
          <wp:cNvGraphicFramePr/>
          <a:graphic xmlns:a="http://schemas.openxmlformats.org/drawingml/2006/main">
            <a:graphicData uri="http://schemas.openxmlformats.org/drawingml/2006/picture">
              <pic:pic xmlns:pic="http://schemas.openxmlformats.org/drawingml/2006/picture">
                <pic:nvPicPr>
                  <pic:cNvPr id="0" name="image5.png" descr="Picture 1"/>
                  <pic:cNvPicPr preferRelativeResize="0"/>
                </pic:nvPicPr>
                <pic:blipFill>
                  <a:blip r:embed="rId2"/>
                  <a:srcRect/>
                  <a:stretch>
                    <a:fillRect/>
                  </a:stretch>
                </pic:blipFill>
                <pic:spPr>
                  <a:xfrm>
                    <a:off x="0" y="0"/>
                    <a:ext cx="2505075" cy="857250"/>
                  </a:xfrm>
                  <a:prstGeom prst="rect">
                    <a:avLst/>
                  </a:prstGeom>
                  <a:ln/>
                </pic:spPr>
              </pic:pic>
            </a:graphicData>
          </a:graphic>
        </wp:anchor>
      </w:drawing>
    </w:r>
    <w:r>
      <w:rPr>
        <w:rFonts w:ascii="Calibri" w:eastAsia="Calibri" w:hAnsi="Calibri" w:cs="Calibri"/>
        <w:noProof/>
        <w:color w:val="000000"/>
        <w:sz w:val="22"/>
        <w:szCs w:val="22"/>
        <w:lang w:val="es-CO" w:eastAsia="es-CO"/>
      </w:rPr>
      <w:drawing>
        <wp:anchor distT="0" distB="0" distL="0" distR="0" simplePos="0" relativeHeight="251660288" behindDoc="0" locked="0" layoutInCell="1" hidden="0" allowOverlap="1">
          <wp:simplePos x="0" y="0"/>
          <wp:positionH relativeFrom="page">
            <wp:posOffset>-2987501</wp:posOffset>
          </wp:positionH>
          <wp:positionV relativeFrom="page">
            <wp:posOffset>-1517661</wp:posOffset>
          </wp:positionV>
          <wp:extent cx="2714625" cy="885825"/>
          <wp:effectExtent l="0" t="0" r="0" b="0"/>
          <wp:wrapSquare wrapText="bothSides" distT="0" distB="0" distL="0" distR="0"/>
          <wp:docPr id="1073741842" name="image8.png" descr="Imagen 1"/>
          <wp:cNvGraphicFramePr/>
          <a:graphic xmlns:a="http://schemas.openxmlformats.org/drawingml/2006/main">
            <a:graphicData uri="http://schemas.openxmlformats.org/drawingml/2006/picture">
              <pic:pic xmlns:pic="http://schemas.openxmlformats.org/drawingml/2006/picture">
                <pic:nvPicPr>
                  <pic:cNvPr id="0" name="image8.png" descr="Imagen 1"/>
                  <pic:cNvPicPr preferRelativeResize="0"/>
                </pic:nvPicPr>
                <pic:blipFill>
                  <a:blip r:embed="rId1"/>
                  <a:srcRect l="12511" t="12806" r="67792" b="75748"/>
                  <a:stretch>
                    <a:fillRect/>
                  </a:stretch>
                </pic:blipFill>
                <pic:spPr>
                  <a:xfrm>
                    <a:off x="0" y="0"/>
                    <a:ext cx="2714625" cy="885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493"/>
    <w:multiLevelType w:val="multilevel"/>
    <w:tmpl w:val="0F68876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 w15:restartNumberingAfterBreak="0">
    <w:nsid w:val="42A86E8E"/>
    <w:multiLevelType w:val="multilevel"/>
    <w:tmpl w:val="242C2AB2"/>
    <w:lvl w:ilvl="0">
      <w:start w:val="1"/>
      <w:numFmt w:val="lowerLetter"/>
      <w:lvlText w:val="%1)"/>
      <w:lvlJc w:val="left"/>
      <w:pPr>
        <w:ind w:left="708" w:hanging="708"/>
      </w:pPr>
      <w:rPr>
        <w:smallCaps w:val="0"/>
        <w:strike w:val="0"/>
        <w:shd w:val="clear" w:color="auto" w:fill="auto"/>
        <w:vertAlign w:val="baseline"/>
      </w:rPr>
    </w:lvl>
    <w:lvl w:ilvl="1">
      <w:start w:val="1"/>
      <w:numFmt w:val="lowerLetter"/>
      <w:lvlText w:val="%2."/>
      <w:lvlJc w:val="left"/>
      <w:pPr>
        <w:ind w:left="720" w:hanging="696"/>
      </w:pPr>
      <w:rPr>
        <w:smallCaps w:val="0"/>
        <w:strike w:val="0"/>
        <w:shd w:val="clear" w:color="auto" w:fill="auto"/>
        <w:vertAlign w:val="baseline"/>
      </w:rPr>
    </w:lvl>
    <w:lvl w:ilvl="2">
      <w:start w:val="1"/>
      <w:numFmt w:val="lowerRoman"/>
      <w:lvlText w:val="%3."/>
      <w:lvlJc w:val="left"/>
      <w:pPr>
        <w:ind w:left="1440" w:hanging="615"/>
      </w:pPr>
      <w:rPr>
        <w:smallCaps w:val="0"/>
        <w:strike w:val="0"/>
        <w:shd w:val="clear" w:color="auto" w:fill="auto"/>
        <w:vertAlign w:val="baseline"/>
      </w:rPr>
    </w:lvl>
    <w:lvl w:ilvl="3">
      <w:start w:val="1"/>
      <w:numFmt w:val="decimal"/>
      <w:lvlText w:val="%4."/>
      <w:lvlJc w:val="left"/>
      <w:pPr>
        <w:ind w:left="2160" w:hanging="672"/>
      </w:pPr>
      <w:rPr>
        <w:smallCaps w:val="0"/>
        <w:strike w:val="0"/>
        <w:shd w:val="clear" w:color="auto" w:fill="auto"/>
        <w:vertAlign w:val="baseline"/>
      </w:rPr>
    </w:lvl>
    <w:lvl w:ilvl="4">
      <w:start w:val="1"/>
      <w:numFmt w:val="lowerLetter"/>
      <w:lvlText w:val="%5."/>
      <w:lvlJc w:val="left"/>
      <w:pPr>
        <w:ind w:left="2880" w:hanging="660"/>
      </w:pPr>
      <w:rPr>
        <w:smallCaps w:val="0"/>
        <w:strike w:val="0"/>
        <w:shd w:val="clear" w:color="auto" w:fill="auto"/>
        <w:vertAlign w:val="baseline"/>
      </w:rPr>
    </w:lvl>
    <w:lvl w:ilvl="5">
      <w:start w:val="1"/>
      <w:numFmt w:val="lowerRoman"/>
      <w:lvlText w:val="%6."/>
      <w:lvlJc w:val="left"/>
      <w:pPr>
        <w:ind w:left="3600" w:hanging="579"/>
      </w:pPr>
      <w:rPr>
        <w:smallCaps w:val="0"/>
        <w:strike w:val="0"/>
        <w:shd w:val="clear" w:color="auto" w:fill="auto"/>
        <w:vertAlign w:val="baseline"/>
      </w:rPr>
    </w:lvl>
    <w:lvl w:ilvl="6">
      <w:start w:val="1"/>
      <w:numFmt w:val="decimal"/>
      <w:lvlText w:val="%7."/>
      <w:lvlJc w:val="left"/>
      <w:pPr>
        <w:ind w:left="4320" w:hanging="636"/>
      </w:pPr>
      <w:rPr>
        <w:smallCaps w:val="0"/>
        <w:strike w:val="0"/>
        <w:shd w:val="clear" w:color="auto" w:fill="auto"/>
        <w:vertAlign w:val="baseline"/>
      </w:rPr>
    </w:lvl>
    <w:lvl w:ilvl="7">
      <w:start w:val="1"/>
      <w:numFmt w:val="lowerLetter"/>
      <w:lvlText w:val="%8."/>
      <w:lvlJc w:val="left"/>
      <w:pPr>
        <w:ind w:left="5040" w:hanging="624"/>
      </w:pPr>
      <w:rPr>
        <w:smallCaps w:val="0"/>
        <w:strike w:val="0"/>
        <w:shd w:val="clear" w:color="auto" w:fill="auto"/>
        <w:vertAlign w:val="baseline"/>
      </w:rPr>
    </w:lvl>
    <w:lvl w:ilvl="8">
      <w:start w:val="1"/>
      <w:numFmt w:val="lowerRoman"/>
      <w:lvlText w:val="%9."/>
      <w:lvlJc w:val="left"/>
      <w:pPr>
        <w:ind w:left="5760" w:hanging="543"/>
      </w:pPr>
      <w:rPr>
        <w:smallCaps w:val="0"/>
        <w:strike w:val="0"/>
        <w:shd w:val="clear" w:color="auto" w:fill="auto"/>
        <w:vertAlign w:val="baseline"/>
      </w:rPr>
    </w:lvl>
  </w:abstractNum>
  <w:abstractNum w:abstractNumId="2" w15:restartNumberingAfterBreak="0">
    <w:nsid w:val="5ECB66A8"/>
    <w:multiLevelType w:val="multilevel"/>
    <w:tmpl w:val="1EB20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31"/>
    <w:rsid w:val="001B567E"/>
    <w:rsid w:val="003A5992"/>
    <w:rsid w:val="00820B31"/>
    <w:rsid w:val="00F22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8884-EF7D-4A7E-ACB1-5830340A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rPr>
  </w:style>
  <w:style w:type="paragraph" w:styleId="Piedepgina">
    <w:name w:val="footer"/>
    <w:pPr>
      <w:tabs>
        <w:tab w:val="center" w:pos="4419"/>
        <w:tab w:val="right" w:pos="8838"/>
      </w:tabs>
    </w:pPr>
    <w:rPr>
      <w:rFonts w:ascii="Calibri" w:hAnsi="Calibri" w:cs="Arial Unicode MS"/>
      <w:color w:val="000000"/>
      <w:sz w:val="22"/>
      <w:szCs w:val="22"/>
      <w:u w:color="000000"/>
    </w:rPr>
  </w:style>
  <w:style w:type="paragraph" w:styleId="Sinespaciado">
    <w:name w:val="No Spacing"/>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BodyB">
    <w:name w:val="Body B"/>
    <w:rPr>
      <w:rFonts w:cs="Arial Unicode MS"/>
      <w:color w:val="000000"/>
      <w:u w:color="000000"/>
      <w:lang w:val="de-DE"/>
      <w14:textOutline w14:w="12700" w14:cap="flat" w14:cmpd="sng" w14:algn="ctr">
        <w14:noFill/>
        <w14:prstDash w14:val="solid"/>
        <w14:miter w14:lim="400000"/>
      </w14:textOutline>
    </w:rPr>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10">
    <w:name w:val="Imported Style 1.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9JnxqfIoYI/W5fs9hnrMlQYd7g==">AMUW2mWsvoMC48/Xfir4HzRY2/e2E6H80ScSbbxNxLSWMQQfe+YGy5pH4b9hUVolyQdgBV3pTJSJ1w7C7sx7nT3cPLZxJehsrzcX4ao3KdliO+9cyIEt/bj0oMCjCc0T4Enwo7IK3Z7daXRAuQCOAUDpv3s4dtAInGe58oDPCxEmETlJAVXaD/WLyKJarPNRQZdHw5sJGEfL5pCl4M1QFumJ61w+3swsebPDC5dYwyNlRaGAl4dKWOTWzh+X6B2L5JGUwZ59D+X3MJvdguoyQhwcFRoykG4avu9fvw8QtA6bUk4aBoA8SqIqLxK9qPqorj2JroVZW/Hvo8dEmk+n0MfC6B0uUqz+xSQXrs05VFrsPuJbxUlguhO9rM5abuEmsXG5P5deo599M9lsDWi764G9UwdaURmTuSFTfXx3B01mdJ6aqANrUPp9F74K40f/hwUp/qZ6kSkCWS8i2kp7aXzuP85EW3sZtusufg2fVkkO/Q1wjzj4r3hDjIGo7cvatevRgWDLRwbZYA4eCbpIFKLXcCKrtVVkWgSsnk5kqWx/6um+2NzlB2JK36xjZkmzTDgo4iXU5i+8Sq8ploUQ8VH4uDkMBd8ybDbKwYBq1rW2lke7RmCOM8HmecX1k6WIoYeEnrESVQpuB64rDTNyMW6PGYSZDzHy6zA59TTTM9xdHQHoznrLnINhNcu2CAf6N7JkCxxA0eHzk+e4/kjY3m8XRAo0ycPXSdO5z+nSnoGkosPK2T7/VAZ7fX5rnkwRxGVD90Z0B/8yFxrQPVjtP/Xp+ndRlbBq632B1v3ENImoj8mFkVckLLnYQ9uPguupHRNakIi1M9Grd5risSDxghiigPaSP6IG15yLoUc8XM/laaCC70aUsnDzd2Eh0tXt/kxF4wmYodpUh9I3L1BuJouCRjaSi5qB88eEnFDUnaXdmDlq+i2xMhYyWEFc3OgWqHKwhTLdl1lFhNGCOvKEobR/SvNno+IYLkgtJO8vUfBfqsnTa0eMEKtV/lGhQGcqzzEgiH0dIlDPLQ7wTBg44TW80p0RX3EvvNTGKkIvUN2nJG61L4h3WpwIS9yQUkQvuZYShuJhh7W1fg0WrmIliStulxIG9x5+TosYpN2pDEyjUka/oLATU/3s+WS8A7wN96JdMx53hKbcBIt8aQF+Ys1+Bf5Y7InhrkCcejYFLGxlBLEI2QZvGlZGb4wOBUH20iAV3lAjSw1JD8SrvyHYm6k8uM2VC8KpdgJ0lYduho/BDNyu5jRH8MWRlbWwSxbWaPORlJ+7dkx8qjSPLLRrBDiSMqnLecv+sHz4NOxnGuaa0NWpubuTX/gf73/dU7jqWWZ1FNV8cM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camilo acuna</cp:lastModifiedBy>
  <cp:revision>2</cp:revision>
  <dcterms:created xsi:type="dcterms:W3CDTF">2021-03-17T00:03:00Z</dcterms:created>
  <dcterms:modified xsi:type="dcterms:W3CDTF">2021-03-17T00:03:00Z</dcterms:modified>
</cp:coreProperties>
</file>