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bookmarkStart w:id="0" w:name="_GoBack"/>
      <w:bookmarkEnd w:id="0"/>
      <w:r>
        <w:rPr>
          <w:rFonts w:ascii="Century Gothic" w:eastAsia="Century Gothic" w:hAnsi="Century Gothic" w:cs="Century Gothic"/>
          <w:color w:val="000000"/>
          <w:sz w:val="22"/>
          <w:szCs w:val="22"/>
        </w:rPr>
        <w:t xml:space="preserve">Bogotá, </w:t>
      </w:r>
      <w:r>
        <w:rPr>
          <w:rFonts w:ascii="Century Gothic" w:eastAsia="Century Gothic" w:hAnsi="Century Gothic" w:cs="Century Gothic"/>
          <w:sz w:val="22"/>
          <w:szCs w:val="22"/>
        </w:rPr>
        <w:t>16</w:t>
      </w:r>
      <w:r>
        <w:rPr>
          <w:rFonts w:ascii="Century Gothic" w:eastAsia="Century Gothic" w:hAnsi="Century Gothic" w:cs="Century Gothic"/>
          <w:color w:val="000000"/>
          <w:sz w:val="22"/>
          <w:szCs w:val="22"/>
        </w:rPr>
        <w:t xml:space="preserve"> de marzo de 2021</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Doctor </w:t>
      </w: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JORGE HUMBERTO MANTILLA</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Secretario General </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Cámara de Representantes </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Bogotá D.C</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Asunto:</w:t>
      </w:r>
      <w:r>
        <w:rPr>
          <w:rFonts w:ascii="Century Gothic" w:eastAsia="Century Gothic" w:hAnsi="Century Gothic" w:cs="Century Gothic"/>
          <w:color w:val="000000"/>
          <w:sz w:val="22"/>
          <w:szCs w:val="22"/>
        </w:rPr>
        <w:t xml:space="preserve"> Radicación de Proyecto de Ley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Apreciado señor secretario.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pacing w:after="200"/>
        <w:jc w:val="both"/>
        <w:rPr>
          <w:rFonts w:ascii="Century Gothic" w:eastAsia="Century Gothic" w:hAnsi="Century Gothic" w:cs="Century Gothic"/>
          <w:b/>
          <w:color w:val="000000"/>
          <w:sz w:val="22"/>
          <w:szCs w:val="22"/>
        </w:rPr>
      </w:pPr>
      <w:r>
        <w:rPr>
          <w:rFonts w:ascii="Century Gothic" w:eastAsia="Century Gothic" w:hAnsi="Century Gothic" w:cs="Century Gothic"/>
          <w:color w:val="000000"/>
          <w:sz w:val="22"/>
          <w:szCs w:val="22"/>
        </w:rPr>
        <w:t>Con toda atención me permito presentar ante la Honorable Cámara de Representantes el proyecto de Ley “</w:t>
      </w:r>
      <w:r>
        <w:rPr>
          <w:rFonts w:ascii="Century Gothic" w:eastAsia="Century Gothic" w:hAnsi="Century Gothic" w:cs="Century Gothic"/>
          <w:b/>
          <w:i/>
          <w:color w:val="000000"/>
          <w:sz w:val="22"/>
          <w:szCs w:val="22"/>
        </w:rPr>
        <w:t>Por medio del cual se modifica el de artículo 15 la Ley 1861 de 2017 y se dictan otras disposiciones”.</w:t>
      </w:r>
    </w:p>
    <w:p w:rsidR="003F6138" w:rsidRDefault="003F6138">
      <w:pPr>
        <w:pBdr>
          <w:top w:val="nil"/>
          <w:left w:val="nil"/>
          <w:bottom w:val="nil"/>
          <w:right w:val="nil"/>
          <w:between w:val="nil"/>
        </w:pBdr>
        <w:spacing w:line="360" w:lineRule="auto"/>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Cordialmente, </w:t>
      </w:r>
    </w:p>
    <w:p w:rsidR="003F6138" w:rsidRDefault="003F6138">
      <w:pPr>
        <w:pBdr>
          <w:top w:val="nil"/>
          <w:left w:val="nil"/>
          <w:bottom w:val="nil"/>
          <w:right w:val="nil"/>
          <w:between w:val="nil"/>
        </w:pBdr>
        <w:jc w:val="both"/>
        <w:rPr>
          <w:rFonts w:ascii="Century Gothic" w:eastAsia="Century Gothic" w:hAnsi="Century Gothic" w:cs="Century Gothic"/>
          <w:noProof/>
          <w:sz w:val="22"/>
          <w:szCs w:val="22"/>
          <w:lang w:val="es-CO" w:eastAsia="es-CO"/>
        </w:rPr>
      </w:pPr>
    </w:p>
    <w:p w:rsidR="004B012F" w:rsidRDefault="004B012F">
      <w:pPr>
        <w:pBdr>
          <w:top w:val="nil"/>
          <w:left w:val="nil"/>
          <w:bottom w:val="nil"/>
          <w:right w:val="nil"/>
          <w:between w:val="nil"/>
        </w:pBdr>
        <w:jc w:val="both"/>
        <w:rPr>
          <w:rFonts w:ascii="Century Gothic" w:eastAsia="Century Gothic" w:hAnsi="Century Gothic" w:cs="Century Gothic"/>
          <w:noProof/>
          <w:sz w:val="22"/>
          <w:szCs w:val="22"/>
          <w:lang w:val="es-CO" w:eastAsia="es-CO"/>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CARLOS ARDILA ESPINOSA</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Representante a la Cámara</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Departamento del Putumayo</w:t>
      </w: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4B012F" w:rsidRDefault="004B012F">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PROYECTO DE LEY ________ DE 2021</w:t>
      </w:r>
    </w:p>
    <w:p w:rsidR="003F6138" w:rsidRDefault="0027100F">
      <w:pPr>
        <w:pBdr>
          <w:top w:val="nil"/>
          <w:left w:val="nil"/>
          <w:bottom w:val="nil"/>
          <w:right w:val="nil"/>
          <w:between w:val="nil"/>
        </w:pBdr>
        <w:spacing w:after="200"/>
        <w:jc w:val="center"/>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“Por medio del cual se modifica el de artículo 15 la Ley 1861 de 2017 y se dictan otras disposiciones”</w:t>
      </w:r>
    </w:p>
    <w:p w:rsidR="003F6138" w:rsidRDefault="003F6138">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p>
    <w:p w:rsidR="003F6138" w:rsidRDefault="0027100F">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El Congreso de Colombia </w:t>
      </w:r>
    </w:p>
    <w:p w:rsidR="003F6138" w:rsidRDefault="0027100F">
      <w:pPr>
        <w:pBdr>
          <w:top w:val="nil"/>
          <w:left w:val="nil"/>
          <w:bottom w:val="nil"/>
          <w:right w:val="nil"/>
          <w:between w:val="nil"/>
        </w:pBdr>
        <w:spacing w:after="200"/>
        <w:jc w:val="cente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DECRETA: </w:t>
      </w:r>
    </w:p>
    <w:p w:rsidR="003F6138" w:rsidRDefault="0027100F">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1º. </w:t>
      </w:r>
      <w:r>
        <w:rPr>
          <w:rFonts w:ascii="Century Gothic" w:eastAsia="Century Gothic" w:hAnsi="Century Gothic" w:cs="Century Gothic"/>
          <w:color w:val="000000"/>
          <w:sz w:val="22"/>
          <w:szCs w:val="22"/>
        </w:rPr>
        <w:t>La presente ley tiene por objeto que con el fin de salvaguardar la vida, los bienes y los recursos naturales de la sociedad, fortalecer la prevención y atención de emergencias, incendios, rescates e incidentes con materiales peligrosos, y mitigar el impacto social y medioambiental de estos eventos, los colombianos puedan prestar el servicio militar obligatorio en el Cuerpo de Bomberos Voluntarios y Oficiales.</w:t>
      </w:r>
    </w:p>
    <w:p w:rsidR="003F6138" w:rsidRDefault="0027100F">
      <w:pPr>
        <w:pBdr>
          <w:top w:val="nil"/>
          <w:left w:val="nil"/>
          <w:bottom w:val="nil"/>
          <w:right w:val="nil"/>
          <w:between w:val="nil"/>
        </w:pBdr>
        <w:spacing w:after="200"/>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Artículo 2°. </w:t>
      </w:r>
      <w:r>
        <w:rPr>
          <w:rFonts w:ascii="Century Gothic" w:eastAsia="Century Gothic" w:hAnsi="Century Gothic" w:cs="Century Gothic"/>
          <w:color w:val="000000"/>
          <w:sz w:val="22"/>
          <w:szCs w:val="22"/>
        </w:rPr>
        <w:t>Modifíquese el artículo 15º de la Ley 1861 de 2017, el cual quedará así:</w:t>
      </w:r>
    </w:p>
    <w:p w:rsidR="003F6138" w:rsidRDefault="0027100F">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bookmarkStart w:id="1" w:name="bookmark=id.gjdgxs" w:colFirst="0" w:colLast="0"/>
      <w:bookmarkEnd w:id="1"/>
      <w:r>
        <w:rPr>
          <w:rFonts w:ascii="Century Gothic" w:eastAsia="Century Gothic" w:hAnsi="Century Gothic" w:cs="Century Gothic"/>
          <w:b/>
          <w:color w:val="000000"/>
          <w:sz w:val="22"/>
          <w:szCs w:val="22"/>
        </w:rPr>
        <w:t>ARTÍCULO 15. PRESTACIÓN DEL SERVICIO MILITAR OBLIGATORIO.</w:t>
      </w:r>
      <w:r>
        <w:rPr>
          <w:rFonts w:ascii="Century Gothic" w:eastAsia="Century Gothic" w:hAnsi="Century Gothic" w:cs="Century Gothic"/>
          <w:color w:val="000000"/>
          <w:sz w:val="22"/>
          <w:szCs w:val="22"/>
        </w:rPr>
        <w:t> El servicio militar obligatorio se prestará como:</w:t>
      </w:r>
    </w:p>
    <w:p w:rsidR="003F6138" w:rsidRDefault="0027100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Soldado en el Ejército;</w:t>
      </w:r>
    </w:p>
    <w:p w:rsidR="003F6138" w:rsidRDefault="0027100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 Infante de Marina en la Armada Nacional;</w:t>
      </w:r>
    </w:p>
    <w:p w:rsidR="003F6138" w:rsidRDefault="0027100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 Soldado de Aviación en la Fuerza Aérea;</w:t>
      </w:r>
    </w:p>
    <w:p w:rsidR="003F6138" w:rsidRDefault="0027100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 Auxiliar de Policía en la Policía Nacional;</w:t>
      </w:r>
    </w:p>
    <w:p w:rsidR="003F6138" w:rsidRDefault="0027100F">
      <w:pPr>
        <w:pBdr>
          <w:top w:val="nil"/>
          <w:left w:val="nil"/>
          <w:bottom w:val="nil"/>
          <w:right w:val="nil"/>
          <w:between w:val="nil"/>
        </w:pBdr>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 Auxiliar del Cuerpo de Custodia en el Instituto Nacional Penitenciario y Carcelario.</w:t>
      </w:r>
    </w:p>
    <w:p w:rsidR="003F6138" w:rsidRDefault="0027100F">
      <w:pPr>
        <w:pBdr>
          <w:top w:val="nil"/>
          <w:left w:val="nil"/>
          <w:bottom w:val="nil"/>
          <w:right w:val="nil"/>
          <w:between w:val="nil"/>
        </w:pBdr>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f) Auxiliar del Cuerpo de Bomberos Voluntarios y Oficiales</w:t>
      </w:r>
    </w:p>
    <w:p w:rsidR="003F6138" w:rsidRDefault="003F6138">
      <w:pPr>
        <w:pBdr>
          <w:top w:val="nil"/>
          <w:left w:val="nil"/>
          <w:bottom w:val="nil"/>
          <w:right w:val="nil"/>
          <w:between w:val="nil"/>
        </w:pBdr>
        <w:rPr>
          <w:rFonts w:ascii="Century Gothic" w:eastAsia="Century Gothic" w:hAnsi="Century Gothic" w:cs="Century Gothic"/>
          <w:b/>
          <w:color w:val="000000"/>
          <w:sz w:val="22"/>
          <w:szCs w:val="22"/>
          <w:u w:val="single"/>
        </w:rPr>
      </w:pPr>
    </w:p>
    <w:p w:rsidR="003F6138" w:rsidRDefault="0027100F">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1o.</w:t>
      </w:r>
      <w:r>
        <w:rPr>
          <w:rFonts w:ascii="Century Gothic" w:eastAsia="Century Gothic" w:hAnsi="Century Gothic" w:cs="Century Gothic"/>
          <w:color w:val="000000"/>
          <w:sz w:val="22"/>
          <w:szCs w:val="22"/>
        </w:rPr>
        <w:t> Las personas que presten el servicio militar obligatorio como Auxiliar del Cuerpo de Custodia en el Instituto Nacional Penitenciario y Carcelario (Inpec), previo convenio entre los Ministerios de Defensa Nacional, de Justicia y del Derecho y el Inpec, e i</w:t>
      </w:r>
      <w:r>
        <w:rPr>
          <w:rFonts w:ascii="Century Gothic" w:eastAsia="Century Gothic" w:hAnsi="Century Gothic" w:cs="Century Gothic"/>
          <w:color w:val="000000"/>
          <w:sz w:val="22"/>
          <w:szCs w:val="22"/>
          <w:u w:val="single"/>
        </w:rPr>
        <w:t>gualmente, las personas que presten servicio en el Cuerpo de Bomberos Voluntarios y Oficiales, previo convenio entre los Ministerios de Defensa Nacional, Ministerio del Interior y la Dirección Nacional Bomberos de Colombia</w:t>
      </w:r>
      <w:r>
        <w:rPr>
          <w:rFonts w:ascii="Century Gothic" w:eastAsia="Century Gothic" w:hAnsi="Century Gothic" w:cs="Century Gothic"/>
          <w:color w:val="000000"/>
          <w:sz w:val="22"/>
          <w:szCs w:val="22"/>
        </w:rPr>
        <w:t>, se regirán por las disposiciones de esta ley y las demás aplicables al servicio militar en Colombia.</w:t>
      </w:r>
    </w:p>
    <w:p w:rsidR="003F6138" w:rsidRDefault="0027100F">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2o.</w:t>
      </w:r>
      <w:r>
        <w:rPr>
          <w:rFonts w:ascii="Century Gothic" w:eastAsia="Century Gothic" w:hAnsi="Century Gothic" w:cs="Century Gothic"/>
          <w:color w:val="000000"/>
          <w:sz w:val="22"/>
          <w:szCs w:val="22"/>
        </w:rPr>
        <w:t xml:space="preserve"> Los colombianos que al momento de estar aptos para prestar su servicio militar tengan formación o experiencia previa en alguna institución </w:t>
      </w:r>
      <w:r>
        <w:rPr>
          <w:rFonts w:ascii="Century Gothic" w:eastAsia="Century Gothic" w:hAnsi="Century Gothic" w:cs="Century Gothic"/>
          <w:color w:val="000000"/>
          <w:sz w:val="22"/>
          <w:szCs w:val="22"/>
        </w:rPr>
        <w:lastRenderedPageBreak/>
        <w:t xml:space="preserve">bomberil del país podrán prestar su servicio militar obligatorio, de forma preferente, en el Cuerpo de Bomberos Voluntarios y Oficiales, en las áreas geográficas que determine la autoridad competente. Aquellos colombianos que no tengan formación o experiencia previa, y deseen prestar el servicio militar en el  Cuerpo de Bomberos Voluntarios y Oficiales, podrán hacerlo siempre y cuando existan los cupos y la capacidad de la Dirección Nacional de Bomberos y demás entidades competentes para brindar la formación e instrucción necesarias. </w:t>
      </w:r>
    </w:p>
    <w:p w:rsidR="003F6138" w:rsidRDefault="003F6138">
      <w:pPr>
        <w:pBdr>
          <w:top w:val="nil"/>
          <w:left w:val="nil"/>
          <w:bottom w:val="nil"/>
          <w:right w:val="nil"/>
          <w:between w:val="nil"/>
        </w:pBdr>
        <w:spacing w:before="100" w:after="100" w:line="276" w:lineRule="auto"/>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u w:val="single"/>
        </w:rPr>
      </w:pPr>
      <w:r>
        <w:rPr>
          <w:rFonts w:ascii="Century Gothic" w:eastAsia="Century Gothic" w:hAnsi="Century Gothic" w:cs="Century Gothic"/>
          <w:b/>
          <w:color w:val="000000"/>
          <w:sz w:val="22"/>
          <w:szCs w:val="22"/>
          <w:u w:val="single"/>
        </w:rPr>
        <w:t xml:space="preserve">PARÁGRAFO 3º. </w:t>
      </w:r>
      <w:r>
        <w:rPr>
          <w:rFonts w:ascii="Century Gothic" w:eastAsia="Century Gothic" w:hAnsi="Century Gothic" w:cs="Century Gothic"/>
          <w:color w:val="000000"/>
          <w:sz w:val="22"/>
          <w:szCs w:val="22"/>
          <w:u w:val="single"/>
        </w:rPr>
        <w:t>Una vez cumplido su servicio obligatorio, el Ministerio de Defensa expedirá las libretas militares correspondientes.</w:t>
      </w:r>
    </w:p>
    <w:p w:rsidR="003F6138" w:rsidRDefault="0027100F">
      <w:pPr>
        <w:pBdr>
          <w:top w:val="nil"/>
          <w:left w:val="nil"/>
          <w:bottom w:val="nil"/>
          <w:right w:val="nil"/>
          <w:between w:val="nil"/>
        </w:pBdr>
        <w:spacing w:before="20" w:after="2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u w:val="single"/>
        </w:rPr>
        <w:t>PARÁGRAFO 4º.</w:t>
      </w:r>
      <w:r>
        <w:rPr>
          <w:rFonts w:ascii="Century Gothic" w:eastAsia="Century Gothic" w:hAnsi="Century Gothic" w:cs="Century Gothic"/>
          <w:b/>
          <w:color w:val="000000"/>
          <w:sz w:val="22"/>
          <w:szCs w:val="22"/>
        </w:rPr>
        <w:t xml:space="preserve"> </w:t>
      </w:r>
      <w:r>
        <w:rPr>
          <w:rFonts w:ascii="Century Gothic" w:eastAsia="Century Gothic" w:hAnsi="Century Gothic" w:cs="Century Gothic"/>
          <w:color w:val="000000"/>
          <w:sz w:val="22"/>
          <w:szCs w:val="22"/>
          <w:u w:val="single"/>
        </w:rPr>
        <w:t>El Gobierno Nacional dentro de los seis (6) meses siguientes a la expedición de la presente Ley a través del Ministerio de Defensa y en conjunto con el Ministerio del Interior y la Dirección Nacional Bomberos de Colombia, reglamentará los requisitos y aptitudes requeridos, así como los medios de financiación para la incorporación, instrucción, dotación, equipo, bonificación, alimentación y los requisitos necesarios para su permanencia, pensum académico y la capacitación acorde a la estructura y funcionamiento de las escuelas, institutos o academias de capacitación, debidamente acreditadas por la autoridad competente con que cuente los Cuerpos de Bomberos Voluntarios y Oficiales. Para ello podrá disponer de los recursos contemplados en el artículo 34 de la Ley 1575 de 2012.</w:t>
      </w:r>
    </w:p>
    <w:p w:rsidR="003F6138" w:rsidRDefault="003F6138">
      <w:pPr>
        <w:pBdr>
          <w:top w:val="nil"/>
          <w:left w:val="nil"/>
          <w:bottom w:val="nil"/>
          <w:right w:val="nil"/>
          <w:between w:val="nil"/>
        </w:pBdr>
        <w:spacing w:after="200"/>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 xml:space="preserve">Artículo 3º. </w:t>
      </w:r>
      <w:r>
        <w:rPr>
          <w:rFonts w:ascii="Century Gothic" w:eastAsia="Century Gothic" w:hAnsi="Century Gothic" w:cs="Century Gothic"/>
          <w:color w:val="000000"/>
          <w:sz w:val="22"/>
          <w:szCs w:val="22"/>
        </w:rPr>
        <w:t xml:space="preserve">La presente Ley rige a partir de su promulgación. </w:t>
      </w:r>
    </w:p>
    <w:p w:rsidR="003F6138" w:rsidRDefault="0027100F">
      <w:pPr>
        <w:pBdr>
          <w:top w:val="nil"/>
          <w:left w:val="nil"/>
          <w:bottom w:val="nil"/>
          <w:right w:val="nil"/>
          <w:between w:val="nil"/>
        </w:pBdr>
        <w:spacing w:after="20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los Honorables Representantes, </w:t>
      </w:r>
    </w:p>
    <w:p w:rsidR="003F6138" w:rsidRDefault="003F6138">
      <w:pPr>
        <w:spacing w:after="200"/>
        <w:rPr>
          <w:rFonts w:ascii="Century Gothic" w:eastAsia="Century Gothic" w:hAnsi="Century Gothic" w:cs="Century Gothic"/>
          <w:sz w:val="22"/>
          <w:szCs w:val="22"/>
        </w:rPr>
      </w:pPr>
    </w:p>
    <w:p w:rsidR="003F6138" w:rsidRDefault="003F6138">
      <w:pPr>
        <w:jc w:val="both"/>
        <w:rPr>
          <w:rFonts w:ascii="Century Gothic" w:eastAsia="Century Gothic" w:hAnsi="Century Gothic" w:cs="Century Gothic"/>
          <w:sz w:val="22"/>
          <w:szCs w:val="22"/>
        </w:rPr>
      </w:pPr>
    </w:p>
    <w:tbl>
      <w:tblPr>
        <w:tblStyle w:val="a"/>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F6138">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F6138" w:rsidRDefault="003F6138">
            <w:pPr>
              <w:jc w:val="center"/>
              <w:rPr>
                <w:rFonts w:ascii="Century Gothic" w:eastAsia="Century Gothic" w:hAnsi="Century Gothic" w:cs="Century Gothic"/>
                <w:b/>
                <w:sz w:val="22"/>
                <w:szCs w:val="22"/>
              </w:rPr>
            </w:pPr>
          </w:p>
          <w:p w:rsidR="003F6138" w:rsidRDefault="003F6138">
            <w:pPr>
              <w:jc w:val="center"/>
              <w:rPr>
                <w:rFonts w:ascii="Century Gothic" w:eastAsia="Century Gothic" w:hAnsi="Century Gothic" w:cs="Century Gothic"/>
                <w:b/>
                <w:sz w:val="22"/>
                <w:szCs w:val="22"/>
              </w:rPr>
            </w:pPr>
          </w:p>
          <w:p w:rsidR="003F6138" w:rsidRDefault="0027100F" w:rsidP="004B012F">
            <w:pPr>
              <w:rPr>
                <w:rFonts w:ascii="Century Gothic" w:eastAsia="Century Gothic" w:hAnsi="Century Gothic" w:cs="Century Gothic"/>
                <w:b/>
                <w:sz w:val="22"/>
                <w:szCs w:val="22"/>
              </w:rPr>
            </w:pPr>
            <w:r>
              <w:rPr>
                <w:rFonts w:ascii="Century Gothic" w:eastAsia="Century Gothic" w:hAnsi="Century Gothic" w:cs="Century Gothic"/>
                <w:b/>
                <w:sz w:val="22"/>
                <w:szCs w:val="22"/>
              </w:rPr>
              <w:t>CARLOS ADOLFO ARDILA ESPINOSA</w:t>
            </w:r>
          </w:p>
          <w:p w:rsidR="003F6138" w:rsidRDefault="0027100F" w:rsidP="004B012F">
            <w:pP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3F6138" w:rsidRDefault="0027100F" w:rsidP="004B012F">
            <w:pPr>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Putumayo</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F6138" w:rsidRDefault="003F6138" w:rsidP="004B012F">
            <w:pPr>
              <w:jc w:val="center"/>
              <w:rPr>
                <w:rFonts w:ascii="Century Gothic" w:eastAsia="Century Gothic" w:hAnsi="Century Gothic" w:cs="Century Gothic"/>
                <w:sz w:val="22"/>
                <w:szCs w:val="22"/>
              </w:rPr>
            </w:pPr>
          </w:p>
        </w:tc>
      </w:tr>
    </w:tbl>
    <w:p w:rsidR="003F6138" w:rsidRDefault="003F6138">
      <w:pPr>
        <w:rPr>
          <w:rFonts w:ascii="Century Gothic" w:eastAsia="Century Gothic" w:hAnsi="Century Gothic" w:cs="Century Gothic"/>
          <w:b/>
        </w:rPr>
      </w:pPr>
    </w:p>
    <w:p w:rsidR="003F6138" w:rsidRDefault="003F6138">
      <w:pPr>
        <w:pBdr>
          <w:top w:val="nil"/>
          <w:left w:val="nil"/>
          <w:bottom w:val="nil"/>
          <w:right w:val="nil"/>
          <w:between w:val="nil"/>
        </w:pBdr>
        <w:rPr>
          <w:rFonts w:ascii="Century Gothic" w:eastAsia="Century Gothic" w:hAnsi="Century Gothic" w:cs="Century Gothic"/>
          <w:b/>
          <w:sz w:val="22"/>
          <w:szCs w:val="22"/>
          <w:u w:val="single"/>
        </w:rPr>
      </w:pPr>
    </w:p>
    <w:p w:rsidR="003F6138" w:rsidRDefault="003F6138">
      <w:pPr>
        <w:pBdr>
          <w:top w:val="nil"/>
          <w:left w:val="nil"/>
          <w:bottom w:val="nil"/>
          <w:right w:val="nil"/>
          <w:between w:val="nil"/>
        </w:pBdr>
        <w:jc w:val="center"/>
        <w:rPr>
          <w:rFonts w:ascii="Century Gothic" w:eastAsia="Century Gothic" w:hAnsi="Century Gothic" w:cs="Century Gothic"/>
          <w:b/>
          <w:sz w:val="22"/>
          <w:szCs w:val="22"/>
          <w:u w:val="single"/>
        </w:rPr>
      </w:pPr>
    </w:p>
    <w:p w:rsidR="003F6138" w:rsidRDefault="0027100F">
      <w:pPr>
        <w:pBdr>
          <w:top w:val="nil"/>
          <w:left w:val="nil"/>
          <w:bottom w:val="nil"/>
          <w:right w:val="nil"/>
          <w:between w:val="nil"/>
        </w:pBdr>
        <w:jc w:val="center"/>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lastRenderedPageBreak/>
        <w:t>EXPOSICIÓN DE MOTIVOS</w:t>
      </w:r>
    </w:p>
    <w:p w:rsidR="003F6138" w:rsidRDefault="003F6138">
      <w:pPr>
        <w:pBdr>
          <w:top w:val="nil"/>
          <w:left w:val="nil"/>
          <w:bottom w:val="nil"/>
          <w:right w:val="nil"/>
          <w:between w:val="nil"/>
        </w:pBdr>
        <w:spacing w:after="200"/>
        <w:jc w:val="center"/>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pacing w:after="200"/>
        <w:jc w:val="center"/>
        <w:rPr>
          <w:rFonts w:ascii="Century Gothic" w:eastAsia="Century Gothic" w:hAnsi="Century Gothic" w:cs="Century Gothic"/>
          <w:b/>
          <w:i/>
          <w:color w:val="000000"/>
          <w:sz w:val="22"/>
          <w:szCs w:val="22"/>
        </w:rPr>
      </w:pPr>
      <w:r>
        <w:rPr>
          <w:rFonts w:ascii="Century Gothic" w:eastAsia="Century Gothic" w:hAnsi="Century Gothic" w:cs="Century Gothic"/>
          <w:b/>
          <w:i/>
          <w:color w:val="000000"/>
          <w:sz w:val="22"/>
          <w:szCs w:val="22"/>
        </w:rPr>
        <w:t>“Por medio del cual se modifica el de artículo 15 la Ley 1861 de 2017 y se dictan otras disposiciones”</w:t>
      </w:r>
    </w:p>
    <w:p w:rsidR="003F6138" w:rsidRDefault="003F6138">
      <w:pPr>
        <w:pBdr>
          <w:top w:val="nil"/>
          <w:left w:val="nil"/>
          <w:bottom w:val="nil"/>
          <w:right w:val="nil"/>
          <w:between w:val="nil"/>
        </w:pBdr>
        <w:spacing w:after="200"/>
        <w:rPr>
          <w:rFonts w:ascii="Century Gothic" w:eastAsia="Century Gothic" w:hAnsi="Century Gothic" w:cs="Century Gothic"/>
          <w:color w:val="000000"/>
          <w:sz w:val="22"/>
          <w:szCs w:val="22"/>
        </w:rPr>
      </w:pPr>
    </w:p>
    <w:p w:rsidR="003F6138" w:rsidRDefault="0027100F">
      <w:pPr>
        <w:numPr>
          <w:ilvl w:val="0"/>
          <w:numId w:val="3"/>
        </w:numPr>
        <w:pBdr>
          <w:top w:val="nil"/>
          <w:left w:val="nil"/>
          <w:bottom w:val="nil"/>
          <w:right w:val="nil"/>
          <w:between w:val="nil"/>
        </w:pBdr>
        <w:spacing w:after="200"/>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ANTECEDENTES</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1819 el libertador Simón Bolívar, mediante la Ley Marcial del 28 de Julio, convocó a las armas a todos los varones entre los 15 y los 40 años, para que se presentaran en sus respectivos pueblos con el fin de consolidar la lucha emancipadora que culminó con la independencia de cinco naciones latinoamericanas.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El 28 de agosto de 1821 el Congreso de la República decretó la orden de conscripción de los ciudadanos para el servicio militar desde los 16 hasta los 50 años.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1923 teniendo en cuenta los artículos 165,166 y 167 de la Constitución Nacional, el Congreso decretó la obligación del servicio militar para todos los ciudadanos entre 19 y 45 años, edad que se modificó después.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Para el año 1945 se promulga la Ley 1 del Servicio de Reclutamiento, reglamentada mediante Decreto N 2200 de 1946.</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La Ley 48 de 1993, rige el Servicio de Reclutamiento del Ejército Nacional de Colombia y se reglamenta mediante el decreto 2048 del mismo año.</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Los Bomberos en Colombia se necesitan para atender de manera especializada los incidentes relacionados con incendios, rescates y materiales peligrosos, con el propósito fundamental de proteger la vida, los bienes y los recursos naturales de los habitantes del territorio nacional.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Así las cosas, y de acuerdo con lo establecido por el artículo 17 de la ley 1575 de 2012, Ley General de Bomberos de Colombia, las instituciones organizadas para la prevención, atención y control de incendios, los preparativos y atención de rescates en todas sus modalidades inherentes a su actividad y la atención de incidentes con materiales peligrosos, se denominan CUERPOS DE BOMBEROS.</w:t>
      </w:r>
    </w:p>
    <w:p w:rsidR="003F6138" w:rsidRDefault="003F6138">
      <w:pPr>
        <w:pBdr>
          <w:top w:val="nil"/>
          <w:left w:val="nil"/>
          <w:bottom w:val="nil"/>
          <w:right w:val="nil"/>
          <w:between w:val="nil"/>
        </w:pBdr>
        <w:shd w:val="clear" w:color="auto" w:fill="FFFFFF"/>
        <w:spacing w:after="150"/>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hd w:val="clear" w:color="auto" w:fill="FFFFFF"/>
        <w:spacing w:after="15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Los Cuerpos de Bomberos, prestan un servicio público esencial a cargo del estado, la mayoría de ellos subsisten con muy pocos recursos económicos que provienen de sobretasas constituidas por las Alcaldías de cada municipalidad. Sus integrantes una vez capacitados deben estar en disponibilidad las 24 horas del día, muy pocos reciben salario. La mayoría de los bomberos voluntarios en Colombia sólo tienen su fuerza de voluntad para trabajar, debido a la precariedad de los recursos económicos.</w:t>
      </w:r>
    </w:p>
    <w:p w:rsidR="003F6138" w:rsidRDefault="0027100F">
      <w:pPr>
        <w:pBdr>
          <w:top w:val="nil"/>
          <w:left w:val="nil"/>
          <w:bottom w:val="nil"/>
          <w:right w:val="nil"/>
          <w:between w:val="nil"/>
        </w:pBdr>
        <w:shd w:val="clear" w:color="auto" w:fill="FFFFFF"/>
        <w:spacing w:after="150"/>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Conforme a los patrones internacionales en todos los municipios debe haber un bombero por cada mil habitantes. Situación que no se da en Colombia.</w:t>
      </w: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En el nivel municipal:</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acuerdo con el artículo 1 de la Ley 1575 de 2012, los municipios o distritos tendrán a su cargo la gestión integral del riesgo contra incendio, los preparativos y atención de rescates en todas sus modalidades y la atención de incidentes con materiales peligrosos.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Los entes territoriales deben garantizar la inclusión de políticas, estrategias, programas, proyectos y la cofinanciación de la gestión integral del riesgo contra incendios, rescates y materiales peligrosos en los instrumentos de planificación territorial e inversión pública. Según el artículo 2 de la mencionada ley 1575 de 2012, es deber de los distritos y de los municipios, la prestación de este servicio público esencial a través de los cuerpos de bomberos oficiales o mediante la celebración de contratos y/o convenios con los cuerpos de bomberos voluntarios.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Los distritos y municipios deberán aportar recursos para la gestión integral del riesgo contra incendio, los preparativos y atención de rescates en todas sus modalidades y la atención de incidentes con materiales peligrosos, para ello, los concejos municipales y distritales, bajo la iniciativa del alcalde, podrán establecer sobretasas o recargos a los impuestos de industria y comercio, impuesto sobre vehículo automotor, demarcación urbana, predial, de acuerdo a la ley.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Es preciso señalar que estos recursos, por disposición del literal a) del artículo 37 de la Ley 1575 de 2012 solamente podrán emplearse para financiar la actividad bomberil.</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u w:val="single"/>
        </w:rPr>
      </w:pPr>
      <w:r>
        <w:rPr>
          <w:rFonts w:ascii="Century Gothic" w:eastAsia="Century Gothic" w:hAnsi="Century Gothic" w:cs="Century Gothic"/>
          <w:b/>
          <w:color w:val="000000"/>
          <w:sz w:val="22"/>
          <w:szCs w:val="22"/>
          <w:u w:val="single"/>
        </w:rPr>
        <w:t xml:space="preserve">En el nivel departamental: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Los departamentos ejercen funciones de coordinación y complementariedad de la acción de los distritos y municipios, así mismo la de intermediación ante la Nación </w:t>
      </w:r>
      <w:r>
        <w:rPr>
          <w:rFonts w:ascii="Century Gothic" w:eastAsia="Century Gothic" w:hAnsi="Century Gothic" w:cs="Century Gothic"/>
          <w:color w:val="000000"/>
          <w:sz w:val="22"/>
          <w:szCs w:val="22"/>
        </w:rPr>
        <w:lastRenderedPageBreak/>
        <w:t>para la prestación del servicio y contribución a la financiación tendiente al fortalecimiento de los cuerpos de bomberos. Los departamentos podrán crear, mediante ordenanza, “El Fondo Departamental de Bomberos” como una cuenta especial del departamento, con independencia patrimonial, administrativa, contable y estadística con fines de interés público y asistencia social, destinada a la financiación de la actividad desarrollada por la delegación departamental de bomberos y al fortalecimiento de las instituciones bomberiles de la respectiva jurisdicción. Para tal efecto podrá establecer estampillas, tasas o sobretasas a contratos de obras públicas, interventorías o demás que sean de competencia del orden departamental y/o donaciones y contribuciones públicas o privadas, nacionales y extranjeras.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Colombia existen 3 clases de cuerpos de bomberos: bomberos oficiales, voluntarios y aeronáuticos.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Los cuerpos de bomberos oficiales: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Son aquellos que crean los concejos distritales o municipales en el cumplimiento del servicio público para la gestión integral del riesgo contra incendio, los preparativos y atención de rescates en todas sus modalidades y la atención de incidentes con materiales peligrosos en su respectiva jurisdicción.</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Los cuerpos de bomberos aeronáuticos: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Es un grupo especializado, de carácter oficial, adscrito y vigilado por la Autoridad Aeronáutica Colombiana y coordinado por la Dirección Nacional de Bomberos para la gestión integral del riesgo contra incendio, los preparativos y atención de rescates en todas sus modalidades, así como la atención de incidentes con materiales peligrosos y demás calamidades conexas propias del sector aeronáutico. Lo anterior sin perjuicio del apoyo operativo que puedan prestar a los cuerpos de bomberos voluntarios y oficiales.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Los cuerpos de bomberos voluntarios: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Son aquellos organizados como asociaciones sin ánimo de lucro, de utilidad común y con personería jurídica expedida por las secretarías de gobierno departamentales, organizadas para la prestación del servicio público para la gestión integral del riesgo contra incendio, los preparativos y atención de rescates en todas sus modalidades y la atención de incidentes con materiales peligrosos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numPr>
          <w:ilvl w:val="0"/>
          <w:numId w:val="3"/>
        </w:num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FUNDAMENTOS JURÍDICOS</w:t>
      </w:r>
    </w:p>
    <w:p w:rsidR="003F6138" w:rsidRDefault="003F6138">
      <w:pPr>
        <w:pBdr>
          <w:top w:val="nil"/>
          <w:left w:val="nil"/>
          <w:bottom w:val="nil"/>
          <w:right w:val="nil"/>
          <w:between w:val="nil"/>
        </w:pBdr>
        <w:jc w:val="both"/>
        <w:rPr>
          <w:rFonts w:ascii="Century Gothic" w:eastAsia="Century Gothic" w:hAnsi="Century Gothic" w:cs="Century Gothic"/>
          <w:b/>
          <w:color w:val="000000"/>
          <w:sz w:val="22"/>
          <w:szCs w:val="22"/>
        </w:rPr>
      </w:pP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b/>
          <w:color w:val="000000"/>
          <w:sz w:val="22"/>
          <w:szCs w:val="22"/>
          <w:highlight w:val="white"/>
        </w:rPr>
      </w:pPr>
      <w:r>
        <w:rPr>
          <w:rFonts w:ascii="Century Gothic" w:eastAsia="Century Gothic" w:hAnsi="Century Gothic" w:cs="Century Gothic"/>
          <w:b/>
          <w:color w:val="000000"/>
          <w:sz w:val="22"/>
          <w:szCs w:val="22"/>
          <w:highlight w:val="white"/>
        </w:rPr>
        <w:t>CONSTITUCIÓN POLÍTICA</w:t>
      </w:r>
    </w:p>
    <w:p w:rsidR="003F6138" w:rsidRDefault="0027100F">
      <w:pPr>
        <w:pBdr>
          <w:top w:val="nil"/>
          <w:left w:val="nil"/>
          <w:bottom w:val="nil"/>
          <w:right w:val="nil"/>
          <w:between w:val="nil"/>
        </w:pBdr>
        <w:shd w:val="clear" w:color="auto" w:fill="FFFFFF"/>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w:t>
      </w:r>
      <w:r>
        <w:rPr>
          <w:rFonts w:ascii="Century Gothic" w:eastAsia="Century Gothic" w:hAnsi="Century Gothic" w:cs="Century Gothic"/>
          <w:b/>
          <w:color w:val="000000"/>
          <w:sz w:val="22"/>
          <w:szCs w:val="22"/>
        </w:rPr>
        <w:t>ARTICULO </w:t>
      </w:r>
      <w:bookmarkStart w:id="2" w:name="bookmark=id.30j0zll" w:colFirst="0" w:colLast="0"/>
      <w:bookmarkEnd w:id="2"/>
      <w:r>
        <w:rPr>
          <w:rFonts w:ascii="Century Gothic" w:eastAsia="Century Gothic" w:hAnsi="Century Gothic" w:cs="Century Gothic"/>
          <w:b/>
          <w:color w:val="000000"/>
          <w:sz w:val="22"/>
          <w:szCs w:val="22"/>
        </w:rPr>
        <w:t> 2. </w:t>
      </w:r>
      <w:r>
        <w:rPr>
          <w:rFonts w:ascii="Century Gothic" w:eastAsia="Century Gothic" w:hAnsi="Century Gothic" w:cs="Century Gothic"/>
          <w:color w:val="000000"/>
          <w:sz w:val="22"/>
          <w:szCs w:val="22"/>
        </w:rPr>
        <w:t xml:space="preserve">Son fines esenciales del Estado: </w:t>
      </w:r>
      <w:r>
        <w:rPr>
          <w:rFonts w:ascii="Century Gothic" w:eastAsia="Century Gothic" w:hAnsi="Century Gothic" w:cs="Century Gothic"/>
          <w:b/>
          <w:color w:val="000000"/>
          <w:sz w:val="22"/>
          <w:szCs w:val="22"/>
          <w:u w:val="single"/>
        </w:rPr>
        <w:t>servir a la comunidad, promover la prosperidad general y garantizar la efectividad de los principios, derechos y deberes consagrados en la Constitución</w:t>
      </w:r>
      <w:r>
        <w:rPr>
          <w:rFonts w:ascii="Century Gothic" w:eastAsia="Century Gothic" w:hAnsi="Century Gothic" w:cs="Century Gothic"/>
          <w:color w:val="000000"/>
          <w:sz w:val="22"/>
          <w:szCs w:val="22"/>
        </w:rPr>
        <w:t>;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3F6138" w:rsidRDefault="003F6138">
      <w:pPr>
        <w:pBdr>
          <w:top w:val="nil"/>
          <w:left w:val="nil"/>
          <w:bottom w:val="nil"/>
          <w:right w:val="nil"/>
          <w:between w:val="nil"/>
        </w:pBdr>
        <w:shd w:val="clear" w:color="auto" w:fill="FFFFFF"/>
        <w:ind w:left="708"/>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shd w:val="clear" w:color="auto" w:fill="FFFFFF"/>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u w:val="single"/>
        </w:rPr>
        <w:t>Las autoridades de la República están instituidas para proteger a todas las personas residentes en Colombia, en su vida,</w:t>
      </w:r>
      <w:r>
        <w:rPr>
          <w:rFonts w:ascii="Century Gothic" w:eastAsia="Century Gothic" w:hAnsi="Century Gothic" w:cs="Century Gothic"/>
          <w:color w:val="000000"/>
          <w:sz w:val="22"/>
          <w:szCs w:val="22"/>
        </w:rPr>
        <w:t xml:space="preserve"> honra, bienes, creencias, y demás derechos y libertades, y para asegurar el cumplimiento de los deberes sociales del Estado y de los particulares.”</w:t>
      </w:r>
      <w:r>
        <w:rPr>
          <w:rFonts w:ascii="Century Gothic" w:eastAsia="Century Gothic" w:hAnsi="Century Gothic" w:cs="Century Gothic"/>
          <w:i/>
          <w:color w:val="000000"/>
          <w:sz w:val="22"/>
          <w:szCs w:val="22"/>
        </w:rPr>
        <w:t xml:space="preserve"> </w:t>
      </w:r>
      <w:r>
        <w:rPr>
          <w:rFonts w:ascii="Century Gothic" w:eastAsia="Century Gothic" w:hAnsi="Century Gothic" w:cs="Century Gothic"/>
          <w:color w:val="000000"/>
          <w:sz w:val="22"/>
          <w:szCs w:val="22"/>
        </w:rPr>
        <w:t>(Resaltado fuera de texto).</w:t>
      </w:r>
    </w:p>
    <w:p w:rsidR="003F6138" w:rsidRDefault="003F6138">
      <w:pPr>
        <w:pBdr>
          <w:top w:val="nil"/>
          <w:left w:val="nil"/>
          <w:bottom w:val="nil"/>
          <w:right w:val="nil"/>
          <w:between w:val="nil"/>
        </w:pBdr>
        <w:jc w:val="both"/>
        <w:rPr>
          <w:rFonts w:ascii="Century Gothic" w:eastAsia="Century Gothic" w:hAnsi="Century Gothic" w:cs="Century Gothic"/>
          <w:b/>
          <w:color w:val="000000"/>
          <w:sz w:val="22"/>
          <w:szCs w:val="22"/>
        </w:rPr>
      </w:pPr>
    </w:p>
    <w:p w:rsidR="003F6138" w:rsidRDefault="0027100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Ley 48 de 1993 “Por la cual se reglamenta el servicio de Reclutamiento y Movilización” en su artículo 13 reglamenta las modalidades de prestación del servicio militar en Colombia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&lt;&lt;Artículo 13&gt;&gt; Lay 48 de 1993 “El Gobierno podrá establecer diferentes modalidades para atender la obligación de la prestación del servicio militar obligatorio. Continuarán rigiendo las modalidades actuales sobre la prestación del servicio militar:</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a. Como soldado regular, de 18 a 24 meses.</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b. Como soldado bachiller, durante 12 meses.</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 Como auxiliar de policía bachiller, durante 12 meses.</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d. Como soldado campesino, de 12 hasta 18 meses.</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1o.</w:t>
      </w:r>
      <w:r>
        <w:rPr>
          <w:rFonts w:ascii="Century Gothic" w:eastAsia="Century Gothic" w:hAnsi="Century Gothic" w:cs="Century Gothic"/>
          <w:color w:val="000000"/>
          <w:sz w:val="22"/>
          <w:szCs w:val="22"/>
        </w:rPr>
        <w:t> Los soldados, en especial los bachilleres, además de su formación militar, y demás obligaciones inherentes a su calidad de soldado, deberán ser instruidos y dedicados a la realización de actividades de bienestar social a la comunidad y en especial a tareas para la preservación del medio ambiente y conservación ecológica.</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2o.</w:t>
      </w:r>
      <w:r>
        <w:rPr>
          <w:rFonts w:ascii="Century Gothic" w:eastAsia="Century Gothic" w:hAnsi="Century Gothic" w:cs="Century Gothic"/>
          <w:color w:val="000000"/>
          <w:sz w:val="22"/>
          <w:szCs w:val="22"/>
        </w:rPr>
        <w:t> Los soldados campesinos prestarán su servicio militar obligatorio en la zona geográfica en donde residen. El Gobierno Nacional organizará tal servicio tomando en cuenta su preparación académica y oficio”.</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En su artículo 10 se manifiesta quienes están en la obligación de prestar el servicio militar obligatorio: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“Todo varón colombiano está obligado a definir su situación militar a partir de la fecha en que cumpla su mayoría de edad, a excepción de los estudiantes de bachillerato, quienes definirán cuando obtengan su título de bachiller.</w:t>
      </w:r>
    </w:p>
    <w:p w:rsidR="003F6138" w:rsidRDefault="0027100F">
      <w:p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La obligación militar de los colombianos termina el día en que cumplan los cincuenta (50) años de edad”.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En su artículo 30 se reglamenta la tarjeta del reservista: </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“Tarjeta de reservista es el documento con el que se comprueba haber definido la situación militar. Este documento será expedido con carácter permanente por las Direcciones de Reclutamiento y Control Reservas de las respectivas Fuerzas para las tarjetas de reservista de primera clase.</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La Dirección de Reclutamiento y Control de Reservas del Ejército expedirá todas las tarjetas de reservista de segunda clase, así como las tarjetas de reservista de primera clase para los miembros de la Policía Nacional.</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1o.</w:t>
      </w:r>
      <w:r>
        <w:rPr>
          <w:rFonts w:ascii="Century Gothic" w:eastAsia="Century Gothic" w:hAnsi="Century Gothic" w:cs="Century Gothic"/>
          <w:color w:val="000000"/>
          <w:sz w:val="22"/>
          <w:szCs w:val="22"/>
        </w:rPr>
        <w:t> A las tarjetas tanto de primera como de segunda clase, se les asignará el número correspondiente al documento de identidad vigente.</w:t>
      </w:r>
    </w:p>
    <w:p w:rsidR="003F6138" w:rsidRDefault="003F6138">
      <w:pPr>
        <w:pBdr>
          <w:top w:val="nil"/>
          <w:left w:val="nil"/>
          <w:bottom w:val="nil"/>
          <w:right w:val="nil"/>
          <w:between w:val="nil"/>
        </w:pBdr>
        <w:jc w:val="both"/>
        <w:rPr>
          <w:rFonts w:ascii="Century Gothic" w:eastAsia="Century Gothic" w:hAnsi="Century Gothic" w:cs="Century Gothic"/>
          <w:b/>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PARÁGRAFO 2o</w:t>
      </w:r>
      <w:r>
        <w:rPr>
          <w:rFonts w:ascii="Century Gothic" w:eastAsia="Century Gothic" w:hAnsi="Century Gothic" w:cs="Century Gothic"/>
          <w:color w:val="000000"/>
          <w:sz w:val="22"/>
          <w:szCs w:val="22"/>
        </w:rPr>
        <w:t>. Las tarjetas expedidas con anterioridad a la presente Ley conservarán su número inicial hasta que sea solicitado el duplicado, al que se le asignará el número correspondiente al documento de identidad.</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Ley 548 de 1999 </w:t>
      </w:r>
      <w:r>
        <w:rPr>
          <w:rFonts w:ascii="Century Gothic" w:eastAsia="Century Gothic" w:hAnsi="Century Gothic" w:cs="Century Gothic"/>
          <w:color w:val="000000"/>
          <w:sz w:val="22"/>
          <w:szCs w:val="22"/>
        </w:rPr>
        <w:t>en su artículo 2 modifica el artículo 13 de la Ley 418 de 1998:</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color w:val="000000"/>
          <w:sz w:val="22"/>
          <w:szCs w:val="22"/>
        </w:rPr>
        <w:t xml:space="preserve"> </w:t>
      </w:r>
      <w:r>
        <w:rPr>
          <w:rFonts w:ascii="Century Gothic" w:eastAsia="Century Gothic" w:hAnsi="Century Gothic" w:cs="Century Gothic"/>
          <w:i/>
          <w:color w:val="000000"/>
          <w:sz w:val="22"/>
          <w:szCs w:val="22"/>
        </w:rPr>
        <w:t xml:space="preserve">“El artículo 13 de la Ley 418 de 1997, quedará así: "Artículo 13. Los menores de 18 años de edad no serán incorporados a filas para la prestación del servicio militar. A los estudiantes de undécimo grado, menores de edad que, conforme a la Ley 48 de 1993, resultaren elegidos para prestar dicho servicio, se les aplazará su incorporación a las filas hasta el cumplimiento de la referida edad. Si al acceder a la mayoría de edad el joven que hubiere aplazado su servicio militar estuviere matriculado o admitido en un programa de pregrado en institución de educación superior, tendrá la opción de cumplir inmediatamente su deber o de aplazarlo para el momento de la terminación de sus estudios. Si optare por el cumplimiento inmediato, la institución educativa le conservará el respectivo cupo en las mismas condiciones; si optare por el aplazamiento, el título correspondiente sólo podrá ser otorgado una vez haya cumplido el servicio militar que la ley ordena. La </w:t>
      </w:r>
      <w:r>
        <w:rPr>
          <w:rFonts w:ascii="Century Gothic" w:eastAsia="Century Gothic" w:hAnsi="Century Gothic" w:cs="Century Gothic"/>
          <w:i/>
          <w:color w:val="000000"/>
          <w:sz w:val="22"/>
          <w:szCs w:val="22"/>
        </w:rPr>
        <w:lastRenderedPageBreak/>
        <w:t>interrupción de los estudios superiores hará exigible la obligación de incorporarse al servicio militar. La autoridad civil o militar que desconozca la presente disposición incurrirá en causal de mala conducta sancionable con la destitución.</w:t>
      </w:r>
    </w:p>
    <w:p w:rsidR="003F6138" w:rsidRDefault="003F6138">
      <w:pPr>
        <w:pBdr>
          <w:top w:val="nil"/>
          <w:left w:val="nil"/>
          <w:bottom w:val="nil"/>
          <w:right w:val="nil"/>
          <w:between w:val="nil"/>
        </w:pBdr>
        <w:jc w:val="both"/>
        <w:rPr>
          <w:rFonts w:ascii="Century Gothic" w:eastAsia="Century Gothic" w:hAnsi="Century Gothic" w:cs="Century Gothic"/>
          <w:b/>
          <w:i/>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b/>
          <w:i/>
          <w:color w:val="000000"/>
          <w:sz w:val="22"/>
          <w:szCs w:val="22"/>
        </w:rPr>
        <w:t>PARAGRAFO.</w:t>
      </w:r>
      <w:r>
        <w:rPr>
          <w:rFonts w:ascii="Century Gothic" w:eastAsia="Century Gothic" w:hAnsi="Century Gothic" w:cs="Century Gothic"/>
          <w:i/>
          <w:color w:val="000000"/>
          <w:sz w:val="22"/>
          <w:szCs w:val="22"/>
        </w:rPr>
        <w:t xml:space="preserve"> El joven convocado a filas que haya aplazado su servicio militar hasta la terminación de sus estudios profesionales, cumplirá su deber constitucional como profesional universitario o profesional tecnólogo al servicio de las fuerzas armadas en actividades de servicio social a la comunidad, en obras civiles y tareas de índole científica o técnica en la respectiva dependencia a la que sea adscrito necesite. En tal caso, el servicio militar tendrá una duración de seis meses y será homologable al año rural, periodo de práctica, semestre industrial, año de judicatura, servicio social obligatorio o exigencias académicas similares que la respectiva carrera establezca como requisito de grado. Para los egresados en la carrera de derecho, dicho servicio militar podrá sustituir la tesis o monografía de grado y, en todo caso, reemplazará el servicio social obligatorio a que se refiere el artículo 149 de la Ley 446 de 1998”.</w:t>
      </w:r>
    </w:p>
    <w:p w:rsidR="003F6138" w:rsidRDefault="003F6138">
      <w:pPr>
        <w:pBdr>
          <w:top w:val="nil"/>
          <w:left w:val="nil"/>
          <w:bottom w:val="nil"/>
          <w:right w:val="nil"/>
          <w:between w:val="nil"/>
        </w:pBdr>
        <w:jc w:val="both"/>
        <w:rPr>
          <w:rFonts w:ascii="Century Gothic" w:eastAsia="Century Gothic" w:hAnsi="Century Gothic" w:cs="Century Gothic"/>
          <w:color w:val="000000"/>
          <w:sz w:val="22"/>
          <w:szCs w:val="22"/>
        </w:rPr>
      </w:pPr>
    </w:p>
    <w:p w:rsidR="003F6138" w:rsidRDefault="0027100F">
      <w:pPr>
        <w:numPr>
          <w:ilvl w:val="0"/>
          <w:numId w:val="1"/>
        </w:num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Ley 1861 de 2017</w:t>
      </w:r>
      <w:r>
        <w:rPr>
          <w:rFonts w:ascii="Century Gothic" w:eastAsia="Century Gothic" w:hAnsi="Century Gothic" w:cs="Century Gothic"/>
          <w:color w:val="000000"/>
          <w:sz w:val="22"/>
          <w:szCs w:val="22"/>
        </w:rPr>
        <w:t xml:space="preserve"> en su artículo 68 se aclara donde se da la ubicación del servicio militar: </w:t>
      </w:r>
    </w:p>
    <w:p w:rsidR="003F6138" w:rsidRDefault="003F6138">
      <w:pPr>
        <w:pBdr>
          <w:top w:val="nil"/>
          <w:left w:val="nil"/>
          <w:bottom w:val="nil"/>
          <w:right w:val="nil"/>
          <w:between w:val="nil"/>
        </w:pBdr>
        <w:ind w:left="720"/>
        <w:jc w:val="both"/>
        <w:rPr>
          <w:rFonts w:ascii="Century Gothic" w:eastAsia="Century Gothic" w:hAnsi="Century Gothic" w:cs="Century Gothic"/>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i/>
          <w:color w:val="000000"/>
          <w:sz w:val="22"/>
          <w:szCs w:val="22"/>
        </w:rPr>
        <w:t xml:space="preserve">“Es el acto a través del cual el Comandante de Fuerza, el Director General de la Policía Nacional, el director del Inpec o la autoridad en la que estos deleguen, asigna a una unidad o repartición a un Soldado, infante de Marina, Soldado de Aviación y Auxiliar de Policía o Auxiliar del Cuerpo de Custodia, cuando es incorporado para la prestación del Servicio Militar Obligatorio, en las áreas geográficas que determine cada Fuerza, la Policía Nacional o el Inpec”. </w:t>
      </w:r>
    </w:p>
    <w:p w:rsidR="003F6138" w:rsidRDefault="003F6138">
      <w:pPr>
        <w:pBdr>
          <w:top w:val="nil"/>
          <w:left w:val="nil"/>
          <w:bottom w:val="nil"/>
          <w:right w:val="nil"/>
          <w:between w:val="nil"/>
        </w:pBdr>
        <w:jc w:val="both"/>
        <w:rPr>
          <w:rFonts w:ascii="Century Gothic" w:eastAsia="Century Gothic" w:hAnsi="Century Gothic" w:cs="Century Gothic"/>
          <w:i/>
          <w:color w:val="000000"/>
          <w:sz w:val="22"/>
          <w:szCs w:val="22"/>
        </w:rPr>
      </w:pPr>
    </w:p>
    <w:p w:rsidR="003F6138" w:rsidRDefault="0027100F">
      <w:pPr>
        <w:numPr>
          <w:ilvl w:val="0"/>
          <w:numId w:val="1"/>
        </w:numPr>
        <w:pBdr>
          <w:top w:val="nil"/>
          <w:left w:val="nil"/>
          <w:bottom w:val="nil"/>
          <w:right w:val="nil"/>
          <w:between w:val="nil"/>
        </w:pBdr>
        <w:jc w:val="both"/>
        <w:rPr>
          <w:rFonts w:ascii="Century Gothic" w:eastAsia="Century Gothic" w:hAnsi="Century Gothic" w:cs="Century Gothic"/>
          <w:i/>
          <w:color w:val="000000"/>
          <w:sz w:val="22"/>
          <w:szCs w:val="22"/>
        </w:rPr>
      </w:pPr>
      <w:r>
        <w:rPr>
          <w:rFonts w:ascii="Century Gothic" w:eastAsia="Century Gothic" w:hAnsi="Century Gothic" w:cs="Century Gothic"/>
          <w:b/>
          <w:color w:val="000000"/>
          <w:sz w:val="22"/>
          <w:szCs w:val="22"/>
        </w:rPr>
        <w:t xml:space="preserve">LEY 1575 DE 2012 </w:t>
      </w:r>
      <w:r>
        <w:rPr>
          <w:rFonts w:ascii="Century Gothic" w:eastAsia="Century Gothic" w:hAnsi="Century Gothic" w:cs="Century Gothic"/>
          <w:color w:val="000000"/>
          <w:sz w:val="22"/>
          <w:szCs w:val="22"/>
        </w:rPr>
        <w:t>“Por medio de la cual se establece la Ley General de Bomberos de Colombia”</w:t>
      </w:r>
    </w:p>
    <w:p w:rsidR="003F6138" w:rsidRDefault="003F6138">
      <w:pPr>
        <w:pBdr>
          <w:top w:val="nil"/>
          <w:left w:val="nil"/>
          <w:bottom w:val="nil"/>
          <w:right w:val="nil"/>
          <w:between w:val="nil"/>
        </w:pBdr>
        <w:jc w:val="both"/>
        <w:rPr>
          <w:rFonts w:ascii="Century Gothic" w:eastAsia="Century Gothic" w:hAnsi="Century Gothic" w:cs="Century Gothic"/>
          <w:b/>
          <w:color w:val="000000"/>
          <w:sz w:val="22"/>
          <w:szCs w:val="22"/>
        </w:rPr>
      </w:pPr>
    </w:p>
    <w:p w:rsidR="003F6138" w:rsidRDefault="003F6138">
      <w:pPr>
        <w:pBdr>
          <w:top w:val="nil"/>
          <w:left w:val="nil"/>
          <w:bottom w:val="nil"/>
          <w:right w:val="nil"/>
          <w:between w:val="nil"/>
        </w:pBdr>
        <w:jc w:val="both"/>
        <w:rPr>
          <w:rFonts w:ascii="Century Gothic" w:eastAsia="Century Gothic" w:hAnsi="Century Gothic" w:cs="Century Gothic"/>
          <w:b/>
          <w:i/>
          <w:color w:val="000000"/>
          <w:sz w:val="22"/>
          <w:szCs w:val="22"/>
        </w:rPr>
      </w:pPr>
    </w:p>
    <w:p w:rsidR="003F6138" w:rsidRDefault="0027100F">
      <w:pPr>
        <w:numPr>
          <w:ilvl w:val="0"/>
          <w:numId w:val="2"/>
        </w:numPr>
        <w:pBdr>
          <w:top w:val="nil"/>
          <w:left w:val="nil"/>
          <w:bottom w:val="nil"/>
          <w:right w:val="nil"/>
          <w:between w:val="nil"/>
        </w:pBdr>
        <w:jc w:val="both"/>
        <w:rPr>
          <w:rFonts w:ascii="Century Gothic" w:eastAsia="Century Gothic" w:hAnsi="Century Gothic" w:cs="Century Gothic"/>
          <w:b/>
          <w:i/>
          <w:color w:val="000000"/>
          <w:sz w:val="22"/>
          <w:szCs w:val="22"/>
        </w:rPr>
      </w:pPr>
      <w:r>
        <w:rPr>
          <w:rFonts w:ascii="Century Gothic" w:eastAsia="Century Gothic" w:hAnsi="Century Gothic" w:cs="Century Gothic"/>
          <w:b/>
          <w:color w:val="000000"/>
          <w:sz w:val="22"/>
          <w:szCs w:val="22"/>
        </w:rPr>
        <w:t>DEL ARTICULADO EN GENERAL</w:t>
      </w:r>
    </w:p>
    <w:p w:rsidR="003F6138" w:rsidRDefault="003F6138">
      <w:pPr>
        <w:pBdr>
          <w:top w:val="nil"/>
          <w:left w:val="nil"/>
          <w:bottom w:val="nil"/>
          <w:right w:val="nil"/>
          <w:between w:val="nil"/>
        </w:pBdr>
        <w:rPr>
          <w:rFonts w:ascii="Century Gothic" w:eastAsia="Century Gothic" w:hAnsi="Century Gothic" w:cs="Century Gothic"/>
          <w:b/>
          <w:color w:val="000000"/>
          <w:sz w:val="22"/>
          <w:szCs w:val="22"/>
        </w:rPr>
      </w:pP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Con base en los fundamentos anteriores, se pone a consideración de los honorables Congresistas el texto del presente proyecto de ley que busca que, mediante ley, se pueda prestar el servicio militar obligatorio en el Cuerpo de Bomberos Voluntarios y Oficiales, sin que se afecte la cantidad de reclutados en las demás fuerzas militares y de policía, y con el fin de prestar un servicio social a las comunidades en acciones del conocimiento y la reducción del riesgo en este caso de los incendios y aquellas actividades en las cuales los Bomberos de Colombia ejercen su acción y prestan sus servicios.</w:t>
      </w:r>
    </w:p>
    <w:p w:rsidR="003F6138" w:rsidRDefault="003F6138">
      <w:pPr>
        <w:pBdr>
          <w:top w:val="nil"/>
          <w:left w:val="nil"/>
          <w:bottom w:val="nil"/>
          <w:right w:val="nil"/>
          <w:between w:val="nil"/>
        </w:pBdr>
        <w:jc w:val="both"/>
        <w:rPr>
          <w:rFonts w:ascii="Century Gothic" w:eastAsia="Century Gothic" w:hAnsi="Century Gothic" w:cs="Century Gothic"/>
          <w:sz w:val="22"/>
          <w:szCs w:val="22"/>
        </w:rPr>
      </w:pPr>
    </w:p>
    <w:p w:rsidR="003F6138" w:rsidRDefault="0027100F">
      <w:pPr>
        <w:numPr>
          <w:ilvl w:val="0"/>
          <w:numId w:val="2"/>
        </w:numPr>
        <w:pBdr>
          <w:top w:val="nil"/>
          <w:left w:val="nil"/>
          <w:bottom w:val="nil"/>
          <w:right w:val="nil"/>
          <w:between w:val="nil"/>
        </w:pBdr>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CONVENIENCIA DEL PROYECTO</w:t>
      </w:r>
    </w:p>
    <w:p w:rsidR="003F6138" w:rsidRDefault="003F6138">
      <w:pPr>
        <w:pBdr>
          <w:top w:val="nil"/>
          <w:left w:val="nil"/>
          <w:bottom w:val="nil"/>
          <w:right w:val="nil"/>
          <w:between w:val="nil"/>
        </w:pBdr>
        <w:rPr>
          <w:rFonts w:ascii="Century Gothic" w:eastAsia="Century Gothic" w:hAnsi="Century Gothic" w:cs="Century Gothic"/>
          <w:b/>
          <w:color w:val="000000"/>
          <w:sz w:val="22"/>
          <w:szCs w:val="22"/>
        </w:rPr>
      </w:pP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Creemos que el proyecto que ponemos a consideración de los Honorables Congresistas de la República es conveniente para los intereses de nuestra nación y de las diversas entidades involucradas.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De un lado la medida tiene como propósito incrementar el recurso humano a disposición de los Bomberos de Colombia, lo que redundaría en una mejor prestación de este servicio por parte de los municipios, que en todo caso mantendrán la autonomía respecto de su planeación presupuestal en la materia.  De otro lado, la medida no pretende de ninguna manera disminuir el número de bachilleres que prestan su servicio militar en las fuerzas militares y de policía, por lo que no debería verse afectado el número de reclutamientos de manera distinta a como lo determine la misma Rama Ejecutiva y la Fuerza Pública en ejercicio de sus competencias constitucionales.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Todo lo anterior implica que la puesta en marcha de la presente ley y la reglamentación que de esta norma haga la Rama Ejecutiva, tendrá que tener en cuenta diversos mecanismos  entre  los Ministerios de Defensa Nacional, Ministerio del Interior la Dirección Nacional Bomberos de Colombia, e incluso entre los municipios y departamentos que concurren a la prestación del servicio de Bomberos, de manera que los bachilleres que presten su servicio en esta nueva modalidad sean debidamente dotados y se cuente con los medios de financiación para la incorporación, instrucción, dotación, equipo, bonificación, alimentación y los requisitos necesarios para su permanencia en la respectiva institución, y el cumplimiento del pensum académico y la capacitación.</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Por lo anterior, el presente proyecto de ley no necesariamente genera un impacto fiscal que no esté contemplado en el marco fiscal de mediano plazo. Ello dependerá única y exclusivamente de la manera en que el Ejecutivo ejerza su facultad reglamentaria.</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Por lo anterior, invito a los Honorables Congresistas a dar debate al presente proyecto de Ley y a enriquecerlo con sus propuestas.</w:t>
      </w:r>
    </w:p>
    <w:p w:rsidR="003F6138" w:rsidRDefault="003F6138">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p>
    <w:p w:rsidR="003F6138" w:rsidRDefault="0027100F">
      <w:pPr>
        <w:numPr>
          <w:ilvl w:val="0"/>
          <w:numId w:val="2"/>
        </w:numPr>
        <w:pBdr>
          <w:top w:val="nil"/>
          <w:left w:val="nil"/>
          <w:bottom w:val="nil"/>
          <w:right w:val="nil"/>
          <w:between w:val="nil"/>
        </w:pBdr>
        <w:spacing w:after="200"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lastRenderedPageBreak/>
        <w:t>CONFLICTO DE INTERESES</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Con base en el artículo 3º de la Ley 2003 de 2019, según el cual “El autor del proyecto y el ponente presentarán en el cuerpo de la exposición de motivos un acápite que describa las circunstancias o eventos que podrían generar un conflicto de interés para la discusión y votación del proyecto, de acuerdo al artículo 286. Estos serán criterios guías para que los otros congresistas tomen una decisión en torno a si se encuentran en una causal de impedimento, no obstante, otras causales que el Congresista pueda encontrar”.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procedo a indicar los criterios que la Ley 2003 de 2019 contempla para hacer el análisis frente a los posibles impedimentos que se puedan presentar en razón a un conflicto de interés en el ejercicio de la función congresional, entre ellas la legislativa, así: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“Artículo 1º. El artículo 286 de la Ley 5 de 1992 quedará así: (…)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a) Beneficio particular:</w:t>
      </w:r>
      <w:r>
        <w:rPr>
          <w:rFonts w:ascii="Century Gothic" w:eastAsia="Century Gothic" w:hAnsi="Century Gothic" w:cs="Century Gothic"/>
          <w:color w:val="000000"/>
          <w:sz w:val="22"/>
          <w:szCs w:val="22"/>
        </w:rPr>
        <w:t xml:space="preserve">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b) Beneficio actual</w:t>
      </w:r>
      <w:r>
        <w:rPr>
          <w:rFonts w:ascii="Century Gothic" w:eastAsia="Century Gothic" w:hAnsi="Century Gothic" w:cs="Century Gothic"/>
          <w:color w:val="000000"/>
          <w:sz w:val="22"/>
          <w:szCs w:val="22"/>
        </w:rPr>
        <w:t xml:space="preserve">: aquel que efectivamente se configura en las circunstancias presentes y existentes al momento en el que el congresista participa de la decisión.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b/>
          <w:color w:val="000000"/>
          <w:sz w:val="22"/>
          <w:szCs w:val="22"/>
        </w:rPr>
        <w:t>c) Beneficio directo:</w:t>
      </w:r>
      <w:r>
        <w:rPr>
          <w:rFonts w:ascii="Century Gothic" w:eastAsia="Century Gothic" w:hAnsi="Century Gothic" w:cs="Century Gothic"/>
          <w:color w:val="000000"/>
          <w:sz w:val="22"/>
          <w:szCs w:val="22"/>
        </w:rPr>
        <w:t xml:space="preserve"> aquel que se produzca de forma específica respecto del congresista, de su cónyuge, compañero o compañera permanente, o parientes dentro del segundo grado de consanguinidad, segundo de afinidad o primero civil.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Para todos los efectos se entiende que no hay conflicto de interés en las siguientes circunstancias:</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a) Cuando el congresista participe, discuta, vote un proyecto de ley o de acto legislativo que otorgue beneficios o cargos de carácter general, es decir cuando el interés del congresista coincide o se fusione con los intereses de los electores.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b) Cuando el beneficio podría o no configurarse para el congresista en el futuro.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lastRenderedPageBreak/>
        <w:t xml:space="preserve">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f) Cuando el congresista participa en la elección de otros servidores públicos mediante el voto secreto. Se exceptúan los casos en que se presenten inhabilidades referidas al parentesco con los candidatos (...)”.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Por tanto, y de forma orientativa, se considera que para la discusión y aprobación de este Proyecto de Ley no existen circunstancias que pudieran dar lugar a un eventual conflicto de interés por parte de los Representantes, ya que es una iniciativa de carácter general, impersonal y abstracta, con lo cual no se materializa una situación concreta que permita enmarcar un beneficio particular, directo ni actual. </w:t>
      </w:r>
    </w:p>
    <w:p w:rsidR="003F6138" w:rsidRDefault="0027100F">
      <w:pPr>
        <w:pBdr>
          <w:top w:val="nil"/>
          <w:left w:val="nil"/>
          <w:bottom w:val="nil"/>
          <w:right w:val="nil"/>
          <w:between w:val="nil"/>
        </w:pBdr>
        <w:spacing w:after="200"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En conclusión, este proyecto se enmarca en lo dispuesto por el literal a del artículo 1 de la Ley 2003 de 2019, sobre las hipótesis de cuando se entiende que no hay conflicto de interés. Sin embargo, la decisión es netamente personal en cuanto a la consideración de hallarse inmerso en un conflicto de interés, por lo que se deja a criterio de los representantes basado en la normatividad existente y a juicio de una sana lógica.</w:t>
      </w:r>
    </w:p>
    <w:p w:rsidR="003F6138" w:rsidRDefault="0027100F">
      <w:pPr>
        <w:pBdr>
          <w:top w:val="nil"/>
          <w:left w:val="nil"/>
          <w:bottom w:val="nil"/>
          <w:right w:val="nil"/>
          <w:between w:val="nil"/>
        </w:pBdr>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Cordialmente, </w:t>
      </w:r>
    </w:p>
    <w:p w:rsidR="003F6138" w:rsidRDefault="003F6138">
      <w:pPr>
        <w:pBdr>
          <w:top w:val="nil"/>
          <w:left w:val="nil"/>
          <w:bottom w:val="nil"/>
          <w:right w:val="nil"/>
          <w:between w:val="nil"/>
        </w:pBdr>
        <w:spacing w:after="200" w:line="276" w:lineRule="auto"/>
        <w:jc w:val="both"/>
        <w:rPr>
          <w:rFonts w:ascii="Century Gothic" w:eastAsia="Century Gothic" w:hAnsi="Century Gothic" w:cs="Century Gothic"/>
          <w:sz w:val="22"/>
          <w:szCs w:val="22"/>
        </w:rPr>
      </w:pPr>
    </w:p>
    <w:p w:rsidR="003F6138" w:rsidRDefault="003F6138">
      <w:pPr>
        <w:jc w:val="both"/>
        <w:rPr>
          <w:rFonts w:ascii="Century Gothic" w:eastAsia="Century Gothic" w:hAnsi="Century Gothic" w:cs="Century Gothic"/>
          <w:sz w:val="22"/>
          <w:szCs w:val="22"/>
        </w:rPr>
      </w:pPr>
    </w:p>
    <w:tbl>
      <w:tblPr>
        <w:tblStyle w:val="a0"/>
        <w:tblW w:w="88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19"/>
        <w:gridCol w:w="4419"/>
      </w:tblGrid>
      <w:tr w:rsidR="003F6138">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F6138" w:rsidRDefault="003F6138">
            <w:pPr>
              <w:jc w:val="center"/>
              <w:rPr>
                <w:rFonts w:ascii="Century Gothic" w:eastAsia="Century Gothic" w:hAnsi="Century Gothic" w:cs="Century Gothic"/>
                <w:b/>
                <w:sz w:val="22"/>
                <w:szCs w:val="22"/>
              </w:rPr>
            </w:pPr>
          </w:p>
          <w:p w:rsidR="003F6138" w:rsidRDefault="003F6138">
            <w:pPr>
              <w:jc w:val="center"/>
              <w:rPr>
                <w:rFonts w:ascii="Century Gothic" w:eastAsia="Century Gothic" w:hAnsi="Century Gothic" w:cs="Century Gothic"/>
                <w:b/>
                <w:sz w:val="22"/>
                <w:szCs w:val="22"/>
              </w:rPr>
            </w:pPr>
          </w:p>
          <w:p w:rsidR="003F6138" w:rsidRDefault="0027100F">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CARLOS ADOLFO ARDILA ESPINOSA</w:t>
            </w:r>
          </w:p>
          <w:p w:rsidR="003F6138" w:rsidRDefault="0027100F">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Representante a la Cámara</w:t>
            </w:r>
          </w:p>
          <w:p w:rsidR="003F6138" w:rsidRDefault="0027100F">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Departamento del Putumayo</w:t>
            </w:r>
          </w:p>
        </w:tc>
        <w:tc>
          <w:tcPr>
            <w:tcW w:w="441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3F6138" w:rsidRDefault="0027100F">
            <w:pP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b/>
            </w:r>
          </w:p>
          <w:p w:rsidR="003F6138" w:rsidRDefault="003F6138">
            <w:pPr>
              <w:jc w:val="center"/>
              <w:rPr>
                <w:rFonts w:ascii="Century Gothic" w:eastAsia="Century Gothic" w:hAnsi="Century Gothic" w:cs="Century Gothic"/>
                <w:sz w:val="22"/>
                <w:szCs w:val="22"/>
              </w:rPr>
            </w:pPr>
          </w:p>
        </w:tc>
      </w:tr>
    </w:tbl>
    <w:p w:rsidR="003F6138" w:rsidRDefault="003F6138">
      <w:pPr>
        <w:rPr>
          <w:rFonts w:ascii="Century Gothic" w:eastAsia="Century Gothic" w:hAnsi="Century Gothic" w:cs="Century Gothic"/>
          <w:sz w:val="22"/>
          <w:szCs w:val="22"/>
        </w:rPr>
      </w:pPr>
    </w:p>
    <w:sectPr w:rsidR="003F6138">
      <w:headerReference w:type="default" r:id="rId8"/>
      <w:footerReference w:type="default" r:id="rId9"/>
      <w:pgSz w:w="12240" w:h="15840"/>
      <w:pgMar w:top="2532" w:right="1701" w:bottom="1417" w:left="1701" w:header="708" w:footer="107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D08" w:rsidRDefault="00162D08">
      <w:r>
        <w:separator/>
      </w:r>
    </w:p>
  </w:endnote>
  <w:endnote w:type="continuationSeparator" w:id="0">
    <w:p w:rsidR="00162D08" w:rsidRDefault="0016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Arimo">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38" w:rsidRDefault="003F6138">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p>
  <w:p w:rsidR="003F6138" w:rsidRDefault="003F6138">
    <w:pPr>
      <w:pBdr>
        <w:top w:val="nil"/>
        <w:left w:val="nil"/>
        <w:bottom w:val="nil"/>
        <w:right w:val="nil"/>
        <w:between w:val="nil"/>
      </w:pBdr>
      <w:jc w:val="center"/>
      <w:rPr>
        <w:rFonts w:ascii="Arial Narrow" w:eastAsia="Arial Narrow" w:hAnsi="Arial Narrow" w:cs="Arial Narrow"/>
        <w:color w:val="000000"/>
        <w:sz w:val="18"/>
        <w:szCs w:val="18"/>
      </w:rPr>
    </w:pPr>
  </w:p>
  <w:p w:rsidR="003F6138" w:rsidRDefault="0027100F">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Edificio Nuevo del Congreso: Carrera 7 No 8 – 68, Oficina 635, Bogotá. </w:t>
    </w:r>
  </w:p>
  <w:p w:rsidR="003F6138" w:rsidRDefault="0027100F">
    <w:pPr>
      <w:pBdr>
        <w:top w:val="nil"/>
        <w:left w:val="nil"/>
        <w:bottom w:val="nil"/>
        <w:right w:val="nil"/>
        <w:between w:val="nil"/>
      </w:pBdr>
      <w:jc w:val="center"/>
      <w:rPr>
        <w:rFonts w:ascii="Arial Narrow" w:eastAsia="Arial Narrow" w:hAnsi="Arial Narrow" w:cs="Arial Narrow"/>
        <w:color w:val="000000"/>
        <w:sz w:val="18"/>
        <w:szCs w:val="18"/>
      </w:rPr>
    </w:pPr>
    <w:r>
      <w:rPr>
        <w:rFonts w:ascii="Arial Narrow" w:eastAsia="Arial Narrow" w:hAnsi="Arial Narrow" w:cs="Arial Narrow"/>
        <w:color w:val="000000"/>
        <w:sz w:val="18"/>
        <w:szCs w:val="18"/>
      </w:rPr>
      <w:t xml:space="preserve">carlos.ardila@camara.gov.co </w:t>
    </w:r>
  </w:p>
  <w:p w:rsidR="003F6138" w:rsidRDefault="0027100F">
    <w:pPr>
      <w:pBdr>
        <w:top w:val="nil"/>
        <w:left w:val="nil"/>
        <w:bottom w:val="nil"/>
        <w:right w:val="nil"/>
        <w:between w:val="nil"/>
      </w:pBdr>
      <w:tabs>
        <w:tab w:val="center" w:pos="4419"/>
        <w:tab w:val="right" w:pos="8838"/>
        <w:tab w:val="right" w:pos="8818"/>
      </w:tabs>
      <w:jc w:val="center"/>
      <w:rPr>
        <w:rFonts w:ascii="Calibri" w:eastAsia="Calibri" w:hAnsi="Calibri" w:cs="Calibri"/>
        <w:color w:val="000000"/>
        <w:sz w:val="22"/>
        <w:szCs w:val="22"/>
      </w:rPr>
    </w:pPr>
    <w:r>
      <w:rPr>
        <w:rFonts w:ascii="Arial Narrow" w:eastAsia="Arial Narrow" w:hAnsi="Arial Narrow" w:cs="Arial Narrow"/>
        <w:color w:val="000000"/>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D08" w:rsidRDefault="00162D08">
      <w:r>
        <w:separator/>
      </w:r>
    </w:p>
  </w:footnote>
  <w:footnote w:type="continuationSeparator" w:id="0">
    <w:p w:rsidR="00162D08" w:rsidRDefault="00162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138" w:rsidRDefault="0027100F">
    <w:pPr>
      <w:pBdr>
        <w:top w:val="nil"/>
        <w:left w:val="nil"/>
        <w:bottom w:val="nil"/>
        <w:right w:val="nil"/>
        <w:between w:val="nil"/>
      </w:pBdr>
      <w:tabs>
        <w:tab w:val="center" w:pos="4419"/>
        <w:tab w:val="right" w:pos="8838"/>
        <w:tab w:val="right" w:pos="8818"/>
      </w:tabs>
      <w:rPr>
        <w:rFonts w:ascii="Calibri" w:eastAsia="Calibri" w:hAnsi="Calibri" w:cs="Calibri"/>
        <w:color w:val="000000"/>
        <w:sz w:val="22"/>
        <w:szCs w:val="22"/>
      </w:rPr>
    </w:pPr>
    <w:r>
      <w:rPr>
        <w:rFonts w:ascii="Calibri" w:eastAsia="Calibri" w:hAnsi="Calibri" w:cs="Calibri"/>
        <w:noProof/>
        <w:color w:val="000000"/>
        <w:sz w:val="22"/>
        <w:szCs w:val="22"/>
        <w:lang w:val="es-CO" w:eastAsia="es-CO"/>
      </w:rPr>
      <w:drawing>
        <wp:anchor distT="0" distB="0" distL="0" distR="0" simplePos="0" relativeHeight="251658240" behindDoc="0" locked="0" layoutInCell="1" hidden="0" allowOverlap="1">
          <wp:simplePos x="0" y="0"/>
          <wp:positionH relativeFrom="page">
            <wp:posOffset>765810</wp:posOffset>
          </wp:positionH>
          <wp:positionV relativeFrom="page">
            <wp:posOffset>359410</wp:posOffset>
          </wp:positionV>
          <wp:extent cx="2714625" cy="885825"/>
          <wp:effectExtent l="0" t="0" r="0" b="0"/>
          <wp:wrapSquare wrapText="bothSides" distT="0" distB="0" distL="0" distR="0"/>
          <wp:docPr id="36" name="image4.png" descr="Imagen 1"/>
          <wp:cNvGraphicFramePr/>
          <a:graphic xmlns:a="http://schemas.openxmlformats.org/drawingml/2006/main">
            <a:graphicData uri="http://schemas.openxmlformats.org/drawingml/2006/picture">
              <pic:pic xmlns:pic="http://schemas.openxmlformats.org/drawingml/2006/picture">
                <pic:nvPicPr>
                  <pic:cNvPr id="0" name="image4.png" descr="Imagen 1"/>
                  <pic:cNvPicPr preferRelativeResize="0"/>
                </pic:nvPicPr>
                <pic:blipFill>
                  <a:blip r:embed="rId1"/>
                  <a:srcRect l="12511" t="12806" r="67792" b="75748"/>
                  <a:stretch>
                    <a:fillRect/>
                  </a:stretch>
                </pic:blipFill>
                <pic:spPr>
                  <a:xfrm>
                    <a:off x="0" y="0"/>
                    <a:ext cx="2714625" cy="885825"/>
                  </a:xfrm>
                  <a:prstGeom prst="rect">
                    <a:avLst/>
                  </a:prstGeom>
                  <a:ln/>
                </pic:spPr>
              </pic:pic>
            </a:graphicData>
          </a:graphic>
        </wp:anchor>
      </w:drawing>
    </w:r>
    <w:r>
      <w:rPr>
        <w:rFonts w:ascii="Calibri" w:eastAsia="Calibri" w:hAnsi="Calibri" w:cs="Calibri"/>
        <w:noProof/>
        <w:color w:val="000000"/>
        <w:sz w:val="22"/>
        <w:szCs w:val="22"/>
        <w:lang w:val="es-CO" w:eastAsia="es-CO"/>
      </w:rPr>
      <w:drawing>
        <wp:anchor distT="0" distB="0" distL="0" distR="0" simplePos="0" relativeHeight="251659264" behindDoc="0" locked="0" layoutInCell="1" hidden="0" allowOverlap="1">
          <wp:simplePos x="0" y="0"/>
          <wp:positionH relativeFrom="page">
            <wp:posOffset>4909185</wp:posOffset>
          </wp:positionH>
          <wp:positionV relativeFrom="page">
            <wp:posOffset>467359</wp:posOffset>
          </wp:positionV>
          <wp:extent cx="2505075" cy="857250"/>
          <wp:effectExtent l="0" t="0" r="0" b="0"/>
          <wp:wrapSquare wrapText="bothSides" distT="0" distB="0" distL="0" distR="0"/>
          <wp:docPr id="26" name="image5.png" descr="Picture 1"/>
          <wp:cNvGraphicFramePr/>
          <a:graphic xmlns:a="http://schemas.openxmlformats.org/drawingml/2006/main">
            <a:graphicData uri="http://schemas.openxmlformats.org/drawingml/2006/picture">
              <pic:pic xmlns:pic="http://schemas.openxmlformats.org/drawingml/2006/picture">
                <pic:nvPicPr>
                  <pic:cNvPr id="0" name="image5.png" descr="Picture 1"/>
                  <pic:cNvPicPr preferRelativeResize="0"/>
                </pic:nvPicPr>
                <pic:blipFill>
                  <a:blip r:embed="rId2"/>
                  <a:srcRect/>
                  <a:stretch>
                    <a:fillRect/>
                  </a:stretch>
                </pic:blipFill>
                <pic:spPr>
                  <a:xfrm>
                    <a:off x="0" y="0"/>
                    <a:ext cx="2505075" cy="8572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619"/>
    <w:multiLevelType w:val="multilevel"/>
    <w:tmpl w:val="23561236"/>
    <w:lvl w:ilvl="0">
      <w:start w:val="3"/>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abstractNum w:abstractNumId="1" w15:restartNumberingAfterBreak="0">
    <w:nsid w:val="40A534E9"/>
    <w:multiLevelType w:val="multilevel"/>
    <w:tmpl w:val="FEFA4186"/>
    <w:lvl w:ilvl="0">
      <w:start w:val="1"/>
      <w:numFmt w:val="bullet"/>
      <w:lvlText w:val="●"/>
      <w:lvlJc w:val="left"/>
      <w:pPr>
        <w:ind w:left="720" w:hanging="360"/>
      </w:pPr>
      <w:rPr>
        <w:rFonts w:ascii="Noto Sans Symbols" w:eastAsia="Noto Sans Symbols" w:hAnsi="Noto Sans Symbols" w:cs="Noto Sans Symbols"/>
        <w:b w:val="0"/>
        <w:i w:val="0"/>
        <w:smallCaps w:val="0"/>
        <w:strike w:val="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shd w:val="clear" w:color="auto" w:fill="auto"/>
        <w:vertAlign w:val="baseline"/>
      </w:rPr>
    </w:lvl>
  </w:abstractNum>
  <w:abstractNum w:abstractNumId="2" w15:restartNumberingAfterBreak="0">
    <w:nsid w:val="7E234800"/>
    <w:multiLevelType w:val="multilevel"/>
    <w:tmpl w:val="DC0EC576"/>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02"/>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02"/>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02"/>
      </w:pPr>
      <w:rPr>
        <w:b/>
        <w:smallCaps w:val="0"/>
        <w:strike w:val="0"/>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38"/>
    <w:rsid w:val="0010410E"/>
    <w:rsid w:val="00162D08"/>
    <w:rsid w:val="0027100F"/>
    <w:rsid w:val="00281F16"/>
    <w:rsid w:val="003F6138"/>
    <w:rsid w:val="004B012F"/>
    <w:rsid w:val="008463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059CD-91A0-449E-A5B6-8B5BBAEA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rPr>
  </w:style>
  <w:style w:type="paragraph" w:styleId="Piedepgina">
    <w:name w:val="footer"/>
    <w:pPr>
      <w:tabs>
        <w:tab w:val="center" w:pos="4419"/>
        <w:tab w:val="right" w:pos="8838"/>
      </w:tabs>
    </w:pPr>
    <w:rPr>
      <w:rFonts w:ascii="Calibri" w:hAnsi="Calibri" w:cs="Arial Unicode MS"/>
      <w:color w:val="000000"/>
      <w:sz w:val="22"/>
      <w:szCs w:val="22"/>
      <w:u w:color="000000"/>
    </w:rPr>
  </w:style>
  <w:style w:type="paragraph" w:styleId="Sinespaciado">
    <w:name w:val="No Spacing"/>
    <w:rPr>
      <w:rFonts w:ascii="Calibri" w:hAnsi="Calibri" w:cs="Arial Unicode MS"/>
      <w:color w:val="000000"/>
      <w:sz w:val="22"/>
      <w:szCs w:val="22"/>
      <w:u w:color="000000"/>
    </w:rPr>
  </w:style>
  <w:style w:type="paragraph" w:customStyle="1" w:styleId="BodyA">
    <w:name w:val="Body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Prrafodelista">
    <w:name w:val="List Paragraph"/>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style>
  <w:style w:type="paragraph" w:styleId="NormalWeb">
    <w:name w:val="Normal (Web)"/>
    <w:pPr>
      <w:spacing w:before="100" w:after="100"/>
    </w:pPr>
    <w:rPr>
      <w:color w:val="000000"/>
      <w:u w:color="000000"/>
    </w:rPr>
  </w:style>
  <w:style w:type="numbering" w:customStyle="1" w:styleId="ImportedStyle2">
    <w:name w:val="Imported Style 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SPbdpEu0HgRnTAYBL5rb4JDVzQ==">AMUW2mWahPZtypL25MOw9g22MpcKodMk0dYYqH3RrJKyJ95FBCkYHuXYdo7ZWzcLJ8k0NBYuWk5EwZX4EIgirXxgkcQZALbhnBvLgjHbwzcMH+F+Dn/TJpeHsm/bQk9RGnvjBtBPw9lV+KdMgfl7tKKV7jOU6WTj5g==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3629</Words>
  <Characters>19962</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camilo acuna</cp:lastModifiedBy>
  <cp:revision>2</cp:revision>
  <dcterms:created xsi:type="dcterms:W3CDTF">2021-03-17T00:01:00Z</dcterms:created>
  <dcterms:modified xsi:type="dcterms:W3CDTF">2021-03-17T00:01:00Z</dcterms:modified>
</cp:coreProperties>
</file>