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1723A" w14:textId="77777777" w:rsidR="000D0698" w:rsidRPr="00000691" w:rsidRDefault="00DF13AA" w:rsidP="00DF13AA">
      <w:pPr>
        <w:jc w:val="center"/>
        <w:rPr>
          <w:b/>
          <w:sz w:val="28"/>
        </w:rPr>
      </w:pPr>
      <w:bookmarkStart w:id="0" w:name="_GoBack"/>
      <w:bookmarkEnd w:id="0"/>
      <w:r w:rsidRPr="00000691">
        <w:rPr>
          <w:b/>
          <w:sz w:val="28"/>
        </w:rPr>
        <w:t>NOTA TÉCNICA</w:t>
      </w:r>
    </w:p>
    <w:p w14:paraId="3977DF08" w14:textId="77777777" w:rsidR="00C90A49" w:rsidRDefault="00C90A49" w:rsidP="00DF13AA">
      <w:pPr>
        <w:jc w:val="both"/>
        <w:rPr>
          <w:sz w:val="24"/>
        </w:rPr>
      </w:pPr>
      <w:r>
        <w:rPr>
          <w:rFonts w:eastAsiaTheme="minorEastAsia"/>
          <w:sz w:val="24"/>
        </w:rPr>
        <w:t>De acuerdo con el numeral 5 del artículo 193 del Estatuto Orgánico del Sistema Financiero</w:t>
      </w:r>
      <w:r>
        <w:rPr>
          <w:sz w:val="24"/>
        </w:rPr>
        <w:t>, l</w:t>
      </w:r>
      <w:r w:rsidR="00DF13AA">
        <w:rPr>
          <w:sz w:val="24"/>
        </w:rPr>
        <w:t>a Superintendencia Financiera de Colombia revisa</w:t>
      </w:r>
      <w:r>
        <w:rPr>
          <w:sz w:val="24"/>
        </w:rPr>
        <w:t>rá</w:t>
      </w:r>
      <w:r w:rsidR="00DF13AA">
        <w:rPr>
          <w:sz w:val="24"/>
        </w:rPr>
        <w:t xml:space="preserve"> periódicamente las condiciones técnicas y financieras del Seguro Obligatorio de Accidentes de Tránsito –</w:t>
      </w:r>
      <w:r w:rsidR="008A1652">
        <w:rPr>
          <w:sz w:val="24"/>
        </w:rPr>
        <w:t xml:space="preserve"> SOAT</w:t>
      </w:r>
      <w:r>
        <w:rPr>
          <w:sz w:val="24"/>
        </w:rPr>
        <w:t xml:space="preserve">, </w:t>
      </w:r>
      <w:r w:rsidRPr="00B459F6">
        <w:rPr>
          <w:rFonts w:eastAsiaTheme="minorEastAsia"/>
          <w:sz w:val="24"/>
        </w:rPr>
        <w:t>propósito para el cual solicitará a las entidades aseguradoras la información que estime conveniente. En todo caso, en la determinación de las tarifas se observarán los principios de equidad, suficiencia y moderación y se podrán establecer rangos diferenciales según la naturaleza de los riesgos</w:t>
      </w:r>
      <w:r>
        <w:rPr>
          <w:rFonts w:eastAsiaTheme="minorEastAsia"/>
          <w:sz w:val="24"/>
        </w:rPr>
        <w:t xml:space="preserve"> basándose en los criterios contenidos en la presente nota técnica</w:t>
      </w:r>
      <w:r w:rsidR="008A1652">
        <w:rPr>
          <w:sz w:val="24"/>
        </w:rPr>
        <w:t>, para lo cual realiza</w:t>
      </w:r>
      <w:r w:rsidR="00000691">
        <w:rPr>
          <w:sz w:val="24"/>
        </w:rPr>
        <w:t xml:space="preserve"> un estudio con base en los </w:t>
      </w:r>
      <w:r w:rsidR="00AC2309">
        <w:rPr>
          <w:sz w:val="24"/>
        </w:rPr>
        <w:t>supuestos y metodologías que abajo se detallan. Los procedimientos contenidos en esta nota técnica se realizan a nivel de categoría y para cada año de estudio.</w:t>
      </w:r>
    </w:p>
    <w:p w14:paraId="46B40614" w14:textId="77777777" w:rsidR="00000691" w:rsidRPr="00646257" w:rsidRDefault="008A1652" w:rsidP="00646257">
      <w:pPr>
        <w:pStyle w:val="Prrafodelista"/>
        <w:numPr>
          <w:ilvl w:val="0"/>
          <w:numId w:val="13"/>
        </w:numPr>
        <w:jc w:val="both"/>
        <w:rPr>
          <w:b/>
          <w:sz w:val="24"/>
        </w:rPr>
      </w:pPr>
      <w:r w:rsidRPr="00646257">
        <w:rPr>
          <w:b/>
          <w:sz w:val="24"/>
        </w:rPr>
        <w:t>Criterios</w:t>
      </w:r>
      <w:r w:rsidR="00696997" w:rsidRPr="00646257">
        <w:rPr>
          <w:b/>
          <w:sz w:val="24"/>
        </w:rPr>
        <w:t xml:space="preserve"> </w:t>
      </w:r>
      <w:r w:rsidR="00646257" w:rsidRPr="00646257">
        <w:rPr>
          <w:b/>
          <w:sz w:val="24"/>
        </w:rPr>
        <w:t>técnicos para el análisis de la suficiencia</w:t>
      </w:r>
    </w:p>
    <w:p w14:paraId="035A14BF" w14:textId="77777777" w:rsidR="00000691" w:rsidRPr="00646257" w:rsidRDefault="00000691" w:rsidP="00646257">
      <w:pPr>
        <w:pStyle w:val="Prrafodelista"/>
        <w:numPr>
          <w:ilvl w:val="0"/>
          <w:numId w:val="15"/>
        </w:numPr>
        <w:jc w:val="both"/>
        <w:rPr>
          <w:sz w:val="24"/>
        </w:rPr>
      </w:pPr>
      <w:r w:rsidRPr="00646257">
        <w:rPr>
          <w:sz w:val="24"/>
        </w:rPr>
        <w:t>Bases de datos:</w:t>
      </w:r>
    </w:p>
    <w:p w14:paraId="31DA90F2" w14:textId="77777777" w:rsidR="00000691" w:rsidRDefault="00000691" w:rsidP="00000691">
      <w:pPr>
        <w:jc w:val="both"/>
        <w:rPr>
          <w:sz w:val="24"/>
        </w:rPr>
      </w:pPr>
      <w:r>
        <w:rPr>
          <w:sz w:val="24"/>
        </w:rPr>
        <w:t>El estudio debe contar, como mínimo, con bases de datos históricas de pólizas y siniestros de los últimos 5 años, de todas las entidades aseguradoras autorizadas por la Superintendencia Financiera de Colombia para la comercialización del SOAT en el territorio nacional. Con el fin de realizar</w:t>
      </w:r>
      <w:r w:rsidR="00B27430">
        <w:rPr>
          <w:sz w:val="24"/>
        </w:rPr>
        <w:t xml:space="preserve"> un</w:t>
      </w:r>
      <w:r>
        <w:rPr>
          <w:sz w:val="24"/>
        </w:rPr>
        <w:t xml:space="preserve"> correcto estudio y análisis de la información, las bases de datos deben incorporar variables que permitan una adecuada segmentación del parque automotor. De esta forma</w:t>
      </w:r>
      <w:r w:rsidR="00B27430">
        <w:rPr>
          <w:sz w:val="24"/>
        </w:rPr>
        <w:t>,</w:t>
      </w:r>
      <w:r>
        <w:rPr>
          <w:sz w:val="24"/>
        </w:rPr>
        <w:t xml:space="preserve"> se segmentan en 9 tipos de vehículos que se subdividen por subtipos, obteniendo las 36 categorías que trata el </w:t>
      </w:r>
      <w:r w:rsidRPr="00000691">
        <w:rPr>
          <w:sz w:val="24"/>
        </w:rPr>
        <w:t>Anexo 1 del Título IV de la Parte II de la Circular Básica Jurídica</w:t>
      </w:r>
      <w:r w:rsidR="001D0526">
        <w:rPr>
          <w:sz w:val="24"/>
        </w:rPr>
        <w:t xml:space="preserve"> (CBJ)</w:t>
      </w:r>
      <w:r>
        <w:rPr>
          <w:sz w:val="24"/>
        </w:rPr>
        <w:t>. La categoría ciclomotor, no cuenta con información histórica que permita evidenciar su nivel óptimo de riesgo, siendo necesario recopilar información hasta obtener el mínimo de 5 años que se contempla en esta nota técnica.</w:t>
      </w:r>
    </w:p>
    <w:p w14:paraId="28F7582D" w14:textId="77777777" w:rsidR="00000691" w:rsidRDefault="00000691" w:rsidP="00000691">
      <w:pPr>
        <w:jc w:val="both"/>
        <w:rPr>
          <w:sz w:val="24"/>
        </w:rPr>
      </w:pPr>
      <w:r>
        <w:rPr>
          <w:sz w:val="24"/>
        </w:rPr>
        <w:t>En adición, las bases de datos de pólizas y siniestros deben contener variables que permitan conocer los montos pagados para cada una de las coberturas, las fechas de pago de cada una de las coberturas, inicio de vigencia, finalización de la vigencia, emisión de la póliza, aviso del siniestro, entre otros aspectos.</w:t>
      </w:r>
    </w:p>
    <w:p w14:paraId="33FE7C08" w14:textId="77777777" w:rsidR="00696997" w:rsidRPr="00646257" w:rsidRDefault="00696997" w:rsidP="00646257">
      <w:pPr>
        <w:pStyle w:val="Prrafodelista"/>
        <w:numPr>
          <w:ilvl w:val="0"/>
          <w:numId w:val="15"/>
        </w:numPr>
        <w:jc w:val="both"/>
        <w:rPr>
          <w:sz w:val="24"/>
        </w:rPr>
      </w:pPr>
      <w:r w:rsidRPr="00646257">
        <w:rPr>
          <w:sz w:val="24"/>
        </w:rPr>
        <w:t>Frecuencia y Costo Medio</w:t>
      </w:r>
    </w:p>
    <w:p w14:paraId="44E915E6" w14:textId="77777777" w:rsidR="00696997" w:rsidRDefault="00696997" w:rsidP="00696997">
      <w:pPr>
        <w:jc w:val="both"/>
        <w:rPr>
          <w:sz w:val="24"/>
        </w:rPr>
      </w:pPr>
      <w:r>
        <w:rPr>
          <w:sz w:val="24"/>
        </w:rPr>
        <w:t>Para el análisis de suficiencia de tarifa se utilizan los conceptos de frecuencia y severidad, calculados como se presentan a continuación:</w:t>
      </w:r>
    </w:p>
    <w:p w14:paraId="3CF9EDF9" w14:textId="77777777" w:rsidR="00696997" w:rsidRPr="00696997" w:rsidRDefault="00696997" w:rsidP="00696997">
      <w:pPr>
        <w:jc w:val="both"/>
        <w:rPr>
          <w:rFonts w:eastAsiaTheme="minorEastAsia"/>
          <w:sz w:val="24"/>
        </w:rPr>
      </w:pPr>
      <m:oMathPara>
        <m:oMath>
          <m:r>
            <w:rPr>
              <w:rFonts w:ascii="Cambria Math" w:hAnsi="Cambria Math"/>
              <w:sz w:val="24"/>
            </w:rPr>
            <m:t>FR</m:t>
          </m:r>
          <m:d>
            <m:dPr>
              <m:ctrlPr>
                <w:rPr>
                  <w:rFonts w:ascii="Cambria Math" w:hAnsi="Cambria Math"/>
                  <w:i/>
                  <w:sz w:val="24"/>
                </w:rPr>
              </m:ctrlPr>
            </m:dPr>
            <m:e>
              <m:r>
                <w:rPr>
                  <w:rFonts w:ascii="Cambria Math" w:hAnsi="Cambria Math"/>
                  <w:sz w:val="24"/>
                </w:rPr>
                <m:t>i</m:t>
              </m:r>
            </m:e>
          </m:d>
          <m:r>
            <w:rPr>
              <w:rFonts w:ascii="Cambria Math" w:hAnsi="Cambria Math"/>
              <w:sz w:val="24"/>
            </w:rPr>
            <m:t>=</m:t>
          </m:r>
          <m:f>
            <m:fPr>
              <m:ctrlPr>
                <w:rPr>
                  <w:rFonts w:ascii="Cambria Math" w:hAnsi="Cambria Math"/>
                  <w:i/>
                  <w:sz w:val="24"/>
                </w:rPr>
              </m:ctrlPr>
            </m:fPr>
            <m:num>
              <m:r>
                <w:rPr>
                  <w:rFonts w:ascii="Cambria Math" w:hAnsi="Cambria Math"/>
                  <w:sz w:val="24"/>
                </w:rPr>
                <m:t>N(i)</m:t>
              </m:r>
            </m:num>
            <m:den>
              <m:r>
                <w:rPr>
                  <w:rFonts w:ascii="Cambria Math" w:hAnsi="Cambria Math"/>
                  <w:sz w:val="24"/>
                </w:rPr>
                <m:t>Exp(i)</m:t>
              </m:r>
            </m:den>
          </m:f>
        </m:oMath>
      </m:oMathPara>
    </w:p>
    <w:p w14:paraId="5B2B45FE" w14:textId="77777777" w:rsidR="00696997" w:rsidRDefault="00696997" w:rsidP="00696997">
      <w:pPr>
        <w:jc w:val="both"/>
        <w:rPr>
          <w:rFonts w:eastAsiaTheme="minorEastAsia"/>
          <w:sz w:val="24"/>
        </w:rPr>
      </w:pPr>
      <w:r>
        <w:rPr>
          <w:rFonts w:eastAsiaTheme="minorEastAsia"/>
          <w:sz w:val="24"/>
        </w:rPr>
        <w:t>Donde,</w:t>
      </w:r>
    </w:p>
    <w:p w14:paraId="262907A1" w14:textId="77777777" w:rsidR="00696997" w:rsidRDefault="00696997" w:rsidP="00696997">
      <w:pPr>
        <w:jc w:val="both"/>
        <w:rPr>
          <w:rFonts w:eastAsiaTheme="minorEastAsia"/>
          <w:sz w:val="24"/>
        </w:rPr>
      </w:pPr>
      <m:oMath>
        <m:r>
          <w:rPr>
            <w:rFonts w:ascii="Cambria Math" w:hAnsi="Cambria Math"/>
            <w:sz w:val="24"/>
          </w:rPr>
          <m:t>FR</m:t>
        </m:r>
        <m:d>
          <m:dPr>
            <m:ctrlPr>
              <w:rPr>
                <w:rFonts w:ascii="Cambria Math" w:hAnsi="Cambria Math"/>
                <w:i/>
                <w:sz w:val="24"/>
              </w:rPr>
            </m:ctrlPr>
          </m:dPr>
          <m:e>
            <m:r>
              <w:rPr>
                <w:rFonts w:ascii="Cambria Math" w:hAnsi="Cambria Math"/>
                <w:sz w:val="24"/>
              </w:rPr>
              <m:t>i</m:t>
            </m:r>
          </m:e>
        </m:d>
        <m:r>
          <w:rPr>
            <w:rFonts w:ascii="Cambria Math" w:hAnsi="Cambria Math"/>
            <w:sz w:val="24"/>
          </w:rPr>
          <m:t>:</m:t>
        </m:r>
      </m:oMath>
      <w:r>
        <w:rPr>
          <w:rFonts w:eastAsiaTheme="minorEastAsia"/>
          <w:sz w:val="24"/>
        </w:rPr>
        <w:t xml:space="preserve"> Frecuencia anual de reclamación para la categoría</w:t>
      </w:r>
      <w:r w:rsidR="007D3BDC">
        <w:rPr>
          <w:rFonts w:eastAsiaTheme="minorEastAsia"/>
          <w:sz w:val="24"/>
        </w:rPr>
        <w:t xml:space="preserve"> </w:t>
      </w:r>
      <m:oMath>
        <m:r>
          <w:rPr>
            <w:rFonts w:ascii="Cambria Math" w:eastAsiaTheme="minorEastAsia" w:hAnsi="Cambria Math"/>
            <w:sz w:val="24"/>
          </w:rPr>
          <m:t>i</m:t>
        </m:r>
      </m:oMath>
      <w:r>
        <w:rPr>
          <w:rFonts w:eastAsiaTheme="minorEastAsia"/>
          <w:sz w:val="24"/>
        </w:rPr>
        <w:t>.</w:t>
      </w:r>
    </w:p>
    <w:p w14:paraId="0F16639D" w14:textId="77777777" w:rsidR="00696997" w:rsidRDefault="00696997" w:rsidP="00696997">
      <w:pPr>
        <w:jc w:val="both"/>
        <w:rPr>
          <w:rFonts w:eastAsiaTheme="minorEastAsia"/>
          <w:sz w:val="24"/>
        </w:rPr>
      </w:pPr>
      <m:oMath>
        <m:r>
          <w:rPr>
            <w:rFonts w:ascii="Cambria Math" w:hAnsi="Cambria Math"/>
            <w:sz w:val="24"/>
          </w:rPr>
          <m:t>N</m:t>
        </m:r>
        <m:d>
          <m:dPr>
            <m:ctrlPr>
              <w:rPr>
                <w:rFonts w:ascii="Cambria Math" w:hAnsi="Cambria Math"/>
                <w:i/>
                <w:sz w:val="24"/>
              </w:rPr>
            </m:ctrlPr>
          </m:dPr>
          <m:e>
            <m:r>
              <w:rPr>
                <w:rFonts w:ascii="Cambria Math" w:hAnsi="Cambria Math"/>
                <w:sz w:val="24"/>
              </w:rPr>
              <m:t>i</m:t>
            </m:r>
          </m:e>
        </m:d>
        <m:r>
          <w:rPr>
            <w:rFonts w:ascii="Cambria Math" w:hAnsi="Cambria Math"/>
            <w:sz w:val="24"/>
          </w:rPr>
          <m:t>:</m:t>
        </m:r>
      </m:oMath>
      <w:r>
        <w:rPr>
          <w:rFonts w:eastAsiaTheme="minorEastAsia"/>
          <w:sz w:val="24"/>
        </w:rPr>
        <w:t xml:space="preserve"> Número de siniestros ocurridos, para la exposición de la categoría </w:t>
      </w:r>
      <m:oMath>
        <m:r>
          <w:rPr>
            <w:rFonts w:ascii="Cambria Math" w:eastAsiaTheme="minorEastAsia" w:hAnsi="Cambria Math"/>
            <w:sz w:val="24"/>
          </w:rPr>
          <m:t>i</m:t>
        </m:r>
      </m:oMath>
      <w:r w:rsidR="007D3BDC">
        <w:rPr>
          <w:rFonts w:eastAsiaTheme="minorEastAsia"/>
          <w:sz w:val="24"/>
        </w:rPr>
        <w:t>.</w:t>
      </w:r>
    </w:p>
    <w:p w14:paraId="68F83362" w14:textId="77777777" w:rsidR="00696997" w:rsidRDefault="00696997" w:rsidP="00696997">
      <w:pPr>
        <w:jc w:val="both"/>
        <w:rPr>
          <w:rFonts w:eastAsiaTheme="minorEastAsia"/>
          <w:sz w:val="24"/>
        </w:rPr>
      </w:pPr>
      <m:oMath>
        <m:r>
          <w:rPr>
            <w:rFonts w:ascii="Cambria Math" w:hAnsi="Cambria Math"/>
            <w:sz w:val="24"/>
          </w:rPr>
          <w:lastRenderedPageBreak/>
          <m:t>Exp</m:t>
        </m:r>
        <m:d>
          <m:dPr>
            <m:ctrlPr>
              <w:rPr>
                <w:rFonts w:ascii="Cambria Math" w:hAnsi="Cambria Math"/>
                <w:i/>
                <w:sz w:val="24"/>
              </w:rPr>
            </m:ctrlPr>
          </m:dPr>
          <m:e>
            <m:r>
              <w:rPr>
                <w:rFonts w:ascii="Cambria Math" w:hAnsi="Cambria Math"/>
                <w:sz w:val="24"/>
              </w:rPr>
              <m:t>i</m:t>
            </m:r>
          </m:e>
        </m:d>
        <m:r>
          <w:rPr>
            <w:rFonts w:ascii="Cambria Math" w:hAnsi="Cambria Math"/>
            <w:sz w:val="24"/>
          </w:rPr>
          <m:t>:</m:t>
        </m:r>
      </m:oMath>
      <w:r>
        <w:rPr>
          <w:rFonts w:eastAsiaTheme="minorEastAsia"/>
          <w:sz w:val="24"/>
        </w:rPr>
        <w:t xml:space="preserve"> Número de expuestos para la categoría </w:t>
      </w:r>
      <m:oMath>
        <m:r>
          <w:rPr>
            <w:rFonts w:ascii="Cambria Math" w:eastAsiaTheme="minorEastAsia" w:hAnsi="Cambria Math"/>
            <w:sz w:val="24"/>
          </w:rPr>
          <m:t>i</m:t>
        </m:r>
      </m:oMath>
      <w:r w:rsidR="007D3BDC">
        <w:rPr>
          <w:rFonts w:eastAsiaTheme="minorEastAsia"/>
          <w:sz w:val="24"/>
        </w:rPr>
        <w:t>.</w:t>
      </w:r>
    </w:p>
    <w:p w14:paraId="14D81D08" w14:textId="77777777" w:rsidR="00696997" w:rsidRDefault="000D44A5" w:rsidP="00696997">
      <w:pPr>
        <w:jc w:val="both"/>
        <w:rPr>
          <w:rFonts w:eastAsiaTheme="minorEastAsia"/>
          <w:sz w:val="24"/>
        </w:rPr>
      </w:pPr>
      <w:r>
        <w:rPr>
          <w:rFonts w:eastAsiaTheme="minorEastAsia"/>
          <w:sz w:val="24"/>
        </w:rPr>
        <w:t>Los expuestos se calculan de acuerdo</w:t>
      </w:r>
      <w:r w:rsidR="007D3BDC">
        <w:rPr>
          <w:rFonts w:eastAsiaTheme="minorEastAsia"/>
          <w:sz w:val="24"/>
        </w:rPr>
        <w:t xml:space="preserve"> a la exposición en años de las pólizas</w:t>
      </w:r>
      <w:r>
        <w:rPr>
          <w:rFonts w:eastAsiaTheme="minorEastAsia"/>
          <w:sz w:val="24"/>
        </w:rPr>
        <w:t xml:space="preserve"> con la siguiente expresión</w:t>
      </w:r>
      <w:r w:rsidR="00696997">
        <w:rPr>
          <w:rFonts w:eastAsiaTheme="minorEastAsia"/>
          <w:sz w:val="24"/>
        </w:rPr>
        <w:t>:</w:t>
      </w:r>
    </w:p>
    <w:p w14:paraId="41DE7AFF" w14:textId="77777777" w:rsidR="00696997" w:rsidRPr="00696997" w:rsidRDefault="00696997" w:rsidP="00696997">
      <w:pPr>
        <w:jc w:val="both"/>
        <w:rPr>
          <w:rFonts w:eastAsiaTheme="minorEastAsia"/>
          <w:sz w:val="24"/>
        </w:rPr>
      </w:pPr>
      <m:oMathPara>
        <m:oMath>
          <m:r>
            <w:rPr>
              <w:rFonts w:ascii="Cambria Math" w:hAnsi="Cambria Math"/>
              <w:sz w:val="24"/>
            </w:rPr>
            <m:t>Exp=</m:t>
          </m:r>
          <m:f>
            <m:fPr>
              <m:ctrlPr>
                <w:rPr>
                  <w:rFonts w:ascii="Cambria Math" w:hAnsi="Cambria Math"/>
                  <w:i/>
                  <w:sz w:val="24"/>
                </w:rPr>
              </m:ctrlPr>
            </m:fPr>
            <m:num>
              <m:func>
                <m:funcPr>
                  <m:ctrlPr>
                    <w:rPr>
                      <w:rFonts w:ascii="Cambria Math" w:hAnsi="Cambria Math"/>
                      <w:sz w:val="24"/>
                    </w:rPr>
                  </m:ctrlPr>
                </m:funcPr>
                <m:fName>
                  <m:r>
                    <m:rPr>
                      <m:sty m:val="p"/>
                    </m:rPr>
                    <w:rPr>
                      <w:rFonts w:ascii="Cambria Math" w:hAnsi="Cambria Math"/>
                      <w:sz w:val="24"/>
                    </w:rPr>
                    <m:t>min</m:t>
                  </m:r>
                </m:fName>
                <m:e>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f</m:t>
                          </m:r>
                        </m:e>
                        <m:sub>
                          <m:r>
                            <w:rPr>
                              <w:rFonts w:ascii="Cambria Math" w:hAnsi="Cambria Math"/>
                              <w:sz w:val="24"/>
                            </w:rPr>
                            <m:t>fP</m:t>
                          </m:r>
                        </m:sub>
                      </m:sSub>
                      <m:r>
                        <w:rPr>
                          <w:rFonts w:ascii="Cambria Math" w:hAnsi="Cambria Math"/>
                          <w:sz w:val="24"/>
                        </w:rPr>
                        <m:t>,</m:t>
                      </m:r>
                      <m:sSub>
                        <m:sSubPr>
                          <m:ctrlPr>
                            <w:rPr>
                              <w:rFonts w:ascii="Cambria Math" w:hAnsi="Cambria Math"/>
                              <w:i/>
                              <w:sz w:val="24"/>
                            </w:rPr>
                          </m:ctrlPr>
                        </m:sSubPr>
                        <m:e>
                          <m:r>
                            <w:rPr>
                              <w:rFonts w:ascii="Cambria Math" w:hAnsi="Cambria Math"/>
                              <w:sz w:val="24"/>
                            </w:rPr>
                            <m:t>f</m:t>
                          </m:r>
                        </m:e>
                        <m:sub>
                          <m:r>
                            <w:rPr>
                              <w:rFonts w:ascii="Cambria Math" w:hAnsi="Cambria Math"/>
                              <w:sz w:val="24"/>
                            </w:rPr>
                            <m:t>fA</m:t>
                          </m:r>
                        </m:sub>
                      </m:sSub>
                    </m:e>
                  </m:d>
                </m:e>
              </m:func>
              <m:r>
                <w:rPr>
                  <w:rFonts w:ascii="Cambria Math" w:hAnsi="Cambria Math"/>
                  <w:sz w:val="24"/>
                </w:rPr>
                <m:t>-</m:t>
              </m:r>
              <m:r>
                <m:rPr>
                  <m:sty m:val="p"/>
                </m:rPr>
                <w:rPr>
                  <w:rFonts w:ascii="Cambria Math" w:hAnsi="Cambria Math"/>
                  <w:sz w:val="24"/>
                </w:rPr>
                <m:t>max</m:t>
              </m:r>
              <m:r>
                <w:rPr>
                  <w:rFonts w:ascii="Cambria Math" w:hAnsi="Cambria Math"/>
                  <w:sz w:val="24"/>
                </w:rPr>
                <m:t>(</m:t>
              </m:r>
              <m:sSub>
                <m:sSubPr>
                  <m:ctrlPr>
                    <w:rPr>
                      <w:rFonts w:ascii="Cambria Math" w:hAnsi="Cambria Math"/>
                      <w:i/>
                      <w:sz w:val="24"/>
                    </w:rPr>
                  </m:ctrlPr>
                </m:sSubPr>
                <m:e>
                  <m:r>
                    <w:rPr>
                      <w:rFonts w:ascii="Cambria Math" w:hAnsi="Cambria Math"/>
                      <w:sz w:val="24"/>
                    </w:rPr>
                    <m:t>f</m:t>
                  </m:r>
                </m:e>
                <m:sub>
                  <m:r>
                    <w:rPr>
                      <w:rFonts w:ascii="Cambria Math" w:hAnsi="Cambria Math"/>
                      <w:sz w:val="24"/>
                    </w:rPr>
                    <m:t>iP</m:t>
                  </m:r>
                </m:sub>
              </m:sSub>
              <m:r>
                <w:rPr>
                  <w:rFonts w:ascii="Cambria Math" w:hAnsi="Cambria Math"/>
                  <w:sz w:val="24"/>
                </w:rPr>
                <m:t>,</m:t>
              </m:r>
              <m:sSub>
                <m:sSubPr>
                  <m:ctrlPr>
                    <w:rPr>
                      <w:rFonts w:ascii="Cambria Math" w:hAnsi="Cambria Math"/>
                      <w:i/>
                      <w:sz w:val="24"/>
                    </w:rPr>
                  </m:ctrlPr>
                </m:sSubPr>
                <m:e>
                  <m:r>
                    <w:rPr>
                      <w:rFonts w:ascii="Cambria Math" w:hAnsi="Cambria Math"/>
                      <w:sz w:val="24"/>
                    </w:rPr>
                    <m:t>f</m:t>
                  </m:r>
                </m:e>
                <m:sub>
                  <m:r>
                    <w:rPr>
                      <w:rFonts w:ascii="Cambria Math" w:hAnsi="Cambria Math"/>
                      <w:sz w:val="24"/>
                    </w:rPr>
                    <m:t>iA</m:t>
                  </m:r>
                </m:sub>
              </m:sSub>
              <m:r>
                <w:rPr>
                  <w:rFonts w:ascii="Cambria Math" w:hAnsi="Cambria Math"/>
                  <w:sz w:val="24"/>
                </w:rPr>
                <m:t>)</m:t>
              </m:r>
            </m:num>
            <m:den>
              <m:sSub>
                <m:sSubPr>
                  <m:ctrlPr>
                    <w:rPr>
                      <w:rFonts w:ascii="Cambria Math" w:eastAsiaTheme="minorEastAsia" w:hAnsi="Cambria Math"/>
                      <w:i/>
                      <w:sz w:val="24"/>
                    </w:rPr>
                  </m:ctrlPr>
                </m:sSubPr>
                <m:e>
                  <m:r>
                    <w:rPr>
                      <w:rFonts w:ascii="Cambria Math" w:eastAsiaTheme="minorEastAsia" w:hAnsi="Cambria Math"/>
                      <w:sz w:val="24"/>
                    </w:rPr>
                    <m:t>f</m:t>
                  </m:r>
                </m:e>
                <m:sub>
                  <m:r>
                    <w:rPr>
                      <w:rFonts w:ascii="Cambria Math" w:eastAsiaTheme="minorEastAsia" w:hAnsi="Cambria Math"/>
                      <w:sz w:val="24"/>
                    </w:rPr>
                    <m:t>fA</m:t>
                  </m:r>
                </m:sub>
              </m:sSub>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f</m:t>
                  </m:r>
                </m:e>
                <m:sub>
                  <m:r>
                    <w:rPr>
                      <w:rFonts w:ascii="Cambria Math" w:eastAsiaTheme="minorEastAsia" w:hAnsi="Cambria Math"/>
                      <w:sz w:val="24"/>
                    </w:rPr>
                    <m:t>iA</m:t>
                  </m:r>
                </m:sub>
              </m:sSub>
            </m:den>
          </m:f>
        </m:oMath>
      </m:oMathPara>
    </w:p>
    <w:p w14:paraId="0F21603B" w14:textId="77777777" w:rsidR="00696997" w:rsidRDefault="00696997" w:rsidP="00696997">
      <w:pPr>
        <w:jc w:val="both"/>
        <w:rPr>
          <w:rFonts w:eastAsiaTheme="minorEastAsia"/>
          <w:sz w:val="24"/>
        </w:rPr>
      </w:pPr>
      <w:r>
        <w:rPr>
          <w:rFonts w:eastAsiaTheme="minorEastAsia"/>
          <w:sz w:val="24"/>
        </w:rPr>
        <w:t xml:space="preserve">En donde </w:t>
      </w:r>
      <m:oMath>
        <m:sSub>
          <m:sSubPr>
            <m:ctrlPr>
              <w:rPr>
                <w:rFonts w:ascii="Cambria Math" w:eastAsiaTheme="minorEastAsia" w:hAnsi="Cambria Math"/>
                <w:i/>
                <w:sz w:val="24"/>
              </w:rPr>
            </m:ctrlPr>
          </m:sSubPr>
          <m:e>
            <m:r>
              <w:rPr>
                <w:rFonts w:ascii="Cambria Math" w:eastAsiaTheme="minorEastAsia" w:hAnsi="Cambria Math"/>
                <w:sz w:val="24"/>
              </w:rPr>
              <m:t>f</m:t>
            </m:r>
          </m:e>
          <m:sub>
            <m:r>
              <w:rPr>
                <w:rFonts w:ascii="Cambria Math" w:eastAsiaTheme="minorEastAsia" w:hAnsi="Cambria Math"/>
                <w:sz w:val="24"/>
              </w:rPr>
              <m:t>iP</m:t>
            </m:r>
          </m:sub>
        </m:sSub>
      </m:oMath>
      <w:r>
        <w:rPr>
          <w:rFonts w:eastAsiaTheme="minorEastAsia"/>
          <w:sz w:val="24"/>
        </w:rPr>
        <w:t xml:space="preserve"> y </w:t>
      </w:r>
      <m:oMath>
        <m:sSub>
          <m:sSubPr>
            <m:ctrlPr>
              <w:rPr>
                <w:rFonts w:ascii="Cambria Math" w:eastAsiaTheme="minorEastAsia" w:hAnsi="Cambria Math"/>
                <w:i/>
                <w:sz w:val="24"/>
              </w:rPr>
            </m:ctrlPr>
          </m:sSubPr>
          <m:e>
            <m:r>
              <w:rPr>
                <w:rFonts w:ascii="Cambria Math" w:eastAsiaTheme="minorEastAsia" w:hAnsi="Cambria Math"/>
                <w:sz w:val="24"/>
              </w:rPr>
              <m:t>f</m:t>
            </m:r>
          </m:e>
          <m:sub>
            <m:r>
              <w:rPr>
                <w:rFonts w:ascii="Cambria Math" w:eastAsiaTheme="minorEastAsia" w:hAnsi="Cambria Math"/>
                <w:sz w:val="24"/>
              </w:rPr>
              <m:t>fP</m:t>
            </m:r>
          </m:sub>
        </m:sSub>
      </m:oMath>
      <w:r>
        <w:rPr>
          <w:rFonts w:eastAsiaTheme="minorEastAsia"/>
          <w:sz w:val="24"/>
        </w:rPr>
        <w:t xml:space="preserve"> son las fechas de inicio y finalización de la póliza</w:t>
      </w:r>
      <w:r w:rsidR="00B27430">
        <w:rPr>
          <w:rFonts w:eastAsiaTheme="minorEastAsia"/>
          <w:sz w:val="24"/>
        </w:rPr>
        <w:t>, respectivamente</w:t>
      </w:r>
      <w:r>
        <w:rPr>
          <w:rFonts w:eastAsiaTheme="minorEastAsia"/>
          <w:sz w:val="24"/>
        </w:rPr>
        <w:t xml:space="preserve">. </w:t>
      </w:r>
      <m:oMath>
        <m:sSub>
          <m:sSubPr>
            <m:ctrlPr>
              <w:rPr>
                <w:rFonts w:ascii="Cambria Math" w:eastAsiaTheme="minorEastAsia" w:hAnsi="Cambria Math"/>
                <w:i/>
                <w:sz w:val="24"/>
              </w:rPr>
            </m:ctrlPr>
          </m:sSubPr>
          <m:e>
            <m:r>
              <w:rPr>
                <w:rFonts w:ascii="Cambria Math" w:eastAsiaTheme="minorEastAsia" w:hAnsi="Cambria Math"/>
                <w:sz w:val="24"/>
              </w:rPr>
              <m:t>f</m:t>
            </m:r>
          </m:e>
          <m:sub>
            <m:r>
              <w:rPr>
                <w:rFonts w:ascii="Cambria Math" w:eastAsiaTheme="minorEastAsia" w:hAnsi="Cambria Math"/>
                <w:sz w:val="24"/>
              </w:rPr>
              <m:t>iA</m:t>
            </m:r>
          </m:sub>
        </m:sSub>
      </m:oMath>
      <w:r>
        <w:rPr>
          <w:rFonts w:eastAsiaTheme="minorEastAsia"/>
          <w:sz w:val="24"/>
        </w:rPr>
        <w:t xml:space="preserve"> y </w:t>
      </w:r>
      <m:oMath>
        <m:sSub>
          <m:sSubPr>
            <m:ctrlPr>
              <w:rPr>
                <w:rFonts w:ascii="Cambria Math" w:eastAsiaTheme="minorEastAsia" w:hAnsi="Cambria Math"/>
                <w:i/>
                <w:sz w:val="24"/>
              </w:rPr>
            </m:ctrlPr>
          </m:sSubPr>
          <m:e>
            <m:r>
              <w:rPr>
                <w:rFonts w:ascii="Cambria Math" w:eastAsiaTheme="minorEastAsia" w:hAnsi="Cambria Math"/>
                <w:sz w:val="24"/>
              </w:rPr>
              <m:t>f</m:t>
            </m:r>
          </m:e>
          <m:sub>
            <m:r>
              <w:rPr>
                <w:rFonts w:ascii="Cambria Math" w:eastAsiaTheme="minorEastAsia" w:hAnsi="Cambria Math"/>
                <w:sz w:val="24"/>
              </w:rPr>
              <m:t>fA</m:t>
            </m:r>
          </m:sub>
        </m:sSub>
      </m:oMath>
      <w:r>
        <w:rPr>
          <w:rFonts w:eastAsiaTheme="minorEastAsia"/>
          <w:sz w:val="24"/>
        </w:rPr>
        <w:t xml:space="preserve"> son las fechas de inicio y fin de análisis</w:t>
      </w:r>
      <w:r w:rsidR="00C94E04">
        <w:rPr>
          <w:rFonts w:eastAsiaTheme="minorEastAsia"/>
          <w:sz w:val="24"/>
        </w:rPr>
        <w:t>,</w:t>
      </w:r>
      <w:r w:rsidR="00B27430">
        <w:rPr>
          <w:rFonts w:eastAsiaTheme="minorEastAsia"/>
          <w:sz w:val="24"/>
        </w:rPr>
        <w:t xml:space="preserve"> en cada caso</w:t>
      </w:r>
      <w:r>
        <w:rPr>
          <w:rFonts w:eastAsiaTheme="minorEastAsia"/>
          <w:sz w:val="24"/>
        </w:rPr>
        <w:t>.</w:t>
      </w:r>
    </w:p>
    <w:p w14:paraId="0E7577E0" w14:textId="77777777" w:rsidR="00696997" w:rsidRDefault="00585762" w:rsidP="00696997">
      <w:pPr>
        <w:jc w:val="both"/>
        <w:rPr>
          <w:rFonts w:eastAsiaTheme="minorEastAsia"/>
          <w:sz w:val="24"/>
        </w:rPr>
      </w:pPr>
      <w:r>
        <w:rPr>
          <w:rFonts w:eastAsiaTheme="minorEastAsia"/>
          <w:sz w:val="24"/>
        </w:rPr>
        <w:t>El costo medio de los siniestros</w:t>
      </w:r>
      <w:r w:rsidR="000E2826">
        <w:rPr>
          <w:rFonts w:eastAsiaTheme="minorEastAsia"/>
          <w:sz w:val="24"/>
        </w:rPr>
        <w:t xml:space="preserve"> (severidad)</w:t>
      </w:r>
      <w:r>
        <w:rPr>
          <w:rFonts w:eastAsiaTheme="minorEastAsia"/>
          <w:sz w:val="24"/>
        </w:rPr>
        <w:t xml:space="preserve"> se calcula a través de la siguiente ecuación:</w:t>
      </w:r>
    </w:p>
    <w:p w14:paraId="4B8487F1" w14:textId="77777777" w:rsidR="00585762" w:rsidRPr="00585762" w:rsidRDefault="00960697" w:rsidP="00696997">
      <w:pPr>
        <w:jc w:val="both"/>
        <w:rPr>
          <w:rFonts w:eastAsiaTheme="minorEastAsia"/>
          <w:sz w:val="24"/>
        </w:rPr>
      </w:pPr>
      <m:oMathPara>
        <m:oMath>
          <m:acc>
            <m:accPr>
              <m:chr m:val="̅"/>
              <m:ctrlPr>
                <w:rPr>
                  <w:rFonts w:ascii="Cambria Math" w:hAnsi="Cambria Math"/>
                  <w:i/>
                  <w:sz w:val="24"/>
                </w:rPr>
              </m:ctrlPr>
            </m:accPr>
            <m:e>
              <m:r>
                <w:rPr>
                  <w:rFonts w:ascii="Cambria Math" w:hAnsi="Cambria Math"/>
                  <w:sz w:val="24"/>
                </w:rPr>
                <m:t>S</m:t>
              </m:r>
            </m:e>
          </m:acc>
          <m:d>
            <m:dPr>
              <m:ctrlPr>
                <w:rPr>
                  <w:rFonts w:ascii="Cambria Math" w:hAnsi="Cambria Math"/>
                  <w:i/>
                  <w:sz w:val="24"/>
                </w:rPr>
              </m:ctrlPr>
            </m:dPr>
            <m:e>
              <m:r>
                <w:rPr>
                  <w:rFonts w:ascii="Cambria Math" w:hAnsi="Cambria Math"/>
                  <w:sz w:val="24"/>
                </w:rPr>
                <m:t>i</m:t>
              </m:r>
            </m:e>
          </m:d>
          <m:r>
            <w:rPr>
              <w:rFonts w:ascii="Cambria Math" w:hAnsi="Cambria Math"/>
              <w:sz w:val="24"/>
            </w:rPr>
            <m:t>=</m:t>
          </m:r>
          <m:f>
            <m:fPr>
              <m:ctrlPr>
                <w:rPr>
                  <w:rFonts w:ascii="Cambria Math" w:hAnsi="Cambria Math"/>
                  <w:i/>
                  <w:sz w:val="24"/>
                </w:rPr>
              </m:ctrlPr>
            </m:fPr>
            <m:num>
              <m:nary>
                <m:naryPr>
                  <m:chr m:val="∑"/>
                  <m:limLoc m:val="undOvr"/>
                  <m:ctrlPr>
                    <w:rPr>
                      <w:rFonts w:ascii="Cambria Math" w:hAnsi="Cambria Math"/>
                      <w:i/>
                      <w:sz w:val="24"/>
                    </w:rPr>
                  </m:ctrlPr>
                </m:naryPr>
                <m:sub>
                  <m:r>
                    <w:rPr>
                      <w:rFonts w:ascii="Cambria Math" w:hAnsi="Cambria Math"/>
                      <w:sz w:val="24"/>
                    </w:rPr>
                    <m:t>k=1</m:t>
                  </m:r>
                </m:sub>
                <m:sup>
                  <m:r>
                    <w:rPr>
                      <w:rFonts w:ascii="Cambria Math" w:hAnsi="Cambria Math"/>
                      <w:sz w:val="24"/>
                    </w:rPr>
                    <m:t>N(i)</m:t>
                  </m:r>
                </m:sup>
                <m:e>
                  <m:r>
                    <w:rPr>
                      <w:rFonts w:ascii="Cambria Math" w:hAnsi="Cambria Math"/>
                      <w:sz w:val="24"/>
                    </w:rPr>
                    <m:t>S(k)</m:t>
                  </m:r>
                </m:e>
              </m:nary>
            </m:num>
            <m:den>
              <m:r>
                <w:rPr>
                  <w:rFonts w:ascii="Cambria Math" w:hAnsi="Cambria Math"/>
                  <w:sz w:val="24"/>
                </w:rPr>
                <m:t>N(i)</m:t>
              </m:r>
            </m:den>
          </m:f>
        </m:oMath>
      </m:oMathPara>
    </w:p>
    <w:p w14:paraId="366011E7" w14:textId="77777777" w:rsidR="00585762" w:rsidRDefault="00585762" w:rsidP="00696997">
      <w:pPr>
        <w:jc w:val="both"/>
        <w:rPr>
          <w:rFonts w:eastAsiaTheme="minorEastAsia"/>
          <w:sz w:val="24"/>
        </w:rPr>
      </w:pPr>
      <w:r>
        <w:rPr>
          <w:rFonts w:eastAsiaTheme="minorEastAsia"/>
          <w:sz w:val="24"/>
        </w:rPr>
        <w:t>Donde,</w:t>
      </w:r>
    </w:p>
    <w:p w14:paraId="1E9B8D3B" w14:textId="77777777" w:rsidR="00585762" w:rsidRDefault="00960697" w:rsidP="00696997">
      <w:pPr>
        <w:jc w:val="both"/>
        <w:rPr>
          <w:rFonts w:eastAsiaTheme="minorEastAsia"/>
          <w:sz w:val="24"/>
        </w:rPr>
      </w:pPr>
      <m:oMath>
        <m:acc>
          <m:accPr>
            <m:chr m:val="̅"/>
            <m:ctrlPr>
              <w:rPr>
                <w:rFonts w:ascii="Cambria Math" w:hAnsi="Cambria Math"/>
                <w:i/>
                <w:sz w:val="24"/>
              </w:rPr>
            </m:ctrlPr>
          </m:accPr>
          <m:e>
            <m:r>
              <w:rPr>
                <w:rFonts w:ascii="Cambria Math" w:hAnsi="Cambria Math"/>
                <w:sz w:val="24"/>
              </w:rPr>
              <m:t>S</m:t>
            </m:r>
          </m:e>
        </m:acc>
        <m:d>
          <m:dPr>
            <m:ctrlPr>
              <w:rPr>
                <w:rFonts w:ascii="Cambria Math" w:hAnsi="Cambria Math"/>
                <w:i/>
                <w:sz w:val="24"/>
              </w:rPr>
            </m:ctrlPr>
          </m:dPr>
          <m:e>
            <m:r>
              <w:rPr>
                <w:rFonts w:ascii="Cambria Math" w:hAnsi="Cambria Math"/>
                <w:sz w:val="24"/>
              </w:rPr>
              <m:t>i</m:t>
            </m:r>
          </m:e>
        </m:d>
        <m:r>
          <w:rPr>
            <w:rFonts w:ascii="Cambria Math" w:hAnsi="Cambria Math"/>
            <w:sz w:val="24"/>
          </w:rPr>
          <m:t>:</m:t>
        </m:r>
      </m:oMath>
      <w:r w:rsidR="00585762">
        <w:rPr>
          <w:rFonts w:eastAsiaTheme="minorEastAsia"/>
          <w:sz w:val="24"/>
        </w:rPr>
        <w:t xml:space="preserve"> Valor promedio del siniestro en número de Salarios Mínimos Diarios Legales Vigentes (SMDLV), para la categoría </w:t>
      </w:r>
      <m:oMath>
        <m:r>
          <w:rPr>
            <w:rFonts w:ascii="Cambria Math" w:eastAsiaTheme="minorEastAsia" w:hAnsi="Cambria Math"/>
            <w:sz w:val="24"/>
          </w:rPr>
          <m:t>i</m:t>
        </m:r>
      </m:oMath>
      <w:r w:rsidR="007D3BDC">
        <w:rPr>
          <w:rFonts w:eastAsiaTheme="minorEastAsia"/>
          <w:sz w:val="24"/>
        </w:rPr>
        <w:t>.</w:t>
      </w:r>
    </w:p>
    <w:p w14:paraId="5085E0C2" w14:textId="77777777" w:rsidR="00585762" w:rsidRDefault="00585762" w:rsidP="00696997">
      <w:pPr>
        <w:jc w:val="both"/>
        <w:rPr>
          <w:rFonts w:eastAsiaTheme="minorEastAsia"/>
          <w:sz w:val="24"/>
        </w:rPr>
      </w:pPr>
      <m:oMath>
        <m:r>
          <w:rPr>
            <w:rFonts w:ascii="Cambria Math" w:hAnsi="Cambria Math"/>
            <w:sz w:val="24"/>
          </w:rPr>
          <m:t>S</m:t>
        </m:r>
        <m:d>
          <m:dPr>
            <m:ctrlPr>
              <w:rPr>
                <w:rFonts w:ascii="Cambria Math" w:hAnsi="Cambria Math"/>
                <w:i/>
                <w:sz w:val="24"/>
              </w:rPr>
            </m:ctrlPr>
          </m:dPr>
          <m:e>
            <m:r>
              <w:rPr>
                <w:rFonts w:ascii="Cambria Math" w:hAnsi="Cambria Math"/>
                <w:sz w:val="24"/>
              </w:rPr>
              <m:t>k</m:t>
            </m:r>
          </m:e>
        </m:d>
        <m:r>
          <w:rPr>
            <w:rFonts w:ascii="Cambria Math" w:hAnsi="Cambria Math"/>
            <w:sz w:val="24"/>
          </w:rPr>
          <m:t>:</m:t>
        </m:r>
      </m:oMath>
      <w:r>
        <w:rPr>
          <w:rFonts w:eastAsiaTheme="minorEastAsia"/>
          <w:sz w:val="24"/>
        </w:rPr>
        <w:t xml:space="preserve"> Valor del siniestro k en SMDLV.</w:t>
      </w:r>
    </w:p>
    <w:p w14:paraId="3B0C4187" w14:textId="77777777" w:rsidR="00632EE3" w:rsidRDefault="00632EE3" w:rsidP="00696997">
      <w:pPr>
        <w:jc w:val="both"/>
        <w:rPr>
          <w:rFonts w:eastAsiaTheme="minorEastAsia"/>
          <w:sz w:val="24"/>
        </w:rPr>
      </w:pPr>
    </w:p>
    <w:p w14:paraId="603AA3B8" w14:textId="77777777" w:rsidR="00632EE3" w:rsidRPr="00646257" w:rsidRDefault="00646257" w:rsidP="00646257">
      <w:pPr>
        <w:pStyle w:val="Prrafodelista"/>
        <w:numPr>
          <w:ilvl w:val="0"/>
          <w:numId w:val="15"/>
        </w:numPr>
        <w:jc w:val="both"/>
        <w:rPr>
          <w:sz w:val="24"/>
        </w:rPr>
      </w:pPr>
      <w:r>
        <w:rPr>
          <w:sz w:val="24"/>
        </w:rPr>
        <w:t>Supuesto</w:t>
      </w:r>
      <w:r w:rsidR="00632EE3" w:rsidRPr="00646257">
        <w:rPr>
          <w:sz w:val="24"/>
        </w:rPr>
        <w:t xml:space="preserve"> Financier</w:t>
      </w:r>
      <w:r>
        <w:rPr>
          <w:sz w:val="24"/>
        </w:rPr>
        <w:t>o</w:t>
      </w:r>
    </w:p>
    <w:p w14:paraId="44A7B537" w14:textId="77777777" w:rsidR="00632EE3" w:rsidRDefault="00632EE3" w:rsidP="00632EE3">
      <w:pPr>
        <w:jc w:val="both"/>
        <w:rPr>
          <w:sz w:val="24"/>
        </w:rPr>
      </w:pPr>
      <w:r>
        <w:rPr>
          <w:sz w:val="24"/>
        </w:rPr>
        <w:t>Para el cálculo de la Tasa Anual de Descuento se utiliza un EWMA de la DTF para el año de referencia o estudio.</w:t>
      </w:r>
    </w:p>
    <w:p w14:paraId="70DFE3FB" w14:textId="77777777" w:rsidR="001D0526" w:rsidRDefault="001D0526" w:rsidP="001D0526">
      <w:pPr>
        <w:pStyle w:val="Prrafodelista"/>
        <w:jc w:val="both"/>
        <w:rPr>
          <w:sz w:val="24"/>
        </w:rPr>
      </w:pPr>
    </w:p>
    <w:p w14:paraId="583A0EB1" w14:textId="77777777" w:rsidR="00646257" w:rsidRDefault="00632EE3" w:rsidP="00646257">
      <w:pPr>
        <w:pStyle w:val="Prrafodelista"/>
        <w:numPr>
          <w:ilvl w:val="0"/>
          <w:numId w:val="15"/>
        </w:numPr>
        <w:jc w:val="both"/>
        <w:rPr>
          <w:sz w:val="24"/>
        </w:rPr>
      </w:pPr>
      <w:r w:rsidRPr="00646257">
        <w:rPr>
          <w:sz w:val="24"/>
        </w:rPr>
        <w:t>Tasa y Prima Pura de Riesgo</w:t>
      </w:r>
    </w:p>
    <w:p w14:paraId="4652758A" w14:textId="77777777" w:rsidR="00632EE3" w:rsidRPr="000E2826" w:rsidRDefault="00632EE3" w:rsidP="00646257">
      <w:pPr>
        <w:pStyle w:val="Prrafodelista"/>
        <w:numPr>
          <w:ilvl w:val="1"/>
          <w:numId w:val="15"/>
        </w:numPr>
        <w:jc w:val="both"/>
        <w:rPr>
          <w:i/>
          <w:sz w:val="24"/>
        </w:rPr>
      </w:pPr>
      <w:r w:rsidRPr="000E2826">
        <w:rPr>
          <w:i/>
          <w:sz w:val="24"/>
        </w:rPr>
        <w:t>Tasa Pura de Riesgo</w:t>
      </w:r>
    </w:p>
    <w:p w14:paraId="647415C8" w14:textId="77777777" w:rsidR="00632EE3" w:rsidRDefault="00632EE3" w:rsidP="00632EE3">
      <w:pPr>
        <w:jc w:val="both"/>
        <w:rPr>
          <w:rFonts w:eastAsiaTheme="minorEastAsia"/>
          <w:sz w:val="24"/>
        </w:rPr>
      </w:pPr>
      <w:r>
        <w:rPr>
          <w:sz w:val="24"/>
        </w:rPr>
        <w:t xml:space="preserve">Se define </w:t>
      </w:r>
      <m:oMath>
        <m:r>
          <w:rPr>
            <w:rFonts w:ascii="Cambria Math" w:hAnsi="Cambria Math"/>
            <w:sz w:val="24"/>
          </w:rPr>
          <m:t>TP(i)</m:t>
        </m:r>
      </m:oMath>
      <w:r w:rsidR="00AC2309">
        <w:rPr>
          <w:rFonts w:eastAsiaTheme="minorEastAsia"/>
          <w:sz w:val="24"/>
        </w:rPr>
        <w:t xml:space="preserve"> como la tasa pura de riesgo en SMDLV para la categoría </w:t>
      </w:r>
      <m:oMath>
        <m:r>
          <w:rPr>
            <w:rFonts w:ascii="Cambria Math" w:eastAsiaTheme="minorEastAsia" w:hAnsi="Cambria Math"/>
            <w:sz w:val="24"/>
          </w:rPr>
          <m:t>i</m:t>
        </m:r>
      </m:oMath>
      <w:r w:rsidR="007D3BDC">
        <w:rPr>
          <w:rFonts w:eastAsiaTheme="minorEastAsia"/>
          <w:sz w:val="24"/>
        </w:rPr>
        <w:t>.</w:t>
      </w:r>
    </w:p>
    <w:p w14:paraId="54749403" w14:textId="77777777" w:rsidR="00AC2309" w:rsidRPr="00AC2309" w:rsidRDefault="00AC2309" w:rsidP="00632EE3">
      <w:pPr>
        <w:jc w:val="both"/>
        <w:rPr>
          <w:rFonts w:eastAsiaTheme="minorEastAsia"/>
          <w:sz w:val="24"/>
        </w:rPr>
      </w:pPr>
      <m:oMathPara>
        <m:oMath>
          <m:r>
            <w:rPr>
              <w:rFonts w:ascii="Cambria Math" w:hAnsi="Cambria Math"/>
              <w:sz w:val="24"/>
            </w:rPr>
            <m:t>TP</m:t>
          </m:r>
          <m:d>
            <m:dPr>
              <m:ctrlPr>
                <w:rPr>
                  <w:rFonts w:ascii="Cambria Math" w:hAnsi="Cambria Math"/>
                  <w:i/>
                  <w:sz w:val="24"/>
                </w:rPr>
              </m:ctrlPr>
            </m:dPr>
            <m:e>
              <m:r>
                <w:rPr>
                  <w:rFonts w:ascii="Cambria Math" w:hAnsi="Cambria Math"/>
                  <w:sz w:val="24"/>
                </w:rPr>
                <m:t>i</m:t>
              </m:r>
            </m:e>
          </m:d>
          <m:r>
            <w:rPr>
              <w:rFonts w:ascii="Cambria Math" w:hAnsi="Cambria Math"/>
              <w:sz w:val="24"/>
            </w:rPr>
            <m:t>=FR</m:t>
          </m:r>
          <m:d>
            <m:dPr>
              <m:ctrlPr>
                <w:rPr>
                  <w:rFonts w:ascii="Cambria Math" w:hAnsi="Cambria Math"/>
                  <w:i/>
                  <w:sz w:val="24"/>
                </w:rPr>
              </m:ctrlPr>
            </m:dPr>
            <m:e>
              <m:r>
                <w:rPr>
                  <w:rFonts w:ascii="Cambria Math" w:hAnsi="Cambria Math"/>
                  <w:sz w:val="24"/>
                </w:rPr>
                <m:t>i</m:t>
              </m:r>
            </m:e>
          </m:d>
          <m:r>
            <w:rPr>
              <w:rFonts w:ascii="Cambria Math" w:hAnsi="Cambria Math"/>
              <w:sz w:val="24"/>
            </w:rPr>
            <m:t>*</m:t>
          </m:r>
          <m:acc>
            <m:accPr>
              <m:chr m:val="̅"/>
              <m:ctrlPr>
                <w:rPr>
                  <w:rFonts w:ascii="Cambria Math" w:hAnsi="Cambria Math"/>
                  <w:i/>
                  <w:sz w:val="24"/>
                </w:rPr>
              </m:ctrlPr>
            </m:accPr>
            <m:e>
              <m:r>
                <w:rPr>
                  <w:rFonts w:ascii="Cambria Math" w:hAnsi="Cambria Math"/>
                  <w:sz w:val="24"/>
                </w:rPr>
                <m:t>S</m:t>
              </m:r>
            </m:e>
          </m:acc>
          <m:r>
            <w:rPr>
              <w:rFonts w:ascii="Cambria Math" w:hAnsi="Cambria Math"/>
              <w:sz w:val="24"/>
            </w:rPr>
            <m:t>(i)</m:t>
          </m:r>
        </m:oMath>
      </m:oMathPara>
    </w:p>
    <w:p w14:paraId="175F28AF" w14:textId="77777777" w:rsidR="00AC2309" w:rsidRPr="000E2826" w:rsidRDefault="00AC2309" w:rsidP="00646257">
      <w:pPr>
        <w:pStyle w:val="Prrafodelista"/>
        <w:numPr>
          <w:ilvl w:val="1"/>
          <w:numId w:val="15"/>
        </w:numPr>
        <w:jc w:val="both"/>
        <w:rPr>
          <w:rFonts w:eastAsiaTheme="minorEastAsia"/>
          <w:i/>
          <w:sz w:val="24"/>
        </w:rPr>
      </w:pPr>
      <w:r w:rsidRPr="000E2826">
        <w:rPr>
          <w:rFonts w:eastAsiaTheme="minorEastAsia"/>
          <w:i/>
          <w:sz w:val="24"/>
        </w:rPr>
        <w:t>Prima Pura de Riesgo</w:t>
      </w:r>
    </w:p>
    <w:p w14:paraId="38A88323" w14:textId="77777777" w:rsidR="00AC2309" w:rsidRDefault="00AC2309" w:rsidP="00AC2309">
      <w:pPr>
        <w:jc w:val="both"/>
        <w:rPr>
          <w:sz w:val="24"/>
        </w:rPr>
      </w:pPr>
      <w:r>
        <w:rPr>
          <w:sz w:val="24"/>
        </w:rPr>
        <w:t>A partir de la tasa pura de riesgo para cada categoría, se obtiene el valor presente del monto a pagar para compensar los siniestros, por categoría, ajustado por un factor de seguridad</w:t>
      </w:r>
      <w:r w:rsidR="00394345">
        <w:rPr>
          <w:sz w:val="24"/>
        </w:rPr>
        <w:t xml:space="preserve"> ante posibles desviaciones de siniestros</w:t>
      </w:r>
      <w:r>
        <w:rPr>
          <w:sz w:val="24"/>
        </w:rPr>
        <w:t xml:space="preserve"> y un factor de descuento (asumiendo </w:t>
      </w:r>
      <w:r w:rsidR="00CC5FF5">
        <w:rPr>
          <w:sz w:val="24"/>
        </w:rPr>
        <w:t>que el pago se realiza a mitad de año):</w:t>
      </w:r>
    </w:p>
    <w:p w14:paraId="33BBAD15" w14:textId="77777777" w:rsidR="00CC5FF5" w:rsidRPr="00CC5FF5" w:rsidRDefault="00CC5FF5" w:rsidP="00AC2309">
      <w:pPr>
        <w:jc w:val="both"/>
        <w:rPr>
          <w:rFonts w:eastAsiaTheme="minorEastAsia"/>
          <w:sz w:val="24"/>
        </w:rPr>
      </w:pPr>
      <m:oMathPara>
        <m:oMath>
          <m:r>
            <w:rPr>
              <w:rFonts w:ascii="Cambria Math" w:hAnsi="Cambria Math"/>
              <w:sz w:val="24"/>
            </w:rPr>
            <m:t>PP</m:t>
          </m:r>
          <m:d>
            <m:dPr>
              <m:ctrlPr>
                <w:rPr>
                  <w:rFonts w:ascii="Cambria Math" w:hAnsi="Cambria Math"/>
                  <w:i/>
                  <w:sz w:val="24"/>
                </w:rPr>
              </m:ctrlPr>
            </m:dPr>
            <m:e>
              <m:r>
                <w:rPr>
                  <w:rFonts w:ascii="Cambria Math" w:hAnsi="Cambria Math"/>
                  <w:sz w:val="24"/>
                </w:rPr>
                <m:t>i</m:t>
              </m:r>
            </m:e>
          </m:d>
          <m:r>
            <w:rPr>
              <w:rFonts w:ascii="Cambria Math" w:hAnsi="Cambria Math"/>
              <w:sz w:val="24"/>
            </w:rPr>
            <m:t>=</m:t>
          </m:r>
          <m:f>
            <m:fPr>
              <m:ctrlPr>
                <w:rPr>
                  <w:rFonts w:ascii="Cambria Math" w:hAnsi="Cambria Math"/>
                  <w:i/>
                  <w:sz w:val="24"/>
                </w:rPr>
              </m:ctrlPr>
            </m:fPr>
            <m:num>
              <m:r>
                <w:rPr>
                  <w:rFonts w:ascii="Cambria Math" w:hAnsi="Cambria Math"/>
                  <w:sz w:val="24"/>
                </w:rPr>
                <m:t>TP</m:t>
              </m:r>
              <m:d>
                <m:dPr>
                  <m:ctrlPr>
                    <w:rPr>
                      <w:rFonts w:ascii="Cambria Math" w:hAnsi="Cambria Math"/>
                      <w:i/>
                      <w:sz w:val="24"/>
                    </w:rPr>
                  </m:ctrlPr>
                </m:dPr>
                <m:e>
                  <m:r>
                    <w:rPr>
                      <w:rFonts w:ascii="Cambria Math" w:hAnsi="Cambria Math"/>
                      <w:sz w:val="24"/>
                    </w:rPr>
                    <m:t>i</m:t>
                  </m:r>
                </m:e>
              </m:d>
              <m:r>
                <w:rPr>
                  <w:rFonts w:ascii="Cambria Math" w:hAnsi="Cambria Math"/>
                  <w:sz w:val="24"/>
                </w:rPr>
                <m:t>*(1+θ)</m:t>
              </m:r>
            </m:num>
            <m:den>
              <m:sSup>
                <m:sSupPr>
                  <m:ctrlPr>
                    <w:rPr>
                      <w:rFonts w:ascii="Cambria Math" w:hAnsi="Cambria Math"/>
                      <w:i/>
                      <w:sz w:val="24"/>
                    </w:rPr>
                  </m:ctrlPr>
                </m:sSupPr>
                <m:e>
                  <m:r>
                    <w:rPr>
                      <w:rFonts w:ascii="Cambria Math" w:hAnsi="Cambria Math"/>
                      <w:sz w:val="24"/>
                    </w:rPr>
                    <m:t>(1+j)</m:t>
                  </m:r>
                </m:e>
                <m:sup>
                  <m:r>
                    <w:rPr>
                      <w:rFonts w:ascii="Cambria Math" w:hAnsi="Cambria Math"/>
                      <w:sz w:val="24"/>
                    </w:rPr>
                    <m:t>1/2</m:t>
                  </m:r>
                </m:sup>
              </m:sSup>
            </m:den>
          </m:f>
        </m:oMath>
      </m:oMathPara>
    </w:p>
    <w:p w14:paraId="41EBD087" w14:textId="77777777" w:rsidR="00CC5FF5" w:rsidRDefault="00CC5FF5" w:rsidP="00AC2309">
      <w:pPr>
        <w:jc w:val="both"/>
        <w:rPr>
          <w:rFonts w:eastAsiaTheme="minorEastAsia"/>
          <w:sz w:val="24"/>
        </w:rPr>
      </w:pPr>
      <w:r>
        <w:rPr>
          <w:rFonts w:eastAsiaTheme="minorEastAsia"/>
          <w:sz w:val="24"/>
        </w:rPr>
        <w:lastRenderedPageBreak/>
        <w:t>Donde,</w:t>
      </w:r>
    </w:p>
    <w:p w14:paraId="0EAB92FA" w14:textId="77777777" w:rsidR="00CC5FF5" w:rsidRDefault="00CC5FF5" w:rsidP="00AC2309">
      <w:pPr>
        <w:jc w:val="both"/>
        <w:rPr>
          <w:rFonts w:eastAsiaTheme="minorEastAsia"/>
          <w:sz w:val="24"/>
        </w:rPr>
      </w:pPr>
      <m:oMath>
        <m:r>
          <w:rPr>
            <w:rFonts w:ascii="Cambria Math" w:hAnsi="Cambria Math"/>
            <w:sz w:val="24"/>
          </w:rPr>
          <m:t>PP</m:t>
        </m:r>
        <m:d>
          <m:dPr>
            <m:ctrlPr>
              <w:rPr>
                <w:rFonts w:ascii="Cambria Math" w:hAnsi="Cambria Math"/>
                <w:i/>
                <w:sz w:val="24"/>
              </w:rPr>
            </m:ctrlPr>
          </m:dPr>
          <m:e>
            <m:r>
              <w:rPr>
                <w:rFonts w:ascii="Cambria Math" w:hAnsi="Cambria Math"/>
                <w:sz w:val="24"/>
              </w:rPr>
              <m:t>i</m:t>
            </m:r>
          </m:e>
        </m:d>
        <m:r>
          <w:rPr>
            <w:rFonts w:ascii="Cambria Math" w:hAnsi="Cambria Math"/>
            <w:sz w:val="24"/>
          </w:rPr>
          <m:t>:</m:t>
        </m:r>
      </m:oMath>
      <w:r>
        <w:rPr>
          <w:rFonts w:eastAsiaTheme="minorEastAsia"/>
          <w:sz w:val="24"/>
        </w:rPr>
        <w:t xml:space="preserve"> Prima Pura de Riesgo para el año, en SMDLV, para la categoría </w:t>
      </w:r>
      <m:oMath>
        <m:r>
          <w:rPr>
            <w:rFonts w:ascii="Cambria Math" w:eastAsiaTheme="minorEastAsia" w:hAnsi="Cambria Math"/>
            <w:sz w:val="24"/>
          </w:rPr>
          <m:t>i</m:t>
        </m:r>
      </m:oMath>
      <w:r w:rsidR="007D3BDC">
        <w:rPr>
          <w:rFonts w:eastAsiaTheme="minorEastAsia"/>
          <w:sz w:val="24"/>
        </w:rPr>
        <w:t>.</w:t>
      </w:r>
    </w:p>
    <w:p w14:paraId="673242AE" w14:textId="77777777" w:rsidR="00CC5FF5" w:rsidRDefault="00CC5FF5" w:rsidP="00AC2309">
      <w:pPr>
        <w:jc w:val="both"/>
        <w:rPr>
          <w:rFonts w:eastAsiaTheme="minorEastAsia"/>
          <w:sz w:val="24"/>
        </w:rPr>
      </w:pPr>
      <m:oMath>
        <m:r>
          <w:rPr>
            <w:rFonts w:ascii="Cambria Math" w:hAnsi="Cambria Math"/>
            <w:sz w:val="24"/>
          </w:rPr>
          <m:t>θ</m:t>
        </m:r>
        <m:r>
          <w:rPr>
            <w:rFonts w:ascii="Cambria Math" w:eastAsiaTheme="minorEastAsia" w:hAnsi="Cambria Math"/>
            <w:sz w:val="24"/>
          </w:rPr>
          <m:t>:</m:t>
        </m:r>
      </m:oMath>
      <w:r>
        <w:rPr>
          <w:rFonts w:eastAsiaTheme="minorEastAsia"/>
          <w:sz w:val="24"/>
        </w:rPr>
        <w:t xml:space="preserve"> Factor de seguridad considerado </w:t>
      </w:r>
      <w:r w:rsidR="00394345">
        <w:rPr>
          <w:rFonts w:eastAsiaTheme="minorEastAsia"/>
          <w:sz w:val="24"/>
        </w:rPr>
        <w:t>d</w:t>
      </w:r>
      <w:r>
        <w:rPr>
          <w:rFonts w:eastAsiaTheme="minorEastAsia"/>
          <w:sz w:val="24"/>
        </w:rPr>
        <w:t>el 1%.</w:t>
      </w:r>
    </w:p>
    <w:p w14:paraId="0E350074" w14:textId="77777777" w:rsidR="00CC5FF5" w:rsidRDefault="00CC5FF5" w:rsidP="00AC2309">
      <w:pPr>
        <w:jc w:val="both"/>
        <w:rPr>
          <w:rFonts w:eastAsiaTheme="minorEastAsia"/>
          <w:sz w:val="24"/>
        </w:rPr>
      </w:pPr>
      <m:oMath>
        <m:r>
          <w:rPr>
            <w:rFonts w:ascii="Cambria Math" w:hAnsi="Cambria Math"/>
            <w:sz w:val="24"/>
          </w:rPr>
          <m:t>j:</m:t>
        </m:r>
      </m:oMath>
      <w:r>
        <w:rPr>
          <w:rFonts w:eastAsiaTheme="minorEastAsia"/>
          <w:sz w:val="24"/>
        </w:rPr>
        <w:t xml:space="preserve"> Tasa Anual de Descuento relacionada en las hipótesis financieras.</w:t>
      </w:r>
    </w:p>
    <w:p w14:paraId="225F238E" w14:textId="77777777" w:rsidR="004406A8" w:rsidRDefault="004406A8" w:rsidP="004406A8">
      <w:pPr>
        <w:pStyle w:val="Prrafodelista"/>
        <w:rPr>
          <w:sz w:val="24"/>
        </w:rPr>
      </w:pPr>
    </w:p>
    <w:p w14:paraId="36E3C804" w14:textId="77777777" w:rsidR="001D0526" w:rsidRPr="004406A8" w:rsidRDefault="001D0526" w:rsidP="00646257">
      <w:pPr>
        <w:pStyle w:val="Prrafodelista"/>
        <w:numPr>
          <w:ilvl w:val="0"/>
          <w:numId w:val="15"/>
        </w:numPr>
        <w:rPr>
          <w:sz w:val="24"/>
        </w:rPr>
      </w:pPr>
      <w:r w:rsidRPr="004406A8">
        <w:rPr>
          <w:sz w:val="24"/>
        </w:rPr>
        <w:t>Prima Comercial</w:t>
      </w:r>
    </w:p>
    <w:p w14:paraId="5B7D1B97" w14:textId="77777777" w:rsidR="001D0526" w:rsidRDefault="001D0526" w:rsidP="001D0526">
      <w:pPr>
        <w:jc w:val="both"/>
        <w:rPr>
          <w:sz w:val="24"/>
        </w:rPr>
      </w:pPr>
      <w:r>
        <w:rPr>
          <w:sz w:val="24"/>
        </w:rPr>
        <w:t xml:space="preserve">Ajustando el valor de la Prima Pura de Riesgo con los recargos por concepto de gastos de las aseguradoras, las contribuciones y/o aportes a la Administradora de los Recursos del Sistema General de Seguridad Social en Salud (ADRES) y Agencia Nacional de Seguridad Vial (ANSV), </w:t>
      </w:r>
      <w:r w:rsidR="004406A8">
        <w:rPr>
          <w:sz w:val="24"/>
        </w:rPr>
        <w:t>se obtiene</w:t>
      </w:r>
      <w:r>
        <w:rPr>
          <w:sz w:val="24"/>
        </w:rPr>
        <w:t xml:space="preserve"> la prima comercial en SMDLV para cada una de las categorías del SOAT.</w:t>
      </w:r>
    </w:p>
    <w:p w14:paraId="69985D66" w14:textId="77777777" w:rsidR="001D0526" w:rsidRPr="001D0526" w:rsidRDefault="001D0526" w:rsidP="001D0526">
      <w:pPr>
        <w:jc w:val="both"/>
        <w:rPr>
          <w:rFonts w:eastAsiaTheme="minorEastAsia"/>
          <w:sz w:val="24"/>
        </w:rPr>
      </w:pPr>
      <m:oMathPara>
        <m:oMath>
          <m:r>
            <w:rPr>
              <w:rFonts w:ascii="Cambria Math" w:hAnsi="Cambria Math"/>
              <w:sz w:val="24"/>
            </w:rPr>
            <m:t>PC</m:t>
          </m:r>
          <m:d>
            <m:dPr>
              <m:ctrlPr>
                <w:rPr>
                  <w:rFonts w:ascii="Cambria Math" w:hAnsi="Cambria Math"/>
                  <w:i/>
                  <w:sz w:val="24"/>
                </w:rPr>
              </m:ctrlPr>
            </m:dPr>
            <m:e>
              <m:r>
                <w:rPr>
                  <w:rFonts w:ascii="Cambria Math" w:hAnsi="Cambria Math"/>
                  <w:sz w:val="24"/>
                </w:rPr>
                <m:t>i</m:t>
              </m:r>
            </m:e>
          </m:d>
          <m:r>
            <w:rPr>
              <w:rFonts w:ascii="Cambria Math" w:hAnsi="Cambria Math"/>
              <w:sz w:val="24"/>
            </w:rPr>
            <m:t>=</m:t>
          </m:r>
          <m:f>
            <m:fPr>
              <m:ctrlPr>
                <w:rPr>
                  <w:rFonts w:ascii="Cambria Math" w:hAnsi="Cambria Math"/>
                  <w:i/>
                  <w:sz w:val="24"/>
                </w:rPr>
              </m:ctrlPr>
            </m:fPr>
            <m:num>
              <m:r>
                <w:rPr>
                  <w:rFonts w:ascii="Cambria Math" w:hAnsi="Cambria Math"/>
                  <w:sz w:val="24"/>
                </w:rPr>
                <m:t>PP(i)</m:t>
              </m:r>
            </m:num>
            <m:den>
              <m:d>
                <m:dPr>
                  <m:ctrlPr>
                    <w:rPr>
                      <w:rFonts w:ascii="Cambria Math" w:hAnsi="Cambria Math"/>
                      <w:i/>
                      <w:sz w:val="24"/>
                    </w:rPr>
                  </m:ctrlPr>
                </m:dPr>
                <m:e>
                  <m:r>
                    <w:rPr>
                      <w:rFonts w:ascii="Cambria Math" w:hAnsi="Cambria Math"/>
                      <w:sz w:val="24"/>
                    </w:rPr>
                    <m:t>1-G</m:t>
                  </m:r>
                </m:e>
              </m:d>
              <m:r>
                <w:rPr>
                  <w:rFonts w:ascii="Cambria Math" w:hAnsi="Cambria Math"/>
                  <w:sz w:val="24"/>
                </w:rPr>
                <m:t>*(1-</m:t>
              </m:r>
              <m:sSub>
                <m:sSubPr>
                  <m:ctrlPr>
                    <w:rPr>
                      <w:rFonts w:ascii="Cambria Math" w:hAnsi="Cambria Math"/>
                      <w:i/>
                      <w:sz w:val="24"/>
                    </w:rPr>
                  </m:ctrlPr>
                </m:sSubPr>
                <m:e>
                  <m:r>
                    <w:rPr>
                      <w:rFonts w:ascii="Cambria Math" w:hAnsi="Cambria Math"/>
                      <w:sz w:val="24"/>
                    </w:rPr>
                    <m:t>T</m:t>
                  </m:r>
                </m:e>
                <m:sub>
                  <m:r>
                    <w:rPr>
                      <w:rFonts w:ascii="Cambria Math" w:hAnsi="Cambria Math"/>
                      <w:sz w:val="24"/>
                    </w:rPr>
                    <m:t>ADRES</m:t>
                  </m:r>
                </m:sub>
              </m:sSub>
              <m:r>
                <w:rPr>
                  <w:rFonts w:ascii="Cambria Math" w:hAnsi="Cambria Math"/>
                  <w:sz w:val="24"/>
                </w:rPr>
                <m:t>-</m:t>
              </m:r>
              <m:sSub>
                <m:sSubPr>
                  <m:ctrlPr>
                    <w:rPr>
                      <w:rFonts w:ascii="Cambria Math" w:hAnsi="Cambria Math"/>
                      <w:i/>
                      <w:sz w:val="24"/>
                    </w:rPr>
                  </m:ctrlPr>
                </m:sSubPr>
                <m:e>
                  <m:r>
                    <w:rPr>
                      <w:rFonts w:ascii="Cambria Math" w:hAnsi="Cambria Math"/>
                      <w:sz w:val="24"/>
                    </w:rPr>
                    <m:t>T</m:t>
                  </m:r>
                </m:e>
                <m:sub>
                  <m:r>
                    <w:rPr>
                      <w:rFonts w:ascii="Cambria Math" w:hAnsi="Cambria Math"/>
                      <w:sz w:val="24"/>
                    </w:rPr>
                    <m:t>ANSV</m:t>
                  </m:r>
                </m:sub>
              </m:sSub>
              <m:r>
                <w:rPr>
                  <w:rFonts w:ascii="Cambria Math" w:hAnsi="Cambria Math"/>
                  <w:sz w:val="24"/>
                </w:rPr>
                <m:t>)</m:t>
              </m:r>
            </m:den>
          </m:f>
        </m:oMath>
      </m:oMathPara>
    </w:p>
    <w:p w14:paraId="15440153" w14:textId="77777777" w:rsidR="001D0526" w:rsidRDefault="001D0526" w:rsidP="001D0526">
      <w:pPr>
        <w:jc w:val="both"/>
        <w:rPr>
          <w:rFonts w:eastAsiaTheme="minorEastAsia"/>
          <w:sz w:val="24"/>
        </w:rPr>
      </w:pPr>
      <w:r>
        <w:rPr>
          <w:rFonts w:eastAsiaTheme="minorEastAsia"/>
          <w:sz w:val="24"/>
        </w:rPr>
        <w:t>Donde,</w:t>
      </w:r>
    </w:p>
    <w:p w14:paraId="6CF39CE0" w14:textId="77777777" w:rsidR="001D0526" w:rsidRDefault="001D0526" w:rsidP="001D0526">
      <w:pPr>
        <w:jc w:val="both"/>
        <w:rPr>
          <w:rFonts w:eastAsiaTheme="minorEastAsia"/>
          <w:sz w:val="24"/>
        </w:rPr>
      </w:pPr>
      <m:oMath>
        <m:r>
          <w:rPr>
            <w:rFonts w:ascii="Cambria Math" w:hAnsi="Cambria Math"/>
            <w:sz w:val="24"/>
          </w:rPr>
          <m:t>PC</m:t>
        </m:r>
        <m:d>
          <m:dPr>
            <m:ctrlPr>
              <w:rPr>
                <w:rFonts w:ascii="Cambria Math" w:hAnsi="Cambria Math"/>
                <w:i/>
                <w:sz w:val="24"/>
              </w:rPr>
            </m:ctrlPr>
          </m:dPr>
          <m:e>
            <m:r>
              <w:rPr>
                <w:rFonts w:ascii="Cambria Math" w:hAnsi="Cambria Math"/>
                <w:sz w:val="24"/>
              </w:rPr>
              <m:t>i</m:t>
            </m:r>
          </m:e>
        </m:d>
        <m:r>
          <w:rPr>
            <w:rFonts w:ascii="Cambria Math" w:hAnsi="Cambria Math"/>
            <w:sz w:val="24"/>
          </w:rPr>
          <m:t>:</m:t>
        </m:r>
      </m:oMath>
      <w:r>
        <w:rPr>
          <w:rFonts w:eastAsiaTheme="minorEastAsia"/>
          <w:sz w:val="24"/>
        </w:rPr>
        <w:t xml:space="preserve"> Prima Comercial Anual, en SMDLV, para la categoría </w:t>
      </w:r>
      <m:oMath>
        <m:r>
          <w:rPr>
            <w:rFonts w:ascii="Cambria Math" w:eastAsiaTheme="minorEastAsia" w:hAnsi="Cambria Math"/>
            <w:sz w:val="24"/>
          </w:rPr>
          <m:t>i</m:t>
        </m:r>
      </m:oMath>
      <w:r w:rsidR="007D3BDC">
        <w:rPr>
          <w:rFonts w:eastAsiaTheme="minorEastAsia"/>
          <w:sz w:val="24"/>
        </w:rPr>
        <w:t>.</w:t>
      </w:r>
    </w:p>
    <w:p w14:paraId="58D62167" w14:textId="77777777" w:rsidR="001D0526" w:rsidRDefault="001D0526" w:rsidP="001D0526">
      <w:pPr>
        <w:jc w:val="both"/>
        <w:rPr>
          <w:rFonts w:eastAsiaTheme="minorEastAsia"/>
          <w:sz w:val="24"/>
        </w:rPr>
      </w:pPr>
      <m:oMath>
        <m:r>
          <w:rPr>
            <w:rFonts w:ascii="Cambria Math" w:hAnsi="Cambria Math"/>
            <w:sz w:val="24"/>
          </w:rPr>
          <m:t>G:</m:t>
        </m:r>
      </m:oMath>
      <w:r>
        <w:rPr>
          <w:rFonts w:eastAsiaTheme="minorEastAsia"/>
          <w:sz w:val="24"/>
        </w:rPr>
        <w:t xml:space="preserve"> Factor de gastos de las entidades aseguradoras (23%), el cual se distribuye en Gastos por Comisiones de Intermediación (8%) y Gastos de Administración y de Personal (15%).</w:t>
      </w:r>
    </w:p>
    <w:p w14:paraId="29CC5924" w14:textId="77777777" w:rsidR="001D0526" w:rsidRDefault="00960697" w:rsidP="001D0526">
      <w:pPr>
        <w:jc w:val="both"/>
        <w:rPr>
          <w:rFonts w:eastAsiaTheme="minorEastAsia"/>
          <w:sz w:val="24"/>
        </w:rPr>
      </w:pPr>
      <m:oMath>
        <m:sSub>
          <m:sSubPr>
            <m:ctrlPr>
              <w:rPr>
                <w:rFonts w:ascii="Cambria Math" w:hAnsi="Cambria Math"/>
                <w:i/>
                <w:sz w:val="24"/>
              </w:rPr>
            </m:ctrlPr>
          </m:sSubPr>
          <m:e>
            <m:r>
              <w:rPr>
                <w:rFonts w:ascii="Cambria Math" w:hAnsi="Cambria Math"/>
                <w:sz w:val="24"/>
              </w:rPr>
              <m:t>T</m:t>
            </m:r>
          </m:e>
          <m:sub>
            <m:r>
              <w:rPr>
                <w:rFonts w:ascii="Cambria Math" w:hAnsi="Cambria Math"/>
                <w:sz w:val="24"/>
              </w:rPr>
              <m:t>ADRES</m:t>
            </m:r>
          </m:sub>
        </m:sSub>
        <m:r>
          <w:rPr>
            <w:rFonts w:ascii="Cambria Math" w:hAnsi="Cambria Math"/>
            <w:sz w:val="24"/>
          </w:rPr>
          <m:t>:</m:t>
        </m:r>
      </m:oMath>
      <w:r w:rsidR="001D0526">
        <w:rPr>
          <w:rFonts w:eastAsiaTheme="minorEastAsia"/>
          <w:sz w:val="24"/>
        </w:rPr>
        <w:t xml:space="preserve"> Tasa ADRES (14.2%).</w:t>
      </w:r>
    </w:p>
    <w:p w14:paraId="1F848310" w14:textId="77777777" w:rsidR="001D0526" w:rsidRDefault="00960697" w:rsidP="001D0526">
      <w:pPr>
        <w:jc w:val="both"/>
        <w:rPr>
          <w:rFonts w:eastAsiaTheme="minorEastAsia"/>
          <w:sz w:val="24"/>
        </w:rPr>
      </w:pPr>
      <m:oMath>
        <m:sSub>
          <m:sSubPr>
            <m:ctrlPr>
              <w:rPr>
                <w:rFonts w:ascii="Cambria Math" w:hAnsi="Cambria Math"/>
                <w:i/>
                <w:sz w:val="24"/>
              </w:rPr>
            </m:ctrlPr>
          </m:sSubPr>
          <m:e>
            <m:r>
              <w:rPr>
                <w:rFonts w:ascii="Cambria Math" w:hAnsi="Cambria Math"/>
                <w:sz w:val="24"/>
              </w:rPr>
              <m:t>T</m:t>
            </m:r>
          </m:e>
          <m:sub>
            <m:r>
              <w:rPr>
                <w:rFonts w:ascii="Cambria Math" w:hAnsi="Cambria Math"/>
                <w:sz w:val="24"/>
              </w:rPr>
              <m:t>ANSV</m:t>
            </m:r>
          </m:sub>
        </m:sSub>
        <m:r>
          <w:rPr>
            <w:rFonts w:ascii="Cambria Math" w:hAnsi="Cambria Math"/>
            <w:sz w:val="24"/>
          </w:rPr>
          <m:t>:</m:t>
        </m:r>
      </m:oMath>
      <w:r w:rsidR="001D0526">
        <w:rPr>
          <w:rFonts w:eastAsiaTheme="minorEastAsia"/>
          <w:sz w:val="24"/>
        </w:rPr>
        <w:t xml:space="preserve"> Tasa ANSV (3%).</w:t>
      </w:r>
    </w:p>
    <w:p w14:paraId="39A4AD24" w14:textId="77777777" w:rsidR="00080BAE" w:rsidRDefault="00080BAE" w:rsidP="001D0526">
      <w:pPr>
        <w:jc w:val="both"/>
        <w:rPr>
          <w:rFonts w:eastAsiaTheme="minorEastAsia"/>
          <w:sz w:val="24"/>
        </w:rPr>
      </w:pPr>
    </w:p>
    <w:p w14:paraId="7D931DFC" w14:textId="77777777" w:rsidR="00080BAE" w:rsidRPr="00646257" w:rsidRDefault="00080BAE" w:rsidP="00646257">
      <w:pPr>
        <w:pStyle w:val="Prrafodelista"/>
        <w:numPr>
          <w:ilvl w:val="0"/>
          <w:numId w:val="13"/>
        </w:numPr>
        <w:jc w:val="both"/>
        <w:rPr>
          <w:rFonts w:eastAsiaTheme="minorEastAsia"/>
          <w:b/>
          <w:sz w:val="24"/>
        </w:rPr>
      </w:pPr>
      <w:r w:rsidRPr="00646257">
        <w:rPr>
          <w:rFonts w:eastAsiaTheme="minorEastAsia"/>
          <w:b/>
          <w:sz w:val="24"/>
        </w:rPr>
        <w:t>Sistema de subsidios y ajustes tarifarios</w:t>
      </w:r>
    </w:p>
    <w:p w14:paraId="0FF23992" w14:textId="77777777" w:rsidR="001D0526" w:rsidRDefault="001D0526" w:rsidP="001D0526">
      <w:pPr>
        <w:jc w:val="both"/>
        <w:rPr>
          <w:rFonts w:eastAsiaTheme="minorEastAsia"/>
          <w:sz w:val="24"/>
        </w:rPr>
      </w:pPr>
      <w:r>
        <w:rPr>
          <w:rFonts w:eastAsiaTheme="minorEastAsia"/>
          <w:sz w:val="24"/>
        </w:rPr>
        <w:t xml:space="preserve">La estructura tarifaria del ramo incluye mecanismos de compensación entre categorías (subsidios cruzados), </w:t>
      </w:r>
      <w:r w:rsidR="00FA3650">
        <w:rPr>
          <w:rFonts w:eastAsiaTheme="minorEastAsia"/>
          <w:sz w:val="24"/>
        </w:rPr>
        <w:t>por tal motivo</w:t>
      </w:r>
      <w:r>
        <w:rPr>
          <w:rFonts w:eastAsiaTheme="minorEastAsia"/>
          <w:sz w:val="24"/>
        </w:rPr>
        <w:t xml:space="preserve"> los cambios en la participación de las mismas influyen en los resultados del ramo. En efecto, las categorías subsidiadas (Motos, buses y busetas urbanos) han incrementado su participación en el parque automotor y presentan mayor siniestralidad que las categorías </w:t>
      </w:r>
      <w:r w:rsidR="004406A8">
        <w:rPr>
          <w:rFonts w:eastAsiaTheme="minorEastAsia"/>
          <w:sz w:val="24"/>
        </w:rPr>
        <w:t>aportantes</w:t>
      </w:r>
      <w:r>
        <w:rPr>
          <w:rFonts w:eastAsiaTheme="minorEastAsia"/>
          <w:sz w:val="24"/>
        </w:rPr>
        <w:t xml:space="preserve">. Es </w:t>
      </w:r>
      <w:r w:rsidR="00EC1727">
        <w:rPr>
          <w:rFonts w:eastAsiaTheme="minorEastAsia"/>
          <w:sz w:val="24"/>
        </w:rPr>
        <w:t>resumen,</w:t>
      </w:r>
      <w:r>
        <w:rPr>
          <w:rFonts w:eastAsiaTheme="minorEastAsia"/>
          <w:sz w:val="24"/>
        </w:rPr>
        <w:t xml:space="preserve"> una categoría es subsidiada cuando la PC estimada es superior a la </w:t>
      </w:r>
      <w:r w:rsidR="00BE7B7C">
        <w:rPr>
          <w:rFonts w:eastAsiaTheme="minorEastAsia"/>
          <w:sz w:val="24"/>
        </w:rPr>
        <w:t>prima</w:t>
      </w:r>
      <w:r>
        <w:rPr>
          <w:rFonts w:eastAsiaTheme="minorEastAsia"/>
          <w:sz w:val="24"/>
        </w:rPr>
        <w:t xml:space="preserve"> vigente en el </w:t>
      </w:r>
      <w:r w:rsidRPr="001D0526">
        <w:rPr>
          <w:rFonts w:eastAsiaTheme="minorEastAsia"/>
          <w:sz w:val="24"/>
        </w:rPr>
        <w:t xml:space="preserve">Anexo 1 del Título IV de la Parte II de la </w:t>
      </w:r>
      <w:r>
        <w:rPr>
          <w:rFonts w:eastAsiaTheme="minorEastAsia"/>
          <w:sz w:val="24"/>
        </w:rPr>
        <w:t>CBJ</w:t>
      </w:r>
      <w:r w:rsidR="00EC1727">
        <w:rPr>
          <w:rFonts w:eastAsiaTheme="minorEastAsia"/>
          <w:sz w:val="24"/>
        </w:rPr>
        <w:t>.</w:t>
      </w:r>
    </w:p>
    <w:p w14:paraId="5A97549A" w14:textId="77777777" w:rsidR="00080BAE" w:rsidRDefault="00080BAE" w:rsidP="001D0526">
      <w:pPr>
        <w:jc w:val="both"/>
        <w:rPr>
          <w:rFonts w:eastAsiaTheme="minorEastAsia"/>
          <w:sz w:val="24"/>
        </w:rPr>
      </w:pPr>
      <w:r>
        <w:rPr>
          <w:rFonts w:eastAsiaTheme="minorEastAsia"/>
          <w:sz w:val="24"/>
        </w:rPr>
        <w:t xml:space="preserve">Tomando en cuenta la participación por categoría, se calcula la </w:t>
      </w:r>
      <w:r w:rsidR="007D3BDC">
        <w:rPr>
          <w:rFonts w:eastAsiaTheme="minorEastAsia"/>
          <w:sz w:val="24"/>
        </w:rPr>
        <w:t>prima</w:t>
      </w:r>
      <w:r>
        <w:rPr>
          <w:rFonts w:eastAsiaTheme="minorEastAsia"/>
          <w:sz w:val="24"/>
        </w:rPr>
        <w:t xml:space="preserve"> comercial promedio (</w:t>
      </w:r>
      <m:oMath>
        <m:r>
          <w:rPr>
            <w:rFonts w:ascii="Cambria Math" w:eastAsiaTheme="minorEastAsia" w:hAnsi="Cambria Math"/>
            <w:sz w:val="24"/>
          </w:rPr>
          <m:t>PC</m:t>
        </m:r>
      </m:oMath>
      <w:r w:rsidR="007D3BDC">
        <w:rPr>
          <w:rFonts w:eastAsiaTheme="minorEastAsia"/>
          <w:sz w:val="24"/>
        </w:rPr>
        <w:t xml:space="preserve"> = </w:t>
      </w:r>
      <w:r>
        <w:rPr>
          <w:rFonts w:eastAsiaTheme="minorEastAsia"/>
          <w:sz w:val="24"/>
        </w:rPr>
        <w:t xml:space="preserve">valor </w:t>
      </w:r>
      <w:r w:rsidR="0073438D">
        <w:rPr>
          <w:rFonts w:eastAsiaTheme="minorEastAsia"/>
          <w:sz w:val="24"/>
        </w:rPr>
        <w:t xml:space="preserve">promedio </w:t>
      </w:r>
      <w:r>
        <w:rPr>
          <w:rFonts w:eastAsiaTheme="minorEastAsia"/>
          <w:sz w:val="24"/>
        </w:rPr>
        <w:t xml:space="preserve">que cada vehículo debe pagar para sufragar los gastos, siniestros y aportes o </w:t>
      </w:r>
      <w:r w:rsidR="00BE7B7C">
        <w:rPr>
          <w:rFonts w:eastAsiaTheme="minorEastAsia"/>
          <w:sz w:val="24"/>
        </w:rPr>
        <w:t>transferencias</w:t>
      </w:r>
      <w:r>
        <w:rPr>
          <w:rFonts w:eastAsiaTheme="minorEastAsia"/>
          <w:sz w:val="24"/>
        </w:rPr>
        <w:t>) y obtenemos la siguiente expresión:</w:t>
      </w:r>
    </w:p>
    <w:p w14:paraId="7A958B7B" w14:textId="77777777" w:rsidR="00080BAE" w:rsidRPr="00080BAE" w:rsidRDefault="00080BAE" w:rsidP="001D0526">
      <w:pPr>
        <w:jc w:val="both"/>
        <w:rPr>
          <w:rFonts w:eastAsiaTheme="minorEastAsia"/>
          <w:sz w:val="24"/>
        </w:rPr>
      </w:pPr>
      <m:oMathPara>
        <m:oMath>
          <m:r>
            <w:rPr>
              <w:rFonts w:ascii="Cambria Math" w:hAnsi="Cambria Math"/>
              <w:sz w:val="24"/>
            </w:rPr>
            <m:t>PC=</m:t>
          </m:r>
          <m:nary>
            <m:naryPr>
              <m:chr m:val="∑"/>
              <m:limLoc m:val="undOvr"/>
              <m:supHide m:val="1"/>
              <m:ctrlPr>
                <w:rPr>
                  <w:rFonts w:ascii="Cambria Math" w:hAnsi="Cambria Math"/>
                  <w:i/>
                  <w:sz w:val="24"/>
                </w:rPr>
              </m:ctrlPr>
            </m:naryPr>
            <m:sub>
              <m:r>
                <w:rPr>
                  <w:rFonts w:ascii="Cambria Math" w:hAnsi="Cambria Math"/>
                  <w:sz w:val="24"/>
                </w:rPr>
                <m:t>i</m:t>
              </m:r>
            </m:sub>
            <m:sup/>
            <m:e>
              <m:r>
                <w:rPr>
                  <w:rFonts w:ascii="Cambria Math" w:hAnsi="Cambria Math"/>
                  <w:sz w:val="24"/>
                </w:rPr>
                <m:t>π(i)*PC(i)</m:t>
              </m:r>
            </m:e>
          </m:nary>
        </m:oMath>
      </m:oMathPara>
    </w:p>
    <w:p w14:paraId="5614F155" w14:textId="77777777" w:rsidR="00080BAE" w:rsidRDefault="00080BAE" w:rsidP="001D0526">
      <w:pPr>
        <w:jc w:val="both"/>
        <w:rPr>
          <w:rFonts w:eastAsiaTheme="minorEastAsia"/>
          <w:sz w:val="24"/>
        </w:rPr>
      </w:pPr>
      <w:r>
        <w:rPr>
          <w:rFonts w:eastAsiaTheme="minorEastAsia"/>
          <w:sz w:val="24"/>
        </w:rPr>
        <w:lastRenderedPageBreak/>
        <w:t xml:space="preserve">Siendo </w:t>
      </w:r>
      <m:oMath>
        <m:r>
          <w:rPr>
            <w:rFonts w:ascii="Cambria Math" w:eastAsiaTheme="minorEastAsia" w:hAnsi="Cambria Math"/>
            <w:sz w:val="24"/>
          </w:rPr>
          <m:t>PC(i)</m:t>
        </m:r>
      </m:oMath>
      <w:r>
        <w:rPr>
          <w:rFonts w:eastAsiaTheme="minorEastAsia"/>
          <w:sz w:val="24"/>
        </w:rPr>
        <w:t xml:space="preserve"> la Prima Comercial Anual Promedio</w:t>
      </w:r>
      <w:r w:rsidR="004F2ECD">
        <w:rPr>
          <w:rFonts w:eastAsiaTheme="minorEastAsia"/>
          <w:sz w:val="24"/>
        </w:rPr>
        <w:t xml:space="preserve"> en SMDLV y </w:t>
      </w:r>
      <m:oMath>
        <m:r>
          <w:rPr>
            <w:rFonts w:ascii="Cambria Math" w:eastAsiaTheme="minorEastAsia" w:hAnsi="Cambria Math"/>
            <w:sz w:val="24"/>
          </w:rPr>
          <m:t>π(i)</m:t>
        </m:r>
      </m:oMath>
      <w:r>
        <w:rPr>
          <w:rFonts w:eastAsiaTheme="minorEastAsia"/>
          <w:sz w:val="24"/>
        </w:rPr>
        <w:t xml:space="preserve"> el porcentaje de participación para la categoría i en el año de estudio.</w:t>
      </w:r>
    </w:p>
    <w:p w14:paraId="7C7B2942" w14:textId="77777777" w:rsidR="0073438D" w:rsidRDefault="0073438D" w:rsidP="0073438D">
      <w:pPr>
        <w:jc w:val="both"/>
        <w:rPr>
          <w:rFonts w:eastAsiaTheme="minorEastAsia"/>
          <w:sz w:val="24"/>
        </w:rPr>
      </w:pPr>
      <w:r>
        <w:rPr>
          <w:rFonts w:eastAsiaTheme="minorEastAsia"/>
          <w:sz w:val="24"/>
        </w:rPr>
        <w:t xml:space="preserve">Sea </w:t>
      </w:r>
      <m:oMath>
        <m:sSub>
          <m:sSubPr>
            <m:ctrlPr>
              <w:rPr>
                <w:rFonts w:ascii="Cambria Math" w:eastAsiaTheme="minorEastAsia" w:hAnsi="Cambria Math"/>
                <w:i/>
                <w:sz w:val="24"/>
              </w:rPr>
            </m:ctrlPr>
          </m:sSubPr>
          <m:e>
            <m:r>
              <w:rPr>
                <w:rFonts w:ascii="Cambria Math" w:eastAsiaTheme="minorEastAsia" w:hAnsi="Cambria Math"/>
                <w:sz w:val="24"/>
              </w:rPr>
              <m:t>PC</m:t>
            </m:r>
          </m:e>
          <m:sub>
            <m:r>
              <w:rPr>
                <w:rFonts w:ascii="Cambria Math" w:eastAsiaTheme="minorEastAsia" w:hAnsi="Cambria Math"/>
                <w:sz w:val="24"/>
              </w:rPr>
              <m:t>0</m:t>
            </m:r>
          </m:sub>
        </m:sSub>
      </m:oMath>
      <w:r>
        <w:rPr>
          <w:rFonts w:eastAsiaTheme="minorEastAsia"/>
          <w:sz w:val="24"/>
        </w:rPr>
        <w:t xml:space="preserve">, la Prima Comercial Promedio Anual en SMDLV de las tarifas establecidas en el  </w:t>
      </w:r>
      <w:r w:rsidRPr="001D0526">
        <w:rPr>
          <w:rFonts w:eastAsiaTheme="minorEastAsia"/>
          <w:sz w:val="24"/>
        </w:rPr>
        <w:t xml:space="preserve">Anexo 1 del Título IV de la Parte II de la </w:t>
      </w:r>
      <w:r>
        <w:rPr>
          <w:rFonts w:eastAsiaTheme="minorEastAsia"/>
          <w:sz w:val="24"/>
        </w:rPr>
        <w:t>CBJ, obtenida de acuerdo con la siguiente ecuación:</w:t>
      </w:r>
    </w:p>
    <w:p w14:paraId="1BEAD1F3" w14:textId="77777777" w:rsidR="0073438D" w:rsidRPr="004F2ECD" w:rsidRDefault="00960697" w:rsidP="0073438D">
      <w:pPr>
        <w:jc w:val="both"/>
        <w:rPr>
          <w:rFonts w:eastAsiaTheme="minorEastAsia"/>
          <w:sz w:val="24"/>
        </w:rPr>
      </w:pPr>
      <m:oMathPara>
        <m:oMath>
          <m:sSub>
            <m:sSubPr>
              <m:ctrlPr>
                <w:rPr>
                  <w:rFonts w:ascii="Cambria Math" w:eastAsiaTheme="minorEastAsia" w:hAnsi="Cambria Math"/>
                  <w:i/>
                  <w:sz w:val="24"/>
                </w:rPr>
              </m:ctrlPr>
            </m:sSubPr>
            <m:e>
              <m:r>
                <w:rPr>
                  <w:rFonts w:ascii="Cambria Math" w:eastAsiaTheme="minorEastAsia" w:hAnsi="Cambria Math"/>
                  <w:sz w:val="24"/>
                </w:rPr>
                <m:t>PC</m:t>
              </m:r>
            </m:e>
            <m:sub>
              <m:r>
                <w:rPr>
                  <w:rFonts w:ascii="Cambria Math" w:eastAsiaTheme="minorEastAsia" w:hAnsi="Cambria Math"/>
                  <w:sz w:val="24"/>
                </w:rPr>
                <m:t>0</m:t>
              </m:r>
            </m:sub>
          </m:sSub>
          <m:r>
            <w:rPr>
              <w:rFonts w:ascii="Cambria Math" w:eastAsiaTheme="minorEastAsia" w:hAnsi="Cambria Math"/>
              <w:sz w:val="24"/>
            </w:rPr>
            <m:t>=</m:t>
          </m:r>
          <m:nary>
            <m:naryPr>
              <m:chr m:val="∑"/>
              <m:limLoc m:val="undOvr"/>
              <m:supHide m:val="1"/>
              <m:ctrlPr>
                <w:rPr>
                  <w:rFonts w:ascii="Cambria Math" w:eastAsiaTheme="minorEastAsia" w:hAnsi="Cambria Math"/>
                  <w:i/>
                  <w:sz w:val="24"/>
                </w:rPr>
              </m:ctrlPr>
            </m:naryPr>
            <m:sub>
              <m:r>
                <w:rPr>
                  <w:rFonts w:ascii="Cambria Math" w:eastAsiaTheme="minorEastAsia" w:hAnsi="Cambria Math"/>
                  <w:sz w:val="24"/>
                </w:rPr>
                <m:t>i</m:t>
              </m:r>
            </m:sub>
            <m:sup/>
            <m:e>
              <m:r>
                <w:rPr>
                  <w:rFonts w:ascii="Cambria Math" w:eastAsiaTheme="minorEastAsia" w:hAnsi="Cambria Math"/>
                  <w:sz w:val="24"/>
                </w:rPr>
                <m:t>π(i)</m:t>
              </m:r>
            </m:e>
          </m:nary>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PC</m:t>
              </m:r>
            </m:e>
            <m:sub>
              <m:r>
                <w:rPr>
                  <w:rFonts w:ascii="Cambria Math" w:eastAsiaTheme="minorEastAsia" w:hAnsi="Cambria Math"/>
                  <w:sz w:val="24"/>
                </w:rPr>
                <m:t>0</m:t>
              </m:r>
            </m:sub>
          </m:sSub>
          <m:r>
            <w:rPr>
              <w:rFonts w:ascii="Cambria Math" w:eastAsiaTheme="minorEastAsia" w:hAnsi="Cambria Math"/>
              <w:sz w:val="24"/>
            </w:rPr>
            <m:t>(i)</m:t>
          </m:r>
        </m:oMath>
      </m:oMathPara>
    </w:p>
    <w:p w14:paraId="1A850C41" w14:textId="77777777" w:rsidR="0073438D" w:rsidRDefault="0073438D" w:rsidP="0073438D">
      <w:pPr>
        <w:jc w:val="both"/>
        <w:rPr>
          <w:rFonts w:eastAsiaTheme="minorEastAsia"/>
          <w:sz w:val="24"/>
        </w:rPr>
      </w:pPr>
      <w:r>
        <w:rPr>
          <w:rFonts w:eastAsiaTheme="minorEastAsia"/>
          <w:sz w:val="24"/>
        </w:rPr>
        <w:t xml:space="preserve">Donde </w:t>
      </w:r>
      <m:oMath>
        <m:sSub>
          <m:sSubPr>
            <m:ctrlPr>
              <w:rPr>
                <w:rFonts w:ascii="Cambria Math" w:eastAsiaTheme="minorEastAsia" w:hAnsi="Cambria Math"/>
                <w:i/>
                <w:sz w:val="24"/>
              </w:rPr>
            </m:ctrlPr>
          </m:sSubPr>
          <m:e>
            <m:r>
              <w:rPr>
                <w:rFonts w:ascii="Cambria Math" w:eastAsiaTheme="minorEastAsia" w:hAnsi="Cambria Math"/>
                <w:sz w:val="24"/>
              </w:rPr>
              <m:t>PC</m:t>
            </m:r>
          </m:e>
          <m:sub>
            <m:r>
              <w:rPr>
                <w:rFonts w:ascii="Cambria Math" w:eastAsiaTheme="minorEastAsia" w:hAnsi="Cambria Math"/>
                <w:sz w:val="24"/>
              </w:rPr>
              <m:t>0</m:t>
            </m:r>
          </m:sub>
        </m:sSub>
        <m:r>
          <w:rPr>
            <w:rFonts w:ascii="Cambria Math" w:eastAsiaTheme="minorEastAsia" w:hAnsi="Cambria Math"/>
            <w:sz w:val="24"/>
          </w:rPr>
          <m:t>(i)</m:t>
        </m:r>
      </m:oMath>
      <w:r>
        <w:rPr>
          <w:rFonts w:eastAsiaTheme="minorEastAsia"/>
          <w:sz w:val="24"/>
        </w:rPr>
        <w:t xml:space="preserve"> es la Prima Comercial Anual en SMDLV para la categoría </w:t>
      </w:r>
      <m:oMath>
        <m:r>
          <w:rPr>
            <w:rFonts w:ascii="Cambria Math" w:eastAsiaTheme="minorEastAsia" w:hAnsi="Cambria Math"/>
            <w:sz w:val="24"/>
          </w:rPr>
          <m:t>i</m:t>
        </m:r>
      </m:oMath>
      <w:r>
        <w:rPr>
          <w:rFonts w:eastAsiaTheme="minorEastAsia"/>
          <w:sz w:val="24"/>
        </w:rPr>
        <w:t>, de las tarifas referenciadas en el anexo anteriormente mencionado.</w:t>
      </w:r>
    </w:p>
    <w:p w14:paraId="7D33DD32" w14:textId="77777777" w:rsidR="00596CDA" w:rsidRDefault="0058398C" w:rsidP="001D0526">
      <w:pPr>
        <w:jc w:val="both"/>
        <w:rPr>
          <w:rFonts w:eastAsiaTheme="minorEastAsia"/>
          <w:sz w:val="24"/>
        </w:rPr>
      </w:pPr>
      <w:r>
        <w:rPr>
          <w:rFonts w:eastAsiaTheme="minorEastAsia"/>
          <w:sz w:val="24"/>
        </w:rPr>
        <w:t xml:space="preserve">Se entiende que las tarifas vigentes (en el </w:t>
      </w:r>
      <w:r w:rsidRPr="001D0526">
        <w:rPr>
          <w:rFonts w:eastAsiaTheme="minorEastAsia"/>
          <w:sz w:val="24"/>
        </w:rPr>
        <w:t xml:space="preserve">Anexo 1 del Título IV de la Parte II de la </w:t>
      </w:r>
      <w:r>
        <w:rPr>
          <w:rFonts w:eastAsiaTheme="minorEastAsia"/>
          <w:sz w:val="24"/>
        </w:rPr>
        <w:t xml:space="preserve">CBJ) son suficientes si la </w:t>
      </w:r>
      <w:r w:rsidR="0073438D">
        <w:rPr>
          <w:rFonts w:eastAsiaTheme="minorEastAsia"/>
          <w:sz w:val="24"/>
        </w:rPr>
        <w:t xml:space="preserve">Prima Comercial Promedio </w:t>
      </w:r>
      <m:oMath>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PC</m:t>
            </m:r>
          </m:e>
          <m:sub>
            <m:r>
              <w:rPr>
                <w:rFonts w:ascii="Cambria Math" w:eastAsiaTheme="minorEastAsia" w:hAnsi="Cambria Math"/>
                <w:sz w:val="24"/>
              </w:rPr>
              <m:t>0</m:t>
            </m:r>
          </m:sub>
        </m:sSub>
      </m:oMath>
      <w:r w:rsidR="0073438D">
        <w:rPr>
          <w:rFonts w:eastAsiaTheme="minorEastAsia"/>
          <w:sz w:val="24"/>
        </w:rPr>
        <w:t>),</w:t>
      </w:r>
      <w:r>
        <w:rPr>
          <w:rFonts w:eastAsiaTheme="minorEastAsia"/>
          <w:sz w:val="24"/>
        </w:rPr>
        <w:t xml:space="preserve"> es igual o superior </w:t>
      </w:r>
      <w:r w:rsidR="007A1618">
        <w:rPr>
          <w:rFonts w:eastAsiaTheme="minorEastAsia"/>
          <w:sz w:val="24"/>
        </w:rPr>
        <w:t>a la estimada</w:t>
      </w:r>
      <m:oMath>
        <m:r>
          <w:rPr>
            <w:rFonts w:ascii="Cambria Math" w:eastAsiaTheme="minorEastAsia" w:hAnsi="Cambria Math"/>
            <w:sz w:val="24"/>
          </w:rPr>
          <m:t xml:space="preserve"> (PC)</m:t>
        </m:r>
      </m:oMath>
      <w:r w:rsidR="007A1618">
        <w:rPr>
          <w:rFonts w:eastAsiaTheme="minorEastAsia"/>
          <w:sz w:val="24"/>
        </w:rPr>
        <w:t xml:space="preserve"> en el ejercicio actuarial que se describe en esta nota técnica. Sin embargo, si la tarifa es inferior, la prima es insuficiente</w:t>
      </w:r>
      <w:r w:rsidR="00596CDA">
        <w:rPr>
          <w:rFonts w:eastAsiaTheme="minorEastAsia"/>
          <w:sz w:val="24"/>
        </w:rPr>
        <w:t>.</w:t>
      </w:r>
      <w:r w:rsidR="009C7B56">
        <w:rPr>
          <w:rFonts w:eastAsiaTheme="minorEastAsia"/>
          <w:sz w:val="24"/>
        </w:rPr>
        <w:t xml:space="preserve"> </w:t>
      </w:r>
    </w:p>
    <w:p w14:paraId="49B9C139" w14:textId="77777777" w:rsidR="000E2826" w:rsidRDefault="000E2826" w:rsidP="001D0526">
      <w:pPr>
        <w:jc w:val="both"/>
        <w:rPr>
          <w:rFonts w:eastAsiaTheme="minorEastAsia"/>
          <w:sz w:val="24"/>
        </w:rPr>
      </w:pPr>
    </w:p>
    <w:p w14:paraId="76367D7F" w14:textId="2C54B911" w:rsidR="00D061C3" w:rsidRDefault="00D061C3" w:rsidP="00D061C3">
      <w:pPr>
        <w:pStyle w:val="Prrafodelista"/>
        <w:numPr>
          <w:ilvl w:val="0"/>
          <w:numId w:val="13"/>
        </w:numPr>
        <w:jc w:val="both"/>
        <w:rPr>
          <w:rFonts w:eastAsiaTheme="minorEastAsia"/>
          <w:b/>
          <w:sz w:val="24"/>
        </w:rPr>
      </w:pPr>
      <w:r>
        <w:rPr>
          <w:rFonts w:eastAsiaTheme="minorEastAsia"/>
          <w:b/>
          <w:sz w:val="24"/>
        </w:rPr>
        <w:t>Análisis tarifario</w:t>
      </w:r>
    </w:p>
    <w:p w14:paraId="494C8091" w14:textId="77777777" w:rsidR="00BA75EE" w:rsidRPr="00D061C3" w:rsidRDefault="00BA75EE" w:rsidP="00BA75EE">
      <w:pPr>
        <w:pStyle w:val="Prrafodelista"/>
        <w:jc w:val="both"/>
        <w:rPr>
          <w:rFonts w:eastAsiaTheme="minorEastAsia"/>
          <w:b/>
          <w:sz w:val="24"/>
        </w:rPr>
      </w:pPr>
    </w:p>
    <w:p w14:paraId="23797084" w14:textId="584560D0" w:rsidR="009C7B56" w:rsidRPr="00D061C3" w:rsidRDefault="009C7B56" w:rsidP="00D061C3">
      <w:pPr>
        <w:pStyle w:val="Prrafodelista"/>
        <w:numPr>
          <w:ilvl w:val="0"/>
          <w:numId w:val="16"/>
        </w:numPr>
        <w:jc w:val="both"/>
        <w:rPr>
          <w:rFonts w:eastAsiaTheme="minorEastAsia"/>
          <w:sz w:val="24"/>
        </w:rPr>
      </w:pPr>
      <w:r w:rsidRPr="00D061C3">
        <w:rPr>
          <w:rFonts w:eastAsiaTheme="minorEastAsia"/>
          <w:sz w:val="24"/>
        </w:rPr>
        <w:t>Suficiencia</w:t>
      </w:r>
    </w:p>
    <w:p w14:paraId="04DE49B4" w14:textId="3E82AF0E" w:rsidR="009C7B56" w:rsidRDefault="00C20B81" w:rsidP="009C7B56">
      <w:pPr>
        <w:jc w:val="both"/>
        <w:rPr>
          <w:rFonts w:eastAsiaTheme="minorEastAsia"/>
          <w:sz w:val="24"/>
        </w:rPr>
      </w:pPr>
      <w:r>
        <w:rPr>
          <w:rFonts w:eastAsiaTheme="minorEastAsia"/>
          <w:sz w:val="24"/>
        </w:rPr>
        <w:t xml:space="preserve">La </w:t>
      </w:r>
      <w:r w:rsidR="009C7B56">
        <w:rPr>
          <w:rFonts w:eastAsiaTheme="minorEastAsia"/>
          <w:sz w:val="24"/>
        </w:rPr>
        <w:t xml:space="preserve">suficiencia se define como </w:t>
      </w:r>
      <w:r w:rsidR="009C7B56" w:rsidRPr="0073438D">
        <w:rPr>
          <w:rFonts w:eastAsiaTheme="minorEastAsia"/>
          <w:sz w:val="24"/>
        </w:rPr>
        <w:t>la diferencia porcentual entre</w:t>
      </w:r>
      <w:r w:rsidR="009C7B56">
        <w:rPr>
          <w:rFonts w:eastAsiaTheme="minorEastAsia"/>
          <w:sz w:val="24"/>
        </w:rPr>
        <w:t xml:space="preserve"> la Prima Comercial Promedio </w:t>
      </w:r>
      <m:oMath>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PC</m:t>
            </m:r>
          </m:e>
          <m:sub>
            <m:r>
              <w:rPr>
                <w:rFonts w:ascii="Cambria Math" w:eastAsiaTheme="minorEastAsia" w:hAnsi="Cambria Math"/>
                <w:sz w:val="24"/>
              </w:rPr>
              <m:t>0</m:t>
            </m:r>
          </m:sub>
        </m:sSub>
      </m:oMath>
      <w:r w:rsidR="009C7B56">
        <w:rPr>
          <w:rFonts w:eastAsiaTheme="minorEastAsia"/>
          <w:sz w:val="24"/>
        </w:rPr>
        <w:t xml:space="preserve">) y la prima comercial </w:t>
      </w:r>
      <w:r w:rsidR="00D061C3">
        <w:rPr>
          <w:rFonts w:eastAsiaTheme="minorEastAsia"/>
          <w:sz w:val="24"/>
        </w:rPr>
        <w:t xml:space="preserve">promedio </w:t>
      </w:r>
      <w:r w:rsidR="009C7B56">
        <w:rPr>
          <w:rFonts w:eastAsiaTheme="minorEastAsia"/>
          <w:sz w:val="24"/>
        </w:rPr>
        <w:t xml:space="preserve">estimada </w:t>
      </w:r>
      <m:oMath>
        <m:d>
          <m:dPr>
            <m:ctrlPr>
              <w:rPr>
                <w:rFonts w:ascii="Cambria Math" w:eastAsiaTheme="minorEastAsia" w:hAnsi="Cambria Math"/>
                <w:i/>
                <w:sz w:val="24"/>
              </w:rPr>
            </m:ctrlPr>
          </m:dPr>
          <m:e>
            <m:r>
              <w:rPr>
                <w:rFonts w:ascii="Cambria Math" w:eastAsiaTheme="minorEastAsia" w:hAnsi="Cambria Math"/>
                <w:sz w:val="24"/>
              </w:rPr>
              <m:t>PC</m:t>
            </m:r>
          </m:e>
        </m:d>
      </m:oMath>
      <w:r w:rsidR="009C7B56">
        <w:rPr>
          <w:rFonts w:eastAsiaTheme="minorEastAsia"/>
          <w:sz w:val="24"/>
        </w:rPr>
        <w:t xml:space="preserve"> para el año de estudio, calculado como:</w:t>
      </w:r>
    </w:p>
    <w:p w14:paraId="5EBE3862" w14:textId="77777777" w:rsidR="009C7B56" w:rsidRDefault="009C7B56" w:rsidP="009C7B56">
      <w:pPr>
        <w:jc w:val="both"/>
        <w:rPr>
          <w:rFonts w:eastAsiaTheme="minorEastAsia"/>
          <w:sz w:val="24"/>
        </w:rPr>
      </w:pPr>
      <m:oMathPara>
        <m:oMath>
          <m:r>
            <w:rPr>
              <w:rFonts w:ascii="Cambria Math" w:eastAsiaTheme="minorEastAsia" w:hAnsi="Cambria Math"/>
              <w:sz w:val="24"/>
            </w:rPr>
            <m:t>x=</m:t>
          </m:r>
          <m:f>
            <m:fPr>
              <m:ctrlPr>
                <w:rPr>
                  <w:rFonts w:ascii="Cambria Math" w:eastAsiaTheme="minorEastAsia" w:hAnsi="Cambria Math"/>
                  <w:i/>
                  <w:sz w:val="24"/>
                </w:rPr>
              </m:ctrlPr>
            </m:fPr>
            <m:num>
              <m:sSub>
                <m:sSubPr>
                  <m:ctrlPr>
                    <w:rPr>
                      <w:rFonts w:ascii="Cambria Math" w:eastAsiaTheme="minorEastAsia" w:hAnsi="Cambria Math"/>
                      <w:i/>
                      <w:sz w:val="24"/>
                    </w:rPr>
                  </m:ctrlPr>
                </m:sSubPr>
                <m:e>
                  <m:r>
                    <w:rPr>
                      <w:rFonts w:ascii="Cambria Math" w:eastAsiaTheme="minorEastAsia" w:hAnsi="Cambria Math"/>
                      <w:sz w:val="24"/>
                    </w:rPr>
                    <m:t>PC</m:t>
                  </m:r>
                </m:e>
                <m:sub>
                  <m:r>
                    <w:rPr>
                      <w:rFonts w:ascii="Cambria Math" w:eastAsiaTheme="minorEastAsia" w:hAnsi="Cambria Math"/>
                      <w:sz w:val="24"/>
                    </w:rPr>
                    <m:t>0</m:t>
                  </m:r>
                </m:sub>
              </m:sSub>
              <m:r>
                <w:rPr>
                  <w:rFonts w:ascii="Cambria Math" w:eastAsiaTheme="minorEastAsia" w:hAnsi="Cambria Math"/>
                  <w:sz w:val="24"/>
                </w:rPr>
                <m:t>-PC</m:t>
              </m:r>
            </m:num>
            <m:den>
              <m:sSub>
                <m:sSubPr>
                  <m:ctrlPr>
                    <w:rPr>
                      <w:rFonts w:ascii="Cambria Math" w:eastAsiaTheme="minorEastAsia" w:hAnsi="Cambria Math"/>
                      <w:i/>
                      <w:sz w:val="24"/>
                    </w:rPr>
                  </m:ctrlPr>
                </m:sSubPr>
                <m:e>
                  <m:r>
                    <w:rPr>
                      <w:rFonts w:ascii="Cambria Math" w:eastAsiaTheme="minorEastAsia" w:hAnsi="Cambria Math"/>
                      <w:sz w:val="24"/>
                    </w:rPr>
                    <m:t>PC</m:t>
                  </m:r>
                </m:e>
                <m:sub>
                  <m:r>
                    <w:rPr>
                      <w:rFonts w:ascii="Cambria Math" w:eastAsiaTheme="minorEastAsia" w:hAnsi="Cambria Math"/>
                      <w:sz w:val="24"/>
                    </w:rPr>
                    <m:t>0</m:t>
                  </m:r>
                </m:sub>
              </m:sSub>
            </m:den>
          </m:f>
        </m:oMath>
      </m:oMathPara>
    </w:p>
    <w:p w14:paraId="4285F812" w14:textId="77777777" w:rsidR="009C7B56" w:rsidRDefault="009C7B56" w:rsidP="009C7B56">
      <w:pPr>
        <w:jc w:val="both"/>
        <w:rPr>
          <w:rFonts w:eastAsiaTheme="minorEastAsia"/>
          <w:sz w:val="24"/>
        </w:rPr>
      </w:pPr>
      <w:r>
        <w:rPr>
          <w:rFonts w:eastAsiaTheme="minorEastAsia"/>
          <w:sz w:val="24"/>
        </w:rPr>
        <w:t>Donde:</w:t>
      </w:r>
    </w:p>
    <w:p w14:paraId="288A96AB" w14:textId="77777777" w:rsidR="009C7B56" w:rsidRDefault="009C7B56" w:rsidP="009C7B56">
      <w:pPr>
        <w:jc w:val="both"/>
        <w:rPr>
          <w:rFonts w:eastAsiaTheme="minorEastAsia"/>
          <w:sz w:val="24"/>
        </w:rPr>
      </w:pPr>
      <m:oMath>
        <m:r>
          <w:rPr>
            <w:rFonts w:ascii="Cambria Math" w:eastAsiaTheme="minorEastAsia" w:hAnsi="Cambria Math"/>
            <w:sz w:val="24"/>
          </w:rPr>
          <m:t xml:space="preserve">x </m:t>
        </m:r>
      </m:oMath>
      <w:r>
        <w:rPr>
          <w:rFonts w:eastAsiaTheme="minorEastAsia"/>
          <w:sz w:val="24"/>
        </w:rPr>
        <w:t>: Corresponde al margen de suficiencia del año de estudio.</w:t>
      </w:r>
    </w:p>
    <w:p w14:paraId="67C2E693" w14:textId="77777777" w:rsidR="009C7B56" w:rsidRPr="00265FA4" w:rsidRDefault="00960697" w:rsidP="009C7B56">
      <w:pPr>
        <w:jc w:val="both"/>
        <w:rPr>
          <w:rFonts w:eastAsiaTheme="minorEastAsia"/>
          <w:sz w:val="24"/>
        </w:rPr>
      </w:pPr>
      <m:oMath>
        <m:sSub>
          <m:sSubPr>
            <m:ctrlPr>
              <w:rPr>
                <w:rFonts w:ascii="Cambria Math" w:eastAsiaTheme="minorEastAsia" w:hAnsi="Cambria Math"/>
                <w:i/>
                <w:sz w:val="24"/>
              </w:rPr>
            </m:ctrlPr>
          </m:sSubPr>
          <m:e>
            <m:r>
              <w:rPr>
                <w:rFonts w:ascii="Cambria Math" w:eastAsiaTheme="minorEastAsia" w:hAnsi="Cambria Math"/>
                <w:sz w:val="24"/>
              </w:rPr>
              <m:t>PC</m:t>
            </m:r>
          </m:e>
          <m:sub>
            <m:r>
              <w:rPr>
                <w:rFonts w:ascii="Cambria Math" w:eastAsiaTheme="minorEastAsia" w:hAnsi="Cambria Math"/>
                <w:sz w:val="24"/>
              </w:rPr>
              <m:t>0</m:t>
            </m:r>
          </m:sub>
        </m:sSub>
        <m:r>
          <w:rPr>
            <w:rFonts w:ascii="Cambria Math" w:eastAsiaTheme="minorEastAsia" w:hAnsi="Cambria Math"/>
            <w:sz w:val="24"/>
          </w:rPr>
          <m:t>:</m:t>
        </m:r>
      </m:oMath>
      <w:r w:rsidR="009C7B56" w:rsidRPr="002B3118">
        <w:rPr>
          <w:rFonts w:eastAsiaTheme="minorEastAsia"/>
          <w:sz w:val="24"/>
        </w:rPr>
        <w:t xml:space="preserve"> </w:t>
      </w:r>
      <w:r w:rsidR="009C7B56">
        <w:rPr>
          <w:rFonts w:eastAsiaTheme="minorEastAsia"/>
          <w:sz w:val="24"/>
        </w:rPr>
        <w:t xml:space="preserve">Prima Comercial Promedio Anual en SMDLV de las tarifas establecidas en el </w:t>
      </w:r>
      <w:r w:rsidR="009C7B56" w:rsidRPr="001D0526">
        <w:rPr>
          <w:rFonts w:eastAsiaTheme="minorEastAsia"/>
          <w:sz w:val="24"/>
        </w:rPr>
        <w:t>Anexo</w:t>
      </w:r>
      <w:r w:rsidR="009C7B56">
        <w:rPr>
          <w:rFonts w:eastAsiaTheme="minorEastAsia"/>
          <w:sz w:val="24"/>
        </w:rPr>
        <w:t xml:space="preserve"> </w:t>
      </w:r>
    </w:p>
    <w:p w14:paraId="3B14880B" w14:textId="77777777" w:rsidR="009C7B56" w:rsidRDefault="009C7B56" w:rsidP="009C7B56">
      <w:pPr>
        <w:jc w:val="both"/>
        <w:rPr>
          <w:rFonts w:eastAsiaTheme="minorEastAsia"/>
          <w:sz w:val="24"/>
        </w:rPr>
      </w:pPr>
      <w:r>
        <w:rPr>
          <w:rFonts w:eastAsiaTheme="minorEastAsia"/>
          <w:sz w:val="24"/>
        </w:rPr>
        <w:t xml:space="preserve">         </w:t>
      </w:r>
      <w:r w:rsidRPr="001D0526">
        <w:rPr>
          <w:rFonts w:eastAsiaTheme="minorEastAsia"/>
          <w:sz w:val="24"/>
        </w:rPr>
        <w:t xml:space="preserve">1 del Título IV de la Parte II de la </w:t>
      </w:r>
      <w:r>
        <w:rPr>
          <w:rFonts w:eastAsiaTheme="minorEastAsia"/>
          <w:sz w:val="24"/>
        </w:rPr>
        <w:t>CBJ en el año de estudio.</w:t>
      </w:r>
    </w:p>
    <w:p w14:paraId="1DB3E464" w14:textId="77777777" w:rsidR="009C7B56" w:rsidRDefault="009C7B56" w:rsidP="009C7B56">
      <w:pPr>
        <w:jc w:val="both"/>
        <w:rPr>
          <w:rFonts w:eastAsiaTheme="minorEastAsia"/>
          <w:sz w:val="24"/>
        </w:rPr>
      </w:pPr>
      <m:oMath>
        <m:r>
          <w:rPr>
            <w:rFonts w:ascii="Cambria Math" w:eastAsiaTheme="minorEastAsia" w:hAnsi="Cambria Math"/>
            <w:sz w:val="24"/>
          </w:rPr>
          <m:t>PC :</m:t>
        </m:r>
      </m:oMath>
      <w:r>
        <w:rPr>
          <w:rFonts w:eastAsiaTheme="minorEastAsia"/>
          <w:sz w:val="24"/>
        </w:rPr>
        <w:t xml:space="preserve"> Prima comercial promedio estimada, valor promedio que debe</w:t>
      </w:r>
      <w:r w:rsidR="00520FB6">
        <w:rPr>
          <w:rFonts w:eastAsiaTheme="minorEastAsia"/>
          <w:sz w:val="24"/>
        </w:rPr>
        <w:t>ría pagar</w:t>
      </w:r>
      <w:r>
        <w:rPr>
          <w:rFonts w:eastAsiaTheme="minorEastAsia"/>
          <w:sz w:val="24"/>
        </w:rPr>
        <w:t xml:space="preserve"> cada vehículo </w:t>
      </w:r>
    </w:p>
    <w:p w14:paraId="194D945E" w14:textId="77777777" w:rsidR="009C7B56" w:rsidRDefault="009C7B56" w:rsidP="009C7B56">
      <w:pPr>
        <w:jc w:val="both"/>
        <w:rPr>
          <w:rFonts w:eastAsiaTheme="minorEastAsia"/>
          <w:sz w:val="24"/>
        </w:rPr>
      </w:pPr>
      <w:r>
        <w:rPr>
          <w:rFonts w:eastAsiaTheme="minorEastAsia"/>
          <w:sz w:val="24"/>
        </w:rPr>
        <w:t xml:space="preserve">         para sufragar los gastos, siniestros y aportes o transferencias en el año de estudio.</w:t>
      </w:r>
    </w:p>
    <w:p w14:paraId="50418AED" w14:textId="77777777" w:rsidR="009C7B56" w:rsidRDefault="009C7B56" w:rsidP="009C7B56">
      <w:pPr>
        <w:jc w:val="both"/>
        <w:rPr>
          <w:rFonts w:eastAsiaTheme="minorEastAsia"/>
          <w:sz w:val="24"/>
        </w:rPr>
      </w:pPr>
    </w:p>
    <w:p w14:paraId="7D7B8973" w14:textId="77777777" w:rsidR="00D061C3" w:rsidRDefault="00D061C3">
      <w:pPr>
        <w:rPr>
          <w:rFonts w:eastAsiaTheme="minorEastAsia"/>
          <w:sz w:val="24"/>
        </w:rPr>
      </w:pPr>
      <w:r>
        <w:rPr>
          <w:rFonts w:eastAsiaTheme="minorEastAsia"/>
          <w:sz w:val="24"/>
        </w:rPr>
        <w:br w:type="page"/>
      </w:r>
    </w:p>
    <w:p w14:paraId="0754FB70" w14:textId="77777777" w:rsidR="00596CDA" w:rsidRDefault="00596CDA" w:rsidP="00C415C6">
      <w:pPr>
        <w:pStyle w:val="Prrafodelista"/>
        <w:numPr>
          <w:ilvl w:val="0"/>
          <w:numId w:val="16"/>
        </w:numPr>
        <w:jc w:val="both"/>
        <w:rPr>
          <w:rFonts w:eastAsiaTheme="minorEastAsia"/>
          <w:sz w:val="24"/>
        </w:rPr>
      </w:pPr>
      <w:r w:rsidRPr="00596CDA">
        <w:rPr>
          <w:rFonts w:eastAsiaTheme="minorEastAsia"/>
          <w:sz w:val="24"/>
        </w:rPr>
        <w:lastRenderedPageBreak/>
        <w:t>Ajuste Tarifario</w:t>
      </w:r>
    </w:p>
    <w:p w14:paraId="623EB880" w14:textId="1519D681" w:rsidR="000E2826" w:rsidRDefault="00BA75EE" w:rsidP="009C7B56">
      <w:pPr>
        <w:jc w:val="both"/>
        <w:rPr>
          <w:rFonts w:eastAsiaTheme="minorEastAsia"/>
          <w:sz w:val="24"/>
        </w:rPr>
      </w:pPr>
      <w:r>
        <w:rPr>
          <w:rFonts w:eastAsiaTheme="minorEastAsia"/>
          <w:sz w:val="24"/>
        </w:rPr>
        <w:t xml:space="preserve">Con el fin de definir un parámetro objetivo que determine el momento en el cual debe realizarse un ajuste tarifario, se estableció que cuando </w:t>
      </w:r>
      <w:r w:rsidR="00C20B81">
        <w:rPr>
          <w:rFonts w:eastAsiaTheme="minorEastAsia"/>
          <w:sz w:val="24"/>
        </w:rPr>
        <w:t xml:space="preserve">la </w:t>
      </w:r>
      <w:r w:rsidR="006F391D">
        <w:rPr>
          <w:rFonts w:eastAsiaTheme="minorEastAsia"/>
          <w:sz w:val="24"/>
        </w:rPr>
        <w:t>suficiencia sea diferente de 0%</w:t>
      </w:r>
      <w:r>
        <w:rPr>
          <w:rFonts w:eastAsiaTheme="minorEastAsia"/>
          <w:sz w:val="24"/>
        </w:rPr>
        <w:t xml:space="preserve"> se deberá ajustar la tarifa de la siguiente forma: </w:t>
      </w:r>
      <w:r w:rsidR="006F391D">
        <w:rPr>
          <w:rFonts w:eastAsiaTheme="minorEastAsia"/>
          <w:sz w:val="24"/>
        </w:rPr>
        <w:t>si es negativ</w:t>
      </w:r>
      <w:r w:rsidR="00C20B81">
        <w:rPr>
          <w:rFonts w:eastAsiaTheme="minorEastAsia"/>
          <w:sz w:val="24"/>
        </w:rPr>
        <w:t>a</w:t>
      </w:r>
      <w:r w:rsidR="006F391D">
        <w:rPr>
          <w:rFonts w:eastAsiaTheme="minorEastAsia"/>
          <w:sz w:val="24"/>
        </w:rPr>
        <w:t xml:space="preserve"> se</w:t>
      </w:r>
      <w:r w:rsidR="00E03E86">
        <w:rPr>
          <w:rFonts w:eastAsiaTheme="minorEastAsia"/>
          <w:sz w:val="24"/>
        </w:rPr>
        <w:t xml:space="preserve"> realiza un ajuste al alza de las tarifas, si es positiv</w:t>
      </w:r>
      <w:r w:rsidR="00C20B81">
        <w:rPr>
          <w:rFonts w:eastAsiaTheme="minorEastAsia"/>
          <w:sz w:val="24"/>
        </w:rPr>
        <w:t>a</w:t>
      </w:r>
      <w:r w:rsidR="00E03E86">
        <w:rPr>
          <w:rFonts w:eastAsiaTheme="minorEastAsia"/>
          <w:sz w:val="24"/>
        </w:rPr>
        <w:t xml:space="preserve"> se ajust</w:t>
      </w:r>
      <w:r w:rsidR="007D0A23">
        <w:rPr>
          <w:rFonts w:eastAsiaTheme="minorEastAsia"/>
          <w:sz w:val="24"/>
        </w:rPr>
        <w:t>a</w:t>
      </w:r>
      <w:r w:rsidR="00E03E86">
        <w:rPr>
          <w:rFonts w:eastAsiaTheme="minorEastAsia"/>
          <w:sz w:val="24"/>
        </w:rPr>
        <w:t xml:space="preserve"> a la baja</w:t>
      </w:r>
      <w:r w:rsidR="00BE1AB0">
        <w:rPr>
          <w:rFonts w:eastAsiaTheme="minorEastAsia"/>
          <w:sz w:val="24"/>
        </w:rPr>
        <w:t>, si es igual a cero se mantiene</w:t>
      </w:r>
      <w:r w:rsidR="00E03E86">
        <w:rPr>
          <w:rFonts w:eastAsiaTheme="minorEastAsia"/>
          <w:sz w:val="24"/>
        </w:rPr>
        <w:t>.</w:t>
      </w:r>
    </w:p>
    <w:p w14:paraId="1B38E4EA" w14:textId="12134D3E" w:rsidR="00A9264A" w:rsidRPr="00C415C6" w:rsidRDefault="00C415C6" w:rsidP="00C415C6">
      <w:pPr>
        <w:pStyle w:val="Prrafodelista"/>
        <w:numPr>
          <w:ilvl w:val="1"/>
          <w:numId w:val="21"/>
        </w:numPr>
        <w:jc w:val="both"/>
        <w:rPr>
          <w:rFonts w:eastAsiaTheme="minorEastAsia"/>
          <w:i/>
          <w:sz w:val="24"/>
          <w:u w:val="single"/>
        </w:rPr>
      </w:pPr>
      <w:r w:rsidRPr="00C415C6">
        <w:rPr>
          <w:rFonts w:eastAsiaTheme="minorEastAsia"/>
          <w:i/>
          <w:sz w:val="24"/>
          <w:u w:val="single"/>
        </w:rPr>
        <w:t>Suficiencia inferior a cero</w:t>
      </w:r>
    </w:p>
    <w:p w14:paraId="70B29363" w14:textId="491AA0EF" w:rsidR="004F2ECD" w:rsidRDefault="00BA75EE" w:rsidP="001D0526">
      <w:pPr>
        <w:jc w:val="both"/>
        <w:rPr>
          <w:rFonts w:eastAsiaTheme="minorEastAsia"/>
          <w:sz w:val="24"/>
        </w:rPr>
      </w:pPr>
      <w:r>
        <w:rPr>
          <w:rFonts w:eastAsiaTheme="minorEastAsia"/>
          <w:sz w:val="24"/>
        </w:rPr>
        <w:t xml:space="preserve">Cuando </w:t>
      </w:r>
      <w:r w:rsidR="00C20B81">
        <w:rPr>
          <w:rFonts w:eastAsiaTheme="minorEastAsia"/>
          <w:sz w:val="24"/>
        </w:rPr>
        <w:t xml:space="preserve">la </w:t>
      </w:r>
      <w:r>
        <w:rPr>
          <w:rFonts w:eastAsiaTheme="minorEastAsia"/>
          <w:sz w:val="24"/>
        </w:rPr>
        <w:t>suficiencia sea negativ</w:t>
      </w:r>
      <w:r w:rsidR="00C20B81">
        <w:rPr>
          <w:rFonts w:eastAsiaTheme="minorEastAsia"/>
          <w:sz w:val="24"/>
        </w:rPr>
        <w:t>a</w:t>
      </w:r>
      <w:r>
        <w:rPr>
          <w:rFonts w:eastAsiaTheme="minorEastAsia"/>
          <w:sz w:val="24"/>
        </w:rPr>
        <w:t xml:space="preserve">, </w:t>
      </w:r>
      <w:r w:rsidR="00C415C6">
        <w:rPr>
          <w:rFonts w:eastAsiaTheme="minorEastAsia"/>
          <w:sz w:val="24"/>
        </w:rPr>
        <w:t xml:space="preserve">se realiza un aumento </w:t>
      </w:r>
      <w:r>
        <w:rPr>
          <w:rFonts w:eastAsiaTheme="minorEastAsia"/>
          <w:sz w:val="24"/>
        </w:rPr>
        <w:t>de las tarifas máximas atendiendo el esquema vigente de subsidios entre categorías. Por lo tanto</w:t>
      </w:r>
      <w:r w:rsidR="00C20B81">
        <w:rPr>
          <w:rFonts w:eastAsiaTheme="minorEastAsia"/>
          <w:sz w:val="24"/>
        </w:rPr>
        <w:t>,</w:t>
      </w:r>
      <w:r>
        <w:rPr>
          <w:rFonts w:eastAsiaTheme="minorEastAsia"/>
          <w:sz w:val="24"/>
        </w:rPr>
        <w:t xml:space="preserve"> se aplicará el siguiente procedimiento, el cual propende por el principio de equidad al realizar un aumento mayor a las categorías de mayor riesgo (subsidiadas). </w:t>
      </w:r>
      <w:r w:rsidR="004F2ECD">
        <w:rPr>
          <w:rFonts w:eastAsiaTheme="minorEastAsia"/>
          <w:sz w:val="24"/>
        </w:rPr>
        <w:t>Para realizar el respectivo ajuste tarifario, se definen dos grandes categorías.</w:t>
      </w:r>
    </w:p>
    <w:p w14:paraId="0DCD2784" w14:textId="77777777" w:rsidR="004F2ECD" w:rsidRDefault="004F2ECD" w:rsidP="001D0526">
      <w:pPr>
        <w:jc w:val="both"/>
        <w:rPr>
          <w:rFonts w:eastAsiaTheme="minorEastAsia"/>
          <w:sz w:val="24"/>
        </w:rPr>
      </w:pPr>
      <m:oMath>
        <m:r>
          <w:rPr>
            <w:rFonts w:ascii="Cambria Math" w:eastAsiaTheme="minorEastAsia" w:hAnsi="Cambria Math"/>
            <w:sz w:val="24"/>
          </w:rPr>
          <m:t>S</m:t>
        </m:r>
      </m:oMath>
      <w:r w:rsidR="006D73B5">
        <w:rPr>
          <w:rFonts w:eastAsiaTheme="minorEastAsia"/>
          <w:sz w:val="24"/>
        </w:rPr>
        <w:t xml:space="preserve">: </w:t>
      </w:r>
      <w:r>
        <w:rPr>
          <w:rFonts w:eastAsiaTheme="minorEastAsia"/>
          <w:sz w:val="24"/>
        </w:rPr>
        <w:t>Categorías subsidiadas (Motos, buses y busetas urbanos).</w:t>
      </w:r>
    </w:p>
    <w:p w14:paraId="1271B1D2" w14:textId="77777777" w:rsidR="004F2ECD" w:rsidRDefault="004F2ECD" w:rsidP="001D0526">
      <w:pPr>
        <w:jc w:val="both"/>
        <w:rPr>
          <w:rFonts w:eastAsiaTheme="minorEastAsia"/>
          <w:sz w:val="24"/>
        </w:rPr>
      </w:pPr>
      <m:oMath>
        <m:r>
          <w:rPr>
            <w:rFonts w:ascii="Cambria Math" w:eastAsiaTheme="minorEastAsia" w:hAnsi="Cambria Math"/>
            <w:sz w:val="24"/>
          </w:rPr>
          <m:t>A</m:t>
        </m:r>
      </m:oMath>
      <w:r w:rsidR="006D73B5">
        <w:rPr>
          <w:rFonts w:eastAsiaTheme="minorEastAsia"/>
          <w:sz w:val="24"/>
        </w:rPr>
        <w:t xml:space="preserve">: </w:t>
      </w:r>
      <w:r>
        <w:rPr>
          <w:rFonts w:eastAsiaTheme="minorEastAsia"/>
          <w:sz w:val="24"/>
        </w:rPr>
        <w:t>Categorías aportantes (Subsidian a las demás).</w:t>
      </w:r>
    </w:p>
    <w:p w14:paraId="2EBF87FA" w14:textId="77777777" w:rsidR="004F2ECD" w:rsidRDefault="004F2ECD" w:rsidP="001D0526">
      <w:pPr>
        <w:jc w:val="both"/>
        <w:rPr>
          <w:rFonts w:eastAsiaTheme="minorEastAsia"/>
          <w:sz w:val="24"/>
        </w:rPr>
      </w:pPr>
      <w:r>
        <w:rPr>
          <w:rFonts w:eastAsiaTheme="minorEastAsia"/>
          <w:sz w:val="24"/>
        </w:rPr>
        <w:t>Cada categoría tiene un incremento diferente, así:</w:t>
      </w:r>
    </w:p>
    <w:p w14:paraId="04D04EA0" w14:textId="77777777" w:rsidR="004F2ECD" w:rsidRDefault="00960697" w:rsidP="001D0526">
      <w:pPr>
        <w:jc w:val="both"/>
        <w:rPr>
          <w:rFonts w:eastAsiaTheme="minorEastAsia"/>
          <w:sz w:val="24"/>
        </w:rPr>
      </w:pPr>
      <m:oMath>
        <m:sSub>
          <m:sSubPr>
            <m:ctrlPr>
              <w:rPr>
                <w:rFonts w:ascii="Cambria Math" w:eastAsiaTheme="minorEastAsia" w:hAnsi="Cambria Math"/>
                <w:i/>
                <w:sz w:val="24"/>
              </w:rPr>
            </m:ctrlPr>
          </m:sSubPr>
          <m:e>
            <m:r>
              <w:rPr>
                <w:rFonts w:ascii="Cambria Math" w:eastAsiaTheme="minorEastAsia" w:hAnsi="Cambria Math"/>
                <w:sz w:val="24"/>
              </w:rPr>
              <m:t>∅</m:t>
            </m:r>
          </m:e>
          <m:sub>
            <m:r>
              <w:rPr>
                <w:rFonts w:ascii="Cambria Math" w:eastAsiaTheme="minorEastAsia" w:hAnsi="Cambria Math"/>
                <w:sz w:val="24"/>
              </w:rPr>
              <m:t>i</m:t>
            </m:r>
          </m:sub>
        </m:sSub>
      </m:oMath>
      <w:r w:rsidR="006D73B5">
        <w:rPr>
          <w:rFonts w:eastAsiaTheme="minorEastAsia"/>
          <w:sz w:val="24"/>
        </w:rPr>
        <w:t xml:space="preserve">: </w:t>
      </w:r>
      <w:r w:rsidR="004F2ECD">
        <w:rPr>
          <w:rFonts w:eastAsiaTheme="minorEastAsia"/>
          <w:sz w:val="24"/>
        </w:rPr>
        <w:t xml:space="preserve">Porcentaje de incremento para la categoría </w:t>
      </w:r>
      <m:oMath>
        <m:r>
          <w:rPr>
            <w:rFonts w:ascii="Cambria Math" w:eastAsiaTheme="minorEastAsia" w:hAnsi="Cambria Math"/>
            <w:sz w:val="24"/>
          </w:rPr>
          <m:t>i</m:t>
        </m:r>
      </m:oMath>
      <w:r w:rsidR="007D3BDC">
        <w:rPr>
          <w:rFonts w:eastAsiaTheme="minorEastAsia"/>
          <w:sz w:val="24"/>
        </w:rPr>
        <w:t>.</w:t>
      </w:r>
    </w:p>
    <w:p w14:paraId="46650A92" w14:textId="77777777" w:rsidR="004F2ECD" w:rsidRDefault="00960697" w:rsidP="001D0526">
      <w:pPr>
        <w:jc w:val="both"/>
        <w:rPr>
          <w:rFonts w:eastAsiaTheme="minorEastAsia"/>
          <w:sz w:val="24"/>
        </w:rPr>
      </w:pPr>
      <m:oMath>
        <m:sSub>
          <m:sSubPr>
            <m:ctrlPr>
              <w:rPr>
                <w:rFonts w:ascii="Cambria Math" w:eastAsiaTheme="minorEastAsia" w:hAnsi="Cambria Math"/>
                <w:i/>
                <w:sz w:val="24"/>
              </w:rPr>
            </m:ctrlPr>
          </m:sSubPr>
          <m:e>
            <m:r>
              <w:rPr>
                <w:rFonts w:ascii="Cambria Math" w:eastAsiaTheme="minorEastAsia" w:hAnsi="Cambria Math"/>
                <w:sz w:val="24"/>
              </w:rPr>
              <m:t>∅</m:t>
            </m:r>
          </m:e>
          <m:sub>
            <m:r>
              <w:rPr>
                <w:rFonts w:ascii="Cambria Math" w:eastAsiaTheme="minorEastAsia" w:hAnsi="Cambria Math"/>
                <w:sz w:val="24"/>
              </w:rPr>
              <m:t>A</m:t>
            </m:r>
          </m:sub>
        </m:sSub>
      </m:oMath>
      <w:r w:rsidR="006D73B5">
        <w:rPr>
          <w:rFonts w:eastAsiaTheme="minorEastAsia"/>
          <w:sz w:val="24"/>
        </w:rPr>
        <w:t xml:space="preserve">: </w:t>
      </w:r>
      <w:r w:rsidR="004F2ECD">
        <w:rPr>
          <w:rFonts w:eastAsiaTheme="minorEastAsia"/>
          <w:sz w:val="24"/>
        </w:rPr>
        <w:t>Porcentaje de incremento para la categoría aportante.</w:t>
      </w:r>
    </w:p>
    <w:p w14:paraId="2D535097" w14:textId="77777777" w:rsidR="00890A25" w:rsidRDefault="00960697" w:rsidP="00890A25">
      <w:pPr>
        <w:jc w:val="both"/>
        <w:rPr>
          <w:rFonts w:eastAsiaTheme="minorEastAsia"/>
          <w:sz w:val="24"/>
        </w:rPr>
      </w:pPr>
      <m:oMath>
        <m:sSub>
          <m:sSubPr>
            <m:ctrlPr>
              <w:rPr>
                <w:rFonts w:ascii="Cambria Math" w:eastAsiaTheme="minorEastAsia" w:hAnsi="Cambria Math"/>
                <w:i/>
                <w:sz w:val="24"/>
              </w:rPr>
            </m:ctrlPr>
          </m:sSubPr>
          <m:e>
            <m:r>
              <w:rPr>
                <w:rFonts w:ascii="Cambria Math" w:eastAsiaTheme="minorEastAsia" w:hAnsi="Cambria Math"/>
                <w:sz w:val="24"/>
              </w:rPr>
              <m:t>∅</m:t>
            </m:r>
          </m:e>
          <m:sub>
            <m:r>
              <w:rPr>
                <w:rFonts w:ascii="Cambria Math" w:eastAsiaTheme="minorEastAsia" w:hAnsi="Cambria Math"/>
                <w:sz w:val="24"/>
              </w:rPr>
              <m:t>S</m:t>
            </m:r>
          </m:sub>
        </m:sSub>
      </m:oMath>
      <w:r w:rsidR="006D73B5">
        <w:rPr>
          <w:rFonts w:eastAsiaTheme="minorEastAsia"/>
          <w:sz w:val="24"/>
        </w:rPr>
        <w:t xml:space="preserve">: </w:t>
      </w:r>
      <w:r w:rsidR="004F2ECD">
        <w:rPr>
          <w:rFonts w:eastAsiaTheme="minorEastAsia"/>
          <w:sz w:val="24"/>
        </w:rPr>
        <w:t xml:space="preserve">Porcentaje de incremento para la categoría </w:t>
      </w:r>
      <w:r w:rsidR="00DB0E0B">
        <w:rPr>
          <w:rFonts w:eastAsiaTheme="minorEastAsia"/>
          <w:sz w:val="24"/>
        </w:rPr>
        <w:t>subsidiada</w:t>
      </w:r>
      <w:r w:rsidR="004F2ECD">
        <w:rPr>
          <w:rFonts w:eastAsiaTheme="minorEastAsia"/>
          <w:sz w:val="24"/>
        </w:rPr>
        <w:t>.</w:t>
      </w:r>
    </w:p>
    <w:p w14:paraId="70478A9E" w14:textId="77777777" w:rsidR="00890A25" w:rsidRDefault="00890A25" w:rsidP="00890A25">
      <w:pPr>
        <w:jc w:val="both"/>
        <w:rPr>
          <w:rFonts w:eastAsiaTheme="minorEastAsia"/>
          <w:sz w:val="24"/>
        </w:rPr>
      </w:pPr>
      <m:oMath>
        <m:r>
          <w:rPr>
            <w:rFonts w:ascii="Cambria Math" w:eastAsiaTheme="minorEastAsia" w:hAnsi="Cambria Math"/>
            <w:sz w:val="24"/>
          </w:rPr>
          <m:t>∅</m:t>
        </m:r>
      </m:oMath>
      <w:r>
        <w:rPr>
          <w:rFonts w:eastAsiaTheme="minorEastAsia"/>
          <w:sz w:val="24"/>
        </w:rPr>
        <w:t xml:space="preserve">: Porcentaje de incremento promedio (porcentaje de insuficiencia producto de comparar             </w:t>
      </w:r>
      <m:oMath>
        <m:r>
          <w:rPr>
            <w:rFonts w:ascii="Cambria Math" w:eastAsiaTheme="minorEastAsia" w:hAnsi="Cambria Math"/>
            <w:sz w:val="24"/>
          </w:rPr>
          <m:t>PC</m:t>
        </m:r>
      </m:oMath>
      <w:r>
        <w:rPr>
          <w:rFonts w:eastAsiaTheme="minorEastAsia"/>
          <w:sz w:val="24"/>
        </w:rPr>
        <w:t xml:space="preserve"> y </w:t>
      </w:r>
      <m:oMath>
        <m:sSub>
          <m:sSubPr>
            <m:ctrlPr>
              <w:rPr>
                <w:rFonts w:ascii="Cambria Math" w:eastAsiaTheme="minorEastAsia" w:hAnsi="Cambria Math"/>
                <w:i/>
                <w:sz w:val="24"/>
              </w:rPr>
            </m:ctrlPr>
          </m:sSubPr>
          <m:e>
            <m:r>
              <w:rPr>
                <w:rFonts w:ascii="Cambria Math" w:eastAsiaTheme="minorEastAsia" w:hAnsi="Cambria Math"/>
                <w:sz w:val="24"/>
              </w:rPr>
              <m:t>PC</m:t>
            </m:r>
          </m:e>
          <m:sub>
            <m:r>
              <w:rPr>
                <w:rFonts w:ascii="Cambria Math" w:eastAsiaTheme="minorEastAsia" w:hAnsi="Cambria Math"/>
                <w:sz w:val="24"/>
              </w:rPr>
              <m:t>0</m:t>
            </m:r>
          </m:sub>
        </m:sSub>
      </m:oMath>
      <w:r>
        <w:rPr>
          <w:rFonts w:eastAsiaTheme="minorEastAsia"/>
          <w:sz w:val="24"/>
        </w:rPr>
        <w:t>.</w:t>
      </w:r>
    </w:p>
    <w:p w14:paraId="039DC078" w14:textId="77777777" w:rsidR="00890A25" w:rsidRDefault="00890A25" w:rsidP="00890A25">
      <w:pPr>
        <w:jc w:val="both"/>
        <w:rPr>
          <w:rFonts w:eastAsiaTheme="minorEastAsia"/>
          <w:sz w:val="24"/>
        </w:rPr>
      </w:pPr>
      <w:r>
        <w:rPr>
          <w:rFonts w:eastAsiaTheme="minorEastAsia"/>
          <w:sz w:val="24"/>
        </w:rPr>
        <w:t>Como sucede que.</w:t>
      </w:r>
    </w:p>
    <w:p w14:paraId="55ED72D1" w14:textId="77777777" w:rsidR="00080BAE" w:rsidRPr="004F2ECD" w:rsidRDefault="004F2ECD" w:rsidP="004F2ECD">
      <w:pPr>
        <w:jc w:val="center"/>
        <w:rPr>
          <w:rFonts w:eastAsiaTheme="minorEastAsia"/>
          <w:sz w:val="24"/>
        </w:rPr>
      </w:pPr>
      <m:oMathPara>
        <m:oMath>
          <m:r>
            <w:rPr>
              <w:rFonts w:ascii="Cambria Math" w:eastAsiaTheme="minorEastAsia" w:hAnsi="Cambria Math"/>
              <w:sz w:val="24"/>
            </w:rPr>
            <m:t>PC=</m:t>
          </m:r>
          <m:sSub>
            <m:sSubPr>
              <m:ctrlPr>
                <w:rPr>
                  <w:rFonts w:ascii="Cambria Math" w:eastAsiaTheme="minorEastAsia" w:hAnsi="Cambria Math"/>
                  <w:i/>
                  <w:sz w:val="24"/>
                </w:rPr>
              </m:ctrlPr>
            </m:sSubPr>
            <m:e>
              <m:r>
                <w:rPr>
                  <w:rFonts w:ascii="Cambria Math" w:eastAsiaTheme="minorEastAsia" w:hAnsi="Cambria Math"/>
                  <w:sz w:val="24"/>
                </w:rPr>
                <m:t>PC</m:t>
              </m:r>
            </m:e>
            <m:sub>
              <m:r>
                <w:rPr>
                  <w:rFonts w:ascii="Cambria Math" w:eastAsiaTheme="minorEastAsia" w:hAnsi="Cambria Math"/>
                  <w:sz w:val="24"/>
                </w:rPr>
                <m:t>0</m:t>
              </m:r>
            </m:sub>
          </m:sSub>
          <m:r>
            <w:rPr>
              <w:rFonts w:ascii="Cambria Math" w:eastAsiaTheme="minorEastAsia" w:hAnsi="Cambria Math"/>
              <w:sz w:val="24"/>
            </w:rPr>
            <m:t>*</m:t>
          </m:r>
          <m:d>
            <m:dPr>
              <m:ctrlPr>
                <w:rPr>
                  <w:rFonts w:ascii="Cambria Math" w:eastAsiaTheme="minorEastAsia" w:hAnsi="Cambria Math"/>
                  <w:i/>
                  <w:sz w:val="24"/>
                </w:rPr>
              </m:ctrlPr>
            </m:dPr>
            <m:e>
              <m:r>
                <w:rPr>
                  <w:rFonts w:ascii="Cambria Math" w:eastAsiaTheme="minorEastAsia" w:hAnsi="Cambria Math"/>
                  <w:sz w:val="24"/>
                </w:rPr>
                <m:t>1+∅</m:t>
              </m:r>
            </m:e>
          </m:d>
          <m:r>
            <w:rPr>
              <w:rFonts w:ascii="Cambria Math" w:eastAsiaTheme="minorEastAsia" w:hAnsi="Cambria Math"/>
              <w:sz w:val="24"/>
            </w:rPr>
            <m:t>=</m:t>
          </m:r>
          <m:nary>
            <m:naryPr>
              <m:chr m:val="∑"/>
              <m:limLoc m:val="undOvr"/>
              <m:supHide m:val="1"/>
              <m:ctrlPr>
                <w:rPr>
                  <w:rFonts w:ascii="Cambria Math" w:eastAsiaTheme="minorEastAsia" w:hAnsi="Cambria Math"/>
                  <w:i/>
                  <w:sz w:val="24"/>
                </w:rPr>
              </m:ctrlPr>
            </m:naryPr>
            <m:sub>
              <m:r>
                <w:rPr>
                  <w:rFonts w:ascii="Cambria Math" w:eastAsiaTheme="minorEastAsia" w:hAnsi="Cambria Math"/>
                  <w:sz w:val="24"/>
                </w:rPr>
                <m:t>i</m:t>
              </m:r>
            </m:sub>
            <m:sup/>
            <m:e>
              <m:r>
                <w:rPr>
                  <w:rFonts w:ascii="Cambria Math" w:eastAsiaTheme="minorEastAsia" w:hAnsi="Cambria Math"/>
                  <w:sz w:val="24"/>
                </w:rPr>
                <m:t>π</m:t>
              </m:r>
              <m:d>
                <m:dPr>
                  <m:ctrlPr>
                    <w:rPr>
                      <w:rFonts w:ascii="Cambria Math" w:eastAsiaTheme="minorEastAsia" w:hAnsi="Cambria Math"/>
                      <w:i/>
                      <w:sz w:val="24"/>
                    </w:rPr>
                  </m:ctrlPr>
                </m:dPr>
                <m:e>
                  <m:r>
                    <w:rPr>
                      <w:rFonts w:ascii="Cambria Math" w:eastAsiaTheme="minorEastAsia" w:hAnsi="Cambria Math"/>
                      <w:sz w:val="24"/>
                    </w:rPr>
                    <m:t>i</m:t>
                  </m:r>
                </m:e>
              </m:d>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PC</m:t>
                  </m:r>
                </m:e>
                <m:sub>
                  <m:r>
                    <w:rPr>
                      <w:rFonts w:ascii="Cambria Math" w:eastAsiaTheme="minorEastAsia" w:hAnsi="Cambria Math"/>
                      <w:sz w:val="24"/>
                    </w:rPr>
                    <m:t>0</m:t>
                  </m:r>
                </m:sub>
              </m:sSub>
              <m:d>
                <m:dPr>
                  <m:ctrlPr>
                    <w:rPr>
                      <w:rFonts w:ascii="Cambria Math" w:eastAsiaTheme="minorEastAsia" w:hAnsi="Cambria Math"/>
                      <w:i/>
                      <w:sz w:val="24"/>
                    </w:rPr>
                  </m:ctrlPr>
                </m:dPr>
                <m:e>
                  <m:r>
                    <w:rPr>
                      <w:rFonts w:ascii="Cambria Math" w:eastAsiaTheme="minorEastAsia" w:hAnsi="Cambria Math"/>
                      <w:sz w:val="24"/>
                    </w:rPr>
                    <m:t>i</m:t>
                  </m:r>
                </m:e>
              </m:d>
              <m:r>
                <w:rPr>
                  <w:rFonts w:ascii="Cambria Math" w:eastAsiaTheme="minorEastAsia" w:hAnsi="Cambria Math"/>
                  <w:sz w:val="24"/>
                </w:rPr>
                <m:t>*(1+∅)</m:t>
              </m:r>
            </m:e>
          </m:nary>
        </m:oMath>
      </m:oMathPara>
    </w:p>
    <w:p w14:paraId="115A90BF" w14:textId="77777777" w:rsidR="004F2ECD" w:rsidRDefault="004F2ECD" w:rsidP="004F2ECD">
      <w:pPr>
        <w:rPr>
          <w:rFonts w:eastAsiaTheme="minorEastAsia"/>
          <w:sz w:val="24"/>
        </w:rPr>
      </w:pPr>
      <w:r>
        <w:rPr>
          <w:rFonts w:eastAsiaTheme="minorEastAsia"/>
          <w:sz w:val="24"/>
        </w:rPr>
        <w:t>Se plantea la ecuación:</w:t>
      </w:r>
    </w:p>
    <w:p w14:paraId="5A6FBA8A" w14:textId="77777777" w:rsidR="004F2ECD" w:rsidRPr="004F2ECD" w:rsidRDefault="00960697" w:rsidP="004F2ECD">
      <w:pPr>
        <w:rPr>
          <w:rFonts w:eastAsiaTheme="minorEastAsia"/>
          <w:sz w:val="24"/>
        </w:rPr>
      </w:pPr>
      <m:oMathPara>
        <m:oMathParaPr>
          <m:jc m:val="left"/>
        </m:oMathParaPr>
        <m:oMath>
          <m:nary>
            <m:naryPr>
              <m:chr m:val="∑"/>
              <m:limLoc m:val="undOvr"/>
              <m:supHide m:val="1"/>
              <m:ctrlPr>
                <w:rPr>
                  <w:rFonts w:ascii="Cambria Math" w:eastAsiaTheme="minorEastAsia" w:hAnsi="Cambria Math"/>
                  <w:i/>
                  <w:sz w:val="24"/>
                </w:rPr>
              </m:ctrlPr>
            </m:naryPr>
            <m:sub>
              <m:r>
                <w:rPr>
                  <w:rFonts w:ascii="Cambria Math" w:eastAsiaTheme="minorEastAsia" w:hAnsi="Cambria Math"/>
                  <w:sz w:val="24"/>
                </w:rPr>
                <m:t>i</m:t>
              </m:r>
            </m:sub>
            <m:sup/>
            <m:e>
              <m:r>
                <w:rPr>
                  <w:rFonts w:ascii="Cambria Math" w:eastAsiaTheme="minorEastAsia" w:hAnsi="Cambria Math"/>
                  <w:sz w:val="24"/>
                </w:rPr>
                <m:t>π</m:t>
              </m:r>
              <m:d>
                <m:dPr>
                  <m:ctrlPr>
                    <w:rPr>
                      <w:rFonts w:ascii="Cambria Math" w:eastAsiaTheme="minorEastAsia" w:hAnsi="Cambria Math"/>
                      <w:i/>
                      <w:sz w:val="24"/>
                    </w:rPr>
                  </m:ctrlPr>
                </m:dPr>
                <m:e>
                  <m:r>
                    <w:rPr>
                      <w:rFonts w:ascii="Cambria Math" w:eastAsiaTheme="minorEastAsia" w:hAnsi="Cambria Math"/>
                      <w:sz w:val="24"/>
                    </w:rPr>
                    <m:t>i</m:t>
                  </m:r>
                </m:e>
              </m:d>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PC</m:t>
                  </m:r>
                </m:e>
                <m:sub>
                  <m:r>
                    <w:rPr>
                      <w:rFonts w:ascii="Cambria Math" w:eastAsiaTheme="minorEastAsia" w:hAnsi="Cambria Math"/>
                      <w:sz w:val="24"/>
                    </w:rPr>
                    <m:t>0</m:t>
                  </m:r>
                </m:sub>
              </m:sSub>
              <m:d>
                <m:dPr>
                  <m:ctrlPr>
                    <w:rPr>
                      <w:rFonts w:ascii="Cambria Math" w:eastAsiaTheme="minorEastAsia" w:hAnsi="Cambria Math"/>
                      <w:i/>
                      <w:sz w:val="24"/>
                    </w:rPr>
                  </m:ctrlPr>
                </m:dPr>
                <m:e>
                  <m:r>
                    <w:rPr>
                      <w:rFonts w:ascii="Cambria Math" w:eastAsiaTheme="minorEastAsia" w:hAnsi="Cambria Math"/>
                      <w:sz w:val="24"/>
                    </w:rPr>
                    <m:t>i</m:t>
                  </m:r>
                </m:e>
              </m:d>
              <m:r>
                <w:rPr>
                  <w:rFonts w:ascii="Cambria Math" w:eastAsiaTheme="minorEastAsia" w:hAnsi="Cambria Math"/>
                  <w:sz w:val="24"/>
                </w:rPr>
                <m:t>*</m:t>
              </m:r>
              <m:d>
                <m:dPr>
                  <m:ctrlPr>
                    <w:rPr>
                      <w:rFonts w:ascii="Cambria Math" w:eastAsiaTheme="minorEastAsia" w:hAnsi="Cambria Math"/>
                      <w:i/>
                      <w:sz w:val="24"/>
                    </w:rPr>
                  </m:ctrlPr>
                </m:dPr>
                <m:e>
                  <m:r>
                    <w:rPr>
                      <w:rFonts w:ascii="Cambria Math" w:eastAsiaTheme="minorEastAsia" w:hAnsi="Cambria Math"/>
                      <w:sz w:val="24"/>
                    </w:rPr>
                    <m:t>1+∅</m:t>
                  </m:r>
                </m:e>
              </m:d>
            </m:e>
          </m:nary>
          <m:r>
            <w:rPr>
              <w:rFonts w:ascii="Cambria Math" w:eastAsiaTheme="minorEastAsia" w:hAnsi="Cambria Math"/>
              <w:sz w:val="24"/>
            </w:rPr>
            <m:t>=</m:t>
          </m:r>
        </m:oMath>
      </m:oMathPara>
    </w:p>
    <w:p w14:paraId="0B542118" w14:textId="77777777" w:rsidR="004F2ECD" w:rsidRPr="004F2ECD" w:rsidRDefault="00960697" w:rsidP="004F2ECD">
      <w:pPr>
        <w:rPr>
          <w:rFonts w:eastAsiaTheme="minorEastAsia"/>
          <w:sz w:val="24"/>
        </w:rPr>
      </w:pPr>
      <m:oMathPara>
        <m:oMathParaPr>
          <m:jc m:val="left"/>
        </m:oMathParaPr>
        <m:oMath>
          <m:nary>
            <m:naryPr>
              <m:chr m:val="∑"/>
              <m:limLoc m:val="undOvr"/>
              <m:supHide m:val="1"/>
              <m:ctrlPr>
                <w:rPr>
                  <w:rFonts w:ascii="Cambria Math" w:eastAsiaTheme="minorEastAsia" w:hAnsi="Cambria Math"/>
                  <w:i/>
                  <w:sz w:val="24"/>
                </w:rPr>
              </m:ctrlPr>
            </m:naryPr>
            <m:sub>
              <m:r>
                <w:rPr>
                  <w:rFonts w:ascii="Cambria Math" w:eastAsiaTheme="minorEastAsia" w:hAnsi="Cambria Math"/>
                  <w:sz w:val="24"/>
                </w:rPr>
                <m:t>i∈A</m:t>
              </m:r>
            </m:sub>
            <m:sup/>
            <m:e>
              <m:r>
                <w:rPr>
                  <w:rFonts w:ascii="Cambria Math" w:eastAsiaTheme="minorEastAsia" w:hAnsi="Cambria Math"/>
                  <w:sz w:val="24"/>
                </w:rPr>
                <m:t>π</m:t>
              </m:r>
              <m:d>
                <m:dPr>
                  <m:ctrlPr>
                    <w:rPr>
                      <w:rFonts w:ascii="Cambria Math" w:eastAsiaTheme="minorEastAsia" w:hAnsi="Cambria Math"/>
                      <w:i/>
                      <w:sz w:val="24"/>
                    </w:rPr>
                  </m:ctrlPr>
                </m:dPr>
                <m:e>
                  <m:r>
                    <w:rPr>
                      <w:rFonts w:ascii="Cambria Math" w:eastAsiaTheme="minorEastAsia" w:hAnsi="Cambria Math"/>
                      <w:sz w:val="24"/>
                    </w:rPr>
                    <m:t>i</m:t>
                  </m:r>
                </m:e>
              </m:d>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PC</m:t>
                  </m:r>
                </m:e>
                <m:sub>
                  <m:r>
                    <w:rPr>
                      <w:rFonts w:ascii="Cambria Math" w:eastAsiaTheme="minorEastAsia" w:hAnsi="Cambria Math"/>
                      <w:sz w:val="24"/>
                    </w:rPr>
                    <m:t>0</m:t>
                  </m:r>
                </m:sub>
              </m:sSub>
              <m:d>
                <m:dPr>
                  <m:ctrlPr>
                    <w:rPr>
                      <w:rFonts w:ascii="Cambria Math" w:eastAsiaTheme="minorEastAsia" w:hAnsi="Cambria Math"/>
                      <w:i/>
                      <w:sz w:val="24"/>
                    </w:rPr>
                  </m:ctrlPr>
                </m:dPr>
                <m:e>
                  <m:r>
                    <w:rPr>
                      <w:rFonts w:ascii="Cambria Math" w:eastAsiaTheme="minorEastAsia" w:hAnsi="Cambria Math"/>
                      <w:sz w:val="24"/>
                    </w:rPr>
                    <m:t>i</m:t>
                  </m:r>
                </m:e>
              </m:d>
              <m:r>
                <w:rPr>
                  <w:rFonts w:ascii="Cambria Math" w:eastAsiaTheme="minorEastAsia" w:hAnsi="Cambria Math"/>
                  <w:sz w:val="24"/>
                </w:rPr>
                <m:t>*</m:t>
              </m:r>
              <m:d>
                <m:dPr>
                  <m:ctrlPr>
                    <w:rPr>
                      <w:rFonts w:ascii="Cambria Math" w:eastAsiaTheme="minorEastAsia" w:hAnsi="Cambria Math"/>
                      <w:i/>
                      <w:sz w:val="24"/>
                    </w:rPr>
                  </m:ctrlPr>
                </m:dPr>
                <m:e>
                  <m:r>
                    <w:rPr>
                      <w:rFonts w:ascii="Cambria Math" w:eastAsiaTheme="minorEastAsia" w:hAnsi="Cambria Math"/>
                      <w:sz w:val="24"/>
                    </w:rPr>
                    <m:t>1+</m:t>
                  </m:r>
                  <m:sSub>
                    <m:sSubPr>
                      <m:ctrlPr>
                        <w:rPr>
                          <w:rFonts w:ascii="Cambria Math" w:eastAsiaTheme="minorEastAsia" w:hAnsi="Cambria Math"/>
                          <w:i/>
                          <w:sz w:val="24"/>
                        </w:rPr>
                      </m:ctrlPr>
                    </m:sSubPr>
                    <m:e>
                      <m:r>
                        <w:rPr>
                          <w:rFonts w:ascii="Cambria Math" w:eastAsiaTheme="minorEastAsia" w:hAnsi="Cambria Math"/>
                          <w:sz w:val="24"/>
                        </w:rPr>
                        <m:t>∅</m:t>
                      </m:r>
                    </m:e>
                    <m:sub>
                      <m:r>
                        <w:rPr>
                          <w:rFonts w:ascii="Cambria Math" w:eastAsiaTheme="minorEastAsia" w:hAnsi="Cambria Math"/>
                          <w:sz w:val="24"/>
                        </w:rPr>
                        <m:t>A</m:t>
                      </m:r>
                    </m:sub>
                  </m:sSub>
                </m:e>
              </m:d>
              <m:r>
                <w:rPr>
                  <w:rFonts w:ascii="Cambria Math" w:eastAsiaTheme="minorEastAsia" w:hAnsi="Cambria Math"/>
                  <w:sz w:val="24"/>
                </w:rPr>
                <m:t>+</m:t>
              </m:r>
              <m:nary>
                <m:naryPr>
                  <m:chr m:val="∑"/>
                  <m:limLoc m:val="undOvr"/>
                  <m:supHide m:val="1"/>
                  <m:ctrlPr>
                    <w:rPr>
                      <w:rFonts w:ascii="Cambria Math" w:eastAsiaTheme="minorEastAsia" w:hAnsi="Cambria Math"/>
                      <w:i/>
                      <w:sz w:val="24"/>
                    </w:rPr>
                  </m:ctrlPr>
                </m:naryPr>
                <m:sub>
                  <m:r>
                    <w:rPr>
                      <w:rFonts w:ascii="Cambria Math" w:eastAsiaTheme="minorEastAsia" w:hAnsi="Cambria Math"/>
                      <w:sz w:val="24"/>
                    </w:rPr>
                    <m:t>i∈S</m:t>
                  </m:r>
                </m:sub>
                <m:sup/>
                <m:e>
                  <m:r>
                    <w:rPr>
                      <w:rFonts w:ascii="Cambria Math" w:eastAsiaTheme="minorEastAsia" w:hAnsi="Cambria Math"/>
                      <w:sz w:val="24"/>
                    </w:rPr>
                    <m:t>π</m:t>
                  </m:r>
                  <m:d>
                    <m:dPr>
                      <m:ctrlPr>
                        <w:rPr>
                          <w:rFonts w:ascii="Cambria Math" w:eastAsiaTheme="minorEastAsia" w:hAnsi="Cambria Math"/>
                          <w:i/>
                          <w:sz w:val="24"/>
                        </w:rPr>
                      </m:ctrlPr>
                    </m:dPr>
                    <m:e>
                      <m:r>
                        <w:rPr>
                          <w:rFonts w:ascii="Cambria Math" w:eastAsiaTheme="minorEastAsia" w:hAnsi="Cambria Math"/>
                          <w:sz w:val="24"/>
                        </w:rPr>
                        <m:t>i</m:t>
                      </m:r>
                    </m:e>
                  </m:d>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PC</m:t>
                      </m:r>
                    </m:e>
                    <m:sub>
                      <m:r>
                        <w:rPr>
                          <w:rFonts w:ascii="Cambria Math" w:eastAsiaTheme="minorEastAsia" w:hAnsi="Cambria Math"/>
                          <w:sz w:val="24"/>
                        </w:rPr>
                        <m:t>0</m:t>
                      </m:r>
                    </m:sub>
                  </m:sSub>
                  <m:d>
                    <m:dPr>
                      <m:ctrlPr>
                        <w:rPr>
                          <w:rFonts w:ascii="Cambria Math" w:eastAsiaTheme="minorEastAsia" w:hAnsi="Cambria Math"/>
                          <w:i/>
                          <w:sz w:val="24"/>
                        </w:rPr>
                      </m:ctrlPr>
                    </m:dPr>
                    <m:e>
                      <m:r>
                        <w:rPr>
                          <w:rFonts w:ascii="Cambria Math" w:eastAsiaTheme="minorEastAsia" w:hAnsi="Cambria Math"/>
                          <w:sz w:val="24"/>
                        </w:rPr>
                        <m:t>i</m:t>
                      </m:r>
                    </m:e>
                  </m:d>
                  <m:r>
                    <w:rPr>
                      <w:rFonts w:ascii="Cambria Math" w:eastAsiaTheme="minorEastAsia" w:hAnsi="Cambria Math"/>
                      <w:sz w:val="24"/>
                    </w:rPr>
                    <m:t>*</m:t>
                  </m:r>
                  <m:d>
                    <m:dPr>
                      <m:ctrlPr>
                        <w:rPr>
                          <w:rFonts w:ascii="Cambria Math" w:eastAsiaTheme="minorEastAsia" w:hAnsi="Cambria Math"/>
                          <w:i/>
                          <w:sz w:val="24"/>
                        </w:rPr>
                      </m:ctrlPr>
                    </m:dPr>
                    <m:e>
                      <m:r>
                        <w:rPr>
                          <w:rFonts w:ascii="Cambria Math" w:eastAsiaTheme="minorEastAsia" w:hAnsi="Cambria Math"/>
                          <w:sz w:val="24"/>
                        </w:rPr>
                        <m:t>1+</m:t>
                      </m:r>
                      <m:sSub>
                        <m:sSubPr>
                          <m:ctrlPr>
                            <w:rPr>
                              <w:rFonts w:ascii="Cambria Math" w:eastAsiaTheme="minorEastAsia" w:hAnsi="Cambria Math"/>
                              <w:i/>
                              <w:sz w:val="24"/>
                            </w:rPr>
                          </m:ctrlPr>
                        </m:sSubPr>
                        <m:e>
                          <m:r>
                            <w:rPr>
                              <w:rFonts w:ascii="Cambria Math" w:eastAsiaTheme="minorEastAsia" w:hAnsi="Cambria Math"/>
                              <w:sz w:val="24"/>
                            </w:rPr>
                            <m:t>∅</m:t>
                          </m:r>
                        </m:e>
                        <m:sub>
                          <m:r>
                            <w:rPr>
                              <w:rFonts w:ascii="Cambria Math" w:eastAsiaTheme="minorEastAsia" w:hAnsi="Cambria Math"/>
                              <w:sz w:val="24"/>
                            </w:rPr>
                            <m:t>S</m:t>
                          </m:r>
                        </m:sub>
                      </m:sSub>
                    </m:e>
                  </m:d>
                </m:e>
              </m:nary>
            </m:e>
          </m:nary>
        </m:oMath>
      </m:oMathPara>
    </w:p>
    <w:p w14:paraId="35864AD8" w14:textId="77777777" w:rsidR="004F2ECD" w:rsidRDefault="004F2ECD" w:rsidP="004F2ECD">
      <w:pPr>
        <w:rPr>
          <w:rFonts w:eastAsiaTheme="minorEastAsia"/>
          <w:sz w:val="24"/>
        </w:rPr>
      </w:pPr>
      <w:r>
        <w:rPr>
          <w:rFonts w:eastAsiaTheme="minorEastAsia"/>
          <w:sz w:val="24"/>
        </w:rPr>
        <w:t>Si fijamos la condición inicial:</w:t>
      </w:r>
    </w:p>
    <w:p w14:paraId="7BF211FD" w14:textId="77777777" w:rsidR="004F2ECD" w:rsidRPr="004F2ECD" w:rsidRDefault="00960697" w:rsidP="004F2ECD">
      <w:pPr>
        <w:rPr>
          <w:rFonts w:eastAsiaTheme="minorEastAsia"/>
          <w:sz w:val="24"/>
        </w:rPr>
      </w:pPr>
      <m:oMathPara>
        <m:oMathParaPr>
          <m:jc m:val="left"/>
        </m:oMathParaPr>
        <m:oMath>
          <m:sSub>
            <m:sSubPr>
              <m:ctrlPr>
                <w:rPr>
                  <w:rFonts w:ascii="Cambria Math" w:eastAsiaTheme="minorEastAsia" w:hAnsi="Cambria Math"/>
                  <w:i/>
                  <w:sz w:val="24"/>
                </w:rPr>
              </m:ctrlPr>
            </m:sSubPr>
            <m:e>
              <m:r>
                <w:rPr>
                  <w:rFonts w:ascii="Cambria Math" w:eastAsiaTheme="minorEastAsia" w:hAnsi="Cambria Math"/>
                  <w:sz w:val="24"/>
                </w:rPr>
                <m:t>∅</m:t>
              </m:r>
            </m:e>
            <m:sub>
              <m:r>
                <w:rPr>
                  <w:rFonts w:ascii="Cambria Math" w:eastAsiaTheme="minorEastAsia" w:hAnsi="Cambria Math"/>
                  <w:sz w:val="24"/>
                </w:rPr>
                <m:t>S</m:t>
              </m:r>
            </m:sub>
          </m:sSub>
          <m:r>
            <w:rPr>
              <w:rFonts w:ascii="Cambria Math" w:eastAsiaTheme="minorEastAsia" w:hAnsi="Cambria Math"/>
              <w:sz w:val="24"/>
            </w:rPr>
            <m:t>=2*</m:t>
          </m:r>
          <m:sSub>
            <m:sSubPr>
              <m:ctrlPr>
                <w:rPr>
                  <w:rFonts w:ascii="Cambria Math" w:eastAsiaTheme="minorEastAsia" w:hAnsi="Cambria Math"/>
                  <w:i/>
                  <w:sz w:val="24"/>
                </w:rPr>
              </m:ctrlPr>
            </m:sSubPr>
            <m:e>
              <m:r>
                <w:rPr>
                  <w:rFonts w:ascii="Cambria Math" w:eastAsiaTheme="minorEastAsia" w:hAnsi="Cambria Math"/>
                  <w:sz w:val="24"/>
                </w:rPr>
                <m:t>∅</m:t>
              </m:r>
            </m:e>
            <m:sub>
              <m:r>
                <w:rPr>
                  <w:rFonts w:ascii="Cambria Math" w:eastAsiaTheme="minorEastAsia" w:hAnsi="Cambria Math"/>
                  <w:sz w:val="24"/>
                </w:rPr>
                <m:t>A</m:t>
              </m:r>
            </m:sub>
          </m:sSub>
        </m:oMath>
      </m:oMathPara>
    </w:p>
    <w:p w14:paraId="10A908BB" w14:textId="77777777" w:rsidR="004F2ECD" w:rsidRDefault="004F2ECD" w:rsidP="004F2ECD">
      <w:pPr>
        <w:rPr>
          <w:rFonts w:eastAsiaTheme="minorEastAsia"/>
          <w:sz w:val="24"/>
        </w:rPr>
      </w:pPr>
      <w:r>
        <w:rPr>
          <w:rFonts w:eastAsiaTheme="minorEastAsia"/>
          <w:sz w:val="24"/>
        </w:rPr>
        <w:t>Con un aumento mayor a las categorías de alto riesgo (subsidiadas), la solución a la ecuación es:</w:t>
      </w:r>
    </w:p>
    <w:p w14:paraId="3FC09E1D" w14:textId="77777777" w:rsidR="004F2ECD" w:rsidRPr="004F2ECD" w:rsidRDefault="00960697" w:rsidP="004F2ECD">
      <w:pPr>
        <w:rPr>
          <w:rFonts w:eastAsiaTheme="minorEastAsia"/>
          <w:sz w:val="28"/>
        </w:rPr>
      </w:pPr>
      <m:oMathPara>
        <m:oMath>
          <m:sSub>
            <m:sSubPr>
              <m:ctrlPr>
                <w:rPr>
                  <w:rFonts w:ascii="Cambria Math" w:eastAsiaTheme="minorEastAsia" w:hAnsi="Cambria Math"/>
                  <w:i/>
                  <w:sz w:val="28"/>
                </w:rPr>
              </m:ctrlPr>
            </m:sSubPr>
            <m:e>
              <m:r>
                <w:rPr>
                  <w:rFonts w:ascii="Cambria Math" w:eastAsiaTheme="minorEastAsia" w:hAnsi="Cambria Math"/>
                  <w:sz w:val="28"/>
                </w:rPr>
                <m:t>∅</m:t>
              </m:r>
            </m:e>
            <m:sub>
              <m:r>
                <w:rPr>
                  <w:rFonts w:ascii="Cambria Math" w:eastAsiaTheme="minorEastAsia" w:hAnsi="Cambria Math"/>
                  <w:sz w:val="28"/>
                </w:rPr>
                <m:t>A</m:t>
              </m:r>
            </m:sub>
          </m:sSub>
          <m:r>
            <w:rPr>
              <w:rFonts w:ascii="Cambria Math" w:eastAsiaTheme="minorEastAsia" w:hAnsi="Cambria Math"/>
              <w:sz w:val="28"/>
            </w:rPr>
            <m:t>=</m:t>
          </m:r>
          <m:f>
            <m:fPr>
              <m:ctrlPr>
                <w:rPr>
                  <w:rFonts w:ascii="Cambria Math" w:eastAsiaTheme="minorEastAsia" w:hAnsi="Cambria Math"/>
                  <w:i/>
                  <w:sz w:val="28"/>
                </w:rPr>
              </m:ctrlPr>
            </m:fPr>
            <m:num>
              <m:r>
                <w:rPr>
                  <w:rFonts w:ascii="Cambria Math" w:eastAsiaTheme="minorEastAsia" w:hAnsi="Cambria Math"/>
                  <w:sz w:val="28"/>
                </w:rPr>
                <m:t>∅*</m:t>
              </m:r>
              <m:nary>
                <m:naryPr>
                  <m:chr m:val="∑"/>
                  <m:limLoc m:val="undOvr"/>
                  <m:supHide m:val="1"/>
                  <m:ctrlPr>
                    <w:rPr>
                      <w:rFonts w:ascii="Cambria Math" w:eastAsiaTheme="minorEastAsia" w:hAnsi="Cambria Math"/>
                      <w:i/>
                      <w:sz w:val="28"/>
                    </w:rPr>
                  </m:ctrlPr>
                </m:naryPr>
                <m:sub>
                  <m:r>
                    <w:rPr>
                      <w:rFonts w:ascii="Cambria Math" w:eastAsiaTheme="minorEastAsia" w:hAnsi="Cambria Math"/>
                      <w:sz w:val="28"/>
                    </w:rPr>
                    <m:t>i</m:t>
                  </m:r>
                </m:sub>
                <m:sup/>
                <m:e>
                  <m:r>
                    <w:rPr>
                      <w:rFonts w:ascii="Cambria Math" w:eastAsiaTheme="minorEastAsia" w:hAnsi="Cambria Math"/>
                      <w:sz w:val="28"/>
                    </w:rPr>
                    <m:t>π</m:t>
                  </m:r>
                  <m:d>
                    <m:dPr>
                      <m:ctrlPr>
                        <w:rPr>
                          <w:rFonts w:ascii="Cambria Math" w:eastAsiaTheme="minorEastAsia" w:hAnsi="Cambria Math"/>
                          <w:i/>
                          <w:sz w:val="28"/>
                        </w:rPr>
                      </m:ctrlPr>
                    </m:dPr>
                    <m:e>
                      <m:r>
                        <w:rPr>
                          <w:rFonts w:ascii="Cambria Math" w:eastAsiaTheme="minorEastAsia" w:hAnsi="Cambria Math"/>
                          <w:sz w:val="28"/>
                        </w:rPr>
                        <m:t>i</m:t>
                      </m:r>
                    </m:e>
                  </m:d>
                  <m:r>
                    <w:rPr>
                      <w:rFonts w:ascii="Cambria Math" w:eastAsiaTheme="minorEastAsia" w:hAnsi="Cambria Math"/>
                      <w:sz w:val="28"/>
                    </w:rPr>
                    <m:t>*</m:t>
                  </m:r>
                  <m:sSub>
                    <m:sSubPr>
                      <m:ctrlPr>
                        <w:rPr>
                          <w:rFonts w:ascii="Cambria Math" w:eastAsiaTheme="minorEastAsia" w:hAnsi="Cambria Math"/>
                          <w:i/>
                          <w:sz w:val="28"/>
                        </w:rPr>
                      </m:ctrlPr>
                    </m:sSubPr>
                    <m:e>
                      <m:r>
                        <w:rPr>
                          <w:rFonts w:ascii="Cambria Math" w:eastAsiaTheme="minorEastAsia" w:hAnsi="Cambria Math"/>
                          <w:sz w:val="28"/>
                        </w:rPr>
                        <m:t>PC</m:t>
                      </m:r>
                    </m:e>
                    <m:sub>
                      <m:r>
                        <w:rPr>
                          <w:rFonts w:ascii="Cambria Math" w:eastAsiaTheme="minorEastAsia" w:hAnsi="Cambria Math"/>
                          <w:sz w:val="28"/>
                        </w:rPr>
                        <m:t>0</m:t>
                      </m:r>
                    </m:sub>
                  </m:sSub>
                  <m:d>
                    <m:dPr>
                      <m:ctrlPr>
                        <w:rPr>
                          <w:rFonts w:ascii="Cambria Math" w:eastAsiaTheme="minorEastAsia" w:hAnsi="Cambria Math"/>
                          <w:i/>
                          <w:sz w:val="28"/>
                        </w:rPr>
                      </m:ctrlPr>
                    </m:dPr>
                    <m:e>
                      <m:r>
                        <w:rPr>
                          <w:rFonts w:ascii="Cambria Math" w:eastAsiaTheme="minorEastAsia" w:hAnsi="Cambria Math"/>
                          <w:sz w:val="28"/>
                        </w:rPr>
                        <m:t>i</m:t>
                      </m:r>
                    </m:e>
                  </m:d>
                </m:e>
              </m:nary>
            </m:num>
            <m:den>
              <m:r>
                <w:rPr>
                  <w:rFonts w:ascii="Cambria Math" w:eastAsiaTheme="minorEastAsia" w:hAnsi="Cambria Math"/>
                  <w:sz w:val="28"/>
                </w:rPr>
                <m:t>2*</m:t>
              </m:r>
              <m:nary>
                <m:naryPr>
                  <m:chr m:val="∑"/>
                  <m:limLoc m:val="undOvr"/>
                  <m:supHide m:val="1"/>
                  <m:ctrlPr>
                    <w:rPr>
                      <w:rFonts w:ascii="Cambria Math" w:eastAsiaTheme="minorEastAsia" w:hAnsi="Cambria Math"/>
                      <w:i/>
                      <w:sz w:val="28"/>
                    </w:rPr>
                  </m:ctrlPr>
                </m:naryPr>
                <m:sub>
                  <m:r>
                    <w:rPr>
                      <w:rFonts w:ascii="Cambria Math" w:eastAsiaTheme="minorEastAsia" w:hAnsi="Cambria Math"/>
                      <w:sz w:val="28"/>
                    </w:rPr>
                    <m:t>i∈S</m:t>
                  </m:r>
                </m:sub>
                <m:sup/>
                <m:e>
                  <m:r>
                    <w:rPr>
                      <w:rFonts w:ascii="Cambria Math" w:eastAsiaTheme="minorEastAsia" w:hAnsi="Cambria Math"/>
                      <w:sz w:val="28"/>
                    </w:rPr>
                    <m:t>π</m:t>
                  </m:r>
                  <m:d>
                    <m:dPr>
                      <m:ctrlPr>
                        <w:rPr>
                          <w:rFonts w:ascii="Cambria Math" w:eastAsiaTheme="minorEastAsia" w:hAnsi="Cambria Math"/>
                          <w:i/>
                          <w:sz w:val="28"/>
                        </w:rPr>
                      </m:ctrlPr>
                    </m:dPr>
                    <m:e>
                      <m:r>
                        <w:rPr>
                          <w:rFonts w:ascii="Cambria Math" w:eastAsiaTheme="minorEastAsia" w:hAnsi="Cambria Math"/>
                          <w:sz w:val="28"/>
                        </w:rPr>
                        <m:t>i</m:t>
                      </m:r>
                    </m:e>
                  </m:d>
                  <m:r>
                    <w:rPr>
                      <w:rFonts w:ascii="Cambria Math" w:eastAsiaTheme="minorEastAsia" w:hAnsi="Cambria Math"/>
                      <w:sz w:val="28"/>
                    </w:rPr>
                    <m:t>*</m:t>
                  </m:r>
                  <m:sSub>
                    <m:sSubPr>
                      <m:ctrlPr>
                        <w:rPr>
                          <w:rFonts w:ascii="Cambria Math" w:eastAsiaTheme="minorEastAsia" w:hAnsi="Cambria Math"/>
                          <w:i/>
                          <w:sz w:val="28"/>
                        </w:rPr>
                      </m:ctrlPr>
                    </m:sSubPr>
                    <m:e>
                      <m:r>
                        <w:rPr>
                          <w:rFonts w:ascii="Cambria Math" w:eastAsiaTheme="minorEastAsia" w:hAnsi="Cambria Math"/>
                          <w:sz w:val="28"/>
                        </w:rPr>
                        <m:t>PC</m:t>
                      </m:r>
                    </m:e>
                    <m:sub>
                      <m:r>
                        <w:rPr>
                          <w:rFonts w:ascii="Cambria Math" w:eastAsiaTheme="minorEastAsia" w:hAnsi="Cambria Math"/>
                          <w:sz w:val="28"/>
                        </w:rPr>
                        <m:t>0</m:t>
                      </m:r>
                    </m:sub>
                  </m:sSub>
                  <m:d>
                    <m:dPr>
                      <m:ctrlPr>
                        <w:rPr>
                          <w:rFonts w:ascii="Cambria Math" w:eastAsiaTheme="minorEastAsia" w:hAnsi="Cambria Math"/>
                          <w:i/>
                          <w:sz w:val="28"/>
                        </w:rPr>
                      </m:ctrlPr>
                    </m:dPr>
                    <m:e>
                      <m:r>
                        <w:rPr>
                          <w:rFonts w:ascii="Cambria Math" w:eastAsiaTheme="minorEastAsia" w:hAnsi="Cambria Math"/>
                          <w:sz w:val="28"/>
                        </w:rPr>
                        <m:t>i</m:t>
                      </m:r>
                    </m:e>
                  </m:d>
                  <m:r>
                    <w:rPr>
                      <w:rFonts w:ascii="Cambria Math" w:eastAsiaTheme="minorEastAsia" w:hAnsi="Cambria Math"/>
                      <w:sz w:val="28"/>
                    </w:rPr>
                    <m:t>+</m:t>
                  </m:r>
                  <m:nary>
                    <m:naryPr>
                      <m:chr m:val="∑"/>
                      <m:limLoc m:val="undOvr"/>
                      <m:supHide m:val="1"/>
                      <m:ctrlPr>
                        <w:rPr>
                          <w:rFonts w:ascii="Cambria Math" w:eastAsiaTheme="minorEastAsia" w:hAnsi="Cambria Math"/>
                          <w:i/>
                          <w:sz w:val="28"/>
                        </w:rPr>
                      </m:ctrlPr>
                    </m:naryPr>
                    <m:sub>
                      <m:r>
                        <w:rPr>
                          <w:rFonts w:ascii="Cambria Math" w:eastAsiaTheme="minorEastAsia" w:hAnsi="Cambria Math"/>
                          <w:sz w:val="28"/>
                        </w:rPr>
                        <m:t>i∈A</m:t>
                      </m:r>
                    </m:sub>
                    <m:sup/>
                    <m:e>
                      <m:r>
                        <w:rPr>
                          <w:rFonts w:ascii="Cambria Math" w:eastAsiaTheme="minorEastAsia" w:hAnsi="Cambria Math"/>
                          <w:sz w:val="28"/>
                        </w:rPr>
                        <m:t>π</m:t>
                      </m:r>
                      <m:d>
                        <m:dPr>
                          <m:ctrlPr>
                            <w:rPr>
                              <w:rFonts w:ascii="Cambria Math" w:eastAsiaTheme="minorEastAsia" w:hAnsi="Cambria Math"/>
                              <w:i/>
                              <w:sz w:val="28"/>
                            </w:rPr>
                          </m:ctrlPr>
                        </m:dPr>
                        <m:e>
                          <m:r>
                            <w:rPr>
                              <w:rFonts w:ascii="Cambria Math" w:eastAsiaTheme="minorEastAsia" w:hAnsi="Cambria Math"/>
                              <w:sz w:val="28"/>
                            </w:rPr>
                            <m:t>i</m:t>
                          </m:r>
                        </m:e>
                      </m:d>
                      <m:r>
                        <w:rPr>
                          <w:rFonts w:ascii="Cambria Math" w:eastAsiaTheme="minorEastAsia" w:hAnsi="Cambria Math"/>
                          <w:sz w:val="28"/>
                        </w:rPr>
                        <m:t>*</m:t>
                      </m:r>
                      <m:sSub>
                        <m:sSubPr>
                          <m:ctrlPr>
                            <w:rPr>
                              <w:rFonts w:ascii="Cambria Math" w:eastAsiaTheme="minorEastAsia" w:hAnsi="Cambria Math"/>
                              <w:i/>
                              <w:sz w:val="28"/>
                            </w:rPr>
                          </m:ctrlPr>
                        </m:sSubPr>
                        <m:e>
                          <m:r>
                            <w:rPr>
                              <w:rFonts w:ascii="Cambria Math" w:eastAsiaTheme="minorEastAsia" w:hAnsi="Cambria Math"/>
                              <w:sz w:val="28"/>
                            </w:rPr>
                            <m:t>PC</m:t>
                          </m:r>
                        </m:e>
                        <m:sub>
                          <m:r>
                            <w:rPr>
                              <w:rFonts w:ascii="Cambria Math" w:eastAsiaTheme="minorEastAsia" w:hAnsi="Cambria Math"/>
                              <w:sz w:val="28"/>
                            </w:rPr>
                            <m:t>0</m:t>
                          </m:r>
                        </m:sub>
                      </m:sSub>
                      <m:d>
                        <m:dPr>
                          <m:ctrlPr>
                            <w:rPr>
                              <w:rFonts w:ascii="Cambria Math" w:eastAsiaTheme="minorEastAsia" w:hAnsi="Cambria Math"/>
                              <w:i/>
                              <w:sz w:val="28"/>
                            </w:rPr>
                          </m:ctrlPr>
                        </m:dPr>
                        <m:e>
                          <m:r>
                            <w:rPr>
                              <w:rFonts w:ascii="Cambria Math" w:eastAsiaTheme="minorEastAsia" w:hAnsi="Cambria Math"/>
                              <w:sz w:val="28"/>
                            </w:rPr>
                            <m:t>i</m:t>
                          </m:r>
                        </m:e>
                      </m:d>
                    </m:e>
                  </m:nary>
                </m:e>
              </m:nary>
            </m:den>
          </m:f>
        </m:oMath>
      </m:oMathPara>
    </w:p>
    <w:p w14:paraId="5B7E9081" w14:textId="77777777" w:rsidR="004F2ECD" w:rsidRPr="004F2ECD" w:rsidRDefault="004F2ECD" w:rsidP="004F2ECD">
      <w:pPr>
        <w:rPr>
          <w:rFonts w:eastAsiaTheme="minorEastAsia"/>
          <w:sz w:val="24"/>
        </w:rPr>
      </w:pPr>
      <w:r w:rsidRPr="004F2ECD">
        <w:rPr>
          <w:rFonts w:eastAsiaTheme="minorEastAsia"/>
          <w:sz w:val="24"/>
        </w:rPr>
        <w:t xml:space="preserve">Por lo tanto, </w:t>
      </w:r>
    </w:p>
    <w:p w14:paraId="217A9A21" w14:textId="77777777" w:rsidR="004F2ECD" w:rsidRPr="007D3BDC" w:rsidRDefault="004F2ECD" w:rsidP="004F2ECD">
      <w:pPr>
        <w:jc w:val="center"/>
        <w:rPr>
          <w:rFonts w:eastAsiaTheme="minorEastAsia"/>
          <w:sz w:val="28"/>
        </w:rPr>
      </w:pPr>
      <m:oMathPara>
        <m:oMath>
          <m:r>
            <w:rPr>
              <w:rFonts w:ascii="Cambria Math" w:eastAsiaTheme="minorEastAsia" w:hAnsi="Cambria Math"/>
              <w:sz w:val="28"/>
            </w:rPr>
            <m:t>PC(i)=</m:t>
          </m:r>
          <m:sSub>
            <m:sSubPr>
              <m:ctrlPr>
                <w:rPr>
                  <w:rFonts w:ascii="Cambria Math" w:eastAsiaTheme="minorEastAsia" w:hAnsi="Cambria Math"/>
                  <w:i/>
                  <w:sz w:val="28"/>
                </w:rPr>
              </m:ctrlPr>
            </m:sSubPr>
            <m:e>
              <m:r>
                <w:rPr>
                  <w:rFonts w:ascii="Cambria Math" w:eastAsiaTheme="minorEastAsia" w:hAnsi="Cambria Math"/>
                  <w:sz w:val="28"/>
                </w:rPr>
                <m:t>PC</m:t>
              </m:r>
            </m:e>
            <m:sub>
              <m:r>
                <w:rPr>
                  <w:rFonts w:ascii="Cambria Math" w:eastAsiaTheme="minorEastAsia" w:hAnsi="Cambria Math"/>
                  <w:sz w:val="28"/>
                </w:rPr>
                <m:t>0</m:t>
              </m:r>
            </m:sub>
          </m:sSub>
          <m:r>
            <w:rPr>
              <w:rFonts w:ascii="Cambria Math" w:eastAsiaTheme="minorEastAsia" w:hAnsi="Cambria Math"/>
              <w:sz w:val="28"/>
            </w:rPr>
            <m:t>(i)*</m:t>
          </m:r>
          <m:d>
            <m:dPr>
              <m:ctrlPr>
                <w:rPr>
                  <w:rFonts w:ascii="Cambria Math" w:eastAsiaTheme="minorEastAsia" w:hAnsi="Cambria Math"/>
                  <w:i/>
                  <w:sz w:val="28"/>
                </w:rPr>
              </m:ctrlPr>
            </m:dPr>
            <m:e>
              <m:r>
                <w:rPr>
                  <w:rFonts w:ascii="Cambria Math" w:eastAsiaTheme="minorEastAsia" w:hAnsi="Cambria Math"/>
                  <w:sz w:val="28"/>
                </w:rPr>
                <m:t>1+</m:t>
              </m:r>
              <m:sSub>
                <m:sSubPr>
                  <m:ctrlPr>
                    <w:rPr>
                      <w:rFonts w:ascii="Cambria Math" w:eastAsiaTheme="minorEastAsia" w:hAnsi="Cambria Math"/>
                      <w:i/>
                      <w:sz w:val="28"/>
                    </w:rPr>
                  </m:ctrlPr>
                </m:sSubPr>
                <m:e>
                  <m:r>
                    <w:rPr>
                      <w:rFonts w:ascii="Cambria Math" w:eastAsiaTheme="minorEastAsia" w:hAnsi="Cambria Math"/>
                      <w:sz w:val="28"/>
                    </w:rPr>
                    <m:t>∅</m:t>
                  </m:r>
                </m:e>
                <m:sub>
                  <m:r>
                    <w:rPr>
                      <w:rFonts w:ascii="Cambria Math" w:eastAsiaTheme="minorEastAsia" w:hAnsi="Cambria Math"/>
                      <w:sz w:val="28"/>
                    </w:rPr>
                    <m:t>i</m:t>
                  </m:r>
                </m:sub>
              </m:sSub>
            </m:e>
          </m:d>
        </m:oMath>
      </m:oMathPara>
    </w:p>
    <w:p w14:paraId="7777A1BA" w14:textId="36827F68" w:rsidR="00D211E2" w:rsidRDefault="007D3BDC" w:rsidP="007D3BDC">
      <w:pPr>
        <w:rPr>
          <w:rFonts w:eastAsiaTheme="minorEastAsia"/>
          <w:sz w:val="24"/>
        </w:rPr>
      </w:pPr>
      <w:r>
        <w:rPr>
          <w:rFonts w:eastAsiaTheme="minorEastAsia"/>
          <w:sz w:val="24"/>
        </w:rPr>
        <w:t xml:space="preserve">Donde </w:t>
      </w:r>
      <m:oMath>
        <m:sSub>
          <m:sSubPr>
            <m:ctrlPr>
              <w:rPr>
                <w:rFonts w:ascii="Cambria Math" w:eastAsiaTheme="minorEastAsia" w:hAnsi="Cambria Math"/>
                <w:i/>
                <w:sz w:val="24"/>
              </w:rPr>
            </m:ctrlPr>
          </m:sSubPr>
          <m:e>
            <m:r>
              <w:rPr>
                <w:rFonts w:ascii="Cambria Math" w:eastAsiaTheme="minorEastAsia" w:hAnsi="Cambria Math"/>
                <w:sz w:val="24"/>
              </w:rPr>
              <m:t>∅</m:t>
            </m:r>
          </m:e>
          <m:sub>
            <m:r>
              <w:rPr>
                <w:rFonts w:ascii="Cambria Math" w:eastAsiaTheme="minorEastAsia" w:hAnsi="Cambria Math"/>
                <w:sz w:val="24"/>
              </w:rPr>
              <m:t>i</m:t>
            </m:r>
          </m:sub>
        </m:sSub>
      </m:oMath>
      <w:r>
        <w:rPr>
          <w:rFonts w:eastAsiaTheme="minorEastAsia"/>
          <w:sz w:val="24"/>
        </w:rPr>
        <w:t xml:space="preserve"> depende de la categoría y de los porcentajes calculados (</w:t>
      </w:r>
      <m:oMath>
        <m:sSub>
          <m:sSubPr>
            <m:ctrlPr>
              <w:rPr>
                <w:rFonts w:ascii="Cambria Math" w:eastAsiaTheme="minorEastAsia" w:hAnsi="Cambria Math"/>
                <w:i/>
                <w:sz w:val="24"/>
              </w:rPr>
            </m:ctrlPr>
          </m:sSubPr>
          <m:e>
            <m:r>
              <w:rPr>
                <w:rFonts w:ascii="Cambria Math" w:eastAsiaTheme="minorEastAsia" w:hAnsi="Cambria Math"/>
                <w:sz w:val="24"/>
              </w:rPr>
              <m:t>∅</m:t>
            </m:r>
          </m:e>
          <m:sub>
            <m:r>
              <w:rPr>
                <w:rFonts w:ascii="Cambria Math" w:eastAsiaTheme="minorEastAsia" w:hAnsi="Cambria Math"/>
                <w:sz w:val="24"/>
              </w:rPr>
              <m:t>A</m:t>
            </m:r>
          </m:sub>
        </m:sSub>
      </m:oMath>
      <w:r>
        <w:rPr>
          <w:rFonts w:eastAsiaTheme="minorEastAsia"/>
          <w:sz w:val="24"/>
        </w:rPr>
        <w:t xml:space="preserve">, </w:t>
      </w:r>
      <m:oMath>
        <m:sSub>
          <m:sSubPr>
            <m:ctrlPr>
              <w:rPr>
                <w:rFonts w:ascii="Cambria Math" w:eastAsiaTheme="minorEastAsia" w:hAnsi="Cambria Math"/>
                <w:i/>
                <w:sz w:val="24"/>
              </w:rPr>
            </m:ctrlPr>
          </m:sSubPr>
          <m:e>
            <m:r>
              <w:rPr>
                <w:rFonts w:ascii="Cambria Math" w:eastAsiaTheme="minorEastAsia" w:hAnsi="Cambria Math"/>
                <w:sz w:val="24"/>
              </w:rPr>
              <m:t>∅</m:t>
            </m:r>
          </m:e>
          <m:sub>
            <m:r>
              <w:rPr>
                <w:rFonts w:ascii="Cambria Math" w:eastAsiaTheme="minorEastAsia" w:hAnsi="Cambria Math"/>
                <w:sz w:val="24"/>
              </w:rPr>
              <m:t>S</m:t>
            </m:r>
          </m:sub>
        </m:sSub>
      </m:oMath>
      <w:r>
        <w:rPr>
          <w:rFonts w:eastAsiaTheme="minorEastAsia"/>
          <w:sz w:val="24"/>
        </w:rPr>
        <w:t>)</w:t>
      </w:r>
      <w:r w:rsidR="00D211E2">
        <w:rPr>
          <w:rFonts w:eastAsiaTheme="minorEastAsia"/>
          <w:sz w:val="24"/>
        </w:rPr>
        <w:t>.</w:t>
      </w:r>
    </w:p>
    <w:p w14:paraId="62404209" w14:textId="49D28BF6" w:rsidR="00C415C6" w:rsidRPr="00C415C6" w:rsidRDefault="00C415C6" w:rsidP="00C415C6">
      <w:pPr>
        <w:pStyle w:val="Prrafodelista"/>
        <w:numPr>
          <w:ilvl w:val="1"/>
          <w:numId w:val="22"/>
        </w:numPr>
        <w:jc w:val="both"/>
        <w:rPr>
          <w:rFonts w:eastAsiaTheme="minorEastAsia"/>
          <w:i/>
          <w:sz w:val="24"/>
          <w:u w:val="single"/>
        </w:rPr>
      </w:pPr>
      <w:r w:rsidRPr="00C415C6">
        <w:rPr>
          <w:rFonts w:eastAsiaTheme="minorEastAsia"/>
          <w:i/>
          <w:sz w:val="24"/>
          <w:u w:val="single"/>
        </w:rPr>
        <w:t xml:space="preserve">Suficiencia </w:t>
      </w:r>
      <w:r>
        <w:rPr>
          <w:rFonts w:eastAsiaTheme="minorEastAsia"/>
          <w:i/>
          <w:sz w:val="24"/>
          <w:u w:val="single"/>
        </w:rPr>
        <w:t xml:space="preserve">superior </w:t>
      </w:r>
      <w:r w:rsidRPr="00C415C6">
        <w:rPr>
          <w:rFonts w:eastAsiaTheme="minorEastAsia"/>
          <w:i/>
          <w:sz w:val="24"/>
          <w:u w:val="single"/>
        </w:rPr>
        <w:t>a cero</w:t>
      </w:r>
    </w:p>
    <w:p w14:paraId="4604FF67" w14:textId="4C1AFC77" w:rsidR="00265FA4" w:rsidRDefault="00CD3BC6" w:rsidP="002F47D1">
      <w:pPr>
        <w:jc w:val="both"/>
        <w:rPr>
          <w:rFonts w:eastAsiaTheme="minorEastAsia"/>
          <w:sz w:val="24"/>
        </w:rPr>
      </w:pPr>
      <w:r>
        <w:rPr>
          <w:rFonts w:eastAsiaTheme="minorEastAsia"/>
          <w:sz w:val="24"/>
        </w:rPr>
        <w:t xml:space="preserve">Cuando </w:t>
      </w:r>
      <w:r w:rsidR="00C20B81">
        <w:rPr>
          <w:rFonts w:eastAsiaTheme="minorEastAsia"/>
          <w:sz w:val="24"/>
        </w:rPr>
        <w:t>la</w:t>
      </w:r>
      <w:r>
        <w:rPr>
          <w:rFonts w:eastAsiaTheme="minorEastAsia"/>
          <w:sz w:val="24"/>
        </w:rPr>
        <w:t xml:space="preserve"> suficiencia </w:t>
      </w:r>
      <w:r w:rsidR="00C20B81">
        <w:rPr>
          <w:rFonts w:eastAsiaTheme="minorEastAsia"/>
          <w:sz w:val="24"/>
        </w:rPr>
        <w:t xml:space="preserve">sea </w:t>
      </w:r>
      <w:r>
        <w:rPr>
          <w:rFonts w:eastAsiaTheme="minorEastAsia"/>
          <w:sz w:val="24"/>
        </w:rPr>
        <w:t>mayor</w:t>
      </w:r>
      <w:r w:rsidR="00890A25">
        <w:rPr>
          <w:rFonts w:eastAsiaTheme="minorEastAsia"/>
          <w:sz w:val="24"/>
        </w:rPr>
        <w:t xml:space="preserve"> que cero</w:t>
      </w:r>
      <w:r w:rsidR="00265FA4">
        <w:rPr>
          <w:rFonts w:eastAsiaTheme="minorEastAsia"/>
          <w:sz w:val="24"/>
        </w:rPr>
        <w:t>, se realiza una disminución igual y generalizad</w:t>
      </w:r>
      <w:r w:rsidR="00890A25">
        <w:rPr>
          <w:rFonts w:eastAsiaTheme="minorEastAsia"/>
          <w:sz w:val="24"/>
        </w:rPr>
        <w:t xml:space="preserve">a a todas las categorías. </w:t>
      </w:r>
      <w:r w:rsidR="00EB76E4">
        <w:rPr>
          <w:rFonts w:eastAsiaTheme="minorEastAsia"/>
          <w:sz w:val="24"/>
        </w:rPr>
        <w:t>Para realizar el respectivo ajuste tarifario se considera:</w:t>
      </w:r>
    </w:p>
    <w:p w14:paraId="48C6F493" w14:textId="77777777" w:rsidR="00814B7F" w:rsidRDefault="00EB76E4" w:rsidP="00814B7F">
      <w:pPr>
        <w:jc w:val="both"/>
        <w:rPr>
          <w:rFonts w:eastAsiaTheme="minorEastAsia"/>
          <w:sz w:val="24"/>
        </w:rPr>
      </w:pPr>
      <m:oMath>
        <m:r>
          <w:rPr>
            <w:rFonts w:ascii="Cambria Math" w:eastAsiaTheme="minorEastAsia" w:hAnsi="Cambria Math"/>
            <w:sz w:val="24"/>
          </w:rPr>
          <m:t>∅:</m:t>
        </m:r>
      </m:oMath>
      <w:r w:rsidR="00CF3569">
        <w:rPr>
          <w:rFonts w:eastAsiaTheme="minorEastAsia"/>
          <w:sz w:val="24"/>
        </w:rPr>
        <w:t xml:space="preserve"> </w:t>
      </w:r>
      <w:r>
        <w:rPr>
          <w:rFonts w:eastAsiaTheme="minorEastAsia"/>
          <w:sz w:val="24"/>
        </w:rPr>
        <w:t>Porcentaje de disminución promedio</w:t>
      </w:r>
      <w:r w:rsidR="00EF5D2B">
        <w:rPr>
          <w:rFonts w:eastAsiaTheme="minorEastAsia"/>
          <w:sz w:val="24"/>
        </w:rPr>
        <w:t>.</w:t>
      </w:r>
    </w:p>
    <w:p w14:paraId="13A1834C" w14:textId="77777777" w:rsidR="00EB76E4" w:rsidRDefault="00EB76E4" w:rsidP="002F47D1">
      <w:pPr>
        <w:jc w:val="both"/>
        <w:rPr>
          <w:rFonts w:eastAsiaTheme="minorEastAsia"/>
          <w:sz w:val="24"/>
        </w:rPr>
      </w:pPr>
      <m:oMath>
        <m:r>
          <w:rPr>
            <w:rFonts w:ascii="Cambria Math" w:eastAsiaTheme="minorEastAsia" w:hAnsi="Cambria Math"/>
            <w:sz w:val="24"/>
          </w:rPr>
          <m:t>PC:</m:t>
        </m:r>
      </m:oMath>
      <w:r>
        <w:rPr>
          <w:rFonts w:eastAsiaTheme="minorEastAsia"/>
          <w:sz w:val="24"/>
        </w:rPr>
        <w:t xml:space="preserve"> Prima </w:t>
      </w:r>
      <w:r w:rsidR="00CD3BC6">
        <w:rPr>
          <w:rFonts w:eastAsiaTheme="minorEastAsia"/>
          <w:sz w:val="24"/>
        </w:rPr>
        <w:t>C</w:t>
      </w:r>
      <w:r>
        <w:rPr>
          <w:rFonts w:eastAsiaTheme="minorEastAsia"/>
          <w:sz w:val="24"/>
        </w:rPr>
        <w:t xml:space="preserve">omercial promedio estimada, valor promedio que cada vehículo debe pagar </w:t>
      </w:r>
    </w:p>
    <w:p w14:paraId="3636B08F" w14:textId="77777777" w:rsidR="00EB76E4" w:rsidRPr="00EB76E4" w:rsidRDefault="00EB76E4" w:rsidP="002F47D1">
      <w:pPr>
        <w:jc w:val="both"/>
        <w:rPr>
          <w:rFonts w:eastAsiaTheme="minorEastAsia"/>
          <w:sz w:val="24"/>
        </w:rPr>
      </w:pPr>
      <w:r>
        <w:rPr>
          <w:rFonts w:eastAsiaTheme="minorEastAsia"/>
          <w:sz w:val="24"/>
        </w:rPr>
        <w:t xml:space="preserve">para sufragar los gastos, siniestros y aportes o </w:t>
      </w:r>
      <w:r w:rsidR="00BE7B7C">
        <w:rPr>
          <w:rFonts w:eastAsiaTheme="minorEastAsia"/>
          <w:sz w:val="24"/>
        </w:rPr>
        <w:t>transferencias</w:t>
      </w:r>
      <w:r>
        <w:rPr>
          <w:rFonts w:eastAsiaTheme="minorEastAsia"/>
          <w:sz w:val="24"/>
        </w:rPr>
        <w:t>.</w:t>
      </w:r>
    </w:p>
    <w:p w14:paraId="6B202F65" w14:textId="77777777" w:rsidR="00EB76E4" w:rsidRPr="00265FA4" w:rsidRDefault="00960697" w:rsidP="002F47D1">
      <w:pPr>
        <w:jc w:val="both"/>
        <w:rPr>
          <w:rFonts w:eastAsiaTheme="minorEastAsia"/>
          <w:sz w:val="24"/>
        </w:rPr>
      </w:pPr>
      <m:oMath>
        <m:sSub>
          <m:sSubPr>
            <m:ctrlPr>
              <w:rPr>
                <w:rFonts w:ascii="Cambria Math" w:eastAsiaTheme="minorEastAsia" w:hAnsi="Cambria Math"/>
                <w:i/>
                <w:sz w:val="24"/>
              </w:rPr>
            </m:ctrlPr>
          </m:sSubPr>
          <m:e>
            <m:r>
              <w:rPr>
                <w:rFonts w:ascii="Cambria Math" w:eastAsiaTheme="minorEastAsia" w:hAnsi="Cambria Math"/>
                <w:sz w:val="24"/>
              </w:rPr>
              <m:t>PC</m:t>
            </m:r>
          </m:e>
          <m:sub>
            <m:r>
              <w:rPr>
                <w:rFonts w:ascii="Cambria Math" w:eastAsiaTheme="minorEastAsia" w:hAnsi="Cambria Math"/>
                <w:sz w:val="24"/>
              </w:rPr>
              <m:t>0</m:t>
            </m:r>
          </m:sub>
        </m:sSub>
        <m:r>
          <w:rPr>
            <w:rFonts w:ascii="Cambria Math" w:eastAsiaTheme="minorEastAsia" w:hAnsi="Cambria Math"/>
            <w:sz w:val="24"/>
          </w:rPr>
          <m:t>:</m:t>
        </m:r>
      </m:oMath>
      <w:r w:rsidR="00EB76E4">
        <w:rPr>
          <w:rFonts w:eastAsiaTheme="minorEastAsia"/>
          <w:sz w:val="24"/>
        </w:rPr>
        <w:t xml:space="preserve"> Prima Comercial Promedio Anual en SMDLV de las tarifas establecidas en el </w:t>
      </w:r>
      <w:r w:rsidR="00EB76E4" w:rsidRPr="001D0526">
        <w:rPr>
          <w:rFonts w:eastAsiaTheme="minorEastAsia"/>
          <w:sz w:val="24"/>
        </w:rPr>
        <w:t>Anexo</w:t>
      </w:r>
      <w:r w:rsidR="00EB76E4">
        <w:rPr>
          <w:rFonts w:eastAsiaTheme="minorEastAsia"/>
          <w:sz w:val="24"/>
        </w:rPr>
        <w:t xml:space="preserve"> </w:t>
      </w:r>
    </w:p>
    <w:p w14:paraId="4CC7208A" w14:textId="77777777" w:rsidR="00EB76E4" w:rsidRDefault="00EB76E4" w:rsidP="00EB76E4">
      <w:pPr>
        <w:jc w:val="both"/>
        <w:rPr>
          <w:rFonts w:eastAsiaTheme="minorEastAsia"/>
          <w:sz w:val="24"/>
        </w:rPr>
      </w:pPr>
      <w:r>
        <w:rPr>
          <w:rFonts w:eastAsiaTheme="minorEastAsia"/>
          <w:sz w:val="24"/>
        </w:rPr>
        <w:t xml:space="preserve"> </w:t>
      </w:r>
      <w:r w:rsidRPr="001D0526">
        <w:rPr>
          <w:rFonts w:eastAsiaTheme="minorEastAsia"/>
          <w:sz w:val="24"/>
        </w:rPr>
        <w:t xml:space="preserve">1 del Título IV de la Parte II de la </w:t>
      </w:r>
      <w:r>
        <w:rPr>
          <w:rFonts w:eastAsiaTheme="minorEastAsia"/>
          <w:sz w:val="24"/>
        </w:rPr>
        <w:t>CBJ</w:t>
      </w:r>
    </w:p>
    <w:p w14:paraId="0E3828E0" w14:textId="77777777" w:rsidR="00536FE7" w:rsidRDefault="00CD3BC6" w:rsidP="00536FE7">
      <w:pPr>
        <w:jc w:val="both"/>
        <w:rPr>
          <w:rFonts w:eastAsiaTheme="minorEastAsia"/>
          <w:sz w:val="24"/>
        </w:rPr>
      </w:pPr>
      <w:r>
        <w:rPr>
          <w:rFonts w:eastAsiaTheme="minorEastAsia"/>
          <w:sz w:val="24"/>
        </w:rPr>
        <w:t>Considerando</w:t>
      </w:r>
      <w:r w:rsidR="00536FE7">
        <w:rPr>
          <w:rFonts w:eastAsiaTheme="minorEastAsia"/>
          <w:sz w:val="24"/>
        </w:rPr>
        <w:t xml:space="preserve"> que</w:t>
      </w:r>
      <w:r w:rsidR="00890A25">
        <w:rPr>
          <w:rFonts w:eastAsiaTheme="minorEastAsia"/>
          <w:sz w:val="24"/>
        </w:rPr>
        <w:t>.</w:t>
      </w:r>
    </w:p>
    <w:p w14:paraId="1B84CB94" w14:textId="77777777" w:rsidR="00536FE7" w:rsidRPr="00536FE7" w:rsidRDefault="00536FE7" w:rsidP="00536FE7">
      <w:pPr>
        <w:jc w:val="center"/>
        <w:rPr>
          <w:rFonts w:eastAsiaTheme="minorEastAsia"/>
          <w:sz w:val="24"/>
        </w:rPr>
      </w:pPr>
      <m:oMathPara>
        <m:oMath>
          <m:r>
            <w:rPr>
              <w:rFonts w:ascii="Cambria Math" w:eastAsiaTheme="minorEastAsia" w:hAnsi="Cambria Math"/>
              <w:sz w:val="24"/>
            </w:rPr>
            <m:t>PC=</m:t>
          </m:r>
          <m:sSub>
            <m:sSubPr>
              <m:ctrlPr>
                <w:rPr>
                  <w:rFonts w:ascii="Cambria Math" w:eastAsiaTheme="minorEastAsia" w:hAnsi="Cambria Math"/>
                  <w:i/>
                  <w:sz w:val="24"/>
                </w:rPr>
              </m:ctrlPr>
            </m:sSubPr>
            <m:e>
              <m:r>
                <w:rPr>
                  <w:rFonts w:ascii="Cambria Math" w:eastAsiaTheme="minorEastAsia" w:hAnsi="Cambria Math"/>
                  <w:sz w:val="24"/>
                </w:rPr>
                <m:t>PC</m:t>
              </m:r>
            </m:e>
            <m:sub>
              <m:r>
                <w:rPr>
                  <w:rFonts w:ascii="Cambria Math" w:eastAsiaTheme="minorEastAsia" w:hAnsi="Cambria Math"/>
                  <w:sz w:val="24"/>
                </w:rPr>
                <m:t>0</m:t>
              </m:r>
            </m:sub>
          </m:sSub>
          <m:r>
            <w:rPr>
              <w:rFonts w:ascii="Cambria Math" w:eastAsiaTheme="minorEastAsia" w:hAnsi="Cambria Math"/>
              <w:sz w:val="24"/>
            </w:rPr>
            <m:t>*</m:t>
          </m:r>
          <m:d>
            <m:dPr>
              <m:ctrlPr>
                <w:rPr>
                  <w:rFonts w:ascii="Cambria Math" w:eastAsiaTheme="minorEastAsia" w:hAnsi="Cambria Math"/>
                  <w:i/>
                  <w:sz w:val="24"/>
                </w:rPr>
              </m:ctrlPr>
            </m:dPr>
            <m:e>
              <m:r>
                <w:rPr>
                  <w:rFonts w:ascii="Cambria Math" w:eastAsiaTheme="minorEastAsia" w:hAnsi="Cambria Math"/>
                  <w:sz w:val="24"/>
                </w:rPr>
                <m:t>1-∅</m:t>
              </m:r>
            </m:e>
          </m:d>
          <m:r>
            <w:rPr>
              <w:rFonts w:ascii="Cambria Math" w:eastAsiaTheme="minorEastAsia" w:hAnsi="Cambria Math"/>
              <w:sz w:val="24"/>
            </w:rPr>
            <m:t>=</m:t>
          </m:r>
          <m:nary>
            <m:naryPr>
              <m:chr m:val="∑"/>
              <m:limLoc m:val="undOvr"/>
              <m:supHide m:val="1"/>
              <m:ctrlPr>
                <w:rPr>
                  <w:rFonts w:ascii="Cambria Math" w:eastAsiaTheme="minorEastAsia" w:hAnsi="Cambria Math"/>
                  <w:i/>
                  <w:sz w:val="24"/>
                </w:rPr>
              </m:ctrlPr>
            </m:naryPr>
            <m:sub>
              <m:r>
                <w:rPr>
                  <w:rFonts w:ascii="Cambria Math" w:eastAsiaTheme="minorEastAsia" w:hAnsi="Cambria Math"/>
                  <w:sz w:val="24"/>
                </w:rPr>
                <m:t>i</m:t>
              </m:r>
            </m:sub>
            <m:sup/>
            <m:e>
              <m:r>
                <w:rPr>
                  <w:rFonts w:ascii="Cambria Math" w:eastAsiaTheme="minorEastAsia" w:hAnsi="Cambria Math"/>
                  <w:sz w:val="24"/>
                </w:rPr>
                <m:t>π</m:t>
              </m:r>
              <m:d>
                <m:dPr>
                  <m:ctrlPr>
                    <w:rPr>
                      <w:rFonts w:ascii="Cambria Math" w:eastAsiaTheme="minorEastAsia" w:hAnsi="Cambria Math"/>
                      <w:i/>
                      <w:sz w:val="24"/>
                    </w:rPr>
                  </m:ctrlPr>
                </m:dPr>
                <m:e>
                  <m:r>
                    <w:rPr>
                      <w:rFonts w:ascii="Cambria Math" w:eastAsiaTheme="minorEastAsia" w:hAnsi="Cambria Math"/>
                      <w:sz w:val="24"/>
                    </w:rPr>
                    <m:t>i</m:t>
                  </m:r>
                </m:e>
              </m:d>
              <m:r>
                <w:rPr>
                  <w:rFonts w:ascii="Cambria Math" w:eastAsiaTheme="minorEastAsia" w:hAnsi="Cambria Math"/>
                  <w:sz w:val="24"/>
                </w:rPr>
                <m:t>*</m:t>
              </m:r>
              <m:sSub>
                <m:sSubPr>
                  <m:ctrlPr>
                    <w:rPr>
                      <w:rFonts w:ascii="Cambria Math" w:eastAsiaTheme="minorEastAsia" w:hAnsi="Cambria Math"/>
                      <w:i/>
                      <w:sz w:val="24"/>
                    </w:rPr>
                  </m:ctrlPr>
                </m:sSubPr>
                <m:e>
                  <m:r>
                    <w:rPr>
                      <w:rFonts w:ascii="Cambria Math" w:eastAsiaTheme="minorEastAsia" w:hAnsi="Cambria Math"/>
                      <w:sz w:val="24"/>
                    </w:rPr>
                    <m:t>PC</m:t>
                  </m:r>
                </m:e>
                <m:sub>
                  <m:r>
                    <w:rPr>
                      <w:rFonts w:ascii="Cambria Math" w:eastAsiaTheme="minorEastAsia" w:hAnsi="Cambria Math"/>
                      <w:sz w:val="24"/>
                    </w:rPr>
                    <m:t>0</m:t>
                  </m:r>
                </m:sub>
              </m:sSub>
              <m:d>
                <m:dPr>
                  <m:ctrlPr>
                    <w:rPr>
                      <w:rFonts w:ascii="Cambria Math" w:eastAsiaTheme="minorEastAsia" w:hAnsi="Cambria Math"/>
                      <w:i/>
                      <w:sz w:val="24"/>
                    </w:rPr>
                  </m:ctrlPr>
                </m:dPr>
                <m:e>
                  <m:r>
                    <w:rPr>
                      <w:rFonts w:ascii="Cambria Math" w:eastAsiaTheme="minorEastAsia" w:hAnsi="Cambria Math"/>
                      <w:sz w:val="24"/>
                    </w:rPr>
                    <m:t>i</m:t>
                  </m:r>
                </m:e>
              </m:d>
              <m:r>
                <w:rPr>
                  <w:rFonts w:ascii="Cambria Math" w:eastAsiaTheme="minorEastAsia" w:hAnsi="Cambria Math"/>
                  <w:sz w:val="24"/>
                </w:rPr>
                <m:t>*(1-∅)</m:t>
              </m:r>
            </m:e>
          </m:nary>
        </m:oMath>
      </m:oMathPara>
    </w:p>
    <w:p w14:paraId="5082BB11" w14:textId="77777777" w:rsidR="00536FE7" w:rsidRDefault="00CD3BC6" w:rsidP="00536FE7">
      <w:pPr>
        <w:rPr>
          <w:rFonts w:eastAsiaTheme="minorEastAsia"/>
          <w:sz w:val="24"/>
        </w:rPr>
      </w:pPr>
      <w:r>
        <w:rPr>
          <w:rFonts w:eastAsiaTheme="minorEastAsia"/>
          <w:sz w:val="24"/>
        </w:rPr>
        <w:t xml:space="preserve">Se </w:t>
      </w:r>
      <w:r w:rsidR="00536FE7">
        <w:rPr>
          <w:rFonts w:eastAsiaTheme="minorEastAsia"/>
          <w:sz w:val="24"/>
        </w:rPr>
        <w:t xml:space="preserve">determina </w:t>
      </w:r>
      <m:oMath>
        <m:r>
          <w:rPr>
            <w:rFonts w:ascii="Cambria Math" w:eastAsiaTheme="minorEastAsia" w:hAnsi="Cambria Math"/>
            <w:sz w:val="24"/>
          </w:rPr>
          <m:t>∅</m:t>
        </m:r>
      </m:oMath>
      <w:r w:rsidR="00536FE7">
        <w:rPr>
          <w:rFonts w:eastAsiaTheme="minorEastAsia"/>
          <w:sz w:val="24"/>
        </w:rPr>
        <w:t xml:space="preserve"> , </w:t>
      </w:r>
      <w:r w:rsidR="00890A25">
        <w:rPr>
          <w:rFonts w:eastAsiaTheme="minorEastAsia"/>
          <w:sz w:val="24"/>
        </w:rPr>
        <w:t xml:space="preserve">como la </w:t>
      </w:r>
      <w:r w:rsidR="00536FE7">
        <w:rPr>
          <w:rFonts w:eastAsiaTheme="minorEastAsia"/>
          <w:sz w:val="24"/>
        </w:rPr>
        <w:t xml:space="preserve">solución de la </w:t>
      </w:r>
      <w:r w:rsidR="00890A25">
        <w:rPr>
          <w:rFonts w:eastAsiaTheme="minorEastAsia"/>
          <w:sz w:val="24"/>
        </w:rPr>
        <w:t>siguiente ecuación</w:t>
      </w:r>
      <w:r w:rsidR="00536FE7">
        <w:rPr>
          <w:rFonts w:eastAsiaTheme="minorEastAsia"/>
          <w:sz w:val="24"/>
        </w:rPr>
        <w:t>:</w:t>
      </w:r>
    </w:p>
    <w:p w14:paraId="424F4DE6" w14:textId="77777777" w:rsidR="00536FE7" w:rsidRPr="006238D9" w:rsidRDefault="00536FE7" w:rsidP="00536FE7">
      <w:pPr>
        <w:rPr>
          <w:rFonts w:eastAsiaTheme="minorEastAsia"/>
          <w:sz w:val="28"/>
        </w:rPr>
      </w:pPr>
      <m:oMathPara>
        <m:oMath>
          <m:r>
            <w:rPr>
              <w:rFonts w:ascii="Cambria Math" w:eastAsiaTheme="minorEastAsia" w:hAnsi="Cambria Math"/>
              <w:sz w:val="24"/>
            </w:rPr>
            <m:t>∅</m:t>
          </m:r>
          <m:r>
            <w:rPr>
              <w:rFonts w:ascii="Cambria Math" w:eastAsiaTheme="minorEastAsia" w:hAnsi="Cambria Math"/>
              <w:sz w:val="28"/>
            </w:rPr>
            <m:t>=</m:t>
          </m:r>
          <m:f>
            <m:fPr>
              <m:ctrlPr>
                <w:rPr>
                  <w:rFonts w:ascii="Cambria Math" w:eastAsiaTheme="minorEastAsia" w:hAnsi="Cambria Math"/>
                  <w:i/>
                  <w:sz w:val="28"/>
                </w:rPr>
              </m:ctrlPr>
            </m:fPr>
            <m:num>
              <m:nary>
                <m:naryPr>
                  <m:chr m:val="∑"/>
                  <m:limLoc m:val="undOvr"/>
                  <m:supHide m:val="1"/>
                  <m:ctrlPr>
                    <w:rPr>
                      <w:rFonts w:ascii="Cambria Math" w:eastAsiaTheme="minorEastAsia" w:hAnsi="Cambria Math"/>
                      <w:i/>
                      <w:sz w:val="28"/>
                    </w:rPr>
                  </m:ctrlPr>
                </m:naryPr>
                <m:sub>
                  <m:r>
                    <w:rPr>
                      <w:rFonts w:ascii="Cambria Math" w:eastAsiaTheme="minorEastAsia" w:hAnsi="Cambria Math"/>
                      <w:sz w:val="28"/>
                    </w:rPr>
                    <m:t>i</m:t>
                  </m:r>
                </m:sub>
                <m:sup/>
                <m:e>
                  <m:r>
                    <w:rPr>
                      <w:rFonts w:ascii="Cambria Math" w:eastAsiaTheme="minorEastAsia" w:hAnsi="Cambria Math"/>
                      <w:sz w:val="28"/>
                    </w:rPr>
                    <m:t>π</m:t>
                  </m:r>
                  <m:d>
                    <m:dPr>
                      <m:ctrlPr>
                        <w:rPr>
                          <w:rFonts w:ascii="Cambria Math" w:eastAsiaTheme="minorEastAsia" w:hAnsi="Cambria Math"/>
                          <w:i/>
                          <w:sz w:val="28"/>
                        </w:rPr>
                      </m:ctrlPr>
                    </m:dPr>
                    <m:e>
                      <m:r>
                        <w:rPr>
                          <w:rFonts w:ascii="Cambria Math" w:eastAsiaTheme="minorEastAsia" w:hAnsi="Cambria Math"/>
                          <w:sz w:val="28"/>
                        </w:rPr>
                        <m:t>i</m:t>
                      </m:r>
                    </m:e>
                  </m:d>
                  <m:r>
                    <w:rPr>
                      <w:rFonts w:ascii="Cambria Math" w:eastAsiaTheme="minorEastAsia" w:hAnsi="Cambria Math"/>
                      <w:sz w:val="28"/>
                    </w:rPr>
                    <m:t>*</m:t>
                  </m:r>
                  <m:sSub>
                    <m:sSubPr>
                      <m:ctrlPr>
                        <w:rPr>
                          <w:rFonts w:ascii="Cambria Math" w:eastAsiaTheme="minorEastAsia" w:hAnsi="Cambria Math"/>
                          <w:i/>
                          <w:sz w:val="28"/>
                        </w:rPr>
                      </m:ctrlPr>
                    </m:sSubPr>
                    <m:e>
                      <m:r>
                        <w:rPr>
                          <w:rFonts w:ascii="Cambria Math" w:eastAsiaTheme="minorEastAsia" w:hAnsi="Cambria Math"/>
                          <w:sz w:val="28"/>
                        </w:rPr>
                        <m:t>PC</m:t>
                      </m:r>
                    </m:e>
                    <m:sub>
                      <m:r>
                        <w:rPr>
                          <w:rFonts w:ascii="Cambria Math" w:eastAsiaTheme="minorEastAsia" w:hAnsi="Cambria Math"/>
                          <w:sz w:val="28"/>
                        </w:rPr>
                        <m:t>0</m:t>
                      </m:r>
                    </m:sub>
                  </m:sSub>
                  <m:d>
                    <m:dPr>
                      <m:ctrlPr>
                        <w:rPr>
                          <w:rFonts w:ascii="Cambria Math" w:eastAsiaTheme="minorEastAsia" w:hAnsi="Cambria Math"/>
                          <w:i/>
                          <w:sz w:val="28"/>
                        </w:rPr>
                      </m:ctrlPr>
                    </m:dPr>
                    <m:e>
                      <m:r>
                        <w:rPr>
                          <w:rFonts w:ascii="Cambria Math" w:eastAsiaTheme="minorEastAsia" w:hAnsi="Cambria Math"/>
                          <w:sz w:val="28"/>
                        </w:rPr>
                        <m:t>i</m:t>
                      </m:r>
                    </m:e>
                  </m:d>
                </m:e>
              </m:nary>
              <m:r>
                <w:rPr>
                  <w:rFonts w:ascii="Cambria Math" w:eastAsiaTheme="minorEastAsia" w:hAnsi="Cambria Math"/>
                  <w:sz w:val="28"/>
                </w:rPr>
                <m:t>-</m:t>
              </m:r>
              <m:nary>
                <m:naryPr>
                  <m:chr m:val="∑"/>
                  <m:limLoc m:val="undOvr"/>
                  <m:supHide m:val="1"/>
                  <m:ctrlPr>
                    <w:rPr>
                      <w:rFonts w:ascii="Cambria Math" w:eastAsiaTheme="minorEastAsia" w:hAnsi="Cambria Math"/>
                      <w:i/>
                      <w:sz w:val="28"/>
                    </w:rPr>
                  </m:ctrlPr>
                </m:naryPr>
                <m:sub>
                  <m:r>
                    <w:rPr>
                      <w:rFonts w:ascii="Cambria Math" w:eastAsiaTheme="minorEastAsia" w:hAnsi="Cambria Math"/>
                      <w:sz w:val="28"/>
                    </w:rPr>
                    <m:t>i</m:t>
                  </m:r>
                </m:sub>
                <m:sup/>
                <m:e>
                  <m:r>
                    <w:rPr>
                      <w:rFonts w:ascii="Cambria Math" w:eastAsiaTheme="minorEastAsia" w:hAnsi="Cambria Math"/>
                      <w:sz w:val="28"/>
                    </w:rPr>
                    <m:t>π</m:t>
                  </m:r>
                  <m:d>
                    <m:dPr>
                      <m:ctrlPr>
                        <w:rPr>
                          <w:rFonts w:ascii="Cambria Math" w:eastAsiaTheme="minorEastAsia" w:hAnsi="Cambria Math"/>
                          <w:i/>
                          <w:sz w:val="28"/>
                        </w:rPr>
                      </m:ctrlPr>
                    </m:dPr>
                    <m:e>
                      <m:r>
                        <w:rPr>
                          <w:rFonts w:ascii="Cambria Math" w:eastAsiaTheme="minorEastAsia" w:hAnsi="Cambria Math"/>
                          <w:sz w:val="28"/>
                        </w:rPr>
                        <m:t>i</m:t>
                      </m:r>
                    </m:e>
                  </m:d>
                  <m:r>
                    <w:rPr>
                      <w:rFonts w:ascii="Cambria Math" w:eastAsiaTheme="minorEastAsia" w:hAnsi="Cambria Math"/>
                      <w:sz w:val="28"/>
                    </w:rPr>
                    <m:t>*PC</m:t>
                  </m:r>
                  <m:d>
                    <m:dPr>
                      <m:ctrlPr>
                        <w:rPr>
                          <w:rFonts w:ascii="Cambria Math" w:eastAsiaTheme="minorEastAsia" w:hAnsi="Cambria Math"/>
                          <w:i/>
                          <w:sz w:val="28"/>
                        </w:rPr>
                      </m:ctrlPr>
                    </m:dPr>
                    <m:e>
                      <m:r>
                        <w:rPr>
                          <w:rFonts w:ascii="Cambria Math" w:eastAsiaTheme="minorEastAsia" w:hAnsi="Cambria Math"/>
                          <w:sz w:val="28"/>
                        </w:rPr>
                        <m:t>i</m:t>
                      </m:r>
                    </m:e>
                  </m:d>
                </m:e>
              </m:nary>
            </m:num>
            <m:den>
              <m:nary>
                <m:naryPr>
                  <m:chr m:val="∑"/>
                  <m:limLoc m:val="undOvr"/>
                  <m:supHide m:val="1"/>
                  <m:ctrlPr>
                    <w:rPr>
                      <w:rFonts w:ascii="Cambria Math" w:eastAsiaTheme="minorEastAsia" w:hAnsi="Cambria Math"/>
                      <w:i/>
                      <w:sz w:val="28"/>
                    </w:rPr>
                  </m:ctrlPr>
                </m:naryPr>
                <m:sub>
                  <m:r>
                    <w:rPr>
                      <w:rFonts w:ascii="Cambria Math" w:eastAsiaTheme="minorEastAsia" w:hAnsi="Cambria Math"/>
                      <w:sz w:val="28"/>
                    </w:rPr>
                    <m:t>i</m:t>
                  </m:r>
                </m:sub>
                <m:sup/>
                <m:e>
                  <m:r>
                    <w:rPr>
                      <w:rFonts w:ascii="Cambria Math" w:eastAsiaTheme="minorEastAsia" w:hAnsi="Cambria Math"/>
                      <w:sz w:val="28"/>
                    </w:rPr>
                    <m:t>π</m:t>
                  </m:r>
                  <m:d>
                    <m:dPr>
                      <m:ctrlPr>
                        <w:rPr>
                          <w:rFonts w:ascii="Cambria Math" w:eastAsiaTheme="minorEastAsia" w:hAnsi="Cambria Math"/>
                          <w:i/>
                          <w:sz w:val="28"/>
                        </w:rPr>
                      </m:ctrlPr>
                    </m:dPr>
                    <m:e>
                      <m:r>
                        <w:rPr>
                          <w:rFonts w:ascii="Cambria Math" w:eastAsiaTheme="minorEastAsia" w:hAnsi="Cambria Math"/>
                          <w:sz w:val="28"/>
                        </w:rPr>
                        <m:t>i</m:t>
                      </m:r>
                    </m:e>
                  </m:d>
                  <m:r>
                    <w:rPr>
                      <w:rFonts w:ascii="Cambria Math" w:eastAsiaTheme="minorEastAsia" w:hAnsi="Cambria Math"/>
                      <w:sz w:val="28"/>
                    </w:rPr>
                    <m:t>*</m:t>
                  </m:r>
                  <m:sSub>
                    <m:sSubPr>
                      <m:ctrlPr>
                        <w:rPr>
                          <w:rFonts w:ascii="Cambria Math" w:eastAsiaTheme="minorEastAsia" w:hAnsi="Cambria Math"/>
                          <w:i/>
                          <w:sz w:val="28"/>
                        </w:rPr>
                      </m:ctrlPr>
                    </m:sSubPr>
                    <m:e>
                      <m:r>
                        <w:rPr>
                          <w:rFonts w:ascii="Cambria Math" w:eastAsiaTheme="minorEastAsia" w:hAnsi="Cambria Math"/>
                          <w:sz w:val="28"/>
                        </w:rPr>
                        <m:t>PC</m:t>
                      </m:r>
                    </m:e>
                    <m:sub>
                      <m:r>
                        <w:rPr>
                          <w:rFonts w:ascii="Cambria Math" w:eastAsiaTheme="minorEastAsia" w:hAnsi="Cambria Math"/>
                          <w:sz w:val="28"/>
                        </w:rPr>
                        <m:t>0</m:t>
                      </m:r>
                    </m:sub>
                  </m:sSub>
                  <m:d>
                    <m:dPr>
                      <m:ctrlPr>
                        <w:rPr>
                          <w:rFonts w:ascii="Cambria Math" w:eastAsiaTheme="minorEastAsia" w:hAnsi="Cambria Math"/>
                          <w:i/>
                          <w:sz w:val="28"/>
                        </w:rPr>
                      </m:ctrlPr>
                    </m:dPr>
                    <m:e>
                      <m:r>
                        <w:rPr>
                          <w:rFonts w:ascii="Cambria Math" w:eastAsiaTheme="minorEastAsia" w:hAnsi="Cambria Math"/>
                          <w:sz w:val="28"/>
                        </w:rPr>
                        <m:t>i</m:t>
                      </m:r>
                    </m:e>
                  </m:d>
                </m:e>
              </m:nary>
            </m:den>
          </m:f>
        </m:oMath>
      </m:oMathPara>
    </w:p>
    <w:p w14:paraId="776C3868" w14:textId="77777777" w:rsidR="006238D9" w:rsidRPr="004F2ECD" w:rsidRDefault="006238D9" w:rsidP="006238D9">
      <w:pPr>
        <w:rPr>
          <w:rFonts w:eastAsiaTheme="minorEastAsia"/>
          <w:sz w:val="24"/>
        </w:rPr>
      </w:pPr>
      <w:r>
        <w:rPr>
          <w:rFonts w:eastAsiaTheme="minorEastAsia"/>
          <w:sz w:val="24"/>
        </w:rPr>
        <w:t>De esta manera se tiene que</w:t>
      </w:r>
      <w:r w:rsidR="00CD3BC6">
        <w:rPr>
          <w:rFonts w:eastAsiaTheme="minorEastAsia"/>
          <w:sz w:val="24"/>
        </w:rPr>
        <w:t>:</w:t>
      </w:r>
      <w:r w:rsidRPr="004F2ECD">
        <w:rPr>
          <w:rFonts w:eastAsiaTheme="minorEastAsia"/>
          <w:sz w:val="24"/>
        </w:rPr>
        <w:t xml:space="preserve"> </w:t>
      </w:r>
    </w:p>
    <w:p w14:paraId="7D2063D3" w14:textId="285705CD" w:rsidR="00BA75EE" w:rsidRPr="00C90A49" w:rsidRDefault="006238D9" w:rsidP="00C90A49">
      <w:pPr>
        <w:rPr>
          <w:rFonts w:eastAsiaTheme="minorEastAsia"/>
          <w:sz w:val="28"/>
        </w:rPr>
      </w:pPr>
      <m:oMathPara>
        <m:oMath>
          <m:r>
            <w:rPr>
              <w:rFonts w:ascii="Cambria Math" w:eastAsiaTheme="minorEastAsia" w:hAnsi="Cambria Math"/>
              <w:sz w:val="28"/>
            </w:rPr>
            <m:t>PC(i)=</m:t>
          </m:r>
          <m:sSub>
            <m:sSubPr>
              <m:ctrlPr>
                <w:rPr>
                  <w:rFonts w:ascii="Cambria Math" w:eastAsiaTheme="minorEastAsia" w:hAnsi="Cambria Math"/>
                  <w:i/>
                  <w:sz w:val="28"/>
                </w:rPr>
              </m:ctrlPr>
            </m:sSubPr>
            <m:e>
              <m:r>
                <w:rPr>
                  <w:rFonts w:ascii="Cambria Math" w:eastAsiaTheme="minorEastAsia" w:hAnsi="Cambria Math"/>
                  <w:sz w:val="28"/>
                </w:rPr>
                <m:t>PC</m:t>
              </m:r>
            </m:e>
            <m:sub>
              <m:r>
                <w:rPr>
                  <w:rFonts w:ascii="Cambria Math" w:eastAsiaTheme="minorEastAsia" w:hAnsi="Cambria Math"/>
                  <w:sz w:val="28"/>
                </w:rPr>
                <m:t>0</m:t>
              </m:r>
            </m:sub>
          </m:sSub>
          <m:r>
            <w:rPr>
              <w:rFonts w:ascii="Cambria Math" w:eastAsiaTheme="minorEastAsia" w:hAnsi="Cambria Math"/>
              <w:sz w:val="28"/>
            </w:rPr>
            <m:t>(i)*</m:t>
          </m:r>
          <m:d>
            <m:dPr>
              <m:ctrlPr>
                <w:rPr>
                  <w:rFonts w:ascii="Cambria Math" w:eastAsiaTheme="minorEastAsia" w:hAnsi="Cambria Math"/>
                  <w:i/>
                  <w:sz w:val="28"/>
                </w:rPr>
              </m:ctrlPr>
            </m:dPr>
            <m:e>
              <m:r>
                <w:rPr>
                  <w:rFonts w:ascii="Cambria Math" w:eastAsiaTheme="minorEastAsia" w:hAnsi="Cambria Math"/>
                  <w:sz w:val="28"/>
                </w:rPr>
                <m:t>1-</m:t>
              </m:r>
              <m:r>
                <w:rPr>
                  <w:rFonts w:ascii="Cambria Math" w:eastAsiaTheme="minorEastAsia" w:hAnsi="Cambria Math"/>
                  <w:sz w:val="24"/>
                </w:rPr>
                <m:t>∅</m:t>
              </m:r>
            </m:e>
          </m:d>
        </m:oMath>
      </m:oMathPara>
    </w:p>
    <w:sectPr w:rsidR="00BA75EE" w:rsidRPr="00C90A49" w:rsidSect="00DF13AA">
      <w:headerReference w:type="default" r:id="rId8"/>
      <w:footerReference w:type="default" r:id="rId9"/>
      <w:pgSz w:w="12240" w:h="15840"/>
      <w:pgMar w:top="1417" w:right="1701" w:bottom="1417"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11F35" w14:textId="77777777" w:rsidR="00960697" w:rsidRDefault="00960697" w:rsidP="00DF13AA">
      <w:pPr>
        <w:spacing w:after="0" w:line="240" w:lineRule="auto"/>
      </w:pPr>
      <w:r>
        <w:separator/>
      </w:r>
    </w:p>
  </w:endnote>
  <w:endnote w:type="continuationSeparator" w:id="0">
    <w:p w14:paraId="06F52849" w14:textId="77777777" w:rsidR="00960697" w:rsidRDefault="00960697" w:rsidP="00DF1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9B46B" w14:textId="657BBBA5" w:rsidR="00DF13AA" w:rsidRDefault="00AB2199" w:rsidP="00B77D6A">
    <w:pPr>
      <w:pStyle w:val="Piedepgina"/>
      <w:tabs>
        <w:tab w:val="left" w:pos="7242"/>
      </w:tabs>
    </w:pPr>
    <w:r>
      <w:rPr>
        <w:noProof/>
        <w:lang w:eastAsia="es-CO"/>
      </w:rPr>
      <w:drawing>
        <wp:anchor distT="0" distB="0" distL="114300" distR="114300" simplePos="0" relativeHeight="251660288" behindDoc="0" locked="0" layoutInCell="1" allowOverlap="1" wp14:anchorId="3D80140A" wp14:editId="758D94B4">
          <wp:simplePos x="0" y="0"/>
          <wp:positionH relativeFrom="column">
            <wp:posOffset>5231130</wp:posOffset>
          </wp:positionH>
          <wp:positionV relativeFrom="paragraph">
            <wp:posOffset>9384030</wp:posOffset>
          </wp:positionV>
          <wp:extent cx="2263775" cy="382270"/>
          <wp:effectExtent l="0" t="0" r="317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3775" cy="382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7D6A">
      <w:rPr>
        <w:noProof/>
        <w:lang w:eastAsia="es-CO"/>
      </w:rPr>
      <w:drawing>
        <wp:anchor distT="0" distB="0" distL="114300" distR="114300" simplePos="0" relativeHeight="251659264" behindDoc="0" locked="0" layoutInCell="1" allowOverlap="1" wp14:anchorId="538EABC2" wp14:editId="236020BF">
          <wp:simplePos x="0" y="0"/>
          <wp:positionH relativeFrom="column">
            <wp:posOffset>4618355</wp:posOffset>
          </wp:positionH>
          <wp:positionV relativeFrom="paragraph">
            <wp:posOffset>9425940</wp:posOffset>
          </wp:positionV>
          <wp:extent cx="2263775" cy="382270"/>
          <wp:effectExtent l="0" t="0" r="317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3775" cy="382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7D6A">
      <w:tab/>
    </w:r>
    <w:sdt>
      <w:sdtPr>
        <w:id w:val="1854154030"/>
        <w:docPartObj>
          <w:docPartGallery w:val="Page Numbers (Bottom of Page)"/>
          <w:docPartUnique/>
        </w:docPartObj>
      </w:sdtPr>
      <w:sdtEndPr/>
      <w:sdtContent>
        <w:r w:rsidR="00DF13AA">
          <w:fldChar w:fldCharType="begin"/>
        </w:r>
        <w:r w:rsidR="00DF13AA">
          <w:instrText>PAGE   \* MERGEFORMAT</w:instrText>
        </w:r>
        <w:r w:rsidR="00DF13AA">
          <w:fldChar w:fldCharType="separate"/>
        </w:r>
        <w:r w:rsidR="0088453C" w:rsidRPr="0088453C">
          <w:rPr>
            <w:noProof/>
            <w:lang w:val="es-ES"/>
          </w:rPr>
          <w:t>1</w:t>
        </w:r>
        <w:r w:rsidR="00DF13AA">
          <w:fldChar w:fldCharType="end"/>
        </w:r>
      </w:sdtContent>
    </w:sdt>
    <w:r w:rsidR="00B77D6A">
      <w:tab/>
    </w:r>
    <w:r w:rsidR="00B77D6A">
      <w:tab/>
    </w:r>
  </w:p>
  <w:p w14:paraId="5BEB3985" w14:textId="77777777" w:rsidR="00DF13AA" w:rsidRDefault="00AB2199" w:rsidP="00AB2199">
    <w:pPr>
      <w:pStyle w:val="Piedepgina"/>
      <w:jc w:val="right"/>
    </w:pPr>
    <w:r>
      <w:rPr>
        <w:noProof/>
        <w:lang w:eastAsia="es-CO"/>
      </w:rPr>
      <w:drawing>
        <wp:inline distT="0" distB="0" distL="0" distR="0" wp14:anchorId="39D50F1C" wp14:editId="3DB18934">
          <wp:extent cx="2276475" cy="3905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6475" cy="3905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7E79C" w14:textId="77777777" w:rsidR="00960697" w:rsidRDefault="00960697" w:rsidP="00DF13AA">
      <w:pPr>
        <w:spacing w:after="0" w:line="240" w:lineRule="auto"/>
      </w:pPr>
      <w:r>
        <w:separator/>
      </w:r>
    </w:p>
  </w:footnote>
  <w:footnote w:type="continuationSeparator" w:id="0">
    <w:p w14:paraId="7A477796" w14:textId="77777777" w:rsidR="00960697" w:rsidRDefault="00960697" w:rsidP="00DF1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186"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93"/>
      <w:gridCol w:w="5093"/>
    </w:tblGrid>
    <w:tr w:rsidR="00DF13AA" w14:paraId="3DFB0C35" w14:textId="77777777" w:rsidTr="00DF13AA">
      <w:trPr>
        <w:trHeight w:val="922"/>
        <w:jc w:val="center"/>
      </w:trPr>
      <w:tc>
        <w:tcPr>
          <w:tcW w:w="5093" w:type="dxa"/>
        </w:tcPr>
        <w:p w14:paraId="373A1FC1" w14:textId="77777777" w:rsidR="00DF13AA" w:rsidRDefault="00B77D6A">
          <w:pPr>
            <w:pStyle w:val="Encabezado"/>
          </w:pPr>
          <w:r>
            <w:rPr>
              <w:noProof/>
              <w:lang w:eastAsia="es-CO"/>
            </w:rPr>
            <w:drawing>
              <wp:anchor distT="0" distB="0" distL="114300" distR="114300" simplePos="0" relativeHeight="251658240" behindDoc="0" locked="0" layoutInCell="1" allowOverlap="1" wp14:anchorId="7C8EA977" wp14:editId="08083258">
                <wp:simplePos x="0" y="0"/>
                <wp:positionH relativeFrom="column">
                  <wp:posOffset>-68389</wp:posOffset>
                </wp:positionH>
                <wp:positionV relativeFrom="page">
                  <wp:posOffset>34936</wp:posOffset>
                </wp:positionV>
                <wp:extent cx="848995" cy="680085"/>
                <wp:effectExtent l="0" t="0" r="8255" b="571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680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t xml:space="preserve"> </w:t>
          </w:r>
        </w:p>
      </w:tc>
      <w:tc>
        <w:tcPr>
          <w:tcW w:w="5093" w:type="dxa"/>
        </w:tcPr>
        <w:p w14:paraId="4BE11158" w14:textId="77777777" w:rsidR="00DF13AA" w:rsidRPr="00DF13AA" w:rsidRDefault="00DF13AA" w:rsidP="00DF13AA">
          <w:pPr>
            <w:pStyle w:val="Encabezado"/>
            <w:jc w:val="right"/>
            <w:rPr>
              <w:b/>
              <w:i/>
              <w:sz w:val="28"/>
            </w:rPr>
          </w:pPr>
          <w:r w:rsidRPr="00DF13AA">
            <w:rPr>
              <w:b/>
              <w:i/>
              <w:sz w:val="28"/>
            </w:rPr>
            <w:t>Seguro Obligatorio de Accidentes de Tránsito – SOAT</w:t>
          </w:r>
        </w:p>
        <w:p w14:paraId="14633BD5" w14:textId="77777777" w:rsidR="00DF13AA" w:rsidRDefault="00DF13AA" w:rsidP="00DF13AA">
          <w:pPr>
            <w:pStyle w:val="Encabezado"/>
            <w:jc w:val="right"/>
          </w:pPr>
          <w:r w:rsidRPr="00DF13AA">
            <w:rPr>
              <w:b/>
              <w:i/>
              <w:sz w:val="28"/>
            </w:rPr>
            <w:t>Nota Técnica</w:t>
          </w:r>
          <w:r w:rsidR="007F1620">
            <w:rPr>
              <w:b/>
              <w:i/>
              <w:sz w:val="28"/>
            </w:rPr>
            <w:t xml:space="preserve"> </w:t>
          </w:r>
          <w:r w:rsidR="007D0A23">
            <w:rPr>
              <w:b/>
              <w:i/>
              <w:sz w:val="28"/>
            </w:rPr>
            <w:t>3</w:t>
          </w:r>
          <w:r w:rsidR="00061A75">
            <w:rPr>
              <w:b/>
              <w:i/>
              <w:sz w:val="28"/>
            </w:rPr>
            <w:t>.0</w:t>
          </w:r>
        </w:p>
      </w:tc>
    </w:tr>
  </w:tbl>
  <w:p w14:paraId="63101F13" w14:textId="77777777" w:rsidR="00DF13AA" w:rsidRDefault="00DF13A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7F77"/>
    <w:multiLevelType w:val="hybridMultilevel"/>
    <w:tmpl w:val="91C4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82FCA"/>
    <w:multiLevelType w:val="multilevel"/>
    <w:tmpl w:val="4ECE84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8618AA"/>
    <w:multiLevelType w:val="multilevel"/>
    <w:tmpl w:val="C77C9E5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EA155C"/>
    <w:multiLevelType w:val="multilevel"/>
    <w:tmpl w:val="26781B6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167A7ED4"/>
    <w:multiLevelType w:val="multilevel"/>
    <w:tmpl w:val="4ECE84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0B621B1"/>
    <w:multiLevelType w:val="multilevel"/>
    <w:tmpl w:val="4ECE84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8BC0189"/>
    <w:multiLevelType w:val="hybridMultilevel"/>
    <w:tmpl w:val="3B3A9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B31E8"/>
    <w:multiLevelType w:val="hybridMultilevel"/>
    <w:tmpl w:val="8C702BBE"/>
    <w:lvl w:ilvl="0" w:tplc="9A842074">
      <w:start w:val="2"/>
      <w:numFmt w:val="decimal"/>
      <w:lvlText w:val="%1."/>
      <w:lvlJc w:val="left"/>
      <w:pPr>
        <w:tabs>
          <w:tab w:val="num" w:pos="720"/>
        </w:tabs>
        <w:ind w:left="720" w:hanging="360"/>
      </w:pPr>
    </w:lvl>
    <w:lvl w:ilvl="1" w:tplc="7ABE407C" w:tentative="1">
      <w:start w:val="1"/>
      <w:numFmt w:val="decimal"/>
      <w:lvlText w:val="%2."/>
      <w:lvlJc w:val="left"/>
      <w:pPr>
        <w:tabs>
          <w:tab w:val="num" w:pos="1440"/>
        </w:tabs>
        <w:ind w:left="1440" w:hanging="360"/>
      </w:pPr>
    </w:lvl>
    <w:lvl w:ilvl="2" w:tplc="29180986" w:tentative="1">
      <w:start w:val="1"/>
      <w:numFmt w:val="decimal"/>
      <w:lvlText w:val="%3."/>
      <w:lvlJc w:val="left"/>
      <w:pPr>
        <w:tabs>
          <w:tab w:val="num" w:pos="2160"/>
        </w:tabs>
        <w:ind w:left="2160" w:hanging="360"/>
      </w:pPr>
    </w:lvl>
    <w:lvl w:ilvl="3" w:tplc="BB7E63C4" w:tentative="1">
      <w:start w:val="1"/>
      <w:numFmt w:val="decimal"/>
      <w:lvlText w:val="%4."/>
      <w:lvlJc w:val="left"/>
      <w:pPr>
        <w:tabs>
          <w:tab w:val="num" w:pos="2880"/>
        </w:tabs>
        <w:ind w:left="2880" w:hanging="360"/>
      </w:pPr>
    </w:lvl>
    <w:lvl w:ilvl="4" w:tplc="D584C90A" w:tentative="1">
      <w:start w:val="1"/>
      <w:numFmt w:val="decimal"/>
      <w:lvlText w:val="%5."/>
      <w:lvlJc w:val="left"/>
      <w:pPr>
        <w:tabs>
          <w:tab w:val="num" w:pos="3600"/>
        </w:tabs>
        <w:ind w:left="3600" w:hanging="360"/>
      </w:pPr>
    </w:lvl>
    <w:lvl w:ilvl="5" w:tplc="0B68D9E2" w:tentative="1">
      <w:start w:val="1"/>
      <w:numFmt w:val="decimal"/>
      <w:lvlText w:val="%6."/>
      <w:lvlJc w:val="left"/>
      <w:pPr>
        <w:tabs>
          <w:tab w:val="num" w:pos="4320"/>
        </w:tabs>
        <w:ind w:left="4320" w:hanging="360"/>
      </w:pPr>
    </w:lvl>
    <w:lvl w:ilvl="6" w:tplc="5E0447F4" w:tentative="1">
      <w:start w:val="1"/>
      <w:numFmt w:val="decimal"/>
      <w:lvlText w:val="%7."/>
      <w:lvlJc w:val="left"/>
      <w:pPr>
        <w:tabs>
          <w:tab w:val="num" w:pos="5040"/>
        </w:tabs>
        <w:ind w:left="5040" w:hanging="360"/>
      </w:pPr>
    </w:lvl>
    <w:lvl w:ilvl="7" w:tplc="A8F8DC9E" w:tentative="1">
      <w:start w:val="1"/>
      <w:numFmt w:val="decimal"/>
      <w:lvlText w:val="%8."/>
      <w:lvlJc w:val="left"/>
      <w:pPr>
        <w:tabs>
          <w:tab w:val="num" w:pos="5760"/>
        </w:tabs>
        <w:ind w:left="5760" w:hanging="360"/>
      </w:pPr>
    </w:lvl>
    <w:lvl w:ilvl="8" w:tplc="54943B40" w:tentative="1">
      <w:start w:val="1"/>
      <w:numFmt w:val="decimal"/>
      <w:lvlText w:val="%9."/>
      <w:lvlJc w:val="left"/>
      <w:pPr>
        <w:tabs>
          <w:tab w:val="num" w:pos="6480"/>
        </w:tabs>
        <w:ind w:left="6480" w:hanging="360"/>
      </w:pPr>
    </w:lvl>
  </w:abstractNum>
  <w:abstractNum w:abstractNumId="8" w15:restartNumberingAfterBreak="0">
    <w:nsid w:val="3AFC210B"/>
    <w:multiLevelType w:val="multilevel"/>
    <w:tmpl w:val="4ECE84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DD96444"/>
    <w:multiLevelType w:val="multilevel"/>
    <w:tmpl w:val="9ECA373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7578C5"/>
    <w:multiLevelType w:val="hybridMultilevel"/>
    <w:tmpl w:val="6F1AB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850342"/>
    <w:multiLevelType w:val="multilevel"/>
    <w:tmpl w:val="26781B6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4DC425C0"/>
    <w:multiLevelType w:val="multilevel"/>
    <w:tmpl w:val="4ECE84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6315FCA"/>
    <w:multiLevelType w:val="multilevel"/>
    <w:tmpl w:val="C77C9E5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6F53C4D"/>
    <w:multiLevelType w:val="multilevel"/>
    <w:tmpl w:val="26781B6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15:restartNumberingAfterBreak="0">
    <w:nsid w:val="601A1E92"/>
    <w:multiLevelType w:val="hybridMultilevel"/>
    <w:tmpl w:val="FA58C634"/>
    <w:lvl w:ilvl="0" w:tplc="3904CAC0">
      <w:start w:val="3"/>
      <w:numFmt w:val="decimal"/>
      <w:lvlText w:val="%1."/>
      <w:lvlJc w:val="left"/>
      <w:pPr>
        <w:tabs>
          <w:tab w:val="num" w:pos="720"/>
        </w:tabs>
        <w:ind w:left="720" w:hanging="360"/>
      </w:pPr>
    </w:lvl>
    <w:lvl w:ilvl="1" w:tplc="E26AB416" w:tentative="1">
      <w:start w:val="1"/>
      <w:numFmt w:val="decimal"/>
      <w:lvlText w:val="%2."/>
      <w:lvlJc w:val="left"/>
      <w:pPr>
        <w:tabs>
          <w:tab w:val="num" w:pos="1440"/>
        </w:tabs>
        <w:ind w:left="1440" w:hanging="360"/>
      </w:pPr>
    </w:lvl>
    <w:lvl w:ilvl="2" w:tplc="46E2A020" w:tentative="1">
      <w:start w:val="1"/>
      <w:numFmt w:val="decimal"/>
      <w:lvlText w:val="%3."/>
      <w:lvlJc w:val="left"/>
      <w:pPr>
        <w:tabs>
          <w:tab w:val="num" w:pos="2160"/>
        </w:tabs>
        <w:ind w:left="2160" w:hanging="360"/>
      </w:pPr>
    </w:lvl>
    <w:lvl w:ilvl="3" w:tplc="9B3831C4" w:tentative="1">
      <w:start w:val="1"/>
      <w:numFmt w:val="decimal"/>
      <w:lvlText w:val="%4."/>
      <w:lvlJc w:val="left"/>
      <w:pPr>
        <w:tabs>
          <w:tab w:val="num" w:pos="2880"/>
        </w:tabs>
        <w:ind w:left="2880" w:hanging="360"/>
      </w:pPr>
    </w:lvl>
    <w:lvl w:ilvl="4" w:tplc="9E5A6D0E" w:tentative="1">
      <w:start w:val="1"/>
      <w:numFmt w:val="decimal"/>
      <w:lvlText w:val="%5."/>
      <w:lvlJc w:val="left"/>
      <w:pPr>
        <w:tabs>
          <w:tab w:val="num" w:pos="3600"/>
        </w:tabs>
        <w:ind w:left="3600" w:hanging="360"/>
      </w:pPr>
    </w:lvl>
    <w:lvl w:ilvl="5" w:tplc="4594B082" w:tentative="1">
      <w:start w:val="1"/>
      <w:numFmt w:val="decimal"/>
      <w:lvlText w:val="%6."/>
      <w:lvlJc w:val="left"/>
      <w:pPr>
        <w:tabs>
          <w:tab w:val="num" w:pos="4320"/>
        </w:tabs>
        <w:ind w:left="4320" w:hanging="360"/>
      </w:pPr>
    </w:lvl>
    <w:lvl w:ilvl="6" w:tplc="EBFA839E" w:tentative="1">
      <w:start w:val="1"/>
      <w:numFmt w:val="decimal"/>
      <w:lvlText w:val="%7."/>
      <w:lvlJc w:val="left"/>
      <w:pPr>
        <w:tabs>
          <w:tab w:val="num" w:pos="5040"/>
        </w:tabs>
        <w:ind w:left="5040" w:hanging="360"/>
      </w:pPr>
    </w:lvl>
    <w:lvl w:ilvl="7" w:tplc="C9E4D754" w:tentative="1">
      <w:start w:val="1"/>
      <w:numFmt w:val="decimal"/>
      <w:lvlText w:val="%8."/>
      <w:lvlJc w:val="left"/>
      <w:pPr>
        <w:tabs>
          <w:tab w:val="num" w:pos="5760"/>
        </w:tabs>
        <w:ind w:left="5760" w:hanging="360"/>
      </w:pPr>
    </w:lvl>
    <w:lvl w:ilvl="8" w:tplc="34228E16" w:tentative="1">
      <w:start w:val="1"/>
      <w:numFmt w:val="decimal"/>
      <w:lvlText w:val="%9."/>
      <w:lvlJc w:val="left"/>
      <w:pPr>
        <w:tabs>
          <w:tab w:val="num" w:pos="6480"/>
        </w:tabs>
        <w:ind w:left="6480" w:hanging="360"/>
      </w:pPr>
    </w:lvl>
  </w:abstractNum>
  <w:abstractNum w:abstractNumId="16" w15:restartNumberingAfterBreak="0">
    <w:nsid w:val="66FF0242"/>
    <w:multiLevelType w:val="hybridMultilevel"/>
    <w:tmpl w:val="889655C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8DA30D2"/>
    <w:multiLevelType w:val="multilevel"/>
    <w:tmpl w:val="F51824F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6DC60811"/>
    <w:multiLevelType w:val="hybridMultilevel"/>
    <w:tmpl w:val="53C885A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9" w15:restartNumberingAfterBreak="0">
    <w:nsid w:val="749B39AD"/>
    <w:multiLevelType w:val="multilevel"/>
    <w:tmpl w:val="A14A1D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EC80A2A"/>
    <w:multiLevelType w:val="hybridMultilevel"/>
    <w:tmpl w:val="EB441F3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FDC6503"/>
    <w:multiLevelType w:val="hybridMultilevel"/>
    <w:tmpl w:val="AB544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4"/>
  </w:num>
  <w:num w:numId="4">
    <w:abstractNumId w:val="1"/>
  </w:num>
  <w:num w:numId="5">
    <w:abstractNumId w:val="8"/>
  </w:num>
  <w:num w:numId="6">
    <w:abstractNumId w:val="21"/>
  </w:num>
  <w:num w:numId="7">
    <w:abstractNumId w:val="6"/>
  </w:num>
  <w:num w:numId="8">
    <w:abstractNumId w:val="10"/>
  </w:num>
  <w:num w:numId="9">
    <w:abstractNumId w:val="0"/>
  </w:num>
  <w:num w:numId="10">
    <w:abstractNumId w:val="7"/>
  </w:num>
  <w:num w:numId="11">
    <w:abstractNumId w:val="15"/>
  </w:num>
  <w:num w:numId="12">
    <w:abstractNumId w:val="16"/>
  </w:num>
  <w:num w:numId="13">
    <w:abstractNumId w:val="20"/>
  </w:num>
  <w:num w:numId="14">
    <w:abstractNumId w:val="18"/>
  </w:num>
  <w:num w:numId="15">
    <w:abstractNumId w:val="17"/>
  </w:num>
  <w:num w:numId="16">
    <w:abstractNumId w:val="11"/>
  </w:num>
  <w:num w:numId="17">
    <w:abstractNumId w:val="9"/>
  </w:num>
  <w:num w:numId="18">
    <w:abstractNumId w:val="19"/>
  </w:num>
  <w:num w:numId="19">
    <w:abstractNumId w:val="3"/>
  </w:num>
  <w:num w:numId="20">
    <w:abstractNumId w:val="14"/>
  </w:num>
  <w:num w:numId="21">
    <w:abstractNumId w:val="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3AA"/>
    <w:rsid w:val="00000691"/>
    <w:rsid w:val="00007A13"/>
    <w:rsid w:val="000118FF"/>
    <w:rsid w:val="00023F17"/>
    <w:rsid w:val="00052EB5"/>
    <w:rsid w:val="0006118F"/>
    <w:rsid w:val="00061A75"/>
    <w:rsid w:val="0007315E"/>
    <w:rsid w:val="00080BAE"/>
    <w:rsid w:val="000C1B76"/>
    <w:rsid w:val="000D44A5"/>
    <w:rsid w:val="000E2826"/>
    <w:rsid w:val="000E3EE4"/>
    <w:rsid w:val="000E5059"/>
    <w:rsid w:val="000E6F88"/>
    <w:rsid w:val="00125A55"/>
    <w:rsid w:val="00140194"/>
    <w:rsid w:val="00142067"/>
    <w:rsid w:val="001431B3"/>
    <w:rsid w:val="00165321"/>
    <w:rsid w:val="00185DFB"/>
    <w:rsid w:val="001D0526"/>
    <w:rsid w:val="002279AF"/>
    <w:rsid w:val="00236DD4"/>
    <w:rsid w:val="00237185"/>
    <w:rsid w:val="0024062C"/>
    <w:rsid w:val="00253598"/>
    <w:rsid w:val="00265FA4"/>
    <w:rsid w:val="002712EF"/>
    <w:rsid w:val="002745E4"/>
    <w:rsid w:val="002A644F"/>
    <w:rsid w:val="002A7005"/>
    <w:rsid w:val="002B3118"/>
    <w:rsid w:val="002D38B9"/>
    <w:rsid w:val="002F47D1"/>
    <w:rsid w:val="00335E3C"/>
    <w:rsid w:val="00345172"/>
    <w:rsid w:val="00351505"/>
    <w:rsid w:val="00394345"/>
    <w:rsid w:val="003E42A3"/>
    <w:rsid w:val="003F7738"/>
    <w:rsid w:val="003F7768"/>
    <w:rsid w:val="004033C8"/>
    <w:rsid w:val="004343B9"/>
    <w:rsid w:val="00435851"/>
    <w:rsid w:val="004406A8"/>
    <w:rsid w:val="00454E5E"/>
    <w:rsid w:val="00476E63"/>
    <w:rsid w:val="00480194"/>
    <w:rsid w:val="004B4AFB"/>
    <w:rsid w:val="004D73A1"/>
    <w:rsid w:val="004E68DE"/>
    <w:rsid w:val="004F2ECD"/>
    <w:rsid w:val="004F33E1"/>
    <w:rsid w:val="004F4822"/>
    <w:rsid w:val="00520FB6"/>
    <w:rsid w:val="0053202D"/>
    <w:rsid w:val="00536FE7"/>
    <w:rsid w:val="005429C1"/>
    <w:rsid w:val="00554E86"/>
    <w:rsid w:val="00564E20"/>
    <w:rsid w:val="00567A42"/>
    <w:rsid w:val="0058398C"/>
    <w:rsid w:val="00585762"/>
    <w:rsid w:val="00596CDA"/>
    <w:rsid w:val="005B16DB"/>
    <w:rsid w:val="005C4737"/>
    <w:rsid w:val="005D3F3D"/>
    <w:rsid w:val="005F436F"/>
    <w:rsid w:val="00607D33"/>
    <w:rsid w:val="00620447"/>
    <w:rsid w:val="006238D9"/>
    <w:rsid w:val="00624531"/>
    <w:rsid w:val="00632EE3"/>
    <w:rsid w:val="00635929"/>
    <w:rsid w:val="00646257"/>
    <w:rsid w:val="006700A3"/>
    <w:rsid w:val="00696997"/>
    <w:rsid w:val="006A0C50"/>
    <w:rsid w:val="006C3593"/>
    <w:rsid w:val="006D73B5"/>
    <w:rsid w:val="006E368D"/>
    <w:rsid w:val="006F391D"/>
    <w:rsid w:val="006F6D2F"/>
    <w:rsid w:val="00704A6C"/>
    <w:rsid w:val="007305D9"/>
    <w:rsid w:val="007317DF"/>
    <w:rsid w:val="007339AB"/>
    <w:rsid w:val="0073438D"/>
    <w:rsid w:val="00771D32"/>
    <w:rsid w:val="00797831"/>
    <w:rsid w:val="007A1618"/>
    <w:rsid w:val="007A5419"/>
    <w:rsid w:val="007C5CDE"/>
    <w:rsid w:val="007C7D74"/>
    <w:rsid w:val="007D0A23"/>
    <w:rsid w:val="007D3BDC"/>
    <w:rsid w:val="007F1620"/>
    <w:rsid w:val="00814B7F"/>
    <w:rsid w:val="00874771"/>
    <w:rsid w:val="0088453C"/>
    <w:rsid w:val="0089058C"/>
    <w:rsid w:val="00890A25"/>
    <w:rsid w:val="00896D9E"/>
    <w:rsid w:val="008A1652"/>
    <w:rsid w:val="008B0F89"/>
    <w:rsid w:val="008F2678"/>
    <w:rsid w:val="008F7E45"/>
    <w:rsid w:val="00910A80"/>
    <w:rsid w:val="00931351"/>
    <w:rsid w:val="0093356F"/>
    <w:rsid w:val="00960697"/>
    <w:rsid w:val="00962028"/>
    <w:rsid w:val="009C38F0"/>
    <w:rsid w:val="009C7B56"/>
    <w:rsid w:val="00A6332E"/>
    <w:rsid w:val="00A76016"/>
    <w:rsid w:val="00A9070B"/>
    <w:rsid w:val="00A9264A"/>
    <w:rsid w:val="00AA0BFA"/>
    <w:rsid w:val="00AA38AF"/>
    <w:rsid w:val="00AB2199"/>
    <w:rsid w:val="00AC2309"/>
    <w:rsid w:val="00AD0D5A"/>
    <w:rsid w:val="00AE45CF"/>
    <w:rsid w:val="00AE6464"/>
    <w:rsid w:val="00AF0553"/>
    <w:rsid w:val="00AF43D6"/>
    <w:rsid w:val="00B0220E"/>
    <w:rsid w:val="00B16EA3"/>
    <w:rsid w:val="00B27430"/>
    <w:rsid w:val="00B32595"/>
    <w:rsid w:val="00B459F6"/>
    <w:rsid w:val="00B77D6A"/>
    <w:rsid w:val="00B96084"/>
    <w:rsid w:val="00BA75EE"/>
    <w:rsid w:val="00BC35F0"/>
    <w:rsid w:val="00BD667B"/>
    <w:rsid w:val="00BE1AB0"/>
    <w:rsid w:val="00BE7B7C"/>
    <w:rsid w:val="00C13D5F"/>
    <w:rsid w:val="00C20B81"/>
    <w:rsid w:val="00C27A15"/>
    <w:rsid w:val="00C415C6"/>
    <w:rsid w:val="00C70722"/>
    <w:rsid w:val="00C810BE"/>
    <w:rsid w:val="00C90A49"/>
    <w:rsid w:val="00C94E04"/>
    <w:rsid w:val="00CA70A2"/>
    <w:rsid w:val="00CC5FF5"/>
    <w:rsid w:val="00CD3BC6"/>
    <w:rsid w:val="00CF1505"/>
    <w:rsid w:val="00CF3569"/>
    <w:rsid w:val="00D061C3"/>
    <w:rsid w:val="00D1112A"/>
    <w:rsid w:val="00D12DF8"/>
    <w:rsid w:val="00D17F1C"/>
    <w:rsid w:val="00D211E2"/>
    <w:rsid w:val="00D24BEC"/>
    <w:rsid w:val="00D33A75"/>
    <w:rsid w:val="00DB0E0B"/>
    <w:rsid w:val="00DB2C19"/>
    <w:rsid w:val="00DC0540"/>
    <w:rsid w:val="00DD01AC"/>
    <w:rsid w:val="00DE1ECC"/>
    <w:rsid w:val="00DE4278"/>
    <w:rsid w:val="00DE4DDF"/>
    <w:rsid w:val="00DF13AA"/>
    <w:rsid w:val="00E03E86"/>
    <w:rsid w:val="00E430A5"/>
    <w:rsid w:val="00E553C4"/>
    <w:rsid w:val="00E63C8C"/>
    <w:rsid w:val="00EA134A"/>
    <w:rsid w:val="00EA1643"/>
    <w:rsid w:val="00EA505F"/>
    <w:rsid w:val="00EB196E"/>
    <w:rsid w:val="00EB76E4"/>
    <w:rsid w:val="00EC1727"/>
    <w:rsid w:val="00EC1A92"/>
    <w:rsid w:val="00EF5D2B"/>
    <w:rsid w:val="00EF635D"/>
    <w:rsid w:val="00F00934"/>
    <w:rsid w:val="00F26A9B"/>
    <w:rsid w:val="00F30975"/>
    <w:rsid w:val="00F475B0"/>
    <w:rsid w:val="00F53619"/>
    <w:rsid w:val="00F82138"/>
    <w:rsid w:val="00F8519A"/>
    <w:rsid w:val="00FA3650"/>
    <w:rsid w:val="00FA6992"/>
    <w:rsid w:val="00FC23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BBE5C"/>
  <w15:chartTrackingRefBased/>
  <w15:docId w15:val="{367A0E51-42E2-49C8-827F-D98197D5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13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13AA"/>
  </w:style>
  <w:style w:type="paragraph" w:styleId="Piedepgina">
    <w:name w:val="footer"/>
    <w:basedOn w:val="Normal"/>
    <w:link w:val="PiedepginaCar"/>
    <w:uiPriority w:val="99"/>
    <w:unhideWhenUsed/>
    <w:rsid w:val="00DF13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13AA"/>
  </w:style>
  <w:style w:type="table" w:styleId="Tablaconcuadrcula">
    <w:name w:val="Table Grid"/>
    <w:basedOn w:val="Tablanormal"/>
    <w:uiPriority w:val="39"/>
    <w:rsid w:val="00DF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00691"/>
    <w:pPr>
      <w:ind w:left="720"/>
      <w:contextualSpacing/>
    </w:pPr>
  </w:style>
  <w:style w:type="character" w:styleId="Textodelmarcadordeposicin">
    <w:name w:val="Placeholder Text"/>
    <w:basedOn w:val="Fuentedeprrafopredeter"/>
    <w:uiPriority w:val="99"/>
    <w:semiHidden/>
    <w:rsid w:val="00696997"/>
    <w:rPr>
      <w:color w:val="808080"/>
    </w:rPr>
  </w:style>
  <w:style w:type="paragraph" w:styleId="Textodeglobo">
    <w:name w:val="Balloon Text"/>
    <w:basedOn w:val="Normal"/>
    <w:link w:val="TextodegloboCar"/>
    <w:uiPriority w:val="99"/>
    <w:semiHidden/>
    <w:unhideWhenUsed/>
    <w:rsid w:val="008A16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652"/>
    <w:rPr>
      <w:rFonts w:ascii="Segoe UI" w:hAnsi="Segoe UI" w:cs="Segoe UI"/>
      <w:sz w:val="18"/>
      <w:szCs w:val="18"/>
    </w:rPr>
  </w:style>
  <w:style w:type="character" w:styleId="Refdecomentario">
    <w:name w:val="annotation reference"/>
    <w:basedOn w:val="Fuentedeprrafopredeter"/>
    <w:uiPriority w:val="99"/>
    <w:semiHidden/>
    <w:unhideWhenUsed/>
    <w:rsid w:val="00A9264A"/>
    <w:rPr>
      <w:sz w:val="16"/>
      <w:szCs w:val="16"/>
    </w:rPr>
  </w:style>
  <w:style w:type="paragraph" w:styleId="Textocomentario">
    <w:name w:val="annotation text"/>
    <w:basedOn w:val="Normal"/>
    <w:link w:val="TextocomentarioCar"/>
    <w:uiPriority w:val="99"/>
    <w:semiHidden/>
    <w:unhideWhenUsed/>
    <w:rsid w:val="00A926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9264A"/>
    <w:rPr>
      <w:sz w:val="20"/>
      <w:szCs w:val="20"/>
    </w:rPr>
  </w:style>
  <w:style w:type="paragraph" w:styleId="Asuntodelcomentario">
    <w:name w:val="annotation subject"/>
    <w:basedOn w:val="Textocomentario"/>
    <w:next w:val="Textocomentario"/>
    <w:link w:val="AsuntodelcomentarioCar"/>
    <w:uiPriority w:val="99"/>
    <w:semiHidden/>
    <w:unhideWhenUsed/>
    <w:rsid w:val="00A9264A"/>
    <w:rPr>
      <w:b/>
      <w:bCs/>
    </w:rPr>
  </w:style>
  <w:style w:type="character" w:customStyle="1" w:styleId="AsuntodelcomentarioCar">
    <w:name w:val="Asunto del comentario Car"/>
    <w:basedOn w:val="TextocomentarioCar"/>
    <w:link w:val="Asuntodelcomentario"/>
    <w:uiPriority w:val="99"/>
    <w:semiHidden/>
    <w:rsid w:val="00A9264A"/>
    <w:rPr>
      <w:b/>
      <w:bCs/>
      <w:sz w:val="20"/>
      <w:szCs w:val="20"/>
    </w:rPr>
  </w:style>
  <w:style w:type="paragraph" w:styleId="NormalWeb">
    <w:name w:val="Normal (Web)"/>
    <w:basedOn w:val="Normal"/>
    <w:uiPriority w:val="99"/>
    <w:semiHidden/>
    <w:unhideWhenUsed/>
    <w:rsid w:val="00704A6C"/>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170324">
      <w:bodyDiv w:val="1"/>
      <w:marLeft w:val="0"/>
      <w:marRight w:val="0"/>
      <w:marTop w:val="0"/>
      <w:marBottom w:val="0"/>
      <w:divBdr>
        <w:top w:val="none" w:sz="0" w:space="0" w:color="auto"/>
        <w:left w:val="none" w:sz="0" w:space="0" w:color="auto"/>
        <w:bottom w:val="none" w:sz="0" w:space="0" w:color="auto"/>
        <w:right w:val="none" w:sz="0" w:space="0" w:color="auto"/>
      </w:divBdr>
    </w:div>
    <w:div w:id="1070225685">
      <w:bodyDiv w:val="1"/>
      <w:marLeft w:val="0"/>
      <w:marRight w:val="0"/>
      <w:marTop w:val="0"/>
      <w:marBottom w:val="0"/>
      <w:divBdr>
        <w:top w:val="none" w:sz="0" w:space="0" w:color="auto"/>
        <w:left w:val="none" w:sz="0" w:space="0" w:color="auto"/>
        <w:bottom w:val="none" w:sz="0" w:space="0" w:color="auto"/>
        <w:right w:val="none" w:sz="0" w:space="0" w:color="auto"/>
      </w:divBdr>
      <w:divsChild>
        <w:div w:id="677997674">
          <w:marLeft w:val="547"/>
          <w:marRight w:val="0"/>
          <w:marTop w:val="0"/>
          <w:marBottom w:val="0"/>
          <w:divBdr>
            <w:top w:val="none" w:sz="0" w:space="0" w:color="auto"/>
            <w:left w:val="none" w:sz="0" w:space="0" w:color="auto"/>
            <w:bottom w:val="none" w:sz="0" w:space="0" w:color="auto"/>
            <w:right w:val="none" w:sz="0" w:space="0" w:color="auto"/>
          </w:divBdr>
        </w:div>
      </w:divsChild>
    </w:div>
    <w:div w:id="1112671864">
      <w:bodyDiv w:val="1"/>
      <w:marLeft w:val="0"/>
      <w:marRight w:val="0"/>
      <w:marTop w:val="0"/>
      <w:marBottom w:val="0"/>
      <w:divBdr>
        <w:top w:val="none" w:sz="0" w:space="0" w:color="auto"/>
        <w:left w:val="none" w:sz="0" w:space="0" w:color="auto"/>
        <w:bottom w:val="none" w:sz="0" w:space="0" w:color="auto"/>
        <w:right w:val="none" w:sz="0" w:space="0" w:color="auto"/>
      </w:divBdr>
    </w:div>
    <w:div w:id="1387417432">
      <w:bodyDiv w:val="1"/>
      <w:marLeft w:val="0"/>
      <w:marRight w:val="0"/>
      <w:marTop w:val="0"/>
      <w:marBottom w:val="0"/>
      <w:divBdr>
        <w:top w:val="none" w:sz="0" w:space="0" w:color="auto"/>
        <w:left w:val="none" w:sz="0" w:space="0" w:color="auto"/>
        <w:bottom w:val="none" w:sz="0" w:space="0" w:color="auto"/>
        <w:right w:val="none" w:sz="0" w:space="0" w:color="auto"/>
      </w:divBdr>
    </w:div>
    <w:div w:id="1473593797">
      <w:bodyDiv w:val="1"/>
      <w:marLeft w:val="0"/>
      <w:marRight w:val="0"/>
      <w:marTop w:val="0"/>
      <w:marBottom w:val="0"/>
      <w:divBdr>
        <w:top w:val="none" w:sz="0" w:space="0" w:color="auto"/>
        <w:left w:val="none" w:sz="0" w:space="0" w:color="auto"/>
        <w:bottom w:val="none" w:sz="0" w:space="0" w:color="auto"/>
        <w:right w:val="none" w:sz="0" w:space="0" w:color="auto"/>
      </w:divBdr>
      <w:divsChild>
        <w:div w:id="1643541734">
          <w:marLeft w:val="547"/>
          <w:marRight w:val="0"/>
          <w:marTop w:val="0"/>
          <w:marBottom w:val="0"/>
          <w:divBdr>
            <w:top w:val="none" w:sz="0" w:space="0" w:color="auto"/>
            <w:left w:val="none" w:sz="0" w:space="0" w:color="auto"/>
            <w:bottom w:val="none" w:sz="0" w:space="0" w:color="auto"/>
            <w:right w:val="none" w:sz="0" w:space="0" w:color="auto"/>
          </w:divBdr>
        </w:div>
      </w:divsChild>
    </w:div>
    <w:div w:id="1528908321">
      <w:bodyDiv w:val="1"/>
      <w:marLeft w:val="0"/>
      <w:marRight w:val="0"/>
      <w:marTop w:val="0"/>
      <w:marBottom w:val="0"/>
      <w:divBdr>
        <w:top w:val="none" w:sz="0" w:space="0" w:color="auto"/>
        <w:left w:val="none" w:sz="0" w:space="0" w:color="auto"/>
        <w:bottom w:val="none" w:sz="0" w:space="0" w:color="auto"/>
        <w:right w:val="none" w:sz="0" w:space="0" w:color="auto"/>
      </w:divBdr>
    </w:div>
    <w:div w:id="204493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77570-23FB-4BBA-9238-C0E6F7965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1500</Words>
  <Characters>8252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Raúl Plaza</dc:creator>
  <cp:keywords/>
  <dc:description/>
  <cp:lastModifiedBy>janeth castaneda</cp:lastModifiedBy>
  <cp:revision>2</cp:revision>
  <cp:lastPrinted>2019-11-05T14:13:00Z</cp:lastPrinted>
  <dcterms:created xsi:type="dcterms:W3CDTF">2020-12-03T13:37:00Z</dcterms:created>
  <dcterms:modified xsi:type="dcterms:W3CDTF">2020-12-03T13:37:00Z</dcterms:modified>
</cp:coreProperties>
</file>