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DD8EA" w14:textId="77777777" w:rsidR="0079172B" w:rsidRDefault="0079172B">
      <w:pPr>
        <w:spacing w:after="0" w:line="276" w:lineRule="auto"/>
        <w:jc w:val="both"/>
        <w:rPr>
          <w:rFonts w:ascii="Arial" w:eastAsia="Arial" w:hAnsi="Arial" w:cs="Arial"/>
          <w:sz w:val="24"/>
          <w:szCs w:val="24"/>
        </w:rPr>
      </w:pPr>
    </w:p>
    <w:p w14:paraId="7F5766AA" w14:textId="77777777" w:rsidR="0079172B" w:rsidRDefault="00A54579">
      <w:pPr>
        <w:spacing w:after="0" w:line="276" w:lineRule="auto"/>
        <w:jc w:val="both"/>
        <w:rPr>
          <w:rFonts w:ascii="Arial" w:eastAsia="Arial" w:hAnsi="Arial" w:cs="Arial"/>
          <w:sz w:val="23"/>
          <w:szCs w:val="23"/>
        </w:rPr>
      </w:pPr>
      <w:r>
        <w:rPr>
          <w:rFonts w:ascii="Arial" w:eastAsia="Arial" w:hAnsi="Arial" w:cs="Arial"/>
          <w:sz w:val="24"/>
          <w:szCs w:val="24"/>
        </w:rPr>
        <w:t xml:space="preserve"> </w:t>
      </w:r>
      <w:r>
        <w:rPr>
          <w:rFonts w:ascii="Arial" w:eastAsia="Arial" w:hAnsi="Arial" w:cs="Arial"/>
          <w:sz w:val="23"/>
          <w:szCs w:val="23"/>
        </w:rPr>
        <w:t xml:space="preserve">Bogotá, D. C., Noviembre 3 de 2020 </w:t>
      </w:r>
    </w:p>
    <w:p w14:paraId="570A89E8" w14:textId="77777777" w:rsidR="0079172B" w:rsidRDefault="0079172B">
      <w:pPr>
        <w:spacing w:after="0" w:line="276" w:lineRule="auto"/>
        <w:jc w:val="both"/>
        <w:rPr>
          <w:rFonts w:ascii="Arial" w:eastAsia="Arial" w:hAnsi="Arial" w:cs="Arial"/>
          <w:sz w:val="23"/>
          <w:szCs w:val="23"/>
        </w:rPr>
      </w:pPr>
    </w:p>
    <w:p w14:paraId="4A5976C0" w14:textId="77777777" w:rsidR="0079172B" w:rsidRDefault="0079172B">
      <w:pPr>
        <w:spacing w:after="0" w:line="276" w:lineRule="auto"/>
        <w:jc w:val="both"/>
        <w:rPr>
          <w:rFonts w:ascii="Arial" w:eastAsia="Arial" w:hAnsi="Arial" w:cs="Arial"/>
          <w:sz w:val="23"/>
          <w:szCs w:val="23"/>
        </w:rPr>
      </w:pPr>
    </w:p>
    <w:p w14:paraId="652D8C0C" w14:textId="77777777" w:rsidR="0079172B" w:rsidRDefault="0079172B">
      <w:pPr>
        <w:spacing w:after="0" w:line="276" w:lineRule="auto"/>
        <w:jc w:val="both"/>
        <w:rPr>
          <w:rFonts w:ascii="Arial" w:eastAsia="Arial" w:hAnsi="Arial" w:cs="Arial"/>
          <w:sz w:val="23"/>
          <w:szCs w:val="23"/>
        </w:rPr>
      </w:pPr>
    </w:p>
    <w:p w14:paraId="1F62A292" w14:textId="77777777" w:rsidR="0079172B" w:rsidRDefault="00A54579">
      <w:pPr>
        <w:spacing w:after="0" w:line="276" w:lineRule="auto"/>
        <w:jc w:val="both"/>
        <w:rPr>
          <w:rFonts w:ascii="Arial" w:eastAsia="Arial" w:hAnsi="Arial" w:cs="Arial"/>
          <w:sz w:val="23"/>
          <w:szCs w:val="23"/>
        </w:rPr>
      </w:pPr>
      <w:r>
        <w:rPr>
          <w:rFonts w:ascii="Arial" w:eastAsia="Arial" w:hAnsi="Arial" w:cs="Arial"/>
          <w:sz w:val="23"/>
          <w:szCs w:val="23"/>
        </w:rPr>
        <w:t xml:space="preserve">Señor </w:t>
      </w:r>
    </w:p>
    <w:p w14:paraId="26037855" w14:textId="77777777" w:rsidR="0079172B" w:rsidRDefault="0079172B">
      <w:pPr>
        <w:spacing w:after="0" w:line="276" w:lineRule="auto"/>
        <w:jc w:val="both"/>
        <w:rPr>
          <w:rFonts w:ascii="Arial" w:eastAsia="Arial" w:hAnsi="Arial" w:cs="Arial"/>
          <w:b/>
          <w:sz w:val="23"/>
          <w:szCs w:val="23"/>
        </w:rPr>
      </w:pPr>
    </w:p>
    <w:p w14:paraId="6E2C1EAE" w14:textId="77777777" w:rsidR="0079172B" w:rsidRDefault="00A54579">
      <w:pPr>
        <w:spacing w:after="0" w:line="276" w:lineRule="auto"/>
        <w:jc w:val="both"/>
        <w:rPr>
          <w:rFonts w:ascii="Arial" w:eastAsia="Arial" w:hAnsi="Arial" w:cs="Arial"/>
          <w:sz w:val="23"/>
          <w:szCs w:val="23"/>
        </w:rPr>
      </w:pPr>
      <w:r>
        <w:rPr>
          <w:rFonts w:ascii="Arial" w:eastAsia="Arial" w:hAnsi="Arial" w:cs="Arial"/>
          <w:sz w:val="23"/>
          <w:szCs w:val="23"/>
        </w:rPr>
        <w:t xml:space="preserve">Presidente </w:t>
      </w:r>
    </w:p>
    <w:p w14:paraId="2DA1F631" w14:textId="77777777" w:rsidR="0079172B" w:rsidRDefault="00A54579">
      <w:pPr>
        <w:spacing w:after="0" w:line="276" w:lineRule="auto"/>
        <w:jc w:val="both"/>
        <w:rPr>
          <w:rFonts w:ascii="Arial" w:eastAsia="Arial" w:hAnsi="Arial" w:cs="Arial"/>
          <w:sz w:val="23"/>
          <w:szCs w:val="23"/>
        </w:rPr>
      </w:pPr>
      <w:r>
        <w:rPr>
          <w:rFonts w:ascii="Arial" w:eastAsia="Arial" w:hAnsi="Arial" w:cs="Arial"/>
          <w:sz w:val="23"/>
          <w:szCs w:val="23"/>
        </w:rPr>
        <w:t xml:space="preserve">Comisión Cuarta Cámara de Representantes </w:t>
      </w:r>
    </w:p>
    <w:p w14:paraId="396E8EBE" w14:textId="77777777" w:rsidR="0079172B" w:rsidRDefault="00A54579">
      <w:pPr>
        <w:spacing w:after="0" w:line="276" w:lineRule="auto"/>
        <w:jc w:val="both"/>
        <w:rPr>
          <w:rFonts w:ascii="Arial" w:eastAsia="Arial" w:hAnsi="Arial" w:cs="Arial"/>
          <w:sz w:val="23"/>
          <w:szCs w:val="23"/>
        </w:rPr>
      </w:pPr>
      <w:r>
        <w:rPr>
          <w:rFonts w:ascii="Arial" w:eastAsia="Arial" w:hAnsi="Arial" w:cs="Arial"/>
          <w:sz w:val="23"/>
          <w:szCs w:val="23"/>
        </w:rPr>
        <w:t xml:space="preserve">Ciudad </w:t>
      </w:r>
    </w:p>
    <w:p w14:paraId="6166D9CD" w14:textId="77777777" w:rsidR="0079172B" w:rsidRDefault="00A54579">
      <w:pPr>
        <w:spacing w:after="0" w:line="276" w:lineRule="auto"/>
        <w:jc w:val="both"/>
        <w:rPr>
          <w:rFonts w:ascii="Arial" w:eastAsia="Arial" w:hAnsi="Arial" w:cs="Arial"/>
          <w:b/>
          <w:sz w:val="23"/>
          <w:szCs w:val="23"/>
        </w:rPr>
      </w:pPr>
      <w:r>
        <w:rPr>
          <w:rFonts w:ascii="Arial" w:eastAsia="Arial" w:hAnsi="Arial" w:cs="Arial"/>
          <w:b/>
          <w:sz w:val="23"/>
          <w:szCs w:val="23"/>
        </w:rPr>
        <w:t xml:space="preserve">REF: INFORME DE PONENCIA PARA PRIMER DEBATE DEL PROYECTO DE LEY NO. 311 DE 2020 SENADO - NO. 439 DE 2020 CÁMARA </w:t>
      </w:r>
    </w:p>
    <w:p w14:paraId="41BE71F4" w14:textId="77777777" w:rsidR="0079172B" w:rsidRDefault="0079172B">
      <w:pPr>
        <w:spacing w:after="0" w:line="276" w:lineRule="auto"/>
        <w:jc w:val="both"/>
        <w:rPr>
          <w:rFonts w:ascii="Arial" w:eastAsia="Arial" w:hAnsi="Arial" w:cs="Arial"/>
          <w:sz w:val="23"/>
          <w:szCs w:val="23"/>
        </w:rPr>
      </w:pPr>
    </w:p>
    <w:p w14:paraId="4226675F" w14:textId="77777777" w:rsidR="0079172B" w:rsidRDefault="0079172B">
      <w:pPr>
        <w:spacing w:after="0" w:line="276" w:lineRule="auto"/>
        <w:jc w:val="both"/>
        <w:rPr>
          <w:rFonts w:ascii="Arial" w:eastAsia="Arial" w:hAnsi="Arial" w:cs="Arial"/>
          <w:sz w:val="23"/>
          <w:szCs w:val="23"/>
        </w:rPr>
      </w:pPr>
    </w:p>
    <w:p w14:paraId="56587729" w14:textId="77777777" w:rsidR="0079172B" w:rsidRDefault="00A54579">
      <w:pPr>
        <w:spacing w:after="0" w:line="276" w:lineRule="auto"/>
        <w:jc w:val="both"/>
        <w:rPr>
          <w:rFonts w:ascii="Arial" w:eastAsia="Arial" w:hAnsi="Arial" w:cs="Arial"/>
          <w:sz w:val="23"/>
          <w:szCs w:val="23"/>
        </w:rPr>
      </w:pPr>
      <w:r>
        <w:rPr>
          <w:rFonts w:ascii="Arial" w:eastAsia="Arial" w:hAnsi="Arial" w:cs="Arial"/>
          <w:sz w:val="23"/>
          <w:szCs w:val="23"/>
        </w:rPr>
        <w:t xml:space="preserve">Respetado señor Presidente: </w:t>
      </w:r>
    </w:p>
    <w:p w14:paraId="1AE03CF5" w14:textId="77777777" w:rsidR="0079172B" w:rsidRDefault="0079172B">
      <w:pPr>
        <w:spacing w:after="0" w:line="276" w:lineRule="auto"/>
        <w:jc w:val="both"/>
        <w:rPr>
          <w:rFonts w:ascii="Arial" w:eastAsia="Arial" w:hAnsi="Arial" w:cs="Arial"/>
          <w:sz w:val="23"/>
          <w:szCs w:val="23"/>
        </w:rPr>
      </w:pPr>
    </w:p>
    <w:p w14:paraId="278F4D69" w14:textId="77777777" w:rsidR="0079172B" w:rsidRDefault="00A54579">
      <w:pPr>
        <w:spacing w:after="0" w:line="276" w:lineRule="auto"/>
        <w:jc w:val="both"/>
        <w:rPr>
          <w:rFonts w:ascii="Arial" w:eastAsia="Arial" w:hAnsi="Arial" w:cs="Arial"/>
          <w:sz w:val="23"/>
          <w:szCs w:val="23"/>
        </w:rPr>
      </w:pPr>
      <w:r>
        <w:rPr>
          <w:rFonts w:ascii="Arial" w:eastAsia="Arial" w:hAnsi="Arial" w:cs="Arial"/>
          <w:sz w:val="23"/>
          <w:szCs w:val="23"/>
        </w:rPr>
        <w:t xml:space="preserve">Atendiendo la designación que nos hiciera el pasado 12 de octubre la mesa directiva de la Comisión Tercera del Honorable Senado de la República como ponentes, y de conformidad con lo dispuesto en la Constitución Política y en la Ley 5ª de 1992, nos permitimos rendir Informe de ponencia positiva para primer debate en Senado al proyecto de ley del asunto. </w:t>
      </w:r>
    </w:p>
    <w:p w14:paraId="3F9976C8" w14:textId="77777777" w:rsidR="0079172B" w:rsidRDefault="0079172B">
      <w:pPr>
        <w:spacing w:after="0" w:line="276" w:lineRule="auto"/>
        <w:jc w:val="both"/>
        <w:rPr>
          <w:rFonts w:ascii="Arial" w:eastAsia="Arial" w:hAnsi="Arial" w:cs="Arial"/>
          <w:sz w:val="23"/>
          <w:szCs w:val="23"/>
        </w:rPr>
      </w:pPr>
    </w:p>
    <w:p w14:paraId="7D6EB4FD" w14:textId="77777777" w:rsidR="0079172B" w:rsidRDefault="0079172B">
      <w:pPr>
        <w:spacing w:after="0" w:line="276" w:lineRule="auto"/>
        <w:jc w:val="both"/>
        <w:rPr>
          <w:rFonts w:ascii="Arial" w:eastAsia="Arial" w:hAnsi="Arial" w:cs="Arial"/>
          <w:sz w:val="23"/>
          <w:szCs w:val="23"/>
        </w:rPr>
      </w:pPr>
    </w:p>
    <w:p w14:paraId="1B22420D" w14:textId="77777777" w:rsidR="0079172B" w:rsidRDefault="0079172B">
      <w:pPr>
        <w:spacing w:after="0" w:line="276" w:lineRule="auto"/>
        <w:jc w:val="both"/>
        <w:rPr>
          <w:rFonts w:ascii="Arial" w:eastAsia="Arial" w:hAnsi="Arial" w:cs="Arial"/>
          <w:sz w:val="23"/>
          <w:szCs w:val="23"/>
        </w:rPr>
      </w:pPr>
    </w:p>
    <w:p w14:paraId="0C4CB52F" w14:textId="77777777" w:rsidR="0079172B" w:rsidRDefault="00A54579">
      <w:pPr>
        <w:spacing w:after="0" w:line="276" w:lineRule="auto"/>
        <w:jc w:val="both"/>
        <w:rPr>
          <w:rFonts w:ascii="Arial" w:eastAsia="Arial" w:hAnsi="Arial" w:cs="Arial"/>
          <w:sz w:val="23"/>
          <w:szCs w:val="23"/>
        </w:rPr>
      </w:pPr>
      <w:r>
        <w:rPr>
          <w:rFonts w:ascii="Arial" w:eastAsia="Arial" w:hAnsi="Arial" w:cs="Arial"/>
          <w:sz w:val="23"/>
          <w:szCs w:val="23"/>
        </w:rPr>
        <w:t xml:space="preserve">Cordialmente </w:t>
      </w:r>
    </w:p>
    <w:p w14:paraId="75CF71FC" w14:textId="77777777" w:rsidR="0079172B" w:rsidRDefault="0079172B">
      <w:pPr>
        <w:spacing w:after="0" w:line="276" w:lineRule="auto"/>
        <w:jc w:val="both"/>
        <w:rPr>
          <w:rFonts w:ascii="Arial" w:eastAsia="Arial" w:hAnsi="Arial" w:cs="Arial"/>
          <w:sz w:val="23"/>
          <w:szCs w:val="23"/>
        </w:rPr>
      </w:pPr>
    </w:p>
    <w:p w14:paraId="3254CD4E" w14:textId="77777777" w:rsidR="0079172B" w:rsidRDefault="0079172B">
      <w:pPr>
        <w:spacing w:after="0" w:line="276" w:lineRule="auto"/>
        <w:jc w:val="both"/>
        <w:rPr>
          <w:rFonts w:ascii="Arial" w:eastAsia="Arial" w:hAnsi="Arial" w:cs="Arial"/>
          <w:sz w:val="23"/>
          <w:szCs w:val="23"/>
        </w:rPr>
      </w:pPr>
    </w:p>
    <w:p w14:paraId="7A54ED71" w14:textId="77777777" w:rsidR="0079172B" w:rsidRDefault="0079172B">
      <w:pPr>
        <w:spacing w:after="0" w:line="276" w:lineRule="auto"/>
        <w:jc w:val="both"/>
        <w:rPr>
          <w:rFonts w:ascii="Arial" w:eastAsia="Arial" w:hAnsi="Arial" w:cs="Arial"/>
          <w:sz w:val="23"/>
          <w:szCs w:val="23"/>
        </w:rPr>
      </w:pPr>
    </w:p>
    <w:p w14:paraId="27260C87" w14:textId="77777777" w:rsidR="004F5B51" w:rsidRDefault="004F5B51" w:rsidP="004F5B51">
      <w:pPr>
        <w:spacing w:before="280" w:after="280" w:line="276" w:lineRule="auto"/>
        <w:jc w:val="both"/>
        <w:rPr>
          <w:rFonts w:ascii="Arial" w:eastAsia="Arial" w:hAnsi="Arial" w:cs="Arial"/>
          <w:b/>
          <w:sz w:val="24"/>
          <w:szCs w:val="24"/>
        </w:rPr>
      </w:pPr>
      <w:r>
        <w:rPr>
          <w:rFonts w:ascii="Arial" w:eastAsia="Arial" w:hAnsi="Arial" w:cs="Arial"/>
          <w:b/>
          <w:noProof/>
          <w:sz w:val="24"/>
          <w:szCs w:val="24"/>
          <w:lang w:val="es-ES_tradnl"/>
        </w:rPr>
        <w:drawing>
          <wp:inline distT="114300" distB="114300" distL="114300" distR="114300" wp14:anchorId="6AA2F446" wp14:editId="0882156C">
            <wp:extent cx="1715135" cy="967740"/>
            <wp:effectExtent l="0" t="0" r="12065" b="0"/>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8"/>
                    <a:srcRect/>
                    <a:stretch>
                      <a:fillRect/>
                    </a:stretch>
                  </pic:blipFill>
                  <pic:spPr>
                    <a:xfrm>
                      <a:off x="0" y="0"/>
                      <a:ext cx="1715135" cy="967740"/>
                    </a:xfrm>
                    <a:prstGeom prst="rect">
                      <a:avLst/>
                    </a:prstGeom>
                    <a:ln/>
                  </pic:spPr>
                </pic:pic>
              </a:graphicData>
            </a:graphic>
          </wp:inline>
        </w:drawing>
      </w:r>
      <w:r>
        <w:rPr>
          <w:rFonts w:ascii="Arial" w:eastAsia="Arial" w:hAnsi="Arial" w:cs="Arial"/>
          <w:b/>
          <w:noProof/>
          <w:sz w:val="24"/>
          <w:szCs w:val="24"/>
          <w:lang w:val="es-ES_tradnl"/>
        </w:rPr>
        <w:t xml:space="preserve">                                  </w:t>
      </w:r>
      <w:r>
        <w:rPr>
          <w:rFonts w:ascii="Arial" w:eastAsia="Arial" w:hAnsi="Arial" w:cs="Arial"/>
          <w:b/>
          <w:noProof/>
          <w:sz w:val="24"/>
          <w:szCs w:val="24"/>
          <w:lang w:val="es-ES_tradnl"/>
        </w:rPr>
        <w:drawing>
          <wp:inline distT="0" distB="0" distL="0" distR="0" wp14:anchorId="017C8A9C" wp14:editId="21DE22E5">
            <wp:extent cx="1904365" cy="1066731"/>
            <wp:effectExtent l="0" t="0" r="635" b="635"/>
            <wp:docPr id="5" name="Imagen 5" descr="../../../../../Downloads/Firma%20David%20Race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Firma%20David%20Racer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0616" cy="1075834"/>
                    </a:xfrm>
                    <a:prstGeom prst="rect">
                      <a:avLst/>
                    </a:prstGeom>
                    <a:noFill/>
                    <a:ln>
                      <a:noFill/>
                    </a:ln>
                  </pic:spPr>
                </pic:pic>
              </a:graphicData>
            </a:graphic>
          </wp:inline>
        </w:drawing>
      </w:r>
    </w:p>
    <w:p w14:paraId="79BB4FE9" w14:textId="77777777" w:rsidR="004F5B51" w:rsidRDefault="004F5B51" w:rsidP="004F5B51">
      <w:pPr>
        <w:spacing w:after="0" w:line="276" w:lineRule="auto"/>
        <w:jc w:val="both"/>
        <w:rPr>
          <w:rFonts w:ascii="Arial" w:eastAsia="Arial" w:hAnsi="Arial" w:cs="Arial"/>
          <w:b/>
          <w:sz w:val="23"/>
          <w:szCs w:val="23"/>
        </w:rPr>
      </w:pPr>
      <w:r>
        <w:rPr>
          <w:rFonts w:ascii="Arial" w:eastAsia="Arial" w:hAnsi="Arial" w:cs="Arial"/>
          <w:b/>
          <w:sz w:val="23"/>
          <w:szCs w:val="23"/>
        </w:rPr>
        <w:t xml:space="preserve">GUSTAVO BOLIVAR MORENO </w:t>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t>DAVID RACERO MAYORGA</w:t>
      </w:r>
    </w:p>
    <w:p w14:paraId="21F598AE" w14:textId="77777777" w:rsidR="004F5B51" w:rsidRDefault="004F5B51" w:rsidP="004F5B51">
      <w:pPr>
        <w:spacing w:after="0" w:line="276" w:lineRule="auto"/>
        <w:jc w:val="both"/>
        <w:rPr>
          <w:rFonts w:ascii="Arial" w:eastAsia="Arial" w:hAnsi="Arial" w:cs="Arial"/>
          <w:b/>
          <w:sz w:val="23"/>
          <w:szCs w:val="23"/>
        </w:rPr>
      </w:pPr>
      <w:r>
        <w:rPr>
          <w:rFonts w:ascii="Arial" w:eastAsia="Arial" w:hAnsi="Arial" w:cs="Arial"/>
          <w:b/>
          <w:sz w:val="23"/>
          <w:szCs w:val="23"/>
        </w:rPr>
        <w:t xml:space="preserve">Senador de la República </w:t>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t>Representante a la Cámara</w:t>
      </w:r>
    </w:p>
    <w:p w14:paraId="65EF0893" w14:textId="77777777" w:rsidR="004F5B51" w:rsidRDefault="004F5B51" w:rsidP="004F5B51">
      <w:pPr>
        <w:spacing w:after="0" w:line="276" w:lineRule="auto"/>
        <w:jc w:val="both"/>
        <w:rPr>
          <w:rFonts w:ascii="Arial" w:eastAsia="Arial" w:hAnsi="Arial" w:cs="Arial"/>
          <w:sz w:val="24"/>
          <w:szCs w:val="24"/>
        </w:rPr>
      </w:pPr>
      <w:r>
        <w:rPr>
          <w:rFonts w:ascii="Arial" w:eastAsia="Arial" w:hAnsi="Arial" w:cs="Arial"/>
          <w:b/>
          <w:sz w:val="23"/>
          <w:szCs w:val="23"/>
        </w:rPr>
        <w:t>Lista de los Decentes</w:t>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t>Lista de los Decentes</w:t>
      </w:r>
    </w:p>
    <w:p w14:paraId="1E28E68A" w14:textId="77777777" w:rsidR="004F5B51" w:rsidRDefault="004F5B51" w:rsidP="004F5B51">
      <w:pPr>
        <w:spacing w:line="276" w:lineRule="auto"/>
        <w:jc w:val="both"/>
        <w:rPr>
          <w:rFonts w:ascii="Arial" w:eastAsia="Arial" w:hAnsi="Arial" w:cs="Arial"/>
          <w:sz w:val="24"/>
          <w:szCs w:val="24"/>
        </w:rPr>
      </w:pPr>
    </w:p>
    <w:p w14:paraId="22210EA2" w14:textId="77777777" w:rsidR="0079172B" w:rsidRDefault="0079172B">
      <w:pPr>
        <w:spacing w:after="0" w:line="276" w:lineRule="auto"/>
        <w:jc w:val="both"/>
        <w:rPr>
          <w:rFonts w:ascii="Arial" w:eastAsia="Arial" w:hAnsi="Arial" w:cs="Arial"/>
          <w:b/>
          <w:sz w:val="23"/>
          <w:szCs w:val="23"/>
        </w:rPr>
      </w:pPr>
    </w:p>
    <w:p w14:paraId="693B0FCD" w14:textId="77777777" w:rsidR="0079172B" w:rsidRDefault="0079172B">
      <w:pPr>
        <w:spacing w:after="0" w:line="276" w:lineRule="auto"/>
        <w:jc w:val="both"/>
        <w:rPr>
          <w:rFonts w:ascii="Arial" w:eastAsia="Arial" w:hAnsi="Arial" w:cs="Arial"/>
          <w:sz w:val="23"/>
          <w:szCs w:val="23"/>
        </w:rPr>
      </w:pPr>
    </w:p>
    <w:p w14:paraId="19DA1918" w14:textId="77777777" w:rsidR="0079172B" w:rsidRDefault="0079172B">
      <w:pPr>
        <w:spacing w:after="0" w:line="276" w:lineRule="auto"/>
        <w:jc w:val="both"/>
        <w:rPr>
          <w:rFonts w:ascii="Arial" w:eastAsia="Arial" w:hAnsi="Arial" w:cs="Arial"/>
          <w:sz w:val="23"/>
          <w:szCs w:val="23"/>
        </w:rPr>
      </w:pPr>
    </w:p>
    <w:p w14:paraId="5F017D97" w14:textId="77777777" w:rsidR="0079172B" w:rsidRDefault="0079172B">
      <w:pPr>
        <w:spacing w:after="0" w:line="276" w:lineRule="auto"/>
        <w:jc w:val="both"/>
        <w:rPr>
          <w:rFonts w:ascii="Arial" w:eastAsia="Arial" w:hAnsi="Arial" w:cs="Arial"/>
          <w:sz w:val="23"/>
          <w:szCs w:val="23"/>
        </w:rPr>
      </w:pPr>
    </w:p>
    <w:p w14:paraId="573BFBD2" w14:textId="77777777" w:rsidR="0079172B" w:rsidRDefault="0079172B">
      <w:pPr>
        <w:spacing w:after="0" w:line="276" w:lineRule="auto"/>
        <w:jc w:val="both"/>
        <w:rPr>
          <w:rFonts w:ascii="Arial" w:eastAsia="Arial" w:hAnsi="Arial" w:cs="Arial"/>
          <w:sz w:val="30"/>
          <w:szCs w:val="30"/>
        </w:rPr>
      </w:pPr>
    </w:p>
    <w:p w14:paraId="33388BB2" w14:textId="77777777" w:rsidR="0079172B" w:rsidRDefault="0079172B">
      <w:pPr>
        <w:spacing w:after="0" w:line="276" w:lineRule="auto"/>
        <w:jc w:val="both"/>
        <w:rPr>
          <w:rFonts w:ascii="Arial" w:eastAsia="Arial" w:hAnsi="Arial" w:cs="Arial"/>
          <w:sz w:val="24"/>
          <w:szCs w:val="24"/>
        </w:rPr>
      </w:pPr>
    </w:p>
    <w:p w14:paraId="1B53EE6E" w14:textId="77777777" w:rsidR="0079172B" w:rsidRDefault="00A54579">
      <w:pPr>
        <w:spacing w:after="0" w:line="276" w:lineRule="auto"/>
        <w:jc w:val="center"/>
        <w:rPr>
          <w:rFonts w:ascii="Arial" w:eastAsia="Arial" w:hAnsi="Arial" w:cs="Arial"/>
          <w:b/>
          <w:sz w:val="23"/>
          <w:szCs w:val="23"/>
        </w:rPr>
      </w:pPr>
      <w:r>
        <w:rPr>
          <w:rFonts w:ascii="Arial" w:eastAsia="Arial" w:hAnsi="Arial" w:cs="Arial"/>
          <w:b/>
          <w:sz w:val="23"/>
          <w:szCs w:val="23"/>
        </w:rPr>
        <w:t xml:space="preserve">INFORME DE PONENCIA PARA PRIMER DEBATE DEL PROYECTO DE LEY NO. 311 DE 2020 SENADO - NO. 439 DE 2020 CÁMARA </w:t>
      </w:r>
    </w:p>
    <w:p w14:paraId="7DEE9F5D" w14:textId="77777777" w:rsidR="0079172B" w:rsidRDefault="0079172B">
      <w:pPr>
        <w:spacing w:after="0" w:line="276" w:lineRule="auto"/>
        <w:jc w:val="both"/>
        <w:rPr>
          <w:rFonts w:ascii="Arial" w:eastAsia="Arial" w:hAnsi="Arial" w:cs="Arial"/>
          <w:sz w:val="23"/>
          <w:szCs w:val="23"/>
        </w:rPr>
      </w:pPr>
    </w:p>
    <w:p w14:paraId="4664B5D6" w14:textId="77777777" w:rsidR="0079172B" w:rsidRDefault="0079172B">
      <w:pPr>
        <w:spacing w:after="0" w:line="276" w:lineRule="auto"/>
        <w:jc w:val="both"/>
        <w:rPr>
          <w:rFonts w:ascii="Arial" w:eastAsia="Arial" w:hAnsi="Arial" w:cs="Arial"/>
          <w:b/>
          <w:sz w:val="17"/>
          <w:szCs w:val="17"/>
        </w:rPr>
      </w:pPr>
    </w:p>
    <w:p w14:paraId="20A0A0BF" w14:textId="77777777" w:rsidR="0079172B" w:rsidRDefault="00A54579">
      <w:pPr>
        <w:spacing w:after="0" w:line="276" w:lineRule="auto"/>
        <w:jc w:val="both"/>
        <w:rPr>
          <w:rFonts w:ascii="Arial" w:eastAsia="Arial" w:hAnsi="Arial" w:cs="Arial"/>
          <w:sz w:val="24"/>
          <w:szCs w:val="24"/>
        </w:rPr>
      </w:pPr>
      <w:r>
        <w:rPr>
          <w:rFonts w:ascii="Arial" w:eastAsia="Arial" w:hAnsi="Arial" w:cs="Arial"/>
          <w:sz w:val="24"/>
          <w:szCs w:val="24"/>
        </w:rPr>
        <w:t xml:space="preserve">La presente ponencia se desarrollará de la siguiente manera: </w:t>
      </w:r>
    </w:p>
    <w:p w14:paraId="4D43763C" w14:textId="77777777" w:rsidR="0079172B" w:rsidRDefault="00A54579">
      <w:pPr>
        <w:numPr>
          <w:ilvl w:val="0"/>
          <w:numId w:val="1"/>
        </w:numPr>
        <w:spacing w:before="240" w:after="0" w:line="276" w:lineRule="auto"/>
        <w:rPr>
          <w:rFonts w:ascii="Arial" w:eastAsia="Arial" w:hAnsi="Arial" w:cs="Arial"/>
          <w:sz w:val="24"/>
          <w:szCs w:val="24"/>
        </w:rPr>
      </w:pPr>
      <w:r>
        <w:rPr>
          <w:rFonts w:ascii="Arial" w:eastAsia="Arial" w:hAnsi="Arial" w:cs="Arial"/>
          <w:sz w:val="24"/>
          <w:szCs w:val="24"/>
        </w:rPr>
        <w:t xml:space="preserve">Antecedentes </w:t>
      </w:r>
    </w:p>
    <w:p w14:paraId="301BB423" w14:textId="77777777" w:rsidR="0079172B" w:rsidRDefault="00A54579">
      <w:pPr>
        <w:numPr>
          <w:ilvl w:val="0"/>
          <w:numId w:val="1"/>
        </w:numPr>
        <w:spacing w:after="0" w:line="276" w:lineRule="auto"/>
        <w:rPr>
          <w:rFonts w:ascii="Arial" w:eastAsia="Arial" w:hAnsi="Arial" w:cs="Arial"/>
          <w:sz w:val="24"/>
          <w:szCs w:val="24"/>
        </w:rPr>
      </w:pPr>
      <w:r>
        <w:rPr>
          <w:rFonts w:ascii="Arial" w:eastAsia="Arial" w:hAnsi="Arial" w:cs="Arial"/>
          <w:sz w:val="24"/>
          <w:szCs w:val="24"/>
        </w:rPr>
        <w:t xml:space="preserve">Objeto de la iniciativa </w:t>
      </w:r>
    </w:p>
    <w:p w14:paraId="31DA8279" w14:textId="77777777" w:rsidR="0079172B" w:rsidRDefault="00A54579">
      <w:pPr>
        <w:numPr>
          <w:ilvl w:val="0"/>
          <w:numId w:val="1"/>
        </w:numPr>
        <w:spacing w:after="0" w:line="276" w:lineRule="auto"/>
        <w:rPr>
          <w:rFonts w:ascii="Arial" w:eastAsia="Arial" w:hAnsi="Arial" w:cs="Arial"/>
          <w:sz w:val="24"/>
          <w:szCs w:val="24"/>
        </w:rPr>
      </w:pPr>
      <w:r>
        <w:rPr>
          <w:rFonts w:ascii="Arial" w:eastAsia="Arial" w:hAnsi="Arial" w:cs="Arial"/>
          <w:sz w:val="24"/>
          <w:szCs w:val="24"/>
        </w:rPr>
        <w:t xml:space="preserve">Justificación del proyecto </w:t>
      </w:r>
    </w:p>
    <w:p w14:paraId="26CC3B0B" w14:textId="77777777" w:rsidR="0079172B" w:rsidRDefault="00A54579">
      <w:pPr>
        <w:numPr>
          <w:ilvl w:val="0"/>
          <w:numId w:val="1"/>
        </w:numPr>
        <w:spacing w:after="0" w:line="276" w:lineRule="auto"/>
        <w:rPr>
          <w:rFonts w:ascii="Arial" w:eastAsia="Arial" w:hAnsi="Arial" w:cs="Arial"/>
          <w:sz w:val="24"/>
          <w:szCs w:val="24"/>
        </w:rPr>
      </w:pPr>
      <w:r>
        <w:rPr>
          <w:rFonts w:ascii="Arial" w:eastAsia="Arial" w:hAnsi="Arial" w:cs="Arial"/>
          <w:sz w:val="24"/>
          <w:szCs w:val="24"/>
        </w:rPr>
        <w:t xml:space="preserve">Pliego de modificaciones </w:t>
      </w:r>
    </w:p>
    <w:p w14:paraId="0401DBBB" w14:textId="77777777" w:rsidR="0079172B" w:rsidRDefault="00A54579">
      <w:pPr>
        <w:numPr>
          <w:ilvl w:val="0"/>
          <w:numId w:val="1"/>
        </w:numPr>
        <w:spacing w:after="0" w:line="276" w:lineRule="auto"/>
        <w:rPr>
          <w:rFonts w:ascii="Arial" w:eastAsia="Arial" w:hAnsi="Arial" w:cs="Arial"/>
          <w:sz w:val="24"/>
          <w:szCs w:val="24"/>
        </w:rPr>
      </w:pPr>
      <w:r>
        <w:rPr>
          <w:rFonts w:ascii="Arial" w:eastAsia="Arial" w:hAnsi="Arial" w:cs="Arial"/>
          <w:sz w:val="24"/>
          <w:szCs w:val="24"/>
        </w:rPr>
        <w:t xml:space="preserve">Consideraciones del ponente </w:t>
      </w:r>
    </w:p>
    <w:p w14:paraId="56575A64" w14:textId="77777777" w:rsidR="0079172B" w:rsidRDefault="00A54579">
      <w:pPr>
        <w:numPr>
          <w:ilvl w:val="0"/>
          <w:numId w:val="1"/>
        </w:numPr>
        <w:spacing w:after="240" w:line="276" w:lineRule="auto"/>
        <w:rPr>
          <w:rFonts w:ascii="Arial" w:eastAsia="Arial" w:hAnsi="Arial" w:cs="Arial"/>
          <w:sz w:val="24"/>
          <w:szCs w:val="24"/>
        </w:rPr>
      </w:pPr>
      <w:r>
        <w:rPr>
          <w:rFonts w:ascii="Arial" w:eastAsia="Arial" w:hAnsi="Arial" w:cs="Arial"/>
          <w:sz w:val="24"/>
          <w:szCs w:val="24"/>
        </w:rPr>
        <w:t xml:space="preserve">Proposición </w:t>
      </w:r>
    </w:p>
    <w:p w14:paraId="703396C7" w14:textId="77777777" w:rsidR="0079172B" w:rsidRDefault="0079172B">
      <w:pPr>
        <w:spacing w:after="0" w:line="276" w:lineRule="auto"/>
        <w:rPr>
          <w:rFonts w:ascii="Arial" w:eastAsia="Arial" w:hAnsi="Arial" w:cs="Arial"/>
          <w:sz w:val="24"/>
          <w:szCs w:val="24"/>
        </w:rPr>
      </w:pPr>
    </w:p>
    <w:p w14:paraId="062C3214" w14:textId="77777777" w:rsidR="0079172B" w:rsidRDefault="00A54579">
      <w:pPr>
        <w:numPr>
          <w:ilvl w:val="0"/>
          <w:numId w:val="2"/>
        </w:numPr>
        <w:spacing w:before="240" w:after="240" w:line="276" w:lineRule="auto"/>
        <w:rPr>
          <w:rFonts w:ascii="Arial" w:eastAsia="Arial" w:hAnsi="Arial" w:cs="Arial"/>
          <w:b/>
          <w:sz w:val="24"/>
          <w:szCs w:val="24"/>
        </w:rPr>
      </w:pPr>
      <w:r>
        <w:rPr>
          <w:rFonts w:ascii="Arial" w:eastAsia="Arial" w:hAnsi="Arial" w:cs="Arial"/>
          <w:b/>
          <w:sz w:val="24"/>
          <w:szCs w:val="24"/>
        </w:rPr>
        <w:t xml:space="preserve">ANTECEDENTES </w:t>
      </w:r>
    </w:p>
    <w:p w14:paraId="6889DE63" w14:textId="77777777" w:rsidR="0079172B" w:rsidRDefault="00A54579">
      <w:pPr>
        <w:spacing w:after="0" w:line="276" w:lineRule="auto"/>
        <w:jc w:val="both"/>
        <w:rPr>
          <w:rFonts w:ascii="Arial" w:eastAsia="Arial" w:hAnsi="Arial" w:cs="Arial"/>
          <w:sz w:val="24"/>
          <w:szCs w:val="24"/>
        </w:rPr>
      </w:pPr>
      <w:r>
        <w:rPr>
          <w:rFonts w:ascii="Arial" w:eastAsia="Arial" w:hAnsi="Arial" w:cs="Arial"/>
          <w:sz w:val="24"/>
          <w:szCs w:val="24"/>
        </w:rPr>
        <w:t xml:space="preserve">El proyecto de ley objeto de estudio, iniciativa del Gobierno Nacional en cabeza del Ministro de Hacienda y Crédito Público, Alberto Carrasquilla Barrera y del Director del Departamento Nacional de Planeación Luis Alberto Rodriguez, fue radicado el pasado 5 de octubre de 2020 ante el Congreso de la República. </w:t>
      </w:r>
    </w:p>
    <w:p w14:paraId="0C2573DB" w14:textId="77777777" w:rsidR="0079172B" w:rsidRDefault="0079172B">
      <w:pPr>
        <w:spacing w:after="0" w:line="276" w:lineRule="auto"/>
        <w:jc w:val="both"/>
        <w:rPr>
          <w:rFonts w:ascii="Arial" w:eastAsia="Arial" w:hAnsi="Arial" w:cs="Arial"/>
          <w:sz w:val="24"/>
          <w:szCs w:val="24"/>
        </w:rPr>
      </w:pPr>
    </w:p>
    <w:p w14:paraId="13DA3DA7" w14:textId="77777777" w:rsidR="0079172B" w:rsidRDefault="00A54579">
      <w:pPr>
        <w:spacing w:after="0" w:line="276" w:lineRule="auto"/>
        <w:jc w:val="both"/>
        <w:rPr>
          <w:rFonts w:ascii="Arial" w:eastAsia="Arial" w:hAnsi="Arial" w:cs="Arial"/>
          <w:sz w:val="24"/>
          <w:szCs w:val="24"/>
        </w:rPr>
      </w:pPr>
      <w:r>
        <w:rPr>
          <w:rFonts w:ascii="Arial" w:eastAsia="Arial" w:hAnsi="Arial" w:cs="Arial"/>
          <w:sz w:val="24"/>
          <w:szCs w:val="24"/>
        </w:rPr>
        <w:t>Mediante comunicación con fecha del 12 de octubre de 2020, la honorable mesa directiva de la Comisión Tercera del Senado designó como ponentes para primer debate a los senadores  Efraín José Cepeda Sarabia, Mauricio Gómez Amín, Edgar Díaz Contreras, Fernando Nicolas Araujo Rumie, German Darío Hoyos Giraldo, Iván Marulanda Gómez, Edgar E. Palacio Mizrahi</w:t>
      </w:r>
    </w:p>
    <w:p w14:paraId="367BDFC6" w14:textId="77777777" w:rsidR="0079172B" w:rsidRDefault="0079172B">
      <w:pPr>
        <w:spacing w:after="0" w:line="276" w:lineRule="auto"/>
        <w:jc w:val="both"/>
        <w:rPr>
          <w:rFonts w:ascii="Arial" w:eastAsia="Arial" w:hAnsi="Arial" w:cs="Arial"/>
          <w:sz w:val="24"/>
          <w:szCs w:val="24"/>
        </w:rPr>
      </w:pPr>
    </w:p>
    <w:p w14:paraId="494479EF" w14:textId="77777777" w:rsidR="0079172B" w:rsidRDefault="0079172B">
      <w:pPr>
        <w:spacing w:after="0" w:line="276" w:lineRule="auto"/>
        <w:jc w:val="both"/>
        <w:rPr>
          <w:rFonts w:ascii="Arial" w:eastAsia="Arial" w:hAnsi="Arial" w:cs="Arial"/>
          <w:sz w:val="24"/>
          <w:szCs w:val="24"/>
        </w:rPr>
      </w:pPr>
    </w:p>
    <w:p w14:paraId="630698D8" w14:textId="77777777" w:rsidR="0079172B" w:rsidRDefault="00A54579">
      <w:pPr>
        <w:spacing w:before="240" w:after="240" w:line="276" w:lineRule="auto"/>
        <w:jc w:val="both"/>
        <w:rPr>
          <w:rFonts w:ascii="Arial" w:eastAsia="Arial" w:hAnsi="Arial" w:cs="Arial"/>
          <w:b/>
          <w:sz w:val="24"/>
          <w:szCs w:val="24"/>
        </w:rPr>
      </w:pPr>
      <w:r>
        <w:rPr>
          <w:rFonts w:ascii="Arial" w:eastAsia="Arial" w:hAnsi="Arial" w:cs="Arial"/>
          <w:b/>
          <w:sz w:val="24"/>
          <w:szCs w:val="24"/>
        </w:rPr>
        <w:t>II. OBJETO DE LA INICIATIVA</w:t>
      </w:r>
    </w:p>
    <w:p w14:paraId="0F227A34" w14:textId="77777777" w:rsidR="0079172B" w:rsidRDefault="00A54579">
      <w:pPr>
        <w:spacing w:before="240" w:after="240" w:line="276" w:lineRule="auto"/>
        <w:jc w:val="both"/>
        <w:rPr>
          <w:rFonts w:ascii="Arial" w:eastAsia="Arial" w:hAnsi="Arial" w:cs="Arial"/>
          <w:sz w:val="24"/>
          <w:szCs w:val="24"/>
        </w:rPr>
      </w:pPr>
      <w:r>
        <w:rPr>
          <w:rFonts w:ascii="Arial" w:eastAsia="Arial" w:hAnsi="Arial" w:cs="Arial"/>
          <w:sz w:val="24"/>
          <w:szCs w:val="24"/>
        </w:rPr>
        <w:t>El proyecto de ley de la iniciativa, tiene por objetivo aprobar el presupuesto bianual de regalías para el periodo 2021- 2022.</w:t>
      </w:r>
    </w:p>
    <w:p w14:paraId="38B6C74D" w14:textId="77777777" w:rsidR="0079172B" w:rsidRDefault="0079172B">
      <w:pPr>
        <w:spacing w:before="240" w:after="240" w:line="276" w:lineRule="auto"/>
        <w:jc w:val="both"/>
        <w:rPr>
          <w:rFonts w:ascii="Arial" w:eastAsia="Arial" w:hAnsi="Arial" w:cs="Arial"/>
          <w:sz w:val="24"/>
          <w:szCs w:val="24"/>
        </w:rPr>
      </w:pPr>
    </w:p>
    <w:p w14:paraId="5708A778" w14:textId="77777777" w:rsidR="0079172B" w:rsidRDefault="0079172B">
      <w:pPr>
        <w:spacing w:before="240" w:after="240" w:line="276" w:lineRule="auto"/>
        <w:jc w:val="both"/>
        <w:rPr>
          <w:rFonts w:ascii="Arial" w:eastAsia="Arial" w:hAnsi="Arial" w:cs="Arial"/>
          <w:sz w:val="24"/>
          <w:szCs w:val="24"/>
        </w:rPr>
      </w:pPr>
    </w:p>
    <w:p w14:paraId="020D7FEA" w14:textId="77777777" w:rsidR="0079172B" w:rsidRDefault="0079172B">
      <w:pPr>
        <w:spacing w:after="0" w:line="276" w:lineRule="auto"/>
        <w:jc w:val="both"/>
        <w:rPr>
          <w:rFonts w:ascii="Arial" w:eastAsia="Arial" w:hAnsi="Arial" w:cs="Arial"/>
          <w:sz w:val="24"/>
          <w:szCs w:val="24"/>
        </w:rPr>
      </w:pPr>
    </w:p>
    <w:p w14:paraId="5AF0D4E6" w14:textId="77777777" w:rsidR="0079172B" w:rsidRDefault="00A54579">
      <w:pPr>
        <w:spacing w:after="0" w:line="276" w:lineRule="auto"/>
        <w:jc w:val="both"/>
        <w:rPr>
          <w:rFonts w:ascii="Arial" w:eastAsia="Arial" w:hAnsi="Arial" w:cs="Arial"/>
          <w:sz w:val="24"/>
          <w:szCs w:val="24"/>
        </w:rPr>
      </w:pPr>
      <w:r>
        <w:rPr>
          <w:rFonts w:ascii="Arial" w:eastAsia="Arial" w:hAnsi="Arial" w:cs="Arial"/>
          <w:b/>
          <w:sz w:val="24"/>
          <w:szCs w:val="24"/>
        </w:rPr>
        <w:t>III. JUSTIFICACIÓN DEL PROYECTO</w:t>
      </w:r>
      <w:r>
        <w:rPr>
          <w:rFonts w:ascii="Arial" w:eastAsia="Arial" w:hAnsi="Arial" w:cs="Arial"/>
          <w:sz w:val="24"/>
          <w:szCs w:val="24"/>
        </w:rPr>
        <w:t xml:space="preserve"> </w:t>
      </w:r>
    </w:p>
    <w:p w14:paraId="642471CB" w14:textId="77777777" w:rsidR="0079172B" w:rsidRDefault="0079172B">
      <w:pPr>
        <w:spacing w:after="0" w:line="276" w:lineRule="auto"/>
        <w:jc w:val="both"/>
        <w:rPr>
          <w:rFonts w:ascii="Arial" w:eastAsia="Arial" w:hAnsi="Arial" w:cs="Arial"/>
          <w:sz w:val="24"/>
          <w:szCs w:val="24"/>
        </w:rPr>
      </w:pPr>
    </w:p>
    <w:p w14:paraId="652E5B5A" w14:textId="77777777" w:rsidR="0079172B" w:rsidRDefault="00A54579">
      <w:pPr>
        <w:spacing w:after="0" w:line="276" w:lineRule="auto"/>
        <w:jc w:val="both"/>
        <w:rPr>
          <w:rFonts w:ascii="Arial" w:eastAsia="Arial" w:hAnsi="Arial" w:cs="Arial"/>
          <w:color w:val="000000"/>
          <w:sz w:val="24"/>
          <w:szCs w:val="24"/>
        </w:rPr>
      </w:pPr>
      <w:r>
        <w:rPr>
          <w:rFonts w:ascii="Arial" w:eastAsia="Arial" w:hAnsi="Arial" w:cs="Arial"/>
          <w:color w:val="000000"/>
          <w:sz w:val="24"/>
          <w:szCs w:val="24"/>
        </w:rPr>
        <w:t>Después de un siglo de explotación de hidrocarburos en el país, y siendo el petróleo el eje del desarrollo económico, Colombia se mantiene</w:t>
      </w:r>
      <w:r>
        <w:rPr>
          <w:rFonts w:ascii="Arial" w:eastAsia="Arial" w:hAnsi="Arial" w:cs="Arial"/>
          <w:sz w:val="24"/>
          <w:szCs w:val="24"/>
        </w:rPr>
        <w:t xml:space="preserve"> </w:t>
      </w:r>
      <w:r>
        <w:rPr>
          <w:rFonts w:ascii="Arial" w:eastAsia="Arial" w:hAnsi="Arial" w:cs="Arial"/>
          <w:color w:val="000000"/>
          <w:sz w:val="24"/>
          <w:szCs w:val="24"/>
        </w:rPr>
        <w:t xml:space="preserve">(ya </w:t>
      </w:r>
      <w:r>
        <w:rPr>
          <w:rFonts w:ascii="Arial" w:eastAsia="Arial" w:hAnsi="Arial" w:cs="Arial"/>
          <w:sz w:val="24"/>
          <w:szCs w:val="24"/>
        </w:rPr>
        <w:t>de manera estructural y desde antes de la pandemia)</w:t>
      </w:r>
      <w:r>
        <w:rPr>
          <w:rFonts w:ascii="Arial" w:eastAsia="Arial" w:hAnsi="Arial" w:cs="Arial"/>
          <w:color w:val="000000"/>
          <w:sz w:val="24"/>
          <w:szCs w:val="24"/>
        </w:rPr>
        <w:t xml:space="preserve"> como uno de los países con mayor tasa de desempleo de la región</w:t>
      </w:r>
      <w:r>
        <w:rPr>
          <w:rFonts w:ascii="Arial" w:eastAsia="Arial" w:hAnsi="Arial" w:cs="Arial"/>
          <w:sz w:val="24"/>
          <w:szCs w:val="24"/>
        </w:rPr>
        <w:t xml:space="preserve">, </w:t>
      </w:r>
      <w:r>
        <w:rPr>
          <w:rFonts w:ascii="Arial" w:eastAsia="Arial" w:hAnsi="Arial" w:cs="Arial"/>
          <w:color w:val="000000"/>
          <w:sz w:val="24"/>
          <w:szCs w:val="24"/>
        </w:rPr>
        <w:t>un alto nivel de pobreza y vulnerabilidad y una enorme depende</w:t>
      </w:r>
      <w:r>
        <w:rPr>
          <w:rFonts w:ascii="Arial" w:eastAsia="Arial" w:hAnsi="Arial" w:cs="Arial"/>
          <w:sz w:val="24"/>
          <w:szCs w:val="24"/>
        </w:rPr>
        <w:t xml:space="preserve">ncia de la renta petrolera como principal fuente de divisas, sin duda, Colombia </w:t>
      </w:r>
      <w:r>
        <w:rPr>
          <w:rFonts w:ascii="Arial" w:eastAsia="Arial" w:hAnsi="Arial" w:cs="Arial"/>
          <w:color w:val="000000"/>
          <w:sz w:val="24"/>
          <w:szCs w:val="24"/>
        </w:rPr>
        <w:t>debe re pensar la estrategia de desarrollo basada en la exportación de hidrocarburos (un bien que por cierto est</w:t>
      </w:r>
      <w:r>
        <w:rPr>
          <w:rFonts w:ascii="Arial" w:eastAsia="Arial" w:hAnsi="Arial" w:cs="Arial"/>
          <w:sz w:val="24"/>
          <w:szCs w:val="24"/>
        </w:rPr>
        <w:t>á en su curva descendiende de producción), asi como recalibrar su política de explotación de minerales metálicos, puesto que este tipo de bienes tienen una tendencia creciente de demanda pero esquemas de regalías desactualizados y caducos para el mundo contemporáneo.</w:t>
      </w:r>
      <w:r>
        <w:rPr>
          <w:rFonts w:ascii="Arial" w:eastAsia="Arial" w:hAnsi="Arial" w:cs="Arial"/>
          <w:color w:val="000000"/>
          <w:sz w:val="24"/>
          <w:szCs w:val="24"/>
        </w:rPr>
        <w:t>.</w:t>
      </w:r>
    </w:p>
    <w:p w14:paraId="3E736709" w14:textId="77777777" w:rsidR="0079172B" w:rsidRDefault="0079172B">
      <w:pPr>
        <w:spacing w:line="276" w:lineRule="auto"/>
        <w:jc w:val="both"/>
        <w:rPr>
          <w:rFonts w:ascii="Arial" w:eastAsia="Arial" w:hAnsi="Arial" w:cs="Arial"/>
          <w:color w:val="000000"/>
          <w:sz w:val="24"/>
          <w:szCs w:val="24"/>
        </w:rPr>
      </w:pPr>
    </w:p>
    <w:p w14:paraId="6C4487DA"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sz w:val="24"/>
          <w:szCs w:val="24"/>
        </w:rPr>
        <w:t>E</w:t>
      </w:r>
      <w:r>
        <w:rPr>
          <w:rFonts w:ascii="Arial" w:eastAsia="Arial" w:hAnsi="Arial" w:cs="Arial"/>
          <w:color w:val="000000"/>
          <w:sz w:val="24"/>
          <w:szCs w:val="24"/>
        </w:rPr>
        <w:t>l sector minero a esc</w:t>
      </w:r>
      <w:r>
        <w:rPr>
          <w:rFonts w:ascii="Arial" w:eastAsia="Arial" w:hAnsi="Arial" w:cs="Arial"/>
          <w:sz w:val="24"/>
          <w:szCs w:val="24"/>
        </w:rPr>
        <w:t xml:space="preserve">ala mundial </w:t>
      </w:r>
      <w:r>
        <w:rPr>
          <w:rFonts w:ascii="Arial" w:eastAsia="Arial" w:hAnsi="Arial" w:cs="Arial"/>
          <w:color w:val="000000"/>
          <w:sz w:val="24"/>
          <w:szCs w:val="24"/>
        </w:rPr>
        <w:t>genera poco empleo y paga pocos impuestos</w:t>
      </w:r>
      <w:r>
        <w:rPr>
          <w:rFonts w:ascii="Arial" w:eastAsia="Arial" w:hAnsi="Arial" w:cs="Arial"/>
          <w:sz w:val="24"/>
          <w:szCs w:val="24"/>
        </w:rPr>
        <w:t xml:space="preserve">: en el promedio de América Latina la tasa de empleos directos generados en la industria minera y de hidrocarburos en su conjunto,no sobrepasa el 3% (Chile y Perú), en Colombia es el 0,8% del total de empleos.  De igual manera, los regímenes tributarios son altamente “garantistas” con las empresas del sector: entre  </w:t>
      </w:r>
      <w:r>
        <w:rPr>
          <w:rFonts w:ascii="Arial" w:eastAsia="Arial" w:hAnsi="Arial" w:cs="Arial"/>
          <w:color w:val="000000"/>
          <w:sz w:val="24"/>
          <w:szCs w:val="24"/>
        </w:rPr>
        <w:t>2010 y 201</w:t>
      </w:r>
      <w:r>
        <w:rPr>
          <w:rFonts w:ascii="Arial" w:eastAsia="Arial" w:hAnsi="Arial" w:cs="Arial"/>
          <w:sz w:val="24"/>
          <w:szCs w:val="24"/>
        </w:rPr>
        <w:t>8</w:t>
      </w:r>
      <w:r>
        <w:rPr>
          <w:rFonts w:ascii="Arial" w:eastAsia="Arial" w:hAnsi="Arial" w:cs="Arial"/>
          <w:color w:val="000000"/>
          <w:sz w:val="24"/>
          <w:szCs w:val="24"/>
        </w:rPr>
        <w:t xml:space="preserve"> se dejaron de pagar 88 billones de pesos por concepto de impuesto de renta en el sector de hidrocarburos (Pardo, 2018)</w:t>
      </w:r>
      <w:r>
        <w:rPr>
          <w:rFonts w:ascii="Arial" w:eastAsia="Arial" w:hAnsi="Arial" w:cs="Arial"/>
          <w:sz w:val="24"/>
          <w:szCs w:val="24"/>
        </w:rPr>
        <w:t>, con una tasa efectiva de tributación en renta inferior al 14,4% y la posibilidad (por una interpretación totalmente desafortunada de la DIAN de poder descontar los pagos por regalías como costos procedentes en Imporrenta (ver tabla 1).</w:t>
      </w:r>
    </w:p>
    <w:p w14:paraId="1C1CB042" w14:textId="77777777" w:rsidR="0079172B" w:rsidRDefault="0079172B">
      <w:pPr>
        <w:spacing w:line="276" w:lineRule="auto"/>
        <w:jc w:val="both"/>
        <w:rPr>
          <w:rFonts w:ascii="Arial" w:eastAsia="Arial" w:hAnsi="Arial" w:cs="Arial"/>
          <w:sz w:val="24"/>
          <w:szCs w:val="24"/>
        </w:rPr>
      </w:pPr>
    </w:p>
    <w:p w14:paraId="13A28369" w14:textId="77777777" w:rsidR="0079172B" w:rsidRDefault="0079172B">
      <w:pPr>
        <w:spacing w:line="276" w:lineRule="auto"/>
        <w:jc w:val="both"/>
        <w:rPr>
          <w:rFonts w:ascii="Arial" w:eastAsia="Arial" w:hAnsi="Arial" w:cs="Arial"/>
          <w:sz w:val="24"/>
          <w:szCs w:val="24"/>
        </w:rPr>
      </w:pPr>
    </w:p>
    <w:p w14:paraId="5C9805CB" w14:textId="77777777" w:rsidR="0079172B" w:rsidRDefault="0079172B">
      <w:pPr>
        <w:spacing w:line="276" w:lineRule="auto"/>
        <w:jc w:val="both"/>
        <w:rPr>
          <w:rFonts w:ascii="Arial" w:eastAsia="Arial" w:hAnsi="Arial" w:cs="Arial"/>
          <w:sz w:val="24"/>
          <w:szCs w:val="24"/>
        </w:rPr>
      </w:pPr>
    </w:p>
    <w:p w14:paraId="4F2334DB" w14:textId="77777777" w:rsidR="0079172B" w:rsidRDefault="0079172B">
      <w:pPr>
        <w:spacing w:line="276" w:lineRule="auto"/>
        <w:jc w:val="both"/>
        <w:rPr>
          <w:rFonts w:ascii="Arial" w:eastAsia="Arial" w:hAnsi="Arial" w:cs="Arial"/>
          <w:sz w:val="24"/>
          <w:szCs w:val="24"/>
        </w:rPr>
      </w:pPr>
    </w:p>
    <w:p w14:paraId="14AF95EB" w14:textId="77777777" w:rsidR="0079172B" w:rsidRDefault="0079172B">
      <w:pPr>
        <w:spacing w:line="276" w:lineRule="auto"/>
        <w:jc w:val="both"/>
        <w:rPr>
          <w:rFonts w:ascii="Arial" w:eastAsia="Arial" w:hAnsi="Arial" w:cs="Arial"/>
          <w:sz w:val="24"/>
          <w:szCs w:val="24"/>
        </w:rPr>
      </w:pPr>
    </w:p>
    <w:p w14:paraId="2F17227A" w14:textId="77777777" w:rsidR="0079172B" w:rsidRDefault="0079172B">
      <w:pPr>
        <w:spacing w:line="276" w:lineRule="auto"/>
        <w:jc w:val="both"/>
        <w:rPr>
          <w:rFonts w:ascii="Arial" w:eastAsia="Arial" w:hAnsi="Arial" w:cs="Arial"/>
          <w:sz w:val="24"/>
          <w:szCs w:val="24"/>
        </w:rPr>
      </w:pPr>
    </w:p>
    <w:p w14:paraId="25926E73" w14:textId="77777777" w:rsidR="0079172B" w:rsidRDefault="0079172B">
      <w:pPr>
        <w:spacing w:line="276" w:lineRule="auto"/>
        <w:jc w:val="both"/>
        <w:rPr>
          <w:rFonts w:ascii="Arial" w:eastAsia="Arial" w:hAnsi="Arial" w:cs="Arial"/>
          <w:sz w:val="24"/>
          <w:szCs w:val="24"/>
        </w:rPr>
      </w:pPr>
    </w:p>
    <w:p w14:paraId="7DA3FA3B" w14:textId="77777777" w:rsidR="0079172B" w:rsidRDefault="0079172B">
      <w:pPr>
        <w:spacing w:line="276" w:lineRule="auto"/>
        <w:jc w:val="both"/>
        <w:rPr>
          <w:rFonts w:ascii="Arial" w:eastAsia="Arial" w:hAnsi="Arial" w:cs="Arial"/>
          <w:sz w:val="24"/>
          <w:szCs w:val="24"/>
        </w:rPr>
      </w:pPr>
    </w:p>
    <w:p w14:paraId="16C39C14" w14:textId="77777777" w:rsidR="0079172B" w:rsidRDefault="0079172B">
      <w:pPr>
        <w:spacing w:line="276" w:lineRule="auto"/>
        <w:jc w:val="both"/>
        <w:rPr>
          <w:rFonts w:ascii="Arial" w:eastAsia="Arial" w:hAnsi="Arial" w:cs="Arial"/>
          <w:sz w:val="24"/>
          <w:szCs w:val="24"/>
        </w:rPr>
      </w:pPr>
    </w:p>
    <w:p w14:paraId="69475B71" w14:textId="77777777" w:rsidR="0079172B" w:rsidRDefault="0079172B">
      <w:pPr>
        <w:spacing w:line="276" w:lineRule="auto"/>
        <w:jc w:val="both"/>
        <w:rPr>
          <w:rFonts w:ascii="Arial" w:eastAsia="Arial" w:hAnsi="Arial" w:cs="Arial"/>
          <w:sz w:val="24"/>
          <w:szCs w:val="24"/>
        </w:rPr>
      </w:pPr>
    </w:p>
    <w:p w14:paraId="718BF662" w14:textId="77777777" w:rsidR="0079172B" w:rsidRDefault="0079172B">
      <w:pPr>
        <w:spacing w:line="276" w:lineRule="auto"/>
        <w:jc w:val="both"/>
        <w:rPr>
          <w:rFonts w:ascii="Arial" w:eastAsia="Arial" w:hAnsi="Arial" w:cs="Arial"/>
          <w:sz w:val="24"/>
          <w:szCs w:val="24"/>
        </w:rPr>
      </w:pPr>
    </w:p>
    <w:p w14:paraId="217802DE" w14:textId="77777777" w:rsidR="0079172B" w:rsidRDefault="0079172B">
      <w:pPr>
        <w:spacing w:line="276" w:lineRule="auto"/>
        <w:jc w:val="both"/>
        <w:rPr>
          <w:rFonts w:ascii="Arial" w:eastAsia="Arial" w:hAnsi="Arial" w:cs="Arial"/>
          <w:sz w:val="24"/>
          <w:szCs w:val="24"/>
        </w:rPr>
      </w:pPr>
    </w:p>
    <w:p w14:paraId="1412BC78" w14:textId="77777777" w:rsidR="0079172B" w:rsidRDefault="0079172B">
      <w:pPr>
        <w:spacing w:line="276" w:lineRule="auto"/>
        <w:jc w:val="both"/>
        <w:rPr>
          <w:rFonts w:ascii="Arial" w:eastAsia="Arial" w:hAnsi="Arial" w:cs="Arial"/>
          <w:sz w:val="24"/>
          <w:szCs w:val="24"/>
        </w:rPr>
      </w:pPr>
    </w:p>
    <w:p w14:paraId="2DD4F574" w14:textId="77777777" w:rsidR="0079172B" w:rsidRDefault="00A54579">
      <w:pPr>
        <w:spacing w:line="276" w:lineRule="auto"/>
        <w:jc w:val="center"/>
        <w:rPr>
          <w:rFonts w:ascii="Arial" w:eastAsia="Arial" w:hAnsi="Arial" w:cs="Arial"/>
          <w:b/>
          <w:color w:val="000000"/>
          <w:sz w:val="24"/>
          <w:szCs w:val="24"/>
        </w:rPr>
      </w:pPr>
      <w:r>
        <w:rPr>
          <w:rFonts w:ascii="Arial" w:eastAsia="Arial" w:hAnsi="Arial" w:cs="Arial"/>
          <w:b/>
          <w:color w:val="000000"/>
          <w:sz w:val="24"/>
          <w:szCs w:val="24"/>
        </w:rPr>
        <w:t>Tabla 1. Impuestos efectivo por sector económico y empleo generado.</w:t>
      </w:r>
    </w:p>
    <w:tbl>
      <w:tblPr>
        <w:tblStyle w:val="a"/>
        <w:tblW w:w="793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586"/>
        <w:gridCol w:w="2513"/>
        <w:gridCol w:w="2835"/>
      </w:tblGrid>
      <w:tr w:rsidR="0079172B" w14:paraId="665A6DCB" w14:textId="77777777">
        <w:trPr>
          <w:trHeight w:val="405"/>
          <w:jc w:val="center"/>
        </w:trPr>
        <w:tc>
          <w:tcPr>
            <w:tcW w:w="2586" w:type="dxa"/>
          </w:tcPr>
          <w:p w14:paraId="5DD91CE9" w14:textId="77777777" w:rsidR="0079172B" w:rsidRDefault="0079172B">
            <w:pPr>
              <w:spacing w:line="276" w:lineRule="auto"/>
              <w:jc w:val="both"/>
              <w:rPr>
                <w:rFonts w:ascii="Arial" w:eastAsia="Arial" w:hAnsi="Arial" w:cs="Arial"/>
                <w:color w:val="000000"/>
                <w:sz w:val="24"/>
                <w:szCs w:val="24"/>
              </w:rPr>
            </w:pPr>
          </w:p>
        </w:tc>
        <w:tc>
          <w:tcPr>
            <w:tcW w:w="2513" w:type="dxa"/>
          </w:tcPr>
          <w:p w14:paraId="6D36F234" w14:textId="77777777" w:rsidR="0079172B" w:rsidRDefault="00A54579">
            <w:pPr>
              <w:spacing w:line="276" w:lineRule="auto"/>
              <w:jc w:val="center"/>
              <w:rPr>
                <w:rFonts w:ascii="Arial" w:eastAsia="Arial" w:hAnsi="Arial" w:cs="Arial"/>
                <w:color w:val="000000"/>
                <w:sz w:val="24"/>
                <w:szCs w:val="24"/>
              </w:rPr>
            </w:pPr>
            <w:r>
              <w:rPr>
                <w:rFonts w:ascii="Arial" w:eastAsia="Arial" w:hAnsi="Arial" w:cs="Arial"/>
                <w:color w:val="000000"/>
                <w:sz w:val="24"/>
                <w:szCs w:val="24"/>
              </w:rPr>
              <w:t>Impuesto efectivo</w:t>
            </w:r>
          </w:p>
        </w:tc>
        <w:tc>
          <w:tcPr>
            <w:tcW w:w="2835" w:type="dxa"/>
          </w:tcPr>
          <w:p w14:paraId="6FF6B3BE" w14:textId="77777777" w:rsidR="0079172B" w:rsidRDefault="00A54579">
            <w:pPr>
              <w:spacing w:line="276" w:lineRule="auto"/>
              <w:jc w:val="center"/>
              <w:rPr>
                <w:rFonts w:ascii="Arial" w:eastAsia="Arial" w:hAnsi="Arial" w:cs="Arial"/>
                <w:color w:val="000000"/>
                <w:sz w:val="24"/>
                <w:szCs w:val="24"/>
              </w:rPr>
            </w:pPr>
            <w:r>
              <w:rPr>
                <w:rFonts w:ascii="Arial" w:eastAsia="Arial" w:hAnsi="Arial" w:cs="Arial"/>
                <w:color w:val="000000"/>
                <w:sz w:val="24"/>
                <w:szCs w:val="24"/>
              </w:rPr>
              <w:t>Empleo generado</w:t>
            </w:r>
          </w:p>
        </w:tc>
      </w:tr>
      <w:tr w:rsidR="0079172B" w14:paraId="52CBAF7A" w14:textId="77777777">
        <w:trPr>
          <w:trHeight w:val="671"/>
          <w:jc w:val="center"/>
        </w:trPr>
        <w:tc>
          <w:tcPr>
            <w:tcW w:w="2586" w:type="dxa"/>
          </w:tcPr>
          <w:p w14:paraId="3632E2A2"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Industria</w:t>
            </w:r>
          </w:p>
        </w:tc>
        <w:tc>
          <w:tcPr>
            <w:tcW w:w="2513" w:type="dxa"/>
          </w:tcPr>
          <w:p w14:paraId="592D2B2E"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19,40%</w:t>
            </w:r>
          </w:p>
        </w:tc>
        <w:tc>
          <w:tcPr>
            <w:tcW w:w="2835" w:type="dxa"/>
          </w:tcPr>
          <w:p w14:paraId="34DE64BE"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11,39%</w:t>
            </w:r>
          </w:p>
        </w:tc>
      </w:tr>
      <w:tr w:rsidR="0079172B" w14:paraId="251B338F" w14:textId="77777777">
        <w:trPr>
          <w:trHeight w:val="671"/>
          <w:jc w:val="center"/>
        </w:trPr>
        <w:tc>
          <w:tcPr>
            <w:tcW w:w="2586" w:type="dxa"/>
          </w:tcPr>
          <w:p w14:paraId="6B17CF15"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Comercio </w:t>
            </w:r>
          </w:p>
        </w:tc>
        <w:tc>
          <w:tcPr>
            <w:tcW w:w="2513" w:type="dxa"/>
          </w:tcPr>
          <w:p w14:paraId="0B704AD3"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17,10%</w:t>
            </w:r>
          </w:p>
        </w:tc>
        <w:tc>
          <w:tcPr>
            <w:tcW w:w="2835" w:type="dxa"/>
          </w:tcPr>
          <w:p w14:paraId="6DF32D3B"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27,57%</w:t>
            </w:r>
          </w:p>
        </w:tc>
      </w:tr>
      <w:tr w:rsidR="0079172B" w14:paraId="13120892" w14:textId="77777777">
        <w:trPr>
          <w:trHeight w:val="671"/>
          <w:jc w:val="center"/>
        </w:trPr>
        <w:tc>
          <w:tcPr>
            <w:tcW w:w="2586" w:type="dxa"/>
          </w:tcPr>
          <w:p w14:paraId="1F95C9FF"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Agricultura</w:t>
            </w:r>
          </w:p>
        </w:tc>
        <w:tc>
          <w:tcPr>
            <w:tcW w:w="2513" w:type="dxa"/>
          </w:tcPr>
          <w:p w14:paraId="5072F555"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17%</w:t>
            </w:r>
          </w:p>
        </w:tc>
        <w:tc>
          <w:tcPr>
            <w:tcW w:w="2835" w:type="dxa"/>
          </w:tcPr>
          <w:p w14:paraId="653A9279"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16,37%</w:t>
            </w:r>
          </w:p>
        </w:tc>
      </w:tr>
      <w:tr w:rsidR="0079172B" w14:paraId="271F3EE6" w14:textId="77777777">
        <w:trPr>
          <w:trHeight w:val="782"/>
          <w:jc w:val="center"/>
        </w:trPr>
        <w:tc>
          <w:tcPr>
            <w:tcW w:w="2586" w:type="dxa"/>
          </w:tcPr>
          <w:p w14:paraId="35DF8FFF"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Construcción </w:t>
            </w:r>
          </w:p>
        </w:tc>
        <w:tc>
          <w:tcPr>
            <w:tcW w:w="2513" w:type="dxa"/>
          </w:tcPr>
          <w:p w14:paraId="5CA40400"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16,60%</w:t>
            </w:r>
          </w:p>
        </w:tc>
        <w:tc>
          <w:tcPr>
            <w:tcW w:w="2835" w:type="dxa"/>
          </w:tcPr>
          <w:p w14:paraId="1B3A5017"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6,07%</w:t>
            </w:r>
          </w:p>
        </w:tc>
      </w:tr>
      <w:tr w:rsidR="0079172B" w14:paraId="5EA37FFB" w14:textId="77777777">
        <w:trPr>
          <w:trHeight w:val="671"/>
          <w:jc w:val="center"/>
        </w:trPr>
        <w:tc>
          <w:tcPr>
            <w:tcW w:w="2586" w:type="dxa"/>
          </w:tcPr>
          <w:p w14:paraId="74BCCE66"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Servicios</w:t>
            </w:r>
          </w:p>
        </w:tc>
        <w:tc>
          <w:tcPr>
            <w:tcW w:w="2513" w:type="dxa"/>
          </w:tcPr>
          <w:p w14:paraId="0A471EE3"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15,70%</w:t>
            </w:r>
          </w:p>
        </w:tc>
        <w:tc>
          <w:tcPr>
            <w:tcW w:w="2835" w:type="dxa"/>
          </w:tcPr>
          <w:p w14:paraId="65789971"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20,45%</w:t>
            </w:r>
          </w:p>
        </w:tc>
      </w:tr>
      <w:tr w:rsidR="0079172B" w14:paraId="74D97ABB" w14:textId="77777777">
        <w:trPr>
          <w:trHeight w:val="671"/>
          <w:jc w:val="center"/>
        </w:trPr>
        <w:tc>
          <w:tcPr>
            <w:tcW w:w="2586" w:type="dxa"/>
          </w:tcPr>
          <w:p w14:paraId="4171AAA8"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Minería</w:t>
            </w:r>
          </w:p>
        </w:tc>
        <w:tc>
          <w:tcPr>
            <w:tcW w:w="2513" w:type="dxa"/>
          </w:tcPr>
          <w:p w14:paraId="40ACCD24"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14,40%</w:t>
            </w:r>
          </w:p>
        </w:tc>
        <w:tc>
          <w:tcPr>
            <w:tcW w:w="2835" w:type="dxa"/>
          </w:tcPr>
          <w:p w14:paraId="4046BD50"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0,80%</w:t>
            </w:r>
          </w:p>
        </w:tc>
      </w:tr>
      <w:tr w:rsidR="0079172B" w14:paraId="45A808B8" w14:textId="77777777">
        <w:trPr>
          <w:trHeight w:val="671"/>
          <w:jc w:val="center"/>
        </w:trPr>
        <w:tc>
          <w:tcPr>
            <w:tcW w:w="2586" w:type="dxa"/>
          </w:tcPr>
          <w:p w14:paraId="56463B83"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Financiero</w:t>
            </w:r>
          </w:p>
        </w:tc>
        <w:tc>
          <w:tcPr>
            <w:tcW w:w="2513" w:type="dxa"/>
          </w:tcPr>
          <w:p w14:paraId="5F65F9DD"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7%</w:t>
            </w:r>
          </w:p>
        </w:tc>
        <w:tc>
          <w:tcPr>
            <w:tcW w:w="2835" w:type="dxa"/>
          </w:tcPr>
          <w:p w14:paraId="662F74FD"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1,38%</w:t>
            </w:r>
          </w:p>
        </w:tc>
      </w:tr>
    </w:tbl>
    <w:p w14:paraId="5A634984"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Fuente: Construcción propia con base a Dane (2020) y Villabona &amp; Quimbay (2017)</w:t>
      </w:r>
    </w:p>
    <w:p w14:paraId="2E084284" w14:textId="77777777" w:rsidR="0079172B" w:rsidRDefault="0079172B">
      <w:pPr>
        <w:spacing w:line="276" w:lineRule="auto"/>
        <w:jc w:val="both"/>
        <w:rPr>
          <w:rFonts w:ascii="Arial" w:eastAsia="Arial" w:hAnsi="Arial" w:cs="Arial"/>
          <w:sz w:val="24"/>
          <w:szCs w:val="24"/>
        </w:rPr>
      </w:pPr>
    </w:p>
    <w:p w14:paraId="0DEC9B92" w14:textId="77777777" w:rsidR="0079172B" w:rsidRDefault="00A54579">
      <w:pPr>
        <w:spacing w:after="0" w:line="276" w:lineRule="auto"/>
        <w:jc w:val="both"/>
        <w:rPr>
          <w:rFonts w:ascii="Arial" w:eastAsia="Arial" w:hAnsi="Arial" w:cs="Arial"/>
          <w:color w:val="000000"/>
          <w:sz w:val="24"/>
          <w:szCs w:val="24"/>
        </w:rPr>
      </w:pPr>
      <w:bookmarkStart w:id="0" w:name="_heading=h.gjdgxs" w:colFirst="0" w:colLast="0"/>
      <w:bookmarkEnd w:id="0"/>
      <w:r>
        <w:rPr>
          <w:rFonts w:ascii="Arial" w:eastAsia="Arial" w:hAnsi="Arial" w:cs="Arial"/>
          <w:color w:val="000000"/>
          <w:sz w:val="24"/>
          <w:szCs w:val="24"/>
        </w:rPr>
        <w:t xml:space="preserve">Ahora bien, sobre los contratos petroleros existe una crítica por parte de diferentes expertos e instituciones toda vez estos contratos están dejando altas ganancias para las empresas productoras sin dejar recurso suficiente para pagar el pasivo ambiental y financiar la política pública del país. Pardo (2018) afirma que en la extracción petrolera la Nación solo obtiene un 2,2% de beneficios mientras que el 97,8% queda en manos de las empresas privadas. </w:t>
      </w:r>
    </w:p>
    <w:p w14:paraId="4918ECCE" w14:textId="77777777" w:rsidR="0079172B" w:rsidRDefault="00A54579">
      <w:pPr>
        <w:spacing w:after="0" w:line="276" w:lineRule="auto"/>
        <w:jc w:val="both"/>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br/>
        <w:t xml:space="preserve">Ahora bien, según el Centro de Investigaciones para el Desarrollo de la Universidad Nacional de Colombia, desde 1999 se asiste a transformaciones en el Contrato de Asociación para incentivar la inversión extranjera en el país.  El contrato que se ha llevado es muy atractivo para los inversionistas toda vez que el Estado sale de la fase de produción.  </w:t>
      </w:r>
    </w:p>
    <w:p w14:paraId="5C418096" w14:textId="77777777" w:rsidR="0079172B" w:rsidRDefault="0079172B">
      <w:pPr>
        <w:spacing w:line="276" w:lineRule="auto"/>
        <w:jc w:val="both"/>
        <w:rPr>
          <w:rFonts w:ascii="Arial" w:eastAsia="Arial" w:hAnsi="Arial" w:cs="Arial"/>
          <w:i/>
          <w:color w:val="000000"/>
          <w:sz w:val="24"/>
          <w:szCs w:val="24"/>
        </w:rPr>
      </w:pPr>
    </w:p>
    <w:p w14:paraId="57EEEDF5" w14:textId="77777777" w:rsidR="0079172B" w:rsidRDefault="00A54579">
      <w:pPr>
        <w:spacing w:after="0" w:line="276" w:lineRule="auto"/>
        <w:jc w:val="both"/>
        <w:rPr>
          <w:rFonts w:ascii="Arial" w:eastAsia="Arial" w:hAnsi="Arial" w:cs="Arial"/>
          <w:color w:val="000000"/>
          <w:sz w:val="24"/>
          <w:szCs w:val="24"/>
        </w:rPr>
      </w:pPr>
      <w:r>
        <w:rPr>
          <w:rFonts w:ascii="Arial" w:eastAsia="Arial" w:hAnsi="Arial" w:cs="Arial"/>
          <w:color w:val="000000"/>
          <w:sz w:val="24"/>
          <w:szCs w:val="24"/>
        </w:rPr>
        <w:lastRenderedPageBreak/>
        <w:t>En un informe de Auditoría a Ecopetrol en el año 2015, la Contraloría General de la República halló un presunto detrimento patrimonial, por un valor de 9.443 millones de pesos en el Contrato de Asociación entre la petrolera BP y la estatal Ecopetrol.Otro caso es el del Campo Palagua, en el que operaba la Texas Petroleum Company Ecopetrol ha tenido que asumir gastos por 7.483,7 millones de pesos, destinados a la recuperación de impactos ambientales acumulativos desde el año 2005 al 2013.</w:t>
      </w:r>
    </w:p>
    <w:p w14:paraId="042BA653" w14:textId="77777777" w:rsidR="0079172B" w:rsidRDefault="0079172B">
      <w:pPr>
        <w:spacing w:line="276" w:lineRule="auto"/>
        <w:jc w:val="both"/>
        <w:rPr>
          <w:rFonts w:ascii="Arial" w:eastAsia="Arial" w:hAnsi="Arial" w:cs="Arial"/>
          <w:color w:val="000000"/>
          <w:sz w:val="24"/>
          <w:szCs w:val="24"/>
        </w:rPr>
      </w:pPr>
    </w:p>
    <w:p w14:paraId="19987B39" w14:textId="77777777" w:rsidR="0079172B" w:rsidRDefault="00A54579">
      <w:pPr>
        <w:spacing w:line="276" w:lineRule="auto"/>
        <w:jc w:val="both"/>
        <w:rPr>
          <w:rFonts w:ascii="Arial" w:eastAsia="Arial" w:hAnsi="Arial" w:cs="Arial"/>
          <w:b/>
          <w:color w:val="000000"/>
          <w:sz w:val="24"/>
          <w:szCs w:val="24"/>
        </w:rPr>
      </w:pPr>
      <w:r>
        <w:rPr>
          <w:rFonts w:ascii="Arial" w:eastAsia="Arial" w:hAnsi="Arial" w:cs="Arial"/>
          <w:b/>
          <w:color w:val="000000"/>
          <w:sz w:val="24"/>
          <w:szCs w:val="24"/>
        </w:rPr>
        <w:t>Inversión de los recursos</w:t>
      </w:r>
    </w:p>
    <w:p w14:paraId="09BBEE9C"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Ahora bien, los recursos que se han invertido se han centrado, en su mayoría, en la construcción de vías y la financiación de la política social. </w:t>
      </w:r>
    </w:p>
    <w:p w14:paraId="09BD934B" w14:textId="77777777" w:rsidR="0079172B" w:rsidRDefault="00A54579">
      <w:pPr>
        <w:spacing w:line="276" w:lineRule="auto"/>
        <w:jc w:val="center"/>
        <w:rPr>
          <w:rFonts w:ascii="Arial" w:eastAsia="Arial" w:hAnsi="Arial" w:cs="Arial"/>
          <w:color w:val="000000"/>
          <w:sz w:val="24"/>
          <w:szCs w:val="24"/>
        </w:rPr>
      </w:pPr>
      <w:r>
        <w:rPr>
          <w:rFonts w:ascii="Arial" w:eastAsia="Arial" w:hAnsi="Arial" w:cs="Arial"/>
          <w:b/>
          <w:color w:val="000000"/>
          <w:sz w:val="24"/>
          <w:szCs w:val="24"/>
        </w:rPr>
        <w:t>Gráfic</w:t>
      </w:r>
      <w:r>
        <w:rPr>
          <w:rFonts w:ascii="Arial" w:eastAsia="Arial" w:hAnsi="Arial" w:cs="Arial"/>
          <w:b/>
          <w:sz w:val="24"/>
          <w:szCs w:val="24"/>
        </w:rPr>
        <w:t>o 1</w:t>
      </w:r>
      <w:r>
        <w:rPr>
          <w:rFonts w:ascii="Arial" w:eastAsia="Arial" w:hAnsi="Arial" w:cs="Arial"/>
          <w:b/>
          <w:color w:val="000000"/>
          <w:sz w:val="24"/>
          <w:szCs w:val="24"/>
        </w:rPr>
        <w:t xml:space="preserve">. Inversión adicional </w:t>
      </w:r>
      <w:r>
        <w:rPr>
          <w:rFonts w:ascii="Arial" w:eastAsia="Arial" w:hAnsi="Arial" w:cs="Arial"/>
          <w:b/>
          <w:sz w:val="24"/>
          <w:szCs w:val="24"/>
        </w:rPr>
        <w:t xml:space="preserve">de recursos SGR </w:t>
      </w:r>
      <w:r>
        <w:rPr>
          <w:rFonts w:ascii="Arial" w:eastAsia="Arial" w:hAnsi="Arial" w:cs="Arial"/>
          <w:b/>
          <w:color w:val="000000"/>
          <w:sz w:val="24"/>
          <w:szCs w:val="24"/>
        </w:rPr>
        <w:t>por la b</w:t>
      </w:r>
      <w:r>
        <w:rPr>
          <w:rFonts w:ascii="Arial" w:eastAsia="Arial" w:hAnsi="Arial" w:cs="Arial"/>
          <w:b/>
          <w:sz w:val="24"/>
          <w:szCs w:val="24"/>
        </w:rPr>
        <w:t>o</w:t>
      </w:r>
      <w:r>
        <w:rPr>
          <w:rFonts w:ascii="Arial" w:eastAsia="Arial" w:hAnsi="Arial" w:cs="Arial"/>
          <w:b/>
          <w:color w:val="000000"/>
          <w:sz w:val="24"/>
          <w:szCs w:val="24"/>
        </w:rPr>
        <w:t>nanza petrolera</w:t>
      </w:r>
      <w:r>
        <w:rPr>
          <w:rFonts w:ascii="Arial" w:eastAsia="Arial" w:hAnsi="Arial" w:cs="Arial"/>
          <w:color w:val="000000"/>
          <w:sz w:val="24"/>
          <w:szCs w:val="24"/>
        </w:rPr>
        <w:t>.</w:t>
      </w:r>
    </w:p>
    <w:p w14:paraId="48C855B3" w14:textId="77777777" w:rsidR="0079172B" w:rsidRDefault="00A54579">
      <w:pPr>
        <w:pBdr>
          <w:top w:val="nil"/>
          <w:left w:val="nil"/>
          <w:bottom w:val="nil"/>
          <w:right w:val="nil"/>
          <w:between w:val="nil"/>
        </w:pBdr>
        <w:spacing w:line="276" w:lineRule="auto"/>
        <w:ind w:left="720"/>
        <w:jc w:val="center"/>
        <w:rPr>
          <w:rFonts w:ascii="Arial" w:eastAsia="Arial" w:hAnsi="Arial" w:cs="Arial"/>
          <w:color w:val="000000"/>
          <w:sz w:val="24"/>
          <w:szCs w:val="24"/>
        </w:rPr>
      </w:pPr>
      <w:r>
        <w:rPr>
          <w:rFonts w:ascii="Arial" w:eastAsia="Arial" w:hAnsi="Arial" w:cs="Arial"/>
          <w:noProof/>
          <w:color w:val="000000"/>
          <w:sz w:val="24"/>
          <w:szCs w:val="24"/>
          <w:lang w:val="es-ES_tradnl"/>
        </w:rPr>
        <w:drawing>
          <wp:inline distT="0" distB="0" distL="0" distR="0" wp14:anchorId="61ED62B6" wp14:editId="6AF0DC4F">
            <wp:extent cx="4086416" cy="2243876"/>
            <wp:effectExtent l="0" t="0" r="0" b="0"/>
            <wp:docPr id="29" name="image8.jpg" descr="http://static.iris.net.co/dinero/upload/images/2016/6/27/225138_1.jpg"/>
            <wp:cNvGraphicFramePr/>
            <a:graphic xmlns:a="http://schemas.openxmlformats.org/drawingml/2006/main">
              <a:graphicData uri="http://schemas.openxmlformats.org/drawingml/2006/picture">
                <pic:pic xmlns:pic="http://schemas.openxmlformats.org/drawingml/2006/picture">
                  <pic:nvPicPr>
                    <pic:cNvPr id="0" name="image8.jpg" descr="http://static.iris.net.co/dinero/upload/images/2016/6/27/225138_1.jpg"/>
                    <pic:cNvPicPr preferRelativeResize="0"/>
                  </pic:nvPicPr>
                  <pic:blipFill>
                    <a:blip r:embed="rId10"/>
                    <a:srcRect/>
                    <a:stretch>
                      <a:fillRect/>
                    </a:stretch>
                  </pic:blipFill>
                  <pic:spPr>
                    <a:xfrm>
                      <a:off x="0" y="0"/>
                      <a:ext cx="4086416" cy="2243876"/>
                    </a:xfrm>
                    <a:prstGeom prst="rect">
                      <a:avLst/>
                    </a:prstGeom>
                    <a:ln/>
                  </pic:spPr>
                </pic:pic>
              </a:graphicData>
            </a:graphic>
          </wp:inline>
        </w:drawing>
      </w:r>
    </w:p>
    <w:p w14:paraId="488C895F" w14:textId="77777777" w:rsidR="0079172B" w:rsidRDefault="0079172B">
      <w:pPr>
        <w:spacing w:line="276" w:lineRule="auto"/>
        <w:jc w:val="both"/>
        <w:rPr>
          <w:rFonts w:ascii="Arial" w:eastAsia="Arial" w:hAnsi="Arial" w:cs="Arial"/>
          <w:color w:val="000000"/>
          <w:sz w:val="24"/>
          <w:szCs w:val="24"/>
        </w:rPr>
      </w:pPr>
    </w:p>
    <w:p w14:paraId="527ED714"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Los recursos recaudados por explotación de hidrocarburos no se han invertido en ciencia y tecnología ni en construcción de infraestructura para la generación de energía renovable ni en el fomento a la industria. </w:t>
      </w:r>
    </w:p>
    <w:p w14:paraId="670E04BD"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La discusión de las regalías debería versar sobre los contratos con las empresas, la distribución entre las regiones, y aún más importante, sobre cómo estos recursos permiten y </w:t>
      </w:r>
      <w:r>
        <w:rPr>
          <w:rFonts w:ascii="Arial" w:eastAsia="Arial" w:hAnsi="Arial" w:cs="Arial"/>
          <w:sz w:val="24"/>
          <w:szCs w:val="24"/>
        </w:rPr>
        <w:t>fomentan la transición</w:t>
      </w:r>
      <w:r>
        <w:rPr>
          <w:rFonts w:ascii="Arial" w:eastAsia="Arial" w:hAnsi="Arial" w:cs="Arial"/>
          <w:color w:val="000000"/>
          <w:sz w:val="24"/>
          <w:szCs w:val="24"/>
        </w:rPr>
        <w:t xml:space="preserve"> energética y productiva en el país.</w:t>
      </w:r>
    </w:p>
    <w:p w14:paraId="1FD8A4C6" w14:textId="77777777" w:rsidR="0079172B" w:rsidRDefault="0079172B">
      <w:pPr>
        <w:spacing w:line="276" w:lineRule="auto"/>
        <w:jc w:val="both"/>
        <w:rPr>
          <w:rFonts w:ascii="Arial" w:eastAsia="Arial" w:hAnsi="Arial" w:cs="Arial"/>
          <w:b/>
          <w:color w:val="000000"/>
          <w:sz w:val="24"/>
          <w:szCs w:val="24"/>
        </w:rPr>
      </w:pPr>
    </w:p>
    <w:p w14:paraId="5535F8CD" w14:textId="77777777" w:rsidR="0079172B" w:rsidRDefault="00A54579">
      <w:pPr>
        <w:spacing w:line="276" w:lineRule="auto"/>
        <w:jc w:val="both"/>
        <w:rPr>
          <w:rFonts w:ascii="Arial" w:eastAsia="Arial" w:hAnsi="Arial" w:cs="Arial"/>
          <w:b/>
          <w:color w:val="000000"/>
          <w:sz w:val="24"/>
          <w:szCs w:val="24"/>
        </w:rPr>
      </w:pPr>
      <w:r>
        <w:rPr>
          <w:rFonts w:ascii="Arial" w:eastAsia="Arial" w:hAnsi="Arial" w:cs="Arial"/>
          <w:b/>
          <w:color w:val="000000"/>
          <w:sz w:val="24"/>
          <w:szCs w:val="24"/>
        </w:rPr>
        <w:t>Producción de hidrocarburos en los próximos diez años</w:t>
      </w:r>
    </w:p>
    <w:p w14:paraId="1296A525" w14:textId="77777777" w:rsidR="0079172B" w:rsidRDefault="00A54579">
      <w:pPr>
        <w:spacing w:after="0" w:line="276" w:lineRule="auto"/>
        <w:jc w:val="both"/>
        <w:rPr>
          <w:rFonts w:ascii="Arial" w:eastAsia="Arial" w:hAnsi="Arial" w:cs="Arial"/>
          <w:color w:val="000000"/>
          <w:sz w:val="24"/>
          <w:szCs w:val="24"/>
          <w:highlight w:val="white"/>
        </w:rPr>
      </w:pPr>
      <w:r>
        <w:rPr>
          <w:rFonts w:ascii="Arial" w:eastAsia="Arial" w:hAnsi="Arial" w:cs="Arial"/>
          <w:color w:val="000000"/>
          <w:sz w:val="24"/>
          <w:szCs w:val="24"/>
          <w:highlight w:val="white"/>
        </w:rPr>
        <w:t xml:space="preserve">Desde el año 2016 el precio del crudo ha venido a la baja por sobre oferta petrolera, explicado en parte por que Estados Unidos empezó a generar una producción masiva de petróleo a través de técnicas no convencionales. Dada esta situación, y </w:t>
      </w:r>
      <w:r>
        <w:rPr>
          <w:rFonts w:ascii="Arial" w:eastAsia="Arial" w:hAnsi="Arial" w:cs="Arial"/>
          <w:color w:val="000000"/>
          <w:sz w:val="24"/>
          <w:szCs w:val="24"/>
          <w:highlight w:val="white"/>
        </w:rPr>
        <w:lastRenderedPageBreak/>
        <w:t xml:space="preserve">ante la afectación al medio ambiente, diferentes países están buscando hacer una transición económica de largo plazo. Por ejemplo, Aramco, que es la empresa petrolera más grande de Arabia Saudita está liderando una estrategia a 2030 para garantizar la transición energética y productiva del país. A pesar de que Arabia Saudita es el país con mayor número de reservas petroleras del mundo, lidera una transición productiva y energética para evitar un colapso económico. Otros países como Alemania, Inglaterra, Francia están buscando estrategias para descarbonizar su economía. Países como Holanda están avanzando en investigaciones asociadas a la generación de hidrógeno como fuente alternativa de energía. Incluso, el FMI, en su informe de Octubre considera que esta crisis podría ser el momento perfecto para promover estrategias de transición energética y adaptación y mitigación del cambio climático. </w:t>
      </w:r>
    </w:p>
    <w:p w14:paraId="384A39A9" w14:textId="77777777" w:rsidR="0079172B" w:rsidRDefault="0079172B">
      <w:pPr>
        <w:spacing w:after="0" w:line="276" w:lineRule="auto"/>
        <w:jc w:val="both"/>
        <w:rPr>
          <w:rFonts w:ascii="Arial" w:eastAsia="Arial" w:hAnsi="Arial" w:cs="Arial"/>
          <w:b/>
          <w:color w:val="000000"/>
          <w:sz w:val="24"/>
          <w:szCs w:val="24"/>
        </w:rPr>
      </w:pPr>
    </w:p>
    <w:p w14:paraId="1292CB3C" w14:textId="77777777" w:rsidR="0079172B" w:rsidRDefault="00A54579">
      <w:pPr>
        <w:spacing w:after="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A pesar de esta situación, Ecopetrol planea continuar con la extracción de hidrocarburos en las cuencas del piedemonte llanero, llanos orientales, valle del río Magdalena, Caguán, Putumayo y Guajira. Se prevé continuar con esfuerzos exploratorios en el Mar Caribe Colombiano, en aras de hallar gas o crudo liviano. </w:t>
      </w:r>
    </w:p>
    <w:p w14:paraId="248B712C" w14:textId="77777777" w:rsidR="0079172B" w:rsidRDefault="0079172B">
      <w:pPr>
        <w:spacing w:after="0" w:line="276" w:lineRule="auto"/>
        <w:jc w:val="both"/>
        <w:rPr>
          <w:rFonts w:ascii="Arial" w:eastAsia="Arial" w:hAnsi="Arial" w:cs="Arial"/>
          <w:color w:val="000000"/>
          <w:sz w:val="24"/>
          <w:szCs w:val="24"/>
        </w:rPr>
      </w:pPr>
    </w:p>
    <w:p w14:paraId="14817D8D" w14:textId="77777777" w:rsidR="0079172B" w:rsidRDefault="00A54579">
      <w:pPr>
        <w:spacing w:after="0"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Lejos de buscar una transición productiva y energética, se está queriendo incentivar aún más el sector de hidrocarburos. Esta situación es preocupante porque la proyección del Gobierno es que la producción de crudo y de carbón tenderá a disminuir con el tiempo. Según el Gobierno Nacional, para 2030, la producción diaria de petróleo se reducirá en un 20% </w:t>
      </w:r>
      <w:r>
        <w:rPr>
          <w:rFonts w:ascii="Arial" w:eastAsia="Arial" w:hAnsi="Arial" w:cs="Arial"/>
          <w:sz w:val="24"/>
          <w:szCs w:val="24"/>
        </w:rPr>
        <w:t>mientras</w:t>
      </w:r>
      <w:r>
        <w:rPr>
          <w:rFonts w:ascii="Arial" w:eastAsia="Arial" w:hAnsi="Arial" w:cs="Arial"/>
          <w:color w:val="000000"/>
          <w:sz w:val="24"/>
          <w:szCs w:val="24"/>
        </w:rPr>
        <w:t xml:space="preserve"> que la producción de carbón se reduciría en 29%.</w:t>
      </w:r>
    </w:p>
    <w:p w14:paraId="46BA5886" w14:textId="77777777" w:rsidR="0079172B" w:rsidRDefault="0079172B">
      <w:pPr>
        <w:spacing w:after="0" w:line="276" w:lineRule="auto"/>
        <w:jc w:val="both"/>
        <w:rPr>
          <w:rFonts w:ascii="Arial" w:eastAsia="Arial" w:hAnsi="Arial" w:cs="Arial"/>
          <w:color w:val="000000"/>
          <w:sz w:val="24"/>
          <w:szCs w:val="24"/>
        </w:rPr>
      </w:pPr>
    </w:p>
    <w:p w14:paraId="75E2DF66" w14:textId="77777777" w:rsidR="0079172B" w:rsidRDefault="00A54579">
      <w:pPr>
        <w:spacing w:after="0" w:line="276" w:lineRule="auto"/>
        <w:jc w:val="center"/>
        <w:rPr>
          <w:rFonts w:ascii="Arial" w:eastAsia="Arial" w:hAnsi="Arial" w:cs="Arial"/>
          <w:b/>
          <w:color w:val="000000"/>
          <w:sz w:val="24"/>
          <w:szCs w:val="24"/>
        </w:rPr>
      </w:pPr>
      <w:r>
        <w:rPr>
          <w:rFonts w:ascii="Arial" w:eastAsia="Arial" w:hAnsi="Arial" w:cs="Arial"/>
          <w:b/>
          <w:color w:val="000000"/>
          <w:sz w:val="24"/>
          <w:szCs w:val="24"/>
        </w:rPr>
        <w:t>Gráfic</w:t>
      </w:r>
      <w:r>
        <w:rPr>
          <w:rFonts w:ascii="Arial" w:eastAsia="Arial" w:hAnsi="Arial" w:cs="Arial"/>
          <w:b/>
          <w:sz w:val="24"/>
          <w:szCs w:val="24"/>
        </w:rPr>
        <w:t>o 2</w:t>
      </w:r>
      <w:r>
        <w:rPr>
          <w:rFonts w:ascii="Arial" w:eastAsia="Arial" w:hAnsi="Arial" w:cs="Arial"/>
          <w:b/>
          <w:color w:val="000000"/>
          <w:sz w:val="24"/>
          <w:szCs w:val="24"/>
        </w:rPr>
        <w:t>. Producción de barriles diarios petróleo entre 2012 y 2030.</w:t>
      </w:r>
    </w:p>
    <w:p w14:paraId="1BA13A47" w14:textId="77777777" w:rsidR="0079172B" w:rsidRDefault="00A54579">
      <w:pPr>
        <w:spacing w:after="0" w:line="276" w:lineRule="auto"/>
        <w:jc w:val="center"/>
        <w:rPr>
          <w:rFonts w:ascii="Arial" w:eastAsia="Arial" w:hAnsi="Arial" w:cs="Arial"/>
          <w:color w:val="000000"/>
          <w:sz w:val="24"/>
          <w:szCs w:val="24"/>
        </w:rPr>
      </w:pPr>
      <w:r>
        <w:rPr>
          <w:rFonts w:ascii="Arial" w:eastAsia="Arial" w:hAnsi="Arial" w:cs="Arial"/>
          <w:noProof/>
          <w:color w:val="000000"/>
          <w:sz w:val="24"/>
          <w:szCs w:val="24"/>
          <w:lang w:val="es-ES_tradnl"/>
        </w:rPr>
        <w:drawing>
          <wp:inline distT="0" distB="0" distL="0" distR="0" wp14:anchorId="3540B258" wp14:editId="0E06A653">
            <wp:extent cx="3016268" cy="1959994"/>
            <wp:effectExtent l="0" t="0" r="0" b="0"/>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3016268" cy="1959994"/>
                    </a:xfrm>
                    <a:prstGeom prst="rect">
                      <a:avLst/>
                    </a:prstGeom>
                    <a:ln/>
                  </pic:spPr>
                </pic:pic>
              </a:graphicData>
            </a:graphic>
          </wp:inline>
        </w:drawing>
      </w:r>
    </w:p>
    <w:p w14:paraId="134570C4" w14:textId="77777777" w:rsidR="0079172B" w:rsidRDefault="0079172B">
      <w:pPr>
        <w:spacing w:after="0" w:line="276" w:lineRule="auto"/>
        <w:rPr>
          <w:rFonts w:ascii="Arial" w:eastAsia="Arial" w:hAnsi="Arial" w:cs="Arial"/>
          <w:color w:val="000000"/>
          <w:sz w:val="24"/>
          <w:szCs w:val="24"/>
        </w:rPr>
      </w:pPr>
    </w:p>
    <w:p w14:paraId="6A03C0CE" w14:textId="77777777" w:rsidR="0079172B" w:rsidRDefault="0079172B">
      <w:pPr>
        <w:spacing w:after="0" w:line="276" w:lineRule="auto"/>
        <w:rPr>
          <w:rFonts w:ascii="Arial" w:eastAsia="Arial" w:hAnsi="Arial" w:cs="Arial"/>
          <w:sz w:val="24"/>
          <w:szCs w:val="24"/>
        </w:rPr>
      </w:pPr>
    </w:p>
    <w:p w14:paraId="2D08821E" w14:textId="77777777" w:rsidR="0079172B" w:rsidRDefault="0079172B">
      <w:pPr>
        <w:spacing w:after="0" w:line="276" w:lineRule="auto"/>
        <w:rPr>
          <w:rFonts w:ascii="Arial" w:eastAsia="Arial" w:hAnsi="Arial" w:cs="Arial"/>
          <w:sz w:val="24"/>
          <w:szCs w:val="24"/>
        </w:rPr>
      </w:pPr>
    </w:p>
    <w:p w14:paraId="3A74863A" w14:textId="77777777" w:rsidR="0079172B" w:rsidRDefault="00A54579">
      <w:pPr>
        <w:spacing w:after="0" w:line="276" w:lineRule="auto"/>
        <w:jc w:val="center"/>
        <w:rPr>
          <w:rFonts w:ascii="Arial" w:eastAsia="Arial" w:hAnsi="Arial" w:cs="Arial"/>
          <w:b/>
          <w:color w:val="000000"/>
          <w:sz w:val="24"/>
          <w:szCs w:val="24"/>
        </w:rPr>
      </w:pPr>
      <w:r>
        <w:rPr>
          <w:rFonts w:ascii="Arial" w:eastAsia="Arial" w:hAnsi="Arial" w:cs="Arial"/>
          <w:b/>
          <w:color w:val="000000"/>
          <w:sz w:val="24"/>
          <w:szCs w:val="24"/>
        </w:rPr>
        <w:t>Gráfic</w:t>
      </w:r>
      <w:r>
        <w:rPr>
          <w:rFonts w:ascii="Arial" w:eastAsia="Arial" w:hAnsi="Arial" w:cs="Arial"/>
          <w:b/>
          <w:sz w:val="24"/>
          <w:szCs w:val="24"/>
        </w:rPr>
        <w:t>o 3</w:t>
      </w:r>
      <w:r>
        <w:rPr>
          <w:rFonts w:ascii="Arial" w:eastAsia="Arial" w:hAnsi="Arial" w:cs="Arial"/>
          <w:b/>
          <w:color w:val="000000"/>
          <w:sz w:val="24"/>
          <w:szCs w:val="24"/>
        </w:rPr>
        <w:t xml:space="preserve">. Toneladas de carbón </w:t>
      </w:r>
      <w:r>
        <w:rPr>
          <w:rFonts w:ascii="Arial" w:eastAsia="Arial" w:hAnsi="Arial" w:cs="Arial"/>
          <w:b/>
          <w:sz w:val="24"/>
          <w:szCs w:val="24"/>
        </w:rPr>
        <w:t xml:space="preserve">producidas (promedio </w:t>
      </w:r>
      <w:r>
        <w:rPr>
          <w:rFonts w:ascii="Arial" w:eastAsia="Arial" w:hAnsi="Arial" w:cs="Arial"/>
          <w:b/>
          <w:color w:val="000000"/>
          <w:sz w:val="24"/>
          <w:szCs w:val="24"/>
        </w:rPr>
        <w:t>diari</w:t>
      </w:r>
      <w:r>
        <w:rPr>
          <w:rFonts w:ascii="Arial" w:eastAsia="Arial" w:hAnsi="Arial" w:cs="Arial"/>
          <w:b/>
          <w:sz w:val="24"/>
          <w:szCs w:val="24"/>
        </w:rPr>
        <w:t>o)</w:t>
      </w:r>
      <w:r>
        <w:rPr>
          <w:rFonts w:ascii="Arial" w:eastAsia="Arial" w:hAnsi="Arial" w:cs="Arial"/>
          <w:b/>
          <w:color w:val="000000"/>
          <w:sz w:val="24"/>
          <w:szCs w:val="24"/>
        </w:rPr>
        <w:t xml:space="preserve"> 2012 </w:t>
      </w:r>
      <w:r>
        <w:rPr>
          <w:rFonts w:ascii="Arial" w:eastAsia="Arial" w:hAnsi="Arial" w:cs="Arial"/>
          <w:b/>
          <w:sz w:val="24"/>
          <w:szCs w:val="24"/>
        </w:rPr>
        <w:t xml:space="preserve">- </w:t>
      </w:r>
      <w:r>
        <w:rPr>
          <w:rFonts w:ascii="Arial" w:eastAsia="Arial" w:hAnsi="Arial" w:cs="Arial"/>
          <w:b/>
          <w:color w:val="000000"/>
          <w:sz w:val="24"/>
          <w:szCs w:val="24"/>
        </w:rPr>
        <w:t>2030.</w:t>
      </w:r>
    </w:p>
    <w:p w14:paraId="234E23EE" w14:textId="77777777" w:rsidR="0079172B" w:rsidRDefault="00A54579">
      <w:pPr>
        <w:spacing w:line="276" w:lineRule="auto"/>
        <w:jc w:val="center"/>
        <w:rPr>
          <w:rFonts w:ascii="Arial" w:eastAsia="Arial" w:hAnsi="Arial" w:cs="Arial"/>
          <w:b/>
          <w:color w:val="000000"/>
          <w:sz w:val="24"/>
          <w:szCs w:val="24"/>
        </w:rPr>
      </w:pPr>
      <w:r>
        <w:rPr>
          <w:rFonts w:ascii="Arial" w:eastAsia="Arial" w:hAnsi="Arial" w:cs="Arial"/>
          <w:b/>
          <w:noProof/>
          <w:color w:val="000000"/>
          <w:sz w:val="24"/>
          <w:szCs w:val="24"/>
          <w:lang w:val="es-ES_tradnl"/>
        </w:rPr>
        <w:lastRenderedPageBreak/>
        <w:drawing>
          <wp:inline distT="0" distB="0" distL="0" distR="0" wp14:anchorId="30277527" wp14:editId="74C61914">
            <wp:extent cx="3154443" cy="2042642"/>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3154443" cy="2042642"/>
                    </a:xfrm>
                    <a:prstGeom prst="rect">
                      <a:avLst/>
                    </a:prstGeom>
                    <a:ln/>
                  </pic:spPr>
                </pic:pic>
              </a:graphicData>
            </a:graphic>
          </wp:inline>
        </w:drawing>
      </w:r>
    </w:p>
    <w:p w14:paraId="07C53888"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Esta situación es preocupante por varias razones. Primero, según el Ministerio de Hacienda (2020) el 86% de las regalías se originan por la producción de hidrocarburos, principalmente petróleo y carbón. Esto implica que la caída en la producción de estos bienes reducirá el presupuesto de regalías y generará una depreciación en la tasa de cambio. En la siguiente gráfica se observa que el presupuesto de regalías tiene una tendencia a la baja como porcentaje del PIB. Esta situación afectará de manera importante a las regiones productoras y a las regiones que tienen fuerte dependencia en estos recursos.</w:t>
      </w:r>
    </w:p>
    <w:p w14:paraId="34166F6E" w14:textId="77777777" w:rsidR="0079172B" w:rsidRDefault="00A54579">
      <w:pPr>
        <w:spacing w:line="276" w:lineRule="auto"/>
        <w:jc w:val="center"/>
        <w:rPr>
          <w:rFonts w:ascii="Arial" w:eastAsia="Arial" w:hAnsi="Arial" w:cs="Arial"/>
          <w:b/>
          <w:color w:val="000000"/>
          <w:sz w:val="24"/>
          <w:szCs w:val="24"/>
        </w:rPr>
      </w:pPr>
      <w:r>
        <w:rPr>
          <w:rFonts w:ascii="Arial" w:eastAsia="Arial" w:hAnsi="Arial" w:cs="Arial"/>
          <w:b/>
          <w:color w:val="000000"/>
          <w:sz w:val="24"/>
          <w:szCs w:val="24"/>
        </w:rPr>
        <w:t>Gráfic</w:t>
      </w:r>
      <w:r>
        <w:rPr>
          <w:rFonts w:ascii="Arial" w:eastAsia="Arial" w:hAnsi="Arial" w:cs="Arial"/>
          <w:b/>
          <w:sz w:val="24"/>
          <w:szCs w:val="24"/>
        </w:rPr>
        <w:t>o 4.</w:t>
      </w:r>
      <w:r>
        <w:rPr>
          <w:rFonts w:ascii="Arial" w:eastAsia="Arial" w:hAnsi="Arial" w:cs="Arial"/>
          <w:b/>
          <w:color w:val="000000"/>
          <w:sz w:val="24"/>
          <w:szCs w:val="24"/>
        </w:rPr>
        <w:t xml:space="preserve"> Participación del presupuesto de regalías en el PIB 2019-2028.</w:t>
      </w:r>
    </w:p>
    <w:p w14:paraId="5BBDA760" w14:textId="77777777" w:rsidR="0079172B" w:rsidRDefault="0079172B">
      <w:pPr>
        <w:spacing w:line="276" w:lineRule="auto"/>
        <w:jc w:val="center"/>
        <w:rPr>
          <w:rFonts w:ascii="Arial" w:eastAsia="Arial" w:hAnsi="Arial" w:cs="Arial"/>
          <w:b/>
          <w:color w:val="000000"/>
          <w:sz w:val="24"/>
          <w:szCs w:val="24"/>
        </w:rPr>
      </w:pPr>
    </w:p>
    <w:p w14:paraId="15CAF49B" w14:textId="77777777" w:rsidR="0079172B" w:rsidRDefault="00A54579">
      <w:pPr>
        <w:spacing w:line="276" w:lineRule="auto"/>
        <w:jc w:val="center"/>
        <w:rPr>
          <w:rFonts w:ascii="Arial" w:eastAsia="Arial" w:hAnsi="Arial" w:cs="Arial"/>
          <w:color w:val="000000"/>
          <w:sz w:val="24"/>
          <w:szCs w:val="24"/>
        </w:rPr>
      </w:pPr>
      <w:r>
        <w:rPr>
          <w:rFonts w:ascii="Arial" w:eastAsia="Arial" w:hAnsi="Arial" w:cs="Arial"/>
          <w:noProof/>
          <w:color w:val="000000"/>
          <w:sz w:val="24"/>
          <w:szCs w:val="24"/>
          <w:lang w:val="es-ES_tradnl"/>
        </w:rPr>
        <w:drawing>
          <wp:inline distT="0" distB="0" distL="0" distR="0" wp14:anchorId="6EBD1225" wp14:editId="666DF546">
            <wp:extent cx="4559035" cy="2209878"/>
            <wp:effectExtent l="0" t="0" r="0" b="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4559035" cy="2209878"/>
                    </a:xfrm>
                    <a:prstGeom prst="rect">
                      <a:avLst/>
                    </a:prstGeom>
                    <a:ln/>
                  </pic:spPr>
                </pic:pic>
              </a:graphicData>
            </a:graphic>
          </wp:inline>
        </w:drawing>
      </w:r>
    </w:p>
    <w:p w14:paraId="261692E9"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El segundo elemento preocupante es que se va afectar la tasa de cambio. Según las proyecciones del Ministerio de Hacienda la tasa de cambio tiene una tendencia a la depreciación.</w:t>
      </w:r>
    </w:p>
    <w:p w14:paraId="4B0EBBC0" w14:textId="77777777" w:rsidR="0079172B" w:rsidRDefault="0079172B">
      <w:pPr>
        <w:spacing w:line="276" w:lineRule="auto"/>
        <w:jc w:val="both"/>
        <w:rPr>
          <w:rFonts w:ascii="Arial" w:eastAsia="Arial" w:hAnsi="Arial" w:cs="Arial"/>
          <w:sz w:val="24"/>
          <w:szCs w:val="24"/>
        </w:rPr>
      </w:pPr>
    </w:p>
    <w:p w14:paraId="0F459D0E" w14:textId="77777777" w:rsidR="0079172B" w:rsidRDefault="0079172B">
      <w:pPr>
        <w:spacing w:line="276" w:lineRule="auto"/>
        <w:jc w:val="both"/>
        <w:rPr>
          <w:rFonts w:ascii="Arial" w:eastAsia="Arial" w:hAnsi="Arial" w:cs="Arial"/>
          <w:sz w:val="24"/>
          <w:szCs w:val="24"/>
        </w:rPr>
      </w:pPr>
    </w:p>
    <w:p w14:paraId="7CA6CF90" w14:textId="77777777" w:rsidR="0079172B" w:rsidRDefault="00A54579">
      <w:pPr>
        <w:spacing w:line="276" w:lineRule="auto"/>
        <w:jc w:val="center"/>
        <w:rPr>
          <w:rFonts w:ascii="Arial" w:eastAsia="Arial" w:hAnsi="Arial" w:cs="Arial"/>
          <w:b/>
          <w:color w:val="000000"/>
          <w:sz w:val="24"/>
          <w:szCs w:val="24"/>
        </w:rPr>
      </w:pPr>
      <w:r>
        <w:rPr>
          <w:rFonts w:ascii="Arial" w:eastAsia="Arial" w:hAnsi="Arial" w:cs="Arial"/>
          <w:b/>
          <w:color w:val="000000"/>
          <w:sz w:val="24"/>
          <w:szCs w:val="24"/>
        </w:rPr>
        <w:lastRenderedPageBreak/>
        <w:t>Gráfic</w:t>
      </w:r>
      <w:r>
        <w:rPr>
          <w:rFonts w:ascii="Arial" w:eastAsia="Arial" w:hAnsi="Arial" w:cs="Arial"/>
          <w:b/>
          <w:sz w:val="24"/>
          <w:szCs w:val="24"/>
        </w:rPr>
        <w:t>o 5.</w:t>
      </w:r>
      <w:r>
        <w:rPr>
          <w:rFonts w:ascii="Arial" w:eastAsia="Arial" w:hAnsi="Arial" w:cs="Arial"/>
          <w:b/>
          <w:color w:val="000000"/>
          <w:sz w:val="24"/>
          <w:szCs w:val="24"/>
        </w:rPr>
        <w:t xml:space="preserve"> Tasa de cambio COP-USD 2019-2030.</w:t>
      </w:r>
    </w:p>
    <w:p w14:paraId="2675D155" w14:textId="77777777" w:rsidR="0079172B" w:rsidRDefault="00A54579">
      <w:pPr>
        <w:spacing w:line="276" w:lineRule="auto"/>
        <w:jc w:val="center"/>
        <w:rPr>
          <w:rFonts w:ascii="Arial" w:eastAsia="Arial" w:hAnsi="Arial" w:cs="Arial"/>
          <w:color w:val="000000"/>
          <w:sz w:val="24"/>
          <w:szCs w:val="24"/>
        </w:rPr>
      </w:pPr>
      <w:r>
        <w:rPr>
          <w:rFonts w:ascii="Arial" w:eastAsia="Arial" w:hAnsi="Arial" w:cs="Arial"/>
          <w:noProof/>
          <w:color w:val="000000"/>
          <w:sz w:val="24"/>
          <w:szCs w:val="24"/>
          <w:lang w:val="es-ES_tradnl"/>
        </w:rPr>
        <w:drawing>
          <wp:inline distT="0" distB="0" distL="0" distR="0" wp14:anchorId="2367648F" wp14:editId="50898B87">
            <wp:extent cx="2544891" cy="1503381"/>
            <wp:effectExtent l="0" t="0" r="0" b="0"/>
            <wp:docPr id="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2544891" cy="1503381"/>
                    </a:xfrm>
                    <a:prstGeom prst="rect">
                      <a:avLst/>
                    </a:prstGeom>
                    <a:ln/>
                  </pic:spPr>
                </pic:pic>
              </a:graphicData>
            </a:graphic>
          </wp:inline>
        </w:drawing>
      </w:r>
    </w:p>
    <w:p w14:paraId="10EC73D6" w14:textId="77777777" w:rsidR="0079172B" w:rsidRDefault="00A54579">
      <w:pPr>
        <w:spacing w:line="276" w:lineRule="auto"/>
        <w:ind w:firstLine="708"/>
        <w:rPr>
          <w:rFonts w:ascii="Arial" w:eastAsia="Arial" w:hAnsi="Arial" w:cs="Arial"/>
          <w:color w:val="000000"/>
          <w:sz w:val="24"/>
          <w:szCs w:val="24"/>
        </w:rPr>
      </w:pPr>
      <w:r>
        <w:rPr>
          <w:rFonts w:ascii="Arial" w:eastAsia="Arial" w:hAnsi="Arial" w:cs="Arial"/>
          <w:color w:val="000000"/>
          <w:sz w:val="24"/>
          <w:szCs w:val="24"/>
        </w:rPr>
        <w:t>Fuente: Ministerio de Hacienda (2020)</w:t>
      </w:r>
    </w:p>
    <w:p w14:paraId="5A2496EE" w14:textId="77777777" w:rsidR="0079172B" w:rsidRDefault="0079172B">
      <w:pPr>
        <w:spacing w:line="276" w:lineRule="auto"/>
        <w:rPr>
          <w:rFonts w:ascii="Arial" w:eastAsia="Arial" w:hAnsi="Arial" w:cs="Arial"/>
          <w:color w:val="000000"/>
          <w:sz w:val="24"/>
          <w:szCs w:val="24"/>
        </w:rPr>
      </w:pPr>
    </w:p>
    <w:p w14:paraId="48BF1F86"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Esta situación va a tener un efecto adverso sobre la economía colombiana. Dado que 81% </w:t>
      </w:r>
      <w:r>
        <w:rPr>
          <w:rFonts w:ascii="Arial" w:eastAsia="Arial" w:hAnsi="Arial" w:cs="Arial"/>
          <w:sz w:val="24"/>
          <w:szCs w:val="24"/>
        </w:rPr>
        <w:t>de las importaciones</w:t>
      </w:r>
      <w:r>
        <w:rPr>
          <w:rFonts w:ascii="Arial" w:eastAsia="Arial" w:hAnsi="Arial" w:cs="Arial"/>
          <w:color w:val="000000"/>
          <w:sz w:val="24"/>
          <w:szCs w:val="24"/>
        </w:rPr>
        <w:t xml:space="preserve"> son bienes de capital (29,9%) o bienes intermedios (45,9%), se va a encarecer la producción en el país lo que se traducirá en dos efectos, menor producción por afectación en la tasa de ganancia y/o mayor inflación. </w:t>
      </w:r>
    </w:p>
    <w:p w14:paraId="67292335" w14:textId="77777777" w:rsidR="0079172B" w:rsidRDefault="0079172B">
      <w:pPr>
        <w:spacing w:line="276" w:lineRule="auto"/>
        <w:jc w:val="both"/>
        <w:rPr>
          <w:rFonts w:ascii="Arial" w:eastAsia="Arial" w:hAnsi="Arial" w:cs="Arial"/>
          <w:color w:val="000000"/>
          <w:sz w:val="24"/>
          <w:szCs w:val="24"/>
        </w:rPr>
      </w:pPr>
    </w:p>
    <w:p w14:paraId="303885B1"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Finalmente, si se proyecta una caída en la producción de petróleo, existirá, un impacto negativo sobre las exportaciones del país. Para que esto no suceda, se necesitará que aumente de forma importante el precio de crudo del barril. Pero, esta decisión no está en manos de Colombia, por lo que el Gobierno debe tener un plan estratégico para suplir la caída de la producción de hidrocarburos. </w:t>
      </w:r>
    </w:p>
    <w:p w14:paraId="036D9E30" w14:textId="77777777" w:rsidR="0079172B" w:rsidRDefault="0079172B">
      <w:pPr>
        <w:spacing w:line="276" w:lineRule="auto"/>
        <w:jc w:val="both"/>
        <w:rPr>
          <w:rFonts w:ascii="Arial" w:eastAsia="Arial" w:hAnsi="Arial" w:cs="Arial"/>
          <w:color w:val="000000"/>
          <w:sz w:val="24"/>
          <w:szCs w:val="24"/>
        </w:rPr>
      </w:pPr>
    </w:p>
    <w:p w14:paraId="1F5A4479"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Ahora bien, el bienio 2018-2019 contó con el presupuesto más alto de regalías. A pesar de este beneficio, no se logró generar una transición energética ni productiva en el país. </w:t>
      </w:r>
      <w:r>
        <w:rPr>
          <w:rFonts w:ascii="Arial" w:eastAsia="Arial" w:hAnsi="Arial" w:cs="Arial"/>
          <w:sz w:val="24"/>
          <w:szCs w:val="24"/>
        </w:rPr>
        <w:t>Para inicios del período de Gobierno del presidente Duque, el 34,7% de las exportaciones eran no tradicionales (Dane, 2020). Para Diciembre de 2019 esta cifra se ubicaba en 35,3%. Básicamente, se mantiene constante con una ligera alza. Es entendible que hacer esta transición toma tiempo, pero lo  preocupante es que las exportaciones no tradicionales aumentan su participación por la caída de las exportaciones de petróleo y de carbón.</w:t>
      </w:r>
    </w:p>
    <w:p w14:paraId="65018FCD" w14:textId="77777777" w:rsidR="0079172B" w:rsidRDefault="0079172B">
      <w:pPr>
        <w:spacing w:before="280" w:after="280" w:line="276" w:lineRule="auto"/>
        <w:jc w:val="both"/>
        <w:rPr>
          <w:rFonts w:ascii="Arial" w:eastAsia="Arial" w:hAnsi="Arial" w:cs="Arial"/>
          <w:sz w:val="24"/>
          <w:szCs w:val="24"/>
        </w:rPr>
      </w:pPr>
    </w:p>
    <w:p w14:paraId="07F68E02" w14:textId="77777777" w:rsidR="0079172B" w:rsidRDefault="0079172B">
      <w:pPr>
        <w:spacing w:before="280" w:after="280" w:line="276" w:lineRule="auto"/>
        <w:jc w:val="both"/>
        <w:rPr>
          <w:rFonts w:ascii="Arial" w:eastAsia="Arial" w:hAnsi="Arial" w:cs="Arial"/>
          <w:sz w:val="24"/>
          <w:szCs w:val="24"/>
        </w:rPr>
      </w:pPr>
    </w:p>
    <w:p w14:paraId="18B290BC" w14:textId="77777777" w:rsidR="004F5B51" w:rsidRDefault="004F5B51">
      <w:pPr>
        <w:spacing w:before="280" w:after="280" w:line="276" w:lineRule="auto"/>
        <w:jc w:val="both"/>
        <w:rPr>
          <w:rFonts w:ascii="Arial" w:eastAsia="Arial" w:hAnsi="Arial" w:cs="Arial"/>
          <w:sz w:val="24"/>
          <w:szCs w:val="24"/>
        </w:rPr>
      </w:pPr>
    </w:p>
    <w:p w14:paraId="15674402" w14:textId="77777777" w:rsidR="0079172B" w:rsidRDefault="00A54579">
      <w:pPr>
        <w:spacing w:before="280" w:after="280" w:line="276" w:lineRule="auto"/>
        <w:jc w:val="center"/>
        <w:rPr>
          <w:rFonts w:ascii="Arial" w:eastAsia="Arial" w:hAnsi="Arial" w:cs="Arial"/>
          <w:b/>
          <w:sz w:val="24"/>
          <w:szCs w:val="24"/>
        </w:rPr>
      </w:pPr>
      <w:r>
        <w:rPr>
          <w:rFonts w:ascii="Arial" w:eastAsia="Arial" w:hAnsi="Arial" w:cs="Arial"/>
          <w:b/>
          <w:sz w:val="24"/>
          <w:szCs w:val="24"/>
        </w:rPr>
        <w:lastRenderedPageBreak/>
        <w:t>Gráfico 6. Crecimiento de las exportaciones 2018-2019 para Colombia.</w:t>
      </w:r>
    </w:p>
    <w:p w14:paraId="35A8ADAF" w14:textId="77777777" w:rsidR="0079172B" w:rsidRDefault="00A54579">
      <w:pPr>
        <w:spacing w:before="280" w:after="280" w:line="276" w:lineRule="auto"/>
        <w:jc w:val="center"/>
        <w:rPr>
          <w:rFonts w:ascii="Arial" w:eastAsia="Arial" w:hAnsi="Arial" w:cs="Arial"/>
          <w:sz w:val="24"/>
          <w:szCs w:val="24"/>
        </w:rPr>
      </w:pPr>
      <w:r>
        <w:rPr>
          <w:rFonts w:ascii="Arial" w:eastAsia="Arial" w:hAnsi="Arial" w:cs="Arial"/>
          <w:noProof/>
          <w:lang w:val="es-ES_tradnl"/>
        </w:rPr>
        <w:drawing>
          <wp:inline distT="0" distB="0" distL="0" distR="0" wp14:anchorId="47BAA21E" wp14:editId="5DEA3E33">
            <wp:extent cx="4572000" cy="2743200"/>
            <wp:effectExtent l="0" t="0" r="0" b="0"/>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31BEBD1" w14:textId="77777777" w:rsidR="0079172B" w:rsidRDefault="00A54579">
      <w:pPr>
        <w:spacing w:before="280" w:after="280" w:line="276" w:lineRule="auto"/>
        <w:rPr>
          <w:rFonts w:ascii="Arial" w:eastAsia="Arial" w:hAnsi="Arial" w:cs="Arial"/>
          <w:sz w:val="24"/>
          <w:szCs w:val="24"/>
        </w:rPr>
      </w:pPr>
      <w:r>
        <w:rPr>
          <w:rFonts w:ascii="Arial" w:eastAsia="Arial" w:hAnsi="Arial" w:cs="Arial"/>
          <w:sz w:val="24"/>
          <w:szCs w:val="24"/>
        </w:rPr>
        <w:t>Fuente: (Dane, 2020)</w:t>
      </w:r>
    </w:p>
    <w:p w14:paraId="01327138" w14:textId="77777777" w:rsidR="0079172B" w:rsidRDefault="0079172B">
      <w:pPr>
        <w:spacing w:line="276" w:lineRule="auto"/>
        <w:jc w:val="both"/>
        <w:rPr>
          <w:rFonts w:ascii="Arial" w:eastAsia="Arial" w:hAnsi="Arial" w:cs="Arial"/>
          <w:b/>
          <w:sz w:val="24"/>
          <w:szCs w:val="24"/>
        </w:rPr>
      </w:pPr>
    </w:p>
    <w:p w14:paraId="072E1EFB" w14:textId="77777777" w:rsidR="0079172B" w:rsidRDefault="00A54579">
      <w:pPr>
        <w:spacing w:line="276" w:lineRule="auto"/>
        <w:jc w:val="both"/>
        <w:rPr>
          <w:rFonts w:ascii="Arial" w:eastAsia="Arial" w:hAnsi="Arial" w:cs="Arial"/>
          <w:b/>
          <w:color w:val="000000"/>
          <w:sz w:val="24"/>
          <w:szCs w:val="24"/>
        </w:rPr>
      </w:pPr>
      <w:r>
        <w:rPr>
          <w:rFonts w:ascii="Arial" w:eastAsia="Arial" w:hAnsi="Arial" w:cs="Arial"/>
          <w:b/>
          <w:color w:val="000000"/>
          <w:sz w:val="24"/>
          <w:szCs w:val="24"/>
        </w:rPr>
        <w:t>Sobre el presupuesto de regalías</w:t>
      </w:r>
    </w:p>
    <w:p w14:paraId="0F67280E"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El Acto legislativo cambió la forma en que se </w:t>
      </w:r>
      <w:r>
        <w:rPr>
          <w:rFonts w:ascii="Arial" w:eastAsia="Arial" w:hAnsi="Arial" w:cs="Arial"/>
          <w:sz w:val="24"/>
          <w:szCs w:val="24"/>
        </w:rPr>
        <w:t>distribuyen</w:t>
      </w:r>
      <w:r>
        <w:rPr>
          <w:rFonts w:ascii="Arial" w:eastAsia="Arial" w:hAnsi="Arial" w:cs="Arial"/>
          <w:color w:val="000000"/>
          <w:sz w:val="24"/>
          <w:szCs w:val="24"/>
        </w:rPr>
        <w:t xml:space="preserve"> las regalías en el país. En la siguiente tabla se observa dicho cambio</w:t>
      </w:r>
    </w:p>
    <w:p w14:paraId="037847CA" w14:textId="77777777" w:rsidR="0079172B" w:rsidRDefault="0079172B">
      <w:pPr>
        <w:spacing w:line="276" w:lineRule="auto"/>
        <w:jc w:val="both"/>
        <w:rPr>
          <w:rFonts w:ascii="Arial" w:eastAsia="Arial" w:hAnsi="Arial" w:cs="Arial"/>
          <w:sz w:val="24"/>
          <w:szCs w:val="24"/>
        </w:rPr>
      </w:pPr>
    </w:p>
    <w:p w14:paraId="3866D009" w14:textId="77777777" w:rsidR="0079172B" w:rsidRDefault="00A54579">
      <w:pPr>
        <w:spacing w:line="276" w:lineRule="auto"/>
        <w:jc w:val="center"/>
        <w:rPr>
          <w:rFonts w:ascii="Arial" w:eastAsia="Arial" w:hAnsi="Arial" w:cs="Arial"/>
          <w:b/>
          <w:color w:val="000000"/>
          <w:sz w:val="24"/>
          <w:szCs w:val="24"/>
        </w:rPr>
      </w:pPr>
      <w:r>
        <w:rPr>
          <w:rFonts w:ascii="Arial" w:eastAsia="Arial" w:hAnsi="Arial" w:cs="Arial"/>
          <w:b/>
          <w:color w:val="000000"/>
          <w:sz w:val="24"/>
          <w:szCs w:val="24"/>
        </w:rPr>
        <w:t>Tabla</w:t>
      </w:r>
      <w:r>
        <w:rPr>
          <w:rFonts w:ascii="Arial" w:eastAsia="Arial" w:hAnsi="Arial" w:cs="Arial"/>
          <w:b/>
          <w:sz w:val="24"/>
          <w:szCs w:val="24"/>
        </w:rPr>
        <w:t xml:space="preserve"> 2. </w:t>
      </w:r>
      <w:r>
        <w:rPr>
          <w:rFonts w:ascii="Arial" w:eastAsia="Arial" w:hAnsi="Arial" w:cs="Arial"/>
          <w:b/>
          <w:color w:val="000000"/>
          <w:sz w:val="24"/>
          <w:szCs w:val="24"/>
        </w:rPr>
        <w:t xml:space="preserve"> Distribución de los recursos de regalías antes y después del acto legislativo de 2019.</w:t>
      </w:r>
    </w:p>
    <w:p w14:paraId="5B47BB94" w14:textId="77777777" w:rsidR="0079172B" w:rsidRDefault="00A54579">
      <w:pPr>
        <w:spacing w:line="276" w:lineRule="auto"/>
        <w:jc w:val="center"/>
        <w:rPr>
          <w:rFonts w:ascii="Arial" w:eastAsia="Arial" w:hAnsi="Arial" w:cs="Arial"/>
          <w:b/>
          <w:color w:val="000000"/>
          <w:sz w:val="24"/>
          <w:szCs w:val="24"/>
        </w:rPr>
      </w:pPr>
      <w:r>
        <w:rPr>
          <w:rFonts w:ascii="Arial" w:eastAsia="Arial" w:hAnsi="Arial" w:cs="Arial"/>
          <w:b/>
          <w:noProof/>
          <w:color w:val="000000"/>
          <w:sz w:val="24"/>
          <w:szCs w:val="24"/>
          <w:lang w:val="es-ES_tradnl"/>
        </w:rPr>
        <w:drawing>
          <wp:inline distT="0" distB="0" distL="0" distR="0" wp14:anchorId="7E611A8B" wp14:editId="6E44358A">
            <wp:extent cx="3143432" cy="1883283"/>
            <wp:effectExtent l="0" t="0" r="0" b="0"/>
            <wp:docPr id="34" name="image5.png" descr="../Desktop/Captura%20de%20pantalla%202020-10-30%20a%20las%209.23.33%20a.m..png"/>
            <wp:cNvGraphicFramePr/>
            <a:graphic xmlns:a="http://schemas.openxmlformats.org/drawingml/2006/main">
              <a:graphicData uri="http://schemas.openxmlformats.org/drawingml/2006/picture">
                <pic:pic xmlns:pic="http://schemas.openxmlformats.org/drawingml/2006/picture">
                  <pic:nvPicPr>
                    <pic:cNvPr id="0" name="image5.png" descr="../Desktop/Captura%20de%20pantalla%202020-10-30%20a%20las%209.23.33%20a.m..png"/>
                    <pic:cNvPicPr preferRelativeResize="0"/>
                  </pic:nvPicPr>
                  <pic:blipFill>
                    <a:blip r:embed="rId16"/>
                    <a:srcRect/>
                    <a:stretch>
                      <a:fillRect/>
                    </a:stretch>
                  </pic:blipFill>
                  <pic:spPr>
                    <a:xfrm>
                      <a:off x="0" y="0"/>
                      <a:ext cx="3143432" cy="1883283"/>
                    </a:xfrm>
                    <a:prstGeom prst="rect">
                      <a:avLst/>
                    </a:prstGeom>
                    <a:ln/>
                  </pic:spPr>
                </pic:pic>
              </a:graphicData>
            </a:graphic>
          </wp:inline>
        </w:drawing>
      </w:r>
    </w:p>
    <w:p w14:paraId="69F3F7E0"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Se buscaba con este acto legislativo compensar a las regiones productoras. A su vez se redujeron gastos de administración, se redujo el porcentaje del ahorro, se </w:t>
      </w:r>
      <w:r>
        <w:rPr>
          <w:rFonts w:ascii="Arial" w:eastAsia="Arial" w:hAnsi="Arial" w:cs="Arial"/>
          <w:sz w:val="24"/>
          <w:szCs w:val="24"/>
        </w:rPr>
        <w:t>dirigieron</w:t>
      </w:r>
      <w:r>
        <w:rPr>
          <w:rFonts w:ascii="Arial" w:eastAsia="Arial" w:hAnsi="Arial" w:cs="Arial"/>
          <w:color w:val="000000"/>
          <w:sz w:val="24"/>
          <w:szCs w:val="24"/>
        </w:rPr>
        <w:t xml:space="preserve"> los recursos a municipios más pobres y se </w:t>
      </w:r>
      <w:r>
        <w:rPr>
          <w:rFonts w:ascii="Arial" w:eastAsia="Arial" w:hAnsi="Arial" w:cs="Arial"/>
          <w:sz w:val="24"/>
          <w:szCs w:val="24"/>
        </w:rPr>
        <w:t>creó</w:t>
      </w:r>
      <w:r>
        <w:rPr>
          <w:rFonts w:ascii="Arial" w:eastAsia="Arial" w:hAnsi="Arial" w:cs="Arial"/>
          <w:color w:val="000000"/>
          <w:sz w:val="24"/>
          <w:szCs w:val="24"/>
        </w:rPr>
        <w:t xml:space="preserve"> una asignación ambiental. </w:t>
      </w:r>
    </w:p>
    <w:p w14:paraId="4F7947C8"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color w:val="000000"/>
          <w:sz w:val="24"/>
          <w:szCs w:val="24"/>
        </w:rPr>
        <w:t xml:space="preserve">En la siguiente tabla se observa el ingreso del presupuesto de regalías para el bienio 2021-2022. </w:t>
      </w:r>
    </w:p>
    <w:p w14:paraId="7AC3A3B6" w14:textId="77777777" w:rsidR="0079172B" w:rsidRDefault="0079172B">
      <w:pPr>
        <w:spacing w:line="276" w:lineRule="auto"/>
        <w:jc w:val="both"/>
        <w:rPr>
          <w:rFonts w:ascii="Arial" w:eastAsia="Arial" w:hAnsi="Arial" w:cs="Arial"/>
          <w:sz w:val="24"/>
          <w:szCs w:val="24"/>
        </w:rPr>
      </w:pPr>
    </w:p>
    <w:p w14:paraId="3E6C7813" w14:textId="77777777" w:rsidR="0079172B" w:rsidRDefault="00A54579">
      <w:pPr>
        <w:spacing w:line="276" w:lineRule="auto"/>
        <w:jc w:val="center"/>
        <w:rPr>
          <w:rFonts w:ascii="Arial" w:eastAsia="Arial" w:hAnsi="Arial" w:cs="Arial"/>
          <w:b/>
          <w:color w:val="000000"/>
          <w:sz w:val="24"/>
          <w:szCs w:val="24"/>
        </w:rPr>
      </w:pPr>
      <w:r>
        <w:rPr>
          <w:rFonts w:ascii="Arial" w:eastAsia="Arial" w:hAnsi="Arial" w:cs="Arial"/>
          <w:b/>
          <w:color w:val="000000"/>
          <w:sz w:val="24"/>
          <w:szCs w:val="24"/>
        </w:rPr>
        <w:t xml:space="preserve">Tabla 3. Ingresos del </w:t>
      </w:r>
      <w:r>
        <w:rPr>
          <w:rFonts w:ascii="Arial" w:eastAsia="Arial" w:hAnsi="Arial" w:cs="Arial"/>
          <w:b/>
          <w:sz w:val="24"/>
          <w:szCs w:val="24"/>
        </w:rPr>
        <w:t>presupuesto</w:t>
      </w:r>
      <w:r>
        <w:rPr>
          <w:rFonts w:ascii="Arial" w:eastAsia="Arial" w:hAnsi="Arial" w:cs="Arial"/>
          <w:b/>
          <w:color w:val="000000"/>
          <w:sz w:val="24"/>
          <w:szCs w:val="24"/>
        </w:rPr>
        <w:t xml:space="preserve"> de regalías 2021-2022.</w:t>
      </w:r>
    </w:p>
    <w:p w14:paraId="62474D96" w14:textId="77777777" w:rsidR="0079172B" w:rsidRDefault="00A54579">
      <w:pPr>
        <w:spacing w:line="276" w:lineRule="auto"/>
        <w:jc w:val="center"/>
        <w:rPr>
          <w:rFonts w:ascii="Arial" w:eastAsia="Arial" w:hAnsi="Arial" w:cs="Arial"/>
          <w:b/>
          <w:color w:val="000000"/>
          <w:sz w:val="24"/>
          <w:szCs w:val="24"/>
        </w:rPr>
      </w:pPr>
      <w:r>
        <w:rPr>
          <w:rFonts w:ascii="Arial" w:eastAsia="Arial" w:hAnsi="Arial" w:cs="Arial"/>
          <w:b/>
          <w:noProof/>
          <w:color w:val="000000"/>
          <w:sz w:val="24"/>
          <w:szCs w:val="24"/>
          <w:lang w:val="es-ES_tradnl"/>
        </w:rPr>
        <w:drawing>
          <wp:inline distT="0" distB="0" distL="0" distR="0" wp14:anchorId="49C6D077" wp14:editId="6B383D45">
            <wp:extent cx="2761048" cy="952809"/>
            <wp:effectExtent l="0" t="0" r="0" b="0"/>
            <wp:docPr id="36" name="image7.png" descr="../Desktop/Captura%20de%20pantalla%202020-10-30%20a%20las%209.20.53%20a.m..png"/>
            <wp:cNvGraphicFramePr/>
            <a:graphic xmlns:a="http://schemas.openxmlformats.org/drawingml/2006/main">
              <a:graphicData uri="http://schemas.openxmlformats.org/drawingml/2006/picture">
                <pic:pic xmlns:pic="http://schemas.openxmlformats.org/drawingml/2006/picture">
                  <pic:nvPicPr>
                    <pic:cNvPr id="0" name="image7.png" descr="../Desktop/Captura%20de%20pantalla%202020-10-30%20a%20las%209.20.53%20a.m..png"/>
                    <pic:cNvPicPr preferRelativeResize="0"/>
                  </pic:nvPicPr>
                  <pic:blipFill>
                    <a:blip r:embed="rId17"/>
                    <a:srcRect/>
                    <a:stretch>
                      <a:fillRect/>
                    </a:stretch>
                  </pic:blipFill>
                  <pic:spPr>
                    <a:xfrm>
                      <a:off x="0" y="0"/>
                      <a:ext cx="2761048" cy="952809"/>
                    </a:xfrm>
                    <a:prstGeom prst="rect">
                      <a:avLst/>
                    </a:prstGeom>
                    <a:ln/>
                  </pic:spPr>
                </pic:pic>
              </a:graphicData>
            </a:graphic>
          </wp:inline>
        </w:drawing>
      </w:r>
    </w:p>
    <w:p w14:paraId="647867C7" w14:textId="77777777" w:rsidR="0079172B" w:rsidRDefault="00A54579">
      <w:pPr>
        <w:spacing w:line="276" w:lineRule="auto"/>
        <w:jc w:val="both"/>
        <w:rPr>
          <w:rFonts w:ascii="Arial" w:eastAsia="Arial" w:hAnsi="Arial" w:cs="Arial"/>
          <w:color w:val="000000"/>
          <w:sz w:val="24"/>
          <w:szCs w:val="24"/>
        </w:rPr>
      </w:pPr>
      <w:r>
        <w:rPr>
          <w:rFonts w:ascii="Arial" w:eastAsia="Arial" w:hAnsi="Arial" w:cs="Arial"/>
          <w:b/>
          <w:color w:val="000000"/>
          <w:sz w:val="24"/>
          <w:szCs w:val="24"/>
        </w:rPr>
        <w:tab/>
      </w:r>
      <w:r>
        <w:rPr>
          <w:rFonts w:ascii="Arial" w:eastAsia="Arial" w:hAnsi="Arial" w:cs="Arial"/>
          <w:b/>
          <w:color w:val="000000"/>
          <w:sz w:val="24"/>
          <w:szCs w:val="24"/>
        </w:rPr>
        <w:tab/>
      </w:r>
      <w:r>
        <w:rPr>
          <w:rFonts w:ascii="Arial" w:eastAsia="Arial" w:hAnsi="Arial" w:cs="Arial"/>
          <w:color w:val="000000"/>
          <w:sz w:val="24"/>
          <w:szCs w:val="24"/>
        </w:rPr>
        <w:t>Fuente: (Min Hacienda, 2020)</w:t>
      </w:r>
    </w:p>
    <w:p w14:paraId="7A3239E5" w14:textId="77777777" w:rsidR="0079172B" w:rsidRDefault="00A54579">
      <w:pPr>
        <w:spacing w:before="280" w:after="280" w:line="276" w:lineRule="auto"/>
        <w:jc w:val="both"/>
        <w:rPr>
          <w:rFonts w:ascii="Arial" w:eastAsia="Arial" w:hAnsi="Arial" w:cs="Arial"/>
          <w:sz w:val="24"/>
          <w:szCs w:val="24"/>
        </w:rPr>
      </w:pPr>
      <w:r>
        <w:rPr>
          <w:rFonts w:ascii="Arial" w:eastAsia="Arial" w:hAnsi="Arial" w:cs="Arial"/>
          <w:sz w:val="24"/>
          <w:szCs w:val="24"/>
        </w:rPr>
        <w:t>Este presupuesto proyecta tener una disminución del ingreso en 16,9% respecto al bienio 2018-2019. En la siguiente tabla se observa la distribución en recursos nominales para cada una de las asignaciones</w:t>
      </w:r>
    </w:p>
    <w:p w14:paraId="73E40903" w14:textId="77777777" w:rsidR="0079172B" w:rsidRDefault="00A54579">
      <w:pPr>
        <w:spacing w:before="280" w:after="280" w:line="276" w:lineRule="auto"/>
        <w:jc w:val="center"/>
        <w:rPr>
          <w:rFonts w:ascii="Arial" w:eastAsia="Arial" w:hAnsi="Arial" w:cs="Arial"/>
          <w:b/>
          <w:sz w:val="24"/>
          <w:szCs w:val="24"/>
        </w:rPr>
      </w:pPr>
      <w:r>
        <w:rPr>
          <w:rFonts w:ascii="Arial" w:eastAsia="Arial" w:hAnsi="Arial" w:cs="Arial"/>
          <w:b/>
          <w:sz w:val="24"/>
          <w:szCs w:val="24"/>
        </w:rPr>
        <w:t>Tabla 4. Distribución de los recursos de regalías bienio 2021-2022.</w:t>
      </w:r>
    </w:p>
    <w:p w14:paraId="0E3ABDFD" w14:textId="77777777" w:rsidR="0079172B" w:rsidRDefault="00A54579">
      <w:pPr>
        <w:spacing w:before="280" w:after="280" w:line="276" w:lineRule="auto"/>
        <w:jc w:val="center"/>
        <w:rPr>
          <w:rFonts w:ascii="Arial" w:eastAsia="Arial" w:hAnsi="Arial" w:cs="Arial"/>
          <w:sz w:val="24"/>
          <w:szCs w:val="24"/>
        </w:rPr>
      </w:pPr>
      <w:r>
        <w:rPr>
          <w:rFonts w:ascii="Arial" w:eastAsia="Arial" w:hAnsi="Arial" w:cs="Arial"/>
          <w:noProof/>
          <w:sz w:val="24"/>
          <w:szCs w:val="24"/>
          <w:lang w:val="es-ES_tradnl"/>
        </w:rPr>
        <w:drawing>
          <wp:inline distT="0" distB="0" distL="0" distR="0" wp14:anchorId="67936A50" wp14:editId="1D626EC8">
            <wp:extent cx="2775360" cy="2628311"/>
            <wp:effectExtent l="0" t="0" r="0" b="0"/>
            <wp:docPr id="35" name="image4.png" descr="../Desktop/Captura%20de%20pantalla%202020-10-30%20a%20las%209.28.56%20a.m..png"/>
            <wp:cNvGraphicFramePr/>
            <a:graphic xmlns:a="http://schemas.openxmlformats.org/drawingml/2006/main">
              <a:graphicData uri="http://schemas.openxmlformats.org/drawingml/2006/picture">
                <pic:pic xmlns:pic="http://schemas.openxmlformats.org/drawingml/2006/picture">
                  <pic:nvPicPr>
                    <pic:cNvPr id="0" name="image4.png" descr="../Desktop/Captura%20de%20pantalla%202020-10-30%20a%20las%209.28.56%20a.m..png"/>
                    <pic:cNvPicPr preferRelativeResize="0"/>
                  </pic:nvPicPr>
                  <pic:blipFill>
                    <a:blip r:embed="rId18"/>
                    <a:srcRect/>
                    <a:stretch>
                      <a:fillRect/>
                    </a:stretch>
                  </pic:blipFill>
                  <pic:spPr>
                    <a:xfrm>
                      <a:off x="0" y="0"/>
                      <a:ext cx="2775360" cy="2628311"/>
                    </a:xfrm>
                    <a:prstGeom prst="rect">
                      <a:avLst/>
                    </a:prstGeom>
                    <a:ln/>
                  </pic:spPr>
                </pic:pic>
              </a:graphicData>
            </a:graphic>
          </wp:inline>
        </w:drawing>
      </w:r>
    </w:p>
    <w:p w14:paraId="7E975D29" w14:textId="77777777" w:rsidR="0079172B" w:rsidRDefault="0079172B">
      <w:pPr>
        <w:spacing w:before="280" w:after="280" w:line="276" w:lineRule="auto"/>
        <w:rPr>
          <w:rFonts w:ascii="Arial" w:eastAsia="Arial" w:hAnsi="Arial" w:cs="Arial"/>
          <w:sz w:val="24"/>
          <w:szCs w:val="24"/>
        </w:rPr>
      </w:pPr>
    </w:p>
    <w:p w14:paraId="0FDDEE53" w14:textId="77777777" w:rsidR="0079172B" w:rsidRDefault="0079172B">
      <w:pPr>
        <w:spacing w:before="280" w:after="280" w:line="276" w:lineRule="auto"/>
        <w:rPr>
          <w:rFonts w:ascii="Arial" w:eastAsia="Arial" w:hAnsi="Arial" w:cs="Arial"/>
          <w:sz w:val="24"/>
          <w:szCs w:val="24"/>
        </w:rPr>
      </w:pPr>
    </w:p>
    <w:p w14:paraId="500CA684" w14:textId="77777777" w:rsidR="0079172B" w:rsidRDefault="0079172B">
      <w:pPr>
        <w:spacing w:before="280" w:after="280" w:line="276" w:lineRule="auto"/>
        <w:rPr>
          <w:rFonts w:ascii="Arial" w:eastAsia="Arial" w:hAnsi="Arial" w:cs="Arial"/>
          <w:sz w:val="24"/>
          <w:szCs w:val="24"/>
        </w:rPr>
      </w:pPr>
    </w:p>
    <w:p w14:paraId="105CF0EB" w14:textId="77777777" w:rsidR="0079172B" w:rsidRDefault="00A54579">
      <w:pPr>
        <w:spacing w:before="280" w:after="280" w:line="276" w:lineRule="auto"/>
        <w:jc w:val="center"/>
        <w:rPr>
          <w:rFonts w:ascii="Arial" w:eastAsia="Arial" w:hAnsi="Arial" w:cs="Arial"/>
          <w:b/>
          <w:sz w:val="24"/>
          <w:szCs w:val="24"/>
        </w:rPr>
      </w:pPr>
      <w:r>
        <w:rPr>
          <w:rFonts w:ascii="Arial" w:eastAsia="Arial" w:hAnsi="Arial" w:cs="Arial"/>
          <w:b/>
          <w:sz w:val="24"/>
          <w:szCs w:val="24"/>
        </w:rPr>
        <w:t>Tabla 5. Asignaciones de los rendimientos financieros 2021-2022.</w:t>
      </w:r>
    </w:p>
    <w:p w14:paraId="58932E7A" w14:textId="77777777" w:rsidR="0079172B" w:rsidRDefault="00A54579">
      <w:pPr>
        <w:spacing w:before="280" w:after="280" w:line="276" w:lineRule="auto"/>
        <w:jc w:val="center"/>
        <w:rPr>
          <w:rFonts w:ascii="Arial" w:eastAsia="Arial" w:hAnsi="Arial" w:cs="Arial"/>
          <w:sz w:val="24"/>
          <w:szCs w:val="24"/>
        </w:rPr>
      </w:pPr>
      <w:bookmarkStart w:id="2" w:name="_heading=h.1fob9te" w:colFirst="0" w:colLast="0"/>
      <w:bookmarkEnd w:id="2"/>
      <w:r>
        <w:rPr>
          <w:rFonts w:ascii="Arial" w:eastAsia="Arial" w:hAnsi="Arial" w:cs="Arial"/>
          <w:noProof/>
          <w:sz w:val="24"/>
          <w:szCs w:val="24"/>
          <w:lang w:val="es-ES_tradnl"/>
        </w:rPr>
        <w:drawing>
          <wp:inline distT="0" distB="0" distL="0" distR="0" wp14:anchorId="6440C1D3" wp14:editId="2358AD52">
            <wp:extent cx="3680207" cy="1425753"/>
            <wp:effectExtent l="0" t="0" r="0" b="0"/>
            <wp:docPr id="37" name="image9.png" descr="../Desktop/Captura%20de%20pantalla%202020-10-30%20a%20las%209.31.46%20a.m..png"/>
            <wp:cNvGraphicFramePr/>
            <a:graphic xmlns:a="http://schemas.openxmlformats.org/drawingml/2006/main">
              <a:graphicData uri="http://schemas.openxmlformats.org/drawingml/2006/picture">
                <pic:pic xmlns:pic="http://schemas.openxmlformats.org/drawingml/2006/picture">
                  <pic:nvPicPr>
                    <pic:cNvPr id="0" name="image9.png" descr="../Desktop/Captura%20de%20pantalla%202020-10-30%20a%20las%209.31.46%20a.m..png"/>
                    <pic:cNvPicPr preferRelativeResize="0"/>
                  </pic:nvPicPr>
                  <pic:blipFill>
                    <a:blip r:embed="rId19"/>
                    <a:srcRect/>
                    <a:stretch>
                      <a:fillRect/>
                    </a:stretch>
                  </pic:blipFill>
                  <pic:spPr>
                    <a:xfrm>
                      <a:off x="0" y="0"/>
                      <a:ext cx="3680207" cy="1425753"/>
                    </a:xfrm>
                    <a:prstGeom prst="rect">
                      <a:avLst/>
                    </a:prstGeom>
                    <a:ln/>
                  </pic:spPr>
                </pic:pic>
              </a:graphicData>
            </a:graphic>
          </wp:inline>
        </w:drawing>
      </w:r>
    </w:p>
    <w:p w14:paraId="216AE69F" w14:textId="77777777" w:rsidR="0079172B" w:rsidRDefault="0079172B">
      <w:pPr>
        <w:spacing w:before="280" w:after="280" w:line="276" w:lineRule="auto"/>
        <w:jc w:val="both"/>
        <w:rPr>
          <w:rFonts w:ascii="Arial" w:eastAsia="Arial" w:hAnsi="Arial" w:cs="Arial"/>
          <w:b/>
          <w:sz w:val="24"/>
          <w:szCs w:val="24"/>
        </w:rPr>
      </w:pPr>
    </w:p>
    <w:p w14:paraId="1D1E359C" w14:textId="77777777" w:rsidR="0079172B" w:rsidRDefault="00A54579">
      <w:pPr>
        <w:spacing w:before="280" w:after="280" w:line="276" w:lineRule="auto"/>
        <w:jc w:val="both"/>
        <w:rPr>
          <w:rFonts w:ascii="Arial" w:eastAsia="Arial" w:hAnsi="Arial" w:cs="Arial"/>
          <w:b/>
          <w:sz w:val="24"/>
          <w:szCs w:val="24"/>
        </w:rPr>
      </w:pPr>
      <w:r>
        <w:rPr>
          <w:rFonts w:ascii="Arial" w:eastAsia="Arial" w:hAnsi="Arial" w:cs="Arial"/>
          <w:b/>
          <w:sz w:val="24"/>
          <w:szCs w:val="24"/>
        </w:rPr>
        <w:t>Propuesta alternativa</w:t>
      </w:r>
    </w:p>
    <w:p w14:paraId="2AFB5EF7" w14:textId="77777777" w:rsidR="0079172B" w:rsidRDefault="00A54579">
      <w:pPr>
        <w:spacing w:before="280" w:after="280" w:line="276" w:lineRule="auto"/>
        <w:jc w:val="both"/>
        <w:rPr>
          <w:rFonts w:ascii="Arial" w:eastAsia="Arial" w:hAnsi="Arial" w:cs="Arial"/>
          <w:sz w:val="24"/>
          <w:szCs w:val="24"/>
        </w:rPr>
      </w:pPr>
      <w:r>
        <w:rPr>
          <w:rFonts w:ascii="Arial" w:eastAsia="Arial" w:hAnsi="Arial" w:cs="Arial"/>
          <w:sz w:val="24"/>
          <w:szCs w:val="24"/>
        </w:rPr>
        <w:t>La presente ponencia busca incentivar la transición energética y productiva en el país. Dado que los recursos de regalías tienen un mecanismo de distribución y decisión de gasto ya definido, solo se modificarán las disposiciones generales del articulado donde se buscarán los incentivos para los objetivos mencionados.</w:t>
      </w:r>
    </w:p>
    <w:p w14:paraId="0876F38A" w14:textId="77777777" w:rsidR="0079172B" w:rsidRDefault="00A54579">
      <w:pPr>
        <w:spacing w:before="280" w:after="280" w:line="276" w:lineRule="auto"/>
        <w:jc w:val="both"/>
        <w:rPr>
          <w:rFonts w:ascii="Arial" w:eastAsia="Arial" w:hAnsi="Arial" w:cs="Arial"/>
          <w:sz w:val="24"/>
          <w:szCs w:val="24"/>
        </w:rPr>
      </w:pPr>
      <w:r>
        <w:rPr>
          <w:rFonts w:ascii="Arial" w:eastAsia="Arial" w:hAnsi="Arial" w:cs="Arial"/>
          <w:sz w:val="24"/>
          <w:szCs w:val="24"/>
        </w:rPr>
        <w:t xml:space="preserve">Las líneas rectoras de estos artículos son. </w:t>
      </w:r>
    </w:p>
    <w:p w14:paraId="5669A563" w14:textId="77777777" w:rsidR="0079172B" w:rsidRDefault="00A54579">
      <w:pPr>
        <w:numPr>
          <w:ilvl w:val="0"/>
          <w:numId w:val="3"/>
        </w:numPr>
        <w:pBdr>
          <w:top w:val="nil"/>
          <w:left w:val="nil"/>
          <w:bottom w:val="nil"/>
          <w:right w:val="nil"/>
          <w:between w:val="nil"/>
        </w:pBdr>
        <w:spacing w:before="280" w:after="0" w:line="276" w:lineRule="auto"/>
        <w:jc w:val="both"/>
        <w:rPr>
          <w:rFonts w:ascii="Arial" w:eastAsia="Arial" w:hAnsi="Arial" w:cs="Arial"/>
          <w:color w:val="000000"/>
          <w:sz w:val="24"/>
          <w:szCs w:val="24"/>
        </w:rPr>
      </w:pPr>
      <w:r>
        <w:rPr>
          <w:rFonts w:ascii="Arial" w:eastAsia="Arial" w:hAnsi="Arial" w:cs="Arial"/>
          <w:color w:val="000000"/>
          <w:sz w:val="24"/>
          <w:szCs w:val="24"/>
        </w:rPr>
        <w:t>Fomento de la transición energética en el país</w:t>
      </w:r>
    </w:p>
    <w:p w14:paraId="2DFA9FE8" w14:textId="77777777" w:rsidR="0079172B" w:rsidRDefault="0079172B">
      <w:pPr>
        <w:pBdr>
          <w:top w:val="nil"/>
          <w:left w:val="nil"/>
          <w:bottom w:val="nil"/>
          <w:right w:val="nil"/>
          <w:between w:val="nil"/>
        </w:pBdr>
        <w:spacing w:after="0" w:line="276" w:lineRule="auto"/>
        <w:ind w:left="720"/>
        <w:jc w:val="both"/>
        <w:rPr>
          <w:rFonts w:ascii="Arial" w:eastAsia="Arial" w:hAnsi="Arial" w:cs="Arial"/>
          <w:color w:val="000000"/>
          <w:sz w:val="24"/>
          <w:szCs w:val="24"/>
        </w:rPr>
      </w:pPr>
    </w:p>
    <w:p w14:paraId="02D55210" w14:textId="77777777" w:rsidR="0079172B" w:rsidRDefault="00A54579">
      <w:pPr>
        <w:pBdr>
          <w:top w:val="nil"/>
          <w:left w:val="nil"/>
          <w:bottom w:val="nil"/>
          <w:right w:val="nil"/>
          <w:between w:val="nil"/>
        </w:pBdr>
        <w:spacing w:after="0" w:line="276"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Se podrán priorizar proyectos de inversión que fomenten la transición energética en el país. </w:t>
      </w:r>
    </w:p>
    <w:p w14:paraId="4CB9EDED" w14:textId="77777777" w:rsidR="0079172B" w:rsidRDefault="0079172B">
      <w:pPr>
        <w:pBdr>
          <w:top w:val="nil"/>
          <w:left w:val="nil"/>
          <w:bottom w:val="nil"/>
          <w:right w:val="nil"/>
          <w:between w:val="nil"/>
        </w:pBdr>
        <w:spacing w:after="0" w:line="276" w:lineRule="auto"/>
        <w:ind w:left="720"/>
        <w:jc w:val="both"/>
        <w:rPr>
          <w:rFonts w:ascii="Arial" w:eastAsia="Arial" w:hAnsi="Arial" w:cs="Arial"/>
          <w:color w:val="000000"/>
          <w:sz w:val="24"/>
          <w:szCs w:val="24"/>
        </w:rPr>
      </w:pPr>
    </w:p>
    <w:p w14:paraId="13E98D32" w14:textId="77777777" w:rsidR="0079172B" w:rsidRDefault="00A54579">
      <w:pPr>
        <w:numPr>
          <w:ilvl w:val="0"/>
          <w:numId w:val="3"/>
        </w:numPr>
        <w:pBdr>
          <w:top w:val="nil"/>
          <w:left w:val="nil"/>
          <w:bottom w:val="nil"/>
          <w:right w:val="nil"/>
          <w:between w:val="nil"/>
        </w:pBdr>
        <w:spacing w:after="0" w:line="276" w:lineRule="auto"/>
        <w:jc w:val="both"/>
        <w:rPr>
          <w:rFonts w:ascii="Arial" w:eastAsia="Arial" w:hAnsi="Arial" w:cs="Arial"/>
          <w:color w:val="000000"/>
          <w:sz w:val="24"/>
          <w:szCs w:val="24"/>
        </w:rPr>
      </w:pPr>
      <w:r>
        <w:rPr>
          <w:rFonts w:ascii="Arial" w:eastAsia="Arial" w:hAnsi="Arial" w:cs="Arial"/>
          <w:color w:val="000000"/>
          <w:sz w:val="24"/>
          <w:szCs w:val="24"/>
        </w:rPr>
        <w:t>Mitigación y adaptación del cambio climático</w:t>
      </w:r>
    </w:p>
    <w:p w14:paraId="01DA7775" w14:textId="77777777" w:rsidR="0079172B" w:rsidRDefault="0079172B">
      <w:pPr>
        <w:pBdr>
          <w:top w:val="nil"/>
          <w:left w:val="nil"/>
          <w:bottom w:val="nil"/>
          <w:right w:val="nil"/>
          <w:between w:val="nil"/>
        </w:pBdr>
        <w:spacing w:after="0" w:line="276" w:lineRule="auto"/>
        <w:ind w:left="720"/>
        <w:jc w:val="both"/>
        <w:rPr>
          <w:rFonts w:ascii="Arial" w:eastAsia="Arial" w:hAnsi="Arial" w:cs="Arial"/>
          <w:color w:val="000000"/>
          <w:sz w:val="24"/>
          <w:szCs w:val="24"/>
        </w:rPr>
      </w:pPr>
    </w:p>
    <w:p w14:paraId="35257123" w14:textId="77777777" w:rsidR="0079172B" w:rsidRDefault="00A54579">
      <w:pPr>
        <w:pBdr>
          <w:top w:val="nil"/>
          <w:left w:val="nil"/>
          <w:bottom w:val="nil"/>
          <w:right w:val="nil"/>
          <w:between w:val="nil"/>
        </w:pBdr>
        <w:spacing w:after="0" w:line="276" w:lineRule="auto"/>
        <w:ind w:left="720"/>
        <w:jc w:val="both"/>
        <w:rPr>
          <w:rFonts w:ascii="Arial" w:eastAsia="Arial" w:hAnsi="Arial" w:cs="Arial"/>
          <w:color w:val="000000"/>
          <w:sz w:val="24"/>
          <w:szCs w:val="24"/>
        </w:rPr>
      </w:pPr>
      <w:r>
        <w:rPr>
          <w:rFonts w:ascii="Arial" w:eastAsia="Arial" w:hAnsi="Arial" w:cs="Arial"/>
          <w:color w:val="000000"/>
          <w:sz w:val="24"/>
          <w:szCs w:val="24"/>
        </w:rPr>
        <w:t>Por medio de la destinación específica ambiental, podrán ser prioritarios los proyectos de inversión ambiental que destinen recursos a compensar pasivos ambientales derivados de grandes proyectos extractivos de minería e hidrocarburos</w:t>
      </w:r>
    </w:p>
    <w:p w14:paraId="787216F1" w14:textId="77777777" w:rsidR="0079172B" w:rsidRDefault="0079172B">
      <w:pPr>
        <w:pBdr>
          <w:top w:val="nil"/>
          <w:left w:val="nil"/>
          <w:bottom w:val="nil"/>
          <w:right w:val="nil"/>
          <w:between w:val="nil"/>
        </w:pBdr>
        <w:spacing w:after="0" w:line="276" w:lineRule="auto"/>
        <w:ind w:left="720"/>
        <w:jc w:val="both"/>
        <w:rPr>
          <w:rFonts w:ascii="Arial" w:eastAsia="Arial" w:hAnsi="Arial" w:cs="Arial"/>
          <w:color w:val="000000"/>
          <w:sz w:val="24"/>
          <w:szCs w:val="24"/>
        </w:rPr>
      </w:pPr>
    </w:p>
    <w:p w14:paraId="4BE71A7B" w14:textId="77777777" w:rsidR="0079172B" w:rsidRDefault="00A54579">
      <w:pPr>
        <w:numPr>
          <w:ilvl w:val="0"/>
          <w:numId w:val="3"/>
        </w:numPr>
        <w:pBdr>
          <w:top w:val="nil"/>
          <w:left w:val="nil"/>
          <w:bottom w:val="nil"/>
          <w:right w:val="nil"/>
          <w:between w:val="nil"/>
        </w:pBdr>
        <w:spacing w:after="0" w:line="276" w:lineRule="auto"/>
        <w:jc w:val="both"/>
        <w:rPr>
          <w:rFonts w:ascii="Arial" w:eastAsia="Arial" w:hAnsi="Arial" w:cs="Arial"/>
          <w:color w:val="000000"/>
          <w:sz w:val="24"/>
          <w:szCs w:val="24"/>
        </w:rPr>
      </w:pPr>
      <w:r>
        <w:rPr>
          <w:rFonts w:ascii="Arial" w:eastAsia="Arial" w:hAnsi="Arial" w:cs="Arial"/>
          <w:color w:val="000000"/>
          <w:sz w:val="24"/>
          <w:szCs w:val="24"/>
        </w:rPr>
        <w:t>Fomento de las exportaciones no bienes tradicionales</w:t>
      </w:r>
    </w:p>
    <w:p w14:paraId="7BEFAF21" w14:textId="77777777" w:rsidR="0079172B" w:rsidRDefault="0079172B">
      <w:pPr>
        <w:pBdr>
          <w:top w:val="nil"/>
          <w:left w:val="nil"/>
          <w:bottom w:val="nil"/>
          <w:right w:val="nil"/>
          <w:between w:val="nil"/>
        </w:pBdr>
        <w:spacing w:after="0" w:line="276" w:lineRule="auto"/>
        <w:ind w:left="720"/>
        <w:jc w:val="both"/>
        <w:rPr>
          <w:rFonts w:ascii="Arial" w:eastAsia="Arial" w:hAnsi="Arial" w:cs="Arial"/>
          <w:color w:val="000000"/>
          <w:sz w:val="24"/>
          <w:szCs w:val="24"/>
        </w:rPr>
      </w:pPr>
    </w:p>
    <w:p w14:paraId="351E8C03" w14:textId="77777777" w:rsidR="0079172B" w:rsidRDefault="00A54579">
      <w:pPr>
        <w:pBdr>
          <w:top w:val="nil"/>
          <w:left w:val="nil"/>
          <w:bottom w:val="nil"/>
          <w:right w:val="nil"/>
          <w:between w:val="nil"/>
        </w:pBdr>
        <w:spacing w:after="0" w:line="276"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Dada la necesidad de dependencia de nuestras exportaciones en el petróleo, se priorizarán proyectos que fomenten las exportaciones de bienes no tradicionales, especialmente, bienes industriales. </w:t>
      </w:r>
    </w:p>
    <w:p w14:paraId="6FEE0EDA" w14:textId="77777777" w:rsidR="0079172B" w:rsidRDefault="0079172B">
      <w:pPr>
        <w:spacing w:before="280" w:after="280" w:line="276" w:lineRule="auto"/>
        <w:jc w:val="both"/>
        <w:rPr>
          <w:rFonts w:ascii="Arial" w:eastAsia="Arial" w:hAnsi="Arial" w:cs="Arial"/>
          <w:sz w:val="24"/>
          <w:szCs w:val="24"/>
        </w:rPr>
      </w:pPr>
    </w:p>
    <w:p w14:paraId="1ABCB124" w14:textId="77777777" w:rsidR="0079172B" w:rsidRDefault="00A54579">
      <w:pPr>
        <w:spacing w:before="280" w:after="280" w:line="276" w:lineRule="auto"/>
        <w:jc w:val="both"/>
        <w:rPr>
          <w:rFonts w:ascii="Arial" w:eastAsia="Arial" w:hAnsi="Arial" w:cs="Arial"/>
          <w:b/>
          <w:sz w:val="24"/>
          <w:szCs w:val="24"/>
        </w:rPr>
      </w:pPr>
      <w:r>
        <w:rPr>
          <w:rFonts w:ascii="Arial" w:eastAsia="Arial" w:hAnsi="Arial" w:cs="Arial"/>
          <w:b/>
          <w:sz w:val="24"/>
          <w:szCs w:val="24"/>
        </w:rPr>
        <w:t>IV. PLIEGO DE MODIFICACIONES</w:t>
      </w:r>
    </w:p>
    <w:p w14:paraId="53E473F0" w14:textId="77777777" w:rsidR="0079172B" w:rsidRDefault="0079172B">
      <w:pPr>
        <w:spacing w:before="280" w:after="280" w:line="276" w:lineRule="auto"/>
        <w:jc w:val="both"/>
        <w:rPr>
          <w:rFonts w:ascii="Arial" w:eastAsia="Arial" w:hAnsi="Arial" w:cs="Arial"/>
          <w:b/>
          <w:sz w:val="24"/>
          <w:szCs w:val="24"/>
        </w:rPr>
      </w:pPr>
    </w:p>
    <w:tbl>
      <w:tblPr>
        <w:tblStyle w:val="a0"/>
        <w:tblW w:w="88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14"/>
        <w:gridCol w:w="1665"/>
        <w:gridCol w:w="2745"/>
        <w:gridCol w:w="2214"/>
      </w:tblGrid>
      <w:tr w:rsidR="0079172B" w14:paraId="11DED965" w14:textId="77777777">
        <w:tc>
          <w:tcPr>
            <w:tcW w:w="2214" w:type="dxa"/>
            <w:shd w:val="clear" w:color="auto" w:fill="auto"/>
            <w:tcMar>
              <w:top w:w="100" w:type="dxa"/>
              <w:left w:w="100" w:type="dxa"/>
              <w:bottom w:w="100" w:type="dxa"/>
              <w:right w:w="100" w:type="dxa"/>
            </w:tcMar>
          </w:tcPr>
          <w:p w14:paraId="7E40B16C" w14:textId="77777777" w:rsidR="0079172B" w:rsidRDefault="00A54579">
            <w:pPr>
              <w:widowControl w:val="0"/>
              <w:pBdr>
                <w:top w:val="nil"/>
                <w:left w:val="nil"/>
                <w:bottom w:val="nil"/>
                <w:right w:val="nil"/>
                <w:between w:val="nil"/>
              </w:pBdr>
              <w:spacing w:after="0" w:line="240" w:lineRule="auto"/>
              <w:jc w:val="center"/>
              <w:rPr>
                <w:rFonts w:ascii="Arial" w:eastAsia="Arial" w:hAnsi="Arial" w:cs="Arial"/>
                <w:b/>
                <w:sz w:val="24"/>
                <w:szCs w:val="24"/>
              </w:rPr>
            </w:pPr>
            <w:r>
              <w:rPr>
                <w:rFonts w:ascii="Arial" w:eastAsia="Arial" w:hAnsi="Arial" w:cs="Arial"/>
                <w:b/>
                <w:sz w:val="24"/>
                <w:szCs w:val="24"/>
              </w:rPr>
              <w:t>Número del artículo</w:t>
            </w:r>
          </w:p>
        </w:tc>
        <w:tc>
          <w:tcPr>
            <w:tcW w:w="1665" w:type="dxa"/>
            <w:shd w:val="clear" w:color="auto" w:fill="auto"/>
            <w:tcMar>
              <w:top w:w="100" w:type="dxa"/>
              <w:left w:w="100" w:type="dxa"/>
              <w:bottom w:w="100" w:type="dxa"/>
              <w:right w:w="100" w:type="dxa"/>
            </w:tcMar>
          </w:tcPr>
          <w:p w14:paraId="12E38A60" w14:textId="77777777" w:rsidR="0079172B" w:rsidRDefault="00A54579">
            <w:pPr>
              <w:widowControl w:val="0"/>
              <w:pBdr>
                <w:top w:val="nil"/>
                <w:left w:val="nil"/>
                <w:bottom w:val="nil"/>
                <w:right w:val="nil"/>
                <w:between w:val="nil"/>
              </w:pBdr>
              <w:spacing w:after="0" w:line="240" w:lineRule="auto"/>
              <w:jc w:val="center"/>
              <w:rPr>
                <w:rFonts w:ascii="Arial" w:eastAsia="Arial" w:hAnsi="Arial" w:cs="Arial"/>
                <w:b/>
                <w:sz w:val="24"/>
                <w:szCs w:val="24"/>
              </w:rPr>
            </w:pPr>
            <w:r>
              <w:rPr>
                <w:rFonts w:ascii="Arial" w:eastAsia="Arial" w:hAnsi="Arial" w:cs="Arial"/>
                <w:b/>
                <w:sz w:val="24"/>
                <w:szCs w:val="24"/>
              </w:rPr>
              <w:t>Texto Presentado</w:t>
            </w:r>
          </w:p>
        </w:tc>
        <w:tc>
          <w:tcPr>
            <w:tcW w:w="2745" w:type="dxa"/>
            <w:shd w:val="clear" w:color="auto" w:fill="auto"/>
            <w:tcMar>
              <w:top w:w="100" w:type="dxa"/>
              <w:left w:w="100" w:type="dxa"/>
              <w:bottom w:w="100" w:type="dxa"/>
              <w:right w:w="100" w:type="dxa"/>
            </w:tcMar>
          </w:tcPr>
          <w:p w14:paraId="3E404E61" w14:textId="77777777" w:rsidR="0079172B" w:rsidRDefault="00A54579">
            <w:pPr>
              <w:widowControl w:val="0"/>
              <w:pBdr>
                <w:top w:val="nil"/>
                <w:left w:val="nil"/>
                <w:bottom w:val="nil"/>
                <w:right w:val="nil"/>
                <w:between w:val="nil"/>
              </w:pBdr>
              <w:spacing w:after="0" w:line="240" w:lineRule="auto"/>
              <w:jc w:val="center"/>
              <w:rPr>
                <w:rFonts w:ascii="Arial" w:eastAsia="Arial" w:hAnsi="Arial" w:cs="Arial"/>
                <w:b/>
                <w:sz w:val="24"/>
                <w:szCs w:val="24"/>
              </w:rPr>
            </w:pPr>
            <w:r>
              <w:rPr>
                <w:rFonts w:ascii="Arial" w:eastAsia="Arial" w:hAnsi="Arial" w:cs="Arial"/>
                <w:b/>
                <w:sz w:val="24"/>
                <w:szCs w:val="24"/>
              </w:rPr>
              <w:t xml:space="preserve">Cambio Propuesto </w:t>
            </w:r>
          </w:p>
        </w:tc>
        <w:tc>
          <w:tcPr>
            <w:tcW w:w="2214" w:type="dxa"/>
            <w:shd w:val="clear" w:color="auto" w:fill="auto"/>
            <w:tcMar>
              <w:top w:w="100" w:type="dxa"/>
              <w:left w:w="100" w:type="dxa"/>
              <w:bottom w:w="100" w:type="dxa"/>
              <w:right w:w="100" w:type="dxa"/>
            </w:tcMar>
          </w:tcPr>
          <w:p w14:paraId="440BC058" w14:textId="77777777" w:rsidR="0079172B" w:rsidRDefault="00A54579">
            <w:pPr>
              <w:widowControl w:val="0"/>
              <w:pBdr>
                <w:top w:val="nil"/>
                <w:left w:val="nil"/>
                <w:bottom w:val="nil"/>
                <w:right w:val="nil"/>
                <w:between w:val="nil"/>
              </w:pBdr>
              <w:spacing w:after="0" w:line="240" w:lineRule="auto"/>
              <w:jc w:val="center"/>
              <w:rPr>
                <w:rFonts w:ascii="Arial" w:eastAsia="Arial" w:hAnsi="Arial" w:cs="Arial"/>
                <w:b/>
                <w:sz w:val="24"/>
                <w:szCs w:val="24"/>
              </w:rPr>
            </w:pPr>
            <w:r>
              <w:rPr>
                <w:rFonts w:ascii="Arial" w:eastAsia="Arial" w:hAnsi="Arial" w:cs="Arial"/>
                <w:b/>
                <w:sz w:val="24"/>
                <w:szCs w:val="24"/>
              </w:rPr>
              <w:t>Justificación</w:t>
            </w:r>
          </w:p>
        </w:tc>
      </w:tr>
      <w:tr w:rsidR="0079172B" w14:paraId="0B008649" w14:textId="77777777">
        <w:tc>
          <w:tcPr>
            <w:tcW w:w="2214" w:type="dxa"/>
            <w:shd w:val="clear" w:color="auto" w:fill="auto"/>
            <w:tcMar>
              <w:top w:w="100" w:type="dxa"/>
              <w:left w:w="100" w:type="dxa"/>
              <w:bottom w:w="100" w:type="dxa"/>
              <w:right w:w="100" w:type="dxa"/>
            </w:tcMar>
          </w:tcPr>
          <w:p w14:paraId="2D46C0F9" w14:textId="77777777" w:rsidR="0079172B" w:rsidRDefault="00A54579">
            <w:pPr>
              <w:widowControl w:val="0"/>
              <w:pBdr>
                <w:top w:val="nil"/>
                <w:left w:val="nil"/>
                <w:bottom w:val="nil"/>
                <w:right w:val="nil"/>
                <w:between w:val="nil"/>
              </w:pBdr>
              <w:spacing w:after="0" w:line="240" w:lineRule="auto"/>
              <w:rPr>
                <w:rFonts w:ascii="Arial" w:eastAsia="Arial" w:hAnsi="Arial" w:cs="Arial"/>
                <w:b/>
                <w:sz w:val="20"/>
                <w:szCs w:val="20"/>
              </w:rPr>
            </w:pPr>
            <w:r>
              <w:rPr>
                <w:rFonts w:ascii="Arial" w:eastAsia="Arial" w:hAnsi="Arial" w:cs="Arial"/>
                <w:b/>
                <w:sz w:val="20"/>
                <w:szCs w:val="20"/>
              </w:rPr>
              <w:t>Artículo Nuevo</w:t>
            </w:r>
          </w:p>
        </w:tc>
        <w:tc>
          <w:tcPr>
            <w:tcW w:w="1665" w:type="dxa"/>
            <w:shd w:val="clear" w:color="auto" w:fill="auto"/>
            <w:tcMar>
              <w:top w:w="100" w:type="dxa"/>
              <w:left w:w="100" w:type="dxa"/>
              <w:bottom w:w="100" w:type="dxa"/>
              <w:right w:w="100" w:type="dxa"/>
            </w:tcMar>
          </w:tcPr>
          <w:p w14:paraId="0E65DCAA"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c>
          <w:tcPr>
            <w:tcW w:w="2745" w:type="dxa"/>
            <w:shd w:val="clear" w:color="auto" w:fill="auto"/>
            <w:tcMar>
              <w:top w:w="100" w:type="dxa"/>
              <w:left w:w="100" w:type="dxa"/>
              <w:bottom w:w="100" w:type="dxa"/>
              <w:right w:w="100" w:type="dxa"/>
            </w:tcMar>
          </w:tcPr>
          <w:p w14:paraId="74CF0ED1" w14:textId="77777777" w:rsidR="0079172B" w:rsidRDefault="00A54579">
            <w:pPr>
              <w:spacing w:before="280" w:after="280" w:line="276" w:lineRule="auto"/>
              <w:jc w:val="both"/>
              <w:rPr>
                <w:rFonts w:ascii="Arial" w:eastAsia="Arial" w:hAnsi="Arial" w:cs="Arial"/>
                <w:sz w:val="24"/>
                <w:szCs w:val="24"/>
              </w:rPr>
            </w:pPr>
            <w:r>
              <w:rPr>
                <w:rFonts w:ascii="Arial" w:eastAsia="Arial" w:hAnsi="Arial" w:cs="Arial"/>
                <w:b/>
                <w:sz w:val="24"/>
                <w:szCs w:val="24"/>
              </w:rPr>
              <w:t>Artículo Nuevo. Criterios para la Priorización y selección de proyectos financiables con recursos SGR.</w:t>
            </w:r>
            <w:r>
              <w:rPr>
                <w:rFonts w:ascii="Arial" w:eastAsia="Arial" w:hAnsi="Arial" w:cs="Arial"/>
                <w:sz w:val="24"/>
                <w:szCs w:val="24"/>
              </w:rPr>
              <w:t xml:space="preserve"> Para la priorización y ejecución de proyectos financiados con recursos de inversión del Presupuesto del Sistema General de Regalías para el bienio 2021-2022 se tendrán  en cuenta como criterios el aporte a la transición energética del país, la mitigación y adaptación del cambio climático y el fomento de las exportaciones no tradicionales. </w:t>
            </w:r>
          </w:p>
          <w:p w14:paraId="46785672" w14:textId="77777777" w:rsidR="0079172B" w:rsidRDefault="00A54579">
            <w:pPr>
              <w:spacing w:line="276" w:lineRule="auto"/>
              <w:jc w:val="both"/>
              <w:rPr>
                <w:rFonts w:ascii="Arial" w:eastAsia="Arial" w:hAnsi="Arial" w:cs="Arial"/>
                <w:sz w:val="24"/>
                <w:szCs w:val="24"/>
              </w:rPr>
            </w:pPr>
            <w:r>
              <w:rPr>
                <w:rFonts w:ascii="Arial" w:eastAsia="Arial" w:hAnsi="Arial" w:cs="Arial"/>
                <w:sz w:val="24"/>
                <w:szCs w:val="24"/>
              </w:rPr>
              <w:t xml:space="preserve">Para los proyectos financiables con recursos de la Asignación Ambiental  se priorizará aquellos destinados a </w:t>
            </w:r>
            <w:r>
              <w:rPr>
                <w:rFonts w:ascii="Arial" w:eastAsia="Arial" w:hAnsi="Arial" w:cs="Arial"/>
                <w:sz w:val="24"/>
                <w:szCs w:val="24"/>
              </w:rPr>
              <w:lastRenderedPageBreak/>
              <w:t>compensar pasivos ambientales derivados de grandes proyectos extractivos de minería e hidrocarburos.</w:t>
            </w:r>
          </w:p>
          <w:p w14:paraId="11992A42" w14:textId="77777777" w:rsidR="0079172B" w:rsidRDefault="0079172B">
            <w:pPr>
              <w:spacing w:line="276" w:lineRule="auto"/>
              <w:jc w:val="both"/>
              <w:rPr>
                <w:rFonts w:ascii="Arial" w:eastAsia="Arial" w:hAnsi="Arial" w:cs="Arial"/>
                <w:sz w:val="24"/>
                <w:szCs w:val="24"/>
              </w:rPr>
            </w:pPr>
          </w:p>
        </w:tc>
        <w:tc>
          <w:tcPr>
            <w:tcW w:w="2214" w:type="dxa"/>
            <w:shd w:val="clear" w:color="auto" w:fill="auto"/>
            <w:tcMar>
              <w:top w:w="100" w:type="dxa"/>
              <w:left w:w="100" w:type="dxa"/>
              <w:bottom w:w="100" w:type="dxa"/>
              <w:right w:w="100" w:type="dxa"/>
            </w:tcMar>
          </w:tcPr>
          <w:p w14:paraId="3BF6ED75"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r>
      <w:tr w:rsidR="0079172B" w14:paraId="0099728C" w14:textId="77777777">
        <w:tc>
          <w:tcPr>
            <w:tcW w:w="2214" w:type="dxa"/>
            <w:shd w:val="clear" w:color="auto" w:fill="auto"/>
            <w:tcMar>
              <w:top w:w="100" w:type="dxa"/>
              <w:left w:w="100" w:type="dxa"/>
              <w:bottom w:w="100" w:type="dxa"/>
              <w:right w:w="100" w:type="dxa"/>
            </w:tcMar>
          </w:tcPr>
          <w:p w14:paraId="2E2C5DC3" w14:textId="77777777" w:rsidR="0079172B" w:rsidRDefault="00A54579">
            <w:pPr>
              <w:widowControl w:val="0"/>
              <w:spacing w:after="0" w:line="240" w:lineRule="auto"/>
              <w:rPr>
                <w:rFonts w:ascii="Arial" w:eastAsia="Arial" w:hAnsi="Arial" w:cs="Arial"/>
                <w:b/>
                <w:sz w:val="20"/>
                <w:szCs w:val="20"/>
              </w:rPr>
            </w:pPr>
            <w:r>
              <w:rPr>
                <w:rFonts w:ascii="Arial" w:eastAsia="Arial" w:hAnsi="Arial" w:cs="Arial"/>
                <w:b/>
                <w:sz w:val="20"/>
                <w:szCs w:val="20"/>
              </w:rPr>
              <w:lastRenderedPageBreak/>
              <w:t>Artículo Nuevo</w:t>
            </w:r>
          </w:p>
        </w:tc>
        <w:tc>
          <w:tcPr>
            <w:tcW w:w="1665" w:type="dxa"/>
            <w:shd w:val="clear" w:color="auto" w:fill="auto"/>
            <w:tcMar>
              <w:top w:w="100" w:type="dxa"/>
              <w:left w:w="100" w:type="dxa"/>
              <w:bottom w:w="100" w:type="dxa"/>
              <w:right w:w="100" w:type="dxa"/>
            </w:tcMar>
          </w:tcPr>
          <w:p w14:paraId="7715C100"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c>
          <w:tcPr>
            <w:tcW w:w="2745" w:type="dxa"/>
            <w:shd w:val="clear" w:color="auto" w:fill="auto"/>
            <w:tcMar>
              <w:top w:w="100" w:type="dxa"/>
              <w:left w:w="100" w:type="dxa"/>
              <w:bottom w:w="100" w:type="dxa"/>
              <w:right w:w="100" w:type="dxa"/>
            </w:tcMar>
          </w:tcPr>
          <w:p w14:paraId="189A21ED" w14:textId="77777777" w:rsidR="0079172B" w:rsidRDefault="00A54579">
            <w:pPr>
              <w:spacing w:line="276" w:lineRule="auto"/>
              <w:jc w:val="both"/>
              <w:rPr>
                <w:rFonts w:ascii="Arial" w:eastAsia="Arial" w:hAnsi="Arial" w:cs="Arial"/>
                <w:b/>
                <w:sz w:val="24"/>
                <w:szCs w:val="24"/>
              </w:rPr>
            </w:pPr>
            <w:r>
              <w:rPr>
                <w:rFonts w:ascii="Arial" w:eastAsia="Arial" w:hAnsi="Arial" w:cs="Arial"/>
                <w:b/>
                <w:sz w:val="24"/>
                <w:szCs w:val="24"/>
              </w:rPr>
              <w:t>Artículo nuevo. Requerimientos de uso de energías no renovables en proyectos financiados por recursos del SGR.</w:t>
            </w:r>
          </w:p>
          <w:p w14:paraId="6C143D90" w14:textId="77777777" w:rsidR="0079172B" w:rsidRDefault="00A54579">
            <w:pPr>
              <w:spacing w:line="276" w:lineRule="auto"/>
              <w:jc w:val="both"/>
              <w:rPr>
                <w:rFonts w:ascii="Arial" w:eastAsia="Arial" w:hAnsi="Arial" w:cs="Arial"/>
                <w:sz w:val="24"/>
                <w:szCs w:val="24"/>
              </w:rPr>
            </w:pPr>
            <w:r>
              <w:rPr>
                <w:rFonts w:ascii="Arial" w:eastAsia="Arial" w:hAnsi="Arial" w:cs="Arial"/>
                <w:sz w:val="24"/>
                <w:szCs w:val="24"/>
              </w:rPr>
              <w:t xml:space="preserve">Los proyectos de inversión que tengan como objetivo la construcción o renovación de infraestructura física,  deberán tener como criterio de diseño que al menos en un 50% de las fuentes de energía empleadas en su alimentación o funcionamiento sean derivadas de  fuentes de energías renovables.  </w:t>
            </w:r>
          </w:p>
          <w:p w14:paraId="5F8AAD8E" w14:textId="77777777" w:rsidR="0079172B" w:rsidRDefault="00A54579">
            <w:pPr>
              <w:spacing w:line="276" w:lineRule="auto"/>
              <w:jc w:val="both"/>
              <w:rPr>
                <w:rFonts w:ascii="Arial" w:eastAsia="Arial" w:hAnsi="Arial" w:cs="Arial"/>
                <w:sz w:val="24"/>
                <w:szCs w:val="24"/>
              </w:rPr>
            </w:pPr>
            <w:r>
              <w:rPr>
                <w:rFonts w:ascii="Arial" w:eastAsia="Arial" w:hAnsi="Arial" w:cs="Arial"/>
                <w:sz w:val="24"/>
                <w:szCs w:val="24"/>
              </w:rPr>
              <w:t xml:space="preserve">De igual manera  aquellos proyectos de infraestructura que se desarrollen en zonas de alta intensidad solar según la certificación del Instituto de Hidrología, Meteorología y Estudios </w:t>
            </w:r>
            <w:r>
              <w:rPr>
                <w:rFonts w:ascii="Arial" w:eastAsia="Arial" w:hAnsi="Arial" w:cs="Arial"/>
                <w:sz w:val="24"/>
                <w:szCs w:val="24"/>
              </w:rPr>
              <w:lastRenderedPageBreak/>
              <w:t>Ambientales deberán ser alimentados, en al menos un 70% de su flujo de energía, por medio de fuentes de energía renovables, principalmente solar.</w:t>
            </w:r>
          </w:p>
        </w:tc>
        <w:tc>
          <w:tcPr>
            <w:tcW w:w="2214" w:type="dxa"/>
            <w:shd w:val="clear" w:color="auto" w:fill="auto"/>
            <w:tcMar>
              <w:top w:w="100" w:type="dxa"/>
              <w:left w:w="100" w:type="dxa"/>
              <w:bottom w:w="100" w:type="dxa"/>
              <w:right w:w="100" w:type="dxa"/>
            </w:tcMar>
          </w:tcPr>
          <w:p w14:paraId="6630FE52"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r>
      <w:tr w:rsidR="0079172B" w14:paraId="08260314" w14:textId="77777777">
        <w:tc>
          <w:tcPr>
            <w:tcW w:w="2214" w:type="dxa"/>
            <w:shd w:val="clear" w:color="auto" w:fill="auto"/>
            <w:tcMar>
              <w:top w:w="100" w:type="dxa"/>
              <w:left w:w="100" w:type="dxa"/>
              <w:bottom w:w="100" w:type="dxa"/>
              <w:right w:w="100" w:type="dxa"/>
            </w:tcMar>
          </w:tcPr>
          <w:p w14:paraId="19CC27C6" w14:textId="77777777" w:rsidR="0079172B" w:rsidRDefault="00A54579">
            <w:pPr>
              <w:widowControl w:val="0"/>
              <w:spacing w:after="0" w:line="240" w:lineRule="auto"/>
              <w:rPr>
                <w:rFonts w:ascii="Arial" w:eastAsia="Arial" w:hAnsi="Arial" w:cs="Arial"/>
                <w:b/>
                <w:sz w:val="20"/>
                <w:szCs w:val="20"/>
              </w:rPr>
            </w:pPr>
            <w:r>
              <w:rPr>
                <w:rFonts w:ascii="Arial" w:eastAsia="Arial" w:hAnsi="Arial" w:cs="Arial"/>
                <w:b/>
                <w:sz w:val="20"/>
                <w:szCs w:val="20"/>
              </w:rPr>
              <w:lastRenderedPageBreak/>
              <w:t>Artículo Nuevo</w:t>
            </w:r>
          </w:p>
        </w:tc>
        <w:tc>
          <w:tcPr>
            <w:tcW w:w="1665" w:type="dxa"/>
            <w:shd w:val="clear" w:color="auto" w:fill="auto"/>
            <w:tcMar>
              <w:top w:w="100" w:type="dxa"/>
              <w:left w:w="100" w:type="dxa"/>
              <w:bottom w:w="100" w:type="dxa"/>
              <w:right w:w="100" w:type="dxa"/>
            </w:tcMar>
          </w:tcPr>
          <w:p w14:paraId="481E9246"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c>
          <w:tcPr>
            <w:tcW w:w="2745" w:type="dxa"/>
            <w:shd w:val="clear" w:color="auto" w:fill="auto"/>
            <w:tcMar>
              <w:top w:w="100" w:type="dxa"/>
              <w:left w:w="100" w:type="dxa"/>
              <w:bottom w:w="100" w:type="dxa"/>
              <w:right w:w="100" w:type="dxa"/>
            </w:tcMar>
          </w:tcPr>
          <w:p w14:paraId="57DE6760" w14:textId="77777777" w:rsidR="0079172B" w:rsidRDefault="00A54579">
            <w:pPr>
              <w:spacing w:line="276" w:lineRule="auto"/>
              <w:jc w:val="both"/>
              <w:rPr>
                <w:rFonts w:ascii="Arial" w:eastAsia="Arial" w:hAnsi="Arial" w:cs="Arial"/>
                <w:b/>
                <w:sz w:val="18"/>
                <w:szCs w:val="18"/>
              </w:rPr>
            </w:pPr>
            <w:r>
              <w:rPr>
                <w:rFonts w:ascii="Arial" w:eastAsia="Arial" w:hAnsi="Arial" w:cs="Arial"/>
                <w:b/>
              </w:rPr>
              <w:t>Artículo nuevo: Creación y fomento de tecnoparques.</w:t>
            </w:r>
            <w:r>
              <w:rPr>
                <w:rFonts w:ascii="Arial" w:eastAsia="Arial" w:hAnsi="Arial" w:cs="Arial"/>
              </w:rPr>
              <w:t xml:space="preserve"> Se permitirá la creación y financiación de tecnoparques con recursos del sistema general de regalías. En estos tecno parques se priorizará la inversión de proyectos que fomenten la producción y exportación de bienes no tradicionales del el país. </w:t>
            </w:r>
          </w:p>
        </w:tc>
        <w:tc>
          <w:tcPr>
            <w:tcW w:w="2214" w:type="dxa"/>
            <w:shd w:val="clear" w:color="auto" w:fill="auto"/>
            <w:tcMar>
              <w:top w:w="100" w:type="dxa"/>
              <w:left w:w="100" w:type="dxa"/>
              <w:bottom w:w="100" w:type="dxa"/>
              <w:right w:w="100" w:type="dxa"/>
            </w:tcMar>
          </w:tcPr>
          <w:p w14:paraId="0A30AB3D"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r>
      <w:tr w:rsidR="0079172B" w14:paraId="62ACBDFF" w14:textId="77777777">
        <w:tc>
          <w:tcPr>
            <w:tcW w:w="2214" w:type="dxa"/>
            <w:shd w:val="clear" w:color="auto" w:fill="auto"/>
            <w:tcMar>
              <w:top w:w="100" w:type="dxa"/>
              <w:left w:w="100" w:type="dxa"/>
              <w:bottom w:w="100" w:type="dxa"/>
              <w:right w:w="100" w:type="dxa"/>
            </w:tcMar>
          </w:tcPr>
          <w:p w14:paraId="3550C76B" w14:textId="77777777" w:rsidR="0079172B" w:rsidRDefault="00A54579">
            <w:pPr>
              <w:widowControl w:val="0"/>
              <w:spacing w:after="0" w:line="240" w:lineRule="auto"/>
              <w:rPr>
                <w:rFonts w:ascii="Arial" w:eastAsia="Arial" w:hAnsi="Arial" w:cs="Arial"/>
                <w:b/>
                <w:sz w:val="20"/>
                <w:szCs w:val="20"/>
              </w:rPr>
            </w:pPr>
            <w:r>
              <w:rPr>
                <w:rFonts w:ascii="Arial" w:eastAsia="Arial" w:hAnsi="Arial" w:cs="Arial"/>
                <w:b/>
                <w:sz w:val="20"/>
                <w:szCs w:val="20"/>
              </w:rPr>
              <w:t>Artículo Nuevo</w:t>
            </w:r>
          </w:p>
        </w:tc>
        <w:tc>
          <w:tcPr>
            <w:tcW w:w="1665" w:type="dxa"/>
            <w:shd w:val="clear" w:color="auto" w:fill="auto"/>
            <w:tcMar>
              <w:top w:w="100" w:type="dxa"/>
              <w:left w:w="100" w:type="dxa"/>
              <w:bottom w:w="100" w:type="dxa"/>
              <w:right w:w="100" w:type="dxa"/>
            </w:tcMar>
          </w:tcPr>
          <w:p w14:paraId="76FF33B4"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c>
          <w:tcPr>
            <w:tcW w:w="2745" w:type="dxa"/>
            <w:shd w:val="clear" w:color="auto" w:fill="auto"/>
            <w:tcMar>
              <w:top w:w="100" w:type="dxa"/>
              <w:left w:w="100" w:type="dxa"/>
              <w:bottom w:w="100" w:type="dxa"/>
              <w:right w:w="100" w:type="dxa"/>
            </w:tcMar>
          </w:tcPr>
          <w:p w14:paraId="376F6672" w14:textId="77777777" w:rsidR="0079172B" w:rsidRDefault="00A54579">
            <w:pPr>
              <w:widowControl w:val="0"/>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Artículo nuevo. Priorización de programas de inversión orientados a la garantía de Matrícula Cero en las Instituciones de Educación Superior Públicas.</w:t>
            </w:r>
          </w:p>
          <w:p w14:paraId="47B9E62D" w14:textId="77777777" w:rsidR="0079172B" w:rsidRDefault="00A54579">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Las Instituciones de Educación Superior Públicas podrán presentar proyectos de inversión orientados a garantizar gratuidad en la matrícula durante los años 2021 y 2022.</w:t>
            </w:r>
          </w:p>
          <w:p w14:paraId="41C0201E" w14:textId="77777777" w:rsidR="0079172B" w:rsidRDefault="00A54579">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 xml:space="preserve">Estos proyectos serán financiados con </w:t>
            </w:r>
            <w:r>
              <w:rPr>
                <w:rFonts w:ascii="Arial" w:eastAsia="Arial" w:hAnsi="Arial" w:cs="Arial"/>
                <w:sz w:val="24"/>
                <w:szCs w:val="24"/>
              </w:rPr>
              <w:lastRenderedPageBreak/>
              <w:t>recursos de la Asignación para Ciencia Tecnología e Innovación y deben garantizar la permanencia de los estudiantes y la reducción de la deserción estudiantil.</w:t>
            </w:r>
          </w:p>
          <w:p w14:paraId="029CFB97" w14:textId="77777777" w:rsidR="0079172B" w:rsidRDefault="00A54579">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Los proyectos presentados  deberán priorizar a estudiantes de población de bajos recursos y ofrecer servicios complementarios para garantizar la permanencia y la no deserción en contextos de clases a distancia o virtuales.</w:t>
            </w:r>
          </w:p>
          <w:p w14:paraId="5B6C776B" w14:textId="77777777" w:rsidR="0079172B" w:rsidRDefault="00A54579">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4"/>
                <w:szCs w:val="24"/>
              </w:rPr>
              <w:t xml:space="preserve">El Departamento Nacional de Planeación y el Ministerio de Ciencia y Tecnología definirán los criterios puntuales para la formulación y viabilización de proyectos. </w:t>
            </w:r>
            <w:r>
              <w:rPr>
                <w:rFonts w:ascii="Arial" w:eastAsia="Arial" w:hAnsi="Arial" w:cs="Arial"/>
                <w:sz w:val="20"/>
                <w:szCs w:val="20"/>
              </w:rPr>
              <w:t xml:space="preserve"> </w:t>
            </w:r>
          </w:p>
        </w:tc>
        <w:tc>
          <w:tcPr>
            <w:tcW w:w="2214" w:type="dxa"/>
            <w:shd w:val="clear" w:color="auto" w:fill="auto"/>
            <w:tcMar>
              <w:top w:w="100" w:type="dxa"/>
              <w:left w:w="100" w:type="dxa"/>
              <w:bottom w:w="100" w:type="dxa"/>
              <w:right w:w="100" w:type="dxa"/>
            </w:tcMar>
          </w:tcPr>
          <w:p w14:paraId="6B2E1A1D"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r>
      <w:tr w:rsidR="0079172B" w14:paraId="0078B10D" w14:textId="77777777">
        <w:tc>
          <w:tcPr>
            <w:tcW w:w="2214" w:type="dxa"/>
            <w:shd w:val="clear" w:color="auto" w:fill="auto"/>
            <w:tcMar>
              <w:top w:w="100" w:type="dxa"/>
              <w:left w:w="100" w:type="dxa"/>
              <w:bottom w:w="100" w:type="dxa"/>
              <w:right w:w="100" w:type="dxa"/>
            </w:tcMar>
          </w:tcPr>
          <w:p w14:paraId="1801DC65"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c>
          <w:tcPr>
            <w:tcW w:w="1665" w:type="dxa"/>
            <w:shd w:val="clear" w:color="auto" w:fill="auto"/>
            <w:tcMar>
              <w:top w:w="100" w:type="dxa"/>
              <w:left w:w="100" w:type="dxa"/>
              <w:bottom w:w="100" w:type="dxa"/>
              <w:right w:w="100" w:type="dxa"/>
            </w:tcMar>
          </w:tcPr>
          <w:p w14:paraId="1A70D2BB"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c>
          <w:tcPr>
            <w:tcW w:w="2745" w:type="dxa"/>
            <w:shd w:val="clear" w:color="auto" w:fill="auto"/>
            <w:tcMar>
              <w:top w:w="100" w:type="dxa"/>
              <w:left w:w="100" w:type="dxa"/>
              <w:bottom w:w="100" w:type="dxa"/>
              <w:right w:w="100" w:type="dxa"/>
            </w:tcMar>
          </w:tcPr>
          <w:p w14:paraId="755100B6" w14:textId="77777777" w:rsidR="0079172B" w:rsidRDefault="00A54579" w:rsidP="004F5B51">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b/>
                <w:sz w:val="24"/>
                <w:szCs w:val="24"/>
              </w:rPr>
              <w:t xml:space="preserve">Artículo nuevo. Misión Reforma del Sistema General de Regalías.  </w:t>
            </w:r>
            <w:r>
              <w:rPr>
                <w:rFonts w:ascii="Arial" w:eastAsia="Arial" w:hAnsi="Arial" w:cs="Arial"/>
                <w:sz w:val="24"/>
                <w:szCs w:val="24"/>
              </w:rPr>
              <w:t xml:space="preserve">Con el fin de trazar los lineamientos para una política de gestión de regalías que optimice la obtención de recursos por parte del Estado en la explotación de recursos naturales no renovables, se convocará antes de la culminación de la </w:t>
            </w:r>
            <w:r>
              <w:rPr>
                <w:rFonts w:ascii="Arial" w:eastAsia="Arial" w:hAnsi="Arial" w:cs="Arial"/>
                <w:sz w:val="24"/>
                <w:szCs w:val="24"/>
              </w:rPr>
              <w:lastRenderedPageBreak/>
              <w:t>vigencia del bienio 2021-2022 la conformación de una Misión de Reforma del Sistema General de Regalías.</w:t>
            </w:r>
          </w:p>
          <w:p w14:paraId="3F952979" w14:textId="77777777" w:rsidR="0079172B" w:rsidRDefault="00A54579" w:rsidP="004F5B51">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Dicha misión será encabezada por el gobierno nacional a través del Ministerio de Minas y Energía, el Ministerio de Hacienda  y elDepartamento Nacional de Planeación, deberá contar con participación amplia de los entes territoriales y de la sociedad civil en general.</w:t>
            </w:r>
          </w:p>
          <w:p w14:paraId="5864DB66" w14:textId="77777777" w:rsidR="0079172B" w:rsidRDefault="00A54579" w:rsidP="004F5B51">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El objetivo de dicha misión será:</w:t>
            </w:r>
          </w:p>
          <w:p w14:paraId="3041CD18" w14:textId="77777777" w:rsidR="0079172B" w:rsidRDefault="00A54579" w:rsidP="004F5B51">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Trazar las políticas de optimización de los recursos de regalías.</w:t>
            </w:r>
          </w:p>
          <w:p w14:paraId="6765E0EA" w14:textId="77777777" w:rsidR="0079172B" w:rsidRDefault="00A54579" w:rsidP="004F5B51">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Identificar los impactos de los proyectos financiados con recursos de regalías.</w:t>
            </w:r>
          </w:p>
          <w:p w14:paraId="4A7270FC" w14:textId="77777777" w:rsidR="0079172B" w:rsidRDefault="00A54579" w:rsidP="004F5B51">
            <w:pPr>
              <w:widowControl w:val="0"/>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Trazar los mecanismos de adaptación al cambio climático y de transición energética con sensibilidad territorial.</w:t>
            </w:r>
          </w:p>
          <w:p w14:paraId="236556AE" w14:textId="77777777" w:rsidR="0079172B" w:rsidRDefault="0079172B">
            <w:pPr>
              <w:widowControl w:val="0"/>
              <w:pBdr>
                <w:top w:val="nil"/>
                <w:left w:val="nil"/>
                <w:bottom w:val="nil"/>
                <w:right w:val="nil"/>
                <w:between w:val="nil"/>
              </w:pBdr>
              <w:spacing w:after="0" w:line="240" w:lineRule="auto"/>
              <w:rPr>
                <w:rFonts w:ascii="Arial" w:eastAsia="Arial" w:hAnsi="Arial" w:cs="Arial"/>
                <w:sz w:val="24"/>
                <w:szCs w:val="24"/>
              </w:rPr>
            </w:pPr>
          </w:p>
        </w:tc>
        <w:tc>
          <w:tcPr>
            <w:tcW w:w="2214" w:type="dxa"/>
            <w:shd w:val="clear" w:color="auto" w:fill="auto"/>
            <w:tcMar>
              <w:top w:w="100" w:type="dxa"/>
              <w:left w:w="100" w:type="dxa"/>
              <w:bottom w:w="100" w:type="dxa"/>
              <w:right w:w="100" w:type="dxa"/>
            </w:tcMar>
          </w:tcPr>
          <w:p w14:paraId="01BB109B" w14:textId="77777777" w:rsidR="0079172B" w:rsidRDefault="0079172B">
            <w:pPr>
              <w:widowControl w:val="0"/>
              <w:pBdr>
                <w:top w:val="nil"/>
                <w:left w:val="nil"/>
                <w:bottom w:val="nil"/>
                <w:right w:val="nil"/>
                <w:between w:val="nil"/>
              </w:pBdr>
              <w:spacing w:after="0" w:line="240" w:lineRule="auto"/>
              <w:rPr>
                <w:rFonts w:ascii="Arial" w:eastAsia="Arial" w:hAnsi="Arial" w:cs="Arial"/>
                <w:b/>
                <w:sz w:val="20"/>
                <w:szCs w:val="20"/>
              </w:rPr>
            </w:pPr>
          </w:p>
        </w:tc>
      </w:tr>
    </w:tbl>
    <w:p w14:paraId="312CEFAE" w14:textId="77777777" w:rsidR="0079172B" w:rsidRDefault="0079172B">
      <w:pPr>
        <w:spacing w:before="280" w:after="280" w:line="276" w:lineRule="auto"/>
        <w:jc w:val="both"/>
        <w:rPr>
          <w:rFonts w:ascii="Arial" w:eastAsia="Arial" w:hAnsi="Arial" w:cs="Arial"/>
          <w:b/>
          <w:sz w:val="24"/>
          <w:szCs w:val="24"/>
        </w:rPr>
      </w:pPr>
    </w:p>
    <w:p w14:paraId="23F3BA47" w14:textId="77777777" w:rsidR="0079172B" w:rsidRDefault="0079172B">
      <w:pPr>
        <w:spacing w:before="280" w:after="280" w:line="276" w:lineRule="auto"/>
        <w:jc w:val="both"/>
        <w:rPr>
          <w:rFonts w:ascii="Arial" w:eastAsia="Arial" w:hAnsi="Arial" w:cs="Arial"/>
          <w:b/>
          <w:sz w:val="24"/>
          <w:szCs w:val="24"/>
        </w:rPr>
      </w:pPr>
    </w:p>
    <w:p w14:paraId="583DF4D8" w14:textId="77777777" w:rsidR="004F5B51" w:rsidRDefault="004F5B51">
      <w:pPr>
        <w:spacing w:before="280" w:after="280" w:line="276" w:lineRule="auto"/>
        <w:jc w:val="both"/>
        <w:rPr>
          <w:rFonts w:ascii="Arial" w:eastAsia="Arial" w:hAnsi="Arial" w:cs="Arial"/>
          <w:b/>
          <w:sz w:val="24"/>
          <w:szCs w:val="24"/>
        </w:rPr>
      </w:pPr>
    </w:p>
    <w:p w14:paraId="5BE6E9C2" w14:textId="77777777" w:rsidR="004F5B51" w:rsidRDefault="004F5B51">
      <w:pPr>
        <w:spacing w:before="280" w:after="280" w:line="276" w:lineRule="auto"/>
        <w:jc w:val="both"/>
        <w:rPr>
          <w:rFonts w:ascii="Arial" w:eastAsia="Arial" w:hAnsi="Arial" w:cs="Arial"/>
          <w:b/>
          <w:sz w:val="24"/>
          <w:szCs w:val="24"/>
        </w:rPr>
      </w:pPr>
    </w:p>
    <w:p w14:paraId="44A28D32" w14:textId="77777777" w:rsidR="0079172B" w:rsidRDefault="00A54579" w:rsidP="004F5B51">
      <w:pPr>
        <w:spacing w:after="0" w:line="276" w:lineRule="auto"/>
        <w:jc w:val="center"/>
        <w:rPr>
          <w:rFonts w:ascii="Arial" w:eastAsia="Arial" w:hAnsi="Arial" w:cs="Arial"/>
          <w:b/>
          <w:sz w:val="24"/>
          <w:szCs w:val="24"/>
        </w:rPr>
      </w:pPr>
      <w:r>
        <w:rPr>
          <w:rFonts w:ascii="Arial" w:eastAsia="Arial" w:hAnsi="Arial" w:cs="Arial"/>
          <w:b/>
          <w:sz w:val="24"/>
          <w:szCs w:val="24"/>
        </w:rPr>
        <w:lastRenderedPageBreak/>
        <w:t>VI. PROPOSICIÓN</w:t>
      </w:r>
    </w:p>
    <w:p w14:paraId="2B0F8936" w14:textId="77777777" w:rsidR="0079172B" w:rsidRDefault="0079172B" w:rsidP="004F5B51">
      <w:pPr>
        <w:spacing w:after="0" w:line="276" w:lineRule="auto"/>
        <w:jc w:val="center"/>
        <w:rPr>
          <w:rFonts w:ascii="Arial" w:eastAsia="Arial" w:hAnsi="Arial" w:cs="Arial"/>
          <w:b/>
          <w:sz w:val="24"/>
          <w:szCs w:val="24"/>
        </w:rPr>
      </w:pPr>
    </w:p>
    <w:p w14:paraId="0E0FB27D" w14:textId="2A6BE89B" w:rsidR="0079172B" w:rsidRDefault="00A54579" w:rsidP="004F5B51">
      <w:pPr>
        <w:spacing w:after="0" w:line="276" w:lineRule="auto"/>
        <w:jc w:val="both"/>
        <w:rPr>
          <w:rFonts w:ascii="Arial" w:eastAsia="Arial" w:hAnsi="Arial" w:cs="Arial"/>
          <w:sz w:val="24"/>
          <w:szCs w:val="24"/>
        </w:rPr>
      </w:pPr>
      <w:r>
        <w:rPr>
          <w:rFonts w:ascii="Arial" w:eastAsia="Arial" w:hAnsi="Arial" w:cs="Arial"/>
          <w:sz w:val="24"/>
          <w:szCs w:val="24"/>
        </w:rPr>
        <w:t xml:space="preserve">Por las anteriores consideraciones, solicitamos a los honorables Senadores </w:t>
      </w:r>
      <w:r w:rsidR="00DE1C4B">
        <w:rPr>
          <w:rFonts w:ascii="Arial" w:eastAsia="Arial" w:hAnsi="Arial" w:cs="Arial"/>
          <w:sz w:val="24"/>
          <w:szCs w:val="24"/>
        </w:rPr>
        <w:t xml:space="preserve">y Representantes </w:t>
      </w:r>
      <w:r w:rsidR="004C1E2A">
        <w:rPr>
          <w:rFonts w:ascii="Arial" w:eastAsia="Arial" w:hAnsi="Arial" w:cs="Arial"/>
          <w:sz w:val="24"/>
          <w:szCs w:val="24"/>
        </w:rPr>
        <w:t xml:space="preserve">a la Cámara </w:t>
      </w:r>
      <w:bookmarkStart w:id="3" w:name="_GoBack"/>
      <w:bookmarkEnd w:id="3"/>
      <w:r w:rsidR="00DE1C4B">
        <w:rPr>
          <w:rFonts w:ascii="Arial" w:eastAsia="Arial" w:hAnsi="Arial" w:cs="Arial"/>
          <w:sz w:val="24"/>
          <w:szCs w:val="24"/>
        </w:rPr>
        <w:t>de las comisiones económicas</w:t>
      </w:r>
      <w:r>
        <w:rPr>
          <w:rFonts w:ascii="Arial" w:eastAsia="Arial" w:hAnsi="Arial" w:cs="Arial"/>
          <w:sz w:val="24"/>
          <w:szCs w:val="24"/>
        </w:rPr>
        <w:t xml:space="preserve"> dar trámite </w:t>
      </w:r>
      <w:r w:rsidR="00DE1C4B">
        <w:rPr>
          <w:rFonts w:ascii="Arial" w:eastAsia="Arial" w:hAnsi="Arial" w:cs="Arial"/>
          <w:sz w:val="24"/>
          <w:szCs w:val="24"/>
        </w:rPr>
        <w:t>en primer debate a</w:t>
      </w:r>
      <w:r>
        <w:rPr>
          <w:rFonts w:ascii="Arial" w:eastAsia="Arial" w:hAnsi="Arial" w:cs="Arial"/>
          <w:sz w:val="24"/>
          <w:szCs w:val="24"/>
        </w:rPr>
        <w:t>l Proyecto de Ley No. 311 de 2020 Senado - No. 439 de 2020 Cámara de 2020, “Por el cual se decreta el presupuesto del Sistema General de Regalías para el bienio del 1º de enero de 2021  al 31 de diciembre de 2022”</w:t>
      </w:r>
    </w:p>
    <w:p w14:paraId="0B3F1F09" w14:textId="77777777" w:rsidR="0079172B" w:rsidRDefault="0079172B">
      <w:pPr>
        <w:spacing w:before="280" w:after="280" w:line="276" w:lineRule="auto"/>
        <w:jc w:val="both"/>
        <w:rPr>
          <w:rFonts w:ascii="Arial" w:eastAsia="Arial" w:hAnsi="Arial" w:cs="Arial"/>
          <w:b/>
          <w:sz w:val="24"/>
          <w:szCs w:val="24"/>
        </w:rPr>
      </w:pPr>
    </w:p>
    <w:p w14:paraId="0F964389" w14:textId="77777777" w:rsidR="0079172B" w:rsidRDefault="0079172B">
      <w:pPr>
        <w:spacing w:before="280" w:after="280" w:line="276" w:lineRule="auto"/>
        <w:jc w:val="both"/>
        <w:rPr>
          <w:rFonts w:ascii="Arial" w:eastAsia="Arial" w:hAnsi="Arial" w:cs="Arial"/>
          <w:b/>
          <w:sz w:val="24"/>
          <w:szCs w:val="24"/>
        </w:rPr>
      </w:pPr>
    </w:p>
    <w:p w14:paraId="12A99924" w14:textId="77777777" w:rsidR="0079172B" w:rsidRDefault="0079172B">
      <w:pPr>
        <w:spacing w:before="280" w:after="280" w:line="276" w:lineRule="auto"/>
        <w:jc w:val="both"/>
        <w:rPr>
          <w:rFonts w:ascii="Arial" w:eastAsia="Arial" w:hAnsi="Arial" w:cs="Arial"/>
          <w:b/>
          <w:sz w:val="24"/>
          <w:szCs w:val="24"/>
        </w:rPr>
      </w:pPr>
    </w:p>
    <w:p w14:paraId="0F64C0AA" w14:textId="77777777" w:rsidR="0079172B" w:rsidRDefault="0079172B">
      <w:pPr>
        <w:spacing w:before="280" w:after="280" w:line="276" w:lineRule="auto"/>
        <w:jc w:val="both"/>
        <w:rPr>
          <w:rFonts w:ascii="Arial" w:eastAsia="Arial" w:hAnsi="Arial" w:cs="Arial"/>
          <w:b/>
          <w:sz w:val="24"/>
          <w:szCs w:val="24"/>
        </w:rPr>
      </w:pPr>
    </w:p>
    <w:p w14:paraId="273FF148" w14:textId="77777777" w:rsidR="0079172B" w:rsidRDefault="00A54579">
      <w:pPr>
        <w:spacing w:before="280" w:after="280" w:line="276" w:lineRule="auto"/>
        <w:jc w:val="both"/>
        <w:rPr>
          <w:rFonts w:ascii="Arial" w:eastAsia="Arial" w:hAnsi="Arial" w:cs="Arial"/>
          <w:b/>
          <w:sz w:val="24"/>
          <w:szCs w:val="24"/>
        </w:rPr>
      </w:pPr>
      <w:r>
        <w:rPr>
          <w:rFonts w:ascii="Arial" w:eastAsia="Arial" w:hAnsi="Arial" w:cs="Arial"/>
          <w:b/>
          <w:noProof/>
          <w:sz w:val="24"/>
          <w:szCs w:val="24"/>
          <w:lang w:val="es-ES_tradnl"/>
        </w:rPr>
        <w:drawing>
          <wp:inline distT="114300" distB="114300" distL="114300" distR="114300" wp14:anchorId="1BFDEB52" wp14:editId="77397C08">
            <wp:extent cx="1715135" cy="967740"/>
            <wp:effectExtent l="0" t="0" r="12065" b="0"/>
            <wp:docPr id="2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8"/>
                    <a:srcRect/>
                    <a:stretch>
                      <a:fillRect/>
                    </a:stretch>
                  </pic:blipFill>
                  <pic:spPr>
                    <a:xfrm>
                      <a:off x="0" y="0"/>
                      <a:ext cx="1715135" cy="967740"/>
                    </a:xfrm>
                    <a:prstGeom prst="rect">
                      <a:avLst/>
                    </a:prstGeom>
                    <a:ln/>
                  </pic:spPr>
                </pic:pic>
              </a:graphicData>
            </a:graphic>
          </wp:inline>
        </w:drawing>
      </w:r>
      <w:r w:rsidR="004F5B51">
        <w:rPr>
          <w:rFonts w:ascii="Arial" w:eastAsia="Arial" w:hAnsi="Arial" w:cs="Arial"/>
          <w:b/>
          <w:noProof/>
          <w:sz w:val="24"/>
          <w:szCs w:val="24"/>
          <w:lang w:val="es-ES_tradnl"/>
        </w:rPr>
        <w:t xml:space="preserve">                                  </w:t>
      </w:r>
      <w:r w:rsidR="004F5B51">
        <w:rPr>
          <w:rFonts w:ascii="Arial" w:eastAsia="Arial" w:hAnsi="Arial" w:cs="Arial"/>
          <w:b/>
          <w:noProof/>
          <w:sz w:val="24"/>
          <w:szCs w:val="24"/>
          <w:lang w:val="es-ES_tradnl"/>
        </w:rPr>
        <w:drawing>
          <wp:inline distT="0" distB="0" distL="0" distR="0" wp14:anchorId="7358378A" wp14:editId="1A57940F">
            <wp:extent cx="1904365" cy="1066731"/>
            <wp:effectExtent l="0" t="0" r="635" b="635"/>
            <wp:docPr id="1" name="Imagen 1" descr="../../../../../Downloads/Firma%20David%20Race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Firma%20David%20Racer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0616" cy="1075834"/>
                    </a:xfrm>
                    <a:prstGeom prst="rect">
                      <a:avLst/>
                    </a:prstGeom>
                    <a:noFill/>
                    <a:ln>
                      <a:noFill/>
                    </a:ln>
                  </pic:spPr>
                </pic:pic>
              </a:graphicData>
            </a:graphic>
          </wp:inline>
        </w:drawing>
      </w:r>
    </w:p>
    <w:p w14:paraId="5B18217C" w14:textId="77777777" w:rsidR="0079172B" w:rsidRDefault="00A54579">
      <w:pPr>
        <w:spacing w:after="0" w:line="276" w:lineRule="auto"/>
        <w:jc w:val="both"/>
        <w:rPr>
          <w:rFonts w:ascii="Arial" w:eastAsia="Arial" w:hAnsi="Arial" w:cs="Arial"/>
          <w:b/>
          <w:sz w:val="23"/>
          <w:szCs w:val="23"/>
        </w:rPr>
      </w:pPr>
      <w:r>
        <w:rPr>
          <w:rFonts w:ascii="Arial" w:eastAsia="Arial" w:hAnsi="Arial" w:cs="Arial"/>
          <w:b/>
          <w:sz w:val="23"/>
          <w:szCs w:val="23"/>
        </w:rPr>
        <w:t xml:space="preserve">GUSTAVO BOLIVAR MORENO </w:t>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t>DAVID RACERO MAYORGA</w:t>
      </w:r>
    </w:p>
    <w:p w14:paraId="47C97314" w14:textId="77777777" w:rsidR="0079172B" w:rsidRDefault="00A54579">
      <w:pPr>
        <w:spacing w:after="0" w:line="276" w:lineRule="auto"/>
        <w:jc w:val="both"/>
        <w:rPr>
          <w:rFonts w:ascii="Arial" w:eastAsia="Arial" w:hAnsi="Arial" w:cs="Arial"/>
          <w:b/>
          <w:sz w:val="23"/>
          <w:szCs w:val="23"/>
        </w:rPr>
      </w:pPr>
      <w:r>
        <w:rPr>
          <w:rFonts w:ascii="Arial" w:eastAsia="Arial" w:hAnsi="Arial" w:cs="Arial"/>
          <w:b/>
          <w:sz w:val="23"/>
          <w:szCs w:val="23"/>
        </w:rPr>
        <w:t xml:space="preserve">Senador de la República </w:t>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t>Representante a la Cámara</w:t>
      </w:r>
    </w:p>
    <w:p w14:paraId="1650A8B9" w14:textId="77777777" w:rsidR="0079172B" w:rsidRDefault="00A54579">
      <w:pPr>
        <w:spacing w:after="0" w:line="276" w:lineRule="auto"/>
        <w:jc w:val="both"/>
        <w:rPr>
          <w:rFonts w:ascii="Arial" w:eastAsia="Arial" w:hAnsi="Arial" w:cs="Arial"/>
          <w:sz w:val="24"/>
          <w:szCs w:val="24"/>
        </w:rPr>
      </w:pPr>
      <w:r>
        <w:rPr>
          <w:rFonts w:ascii="Arial" w:eastAsia="Arial" w:hAnsi="Arial" w:cs="Arial"/>
          <w:b/>
          <w:sz w:val="23"/>
          <w:szCs w:val="23"/>
        </w:rPr>
        <w:t>Lista de los Decentes</w:t>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r>
      <w:r>
        <w:rPr>
          <w:rFonts w:ascii="Arial" w:eastAsia="Arial" w:hAnsi="Arial" w:cs="Arial"/>
          <w:b/>
          <w:sz w:val="23"/>
          <w:szCs w:val="23"/>
        </w:rPr>
        <w:tab/>
        <w:t>Lista de los Decentes</w:t>
      </w:r>
    </w:p>
    <w:p w14:paraId="2F658E9C" w14:textId="77777777" w:rsidR="0079172B" w:rsidRDefault="0079172B">
      <w:pPr>
        <w:spacing w:line="276" w:lineRule="auto"/>
        <w:jc w:val="both"/>
        <w:rPr>
          <w:rFonts w:ascii="Arial" w:eastAsia="Arial" w:hAnsi="Arial" w:cs="Arial"/>
          <w:sz w:val="24"/>
          <w:szCs w:val="24"/>
        </w:rPr>
      </w:pPr>
    </w:p>
    <w:p w14:paraId="661CC27F" w14:textId="77777777" w:rsidR="0079172B" w:rsidRDefault="0079172B">
      <w:pPr>
        <w:spacing w:line="276" w:lineRule="auto"/>
        <w:jc w:val="both"/>
        <w:rPr>
          <w:rFonts w:ascii="Arial" w:eastAsia="Arial" w:hAnsi="Arial" w:cs="Arial"/>
          <w:sz w:val="24"/>
          <w:szCs w:val="24"/>
        </w:rPr>
      </w:pPr>
    </w:p>
    <w:p w14:paraId="785E7B71" w14:textId="77777777" w:rsidR="0079172B" w:rsidRDefault="0079172B">
      <w:pPr>
        <w:spacing w:line="276" w:lineRule="auto"/>
        <w:jc w:val="both"/>
        <w:rPr>
          <w:rFonts w:ascii="Arial" w:eastAsia="Arial" w:hAnsi="Arial" w:cs="Arial"/>
          <w:sz w:val="24"/>
          <w:szCs w:val="24"/>
        </w:rPr>
      </w:pPr>
    </w:p>
    <w:p w14:paraId="5BB2A12D" w14:textId="77777777" w:rsidR="0079172B" w:rsidRDefault="0079172B">
      <w:pPr>
        <w:spacing w:line="276" w:lineRule="auto"/>
        <w:jc w:val="both"/>
        <w:rPr>
          <w:rFonts w:ascii="Arial" w:eastAsia="Arial" w:hAnsi="Arial" w:cs="Arial"/>
          <w:sz w:val="24"/>
          <w:szCs w:val="24"/>
        </w:rPr>
      </w:pPr>
    </w:p>
    <w:p w14:paraId="6EDE1064" w14:textId="77777777" w:rsidR="0079172B" w:rsidRDefault="0079172B">
      <w:pPr>
        <w:spacing w:line="276" w:lineRule="auto"/>
        <w:jc w:val="both"/>
        <w:rPr>
          <w:rFonts w:ascii="Arial" w:eastAsia="Arial" w:hAnsi="Arial" w:cs="Arial"/>
          <w:sz w:val="24"/>
          <w:szCs w:val="24"/>
        </w:rPr>
      </w:pPr>
    </w:p>
    <w:p w14:paraId="5827AC63" w14:textId="77777777" w:rsidR="0079172B" w:rsidRDefault="0079172B">
      <w:pPr>
        <w:spacing w:line="276" w:lineRule="auto"/>
        <w:jc w:val="both"/>
        <w:rPr>
          <w:rFonts w:ascii="Arial" w:eastAsia="Arial" w:hAnsi="Arial" w:cs="Arial"/>
          <w:sz w:val="24"/>
          <w:szCs w:val="24"/>
        </w:rPr>
      </w:pPr>
    </w:p>
    <w:p w14:paraId="050D26B6" w14:textId="77777777" w:rsidR="0079172B" w:rsidRDefault="0079172B">
      <w:pPr>
        <w:spacing w:line="276" w:lineRule="auto"/>
        <w:jc w:val="both"/>
        <w:rPr>
          <w:rFonts w:ascii="Arial" w:eastAsia="Arial" w:hAnsi="Arial" w:cs="Arial"/>
          <w:sz w:val="24"/>
          <w:szCs w:val="24"/>
        </w:rPr>
      </w:pPr>
    </w:p>
    <w:p w14:paraId="6492D84D" w14:textId="77777777" w:rsidR="0079172B" w:rsidRDefault="0079172B">
      <w:pPr>
        <w:spacing w:line="276" w:lineRule="auto"/>
        <w:jc w:val="both"/>
        <w:rPr>
          <w:rFonts w:ascii="Arial" w:eastAsia="Arial" w:hAnsi="Arial" w:cs="Arial"/>
          <w:sz w:val="24"/>
          <w:szCs w:val="24"/>
        </w:rPr>
      </w:pPr>
    </w:p>
    <w:p w14:paraId="7080E70C" w14:textId="77777777" w:rsidR="0079172B" w:rsidRDefault="0079172B">
      <w:pPr>
        <w:spacing w:line="276" w:lineRule="auto"/>
        <w:jc w:val="both"/>
        <w:rPr>
          <w:rFonts w:ascii="Arial" w:eastAsia="Arial" w:hAnsi="Arial" w:cs="Arial"/>
          <w:sz w:val="24"/>
          <w:szCs w:val="24"/>
        </w:rPr>
      </w:pPr>
    </w:p>
    <w:p w14:paraId="1C2CB8D7" w14:textId="77777777" w:rsidR="0079172B" w:rsidRDefault="0079172B">
      <w:pPr>
        <w:spacing w:line="276" w:lineRule="auto"/>
        <w:jc w:val="both"/>
        <w:rPr>
          <w:rFonts w:ascii="Arial" w:eastAsia="Arial" w:hAnsi="Arial" w:cs="Arial"/>
          <w:sz w:val="24"/>
          <w:szCs w:val="24"/>
        </w:rPr>
      </w:pPr>
    </w:p>
    <w:p w14:paraId="7ABBBEC8" w14:textId="77777777" w:rsidR="0079172B" w:rsidRDefault="0079172B">
      <w:pPr>
        <w:spacing w:line="276" w:lineRule="auto"/>
        <w:jc w:val="both"/>
        <w:rPr>
          <w:rFonts w:ascii="Arial" w:eastAsia="Arial" w:hAnsi="Arial" w:cs="Arial"/>
          <w:sz w:val="24"/>
          <w:szCs w:val="24"/>
        </w:rPr>
      </w:pPr>
    </w:p>
    <w:p w14:paraId="0F930515" w14:textId="77777777" w:rsidR="0079172B" w:rsidRDefault="0079172B">
      <w:pPr>
        <w:spacing w:line="276" w:lineRule="auto"/>
        <w:jc w:val="both"/>
        <w:rPr>
          <w:rFonts w:ascii="Arial" w:eastAsia="Arial" w:hAnsi="Arial" w:cs="Arial"/>
          <w:sz w:val="24"/>
          <w:szCs w:val="24"/>
        </w:rPr>
      </w:pPr>
    </w:p>
    <w:p w14:paraId="1636A503" w14:textId="77777777" w:rsidR="0079172B" w:rsidRDefault="0079172B">
      <w:pPr>
        <w:spacing w:line="276" w:lineRule="auto"/>
        <w:jc w:val="both"/>
        <w:rPr>
          <w:rFonts w:ascii="Arial" w:eastAsia="Arial" w:hAnsi="Arial" w:cs="Arial"/>
          <w:sz w:val="24"/>
          <w:szCs w:val="24"/>
        </w:rPr>
      </w:pPr>
    </w:p>
    <w:p w14:paraId="49652846" w14:textId="77777777" w:rsidR="0079172B" w:rsidRDefault="0079172B">
      <w:pPr>
        <w:spacing w:line="276" w:lineRule="auto"/>
        <w:jc w:val="both"/>
        <w:rPr>
          <w:rFonts w:ascii="Arial" w:eastAsia="Arial" w:hAnsi="Arial" w:cs="Arial"/>
          <w:sz w:val="24"/>
          <w:szCs w:val="24"/>
        </w:rPr>
      </w:pPr>
    </w:p>
    <w:p w14:paraId="48C6EA82" w14:textId="77777777" w:rsidR="0079172B" w:rsidRDefault="0079172B">
      <w:pPr>
        <w:spacing w:line="276" w:lineRule="auto"/>
        <w:jc w:val="both"/>
        <w:rPr>
          <w:rFonts w:ascii="Arial" w:eastAsia="Arial" w:hAnsi="Arial" w:cs="Arial"/>
          <w:sz w:val="24"/>
          <w:szCs w:val="24"/>
        </w:rPr>
      </w:pPr>
    </w:p>
    <w:p w14:paraId="121F5858" w14:textId="77777777" w:rsidR="0079172B" w:rsidRDefault="0079172B">
      <w:pPr>
        <w:spacing w:line="276" w:lineRule="auto"/>
        <w:jc w:val="both"/>
        <w:rPr>
          <w:rFonts w:ascii="Arial" w:eastAsia="Arial" w:hAnsi="Arial" w:cs="Arial"/>
          <w:sz w:val="24"/>
          <w:szCs w:val="24"/>
        </w:rPr>
      </w:pPr>
    </w:p>
    <w:p w14:paraId="578CD6A6" w14:textId="77777777" w:rsidR="0079172B" w:rsidRDefault="0079172B">
      <w:pPr>
        <w:spacing w:line="276" w:lineRule="auto"/>
        <w:jc w:val="both"/>
        <w:rPr>
          <w:rFonts w:ascii="Arial" w:eastAsia="Arial" w:hAnsi="Arial" w:cs="Arial"/>
          <w:sz w:val="24"/>
          <w:szCs w:val="24"/>
        </w:rPr>
      </w:pPr>
    </w:p>
    <w:p w14:paraId="51137E5D" w14:textId="77777777" w:rsidR="0079172B" w:rsidRDefault="0079172B">
      <w:pPr>
        <w:spacing w:line="276" w:lineRule="auto"/>
        <w:jc w:val="both"/>
        <w:rPr>
          <w:rFonts w:ascii="Arial" w:eastAsia="Arial" w:hAnsi="Arial" w:cs="Arial"/>
          <w:sz w:val="24"/>
          <w:szCs w:val="24"/>
        </w:rPr>
      </w:pPr>
    </w:p>
    <w:p w14:paraId="73E38A60" w14:textId="77777777" w:rsidR="0079172B" w:rsidRDefault="0079172B">
      <w:pPr>
        <w:spacing w:line="276" w:lineRule="auto"/>
        <w:jc w:val="both"/>
        <w:rPr>
          <w:rFonts w:ascii="Arial" w:eastAsia="Arial" w:hAnsi="Arial" w:cs="Arial"/>
          <w:sz w:val="24"/>
          <w:szCs w:val="24"/>
        </w:rPr>
      </w:pPr>
    </w:p>
    <w:p w14:paraId="7B4087D9" w14:textId="77777777" w:rsidR="0079172B" w:rsidRDefault="0079172B">
      <w:pPr>
        <w:spacing w:line="276" w:lineRule="auto"/>
        <w:jc w:val="both"/>
        <w:rPr>
          <w:rFonts w:ascii="Arial" w:eastAsia="Arial" w:hAnsi="Arial" w:cs="Arial"/>
          <w:sz w:val="24"/>
          <w:szCs w:val="24"/>
        </w:rPr>
      </w:pPr>
    </w:p>
    <w:p w14:paraId="75A87D26" w14:textId="77777777" w:rsidR="0079172B" w:rsidRDefault="0079172B">
      <w:pPr>
        <w:spacing w:line="276" w:lineRule="auto"/>
        <w:jc w:val="both"/>
        <w:rPr>
          <w:rFonts w:ascii="Arial" w:eastAsia="Arial" w:hAnsi="Arial" w:cs="Arial"/>
          <w:sz w:val="24"/>
          <w:szCs w:val="24"/>
        </w:rPr>
      </w:pPr>
    </w:p>
    <w:p w14:paraId="5BD61B9B" w14:textId="77777777" w:rsidR="0079172B" w:rsidRDefault="0079172B">
      <w:pPr>
        <w:spacing w:line="276" w:lineRule="auto"/>
        <w:jc w:val="both"/>
        <w:rPr>
          <w:rFonts w:ascii="Arial" w:eastAsia="Arial" w:hAnsi="Arial" w:cs="Arial"/>
          <w:sz w:val="24"/>
          <w:szCs w:val="24"/>
        </w:rPr>
      </w:pPr>
    </w:p>
    <w:p w14:paraId="3FEDEC70" w14:textId="77777777" w:rsidR="0079172B" w:rsidRDefault="0079172B">
      <w:pPr>
        <w:spacing w:line="276" w:lineRule="auto"/>
        <w:jc w:val="both"/>
        <w:rPr>
          <w:rFonts w:ascii="Arial" w:eastAsia="Arial" w:hAnsi="Arial" w:cs="Arial"/>
          <w:sz w:val="24"/>
          <w:szCs w:val="24"/>
        </w:rPr>
      </w:pPr>
    </w:p>
    <w:p w14:paraId="25946A71" w14:textId="77777777" w:rsidR="0079172B" w:rsidRDefault="0079172B">
      <w:pPr>
        <w:spacing w:line="276" w:lineRule="auto"/>
        <w:jc w:val="both"/>
        <w:rPr>
          <w:rFonts w:ascii="Arial" w:eastAsia="Arial" w:hAnsi="Arial" w:cs="Arial"/>
          <w:sz w:val="24"/>
          <w:szCs w:val="24"/>
        </w:rPr>
      </w:pPr>
    </w:p>
    <w:p w14:paraId="49C43E27" w14:textId="77777777" w:rsidR="0079172B" w:rsidRDefault="0079172B">
      <w:pPr>
        <w:spacing w:line="276" w:lineRule="auto"/>
        <w:jc w:val="both"/>
        <w:rPr>
          <w:rFonts w:ascii="Arial" w:eastAsia="Arial" w:hAnsi="Arial" w:cs="Arial"/>
          <w:sz w:val="24"/>
          <w:szCs w:val="24"/>
        </w:rPr>
      </w:pPr>
    </w:p>
    <w:p w14:paraId="0891347D" w14:textId="77777777" w:rsidR="0079172B" w:rsidRDefault="0079172B">
      <w:pPr>
        <w:spacing w:line="276" w:lineRule="auto"/>
        <w:jc w:val="both"/>
        <w:rPr>
          <w:rFonts w:ascii="Arial" w:eastAsia="Arial" w:hAnsi="Arial" w:cs="Arial"/>
          <w:sz w:val="24"/>
          <w:szCs w:val="24"/>
        </w:rPr>
      </w:pPr>
    </w:p>
    <w:p w14:paraId="45975C7A" w14:textId="77777777" w:rsidR="0079172B" w:rsidRDefault="0079172B">
      <w:pPr>
        <w:spacing w:line="276" w:lineRule="auto"/>
        <w:jc w:val="both"/>
        <w:rPr>
          <w:rFonts w:ascii="Arial" w:eastAsia="Arial" w:hAnsi="Arial" w:cs="Arial"/>
          <w:sz w:val="24"/>
          <w:szCs w:val="24"/>
        </w:rPr>
      </w:pPr>
    </w:p>
    <w:p w14:paraId="5AC38F95" w14:textId="77777777" w:rsidR="0079172B" w:rsidRDefault="0079172B">
      <w:pPr>
        <w:spacing w:line="276" w:lineRule="auto"/>
        <w:jc w:val="both"/>
        <w:rPr>
          <w:rFonts w:ascii="Arial" w:eastAsia="Arial" w:hAnsi="Arial" w:cs="Arial"/>
          <w:sz w:val="24"/>
          <w:szCs w:val="24"/>
        </w:rPr>
      </w:pPr>
    </w:p>
    <w:p w14:paraId="1B682A1D" w14:textId="77777777" w:rsidR="0079172B" w:rsidRDefault="0079172B">
      <w:pPr>
        <w:spacing w:line="276" w:lineRule="auto"/>
        <w:jc w:val="both"/>
        <w:rPr>
          <w:rFonts w:ascii="Arial" w:eastAsia="Arial" w:hAnsi="Arial" w:cs="Arial"/>
          <w:sz w:val="24"/>
          <w:szCs w:val="24"/>
        </w:rPr>
      </w:pPr>
    </w:p>
    <w:p w14:paraId="06244BFE" w14:textId="77777777" w:rsidR="0079172B" w:rsidRDefault="0079172B">
      <w:pPr>
        <w:spacing w:line="276" w:lineRule="auto"/>
        <w:jc w:val="both"/>
        <w:rPr>
          <w:rFonts w:ascii="Arial" w:eastAsia="Arial" w:hAnsi="Arial" w:cs="Arial"/>
          <w:sz w:val="24"/>
          <w:szCs w:val="24"/>
        </w:rPr>
      </w:pPr>
    </w:p>
    <w:p w14:paraId="3983FE41" w14:textId="77777777" w:rsidR="0079172B" w:rsidRDefault="0079172B">
      <w:pPr>
        <w:spacing w:line="276" w:lineRule="auto"/>
        <w:jc w:val="both"/>
        <w:rPr>
          <w:rFonts w:ascii="Arial" w:eastAsia="Arial" w:hAnsi="Arial" w:cs="Arial"/>
          <w:sz w:val="24"/>
          <w:szCs w:val="24"/>
        </w:rPr>
      </w:pPr>
    </w:p>
    <w:p w14:paraId="17BDD92F" w14:textId="77777777" w:rsidR="0079172B" w:rsidRDefault="0079172B">
      <w:pPr>
        <w:spacing w:line="276" w:lineRule="auto"/>
        <w:jc w:val="both"/>
        <w:rPr>
          <w:rFonts w:ascii="Arial" w:eastAsia="Arial" w:hAnsi="Arial" w:cs="Arial"/>
          <w:sz w:val="24"/>
          <w:szCs w:val="24"/>
        </w:rPr>
      </w:pPr>
    </w:p>
    <w:p w14:paraId="6941A42F" w14:textId="77777777" w:rsidR="0079172B" w:rsidRDefault="0079172B">
      <w:pPr>
        <w:spacing w:line="276" w:lineRule="auto"/>
        <w:jc w:val="both"/>
        <w:rPr>
          <w:rFonts w:ascii="Arial" w:eastAsia="Arial" w:hAnsi="Arial" w:cs="Arial"/>
          <w:sz w:val="24"/>
          <w:szCs w:val="24"/>
        </w:rPr>
      </w:pPr>
    </w:p>
    <w:p w14:paraId="16447D30" w14:textId="77777777" w:rsidR="0079172B" w:rsidRDefault="0079172B">
      <w:pPr>
        <w:spacing w:before="280" w:after="280" w:line="276" w:lineRule="auto"/>
        <w:rPr>
          <w:rFonts w:ascii="Arial" w:eastAsia="Arial" w:hAnsi="Arial" w:cs="Arial"/>
          <w:b/>
          <w:sz w:val="24"/>
          <w:szCs w:val="24"/>
        </w:rPr>
      </w:pPr>
    </w:p>
    <w:p w14:paraId="5C83534F" w14:textId="77777777" w:rsidR="0079172B" w:rsidRDefault="0079172B">
      <w:pPr>
        <w:spacing w:before="280" w:after="280" w:line="276" w:lineRule="auto"/>
        <w:rPr>
          <w:rFonts w:ascii="Arial" w:eastAsia="Arial" w:hAnsi="Arial" w:cs="Arial"/>
          <w:sz w:val="24"/>
          <w:szCs w:val="24"/>
        </w:rPr>
      </w:pPr>
    </w:p>
    <w:p w14:paraId="351FD25F" w14:textId="77777777" w:rsidR="0079172B" w:rsidRDefault="0079172B">
      <w:pPr>
        <w:spacing w:before="280" w:after="280" w:line="276" w:lineRule="auto"/>
        <w:jc w:val="both"/>
        <w:rPr>
          <w:rFonts w:ascii="Arial" w:eastAsia="Arial" w:hAnsi="Arial" w:cs="Arial"/>
          <w:sz w:val="24"/>
          <w:szCs w:val="24"/>
        </w:rPr>
      </w:pPr>
    </w:p>
    <w:p w14:paraId="20D643BB" w14:textId="77777777" w:rsidR="0079172B" w:rsidRDefault="0079172B">
      <w:pPr>
        <w:spacing w:before="280" w:after="280" w:line="276" w:lineRule="auto"/>
        <w:jc w:val="both"/>
        <w:rPr>
          <w:rFonts w:ascii="Arial" w:eastAsia="Arial" w:hAnsi="Arial" w:cs="Arial"/>
          <w:sz w:val="24"/>
          <w:szCs w:val="24"/>
        </w:rPr>
      </w:pPr>
    </w:p>
    <w:p w14:paraId="56F11FC5" w14:textId="77777777" w:rsidR="0079172B" w:rsidRDefault="0079172B">
      <w:pPr>
        <w:spacing w:before="280" w:after="280" w:line="276" w:lineRule="auto"/>
        <w:jc w:val="both"/>
        <w:rPr>
          <w:rFonts w:ascii="Arial" w:eastAsia="Arial" w:hAnsi="Arial" w:cs="Arial"/>
          <w:sz w:val="24"/>
          <w:szCs w:val="24"/>
        </w:rPr>
      </w:pPr>
    </w:p>
    <w:p w14:paraId="7B5CA34D" w14:textId="77777777" w:rsidR="0079172B" w:rsidRDefault="0079172B">
      <w:pPr>
        <w:spacing w:before="280" w:after="280" w:line="276" w:lineRule="auto"/>
        <w:jc w:val="both"/>
        <w:rPr>
          <w:rFonts w:ascii="Arial" w:eastAsia="Arial" w:hAnsi="Arial" w:cs="Arial"/>
          <w:sz w:val="24"/>
          <w:szCs w:val="24"/>
        </w:rPr>
      </w:pPr>
    </w:p>
    <w:p w14:paraId="2BF1BFE7" w14:textId="77777777" w:rsidR="0079172B" w:rsidRDefault="0079172B">
      <w:pPr>
        <w:spacing w:before="280" w:after="280" w:line="276" w:lineRule="auto"/>
        <w:jc w:val="both"/>
        <w:rPr>
          <w:rFonts w:ascii="Arial" w:eastAsia="Arial" w:hAnsi="Arial" w:cs="Arial"/>
          <w:sz w:val="24"/>
          <w:szCs w:val="24"/>
        </w:rPr>
      </w:pPr>
    </w:p>
    <w:p w14:paraId="745BCF5D" w14:textId="77777777" w:rsidR="0079172B" w:rsidRDefault="0079172B">
      <w:pPr>
        <w:spacing w:before="280" w:after="280" w:line="276" w:lineRule="auto"/>
        <w:jc w:val="both"/>
        <w:rPr>
          <w:rFonts w:ascii="Arial" w:eastAsia="Arial" w:hAnsi="Arial" w:cs="Arial"/>
          <w:sz w:val="24"/>
          <w:szCs w:val="24"/>
        </w:rPr>
      </w:pPr>
    </w:p>
    <w:p w14:paraId="012F29CF" w14:textId="77777777" w:rsidR="0079172B" w:rsidRDefault="0079172B">
      <w:pPr>
        <w:spacing w:before="280" w:after="280" w:line="276" w:lineRule="auto"/>
        <w:jc w:val="both"/>
        <w:rPr>
          <w:rFonts w:ascii="Arial" w:eastAsia="Arial" w:hAnsi="Arial" w:cs="Arial"/>
          <w:sz w:val="24"/>
          <w:szCs w:val="24"/>
        </w:rPr>
      </w:pPr>
    </w:p>
    <w:p w14:paraId="0963A9F8" w14:textId="77777777" w:rsidR="0079172B" w:rsidRDefault="0079172B">
      <w:pPr>
        <w:pBdr>
          <w:top w:val="nil"/>
          <w:left w:val="nil"/>
          <w:bottom w:val="nil"/>
          <w:right w:val="nil"/>
          <w:between w:val="nil"/>
        </w:pBdr>
        <w:spacing w:before="280" w:after="280" w:line="276" w:lineRule="auto"/>
        <w:ind w:left="720"/>
        <w:jc w:val="both"/>
        <w:rPr>
          <w:rFonts w:ascii="Arial" w:eastAsia="Arial" w:hAnsi="Arial" w:cs="Arial"/>
          <w:color w:val="000000"/>
          <w:sz w:val="24"/>
          <w:szCs w:val="24"/>
        </w:rPr>
      </w:pPr>
    </w:p>
    <w:p w14:paraId="4F7C3250" w14:textId="77777777" w:rsidR="0079172B" w:rsidRDefault="0079172B">
      <w:pPr>
        <w:spacing w:line="276" w:lineRule="auto"/>
        <w:rPr>
          <w:rFonts w:ascii="Arial" w:eastAsia="Arial" w:hAnsi="Arial" w:cs="Arial"/>
          <w:sz w:val="24"/>
          <w:szCs w:val="24"/>
        </w:rPr>
      </w:pPr>
    </w:p>
    <w:sectPr w:rsidR="0079172B">
      <w:headerReference w:type="default" r:id="rId20"/>
      <w:footerReference w:type="default" r:id="rId21"/>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221D8" w14:textId="77777777" w:rsidR="000765A5" w:rsidRDefault="000765A5">
      <w:pPr>
        <w:spacing w:after="0" w:line="240" w:lineRule="auto"/>
      </w:pPr>
      <w:r>
        <w:separator/>
      </w:r>
    </w:p>
  </w:endnote>
  <w:endnote w:type="continuationSeparator" w:id="0">
    <w:p w14:paraId="1366D6B2" w14:textId="77777777" w:rsidR="000765A5" w:rsidRDefault="0007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38D53" w14:textId="77777777" w:rsidR="0079172B" w:rsidRDefault="0079172B">
    <w:pPr>
      <w:pBdr>
        <w:top w:val="nil"/>
        <w:left w:val="nil"/>
        <w:bottom w:val="nil"/>
        <w:right w:val="nil"/>
        <w:between w:val="nil"/>
      </w:pBdr>
      <w:tabs>
        <w:tab w:val="center" w:pos="4419"/>
        <w:tab w:val="right" w:pos="8838"/>
      </w:tabs>
      <w:spacing w:after="0" w:line="240" w:lineRule="auto"/>
      <w:jc w:val="both"/>
      <w:rPr>
        <w:color w:val="000000"/>
      </w:rPr>
    </w:pPr>
  </w:p>
  <w:p w14:paraId="05A15E2B" w14:textId="77777777" w:rsidR="0079172B" w:rsidRDefault="0079172B">
    <w:pPr>
      <w:pBdr>
        <w:top w:val="nil"/>
        <w:left w:val="nil"/>
        <w:bottom w:val="nil"/>
        <w:right w:val="nil"/>
        <w:between w:val="nil"/>
      </w:pBdr>
      <w:tabs>
        <w:tab w:val="center" w:pos="4419"/>
        <w:tab w:val="right" w:pos="8838"/>
      </w:tabs>
      <w:spacing w:after="0" w:line="240" w:lineRule="auto"/>
      <w:jc w:val="both"/>
      <w:rPr>
        <w:color w:val="000000"/>
      </w:rPr>
    </w:pPr>
  </w:p>
  <w:p w14:paraId="1AA64B83" w14:textId="77777777" w:rsidR="0079172B" w:rsidRDefault="0079172B">
    <w:pPr>
      <w:pBdr>
        <w:top w:val="nil"/>
        <w:left w:val="nil"/>
        <w:bottom w:val="nil"/>
        <w:right w:val="nil"/>
        <w:between w:val="nil"/>
      </w:pBdr>
      <w:tabs>
        <w:tab w:val="center" w:pos="4419"/>
        <w:tab w:val="right" w:pos="8838"/>
      </w:tabs>
      <w:spacing w:after="0" w:line="240" w:lineRule="auto"/>
      <w:jc w:val="both"/>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CA716" w14:textId="77777777" w:rsidR="000765A5" w:rsidRDefault="000765A5">
      <w:pPr>
        <w:spacing w:after="0" w:line="240" w:lineRule="auto"/>
      </w:pPr>
      <w:r>
        <w:separator/>
      </w:r>
    </w:p>
  </w:footnote>
  <w:footnote w:type="continuationSeparator" w:id="0">
    <w:p w14:paraId="53F8C53C" w14:textId="77777777" w:rsidR="000765A5" w:rsidRDefault="000765A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B0BE" w14:textId="77777777" w:rsidR="0079172B" w:rsidRDefault="00A54579">
    <w:pPr>
      <w:pBdr>
        <w:top w:val="nil"/>
        <w:left w:val="nil"/>
        <w:bottom w:val="nil"/>
        <w:right w:val="nil"/>
        <w:between w:val="nil"/>
      </w:pBdr>
      <w:tabs>
        <w:tab w:val="center" w:pos="4419"/>
        <w:tab w:val="right" w:pos="8838"/>
      </w:tabs>
      <w:spacing w:after="0" w:line="240" w:lineRule="auto"/>
      <w:rPr>
        <w:color w:val="000000"/>
      </w:rPr>
    </w:pPr>
    <w:r>
      <w:rPr>
        <w:color w:val="000000"/>
      </w:rPr>
      <w:t xml:space="preserve">                                                                                                      </w:t>
    </w:r>
  </w:p>
  <w:p w14:paraId="266160FC" w14:textId="77777777" w:rsidR="0079172B" w:rsidRDefault="0079172B">
    <w:pPr>
      <w:pBdr>
        <w:top w:val="nil"/>
        <w:left w:val="nil"/>
        <w:bottom w:val="nil"/>
        <w:right w:val="nil"/>
        <w:between w:val="nil"/>
      </w:pBdr>
      <w:tabs>
        <w:tab w:val="center" w:pos="4419"/>
        <w:tab w:val="right" w:pos="8838"/>
      </w:tabs>
      <w:spacing w:after="0" w:line="240" w:lineRule="auto"/>
      <w:jc w:val="center"/>
      <w:rPr>
        <w:color w:val="000000"/>
        <w:u w:val="single"/>
      </w:rPr>
    </w:pPr>
  </w:p>
  <w:p w14:paraId="00D2760C" w14:textId="77777777" w:rsidR="0079172B" w:rsidRDefault="0079172B">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D4EED"/>
    <w:multiLevelType w:val="multilevel"/>
    <w:tmpl w:val="503A3B18"/>
    <w:lvl w:ilvl="0">
      <w:start w:val="1"/>
      <w:numFmt w:val="upperRoman"/>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nsid w:val="1FAF28D7"/>
    <w:multiLevelType w:val="multilevel"/>
    <w:tmpl w:val="00E25E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AFB4389"/>
    <w:multiLevelType w:val="multilevel"/>
    <w:tmpl w:val="3C8E9840"/>
    <w:lvl w:ilvl="0">
      <w:start w:val="1"/>
      <w:numFmt w:val="upperRoman"/>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72B"/>
    <w:rsid w:val="000765A5"/>
    <w:rsid w:val="004C1E2A"/>
    <w:rsid w:val="004F5B51"/>
    <w:rsid w:val="0079172B"/>
    <w:rsid w:val="00A54579"/>
    <w:rsid w:val="00DE1C4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1073E9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ES_tradnl"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77229"/>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F772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7229"/>
    <w:rPr>
      <w:sz w:val="22"/>
      <w:szCs w:val="22"/>
      <w:lang w:val="es-CO"/>
    </w:rPr>
  </w:style>
  <w:style w:type="paragraph" w:styleId="Piedepgina">
    <w:name w:val="footer"/>
    <w:basedOn w:val="Normal"/>
    <w:link w:val="PiedepginaCar"/>
    <w:uiPriority w:val="99"/>
    <w:unhideWhenUsed/>
    <w:rsid w:val="00F772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7229"/>
    <w:rPr>
      <w:sz w:val="22"/>
      <w:szCs w:val="22"/>
      <w:lang w:val="es-CO"/>
    </w:rPr>
  </w:style>
  <w:style w:type="paragraph" w:styleId="Prrafodelista">
    <w:name w:val="List Paragraph"/>
    <w:aliases w:val="List,titulo 3,Ha,Resume Title,Párrafo de lista1,Bullets,Elabora,Fluvial1,Cuadrícula clara - Énfasis 31,Normal. Viñetas,HOJA,Bolita,Párrafo de lista4,BOLADEF,Párrafo de lista3,Párrafo de lista21,BOLA,Nivel 1 OS"/>
    <w:basedOn w:val="Normal"/>
    <w:link w:val="PrrafodelistaCar"/>
    <w:uiPriority w:val="34"/>
    <w:qFormat/>
    <w:rsid w:val="00F77229"/>
    <w:pPr>
      <w:ind w:left="720"/>
      <w:contextualSpacing/>
    </w:pPr>
  </w:style>
  <w:style w:type="table" w:customStyle="1" w:styleId="Tablaconcuadrcula3">
    <w:name w:val="Tabla con cuadrícula3"/>
    <w:basedOn w:val="Tablanormal"/>
    <w:next w:val="Tablaconcuadrcula"/>
    <w:uiPriority w:val="39"/>
    <w:rsid w:val="0086125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ist Car,titulo 3 Car,Ha Car,Resume Title Car,Párrafo de lista1 Car,Bullets Car,Elabora Car,Fluvial1 Car,Cuadrícula clara - Énfasis 31 Car,Normal. Viñetas Car,HOJA Car,Bolita Car,Párrafo de lista4 Car,BOLADEF Car,BOLA Car"/>
    <w:link w:val="Prrafodelista"/>
    <w:uiPriority w:val="34"/>
    <w:qFormat/>
    <w:locked/>
    <w:rsid w:val="00861254"/>
    <w:rPr>
      <w:sz w:val="22"/>
      <w:szCs w:val="22"/>
      <w:lang w:val="es-CO"/>
    </w:rPr>
  </w:style>
  <w:style w:type="table" w:styleId="Tablaconcuadrcula">
    <w:name w:val="Table Grid"/>
    <w:basedOn w:val="Tablanormal"/>
    <w:uiPriority w:val="39"/>
    <w:rsid w:val="008612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3.jp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chart" Target="charts/chart1.xml"/><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localhost/Users/camilorodriguez/Downloads/expo_tra_notra_sep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dLblPos val="inBase"/>
              <c:showLegendKey val="0"/>
              <c:showVal val="1"/>
              <c:showCatName val="0"/>
              <c:showSerName val="0"/>
              <c:showPercent val="0"/>
              <c:showBubbleSize val="0"/>
            </c:dLbl>
            <c:dLbl>
              <c:idx val="1"/>
              <c:layout>
                <c:manualLayout>
                  <c:x val="-0.0111111111111111"/>
                  <c:y val="0.69241433362496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5.092533763208E-17"/>
                  <c:y val="0.19007035578886"/>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00833333333333343"/>
                  <c:y val="0.130103528725576"/>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0"/>
                  <c:y val="0.33951334208224"/>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0185067526416E-16"/>
                  <c:y val="0.00780402449693787"/>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0.00277777777777778"/>
                  <c:y val="0.239957713619131"/>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_tradnl"/>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'Tra y Notra'!$X$399:$X$405</c:f>
              <c:strCache>
                <c:ptCount val="7"/>
                <c:pt idx="0">
                  <c:v>Café</c:v>
                </c:pt>
                <c:pt idx="1">
                  <c:v>Carbón</c:v>
                </c:pt>
                <c:pt idx="2">
                  <c:v>Petróleo</c:v>
                </c:pt>
                <c:pt idx="3">
                  <c:v>Ferroniquel</c:v>
                </c:pt>
                <c:pt idx="4">
                  <c:v>Tradicionales</c:v>
                </c:pt>
                <c:pt idx="5">
                  <c:v>No Tradicionales</c:v>
                </c:pt>
                <c:pt idx="6">
                  <c:v>Totales</c:v>
                </c:pt>
              </c:strCache>
            </c:strRef>
          </c:cat>
          <c:val>
            <c:numRef>
              <c:f>'Tra y Notra'!$Y$399:$Y$405</c:f>
              <c:numCache>
                <c:formatCode>0%</c:formatCode>
                <c:ptCount val="7"/>
                <c:pt idx="0">
                  <c:v>0.006</c:v>
                </c:pt>
                <c:pt idx="1">
                  <c:v>-0.239</c:v>
                </c:pt>
                <c:pt idx="2">
                  <c:v>-0.052</c:v>
                </c:pt>
                <c:pt idx="3" formatCode="0.00%">
                  <c:v>-0.024</c:v>
                </c:pt>
                <c:pt idx="4" formatCode="0.00%">
                  <c:v>-0.0979999999999999</c:v>
                </c:pt>
                <c:pt idx="5" formatCode="0.00%">
                  <c:v>0.016</c:v>
                </c:pt>
                <c:pt idx="6" formatCode="0.00%">
                  <c:v>-0.058</c:v>
                </c:pt>
              </c:numCache>
            </c:numRef>
          </c:val>
        </c:ser>
        <c:dLbls>
          <c:showLegendKey val="0"/>
          <c:showVal val="0"/>
          <c:showCatName val="0"/>
          <c:showSerName val="0"/>
          <c:showPercent val="0"/>
          <c:showBubbleSize val="0"/>
        </c:dLbls>
        <c:gapWidth val="219"/>
        <c:overlap val="-27"/>
        <c:axId val="2129976800"/>
        <c:axId val="-2075329680"/>
      </c:barChart>
      <c:catAx>
        <c:axId val="2129976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crossAx val="-2075329680"/>
        <c:crosses val="autoZero"/>
        <c:auto val="1"/>
        <c:lblAlgn val="ctr"/>
        <c:lblOffset val="100"/>
        <c:noMultiLvlLbl val="0"/>
      </c:catAx>
      <c:valAx>
        <c:axId val="-20753296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Century Gothic" charset="0"/>
                <a:ea typeface="Century Gothic" charset="0"/>
                <a:cs typeface="Century Gothic" charset="0"/>
              </a:defRPr>
            </a:pPr>
            <a:endParaRPr lang="es-ES_tradnl"/>
          </a:p>
        </c:txPr>
        <c:crossAx val="21299768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di8pKKSa4qjaclcNM+5vhzHiw==">AMUW2mVQu1JxdSTeJ3tOnJV5n9rVyNNZ9z1qVchVcKeesbRCZZgOj8PdakQYQTh/7hOPWhbFCTE5q0QuF5JuRdheQjwabCU9Z1LdveJHvB3rotCQKr9P1XBkL7/jzvQG7Q2Gi4/GRcLJIWgtlJfeImhOjomjSe3OGA==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2595</Words>
  <Characters>14276</Characters>
  <Application>Microsoft Macintosh Word</Application>
  <DocSecurity>0</DocSecurity>
  <Lines>118</Lines>
  <Paragraphs>33</Paragraphs>
  <ScaleCrop>false</ScaleCrop>
  <LinksUpToDate>false</LinksUpToDate>
  <CharactersWithSpaces>16838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Usuario de Microsoft Office</cp:lastModifiedBy>
  <cp:revision>4</cp:revision>
  <dcterms:created xsi:type="dcterms:W3CDTF">2020-11-03T14:37:00Z</dcterms:created>
  <dcterms:modified xsi:type="dcterms:W3CDTF">2020-11-03T15:28:00Z</dcterms:modified>
</cp:coreProperties>
</file>