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22E9F" w14:textId="77777777" w:rsidR="00A56696" w:rsidRPr="00DA1177" w:rsidRDefault="00A56696" w:rsidP="00A56696">
      <w:pPr>
        <w:pStyle w:val="NormalWeb"/>
        <w:spacing w:line="360" w:lineRule="auto"/>
        <w:jc w:val="center"/>
        <w:rPr>
          <w:rFonts w:ascii="Arial" w:hAnsi="Arial" w:cs="Arial"/>
          <w:color w:val="4B4949"/>
          <w:sz w:val="28"/>
          <w:szCs w:val="28"/>
        </w:rPr>
      </w:pPr>
      <w:bookmarkStart w:id="0" w:name="_GoBack"/>
      <w:bookmarkEnd w:id="0"/>
      <w:r w:rsidRPr="00DA1177">
        <w:rPr>
          <w:rFonts w:ascii="Arial" w:hAnsi="Arial" w:cs="Arial"/>
          <w:color w:val="4B4949"/>
          <w:sz w:val="28"/>
          <w:szCs w:val="28"/>
        </w:rPr>
        <w:t xml:space="preserve">PROYECTO DE </w:t>
      </w:r>
      <w:proofErr w:type="gramStart"/>
      <w:r w:rsidRPr="00DA1177">
        <w:rPr>
          <w:rFonts w:ascii="Arial" w:hAnsi="Arial" w:cs="Arial"/>
          <w:color w:val="4B4949"/>
          <w:sz w:val="28"/>
          <w:szCs w:val="28"/>
        </w:rPr>
        <w:t>LEY  N</w:t>
      </w:r>
      <w:proofErr w:type="gramEnd"/>
      <w:r w:rsidRPr="00DA1177">
        <w:rPr>
          <w:rFonts w:ascii="Arial" w:hAnsi="Arial" w:cs="Arial"/>
          <w:color w:val="4B4949"/>
          <w:sz w:val="28"/>
          <w:szCs w:val="28"/>
        </w:rPr>
        <w:t>°        de   2.020</w:t>
      </w:r>
    </w:p>
    <w:p w14:paraId="79137C79" w14:textId="77777777" w:rsidR="00A56696" w:rsidRPr="00DA1177" w:rsidRDefault="00A56696" w:rsidP="00A56696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A1177">
        <w:rPr>
          <w:rFonts w:ascii="Arial" w:hAnsi="Arial" w:cs="Arial"/>
          <w:color w:val="4B4949"/>
          <w:sz w:val="28"/>
          <w:szCs w:val="28"/>
        </w:rPr>
        <w:t>Por medio del cual se adiciona el Artículo 2 de la Ley 1475 de 2.011</w:t>
      </w:r>
    </w:p>
    <w:p w14:paraId="7B9B31C1" w14:textId="77777777" w:rsidR="00A56696" w:rsidRPr="00DA1177" w:rsidRDefault="00A56696" w:rsidP="00A56696">
      <w:pPr>
        <w:pStyle w:val="NormalWeb"/>
        <w:spacing w:line="360" w:lineRule="auto"/>
        <w:jc w:val="center"/>
        <w:rPr>
          <w:rFonts w:ascii="Arial" w:hAnsi="Arial" w:cs="Arial"/>
          <w:color w:val="4B4949"/>
          <w:sz w:val="28"/>
          <w:szCs w:val="28"/>
        </w:rPr>
      </w:pPr>
      <w:r w:rsidRPr="00DA1177">
        <w:rPr>
          <w:rFonts w:ascii="Arial" w:hAnsi="Arial" w:cs="Arial"/>
          <w:color w:val="4B4949"/>
          <w:sz w:val="28"/>
          <w:szCs w:val="28"/>
        </w:rPr>
        <w:t>El Congreso de Colombia</w:t>
      </w:r>
    </w:p>
    <w:p w14:paraId="0BD0A670" w14:textId="77777777" w:rsidR="00A56696" w:rsidRDefault="00A56696" w:rsidP="00A56696">
      <w:pPr>
        <w:pStyle w:val="NormalWeb"/>
        <w:spacing w:line="360" w:lineRule="auto"/>
        <w:jc w:val="center"/>
        <w:rPr>
          <w:rFonts w:ascii="Arial" w:hAnsi="Arial" w:cs="Arial"/>
          <w:color w:val="4B4949"/>
          <w:sz w:val="28"/>
          <w:szCs w:val="28"/>
        </w:rPr>
      </w:pPr>
      <w:r w:rsidRPr="00DA1177">
        <w:rPr>
          <w:rFonts w:ascii="Arial" w:hAnsi="Arial" w:cs="Arial"/>
          <w:color w:val="4B4949"/>
          <w:sz w:val="28"/>
          <w:szCs w:val="28"/>
        </w:rPr>
        <w:t>DECRETA:</w:t>
      </w:r>
    </w:p>
    <w:p w14:paraId="5E8DCAC3" w14:textId="77777777" w:rsidR="00DA1177" w:rsidRPr="00DA1177" w:rsidRDefault="00DA1177" w:rsidP="00A56696">
      <w:pPr>
        <w:pStyle w:val="NormalWeb"/>
        <w:spacing w:line="360" w:lineRule="auto"/>
        <w:jc w:val="center"/>
        <w:rPr>
          <w:rFonts w:ascii="Arial" w:hAnsi="Arial" w:cs="Arial"/>
          <w:color w:val="4B4949"/>
          <w:sz w:val="28"/>
          <w:szCs w:val="28"/>
        </w:rPr>
      </w:pPr>
    </w:p>
    <w:p w14:paraId="00A87DE6" w14:textId="77777777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b/>
          <w:color w:val="4B4949"/>
          <w:sz w:val="28"/>
          <w:szCs w:val="28"/>
        </w:rPr>
      </w:pPr>
      <w:r w:rsidRPr="00DA1177">
        <w:rPr>
          <w:rFonts w:ascii="Arial" w:hAnsi="Arial" w:cs="Arial"/>
          <w:b/>
          <w:color w:val="4B4949"/>
          <w:sz w:val="28"/>
          <w:szCs w:val="28"/>
        </w:rPr>
        <w:t>ARTÍCULO 1º. El artículo 2° de la Ley 1475 de 2.011 quedará así:</w:t>
      </w:r>
    </w:p>
    <w:p w14:paraId="5AF298F9" w14:textId="77777777" w:rsidR="00DA1177" w:rsidRDefault="00DA1177" w:rsidP="00A56696">
      <w:pPr>
        <w:pStyle w:val="NormalWeb"/>
        <w:spacing w:line="360" w:lineRule="auto"/>
        <w:jc w:val="both"/>
        <w:rPr>
          <w:rFonts w:ascii="Arial" w:hAnsi="Arial" w:cs="Arial"/>
          <w:color w:val="4B4949"/>
          <w:sz w:val="28"/>
          <w:szCs w:val="28"/>
        </w:rPr>
      </w:pPr>
    </w:p>
    <w:p w14:paraId="27E3800C" w14:textId="77777777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color w:val="4B4949"/>
          <w:sz w:val="28"/>
          <w:szCs w:val="28"/>
        </w:rPr>
      </w:pPr>
      <w:r w:rsidRPr="00DA1177">
        <w:rPr>
          <w:rFonts w:ascii="Arial" w:hAnsi="Arial" w:cs="Arial"/>
          <w:color w:val="4B4949"/>
          <w:sz w:val="28"/>
          <w:szCs w:val="28"/>
        </w:rPr>
        <w:t>Artículo 2°: PROHIBICIÓN DE DOBLE MILITANCIA</w:t>
      </w:r>
      <w:r w:rsidRPr="00DA1177">
        <w:rPr>
          <w:rFonts w:ascii="Arial" w:hAnsi="Arial" w:cs="Arial"/>
          <w:b/>
          <w:color w:val="4B4949"/>
          <w:sz w:val="28"/>
          <w:szCs w:val="28"/>
        </w:rPr>
        <w:t>.</w:t>
      </w:r>
      <w:r w:rsidRPr="00DA1177">
        <w:rPr>
          <w:rFonts w:ascii="Arial" w:hAnsi="Arial" w:cs="Arial"/>
          <w:color w:val="4B4949"/>
          <w:sz w:val="28"/>
          <w:szCs w:val="28"/>
        </w:rPr>
        <w:t xml:space="preserve"> En ningún caso se permitirá a los ciudadanos pertenecer simultáneamente a más de un partido o movimiento político. La militancia o pertenencia a un partido o movimiento político, se establecerá con la inscripción que haga el ciudadano ante la respectiva organización política, según el sistema de identificación y registro que se adopte para tal efecto el cual deberá establecerse conforme a las leyes existentes en materia de protección de datos.</w:t>
      </w:r>
    </w:p>
    <w:p w14:paraId="5DB40767" w14:textId="77777777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color w:val="4B4949"/>
          <w:sz w:val="28"/>
          <w:szCs w:val="28"/>
        </w:rPr>
      </w:pPr>
      <w:r w:rsidRPr="00DA1177">
        <w:rPr>
          <w:rFonts w:ascii="Arial" w:hAnsi="Arial" w:cs="Arial"/>
          <w:color w:val="4B4949"/>
          <w:sz w:val="28"/>
          <w:szCs w:val="28"/>
        </w:rPr>
        <w:t xml:space="preserve">Quienes se desempeñen en cargos de dirección, gobierno, administración o control, dentro de los partidos y movimientos políticos, o hayan sido o aspiren ser elegidos en cargos o corporaciones de elección popular, no podrán apoyar candidatos distintos a los inscritos por el partido o movimiento político al cual se encuentren afiliados. Los candidatos que resulten electos, siempre que fueren inscritos por un </w:t>
      </w:r>
      <w:r w:rsidRPr="00DA1177">
        <w:rPr>
          <w:rFonts w:ascii="Arial" w:hAnsi="Arial" w:cs="Arial"/>
          <w:color w:val="4B4949"/>
          <w:sz w:val="28"/>
          <w:szCs w:val="28"/>
        </w:rPr>
        <w:lastRenderedPageBreak/>
        <w:t>partido o movimiento político, deberán pertenecer al que los inscribió mientras ostenten la investidura o cargo, y si deciden presentarse a la siguiente elección por un partido o movimiento político distinto, deberán renunciar a la curul al menos doce (12) meses antes del primer día de inscripciones.</w:t>
      </w:r>
    </w:p>
    <w:p w14:paraId="5E8CD95A" w14:textId="77777777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color w:val="4B4949"/>
          <w:sz w:val="28"/>
          <w:szCs w:val="28"/>
        </w:rPr>
      </w:pPr>
      <w:r w:rsidRPr="00DA1177">
        <w:rPr>
          <w:rFonts w:ascii="Arial" w:hAnsi="Arial" w:cs="Arial"/>
          <w:color w:val="4B4949"/>
          <w:sz w:val="28"/>
          <w:szCs w:val="28"/>
        </w:rPr>
        <w:t>Los directivos de los partidos y movimientos políticos que aspiren ser elegidos en cargos o corporaciones de elección popular por otro partido o movimientos políticos o grupo significativo de ciudadanos, o formar parte de los órganos de dirección de estas, deben renunciar al cargo doce (12) meses antes de postularse o aceptar la nueva designación o ser inscritos como candidatos.</w:t>
      </w:r>
    </w:p>
    <w:p w14:paraId="5C7B30DA" w14:textId="77777777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color w:val="4B4949"/>
          <w:sz w:val="28"/>
          <w:szCs w:val="28"/>
        </w:rPr>
      </w:pPr>
      <w:r w:rsidRPr="00DA1177">
        <w:rPr>
          <w:rFonts w:ascii="Arial" w:hAnsi="Arial" w:cs="Arial"/>
          <w:color w:val="4B4949"/>
          <w:sz w:val="28"/>
          <w:szCs w:val="28"/>
        </w:rPr>
        <w:t>El incumplimiento de estas reglas constituye doble militancia, que será sancionada de conformidad con los estatutos, y en el caso de los candidatos será causal para la revocatoria de la inscripción.</w:t>
      </w:r>
    </w:p>
    <w:p w14:paraId="7D0E0F41" w14:textId="77777777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color w:val="4B4949"/>
          <w:sz w:val="28"/>
          <w:szCs w:val="28"/>
        </w:rPr>
      </w:pPr>
      <w:r w:rsidRPr="00DA1177">
        <w:rPr>
          <w:rStyle w:val="baj"/>
          <w:rFonts w:ascii="Arial" w:hAnsi="Arial" w:cs="Arial"/>
          <w:bCs/>
          <w:color w:val="000000"/>
          <w:sz w:val="28"/>
          <w:szCs w:val="28"/>
        </w:rPr>
        <w:t>PARÁGRAFO</w:t>
      </w:r>
      <w:r w:rsidRPr="00DA1177">
        <w:rPr>
          <w:rStyle w:val="baj"/>
          <w:rFonts w:ascii="Arial" w:hAnsi="Arial" w:cs="Arial"/>
          <w:b/>
          <w:bCs/>
          <w:color w:val="000000"/>
          <w:sz w:val="28"/>
          <w:szCs w:val="28"/>
        </w:rPr>
        <w:t>. </w:t>
      </w:r>
      <w:r w:rsidRPr="00DA1177">
        <w:rPr>
          <w:rFonts w:ascii="Arial" w:hAnsi="Arial" w:cs="Arial"/>
          <w:color w:val="4B4949"/>
          <w:sz w:val="28"/>
          <w:szCs w:val="28"/>
        </w:rPr>
        <w:t>Las restricciones previstas en esta disposición no se aplicarán a los miembros de los partidos y movimientos políticos que sean disueltos por decisión de sus miembros o pierdan la personería jurídica por causas distintas a las sanciones previstas en esta ley, casos en los cuales podrán inscribirse en uno distinto con personería jurídica sin incurrir en doble militancia.</w:t>
      </w:r>
    </w:p>
    <w:p w14:paraId="1F6C3EAE" w14:textId="0ED63C3D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DA1177">
        <w:rPr>
          <w:rFonts w:ascii="Arial" w:hAnsi="Arial" w:cs="Arial"/>
          <w:b/>
          <w:sz w:val="28"/>
          <w:szCs w:val="28"/>
          <w:u w:val="single"/>
        </w:rPr>
        <w:t>PARÁGRAFO TRANSITORIO</w:t>
      </w:r>
      <w:r w:rsidRPr="00DA1177">
        <w:rPr>
          <w:rFonts w:ascii="Arial" w:hAnsi="Arial" w:cs="Arial"/>
          <w:sz w:val="28"/>
          <w:szCs w:val="28"/>
          <w:u w:val="single"/>
        </w:rPr>
        <w:t>. Autorizase, por una sola vez, a los miembros de las Corporaci</w:t>
      </w:r>
      <w:r w:rsidR="00192985" w:rsidRPr="00DA1177">
        <w:rPr>
          <w:rFonts w:ascii="Arial" w:hAnsi="Arial" w:cs="Arial"/>
          <w:sz w:val="28"/>
          <w:szCs w:val="28"/>
          <w:u w:val="single"/>
        </w:rPr>
        <w:t xml:space="preserve">ones Públicas, para inscribirse en un partido distinto al que los avaló, sin renunciar a su curul o incurrir en doble </w:t>
      </w:r>
      <w:r w:rsidR="00192985" w:rsidRPr="00DA1177">
        <w:rPr>
          <w:rFonts w:ascii="Arial" w:hAnsi="Arial" w:cs="Arial"/>
          <w:sz w:val="28"/>
          <w:szCs w:val="28"/>
          <w:u w:val="single"/>
        </w:rPr>
        <w:lastRenderedPageBreak/>
        <w:t>militancia</w:t>
      </w:r>
      <w:r w:rsidRPr="00DA1177">
        <w:rPr>
          <w:rFonts w:ascii="Arial" w:hAnsi="Arial" w:cs="Arial"/>
          <w:sz w:val="28"/>
          <w:szCs w:val="28"/>
          <w:u w:val="single"/>
        </w:rPr>
        <w:t xml:space="preserve">, dentro de los tres (3) meses siguientes a la entrada en vigencia de la presente ley. </w:t>
      </w:r>
    </w:p>
    <w:p w14:paraId="16AD5BAD" w14:textId="581F623F" w:rsidR="00192985" w:rsidRPr="00DA1177" w:rsidRDefault="00192985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3A2B3BF" w14:textId="0C2CD6FB" w:rsidR="00A56696" w:rsidRPr="00DA1177" w:rsidRDefault="00A56696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1177">
        <w:rPr>
          <w:rFonts w:ascii="Arial" w:hAnsi="Arial" w:cs="Arial"/>
          <w:b/>
          <w:sz w:val="28"/>
          <w:szCs w:val="28"/>
        </w:rPr>
        <w:t>Artículo 2º.</w:t>
      </w:r>
      <w:r w:rsidRPr="00DA1177">
        <w:rPr>
          <w:rFonts w:ascii="Arial" w:hAnsi="Arial" w:cs="Arial"/>
          <w:sz w:val="28"/>
          <w:szCs w:val="28"/>
        </w:rPr>
        <w:t xml:space="preserve"> </w:t>
      </w:r>
      <w:r w:rsidR="002B24F3" w:rsidRPr="00DA1177">
        <w:rPr>
          <w:rFonts w:ascii="Arial" w:hAnsi="Arial" w:cs="Arial"/>
          <w:sz w:val="28"/>
          <w:szCs w:val="28"/>
        </w:rPr>
        <w:t>Vigencia. La</w:t>
      </w:r>
      <w:r w:rsidRPr="00DA1177">
        <w:rPr>
          <w:rFonts w:ascii="Arial" w:hAnsi="Arial" w:cs="Arial"/>
          <w:sz w:val="28"/>
          <w:szCs w:val="28"/>
        </w:rPr>
        <w:t xml:space="preserve"> presente ley rige a partir de su promulgación</w:t>
      </w:r>
      <w:r w:rsidR="004162AA" w:rsidRPr="00DA1177">
        <w:rPr>
          <w:rFonts w:ascii="Arial" w:hAnsi="Arial" w:cs="Arial"/>
          <w:sz w:val="28"/>
          <w:szCs w:val="28"/>
        </w:rPr>
        <w:t>.</w:t>
      </w:r>
    </w:p>
    <w:p w14:paraId="63D66D31" w14:textId="2F4014BB" w:rsidR="004162AA" w:rsidRPr="00DA1177" w:rsidRDefault="004162AA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1177">
        <w:rPr>
          <w:rFonts w:ascii="Arial" w:hAnsi="Arial" w:cs="Arial"/>
          <w:sz w:val="28"/>
          <w:szCs w:val="28"/>
        </w:rPr>
        <w:t xml:space="preserve">Atentamente, </w:t>
      </w:r>
    </w:p>
    <w:p w14:paraId="5C67FCBF" w14:textId="77777777" w:rsidR="00ED3430" w:rsidRDefault="00ED3430" w:rsidP="009D18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7952FC2E" w14:textId="3E994E4D" w:rsidR="00BC4C4F" w:rsidRPr="00BC4C4F" w:rsidRDefault="00BC4C4F" w:rsidP="009D18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BC4C4F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John Milton Rodríguez González </w:t>
      </w:r>
      <w:r w:rsidR="00913220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     </w:t>
      </w:r>
      <w:r w:rsidR="00C86172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Jonatan Tamayo Pérez</w:t>
      </w:r>
    </w:p>
    <w:p w14:paraId="7FA1793A" w14:textId="628AE408" w:rsidR="00BC4C4F" w:rsidRDefault="00BC4C4F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Senador de la República </w:t>
      </w:r>
      <w:r w:rsidR="00913220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                       Senador de la República</w:t>
      </w:r>
    </w:p>
    <w:p w14:paraId="42FAF9DD" w14:textId="77777777" w:rsidR="00515BFF" w:rsidRDefault="00515BFF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31507C7D" w14:textId="584DCF0C" w:rsidR="00515BFF" w:rsidRDefault="00515BFF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3C0CEBB5" w14:textId="77777777" w:rsidR="005B7A37" w:rsidRDefault="005B7A37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5EFFDCEC" w14:textId="48681097" w:rsidR="00515BFF" w:rsidRDefault="00515BFF" w:rsidP="00BC4C4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77C4873F" w14:textId="7677D17B" w:rsidR="00515BFF" w:rsidRPr="00515BFF" w:rsidRDefault="005B7A37" w:rsidP="00BC4C4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Eduardo Emilio Pacheco Cuello        </w:t>
      </w:r>
      <w:r w:rsidR="00515BFF" w:rsidRPr="00515BFF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Esperanza Andrade</w:t>
      </w:r>
    </w:p>
    <w:p w14:paraId="498572CC" w14:textId="4BC1790D" w:rsidR="00515BFF" w:rsidRPr="00BC4C4F" w:rsidRDefault="005B7A37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Senador de la República                       </w:t>
      </w:r>
      <w:r w:rsidR="00515BFF">
        <w:rPr>
          <w:rFonts w:ascii="Arial" w:eastAsia="Times New Roman" w:hAnsi="Arial" w:cs="Arial"/>
          <w:sz w:val="28"/>
          <w:szCs w:val="28"/>
          <w:lang w:val="es-ES_tradnl" w:eastAsia="es-ES"/>
        </w:rPr>
        <w:t>Senadora de la República</w:t>
      </w:r>
    </w:p>
    <w:p w14:paraId="70B4A479" w14:textId="77777777" w:rsidR="003B1666" w:rsidRPr="00DA1177" w:rsidRDefault="003B1666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D16A047" w14:textId="77777777" w:rsidR="003B1666" w:rsidRPr="00DA1177" w:rsidRDefault="003B1666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80FBA67" w14:textId="77777777" w:rsidR="00B643C8" w:rsidRDefault="00B643C8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E6EEFDD" w14:textId="77777777" w:rsidR="003E776E" w:rsidRDefault="003E776E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F4C116" w14:textId="77777777" w:rsidR="00DA1177" w:rsidRDefault="00DA1177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8A02DA0" w14:textId="77777777" w:rsidR="00DA1177" w:rsidRDefault="00DA1177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4033BA6" w14:textId="094E7D1C" w:rsidR="00DA1177" w:rsidRDefault="00DA1177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3CBC532" w14:textId="2B58E256" w:rsidR="00C86172" w:rsidRDefault="00C86172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EFC88C" w14:textId="77777777" w:rsidR="00C86172" w:rsidRDefault="00C86172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B14380D" w14:textId="77777777" w:rsidR="00B643C8" w:rsidRDefault="00B643C8" w:rsidP="00A56696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1B74862" w14:textId="77777777" w:rsidR="003B1666" w:rsidRDefault="003B1666" w:rsidP="003B1666">
      <w:pPr>
        <w:pStyle w:val="NormalWeb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62AA">
        <w:rPr>
          <w:rFonts w:ascii="Arial" w:hAnsi="Arial" w:cs="Arial"/>
          <w:b/>
          <w:sz w:val="28"/>
          <w:szCs w:val="28"/>
        </w:rPr>
        <w:t xml:space="preserve">EXPOSICION DE MOTIVOS </w:t>
      </w:r>
    </w:p>
    <w:p w14:paraId="6F607C3D" w14:textId="77777777" w:rsidR="00B81D23" w:rsidRDefault="00B81D23" w:rsidP="00DA1177">
      <w:pPr>
        <w:pStyle w:val="Normal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 xml:space="preserve">El presente </w:t>
      </w:r>
      <w:r w:rsidR="003B1666" w:rsidRPr="00B643C8">
        <w:rPr>
          <w:rFonts w:ascii="Arial" w:hAnsi="Arial" w:cs="Arial"/>
          <w:sz w:val="28"/>
          <w:szCs w:val="28"/>
        </w:rPr>
        <w:t xml:space="preserve">proyecto de </w:t>
      </w:r>
      <w:r w:rsidRPr="00B643C8">
        <w:rPr>
          <w:rFonts w:ascii="Arial" w:hAnsi="Arial" w:cs="Arial"/>
          <w:sz w:val="28"/>
          <w:szCs w:val="28"/>
        </w:rPr>
        <w:t>ley contiene la modificación del Artículo 2° de la  Ley 1475 de 2011 “P</w:t>
      </w:r>
      <w:r w:rsidRPr="00B643C8">
        <w:rPr>
          <w:rFonts w:ascii="Arial" w:hAnsi="Arial" w:cs="Arial"/>
          <w:color w:val="4B4949"/>
          <w:sz w:val="28"/>
          <w:szCs w:val="28"/>
        </w:rPr>
        <w:t xml:space="preserve">or la cual se adoptan reglas de organización y funcionamiento de los partidos y movimientos políticos, de los procesos electorales y se dictan otras disposiciones”, siendo esta norma la que </w:t>
      </w:r>
      <w:r w:rsidR="003B1666" w:rsidRPr="00B643C8">
        <w:rPr>
          <w:rFonts w:ascii="Arial" w:hAnsi="Arial" w:cs="Arial"/>
          <w:sz w:val="28"/>
          <w:szCs w:val="28"/>
        </w:rPr>
        <w:t xml:space="preserve">impone </w:t>
      </w:r>
      <w:r w:rsidRPr="00B643C8">
        <w:rPr>
          <w:rFonts w:ascii="Arial" w:hAnsi="Arial" w:cs="Arial"/>
          <w:sz w:val="28"/>
          <w:szCs w:val="28"/>
        </w:rPr>
        <w:t xml:space="preserve">a las personas electas por un partido o movimiento político el deber de renunciar a la curul con doce (12) meses de anterioridad a la inscripción, </w:t>
      </w:r>
      <w:r w:rsidRPr="00B643C8">
        <w:rPr>
          <w:rFonts w:ascii="Arial" w:hAnsi="Arial" w:cs="Arial"/>
          <w:color w:val="4B4949"/>
          <w:sz w:val="28"/>
          <w:szCs w:val="28"/>
        </w:rPr>
        <w:t xml:space="preserve">si </w:t>
      </w:r>
      <w:r w:rsidR="004162AA">
        <w:rPr>
          <w:rFonts w:ascii="Arial" w:hAnsi="Arial" w:cs="Arial"/>
          <w:color w:val="4B4949"/>
          <w:sz w:val="28"/>
          <w:szCs w:val="28"/>
        </w:rPr>
        <w:t>desean</w:t>
      </w:r>
      <w:r w:rsidRPr="00B643C8">
        <w:rPr>
          <w:rFonts w:ascii="Arial" w:hAnsi="Arial" w:cs="Arial"/>
          <w:color w:val="4B4949"/>
          <w:sz w:val="28"/>
          <w:szCs w:val="28"/>
        </w:rPr>
        <w:t xml:space="preserve"> presentarse a la siguiente elección por un partido o movimiento político distinto</w:t>
      </w:r>
      <w:r w:rsidRPr="00B643C8">
        <w:rPr>
          <w:rFonts w:ascii="Arial" w:hAnsi="Arial" w:cs="Arial"/>
          <w:sz w:val="28"/>
          <w:szCs w:val="28"/>
        </w:rPr>
        <w:t xml:space="preserve"> al que los avaló.</w:t>
      </w:r>
    </w:p>
    <w:p w14:paraId="638B298B" w14:textId="77777777" w:rsidR="004162AA" w:rsidRDefault="00C8724A" w:rsidP="00DA117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>Lo que siempre se ha analizado de esta normatividad es que al ser la etapa de inscripción un momento bastante anterior a la posesión del nuevo cargo, estaríamos ante la eventualidad de que un miembro de una Corporación Pública tenga que renunciar con una anterioridad aproximada entre 18 y 19  meses a la culminación del periodo constitu</w:t>
      </w:r>
      <w:r w:rsidR="004162AA">
        <w:rPr>
          <w:rFonts w:ascii="Arial" w:hAnsi="Arial" w:cs="Arial"/>
          <w:sz w:val="28"/>
          <w:szCs w:val="28"/>
        </w:rPr>
        <w:t xml:space="preserve">cional para el cual fue elegido, </w:t>
      </w:r>
      <w:r w:rsidR="00862FA2">
        <w:rPr>
          <w:rFonts w:ascii="Arial" w:hAnsi="Arial" w:cs="Arial"/>
          <w:sz w:val="28"/>
          <w:szCs w:val="28"/>
        </w:rPr>
        <w:t>siendo que</w:t>
      </w:r>
      <w:r w:rsidR="005A0A73">
        <w:rPr>
          <w:rFonts w:ascii="Arial" w:hAnsi="Arial" w:cs="Arial"/>
          <w:sz w:val="28"/>
          <w:szCs w:val="28"/>
        </w:rPr>
        <w:t xml:space="preserve"> esta intención de retirarse se genera </w:t>
      </w:r>
      <w:r w:rsidR="004162AA">
        <w:rPr>
          <w:rFonts w:ascii="Arial" w:hAnsi="Arial" w:cs="Arial"/>
          <w:sz w:val="28"/>
          <w:szCs w:val="28"/>
        </w:rPr>
        <w:t xml:space="preserve">por diferentes factores </w:t>
      </w:r>
      <w:r w:rsidR="00862FA2">
        <w:rPr>
          <w:rFonts w:ascii="Arial" w:hAnsi="Arial" w:cs="Arial"/>
          <w:sz w:val="28"/>
          <w:szCs w:val="28"/>
        </w:rPr>
        <w:t xml:space="preserve">de no querer </w:t>
      </w:r>
      <w:r w:rsidR="004162AA">
        <w:rPr>
          <w:rFonts w:ascii="Arial" w:hAnsi="Arial" w:cs="Arial"/>
          <w:sz w:val="28"/>
          <w:szCs w:val="28"/>
        </w:rPr>
        <w:t xml:space="preserve">continuar en el </w:t>
      </w:r>
      <w:r w:rsidR="004162AA">
        <w:rPr>
          <w:rFonts w:ascii="Arial" w:hAnsi="Arial" w:cs="Arial"/>
          <w:sz w:val="28"/>
          <w:szCs w:val="28"/>
        </w:rPr>
        <w:lastRenderedPageBreak/>
        <w:t xml:space="preserve">Partido que lo avaló, entre esas causas se ha conocido en ocasiones la falta de garantías participativas de los partidos con sus electos, </w:t>
      </w:r>
      <w:r w:rsidR="005A0A73">
        <w:rPr>
          <w:rFonts w:ascii="Arial" w:hAnsi="Arial" w:cs="Arial"/>
          <w:sz w:val="28"/>
          <w:szCs w:val="28"/>
        </w:rPr>
        <w:t>la modificación</w:t>
      </w:r>
      <w:r w:rsidR="004162AA">
        <w:rPr>
          <w:rFonts w:ascii="Arial" w:hAnsi="Arial" w:cs="Arial"/>
          <w:sz w:val="28"/>
          <w:szCs w:val="28"/>
        </w:rPr>
        <w:t xml:space="preserve"> de las reglas estatutarias, </w:t>
      </w:r>
      <w:r w:rsidR="005A0A73">
        <w:rPr>
          <w:rFonts w:ascii="Arial" w:hAnsi="Arial" w:cs="Arial"/>
          <w:sz w:val="28"/>
          <w:szCs w:val="28"/>
        </w:rPr>
        <w:t xml:space="preserve">las </w:t>
      </w:r>
      <w:r w:rsidR="005A0A73" w:rsidRPr="00C42C9C">
        <w:rPr>
          <w:rFonts w:ascii="Arial" w:hAnsi="Arial" w:cs="Arial"/>
          <w:sz w:val="28"/>
          <w:szCs w:val="28"/>
        </w:rPr>
        <w:t>coyunturas p</w:t>
      </w:r>
      <w:r w:rsidR="005A0A73">
        <w:rPr>
          <w:rFonts w:ascii="Arial" w:hAnsi="Arial" w:cs="Arial"/>
          <w:sz w:val="28"/>
          <w:szCs w:val="28"/>
        </w:rPr>
        <w:t>olíticas que surgen en un país como Colombia que está en constante desarrollo</w:t>
      </w:r>
      <w:r w:rsidR="00914FA3">
        <w:rPr>
          <w:rFonts w:ascii="Arial" w:hAnsi="Arial" w:cs="Arial"/>
          <w:sz w:val="28"/>
          <w:szCs w:val="28"/>
        </w:rPr>
        <w:t xml:space="preserve"> de medidas políticas p</w:t>
      </w:r>
      <w:r w:rsidR="00C42C9C">
        <w:rPr>
          <w:rFonts w:ascii="Arial" w:hAnsi="Arial" w:cs="Arial"/>
          <w:sz w:val="28"/>
          <w:szCs w:val="28"/>
        </w:rPr>
        <w:t xml:space="preserve">or la necesidad de establecer líneas de gobierno eficaces ante los sectores públicos, privados y de insurgencia. </w:t>
      </w:r>
    </w:p>
    <w:p w14:paraId="6CC5B44D" w14:textId="77777777" w:rsidR="009A14E3" w:rsidRPr="00B643C8" w:rsidRDefault="00C8724A" w:rsidP="00DA117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 xml:space="preserve">De este imperativo resulta una carga y un rigor excesivo, que implica que los derechos que les asisten a los militantes de los distintos partidos políticos, como el de elegir y ser elegido y el de conformar, pertenecer y retirarse de los partidos y movimientos políticos pueden verse limitados. Por lo tanto, hace que sean de imposible cumplimiento, </w:t>
      </w:r>
      <w:r w:rsidR="00862FA2">
        <w:rPr>
          <w:rFonts w:ascii="Arial" w:hAnsi="Arial" w:cs="Arial"/>
          <w:sz w:val="28"/>
          <w:szCs w:val="28"/>
        </w:rPr>
        <w:t>y resulta siendo</w:t>
      </w:r>
      <w:r w:rsidRPr="00B643C8">
        <w:rPr>
          <w:rFonts w:ascii="Arial" w:hAnsi="Arial" w:cs="Arial"/>
          <w:sz w:val="28"/>
          <w:szCs w:val="28"/>
        </w:rPr>
        <w:t xml:space="preserve"> cuestionable la eficacia de la norma o un derecho plasmado en letra muerta.</w:t>
      </w:r>
    </w:p>
    <w:p w14:paraId="77A2E302" w14:textId="77777777" w:rsidR="00C8724A" w:rsidRPr="00B643C8" w:rsidRDefault="00F33FB4" w:rsidP="00DA117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muy reconocido que</w:t>
      </w:r>
      <w:r w:rsidR="002D40BD" w:rsidRPr="00B643C8">
        <w:rPr>
          <w:rFonts w:ascii="Arial" w:hAnsi="Arial" w:cs="Arial"/>
          <w:sz w:val="28"/>
          <w:szCs w:val="28"/>
        </w:rPr>
        <w:t xml:space="preserve"> </w:t>
      </w:r>
      <w:r w:rsidR="00C8724A" w:rsidRPr="00B643C8">
        <w:rPr>
          <w:rFonts w:ascii="Arial" w:hAnsi="Arial" w:cs="Arial"/>
          <w:sz w:val="28"/>
          <w:szCs w:val="28"/>
        </w:rPr>
        <w:t xml:space="preserve">se han </w:t>
      </w:r>
      <w:r w:rsidR="00D06CE3" w:rsidRPr="00B643C8">
        <w:rPr>
          <w:rFonts w:ascii="Arial" w:hAnsi="Arial" w:cs="Arial"/>
          <w:sz w:val="28"/>
          <w:szCs w:val="28"/>
        </w:rPr>
        <w:t>presentado hechos políticos en los últimos ocho años</w:t>
      </w:r>
      <w:r w:rsidR="007C7FDE" w:rsidRPr="00B643C8">
        <w:rPr>
          <w:rFonts w:ascii="Arial" w:hAnsi="Arial" w:cs="Arial"/>
          <w:sz w:val="28"/>
          <w:szCs w:val="28"/>
        </w:rPr>
        <w:t xml:space="preserve"> </w:t>
      </w:r>
      <w:r w:rsidR="005A0A73">
        <w:rPr>
          <w:rFonts w:ascii="Arial" w:hAnsi="Arial" w:cs="Arial"/>
          <w:sz w:val="28"/>
          <w:szCs w:val="28"/>
        </w:rPr>
        <w:t>afectando</w:t>
      </w:r>
      <w:r w:rsidR="007C7FDE" w:rsidRPr="00B643C8">
        <w:rPr>
          <w:rFonts w:ascii="Arial" w:hAnsi="Arial" w:cs="Arial"/>
          <w:sz w:val="28"/>
          <w:szCs w:val="28"/>
        </w:rPr>
        <w:t xml:space="preserve"> la posición política de los Partidos y el desarrollo armónico de sus militantes y avalados</w:t>
      </w:r>
      <w:r w:rsidR="00D06CE3" w:rsidRPr="00B643C8">
        <w:rPr>
          <w:rFonts w:ascii="Arial" w:hAnsi="Arial" w:cs="Arial"/>
          <w:sz w:val="28"/>
          <w:szCs w:val="28"/>
        </w:rPr>
        <w:t xml:space="preserve">, </w:t>
      </w:r>
      <w:r w:rsidR="007C7FDE" w:rsidRPr="00B643C8">
        <w:rPr>
          <w:rFonts w:ascii="Arial" w:hAnsi="Arial" w:cs="Arial"/>
          <w:sz w:val="28"/>
          <w:szCs w:val="28"/>
        </w:rPr>
        <w:t xml:space="preserve">como fue entre otros temas, la </w:t>
      </w:r>
      <w:r w:rsidR="00126F0D" w:rsidRPr="00B643C8">
        <w:rPr>
          <w:rFonts w:ascii="Arial" w:hAnsi="Arial" w:cs="Arial"/>
          <w:sz w:val="28"/>
          <w:szCs w:val="28"/>
        </w:rPr>
        <w:t>expedición</w:t>
      </w:r>
      <w:r w:rsidR="007C7FDE" w:rsidRPr="00B643C8">
        <w:rPr>
          <w:rFonts w:ascii="Arial" w:hAnsi="Arial" w:cs="Arial"/>
          <w:sz w:val="28"/>
          <w:szCs w:val="28"/>
        </w:rPr>
        <w:t xml:space="preserve"> de</w:t>
      </w:r>
      <w:r w:rsidR="00D06CE3" w:rsidRPr="00B643C8">
        <w:rPr>
          <w:rFonts w:ascii="Arial" w:hAnsi="Arial" w:cs="Arial"/>
          <w:sz w:val="28"/>
          <w:szCs w:val="28"/>
        </w:rPr>
        <w:t xml:space="preserve"> una Reforma llamada de “equilibrio de poderes y reajuste institucional”, la cual fue declarada inexequible en algunos artículos </w:t>
      </w:r>
      <w:r w:rsidR="007C7FDE" w:rsidRPr="00B643C8">
        <w:rPr>
          <w:rFonts w:ascii="Arial" w:hAnsi="Arial" w:cs="Arial"/>
          <w:sz w:val="28"/>
          <w:szCs w:val="28"/>
        </w:rPr>
        <w:t xml:space="preserve">por la Corte Constitucional,  </w:t>
      </w:r>
      <w:r w:rsidR="00D06CE3" w:rsidRPr="00B643C8">
        <w:rPr>
          <w:rFonts w:ascii="Arial" w:hAnsi="Arial" w:cs="Arial"/>
          <w:sz w:val="28"/>
          <w:szCs w:val="28"/>
        </w:rPr>
        <w:t xml:space="preserve">y  </w:t>
      </w:r>
      <w:r w:rsidR="007C7FDE" w:rsidRPr="00B643C8">
        <w:rPr>
          <w:rFonts w:ascii="Arial" w:hAnsi="Arial" w:cs="Arial"/>
          <w:sz w:val="28"/>
          <w:szCs w:val="28"/>
        </w:rPr>
        <w:t>la</w:t>
      </w:r>
      <w:r w:rsidR="00126F0D" w:rsidRPr="00B643C8">
        <w:rPr>
          <w:rFonts w:ascii="Arial" w:hAnsi="Arial" w:cs="Arial"/>
          <w:sz w:val="28"/>
          <w:szCs w:val="28"/>
        </w:rPr>
        <w:t xml:space="preserve"> Aprobación de</w:t>
      </w:r>
      <w:r w:rsidR="00D06CE3" w:rsidRPr="00B643C8">
        <w:rPr>
          <w:rFonts w:ascii="Arial" w:hAnsi="Arial" w:cs="Arial"/>
          <w:sz w:val="28"/>
          <w:szCs w:val="28"/>
        </w:rPr>
        <w:t xml:space="preserve"> un Acuerdo de </w:t>
      </w:r>
      <w:r w:rsidR="00D06CE3" w:rsidRPr="00B643C8">
        <w:rPr>
          <w:rFonts w:ascii="Arial" w:hAnsi="Arial" w:cs="Arial"/>
          <w:sz w:val="28"/>
          <w:szCs w:val="28"/>
        </w:rPr>
        <w:lastRenderedPageBreak/>
        <w:t>Paz con la Guerrilla de las FAR-EP</w:t>
      </w:r>
      <w:r w:rsidR="002D40BD" w:rsidRPr="00B643C8">
        <w:rPr>
          <w:rFonts w:ascii="Arial" w:hAnsi="Arial" w:cs="Arial"/>
          <w:sz w:val="28"/>
          <w:szCs w:val="28"/>
        </w:rPr>
        <w:t xml:space="preserve"> lo que permitió unos derechos políticos para este grupo.</w:t>
      </w:r>
    </w:p>
    <w:p w14:paraId="3EEBB970" w14:textId="77777777" w:rsidR="002D40BD" w:rsidRPr="00B643C8" w:rsidRDefault="002D40BD" w:rsidP="00DA1177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7435E54F" w14:textId="77777777" w:rsidR="002D40BD" w:rsidRPr="00B643C8" w:rsidRDefault="007C7FDE" w:rsidP="00DA117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 xml:space="preserve">Teniendo en cuenta todo lo anterior, es decir </w:t>
      </w:r>
      <w:r w:rsidR="00C42C9C">
        <w:rPr>
          <w:rFonts w:ascii="Arial" w:hAnsi="Arial" w:cs="Arial"/>
          <w:sz w:val="28"/>
          <w:szCs w:val="28"/>
        </w:rPr>
        <w:t>el escenario normativo</w:t>
      </w:r>
      <w:r w:rsidR="002D40BD" w:rsidRPr="00B643C8">
        <w:rPr>
          <w:rFonts w:ascii="Arial" w:hAnsi="Arial" w:cs="Arial"/>
          <w:sz w:val="28"/>
          <w:szCs w:val="28"/>
        </w:rPr>
        <w:t xml:space="preserve"> y </w:t>
      </w:r>
      <w:r w:rsidR="00C42C9C">
        <w:rPr>
          <w:rFonts w:ascii="Arial" w:hAnsi="Arial" w:cs="Arial"/>
          <w:sz w:val="28"/>
          <w:szCs w:val="28"/>
        </w:rPr>
        <w:t>las</w:t>
      </w:r>
      <w:r w:rsidR="002D40BD" w:rsidRPr="00B643C8">
        <w:rPr>
          <w:rFonts w:ascii="Arial" w:hAnsi="Arial" w:cs="Arial"/>
          <w:sz w:val="28"/>
          <w:szCs w:val="28"/>
        </w:rPr>
        <w:t xml:space="preserve"> situaciones políticas ocasionadas</w:t>
      </w:r>
      <w:r w:rsidRPr="00B643C8">
        <w:rPr>
          <w:rFonts w:ascii="Arial" w:hAnsi="Arial" w:cs="Arial"/>
          <w:sz w:val="28"/>
          <w:szCs w:val="28"/>
        </w:rPr>
        <w:t>,</w:t>
      </w:r>
      <w:r w:rsidR="002D40BD" w:rsidRPr="00B643C8">
        <w:rPr>
          <w:rFonts w:ascii="Arial" w:hAnsi="Arial" w:cs="Arial"/>
          <w:sz w:val="28"/>
          <w:szCs w:val="28"/>
        </w:rPr>
        <w:t xml:space="preserve"> lo que impulsa a que se presente este proyecto de ley para que se b</w:t>
      </w:r>
      <w:r w:rsidR="00981C2E" w:rsidRPr="00B643C8">
        <w:rPr>
          <w:rFonts w:ascii="Arial" w:hAnsi="Arial" w:cs="Arial"/>
          <w:sz w:val="28"/>
          <w:szCs w:val="28"/>
        </w:rPr>
        <w:t xml:space="preserve">rinde la posibilidad a quienes ostentan una </w:t>
      </w:r>
      <w:r w:rsidR="00200032" w:rsidRPr="00B643C8">
        <w:rPr>
          <w:rFonts w:ascii="Arial" w:hAnsi="Arial" w:cs="Arial"/>
          <w:sz w:val="28"/>
          <w:szCs w:val="28"/>
        </w:rPr>
        <w:t>credencial de</w:t>
      </w:r>
      <w:r w:rsidR="00981C2E" w:rsidRPr="00B643C8">
        <w:rPr>
          <w:rFonts w:ascii="Arial" w:hAnsi="Arial" w:cs="Arial"/>
          <w:sz w:val="28"/>
          <w:szCs w:val="28"/>
        </w:rPr>
        <w:t xml:space="preserve"> Corporación Púb</w:t>
      </w:r>
      <w:r w:rsidR="0024709E" w:rsidRPr="00B643C8">
        <w:rPr>
          <w:rFonts w:ascii="Arial" w:hAnsi="Arial" w:cs="Arial"/>
          <w:sz w:val="28"/>
          <w:szCs w:val="28"/>
        </w:rPr>
        <w:t xml:space="preserve">lica, </w:t>
      </w:r>
      <w:r w:rsidR="00200032" w:rsidRPr="00B643C8">
        <w:rPr>
          <w:rFonts w:ascii="Arial" w:hAnsi="Arial" w:cs="Arial"/>
          <w:sz w:val="28"/>
          <w:szCs w:val="28"/>
        </w:rPr>
        <w:t>se puedan cambiar a otro partido político sin tener que renunciar a la curul.</w:t>
      </w:r>
    </w:p>
    <w:p w14:paraId="52AB0FEB" w14:textId="77777777" w:rsidR="00200032" w:rsidRPr="00B643C8" w:rsidRDefault="00200032" w:rsidP="00DA117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 xml:space="preserve">De manera concreta la modificación que se desea realizar al Artículo 2° de </w:t>
      </w:r>
      <w:proofErr w:type="gramStart"/>
      <w:r w:rsidRPr="00B643C8">
        <w:rPr>
          <w:rFonts w:ascii="Arial" w:hAnsi="Arial" w:cs="Arial"/>
          <w:sz w:val="28"/>
          <w:szCs w:val="28"/>
        </w:rPr>
        <w:t>la  Ley</w:t>
      </w:r>
      <w:proofErr w:type="gramEnd"/>
      <w:r w:rsidRPr="00B643C8">
        <w:rPr>
          <w:rFonts w:ascii="Arial" w:hAnsi="Arial" w:cs="Arial"/>
          <w:sz w:val="28"/>
          <w:szCs w:val="28"/>
        </w:rPr>
        <w:t xml:space="preserve"> 1475 de 2011, es adicionar un Parágrafo Transitorio para que por una única vez se </w:t>
      </w:r>
      <w:r w:rsidR="00800C57" w:rsidRPr="00B643C8">
        <w:rPr>
          <w:rFonts w:ascii="Arial" w:hAnsi="Arial" w:cs="Arial"/>
          <w:sz w:val="28"/>
          <w:szCs w:val="28"/>
        </w:rPr>
        <w:t xml:space="preserve">le </w:t>
      </w:r>
      <w:r w:rsidRPr="00B643C8">
        <w:rPr>
          <w:rFonts w:ascii="Arial" w:hAnsi="Arial" w:cs="Arial"/>
          <w:sz w:val="28"/>
          <w:szCs w:val="28"/>
        </w:rPr>
        <w:t>permita</w:t>
      </w:r>
      <w:r w:rsidR="00800C57" w:rsidRPr="00B643C8">
        <w:rPr>
          <w:rFonts w:ascii="Arial" w:hAnsi="Arial" w:cs="Arial"/>
          <w:sz w:val="28"/>
          <w:szCs w:val="28"/>
        </w:rPr>
        <w:t xml:space="preserve"> a los </w:t>
      </w:r>
      <w:proofErr w:type="spellStart"/>
      <w:r w:rsidR="00800C57" w:rsidRPr="00B643C8">
        <w:rPr>
          <w:rFonts w:ascii="Arial" w:hAnsi="Arial" w:cs="Arial"/>
          <w:sz w:val="28"/>
          <w:szCs w:val="28"/>
        </w:rPr>
        <w:t>Corporados</w:t>
      </w:r>
      <w:proofErr w:type="spellEnd"/>
      <w:r w:rsidRPr="00B643C8">
        <w:rPr>
          <w:rFonts w:ascii="Arial" w:hAnsi="Arial" w:cs="Arial"/>
          <w:sz w:val="28"/>
          <w:szCs w:val="28"/>
        </w:rPr>
        <w:t xml:space="preserve"> </w:t>
      </w:r>
      <w:r w:rsidR="00800C57" w:rsidRPr="00B643C8">
        <w:rPr>
          <w:rFonts w:ascii="Arial" w:hAnsi="Arial" w:cs="Arial"/>
          <w:sz w:val="28"/>
          <w:szCs w:val="28"/>
        </w:rPr>
        <w:t xml:space="preserve">llegar </w:t>
      </w:r>
      <w:r w:rsidRPr="00B643C8">
        <w:rPr>
          <w:rFonts w:ascii="Arial" w:hAnsi="Arial" w:cs="Arial"/>
          <w:sz w:val="28"/>
          <w:szCs w:val="28"/>
        </w:rPr>
        <w:t>a otra colectividad sin incurrir en doble militancia</w:t>
      </w:r>
      <w:r w:rsidR="00800C57" w:rsidRPr="00B643C8">
        <w:rPr>
          <w:rFonts w:ascii="Arial" w:hAnsi="Arial" w:cs="Arial"/>
          <w:sz w:val="28"/>
          <w:szCs w:val="28"/>
        </w:rPr>
        <w:t>,</w:t>
      </w:r>
      <w:r w:rsidRPr="00B643C8">
        <w:rPr>
          <w:rFonts w:ascii="Arial" w:hAnsi="Arial" w:cs="Arial"/>
          <w:sz w:val="28"/>
          <w:szCs w:val="28"/>
        </w:rPr>
        <w:t xml:space="preserve"> teniendo como tiempo de vigencia </w:t>
      </w:r>
      <w:r w:rsidR="00800C57" w:rsidRPr="00B643C8">
        <w:rPr>
          <w:rFonts w:ascii="Arial" w:hAnsi="Arial" w:cs="Arial"/>
          <w:sz w:val="28"/>
          <w:szCs w:val="28"/>
        </w:rPr>
        <w:t>para esta decisión y trámite, tres meses desde el momento en que rija esta nueva ley.</w:t>
      </w:r>
      <w:r w:rsidRPr="00B643C8">
        <w:rPr>
          <w:rFonts w:ascii="Arial" w:hAnsi="Arial" w:cs="Arial"/>
          <w:sz w:val="28"/>
          <w:szCs w:val="28"/>
        </w:rPr>
        <w:t xml:space="preserve"> </w:t>
      </w:r>
    </w:p>
    <w:p w14:paraId="078E8CE8" w14:textId="77777777" w:rsidR="00D02B1C" w:rsidRPr="00B643C8" w:rsidRDefault="00800C57" w:rsidP="00DA117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>La</w:t>
      </w:r>
      <w:r w:rsidR="00126F0D" w:rsidRPr="00B643C8">
        <w:rPr>
          <w:rFonts w:ascii="Arial" w:hAnsi="Arial" w:cs="Arial"/>
          <w:sz w:val="28"/>
          <w:szCs w:val="28"/>
        </w:rPr>
        <w:t xml:space="preserve"> necesidad de este proyecto igualmente radica en que se le debe permitir a quien ya tiene unos derechos otorgados por el voto popular y en razón al ejercicio democrático que </w:t>
      </w:r>
      <w:r w:rsidR="00D02B1C" w:rsidRPr="00B643C8">
        <w:rPr>
          <w:rFonts w:ascii="Arial" w:hAnsi="Arial" w:cs="Arial"/>
          <w:sz w:val="28"/>
          <w:szCs w:val="28"/>
        </w:rPr>
        <w:t>se debe respetar en nuestro país</w:t>
      </w:r>
      <w:r w:rsidR="00126F0D" w:rsidRPr="00B643C8">
        <w:rPr>
          <w:rFonts w:ascii="Arial" w:hAnsi="Arial" w:cs="Arial"/>
          <w:sz w:val="28"/>
          <w:szCs w:val="28"/>
        </w:rPr>
        <w:t>, para que s</w:t>
      </w:r>
      <w:r w:rsidRPr="00B643C8">
        <w:rPr>
          <w:rFonts w:ascii="Arial" w:hAnsi="Arial" w:cs="Arial"/>
          <w:sz w:val="28"/>
          <w:szCs w:val="28"/>
        </w:rPr>
        <w:t xml:space="preserve">e ubique </w:t>
      </w:r>
      <w:r w:rsidR="00D02B1C" w:rsidRPr="00B643C8">
        <w:rPr>
          <w:rFonts w:ascii="Arial" w:hAnsi="Arial" w:cs="Arial"/>
          <w:sz w:val="28"/>
          <w:szCs w:val="28"/>
        </w:rPr>
        <w:t xml:space="preserve">el </w:t>
      </w:r>
      <w:proofErr w:type="spellStart"/>
      <w:r w:rsidR="00D02B1C" w:rsidRPr="00B643C8">
        <w:rPr>
          <w:rFonts w:ascii="Arial" w:hAnsi="Arial" w:cs="Arial"/>
          <w:sz w:val="28"/>
          <w:szCs w:val="28"/>
        </w:rPr>
        <w:t>Corporado</w:t>
      </w:r>
      <w:proofErr w:type="spellEnd"/>
      <w:r w:rsidR="00D02B1C" w:rsidRPr="00B643C8">
        <w:rPr>
          <w:rFonts w:ascii="Arial" w:hAnsi="Arial" w:cs="Arial"/>
          <w:sz w:val="28"/>
          <w:szCs w:val="28"/>
        </w:rPr>
        <w:t xml:space="preserve"> </w:t>
      </w:r>
      <w:r w:rsidR="00C93E59" w:rsidRPr="00B643C8">
        <w:rPr>
          <w:rFonts w:ascii="Arial" w:hAnsi="Arial" w:cs="Arial"/>
          <w:sz w:val="28"/>
          <w:szCs w:val="28"/>
        </w:rPr>
        <w:t>dentro de</w:t>
      </w:r>
      <w:r w:rsidRPr="00B643C8">
        <w:rPr>
          <w:rFonts w:ascii="Arial" w:hAnsi="Arial" w:cs="Arial"/>
          <w:sz w:val="28"/>
          <w:szCs w:val="28"/>
        </w:rPr>
        <w:t xml:space="preserve"> su espectro ideológico, </w:t>
      </w:r>
      <w:r w:rsidR="00126F0D" w:rsidRPr="00B643C8">
        <w:rPr>
          <w:rFonts w:ascii="Arial" w:hAnsi="Arial" w:cs="Arial"/>
          <w:sz w:val="28"/>
          <w:szCs w:val="28"/>
        </w:rPr>
        <w:lastRenderedPageBreak/>
        <w:t xml:space="preserve">donde </w:t>
      </w:r>
      <w:r w:rsidR="00D02B1C" w:rsidRPr="00B643C8">
        <w:rPr>
          <w:rFonts w:ascii="Arial" w:hAnsi="Arial" w:cs="Arial"/>
          <w:sz w:val="28"/>
          <w:szCs w:val="28"/>
        </w:rPr>
        <w:t>pueda actuar conforme a lo que su electorado le apoyó y así mismo no se afecte su labor por la</w:t>
      </w:r>
      <w:r w:rsidR="00C42C9C">
        <w:rPr>
          <w:rFonts w:ascii="Arial" w:hAnsi="Arial" w:cs="Arial"/>
          <w:sz w:val="28"/>
          <w:szCs w:val="28"/>
        </w:rPr>
        <w:t>s</w:t>
      </w:r>
      <w:r w:rsidR="00D02B1C" w:rsidRPr="00B643C8">
        <w:rPr>
          <w:rFonts w:ascii="Arial" w:hAnsi="Arial" w:cs="Arial"/>
          <w:sz w:val="28"/>
          <w:szCs w:val="28"/>
        </w:rPr>
        <w:t xml:space="preserve"> </w:t>
      </w:r>
      <w:r w:rsidR="00C42C9C">
        <w:rPr>
          <w:rFonts w:ascii="Arial" w:hAnsi="Arial" w:cs="Arial"/>
          <w:sz w:val="28"/>
          <w:szCs w:val="28"/>
        </w:rPr>
        <w:t>circunstancias partidistas</w:t>
      </w:r>
      <w:r w:rsidR="00D02B1C" w:rsidRPr="00B643C8">
        <w:rPr>
          <w:rFonts w:ascii="Arial" w:hAnsi="Arial" w:cs="Arial"/>
          <w:sz w:val="28"/>
          <w:szCs w:val="28"/>
        </w:rPr>
        <w:t>.</w:t>
      </w:r>
    </w:p>
    <w:p w14:paraId="26883497" w14:textId="6319CCF8" w:rsidR="00E56722" w:rsidRDefault="005F2E8E" w:rsidP="007F770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 xml:space="preserve">En estos términos, se presenta a consideración del honorable Congreso de la República el proyecto de modificación a la Ley </w:t>
      </w:r>
      <w:r w:rsidRPr="00B643C8">
        <w:rPr>
          <w:rFonts w:ascii="Arial" w:hAnsi="Arial" w:cs="Arial"/>
          <w:color w:val="4B4949"/>
          <w:sz w:val="28"/>
          <w:szCs w:val="28"/>
        </w:rPr>
        <w:t xml:space="preserve">de los partidos y movimientos políticos, </w:t>
      </w:r>
      <w:r w:rsidRPr="00B643C8">
        <w:rPr>
          <w:rFonts w:ascii="Arial" w:hAnsi="Arial" w:cs="Arial"/>
          <w:sz w:val="28"/>
          <w:szCs w:val="28"/>
        </w:rPr>
        <w:t>para la adaptación</w:t>
      </w:r>
      <w:r w:rsidR="000D52ED" w:rsidRPr="00B643C8">
        <w:rPr>
          <w:rFonts w:ascii="Arial" w:hAnsi="Arial" w:cs="Arial"/>
          <w:sz w:val="28"/>
          <w:szCs w:val="28"/>
        </w:rPr>
        <w:t xml:space="preserve"> de los actores políticos a las condiciones actuales de la Política Nacional</w:t>
      </w:r>
      <w:r w:rsidR="009C3C13" w:rsidRPr="00B643C8">
        <w:rPr>
          <w:rFonts w:ascii="Arial" w:hAnsi="Arial" w:cs="Arial"/>
          <w:sz w:val="28"/>
          <w:szCs w:val="28"/>
        </w:rPr>
        <w:t xml:space="preserve">, lo que permitirá un fortalecimiento a los Partidos por quedar conformados con las personas que trabajen bajo las normas estatutarias afines al pensamiento de sus integrantes. </w:t>
      </w:r>
    </w:p>
    <w:p w14:paraId="5256582D" w14:textId="00E8F7DC" w:rsidR="003E776E" w:rsidRDefault="003E776E" w:rsidP="005F2E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Atentamente,</w:t>
      </w:r>
    </w:p>
    <w:p w14:paraId="5581A697" w14:textId="64A6354D" w:rsidR="00BC4C4F" w:rsidRDefault="00BC4C4F" w:rsidP="005F2E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00FDFDE" w14:textId="693C622C" w:rsidR="00BC4C4F" w:rsidRPr="00BC4C4F" w:rsidRDefault="00BC4C4F" w:rsidP="005E3D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BC4C4F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John Milton Rodríguez González </w:t>
      </w:r>
      <w:r w:rsidR="00A1079F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      Jonatan Tamayo Pérez</w:t>
      </w:r>
    </w:p>
    <w:p w14:paraId="2C0C392B" w14:textId="53170B1C" w:rsidR="00BC4C4F" w:rsidRDefault="00BC4C4F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Senador de la República </w:t>
      </w:r>
      <w:r w:rsidR="00A1079F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                        Senador de la República</w:t>
      </w:r>
    </w:p>
    <w:p w14:paraId="36121461" w14:textId="6EA49398" w:rsidR="005B7A37" w:rsidRDefault="005B7A37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3ABF1D90" w14:textId="50DDF427" w:rsidR="005B7A37" w:rsidRDefault="005B7A37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6DEC6A03" w14:textId="21ABD9DF" w:rsidR="005B7A37" w:rsidRDefault="005B7A37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58D1FF53" w14:textId="0B3CFFA7" w:rsidR="005B7A37" w:rsidRDefault="005B7A37" w:rsidP="00BC4C4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2DA12515" w14:textId="77777777" w:rsidR="005B7A37" w:rsidRPr="00515BFF" w:rsidRDefault="005B7A37" w:rsidP="005B7A3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Eduardo Emilio Pacheco Cuello        </w:t>
      </w:r>
      <w:r w:rsidRPr="00515BFF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Esperanza Andrade</w:t>
      </w:r>
    </w:p>
    <w:p w14:paraId="1A184F0D" w14:textId="77777777" w:rsidR="005B7A37" w:rsidRPr="00BC4C4F" w:rsidRDefault="005B7A37" w:rsidP="005B7A37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sz w:val="28"/>
          <w:szCs w:val="28"/>
          <w:lang w:val="es-ES_tradnl" w:eastAsia="es-ES"/>
        </w:rPr>
        <w:t>Senador de la República                       Senadora de la República</w:t>
      </w:r>
    </w:p>
    <w:p w14:paraId="2313F529" w14:textId="77777777" w:rsidR="005F2E8E" w:rsidRPr="00B643C8" w:rsidRDefault="005F2E8E" w:rsidP="005F2E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43C8">
        <w:rPr>
          <w:rFonts w:ascii="Arial" w:hAnsi="Arial" w:cs="Arial"/>
          <w:sz w:val="28"/>
          <w:szCs w:val="28"/>
        </w:rPr>
        <w:t xml:space="preserve"> </w:t>
      </w:r>
    </w:p>
    <w:sectPr w:rsidR="005F2E8E" w:rsidRPr="00B643C8" w:rsidSect="00DA1177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96"/>
    <w:rsid w:val="00026839"/>
    <w:rsid w:val="0007117D"/>
    <w:rsid w:val="00077233"/>
    <w:rsid w:val="000D52ED"/>
    <w:rsid w:val="00126F0D"/>
    <w:rsid w:val="001425D6"/>
    <w:rsid w:val="00186F76"/>
    <w:rsid w:val="00192985"/>
    <w:rsid w:val="00200032"/>
    <w:rsid w:val="0020350F"/>
    <w:rsid w:val="00211E3E"/>
    <w:rsid w:val="0024709E"/>
    <w:rsid w:val="002B24F3"/>
    <w:rsid w:val="002D40BD"/>
    <w:rsid w:val="003279EC"/>
    <w:rsid w:val="003B1666"/>
    <w:rsid w:val="003E776E"/>
    <w:rsid w:val="004162AA"/>
    <w:rsid w:val="00515BFF"/>
    <w:rsid w:val="005A0A73"/>
    <w:rsid w:val="005B7A37"/>
    <w:rsid w:val="005E3DE8"/>
    <w:rsid w:val="005F2E8E"/>
    <w:rsid w:val="007C7FDE"/>
    <w:rsid w:val="007F770B"/>
    <w:rsid w:val="00800C57"/>
    <w:rsid w:val="00807D13"/>
    <w:rsid w:val="00862FA2"/>
    <w:rsid w:val="00902BEC"/>
    <w:rsid w:val="00913220"/>
    <w:rsid w:val="00914FA3"/>
    <w:rsid w:val="009666DC"/>
    <w:rsid w:val="00981C2E"/>
    <w:rsid w:val="009A1CF2"/>
    <w:rsid w:val="009C3C13"/>
    <w:rsid w:val="009D1869"/>
    <w:rsid w:val="00A1079F"/>
    <w:rsid w:val="00A56696"/>
    <w:rsid w:val="00AC2757"/>
    <w:rsid w:val="00B221A2"/>
    <w:rsid w:val="00B43EFF"/>
    <w:rsid w:val="00B643C8"/>
    <w:rsid w:val="00B81D23"/>
    <w:rsid w:val="00BC4C4F"/>
    <w:rsid w:val="00BE3EDD"/>
    <w:rsid w:val="00C42C9C"/>
    <w:rsid w:val="00C86172"/>
    <w:rsid w:val="00C8724A"/>
    <w:rsid w:val="00C878AE"/>
    <w:rsid w:val="00C93E59"/>
    <w:rsid w:val="00D02B1C"/>
    <w:rsid w:val="00D06CE3"/>
    <w:rsid w:val="00DA1177"/>
    <w:rsid w:val="00E56722"/>
    <w:rsid w:val="00E90084"/>
    <w:rsid w:val="00E97CF0"/>
    <w:rsid w:val="00EA1AEA"/>
    <w:rsid w:val="00ED3430"/>
    <w:rsid w:val="00F009F7"/>
    <w:rsid w:val="00F33FB4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90174"/>
  <w15:docId w15:val="{14F71DB0-8111-3444-ABAE-CED051CD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baj">
    <w:name w:val="b_aj"/>
    <w:basedOn w:val="Fuentedeprrafopredeter"/>
    <w:rsid w:val="00A56696"/>
  </w:style>
  <w:style w:type="paragraph" w:styleId="Textodeglobo">
    <w:name w:val="Balloon Text"/>
    <w:basedOn w:val="Normal"/>
    <w:link w:val="TextodegloboCar"/>
    <w:uiPriority w:val="99"/>
    <w:semiHidden/>
    <w:unhideWhenUsed/>
    <w:rsid w:val="00BC4C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C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Manguito</dc:creator>
  <cp:lastModifiedBy>hasbleidy suarez</cp:lastModifiedBy>
  <cp:revision>2</cp:revision>
  <dcterms:created xsi:type="dcterms:W3CDTF">2020-08-31T02:35:00Z</dcterms:created>
  <dcterms:modified xsi:type="dcterms:W3CDTF">2020-08-31T02:35:00Z</dcterms:modified>
</cp:coreProperties>
</file>