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D0C12" w14:textId="77777777" w:rsidR="00D80253" w:rsidRPr="00594496" w:rsidRDefault="00D80253" w:rsidP="00D80253">
      <w:pPr>
        <w:jc w:val="center"/>
        <w:rPr>
          <w:rFonts w:ascii="Arial Narrow" w:hAnsi="Arial Narrow"/>
          <w:b/>
          <w:bCs/>
          <w:sz w:val="28"/>
          <w:szCs w:val="28"/>
        </w:rPr>
      </w:pPr>
      <w:bookmarkStart w:id="0" w:name="_Hlk49839140"/>
      <w:bookmarkStart w:id="1" w:name="_GoBack"/>
      <w:bookmarkEnd w:id="1"/>
      <w:r w:rsidRPr="00594496">
        <w:rPr>
          <w:rFonts w:ascii="Arial Narrow" w:hAnsi="Arial Narrow"/>
          <w:b/>
          <w:bCs/>
          <w:sz w:val="28"/>
          <w:szCs w:val="28"/>
        </w:rPr>
        <w:t>PROYECTO DE ACTO LEGISLATIVO NO. ___</w:t>
      </w:r>
    </w:p>
    <w:p w14:paraId="6E34EB56" w14:textId="77777777" w:rsidR="00D80253" w:rsidRPr="00594496" w:rsidRDefault="00D80253" w:rsidP="00D80253">
      <w:pPr>
        <w:jc w:val="center"/>
        <w:rPr>
          <w:rFonts w:ascii="Arial Narrow" w:hAnsi="Arial Narrow"/>
          <w:b/>
          <w:bCs/>
          <w:sz w:val="28"/>
          <w:szCs w:val="28"/>
        </w:rPr>
      </w:pPr>
      <w:r w:rsidRPr="00594496">
        <w:rPr>
          <w:rFonts w:ascii="Arial Narrow" w:hAnsi="Arial Narrow"/>
          <w:b/>
          <w:bCs/>
          <w:sz w:val="28"/>
          <w:szCs w:val="28"/>
        </w:rPr>
        <w:t>POR MEDIO DEL CUAL SE MODIFICA LAS FUNCIONES DE CONTROL POLÍTICO DEL CONGRESO DE LA REPÚBLICA</w:t>
      </w:r>
    </w:p>
    <w:bookmarkEnd w:id="0"/>
    <w:p w14:paraId="7F352DCC" w14:textId="5A4F18AD" w:rsidR="006845D9" w:rsidRPr="00594496" w:rsidRDefault="00594496" w:rsidP="00D80253">
      <w:pPr>
        <w:jc w:val="center"/>
        <w:rPr>
          <w:rFonts w:ascii="Arial Narrow" w:hAnsi="Arial Narrow"/>
          <w:b/>
          <w:bCs/>
          <w:sz w:val="28"/>
          <w:szCs w:val="28"/>
        </w:rPr>
      </w:pPr>
      <w:r w:rsidRPr="00594496">
        <w:rPr>
          <w:rFonts w:ascii="Arial Narrow" w:hAnsi="Arial Narrow"/>
          <w:b/>
          <w:bCs/>
          <w:sz w:val="28"/>
          <w:szCs w:val="28"/>
        </w:rPr>
        <w:t>EL CONGRESO DECRETA:</w:t>
      </w:r>
    </w:p>
    <w:p w14:paraId="362AF4C1" w14:textId="77777777" w:rsidR="00DA758D" w:rsidRPr="00D80253" w:rsidRDefault="00D80253" w:rsidP="00D80253">
      <w:pPr>
        <w:jc w:val="both"/>
        <w:rPr>
          <w:rFonts w:ascii="Arial Narrow" w:hAnsi="Arial Narrow"/>
          <w:sz w:val="24"/>
          <w:szCs w:val="24"/>
        </w:rPr>
      </w:pPr>
      <w:r w:rsidRPr="00D80253">
        <w:rPr>
          <w:rFonts w:ascii="Arial Narrow" w:hAnsi="Arial Narrow"/>
          <w:b/>
          <w:bCs/>
          <w:sz w:val="24"/>
          <w:szCs w:val="24"/>
        </w:rPr>
        <w:t>Artículo 1</w:t>
      </w:r>
      <w:r>
        <w:rPr>
          <w:rFonts w:ascii="Arial Narrow" w:hAnsi="Arial Narrow"/>
          <w:b/>
          <w:bCs/>
          <w:sz w:val="24"/>
          <w:szCs w:val="24"/>
        </w:rPr>
        <w:t>.</w:t>
      </w:r>
      <w:r>
        <w:rPr>
          <w:rFonts w:ascii="Arial Narrow" w:hAnsi="Arial Narrow"/>
          <w:sz w:val="24"/>
          <w:szCs w:val="24"/>
        </w:rPr>
        <w:t xml:space="preserve"> </w:t>
      </w:r>
      <w:r w:rsidR="00A84C1A">
        <w:rPr>
          <w:rFonts w:ascii="Arial Narrow" w:hAnsi="Arial Narrow"/>
          <w:sz w:val="24"/>
          <w:szCs w:val="24"/>
        </w:rPr>
        <w:t xml:space="preserve">Adiciónese </w:t>
      </w:r>
      <w:r w:rsidRPr="00D80253">
        <w:rPr>
          <w:rFonts w:ascii="Arial Narrow" w:hAnsi="Arial Narrow"/>
          <w:sz w:val="24"/>
          <w:szCs w:val="24"/>
        </w:rPr>
        <w:t>el numeral</w:t>
      </w:r>
      <w:r w:rsidR="00A84C1A">
        <w:rPr>
          <w:rFonts w:ascii="Arial Narrow" w:hAnsi="Arial Narrow"/>
          <w:sz w:val="24"/>
          <w:szCs w:val="24"/>
        </w:rPr>
        <w:t xml:space="preserve"> 10 al</w:t>
      </w:r>
      <w:r w:rsidRPr="00D80253">
        <w:rPr>
          <w:rFonts w:ascii="Arial Narrow" w:hAnsi="Arial Narrow"/>
          <w:sz w:val="24"/>
          <w:szCs w:val="24"/>
        </w:rPr>
        <w:t xml:space="preserve"> artículo 135 de la Constitución Política de 1991. El cual quedara así: </w:t>
      </w:r>
    </w:p>
    <w:p w14:paraId="28FC5D84" w14:textId="77777777" w:rsidR="00DA758D" w:rsidRPr="00D80253" w:rsidRDefault="00D80253" w:rsidP="00D80253">
      <w:pPr>
        <w:ind w:left="708"/>
        <w:jc w:val="both"/>
        <w:rPr>
          <w:rFonts w:ascii="Arial Narrow" w:hAnsi="Arial Narrow"/>
          <w:sz w:val="24"/>
          <w:szCs w:val="24"/>
        </w:rPr>
      </w:pPr>
      <w:r w:rsidRPr="00D80253">
        <w:rPr>
          <w:rFonts w:ascii="Arial Narrow" w:hAnsi="Arial Narrow"/>
          <w:sz w:val="24"/>
          <w:szCs w:val="24"/>
        </w:rPr>
        <w:t>Artículo 135</w:t>
      </w:r>
      <w:r w:rsidR="00DA758D" w:rsidRPr="00D80253">
        <w:rPr>
          <w:rFonts w:ascii="Arial Narrow" w:hAnsi="Arial Narrow"/>
          <w:sz w:val="24"/>
          <w:szCs w:val="24"/>
        </w:rPr>
        <w:t>. Son facultades de cada Cámara:</w:t>
      </w:r>
    </w:p>
    <w:p w14:paraId="749C5CC7"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1. Elegir sus mesas directivas.</w:t>
      </w:r>
    </w:p>
    <w:p w14:paraId="2DA0379A"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2. Elegir a su Secretario General, para períodos de dos años, contados a partir del 20 de julio, quien deberá reunir las mismas calidades señaladas para ser miembro de la respectiva Cámara.</w:t>
      </w:r>
    </w:p>
    <w:p w14:paraId="7681EBC7"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3. Solicitar al Gobierno los informes que necesite, salvo lo dispuesto en el numeral 2 del Artículo siguiente.</w:t>
      </w:r>
    </w:p>
    <w:p w14:paraId="713F3384"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4. Determinar la celebración de sesiones reservadas en forma prioritaria a las preguntas orales que formulen los Congresistas a los Ministros y a las respuestas de éstos. El reglamento regulará la materia.</w:t>
      </w:r>
    </w:p>
    <w:p w14:paraId="20A84378"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5. Proveer los empleos creados por la ley para el cumplimiento de sus funciones.</w:t>
      </w:r>
    </w:p>
    <w:p w14:paraId="72311773"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6. Recabar del Gobierno la cooperación de los organismos de la administración pública para el mejor desempeño de sus atribuciones.</w:t>
      </w:r>
    </w:p>
    <w:p w14:paraId="605D9435" w14:textId="77777777" w:rsidR="00DA758D" w:rsidRPr="00D80253" w:rsidRDefault="00DA758D" w:rsidP="00D80253">
      <w:pPr>
        <w:ind w:left="708"/>
        <w:jc w:val="both"/>
        <w:rPr>
          <w:rFonts w:ascii="Arial Narrow" w:hAnsi="Arial Narrow"/>
          <w:sz w:val="24"/>
          <w:szCs w:val="24"/>
        </w:rPr>
      </w:pPr>
      <w:r w:rsidRPr="00D80253">
        <w:rPr>
          <w:rFonts w:ascii="Arial Narrow" w:hAnsi="Arial Narrow"/>
          <w:sz w:val="24"/>
          <w:szCs w:val="24"/>
        </w:rPr>
        <w:t>7. Organizar su Policía interior.</w:t>
      </w:r>
    </w:p>
    <w:p w14:paraId="010B91CB" w14:textId="77777777" w:rsidR="00A84C1A" w:rsidRDefault="00DA758D" w:rsidP="00D80253">
      <w:pPr>
        <w:ind w:left="708"/>
        <w:jc w:val="both"/>
        <w:rPr>
          <w:rFonts w:ascii="Arial Narrow" w:hAnsi="Arial Narrow"/>
          <w:sz w:val="24"/>
          <w:szCs w:val="24"/>
        </w:rPr>
      </w:pPr>
      <w:r w:rsidRPr="00D80253">
        <w:rPr>
          <w:rFonts w:ascii="Arial Narrow" w:hAnsi="Arial Narrow"/>
          <w:sz w:val="24"/>
          <w:szCs w:val="24"/>
        </w:rPr>
        <w:t>8. 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r w:rsidR="00D80253">
        <w:rPr>
          <w:rFonts w:ascii="Arial Narrow" w:hAnsi="Arial Narrow"/>
          <w:sz w:val="24"/>
          <w:szCs w:val="24"/>
        </w:rPr>
        <w:t xml:space="preserve"> </w:t>
      </w:r>
    </w:p>
    <w:p w14:paraId="33E4D8BC" w14:textId="77777777" w:rsidR="00DA758D" w:rsidRDefault="00DA758D" w:rsidP="00D80253">
      <w:pPr>
        <w:ind w:left="708"/>
        <w:jc w:val="both"/>
        <w:rPr>
          <w:rFonts w:ascii="Arial Narrow" w:hAnsi="Arial Narrow"/>
          <w:sz w:val="24"/>
          <w:szCs w:val="24"/>
        </w:rPr>
      </w:pPr>
      <w:r w:rsidRPr="00D80253">
        <w:rPr>
          <w:rFonts w:ascii="Arial Narrow" w:hAnsi="Arial Narrow"/>
          <w:sz w:val="24"/>
          <w:szCs w:val="24"/>
        </w:rPr>
        <w:t xml:space="preserve">9. Proponer moción de censura respecto de los Ministros, Superintendentes y Directores de Departamentos Administrativos por asuntos relacionados con funciones propias del cargo, o por desatención a los requerimientos y citaciones del Congreso de la República. La moción </w:t>
      </w:r>
      <w:r w:rsidRPr="00D80253">
        <w:rPr>
          <w:rFonts w:ascii="Arial Narrow" w:hAnsi="Arial Narrow"/>
          <w:sz w:val="24"/>
          <w:szCs w:val="24"/>
        </w:rPr>
        <w:lastRenderedPageBreak/>
        <w:t>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14:paraId="0F1D73ED" w14:textId="77777777" w:rsidR="00D72870" w:rsidRDefault="00A84C1A" w:rsidP="00D80253">
      <w:pPr>
        <w:ind w:left="708"/>
        <w:jc w:val="both"/>
        <w:rPr>
          <w:rFonts w:ascii="Arial Narrow" w:hAnsi="Arial Narrow"/>
          <w:b/>
          <w:bCs/>
          <w:sz w:val="24"/>
          <w:szCs w:val="24"/>
          <w:u w:val="single"/>
        </w:rPr>
      </w:pPr>
      <w:r w:rsidRPr="00EB4E5D">
        <w:rPr>
          <w:rFonts w:ascii="Arial Narrow" w:hAnsi="Arial Narrow"/>
          <w:b/>
          <w:bCs/>
          <w:sz w:val="24"/>
          <w:szCs w:val="24"/>
          <w:u w:val="single"/>
        </w:rPr>
        <w:t>10. Citar y requerir a los gobernadores y alcaldes por</w:t>
      </w:r>
      <w:r w:rsidR="00D72870">
        <w:rPr>
          <w:rFonts w:ascii="Arial Narrow" w:hAnsi="Arial Narrow"/>
          <w:b/>
          <w:bCs/>
          <w:sz w:val="24"/>
          <w:szCs w:val="24"/>
          <w:u w:val="single"/>
        </w:rPr>
        <w:t xml:space="preserve"> asuntos</w:t>
      </w:r>
      <w:r w:rsidRPr="00EB4E5D">
        <w:rPr>
          <w:rFonts w:ascii="Arial Narrow" w:hAnsi="Arial Narrow"/>
          <w:b/>
          <w:bCs/>
          <w:sz w:val="24"/>
          <w:szCs w:val="24"/>
          <w:u w:val="single"/>
        </w:rPr>
        <w:t xml:space="preserve"> de trascendencia nacional o por proyectos de inversión que tengan un cofinanciamiento presupuestal mayoritario por parte del gobierno nacional. Se entenderá como </w:t>
      </w:r>
      <w:r w:rsidR="00D72870">
        <w:rPr>
          <w:rFonts w:ascii="Arial Narrow" w:hAnsi="Arial Narrow"/>
          <w:b/>
          <w:bCs/>
          <w:sz w:val="24"/>
          <w:szCs w:val="24"/>
          <w:u w:val="single"/>
        </w:rPr>
        <w:t>asuntos</w:t>
      </w:r>
      <w:r w:rsidRPr="00EB4E5D">
        <w:rPr>
          <w:rFonts w:ascii="Arial Narrow" w:hAnsi="Arial Narrow"/>
          <w:b/>
          <w:bCs/>
          <w:sz w:val="24"/>
          <w:szCs w:val="24"/>
          <w:u w:val="single"/>
        </w:rPr>
        <w:t xml:space="preserve"> de trascendencia nacional </w:t>
      </w:r>
      <w:r w:rsidR="00D72870">
        <w:rPr>
          <w:rFonts w:ascii="Arial Narrow" w:hAnsi="Arial Narrow"/>
          <w:b/>
          <w:bCs/>
          <w:sz w:val="24"/>
          <w:szCs w:val="24"/>
          <w:u w:val="single"/>
        </w:rPr>
        <w:t xml:space="preserve">cuando se afecte o se ponga en peligro </w:t>
      </w:r>
      <w:r w:rsidRPr="00EB4E5D">
        <w:rPr>
          <w:rFonts w:ascii="Arial Narrow" w:hAnsi="Arial Narrow"/>
          <w:b/>
          <w:bCs/>
          <w:sz w:val="24"/>
          <w:szCs w:val="24"/>
          <w:u w:val="single"/>
        </w:rPr>
        <w:t>grave</w:t>
      </w:r>
      <w:r w:rsidR="00D72870">
        <w:rPr>
          <w:rFonts w:ascii="Arial Narrow" w:hAnsi="Arial Narrow"/>
          <w:b/>
          <w:bCs/>
          <w:sz w:val="24"/>
          <w:szCs w:val="24"/>
          <w:u w:val="single"/>
        </w:rPr>
        <w:t>mente</w:t>
      </w:r>
      <w:r w:rsidRPr="00EB4E5D">
        <w:rPr>
          <w:rFonts w:ascii="Arial Narrow" w:hAnsi="Arial Narrow"/>
          <w:b/>
          <w:bCs/>
          <w:sz w:val="24"/>
          <w:szCs w:val="24"/>
          <w:u w:val="single"/>
        </w:rPr>
        <w:t xml:space="preserve"> la salud, el orden público o la seguridad del territorio nacional. </w:t>
      </w:r>
    </w:p>
    <w:p w14:paraId="6D5B82C8" w14:textId="25A129E6" w:rsidR="00A84C1A" w:rsidRPr="00EB4E5D" w:rsidRDefault="00A84C1A" w:rsidP="00D80253">
      <w:pPr>
        <w:ind w:left="708"/>
        <w:jc w:val="both"/>
        <w:rPr>
          <w:rFonts w:ascii="Arial Narrow" w:hAnsi="Arial Narrow"/>
          <w:b/>
          <w:bCs/>
          <w:sz w:val="24"/>
          <w:szCs w:val="24"/>
          <w:u w:val="single"/>
        </w:rPr>
      </w:pPr>
      <w:r w:rsidRPr="00EB4E5D">
        <w:rPr>
          <w:rFonts w:ascii="Arial Narrow" w:hAnsi="Arial Narrow"/>
          <w:b/>
          <w:bCs/>
          <w:sz w:val="24"/>
          <w:szCs w:val="24"/>
          <w:u w:val="single"/>
        </w:rPr>
        <w:t>En caso de que los gobernadores o alcaldes citados</w:t>
      </w:r>
      <w:r w:rsidR="008F2653">
        <w:rPr>
          <w:rFonts w:ascii="Arial Narrow" w:hAnsi="Arial Narrow"/>
          <w:b/>
          <w:bCs/>
          <w:sz w:val="24"/>
          <w:szCs w:val="24"/>
          <w:u w:val="single"/>
        </w:rPr>
        <w:t xml:space="preserve"> </w:t>
      </w:r>
      <w:r w:rsidR="008F2653" w:rsidRPr="008F2653">
        <w:rPr>
          <w:rFonts w:ascii="Arial Narrow" w:hAnsi="Arial Narrow"/>
          <w:b/>
          <w:bCs/>
          <w:sz w:val="24"/>
          <w:szCs w:val="24"/>
          <w:u w:val="single"/>
        </w:rPr>
        <w:t>no concurran, sin excusa aceptada por la respectiva cámara,</w:t>
      </w:r>
      <w:r w:rsidRPr="008F2653">
        <w:rPr>
          <w:rFonts w:ascii="Arial Narrow" w:hAnsi="Arial Narrow"/>
          <w:b/>
          <w:bCs/>
          <w:sz w:val="24"/>
          <w:szCs w:val="24"/>
          <w:u w:val="single"/>
        </w:rPr>
        <w:t xml:space="preserve"> </w:t>
      </w:r>
      <w:r w:rsidR="00EB4E5D" w:rsidRPr="008F2653">
        <w:rPr>
          <w:rFonts w:ascii="Arial Narrow" w:hAnsi="Arial Narrow"/>
          <w:b/>
          <w:bCs/>
          <w:sz w:val="24"/>
          <w:szCs w:val="24"/>
          <w:u w:val="single"/>
        </w:rPr>
        <w:t>s</w:t>
      </w:r>
      <w:r w:rsidR="00EB4E5D" w:rsidRPr="00EB4E5D">
        <w:rPr>
          <w:rFonts w:ascii="Arial Narrow" w:hAnsi="Arial Narrow"/>
          <w:b/>
          <w:bCs/>
          <w:sz w:val="24"/>
          <w:szCs w:val="24"/>
          <w:u w:val="single"/>
        </w:rPr>
        <w:t>e compulsará copias a la Procuraduría General de la Nación para que adelante las investigaciones disciplinarias correspondientes</w:t>
      </w:r>
      <w:r w:rsidR="00EB4E5D">
        <w:rPr>
          <w:rFonts w:ascii="Arial Narrow" w:hAnsi="Arial Narrow"/>
          <w:b/>
          <w:bCs/>
          <w:sz w:val="24"/>
          <w:szCs w:val="24"/>
          <w:u w:val="single"/>
        </w:rPr>
        <w:t xml:space="preserve"> y la cámara podrá proponer una moción de observación al alcalde o gobernador</w:t>
      </w:r>
      <w:r w:rsidRPr="00EB4E5D">
        <w:rPr>
          <w:rFonts w:ascii="Arial Narrow" w:hAnsi="Arial Narrow"/>
          <w:b/>
          <w:bCs/>
          <w:sz w:val="24"/>
          <w:szCs w:val="24"/>
          <w:u w:val="single"/>
        </w:rPr>
        <w:t xml:space="preserve">. Los </w:t>
      </w:r>
      <w:r w:rsidR="00EB4E5D" w:rsidRPr="00EB4E5D">
        <w:rPr>
          <w:rFonts w:ascii="Arial Narrow" w:hAnsi="Arial Narrow"/>
          <w:b/>
          <w:bCs/>
          <w:sz w:val="24"/>
          <w:szCs w:val="24"/>
          <w:u w:val="single"/>
        </w:rPr>
        <w:t xml:space="preserve">gobernadores o alcaldes citados </w:t>
      </w:r>
      <w:r w:rsidRPr="00EB4E5D">
        <w:rPr>
          <w:rFonts w:ascii="Arial Narrow" w:hAnsi="Arial Narrow"/>
          <w:b/>
          <w:bCs/>
          <w:sz w:val="24"/>
          <w:szCs w:val="24"/>
          <w:u w:val="single"/>
        </w:rPr>
        <w:t>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1183CF62" w14:textId="488BDBDF" w:rsidR="00DC2A3F" w:rsidRDefault="00D80253" w:rsidP="00D80253">
      <w:pPr>
        <w:jc w:val="both"/>
        <w:rPr>
          <w:rFonts w:ascii="Arial Narrow" w:hAnsi="Arial Narrow"/>
          <w:sz w:val="24"/>
          <w:szCs w:val="24"/>
        </w:rPr>
      </w:pPr>
      <w:r w:rsidRPr="00D80253">
        <w:rPr>
          <w:rFonts w:ascii="Arial Narrow" w:hAnsi="Arial Narrow"/>
          <w:b/>
          <w:bCs/>
          <w:sz w:val="24"/>
          <w:szCs w:val="24"/>
        </w:rPr>
        <w:t xml:space="preserve">Artículo 2. </w:t>
      </w:r>
      <w:r>
        <w:rPr>
          <w:rFonts w:ascii="Arial Narrow" w:hAnsi="Arial Narrow"/>
          <w:sz w:val="24"/>
          <w:szCs w:val="24"/>
        </w:rPr>
        <w:t>Este acto legislativo rige desde su promulgación y deroga cualquier disposición contraria.</w:t>
      </w:r>
    </w:p>
    <w:p w14:paraId="65FB826F" w14:textId="4DA265C9" w:rsidR="005876DC" w:rsidRDefault="00DC2A3F" w:rsidP="00D80253">
      <w:pPr>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0EBB194A" w14:textId="77777777" w:rsidR="00DC2A3F" w:rsidRPr="00DC2A3F" w:rsidRDefault="005876DC" w:rsidP="00DC2A3F">
      <w:pPr>
        <w:rPr>
          <w:rFonts w:ascii="Arial Narrow" w:hAnsi="Arial Narrow"/>
          <w:b/>
          <w:bCs/>
          <w:sz w:val="20"/>
          <w:szCs w:val="20"/>
        </w:rPr>
      </w:pPr>
      <w:r w:rsidRPr="005876DC">
        <w:rPr>
          <w:rFonts w:ascii="Arial Narrow" w:hAnsi="Arial Narrow"/>
          <w:b/>
          <w:sz w:val="24"/>
          <w:szCs w:val="24"/>
        </w:rPr>
        <w:t>VÍCTOR MANUEL ORTIZ JOYA</w:t>
      </w:r>
      <w:r w:rsidR="00DC2A3F">
        <w:rPr>
          <w:rFonts w:ascii="Arial Narrow" w:hAnsi="Arial Narrow"/>
          <w:b/>
          <w:sz w:val="24"/>
          <w:szCs w:val="24"/>
        </w:rPr>
        <w:t xml:space="preserve">                            </w:t>
      </w:r>
      <w:r w:rsidR="00DC2A3F" w:rsidRPr="0099775A">
        <w:rPr>
          <w:rFonts w:ascii="Arial Narrow" w:hAnsi="Arial Narrow"/>
          <w:b/>
          <w:bCs/>
          <w:sz w:val="24"/>
          <w:szCs w:val="24"/>
        </w:rPr>
        <w:t>ALEJANDRO CARLOS CHACÓN CAMARGO</w:t>
      </w:r>
    </w:p>
    <w:p w14:paraId="180E139E" w14:textId="6C7E94A1" w:rsidR="005876DC" w:rsidRPr="005876DC" w:rsidRDefault="00DC2A3F" w:rsidP="00DC2A3F">
      <w:pPr>
        <w:rPr>
          <w:rFonts w:ascii="Arial Narrow" w:hAnsi="Arial Narrow"/>
          <w:b/>
          <w:sz w:val="24"/>
          <w:szCs w:val="24"/>
        </w:rPr>
      </w:pPr>
      <w:r w:rsidRPr="00DC2A3F">
        <w:rPr>
          <w:rFonts w:ascii="Arial Narrow" w:hAnsi="Arial Narrow"/>
          <w:sz w:val="20"/>
          <w:szCs w:val="20"/>
        </w:rPr>
        <w:t>Re</w:t>
      </w:r>
      <w:r w:rsidR="005C7533">
        <w:rPr>
          <w:rFonts w:ascii="Arial Narrow" w:hAnsi="Arial Narrow"/>
          <w:sz w:val="20"/>
          <w:szCs w:val="20"/>
        </w:rPr>
        <w:t xml:space="preserve">presentante a la Cámara por </w:t>
      </w:r>
      <w:r w:rsidRPr="00DC2A3F">
        <w:rPr>
          <w:rFonts w:ascii="Arial Narrow" w:hAnsi="Arial Narrow"/>
          <w:sz w:val="20"/>
          <w:szCs w:val="20"/>
        </w:rPr>
        <w:t xml:space="preserve"> Santander</w:t>
      </w:r>
      <w:r>
        <w:rPr>
          <w:rFonts w:ascii="Arial Narrow" w:hAnsi="Arial Narrow"/>
          <w:sz w:val="20"/>
          <w:szCs w:val="20"/>
        </w:rPr>
        <w:t xml:space="preserve">                  </w:t>
      </w:r>
      <w:r w:rsidR="005C7533">
        <w:rPr>
          <w:rFonts w:ascii="Arial Narrow" w:hAnsi="Arial Narrow"/>
          <w:sz w:val="20"/>
          <w:szCs w:val="20"/>
        </w:rPr>
        <w:t xml:space="preserve">         </w:t>
      </w:r>
      <w:r>
        <w:rPr>
          <w:rFonts w:ascii="Arial Narrow" w:hAnsi="Arial Narrow"/>
          <w:sz w:val="20"/>
          <w:szCs w:val="20"/>
        </w:rPr>
        <w:t xml:space="preserve">  </w:t>
      </w:r>
      <w:r w:rsidRPr="00DC2A3F">
        <w:rPr>
          <w:rFonts w:ascii="Arial Narrow" w:hAnsi="Arial Narrow"/>
          <w:sz w:val="20"/>
          <w:szCs w:val="20"/>
        </w:rPr>
        <w:t xml:space="preserve">Representante a </w:t>
      </w:r>
      <w:r w:rsidR="005C7533">
        <w:rPr>
          <w:rFonts w:ascii="Arial Narrow" w:hAnsi="Arial Narrow"/>
          <w:sz w:val="20"/>
          <w:szCs w:val="20"/>
        </w:rPr>
        <w:t xml:space="preserve">la Cámara  Norte de </w:t>
      </w:r>
      <w:r w:rsidRPr="00DC2A3F">
        <w:rPr>
          <w:rFonts w:ascii="Arial Narrow" w:hAnsi="Arial Narrow"/>
          <w:sz w:val="20"/>
          <w:szCs w:val="20"/>
        </w:rPr>
        <w:t xml:space="preserve"> Santander</w:t>
      </w:r>
      <w:r>
        <w:rPr>
          <w:rFonts w:ascii="Arial Narrow" w:hAnsi="Arial Narrow"/>
          <w:b/>
          <w:sz w:val="24"/>
          <w:szCs w:val="24"/>
        </w:rPr>
        <w:t xml:space="preserve">                </w:t>
      </w:r>
    </w:p>
    <w:p w14:paraId="51FF0019" w14:textId="1F7D6C86" w:rsidR="00077F42" w:rsidRDefault="005876DC" w:rsidP="0099775A">
      <w:pPr>
        <w:rPr>
          <w:rFonts w:ascii="Arial Narrow" w:eastAsia="Arial Narrow" w:hAnsi="Arial Narrow" w:cs="Arial Narrow"/>
          <w:color w:val="000000"/>
          <w:sz w:val="24"/>
          <w:szCs w:val="24"/>
        </w:rPr>
      </w:pPr>
      <w:r>
        <w:rPr>
          <w:rFonts w:ascii="Arial Narrow" w:hAnsi="Arial Narrow"/>
          <w:sz w:val="24"/>
          <w:szCs w:val="24"/>
        </w:rPr>
        <w:t>.</w:t>
      </w:r>
    </w:p>
    <w:p w14:paraId="3EB39D44" w14:textId="0FEBBD96" w:rsidR="00077F42" w:rsidRPr="00B94EBB" w:rsidRDefault="00942AB7" w:rsidP="00077F42">
      <w:pPr>
        <w:spacing w:after="0" w:line="240" w:lineRule="auto"/>
        <w:rPr>
          <w:rFonts w:ascii="Arial" w:eastAsia="Arial" w:hAnsi="Arial" w:cs="Arial"/>
          <w:b/>
          <w:sz w:val="24"/>
          <w:szCs w:val="24"/>
        </w:rPr>
      </w:pPr>
      <w:r w:rsidRPr="00B94EBB">
        <w:rPr>
          <w:rFonts w:ascii="Arial" w:eastAsia="Arial" w:hAnsi="Arial" w:cs="Arial"/>
          <w:b/>
          <w:bCs/>
          <w:sz w:val="24"/>
          <w:szCs w:val="24"/>
        </w:rPr>
        <w:t xml:space="preserve">ANGEL MARIA GAITAN PULIDO  </w:t>
      </w:r>
      <w:r w:rsidR="00A23F3A">
        <w:rPr>
          <w:rFonts w:ascii="Arial" w:eastAsia="Arial" w:hAnsi="Arial" w:cs="Arial"/>
          <w:b/>
          <w:sz w:val="24"/>
          <w:szCs w:val="24"/>
        </w:rPr>
        <w:t xml:space="preserve">        </w:t>
      </w:r>
      <w:r w:rsidR="00F056D7" w:rsidRPr="00B94EBB">
        <w:rPr>
          <w:rFonts w:ascii="Arial" w:eastAsia="Arial" w:hAnsi="Arial" w:cs="Arial"/>
          <w:b/>
          <w:sz w:val="24"/>
          <w:szCs w:val="24"/>
        </w:rPr>
        <w:t xml:space="preserve">KELYN JOHANA GONZÁLEZ </w:t>
      </w:r>
    </w:p>
    <w:p w14:paraId="0BA51FE9" w14:textId="77777777" w:rsidR="00077F42" w:rsidRDefault="00077F42" w:rsidP="00077F42">
      <w:pPr>
        <w:spacing w:after="0" w:line="240" w:lineRule="auto"/>
        <w:rPr>
          <w:rFonts w:ascii="Arial" w:eastAsia="Arial" w:hAnsi="Arial" w:cs="Arial"/>
        </w:rPr>
      </w:pPr>
    </w:p>
    <w:p w14:paraId="58C5D7D4" w14:textId="01081B04" w:rsidR="00077F42" w:rsidRPr="00F056D7" w:rsidRDefault="00942AB7" w:rsidP="00077F42">
      <w:pPr>
        <w:rPr>
          <w:rFonts w:ascii="Arial" w:eastAsia="Arial" w:hAnsi="Arial" w:cs="Arial"/>
          <w:sz w:val="20"/>
          <w:szCs w:val="20"/>
        </w:rPr>
      </w:pPr>
      <w:r w:rsidRPr="00F056D7">
        <w:rPr>
          <w:rFonts w:ascii="Arial" w:eastAsia="Arial" w:hAnsi="Arial" w:cs="Arial"/>
          <w:sz w:val="20"/>
          <w:szCs w:val="20"/>
        </w:rPr>
        <w:t>Representante a la Cámara por Tolima</w:t>
      </w:r>
      <w:r w:rsidR="00F056D7" w:rsidRPr="00F056D7">
        <w:rPr>
          <w:rFonts w:ascii="Arial" w:eastAsia="Arial" w:hAnsi="Arial" w:cs="Arial"/>
          <w:sz w:val="20"/>
          <w:szCs w:val="20"/>
        </w:rPr>
        <w:tab/>
      </w:r>
      <w:r w:rsidR="00F056D7" w:rsidRPr="00F056D7">
        <w:rPr>
          <w:rFonts w:ascii="Arial" w:eastAsia="Arial" w:hAnsi="Arial" w:cs="Arial"/>
          <w:sz w:val="20"/>
          <w:szCs w:val="20"/>
        </w:rPr>
        <w:tab/>
        <w:t>Representante a la Cámara  por Magdalena</w:t>
      </w:r>
    </w:p>
    <w:p w14:paraId="38F5C3F9" w14:textId="64CC8F91" w:rsidR="00077F42" w:rsidRDefault="00077F42" w:rsidP="00077F42">
      <w:pPr>
        <w:rPr>
          <w:rFonts w:ascii="Arial" w:eastAsia="Arial" w:hAnsi="Arial" w:cs="Arial"/>
          <w:sz w:val="24"/>
          <w:szCs w:val="24"/>
        </w:rPr>
      </w:pPr>
    </w:p>
    <w:p w14:paraId="37F4E7F7" w14:textId="3F97DF20" w:rsidR="00F056D7" w:rsidRPr="00F056D7" w:rsidRDefault="00F056D7" w:rsidP="00F056D7">
      <w:pPr>
        <w:rPr>
          <w:rFonts w:ascii="Arial Narrow" w:hAnsi="Arial Narrow"/>
          <w:b/>
          <w:sz w:val="24"/>
          <w:szCs w:val="24"/>
        </w:rPr>
      </w:pPr>
      <w:r w:rsidRPr="00F056D7">
        <w:rPr>
          <w:rFonts w:ascii="Arial Narrow" w:hAnsi="Arial Narrow"/>
          <w:b/>
          <w:sz w:val="24"/>
          <w:szCs w:val="24"/>
        </w:rPr>
        <w:t>JUAN FERNANDO REYES KURI</w:t>
      </w:r>
      <w:r w:rsidR="00A23F3A">
        <w:rPr>
          <w:rFonts w:ascii="Arial Narrow" w:hAnsi="Arial Narrow"/>
          <w:b/>
          <w:sz w:val="24"/>
          <w:szCs w:val="24"/>
        </w:rPr>
        <w:tab/>
      </w:r>
      <w:r w:rsidR="00A23F3A">
        <w:rPr>
          <w:rFonts w:ascii="Arial Narrow" w:hAnsi="Arial Narrow"/>
          <w:b/>
          <w:sz w:val="24"/>
          <w:szCs w:val="24"/>
        </w:rPr>
        <w:tab/>
      </w:r>
      <w:r w:rsidR="00B94EBB" w:rsidRPr="00B94EBB">
        <w:rPr>
          <w:rFonts w:ascii="Arial" w:eastAsia="Arial" w:hAnsi="Arial" w:cs="Arial"/>
          <w:b/>
          <w:sz w:val="24"/>
          <w:szCs w:val="24"/>
        </w:rPr>
        <w:t>ELIZABETH JAY- PANG DIAZ</w:t>
      </w:r>
    </w:p>
    <w:p w14:paraId="1D105E9A" w14:textId="7D17B836" w:rsidR="00B94EBB" w:rsidRDefault="00F056D7" w:rsidP="00B94EBB">
      <w:pPr>
        <w:spacing w:after="0" w:line="240" w:lineRule="auto"/>
        <w:rPr>
          <w:rFonts w:ascii="Arial" w:eastAsia="Arial" w:hAnsi="Arial" w:cs="Arial"/>
          <w:sz w:val="20"/>
          <w:szCs w:val="20"/>
        </w:rPr>
      </w:pPr>
      <w:r w:rsidRPr="00B94EBB">
        <w:rPr>
          <w:rFonts w:ascii="Arial" w:eastAsia="Arial" w:hAnsi="Arial" w:cs="Arial"/>
          <w:sz w:val="18"/>
          <w:szCs w:val="18"/>
        </w:rPr>
        <w:t>Representante a la Cámara por el Valle del Cauca</w:t>
      </w:r>
      <w:r w:rsidR="00A23F3A">
        <w:rPr>
          <w:rFonts w:ascii="Arial" w:eastAsia="Arial" w:hAnsi="Arial" w:cs="Arial"/>
          <w:sz w:val="18"/>
          <w:szCs w:val="18"/>
        </w:rPr>
        <w:t xml:space="preserve">      </w:t>
      </w:r>
      <w:r w:rsidR="00B94EBB" w:rsidRPr="00B94EBB">
        <w:rPr>
          <w:rFonts w:ascii="Arial" w:eastAsia="Arial" w:hAnsi="Arial" w:cs="Arial"/>
          <w:sz w:val="18"/>
          <w:szCs w:val="18"/>
        </w:rPr>
        <w:t xml:space="preserve">Representante a la Cámara San  por </w:t>
      </w:r>
      <w:r w:rsidR="00B94EBB">
        <w:rPr>
          <w:rFonts w:ascii="Arial" w:eastAsia="Arial" w:hAnsi="Arial" w:cs="Arial"/>
          <w:sz w:val="20"/>
          <w:szCs w:val="20"/>
        </w:rPr>
        <w:t xml:space="preserve">Andrés </w:t>
      </w:r>
    </w:p>
    <w:p w14:paraId="0DB05F77" w14:textId="77777777" w:rsidR="003F5993" w:rsidRDefault="003F5993" w:rsidP="00B94EBB">
      <w:pPr>
        <w:spacing w:after="0" w:line="240" w:lineRule="auto"/>
        <w:rPr>
          <w:rFonts w:ascii="Arial" w:eastAsia="Arial" w:hAnsi="Arial" w:cs="Arial"/>
          <w:sz w:val="20"/>
          <w:szCs w:val="20"/>
        </w:rPr>
      </w:pPr>
    </w:p>
    <w:p w14:paraId="424B2029" w14:textId="77777777" w:rsidR="003F5993" w:rsidRDefault="003F5993" w:rsidP="00B94EBB">
      <w:pPr>
        <w:spacing w:after="0" w:line="240" w:lineRule="auto"/>
        <w:rPr>
          <w:rFonts w:ascii="Arial" w:eastAsia="Arial" w:hAnsi="Arial" w:cs="Arial"/>
          <w:sz w:val="20"/>
          <w:szCs w:val="20"/>
        </w:rPr>
      </w:pPr>
    </w:p>
    <w:p w14:paraId="14DDC44E" w14:textId="531D6842" w:rsidR="00594496" w:rsidRDefault="003F5993" w:rsidP="0034601D">
      <w:pPr>
        <w:rPr>
          <w:rFonts w:ascii="Arial" w:eastAsia="Arial" w:hAnsi="Arial" w:cs="Arial"/>
          <w:b/>
          <w:bCs/>
        </w:rPr>
      </w:pPr>
      <w:r w:rsidRPr="00614106">
        <w:rPr>
          <w:rFonts w:ascii="Arial" w:eastAsia="Arial" w:hAnsi="Arial" w:cs="Arial"/>
          <w:b/>
          <w:bCs/>
          <w:sz w:val="24"/>
          <w:szCs w:val="24"/>
        </w:rPr>
        <w:t>HENRY FERNANDO CORREAL</w:t>
      </w:r>
      <w:r w:rsidR="0034601D">
        <w:rPr>
          <w:rFonts w:ascii="Arial" w:eastAsia="Arial" w:hAnsi="Arial" w:cs="Arial"/>
          <w:b/>
          <w:bCs/>
          <w:sz w:val="24"/>
          <w:szCs w:val="24"/>
        </w:rPr>
        <w:t xml:space="preserve"> </w:t>
      </w:r>
      <w:r w:rsidRPr="00614106">
        <w:rPr>
          <w:rFonts w:ascii="Arial" w:eastAsia="Arial" w:hAnsi="Arial" w:cs="Arial"/>
          <w:b/>
          <w:bCs/>
          <w:sz w:val="24"/>
          <w:szCs w:val="24"/>
        </w:rPr>
        <w:t xml:space="preserve"> </w:t>
      </w:r>
      <w:r w:rsidR="00CF0B5F">
        <w:rPr>
          <w:rFonts w:ascii="Arial" w:eastAsia="Arial" w:hAnsi="Arial" w:cs="Arial"/>
          <w:b/>
          <w:bCs/>
          <w:sz w:val="24"/>
          <w:szCs w:val="24"/>
        </w:rPr>
        <w:t xml:space="preserve">       </w:t>
      </w:r>
      <w:r w:rsidR="00594496">
        <w:rPr>
          <w:rFonts w:ascii="Arial" w:eastAsia="Arial" w:hAnsi="Arial" w:cs="Arial"/>
          <w:b/>
          <w:bCs/>
        </w:rPr>
        <w:t>EDGAR ALFONSO GÓMEZ ROMÁ</w:t>
      </w:r>
      <w:r w:rsidR="005C7533">
        <w:rPr>
          <w:rFonts w:ascii="Arial" w:eastAsia="Arial" w:hAnsi="Arial" w:cs="Arial"/>
          <w:b/>
          <w:bCs/>
        </w:rPr>
        <w:t>N</w:t>
      </w:r>
    </w:p>
    <w:p w14:paraId="2C2DDC50" w14:textId="1AC0B1F7" w:rsidR="0034601D" w:rsidRPr="00594496" w:rsidRDefault="003F5993" w:rsidP="0034601D">
      <w:pPr>
        <w:rPr>
          <w:rFonts w:ascii="Arial" w:eastAsia="Arial" w:hAnsi="Arial" w:cs="Arial"/>
          <w:b/>
          <w:bCs/>
          <w:sz w:val="24"/>
          <w:szCs w:val="24"/>
        </w:rPr>
      </w:pPr>
      <w:r w:rsidRPr="00B94EBB">
        <w:rPr>
          <w:rFonts w:ascii="Arial" w:eastAsia="Arial" w:hAnsi="Arial" w:cs="Arial"/>
          <w:sz w:val="18"/>
          <w:szCs w:val="18"/>
        </w:rPr>
        <w:t xml:space="preserve">Representante a </w:t>
      </w:r>
      <w:r>
        <w:rPr>
          <w:rFonts w:ascii="Arial" w:eastAsia="Arial" w:hAnsi="Arial" w:cs="Arial"/>
          <w:sz w:val="18"/>
          <w:szCs w:val="18"/>
        </w:rPr>
        <w:t xml:space="preserve">la Cámara por el </w:t>
      </w:r>
      <w:r w:rsidR="00B45106">
        <w:rPr>
          <w:rFonts w:ascii="Arial" w:eastAsia="Arial" w:hAnsi="Arial" w:cs="Arial"/>
          <w:sz w:val="18"/>
          <w:szCs w:val="18"/>
        </w:rPr>
        <w:t>Vaupés</w:t>
      </w:r>
      <w:r w:rsidR="0034601D">
        <w:rPr>
          <w:rFonts w:ascii="Arial" w:eastAsia="Arial" w:hAnsi="Arial" w:cs="Arial"/>
          <w:sz w:val="18"/>
          <w:szCs w:val="18"/>
        </w:rPr>
        <w:t xml:space="preserve"> </w:t>
      </w:r>
      <w:r w:rsidR="00CF0B5F">
        <w:rPr>
          <w:rFonts w:ascii="Arial" w:eastAsia="Arial" w:hAnsi="Arial" w:cs="Arial"/>
          <w:sz w:val="18"/>
          <w:szCs w:val="18"/>
        </w:rPr>
        <w:t xml:space="preserve">             </w:t>
      </w:r>
      <w:r w:rsidR="0034601D">
        <w:rPr>
          <w:rFonts w:ascii="Arial" w:eastAsia="Arial" w:hAnsi="Arial" w:cs="Arial"/>
          <w:sz w:val="18"/>
          <w:szCs w:val="18"/>
        </w:rPr>
        <w:t xml:space="preserve"> </w:t>
      </w:r>
      <w:r w:rsidR="0034601D" w:rsidRPr="00B94EBB">
        <w:rPr>
          <w:rFonts w:ascii="Arial" w:eastAsia="Arial" w:hAnsi="Arial" w:cs="Arial"/>
          <w:sz w:val="18"/>
          <w:szCs w:val="18"/>
        </w:rPr>
        <w:t xml:space="preserve">Representante a </w:t>
      </w:r>
      <w:r w:rsidR="00CF0B5F">
        <w:rPr>
          <w:rFonts w:ascii="Arial" w:eastAsia="Arial" w:hAnsi="Arial" w:cs="Arial"/>
          <w:sz w:val="18"/>
          <w:szCs w:val="18"/>
        </w:rPr>
        <w:t>la Cámara por  Santander.</w:t>
      </w:r>
    </w:p>
    <w:p w14:paraId="0D5A4E69" w14:textId="2CFDC3C3" w:rsidR="007443D1" w:rsidRDefault="007443D1" w:rsidP="0034601D">
      <w:pPr>
        <w:rPr>
          <w:rFonts w:ascii="Arial" w:eastAsia="Arial" w:hAnsi="Arial" w:cs="Arial"/>
          <w:sz w:val="18"/>
          <w:szCs w:val="18"/>
        </w:rPr>
      </w:pPr>
    </w:p>
    <w:p w14:paraId="73EAC29A" w14:textId="1559C941" w:rsidR="007443D1" w:rsidRPr="007443D1" w:rsidRDefault="007443D1" w:rsidP="0034601D">
      <w:pPr>
        <w:rPr>
          <w:rFonts w:ascii="Arial" w:eastAsia="Arial" w:hAnsi="Arial" w:cs="Arial"/>
          <w:sz w:val="18"/>
          <w:szCs w:val="18"/>
        </w:rPr>
      </w:pPr>
      <w:r w:rsidRPr="00836DFA">
        <w:rPr>
          <w:rFonts w:ascii="Arial" w:eastAsia="Arial" w:hAnsi="Arial" w:cs="Arial"/>
          <w:b/>
          <w:sz w:val="24"/>
          <w:szCs w:val="24"/>
        </w:rPr>
        <w:t>FABIO FERNANDO ARROYAVE</w:t>
      </w:r>
      <w:r w:rsidR="003565B2">
        <w:rPr>
          <w:rFonts w:ascii="Arial" w:eastAsia="Arial" w:hAnsi="Arial" w:cs="Arial"/>
          <w:b/>
          <w:sz w:val="24"/>
          <w:szCs w:val="24"/>
        </w:rPr>
        <w:tab/>
      </w:r>
      <w:r w:rsidR="009937F4">
        <w:rPr>
          <w:rFonts w:ascii="Arial" w:eastAsia="Arial" w:hAnsi="Arial" w:cs="Arial"/>
          <w:b/>
          <w:sz w:val="24"/>
          <w:szCs w:val="24"/>
        </w:rPr>
        <w:t>NILTON CORDOBA MANYOMA</w:t>
      </w:r>
    </w:p>
    <w:p w14:paraId="733B21B5" w14:textId="5F1E7A76" w:rsidR="009937F4" w:rsidRDefault="007443D1" w:rsidP="009937F4">
      <w:pPr>
        <w:rPr>
          <w:rFonts w:ascii="Arial" w:eastAsia="Arial" w:hAnsi="Arial" w:cs="Arial"/>
          <w:b/>
          <w:sz w:val="24"/>
          <w:szCs w:val="24"/>
        </w:rPr>
      </w:pPr>
      <w:r w:rsidRPr="00B94EBB">
        <w:rPr>
          <w:rFonts w:ascii="Arial" w:eastAsia="Arial" w:hAnsi="Arial" w:cs="Arial"/>
          <w:sz w:val="18"/>
          <w:szCs w:val="18"/>
        </w:rPr>
        <w:t xml:space="preserve">Representante a </w:t>
      </w:r>
      <w:r>
        <w:rPr>
          <w:rFonts w:ascii="Arial" w:eastAsia="Arial" w:hAnsi="Arial" w:cs="Arial"/>
          <w:sz w:val="18"/>
          <w:szCs w:val="18"/>
        </w:rPr>
        <w:t>la Cámara por el Valle del Cauca</w:t>
      </w:r>
      <w:r w:rsidR="009937F4" w:rsidRPr="009937F4">
        <w:rPr>
          <w:rFonts w:ascii="Arial" w:eastAsia="Arial" w:hAnsi="Arial" w:cs="Arial"/>
          <w:sz w:val="18"/>
          <w:szCs w:val="18"/>
        </w:rPr>
        <w:t xml:space="preserve"> </w:t>
      </w:r>
      <w:r w:rsidR="009937F4">
        <w:rPr>
          <w:rFonts w:ascii="Arial" w:eastAsia="Arial" w:hAnsi="Arial" w:cs="Arial"/>
          <w:sz w:val="18"/>
          <w:szCs w:val="18"/>
        </w:rPr>
        <w:t xml:space="preserve">     </w:t>
      </w:r>
      <w:r w:rsidR="009937F4" w:rsidRPr="00B94EBB">
        <w:rPr>
          <w:rFonts w:ascii="Arial" w:eastAsia="Arial" w:hAnsi="Arial" w:cs="Arial"/>
          <w:sz w:val="18"/>
          <w:szCs w:val="18"/>
        </w:rPr>
        <w:t xml:space="preserve">Representante a </w:t>
      </w:r>
      <w:r w:rsidR="009937F4">
        <w:rPr>
          <w:rFonts w:ascii="Arial" w:eastAsia="Arial" w:hAnsi="Arial" w:cs="Arial"/>
          <w:sz w:val="18"/>
          <w:szCs w:val="18"/>
        </w:rPr>
        <w:t>la Cámara por el Chocó</w:t>
      </w:r>
    </w:p>
    <w:p w14:paraId="2B62CEBD" w14:textId="1972C6B7" w:rsidR="00F056D7" w:rsidRDefault="00F056D7" w:rsidP="00F056D7">
      <w:pPr>
        <w:rPr>
          <w:rFonts w:ascii="Arial Narrow" w:hAnsi="Arial Narrow"/>
          <w:sz w:val="24"/>
          <w:szCs w:val="24"/>
        </w:rPr>
      </w:pPr>
    </w:p>
    <w:p w14:paraId="371B8487" w14:textId="77777777" w:rsidR="00F056D7" w:rsidRDefault="00F056D7" w:rsidP="0099775A">
      <w:pPr>
        <w:rPr>
          <w:rFonts w:ascii="Arial Narrow" w:hAnsi="Arial Narrow"/>
          <w:sz w:val="24"/>
          <w:szCs w:val="24"/>
        </w:rPr>
      </w:pPr>
    </w:p>
    <w:p w14:paraId="1202E52F" w14:textId="77777777" w:rsidR="00A23F3A" w:rsidRDefault="00A23F3A" w:rsidP="0099775A">
      <w:pPr>
        <w:rPr>
          <w:rFonts w:ascii="Arial Narrow" w:hAnsi="Arial Narrow"/>
          <w:sz w:val="24"/>
          <w:szCs w:val="24"/>
        </w:rPr>
      </w:pPr>
    </w:p>
    <w:p w14:paraId="64FF237A" w14:textId="787242FB" w:rsidR="00955137" w:rsidRPr="00594496" w:rsidRDefault="00955137" w:rsidP="00240967">
      <w:pPr>
        <w:jc w:val="center"/>
        <w:rPr>
          <w:rFonts w:ascii="Arial Narrow" w:hAnsi="Arial Narrow"/>
          <w:b/>
          <w:bCs/>
          <w:sz w:val="28"/>
          <w:szCs w:val="28"/>
        </w:rPr>
      </w:pPr>
      <w:r w:rsidRPr="00594496">
        <w:rPr>
          <w:rFonts w:ascii="Arial Narrow" w:hAnsi="Arial Narrow"/>
          <w:b/>
          <w:bCs/>
          <w:sz w:val="28"/>
          <w:szCs w:val="28"/>
        </w:rPr>
        <w:t>EXPOSICIÓN DE MOTIVOS PROYECTO DE ACTO LEGISLATIVO NO. ___</w:t>
      </w:r>
    </w:p>
    <w:p w14:paraId="2B00F6AF" w14:textId="528093CA" w:rsidR="00955137" w:rsidRPr="00594496" w:rsidRDefault="00955137" w:rsidP="00955137">
      <w:pPr>
        <w:jc w:val="center"/>
        <w:rPr>
          <w:rFonts w:ascii="Arial Narrow" w:hAnsi="Arial Narrow"/>
          <w:b/>
          <w:bCs/>
          <w:sz w:val="28"/>
          <w:szCs w:val="28"/>
        </w:rPr>
      </w:pPr>
      <w:r w:rsidRPr="00594496">
        <w:rPr>
          <w:rFonts w:ascii="Arial Narrow" w:hAnsi="Arial Narrow"/>
          <w:b/>
          <w:bCs/>
          <w:sz w:val="28"/>
          <w:szCs w:val="28"/>
        </w:rPr>
        <w:t>POR MEDIO DEL CUAL SE MODIFICA LAS FUNCIONES DE CONTROL POLÍTICO DEL CONGRESO DE LA REPÚBLICA</w:t>
      </w:r>
    </w:p>
    <w:p w14:paraId="207B4AB3" w14:textId="77777777" w:rsidR="00594496" w:rsidRDefault="00594496" w:rsidP="00955137">
      <w:pPr>
        <w:jc w:val="center"/>
        <w:rPr>
          <w:rFonts w:ascii="Arial Narrow" w:hAnsi="Arial Narrow"/>
          <w:b/>
          <w:bCs/>
          <w:sz w:val="24"/>
          <w:szCs w:val="24"/>
        </w:rPr>
      </w:pPr>
    </w:p>
    <w:p w14:paraId="446F9F54" w14:textId="77777777" w:rsidR="00955137" w:rsidRDefault="00955137" w:rsidP="00955137">
      <w:pPr>
        <w:rPr>
          <w:rFonts w:ascii="Arial Narrow" w:hAnsi="Arial Narrow"/>
          <w:b/>
          <w:bCs/>
          <w:sz w:val="24"/>
          <w:szCs w:val="24"/>
        </w:rPr>
      </w:pPr>
      <w:r>
        <w:rPr>
          <w:rFonts w:ascii="Arial Narrow" w:hAnsi="Arial Narrow"/>
          <w:b/>
          <w:bCs/>
          <w:sz w:val="24"/>
          <w:szCs w:val="24"/>
        </w:rPr>
        <w:t>Objeto del Proyecto:</w:t>
      </w:r>
    </w:p>
    <w:p w14:paraId="094034A2" w14:textId="77777777" w:rsidR="00955137" w:rsidRDefault="00955137" w:rsidP="00955137">
      <w:pPr>
        <w:jc w:val="both"/>
        <w:rPr>
          <w:rFonts w:ascii="Arial Narrow" w:hAnsi="Arial Narrow"/>
          <w:sz w:val="24"/>
          <w:szCs w:val="24"/>
        </w:rPr>
      </w:pPr>
      <w:r>
        <w:rPr>
          <w:rFonts w:ascii="Arial Narrow" w:hAnsi="Arial Narrow"/>
          <w:sz w:val="24"/>
          <w:szCs w:val="24"/>
        </w:rPr>
        <w:t>Este proyecto de acto legislativo tiene como objetivo crear dentro de la Constitución de 1991 la facultad al Congreso de la República de citar a Control Político a alcaldes y gobernadores, disposición ya consagrada por el Auto 080 de 1998 y la Sentencia C-518/07.</w:t>
      </w:r>
    </w:p>
    <w:p w14:paraId="7F2FD987" w14:textId="77777777" w:rsidR="00955137" w:rsidRDefault="00955137" w:rsidP="00955137">
      <w:pPr>
        <w:rPr>
          <w:rFonts w:ascii="Arial Narrow" w:hAnsi="Arial Narrow"/>
          <w:b/>
          <w:bCs/>
          <w:sz w:val="24"/>
          <w:szCs w:val="24"/>
        </w:rPr>
      </w:pPr>
      <w:r>
        <w:rPr>
          <w:rFonts w:ascii="Arial Narrow" w:hAnsi="Arial Narrow"/>
          <w:b/>
          <w:bCs/>
          <w:sz w:val="24"/>
          <w:szCs w:val="24"/>
        </w:rPr>
        <w:t>Constitución de 1991:</w:t>
      </w:r>
    </w:p>
    <w:p w14:paraId="69B91676" w14:textId="77777777" w:rsidR="00955137" w:rsidRDefault="00955137" w:rsidP="00955137">
      <w:pPr>
        <w:jc w:val="both"/>
        <w:rPr>
          <w:rFonts w:ascii="Arial Narrow" w:hAnsi="Arial Narrow"/>
          <w:sz w:val="24"/>
          <w:szCs w:val="24"/>
        </w:rPr>
      </w:pPr>
      <w:r>
        <w:rPr>
          <w:rFonts w:ascii="Arial Narrow" w:hAnsi="Arial Narrow"/>
          <w:sz w:val="24"/>
          <w:szCs w:val="24"/>
        </w:rPr>
        <w:t>Se podría afirmar que una de las banderas de los constituyentes a la hora de reglamentar las funciones del congreso de la república fue cambiar la relación congreso ejecutivo. Fue la intención de la asamblea fortalecer el control político y marcar un congreso mas robusto que el que recibía el país con la constitución de 1886. Así lo ha manifestado la corte:</w:t>
      </w:r>
    </w:p>
    <w:p w14:paraId="7C9FA7F9" w14:textId="77777777" w:rsidR="00955137" w:rsidRDefault="00955137" w:rsidP="00955137">
      <w:pPr>
        <w:ind w:left="708"/>
        <w:jc w:val="both"/>
        <w:rPr>
          <w:rFonts w:ascii="Arial Narrow" w:hAnsi="Arial Narrow"/>
          <w:sz w:val="24"/>
          <w:szCs w:val="24"/>
        </w:rPr>
      </w:pPr>
      <w:r>
        <w:rPr>
          <w:rFonts w:ascii="Arial Narrow" w:hAnsi="Arial Narrow"/>
          <w:sz w:val="24"/>
          <w:szCs w:val="24"/>
        </w:rPr>
        <w:t>Como se estableció anteriormente, el Constituyente de 1991 introdujo diversas modificaciones al régimen de control político que el órgano legislativo puede ejercer sobre los actos de la 4administración. Sobre el particular, cabe advertir que la Carta Política que rige ahora a los colombianos mantuvo el esquema de vigilancia descrito con anterioridad, principalmente a partir de la atribución que el artículo 114 de la Constitución le otorga al Congreso para </w:t>
      </w:r>
      <w:r>
        <w:rPr>
          <w:rFonts w:ascii="Arial Narrow" w:hAnsi="Arial Narrow"/>
          <w:i/>
          <w:iCs/>
          <w:sz w:val="24"/>
          <w:szCs w:val="24"/>
        </w:rPr>
        <w:t>"ejercer el control político sobre el gobierno y la administración". </w:t>
      </w:r>
      <w:r>
        <w:rPr>
          <w:rFonts w:ascii="Arial Narrow" w:hAnsi="Arial Narrow"/>
          <w:sz w:val="24"/>
          <w:szCs w:val="24"/>
        </w:rPr>
        <w:t>Con todo, debe agregarse que también se introdujeron algunas figuras jurídicas que modificaron sustancialmente las relaciones Congreso-Gobierno dentro del esquema constitucional colombiano.</w:t>
      </w:r>
      <w:r>
        <w:rPr>
          <w:rStyle w:val="Refdenotaalpie"/>
          <w:rFonts w:ascii="Arial Narrow" w:hAnsi="Arial Narrow"/>
          <w:sz w:val="24"/>
          <w:szCs w:val="24"/>
        </w:rPr>
        <w:footnoteReference w:id="1"/>
      </w:r>
    </w:p>
    <w:p w14:paraId="13FBE602" w14:textId="77777777" w:rsidR="00955137" w:rsidRDefault="00955137" w:rsidP="00955137">
      <w:pPr>
        <w:jc w:val="both"/>
        <w:rPr>
          <w:rFonts w:ascii="Arial Narrow" w:hAnsi="Arial Narrow"/>
          <w:sz w:val="24"/>
          <w:szCs w:val="24"/>
        </w:rPr>
      </w:pPr>
      <w:r>
        <w:rPr>
          <w:rFonts w:ascii="Arial Narrow" w:hAnsi="Arial Narrow"/>
          <w:sz w:val="24"/>
          <w:szCs w:val="24"/>
        </w:rPr>
        <w:t>Esta ampliación de facultades se pude observar dentro de medidas que pensó el constituyente como la ampliación de solicitud de informes:</w:t>
      </w:r>
    </w:p>
    <w:p w14:paraId="41B39997" w14:textId="77777777" w:rsidR="00955137" w:rsidRDefault="00955137" w:rsidP="00955137">
      <w:pPr>
        <w:ind w:left="708"/>
        <w:jc w:val="both"/>
        <w:rPr>
          <w:rFonts w:ascii="Arial Narrow" w:hAnsi="Arial Narrow"/>
          <w:sz w:val="24"/>
          <w:szCs w:val="24"/>
        </w:rPr>
      </w:pPr>
      <w:r>
        <w:rPr>
          <w:rFonts w:ascii="Arial Narrow" w:hAnsi="Arial Narrow"/>
          <w:sz w:val="24"/>
          <w:szCs w:val="24"/>
        </w:rPr>
        <w:t>La Constitución Política amplió la órbita del Congreso de la República respecto de la facultad para solicitar a determinados funcionarios públicos la presentación de informes relacionados con el desempeño de su gestión. Por ello, el numeral tercero del artículo 135 superior, establece como facultad de cada Cámara, la de solicitar al Gobierno los informes que solicite, salvo que se trate de instrucciones en materia diplomática o de negocios de carácter reservado. </w:t>
      </w:r>
      <w:r>
        <w:rPr>
          <w:rStyle w:val="Refdenotaalpie"/>
          <w:rFonts w:ascii="Arial Narrow" w:hAnsi="Arial Narrow"/>
          <w:sz w:val="24"/>
          <w:szCs w:val="24"/>
        </w:rPr>
        <w:footnoteReference w:id="2"/>
      </w:r>
    </w:p>
    <w:p w14:paraId="22181EE8" w14:textId="77777777" w:rsidR="00955137" w:rsidRDefault="00955137" w:rsidP="00955137">
      <w:pPr>
        <w:jc w:val="both"/>
        <w:rPr>
          <w:rFonts w:ascii="Arial Narrow" w:hAnsi="Arial Narrow"/>
          <w:sz w:val="24"/>
          <w:szCs w:val="24"/>
        </w:rPr>
      </w:pPr>
      <w:r>
        <w:rPr>
          <w:rFonts w:ascii="Arial Narrow" w:hAnsi="Arial Narrow"/>
          <w:sz w:val="24"/>
          <w:szCs w:val="24"/>
        </w:rPr>
        <w:t xml:space="preserve">Este mismo espíritu que amplio las funciones del congreso se pude observar para el control político, la constitución profundizo de una manera importante los alcances del control político en el nuevo congreso colombiano. </w:t>
      </w:r>
    </w:p>
    <w:p w14:paraId="12667716" w14:textId="77777777" w:rsidR="00955137" w:rsidRDefault="00955137" w:rsidP="00955137">
      <w:pPr>
        <w:jc w:val="both"/>
        <w:rPr>
          <w:rFonts w:ascii="Arial Narrow" w:hAnsi="Arial Narrow"/>
          <w:sz w:val="24"/>
          <w:szCs w:val="24"/>
        </w:rPr>
      </w:pPr>
      <w:r>
        <w:rPr>
          <w:rFonts w:ascii="Arial Narrow" w:hAnsi="Arial Narrow"/>
          <w:sz w:val="24"/>
          <w:szCs w:val="24"/>
        </w:rPr>
        <w:t>Al igual que en el caso de los informes, la atribución del Congreso relacionada con las citaciones se amplió considerablemente en la Carta de 1991. Veamos:</w:t>
      </w:r>
    </w:p>
    <w:p w14:paraId="7FF3416F" w14:textId="77777777" w:rsidR="00955137" w:rsidRDefault="00955137" w:rsidP="00955137">
      <w:pPr>
        <w:ind w:left="708"/>
        <w:jc w:val="both"/>
        <w:rPr>
          <w:rFonts w:ascii="Arial Narrow" w:hAnsi="Arial Narrow"/>
          <w:sz w:val="24"/>
          <w:szCs w:val="24"/>
        </w:rPr>
      </w:pPr>
      <w:r>
        <w:rPr>
          <w:rFonts w:ascii="Arial Narrow" w:hAnsi="Arial Narrow"/>
          <w:sz w:val="24"/>
          <w:szCs w:val="24"/>
        </w:rPr>
        <w:t>En primer lugar, es facultad de cada Cámara citar y requerir a los ministros para que concurran a las sesiones. Dicha citación, de acuerdo con el numeral 8o. del artículo 135 superior, deberá hacerse con una anticipación no menor de cinco días y requiere formularse por escrito. Adicionalmente, de acuerdo con la norma citada, el debate que se le haga al ministro sobre un asunto de su cartera, deberá encabezar el orden del día y no podrá versar sobre asuntos no contemplados en el cuestionario que se haya remitido. No sobra agregar que la inasistencia injustificada del ministro, podrá acarrear la votación de la moción de censura, según se explicó anteriormente.</w:t>
      </w:r>
    </w:p>
    <w:p w14:paraId="3222333D" w14:textId="77777777" w:rsidR="00955137" w:rsidRDefault="00955137" w:rsidP="00955137">
      <w:pPr>
        <w:ind w:left="708"/>
        <w:jc w:val="both"/>
        <w:rPr>
          <w:rFonts w:ascii="Arial Narrow" w:hAnsi="Arial Narrow"/>
          <w:sz w:val="24"/>
          <w:szCs w:val="24"/>
        </w:rPr>
      </w:pPr>
      <w:r>
        <w:rPr>
          <w:rFonts w:ascii="Arial Narrow" w:hAnsi="Arial Narrow"/>
          <w:sz w:val="24"/>
          <w:szCs w:val="24"/>
        </w:rPr>
        <w:t>(…)</w:t>
      </w:r>
    </w:p>
    <w:p w14:paraId="651484FF" w14:textId="77777777" w:rsidR="00955137" w:rsidRDefault="00955137" w:rsidP="00955137">
      <w:pPr>
        <w:ind w:left="708"/>
        <w:jc w:val="both"/>
        <w:rPr>
          <w:rFonts w:ascii="Arial Narrow" w:hAnsi="Arial Narrow"/>
          <w:sz w:val="24"/>
          <w:szCs w:val="24"/>
        </w:rPr>
      </w:pPr>
      <w:r>
        <w:rPr>
          <w:rFonts w:ascii="Arial Narrow" w:hAnsi="Arial Narrow"/>
          <w:sz w:val="24"/>
          <w:szCs w:val="24"/>
        </w:rPr>
        <w:t>En todo caso, el objeto de las citaciones a los altos funcionarios del Estado no debe extenderse a temas relativos a decisiones que estos deban adoptar y que estén sujetas a procedimientos reglados, esto es, que deban ceñirse a derecho, debido al carácter estrictamente jurídico y no político que tienen estas actuaciones.</w:t>
      </w:r>
      <w:r>
        <w:rPr>
          <w:rStyle w:val="Refdenotaalpie"/>
          <w:rFonts w:ascii="Arial Narrow" w:hAnsi="Arial Narrow"/>
          <w:sz w:val="24"/>
          <w:szCs w:val="24"/>
        </w:rPr>
        <w:footnoteReference w:id="3"/>
      </w:r>
    </w:p>
    <w:p w14:paraId="5F3F22AC" w14:textId="77777777" w:rsidR="00955137" w:rsidRDefault="00955137" w:rsidP="00955137">
      <w:pPr>
        <w:jc w:val="both"/>
        <w:rPr>
          <w:rFonts w:ascii="Arial Narrow" w:hAnsi="Arial Narrow"/>
          <w:sz w:val="24"/>
          <w:szCs w:val="24"/>
        </w:rPr>
      </w:pPr>
      <w:r>
        <w:rPr>
          <w:rFonts w:ascii="Arial Narrow" w:hAnsi="Arial Narrow"/>
          <w:sz w:val="24"/>
          <w:szCs w:val="24"/>
        </w:rPr>
        <w:t>Aunque si bien la Constitución Política de 1991 no previo la aplicación de los debates de control político para los alcaldes y gobernadores, su ampliación a estos se dio por Sentencia y disposición de la Corte Constitucional.</w:t>
      </w:r>
    </w:p>
    <w:p w14:paraId="1421F9E0" w14:textId="77777777" w:rsidR="00955137" w:rsidRDefault="00955137" w:rsidP="00955137">
      <w:pPr>
        <w:rPr>
          <w:rFonts w:ascii="Arial Narrow" w:hAnsi="Arial Narrow"/>
          <w:b/>
          <w:bCs/>
          <w:sz w:val="24"/>
          <w:szCs w:val="24"/>
        </w:rPr>
      </w:pPr>
      <w:r>
        <w:rPr>
          <w:rFonts w:ascii="Arial Narrow" w:hAnsi="Arial Narrow"/>
          <w:b/>
          <w:bCs/>
          <w:sz w:val="24"/>
          <w:szCs w:val="24"/>
        </w:rPr>
        <w:t>Antecedentes de la Corte:</w:t>
      </w:r>
    </w:p>
    <w:p w14:paraId="767BD499" w14:textId="77777777" w:rsidR="00955137" w:rsidRDefault="00955137" w:rsidP="00955137">
      <w:pPr>
        <w:jc w:val="both"/>
        <w:rPr>
          <w:rFonts w:ascii="Arial Narrow" w:hAnsi="Arial Narrow"/>
          <w:sz w:val="24"/>
          <w:szCs w:val="24"/>
        </w:rPr>
      </w:pPr>
      <w:r>
        <w:rPr>
          <w:rFonts w:ascii="Arial Narrow" w:hAnsi="Arial Narrow"/>
          <w:sz w:val="24"/>
          <w:szCs w:val="24"/>
        </w:rPr>
        <w:t>La Corte en un importante número de sentencias y disposiciones tomo la decisión de ampliar las facultades de control político al Congreso de la República para que sea aplicable a alcaldes y gobernadores. Tal fue el caso del Auto 080 de 1998 y la Sentencia C-518/07, en las cuales se facultó al Congreso a realizar debates de control político a las autoridades locales, siempre y cuando se traten de temas de interés nacional. Para no limitar el accionar de las corporaciones públicas locales:</w:t>
      </w:r>
    </w:p>
    <w:p w14:paraId="0797E3B4" w14:textId="77777777" w:rsidR="00955137" w:rsidRDefault="00955137" w:rsidP="00955137">
      <w:pPr>
        <w:ind w:left="708"/>
        <w:jc w:val="both"/>
        <w:rPr>
          <w:rFonts w:ascii="Arial Narrow" w:hAnsi="Arial Narrow"/>
          <w:sz w:val="24"/>
          <w:szCs w:val="24"/>
        </w:rPr>
      </w:pPr>
      <w:r>
        <w:rPr>
          <w:rFonts w:ascii="Arial Narrow" w:hAnsi="Arial Narrow"/>
          <w:sz w:val="24"/>
          <w:szCs w:val="24"/>
        </w:rPr>
        <w:t>Las precisiones mencionadas, hechas en sentencias C-082 de 1996, C-386 de 1996 y C-405 de 1998, en cuanto a que el control político se radica en el Congreso, pero también lo ejercen de cierta manera las demás corporaciones públicas del orden territorial sobre la administración local, fueron reiteradas en Auto 080 de 1998, en el cual se precisó además, que el Congreso de la República puede ejercer control político sobre Alcaldes y Gobernadores, pero tal control puede recaer solamente sobre asuntos de interés nacional y no de carácter netamente local, pues en éste último evento dicho control le compete ejercerlo a los Concejos Municipales y a las Asambleas departamentales, respectivamente. Sin embargo, también se preciso, que pueden existir asuntos que siendo de orden local pueden afectar ineludiblemente a la Nación y, por consiguiente, son de su interés, V. gr.: el medio ambiente, la contaminación en general, la protección ecológica, la transparencia que debe regir todos los actos de la administración pública, la lucha contra la corrupción, el control de gastos, etc.</w:t>
      </w:r>
      <w:r>
        <w:rPr>
          <w:rStyle w:val="Refdenotaalpie"/>
          <w:rFonts w:ascii="Arial Narrow" w:hAnsi="Arial Narrow"/>
          <w:sz w:val="24"/>
          <w:szCs w:val="24"/>
        </w:rPr>
        <w:footnoteReference w:id="4"/>
      </w:r>
    </w:p>
    <w:p w14:paraId="69071614" w14:textId="77777777" w:rsidR="00955137" w:rsidRDefault="00955137" w:rsidP="00955137">
      <w:pPr>
        <w:rPr>
          <w:rFonts w:ascii="Arial Narrow" w:hAnsi="Arial Narrow"/>
          <w:sz w:val="24"/>
          <w:szCs w:val="24"/>
        </w:rPr>
      </w:pPr>
      <w:r>
        <w:rPr>
          <w:rFonts w:ascii="Arial Narrow" w:hAnsi="Arial Narrow"/>
          <w:sz w:val="24"/>
          <w:szCs w:val="24"/>
        </w:rPr>
        <w:t xml:space="preserve">Moción de Observación: </w:t>
      </w:r>
    </w:p>
    <w:p w14:paraId="4FE6E51E" w14:textId="77777777" w:rsidR="00955137" w:rsidRDefault="00955137" w:rsidP="00955137">
      <w:pPr>
        <w:jc w:val="both"/>
        <w:rPr>
          <w:rFonts w:ascii="Arial Narrow" w:hAnsi="Arial Narrow"/>
          <w:sz w:val="24"/>
          <w:szCs w:val="24"/>
        </w:rPr>
      </w:pPr>
      <w:r>
        <w:rPr>
          <w:rFonts w:ascii="Arial Narrow" w:hAnsi="Arial Narrow"/>
          <w:sz w:val="24"/>
          <w:szCs w:val="24"/>
        </w:rPr>
        <w:t>Según la Corte Constitucional ha reconocido la moción como una parte fundamental de la actividad legislativa. Ha entendido además que son a través de las mociones que el legislador puede desempeñar sus funciones. Así lo manifestó la corte en la Sentencia C-518/07:</w:t>
      </w:r>
    </w:p>
    <w:p w14:paraId="67F0804B" w14:textId="77777777" w:rsidR="00955137" w:rsidRDefault="00955137" w:rsidP="00955137">
      <w:pPr>
        <w:ind w:left="708"/>
        <w:jc w:val="both"/>
        <w:rPr>
          <w:rFonts w:ascii="Arial Narrow" w:hAnsi="Arial Narrow"/>
          <w:sz w:val="24"/>
          <w:szCs w:val="24"/>
        </w:rPr>
      </w:pPr>
      <w:r>
        <w:rPr>
          <w:rFonts w:ascii="Arial Narrow" w:hAnsi="Arial Narrow"/>
          <w:sz w:val="24"/>
          <w:szCs w:val="24"/>
        </w:rPr>
        <w:t>Cabe recordar que, para el desarrollo de las diferentes funciones que compete tanto al Congreso de la República como a las demás corporaciones públicas del nivel territorial, ha sido prevista la posibilidad de presentar diversas clases de mociones, salvo la de censura que solo la puede ejercer el Congreso, facultad genérica que no es contraria a la Constitución, pues es justamente a través de la proposición de las diferentes mociones que puede desarrollarse cabalmente la función que corresponde a los miembros de las mismas</w:t>
      </w:r>
      <w:r>
        <w:rPr>
          <w:rStyle w:val="Refdenotaalpie"/>
          <w:rFonts w:ascii="Arial Narrow" w:hAnsi="Arial Narrow"/>
          <w:sz w:val="24"/>
          <w:szCs w:val="24"/>
        </w:rPr>
        <w:footnoteReference w:id="5"/>
      </w:r>
      <w:r>
        <w:rPr>
          <w:rFonts w:ascii="Arial Narrow" w:hAnsi="Arial Narrow"/>
          <w:sz w:val="24"/>
          <w:szCs w:val="24"/>
        </w:rPr>
        <w:t>.</w:t>
      </w:r>
    </w:p>
    <w:p w14:paraId="1076B9A1" w14:textId="77777777" w:rsidR="00955137" w:rsidRDefault="00955137" w:rsidP="00955137">
      <w:pPr>
        <w:jc w:val="both"/>
        <w:rPr>
          <w:rFonts w:ascii="Arial Narrow" w:hAnsi="Arial Narrow"/>
          <w:sz w:val="24"/>
          <w:szCs w:val="24"/>
        </w:rPr>
      </w:pPr>
      <w:r>
        <w:rPr>
          <w:rFonts w:ascii="Arial Narrow" w:hAnsi="Arial Narrow"/>
          <w:sz w:val="24"/>
          <w:szCs w:val="24"/>
        </w:rPr>
        <w:t xml:space="preserve">Dentro del tipo de mociones con las que cuenta el legislador existe la moción de observación, esta moción es una herramienta para el control político mediante el cual el congreso hace un llamado de atención a un funcionario por acciones que a criterio de congreso han afectado el país. La diferencia frente a otro tipo de mociones, como la moción de censura, es que no puede conducir a la remoción del cargo del servidor público, ni a la obligatoriedad de remoción. Como lo ha manifestado la Corte: </w:t>
      </w:r>
    </w:p>
    <w:p w14:paraId="35BC1D0C" w14:textId="77777777" w:rsidR="00955137" w:rsidRDefault="00955137" w:rsidP="00955137">
      <w:pPr>
        <w:ind w:left="708"/>
        <w:jc w:val="both"/>
        <w:rPr>
          <w:rFonts w:ascii="Arial Narrow" w:hAnsi="Arial Narrow"/>
          <w:sz w:val="24"/>
          <w:szCs w:val="24"/>
        </w:rPr>
      </w:pPr>
      <w:r>
        <w:rPr>
          <w:rFonts w:ascii="Arial Narrow" w:hAnsi="Arial Narrow"/>
          <w:sz w:val="24"/>
          <w:szCs w:val="24"/>
        </w:rPr>
        <w:t>la moción de observaciones no puede conducir a la remoción del servidor público cuya actuación haya sido cuestionada, ni la obligatoriedad de revocación de actos administrativos propios de la autoridad en relación con la cual se ejerce el control político, ya que, de no ser así, se estarían desconociendo tanto el principio de separación de funciones administrativas como el correspondiente reparto de competencias.</w:t>
      </w:r>
      <w:r>
        <w:rPr>
          <w:rStyle w:val="Refdenotaalpie"/>
          <w:rFonts w:ascii="Arial Narrow" w:hAnsi="Arial Narrow"/>
          <w:sz w:val="24"/>
          <w:szCs w:val="24"/>
        </w:rPr>
        <w:footnoteReference w:id="6"/>
      </w:r>
    </w:p>
    <w:p w14:paraId="0CB31ABF" w14:textId="77777777" w:rsidR="00955137" w:rsidRDefault="00955137" w:rsidP="00955137">
      <w:pPr>
        <w:jc w:val="both"/>
        <w:rPr>
          <w:rFonts w:ascii="Arial Narrow" w:hAnsi="Arial Narrow"/>
          <w:sz w:val="24"/>
          <w:szCs w:val="24"/>
        </w:rPr>
      </w:pPr>
      <w:r>
        <w:rPr>
          <w:rFonts w:ascii="Arial Narrow" w:hAnsi="Arial Narrow"/>
          <w:sz w:val="24"/>
          <w:szCs w:val="24"/>
        </w:rPr>
        <w:t xml:space="preserve">Por eso se considera que esta moción puede jugar un rol muy importante a la hora del control político que realiza el congreso sobre alcaldes y gobernadores cuando estos afecten el interés nacional. </w:t>
      </w:r>
    </w:p>
    <w:p w14:paraId="1094177B" w14:textId="4B38510B" w:rsidR="00955137" w:rsidRPr="00955137" w:rsidRDefault="00955137" w:rsidP="00955137">
      <w:pPr>
        <w:pBdr>
          <w:top w:val="nil"/>
          <w:left w:val="nil"/>
          <w:bottom w:val="nil"/>
          <w:right w:val="nil"/>
          <w:between w:val="nil"/>
        </w:pBdr>
        <w:jc w:val="both"/>
        <w:rPr>
          <w:rFonts w:ascii="Arial Narrow" w:eastAsia="Arial Narrow" w:hAnsi="Arial Narrow" w:cs="Arial Narrow"/>
          <w:b/>
          <w:bCs/>
          <w:color w:val="000000"/>
          <w:sz w:val="24"/>
          <w:szCs w:val="24"/>
        </w:rPr>
      </w:pPr>
      <w:r w:rsidRPr="00955137">
        <w:rPr>
          <w:rFonts w:ascii="Arial Narrow" w:eastAsia="Arial Narrow" w:hAnsi="Arial Narrow" w:cs="Arial Narrow"/>
          <w:b/>
          <w:bCs/>
          <w:color w:val="000000"/>
          <w:sz w:val="24"/>
          <w:szCs w:val="24"/>
        </w:rPr>
        <w:t xml:space="preserve">Conflicto de Interés: </w:t>
      </w:r>
    </w:p>
    <w:p w14:paraId="20BB2245" w14:textId="49EFD390" w:rsidR="00955137" w:rsidRDefault="00955137" w:rsidP="00955137">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sz w:val="24"/>
          <w:szCs w:val="24"/>
        </w:rPr>
        <w:t xml:space="preserve">Dando cumplimiento a lo establecido en el artículo 3 de la Ley 2003 del 19 de noviembre de 2019, por la cual se modifica parcialmente la Ley 5 de 1992, se hacen las siguientes consideraciones: </w:t>
      </w:r>
    </w:p>
    <w:p w14:paraId="1BBE23B9" w14:textId="4A89F6BA" w:rsidR="00955137" w:rsidRDefault="00955137" w:rsidP="00955137">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sz w:val="24"/>
          <w:szCs w:val="24"/>
        </w:rPr>
        <w:t xml:space="preserve">Se estima que el presente proyecto de ley no genera conflictos de interés, puesto que no crearía beneficios </w:t>
      </w:r>
      <w:r>
        <w:rPr>
          <w:rFonts w:ascii="Arial Narrow" w:eastAsia="Arial Narrow" w:hAnsi="Arial Narrow" w:cs="Arial Narrow"/>
          <w:b/>
          <w:color w:val="000000"/>
          <w:sz w:val="24"/>
          <w:szCs w:val="24"/>
        </w:rPr>
        <w:t>particulares, actuales y directos</w:t>
      </w:r>
      <w:r>
        <w:rPr>
          <w:rFonts w:ascii="Arial Narrow" w:eastAsia="Arial Narrow" w:hAnsi="Arial Narrow" w:cs="Arial Narrow"/>
          <w:color w:val="000000"/>
          <w:sz w:val="24"/>
          <w:szCs w:val="24"/>
        </w:rPr>
        <w:t xml:space="preserve"> a los congresistas, a su cónyuge, compañero o compañera permanente, o parientes dentro del segundo grado de consanguinidad, segundo de afinidad o primero civil, conforme a lo dispuesto en la ley,  dado que, el objeto de la iniciativa versa sobre el mejoramiento de las condiciones de las personas naturales que celebran Contratos de prestación de Servicios con entidades públicas, optimizando sus condiciones de trabajo, garantías laborales, siendo más justo y claro el sistema de cotización al sistema de seguridad social.</w:t>
      </w:r>
      <w:r>
        <w:rPr>
          <w:rFonts w:ascii="Arial Narrow" w:eastAsia="Arial Narrow" w:hAnsi="Arial Narrow" w:cs="Arial Narrow"/>
          <w:i/>
          <w:color w:val="000000"/>
          <w:sz w:val="24"/>
          <w:szCs w:val="24"/>
        </w:rPr>
        <w:t xml:space="preserve"> [….] </w:t>
      </w:r>
      <w:r>
        <w:rPr>
          <w:rFonts w:ascii="Arial Narrow" w:eastAsia="Arial Narrow" w:hAnsi="Arial Narrow" w:cs="Arial Narrow"/>
          <w:color w:val="000000"/>
          <w:sz w:val="24"/>
          <w:szCs w:val="24"/>
        </w:rPr>
        <w:t xml:space="preserve">  como se puede entrever aquí los beneficios son erga omnes, lejos de beneficiar a alguien en particular. </w:t>
      </w:r>
    </w:p>
    <w:p w14:paraId="4262AFAE" w14:textId="29CB0E58" w:rsidR="00955137" w:rsidRDefault="00955137" w:rsidP="00955137">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sz w:val="24"/>
          <w:szCs w:val="24"/>
        </w:rPr>
        <w:t>Sobre este asunto ha señalado el Consejo de Estado en sentencia 02830 del 16 de julio de 2019:</w:t>
      </w:r>
    </w:p>
    <w:p w14:paraId="4AFB254D" w14:textId="77777777" w:rsidR="00955137" w:rsidRDefault="00955137" w:rsidP="00955137">
      <w:pPr>
        <w:pBdr>
          <w:top w:val="nil"/>
          <w:left w:val="nil"/>
          <w:bottom w:val="nil"/>
          <w:right w:val="nil"/>
          <w:between w:val="nil"/>
        </w:pBdr>
        <w:ind w:left="284"/>
        <w:jc w:val="both"/>
        <w:rPr>
          <w:rFonts w:ascii="Arial Narrow" w:eastAsia="Arial Narrow" w:hAnsi="Arial Narrow" w:cs="Arial Narrow"/>
          <w:i/>
          <w:color w:val="000000"/>
        </w:rPr>
      </w:pPr>
      <w:r>
        <w:rPr>
          <w:rFonts w:ascii="Arial Narrow" w:eastAsia="Arial Narrow" w:hAnsi="Arial Narrow" w:cs="Arial Narrow"/>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Narrow" w:eastAsia="Arial Narrow" w:hAnsi="Arial Narrow" w:cs="Arial Narrow"/>
          <w:i/>
          <w:color w:val="000000"/>
          <w:sz w:val="24"/>
          <w:szCs w:val="24"/>
          <w:vertAlign w:val="superscript"/>
        </w:rPr>
        <w:footnoteReference w:id="7"/>
      </w:r>
    </w:p>
    <w:p w14:paraId="74BCB26F" w14:textId="77777777" w:rsidR="00955137" w:rsidRDefault="00955137" w:rsidP="00955137">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sz w:val="24"/>
          <w:szCs w:val="24"/>
        </w:rPr>
        <w:t>Así mismo, es oportuno señalar lo que la Ley 5 de 1992 dispone sobre la materia en el artículo 286, modificado por el artículo </w:t>
      </w:r>
      <w:hyperlink r:id="rId7" w:anchor="1">
        <w:r>
          <w:rPr>
            <w:rFonts w:ascii="Arial Narrow" w:eastAsia="Arial Narrow" w:hAnsi="Arial Narrow" w:cs="Arial Narrow"/>
            <w:color w:val="000000"/>
            <w:sz w:val="24"/>
            <w:szCs w:val="24"/>
          </w:rPr>
          <w:t>1</w:t>
        </w:r>
      </w:hyperlink>
      <w:r>
        <w:rPr>
          <w:rFonts w:ascii="Arial Narrow" w:eastAsia="Arial Narrow" w:hAnsi="Arial Narrow" w:cs="Arial Narrow"/>
          <w:color w:val="000000"/>
          <w:sz w:val="24"/>
          <w:szCs w:val="24"/>
        </w:rPr>
        <w:t xml:space="preserve"> de la Ley 2003 de 2019: </w:t>
      </w:r>
      <w:r>
        <w:rPr>
          <w:rFonts w:ascii="Arial Narrow" w:eastAsia="Arial Narrow" w:hAnsi="Arial Narrow" w:cs="Arial Narrow"/>
          <w:color w:val="000000"/>
          <w:sz w:val="24"/>
          <w:szCs w:val="24"/>
          <w:vertAlign w:val="superscript"/>
        </w:rPr>
        <w:footnoteReference w:id="8"/>
      </w:r>
    </w:p>
    <w:p w14:paraId="1C5838B2" w14:textId="77777777" w:rsidR="00955137" w:rsidRDefault="00955137" w:rsidP="00955137">
      <w:pPr>
        <w:ind w:left="426"/>
        <w:jc w:val="both"/>
        <w:rPr>
          <w:rFonts w:ascii="Arial Narrow" w:eastAsia="Arial Narrow" w:hAnsi="Arial Narrow" w:cs="Arial Narrow"/>
          <w:i/>
        </w:rPr>
      </w:pPr>
      <w:r>
        <w:rPr>
          <w:rFonts w:ascii="Arial Narrow" w:eastAsia="Arial Narrow" w:hAnsi="Arial Narrow" w:cs="Arial Narrow"/>
          <w:i/>
        </w:rPr>
        <w:t>“Se entiende como conflicto de interés una situación donde la discusión o votación de un proyecto de ley o acto legislativo o artículo, pueda resultar en un beneficio particular, actual y directo a favor del congresista. </w:t>
      </w:r>
    </w:p>
    <w:p w14:paraId="0012F704" w14:textId="77777777" w:rsidR="00955137" w:rsidRDefault="00955137" w:rsidP="00955137">
      <w:pPr>
        <w:numPr>
          <w:ilvl w:val="0"/>
          <w:numId w:val="1"/>
        </w:numPr>
        <w:pBdr>
          <w:top w:val="nil"/>
          <w:left w:val="nil"/>
          <w:bottom w:val="nil"/>
          <w:right w:val="nil"/>
          <w:between w:val="nil"/>
        </w:pBdr>
        <w:spacing w:after="0"/>
        <w:ind w:left="426" w:hanging="360"/>
        <w:jc w:val="both"/>
        <w:rPr>
          <w:rFonts w:ascii="Arial Narrow" w:eastAsia="Arial Narrow" w:hAnsi="Arial Narrow" w:cs="Arial Narrow"/>
          <w:i/>
          <w:color w:val="000000"/>
        </w:rPr>
      </w:pPr>
      <w:r>
        <w:rPr>
          <w:rFonts w:ascii="Arial Narrow" w:eastAsia="Arial Narrow" w:hAnsi="Arial Narrow" w:cs="Arial Narrow"/>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29AFC16" w14:textId="77777777" w:rsidR="00955137" w:rsidRDefault="00955137" w:rsidP="00955137">
      <w:pPr>
        <w:numPr>
          <w:ilvl w:val="0"/>
          <w:numId w:val="1"/>
        </w:numPr>
        <w:pBdr>
          <w:top w:val="nil"/>
          <w:left w:val="nil"/>
          <w:bottom w:val="nil"/>
          <w:right w:val="nil"/>
          <w:between w:val="nil"/>
        </w:pBdr>
        <w:spacing w:after="0"/>
        <w:ind w:left="426" w:hanging="360"/>
        <w:jc w:val="both"/>
        <w:rPr>
          <w:rFonts w:ascii="Arial Narrow" w:eastAsia="Arial Narrow" w:hAnsi="Arial Narrow" w:cs="Arial Narrow"/>
          <w:i/>
          <w:color w:val="000000"/>
        </w:rPr>
      </w:pPr>
      <w:r>
        <w:rPr>
          <w:rFonts w:ascii="Arial Narrow" w:eastAsia="Arial Narrow" w:hAnsi="Arial Narrow" w:cs="Arial Narrow"/>
          <w:i/>
          <w:color w:val="000000"/>
          <w:sz w:val="24"/>
          <w:szCs w:val="24"/>
        </w:rPr>
        <w:t>Beneficio actual: aquel que efectivamente se configura en las circunstancias presentes y existentes al momento en el que el congresista participa de la decisión. </w:t>
      </w:r>
    </w:p>
    <w:p w14:paraId="3EC5DB91" w14:textId="77777777" w:rsidR="00955137" w:rsidRDefault="00955137" w:rsidP="00955137">
      <w:pPr>
        <w:numPr>
          <w:ilvl w:val="0"/>
          <w:numId w:val="1"/>
        </w:numPr>
        <w:pBdr>
          <w:top w:val="nil"/>
          <w:left w:val="nil"/>
          <w:bottom w:val="nil"/>
          <w:right w:val="nil"/>
          <w:between w:val="nil"/>
        </w:pBdr>
        <w:ind w:left="426" w:hanging="360"/>
        <w:jc w:val="both"/>
        <w:rPr>
          <w:rFonts w:ascii="Arial Narrow" w:eastAsia="Arial Narrow" w:hAnsi="Arial Narrow" w:cs="Arial Narrow"/>
          <w:i/>
          <w:color w:val="000000"/>
        </w:rPr>
      </w:pPr>
      <w:r>
        <w:rPr>
          <w:rFonts w:ascii="Arial Narrow" w:eastAsia="Arial Narrow" w:hAnsi="Arial Narrow" w:cs="Arial Narrow"/>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47852FCE" w14:textId="77777777" w:rsidR="00955137" w:rsidRDefault="00955137" w:rsidP="00955137">
      <w:pPr>
        <w:jc w:val="both"/>
        <w:rPr>
          <w:rFonts w:ascii="Arial Narrow" w:eastAsia="Arial Narrow" w:hAnsi="Arial Narrow" w:cs="Arial Narrow"/>
        </w:rPr>
      </w:pPr>
      <w:r>
        <w:rPr>
          <w:rFonts w:ascii="Arial Narrow" w:eastAsia="Arial Narrow" w:hAnsi="Arial Narrow" w:cs="Arial Narrow"/>
        </w:rPr>
        <w:t>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12DB996" w14:textId="77777777" w:rsidR="00955137" w:rsidRDefault="00955137" w:rsidP="00955137">
      <w:pPr>
        <w:jc w:val="both"/>
        <w:rPr>
          <w:rFonts w:ascii="Arial Narrow" w:eastAsia="Arial Narrow" w:hAnsi="Arial Narrow" w:cs="Arial Narrow"/>
          <w:i/>
        </w:rPr>
      </w:pPr>
      <w:r>
        <w:rPr>
          <w:rFonts w:ascii="Arial Narrow" w:eastAsia="Arial Narrow" w:hAnsi="Arial Narrow" w:cs="Arial Narrow"/>
        </w:rPr>
        <w:t xml:space="preserve">Por otra parte  la ley en mención  además de establecer las circunstancias en las cuales  se  presenta los conflictos de interés,  prevé las situaciones en las cuales NO hay  conflictos de interés. </w:t>
      </w:r>
      <w:r>
        <w:rPr>
          <w:rFonts w:ascii="Arial Narrow" w:eastAsia="Arial Narrow" w:hAnsi="Arial Narrow" w:cs="Arial Narrow"/>
          <w:i/>
        </w:rPr>
        <w:t>[….]</w:t>
      </w:r>
    </w:p>
    <w:p w14:paraId="66DA61FA" w14:textId="77777777" w:rsidR="00955137" w:rsidRDefault="00955137" w:rsidP="00955137">
      <w:pPr>
        <w:jc w:val="both"/>
        <w:rPr>
          <w:rFonts w:ascii="Arial Narrow" w:eastAsia="Arial Narrow" w:hAnsi="Arial Narrow" w:cs="Arial Narrow"/>
        </w:rPr>
      </w:pPr>
      <w:r>
        <w:rPr>
          <w:rFonts w:ascii="Arial Narrow" w:eastAsia="Arial Narrow" w:hAnsi="Arial Narrow" w:cs="Arial Narrow"/>
          <w:i/>
        </w:rPr>
        <w:t xml:space="preserve">“Cuándo el congresista participe discuta vote proyectos de ley o de acto legislativo que otorgue </w:t>
      </w:r>
      <w:r>
        <w:rPr>
          <w:rFonts w:ascii="Arial Narrow" w:eastAsia="Arial Narrow" w:hAnsi="Arial Narrow" w:cs="Arial Narrow"/>
          <w:b/>
          <w:i/>
        </w:rPr>
        <w:t xml:space="preserve">beneficios  o cargos de carácter general, es decir  cuando el interés del Congresista  coincide  o se fusione con los intereses  de sus electores” </w:t>
      </w:r>
      <w:r>
        <w:rPr>
          <w:rFonts w:ascii="Arial Narrow" w:eastAsia="Arial Narrow" w:hAnsi="Arial Narrow" w:cs="Arial Narrow"/>
        </w:rPr>
        <w:t xml:space="preserve"> negrilla fuera del texto original. </w:t>
      </w:r>
    </w:p>
    <w:p w14:paraId="5345A5AE" w14:textId="77777777" w:rsidR="00955137" w:rsidRDefault="00955137" w:rsidP="00955137">
      <w:pPr>
        <w:jc w:val="both"/>
        <w:rPr>
          <w:rFonts w:ascii="Arial Narrow" w:eastAsia="Arial Narrow" w:hAnsi="Arial Narrow" w:cs="Arial Narrow"/>
        </w:rPr>
      </w:pPr>
      <w:r>
        <w:rPr>
          <w:rFonts w:ascii="Arial Narrow" w:eastAsia="Arial Narrow" w:hAnsi="Arial Narrow" w:cs="Arial Narrow"/>
        </w:rPr>
        <w:t>Como se evidencia en la anterior normatividad,  la figura del</w:t>
      </w:r>
      <w:r>
        <w:rPr>
          <w:rFonts w:ascii="Arial Narrow" w:eastAsia="Arial Narrow" w:hAnsi="Arial Narrow" w:cs="Arial Narrow"/>
          <w:i/>
        </w:rPr>
        <w:t xml:space="preserve"> “Conflicto de interés” </w:t>
      </w:r>
      <w:r>
        <w:rPr>
          <w:rFonts w:ascii="Arial Narrow" w:eastAsia="Arial Narrow" w:hAnsi="Arial Narrow" w:cs="Arial Narrow"/>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expectativa,  frente a una posibilidad, o situaciones que en el momento no existen, tiene que haber certeza de un  beneficio o del perjuicio,  tiene que ser un hecho cierto y  no hipotético.</w:t>
      </w:r>
    </w:p>
    <w:p w14:paraId="11337509" w14:textId="77777777" w:rsidR="00A23F3A" w:rsidRDefault="00A23F3A" w:rsidP="00955137">
      <w:pPr>
        <w:jc w:val="both"/>
        <w:rPr>
          <w:rFonts w:ascii="Arial Narrow" w:eastAsia="Arial Narrow" w:hAnsi="Arial Narrow" w:cs="Arial Narrow"/>
        </w:rPr>
      </w:pPr>
    </w:p>
    <w:p w14:paraId="057E748F" w14:textId="77777777" w:rsidR="00A23F3A" w:rsidRDefault="00A23F3A" w:rsidP="00955137">
      <w:pPr>
        <w:jc w:val="both"/>
        <w:rPr>
          <w:rFonts w:ascii="Arial Narrow" w:eastAsia="Arial Narrow" w:hAnsi="Arial Narrow" w:cs="Arial Narrow"/>
        </w:rPr>
      </w:pPr>
    </w:p>
    <w:p w14:paraId="4158C11F" w14:textId="77777777" w:rsidR="00A23F3A" w:rsidRPr="00DC2A3F" w:rsidRDefault="00A23F3A" w:rsidP="00A23F3A">
      <w:pPr>
        <w:rPr>
          <w:rFonts w:ascii="Arial Narrow" w:hAnsi="Arial Narrow"/>
          <w:b/>
          <w:bCs/>
          <w:sz w:val="20"/>
          <w:szCs w:val="20"/>
        </w:rPr>
      </w:pPr>
      <w:r w:rsidRPr="005876DC">
        <w:rPr>
          <w:rFonts w:ascii="Arial Narrow" w:hAnsi="Arial Narrow"/>
          <w:b/>
          <w:sz w:val="24"/>
          <w:szCs w:val="24"/>
        </w:rPr>
        <w:t>VÍCTOR MANUEL ORTIZ JOYA</w:t>
      </w:r>
      <w:r>
        <w:rPr>
          <w:rFonts w:ascii="Arial Narrow" w:hAnsi="Arial Narrow"/>
          <w:b/>
          <w:sz w:val="24"/>
          <w:szCs w:val="24"/>
        </w:rPr>
        <w:t xml:space="preserve">                            </w:t>
      </w:r>
      <w:r w:rsidRPr="0099775A">
        <w:rPr>
          <w:rFonts w:ascii="Arial Narrow" w:hAnsi="Arial Narrow"/>
          <w:b/>
          <w:bCs/>
          <w:sz w:val="24"/>
          <w:szCs w:val="24"/>
        </w:rPr>
        <w:t>ALEJANDRO CARLOS CHACÓN CAMARGO</w:t>
      </w:r>
    </w:p>
    <w:p w14:paraId="04F592E3" w14:textId="432DE7AB" w:rsidR="00A23F3A" w:rsidRPr="005876DC" w:rsidRDefault="005C7533" w:rsidP="00A23F3A">
      <w:pPr>
        <w:rPr>
          <w:rFonts w:ascii="Arial Narrow" w:hAnsi="Arial Narrow"/>
          <w:b/>
          <w:sz w:val="24"/>
          <w:szCs w:val="24"/>
        </w:rPr>
      </w:pPr>
      <w:r>
        <w:rPr>
          <w:rFonts w:ascii="Arial Narrow" w:hAnsi="Arial Narrow"/>
          <w:sz w:val="20"/>
          <w:szCs w:val="20"/>
        </w:rPr>
        <w:t xml:space="preserve">Representante a la Cámara por </w:t>
      </w:r>
      <w:r w:rsidR="00A23F3A" w:rsidRPr="00DC2A3F">
        <w:rPr>
          <w:rFonts w:ascii="Arial Narrow" w:hAnsi="Arial Narrow"/>
          <w:sz w:val="20"/>
          <w:szCs w:val="20"/>
        </w:rPr>
        <w:t xml:space="preserve"> Santander</w:t>
      </w:r>
      <w:r w:rsidR="00A23F3A">
        <w:rPr>
          <w:rFonts w:ascii="Arial Narrow" w:hAnsi="Arial Narrow"/>
          <w:sz w:val="20"/>
          <w:szCs w:val="20"/>
        </w:rPr>
        <w:t xml:space="preserve">                   </w:t>
      </w:r>
      <w:r>
        <w:rPr>
          <w:rFonts w:ascii="Arial Narrow" w:hAnsi="Arial Narrow"/>
          <w:sz w:val="20"/>
          <w:szCs w:val="20"/>
        </w:rPr>
        <w:t xml:space="preserve">       </w:t>
      </w:r>
      <w:r w:rsidR="00A23F3A">
        <w:rPr>
          <w:rFonts w:ascii="Arial Narrow" w:hAnsi="Arial Narrow"/>
          <w:sz w:val="20"/>
          <w:szCs w:val="20"/>
        </w:rPr>
        <w:t xml:space="preserve"> </w:t>
      </w:r>
      <w:r w:rsidR="00A23F3A" w:rsidRPr="00DC2A3F">
        <w:rPr>
          <w:rFonts w:ascii="Arial Narrow" w:hAnsi="Arial Narrow"/>
          <w:sz w:val="20"/>
          <w:szCs w:val="20"/>
        </w:rPr>
        <w:t xml:space="preserve">Representante a la Cámara por </w:t>
      </w:r>
      <w:r>
        <w:rPr>
          <w:rFonts w:ascii="Arial Narrow" w:hAnsi="Arial Narrow"/>
          <w:sz w:val="20"/>
          <w:szCs w:val="20"/>
        </w:rPr>
        <w:t xml:space="preserve">Norte de </w:t>
      </w:r>
      <w:r w:rsidR="00A23F3A" w:rsidRPr="00DC2A3F">
        <w:rPr>
          <w:rFonts w:ascii="Arial Narrow" w:hAnsi="Arial Narrow"/>
          <w:sz w:val="20"/>
          <w:szCs w:val="20"/>
        </w:rPr>
        <w:t>Santander</w:t>
      </w:r>
      <w:r w:rsidR="00A23F3A">
        <w:rPr>
          <w:rFonts w:ascii="Arial Narrow" w:hAnsi="Arial Narrow"/>
          <w:b/>
          <w:sz w:val="24"/>
          <w:szCs w:val="24"/>
        </w:rPr>
        <w:t xml:space="preserve">                </w:t>
      </w:r>
    </w:p>
    <w:p w14:paraId="5C10D306" w14:textId="77777777" w:rsidR="00A23F3A" w:rsidRDefault="00A23F3A" w:rsidP="00A23F3A">
      <w:pPr>
        <w:rPr>
          <w:rFonts w:ascii="Arial Narrow" w:eastAsia="Arial Narrow" w:hAnsi="Arial Narrow" w:cs="Arial Narrow"/>
          <w:color w:val="000000"/>
          <w:sz w:val="24"/>
          <w:szCs w:val="24"/>
        </w:rPr>
      </w:pPr>
      <w:r>
        <w:rPr>
          <w:rFonts w:ascii="Arial Narrow" w:hAnsi="Arial Narrow"/>
          <w:sz w:val="24"/>
          <w:szCs w:val="24"/>
        </w:rPr>
        <w:t>.</w:t>
      </w:r>
    </w:p>
    <w:p w14:paraId="0C7C6EBD" w14:textId="77777777" w:rsidR="00A23F3A" w:rsidRPr="00B94EBB" w:rsidRDefault="00A23F3A" w:rsidP="00A23F3A">
      <w:pPr>
        <w:spacing w:after="0" w:line="240" w:lineRule="auto"/>
        <w:rPr>
          <w:rFonts w:ascii="Arial" w:eastAsia="Arial" w:hAnsi="Arial" w:cs="Arial"/>
          <w:b/>
          <w:sz w:val="24"/>
          <w:szCs w:val="24"/>
        </w:rPr>
      </w:pPr>
      <w:r w:rsidRPr="00B94EBB">
        <w:rPr>
          <w:rFonts w:ascii="Arial" w:eastAsia="Arial" w:hAnsi="Arial" w:cs="Arial"/>
          <w:b/>
          <w:bCs/>
          <w:sz w:val="24"/>
          <w:szCs w:val="24"/>
        </w:rPr>
        <w:t xml:space="preserve">ANGEL MARIA GAITAN PULIDO  </w:t>
      </w:r>
      <w:r>
        <w:rPr>
          <w:rFonts w:ascii="Arial" w:eastAsia="Arial" w:hAnsi="Arial" w:cs="Arial"/>
          <w:b/>
          <w:sz w:val="24"/>
          <w:szCs w:val="24"/>
        </w:rPr>
        <w:t xml:space="preserve">        </w:t>
      </w:r>
      <w:r w:rsidRPr="00B94EBB">
        <w:rPr>
          <w:rFonts w:ascii="Arial" w:eastAsia="Arial" w:hAnsi="Arial" w:cs="Arial"/>
          <w:b/>
          <w:sz w:val="24"/>
          <w:szCs w:val="24"/>
        </w:rPr>
        <w:t xml:space="preserve">KELYN JOHANA GONZÁLEZ </w:t>
      </w:r>
    </w:p>
    <w:p w14:paraId="1CB10F2C" w14:textId="77777777" w:rsidR="00A23F3A" w:rsidRDefault="00A23F3A" w:rsidP="00A23F3A">
      <w:pPr>
        <w:spacing w:after="0" w:line="240" w:lineRule="auto"/>
        <w:rPr>
          <w:rFonts w:ascii="Arial" w:eastAsia="Arial" w:hAnsi="Arial" w:cs="Arial"/>
        </w:rPr>
      </w:pPr>
    </w:p>
    <w:p w14:paraId="4F9FBB8A" w14:textId="77777777" w:rsidR="00A23F3A" w:rsidRPr="00F056D7" w:rsidRDefault="00A23F3A" w:rsidP="00A23F3A">
      <w:pPr>
        <w:rPr>
          <w:rFonts w:ascii="Arial" w:eastAsia="Arial" w:hAnsi="Arial" w:cs="Arial"/>
          <w:sz w:val="20"/>
          <w:szCs w:val="20"/>
        </w:rPr>
      </w:pPr>
      <w:r w:rsidRPr="00F056D7">
        <w:rPr>
          <w:rFonts w:ascii="Arial" w:eastAsia="Arial" w:hAnsi="Arial" w:cs="Arial"/>
          <w:sz w:val="20"/>
          <w:szCs w:val="20"/>
        </w:rPr>
        <w:t>Representante a la Cámara por Tolima</w:t>
      </w:r>
      <w:r w:rsidRPr="00F056D7">
        <w:rPr>
          <w:rFonts w:ascii="Arial" w:eastAsia="Arial" w:hAnsi="Arial" w:cs="Arial"/>
          <w:sz w:val="20"/>
          <w:szCs w:val="20"/>
        </w:rPr>
        <w:tab/>
      </w:r>
      <w:r w:rsidRPr="00F056D7">
        <w:rPr>
          <w:rFonts w:ascii="Arial" w:eastAsia="Arial" w:hAnsi="Arial" w:cs="Arial"/>
          <w:sz w:val="20"/>
          <w:szCs w:val="20"/>
        </w:rPr>
        <w:tab/>
        <w:t>Representante a la Cámara  por Magdalena</w:t>
      </w:r>
    </w:p>
    <w:p w14:paraId="40954CD9" w14:textId="77777777" w:rsidR="005C7533" w:rsidRDefault="005C7533" w:rsidP="00A23F3A">
      <w:pPr>
        <w:rPr>
          <w:rFonts w:ascii="Arial" w:eastAsia="Arial" w:hAnsi="Arial" w:cs="Arial"/>
          <w:sz w:val="24"/>
          <w:szCs w:val="24"/>
        </w:rPr>
      </w:pPr>
    </w:p>
    <w:p w14:paraId="652E13C9" w14:textId="77777777" w:rsidR="00A23F3A" w:rsidRPr="00F056D7" w:rsidRDefault="00A23F3A" w:rsidP="00A23F3A">
      <w:pPr>
        <w:rPr>
          <w:rFonts w:ascii="Arial Narrow" w:hAnsi="Arial Narrow"/>
          <w:b/>
          <w:sz w:val="24"/>
          <w:szCs w:val="24"/>
        </w:rPr>
      </w:pPr>
      <w:r w:rsidRPr="00F056D7">
        <w:rPr>
          <w:rFonts w:ascii="Arial Narrow" w:hAnsi="Arial Narrow"/>
          <w:b/>
          <w:sz w:val="24"/>
          <w:szCs w:val="24"/>
        </w:rPr>
        <w:t>JUAN FERNANDO REYES KURI</w:t>
      </w:r>
      <w:r>
        <w:rPr>
          <w:rFonts w:ascii="Arial Narrow" w:hAnsi="Arial Narrow"/>
          <w:b/>
          <w:sz w:val="24"/>
          <w:szCs w:val="24"/>
        </w:rPr>
        <w:tab/>
      </w:r>
      <w:r>
        <w:rPr>
          <w:rFonts w:ascii="Arial Narrow" w:hAnsi="Arial Narrow"/>
          <w:b/>
          <w:sz w:val="24"/>
          <w:szCs w:val="24"/>
        </w:rPr>
        <w:tab/>
      </w:r>
      <w:r w:rsidRPr="00B94EBB">
        <w:rPr>
          <w:rFonts w:ascii="Arial" w:eastAsia="Arial" w:hAnsi="Arial" w:cs="Arial"/>
          <w:b/>
          <w:sz w:val="24"/>
          <w:szCs w:val="24"/>
        </w:rPr>
        <w:t>ELIZABETH JAY- PANG DIAZ</w:t>
      </w:r>
    </w:p>
    <w:p w14:paraId="33B9EBFF" w14:textId="77777777" w:rsidR="00A23F3A" w:rsidRDefault="00A23F3A" w:rsidP="00A23F3A">
      <w:pPr>
        <w:spacing w:after="0" w:line="240" w:lineRule="auto"/>
        <w:rPr>
          <w:rFonts w:ascii="Arial" w:eastAsia="Arial" w:hAnsi="Arial" w:cs="Arial"/>
          <w:sz w:val="20"/>
          <w:szCs w:val="20"/>
        </w:rPr>
      </w:pPr>
      <w:r w:rsidRPr="00B94EBB">
        <w:rPr>
          <w:rFonts w:ascii="Arial" w:eastAsia="Arial" w:hAnsi="Arial" w:cs="Arial"/>
          <w:sz w:val="18"/>
          <w:szCs w:val="18"/>
        </w:rPr>
        <w:t>Representante a la Cámara por el Valle del Cauca</w:t>
      </w:r>
      <w:r>
        <w:rPr>
          <w:rFonts w:ascii="Arial" w:eastAsia="Arial" w:hAnsi="Arial" w:cs="Arial"/>
          <w:sz w:val="18"/>
          <w:szCs w:val="18"/>
        </w:rPr>
        <w:t xml:space="preserve">      </w:t>
      </w:r>
      <w:r w:rsidRPr="00B94EBB">
        <w:rPr>
          <w:rFonts w:ascii="Arial" w:eastAsia="Arial" w:hAnsi="Arial" w:cs="Arial"/>
          <w:sz w:val="18"/>
          <w:szCs w:val="18"/>
        </w:rPr>
        <w:t xml:space="preserve">Representante a la Cámara San  por </w:t>
      </w:r>
      <w:r>
        <w:rPr>
          <w:rFonts w:ascii="Arial" w:eastAsia="Arial" w:hAnsi="Arial" w:cs="Arial"/>
          <w:sz w:val="20"/>
          <w:szCs w:val="20"/>
        </w:rPr>
        <w:t xml:space="preserve">Andrés </w:t>
      </w:r>
    </w:p>
    <w:p w14:paraId="7E9F77A4" w14:textId="77777777" w:rsidR="00A23F3A" w:rsidRDefault="00A23F3A" w:rsidP="00A23F3A">
      <w:pPr>
        <w:spacing w:after="0" w:line="240" w:lineRule="auto"/>
        <w:rPr>
          <w:rFonts w:ascii="Arial" w:eastAsia="Arial" w:hAnsi="Arial" w:cs="Arial"/>
          <w:sz w:val="20"/>
          <w:szCs w:val="20"/>
        </w:rPr>
      </w:pPr>
    </w:p>
    <w:p w14:paraId="46BDBEE5" w14:textId="77777777" w:rsidR="00A23F3A" w:rsidRDefault="00A23F3A" w:rsidP="00A23F3A">
      <w:pPr>
        <w:spacing w:after="0" w:line="240" w:lineRule="auto"/>
        <w:rPr>
          <w:rFonts w:ascii="Arial" w:eastAsia="Arial" w:hAnsi="Arial" w:cs="Arial"/>
          <w:sz w:val="20"/>
          <w:szCs w:val="20"/>
        </w:rPr>
      </w:pPr>
    </w:p>
    <w:p w14:paraId="78513BD1" w14:textId="77777777" w:rsidR="00A23F3A" w:rsidRDefault="00A23F3A" w:rsidP="00A23F3A">
      <w:pPr>
        <w:rPr>
          <w:rFonts w:ascii="Arial" w:eastAsia="Arial" w:hAnsi="Arial" w:cs="Arial"/>
          <w:b/>
          <w:bCs/>
        </w:rPr>
      </w:pPr>
      <w:r w:rsidRPr="00614106">
        <w:rPr>
          <w:rFonts w:ascii="Arial" w:eastAsia="Arial" w:hAnsi="Arial" w:cs="Arial"/>
          <w:b/>
          <w:bCs/>
          <w:sz w:val="24"/>
          <w:szCs w:val="24"/>
        </w:rPr>
        <w:t>HENRY FERNANDO CORREAL</w:t>
      </w:r>
      <w:r>
        <w:rPr>
          <w:rFonts w:ascii="Arial" w:eastAsia="Arial" w:hAnsi="Arial" w:cs="Arial"/>
          <w:b/>
          <w:bCs/>
          <w:sz w:val="24"/>
          <w:szCs w:val="24"/>
        </w:rPr>
        <w:t xml:space="preserve"> </w:t>
      </w:r>
      <w:r w:rsidRPr="00614106">
        <w:rPr>
          <w:rFonts w:ascii="Arial" w:eastAsia="Arial" w:hAnsi="Arial" w:cs="Arial"/>
          <w:b/>
          <w:bCs/>
          <w:sz w:val="24"/>
          <w:szCs w:val="24"/>
        </w:rPr>
        <w:t xml:space="preserve"> </w:t>
      </w:r>
      <w:r>
        <w:rPr>
          <w:rFonts w:ascii="Arial" w:eastAsia="Arial" w:hAnsi="Arial" w:cs="Arial"/>
          <w:b/>
          <w:bCs/>
          <w:sz w:val="24"/>
          <w:szCs w:val="24"/>
        </w:rPr>
        <w:t xml:space="preserve">       </w:t>
      </w:r>
      <w:r>
        <w:rPr>
          <w:rFonts w:ascii="Arial" w:eastAsia="Arial" w:hAnsi="Arial" w:cs="Arial"/>
          <w:b/>
          <w:bCs/>
        </w:rPr>
        <w:t>EDGAR ALFONSO GÓMEZ ROMÁ</w:t>
      </w:r>
    </w:p>
    <w:p w14:paraId="5F70BEF4" w14:textId="77777777" w:rsidR="00A23F3A" w:rsidRPr="00594496" w:rsidRDefault="00A23F3A" w:rsidP="00A23F3A">
      <w:pPr>
        <w:rPr>
          <w:rFonts w:ascii="Arial" w:eastAsia="Arial" w:hAnsi="Arial" w:cs="Arial"/>
          <w:b/>
          <w:bCs/>
          <w:sz w:val="24"/>
          <w:szCs w:val="24"/>
        </w:rPr>
      </w:pPr>
      <w:r w:rsidRPr="00B94EBB">
        <w:rPr>
          <w:rFonts w:ascii="Arial" w:eastAsia="Arial" w:hAnsi="Arial" w:cs="Arial"/>
          <w:sz w:val="18"/>
          <w:szCs w:val="18"/>
        </w:rPr>
        <w:t xml:space="preserve">Representante a </w:t>
      </w:r>
      <w:r>
        <w:rPr>
          <w:rFonts w:ascii="Arial" w:eastAsia="Arial" w:hAnsi="Arial" w:cs="Arial"/>
          <w:sz w:val="18"/>
          <w:szCs w:val="18"/>
        </w:rPr>
        <w:t xml:space="preserve">la Cámara por el Vaupés               </w:t>
      </w:r>
      <w:r w:rsidRPr="00B94EBB">
        <w:rPr>
          <w:rFonts w:ascii="Arial" w:eastAsia="Arial" w:hAnsi="Arial" w:cs="Arial"/>
          <w:sz w:val="18"/>
          <w:szCs w:val="18"/>
        </w:rPr>
        <w:t xml:space="preserve">Representante a </w:t>
      </w:r>
      <w:r>
        <w:rPr>
          <w:rFonts w:ascii="Arial" w:eastAsia="Arial" w:hAnsi="Arial" w:cs="Arial"/>
          <w:sz w:val="18"/>
          <w:szCs w:val="18"/>
        </w:rPr>
        <w:t>la Cámara por  Santander.</w:t>
      </w:r>
    </w:p>
    <w:p w14:paraId="035A8491" w14:textId="77777777" w:rsidR="00A23F3A" w:rsidRDefault="00A23F3A" w:rsidP="00A23F3A">
      <w:pPr>
        <w:rPr>
          <w:rFonts w:ascii="Arial" w:eastAsia="Arial" w:hAnsi="Arial" w:cs="Arial"/>
          <w:sz w:val="18"/>
          <w:szCs w:val="18"/>
        </w:rPr>
      </w:pPr>
    </w:p>
    <w:p w14:paraId="429C4DB2" w14:textId="77777777" w:rsidR="00A23F3A" w:rsidRPr="007443D1" w:rsidRDefault="00A23F3A" w:rsidP="00A23F3A">
      <w:pPr>
        <w:rPr>
          <w:rFonts w:ascii="Arial" w:eastAsia="Arial" w:hAnsi="Arial" w:cs="Arial"/>
          <w:sz w:val="18"/>
          <w:szCs w:val="18"/>
        </w:rPr>
      </w:pPr>
      <w:r w:rsidRPr="00836DFA">
        <w:rPr>
          <w:rFonts w:ascii="Arial" w:eastAsia="Arial" w:hAnsi="Arial" w:cs="Arial"/>
          <w:b/>
          <w:sz w:val="24"/>
          <w:szCs w:val="24"/>
        </w:rPr>
        <w:t>FABIO FERNANDO ARROYAVE</w:t>
      </w:r>
      <w:r>
        <w:rPr>
          <w:rFonts w:ascii="Arial" w:eastAsia="Arial" w:hAnsi="Arial" w:cs="Arial"/>
          <w:b/>
          <w:sz w:val="24"/>
          <w:szCs w:val="24"/>
        </w:rPr>
        <w:tab/>
        <w:t>NILTON CORDOBA MANYOMA</w:t>
      </w:r>
    </w:p>
    <w:p w14:paraId="015D8726" w14:textId="77777777" w:rsidR="00A23F3A" w:rsidRDefault="00A23F3A" w:rsidP="00A23F3A">
      <w:pPr>
        <w:rPr>
          <w:rFonts w:ascii="Arial" w:eastAsia="Arial" w:hAnsi="Arial" w:cs="Arial"/>
          <w:b/>
          <w:sz w:val="24"/>
          <w:szCs w:val="24"/>
        </w:rPr>
      </w:pPr>
      <w:r w:rsidRPr="00B94EBB">
        <w:rPr>
          <w:rFonts w:ascii="Arial" w:eastAsia="Arial" w:hAnsi="Arial" w:cs="Arial"/>
          <w:sz w:val="18"/>
          <w:szCs w:val="18"/>
        </w:rPr>
        <w:t xml:space="preserve">Representante a </w:t>
      </w:r>
      <w:r>
        <w:rPr>
          <w:rFonts w:ascii="Arial" w:eastAsia="Arial" w:hAnsi="Arial" w:cs="Arial"/>
          <w:sz w:val="18"/>
          <w:szCs w:val="18"/>
        </w:rPr>
        <w:t>la Cámara por el Valle del Cauca</w:t>
      </w:r>
      <w:r w:rsidRPr="009937F4">
        <w:rPr>
          <w:rFonts w:ascii="Arial" w:eastAsia="Arial" w:hAnsi="Arial" w:cs="Arial"/>
          <w:sz w:val="18"/>
          <w:szCs w:val="18"/>
        </w:rPr>
        <w:t xml:space="preserve"> </w:t>
      </w:r>
      <w:r>
        <w:rPr>
          <w:rFonts w:ascii="Arial" w:eastAsia="Arial" w:hAnsi="Arial" w:cs="Arial"/>
          <w:sz w:val="18"/>
          <w:szCs w:val="18"/>
        </w:rPr>
        <w:t xml:space="preserve">     </w:t>
      </w:r>
      <w:r w:rsidRPr="00B94EBB">
        <w:rPr>
          <w:rFonts w:ascii="Arial" w:eastAsia="Arial" w:hAnsi="Arial" w:cs="Arial"/>
          <w:sz w:val="18"/>
          <w:szCs w:val="18"/>
        </w:rPr>
        <w:t xml:space="preserve">Representante a </w:t>
      </w:r>
      <w:r>
        <w:rPr>
          <w:rFonts w:ascii="Arial" w:eastAsia="Arial" w:hAnsi="Arial" w:cs="Arial"/>
          <w:sz w:val="18"/>
          <w:szCs w:val="18"/>
        </w:rPr>
        <w:t>la Cámara por el Chocó</w:t>
      </w:r>
    </w:p>
    <w:p w14:paraId="7C167C57" w14:textId="77777777" w:rsidR="00A23F3A" w:rsidRDefault="00A23F3A" w:rsidP="00A23F3A">
      <w:pPr>
        <w:rPr>
          <w:rFonts w:ascii="Arial Narrow" w:hAnsi="Arial Narrow"/>
          <w:sz w:val="24"/>
          <w:szCs w:val="24"/>
        </w:rPr>
      </w:pPr>
    </w:p>
    <w:p w14:paraId="05AD1703" w14:textId="77777777" w:rsidR="00A23F3A" w:rsidRDefault="00A23F3A" w:rsidP="00A23F3A">
      <w:pPr>
        <w:rPr>
          <w:rFonts w:ascii="Arial Narrow" w:hAnsi="Arial Narrow"/>
          <w:sz w:val="24"/>
          <w:szCs w:val="24"/>
        </w:rPr>
      </w:pPr>
    </w:p>
    <w:p w14:paraId="5F4A52D6" w14:textId="77777777" w:rsidR="00A23F3A" w:rsidRDefault="00A23F3A" w:rsidP="00955137">
      <w:pPr>
        <w:jc w:val="both"/>
        <w:rPr>
          <w:rFonts w:ascii="Arial Narrow" w:eastAsia="Arial Narrow" w:hAnsi="Arial Narrow" w:cs="Arial Narrow"/>
        </w:rPr>
      </w:pPr>
    </w:p>
    <w:p w14:paraId="16F5E31F" w14:textId="17E4AD34" w:rsidR="00942AB7" w:rsidRDefault="00942AB7" w:rsidP="00E910E6">
      <w:pPr>
        <w:rPr>
          <w:rFonts w:ascii="Arial Narrow" w:eastAsia="Arial Narrow" w:hAnsi="Arial Narrow" w:cs="Arial Narrow"/>
          <w:color w:val="000000"/>
          <w:sz w:val="24"/>
          <w:szCs w:val="24"/>
        </w:rPr>
      </w:pPr>
    </w:p>
    <w:p w14:paraId="3AD5526C" w14:textId="77777777" w:rsidR="00E910E6" w:rsidRDefault="00E910E6" w:rsidP="00E910E6">
      <w:pPr>
        <w:rPr>
          <w:rFonts w:ascii="Arial Narrow" w:eastAsia="Arial Narrow" w:hAnsi="Arial Narrow" w:cs="Arial Narrow"/>
          <w:color w:val="000000"/>
          <w:sz w:val="24"/>
          <w:szCs w:val="24"/>
        </w:rPr>
      </w:pPr>
    </w:p>
    <w:p w14:paraId="33EFEE16" w14:textId="77777777" w:rsidR="00E910E6" w:rsidRDefault="00E910E6" w:rsidP="00E910E6">
      <w:pPr>
        <w:jc w:val="both"/>
        <w:rPr>
          <w:rFonts w:ascii="Arial Narrow" w:hAnsi="Arial Narrow"/>
          <w:sz w:val="24"/>
          <w:szCs w:val="24"/>
        </w:rPr>
      </w:pPr>
    </w:p>
    <w:p w14:paraId="5A91844E" w14:textId="6C8C70F3" w:rsidR="00E910E6" w:rsidRDefault="00E910E6" w:rsidP="00A23F3A">
      <w:pPr>
        <w:jc w:val="both"/>
        <w:rPr>
          <w:rFonts w:ascii="Arial" w:eastAsia="Arial" w:hAnsi="Arial" w:cs="Arial"/>
          <w:sz w:val="24"/>
          <w:szCs w:val="24"/>
        </w:rPr>
      </w:pPr>
      <w:r>
        <w:rPr>
          <w:rFonts w:ascii="Arial Narrow" w:hAnsi="Arial Narrow"/>
          <w:sz w:val="24"/>
          <w:szCs w:val="24"/>
        </w:rPr>
        <w:tab/>
      </w:r>
    </w:p>
    <w:sectPr w:rsidR="00E910E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44ED" w14:textId="77777777" w:rsidR="00BD3AF4" w:rsidRDefault="00BD3AF4" w:rsidP="005876DC">
      <w:pPr>
        <w:spacing w:after="0" w:line="240" w:lineRule="auto"/>
      </w:pPr>
      <w:r>
        <w:separator/>
      </w:r>
    </w:p>
  </w:endnote>
  <w:endnote w:type="continuationSeparator" w:id="0">
    <w:p w14:paraId="6ADB7880" w14:textId="77777777" w:rsidR="00BD3AF4" w:rsidRDefault="00BD3AF4" w:rsidP="0058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1E4AA" w14:textId="77777777" w:rsidR="00BD3AF4" w:rsidRDefault="00BD3AF4" w:rsidP="005876DC">
      <w:pPr>
        <w:spacing w:after="0" w:line="240" w:lineRule="auto"/>
      </w:pPr>
      <w:r>
        <w:separator/>
      </w:r>
    </w:p>
  </w:footnote>
  <w:footnote w:type="continuationSeparator" w:id="0">
    <w:p w14:paraId="6C262EB5" w14:textId="77777777" w:rsidR="00BD3AF4" w:rsidRDefault="00BD3AF4" w:rsidP="005876DC">
      <w:pPr>
        <w:spacing w:after="0" w:line="240" w:lineRule="auto"/>
      </w:pPr>
      <w:r>
        <w:continuationSeparator/>
      </w:r>
    </w:p>
  </w:footnote>
  <w:footnote w:id="1">
    <w:p w14:paraId="4E15CC81"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2">
    <w:p w14:paraId="355356C4"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3">
    <w:p w14:paraId="5934783D"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4">
    <w:p w14:paraId="4CF5B099"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5">
    <w:p w14:paraId="0884C1C4"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6">
    <w:p w14:paraId="680A2A0F"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7">
    <w:p w14:paraId="27C0A04F" w14:textId="77777777" w:rsidR="00955137" w:rsidRDefault="00955137" w:rsidP="00955137">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del Consejo de Estado 02830 del 16 de julio de 2019. </w:t>
      </w:r>
    </w:p>
  </w:footnote>
  <w:footnote w:id="8">
    <w:p w14:paraId="23D2C18E" w14:textId="77777777" w:rsidR="00955137" w:rsidRDefault="00955137" w:rsidP="00955137">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Ley 2003 del 19 de noviembre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8389" w14:textId="466F8957" w:rsidR="005876DC" w:rsidRDefault="00E910E6">
    <w:pPr>
      <w:pStyle w:val="Encabezado"/>
    </w:pPr>
    <w:r w:rsidRPr="00115EBC">
      <w:rPr>
        <w:noProof/>
        <w:lang w:val="es-CO" w:eastAsia="es-CO"/>
      </w:rPr>
      <w:drawing>
        <wp:anchor distT="0" distB="0" distL="114300" distR="114300" simplePos="0" relativeHeight="251658240" behindDoc="0" locked="0" layoutInCell="1" allowOverlap="1" wp14:anchorId="1705A9B2" wp14:editId="5E7C8761">
          <wp:simplePos x="0" y="0"/>
          <wp:positionH relativeFrom="column">
            <wp:posOffset>1872615</wp:posOffset>
          </wp:positionH>
          <wp:positionV relativeFrom="paragraph">
            <wp:posOffset>-106680</wp:posOffset>
          </wp:positionV>
          <wp:extent cx="2219022" cy="986354"/>
          <wp:effectExtent l="0" t="0" r="0" b="4445"/>
          <wp:wrapTopAndBottom/>
          <wp:docPr id="9" name="Imagen 9" descr="C:\Users\alejandra.llanos\Downloads\WhatsApp Image 2020-08-06 at 7.53.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0-08-06 at 7.53.29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022" cy="9863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800"/>
    <w:multiLevelType w:val="multilevel"/>
    <w:tmpl w:val="E850E278"/>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8D"/>
    <w:rsid w:val="00077F42"/>
    <w:rsid w:val="000800B3"/>
    <w:rsid w:val="000A0F36"/>
    <w:rsid w:val="000E6EAC"/>
    <w:rsid w:val="001331CA"/>
    <w:rsid w:val="00152B33"/>
    <w:rsid w:val="00240723"/>
    <w:rsid w:val="00240967"/>
    <w:rsid w:val="00252156"/>
    <w:rsid w:val="003421D1"/>
    <w:rsid w:val="0034601D"/>
    <w:rsid w:val="003565B2"/>
    <w:rsid w:val="003C5496"/>
    <w:rsid w:val="003F5993"/>
    <w:rsid w:val="00546E1B"/>
    <w:rsid w:val="005876DC"/>
    <w:rsid w:val="00594496"/>
    <w:rsid w:val="005C7533"/>
    <w:rsid w:val="006845D9"/>
    <w:rsid w:val="00715FCC"/>
    <w:rsid w:val="00734860"/>
    <w:rsid w:val="007443D1"/>
    <w:rsid w:val="007A1956"/>
    <w:rsid w:val="007A275B"/>
    <w:rsid w:val="008C684D"/>
    <w:rsid w:val="008F2653"/>
    <w:rsid w:val="00942AB7"/>
    <w:rsid w:val="00955137"/>
    <w:rsid w:val="00966001"/>
    <w:rsid w:val="009937F4"/>
    <w:rsid w:val="0099775A"/>
    <w:rsid w:val="009C532B"/>
    <w:rsid w:val="009C5AB4"/>
    <w:rsid w:val="009E2AA5"/>
    <w:rsid w:val="00A23F3A"/>
    <w:rsid w:val="00A36C86"/>
    <w:rsid w:val="00A84C1A"/>
    <w:rsid w:val="00B45106"/>
    <w:rsid w:val="00B5118C"/>
    <w:rsid w:val="00B60EAB"/>
    <w:rsid w:val="00B94EBB"/>
    <w:rsid w:val="00BD3AF4"/>
    <w:rsid w:val="00C5309F"/>
    <w:rsid w:val="00CF0B5F"/>
    <w:rsid w:val="00D542BA"/>
    <w:rsid w:val="00D72870"/>
    <w:rsid w:val="00D80253"/>
    <w:rsid w:val="00DA758D"/>
    <w:rsid w:val="00DC2A3F"/>
    <w:rsid w:val="00DE7CC1"/>
    <w:rsid w:val="00E16470"/>
    <w:rsid w:val="00E910E6"/>
    <w:rsid w:val="00EA4EA0"/>
    <w:rsid w:val="00EB4E5D"/>
    <w:rsid w:val="00EE7394"/>
    <w:rsid w:val="00F056D7"/>
    <w:rsid w:val="00F10064"/>
    <w:rsid w:val="00FA6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06501"/>
  <w15:chartTrackingRefBased/>
  <w15:docId w15:val="{BF2EBF16-5735-4EF1-A697-9D74888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6DC"/>
  </w:style>
  <w:style w:type="paragraph" w:styleId="Piedepgina">
    <w:name w:val="footer"/>
    <w:basedOn w:val="Normal"/>
    <w:link w:val="PiedepginaCar"/>
    <w:uiPriority w:val="99"/>
    <w:unhideWhenUsed/>
    <w:rsid w:val="00587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76DC"/>
  </w:style>
  <w:style w:type="paragraph" w:styleId="Textonotapie">
    <w:name w:val="footnote text"/>
    <w:basedOn w:val="Normal"/>
    <w:link w:val="TextonotapieCar"/>
    <w:uiPriority w:val="99"/>
    <w:semiHidden/>
    <w:unhideWhenUsed/>
    <w:rsid w:val="009551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5137"/>
    <w:rPr>
      <w:sz w:val="20"/>
      <w:szCs w:val="20"/>
    </w:rPr>
  </w:style>
  <w:style w:type="character" w:styleId="Refdenotaalpie">
    <w:name w:val="footnote reference"/>
    <w:basedOn w:val="Fuentedeprrafopredeter"/>
    <w:uiPriority w:val="99"/>
    <w:semiHidden/>
    <w:unhideWhenUsed/>
    <w:rsid w:val="00955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2003_20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2678</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David Rubio Ariza</dc:creator>
  <cp:keywords/>
  <dc:description/>
  <cp:lastModifiedBy>camilo acuna</cp:lastModifiedBy>
  <cp:revision>2</cp:revision>
  <dcterms:created xsi:type="dcterms:W3CDTF">2020-09-07T15:11:00Z</dcterms:created>
  <dcterms:modified xsi:type="dcterms:W3CDTF">2020-09-07T15:11:00Z</dcterms:modified>
</cp:coreProperties>
</file>