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AD418" w14:textId="77777777" w:rsidR="00CE1B93" w:rsidRDefault="00CE1B93" w:rsidP="00E82EF3">
      <w:pPr>
        <w:jc w:val="center"/>
        <w:rPr>
          <w:rFonts w:ascii="Arial Narrow" w:hAnsi="Arial Narrow"/>
          <w:b/>
          <w:bCs/>
          <w:sz w:val="24"/>
          <w:szCs w:val="24"/>
        </w:rPr>
      </w:pPr>
      <w:bookmarkStart w:id="0" w:name="_GoBack"/>
      <w:bookmarkEnd w:id="0"/>
    </w:p>
    <w:p w14:paraId="17C650C4" w14:textId="77777777" w:rsidR="00E64B20" w:rsidRPr="00534209" w:rsidRDefault="00E64B20" w:rsidP="00E64B20">
      <w:pPr>
        <w:jc w:val="center"/>
        <w:rPr>
          <w:rFonts w:ascii="Arial Narrow" w:hAnsi="Arial Narrow"/>
          <w:b/>
          <w:bCs/>
          <w:sz w:val="24"/>
          <w:szCs w:val="24"/>
        </w:rPr>
      </w:pPr>
      <w:r w:rsidRPr="00534209">
        <w:rPr>
          <w:rFonts w:ascii="Arial Narrow" w:hAnsi="Arial Narrow"/>
          <w:b/>
          <w:bCs/>
          <w:sz w:val="24"/>
          <w:szCs w:val="24"/>
        </w:rPr>
        <w:t>PROYECTO DE LEY NO. ___</w:t>
      </w:r>
    </w:p>
    <w:p w14:paraId="2E153689" w14:textId="77777777" w:rsidR="00E64B20" w:rsidRDefault="00E64B20" w:rsidP="00E64B20">
      <w:pPr>
        <w:jc w:val="center"/>
        <w:rPr>
          <w:rFonts w:ascii="Arial Narrow" w:hAnsi="Arial Narrow"/>
          <w:b/>
          <w:bCs/>
          <w:sz w:val="24"/>
          <w:szCs w:val="24"/>
        </w:rPr>
      </w:pPr>
      <w:r w:rsidRPr="00534209">
        <w:rPr>
          <w:rFonts w:ascii="Arial Narrow" w:hAnsi="Arial Narrow"/>
          <w:b/>
          <w:bCs/>
          <w:sz w:val="24"/>
          <w:szCs w:val="24"/>
        </w:rPr>
        <w:t>POR MEDIO DE LA CUAL SE MODIFICA LA LEY 819 DE 2003 Y SE MODIFICA EL CONCEPTO DE IMPACTO FISCAL</w:t>
      </w:r>
    </w:p>
    <w:p w14:paraId="7ED9FC9C" w14:textId="77777777" w:rsidR="00E64B20" w:rsidRDefault="00E64B20" w:rsidP="00E64B20">
      <w:pPr>
        <w:jc w:val="center"/>
        <w:rPr>
          <w:rFonts w:ascii="Arial Narrow" w:hAnsi="Arial Narrow"/>
          <w:b/>
          <w:bCs/>
          <w:sz w:val="24"/>
          <w:szCs w:val="24"/>
        </w:rPr>
      </w:pPr>
      <w:r>
        <w:rPr>
          <w:rFonts w:ascii="Arial Narrow" w:hAnsi="Arial Narrow"/>
          <w:b/>
          <w:bCs/>
          <w:sz w:val="24"/>
          <w:szCs w:val="24"/>
        </w:rPr>
        <w:t>El Congreso de Colombia</w:t>
      </w:r>
    </w:p>
    <w:p w14:paraId="0BBCDA85" w14:textId="77777777" w:rsidR="00E64B20" w:rsidRPr="00534209" w:rsidRDefault="00E64B20" w:rsidP="00E64B20">
      <w:pPr>
        <w:jc w:val="center"/>
        <w:rPr>
          <w:rFonts w:ascii="Arial Narrow" w:hAnsi="Arial Narrow"/>
          <w:b/>
          <w:bCs/>
          <w:sz w:val="24"/>
          <w:szCs w:val="24"/>
        </w:rPr>
      </w:pPr>
      <w:r>
        <w:rPr>
          <w:rFonts w:ascii="Arial Narrow" w:hAnsi="Arial Narrow"/>
          <w:b/>
          <w:bCs/>
          <w:sz w:val="24"/>
          <w:szCs w:val="24"/>
        </w:rPr>
        <w:t>DECRETA:</w:t>
      </w:r>
    </w:p>
    <w:p w14:paraId="6717DEE1" w14:textId="77777777" w:rsidR="00E64B20" w:rsidRPr="00534209" w:rsidRDefault="00E64B20" w:rsidP="00E64B20">
      <w:pPr>
        <w:jc w:val="both"/>
        <w:rPr>
          <w:rFonts w:ascii="Arial Narrow" w:hAnsi="Arial Narrow"/>
          <w:sz w:val="24"/>
          <w:szCs w:val="24"/>
        </w:rPr>
      </w:pPr>
      <w:r w:rsidRPr="00534209">
        <w:rPr>
          <w:rFonts w:ascii="Arial Narrow" w:hAnsi="Arial Narrow"/>
          <w:b/>
          <w:bCs/>
          <w:sz w:val="24"/>
          <w:szCs w:val="24"/>
        </w:rPr>
        <w:t>Artículo 1.</w:t>
      </w:r>
      <w:r w:rsidRPr="00534209">
        <w:rPr>
          <w:rFonts w:ascii="Arial Narrow" w:hAnsi="Arial Narrow"/>
          <w:sz w:val="24"/>
          <w:szCs w:val="24"/>
        </w:rPr>
        <w:t xml:space="preserve"> Modifíquese el artículo 7 de la Ley 819 de 2003, el cual quedará así: </w:t>
      </w:r>
    </w:p>
    <w:p w14:paraId="19CE5148" w14:textId="77777777" w:rsidR="00E64B20" w:rsidRPr="00534209" w:rsidRDefault="00E64B20" w:rsidP="00E64B20">
      <w:pPr>
        <w:ind w:left="708"/>
        <w:jc w:val="both"/>
        <w:rPr>
          <w:rFonts w:ascii="Arial Narrow" w:hAnsi="Arial Narrow"/>
          <w:sz w:val="24"/>
          <w:szCs w:val="24"/>
        </w:rPr>
      </w:pPr>
      <w:r w:rsidRPr="00534209">
        <w:rPr>
          <w:rFonts w:ascii="Arial Narrow" w:hAnsi="Arial Narrow"/>
          <w:sz w:val="24"/>
          <w:szCs w:val="24"/>
        </w:rPr>
        <w:t>Artículo 7º.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1B10EE15" w14:textId="77777777" w:rsidR="00E64B20" w:rsidRPr="00534209" w:rsidRDefault="00E64B20" w:rsidP="00E64B20">
      <w:pPr>
        <w:ind w:left="708"/>
        <w:jc w:val="both"/>
        <w:rPr>
          <w:rFonts w:ascii="Arial Narrow" w:hAnsi="Arial Narrow"/>
          <w:sz w:val="24"/>
          <w:szCs w:val="24"/>
        </w:rPr>
      </w:pPr>
      <w:r w:rsidRPr="00534209">
        <w:rPr>
          <w:rFonts w:ascii="Arial Narrow" w:hAnsi="Arial Narrow"/>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738A5492" w14:textId="77777777" w:rsidR="00E64B20" w:rsidRDefault="00E64B20" w:rsidP="00E64B20">
      <w:pPr>
        <w:ind w:left="708"/>
        <w:jc w:val="both"/>
        <w:rPr>
          <w:rFonts w:ascii="Arial Narrow" w:hAnsi="Arial Narrow"/>
          <w:b/>
          <w:bCs/>
          <w:sz w:val="24"/>
          <w:szCs w:val="24"/>
          <w:u w:val="single"/>
        </w:rPr>
      </w:pPr>
      <w:r w:rsidRPr="00534209">
        <w:rPr>
          <w:rFonts w:ascii="Arial Narrow" w:hAnsi="Arial Narrow"/>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r w:rsidRPr="000318E8">
        <w:rPr>
          <w:rFonts w:ascii="Arial Narrow" w:hAnsi="Arial Narrow"/>
          <w:b/>
          <w:bCs/>
          <w:sz w:val="24"/>
          <w:szCs w:val="24"/>
          <w:u w:val="single"/>
        </w:rPr>
        <w:t xml:space="preserve"> </w:t>
      </w:r>
    </w:p>
    <w:p w14:paraId="1CDB670B" w14:textId="77777777" w:rsidR="00E64B20" w:rsidRDefault="00E64B20" w:rsidP="00E64B20">
      <w:pPr>
        <w:ind w:left="708"/>
        <w:jc w:val="both"/>
        <w:rPr>
          <w:rFonts w:ascii="Arial Narrow" w:hAnsi="Arial Narrow"/>
          <w:b/>
          <w:bCs/>
          <w:sz w:val="24"/>
          <w:szCs w:val="24"/>
          <w:u w:val="single"/>
        </w:rPr>
      </w:pPr>
      <w:r>
        <w:rPr>
          <w:rFonts w:ascii="Arial Narrow" w:hAnsi="Arial Narrow"/>
          <w:b/>
          <w:bCs/>
          <w:sz w:val="24"/>
          <w:szCs w:val="24"/>
          <w:u w:val="single"/>
        </w:rPr>
        <w:t>Cuando se trate de proyectos de ley que busquen desarrollar, satisfacer o proteger derechos fundamentales consagrados en la Constitución Nacional o aquellos conexos a estos; el concepto emitido por el Ministerio de Hacienda y Crédito Público debe contemplar la posibilidad de financiamiento de la iniciativa a corto, mediano y largo plazo dentro de las metas de sostenibilidad fiscal del Marco Fiscal de Mediano Plazo. Así mismo, el gobierno nacional deberá incluir el actual gasto incurrido para garantizar el cumplimento de dichos derechos.</w:t>
      </w:r>
    </w:p>
    <w:p w14:paraId="280CCA2B" w14:textId="77777777" w:rsidR="00E64B20" w:rsidRPr="00534209" w:rsidRDefault="00E64B20" w:rsidP="00E64B20">
      <w:pPr>
        <w:ind w:left="708"/>
        <w:jc w:val="both"/>
        <w:rPr>
          <w:rFonts w:ascii="Arial Narrow" w:hAnsi="Arial Narrow"/>
          <w:b/>
          <w:bCs/>
          <w:sz w:val="24"/>
          <w:szCs w:val="24"/>
          <w:u w:val="single"/>
        </w:rPr>
      </w:pPr>
      <w:r>
        <w:rPr>
          <w:rFonts w:ascii="Arial Narrow" w:hAnsi="Arial Narrow"/>
          <w:b/>
          <w:bCs/>
          <w:sz w:val="24"/>
          <w:szCs w:val="24"/>
          <w:u w:val="single"/>
        </w:rPr>
        <w:t>En efecto, todo</w:t>
      </w:r>
      <w:r w:rsidRPr="00534209">
        <w:rPr>
          <w:rFonts w:ascii="Arial Narrow" w:hAnsi="Arial Narrow"/>
          <w:b/>
          <w:bCs/>
          <w:sz w:val="24"/>
          <w:szCs w:val="24"/>
          <w:u w:val="single"/>
        </w:rPr>
        <w:t xml:space="preserve"> concepto emitido por el Ministerio de Hacienda y Crédito Público debe incluir cálculos propios del gobierno nacional, y no puede incluir cifras de gremios que representen interés privados dentro de la iniciativa.</w:t>
      </w:r>
    </w:p>
    <w:p w14:paraId="0DB49DCE" w14:textId="0BEB1304" w:rsidR="00E64B20" w:rsidRPr="00534209" w:rsidRDefault="00E64B20" w:rsidP="00E64B20">
      <w:pPr>
        <w:ind w:left="708"/>
        <w:jc w:val="both"/>
        <w:rPr>
          <w:rFonts w:ascii="Arial Narrow" w:hAnsi="Arial Narrow"/>
          <w:sz w:val="24"/>
          <w:szCs w:val="24"/>
        </w:rPr>
      </w:pPr>
      <w:r w:rsidRPr="00534209">
        <w:rPr>
          <w:rFonts w:ascii="Arial Narrow" w:hAnsi="Arial Narrow"/>
          <w:sz w:val="24"/>
          <w:szCs w:val="24"/>
        </w:rPr>
        <w:lastRenderedPageBreak/>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65169491" w14:textId="77777777" w:rsidR="00E64B20" w:rsidRPr="00534209" w:rsidRDefault="00E64B20" w:rsidP="00E64B20">
      <w:pPr>
        <w:ind w:left="708"/>
        <w:jc w:val="both"/>
        <w:rPr>
          <w:rFonts w:ascii="Arial Narrow" w:hAnsi="Arial Narrow"/>
          <w:sz w:val="24"/>
          <w:szCs w:val="24"/>
        </w:rPr>
      </w:pPr>
      <w:r w:rsidRPr="00534209">
        <w:rPr>
          <w:rFonts w:ascii="Arial Narrow" w:hAnsi="Arial Narrow"/>
          <w:sz w:val="24"/>
          <w:szCs w:val="24"/>
        </w:rPr>
        <w:t>En las entidades territoriales, el trámite previsto en el inciso anterior será surtido ante la respectiva Secretaría de Hacienda o quien haga sus veces.</w:t>
      </w:r>
    </w:p>
    <w:p w14:paraId="1921AB2F" w14:textId="5C2CF633" w:rsidR="00E64B20" w:rsidRDefault="00E64B20" w:rsidP="00BF4DC4">
      <w:pPr>
        <w:jc w:val="both"/>
        <w:rPr>
          <w:rFonts w:ascii="Arial Narrow" w:hAnsi="Arial Narrow"/>
          <w:sz w:val="24"/>
          <w:szCs w:val="24"/>
        </w:rPr>
      </w:pPr>
      <w:r w:rsidRPr="00534209">
        <w:rPr>
          <w:rFonts w:ascii="Arial Narrow" w:hAnsi="Arial Narrow"/>
          <w:b/>
          <w:bCs/>
          <w:sz w:val="24"/>
          <w:szCs w:val="24"/>
        </w:rPr>
        <w:t xml:space="preserve">Artículo 2. </w:t>
      </w:r>
      <w:r w:rsidRPr="00534209">
        <w:rPr>
          <w:rFonts w:ascii="Arial Narrow" w:hAnsi="Arial Narrow"/>
          <w:sz w:val="24"/>
          <w:szCs w:val="24"/>
        </w:rPr>
        <w:t>La presente ley rige a partir de su promulgación y deroga cualquier disposición que le sea contraria.</w:t>
      </w:r>
    </w:p>
    <w:p w14:paraId="46FC7F91" w14:textId="753B47D8" w:rsidR="00BF4DC4" w:rsidRDefault="00BF4DC4" w:rsidP="00BF4DC4">
      <w:pPr>
        <w:shd w:val="clear" w:color="auto" w:fill="FFFFFF"/>
        <w:spacing w:before="45" w:after="15" w:line="240" w:lineRule="auto"/>
        <w:ind w:right="30" w:firstLine="210"/>
        <w:jc w:val="both"/>
        <w:rPr>
          <w:rFonts w:ascii="Arial Narrow" w:eastAsia="Arial Narrow" w:hAnsi="Arial Narrow" w:cs="Arial Narrow"/>
          <w:b/>
          <w:sz w:val="24"/>
          <w:szCs w:val="24"/>
        </w:rPr>
      </w:pPr>
    </w:p>
    <w:p w14:paraId="5FB6C287" w14:textId="690C1A5D" w:rsidR="00BF4DC4" w:rsidRDefault="00BF4DC4" w:rsidP="00BF4DC4">
      <w:pPr>
        <w:tabs>
          <w:tab w:val="center" w:pos="4252"/>
          <w:tab w:val="right" w:pos="8504"/>
        </w:tabs>
        <w:spacing w:after="0" w:line="240" w:lineRule="auto"/>
        <w:rPr>
          <w:rFonts w:ascii="Arial Narrow" w:eastAsia="Arial Narrow" w:hAnsi="Arial Narrow" w:cs="Arial Narrow"/>
          <w:b/>
          <w:sz w:val="24"/>
          <w:szCs w:val="24"/>
        </w:rPr>
      </w:pPr>
    </w:p>
    <w:p w14:paraId="0151A19E" w14:textId="4E5E6E98" w:rsidR="00BF4DC4" w:rsidRPr="001D3506" w:rsidRDefault="00BF4DC4" w:rsidP="00BF4DC4">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VÍCTOR MANUEL ORTIZ JOYA</w:t>
      </w:r>
    </w:p>
    <w:p w14:paraId="33B1E571" w14:textId="77C5296D" w:rsidR="00BF4DC4" w:rsidRDefault="00BF4DC4" w:rsidP="00BF4DC4">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Representante a la Cámara por Santander.</w:t>
      </w:r>
    </w:p>
    <w:p w14:paraId="7D97284C" w14:textId="77777777" w:rsidR="00AE0A6E" w:rsidRDefault="00AE0A6E" w:rsidP="00BF4DC4">
      <w:pPr>
        <w:tabs>
          <w:tab w:val="center" w:pos="4252"/>
          <w:tab w:val="right" w:pos="8504"/>
        </w:tabs>
        <w:spacing w:after="0" w:line="240" w:lineRule="auto"/>
        <w:jc w:val="center"/>
        <w:rPr>
          <w:rFonts w:ascii="Arial Narrow" w:eastAsia="Arial Narrow" w:hAnsi="Arial Narrow" w:cs="Arial Narrow"/>
          <w:b/>
          <w:sz w:val="24"/>
          <w:szCs w:val="24"/>
        </w:rPr>
      </w:pPr>
    </w:p>
    <w:p w14:paraId="7074EFEB" w14:textId="77777777" w:rsidR="00AE0A6E" w:rsidRDefault="00AE0A6E" w:rsidP="00BF4DC4">
      <w:pPr>
        <w:tabs>
          <w:tab w:val="center" w:pos="4252"/>
          <w:tab w:val="right" w:pos="8504"/>
        </w:tabs>
        <w:spacing w:after="0" w:line="240" w:lineRule="auto"/>
        <w:jc w:val="center"/>
        <w:rPr>
          <w:rFonts w:ascii="Arial Narrow" w:eastAsia="Arial Narrow" w:hAnsi="Arial Narrow" w:cs="Arial Narrow"/>
          <w:b/>
          <w:sz w:val="24"/>
          <w:szCs w:val="24"/>
        </w:rPr>
      </w:pPr>
    </w:p>
    <w:p w14:paraId="51250B06" w14:textId="77777777" w:rsidR="00AE0A6E" w:rsidRPr="001D3506" w:rsidRDefault="00AE0A6E" w:rsidP="00BF4DC4">
      <w:pPr>
        <w:tabs>
          <w:tab w:val="center" w:pos="4252"/>
          <w:tab w:val="right" w:pos="8504"/>
        </w:tabs>
        <w:spacing w:after="0" w:line="240" w:lineRule="auto"/>
        <w:jc w:val="center"/>
        <w:rPr>
          <w:rFonts w:ascii="Arial Narrow" w:eastAsia="Arial Narrow" w:hAnsi="Arial Narrow" w:cs="Arial Narrow"/>
          <w:b/>
          <w:sz w:val="24"/>
          <w:szCs w:val="24"/>
        </w:rPr>
      </w:pPr>
    </w:p>
    <w:p w14:paraId="4ABBFEFC" w14:textId="7E40234C" w:rsidR="00BF4DC4" w:rsidRPr="001D3506" w:rsidRDefault="00BF4DC4" w:rsidP="00BF4DC4">
      <w:pPr>
        <w:tabs>
          <w:tab w:val="center" w:pos="4252"/>
          <w:tab w:val="right" w:pos="8504"/>
        </w:tabs>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b/>
      </w:r>
    </w:p>
    <w:p w14:paraId="2931F436" w14:textId="77777777" w:rsidR="00BF4DC4" w:rsidRPr="00116A2C" w:rsidRDefault="00BF4DC4" w:rsidP="00BF4DC4">
      <w:pPr>
        <w:pBdr>
          <w:top w:val="nil"/>
          <w:left w:val="nil"/>
          <w:bottom w:val="nil"/>
          <w:right w:val="nil"/>
          <w:between w:val="nil"/>
        </w:pBdr>
        <w:spacing w:after="0" w:line="240" w:lineRule="auto"/>
        <w:jc w:val="center"/>
        <w:rPr>
          <w:rFonts w:ascii="Arial Narrow" w:eastAsia="Arial Narrow" w:hAnsi="Arial Narrow" w:cs="Arial Narrow"/>
          <w:b/>
          <w:bCs/>
          <w:color w:val="000000"/>
          <w:sz w:val="24"/>
          <w:szCs w:val="24"/>
        </w:rPr>
      </w:pPr>
      <w:bookmarkStart w:id="1" w:name="_Hlk48647903"/>
      <w:r w:rsidRPr="00116A2C">
        <w:rPr>
          <w:rFonts w:ascii="Arial Narrow" w:eastAsia="Arial Narrow" w:hAnsi="Arial Narrow" w:cs="Arial Narrow"/>
          <w:b/>
          <w:bCs/>
          <w:color w:val="000000"/>
          <w:sz w:val="24"/>
          <w:szCs w:val="24"/>
        </w:rPr>
        <w:t>CARLOS JULIO BONILLA SOTO</w:t>
      </w:r>
    </w:p>
    <w:p w14:paraId="7C727190" w14:textId="77777777" w:rsidR="00BF4DC4" w:rsidRDefault="00BF4DC4" w:rsidP="00BF4DC4">
      <w:pPr>
        <w:pBdr>
          <w:top w:val="nil"/>
          <w:left w:val="nil"/>
          <w:bottom w:val="nil"/>
          <w:right w:val="nil"/>
          <w:between w:val="nil"/>
        </w:pBdr>
        <w:spacing w:after="0" w:line="240" w:lineRule="auto"/>
        <w:jc w:val="center"/>
        <w:rPr>
          <w:rFonts w:ascii="Arial" w:eastAsia="Arial" w:hAnsi="Arial" w:cs="Arial"/>
          <w:sz w:val="24"/>
          <w:szCs w:val="24"/>
        </w:rPr>
      </w:pPr>
      <w:r w:rsidRPr="001D3506">
        <w:rPr>
          <w:rFonts w:ascii="Arial Narrow" w:eastAsia="Arial Narrow" w:hAnsi="Arial Narrow" w:cs="Arial Narrow"/>
          <w:b/>
          <w:color w:val="000000"/>
          <w:sz w:val="24"/>
          <w:szCs w:val="24"/>
        </w:rPr>
        <w:t>Representante a la Cámara, departamento del Cauca</w:t>
      </w:r>
      <w:bookmarkEnd w:id="1"/>
      <w:r w:rsidRPr="001D3506">
        <w:rPr>
          <w:rFonts w:ascii="Arial Narrow" w:eastAsia="Arial Narrow" w:hAnsi="Arial Narrow" w:cs="Arial Narrow"/>
          <w:b/>
          <w:color w:val="000000"/>
          <w:sz w:val="24"/>
          <w:szCs w:val="24"/>
        </w:rPr>
        <w:t>.</w:t>
      </w:r>
    </w:p>
    <w:p w14:paraId="0BF0EA3C" w14:textId="3456C88E" w:rsidR="00E64B20" w:rsidRDefault="00E64B20" w:rsidP="00E64B20">
      <w:pPr>
        <w:jc w:val="center"/>
        <w:rPr>
          <w:rFonts w:ascii="Arial Narrow" w:hAnsi="Arial Narrow"/>
          <w:sz w:val="24"/>
          <w:szCs w:val="24"/>
        </w:rPr>
      </w:pPr>
    </w:p>
    <w:p w14:paraId="5C530E6A" w14:textId="77777777" w:rsidR="00BF4DC4" w:rsidRDefault="00BF4DC4" w:rsidP="00AE595D">
      <w:pPr>
        <w:rPr>
          <w:rFonts w:ascii="Arial Narrow" w:hAnsi="Arial Narrow"/>
          <w:sz w:val="24"/>
          <w:szCs w:val="24"/>
        </w:rPr>
      </w:pPr>
    </w:p>
    <w:p w14:paraId="1524BA60" w14:textId="77777777" w:rsidR="00AE0A6E" w:rsidRDefault="00AE0A6E" w:rsidP="00AE595D">
      <w:pPr>
        <w:rPr>
          <w:rFonts w:ascii="Arial Narrow" w:hAnsi="Arial Narrow"/>
          <w:sz w:val="24"/>
          <w:szCs w:val="24"/>
        </w:rPr>
      </w:pPr>
    </w:p>
    <w:p w14:paraId="3D0EBC82" w14:textId="77777777" w:rsidR="00AE0A6E" w:rsidRDefault="00AE0A6E" w:rsidP="00AE595D">
      <w:pPr>
        <w:rPr>
          <w:rFonts w:ascii="Arial Narrow" w:hAnsi="Arial Narrow"/>
          <w:sz w:val="24"/>
          <w:szCs w:val="24"/>
        </w:rPr>
      </w:pPr>
    </w:p>
    <w:p w14:paraId="79629393" w14:textId="77777777" w:rsidR="00AE0A6E" w:rsidRDefault="00AE0A6E" w:rsidP="00AE595D">
      <w:pPr>
        <w:rPr>
          <w:rFonts w:ascii="Arial Narrow" w:hAnsi="Arial Narrow"/>
          <w:sz w:val="24"/>
          <w:szCs w:val="24"/>
        </w:rPr>
      </w:pPr>
    </w:p>
    <w:p w14:paraId="55C47220" w14:textId="77777777" w:rsidR="00AE0A6E" w:rsidRDefault="00AE0A6E" w:rsidP="00AE595D">
      <w:pPr>
        <w:rPr>
          <w:rFonts w:ascii="Arial Narrow" w:hAnsi="Arial Narrow"/>
          <w:sz w:val="24"/>
          <w:szCs w:val="24"/>
        </w:rPr>
      </w:pPr>
    </w:p>
    <w:p w14:paraId="6C5B1C0D" w14:textId="77777777" w:rsidR="00AE0A6E" w:rsidRDefault="00AE0A6E" w:rsidP="00AE595D">
      <w:pPr>
        <w:rPr>
          <w:rFonts w:ascii="Arial Narrow" w:hAnsi="Arial Narrow"/>
          <w:sz w:val="24"/>
          <w:szCs w:val="24"/>
        </w:rPr>
      </w:pPr>
    </w:p>
    <w:p w14:paraId="7E50042C" w14:textId="77777777" w:rsidR="00AE0A6E" w:rsidRDefault="00AE0A6E" w:rsidP="00AE595D">
      <w:pPr>
        <w:rPr>
          <w:rFonts w:ascii="Arial Narrow" w:hAnsi="Arial Narrow"/>
          <w:sz w:val="24"/>
          <w:szCs w:val="24"/>
        </w:rPr>
      </w:pPr>
    </w:p>
    <w:p w14:paraId="5EBD0A16" w14:textId="77777777" w:rsidR="00AE0A6E" w:rsidRDefault="00AE0A6E" w:rsidP="00AE595D">
      <w:pPr>
        <w:rPr>
          <w:rFonts w:ascii="Arial Narrow" w:hAnsi="Arial Narrow"/>
          <w:sz w:val="24"/>
          <w:szCs w:val="24"/>
        </w:rPr>
      </w:pPr>
    </w:p>
    <w:p w14:paraId="1538E2CF" w14:textId="77777777" w:rsidR="00AE0A6E" w:rsidRDefault="00AE0A6E" w:rsidP="00AE595D">
      <w:pPr>
        <w:rPr>
          <w:rFonts w:ascii="Arial Narrow" w:hAnsi="Arial Narrow"/>
          <w:sz w:val="24"/>
          <w:szCs w:val="24"/>
        </w:rPr>
      </w:pPr>
    </w:p>
    <w:p w14:paraId="3EE19CC0" w14:textId="77777777" w:rsidR="00AE0A6E" w:rsidRDefault="00AE0A6E" w:rsidP="00AE595D">
      <w:pPr>
        <w:rPr>
          <w:rFonts w:ascii="Arial Narrow" w:hAnsi="Arial Narrow"/>
          <w:sz w:val="24"/>
          <w:szCs w:val="24"/>
        </w:rPr>
      </w:pPr>
    </w:p>
    <w:p w14:paraId="17337EA8" w14:textId="77777777" w:rsidR="00E64B20" w:rsidRDefault="00E64B20" w:rsidP="00E64B20">
      <w:pPr>
        <w:jc w:val="both"/>
        <w:rPr>
          <w:rFonts w:ascii="Arial Narrow" w:hAnsi="Arial Narrow"/>
          <w:sz w:val="24"/>
          <w:szCs w:val="24"/>
        </w:rPr>
      </w:pPr>
    </w:p>
    <w:p w14:paraId="79C4F87C" w14:textId="2D8EA6BC" w:rsidR="00E64B20" w:rsidRDefault="00E64B20" w:rsidP="00E64B20">
      <w:pPr>
        <w:jc w:val="center"/>
        <w:rPr>
          <w:rFonts w:ascii="Arial Narrow" w:hAnsi="Arial Narrow"/>
          <w:b/>
          <w:bCs/>
          <w:sz w:val="24"/>
          <w:szCs w:val="24"/>
        </w:rPr>
      </w:pPr>
      <w:r>
        <w:rPr>
          <w:rFonts w:ascii="Arial Narrow" w:hAnsi="Arial Narrow"/>
          <w:b/>
          <w:bCs/>
          <w:sz w:val="24"/>
          <w:szCs w:val="24"/>
        </w:rPr>
        <w:t>EXPOSICIÓN DE MOTIVOS</w:t>
      </w:r>
    </w:p>
    <w:p w14:paraId="704753C1" w14:textId="77777777" w:rsidR="00AE0A6E" w:rsidRDefault="00AE0A6E" w:rsidP="00E64B20">
      <w:pPr>
        <w:jc w:val="center"/>
        <w:rPr>
          <w:rFonts w:ascii="Arial Narrow" w:hAnsi="Arial Narrow"/>
          <w:b/>
          <w:bCs/>
          <w:sz w:val="24"/>
          <w:szCs w:val="24"/>
        </w:rPr>
      </w:pPr>
    </w:p>
    <w:p w14:paraId="147DA529" w14:textId="77777777" w:rsidR="00E64B20" w:rsidRPr="00CA45CE" w:rsidRDefault="00E64B20" w:rsidP="00E64B20">
      <w:pPr>
        <w:jc w:val="both"/>
        <w:rPr>
          <w:rFonts w:ascii="Arial Narrow" w:hAnsi="Arial Narrow"/>
          <w:sz w:val="24"/>
          <w:szCs w:val="24"/>
        </w:rPr>
      </w:pPr>
      <w:r w:rsidRPr="00CA45CE">
        <w:rPr>
          <w:rFonts w:ascii="Arial Narrow" w:hAnsi="Arial Narrow"/>
          <w:b/>
          <w:bCs/>
          <w:sz w:val="24"/>
          <w:szCs w:val="24"/>
        </w:rPr>
        <w:t>O</w:t>
      </w:r>
      <w:r>
        <w:rPr>
          <w:rFonts w:ascii="Arial Narrow" w:hAnsi="Arial Narrow"/>
          <w:b/>
          <w:bCs/>
          <w:sz w:val="24"/>
          <w:szCs w:val="24"/>
        </w:rPr>
        <w:t>BJETO DEL PROYECTO DE LEY:</w:t>
      </w:r>
    </w:p>
    <w:p w14:paraId="3335CFF7" w14:textId="16395B0D" w:rsidR="00E64B20" w:rsidRDefault="00E64B20" w:rsidP="00E64B20">
      <w:pPr>
        <w:jc w:val="both"/>
        <w:rPr>
          <w:rFonts w:ascii="Arial Narrow" w:hAnsi="Arial Narrow"/>
          <w:sz w:val="24"/>
          <w:szCs w:val="24"/>
        </w:rPr>
      </w:pPr>
      <w:r w:rsidRPr="008F4784">
        <w:rPr>
          <w:rFonts w:ascii="Arial Narrow" w:hAnsi="Arial Narrow"/>
          <w:sz w:val="24"/>
          <w:szCs w:val="24"/>
        </w:rPr>
        <w:t>Con esta iniciativa se pretende</w:t>
      </w:r>
      <w:r>
        <w:rPr>
          <w:rFonts w:ascii="Arial Narrow" w:hAnsi="Arial Narrow"/>
          <w:sz w:val="24"/>
          <w:szCs w:val="24"/>
        </w:rPr>
        <w:t xml:space="preserve"> aumentar la reglamentación existente frente al Concepto de Control Fiscal que puede emitir el Ministerio de Hacienda y Crédito Público frente a las Inici</w:t>
      </w:r>
      <w:r w:rsidR="0095484A">
        <w:rPr>
          <w:rFonts w:ascii="Arial Narrow" w:hAnsi="Arial Narrow"/>
          <w:sz w:val="24"/>
          <w:szCs w:val="24"/>
        </w:rPr>
        <w:t>a</w:t>
      </w:r>
      <w:r>
        <w:rPr>
          <w:rFonts w:ascii="Arial Narrow" w:hAnsi="Arial Narrow"/>
          <w:sz w:val="24"/>
          <w:szCs w:val="24"/>
        </w:rPr>
        <w:t>tivas legislativas que tramita el Congreso de la República. Para esto el proyecto de ley tomas las siguientes medidas:</w:t>
      </w:r>
    </w:p>
    <w:p w14:paraId="327807CE" w14:textId="77777777" w:rsidR="00E64B20" w:rsidRPr="00B83FDB" w:rsidRDefault="00E64B20" w:rsidP="00E64B20">
      <w:pPr>
        <w:pStyle w:val="Prrafodelista"/>
        <w:numPr>
          <w:ilvl w:val="0"/>
          <w:numId w:val="1"/>
        </w:numPr>
        <w:jc w:val="both"/>
        <w:rPr>
          <w:rFonts w:ascii="Arial Narrow" w:hAnsi="Arial Narrow"/>
          <w:sz w:val="24"/>
          <w:szCs w:val="24"/>
        </w:rPr>
      </w:pPr>
      <w:bookmarkStart w:id="2" w:name="_Hlk47042517"/>
      <w:r w:rsidRPr="00B83FDB">
        <w:rPr>
          <w:rFonts w:ascii="Arial Narrow" w:hAnsi="Arial Narrow"/>
          <w:sz w:val="24"/>
          <w:szCs w:val="24"/>
        </w:rPr>
        <w:t xml:space="preserve">En primer lugar, el proyecto busca crear mecanismo que </w:t>
      </w:r>
      <w:bookmarkStart w:id="3" w:name="_Hlk48191981"/>
      <w:r w:rsidRPr="00B83FDB">
        <w:rPr>
          <w:rFonts w:ascii="Arial Narrow" w:hAnsi="Arial Narrow"/>
          <w:sz w:val="24"/>
          <w:szCs w:val="24"/>
        </w:rPr>
        <w:t>concilien la discusión legislativa cuando se presente una colisión entre derechos fundamentales o conexos y el principio de responsabilidad fiscal.</w:t>
      </w:r>
    </w:p>
    <w:bookmarkEnd w:id="3"/>
    <w:p w14:paraId="41D031D8" w14:textId="6228B4F1" w:rsidR="00E64B20" w:rsidRPr="00B83FDB" w:rsidRDefault="00E64B20" w:rsidP="00E64B20">
      <w:pPr>
        <w:pStyle w:val="Prrafodelista"/>
        <w:numPr>
          <w:ilvl w:val="0"/>
          <w:numId w:val="1"/>
        </w:numPr>
        <w:jc w:val="both"/>
        <w:rPr>
          <w:rFonts w:ascii="Arial Narrow" w:hAnsi="Arial Narrow"/>
          <w:sz w:val="24"/>
          <w:szCs w:val="24"/>
        </w:rPr>
      </w:pPr>
      <w:r w:rsidRPr="00B83FDB">
        <w:rPr>
          <w:rFonts w:ascii="Arial Narrow" w:hAnsi="Arial Narrow"/>
          <w:sz w:val="24"/>
          <w:szCs w:val="24"/>
        </w:rPr>
        <w:t>En segundo lugar, el proyecto de ley quiere evitar la utilización de cifras o estudios que generan conflicto de interés frente a las iniciativas de interés. Aplicando la última normatividad vigente frente el conflicto de interés.</w:t>
      </w:r>
    </w:p>
    <w:bookmarkEnd w:id="2"/>
    <w:p w14:paraId="6B14F44C" w14:textId="77777777" w:rsidR="00E64B20" w:rsidRDefault="00E64B20" w:rsidP="00E64B20">
      <w:pPr>
        <w:jc w:val="both"/>
        <w:rPr>
          <w:rFonts w:ascii="Arial Narrow" w:hAnsi="Arial Narrow"/>
          <w:b/>
          <w:bCs/>
          <w:sz w:val="24"/>
          <w:szCs w:val="24"/>
        </w:rPr>
      </w:pPr>
      <w:r>
        <w:rPr>
          <w:rFonts w:ascii="Arial Narrow" w:hAnsi="Arial Narrow"/>
          <w:b/>
          <w:bCs/>
          <w:sz w:val="24"/>
          <w:szCs w:val="24"/>
        </w:rPr>
        <w:t xml:space="preserve">MARCO NORMATIVO: </w:t>
      </w:r>
    </w:p>
    <w:p w14:paraId="1DECF6BB" w14:textId="77777777" w:rsidR="00E64B20" w:rsidRDefault="00E64B20" w:rsidP="00E64B20">
      <w:pPr>
        <w:jc w:val="both"/>
        <w:rPr>
          <w:rFonts w:ascii="Arial Narrow" w:hAnsi="Arial Narrow"/>
          <w:sz w:val="24"/>
          <w:szCs w:val="24"/>
        </w:rPr>
      </w:pPr>
      <w:r w:rsidRPr="00F86A40">
        <w:rPr>
          <w:rFonts w:ascii="Arial Narrow" w:hAnsi="Arial Narrow"/>
          <w:sz w:val="24"/>
          <w:szCs w:val="24"/>
        </w:rPr>
        <w:t>Desde la promulgación del acto legislativo 3 de 2011 que en su artículo 1 modificó el artículo 334 constitucional, se ha entendido</w:t>
      </w:r>
      <w:r w:rsidRPr="003412BF">
        <w:rPr>
          <w:rFonts w:ascii="Arial Narrow" w:hAnsi="Arial Narrow"/>
          <w:sz w:val="24"/>
          <w:szCs w:val="24"/>
        </w:rPr>
        <w:t xml:space="preserve"> </w:t>
      </w:r>
      <w:r w:rsidRPr="00F86A40">
        <w:rPr>
          <w:rFonts w:ascii="Arial Narrow" w:hAnsi="Arial Narrow"/>
          <w:sz w:val="24"/>
          <w:szCs w:val="24"/>
        </w:rPr>
        <w:t>que la dirección de la economía está a cargo del estado en su conjunto, y se debe administrar de manera racionalizada con el fin de conseguir en el plano nacional y territorial en un marco de sostenibilidad fiscal.</w:t>
      </w:r>
      <w:r>
        <w:rPr>
          <w:rFonts w:ascii="Arial Narrow" w:hAnsi="Arial Narrow"/>
          <w:sz w:val="24"/>
          <w:szCs w:val="24"/>
        </w:rPr>
        <w:t xml:space="preserve"> Esto repercute, </w:t>
      </w:r>
      <w:r w:rsidRPr="00F86A40">
        <w:rPr>
          <w:rFonts w:ascii="Arial Narrow" w:hAnsi="Arial Narrow"/>
          <w:sz w:val="24"/>
          <w:szCs w:val="24"/>
        </w:rPr>
        <w:t>según este acto legislativo</w:t>
      </w:r>
      <w:r>
        <w:rPr>
          <w:rFonts w:ascii="Arial Narrow" w:hAnsi="Arial Narrow"/>
          <w:sz w:val="24"/>
          <w:szCs w:val="24"/>
        </w:rPr>
        <w:t>,</w:t>
      </w:r>
      <w:r w:rsidRPr="00F86A40">
        <w:rPr>
          <w:rFonts w:ascii="Arial Narrow" w:hAnsi="Arial Narrow"/>
          <w:sz w:val="24"/>
          <w:szCs w:val="24"/>
        </w:rPr>
        <w:t xml:space="preserve"> que el diagnostico de impacto fiscal de una iniciativa legislativa debe ser un mecanismo de funcionamiento armónico que debe existir entre las dos ramas del poder público, el legislativo y el ejecutivo. </w:t>
      </w:r>
    </w:p>
    <w:p w14:paraId="26C225CC" w14:textId="77777777" w:rsidR="00E64B20" w:rsidRPr="00F86A40" w:rsidRDefault="00E64B20" w:rsidP="00E64B20">
      <w:pPr>
        <w:ind w:left="708"/>
        <w:jc w:val="both"/>
        <w:rPr>
          <w:rFonts w:ascii="Arial Narrow" w:hAnsi="Arial Narrow"/>
          <w:i/>
          <w:iCs/>
          <w:sz w:val="24"/>
          <w:szCs w:val="24"/>
        </w:rPr>
      </w:pPr>
      <w:r w:rsidRPr="00F86A40">
        <w:rPr>
          <w:rFonts w:ascii="Arial Narrow" w:hAnsi="Arial Narrow"/>
          <w:i/>
          <w:iCs/>
          <w:sz w:val="24"/>
          <w:szCs w:val="24"/>
        </w:rPr>
        <w:t xml:space="preserve">"Artículo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w:t>
      </w:r>
      <w:bookmarkStart w:id="4" w:name="_Hlk47021273"/>
      <w:r w:rsidRPr="00F86A40">
        <w:rPr>
          <w:rFonts w:ascii="Arial Narrow" w:hAnsi="Arial Narrow"/>
          <w:i/>
          <w:iCs/>
          <w:sz w:val="24"/>
          <w:szCs w:val="24"/>
        </w:rPr>
        <w:t>con el fin de conseguir en el plano nacional y territorial en un marco de sostenibilidad fiscal</w:t>
      </w:r>
      <w:bookmarkEnd w:id="4"/>
      <w:r w:rsidRPr="00F86A40">
        <w:rPr>
          <w:rFonts w:ascii="Arial Narrow" w:hAnsi="Arial Narrow"/>
          <w:i/>
          <w:iCs/>
          <w:sz w:val="24"/>
          <w:szCs w:val="24"/>
        </w:rPr>
        <w:t>,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0130CFFD" w14:textId="5F0AE084" w:rsidR="00E64B20" w:rsidRPr="00F86A40" w:rsidRDefault="00E64B20" w:rsidP="00E64B20">
      <w:pPr>
        <w:ind w:left="708"/>
        <w:jc w:val="both"/>
        <w:rPr>
          <w:rFonts w:ascii="Arial Narrow" w:hAnsi="Arial Narrow"/>
          <w:i/>
          <w:iCs/>
          <w:sz w:val="24"/>
          <w:szCs w:val="24"/>
        </w:rPr>
      </w:pPr>
      <w:r w:rsidRPr="00F86A40">
        <w:rPr>
          <w:rFonts w:ascii="Arial Narrow" w:hAnsi="Arial Narrow"/>
          <w:i/>
          <w:iCs/>
          <w:sz w:val="24"/>
          <w:szCs w:val="24"/>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competitividad y el desarrollo armónico de las regiones</w:t>
      </w:r>
      <w:r w:rsidRPr="00AE19F9">
        <w:rPr>
          <w:rFonts w:ascii="Arial Narrow" w:hAnsi="Arial Narrow"/>
          <w:i/>
          <w:iCs/>
          <w:sz w:val="24"/>
          <w:szCs w:val="24"/>
        </w:rPr>
        <w:t>”</w:t>
      </w:r>
      <w:r w:rsidRPr="00F86A40">
        <w:rPr>
          <w:rFonts w:ascii="Arial Narrow" w:hAnsi="Arial Narrow"/>
          <w:i/>
          <w:iCs/>
          <w:sz w:val="24"/>
          <w:szCs w:val="24"/>
        </w:rPr>
        <w:t>.</w:t>
      </w:r>
      <w:r w:rsidR="003E22B2">
        <w:rPr>
          <w:rStyle w:val="Refdenotaalpie"/>
          <w:rFonts w:ascii="Arial Narrow" w:hAnsi="Arial Narrow"/>
          <w:i/>
          <w:iCs/>
          <w:sz w:val="24"/>
          <w:szCs w:val="24"/>
        </w:rPr>
        <w:footnoteReference w:id="1"/>
      </w:r>
    </w:p>
    <w:p w14:paraId="48A7DE53" w14:textId="3518CB04" w:rsidR="00E64B20" w:rsidRPr="00F86A40" w:rsidRDefault="00E64B20" w:rsidP="00E64B20">
      <w:pPr>
        <w:jc w:val="both"/>
        <w:rPr>
          <w:rFonts w:ascii="Arial Narrow" w:hAnsi="Arial Narrow"/>
          <w:sz w:val="24"/>
          <w:szCs w:val="24"/>
        </w:rPr>
      </w:pPr>
      <w:r>
        <w:rPr>
          <w:rFonts w:ascii="Arial Narrow" w:hAnsi="Arial Narrow"/>
          <w:sz w:val="24"/>
          <w:szCs w:val="24"/>
        </w:rPr>
        <w:t xml:space="preserve">Con este artículo constitucional se hizo necesario la adopción de un </w:t>
      </w:r>
      <w:r w:rsidRPr="00F86A40">
        <w:rPr>
          <w:rFonts w:ascii="Arial Narrow" w:hAnsi="Arial Narrow"/>
          <w:sz w:val="24"/>
          <w:szCs w:val="24"/>
        </w:rPr>
        <w:t xml:space="preserve">marco normativo </w:t>
      </w:r>
      <w:r>
        <w:rPr>
          <w:rFonts w:ascii="Arial Narrow" w:hAnsi="Arial Narrow"/>
          <w:sz w:val="24"/>
          <w:szCs w:val="24"/>
        </w:rPr>
        <w:t xml:space="preserve">al </w:t>
      </w:r>
      <w:r w:rsidRPr="00F86A40">
        <w:rPr>
          <w:rFonts w:ascii="Arial Narrow" w:hAnsi="Arial Narrow"/>
          <w:sz w:val="24"/>
          <w:szCs w:val="24"/>
        </w:rPr>
        <w:t>trámite del diagnóstico fiscal de una iniciativa legislativa</w:t>
      </w:r>
      <w:r>
        <w:rPr>
          <w:rFonts w:ascii="Arial Narrow" w:hAnsi="Arial Narrow"/>
          <w:sz w:val="24"/>
          <w:szCs w:val="24"/>
        </w:rPr>
        <w:t>, para el cual se promulgo la Ley 819 de 2003. Según esta norma el diagnostico de impacto fiscal</w:t>
      </w:r>
      <w:r w:rsidRPr="00F86A40">
        <w:rPr>
          <w:rFonts w:ascii="Arial Narrow" w:hAnsi="Arial Narrow"/>
          <w:sz w:val="24"/>
          <w:szCs w:val="24"/>
        </w:rPr>
        <w:t xml:space="preserve"> consta de los siguientes pasos, señalando que son varios los actores responsables en determinar el costo fiscal de una iniciativa, es pues una función compartida entre el legislativo y el ejecutivo.</w:t>
      </w:r>
    </w:p>
    <w:p w14:paraId="6B08DF95" w14:textId="77777777" w:rsidR="00E64B20" w:rsidRPr="003412BF" w:rsidRDefault="00E64B20" w:rsidP="00E64B20">
      <w:pPr>
        <w:pStyle w:val="Prrafodelista"/>
        <w:numPr>
          <w:ilvl w:val="0"/>
          <w:numId w:val="2"/>
        </w:numPr>
        <w:jc w:val="both"/>
        <w:rPr>
          <w:rFonts w:ascii="Arial Narrow" w:hAnsi="Arial Narrow"/>
          <w:sz w:val="24"/>
          <w:szCs w:val="24"/>
        </w:rPr>
      </w:pPr>
      <w:r w:rsidRPr="003412BF">
        <w:rPr>
          <w:rFonts w:ascii="Arial Narrow" w:hAnsi="Arial Narrow"/>
          <w:sz w:val="24"/>
          <w:szCs w:val="24"/>
        </w:rPr>
        <w:t>Se debe incluir en la exposición de motivos y en las ponencias de trámite respectivas, los costos fiscales de la iniciativa y la fuente de ingreso adicional generada para el financiamiento de dicho costo; función del legislativo.</w:t>
      </w:r>
    </w:p>
    <w:p w14:paraId="4E763CBB" w14:textId="77777777" w:rsidR="00E64B20" w:rsidRPr="003412BF" w:rsidRDefault="00E64B20" w:rsidP="00E64B20">
      <w:pPr>
        <w:pStyle w:val="Prrafodelista"/>
        <w:numPr>
          <w:ilvl w:val="0"/>
          <w:numId w:val="2"/>
        </w:numPr>
        <w:jc w:val="both"/>
        <w:rPr>
          <w:rFonts w:ascii="Arial Narrow" w:hAnsi="Arial Narrow"/>
          <w:sz w:val="24"/>
          <w:szCs w:val="24"/>
        </w:rPr>
      </w:pPr>
      <w:r w:rsidRPr="003412BF">
        <w:rPr>
          <w:rFonts w:ascii="Arial Narrow" w:hAnsi="Arial Narrow"/>
          <w:sz w:val="24"/>
          <w:szCs w:val="24"/>
        </w:rPr>
        <w:t>El Ministerio de Hacienda y Crédito Público, en cualquier tiempo durante el trámite en el Congreso de la República, deberá rendir su concepto considerando el Marco Fiscal de Mediano Plazo, función del Ejecutivo.</w:t>
      </w:r>
    </w:p>
    <w:p w14:paraId="2904B777" w14:textId="77777777" w:rsidR="00E64B20" w:rsidRDefault="00E64B20" w:rsidP="00E64B20">
      <w:pPr>
        <w:pStyle w:val="Prrafodelista"/>
        <w:numPr>
          <w:ilvl w:val="0"/>
          <w:numId w:val="2"/>
        </w:numPr>
        <w:jc w:val="both"/>
        <w:rPr>
          <w:rFonts w:ascii="Arial Narrow" w:hAnsi="Arial Narrow"/>
          <w:sz w:val="24"/>
          <w:szCs w:val="24"/>
        </w:rPr>
      </w:pPr>
      <w:r w:rsidRPr="003412BF">
        <w:rPr>
          <w:rFonts w:ascii="Arial Narrow" w:hAnsi="Arial Narrow"/>
          <w:sz w:val="24"/>
          <w:szCs w:val="24"/>
        </w:rPr>
        <w:t>Este informe será publicado en la Gaceta del Congreso</w:t>
      </w:r>
      <w:r w:rsidRPr="003412BF">
        <w:rPr>
          <w:rFonts w:ascii="Arial Narrow" w:hAnsi="Arial Narrow"/>
          <w:b/>
          <w:bCs/>
          <w:i/>
          <w:iCs/>
          <w:sz w:val="24"/>
          <w:szCs w:val="24"/>
        </w:rPr>
        <w:t>.</w:t>
      </w:r>
    </w:p>
    <w:p w14:paraId="34FF086D" w14:textId="5FF34978" w:rsidR="00E64B20" w:rsidRDefault="00E64B20" w:rsidP="00E64B20">
      <w:pPr>
        <w:jc w:val="both"/>
        <w:rPr>
          <w:rFonts w:ascii="Arial Narrow" w:hAnsi="Arial Narrow"/>
          <w:sz w:val="24"/>
          <w:szCs w:val="24"/>
        </w:rPr>
      </w:pPr>
      <w:r>
        <w:rPr>
          <w:rFonts w:ascii="Arial Narrow" w:hAnsi="Arial Narrow"/>
          <w:sz w:val="24"/>
          <w:szCs w:val="24"/>
        </w:rPr>
        <w:t>Este procedimiento está establecido en el artículo 7 de la Ley 819 de 2003:</w:t>
      </w:r>
    </w:p>
    <w:p w14:paraId="36F32047" w14:textId="77777777"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Artículo 7º.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282A261A" w14:textId="77777777"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Para estos propósitos, deberá incluirse expresamente en la exposición de motivos y en las ponencias de trámite respectivas los costos fiscales de la iniciativa y la fuente de ingreso adicional generada para el financiamiento de dicho costo.</w:t>
      </w:r>
    </w:p>
    <w:p w14:paraId="740472E8" w14:textId="77777777"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69B928B6" w14:textId="77777777"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7F5BC6D3" w14:textId="77777777"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En las entidades territoriales, el trámite previsto en el inciso anterior será surtido ante la respectiva Secretaría de Hacienda o quien haga sus veces.</w:t>
      </w:r>
    </w:p>
    <w:p w14:paraId="7EE77E64" w14:textId="4CB721FF" w:rsidR="00E64B20" w:rsidRPr="0060228E" w:rsidRDefault="00E64B20" w:rsidP="00E64B20">
      <w:pPr>
        <w:ind w:left="708"/>
        <w:jc w:val="both"/>
        <w:rPr>
          <w:rFonts w:ascii="Arial Narrow" w:hAnsi="Arial Narrow"/>
          <w:i/>
          <w:iCs/>
          <w:sz w:val="24"/>
          <w:szCs w:val="24"/>
        </w:rPr>
      </w:pPr>
      <w:r w:rsidRPr="0060228E">
        <w:rPr>
          <w:rFonts w:ascii="Arial Narrow" w:hAnsi="Arial Narrow"/>
          <w:i/>
          <w:iCs/>
          <w:sz w:val="24"/>
          <w:szCs w:val="24"/>
        </w:rPr>
        <w:t>Pero como este mecanismo involucra a distintos actores, que a su vez actúan de manera independiente uno del otro, se generan permanentes conflictos entre el legislativo y el ejecutivo, más cuando el concepto que puede emitir el Ministerio de Hacienda y Crédito Público.</w:t>
      </w:r>
      <w:r w:rsidR="003E22B2">
        <w:rPr>
          <w:rStyle w:val="Refdenotaalpie"/>
          <w:rFonts w:ascii="Arial Narrow" w:hAnsi="Arial Narrow"/>
          <w:i/>
          <w:iCs/>
          <w:sz w:val="24"/>
          <w:szCs w:val="24"/>
        </w:rPr>
        <w:footnoteReference w:id="2"/>
      </w:r>
    </w:p>
    <w:p w14:paraId="11E8B858" w14:textId="77777777" w:rsidR="00E64B20" w:rsidRPr="002A618B" w:rsidRDefault="00E64B20" w:rsidP="00E64B20">
      <w:pPr>
        <w:jc w:val="both"/>
        <w:rPr>
          <w:rFonts w:ascii="Arial Narrow" w:hAnsi="Arial Narrow"/>
          <w:b/>
          <w:bCs/>
          <w:sz w:val="24"/>
          <w:szCs w:val="24"/>
        </w:rPr>
      </w:pPr>
      <w:r w:rsidRPr="002A618B">
        <w:rPr>
          <w:rFonts w:ascii="Arial Narrow" w:hAnsi="Arial Narrow"/>
          <w:b/>
          <w:bCs/>
          <w:sz w:val="24"/>
          <w:szCs w:val="24"/>
        </w:rPr>
        <w:t>ASPECTOS GENERALES DEL PROYECTO:</w:t>
      </w:r>
    </w:p>
    <w:p w14:paraId="27F4BEBE" w14:textId="77777777" w:rsidR="00E64B20" w:rsidRDefault="00E64B20" w:rsidP="00E64B20">
      <w:pPr>
        <w:jc w:val="both"/>
        <w:rPr>
          <w:rFonts w:ascii="Arial Narrow" w:hAnsi="Arial Narrow"/>
          <w:sz w:val="24"/>
          <w:szCs w:val="24"/>
        </w:rPr>
      </w:pPr>
      <w:r>
        <w:rPr>
          <w:rFonts w:ascii="Arial Narrow" w:hAnsi="Arial Narrow"/>
          <w:sz w:val="24"/>
          <w:szCs w:val="24"/>
        </w:rPr>
        <w:t>Dentro de esta propuesta de ley se plantean dos cambios a la ley que reglamenta la</w:t>
      </w:r>
      <w:r w:rsidRPr="002A618B">
        <w:rPr>
          <w:rFonts w:ascii="Arial Narrow" w:hAnsi="Arial Narrow"/>
          <w:sz w:val="24"/>
          <w:szCs w:val="24"/>
        </w:rPr>
        <w:t xml:space="preserve"> materia de presupuesto, responsabilidad y transparencia fiscal</w:t>
      </w:r>
      <w:r>
        <w:rPr>
          <w:rFonts w:ascii="Arial Narrow" w:hAnsi="Arial Narrow"/>
          <w:sz w:val="24"/>
          <w:szCs w:val="24"/>
        </w:rPr>
        <w:t xml:space="preserve">. Se plantean entonces dos cambios que se explicaran a continuación resolviendo los problemas enunciados en el acápite anterior: </w:t>
      </w:r>
    </w:p>
    <w:p w14:paraId="73465065" w14:textId="77777777" w:rsidR="00E64B20" w:rsidRPr="00B83FDB" w:rsidRDefault="00E64B20" w:rsidP="00E64B20">
      <w:pPr>
        <w:pStyle w:val="Prrafodelista"/>
        <w:numPr>
          <w:ilvl w:val="0"/>
          <w:numId w:val="1"/>
        </w:numPr>
        <w:jc w:val="both"/>
        <w:rPr>
          <w:rFonts w:ascii="Arial Narrow" w:hAnsi="Arial Narrow"/>
          <w:sz w:val="24"/>
          <w:szCs w:val="24"/>
        </w:rPr>
      </w:pPr>
      <w:r w:rsidRPr="00B83FDB">
        <w:rPr>
          <w:rFonts w:ascii="Arial Narrow" w:hAnsi="Arial Narrow"/>
          <w:sz w:val="24"/>
          <w:szCs w:val="24"/>
        </w:rPr>
        <w:t>En primer lugar, el proyecto busca crear mecanismo que concilien la discusión legislativa cuando se presente una colisión entre derechos fundamentales o conexos y el principio de responsabilidad fiscal.</w:t>
      </w:r>
    </w:p>
    <w:p w14:paraId="6B871692" w14:textId="77777777" w:rsidR="00E64B20" w:rsidRPr="00B83FDB" w:rsidRDefault="00E64B20" w:rsidP="00E64B20">
      <w:pPr>
        <w:pStyle w:val="Prrafodelista"/>
        <w:numPr>
          <w:ilvl w:val="0"/>
          <w:numId w:val="1"/>
        </w:numPr>
        <w:jc w:val="both"/>
        <w:rPr>
          <w:rFonts w:ascii="Arial Narrow" w:hAnsi="Arial Narrow"/>
          <w:sz w:val="24"/>
          <w:szCs w:val="24"/>
        </w:rPr>
      </w:pPr>
      <w:r w:rsidRPr="00B83FDB">
        <w:rPr>
          <w:rFonts w:ascii="Arial Narrow" w:hAnsi="Arial Narrow"/>
          <w:sz w:val="24"/>
          <w:szCs w:val="24"/>
        </w:rPr>
        <w:t>En segundo lugar, el proyecto de ley quiere evitar la utilización de cifras o estudios que generan conflicto de interés frente a las iniciativas de interés. Aplicando la última normatividad vigente frente el conflicto de interés.</w:t>
      </w:r>
    </w:p>
    <w:p w14:paraId="3879BDD3" w14:textId="77777777" w:rsidR="00E64B20" w:rsidRDefault="00E64B20" w:rsidP="00E64B20">
      <w:pPr>
        <w:jc w:val="both"/>
        <w:rPr>
          <w:rFonts w:ascii="Arial Narrow" w:hAnsi="Arial Narrow"/>
          <w:sz w:val="24"/>
          <w:szCs w:val="24"/>
        </w:rPr>
      </w:pPr>
      <w:r>
        <w:rPr>
          <w:rFonts w:ascii="Arial Narrow" w:hAnsi="Arial Narrow"/>
          <w:sz w:val="24"/>
          <w:szCs w:val="24"/>
        </w:rPr>
        <w:t xml:space="preserve">Pero el funcionamiento de este mecanismo a estado lejos de funcionar de manera armónica ha generado múltiples conflictos y choques entre el legislativo y el ejecutivo a la hora de discutir múltiples iniciativas. Incluso llegando afectar proyectos de ley tan importantes como, por ejemplo: </w:t>
      </w:r>
    </w:p>
    <w:p w14:paraId="317418F3" w14:textId="77777777" w:rsidR="00E64B20" w:rsidRDefault="00E64B20" w:rsidP="00E64B20">
      <w:pPr>
        <w:pStyle w:val="Prrafodelista"/>
        <w:numPr>
          <w:ilvl w:val="0"/>
          <w:numId w:val="3"/>
        </w:numPr>
        <w:jc w:val="both"/>
        <w:rPr>
          <w:rFonts w:ascii="Arial Narrow" w:hAnsi="Arial Narrow"/>
          <w:sz w:val="24"/>
          <w:szCs w:val="24"/>
        </w:rPr>
      </w:pPr>
      <w:r>
        <w:rPr>
          <w:rFonts w:ascii="Arial Narrow" w:hAnsi="Arial Narrow"/>
          <w:sz w:val="24"/>
          <w:szCs w:val="24"/>
        </w:rPr>
        <w:t>P</w:t>
      </w:r>
      <w:r w:rsidRPr="00312FE6">
        <w:rPr>
          <w:rFonts w:ascii="Arial Narrow" w:hAnsi="Arial Narrow"/>
          <w:sz w:val="24"/>
          <w:szCs w:val="24"/>
        </w:rPr>
        <w:t xml:space="preserve">royecto de ley 062/15C-170/16S, que pretendía disminuir la cotización de los pensionados al régimen contributivo de salud del 12 % al 4 %, </w:t>
      </w:r>
      <w:r>
        <w:rPr>
          <w:rFonts w:ascii="Arial Narrow" w:hAnsi="Arial Narrow"/>
          <w:sz w:val="24"/>
          <w:szCs w:val="24"/>
        </w:rPr>
        <w:t xml:space="preserve">que fue declarado inexequible por un concepto negativo del Ministerio de Hacienda y Crédito Público, negando la posibilidad del </w:t>
      </w:r>
      <w:r w:rsidRPr="00312FE6">
        <w:rPr>
          <w:rFonts w:ascii="Arial Narrow" w:hAnsi="Arial Narrow"/>
          <w:sz w:val="24"/>
          <w:szCs w:val="24"/>
        </w:rPr>
        <w:t>aval del Ejecutivo, exigido por el artículo 154 constitucional.</w:t>
      </w:r>
    </w:p>
    <w:p w14:paraId="4DEDFF30" w14:textId="77777777" w:rsidR="00E64B20" w:rsidRDefault="00E64B20" w:rsidP="00E64B20">
      <w:pPr>
        <w:pStyle w:val="Prrafodelista"/>
        <w:numPr>
          <w:ilvl w:val="0"/>
          <w:numId w:val="3"/>
        </w:numPr>
        <w:jc w:val="both"/>
        <w:rPr>
          <w:rFonts w:ascii="Arial Narrow" w:hAnsi="Arial Narrow"/>
          <w:sz w:val="24"/>
          <w:szCs w:val="24"/>
        </w:rPr>
      </w:pPr>
      <w:r>
        <w:rPr>
          <w:rFonts w:ascii="Arial Narrow" w:hAnsi="Arial Narrow"/>
          <w:sz w:val="24"/>
          <w:szCs w:val="24"/>
        </w:rPr>
        <w:t>L</w:t>
      </w:r>
      <w:r w:rsidRPr="00066294">
        <w:rPr>
          <w:rFonts w:ascii="Arial Narrow" w:hAnsi="Arial Narrow"/>
          <w:sz w:val="24"/>
          <w:szCs w:val="24"/>
        </w:rPr>
        <w:t>a sala plena de la Corte Constitucional</w:t>
      </w:r>
      <w:r>
        <w:rPr>
          <w:rFonts w:ascii="Arial Narrow" w:hAnsi="Arial Narrow"/>
          <w:sz w:val="24"/>
          <w:szCs w:val="24"/>
        </w:rPr>
        <w:t xml:space="preserve"> en la Sentencia C026/20</w:t>
      </w:r>
      <w:r w:rsidRPr="00066294">
        <w:rPr>
          <w:rFonts w:ascii="Arial Narrow" w:hAnsi="Arial Narrow"/>
          <w:sz w:val="24"/>
          <w:szCs w:val="24"/>
        </w:rPr>
        <w:t xml:space="preserve"> tumbó los artículos 274 y 275 del Plan Nacional de Desarrollo 2018-2022</w:t>
      </w:r>
      <w:r>
        <w:rPr>
          <w:rFonts w:ascii="Arial Narrow" w:hAnsi="Arial Narrow"/>
          <w:sz w:val="24"/>
          <w:szCs w:val="24"/>
        </w:rPr>
        <w:t xml:space="preserve">, que estableció unos nuevos </w:t>
      </w:r>
      <w:r w:rsidRPr="00066294">
        <w:rPr>
          <w:rFonts w:ascii="Arial Narrow" w:hAnsi="Arial Narrow"/>
          <w:sz w:val="24"/>
          <w:szCs w:val="24"/>
        </w:rPr>
        <w:t>aranceles a las confecciones provenientes de países con los que Colombia no tiene acuerdos comerciales vigentes</w:t>
      </w:r>
      <w:r>
        <w:rPr>
          <w:rFonts w:ascii="Arial Narrow" w:hAnsi="Arial Narrow"/>
          <w:sz w:val="24"/>
          <w:szCs w:val="24"/>
        </w:rPr>
        <w:t>.</w:t>
      </w:r>
    </w:p>
    <w:p w14:paraId="3E63B745" w14:textId="77777777" w:rsidR="00E64B20" w:rsidRPr="00047ACB" w:rsidRDefault="00E64B20" w:rsidP="00E64B20">
      <w:pPr>
        <w:pStyle w:val="Prrafodelista"/>
        <w:numPr>
          <w:ilvl w:val="0"/>
          <w:numId w:val="3"/>
        </w:numPr>
        <w:jc w:val="both"/>
        <w:rPr>
          <w:rFonts w:ascii="Arial Narrow" w:hAnsi="Arial Narrow"/>
          <w:sz w:val="24"/>
          <w:szCs w:val="24"/>
        </w:rPr>
      </w:pPr>
      <w:r w:rsidRPr="00047ACB">
        <w:rPr>
          <w:rFonts w:ascii="Arial Narrow" w:hAnsi="Arial Narrow"/>
          <w:sz w:val="24"/>
          <w:szCs w:val="24"/>
        </w:rPr>
        <w:t>Proyecto de ley número 127 de 2015 Senado 277 de 2016 Cámara, por medio de la cual se establecen lineamientos para el trabajo desarrollado por las personas que prestan sus servicios en los programas de atención integral a la primera infancia y protección integral de la niñez y adolescencia del Instituto Colombiano de Bienestar Familiar (ICBF), sus derechos laborales, se establecen garantías en materia de seguridad alimentaria y se dictan otras disposiciones</w:t>
      </w:r>
      <w:r>
        <w:rPr>
          <w:rFonts w:ascii="Arial Narrow" w:hAnsi="Arial Narrow"/>
          <w:sz w:val="24"/>
          <w:szCs w:val="24"/>
        </w:rPr>
        <w:t>.</w:t>
      </w:r>
    </w:p>
    <w:p w14:paraId="127A9BF3" w14:textId="7716B51C" w:rsidR="00E64B20" w:rsidRPr="00066294" w:rsidRDefault="00E64B20" w:rsidP="00E64B20">
      <w:pPr>
        <w:jc w:val="both"/>
        <w:rPr>
          <w:rFonts w:ascii="Arial Narrow" w:hAnsi="Arial Narrow"/>
          <w:sz w:val="24"/>
          <w:szCs w:val="24"/>
        </w:rPr>
      </w:pPr>
      <w:r>
        <w:rPr>
          <w:rFonts w:ascii="Arial Narrow" w:hAnsi="Arial Narrow"/>
          <w:sz w:val="24"/>
          <w:szCs w:val="24"/>
        </w:rPr>
        <w:t xml:space="preserve">Estos dos ejemplos muestran el poder de veto y el paso que tiene el Concepto de Impacto Fiscal emitido por el Ministerio de Hacienda y Crédito Público frente a las iniciativas legislativas que se tramitan en el congreso. Por esto, se considera importante regular ese concepto para mejorar el funcionamiento armónico entre las ramas del poder público, más cuando se puede tratar de iniciativas que afecten derechos fundamentales o los conexos a estos, que son deber del estado garantizar. Por lo cual el presente proyecto de ley propone lo siguiente: </w:t>
      </w:r>
    </w:p>
    <w:p w14:paraId="3398E9A5" w14:textId="77777777" w:rsidR="003E22B2" w:rsidRDefault="00E64B20" w:rsidP="00E64B20">
      <w:pPr>
        <w:jc w:val="both"/>
        <w:rPr>
          <w:rFonts w:ascii="Arial Narrow" w:hAnsi="Arial Narrow"/>
          <w:b/>
          <w:bCs/>
          <w:sz w:val="24"/>
          <w:szCs w:val="24"/>
        </w:rPr>
      </w:pPr>
      <w:r w:rsidRPr="005670F6">
        <w:rPr>
          <w:rFonts w:ascii="Arial Narrow" w:hAnsi="Arial Narrow"/>
          <w:b/>
          <w:bCs/>
          <w:sz w:val="24"/>
          <w:szCs w:val="24"/>
        </w:rPr>
        <w:t>Posibilidades de Financiamiento dentro del Marco Fiscal de Mediano Plazo:</w:t>
      </w:r>
      <w:r w:rsidR="003E22B2">
        <w:rPr>
          <w:rFonts w:ascii="Arial Narrow" w:hAnsi="Arial Narrow"/>
          <w:b/>
          <w:bCs/>
          <w:sz w:val="24"/>
          <w:szCs w:val="24"/>
        </w:rPr>
        <w:t xml:space="preserve"> </w:t>
      </w:r>
    </w:p>
    <w:p w14:paraId="7291B351" w14:textId="68B99BBF" w:rsidR="00E64B20" w:rsidRDefault="00E64B20" w:rsidP="00E64B20">
      <w:pPr>
        <w:jc w:val="both"/>
        <w:rPr>
          <w:rFonts w:ascii="Arial Narrow" w:hAnsi="Arial Narrow"/>
          <w:sz w:val="24"/>
          <w:szCs w:val="24"/>
        </w:rPr>
      </w:pPr>
      <w:r>
        <w:rPr>
          <w:rFonts w:ascii="Arial Narrow" w:hAnsi="Arial Narrow"/>
          <w:sz w:val="24"/>
          <w:szCs w:val="24"/>
        </w:rPr>
        <w:t>La</w:t>
      </w:r>
      <w:r w:rsidRPr="00150DF2">
        <w:rPr>
          <w:rFonts w:ascii="Arial Narrow" w:hAnsi="Arial Narrow"/>
          <w:sz w:val="24"/>
          <w:szCs w:val="24"/>
        </w:rPr>
        <w:t xml:space="preserve"> colisión entre derechos fundamentales o conexos y el principio de responsabilidad fisca</w:t>
      </w:r>
      <w:r>
        <w:rPr>
          <w:rFonts w:ascii="Arial Narrow" w:hAnsi="Arial Narrow"/>
          <w:sz w:val="24"/>
          <w:szCs w:val="24"/>
        </w:rPr>
        <w:t xml:space="preserve">l dentro de </w:t>
      </w:r>
      <w:r w:rsidRPr="00150DF2">
        <w:rPr>
          <w:rFonts w:ascii="Arial Narrow" w:hAnsi="Arial Narrow"/>
          <w:sz w:val="24"/>
          <w:szCs w:val="24"/>
        </w:rPr>
        <w:t>la discusión legislativa</w:t>
      </w:r>
      <w:r>
        <w:rPr>
          <w:rFonts w:ascii="Arial Narrow" w:hAnsi="Arial Narrow"/>
          <w:sz w:val="24"/>
          <w:szCs w:val="24"/>
        </w:rPr>
        <w:t xml:space="preserve"> ha sido recurrente en los últimos años</w:t>
      </w:r>
      <w:r w:rsidRPr="00150DF2">
        <w:rPr>
          <w:rFonts w:ascii="Arial Narrow" w:hAnsi="Arial Narrow"/>
          <w:sz w:val="24"/>
          <w:szCs w:val="24"/>
        </w:rPr>
        <w:t>.</w:t>
      </w:r>
      <w:r>
        <w:rPr>
          <w:rFonts w:ascii="Arial Narrow" w:hAnsi="Arial Narrow"/>
          <w:sz w:val="24"/>
          <w:szCs w:val="24"/>
        </w:rPr>
        <w:t xml:space="preserve"> El concepto que puede emitir el Ministerio de Hacienda y Crédito ha sido utilizado como herramienta para impedir la culminación de muchas iniciativas legislativas que buscaban proteger derechos fundamentales.</w:t>
      </w:r>
    </w:p>
    <w:p w14:paraId="5A991BF1" w14:textId="77777777" w:rsidR="00E64B20" w:rsidRDefault="00E64B20" w:rsidP="00E64B20">
      <w:pPr>
        <w:jc w:val="both"/>
        <w:rPr>
          <w:rFonts w:ascii="Arial Narrow" w:hAnsi="Arial Narrow"/>
          <w:sz w:val="24"/>
          <w:szCs w:val="24"/>
        </w:rPr>
      </w:pPr>
      <w:r>
        <w:rPr>
          <w:rFonts w:ascii="Arial Narrow" w:hAnsi="Arial Narrow"/>
          <w:sz w:val="24"/>
          <w:szCs w:val="24"/>
        </w:rPr>
        <w:t xml:space="preserve">En ese sentido la corte ha dictado algunas consideraciones para encontrar caminos que disminuyan la colisión entre el ejecutivo y el legislativo, al considerar que la sostenibilidad no es un principio que choque con los derechos fundamentales sino es el marco que debe garantizar el cumplimiento de las </w:t>
      </w:r>
      <w:r w:rsidRPr="004E2573">
        <w:rPr>
          <w:rFonts w:ascii="Arial Narrow" w:hAnsi="Arial Narrow"/>
          <w:sz w:val="24"/>
          <w:szCs w:val="24"/>
        </w:rPr>
        <w:t>finalidades del Estado Social y Democrático de Derecho</w:t>
      </w:r>
      <w:r>
        <w:rPr>
          <w:rFonts w:ascii="Arial Narrow" w:hAnsi="Arial Narrow"/>
          <w:sz w:val="24"/>
          <w:szCs w:val="24"/>
        </w:rPr>
        <w:t>,</w:t>
      </w:r>
      <w:r w:rsidRPr="004E2573">
        <w:rPr>
          <w:rFonts w:ascii="Arial Narrow" w:hAnsi="Arial Narrow"/>
          <w:sz w:val="24"/>
          <w:szCs w:val="24"/>
        </w:rPr>
        <w:t xml:space="preserve"> para alcanzar de manera progresiva</w:t>
      </w:r>
      <w:r>
        <w:rPr>
          <w:rFonts w:ascii="Arial Narrow" w:hAnsi="Arial Narrow"/>
          <w:sz w:val="24"/>
          <w:szCs w:val="24"/>
        </w:rPr>
        <w:t>:</w:t>
      </w:r>
    </w:p>
    <w:p w14:paraId="644E4F04" w14:textId="77777777" w:rsidR="00E64B20" w:rsidRPr="005670F6" w:rsidRDefault="00E64B20" w:rsidP="00E64B20">
      <w:pPr>
        <w:ind w:left="708"/>
        <w:jc w:val="both"/>
        <w:rPr>
          <w:rFonts w:ascii="Arial Narrow" w:hAnsi="Arial Narrow"/>
          <w:i/>
          <w:iCs/>
          <w:sz w:val="24"/>
          <w:szCs w:val="24"/>
        </w:rPr>
      </w:pPr>
      <w:r w:rsidRPr="005670F6">
        <w:rPr>
          <w:rFonts w:ascii="Arial Narrow" w:hAnsi="Arial Narrow"/>
          <w:i/>
          <w:iCs/>
          <w:sz w:val="24"/>
          <w:szCs w:val="24"/>
        </w:rPr>
        <w:t>Por último, es importante enfatizar que el incidente de sostenibilidad fiscal está sometido a la prohibición prevista en el parágrafo que el Acto Legislativo adicionó el artículo 334 C.P.  Este procedimiento, conforme a dicha disposición, no puede aplicarse de manera tal que se menoscaben las posiciones jurídicas que adquieren condición de iusfundamentalidad, restrinjan su alcance o nieguen su protección efectiva.  Del mismo modo, el incidente de impacto fiscal reafirma el carácter eminentemente instrumental de la SF y la obligatoriedad que toda actuación dirigida a alterar los efectos de decisión judicial esté unívocamente dirigida a garantizar el cumplimiento de los fines esenciales del ESDD.</w:t>
      </w:r>
      <w:r>
        <w:rPr>
          <w:rStyle w:val="Refdenotaalpie"/>
          <w:rFonts w:ascii="Arial Narrow" w:hAnsi="Arial Narrow"/>
          <w:i/>
          <w:iCs/>
          <w:sz w:val="24"/>
          <w:szCs w:val="24"/>
        </w:rPr>
        <w:footnoteReference w:id="3"/>
      </w:r>
    </w:p>
    <w:p w14:paraId="2B3A45C3" w14:textId="77777777" w:rsidR="00E64B20" w:rsidRDefault="00E64B20" w:rsidP="00E64B20">
      <w:pPr>
        <w:jc w:val="both"/>
        <w:rPr>
          <w:rFonts w:ascii="Arial Narrow" w:hAnsi="Arial Narrow"/>
          <w:sz w:val="24"/>
          <w:szCs w:val="24"/>
        </w:rPr>
      </w:pPr>
      <w:r>
        <w:rPr>
          <w:rFonts w:ascii="Arial Narrow" w:hAnsi="Arial Narrow"/>
          <w:sz w:val="24"/>
          <w:szCs w:val="24"/>
        </w:rPr>
        <w:t>Como se ve en la cita de la Corte Constitucional ninguna autoridad puede utilizar la sostenibilidad fiscal para restringir o negar una protección efectiva de los derechos fundamentales. En ese sentido se hace necesario limitar el concepto emitido por Hacienda, incluyendo dentro de estos la posibilidad financiamiento a corto, mediano o largo plazo algo que hoy no incluyo los conceptos de impacto fiscal.</w:t>
      </w:r>
    </w:p>
    <w:p w14:paraId="5A903121" w14:textId="77777777" w:rsidR="003E22B2" w:rsidRDefault="00E64B20" w:rsidP="00E64B20">
      <w:pPr>
        <w:jc w:val="both"/>
        <w:rPr>
          <w:rFonts w:ascii="Arial Narrow" w:hAnsi="Arial Narrow"/>
          <w:b/>
          <w:bCs/>
          <w:sz w:val="24"/>
          <w:szCs w:val="24"/>
        </w:rPr>
      </w:pPr>
      <w:r w:rsidRPr="005670F6">
        <w:rPr>
          <w:rFonts w:ascii="Arial Narrow" w:hAnsi="Arial Narrow"/>
          <w:b/>
          <w:bCs/>
          <w:sz w:val="24"/>
          <w:szCs w:val="24"/>
        </w:rPr>
        <w:t>Prevenir c</w:t>
      </w:r>
      <w:r w:rsidR="003E22B2">
        <w:rPr>
          <w:rFonts w:ascii="Arial Narrow" w:hAnsi="Arial Narrow"/>
          <w:b/>
          <w:bCs/>
          <w:sz w:val="24"/>
          <w:szCs w:val="24"/>
        </w:rPr>
        <w:t>ualquier Conflicto de Intereses</w:t>
      </w:r>
      <w:r w:rsidRPr="005670F6">
        <w:rPr>
          <w:rFonts w:ascii="Arial Narrow" w:hAnsi="Arial Narrow"/>
          <w:b/>
          <w:bCs/>
          <w:sz w:val="24"/>
          <w:szCs w:val="24"/>
        </w:rPr>
        <w:t xml:space="preserve"> Público</w:t>
      </w:r>
      <w:r w:rsidR="003E22B2">
        <w:rPr>
          <w:rFonts w:ascii="Arial Narrow" w:hAnsi="Arial Narrow"/>
          <w:b/>
          <w:bCs/>
          <w:sz w:val="24"/>
          <w:szCs w:val="24"/>
        </w:rPr>
        <w:t xml:space="preserve">: </w:t>
      </w:r>
    </w:p>
    <w:p w14:paraId="293CB6D7" w14:textId="3556B5FB" w:rsidR="00E64B20" w:rsidRPr="00CA45CE" w:rsidRDefault="00E64B20" w:rsidP="00E64B20">
      <w:pPr>
        <w:jc w:val="both"/>
        <w:rPr>
          <w:rFonts w:ascii="Arial Narrow" w:hAnsi="Arial Narrow"/>
          <w:sz w:val="24"/>
          <w:szCs w:val="24"/>
        </w:rPr>
      </w:pPr>
      <w:r>
        <w:rPr>
          <w:rFonts w:ascii="Arial Narrow" w:hAnsi="Arial Narrow"/>
          <w:sz w:val="24"/>
          <w:szCs w:val="24"/>
        </w:rPr>
        <w:t xml:space="preserve">Adicionalmente el proyecto busca crear herramientas que permitan prevenir el conflicto de interés dentro de las cifras que se utilizan en el Concepto de Impacto Fiscal del Ministerio de Hacienda y Crédito Público, dado que como ya lo había señalado la </w:t>
      </w:r>
      <w:r w:rsidRPr="00CA45CE">
        <w:rPr>
          <w:rFonts w:ascii="Arial Narrow" w:hAnsi="Arial Narrow"/>
          <w:sz w:val="24"/>
          <w:szCs w:val="24"/>
        </w:rPr>
        <w:t xml:space="preserve">Corte Constitucional </w:t>
      </w:r>
      <w:r>
        <w:rPr>
          <w:rFonts w:ascii="Arial Narrow" w:hAnsi="Arial Narrow"/>
          <w:sz w:val="24"/>
          <w:szCs w:val="24"/>
        </w:rPr>
        <w:t>en l</w:t>
      </w:r>
      <w:r w:rsidRPr="00CA45CE">
        <w:rPr>
          <w:rFonts w:ascii="Arial Narrow" w:hAnsi="Arial Narrow"/>
          <w:sz w:val="24"/>
          <w:szCs w:val="24"/>
        </w:rPr>
        <w:t xml:space="preserve">a Sentencia C-502-07 el Ministerio de Hacienda y Crédito Público cuenta con los datos, </w:t>
      </w:r>
      <w:r>
        <w:rPr>
          <w:rFonts w:ascii="Arial Narrow" w:hAnsi="Arial Narrow"/>
          <w:sz w:val="24"/>
          <w:szCs w:val="24"/>
        </w:rPr>
        <w:t>el persona</w:t>
      </w:r>
      <w:r w:rsidRPr="00CA45CE">
        <w:rPr>
          <w:rFonts w:ascii="Arial Narrow" w:hAnsi="Arial Narrow"/>
          <w:sz w:val="24"/>
          <w:szCs w:val="24"/>
        </w:rPr>
        <w:t>l</w:t>
      </w:r>
      <w:r>
        <w:rPr>
          <w:rFonts w:ascii="Arial Narrow" w:hAnsi="Arial Narrow"/>
          <w:sz w:val="24"/>
          <w:szCs w:val="24"/>
        </w:rPr>
        <w:t xml:space="preserve"> de mayor calificación para esta labor </w:t>
      </w:r>
      <w:r w:rsidRPr="00CA45CE">
        <w:rPr>
          <w:rFonts w:ascii="Arial Narrow" w:hAnsi="Arial Narrow"/>
          <w:sz w:val="24"/>
          <w:szCs w:val="24"/>
        </w:rPr>
        <w:t xml:space="preserve">y la experticia para analizar el impacto fiscal de </w:t>
      </w:r>
      <w:r>
        <w:rPr>
          <w:rFonts w:ascii="Arial Narrow" w:hAnsi="Arial Narrow"/>
          <w:sz w:val="24"/>
          <w:szCs w:val="24"/>
        </w:rPr>
        <w:t>las iniciativas legislativas</w:t>
      </w:r>
      <w:r w:rsidRPr="00CA45CE">
        <w:rPr>
          <w:rFonts w:ascii="Arial Narrow" w:hAnsi="Arial Narrow"/>
          <w:sz w:val="24"/>
          <w:szCs w:val="24"/>
        </w:rPr>
        <w:t>.</w:t>
      </w:r>
      <w:r>
        <w:rPr>
          <w:rFonts w:ascii="Arial Narrow" w:hAnsi="Arial Narrow"/>
          <w:sz w:val="24"/>
          <w:szCs w:val="24"/>
        </w:rPr>
        <w:t xml:space="preserve"> En ese sentido no es necesario que esta entidad utilice cifras o estudios de privados que tengan un beneficio directo dentro de la iniciativa estudiada.</w:t>
      </w:r>
    </w:p>
    <w:p w14:paraId="193F284E" w14:textId="77777777" w:rsidR="00E64B20" w:rsidRPr="00BB5BB0" w:rsidRDefault="00E64B20" w:rsidP="00E64B20">
      <w:pPr>
        <w:jc w:val="both"/>
        <w:rPr>
          <w:rFonts w:ascii="Arial Narrow" w:hAnsi="Arial Narrow"/>
          <w:sz w:val="24"/>
          <w:szCs w:val="24"/>
        </w:rPr>
      </w:pPr>
      <w:r w:rsidRPr="004401A9">
        <w:rPr>
          <w:rFonts w:ascii="Arial Narrow" w:hAnsi="Arial Narrow"/>
          <w:b/>
          <w:bCs/>
          <w:sz w:val="24"/>
          <w:szCs w:val="24"/>
        </w:rPr>
        <w:t>COSTO FISCAL</w:t>
      </w:r>
      <w:r>
        <w:rPr>
          <w:rFonts w:ascii="Arial Narrow" w:hAnsi="Arial Narrow"/>
          <w:b/>
          <w:bCs/>
          <w:sz w:val="24"/>
          <w:szCs w:val="24"/>
        </w:rPr>
        <w:t xml:space="preserve"> Y CONFLICTO DE INTERÉS</w:t>
      </w:r>
      <w:r w:rsidRPr="004401A9">
        <w:rPr>
          <w:rFonts w:ascii="Arial Narrow" w:hAnsi="Arial Narrow"/>
          <w:b/>
          <w:bCs/>
          <w:sz w:val="24"/>
          <w:szCs w:val="24"/>
        </w:rPr>
        <w:t xml:space="preserve">: </w:t>
      </w:r>
    </w:p>
    <w:p w14:paraId="26F9F5C7" w14:textId="4A306384" w:rsidR="00E64B20" w:rsidRDefault="00E64B20" w:rsidP="00E64B20">
      <w:pPr>
        <w:jc w:val="both"/>
        <w:rPr>
          <w:rFonts w:ascii="Arial Narrow" w:hAnsi="Arial Narrow"/>
          <w:sz w:val="24"/>
          <w:szCs w:val="24"/>
        </w:rPr>
      </w:pPr>
      <w:r w:rsidRPr="00CA45CE">
        <w:rPr>
          <w:rFonts w:ascii="Arial Narrow" w:hAnsi="Arial Narrow"/>
          <w:sz w:val="24"/>
          <w:szCs w:val="24"/>
        </w:rPr>
        <w:t>Para la modificación de esta ley no se necesita aprobación del Ministerio de Hacienda y Crédito Público toda vez que no implica más gasto público. Esta ley tampoco debe ser de iniciativa gubernamental, esto con base al artículo 154 de la Constitución Política de Colombia.</w:t>
      </w:r>
    </w:p>
    <w:p w14:paraId="2807AEA9" w14:textId="77777777" w:rsidR="003E22B2" w:rsidRPr="008C619E" w:rsidRDefault="003E22B2" w:rsidP="003E22B2">
      <w:pPr>
        <w:pStyle w:val="NormalWeb"/>
        <w:spacing w:before="0" w:beforeAutospacing="0" w:after="0" w:afterAutospacing="0"/>
        <w:jc w:val="both"/>
        <w:rPr>
          <w:rFonts w:ascii="Arial Narrow" w:hAnsi="Arial Narrow" w:cs="Arial"/>
        </w:rPr>
      </w:pPr>
      <w:r>
        <w:rPr>
          <w:rFonts w:ascii="Arial Narrow" w:hAnsi="Arial Narrow" w:cs="Arial"/>
        </w:rPr>
        <w:t>Dando cumplimiento</w:t>
      </w:r>
      <w:r w:rsidRPr="008C619E">
        <w:rPr>
          <w:rFonts w:ascii="Arial Narrow" w:hAnsi="Arial Narrow" w:cs="Arial"/>
        </w:rPr>
        <w:t xml:space="preserve"> a lo establecido en el artículo 3 de la Ley 2003 del 19 de noviembre de 2019, por la cual se modifica parcialmente la Ley 5 de 1992, se hacen las siguientes consideraciones: </w:t>
      </w:r>
    </w:p>
    <w:p w14:paraId="49C461E2" w14:textId="77777777" w:rsidR="003E22B2" w:rsidRPr="008C619E" w:rsidRDefault="003E22B2" w:rsidP="003E22B2">
      <w:pPr>
        <w:pStyle w:val="NormalWeb"/>
        <w:spacing w:before="0" w:beforeAutospacing="0" w:after="0" w:afterAutospacing="0"/>
        <w:jc w:val="both"/>
        <w:rPr>
          <w:rFonts w:ascii="Arial Narrow" w:hAnsi="Arial Narrow" w:cs="Arial"/>
        </w:rPr>
      </w:pPr>
    </w:p>
    <w:p w14:paraId="0DEC08CD" w14:textId="77777777" w:rsidR="003E22B2" w:rsidRDefault="003E22B2" w:rsidP="003E22B2">
      <w:pPr>
        <w:pStyle w:val="NormalWeb"/>
        <w:spacing w:before="0" w:beforeAutospacing="0" w:after="0" w:afterAutospacing="0"/>
        <w:jc w:val="both"/>
        <w:rPr>
          <w:rFonts w:ascii="Arial Narrow" w:eastAsia="Arial Narrow" w:hAnsi="Arial Narrow" w:cs="Arial Narrow"/>
          <w:color w:val="000000"/>
        </w:rPr>
      </w:pPr>
      <w:r w:rsidRPr="008C619E">
        <w:rPr>
          <w:rFonts w:ascii="Arial Narrow" w:hAnsi="Arial Narrow" w:cs="Arial"/>
        </w:rPr>
        <w:t>Se estima que el prese</w:t>
      </w:r>
      <w:r>
        <w:rPr>
          <w:rFonts w:ascii="Arial Narrow" w:hAnsi="Arial Narrow" w:cs="Arial"/>
        </w:rPr>
        <w:t xml:space="preserve">nte proyecto de ley </w:t>
      </w:r>
      <w:r w:rsidRPr="008C619E">
        <w:rPr>
          <w:rFonts w:ascii="Arial Narrow" w:hAnsi="Arial Narrow" w:cs="Arial"/>
        </w:rPr>
        <w:t xml:space="preserve">no genera conflictos de interés, puesto que no crearía beneficios </w:t>
      </w:r>
      <w:r w:rsidRPr="00750E3D">
        <w:rPr>
          <w:rFonts w:ascii="Arial Narrow" w:hAnsi="Arial Narrow" w:cs="Arial"/>
          <w:b/>
        </w:rPr>
        <w:t>particulares, actuales y directos</w:t>
      </w:r>
      <w:r w:rsidRPr="008C619E">
        <w:rPr>
          <w:rFonts w:ascii="Arial Narrow" w:hAnsi="Arial Narrow" w:cs="Arial"/>
        </w:rPr>
        <w:t xml:space="preserve"> a los congresistas, a su cónyuge, compañero o compañera permanente, o parientes dentro del segundo grado de consanguinidad, segundo de afinidad o primero civil, conforme a lo dispuesto en la ley,  dado que, el objeto de la iniciativa versa sobre</w:t>
      </w:r>
      <w:r>
        <w:rPr>
          <w:rFonts w:ascii="Arial Narrow" w:hAnsi="Arial Narrow" w:cs="Arial"/>
        </w:rPr>
        <w:t xml:space="preserve"> </w:t>
      </w:r>
      <w:r>
        <w:rPr>
          <w:rFonts w:ascii="Arial Narrow" w:eastAsia="Arial Narrow" w:hAnsi="Arial Narrow" w:cs="Arial Narrow"/>
          <w:color w:val="000000"/>
        </w:rPr>
        <w:t>el mejoramiento de las condiciones de las personas naturales que celebran Contratos de prestación de Servicios con entidades públicas, optimizando sus condiciones de trabajo, garantías laborales, siendo más justo y claro el sistema de cotización al sistema de seguridad social.</w:t>
      </w:r>
      <w:r w:rsidRPr="00750E3D">
        <w:rPr>
          <w:rFonts w:ascii="Arial Narrow" w:eastAsia="Arial Narrow" w:hAnsi="Arial Narrow" w:cs="Arial Narrow"/>
          <w:i/>
          <w:color w:val="000000"/>
        </w:rPr>
        <w:t xml:space="preserve"> [….] </w:t>
      </w:r>
      <w:r>
        <w:rPr>
          <w:rFonts w:ascii="Arial Narrow" w:eastAsia="Arial Narrow" w:hAnsi="Arial Narrow" w:cs="Arial Narrow"/>
          <w:color w:val="000000"/>
        </w:rPr>
        <w:t xml:space="preserve">  como se puede entrever aquí los beneficios son erga omnes, lejos de beneficiar a alguien en particular. </w:t>
      </w:r>
    </w:p>
    <w:p w14:paraId="331A50F4" w14:textId="77777777" w:rsidR="003E22B2" w:rsidRPr="008C619E" w:rsidRDefault="003E22B2" w:rsidP="003E22B2">
      <w:pPr>
        <w:pStyle w:val="NormalWeb"/>
        <w:spacing w:before="0" w:beforeAutospacing="0" w:after="0" w:afterAutospacing="0"/>
        <w:jc w:val="both"/>
        <w:rPr>
          <w:rFonts w:ascii="Arial Narrow" w:hAnsi="Arial Narrow" w:cs="Arial"/>
        </w:rPr>
      </w:pPr>
    </w:p>
    <w:p w14:paraId="13A06820" w14:textId="77777777" w:rsidR="003E22B2" w:rsidRPr="008C619E" w:rsidRDefault="003E22B2" w:rsidP="003E22B2">
      <w:pPr>
        <w:pStyle w:val="NormalWeb"/>
        <w:spacing w:before="0" w:beforeAutospacing="0" w:after="0" w:afterAutospacing="0"/>
        <w:jc w:val="both"/>
        <w:rPr>
          <w:rFonts w:ascii="Arial Narrow" w:hAnsi="Arial Narrow" w:cs="Arial"/>
        </w:rPr>
      </w:pPr>
      <w:r w:rsidRPr="008C619E">
        <w:rPr>
          <w:rFonts w:ascii="Arial Narrow" w:hAnsi="Arial Narrow" w:cs="Arial"/>
        </w:rPr>
        <w:t>Sobre este asunto ha señalado el</w:t>
      </w:r>
      <w:r>
        <w:rPr>
          <w:rFonts w:ascii="Arial Narrow" w:hAnsi="Arial Narrow" w:cs="Arial"/>
        </w:rPr>
        <w:t xml:space="preserve"> Consejo de Estado en sentencia</w:t>
      </w:r>
      <w:r w:rsidRPr="008C619E">
        <w:rPr>
          <w:rFonts w:ascii="Arial Narrow" w:hAnsi="Arial Narrow" w:cs="Arial"/>
        </w:rPr>
        <w:t xml:space="preserve"> 02830 del 16 de julio de 2019:</w:t>
      </w:r>
    </w:p>
    <w:p w14:paraId="0BC7520B" w14:textId="77777777" w:rsidR="003E22B2" w:rsidRPr="008C619E" w:rsidRDefault="003E22B2" w:rsidP="003E22B2">
      <w:pPr>
        <w:pStyle w:val="NormalWeb"/>
        <w:spacing w:before="0" w:beforeAutospacing="0" w:after="0" w:afterAutospacing="0"/>
        <w:jc w:val="both"/>
        <w:rPr>
          <w:rFonts w:ascii="Arial Narrow" w:hAnsi="Arial Narrow" w:cs="Arial"/>
        </w:rPr>
      </w:pPr>
    </w:p>
    <w:p w14:paraId="78A32F3C" w14:textId="77777777" w:rsidR="003E22B2" w:rsidRPr="008C619E" w:rsidRDefault="003E22B2" w:rsidP="003E22B2">
      <w:pPr>
        <w:pStyle w:val="NormalWeb"/>
        <w:spacing w:before="0" w:beforeAutospacing="0" w:after="0" w:afterAutospacing="0"/>
        <w:ind w:left="284"/>
        <w:jc w:val="both"/>
        <w:rPr>
          <w:rFonts w:ascii="Arial Narrow" w:hAnsi="Arial Narrow" w:cs="Arial"/>
          <w:i/>
          <w:iCs/>
        </w:rPr>
      </w:pPr>
      <w:r w:rsidRPr="008C619E">
        <w:rPr>
          <w:rFonts w:ascii="Arial Narrow" w:hAnsi="Arial Narrow" w:cs="Arial"/>
          <w:i/>
          <w:iC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Style w:val="Refdenotaalpie"/>
          <w:rFonts w:ascii="Arial Narrow" w:hAnsi="Arial Narrow" w:cs="Arial"/>
          <w:i/>
          <w:iCs/>
        </w:rPr>
        <w:footnoteReference w:id="4"/>
      </w:r>
    </w:p>
    <w:p w14:paraId="2757F654" w14:textId="77777777" w:rsidR="003E22B2" w:rsidRPr="008C619E" w:rsidRDefault="003E22B2" w:rsidP="003E22B2">
      <w:pPr>
        <w:pStyle w:val="NormalWeb"/>
        <w:spacing w:before="0" w:beforeAutospacing="0" w:after="0" w:afterAutospacing="0"/>
        <w:jc w:val="both"/>
        <w:rPr>
          <w:rFonts w:ascii="Arial Narrow" w:hAnsi="Arial Narrow" w:cs="Arial"/>
        </w:rPr>
      </w:pPr>
    </w:p>
    <w:p w14:paraId="7491ACC9" w14:textId="77777777" w:rsidR="003E22B2" w:rsidRPr="008C619E" w:rsidRDefault="003E22B2" w:rsidP="003E22B2">
      <w:pPr>
        <w:pStyle w:val="NormalWeb"/>
        <w:spacing w:before="0" w:beforeAutospacing="0" w:after="0" w:afterAutospacing="0"/>
        <w:jc w:val="both"/>
        <w:rPr>
          <w:rFonts w:ascii="Arial Narrow" w:hAnsi="Arial Narrow" w:cs="Arial"/>
        </w:rPr>
      </w:pPr>
      <w:r w:rsidRPr="008C619E">
        <w:rPr>
          <w:rFonts w:ascii="Arial Narrow" w:hAnsi="Arial Narrow" w:cs="Arial"/>
        </w:rPr>
        <w:t>Así mismo, es oportuno señalar lo que la Ley 5 de 1992 dispone sobre la materia en el artículo 286, modificado por el artículo </w:t>
      </w:r>
      <w:hyperlink r:id="rId8" w:anchor="1" w:history="1">
        <w:r w:rsidRPr="008C619E">
          <w:rPr>
            <w:rFonts w:ascii="Arial Narrow" w:hAnsi="Arial Narrow" w:cs="Arial"/>
          </w:rPr>
          <w:t>1</w:t>
        </w:r>
      </w:hyperlink>
      <w:r w:rsidRPr="008C619E">
        <w:rPr>
          <w:rFonts w:ascii="Arial Narrow" w:hAnsi="Arial Narrow" w:cs="Arial"/>
        </w:rPr>
        <w:t xml:space="preserve"> de la Ley 2003 de 2019: </w:t>
      </w:r>
      <w:r>
        <w:rPr>
          <w:rStyle w:val="Refdenotaalpie"/>
          <w:rFonts w:ascii="Arial Narrow" w:hAnsi="Arial Narrow" w:cs="Arial"/>
        </w:rPr>
        <w:footnoteReference w:id="5"/>
      </w:r>
    </w:p>
    <w:p w14:paraId="139E84AC" w14:textId="77777777" w:rsidR="003E22B2" w:rsidRPr="008C619E" w:rsidRDefault="003E22B2" w:rsidP="003E22B2">
      <w:pPr>
        <w:jc w:val="both"/>
        <w:rPr>
          <w:rFonts w:ascii="Arial Narrow" w:hAnsi="Arial Narrow" w:cs="Arial"/>
        </w:rPr>
      </w:pPr>
    </w:p>
    <w:p w14:paraId="43547275" w14:textId="77777777" w:rsidR="003E22B2" w:rsidRPr="008C619E" w:rsidRDefault="003E22B2" w:rsidP="003E22B2">
      <w:pPr>
        <w:ind w:left="426"/>
        <w:jc w:val="both"/>
        <w:rPr>
          <w:rFonts w:ascii="Arial Narrow" w:hAnsi="Arial Narrow" w:cs="Arial"/>
          <w:i/>
          <w:iCs/>
        </w:rPr>
      </w:pPr>
      <w:r w:rsidRPr="008C619E">
        <w:rPr>
          <w:rFonts w:ascii="Arial Narrow" w:hAnsi="Arial Narrow" w:cs="Arial"/>
          <w:i/>
          <w:iCs/>
        </w:rPr>
        <w:t>“Se entiende como conflicto de interés una situación donde la discusión o votación de un proyecto de ley o acto legislativo o artículo, pueda resultar en un beneficio particular, actual y directo a favor del congresista. </w:t>
      </w:r>
    </w:p>
    <w:p w14:paraId="19B7C048" w14:textId="77777777" w:rsidR="003E22B2" w:rsidRPr="008C619E" w:rsidRDefault="003E22B2" w:rsidP="003E22B2">
      <w:pPr>
        <w:pStyle w:val="Prrafodelista"/>
        <w:numPr>
          <w:ilvl w:val="0"/>
          <w:numId w:val="4"/>
        </w:numPr>
        <w:ind w:left="426"/>
        <w:jc w:val="both"/>
        <w:rPr>
          <w:rFonts w:ascii="Arial Narrow" w:hAnsi="Arial Narrow" w:cs="Arial"/>
          <w:i/>
          <w:iCs/>
        </w:rPr>
      </w:pPr>
      <w:r w:rsidRPr="008C619E">
        <w:rPr>
          <w:rFonts w:ascii="Arial Narrow" w:hAnsi="Arial Narrow" w:cs="Arial"/>
          <w:i/>
          <w:iCs/>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9585276" w14:textId="77777777" w:rsidR="003E22B2" w:rsidRPr="008C619E" w:rsidRDefault="003E22B2" w:rsidP="003E22B2">
      <w:pPr>
        <w:pStyle w:val="Prrafodelista"/>
        <w:numPr>
          <w:ilvl w:val="0"/>
          <w:numId w:val="4"/>
        </w:numPr>
        <w:ind w:left="426"/>
        <w:jc w:val="both"/>
        <w:rPr>
          <w:rFonts w:ascii="Arial Narrow" w:hAnsi="Arial Narrow" w:cs="Arial"/>
          <w:i/>
          <w:iCs/>
        </w:rPr>
      </w:pPr>
      <w:r w:rsidRPr="008C619E">
        <w:rPr>
          <w:rFonts w:ascii="Arial Narrow" w:hAnsi="Arial Narrow" w:cs="Arial"/>
          <w:i/>
          <w:iCs/>
        </w:rPr>
        <w:t>Beneficio actual: aquel que efectivamente se configura en las circunstancias presentes y existentes al momento en el que el congresista participa de la decisión. </w:t>
      </w:r>
    </w:p>
    <w:p w14:paraId="0C605D93" w14:textId="77777777" w:rsidR="003E22B2" w:rsidRPr="008C619E" w:rsidRDefault="003E22B2" w:rsidP="003E22B2">
      <w:pPr>
        <w:pStyle w:val="Prrafodelista"/>
        <w:numPr>
          <w:ilvl w:val="0"/>
          <w:numId w:val="4"/>
        </w:numPr>
        <w:ind w:left="426"/>
        <w:jc w:val="both"/>
        <w:rPr>
          <w:rFonts w:ascii="Arial Narrow" w:hAnsi="Arial Narrow" w:cs="Arial"/>
          <w:i/>
          <w:iCs/>
        </w:rPr>
      </w:pPr>
      <w:r w:rsidRPr="008C619E">
        <w:rPr>
          <w:rFonts w:ascii="Arial Narrow" w:hAnsi="Arial Narrow" w:cs="Arial"/>
          <w:i/>
          <w:iCs/>
        </w:rPr>
        <w:t>Beneficio directo: aquel que se produzca de forma específica respecto del congresista, de su cónyuge, compañero o compañera permanente, o parientes dentro del segundo grado de consanguinidad, segundo de afinidad o primero civil.”</w:t>
      </w:r>
    </w:p>
    <w:p w14:paraId="67F288AC" w14:textId="77777777" w:rsidR="003E22B2" w:rsidRDefault="003E22B2" w:rsidP="003E22B2">
      <w:pPr>
        <w:jc w:val="both"/>
        <w:rPr>
          <w:rFonts w:ascii="Arial Narrow" w:hAnsi="Arial Narrow" w:cs="Arial"/>
        </w:rPr>
      </w:pPr>
      <w:r w:rsidRPr="008C619E">
        <w:rPr>
          <w:rFonts w:ascii="Arial Narrow" w:hAnsi="Arial Narrow" w:cs="Arial"/>
        </w:rPr>
        <w:t>La descripción de los posibles conflictos de interés que se puedan presentar frente al trámite del prese</w:t>
      </w:r>
      <w:r>
        <w:rPr>
          <w:rFonts w:ascii="Arial Narrow" w:hAnsi="Arial Narrow" w:cs="Arial"/>
        </w:rPr>
        <w:t>nte proyecto de ley</w:t>
      </w:r>
      <w:r w:rsidRPr="008C619E">
        <w:rPr>
          <w:rFonts w:ascii="Arial Narrow" w:hAnsi="Arial Narrow" w:cs="Arial"/>
        </w:rPr>
        <w:t>, conforme a lo dispuesto en el artículo 291 de la ley 5 de 1992 modificado por la ley 2003 de 2019, no exime al Congresista de identificar causales adicionales.</w:t>
      </w:r>
    </w:p>
    <w:p w14:paraId="5E721822" w14:textId="77777777" w:rsidR="003E22B2" w:rsidRDefault="003E22B2" w:rsidP="003E22B2">
      <w:pPr>
        <w:jc w:val="both"/>
        <w:rPr>
          <w:rFonts w:ascii="Arial Narrow" w:hAnsi="Arial Narrow" w:cs="Arial"/>
          <w:i/>
        </w:rPr>
      </w:pPr>
      <w:r>
        <w:rPr>
          <w:rFonts w:ascii="Arial Narrow" w:hAnsi="Arial Narrow" w:cs="Arial"/>
        </w:rPr>
        <w:t xml:space="preserve">Por otra parte, la ley en mención además de establecer las circunstancias en las cuales se presenta los conflictos de interés, prevé las situaciones en las cuales NO hay conflictos de interés. </w:t>
      </w:r>
      <w:r w:rsidRPr="00FD6978">
        <w:rPr>
          <w:rFonts w:ascii="Arial Narrow" w:hAnsi="Arial Narrow" w:cs="Arial"/>
          <w:i/>
        </w:rPr>
        <w:t>[….]</w:t>
      </w:r>
    </w:p>
    <w:p w14:paraId="5A14AE89" w14:textId="44A06E54" w:rsidR="003E22B2" w:rsidRDefault="003E22B2" w:rsidP="003E22B2">
      <w:pPr>
        <w:jc w:val="both"/>
        <w:rPr>
          <w:rFonts w:ascii="Arial Narrow" w:hAnsi="Arial Narrow" w:cs="Arial"/>
        </w:rPr>
      </w:pPr>
      <w:r>
        <w:rPr>
          <w:rFonts w:ascii="Arial Narrow" w:hAnsi="Arial Narrow" w:cs="Arial"/>
          <w:i/>
        </w:rPr>
        <w:t xml:space="preserve">“Cuándo el congresista participe discuta vote proyectos de ley o de acto legislativo que otorgue </w:t>
      </w:r>
      <w:r w:rsidRPr="00D4542A">
        <w:rPr>
          <w:rFonts w:ascii="Arial Narrow" w:hAnsi="Arial Narrow" w:cs="Arial"/>
          <w:b/>
          <w:i/>
        </w:rPr>
        <w:t xml:space="preserve">beneficios </w:t>
      </w:r>
      <w:r>
        <w:rPr>
          <w:rFonts w:ascii="Arial Narrow" w:hAnsi="Arial Narrow" w:cs="Arial"/>
          <w:b/>
          <w:i/>
        </w:rPr>
        <w:t xml:space="preserve">o cargos </w:t>
      </w:r>
      <w:r w:rsidRPr="00D4542A">
        <w:rPr>
          <w:rFonts w:ascii="Arial Narrow" w:hAnsi="Arial Narrow" w:cs="Arial"/>
          <w:b/>
          <w:i/>
        </w:rPr>
        <w:t>de carácter general,</w:t>
      </w:r>
      <w:r>
        <w:rPr>
          <w:rFonts w:ascii="Arial Narrow" w:hAnsi="Arial Narrow" w:cs="Arial"/>
          <w:b/>
          <w:i/>
        </w:rPr>
        <w:t xml:space="preserve"> es decir </w:t>
      </w:r>
      <w:r w:rsidRPr="00D4542A">
        <w:rPr>
          <w:rFonts w:ascii="Arial Narrow" w:hAnsi="Arial Narrow" w:cs="Arial"/>
          <w:b/>
          <w:i/>
        </w:rPr>
        <w:t>cu</w:t>
      </w:r>
      <w:r>
        <w:rPr>
          <w:rFonts w:ascii="Arial Narrow" w:hAnsi="Arial Narrow" w:cs="Arial"/>
          <w:b/>
          <w:i/>
        </w:rPr>
        <w:t>ando el interés del Congresista coincide o se fusione</w:t>
      </w:r>
      <w:r w:rsidRPr="00D4542A">
        <w:rPr>
          <w:rFonts w:ascii="Arial Narrow" w:hAnsi="Arial Narrow" w:cs="Arial"/>
          <w:b/>
          <w:i/>
        </w:rPr>
        <w:t xml:space="preserve"> </w:t>
      </w:r>
      <w:r>
        <w:rPr>
          <w:rFonts w:ascii="Arial Narrow" w:hAnsi="Arial Narrow" w:cs="Arial"/>
          <w:b/>
          <w:i/>
        </w:rPr>
        <w:t>con los intereses</w:t>
      </w:r>
      <w:r w:rsidRPr="00D4542A">
        <w:rPr>
          <w:rFonts w:ascii="Arial Narrow" w:hAnsi="Arial Narrow" w:cs="Arial"/>
          <w:b/>
          <w:i/>
        </w:rPr>
        <w:t xml:space="preserve"> de sus electores”</w:t>
      </w:r>
      <w:r>
        <w:rPr>
          <w:rFonts w:ascii="Arial Narrow" w:hAnsi="Arial Narrow" w:cs="Arial"/>
          <w:b/>
          <w:i/>
        </w:rPr>
        <w:t xml:space="preserve"> </w:t>
      </w:r>
      <w:r>
        <w:rPr>
          <w:rFonts w:ascii="Arial Narrow" w:hAnsi="Arial Narrow" w:cs="Arial"/>
        </w:rPr>
        <w:t xml:space="preserve">negrilla fuera del texto original. </w:t>
      </w:r>
    </w:p>
    <w:p w14:paraId="124D04E7" w14:textId="058ED45E" w:rsidR="00AE595D" w:rsidRDefault="003E22B2" w:rsidP="003E22B2">
      <w:pPr>
        <w:jc w:val="both"/>
        <w:rPr>
          <w:rFonts w:ascii="Arial Narrow" w:hAnsi="Arial Narrow" w:cs="Arial"/>
        </w:rPr>
      </w:pPr>
      <w:r>
        <w:rPr>
          <w:rFonts w:ascii="Arial Narrow" w:hAnsi="Arial Narrow" w:cs="Arial"/>
        </w:rPr>
        <w:t>Como se evidencia en la anterior normatividad,  la figura del</w:t>
      </w:r>
      <w:r w:rsidRPr="00B034ED">
        <w:rPr>
          <w:rFonts w:ascii="Arial Narrow" w:hAnsi="Arial Narrow" w:cs="Arial"/>
          <w:i/>
        </w:rPr>
        <w:t xml:space="preserve"> “</w:t>
      </w:r>
      <w:r>
        <w:rPr>
          <w:rFonts w:ascii="Arial Narrow" w:hAnsi="Arial Narrow" w:cs="Arial"/>
          <w:i/>
        </w:rPr>
        <w:t>C</w:t>
      </w:r>
      <w:r w:rsidRPr="00B034ED">
        <w:rPr>
          <w:rFonts w:ascii="Arial Narrow" w:hAnsi="Arial Narrow" w:cs="Arial"/>
          <w:i/>
        </w:rPr>
        <w:t>onflicto de interés”</w:t>
      </w:r>
      <w:r>
        <w:rPr>
          <w:rFonts w:ascii="Arial Narrow" w:hAnsi="Arial Narrow" w:cs="Arial"/>
          <w:i/>
        </w:rPr>
        <w:t xml:space="preserve"> </w:t>
      </w:r>
      <w:r>
        <w:rPr>
          <w:rFonts w:ascii="Arial Narrow" w:hAnsi="Arial Narrow" w:cs="Arial"/>
        </w:rPr>
        <w:t xml:space="preserve"> se predica de  una situación en donde su votación y discusión  puede generar beneficios  de carácter particular, actual y directo, en favor del Congresista,</w:t>
      </w:r>
      <w:r w:rsidRPr="0074140F">
        <w:rPr>
          <w:rFonts w:ascii="Arial Narrow" w:hAnsi="Arial Narrow" w:cs="Arial"/>
        </w:rPr>
        <w:t xml:space="preserve"> </w:t>
      </w:r>
      <w:r w:rsidRPr="008C619E">
        <w:rPr>
          <w:rFonts w:ascii="Arial Narrow" w:hAnsi="Arial Narrow" w:cs="Arial"/>
        </w:rPr>
        <w:t>su cónyuge, compañero o compañera permanente, o parientes dentro del segundo grado de consanguinidad, segundo de afinidad o primero civil,</w:t>
      </w:r>
      <w:r>
        <w:rPr>
          <w:rFonts w:ascii="Arial Narrow" w:hAnsi="Arial Narrow" w:cs="Arial"/>
        </w:rPr>
        <w:t xml:space="preserve"> luego no es  dable predicar el mismo  frente a una expectativa,  frente a una posibilidad, o situaciones que en el momento no existen, tiene que haber certeza de un  beneficio o del perjuicio,  tiene que ser un hecho cierto y  no hipotético.</w:t>
      </w:r>
    </w:p>
    <w:p w14:paraId="3D66A12F" w14:textId="14AF099E" w:rsidR="003E22B2" w:rsidRDefault="003E22B2" w:rsidP="00E64B20">
      <w:pPr>
        <w:jc w:val="both"/>
        <w:rPr>
          <w:rFonts w:ascii="Arial Narrow" w:hAnsi="Arial Narrow"/>
          <w:sz w:val="24"/>
          <w:szCs w:val="24"/>
        </w:rPr>
      </w:pPr>
    </w:p>
    <w:p w14:paraId="5E996C35" w14:textId="7B65036D" w:rsidR="00AE595D" w:rsidRDefault="00AE595D" w:rsidP="00AE595D">
      <w:pPr>
        <w:shd w:val="clear" w:color="auto" w:fill="FFFFFF"/>
        <w:spacing w:before="45" w:after="15" w:line="240" w:lineRule="auto"/>
        <w:ind w:right="30" w:firstLine="210"/>
        <w:jc w:val="both"/>
        <w:rPr>
          <w:rFonts w:ascii="Arial Narrow" w:eastAsia="Arial Narrow" w:hAnsi="Arial Narrow" w:cs="Arial Narrow"/>
          <w:b/>
          <w:sz w:val="24"/>
          <w:szCs w:val="24"/>
        </w:rPr>
      </w:pPr>
    </w:p>
    <w:p w14:paraId="3ED92643" w14:textId="77777777" w:rsidR="00AE595D" w:rsidRDefault="00AE595D" w:rsidP="00AE595D">
      <w:pPr>
        <w:tabs>
          <w:tab w:val="center" w:pos="4252"/>
          <w:tab w:val="right" w:pos="8504"/>
        </w:tabs>
        <w:spacing w:after="0" w:line="240" w:lineRule="auto"/>
        <w:rPr>
          <w:rFonts w:ascii="Arial Narrow" w:eastAsia="Arial Narrow" w:hAnsi="Arial Narrow" w:cs="Arial Narrow"/>
          <w:b/>
          <w:sz w:val="24"/>
          <w:szCs w:val="24"/>
        </w:rPr>
      </w:pPr>
    </w:p>
    <w:p w14:paraId="2B9DBF98" w14:textId="77777777" w:rsidR="00AE595D" w:rsidRPr="001D3506" w:rsidRDefault="00AE595D" w:rsidP="00AE595D">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VÍCTOR MANUEL ORTIZ JOYA</w:t>
      </w:r>
    </w:p>
    <w:p w14:paraId="5DCBE93B" w14:textId="77777777" w:rsidR="00AE595D" w:rsidRDefault="00AE595D" w:rsidP="00AE595D">
      <w:pPr>
        <w:tabs>
          <w:tab w:val="center" w:pos="4252"/>
          <w:tab w:val="right" w:pos="8504"/>
        </w:tabs>
        <w:spacing w:after="0" w:line="240" w:lineRule="auto"/>
        <w:jc w:val="center"/>
        <w:rPr>
          <w:rFonts w:ascii="Arial Narrow" w:eastAsia="Arial Narrow" w:hAnsi="Arial Narrow" w:cs="Arial Narrow"/>
          <w:b/>
          <w:sz w:val="24"/>
          <w:szCs w:val="24"/>
        </w:rPr>
      </w:pPr>
      <w:r w:rsidRPr="001D3506">
        <w:rPr>
          <w:rFonts w:ascii="Arial Narrow" w:eastAsia="Arial Narrow" w:hAnsi="Arial Narrow" w:cs="Arial Narrow"/>
          <w:b/>
          <w:sz w:val="24"/>
          <w:szCs w:val="24"/>
        </w:rPr>
        <w:t>Representante a la Cámara por Santander.</w:t>
      </w:r>
    </w:p>
    <w:p w14:paraId="0395B39A" w14:textId="77777777" w:rsidR="00AE0A6E" w:rsidRDefault="00AE0A6E" w:rsidP="00AE595D">
      <w:pPr>
        <w:tabs>
          <w:tab w:val="center" w:pos="4252"/>
          <w:tab w:val="right" w:pos="8504"/>
        </w:tabs>
        <w:spacing w:after="0" w:line="240" w:lineRule="auto"/>
        <w:jc w:val="center"/>
        <w:rPr>
          <w:rFonts w:ascii="Arial Narrow" w:eastAsia="Arial Narrow" w:hAnsi="Arial Narrow" w:cs="Arial Narrow"/>
          <w:b/>
          <w:sz w:val="24"/>
          <w:szCs w:val="24"/>
        </w:rPr>
      </w:pPr>
    </w:p>
    <w:p w14:paraId="09B07C4B" w14:textId="77777777" w:rsidR="00AE0A6E" w:rsidRDefault="00AE0A6E" w:rsidP="00AE595D">
      <w:pPr>
        <w:tabs>
          <w:tab w:val="center" w:pos="4252"/>
          <w:tab w:val="right" w:pos="8504"/>
        </w:tabs>
        <w:spacing w:after="0" w:line="240" w:lineRule="auto"/>
        <w:jc w:val="center"/>
        <w:rPr>
          <w:rFonts w:ascii="Arial Narrow" w:eastAsia="Arial Narrow" w:hAnsi="Arial Narrow" w:cs="Arial Narrow"/>
          <w:b/>
          <w:sz w:val="24"/>
          <w:szCs w:val="24"/>
        </w:rPr>
      </w:pPr>
    </w:p>
    <w:p w14:paraId="529D04E3" w14:textId="77777777" w:rsidR="00AE0A6E" w:rsidRPr="001D3506" w:rsidRDefault="00AE0A6E" w:rsidP="00AE595D">
      <w:pPr>
        <w:tabs>
          <w:tab w:val="center" w:pos="4252"/>
          <w:tab w:val="right" w:pos="8504"/>
        </w:tabs>
        <w:spacing w:after="0" w:line="240" w:lineRule="auto"/>
        <w:jc w:val="center"/>
        <w:rPr>
          <w:rFonts w:ascii="Arial Narrow" w:eastAsia="Arial Narrow" w:hAnsi="Arial Narrow" w:cs="Arial Narrow"/>
          <w:b/>
          <w:sz w:val="24"/>
          <w:szCs w:val="24"/>
        </w:rPr>
      </w:pPr>
    </w:p>
    <w:p w14:paraId="72BF736B" w14:textId="6D417796" w:rsidR="00AE595D" w:rsidRPr="001D3506" w:rsidRDefault="00AE595D" w:rsidP="00AE595D">
      <w:pPr>
        <w:tabs>
          <w:tab w:val="center" w:pos="4252"/>
          <w:tab w:val="right" w:pos="8504"/>
        </w:tabs>
        <w:spacing w:after="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ab/>
      </w:r>
    </w:p>
    <w:p w14:paraId="35BBBACB" w14:textId="77777777" w:rsidR="00AE595D" w:rsidRPr="00116A2C" w:rsidRDefault="00AE595D" w:rsidP="00AE595D">
      <w:pPr>
        <w:pBdr>
          <w:top w:val="nil"/>
          <w:left w:val="nil"/>
          <w:bottom w:val="nil"/>
          <w:right w:val="nil"/>
          <w:between w:val="nil"/>
        </w:pBdr>
        <w:spacing w:after="0" w:line="240" w:lineRule="auto"/>
        <w:jc w:val="center"/>
        <w:rPr>
          <w:rFonts w:ascii="Arial Narrow" w:eastAsia="Arial Narrow" w:hAnsi="Arial Narrow" w:cs="Arial Narrow"/>
          <w:b/>
          <w:bCs/>
          <w:color w:val="000000"/>
          <w:sz w:val="24"/>
          <w:szCs w:val="24"/>
        </w:rPr>
      </w:pPr>
      <w:r w:rsidRPr="00116A2C">
        <w:rPr>
          <w:rFonts w:ascii="Arial Narrow" w:eastAsia="Arial Narrow" w:hAnsi="Arial Narrow" w:cs="Arial Narrow"/>
          <w:b/>
          <w:bCs/>
          <w:color w:val="000000"/>
          <w:sz w:val="24"/>
          <w:szCs w:val="24"/>
        </w:rPr>
        <w:t>CARLOS JULIO BONILLA SOTO</w:t>
      </w:r>
    </w:p>
    <w:p w14:paraId="1A10A38E" w14:textId="2FC1C3E5" w:rsidR="003E22B2" w:rsidRDefault="00AE595D" w:rsidP="00AE595D">
      <w:pPr>
        <w:pBdr>
          <w:top w:val="nil"/>
          <w:left w:val="nil"/>
          <w:bottom w:val="nil"/>
          <w:right w:val="nil"/>
          <w:between w:val="nil"/>
        </w:pBdr>
        <w:spacing w:after="0" w:line="240" w:lineRule="auto"/>
        <w:jc w:val="center"/>
        <w:rPr>
          <w:rFonts w:ascii="Arial Narrow" w:hAnsi="Arial Narrow"/>
          <w:sz w:val="24"/>
          <w:szCs w:val="24"/>
        </w:rPr>
      </w:pPr>
      <w:r w:rsidRPr="001D3506">
        <w:rPr>
          <w:rFonts w:ascii="Arial Narrow" w:eastAsia="Arial Narrow" w:hAnsi="Arial Narrow" w:cs="Arial Narrow"/>
          <w:b/>
          <w:color w:val="000000"/>
          <w:sz w:val="24"/>
          <w:szCs w:val="24"/>
        </w:rPr>
        <w:t>Representante a la Cámara, departamento del Cauca.</w:t>
      </w:r>
    </w:p>
    <w:sectPr w:rsidR="003E22B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ACAC" w14:textId="77777777" w:rsidR="00044A74" w:rsidRDefault="00044A74" w:rsidP="000E3BE6">
      <w:pPr>
        <w:spacing w:after="0" w:line="240" w:lineRule="auto"/>
      </w:pPr>
      <w:r>
        <w:separator/>
      </w:r>
    </w:p>
  </w:endnote>
  <w:endnote w:type="continuationSeparator" w:id="0">
    <w:p w14:paraId="368532A0" w14:textId="77777777" w:rsidR="00044A74" w:rsidRDefault="00044A74" w:rsidP="000E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4606" w14:textId="5448CCD5" w:rsidR="000E3BE6" w:rsidRDefault="000E3BE6">
    <w:pPr>
      <w:pStyle w:val="Piedepgina"/>
    </w:pPr>
    <w:r w:rsidRPr="003718BB">
      <w:rPr>
        <w:noProof/>
        <w:lang w:val="es-CO" w:eastAsia="es-CO"/>
      </w:rPr>
      <w:drawing>
        <wp:anchor distT="0" distB="0" distL="114300" distR="114300" simplePos="0" relativeHeight="251661312" behindDoc="0" locked="0" layoutInCell="1" allowOverlap="1" wp14:anchorId="07E6E365" wp14:editId="6C92244F">
          <wp:simplePos x="0" y="0"/>
          <wp:positionH relativeFrom="margin">
            <wp:align>center</wp:align>
          </wp:positionH>
          <wp:positionV relativeFrom="paragraph">
            <wp:posOffset>-313543</wp:posOffset>
          </wp:positionV>
          <wp:extent cx="6763844" cy="1057959"/>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3844" cy="10579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0623" w14:textId="77777777" w:rsidR="00044A74" w:rsidRDefault="00044A74" w:rsidP="000E3BE6">
      <w:pPr>
        <w:spacing w:after="0" w:line="240" w:lineRule="auto"/>
      </w:pPr>
      <w:r>
        <w:separator/>
      </w:r>
    </w:p>
  </w:footnote>
  <w:footnote w:type="continuationSeparator" w:id="0">
    <w:p w14:paraId="6441C44C" w14:textId="77777777" w:rsidR="00044A74" w:rsidRDefault="00044A74" w:rsidP="000E3BE6">
      <w:pPr>
        <w:spacing w:after="0" w:line="240" w:lineRule="auto"/>
      </w:pPr>
      <w:r>
        <w:continuationSeparator/>
      </w:r>
    </w:p>
  </w:footnote>
  <w:footnote w:id="1">
    <w:p w14:paraId="3F5403E4" w14:textId="24D03A84" w:rsidR="003E22B2" w:rsidRPr="003E22B2" w:rsidRDefault="003E22B2">
      <w:pPr>
        <w:pStyle w:val="Textonotapie"/>
        <w:rPr>
          <w:lang w:val="es-ES"/>
        </w:rPr>
      </w:pPr>
      <w:r>
        <w:rPr>
          <w:rStyle w:val="Refdenotaalpie"/>
        </w:rPr>
        <w:footnoteRef/>
      </w:r>
      <w:r>
        <w:t xml:space="preserve"> </w:t>
      </w:r>
      <w:r w:rsidRPr="003E22B2">
        <w:t>LEGISLATIVO, Acto. de 2011, por el cual se establece el principio de la sostenibilidad fiscal, 1 de julio de 2011. 3.</w:t>
      </w:r>
    </w:p>
  </w:footnote>
  <w:footnote w:id="2">
    <w:p w14:paraId="28A00576" w14:textId="4CA821DC" w:rsidR="003E22B2" w:rsidRPr="003E22B2" w:rsidRDefault="003E22B2">
      <w:pPr>
        <w:pStyle w:val="Textonotapie"/>
        <w:rPr>
          <w:lang w:val="es-ES"/>
        </w:rPr>
      </w:pPr>
      <w:r>
        <w:rPr>
          <w:rStyle w:val="Refdenotaalpie"/>
        </w:rPr>
        <w:footnoteRef/>
      </w:r>
      <w:r>
        <w:t xml:space="preserve"> </w:t>
      </w:r>
      <w:r w:rsidRPr="003E22B2">
        <w:t>SALINAS, José Miguel Cárdenas; OLMOS, Hilda Victoria Monroy. Planteamientos sobre la ley 819 de 2003 sobre responsabilidad y transparencia fiscal: una aproximación conceptual en Boyacá. </w:t>
      </w:r>
      <w:r w:rsidRPr="003E22B2">
        <w:rPr>
          <w:i/>
          <w:iCs/>
        </w:rPr>
        <w:t>In Vestigium Ire</w:t>
      </w:r>
      <w:r w:rsidRPr="003E22B2">
        <w:t>, 2016, vol. 10, no 1, p. 139-156.</w:t>
      </w:r>
    </w:p>
  </w:footnote>
  <w:footnote w:id="3">
    <w:p w14:paraId="3DEC46A5" w14:textId="77777777" w:rsidR="00E64B20" w:rsidRDefault="00E64B20" w:rsidP="00E64B20">
      <w:pPr>
        <w:pStyle w:val="Textonotapie"/>
      </w:pPr>
      <w:r>
        <w:rPr>
          <w:rStyle w:val="Refdenotaalpie"/>
        </w:rPr>
        <w:footnoteRef/>
      </w:r>
      <w:r>
        <w:t xml:space="preserve"> C-288-12 Corte Constitucional de Colombia</w:t>
      </w:r>
    </w:p>
  </w:footnote>
  <w:footnote w:id="4">
    <w:p w14:paraId="3D375801" w14:textId="77777777" w:rsidR="003E22B2" w:rsidRPr="00B034ED" w:rsidRDefault="003E22B2" w:rsidP="003E22B2">
      <w:pPr>
        <w:pStyle w:val="Textonotapie"/>
        <w:rPr>
          <w:rFonts w:ascii="Arial Narrow" w:hAnsi="Arial Narrow"/>
        </w:rPr>
      </w:pPr>
      <w:r w:rsidRPr="00B034ED">
        <w:rPr>
          <w:rStyle w:val="Refdenotaalpie"/>
          <w:rFonts w:ascii="Arial Narrow" w:hAnsi="Arial Narrow"/>
        </w:rPr>
        <w:footnoteRef/>
      </w:r>
      <w:r w:rsidRPr="00B034ED">
        <w:rPr>
          <w:rFonts w:ascii="Arial Narrow" w:hAnsi="Arial Narrow"/>
        </w:rPr>
        <w:t xml:space="preserve"> Sentencia del Consejo de Estado 02830 del 16 de julio de 2019. </w:t>
      </w:r>
    </w:p>
  </w:footnote>
  <w:footnote w:id="5">
    <w:p w14:paraId="0F380252" w14:textId="77777777" w:rsidR="003E22B2" w:rsidRPr="00B034ED" w:rsidRDefault="003E22B2" w:rsidP="003E22B2">
      <w:pPr>
        <w:pStyle w:val="Textonotapie"/>
        <w:rPr>
          <w:rFonts w:ascii="Arial Narrow" w:hAnsi="Arial Narrow"/>
        </w:rPr>
      </w:pPr>
      <w:r w:rsidRPr="00B034ED">
        <w:rPr>
          <w:rStyle w:val="Refdenotaalpie"/>
          <w:rFonts w:ascii="Arial Narrow" w:hAnsi="Arial Narrow"/>
        </w:rPr>
        <w:footnoteRef/>
      </w:r>
      <w:r w:rsidRPr="00B034ED">
        <w:rPr>
          <w:rFonts w:ascii="Arial Narrow" w:hAnsi="Arial Narrow"/>
        </w:rPr>
        <w:t xml:space="preserve"> Ley 2003 del 19 de noviembre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CF74" w14:textId="17B216E9" w:rsidR="000E3BE6" w:rsidRDefault="00BF4DC4">
    <w:pPr>
      <w:pStyle w:val="Encabezado"/>
    </w:pPr>
    <w:r w:rsidRPr="00115EBC">
      <w:rPr>
        <w:noProof/>
        <w:lang w:val="es-CO" w:eastAsia="es-CO"/>
      </w:rPr>
      <w:drawing>
        <wp:anchor distT="0" distB="0" distL="114300" distR="114300" simplePos="0" relativeHeight="251663360" behindDoc="0" locked="0" layoutInCell="1" allowOverlap="1" wp14:anchorId="2625B632" wp14:editId="3199120C">
          <wp:simplePos x="0" y="0"/>
          <wp:positionH relativeFrom="margin">
            <wp:posOffset>1377315</wp:posOffset>
          </wp:positionH>
          <wp:positionV relativeFrom="paragraph">
            <wp:posOffset>-335280</wp:posOffset>
          </wp:positionV>
          <wp:extent cx="3213100" cy="1428750"/>
          <wp:effectExtent l="0" t="0" r="6350" b="0"/>
          <wp:wrapTopAndBottom/>
          <wp:docPr id="9" name="Imagen 9" descr="C:\Users\alejandra.llanos\Downloads\WhatsApp Image 2020-08-06 at 7.53.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0-08-06 at 7.53.29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31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D6C9D"/>
    <w:multiLevelType w:val="hybridMultilevel"/>
    <w:tmpl w:val="3F2CE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284723"/>
    <w:multiLevelType w:val="hybridMultilevel"/>
    <w:tmpl w:val="76366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 w15:restartNumberingAfterBreak="0">
    <w:nsid w:val="67D2346E"/>
    <w:multiLevelType w:val="hybridMultilevel"/>
    <w:tmpl w:val="7158DC4C"/>
    <w:lvl w:ilvl="0" w:tplc="7C3EE9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6"/>
    <w:rsid w:val="000318E8"/>
    <w:rsid w:val="00044A74"/>
    <w:rsid w:val="000E3BE6"/>
    <w:rsid w:val="001E710E"/>
    <w:rsid w:val="003E22B2"/>
    <w:rsid w:val="00534209"/>
    <w:rsid w:val="00567033"/>
    <w:rsid w:val="006E37B3"/>
    <w:rsid w:val="007224EB"/>
    <w:rsid w:val="00796F9D"/>
    <w:rsid w:val="008E2F99"/>
    <w:rsid w:val="00921B66"/>
    <w:rsid w:val="0095484A"/>
    <w:rsid w:val="00A41F64"/>
    <w:rsid w:val="00AE0A6E"/>
    <w:rsid w:val="00AE595D"/>
    <w:rsid w:val="00B21EF5"/>
    <w:rsid w:val="00B331B1"/>
    <w:rsid w:val="00B346A1"/>
    <w:rsid w:val="00BF4DC4"/>
    <w:rsid w:val="00C04C6C"/>
    <w:rsid w:val="00CE1B93"/>
    <w:rsid w:val="00E4116F"/>
    <w:rsid w:val="00E64B20"/>
    <w:rsid w:val="00E82EF3"/>
    <w:rsid w:val="00FA5265"/>
    <w:rsid w:val="00FC6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5B658"/>
  <w15:chartTrackingRefBased/>
  <w15:docId w15:val="{0B475522-EADB-4206-8AD2-A079042B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3B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BE6"/>
  </w:style>
  <w:style w:type="paragraph" w:styleId="Piedepgina">
    <w:name w:val="footer"/>
    <w:basedOn w:val="Normal"/>
    <w:link w:val="PiedepginaCar"/>
    <w:uiPriority w:val="99"/>
    <w:unhideWhenUsed/>
    <w:rsid w:val="000E3B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BE6"/>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E64B20"/>
    <w:pPr>
      <w:ind w:left="720"/>
      <w:contextualSpacing/>
    </w:pPr>
  </w:style>
  <w:style w:type="paragraph" w:styleId="Textonotapie">
    <w:name w:val="footnote text"/>
    <w:basedOn w:val="Normal"/>
    <w:link w:val="TextonotapieCar"/>
    <w:uiPriority w:val="99"/>
    <w:semiHidden/>
    <w:unhideWhenUsed/>
    <w:rsid w:val="00E64B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4B20"/>
    <w:rPr>
      <w:sz w:val="20"/>
      <w:szCs w:val="20"/>
    </w:rPr>
  </w:style>
  <w:style w:type="character" w:styleId="Refdenotaalpie">
    <w:name w:val="footnote reference"/>
    <w:basedOn w:val="Fuentedeprrafopredeter"/>
    <w:uiPriority w:val="99"/>
    <w:semiHidden/>
    <w:unhideWhenUsed/>
    <w:rsid w:val="00E64B20"/>
    <w:rPr>
      <w:vertAlign w:val="superscript"/>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3E22B2"/>
  </w:style>
  <w:style w:type="paragraph" w:styleId="NormalWeb">
    <w:name w:val="Normal (Web)"/>
    <w:basedOn w:val="Normal"/>
    <w:uiPriority w:val="99"/>
    <w:unhideWhenUsed/>
    <w:rsid w:val="003E22B2"/>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9755-9AC7-4C0E-8DE1-8F0EC532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2761</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David Rubio Ariza</dc:creator>
  <cp:keywords/>
  <dc:description/>
  <cp:lastModifiedBy>camilo acuna</cp:lastModifiedBy>
  <cp:revision>2</cp:revision>
  <cp:lastPrinted>2020-08-18T17:24:00Z</cp:lastPrinted>
  <dcterms:created xsi:type="dcterms:W3CDTF">2020-08-20T16:46:00Z</dcterms:created>
  <dcterms:modified xsi:type="dcterms:W3CDTF">2020-08-20T16:46:00Z</dcterms:modified>
</cp:coreProperties>
</file>