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F2271" w:rsidRPr="001F2271" w:rsidRDefault="001F2271" w:rsidP="001F2271">
      <w:pPr>
        <w:jc w:val="center"/>
        <w:rPr>
          <w:rFonts w:ascii="Century Gothic" w:hAnsi="Century Gothic" w:cs="Arial"/>
          <w:b/>
          <w:lang w:val="es-CO"/>
        </w:rPr>
      </w:pPr>
      <w:bookmarkStart w:id="0" w:name="_GoBack"/>
      <w:bookmarkEnd w:id="0"/>
      <w:r w:rsidRPr="001F2271">
        <w:rPr>
          <w:rFonts w:ascii="Century Gothic" w:hAnsi="Century Gothic" w:cs="Arial"/>
          <w:b/>
          <w:lang w:val="es-CO"/>
        </w:rPr>
        <w:t>PROYECTO DE LEY NÚMERO ________ DE 2020 CÁMARA</w:t>
      </w:r>
    </w:p>
    <w:p w:rsidR="001F2271" w:rsidRPr="001F2271" w:rsidRDefault="001F2271" w:rsidP="001F2271">
      <w:pPr>
        <w:jc w:val="center"/>
        <w:rPr>
          <w:rFonts w:ascii="Century Gothic" w:hAnsi="Century Gothic" w:cs="Arial"/>
          <w:b/>
          <w:lang w:val="es-CO"/>
        </w:rPr>
      </w:pPr>
    </w:p>
    <w:p w:rsidR="001F2271" w:rsidRPr="001F2271" w:rsidRDefault="001F2271" w:rsidP="001F2271">
      <w:pPr>
        <w:jc w:val="center"/>
        <w:rPr>
          <w:rFonts w:ascii="Century Gothic" w:hAnsi="Century Gothic" w:cs="Arial"/>
          <w:b/>
          <w:lang w:val="es-CO"/>
        </w:rPr>
      </w:pPr>
      <w:r w:rsidRPr="001F2271">
        <w:rPr>
          <w:rFonts w:ascii="Century Gothic" w:hAnsi="Century Gothic" w:cs="Arial"/>
          <w:b/>
          <w:lang w:val="es-CO"/>
        </w:rPr>
        <w:t>“Por el cual se crea el Fondo para el Desarrollo y la Reactivación Económica de Sucre - FODRES”.</w:t>
      </w:r>
    </w:p>
    <w:p w:rsidR="001F2271" w:rsidRPr="001F2271" w:rsidRDefault="001F2271" w:rsidP="001F2271">
      <w:pPr>
        <w:jc w:val="center"/>
        <w:rPr>
          <w:rFonts w:ascii="Century Gothic" w:hAnsi="Century Gothic" w:cs="Arial"/>
          <w:b/>
          <w:lang w:val="es-CO"/>
        </w:rPr>
      </w:pPr>
      <w:r w:rsidRPr="001F2271">
        <w:rPr>
          <w:rFonts w:ascii="Century Gothic" w:hAnsi="Century Gothic" w:cs="Arial"/>
          <w:b/>
          <w:lang w:val="es-CO"/>
        </w:rPr>
        <w:t>EXPOSICIÓN DE MOTIVOS</w:t>
      </w:r>
    </w:p>
    <w:p w:rsidR="001F2271" w:rsidRPr="001F2271" w:rsidRDefault="001F2271" w:rsidP="001F2271">
      <w:pPr>
        <w:pStyle w:val="Prrafodelista"/>
        <w:numPr>
          <w:ilvl w:val="0"/>
          <w:numId w:val="2"/>
        </w:numPr>
        <w:jc w:val="both"/>
        <w:rPr>
          <w:rFonts w:ascii="Century Gothic" w:hAnsi="Century Gothic" w:cs="Arial"/>
          <w:lang w:val="es-CO"/>
        </w:rPr>
      </w:pPr>
      <w:r w:rsidRPr="001F2271">
        <w:rPr>
          <w:rFonts w:ascii="Century Gothic" w:hAnsi="Century Gothic" w:cs="Arial"/>
          <w:lang w:val="es-CO"/>
        </w:rPr>
        <w:t>Objeto</w:t>
      </w:r>
    </w:p>
    <w:p w:rsidR="001F2271" w:rsidRPr="001F2271" w:rsidRDefault="001F2271" w:rsidP="001F2271">
      <w:pPr>
        <w:pStyle w:val="Prrafodelista"/>
        <w:numPr>
          <w:ilvl w:val="0"/>
          <w:numId w:val="2"/>
        </w:numPr>
        <w:jc w:val="both"/>
        <w:rPr>
          <w:rFonts w:ascii="Century Gothic" w:hAnsi="Century Gothic" w:cs="Arial"/>
          <w:lang w:val="es-CO"/>
        </w:rPr>
      </w:pPr>
      <w:r w:rsidRPr="001F2271">
        <w:rPr>
          <w:rFonts w:ascii="Century Gothic" w:hAnsi="Century Gothic" w:cs="Arial"/>
          <w:lang w:val="es-CO"/>
        </w:rPr>
        <w:t>Antecedentes</w:t>
      </w:r>
    </w:p>
    <w:p w:rsidR="001F2271" w:rsidRPr="001F2271" w:rsidRDefault="001F2271" w:rsidP="001F2271">
      <w:pPr>
        <w:pStyle w:val="Prrafodelista"/>
        <w:numPr>
          <w:ilvl w:val="0"/>
          <w:numId w:val="2"/>
        </w:numPr>
        <w:jc w:val="both"/>
        <w:rPr>
          <w:rFonts w:ascii="Century Gothic" w:hAnsi="Century Gothic" w:cs="Arial"/>
          <w:lang w:val="es-CO"/>
        </w:rPr>
      </w:pPr>
      <w:r w:rsidRPr="001F2271">
        <w:rPr>
          <w:rFonts w:ascii="Century Gothic" w:hAnsi="Century Gothic" w:cs="Arial"/>
          <w:lang w:val="es-CO"/>
        </w:rPr>
        <w:t xml:space="preserve">Marco Normativo </w:t>
      </w:r>
    </w:p>
    <w:p w:rsidR="001F2271" w:rsidRPr="001F2271" w:rsidRDefault="001F2271" w:rsidP="001F2271">
      <w:pPr>
        <w:pStyle w:val="Prrafodelista"/>
        <w:numPr>
          <w:ilvl w:val="0"/>
          <w:numId w:val="2"/>
        </w:numPr>
        <w:jc w:val="both"/>
        <w:rPr>
          <w:rFonts w:ascii="Century Gothic" w:hAnsi="Century Gothic" w:cs="Arial"/>
          <w:lang w:val="es-CO"/>
        </w:rPr>
      </w:pPr>
      <w:r w:rsidRPr="001F2271">
        <w:rPr>
          <w:rFonts w:ascii="Century Gothic" w:hAnsi="Century Gothic" w:cs="Arial"/>
          <w:lang w:val="es-CO"/>
        </w:rPr>
        <w:t>Conclusiones</w:t>
      </w:r>
    </w:p>
    <w:p w:rsidR="001F2271" w:rsidRPr="001F2271" w:rsidRDefault="001F2271" w:rsidP="001F2271">
      <w:pPr>
        <w:jc w:val="both"/>
        <w:rPr>
          <w:rFonts w:ascii="Century Gothic" w:hAnsi="Century Gothic" w:cs="Arial"/>
          <w:lang w:val="es-CO"/>
        </w:rPr>
      </w:pPr>
    </w:p>
    <w:p w:rsidR="001F2271" w:rsidRPr="001F2271" w:rsidRDefault="001F2271" w:rsidP="001F2271">
      <w:pPr>
        <w:pStyle w:val="Prrafodelista"/>
        <w:numPr>
          <w:ilvl w:val="0"/>
          <w:numId w:val="4"/>
        </w:numPr>
        <w:jc w:val="both"/>
        <w:rPr>
          <w:rFonts w:ascii="Century Gothic" w:hAnsi="Century Gothic" w:cs="Arial"/>
          <w:b/>
          <w:lang w:val="es-CO"/>
        </w:rPr>
      </w:pPr>
      <w:r w:rsidRPr="001F2271">
        <w:rPr>
          <w:rFonts w:ascii="Century Gothic" w:hAnsi="Century Gothic" w:cs="Arial"/>
          <w:b/>
          <w:lang w:val="es-CO"/>
        </w:rPr>
        <w:t xml:space="preserve">OBJETO. </w:t>
      </w:r>
    </w:p>
    <w:p w:rsidR="001F2271" w:rsidRPr="001F2271" w:rsidRDefault="001F2271" w:rsidP="001F2271">
      <w:pPr>
        <w:jc w:val="both"/>
        <w:rPr>
          <w:rFonts w:ascii="Century Gothic" w:hAnsi="Century Gothic" w:cs="Arial"/>
          <w:lang w:val="es-CO"/>
        </w:rPr>
      </w:pPr>
      <w:r w:rsidRPr="001F2271">
        <w:rPr>
          <w:rFonts w:ascii="Century Gothic" w:hAnsi="Century Gothic" w:cs="Arial"/>
          <w:lang w:val="es-CO"/>
        </w:rPr>
        <w:t>El presente Proyecto de Ley tiene como objeto definir acciones y articular esfuerzos institucionales del orden Nacional y Territorial, que permitan promover la reactivación económica, promover la inversión pública y privada, el empleo y el emprendimiento en el Departamento de Sucre.</w:t>
      </w:r>
    </w:p>
    <w:p w:rsidR="001F2271" w:rsidRPr="001F2271" w:rsidRDefault="001F2271" w:rsidP="001F2271">
      <w:pPr>
        <w:jc w:val="both"/>
        <w:rPr>
          <w:rFonts w:ascii="Century Gothic" w:hAnsi="Century Gothic" w:cs="Arial"/>
          <w:lang w:val="es-CO"/>
        </w:rPr>
      </w:pPr>
      <w:r w:rsidRPr="001F2271">
        <w:rPr>
          <w:rFonts w:ascii="Century Gothic" w:hAnsi="Century Gothic" w:cs="Arial"/>
          <w:lang w:val="es-CO"/>
        </w:rPr>
        <w:t>La creación del Fondo para el Desarrollo y la Reactivación Económica de Sucre - FODRES, permitirá fortalecer la descentralización en nuestro departamento y la inversión de grandes proyectos de impacto, ya que lo que se busca es que éste articule desde el gobierno Nacional, acciones conjuntas que promuevan el desarrollo de Sucre a través de proyectos de impacto regional, recibir, asignar y ejecutar los proyectos con recursos destinados a impactar los sectores económicos, sociales y ambientales, así como promover acciones de coordinación, planeación y articulación conjuntas con las entidades territoriales y del orden nacional para mejorar su dinámica económica, promover y atraer la inversión privada, promover el empleo decente y el emprendimiento en todo el Departamento y todo esto lo podrá desarrollar con la responsabilidad institucional del FODRES, en cabeza de su Director y su equipo técnico que lo acompaña.</w:t>
      </w:r>
    </w:p>
    <w:p w:rsidR="001F2271" w:rsidRPr="001F2271" w:rsidRDefault="001F2271" w:rsidP="001F2271">
      <w:pPr>
        <w:jc w:val="both"/>
        <w:rPr>
          <w:rFonts w:ascii="Century Gothic" w:hAnsi="Century Gothic" w:cs="Arial"/>
          <w:lang w:val="es-CO"/>
        </w:rPr>
      </w:pPr>
    </w:p>
    <w:p w:rsidR="001F2271" w:rsidRPr="001F2271" w:rsidRDefault="001F2271" w:rsidP="001F2271">
      <w:pPr>
        <w:pStyle w:val="Prrafodelista"/>
        <w:numPr>
          <w:ilvl w:val="0"/>
          <w:numId w:val="4"/>
        </w:numPr>
        <w:jc w:val="both"/>
        <w:rPr>
          <w:rFonts w:ascii="Century Gothic" w:hAnsi="Century Gothic" w:cs="Arial"/>
          <w:b/>
          <w:lang w:val="es-CO"/>
        </w:rPr>
      </w:pPr>
      <w:r w:rsidRPr="001F2271">
        <w:rPr>
          <w:rFonts w:ascii="Century Gothic" w:hAnsi="Century Gothic" w:cs="Arial"/>
          <w:b/>
          <w:lang w:val="es-CO"/>
        </w:rPr>
        <w:t>ANTECEDENTES</w:t>
      </w:r>
    </w:p>
    <w:p w:rsidR="001F2271" w:rsidRPr="001F2271" w:rsidRDefault="001F2271" w:rsidP="001F2271">
      <w:pPr>
        <w:jc w:val="both"/>
        <w:rPr>
          <w:rFonts w:ascii="Century Gothic" w:hAnsi="Century Gothic" w:cs="Arial"/>
          <w:lang w:val="es-CO"/>
        </w:rPr>
      </w:pPr>
      <w:r w:rsidRPr="001F2271">
        <w:rPr>
          <w:rFonts w:ascii="Century Gothic" w:hAnsi="Century Gothic" w:cs="Arial"/>
          <w:lang w:val="es-CO"/>
        </w:rPr>
        <w:t>El Departamento de Sucre cuenta con una superficie total de 10.670 km2 que representa el 0.9% del territorio nacional y el 8.1% de la superficie de la Región Caribe y una población aproximada de 949.252</w:t>
      </w:r>
      <w:r w:rsidRPr="001F2271">
        <w:rPr>
          <w:rStyle w:val="Refdenotaalpie"/>
          <w:rFonts w:ascii="Century Gothic" w:hAnsi="Century Gothic" w:cs="Arial"/>
          <w:lang w:val="es-CO"/>
        </w:rPr>
        <w:footnoteReference w:id="1"/>
      </w:r>
      <w:r w:rsidRPr="001F2271">
        <w:rPr>
          <w:rFonts w:ascii="Century Gothic" w:hAnsi="Century Gothic" w:cs="Arial"/>
          <w:lang w:val="es-CO"/>
        </w:rPr>
        <w:t xml:space="preserve"> habitantes, distribuida en 591.085 </w:t>
      </w:r>
      <w:r w:rsidRPr="001F2271">
        <w:rPr>
          <w:rFonts w:ascii="Century Gothic" w:hAnsi="Century Gothic" w:cs="Arial"/>
          <w:lang w:val="es-CO"/>
        </w:rPr>
        <w:lastRenderedPageBreak/>
        <w:t xml:space="preserve">habitantes en la cabecera municipal, lo que representa el 62% y 358.167 habitantes ubicados en los centros poblados y rural dispersa, lo que representa el 38%. </w:t>
      </w:r>
    </w:p>
    <w:p w:rsidR="001F2271" w:rsidRPr="001F2271" w:rsidRDefault="001F2271" w:rsidP="001F2271">
      <w:pPr>
        <w:jc w:val="both"/>
        <w:rPr>
          <w:rFonts w:ascii="Century Gothic" w:hAnsi="Century Gothic" w:cs="Arial"/>
          <w:lang w:val="es-CO"/>
        </w:rPr>
      </w:pPr>
    </w:p>
    <w:p w:rsidR="001F2271" w:rsidRPr="001F2271" w:rsidRDefault="001F2271" w:rsidP="001F2271">
      <w:pPr>
        <w:jc w:val="center"/>
        <w:rPr>
          <w:rFonts w:ascii="Century Gothic" w:hAnsi="Century Gothic" w:cs="Arial"/>
          <w:lang w:val="es-CO"/>
        </w:rPr>
      </w:pPr>
      <w:r w:rsidRPr="001F2271">
        <w:rPr>
          <w:rFonts w:ascii="Century Gothic" w:hAnsi="Century Gothic" w:cs="Arial"/>
          <w:lang w:val="es-CO"/>
        </w:rPr>
        <w:t>Población Departamento de Sucre - 2020</w:t>
      </w:r>
      <w:r w:rsidRPr="001F2271">
        <w:rPr>
          <w:rStyle w:val="Refdenotaalpie"/>
          <w:rFonts w:ascii="Century Gothic" w:hAnsi="Century Gothic" w:cs="Arial"/>
          <w:lang w:val="es-CO"/>
        </w:rPr>
        <w:footnoteReference w:id="2"/>
      </w:r>
    </w:p>
    <w:p w:rsidR="001F2271" w:rsidRPr="001F2271" w:rsidRDefault="001F2271" w:rsidP="001F2271">
      <w:pPr>
        <w:jc w:val="center"/>
        <w:rPr>
          <w:rFonts w:ascii="Century Gothic" w:hAnsi="Century Gothic" w:cs="Arial"/>
          <w:lang w:val="es-CO"/>
        </w:rPr>
      </w:pPr>
      <w:r w:rsidRPr="001F2271">
        <w:rPr>
          <w:rFonts w:ascii="Century Gothic" w:hAnsi="Century Gothic"/>
          <w:noProof/>
          <w:lang w:val="es-CO" w:eastAsia="es-CO"/>
        </w:rPr>
        <w:drawing>
          <wp:inline distT="0" distB="0" distL="0" distR="0" wp14:anchorId="5FD1FF50" wp14:editId="163C8B5D">
            <wp:extent cx="4419600" cy="3267075"/>
            <wp:effectExtent l="0" t="0" r="0" b="9525"/>
            <wp:docPr id="15" name="Gráfico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1F2271" w:rsidRPr="001F2271" w:rsidRDefault="001F2271" w:rsidP="001F2271">
      <w:pPr>
        <w:jc w:val="center"/>
        <w:rPr>
          <w:rFonts w:ascii="Century Gothic" w:hAnsi="Century Gothic" w:cs="Arial"/>
          <w:lang w:val="es-CO"/>
        </w:rPr>
      </w:pPr>
      <w:r w:rsidRPr="001F2271">
        <w:rPr>
          <w:rFonts w:ascii="Century Gothic" w:hAnsi="Century Gothic" w:cs="Arial"/>
          <w:lang w:val="es-CO"/>
        </w:rPr>
        <w:t>Fuente DANE.</w:t>
      </w:r>
    </w:p>
    <w:p w:rsidR="001F2271" w:rsidRPr="001F2271" w:rsidRDefault="001F2271" w:rsidP="001F2271">
      <w:pPr>
        <w:jc w:val="both"/>
        <w:rPr>
          <w:rFonts w:ascii="Century Gothic" w:hAnsi="Century Gothic" w:cs="Arial"/>
          <w:b/>
          <w:lang w:val="es-CO"/>
        </w:rPr>
      </w:pPr>
    </w:p>
    <w:p w:rsidR="001F2271" w:rsidRPr="001F2271" w:rsidRDefault="001F2271" w:rsidP="001F2271">
      <w:pPr>
        <w:pStyle w:val="Prrafodelista"/>
        <w:numPr>
          <w:ilvl w:val="1"/>
          <w:numId w:val="4"/>
        </w:numPr>
        <w:jc w:val="both"/>
        <w:rPr>
          <w:rFonts w:ascii="Century Gothic" w:hAnsi="Century Gothic" w:cs="Arial"/>
          <w:b/>
          <w:u w:val="single"/>
          <w:lang w:val="es-CO"/>
        </w:rPr>
      </w:pPr>
      <w:r w:rsidRPr="001F2271">
        <w:rPr>
          <w:rFonts w:ascii="Century Gothic" w:hAnsi="Century Gothic" w:cs="Arial"/>
          <w:b/>
          <w:u w:val="single"/>
          <w:lang w:val="es-CO"/>
        </w:rPr>
        <w:t>Indicadores de pobreza y pobreza extrema en el Departamento de Sucre y la Región Caribe.</w:t>
      </w:r>
    </w:p>
    <w:p w:rsidR="001F2271" w:rsidRPr="001F2271" w:rsidRDefault="001F2271" w:rsidP="001F2271">
      <w:pPr>
        <w:jc w:val="both"/>
        <w:rPr>
          <w:rFonts w:ascii="Century Gothic" w:hAnsi="Century Gothic" w:cs="Arial"/>
          <w:lang w:val="es-CO"/>
        </w:rPr>
      </w:pPr>
      <w:r w:rsidRPr="001F2271">
        <w:rPr>
          <w:rFonts w:ascii="Century Gothic" w:hAnsi="Century Gothic" w:cs="Arial"/>
          <w:lang w:val="es-CO"/>
        </w:rPr>
        <w:t>El Departamento de Sucre ha mostrado históricamente altos niveles de pobreza y pobreza extrema, que ha sido medido siempre por el ingreso económico o monetario de cada hogar, sin embargo, los mismos resultados nos muestra cuando se empiezan a medir a través de análisis de pobreza multidimensional, que mide factores adicionales a los de ingreso.</w:t>
      </w:r>
    </w:p>
    <w:p w:rsidR="001F2271" w:rsidRPr="001F2271" w:rsidRDefault="001F2271" w:rsidP="001F2271">
      <w:pPr>
        <w:jc w:val="both"/>
        <w:rPr>
          <w:rFonts w:ascii="Century Gothic" w:hAnsi="Century Gothic" w:cs="Arial"/>
          <w:lang w:val="es-CO"/>
        </w:rPr>
      </w:pPr>
      <w:r w:rsidRPr="001F2271">
        <w:rPr>
          <w:rFonts w:ascii="Century Gothic" w:hAnsi="Century Gothic" w:cs="Arial"/>
          <w:lang w:val="es-CO"/>
        </w:rPr>
        <w:t xml:space="preserve">Si bien la pobreza se ha reducido en algunos departamentos de la región caribe, no parece ser suficiente, puesto que para el año 2015 todos registraron índices por encima del nacional, con excepción del Departamento del Atlántico que en ese </w:t>
      </w:r>
      <w:r w:rsidRPr="001F2271">
        <w:rPr>
          <w:rFonts w:ascii="Century Gothic" w:hAnsi="Century Gothic" w:cs="Arial"/>
          <w:lang w:val="es-CO"/>
        </w:rPr>
        <w:lastRenderedPageBreak/>
        <w:t xml:space="preserve">mismo año presentó una pobreza multidimensional de 22,6% frente al 23,4% del país. </w:t>
      </w:r>
    </w:p>
    <w:p w:rsidR="001F2271" w:rsidRPr="001F2271" w:rsidRDefault="001F2271" w:rsidP="001F2271">
      <w:pPr>
        <w:jc w:val="both"/>
        <w:rPr>
          <w:rFonts w:ascii="Century Gothic" w:hAnsi="Century Gothic" w:cs="Arial"/>
          <w:lang w:val="es-CO"/>
        </w:rPr>
      </w:pPr>
      <w:r w:rsidRPr="001F2271">
        <w:rPr>
          <w:rFonts w:ascii="Century Gothic" w:hAnsi="Century Gothic" w:cs="Arial"/>
          <w:lang w:val="es-CO"/>
        </w:rPr>
        <w:t>Los indicadores de pobreza del departamento de sucre, siempre han mostrado niveles superiores a los de la media nacional, registrando 44,7% para el año 2015, 46,7% para al año 2016 y 41,6% para el 2017, mientras que el mismo indicador de pobreza nacional registró 28,0% y 26,9% respectivamente, una brecha grande por alcanzar.</w:t>
      </w:r>
    </w:p>
    <w:p w:rsidR="001F2271" w:rsidRPr="001F2271" w:rsidRDefault="001F2271" w:rsidP="001F2271">
      <w:pPr>
        <w:spacing w:after="0" w:line="240" w:lineRule="auto"/>
        <w:jc w:val="center"/>
        <w:rPr>
          <w:rFonts w:ascii="Century Gothic" w:hAnsi="Century Gothic" w:cs="Arial"/>
          <w:lang w:val="es-CO"/>
        </w:rPr>
      </w:pPr>
      <w:r w:rsidRPr="001F2271">
        <w:rPr>
          <w:rFonts w:ascii="Century Gothic" w:hAnsi="Century Gothic" w:cs="Arial"/>
          <w:lang w:val="es-CO"/>
        </w:rPr>
        <w:t>Incidencia de la pobreza</w:t>
      </w:r>
    </w:p>
    <w:p w:rsidR="001F2271" w:rsidRPr="001F2271" w:rsidRDefault="001F2271" w:rsidP="001F2271">
      <w:pPr>
        <w:spacing w:after="0" w:line="240" w:lineRule="auto"/>
        <w:jc w:val="center"/>
        <w:rPr>
          <w:rFonts w:ascii="Century Gothic" w:hAnsi="Century Gothic" w:cs="Arial"/>
          <w:lang w:val="es-CO"/>
        </w:rPr>
      </w:pPr>
      <w:r w:rsidRPr="001F2271">
        <w:rPr>
          <w:rFonts w:ascii="Century Gothic" w:hAnsi="Century Gothic" w:cs="Arial"/>
          <w:lang w:val="es-CO"/>
        </w:rPr>
        <w:t>Total Nacional y Sucre</w:t>
      </w:r>
    </w:p>
    <w:p w:rsidR="001F2271" w:rsidRPr="001F2271" w:rsidRDefault="001F2271" w:rsidP="001F2271">
      <w:pPr>
        <w:spacing w:after="0" w:line="240" w:lineRule="auto"/>
        <w:jc w:val="center"/>
        <w:rPr>
          <w:rFonts w:ascii="Century Gothic" w:hAnsi="Century Gothic" w:cs="Arial"/>
          <w:lang w:val="es-CO"/>
        </w:rPr>
      </w:pPr>
      <w:r w:rsidRPr="001F2271">
        <w:rPr>
          <w:rFonts w:ascii="Century Gothic" w:hAnsi="Century Gothic" w:cs="Arial"/>
          <w:lang w:val="es-CO"/>
        </w:rPr>
        <w:t>2002-2017</w:t>
      </w:r>
      <w:r w:rsidRPr="001F2271">
        <w:rPr>
          <w:rFonts w:ascii="Century Gothic" w:hAnsi="Century Gothic" w:cs="Arial"/>
          <w:lang w:val="es-CO"/>
        </w:rPr>
        <w:cr/>
      </w:r>
      <w:r w:rsidRPr="001F2271">
        <w:rPr>
          <w:rFonts w:ascii="Century Gothic" w:hAnsi="Century Gothic" w:cs="Arial"/>
          <w:noProof/>
          <w:lang w:val="es-CO" w:eastAsia="es-CO"/>
        </w:rPr>
        <w:drawing>
          <wp:inline distT="0" distB="0" distL="0" distR="0" wp14:anchorId="2BBB2675" wp14:editId="45BF2EC5">
            <wp:extent cx="4333158" cy="2066925"/>
            <wp:effectExtent l="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20553" cy="2108613"/>
                    </a:xfrm>
                    <a:prstGeom prst="rect">
                      <a:avLst/>
                    </a:prstGeom>
                    <a:noFill/>
                    <a:ln>
                      <a:noFill/>
                    </a:ln>
                  </pic:spPr>
                </pic:pic>
              </a:graphicData>
            </a:graphic>
          </wp:inline>
        </w:drawing>
      </w:r>
    </w:p>
    <w:p w:rsidR="001F2271" w:rsidRPr="001F2271" w:rsidRDefault="001F2271" w:rsidP="001F2271">
      <w:pPr>
        <w:jc w:val="center"/>
        <w:rPr>
          <w:rFonts w:ascii="Century Gothic" w:hAnsi="Century Gothic" w:cs="Arial"/>
          <w:lang w:val="es-CO"/>
        </w:rPr>
      </w:pPr>
      <w:r w:rsidRPr="001F2271">
        <w:rPr>
          <w:rFonts w:ascii="Century Gothic" w:hAnsi="Century Gothic" w:cs="Arial"/>
          <w:lang w:val="es-CO"/>
        </w:rPr>
        <w:t>Fuente: DANE, cálculos con base en la Encuesta Nacional de Calidad de Vida (ECV) 2017.</w:t>
      </w:r>
    </w:p>
    <w:p w:rsidR="001F2271" w:rsidRPr="001F2271" w:rsidRDefault="001F2271" w:rsidP="001F2271">
      <w:pPr>
        <w:jc w:val="center"/>
        <w:rPr>
          <w:rFonts w:ascii="Century Gothic" w:hAnsi="Century Gothic" w:cs="Arial"/>
          <w:lang w:val="es-CO"/>
        </w:rPr>
      </w:pPr>
    </w:p>
    <w:p w:rsidR="001F2271" w:rsidRPr="001F2271" w:rsidRDefault="001F2271" w:rsidP="001F2271">
      <w:pPr>
        <w:pStyle w:val="Prrafodelista"/>
        <w:numPr>
          <w:ilvl w:val="2"/>
          <w:numId w:val="4"/>
        </w:numPr>
        <w:jc w:val="both"/>
        <w:rPr>
          <w:rFonts w:ascii="Century Gothic" w:hAnsi="Century Gothic" w:cs="Arial"/>
          <w:b/>
          <w:u w:val="single"/>
          <w:lang w:val="es-CO"/>
        </w:rPr>
      </w:pPr>
      <w:r w:rsidRPr="001F2271">
        <w:rPr>
          <w:rFonts w:ascii="Century Gothic" w:hAnsi="Century Gothic" w:cs="Arial"/>
          <w:b/>
          <w:u w:val="single"/>
          <w:lang w:val="es-CO"/>
        </w:rPr>
        <w:t>Pobreza Multidimensional</w:t>
      </w:r>
      <w:r w:rsidRPr="001F2271">
        <w:rPr>
          <w:rStyle w:val="Refdenotaalpie"/>
          <w:rFonts w:ascii="Century Gothic" w:hAnsi="Century Gothic" w:cs="Arial"/>
          <w:b/>
          <w:u w:val="single"/>
          <w:lang w:val="es-CO"/>
        </w:rPr>
        <w:footnoteReference w:id="3"/>
      </w:r>
    </w:p>
    <w:p w:rsidR="001F2271" w:rsidRPr="001F2271" w:rsidRDefault="001F2271" w:rsidP="001F2271">
      <w:pPr>
        <w:jc w:val="both"/>
        <w:rPr>
          <w:rFonts w:ascii="Century Gothic" w:hAnsi="Century Gothic" w:cs="Arial"/>
          <w:lang w:val="es-CO"/>
        </w:rPr>
      </w:pPr>
      <w:r w:rsidRPr="001F2271">
        <w:rPr>
          <w:rFonts w:ascii="Century Gothic" w:hAnsi="Century Gothic" w:cs="Arial"/>
          <w:lang w:val="es-CO"/>
        </w:rPr>
        <w:t xml:space="preserve">Según el DANE realiza la Encuesta de Calidad de Vida ECV para analizar el Índice de Pobreza Multidimensional - IPM, analizando las cinco dimensiones y que involucran quince (15) indicadores, pues según el DANE, una persona se considera en situación de pobreza multidimensional cuando pertenece a un hogar que está privado en una tercera parte (suma ponderada) de los aportes de los 15 indicadores, que se asocian con la situación de pobreza multidimensional. </w:t>
      </w:r>
    </w:p>
    <w:p w:rsidR="001F2271" w:rsidRPr="001F2271" w:rsidRDefault="001F2271" w:rsidP="001F2271">
      <w:pPr>
        <w:jc w:val="both"/>
        <w:rPr>
          <w:rFonts w:ascii="Century Gothic" w:hAnsi="Century Gothic" w:cs="Arial"/>
          <w:lang w:val="es-CO"/>
        </w:rPr>
      </w:pPr>
      <w:r w:rsidRPr="001F2271">
        <w:rPr>
          <w:rFonts w:ascii="Century Gothic" w:hAnsi="Century Gothic" w:cs="Arial"/>
          <w:lang w:val="es-CO"/>
        </w:rPr>
        <w:t>Presentamos los principales indicadores de los departamentos de la región Caribe, donde podremos ver la situación del Departamento de Sucre.</w:t>
      </w:r>
    </w:p>
    <w:p w:rsidR="001F2271" w:rsidRPr="001F2271" w:rsidRDefault="001F2271" w:rsidP="001F2271">
      <w:pPr>
        <w:jc w:val="both"/>
        <w:rPr>
          <w:rFonts w:ascii="Century Gothic" w:hAnsi="Century Gothic" w:cs="Arial"/>
          <w:lang w:val="es-CO"/>
        </w:rPr>
      </w:pPr>
    </w:p>
    <w:p w:rsidR="001F2271" w:rsidRPr="001F2271" w:rsidRDefault="001F2271" w:rsidP="001F2271">
      <w:pPr>
        <w:spacing w:after="0" w:line="240" w:lineRule="auto"/>
        <w:jc w:val="center"/>
        <w:rPr>
          <w:rFonts w:ascii="Century Gothic" w:hAnsi="Century Gothic" w:cs="Arial"/>
          <w:lang w:val="es-CO"/>
        </w:rPr>
      </w:pPr>
      <w:r w:rsidRPr="001F2271">
        <w:rPr>
          <w:rFonts w:ascii="Century Gothic" w:hAnsi="Century Gothic" w:cs="Arial"/>
          <w:lang w:val="es-CO"/>
        </w:rPr>
        <w:t>Pobreza multidimensional (%)</w:t>
      </w:r>
    </w:p>
    <w:p w:rsidR="001F2271" w:rsidRPr="001F2271" w:rsidRDefault="001F2271" w:rsidP="001F2271">
      <w:pPr>
        <w:spacing w:after="0" w:line="240" w:lineRule="auto"/>
        <w:jc w:val="center"/>
        <w:rPr>
          <w:rFonts w:ascii="Century Gothic" w:hAnsi="Century Gothic" w:cs="Arial"/>
          <w:lang w:val="es-CO"/>
        </w:rPr>
      </w:pPr>
      <w:r w:rsidRPr="001F2271">
        <w:rPr>
          <w:rFonts w:ascii="Century Gothic" w:hAnsi="Century Gothic" w:cs="Arial"/>
          <w:lang w:val="es-CO"/>
        </w:rPr>
        <w:t>Departamentos de la Región Caribe</w:t>
      </w:r>
    </w:p>
    <w:p w:rsidR="001F2271" w:rsidRPr="001F2271" w:rsidRDefault="001F2271" w:rsidP="001F2271">
      <w:pPr>
        <w:spacing w:after="0" w:line="240" w:lineRule="auto"/>
        <w:jc w:val="center"/>
        <w:rPr>
          <w:rFonts w:ascii="Century Gothic" w:hAnsi="Century Gothic" w:cs="Arial"/>
          <w:lang w:val="es-CO"/>
        </w:rPr>
      </w:pPr>
      <w:r w:rsidRPr="001F2271">
        <w:rPr>
          <w:rFonts w:ascii="Century Gothic" w:hAnsi="Century Gothic" w:cs="Arial"/>
          <w:lang w:val="es-CO"/>
        </w:rPr>
        <w:lastRenderedPageBreak/>
        <w:t>Año 2018</w:t>
      </w:r>
    </w:p>
    <w:p w:rsidR="001F2271" w:rsidRPr="001F2271" w:rsidRDefault="001F2271" w:rsidP="001F2271">
      <w:pPr>
        <w:jc w:val="center"/>
        <w:rPr>
          <w:rFonts w:ascii="Century Gothic" w:hAnsi="Century Gothic" w:cs="Arial"/>
          <w:lang w:val="es-CO"/>
        </w:rPr>
      </w:pPr>
      <w:r w:rsidRPr="001F2271">
        <w:rPr>
          <w:rFonts w:ascii="Century Gothic" w:hAnsi="Century Gothic" w:cs="Arial"/>
          <w:noProof/>
          <w:lang w:val="es-CO" w:eastAsia="es-CO"/>
        </w:rPr>
        <w:drawing>
          <wp:inline distT="0" distB="0" distL="0" distR="0" wp14:anchorId="5272145B" wp14:editId="7D83CA43">
            <wp:extent cx="3978910" cy="1781175"/>
            <wp:effectExtent l="0" t="0" r="2540" b="9525"/>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31442" cy="1804691"/>
                    </a:xfrm>
                    <a:prstGeom prst="rect">
                      <a:avLst/>
                    </a:prstGeom>
                    <a:noFill/>
                    <a:ln>
                      <a:noFill/>
                    </a:ln>
                  </pic:spPr>
                </pic:pic>
              </a:graphicData>
            </a:graphic>
          </wp:inline>
        </w:drawing>
      </w:r>
    </w:p>
    <w:p w:rsidR="001F2271" w:rsidRPr="001F2271" w:rsidRDefault="001F2271" w:rsidP="001F2271">
      <w:pPr>
        <w:jc w:val="center"/>
        <w:rPr>
          <w:rFonts w:ascii="Century Gothic" w:hAnsi="Century Gothic" w:cs="Arial"/>
          <w:lang w:val="es-CO"/>
        </w:rPr>
      </w:pPr>
      <w:r w:rsidRPr="001F2271">
        <w:rPr>
          <w:rFonts w:ascii="Century Gothic" w:hAnsi="Century Gothic" w:cs="Arial"/>
          <w:lang w:val="es-CO"/>
        </w:rPr>
        <w:t>FUENTE. DANE ECV 2018</w:t>
      </w:r>
    </w:p>
    <w:p w:rsidR="001F2271" w:rsidRPr="001F2271" w:rsidRDefault="001F2271" w:rsidP="001F2271">
      <w:pPr>
        <w:jc w:val="both"/>
        <w:rPr>
          <w:rFonts w:ascii="Century Gothic" w:hAnsi="Century Gothic" w:cs="Arial"/>
          <w:u w:val="single"/>
          <w:lang w:val="es-CO"/>
        </w:rPr>
      </w:pPr>
    </w:p>
    <w:p w:rsidR="001F2271" w:rsidRPr="001F2271" w:rsidRDefault="001F2271" w:rsidP="001F2271">
      <w:pPr>
        <w:pStyle w:val="Prrafodelista"/>
        <w:numPr>
          <w:ilvl w:val="2"/>
          <w:numId w:val="4"/>
        </w:numPr>
        <w:jc w:val="both"/>
        <w:rPr>
          <w:rFonts w:ascii="Century Gothic" w:hAnsi="Century Gothic" w:cs="Arial"/>
          <w:b/>
          <w:u w:val="single"/>
          <w:lang w:val="es-CO"/>
        </w:rPr>
      </w:pPr>
      <w:r w:rsidRPr="001F2271">
        <w:rPr>
          <w:rFonts w:ascii="Century Gothic" w:hAnsi="Century Gothic" w:cs="Arial"/>
          <w:b/>
          <w:u w:val="single"/>
          <w:lang w:val="es-CO"/>
        </w:rPr>
        <w:t>Incidencia de la Pobreza Multidimensional</w:t>
      </w:r>
      <w:r w:rsidRPr="001F2271">
        <w:rPr>
          <w:rStyle w:val="Refdenotaalpie"/>
          <w:rFonts w:ascii="Century Gothic" w:hAnsi="Century Gothic" w:cs="Arial"/>
          <w:b/>
          <w:u w:val="single"/>
          <w:lang w:val="es-CO"/>
        </w:rPr>
        <w:footnoteReference w:id="4"/>
      </w:r>
    </w:p>
    <w:p w:rsidR="001F2271" w:rsidRPr="001F2271" w:rsidRDefault="001F2271" w:rsidP="001F2271">
      <w:pPr>
        <w:jc w:val="both"/>
        <w:rPr>
          <w:rFonts w:ascii="Century Gothic" w:hAnsi="Century Gothic" w:cs="Arial"/>
          <w:lang w:val="es-CO"/>
        </w:rPr>
      </w:pPr>
      <w:r w:rsidRPr="001F2271">
        <w:rPr>
          <w:rFonts w:ascii="Century Gothic" w:hAnsi="Century Gothic" w:cs="Arial"/>
          <w:lang w:val="es-CO"/>
        </w:rPr>
        <w:t>En 2018, en la región Caribe el porcentaje de personas en situación de pobreza multidimensional para el agregado regional, cabeceras, centros poblados y rural disperso fue 33,5%, 25,5% y 56,6% respectivamente.</w:t>
      </w:r>
    </w:p>
    <w:p w:rsidR="001F2271" w:rsidRPr="001F2271" w:rsidRDefault="001F2271" w:rsidP="001F2271">
      <w:pPr>
        <w:jc w:val="both"/>
        <w:rPr>
          <w:rFonts w:ascii="Century Gothic" w:hAnsi="Century Gothic" w:cs="Arial"/>
          <w:lang w:val="es-CO"/>
        </w:rPr>
      </w:pPr>
      <w:r w:rsidRPr="001F2271">
        <w:rPr>
          <w:rFonts w:ascii="Century Gothic" w:hAnsi="Century Gothic" w:cs="Arial"/>
          <w:lang w:val="es-CO"/>
        </w:rPr>
        <w:t xml:space="preserve">Los Departamentos que presentaron mayores porcentajes de personas en situación de pobreza multidimensional para el agregado departamental son: En primer </w:t>
      </w:r>
      <w:proofErr w:type="spellStart"/>
      <w:r w:rsidRPr="001F2271">
        <w:rPr>
          <w:rFonts w:ascii="Century Gothic" w:hAnsi="Century Gothic" w:cs="Arial"/>
          <w:lang w:val="es-CO"/>
        </w:rPr>
        <w:t>luigar</w:t>
      </w:r>
      <w:proofErr w:type="spellEnd"/>
      <w:r w:rsidRPr="001F2271">
        <w:rPr>
          <w:rFonts w:ascii="Century Gothic" w:hAnsi="Century Gothic" w:cs="Arial"/>
          <w:lang w:val="es-CO"/>
        </w:rPr>
        <w:t xml:space="preserve"> el Departamento de La Guajira con 51,4% y en segundo lugar el Departamento de Sucre con 39,7%, le siguen Magdalena con 38,6% y Córdoba con 36,7% y los departamentos que presentaron menor incidencia de la pobreza multidimensional fueron Atlántico con 20,1%, seguido de Bolívar con 32,4% y Cesar con 33,2%.</w:t>
      </w:r>
    </w:p>
    <w:p w:rsidR="001F2271" w:rsidRPr="001F2271" w:rsidRDefault="001F2271" w:rsidP="001F2271">
      <w:pPr>
        <w:spacing w:after="0" w:line="240" w:lineRule="auto"/>
        <w:jc w:val="center"/>
        <w:rPr>
          <w:rFonts w:ascii="Century Gothic" w:hAnsi="Century Gothic" w:cs="Arial"/>
          <w:b/>
          <w:lang w:val="es-CO"/>
        </w:rPr>
      </w:pPr>
      <w:r w:rsidRPr="001F2271">
        <w:rPr>
          <w:rFonts w:ascii="Century Gothic" w:hAnsi="Century Gothic" w:cs="Arial"/>
          <w:b/>
          <w:lang w:val="es-CO"/>
        </w:rPr>
        <w:t>Incidencia de la pobreza por IPM (%)</w:t>
      </w:r>
    </w:p>
    <w:p w:rsidR="001F2271" w:rsidRPr="001F2271" w:rsidRDefault="001F2271" w:rsidP="001F2271">
      <w:pPr>
        <w:spacing w:after="0" w:line="240" w:lineRule="auto"/>
        <w:jc w:val="center"/>
        <w:rPr>
          <w:rFonts w:ascii="Century Gothic" w:hAnsi="Century Gothic" w:cs="Arial"/>
          <w:b/>
          <w:lang w:val="es-CO"/>
        </w:rPr>
      </w:pPr>
      <w:r w:rsidRPr="001F2271">
        <w:rPr>
          <w:rFonts w:ascii="Century Gothic" w:hAnsi="Century Gothic" w:cs="Arial"/>
          <w:b/>
          <w:lang w:val="es-CO"/>
        </w:rPr>
        <w:t>Total Región Caribe, Departamental</w:t>
      </w:r>
    </w:p>
    <w:p w:rsidR="001F2271" w:rsidRPr="001F2271" w:rsidRDefault="001F2271" w:rsidP="001F2271">
      <w:pPr>
        <w:spacing w:after="0" w:line="240" w:lineRule="auto"/>
        <w:jc w:val="center"/>
        <w:rPr>
          <w:rFonts w:ascii="Century Gothic" w:hAnsi="Century Gothic" w:cs="Arial"/>
          <w:b/>
          <w:lang w:val="es-CO"/>
        </w:rPr>
      </w:pPr>
      <w:r w:rsidRPr="001F2271">
        <w:rPr>
          <w:rFonts w:ascii="Century Gothic" w:hAnsi="Century Gothic" w:cs="Arial"/>
          <w:b/>
          <w:lang w:val="es-CO"/>
        </w:rPr>
        <w:t>cabecera y centros poblados-rural disperso</w:t>
      </w:r>
    </w:p>
    <w:p w:rsidR="001F2271" w:rsidRPr="001F2271" w:rsidRDefault="001F2271" w:rsidP="001F2271">
      <w:pPr>
        <w:spacing w:after="0" w:line="240" w:lineRule="auto"/>
        <w:jc w:val="center"/>
        <w:rPr>
          <w:rFonts w:ascii="Century Gothic" w:hAnsi="Century Gothic" w:cs="Arial"/>
          <w:b/>
          <w:lang w:val="es-CO"/>
        </w:rPr>
      </w:pPr>
      <w:r w:rsidRPr="001F2271">
        <w:rPr>
          <w:rFonts w:ascii="Century Gothic" w:hAnsi="Century Gothic" w:cs="Arial"/>
          <w:b/>
          <w:lang w:val="es-CO"/>
        </w:rPr>
        <w:t>Año 2018</w:t>
      </w:r>
    </w:p>
    <w:p w:rsidR="001F2271" w:rsidRPr="001F2271" w:rsidRDefault="001F2271" w:rsidP="001F2271">
      <w:pPr>
        <w:spacing w:after="0" w:line="240" w:lineRule="auto"/>
        <w:jc w:val="center"/>
        <w:rPr>
          <w:rFonts w:ascii="Century Gothic" w:hAnsi="Century Gothic" w:cs="Arial"/>
          <w:lang w:val="es-CO"/>
        </w:rPr>
      </w:pPr>
    </w:p>
    <w:p w:rsidR="001F2271" w:rsidRPr="001F2271" w:rsidRDefault="001F2271" w:rsidP="001F2271">
      <w:pPr>
        <w:jc w:val="center"/>
        <w:rPr>
          <w:rFonts w:ascii="Century Gothic" w:hAnsi="Century Gothic" w:cs="Arial"/>
          <w:lang w:val="es-CO"/>
        </w:rPr>
      </w:pPr>
      <w:r w:rsidRPr="001F2271">
        <w:rPr>
          <w:rFonts w:ascii="Century Gothic" w:hAnsi="Century Gothic" w:cs="Arial"/>
          <w:noProof/>
          <w:lang w:val="es-CO" w:eastAsia="es-CO"/>
        </w:rPr>
        <w:drawing>
          <wp:inline distT="0" distB="0" distL="0" distR="0" wp14:anchorId="43F35910" wp14:editId="69AC83DE">
            <wp:extent cx="3135823" cy="1457325"/>
            <wp:effectExtent l="0" t="0" r="762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94691" cy="1484683"/>
                    </a:xfrm>
                    <a:prstGeom prst="rect">
                      <a:avLst/>
                    </a:prstGeom>
                    <a:noFill/>
                    <a:ln>
                      <a:noFill/>
                    </a:ln>
                  </pic:spPr>
                </pic:pic>
              </a:graphicData>
            </a:graphic>
          </wp:inline>
        </w:drawing>
      </w:r>
    </w:p>
    <w:p w:rsidR="001F2271" w:rsidRPr="001F2271" w:rsidRDefault="001F2271" w:rsidP="001F2271">
      <w:pPr>
        <w:jc w:val="center"/>
        <w:rPr>
          <w:rFonts w:ascii="Century Gothic" w:hAnsi="Century Gothic" w:cs="Arial"/>
          <w:lang w:val="es-CO"/>
        </w:rPr>
      </w:pPr>
      <w:r w:rsidRPr="001F2271">
        <w:rPr>
          <w:rFonts w:ascii="Century Gothic" w:hAnsi="Century Gothic" w:cs="Arial"/>
          <w:lang w:val="es-CO"/>
        </w:rPr>
        <w:lastRenderedPageBreak/>
        <w:t>Fuente: DANE, cálculos con base en la Encuesta Nacional de Calidad de Vida (ECV) 2018.</w:t>
      </w:r>
    </w:p>
    <w:p w:rsidR="001F2271" w:rsidRPr="001F2271" w:rsidRDefault="001F2271" w:rsidP="001F2271">
      <w:pPr>
        <w:jc w:val="both"/>
        <w:rPr>
          <w:rFonts w:ascii="Century Gothic" w:hAnsi="Century Gothic" w:cs="Arial"/>
          <w:lang w:val="es-CO"/>
        </w:rPr>
      </w:pPr>
      <w:r w:rsidRPr="001F2271">
        <w:rPr>
          <w:rFonts w:ascii="Century Gothic" w:hAnsi="Century Gothic" w:cs="Arial"/>
          <w:lang w:val="es-CO"/>
        </w:rPr>
        <w:t>Las Necesidades Básicas Insatisfechas de los Departamentos estuvieron registradas para el año 2015 así: Presentando La Guajira el indicador más alto 65,2%, seguido por el Departamento de Sucre 54,9%.</w:t>
      </w:r>
    </w:p>
    <w:p w:rsidR="001F2271" w:rsidRPr="001F2271" w:rsidRDefault="001F2271" w:rsidP="001F2271">
      <w:pPr>
        <w:jc w:val="center"/>
        <w:rPr>
          <w:rFonts w:ascii="Century Gothic" w:hAnsi="Century Gothic" w:cs="Arial"/>
          <w:lang w:val="es-CO"/>
        </w:rPr>
      </w:pPr>
      <w:r w:rsidRPr="001F2271">
        <w:rPr>
          <w:rFonts w:ascii="Century Gothic" w:hAnsi="Century Gothic" w:cs="Arial"/>
          <w:noProof/>
          <w:lang w:val="es-CO" w:eastAsia="es-CO"/>
        </w:rPr>
        <w:drawing>
          <wp:inline distT="0" distB="0" distL="0" distR="0" wp14:anchorId="1A4BB950" wp14:editId="6610E77C">
            <wp:extent cx="3637280" cy="1847850"/>
            <wp:effectExtent l="0" t="0" r="127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58439" cy="1858599"/>
                    </a:xfrm>
                    <a:prstGeom prst="rect">
                      <a:avLst/>
                    </a:prstGeom>
                    <a:noFill/>
                    <a:ln>
                      <a:noFill/>
                    </a:ln>
                  </pic:spPr>
                </pic:pic>
              </a:graphicData>
            </a:graphic>
          </wp:inline>
        </w:drawing>
      </w:r>
    </w:p>
    <w:p w:rsidR="001F2271" w:rsidRPr="001F2271" w:rsidRDefault="001F2271" w:rsidP="001F2271">
      <w:pPr>
        <w:jc w:val="center"/>
        <w:rPr>
          <w:rFonts w:ascii="Century Gothic" w:hAnsi="Century Gothic" w:cs="Arial"/>
          <w:lang w:val="es-CO"/>
        </w:rPr>
      </w:pPr>
      <w:r w:rsidRPr="001F2271">
        <w:rPr>
          <w:rFonts w:ascii="Century Gothic" w:hAnsi="Century Gothic" w:cs="Arial"/>
          <w:lang w:val="es-CO"/>
        </w:rPr>
        <w:t>Fuente: DANE, cálculos con base en la Encuesta Nacional de Calidad de Vida (ECV) 2018.</w:t>
      </w:r>
    </w:p>
    <w:p w:rsidR="001F2271" w:rsidRPr="001F2271" w:rsidRDefault="001F2271" w:rsidP="001F2271">
      <w:pPr>
        <w:jc w:val="both"/>
        <w:rPr>
          <w:rFonts w:ascii="Century Gothic" w:hAnsi="Century Gothic" w:cs="Arial"/>
          <w:lang w:val="es-CO"/>
        </w:rPr>
      </w:pPr>
      <w:r w:rsidRPr="001F2271">
        <w:rPr>
          <w:rFonts w:ascii="Century Gothic" w:hAnsi="Century Gothic" w:cs="Arial"/>
          <w:lang w:val="es-CO"/>
        </w:rPr>
        <w:t>El DANE</w:t>
      </w:r>
      <w:r w:rsidRPr="001F2271">
        <w:rPr>
          <w:rStyle w:val="Refdenotaalpie"/>
          <w:rFonts w:ascii="Century Gothic" w:hAnsi="Century Gothic" w:cs="Arial"/>
          <w:lang w:val="es-CO"/>
        </w:rPr>
        <w:footnoteReference w:id="5"/>
      </w:r>
      <w:r w:rsidRPr="001F2271">
        <w:rPr>
          <w:rFonts w:ascii="Century Gothic" w:hAnsi="Century Gothic" w:cs="Arial"/>
          <w:lang w:val="es-CO"/>
        </w:rPr>
        <w:t xml:space="preserve"> nos muestra en el gráfico, que los orígenes de la pobreza en la región caribe en 2015, estaban caracterizados por el alto porcentaje de empleo informal (84,5%) y bajo logro educativo de los hogares (56,4%) con condiciones de rezago escolar de la niñez y juventud (41,5%); así mismo, inadecuados servicios de saneamiento básico (29,2%) y condiciones de hacinamiento en la vivienda (28,5%). Comparadas con las del país el mayor rezago se presentó en los inadecuados servicios de saneamiento básico (19,1pp), analfabetismo (13,8pp) y pisos inadecuados (13,5pp).</w:t>
      </w:r>
    </w:p>
    <w:p w:rsidR="001F2271" w:rsidRPr="001F2271" w:rsidRDefault="001F2271" w:rsidP="001F2271">
      <w:pPr>
        <w:jc w:val="center"/>
        <w:rPr>
          <w:rFonts w:ascii="Century Gothic" w:hAnsi="Century Gothic" w:cs="Arial"/>
          <w:lang w:val="es-CO"/>
        </w:rPr>
      </w:pPr>
      <w:r w:rsidRPr="001F2271">
        <w:rPr>
          <w:rFonts w:ascii="Century Gothic" w:hAnsi="Century Gothic" w:cs="Arial"/>
          <w:noProof/>
          <w:lang w:val="es-CO" w:eastAsia="es-CO"/>
        </w:rPr>
        <w:lastRenderedPageBreak/>
        <w:drawing>
          <wp:inline distT="0" distB="0" distL="0" distR="0" wp14:anchorId="318D6D72" wp14:editId="19AC6963">
            <wp:extent cx="4592077" cy="490537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19847" cy="4935040"/>
                    </a:xfrm>
                    <a:prstGeom prst="rect">
                      <a:avLst/>
                    </a:prstGeom>
                    <a:noFill/>
                    <a:ln>
                      <a:noFill/>
                    </a:ln>
                  </pic:spPr>
                </pic:pic>
              </a:graphicData>
            </a:graphic>
          </wp:inline>
        </w:drawing>
      </w:r>
    </w:p>
    <w:p w:rsidR="001F2271" w:rsidRPr="001F2271" w:rsidRDefault="001F2271" w:rsidP="001F2271">
      <w:pPr>
        <w:jc w:val="both"/>
        <w:rPr>
          <w:rFonts w:ascii="Century Gothic" w:hAnsi="Century Gothic" w:cs="Arial"/>
          <w:lang w:val="es-CO"/>
        </w:rPr>
      </w:pPr>
      <w:r w:rsidRPr="001F2271">
        <w:rPr>
          <w:rFonts w:ascii="Century Gothic" w:hAnsi="Century Gothic" w:cs="Arial"/>
          <w:lang w:val="es-CO"/>
        </w:rPr>
        <w:t>Sin embargo, los orígenes de la pobreza en la región caribe para el año 2018, siguen iguales ya que siguen caracterizados por el alto porcentaje de empleo informal (85,9%) y bajo logro educativo de los hogares (50,3%) con condiciones de rezago escolar de la niñez y juventud (34,9%); así mismo, inadecuados servicios de saneamiento básico (27,2%) y condiciones de hacinamiento en la vivienda (17,2%).</w:t>
      </w:r>
    </w:p>
    <w:p w:rsidR="001F2271" w:rsidRPr="001F2271" w:rsidRDefault="001F2271" w:rsidP="001F2271">
      <w:pPr>
        <w:jc w:val="both"/>
        <w:rPr>
          <w:rFonts w:ascii="Century Gothic" w:hAnsi="Century Gothic" w:cs="Arial"/>
          <w:lang w:val="es-CO"/>
        </w:rPr>
      </w:pPr>
    </w:p>
    <w:p w:rsidR="001F2271" w:rsidRPr="001F2271" w:rsidRDefault="001F2271" w:rsidP="001F2271">
      <w:pPr>
        <w:spacing w:after="0" w:line="240" w:lineRule="auto"/>
        <w:jc w:val="center"/>
        <w:rPr>
          <w:rFonts w:ascii="Century Gothic" w:hAnsi="Century Gothic" w:cs="Arial"/>
          <w:b/>
          <w:lang w:val="es-CO"/>
        </w:rPr>
      </w:pPr>
      <w:r w:rsidRPr="001F2271">
        <w:rPr>
          <w:rFonts w:ascii="Century Gothic" w:hAnsi="Century Gothic" w:cs="Arial"/>
          <w:b/>
          <w:lang w:val="es-CO"/>
        </w:rPr>
        <w:t>Privaciones por Hogar según variable</w:t>
      </w:r>
    </w:p>
    <w:p w:rsidR="001F2271" w:rsidRPr="001F2271" w:rsidRDefault="001F2271" w:rsidP="001F2271">
      <w:pPr>
        <w:spacing w:after="0" w:line="240" w:lineRule="auto"/>
        <w:jc w:val="center"/>
        <w:rPr>
          <w:rFonts w:ascii="Century Gothic" w:hAnsi="Century Gothic" w:cs="Arial"/>
          <w:b/>
          <w:lang w:val="es-CO"/>
        </w:rPr>
      </w:pPr>
      <w:r w:rsidRPr="001F2271">
        <w:rPr>
          <w:rFonts w:ascii="Century Gothic" w:hAnsi="Century Gothic" w:cs="Arial"/>
          <w:b/>
          <w:lang w:val="es-CO"/>
        </w:rPr>
        <w:t>Región Caribe</w:t>
      </w:r>
    </w:p>
    <w:p w:rsidR="001F2271" w:rsidRPr="001F2271" w:rsidRDefault="001F2271" w:rsidP="001F2271">
      <w:pPr>
        <w:spacing w:after="0" w:line="240" w:lineRule="auto"/>
        <w:jc w:val="center"/>
        <w:rPr>
          <w:rFonts w:ascii="Century Gothic" w:hAnsi="Century Gothic" w:cs="Arial"/>
          <w:b/>
          <w:lang w:val="es-CO"/>
        </w:rPr>
      </w:pPr>
      <w:r w:rsidRPr="001F2271">
        <w:rPr>
          <w:rFonts w:ascii="Century Gothic" w:hAnsi="Century Gothic" w:cs="Arial"/>
          <w:b/>
          <w:lang w:val="es-CO"/>
        </w:rPr>
        <w:t>2018</w:t>
      </w:r>
    </w:p>
    <w:p w:rsidR="001F2271" w:rsidRPr="001F2271" w:rsidRDefault="001F2271" w:rsidP="001F2271">
      <w:pPr>
        <w:jc w:val="center"/>
        <w:rPr>
          <w:rFonts w:ascii="Century Gothic" w:hAnsi="Century Gothic" w:cs="Arial"/>
          <w:lang w:val="es-CO"/>
        </w:rPr>
      </w:pPr>
      <w:r w:rsidRPr="001F2271">
        <w:rPr>
          <w:rFonts w:ascii="Century Gothic" w:hAnsi="Century Gothic"/>
          <w:noProof/>
          <w:lang w:val="es-CO" w:eastAsia="es-CO"/>
        </w:rPr>
        <w:lastRenderedPageBreak/>
        <w:drawing>
          <wp:inline distT="0" distB="0" distL="0" distR="0" wp14:anchorId="0653AC92" wp14:editId="531019F4">
            <wp:extent cx="4572000" cy="3302758"/>
            <wp:effectExtent l="0" t="0" r="0" b="12065"/>
            <wp:docPr id="47" name="Gráfico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1F2271" w:rsidRPr="001F2271" w:rsidRDefault="001F2271" w:rsidP="001F2271">
      <w:pPr>
        <w:jc w:val="right"/>
        <w:rPr>
          <w:rFonts w:ascii="Century Gothic" w:hAnsi="Century Gothic" w:cs="Arial"/>
          <w:lang w:val="es-CO"/>
        </w:rPr>
      </w:pPr>
      <w:r w:rsidRPr="001F2271">
        <w:rPr>
          <w:rFonts w:ascii="Century Gothic" w:hAnsi="Century Gothic" w:cs="Arial"/>
          <w:lang w:val="es-CO"/>
        </w:rPr>
        <w:t>Fuente: DANE, cálculos con base en la Encuesta Nacional de Calidad de Vida (ECV) 2018.</w:t>
      </w:r>
    </w:p>
    <w:p w:rsidR="001F2271" w:rsidRPr="001F2271" w:rsidRDefault="001F2271" w:rsidP="001F2271">
      <w:pPr>
        <w:jc w:val="both"/>
        <w:rPr>
          <w:rFonts w:ascii="Century Gothic" w:hAnsi="Century Gothic" w:cs="Arial"/>
          <w:lang w:val="es-CO"/>
        </w:rPr>
      </w:pPr>
    </w:p>
    <w:p w:rsidR="001F2271" w:rsidRPr="001F2271" w:rsidRDefault="001F2271" w:rsidP="001F2271">
      <w:pPr>
        <w:pStyle w:val="Prrafodelista"/>
        <w:numPr>
          <w:ilvl w:val="1"/>
          <w:numId w:val="4"/>
        </w:numPr>
        <w:jc w:val="both"/>
        <w:rPr>
          <w:rFonts w:ascii="Century Gothic" w:hAnsi="Century Gothic" w:cs="Arial"/>
          <w:b/>
          <w:u w:val="single"/>
          <w:lang w:val="es-CO"/>
        </w:rPr>
      </w:pPr>
      <w:r w:rsidRPr="001F2271">
        <w:rPr>
          <w:rFonts w:ascii="Century Gothic" w:hAnsi="Century Gothic" w:cs="Arial"/>
          <w:b/>
          <w:lang w:val="es-CO"/>
        </w:rPr>
        <w:t xml:space="preserve"> </w:t>
      </w:r>
      <w:r w:rsidRPr="001F2271">
        <w:rPr>
          <w:rFonts w:ascii="Century Gothic" w:hAnsi="Century Gothic" w:cs="Arial"/>
          <w:b/>
          <w:u w:val="single"/>
          <w:lang w:val="es-CO"/>
        </w:rPr>
        <w:t>Indicadores de competitividad del Departamento de Sucre</w:t>
      </w:r>
    </w:p>
    <w:p w:rsidR="001F2271" w:rsidRPr="001F2271" w:rsidRDefault="001F2271" w:rsidP="001F2271">
      <w:pPr>
        <w:jc w:val="both"/>
        <w:rPr>
          <w:rFonts w:ascii="Century Gothic" w:hAnsi="Century Gothic" w:cs="Arial"/>
          <w:lang w:val="es-CO"/>
        </w:rPr>
      </w:pPr>
      <w:r w:rsidRPr="001F2271">
        <w:rPr>
          <w:rFonts w:ascii="Century Gothic" w:hAnsi="Century Gothic" w:cs="Arial"/>
          <w:lang w:val="es-CO"/>
        </w:rPr>
        <w:t xml:space="preserve">Los indicadores de competitividad del Departamento de Sucre han estado marcados históricamente por el atraso y sus bajos niveles de competitividad frente a los otros departamentos de la región, como los son bajos indicadores de inversión de obras de infraestructura en grandes vías de conectividad, bajos indicadores de conectividad en </w:t>
      </w:r>
      <w:proofErr w:type="spellStart"/>
      <w:r w:rsidRPr="001F2271">
        <w:rPr>
          <w:rFonts w:ascii="Century Gothic" w:hAnsi="Century Gothic" w:cs="Arial"/>
          <w:lang w:val="es-CO"/>
        </w:rPr>
        <w:t>TIC’s</w:t>
      </w:r>
      <w:proofErr w:type="spellEnd"/>
      <w:r w:rsidRPr="001F2271">
        <w:rPr>
          <w:rFonts w:ascii="Century Gothic" w:hAnsi="Century Gothic" w:cs="Arial"/>
          <w:lang w:val="es-CO"/>
        </w:rPr>
        <w:t>, baja producción y productividad y bajos aportes al PIB Nacional, lo que ha conllevado a que nuestra dinámica económica termine mostrando que al Departamento de Sucre le ha faltado atención por parte del Gobierno Nacional para promover su desarrollo, la inversión en grandes obras de infraestructura, promover la inversión privada e incentive el turismo, el empleo formal, el emprendimiento y trace una política clara para disminuir los altos índices de informalidad que vive nuestra población sucreña.</w:t>
      </w:r>
    </w:p>
    <w:p w:rsidR="001F2271" w:rsidRPr="001F2271" w:rsidRDefault="001F2271" w:rsidP="001F2271">
      <w:pPr>
        <w:jc w:val="both"/>
        <w:rPr>
          <w:rFonts w:ascii="Century Gothic" w:hAnsi="Century Gothic" w:cs="Arial"/>
          <w:lang w:val="es-CO"/>
        </w:rPr>
      </w:pPr>
      <w:r w:rsidRPr="001F2271">
        <w:rPr>
          <w:rFonts w:ascii="Century Gothic" w:hAnsi="Century Gothic" w:cs="Arial"/>
          <w:lang w:val="es-CO"/>
        </w:rPr>
        <w:t>Gracias al estudio realizado por el Consejo Privado de Competitividad</w:t>
      </w:r>
      <w:r w:rsidRPr="001F2271">
        <w:rPr>
          <w:rStyle w:val="Refdenotaalpie"/>
          <w:rFonts w:ascii="Century Gothic" w:hAnsi="Century Gothic" w:cs="Arial"/>
          <w:lang w:val="es-CO"/>
        </w:rPr>
        <w:footnoteReference w:id="6"/>
      </w:r>
      <w:r w:rsidRPr="001F2271">
        <w:rPr>
          <w:rFonts w:ascii="Century Gothic" w:hAnsi="Century Gothic" w:cs="Arial"/>
          <w:lang w:val="es-CO"/>
        </w:rPr>
        <w:t xml:space="preserve"> con el Departamento Nacional de Planeación – DNP y la Universidad del Rosario, nos </w:t>
      </w:r>
      <w:r w:rsidRPr="001F2271">
        <w:rPr>
          <w:rFonts w:ascii="Century Gothic" w:hAnsi="Century Gothic" w:cs="Arial"/>
          <w:lang w:val="es-CO"/>
        </w:rPr>
        <w:lastRenderedPageBreak/>
        <w:t>muestra los indicadores del Índice Departamental de Competitividad IDC, donde podremos analizar el comparativo de los departamentos de la región Caribe, en especial el Departamento de Sucre y sus grandes falencias que no nos han permitido hacer de nuestra región un territorio más atractivo y gran destino para los turistas colombianos y extranjeros, a pesar de tener unas de las mejores playas del Caribe Colombiano y un escenario ideal para la inversión en el sector turístico o en otros sectores de nuestra economía, en cualquiera de los municipios del departamento de Sucre, para hacernos más productivos y más competitivos en nuestra región, favoreciendo el empleo formal, el emprendimiento y la innovación.</w:t>
      </w:r>
    </w:p>
    <w:p w:rsidR="001F2271" w:rsidRPr="001F2271" w:rsidRDefault="001F2271" w:rsidP="001F2271">
      <w:pPr>
        <w:jc w:val="both"/>
        <w:rPr>
          <w:rFonts w:ascii="Century Gothic" w:hAnsi="Century Gothic" w:cs="Arial"/>
          <w:lang w:val="es-CO"/>
        </w:rPr>
      </w:pPr>
      <w:r w:rsidRPr="001F2271">
        <w:rPr>
          <w:rFonts w:ascii="Century Gothic" w:hAnsi="Century Gothic" w:cs="Arial"/>
          <w:lang w:val="es-CO"/>
        </w:rPr>
        <w:t>El Índice IDC - Departamental de Competitividad, nos ofrece información confiable y pertinente para que los departamentos puedan tomar decisiones de política pública basadas en evidencias de información confiable.</w:t>
      </w:r>
    </w:p>
    <w:p w:rsidR="001F2271" w:rsidRPr="001F2271" w:rsidRDefault="001F2271" w:rsidP="001F2271">
      <w:pPr>
        <w:jc w:val="both"/>
        <w:rPr>
          <w:rFonts w:ascii="Century Gothic" w:hAnsi="Century Gothic" w:cs="Arial"/>
          <w:lang w:val="es-CO"/>
        </w:rPr>
      </w:pPr>
      <w:r w:rsidRPr="001F2271">
        <w:rPr>
          <w:rFonts w:ascii="Century Gothic" w:hAnsi="Century Gothic" w:cs="Arial"/>
          <w:lang w:val="es-CO"/>
        </w:rPr>
        <w:t>El Departamento de Sucre lamentablemente ocupa el penúltimo lugar en competitividad en la Región Caribe con (4,34), después del Departamento de La Guajira que registra en su calificación (3,87). Así mismo el Departamento de Sucre ocupa el puesto 23 a nivel nacional frente a los demás departamentos, donde Atlántico, Bolívar, Magdalena y Cesar lo superan en estos indicadores.</w:t>
      </w:r>
    </w:p>
    <w:p w:rsidR="001F2271" w:rsidRPr="001F2271" w:rsidRDefault="001F2271" w:rsidP="001F2271">
      <w:pPr>
        <w:jc w:val="both"/>
        <w:rPr>
          <w:rFonts w:ascii="Century Gothic" w:hAnsi="Century Gothic" w:cs="Arial"/>
          <w:lang w:val="es-CO"/>
        </w:rPr>
      </w:pPr>
    </w:p>
    <w:p w:rsidR="001F2271" w:rsidRPr="001F2271" w:rsidRDefault="001F2271" w:rsidP="001F2271">
      <w:pPr>
        <w:jc w:val="center"/>
        <w:rPr>
          <w:rFonts w:ascii="Century Gothic" w:hAnsi="Century Gothic" w:cs="Arial"/>
          <w:lang w:val="es-CO"/>
        </w:rPr>
      </w:pPr>
      <w:r w:rsidRPr="001F2271">
        <w:rPr>
          <w:rFonts w:ascii="Century Gothic" w:hAnsi="Century Gothic" w:cs="Arial"/>
          <w:lang w:val="es-CO"/>
        </w:rPr>
        <w:t>Índice Departamental de Competitividad</w:t>
      </w:r>
    </w:p>
    <w:p w:rsidR="001F2271" w:rsidRPr="001F2271" w:rsidRDefault="001F2271" w:rsidP="001F2271">
      <w:pPr>
        <w:jc w:val="center"/>
        <w:rPr>
          <w:rFonts w:ascii="Century Gothic" w:hAnsi="Century Gothic" w:cs="Arial"/>
          <w:lang w:val="es-CO"/>
        </w:rPr>
      </w:pPr>
      <w:r w:rsidRPr="001F2271">
        <w:rPr>
          <w:rFonts w:ascii="Century Gothic" w:hAnsi="Century Gothic" w:cs="Arial"/>
          <w:noProof/>
          <w:lang w:val="es-CO" w:eastAsia="es-CO"/>
        </w:rPr>
        <w:drawing>
          <wp:inline distT="0" distB="0" distL="0" distR="0" wp14:anchorId="2BC09955" wp14:editId="16C716BE">
            <wp:extent cx="5388124" cy="2343150"/>
            <wp:effectExtent l="0" t="0" r="3175"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43923" cy="2367415"/>
                    </a:xfrm>
                    <a:prstGeom prst="rect">
                      <a:avLst/>
                    </a:prstGeom>
                    <a:noFill/>
                    <a:ln>
                      <a:noFill/>
                    </a:ln>
                  </pic:spPr>
                </pic:pic>
              </a:graphicData>
            </a:graphic>
          </wp:inline>
        </w:drawing>
      </w:r>
    </w:p>
    <w:p w:rsidR="001F2271" w:rsidRPr="001F2271" w:rsidRDefault="001F2271" w:rsidP="001F2271">
      <w:pPr>
        <w:jc w:val="right"/>
        <w:rPr>
          <w:rFonts w:ascii="Century Gothic" w:hAnsi="Century Gothic" w:cs="Arial"/>
          <w:lang w:val="es-CO"/>
        </w:rPr>
      </w:pPr>
      <w:r w:rsidRPr="001F2271">
        <w:rPr>
          <w:rFonts w:ascii="Century Gothic" w:hAnsi="Century Gothic" w:cs="Arial"/>
          <w:lang w:val="es-CO"/>
        </w:rPr>
        <w:t>FUENTE. CPC Índice Departamental de Competitividad (IDC), 2019</w:t>
      </w:r>
    </w:p>
    <w:p w:rsidR="001F2271" w:rsidRPr="001F2271" w:rsidRDefault="001F2271" w:rsidP="001F2271">
      <w:pPr>
        <w:jc w:val="both"/>
        <w:rPr>
          <w:rFonts w:ascii="Century Gothic" w:hAnsi="Century Gothic" w:cs="Arial"/>
          <w:lang w:val="es-CO"/>
        </w:rPr>
      </w:pPr>
      <w:r w:rsidRPr="001F2271">
        <w:rPr>
          <w:rFonts w:ascii="Century Gothic" w:hAnsi="Century Gothic" w:cs="Arial"/>
          <w:lang w:val="es-CO"/>
        </w:rPr>
        <w:lastRenderedPageBreak/>
        <w:t>Trabajar por mejorar los indicadores de competitividad es una apuesta a que debemos apostarle de manera articulada todas las entidades en el Departamento de Sucre y de la mano del Gobierno Nacional, pues está demostrado de las regiones más competitivas tienen mayores ingresos, mejoran su dinámica económica, logran obtener mayores oportunidades de empleo formal, mayor igualdad de oportunidades para todos y sus habitantes se van a mostrar más satisfechos con la calidad su vida</w:t>
      </w:r>
      <w:r w:rsidRPr="001F2271">
        <w:rPr>
          <w:rStyle w:val="Refdenotaalpie"/>
          <w:rFonts w:ascii="Century Gothic" w:hAnsi="Century Gothic" w:cs="Arial"/>
          <w:lang w:val="es-CO"/>
        </w:rPr>
        <w:footnoteReference w:id="7"/>
      </w:r>
      <w:r w:rsidRPr="001F2271">
        <w:rPr>
          <w:rFonts w:ascii="Century Gothic" w:hAnsi="Century Gothic" w:cs="Arial"/>
          <w:lang w:val="es-CO"/>
        </w:rPr>
        <w:t xml:space="preserve">. </w:t>
      </w:r>
    </w:p>
    <w:p w:rsidR="001F2271" w:rsidRPr="001F2271" w:rsidRDefault="001F2271" w:rsidP="001F2271">
      <w:pPr>
        <w:jc w:val="both"/>
        <w:rPr>
          <w:rFonts w:ascii="Century Gothic" w:hAnsi="Century Gothic" w:cs="Arial"/>
          <w:lang w:val="es-CO"/>
        </w:rPr>
      </w:pPr>
      <w:r w:rsidRPr="001F2271">
        <w:rPr>
          <w:rFonts w:ascii="Century Gothic" w:hAnsi="Century Gothic" w:cs="Arial"/>
          <w:lang w:val="es-CO"/>
        </w:rPr>
        <w:t>Nos muestra el estudio</w:t>
      </w:r>
      <w:r w:rsidRPr="001F2271">
        <w:rPr>
          <w:rStyle w:val="Refdenotaalpie"/>
          <w:rFonts w:ascii="Century Gothic" w:hAnsi="Century Gothic" w:cs="Arial"/>
          <w:lang w:val="es-CO"/>
        </w:rPr>
        <w:footnoteReference w:id="8"/>
      </w:r>
      <w:r w:rsidRPr="001F2271">
        <w:rPr>
          <w:rFonts w:ascii="Century Gothic" w:hAnsi="Century Gothic" w:cs="Arial"/>
          <w:lang w:val="es-CO"/>
        </w:rPr>
        <w:t xml:space="preserve"> realizado por el Consejo Privado de Competitividad, que entre 2018 y 2019 diez departamentos mejoraron su posición, mientras que, siete departamentos retrocedieron en su posición general. En los primeros lugares no se presentan cambios.</w:t>
      </w:r>
    </w:p>
    <w:p w:rsidR="001F2271" w:rsidRPr="001F2271" w:rsidRDefault="001F2271" w:rsidP="001F2271">
      <w:pPr>
        <w:jc w:val="center"/>
        <w:rPr>
          <w:rFonts w:ascii="Century Gothic" w:hAnsi="Century Gothic" w:cs="Arial"/>
          <w:lang w:val="es-CO"/>
        </w:rPr>
      </w:pPr>
      <w:r w:rsidRPr="001F2271">
        <w:rPr>
          <w:rFonts w:ascii="Century Gothic" w:hAnsi="Century Gothic" w:cs="Arial"/>
          <w:noProof/>
          <w:lang w:val="es-CO" w:eastAsia="es-CO"/>
        </w:rPr>
        <w:drawing>
          <wp:inline distT="0" distB="0" distL="0" distR="0" wp14:anchorId="6EC027B9" wp14:editId="5CC0E6F5">
            <wp:extent cx="5013960" cy="3133725"/>
            <wp:effectExtent l="0" t="0" r="0" b="952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48557" cy="3155348"/>
                    </a:xfrm>
                    <a:prstGeom prst="rect">
                      <a:avLst/>
                    </a:prstGeom>
                    <a:noFill/>
                    <a:ln>
                      <a:noFill/>
                    </a:ln>
                  </pic:spPr>
                </pic:pic>
              </a:graphicData>
            </a:graphic>
          </wp:inline>
        </w:drawing>
      </w:r>
    </w:p>
    <w:p w:rsidR="001F2271" w:rsidRPr="001F2271" w:rsidRDefault="001F2271" w:rsidP="001F2271">
      <w:pPr>
        <w:jc w:val="center"/>
        <w:rPr>
          <w:rFonts w:ascii="Century Gothic" w:hAnsi="Century Gothic" w:cs="Arial"/>
          <w:lang w:val="es-CO"/>
        </w:rPr>
      </w:pPr>
      <w:r w:rsidRPr="001F2271">
        <w:rPr>
          <w:rFonts w:ascii="Century Gothic" w:hAnsi="Century Gothic" w:cs="Arial"/>
          <w:lang w:val="es-CO"/>
        </w:rPr>
        <w:t>FUENTE. CPC Índice Departamental de Competitividad (IDC), 2019</w:t>
      </w:r>
    </w:p>
    <w:p w:rsidR="001F2271" w:rsidRPr="001F2271" w:rsidRDefault="001F2271" w:rsidP="001F2271">
      <w:pPr>
        <w:jc w:val="both"/>
        <w:rPr>
          <w:rFonts w:ascii="Century Gothic" w:hAnsi="Century Gothic" w:cs="Arial"/>
          <w:lang w:val="es-CO"/>
        </w:rPr>
      </w:pPr>
      <w:r w:rsidRPr="001F2271">
        <w:rPr>
          <w:rFonts w:ascii="Century Gothic" w:hAnsi="Century Gothic" w:cs="Arial"/>
          <w:lang w:val="es-CO"/>
        </w:rPr>
        <w:t>Si el Departamento de Sucre quiere superar todas estas barreras para seguir avanzando, se requiere enfrentar varios de problemas que afectan el determinante estructural del crecimiento, uno de ellos los bajos niveles de productividad, pues es el factor más importante del ingreso en la dinámica económica de una región y del crecimiento de largo plazo, fundamentales para aumentar y mejorar la calidad de vida de la población.</w:t>
      </w:r>
    </w:p>
    <w:p w:rsidR="001F2271" w:rsidRPr="001F2271" w:rsidRDefault="001F2271" w:rsidP="001F2271">
      <w:pPr>
        <w:jc w:val="both"/>
        <w:rPr>
          <w:rFonts w:ascii="Century Gothic" w:hAnsi="Century Gothic" w:cs="Arial"/>
          <w:lang w:val="es-CO"/>
        </w:rPr>
      </w:pPr>
      <w:r w:rsidRPr="001F2271">
        <w:rPr>
          <w:rFonts w:ascii="Century Gothic" w:hAnsi="Century Gothic" w:cs="Arial"/>
          <w:lang w:val="es-CO"/>
        </w:rPr>
        <w:lastRenderedPageBreak/>
        <w:t>El Consejo Privado de Competitividad manifiesta</w:t>
      </w:r>
      <w:r w:rsidRPr="001F2271">
        <w:rPr>
          <w:rStyle w:val="Refdenotaalpie"/>
          <w:rFonts w:ascii="Century Gothic" w:hAnsi="Century Gothic" w:cs="Arial"/>
          <w:lang w:val="es-CO"/>
        </w:rPr>
        <w:footnoteReference w:id="9"/>
      </w:r>
      <w:r w:rsidRPr="001F2271">
        <w:rPr>
          <w:rFonts w:ascii="Century Gothic" w:hAnsi="Century Gothic" w:cs="Arial"/>
          <w:lang w:val="es-CO"/>
        </w:rPr>
        <w:t xml:space="preserve"> que es intolerable que persistan enormes brechas regionales y que el cierre de brechas en los territorios es uno de los grandes retos estructurales para el país.</w:t>
      </w:r>
    </w:p>
    <w:p w:rsidR="001F2271" w:rsidRPr="001F2271" w:rsidRDefault="001F2271" w:rsidP="001F2271">
      <w:pPr>
        <w:jc w:val="both"/>
        <w:rPr>
          <w:rFonts w:ascii="Century Gothic" w:hAnsi="Century Gothic" w:cs="Arial"/>
          <w:lang w:val="es-CO"/>
        </w:rPr>
      </w:pPr>
      <w:r w:rsidRPr="001F2271">
        <w:rPr>
          <w:rFonts w:ascii="Century Gothic" w:hAnsi="Century Gothic" w:cs="Arial"/>
          <w:lang w:val="es-CO"/>
        </w:rPr>
        <w:t>Reconociendo esta situación, el Sistema Nacional de Competitividad e Innovación se propuso como meta a 2030 el cierre de brechas regionales.</w:t>
      </w:r>
    </w:p>
    <w:p w:rsidR="001F2271" w:rsidRPr="001F2271" w:rsidRDefault="001F2271" w:rsidP="001F2271">
      <w:pPr>
        <w:jc w:val="center"/>
        <w:rPr>
          <w:rFonts w:ascii="Century Gothic" w:hAnsi="Century Gothic" w:cs="Arial"/>
          <w:lang w:val="es-CO"/>
        </w:rPr>
      </w:pPr>
      <w:r w:rsidRPr="001F2271">
        <w:rPr>
          <w:rFonts w:ascii="Century Gothic" w:hAnsi="Century Gothic" w:cs="Arial"/>
          <w:noProof/>
          <w:lang w:val="es-CO" w:eastAsia="es-CO"/>
        </w:rPr>
        <w:drawing>
          <wp:inline distT="0" distB="0" distL="0" distR="0" wp14:anchorId="6F691D7E" wp14:editId="2E9D5878">
            <wp:extent cx="5299710" cy="2895600"/>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34858" cy="2914804"/>
                    </a:xfrm>
                    <a:prstGeom prst="rect">
                      <a:avLst/>
                    </a:prstGeom>
                    <a:noFill/>
                    <a:ln>
                      <a:noFill/>
                    </a:ln>
                  </pic:spPr>
                </pic:pic>
              </a:graphicData>
            </a:graphic>
          </wp:inline>
        </w:drawing>
      </w:r>
    </w:p>
    <w:p w:rsidR="001F2271" w:rsidRPr="001F2271" w:rsidRDefault="001F2271" w:rsidP="001F2271">
      <w:pPr>
        <w:jc w:val="center"/>
        <w:rPr>
          <w:rFonts w:ascii="Century Gothic" w:hAnsi="Century Gothic" w:cs="Arial"/>
          <w:lang w:val="es-CO"/>
        </w:rPr>
      </w:pPr>
      <w:r w:rsidRPr="001F2271">
        <w:rPr>
          <w:rFonts w:ascii="Century Gothic" w:hAnsi="Century Gothic" w:cs="Arial"/>
          <w:lang w:val="es-CO"/>
        </w:rPr>
        <w:t>FUENTE. CPC Índice Departamental de Competitividad (IDC), 2019</w:t>
      </w:r>
    </w:p>
    <w:p w:rsidR="001F2271" w:rsidRPr="001F2271" w:rsidRDefault="001F2271" w:rsidP="001F2271">
      <w:pPr>
        <w:jc w:val="both"/>
        <w:rPr>
          <w:rFonts w:ascii="Century Gothic" w:hAnsi="Century Gothic" w:cs="Arial"/>
          <w:lang w:val="es-CO"/>
        </w:rPr>
      </w:pPr>
      <w:r w:rsidRPr="001F2271">
        <w:rPr>
          <w:rFonts w:ascii="Century Gothic" w:hAnsi="Century Gothic" w:cs="Arial"/>
          <w:lang w:val="es-CO"/>
        </w:rPr>
        <w:t>Creemos que la administración pública tiene un gran reto de articular acciones entre las entidades públicas de los distintos órdenes nacional, regional y local, en la búsqueda de estrategias que permitan mejorar no solo los canales efectivos de diálogo y concertación con las autoridades locales y regionales, sino que los mecanismos de gasto público se hagan más efectivos, para que tengan mayor incidencia e impactos positivos en la inversión pública de los territorios, apostándole a mejorar sus propias dinámicas territoriales, focalizando el gasto en los sectores que requieren el apoyo del estado para su desarrollo y hacer más productivas las regiones y más competitivas para favorecer el empleo formal y el emprendimiento.</w:t>
      </w:r>
    </w:p>
    <w:p w:rsidR="001F2271" w:rsidRPr="001F2271" w:rsidRDefault="001F2271" w:rsidP="001F2271">
      <w:pPr>
        <w:jc w:val="both"/>
        <w:rPr>
          <w:rFonts w:ascii="Century Gothic" w:hAnsi="Century Gothic" w:cs="Arial"/>
          <w:lang w:val="es-CO"/>
        </w:rPr>
      </w:pPr>
    </w:p>
    <w:p w:rsidR="001F2271" w:rsidRPr="001F2271" w:rsidRDefault="001F2271" w:rsidP="001F2271">
      <w:pPr>
        <w:pStyle w:val="Prrafodelista"/>
        <w:numPr>
          <w:ilvl w:val="2"/>
          <w:numId w:val="4"/>
        </w:numPr>
        <w:jc w:val="both"/>
        <w:rPr>
          <w:rFonts w:ascii="Century Gothic" w:hAnsi="Century Gothic" w:cs="Arial"/>
          <w:b/>
          <w:u w:val="single"/>
          <w:lang w:val="es-CO"/>
        </w:rPr>
      </w:pPr>
      <w:r w:rsidRPr="001F2271">
        <w:rPr>
          <w:rFonts w:ascii="Century Gothic" w:hAnsi="Century Gothic" w:cs="Arial"/>
          <w:b/>
          <w:u w:val="single"/>
          <w:lang w:val="es-CO"/>
        </w:rPr>
        <w:t>Indicador de Adopción TIC en el IDC</w:t>
      </w:r>
    </w:p>
    <w:p w:rsidR="001F2271" w:rsidRPr="001F2271" w:rsidRDefault="001F2271" w:rsidP="001F2271">
      <w:pPr>
        <w:jc w:val="both"/>
        <w:rPr>
          <w:rFonts w:ascii="Century Gothic" w:hAnsi="Century Gothic" w:cs="Arial"/>
          <w:lang w:val="es-CO"/>
        </w:rPr>
      </w:pPr>
      <w:r w:rsidRPr="001F2271">
        <w:rPr>
          <w:rFonts w:ascii="Century Gothic" w:hAnsi="Century Gothic" w:cs="Arial"/>
          <w:lang w:val="es-CO"/>
        </w:rPr>
        <w:t xml:space="preserve">Este indicador nos muestra el alcance de penetración de las </w:t>
      </w:r>
      <w:proofErr w:type="spellStart"/>
      <w:r w:rsidRPr="001F2271">
        <w:rPr>
          <w:rFonts w:ascii="Century Gothic" w:hAnsi="Century Gothic" w:cs="Arial"/>
          <w:lang w:val="es-CO"/>
        </w:rPr>
        <w:t>TIC’s</w:t>
      </w:r>
      <w:proofErr w:type="spellEnd"/>
      <w:r w:rsidRPr="001F2271">
        <w:rPr>
          <w:rFonts w:ascii="Century Gothic" w:hAnsi="Century Gothic" w:cs="Arial"/>
          <w:lang w:val="es-CO"/>
        </w:rPr>
        <w:t xml:space="preserve"> en el Departamento, referente a conectividad en telefonía móvil, cobertura de internet banda ancha fijo, ancho de banda de internet, hogares con computadores, </w:t>
      </w:r>
      <w:r w:rsidRPr="001F2271">
        <w:rPr>
          <w:rFonts w:ascii="Century Gothic" w:hAnsi="Century Gothic" w:cs="Arial"/>
          <w:lang w:val="es-CO"/>
        </w:rPr>
        <w:lastRenderedPageBreak/>
        <w:t>hogares que cuentan con dispositivo móvil celular, promoción de emprendimientos digitales.</w:t>
      </w:r>
    </w:p>
    <w:p w:rsidR="001F2271" w:rsidRPr="001F2271" w:rsidRDefault="001F2271" w:rsidP="001F2271">
      <w:pPr>
        <w:jc w:val="both"/>
        <w:rPr>
          <w:rFonts w:ascii="Century Gothic" w:hAnsi="Century Gothic" w:cs="Arial"/>
          <w:lang w:val="es-CO"/>
        </w:rPr>
      </w:pPr>
      <w:r w:rsidRPr="001F2271">
        <w:rPr>
          <w:rFonts w:ascii="Century Gothic" w:hAnsi="Century Gothic" w:cs="Arial"/>
          <w:lang w:val="es-CO"/>
        </w:rPr>
        <w:t xml:space="preserve">El indicador de Adopción TIC en el IDC, nos muestra al Departamento de Sucre con un enorme rezago, ocupando el puesto No. 22 a nivel nacional y un puntaje de 3,32.  </w:t>
      </w:r>
    </w:p>
    <w:p w:rsidR="001F2271" w:rsidRPr="001F2271" w:rsidRDefault="001F2271" w:rsidP="001F2271">
      <w:pPr>
        <w:jc w:val="both"/>
        <w:rPr>
          <w:rFonts w:ascii="Century Gothic" w:hAnsi="Century Gothic" w:cs="Arial"/>
          <w:lang w:val="es-CO"/>
        </w:rPr>
      </w:pPr>
    </w:p>
    <w:p w:rsidR="001F2271" w:rsidRPr="001F2271" w:rsidRDefault="001F2271" w:rsidP="001F2271">
      <w:pPr>
        <w:jc w:val="center"/>
        <w:rPr>
          <w:rFonts w:ascii="Century Gothic" w:hAnsi="Century Gothic" w:cs="Arial"/>
          <w:lang w:val="es-CO"/>
        </w:rPr>
      </w:pPr>
      <w:r w:rsidRPr="001F2271">
        <w:rPr>
          <w:rFonts w:ascii="Century Gothic" w:hAnsi="Century Gothic" w:cs="Arial"/>
          <w:lang w:val="es-CO"/>
        </w:rPr>
        <w:t>Indicador de Adopción TIC en el IDC</w:t>
      </w:r>
    </w:p>
    <w:p w:rsidR="001F2271" w:rsidRPr="001F2271" w:rsidRDefault="001F2271" w:rsidP="001F2271">
      <w:pPr>
        <w:jc w:val="center"/>
        <w:rPr>
          <w:rFonts w:ascii="Century Gothic" w:hAnsi="Century Gothic" w:cs="Arial"/>
          <w:lang w:val="es-CO"/>
        </w:rPr>
      </w:pPr>
      <w:r w:rsidRPr="001F2271">
        <w:rPr>
          <w:rFonts w:ascii="Century Gothic" w:hAnsi="Century Gothic"/>
          <w:noProof/>
          <w:lang w:val="es-CO" w:eastAsia="es-CO"/>
        </w:rPr>
        <w:drawing>
          <wp:inline distT="0" distB="0" distL="0" distR="0" wp14:anchorId="6557CA6F" wp14:editId="73FDF22B">
            <wp:extent cx="5086350" cy="3714750"/>
            <wp:effectExtent l="0" t="0" r="0" b="0"/>
            <wp:docPr id="49" name="Gráfico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1F2271" w:rsidRPr="001F2271" w:rsidRDefault="001F2271" w:rsidP="001F2271">
      <w:pPr>
        <w:jc w:val="center"/>
        <w:rPr>
          <w:rFonts w:ascii="Century Gothic" w:hAnsi="Century Gothic" w:cs="Arial"/>
          <w:lang w:val="es-CO"/>
        </w:rPr>
      </w:pPr>
      <w:r w:rsidRPr="001F2271">
        <w:rPr>
          <w:rFonts w:ascii="Century Gothic" w:hAnsi="Century Gothic" w:cs="Arial"/>
          <w:lang w:val="es-CO"/>
        </w:rPr>
        <w:t>FUENTE. CPC Índice Departamental de Competitividad (IDC), 2019</w:t>
      </w:r>
    </w:p>
    <w:p w:rsidR="001F2271" w:rsidRPr="001F2271" w:rsidRDefault="001F2271" w:rsidP="001F2271">
      <w:pPr>
        <w:jc w:val="both"/>
        <w:rPr>
          <w:rFonts w:ascii="Century Gothic" w:hAnsi="Century Gothic" w:cs="Arial"/>
          <w:lang w:val="es-CO"/>
        </w:rPr>
      </w:pPr>
    </w:p>
    <w:p w:rsidR="001F2271" w:rsidRPr="001F2271" w:rsidRDefault="001F2271" w:rsidP="001F2271">
      <w:pPr>
        <w:pStyle w:val="Prrafodelista"/>
        <w:numPr>
          <w:ilvl w:val="2"/>
          <w:numId w:val="4"/>
        </w:numPr>
        <w:jc w:val="both"/>
        <w:rPr>
          <w:rFonts w:ascii="Century Gothic" w:hAnsi="Century Gothic" w:cs="Arial"/>
          <w:b/>
          <w:u w:val="single"/>
          <w:lang w:val="es-CO"/>
        </w:rPr>
      </w:pPr>
      <w:r w:rsidRPr="001F2271">
        <w:rPr>
          <w:rFonts w:ascii="Century Gothic" w:hAnsi="Century Gothic" w:cs="Arial"/>
          <w:b/>
          <w:u w:val="single"/>
          <w:lang w:val="es-CO"/>
        </w:rPr>
        <w:t>Indicador de Sostenibilidad Ambiental en el IDC</w:t>
      </w:r>
    </w:p>
    <w:p w:rsidR="001F2271" w:rsidRPr="001F2271" w:rsidRDefault="001F2271" w:rsidP="001F2271">
      <w:pPr>
        <w:jc w:val="both"/>
        <w:rPr>
          <w:rFonts w:ascii="Century Gothic" w:hAnsi="Century Gothic" w:cs="Arial"/>
          <w:lang w:val="es-CO"/>
        </w:rPr>
      </w:pPr>
      <w:r w:rsidRPr="001F2271">
        <w:rPr>
          <w:rFonts w:ascii="Century Gothic" w:hAnsi="Century Gothic" w:cs="Arial"/>
          <w:lang w:val="es-CO"/>
        </w:rPr>
        <w:t>Este indicador nos muestra los avances y características de la región en activos naturales, calidad del agua, gestión ambiental y del riesgo de desastres, áreas protegidas, proporción de superficie cubierta por bosque.</w:t>
      </w:r>
    </w:p>
    <w:p w:rsidR="001F2271" w:rsidRPr="001F2271" w:rsidRDefault="001F2271" w:rsidP="001F2271">
      <w:pPr>
        <w:jc w:val="both"/>
        <w:rPr>
          <w:rFonts w:ascii="Century Gothic" w:hAnsi="Century Gothic" w:cs="Arial"/>
          <w:lang w:val="es-CO"/>
        </w:rPr>
      </w:pPr>
      <w:r w:rsidRPr="001F2271">
        <w:rPr>
          <w:rFonts w:ascii="Century Gothic" w:hAnsi="Century Gothic" w:cs="Arial"/>
          <w:lang w:val="es-CO"/>
        </w:rPr>
        <w:t xml:space="preserve">Es uno de los sectores que más necesita de la atención y apoyo por parte de todas las Entidades Territoriales, en especial del Gobierno Nacional, para aprovechar los esfuerzos y mitigar los impactos que puedan ocasionar el cambio climático, aprovechar sus fuentes hídricas, mejorar la cobertura y la calidad del agua, </w:t>
      </w:r>
      <w:r w:rsidRPr="001F2271">
        <w:rPr>
          <w:rFonts w:ascii="Century Gothic" w:hAnsi="Century Gothic" w:cs="Arial"/>
          <w:lang w:val="es-CO"/>
        </w:rPr>
        <w:lastRenderedPageBreak/>
        <w:t>aprovechar el agua del mar y resolver un problema histórico de agua que ha padecido la región sucreña. Trabajar en planes de áreas protegidas y búsqueda de nuevos espacios para siembra de bosques y mejorar los activos naturales del Departamento de Sucre.</w:t>
      </w:r>
    </w:p>
    <w:p w:rsidR="001F2271" w:rsidRPr="001F2271" w:rsidRDefault="001F2271" w:rsidP="001F2271">
      <w:pPr>
        <w:jc w:val="both"/>
        <w:rPr>
          <w:rFonts w:ascii="Century Gothic" w:hAnsi="Century Gothic" w:cs="Arial"/>
          <w:lang w:val="es-CO"/>
        </w:rPr>
      </w:pPr>
      <w:r w:rsidRPr="001F2271">
        <w:rPr>
          <w:rFonts w:ascii="Century Gothic" w:hAnsi="Century Gothic" w:cs="Arial"/>
          <w:lang w:val="es-CO"/>
        </w:rPr>
        <w:t>El indicador de Sostenibilidad Ambiental en el IDC, nos muestra al Departamento de Sucre, ocupando el puesto No. 28 a nivel nacional y un puntaje de 4,09.</w:t>
      </w:r>
    </w:p>
    <w:p w:rsidR="001F2271" w:rsidRPr="001F2271" w:rsidRDefault="001F2271" w:rsidP="001F2271">
      <w:pPr>
        <w:jc w:val="both"/>
        <w:rPr>
          <w:rFonts w:ascii="Century Gothic" w:hAnsi="Century Gothic" w:cs="Arial"/>
          <w:lang w:val="es-CO"/>
        </w:rPr>
      </w:pPr>
    </w:p>
    <w:p w:rsidR="001F2271" w:rsidRPr="001F2271" w:rsidRDefault="001F2271" w:rsidP="001F2271">
      <w:pPr>
        <w:jc w:val="center"/>
        <w:rPr>
          <w:rFonts w:ascii="Century Gothic" w:hAnsi="Century Gothic" w:cs="Arial"/>
          <w:lang w:val="es-CO"/>
        </w:rPr>
      </w:pPr>
      <w:r w:rsidRPr="001F2271">
        <w:rPr>
          <w:rFonts w:ascii="Century Gothic" w:hAnsi="Century Gothic" w:cs="Arial"/>
          <w:lang w:val="es-CO"/>
        </w:rPr>
        <w:t>Indicador de Sostenibilidad Ambiental en el IDC</w:t>
      </w:r>
    </w:p>
    <w:p w:rsidR="001F2271" w:rsidRPr="001F2271" w:rsidRDefault="001F2271" w:rsidP="001F2271">
      <w:pPr>
        <w:jc w:val="center"/>
        <w:rPr>
          <w:rFonts w:ascii="Century Gothic" w:hAnsi="Century Gothic" w:cs="Arial"/>
          <w:lang w:val="es-CO"/>
        </w:rPr>
      </w:pPr>
      <w:r w:rsidRPr="001F2271">
        <w:rPr>
          <w:rFonts w:ascii="Century Gothic" w:hAnsi="Century Gothic"/>
          <w:noProof/>
          <w:lang w:val="es-CO" w:eastAsia="es-CO"/>
        </w:rPr>
        <w:drawing>
          <wp:inline distT="0" distB="0" distL="0" distR="0" wp14:anchorId="70404066" wp14:editId="6BF36EBB">
            <wp:extent cx="5612130" cy="4038600"/>
            <wp:effectExtent l="0" t="0" r="7620" b="0"/>
            <wp:docPr id="50" name="Gráfico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1F2271" w:rsidRPr="001F2271" w:rsidRDefault="001F2271" w:rsidP="001F2271">
      <w:pPr>
        <w:jc w:val="right"/>
        <w:rPr>
          <w:rFonts w:ascii="Century Gothic" w:hAnsi="Century Gothic" w:cs="Arial"/>
          <w:lang w:val="es-CO"/>
        </w:rPr>
      </w:pPr>
      <w:r w:rsidRPr="001F2271">
        <w:rPr>
          <w:rFonts w:ascii="Century Gothic" w:hAnsi="Century Gothic" w:cs="Arial"/>
          <w:lang w:val="es-CO"/>
        </w:rPr>
        <w:t>FUENTE. CPC Índice Departamental de Competitividad (IDC), 2019</w:t>
      </w:r>
    </w:p>
    <w:p w:rsidR="001F2271" w:rsidRPr="001F2271" w:rsidRDefault="001F2271" w:rsidP="001F2271">
      <w:pPr>
        <w:jc w:val="both"/>
        <w:rPr>
          <w:rFonts w:ascii="Century Gothic" w:hAnsi="Century Gothic" w:cs="Arial"/>
          <w:lang w:val="es-CO"/>
        </w:rPr>
      </w:pPr>
    </w:p>
    <w:p w:rsidR="001F2271" w:rsidRPr="001F2271" w:rsidRDefault="001F2271" w:rsidP="001F2271">
      <w:pPr>
        <w:pStyle w:val="Prrafodelista"/>
        <w:numPr>
          <w:ilvl w:val="2"/>
          <w:numId w:val="4"/>
        </w:numPr>
        <w:jc w:val="both"/>
        <w:rPr>
          <w:rFonts w:ascii="Century Gothic" w:hAnsi="Century Gothic" w:cs="Arial"/>
          <w:b/>
          <w:u w:val="single"/>
          <w:lang w:val="es-CO"/>
        </w:rPr>
      </w:pPr>
      <w:r w:rsidRPr="001F2271">
        <w:rPr>
          <w:rFonts w:ascii="Century Gothic" w:hAnsi="Century Gothic" w:cs="Arial"/>
          <w:b/>
          <w:u w:val="single"/>
          <w:lang w:val="es-CO"/>
        </w:rPr>
        <w:t>Indicador de Pilar de Educación Superior y Formación para el Trabajo en el IDC</w:t>
      </w:r>
    </w:p>
    <w:p w:rsidR="001F2271" w:rsidRPr="001F2271" w:rsidRDefault="001F2271" w:rsidP="001F2271">
      <w:pPr>
        <w:jc w:val="both"/>
        <w:rPr>
          <w:rFonts w:ascii="Century Gothic" w:hAnsi="Century Gothic" w:cs="Arial"/>
          <w:lang w:val="es-CO"/>
        </w:rPr>
      </w:pPr>
      <w:r w:rsidRPr="001F2271">
        <w:rPr>
          <w:rFonts w:ascii="Century Gothic" w:hAnsi="Century Gothic" w:cs="Arial"/>
          <w:lang w:val="es-CO"/>
        </w:rPr>
        <w:t xml:space="preserve">Este indicador nos muestra los avances y características de la región en cobertura bruta en formación universitaria, graduados en posgrado y cobertura bruta en formación técnica y tecnológica, dominio de un segundo idioma de los estudiantes universitarios, pruebas saber pro, acreditación de alta calidad de instituciones de </w:t>
      </w:r>
      <w:r w:rsidRPr="001F2271">
        <w:rPr>
          <w:rFonts w:ascii="Century Gothic" w:hAnsi="Century Gothic" w:cs="Arial"/>
          <w:lang w:val="es-CO"/>
        </w:rPr>
        <w:lastRenderedPageBreak/>
        <w:t>educación superior y cobertura de instituciones de educación superior (IES) con acreditación de alta calidad.</w:t>
      </w:r>
    </w:p>
    <w:p w:rsidR="001F2271" w:rsidRPr="001F2271" w:rsidRDefault="001F2271" w:rsidP="001F2271">
      <w:pPr>
        <w:jc w:val="both"/>
        <w:rPr>
          <w:rFonts w:ascii="Century Gothic" w:hAnsi="Century Gothic" w:cs="Arial"/>
          <w:lang w:val="es-CO"/>
        </w:rPr>
      </w:pPr>
      <w:r w:rsidRPr="001F2271">
        <w:rPr>
          <w:rFonts w:ascii="Century Gothic" w:hAnsi="Century Gothic" w:cs="Arial"/>
          <w:lang w:val="es-CO"/>
        </w:rPr>
        <w:t>Hay que focalizar recursos en torno a mejorar este indicador, pues permitirá que los resultados, el acceso, la cobertura y la calidad educativa de nuestros adolescentes y jóvenes, garantice mayores oportunidades en sus proyectos de vida, posean más competencias para el acceso al mercado laboral y mejoren su calidad de vida en el corto y mediano plazo.</w:t>
      </w:r>
    </w:p>
    <w:p w:rsidR="001F2271" w:rsidRPr="001F2271" w:rsidRDefault="001F2271" w:rsidP="001F2271">
      <w:pPr>
        <w:jc w:val="both"/>
        <w:rPr>
          <w:rFonts w:ascii="Century Gothic" w:hAnsi="Century Gothic" w:cs="Arial"/>
          <w:lang w:val="es-CO"/>
        </w:rPr>
      </w:pPr>
      <w:r w:rsidRPr="001F2271">
        <w:rPr>
          <w:rFonts w:ascii="Century Gothic" w:hAnsi="Century Gothic" w:cs="Arial"/>
          <w:lang w:val="es-CO"/>
        </w:rPr>
        <w:t>En este indicador de Pilar de Educación Superior y Formación para el Trabajo en el IDC, el Departamento de Sucre ocupó el puesto No. 22 a nivel nacional y un puntaje de 2,44.</w:t>
      </w:r>
    </w:p>
    <w:p w:rsidR="001F2271" w:rsidRPr="001F2271" w:rsidRDefault="001F2271" w:rsidP="001F2271">
      <w:pPr>
        <w:jc w:val="both"/>
        <w:rPr>
          <w:rFonts w:ascii="Century Gothic" w:hAnsi="Century Gothic" w:cs="Arial"/>
          <w:lang w:val="es-CO"/>
        </w:rPr>
      </w:pPr>
    </w:p>
    <w:p w:rsidR="001F2271" w:rsidRPr="001F2271" w:rsidRDefault="001F2271" w:rsidP="001F2271">
      <w:pPr>
        <w:jc w:val="center"/>
        <w:rPr>
          <w:rFonts w:ascii="Century Gothic" w:hAnsi="Century Gothic" w:cs="Arial"/>
          <w:lang w:val="es-CO"/>
        </w:rPr>
      </w:pPr>
      <w:r w:rsidRPr="001F2271">
        <w:rPr>
          <w:rFonts w:ascii="Century Gothic" w:hAnsi="Century Gothic" w:cs="Arial"/>
          <w:lang w:val="es-CO"/>
        </w:rPr>
        <w:t>Indicador de Pilar de Educación Superior y Formación para el Trabajo en el IDC</w:t>
      </w:r>
    </w:p>
    <w:p w:rsidR="001F2271" w:rsidRPr="001F2271" w:rsidRDefault="001F2271" w:rsidP="001F2271">
      <w:pPr>
        <w:jc w:val="center"/>
        <w:rPr>
          <w:rFonts w:ascii="Century Gothic" w:hAnsi="Century Gothic" w:cs="Arial"/>
          <w:lang w:val="es-CO"/>
        </w:rPr>
      </w:pPr>
      <w:r w:rsidRPr="001F2271">
        <w:rPr>
          <w:rFonts w:ascii="Century Gothic" w:hAnsi="Century Gothic"/>
          <w:noProof/>
          <w:lang w:val="es-CO" w:eastAsia="es-CO"/>
        </w:rPr>
        <w:drawing>
          <wp:inline distT="0" distB="0" distL="0" distR="0" wp14:anchorId="74EBE880" wp14:editId="19437E59">
            <wp:extent cx="5448300" cy="3676650"/>
            <wp:effectExtent l="0" t="0" r="0" b="0"/>
            <wp:docPr id="51" name="Gráfico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1F2271" w:rsidRPr="001F2271" w:rsidRDefault="001F2271" w:rsidP="001F2271">
      <w:pPr>
        <w:jc w:val="center"/>
        <w:rPr>
          <w:rFonts w:ascii="Century Gothic" w:hAnsi="Century Gothic" w:cs="Arial"/>
          <w:lang w:val="es-CO"/>
        </w:rPr>
      </w:pPr>
      <w:r w:rsidRPr="001F2271">
        <w:rPr>
          <w:rFonts w:ascii="Century Gothic" w:hAnsi="Century Gothic" w:cs="Arial"/>
          <w:lang w:val="es-CO"/>
        </w:rPr>
        <w:t>FUENTE. CPC Índice Departamental de Competitividad (IDC), 2019</w:t>
      </w:r>
    </w:p>
    <w:p w:rsidR="001F2271" w:rsidRPr="001F2271" w:rsidRDefault="001F2271" w:rsidP="001F2271">
      <w:pPr>
        <w:jc w:val="both"/>
        <w:rPr>
          <w:rFonts w:ascii="Century Gothic" w:hAnsi="Century Gothic" w:cs="Arial"/>
          <w:lang w:val="es-CO"/>
        </w:rPr>
      </w:pPr>
    </w:p>
    <w:p w:rsidR="001F2271" w:rsidRPr="001F2271" w:rsidRDefault="001F2271" w:rsidP="001F2271">
      <w:pPr>
        <w:pStyle w:val="Prrafodelista"/>
        <w:numPr>
          <w:ilvl w:val="2"/>
          <w:numId w:val="4"/>
        </w:numPr>
        <w:jc w:val="both"/>
        <w:rPr>
          <w:rFonts w:ascii="Century Gothic" w:hAnsi="Century Gothic" w:cs="Arial"/>
          <w:b/>
          <w:u w:val="single"/>
          <w:lang w:val="es-CO"/>
        </w:rPr>
      </w:pPr>
      <w:r w:rsidRPr="001F2271">
        <w:rPr>
          <w:rFonts w:ascii="Century Gothic" w:hAnsi="Century Gothic" w:cs="Arial"/>
          <w:b/>
          <w:u w:val="single"/>
          <w:lang w:val="es-CO"/>
        </w:rPr>
        <w:t>Indicador de Pilar de Mercado Laboral en el IDC</w:t>
      </w:r>
    </w:p>
    <w:p w:rsidR="001F2271" w:rsidRPr="001F2271" w:rsidRDefault="001F2271" w:rsidP="001F2271">
      <w:pPr>
        <w:jc w:val="both"/>
        <w:rPr>
          <w:rFonts w:ascii="Century Gothic" w:hAnsi="Century Gothic" w:cs="Arial"/>
          <w:lang w:val="es-CO"/>
        </w:rPr>
      </w:pPr>
      <w:r w:rsidRPr="001F2271">
        <w:rPr>
          <w:rFonts w:ascii="Century Gothic" w:hAnsi="Century Gothic" w:cs="Arial"/>
          <w:lang w:val="es-CO"/>
        </w:rPr>
        <w:t xml:space="preserve">Este indicador nos muestra los avances y características de la región en la brecha en formalidad laboral entre hombres y mujeres y empleo vulnerable, utilización del </w:t>
      </w:r>
      <w:r w:rsidRPr="001F2271">
        <w:rPr>
          <w:rFonts w:ascii="Century Gothic" w:hAnsi="Century Gothic" w:cs="Arial"/>
          <w:lang w:val="es-CO"/>
        </w:rPr>
        <w:lastRenderedPageBreak/>
        <w:t>talento, disparidad salarial entre hombres y mujeres, tasa de desempleo, brecha en tasa de desempleo entre hombres y mujeres y el acceso al empleo formal.</w:t>
      </w:r>
    </w:p>
    <w:p w:rsidR="001F2271" w:rsidRPr="001F2271" w:rsidRDefault="001F2271" w:rsidP="001F2271">
      <w:pPr>
        <w:jc w:val="both"/>
        <w:rPr>
          <w:rFonts w:ascii="Century Gothic" w:hAnsi="Century Gothic" w:cs="Arial"/>
          <w:lang w:val="es-CO"/>
        </w:rPr>
      </w:pPr>
      <w:r w:rsidRPr="001F2271">
        <w:rPr>
          <w:rFonts w:ascii="Century Gothic" w:hAnsi="Century Gothic" w:cs="Arial"/>
          <w:lang w:val="es-CO"/>
        </w:rPr>
        <w:t>En este indicador de Pilar de Mercado Laboral en el IDC, el Departamento de Sucre ocupó el puesto No. 30 a nivel nacional y un puntaje de 4,23.  Para la vigencia 2018 el Departamento ocupó el último lugar, puesto 32, lo que muestra el enorme esfuerzo que debemos poner en el mejoramiento de este indicador, para impactar positivamente el empleo formal en nuestra región.</w:t>
      </w:r>
    </w:p>
    <w:p w:rsidR="001F2271" w:rsidRPr="001F2271" w:rsidRDefault="001F2271" w:rsidP="001F2271">
      <w:pPr>
        <w:jc w:val="both"/>
        <w:rPr>
          <w:rFonts w:ascii="Century Gothic" w:hAnsi="Century Gothic" w:cs="Arial"/>
          <w:lang w:val="es-CO"/>
        </w:rPr>
      </w:pPr>
    </w:p>
    <w:p w:rsidR="001F2271" w:rsidRPr="001F2271" w:rsidRDefault="001F2271" w:rsidP="001F2271">
      <w:pPr>
        <w:jc w:val="both"/>
        <w:rPr>
          <w:rFonts w:ascii="Century Gothic" w:hAnsi="Century Gothic" w:cs="Arial"/>
          <w:lang w:val="es-CO"/>
        </w:rPr>
      </w:pPr>
    </w:p>
    <w:p w:rsidR="001F2271" w:rsidRPr="001F2271" w:rsidRDefault="001F2271" w:rsidP="001F2271">
      <w:pPr>
        <w:jc w:val="center"/>
        <w:rPr>
          <w:rFonts w:ascii="Century Gothic" w:hAnsi="Century Gothic" w:cs="Arial"/>
          <w:lang w:val="es-CO"/>
        </w:rPr>
      </w:pPr>
      <w:r w:rsidRPr="001F2271">
        <w:rPr>
          <w:rFonts w:ascii="Century Gothic" w:hAnsi="Century Gothic" w:cs="Arial"/>
          <w:lang w:val="es-CO"/>
        </w:rPr>
        <w:t>Indicador de Pilar de Mercado Laboral en el IDC</w:t>
      </w:r>
    </w:p>
    <w:p w:rsidR="001F2271" w:rsidRPr="001F2271" w:rsidRDefault="001F2271" w:rsidP="001F2271">
      <w:pPr>
        <w:jc w:val="center"/>
        <w:rPr>
          <w:rFonts w:ascii="Century Gothic" w:hAnsi="Century Gothic" w:cs="Arial"/>
          <w:lang w:val="es-CO"/>
        </w:rPr>
      </w:pPr>
      <w:r w:rsidRPr="001F2271">
        <w:rPr>
          <w:rFonts w:ascii="Century Gothic" w:hAnsi="Century Gothic"/>
          <w:noProof/>
          <w:lang w:val="es-CO" w:eastAsia="es-CO"/>
        </w:rPr>
        <w:drawing>
          <wp:inline distT="0" distB="0" distL="0" distR="0" wp14:anchorId="4D52DBF2" wp14:editId="7ECCB4EB">
            <wp:extent cx="5705475" cy="4343400"/>
            <wp:effectExtent l="0" t="0" r="9525" b="0"/>
            <wp:docPr id="52" name="Gráfico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1F2271" w:rsidRPr="001F2271" w:rsidRDefault="001F2271" w:rsidP="001F2271">
      <w:pPr>
        <w:jc w:val="center"/>
        <w:rPr>
          <w:rFonts w:ascii="Century Gothic" w:hAnsi="Century Gothic" w:cs="Arial"/>
          <w:lang w:val="es-CO"/>
        </w:rPr>
      </w:pPr>
      <w:r w:rsidRPr="001F2271">
        <w:rPr>
          <w:rFonts w:ascii="Century Gothic" w:hAnsi="Century Gothic" w:cs="Arial"/>
          <w:lang w:val="es-CO"/>
        </w:rPr>
        <w:t>FUENTE. CPC Índice Departamental de Competitividad (IDC), 2019</w:t>
      </w:r>
    </w:p>
    <w:p w:rsidR="001F2271" w:rsidRPr="001F2271" w:rsidRDefault="001F2271" w:rsidP="001F2271">
      <w:pPr>
        <w:jc w:val="both"/>
        <w:rPr>
          <w:rFonts w:ascii="Century Gothic" w:hAnsi="Century Gothic" w:cs="Arial"/>
          <w:lang w:val="es-CO"/>
        </w:rPr>
      </w:pPr>
    </w:p>
    <w:p w:rsidR="001F2271" w:rsidRPr="001F2271" w:rsidRDefault="001F2271" w:rsidP="001F2271">
      <w:pPr>
        <w:pStyle w:val="Prrafodelista"/>
        <w:numPr>
          <w:ilvl w:val="2"/>
          <w:numId w:val="4"/>
        </w:numPr>
        <w:jc w:val="both"/>
        <w:rPr>
          <w:rFonts w:ascii="Century Gothic" w:hAnsi="Century Gothic" w:cs="Arial"/>
          <w:b/>
          <w:u w:val="single"/>
          <w:lang w:val="es-CO"/>
        </w:rPr>
      </w:pPr>
      <w:r w:rsidRPr="001F2271">
        <w:rPr>
          <w:rFonts w:ascii="Century Gothic" w:hAnsi="Century Gothic" w:cs="Arial"/>
          <w:b/>
          <w:u w:val="single"/>
          <w:lang w:val="es-CO"/>
        </w:rPr>
        <w:t>Indicador de Pilar de Sistema Financiero en el IDC</w:t>
      </w:r>
    </w:p>
    <w:p w:rsidR="001F2271" w:rsidRPr="001F2271" w:rsidRDefault="001F2271" w:rsidP="001F2271">
      <w:pPr>
        <w:jc w:val="both"/>
        <w:rPr>
          <w:rFonts w:ascii="Century Gothic" w:hAnsi="Century Gothic" w:cs="Arial"/>
          <w:lang w:val="es-CO"/>
        </w:rPr>
      </w:pPr>
      <w:r w:rsidRPr="001F2271">
        <w:rPr>
          <w:rFonts w:ascii="Century Gothic" w:hAnsi="Century Gothic" w:cs="Arial"/>
          <w:lang w:val="es-CO"/>
        </w:rPr>
        <w:lastRenderedPageBreak/>
        <w:t>Este indicador nos muestra los avances y características de la región en índice de profundización de la cartera comercial y cobertura de seguros, índice de bancarización y cobertura de establecimientos financieros.</w:t>
      </w:r>
    </w:p>
    <w:p w:rsidR="001F2271" w:rsidRPr="001F2271" w:rsidRDefault="001F2271" w:rsidP="001F2271">
      <w:pPr>
        <w:jc w:val="both"/>
        <w:rPr>
          <w:rFonts w:ascii="Century Gothic" w:hAnsi="Century Gothic" w:cs="Arial"/>
          <w:lang w:val="es-CO"/>
        </w:rPr>
      </w:pPr>
      <w:r w:rsidRPr="001F2271">
        <w:rPr>
          <w:rFonts w:ascii="Century Gothic" w:hAnsi="Century Gothic" w:cs="Arial"/>
          <w:lang w:val="es-CO"/>
        </w:rPr>
        <w:t>En este indicador de Pilar de Sistema Financiero en el IDC en el IDC, el Departamento de Sucre ocupó el puesto No. 26 a nivel nacional y un puntaje de 1,75.</w:t>
      </w:r>
    </w:p>
    <w:p w:rsidR="001F2271" w:rsidRPr="001F2271" w:rsidRDefault="001F2271" w:rsidP="001F2271">
      <w:pPr>
        <w:jc w:val="both"/>
        <w:rPr>
          <w:rFonts w:ascii="Century Gothic" w:hAnsi="Century Gothic" w:cs="Arial"/>
          <w:lang w:val="es-CO"/>
        </w:rPr>
      </w:pPr>
    </w:p>
    <w:p w:rsidR="001F2271" w:rsidRPr="001F2271" w:rsidRDefault="001F2271" w:rsidP="001F2271">
      <w:pPr>
        <w:jc w:val="center"/>
        <w:rPr>
          <w:rFonts w:ascii="Century Gothic" w:hAnsi="Century Gothic" w:cs="Arial"/>
          <w:lang w:val="es-CO"/>
        </w:rPr>
      </w:pPr>
      <w:r w:rsidRPr="001F2271">
        <w:rPr>
          <w:rFonts w:ascii="Century Gothic" w:hAnsi="Century Gothic" w:cs="Arial"/>
          <w:lang w:val="es-CO"/>
        </w:rPr>
        <w:t>Indicador de Pilar de Sistema Financiero en el IDC</w:t>
      </w:r>
    </w:p>
    <w:p w:rsidR="001F2271" w:rsidRPr="001F2271" w:rsidRDefault="001F2271" w:rsidP="001F2271">
      <w:pPr>
        <w:jc w:val="center"/>
        <w:rPr>
          <w:rFonts w:ascii="Century Gothic" w:hAnsi="Century Gothic" w:cs="Arial"/>
          <w:lang w:val="es-CO"/>
        </w:rPr>
      </w:pPr>
      <w:r w:rsidRPr="001F2271">
        <w:rPr>
          <w:rFonts w:ascii="Century Gothic" w:hAnsi="Century Gothic"/>
          <w:noProof/>
          <w:lang w:val="es-CO" w:eastAsia="es-CO"/>
        </w:rPr>
        <w:drawing>
          <wp:inline distT="0" distB="0" distL="0" distR="0" wp14:anchorId="0E458BB1" wp14:editId="1D0CC392">
            <wp:extent cx="5605780" cy="4495800"/>
            <wp:effectExtent l="0" t="0" r="13970" b="0"/>
            <wp:docPr id="53" name="Gráfico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1F2271" w:rsidRPr="001F2271" w:rsidRDefault="001F2271" w:rsidP="001F2271">
      <w:pPr>
        <w:jc w:val="center"/>
        <w:rPr>
          <w:rFonts w:ascii="Century Gothic" w:hAnsi="Century Gothic" w:cs="Arial"/>
          <w:lang w:val="es-CO"/>
        </w:rPr>
      </w:pPr>
      <w:r w:rsidRPr="001F2271">
        <w:rPr>
          <w:rFonts w:ascii="Century Gothic" w:hAnsi="Century Gothic" w:cs="Arial"/>
          <w:lang w:val="es-CO"/>
        </w:rPr>
        <w:t>FUENTE. CPC Índice Departamental de Competitividad (IDC), 2019</w:t>
      </w:r>
    </w:p>
    <w:p w:rsidR="001F2271" w:rsidRPr="001F2271" w:rsidRDefault="001F2271" w:rsidP="001F2271">
      <w:pPr>
        <w:jc w:val="both"/>
        <w:rPr>
          <w:rFonts w:ascii="Century Gothic" w:hAnsi="Century Gothic" w:cs="Arial"/>
          <w:lang w:val="es-CO"/>
        </w:rPr>
      </w:pPr>
    </w:p>
    <w:p w:rsidR="001F2271" w:rsidRPr="001F2271" w:rsidRDefault="001F2271" w:rsidP="001F2271">
      <w:pPr>
        <w:pStyle w:val="Prrafodelista"/>
        <w:numPr>
          <w:ilvl w:val="2"/>
          <w:numId w:val="4"/>
        </w:numPr>
        <w:jc w:val="both"/>
        <w:rPr>
          <w:rFonts w:ascii="Century Gothic" w:hAnsi="Century Gothic" w:cs="Arial"/>
          <w:b/>
          <w:u w:val="single"/>
          <w:lang w:val="es-CO"/>
        </w:rPr>
      </w:pPr>
      <w:r w:rsidRPr="001F2271">
        <w:rPr>
          <w:rFonts w:ascii="Century Gothic" w:hAnsi="Century Gothic" w:cs="Arial"/>
          <w:b/>
          <w:u w:val="single"/>
          <w:lang w:val="es-CO"/>
        </w:rPr>
        <w:t>Indicador de pilar de sofisticación y diversificación en el IDC</w:t>
      </w:r>
    </w:p>
    <w:p w:rsidR="001F2271" w:rsidRPr="001F2271" w:rsidRDefault="001F2271" w:rsidP="001F2271">
      <w:pPr>
        <w:jc w:val="both"/>
        <w:rPr>
          <w:rFonts w:ascii="Century Gothic" w:hAnsi="Century Gothic" w:cs="Arial"/>
          <w:lang w:val="es-CO"/>
        </w:rPr>
      </w:pPr>
      <w:r w:rsidRPr="001F2271">
        <w:rPr>
          <w:rFonts w:ascii="Century Gothic" w:hAnsi="Century Gothic" w:cs="Arial"/>
          <w:lang w:val="es-CO"/>
        </w:rPr>
        <w:lastRenderedPageBreak/>
        <w:t>Este indicador nos muestra los avances y características de la región en complejidad del aparato productivo y diversificación de la canasta exportadora y diversificación de mercados con destinos de exportación,</w:t>
      </w:r>
    </w:p>
    <w:p w:rsidR="001F2271" w:rsidRPr="001F2271" w:rsidRDefault="001F2271" w:rsidP="001F2271">
      <w:pPr>
        <w:jc w:val="both"/>
        <w:rPr>
          <w:rFonts w:ascii="Century Gothic" w:hAnsi="Century Gothic" w:cs="Arial"/>
          <w:lang w:val="es-CO"/>
        </w:rPr>
      </w:pPr>
      <w:r w:rsidRPr="001F2271">
        <w:rPr>
          <w:rFonts w:ascii="Century Gothic" w:hAnsi="Century Gothic" w:cs="Arial"/>
          <w:lang w:val="es-CO"/>
        </w:rPr>
        <w:t xml:space="preserve">En este indicador de Pilar de sofisticación y diversificación en el IDC en el IDC, el Departamento de Sucre ocupó el puesto No. 23 a nivel nacional y un </w:t>
      </w:r>
      <w:r>
        <w:rPr>
          <w:rFonts w:ascii="Century Gothic" w:hAnsi="Century Gothic" w:cs="Arial"/>
          <w:lang w:val="es-CO"/>
        </w:rPr>
        <w:t>puntaje de 3,68.</w:t>
      </w:r>
    </w:p>
    <w:p w:rsidR="001F2271" w:rsidRPr="001F2271" w:rsidRDefault="001F2271" w:rsidP="001F2271">
      <w:pPr>
        <w:jc w:val="center"/>
        <w:rPr>
          <w:rFonts w:ascii="Century Gothic" w:hAnsi="Century Gothic" w:cs="Arial"/>
          <w:lang w:val="es-CO"/>
        </w:rPr>
      </w:pPr>
      <w:r w:rsidRPr="001F2271">
        <w:rPr>
          <w:rFonts w:ascii="Century Gothic" w:hAnsi="Century Gothic" w:cs="Arial"/>
          <w:lang w:val="es-CO"/>
        </w:rPr>
        <w:t>Indicador de pilar de sofisticación y diversificación en el IDC</w:t>
      </w:r>
    </w:p>
    <w:p w:rsidR="001F2271" w:rsidRPr="001F2271" w:rsidRDefault="001F2271" w:rsidP="001F2271">
      <w:pPr>
        <w:jc w:val="center"/>
        <w:rPr>
          <w:rFonts w:ascii="Century Gothic" w:hAnsi="Century Gothic" w:cs="Arial"/>
          <w:lang w:val="es-CO"/>
        </w:rPr>
      </w:pPr>
      <w:r w:rsidRPr="001F2271">
        <w:rPr>
          <w:rFonts w:ascii="Century Gothic" w:hAnsi="Century Gothic"/>
          <w:noProof/>
          <w:lang w:val="es-CO" w:eastAsia="es-CO"/>
        </w:rPr>
        <w:drawing>
          <wp:inline distT="0" distB="0" distL="0" distR="0" wp14:anchorId="0DB76958" wp14:editId="50511C60">
            <wp:extent cx="5306695" cy="3810000"/>
            <wp:effectExtent l="0" t="0" r="8255" b="0"/>
            <wp:docPr id="54" name="Gráfico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1F2271" w:rsidRPr="001F2271" w:rsidRDefault="001F2271" w:rsidP="001F2271">
      <w:pPr>
        <w:jc w:val="center"/>
        <w:rPr>
          <w:rFonts w:ascii="Century Gothic" w:hAnsi="Century Gothic" w:cs="Arial"/>
          <w:lang w:val="es-CO"/>
        </w:rPr>
      </w:pPr>
      <w:r w:rsidRPr="001F2271">
        <w:rPr>
          <w:rFonts w:ascii="Century Gothic" w:hAnsi="Century Gothic" w:cs="Arial"/>
          <w:lang w:val="es-CO"/>
        </w:rPr>
        <w:t>FUENTE. CPC Índice Departamental de Competitividad (IDC), 2019</w:t>
      </w:r>
    </w:p>
    <w:p w:rsidR="001F2271" w:rsidRPr="001F2271" w:rsidRDefault="001F2271" w:rsidP="001F2271">
      <w:pPr>
        <w:jc w:val="both"/>
        <w:rPr>
          <w:rFonts w:ascii="Century Gothic" w:hAnsi="Century Gothic" w:cs="Arial"/>
          <w:b/>
          <w:lang w:val="es-CO"/>
        </w:rPr>
      </w:pPr>
    </w:p>
    <w:p w:rsidR="001F2271" w:rsidRPr="001F2271" w:rsidRDefault="001F2271" w:rsidP="001F2271">
      <w:pPr>
        <w:pStyle w:val="Prrafodelista"/>
        <w:numPr>
          <w:ilvl w:val="2"/>
          <w:numId w:val="4"/>
        </w:numPr>
        <w:jc w:val="both"/>
        <w:rPr>
          <w:rFonts w:ascii="Century Gothic" w:hAnsi="Century Gothic" w:cs="Arial"/>
          <w:b/>
          <w:u w:val="single"/>
          <w:lang w:val="es-CO"/>
        </w:rPr>
      </w:pPr>
      <w:r w:rsidRPr="001F2271">
        <w:rPr>
          <w:rFonts w:ascii="Century Gothic" w:hAnsi="Century Gothic" w:cs="Arial"/>
          <w:b/>
          <w:u w:val="single"/>
          <w:lang w:val="es-CO"/>
        </w:rPr>
        <w:t>Indicador de pilar innovación y dinámica empresarial en el IDC</w:t>
      </w:r>
    </w:p>
    <w:p w:rsidR="001F2271" w:rsidRPr="001F2271" w:rsidRDefault="001F2271" w:rsidP="001F2271">
      <w:pPr>
        <w:jc w:val="both"/>
        <w:rPr>
          <w:rFonts w:ascii="Century Gothic" w:hAnsi="Century Gothic" w:cs="Arial"/>
          <w:lang w:val="es-CO"/>
        </w:rPr>
      </w:pPr>
      <w:r w:rsidRPr="001F2271">
        <w:rPr>
          <w:rFonts w:ascii="Century Gothic" w:hAnsi="Century Gothic" w:cs="Arial"/>
          <w:lang w:val="es-CO"/>
        </w:rPr>
        <w:t xml:space="preserve">Este indicador nos muestra los avances y características de la región en indicadores de investigación de alta calidad, investigadores per cápita, revistas indexadas en </w:t>
      </w:r>
      <w:proofErr w:type="spellStart"/>
      <w:r w:rsidRPr="001F2271">
        <w:rPr>
          <w:rFonts w:ascii="Century Gothic" w:hAnsi="Century Gothic" w:cs="Arial"/>
          <w:lang w:val="es-CO"/>
        </w:rPr>
        <w:t>publindex</w:t>
      </w:r>
      <w:proofErr w:type="spellEnd"/>
      <w:r w:rsidRPr="001F2271">
        <w:rPr>
          <w:rFonts w:ascii="Century Gothic" w:hAnsi="Century Gothic" w:cs="Arial"/>
          <w:lang w:val="es-CO"/>
        </w:rPr>
        <w:t>, tasa de natalidad empresarial neta y densidad empresarial, registros de propiedad industrial concedidos e indicadores de participación de medianas y grandes empresas e investigadores per cápita.</w:t>
      </w:r>
    </w:p>
    <w:p w:rsidR="001F2271" w:rsidRPr="001F2271" w:rsidRDefault="001F2271" w:rsidP="001F2271">
      <w:pPr>
        <w:jc w:val="both"/>
        <w:rPr>
          <w:rFonts w:ascii="Century Gothic" w:hAnsi="Century Gothic" w:cs="Arial"/>
          <w:lang w:val="es-CO"/>
        </w:rPr>
      </w:pPr>
      <w:r w:rsidRPr="001F2271">
        <w:rPr>
          <w:rFonts w:ascii="Century Gothic" w:hAnsi="Century Gothic" w:cs="Arial"/>
          <w:lang w:val="es-CO"/>
        </w:rPr>
        <w:lastRenderedPageBreak/>
        <w:t xml:space="preserve">En este indicador de Pilar de sofisticación y diversificación en el IDC en el IDC, el Departamento de Sucre ocupó el puesto No. 24 a nivel </w:t>
      </w:r>
      <w:r>
        <w:rPr>
          <w:rFonts w:ascii="Century Gothic" w:hAnsi="Century Gothic" w:cs="Arial"/>
          <w:lang w:val="es-CO"/>
        </w:rPr>
        <w:t>nacional y un puntaje de 1,40.</w:t>
      </w:r>
    </w:p>
    <w:p w:rsidR="001F2271" w:rsidRPr="001F2271" w:rsidRDefault="001F2271" w:rsidP="001F2271">
      <w:pPr>
        <w:jc w:val="center"/>
        <w:rPr>
          <w:rFonts w:ascii="Century Gothic" w:hAnsi="Century Gothic" w:cs="Arial"/>
          <w:lang w:val="es-CO"/>
        </w:rPr>
      </w:pPr>
      <w:r w:rsidRPr="001F2271">
        <w:rPr>
          <w:rFonts w:ascii="Century Gothic" w:hAnsi="Century Gothic" w:cs="Arial"/>
          <w:lang w:val="es-CO"/>
        </w:rPr>
        <w:t>Indicador de pilar innovación y dinámica empresarial en el IDC</w:t>
      </w:r>
    </w:p>
    <w:p w:rsidR="001F2271" w:rsidRPr="001F2271" w:rsidRDefault="001F2271" w:rsidP="001F2271">
      <w:pPr>
        <w:jc w:val="center"/>
        <w:rPr>
          <w:rFonts w:ascii="Century Gothic" w:hAnsi="Century Gothic" w:cs="Arial"/>
          <w:lang w:val="es-CO"/>
        </w:rPr>
      </w:pPr>
      <w:r w:rsidRPr="001F2271">
        <w:rPr>
          <w:rFonts w:ascii="Century Gothic" w:hAnsi="Century Gothic"/>
          <w:noProof/>
          <w:lang w:val="es-CO" w:eastAsia="es-CO"/>
        </w:rPr>
        <w:drawing>
          <wp:inline distT="0" distB="0" distL="0" distR="0" wp14:anchorId="52BA6CAF" wp14:editId="54E85F4C">
            <wp:extent cx="5429250" cy="3133725"/>
            <wp:effectExtent l="0" t="0" r="0" b="9525"/>
            <wp:docPr id="55" name="Gráfico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1F2271" w:rsidRPr="001F2271" w:rsidRDefault="001F2271" w:rsidP="001F2271">
      <w:pPr>
        <w:jc w:val="center"/>
        <w:rPr>
          <w:rFonts w:ascii="Century Gothic" w:hAnsi="Century Gothic" w:cs="Arial"/>
          <w:lang w:val="es-CO"/>
        </w:rPr>
      </w:pPr>
      <w:r w:rsidRPr="001F2271">
        <w:rPr>
          <w:rFonts w:ascii="Century Gothic" w:hAnsi="Century Gothic" w:cs="Arial"/>
          <w:lang w:val="es-CO"/>
        </w:rPr>
        <w:t>FUENTE. CPC Índice Departamental de Competitividad (IDC), 2019</w:t>
      </w:r>
    </w:p>
    <w:p w:rsidR="001F2271" w:rsidRPr="001F2271" w:rsidRDefault="001F2271" w:rsidP="001F2271">
      <w:pPr>
        <w:jc w:val="both"/>
        <w:rPr>
          <w:rFonts w:ascii="Century Gothic" w:hAnsi="Century Gothic" w:cs="Arial"/>
          <w:lang w:val="es-CO"/>
        </w:rPr>
      </w:pPr>
    </w:p>
    <w:p w:rsidR="001F2271" w:rsidRPr="001F2271" w:rsidRDefault="001F2271" w:rsidP="001F2271">
      <w:pPr>
        <w:pStyle w:val="Prrafodelista"/>
        <w:numPr>
          <w:ilvl w:val="1"/>
          <w:numId w:val="4"/>
        </w:numPr>
        <w:jc w:val="both"/>
        <w:rPr>
          <w:rFonts w:ascii="Century Gothic" w:hAnsi="Century Gothic" w:cs="Arial"/>
          <w:b/>
          <w:u w:val="single"/>
          <w:lang w:val="es-CO"/>
        </w:rPr>
      </w:pPr>
      <w:r w:rsidRPr="001F2271">
        <w:rPr>
          <w:rFonts w:ascii="Century Gothic" w:hAnsi="Century Gothic" w:cs="Arial"/>
          <w:b/>
          <w:u w:val="single"/>
          <w:lang w:val="es-CO"/>
        </w:rPr>
        <w:t>Índice Departamental de Innovación – IDIC</w:t>
      </w:r>
    </w:p>
    <w:p w:rsidR="001F2271" w:rsidRPr="001F2271" w:rsidRDefault="001F2271" w:rsidP="001F2271">
      <w:pPr>
        <w:jc w:val="both"/>
        <w:rPr>
          <w:rFonts w:ascii="Century Gothic" w:hAnsi="Century Gothic" w:cs="Arial"/>
          <w:lang w:val="es-CO"/>
        </w:rPr>
      </w:pPr>
      <w:r w:rsidRPr="001F2271">
        <w:rPr>
          <w:rFonts w:ascii="Century Gothic" w:hAnsi="Century Gothic" w:cs="Arial"/>
          <w:lang w:val="es-CO"/>
        </w:rPr>
        <w:t xml:space="preserve">El Departamento Nacional de Planeación en su libro </w:t>
      </w:r>
      <w:r w:rsidRPr="001F2271">
        <w:rPr>
          <w:rFonts w:ascii="Century Gothic" w:hAnsi="Century Gothic" w:cs="Arial"/>
          <w:i/>
          <w:lang w:val="es-CO"/>
        </w:rPr>
        <w:t>Índice Departamental de Innovación para Colombia</w:t>
      </w:r>
      <w:r w:rsidRPr="001F2271">
        <w:rPr>
          <w:rStyle w:val="Refdenotaalpie"/>
          <w:rFonts w:ascii="Century Gothic" w:hAnsi="Century Gothic" w:cs="Arial"/>
          <w:i/>
          <w:lang w:val="es-CO"/>
        </w:rPr>
        <w:footnoteReference w:id="10"/>
      </w:r>
      <w:r w:rsidRPr="001F2271">
        <w:rPr>
          <w:rFonts w:ascii="Century Gothic" w:hAnsi="Century Gothic" w:cs="Arial"/>
          <w:i/>
          <w:lang w:val="es-CO"/>
        </w:rPr>
        <w:t xml:space="preserve">, </w:t>
      </w:r>
      <w:r w:rsidRPr="001F2271">
        <w:rPr>
          <w:rFonts w:ascii="Century Gothic" w:hAnsi="Century Gothic" w:cs="Arial"/>
          <w:lang w:val="es-CO"/>
        </w:rPr>
        <w:t>define este indicador como el análisis de diferentes componentes y factores que intervienen en el proceso de la innovación para identificar las particularidades de los retos que cada departamento enfrenta para avanzar hacia un desarrollo económico y social basado en la productividad, la competitividad y el crecimiento con equidad social, como el que propone la Misión de Sabios 2019.</w:t>
      </w:r>
    </w:p>
    <w:p w:rsidR="001F2271" w:rsidRPr="001F2271" w:rsidRDefault="001F2271" w:rsidP="001F2271">
      <w:pPr>
        <w:jc w:val="both"/>
        <w:rPr>
          <w:rFonts w:ascii="Century Gothic" w:hAnsi="Century Gothic" w:cs="Arial"/>
          <w:lang w:val="es-CO"/>
        </w:rPr>
      </w:pPr>
      <w:r w:rsidRPr="001F2271">
        <w:rPr>
          <w:rFonts w:ascii="Century Gothic" w:hAnsi="Century Gothic" w:cs="Arial"/>
          <w:lang w:val="es-CO"/>
        </w:rPr>
        <w:t xml:space="preserve">El Departamento Nacional de Planeación - DNP y el Observatorio Colombiano de Ciencia y Tecnología - </w:t>
      </w:r>
      <w:proofErr w:type="spellStart"/>
      <w:r w:rsidRPr="001F2271">
        <w:rPr>
          <w:rFonts w:ascii="Century Gothic" w:hAnsi="Century Gothic" w:cs="Arial"/>
          <w:lang w:val="es-CO"/>
        </w:rPr>
        <w:t>OCyT</w:t>
      </w:r>
      <w:proofErr w:type="spellEnd"/>
      <w:r w:rsidRPr="001F2271">
        <w:rPr>
          <w:rFonts w:ascii="Century Gothic" w:hAnsi="Century Gothic" w:cs="Arial"/>
          <w:lang w:val="es-CO"/>
        </w:rPr>
        <w:t xml:space="preserve"> definen</w:t>
      </w:r>
      <w:r w:rsidRPr="001F2271">
        <w:rPr>
          <w:rStyle w:val="Refdenotaalpie"/>
          <w:rFonts w:ascii="Century Gothic" w:hAnsi="Century Gothic" w:cs="Arial"/>
          <w:lang w:val="es-CO"/>
        </w:rPr>
        <w:footnoteReference w:id="11"/>
      </w:r>
      <w:r w:rsidRPr="001F2271">
        <w:rPr>
          <w:rFonts w:ascii="Century Gothic" w:hAnsi="Century Gothic" w:cs="Arial"/>
          <w:lang w:val="es-CO"/>
        </w:rPr>
        <w:t xml:space="preserve"> con mayor precisión las medidas que se extraen del ejercicio de análisis del IDIC:</w:t>
      </w:r>
    </w:p>
    <w:p w:rsidR="001F2271" w:rsidRPr="001F2271" w:rsidRDefault="001F2271" w:rsidP="001F2271">
      <w:pPr>
        <w:pStyle w:val="Prrafodelista"/>
        <w:numPr>
          <w:ilvl w:val="0"/>
          <w:numId w:val="3"/>
        </w:numPr>
        <w:jc w:val="both"/>
        <w:rPr>
          <w:rFonts w:ascii="Century Gothic" w:hAnsi="Century Gothic" w:cs="Arial"/>
          <w:lang w:val="es-CO"/>
        </w:rPr>
      </w:pPr>
      <w:r w:rsidRPr="001F2271">
        <w:rPr>
          <w:rFonts w:ascii="Century Gothic" w:hAnsi="Century Gothic" w:cs="Arial"/>
          <w:lang w:val="es-CO"/>
        </w:rPr>
        <w:lastRenderedPageBreak/>
        <w:t>El Índice Departamental de Innovación (IDIC): Construido como el promedio simple de los subíndices de insumos y de resultados. Esta medida varía entre 0 y 100; este último es el mejor resultado posible.</w:t>
      </w:r>
    </w:p>
    <w:p w:rsidR="001F2271" w:rsidRPr="001F2271" w:rsidRDefault="001F2271" w:rsidP="001F2271">
      <w:pPr>
        <w:pStyle w:val="Prrafodelista"/>
        <w:numPr>
          <w:ilvl w:val="0"/>
          <w:numId w:val="3"/>
        </w:numPr>
        <w:jc w:val="both"/>
        <w:rPr>
          <w:rFonts w:ascii="Century Gothic" w:hAnsi="Century Gothic" w:cs="Arial"/>
          <w:lang w:val="es-CO"/>
        </w:rPr>
      </w:pPr>
      <w:r w:rsidRPr="001F2271">
        <w:rPr>
          <w:rFonts w:ascii="Century Gothic" w:hAnsi="Century Gothic" w:cs="Arial"/>
          <w:lang w:val="es-CO"/>
        </w:rPr>
        <w:t>El subíndice de insumos: Identifica los aspectos del entorno y las condiciones habilitantes que fomentan la innovación en los departamentos. El subíndice de insumos se compone de cinco pilares: instituciones; capital humano e investigación; infraestructura; sofisticación del mercado, y sofisticación de negocios. Se calcula como el promedio simple de los pilares que lo componen.</w:t>
      </w:r>
    </w:p>
    <w:p w:rsidR="001F2271" w:rsidRPr="001F2271" w:rsidRDefault="001F2271" w:rsidP="001F2271">
      <w:pPr>
        <w:pStyle w:val="Prrafodelista"/>
        <w:numPr>
          <w:ilvl w:val="0"/>
          <w:numId w:val="3"/>
        </w:numPr>
        <w:jc w:val="both"/>
        <w:rPr>
          <w:rFonts w:ascii="Century Gothic" w:hAnsi="Century Gothic" w:cs="Arial"/>
          <w:lang w:val="es-CO"/>
        </w:rPr>
      </w:pPr>
      <w:r w:rsidRPr="001F2271">
        <w:rPr>
          <w:rFonts w:ascii="Century Gothic" w:hAnsi="Century Gothic" w:cs="Arial"/>
          <w:lang w:val="es-CO"/>
        </w:rPr>
        <w:t>El subíndice de resultados: Mide los resultados de las actividades innovadoras o las externalidades positivas producto de la innovación, así como los posibles efectos, directos e indirectos, de la innovación. Este subíndice se compone de dos pilares: producción de conocimiento y tecnología, y producción creativa. Se obtiene al calcular el promedio simple de los pilares que lo integran.</w:t>
      </w:r>
    </w:p>
    <w:p w:rsidR="001F2271" w:rsidRPr="001F2271" w:rsidRDefault="001F2271" w:rsidP="001F2271">
      <w:pPr>
        <w:pStyle w:val="Prrafodelista"/>
        <w:numPr>
          <w:ilvl w:val="0"/>
          <w:numId w:val="3"/>
        </w:numPr>
        <w:jc w:val="both"/>
        <w:rPr>
          <w:rFonts w:ascii="Century Gothic" w:hAnsi="Century Gothic" w:cs="Arial"/>
          <w:lang w:val="es-CO"/>
        </w:rPr>
      </w:pPr>
      <w:r w:rsidRPr="001F2271">
        <w:rPr>
          <w:rFonts w:ascii="Century Gothic" w:hAnsi="Century Gothic" w:cs="Arial"/>
          <w:lang w:val="es-CO"/>
        </w:rPr>
        <w:t>La razón de eficiencia: Mide las capacidades de cada uno de los departamentos para traducir los insumos con los que cuenta en resultados efectivos. Se calcula al dividir el subíndice de resultados por el subíndice de insumos. Valores cercanos o mayores a uno indican un ecosistema saludable y unas condiciones apropiadas para el logro de los resultados de innovación esperados. Un departamento con un puntaje cercano a cero enfrenta cuellos de botella para traducir capacidades e insumos en resultados efectivos de conocimiento o en innovaciones.</w:t>
      </w:r>
    </w:p>
    <w:p w:rsidR="001F2271" w:rsidRPr="001F2271" w:rsidRDefault="001F2271" w:rsidP="001F2271">
      <w:pPr>
        <w:jc w:val="center"/>
        <w:rPr>
          <w:rFonts w:ascii="Century Gothic" w:hAnsi="Century Gothic" w:cs="Arial"/>
          <w:lang w:val="es-CO"/>
        </w:rPr>
      </w:pPr>
      <w:r w:rsidRPr="001F2271">
        <w:rPr>
          <w:rFonts w:ascii="Century Gothic" w:hAnsi="Century Gothic" w:cs="Arial"/>
          <w:lang w:val="es-CO"/>
        </w:rPr>
        <w:t>Ranking del Índice Departamental de Innovación para Colombia, 2018</w:t>
      </w:r>
    </w:p>
    <w:p w:rsidR="001F2271" w:rsidRPr="001F2271" w:rsidRDefault="001F2271" w:rsidP="001F2271">
      <w:pPr>
        <w:jc w:val="center"/>
        <w:rPr>
          <w:rFonts w:ascii="Century Gothic" w:hAnsi="Century Gothic" w:cs="Arial"/>
          <w:lang w:val="es-CO"/>
        </w:rPr>
      </w:pPr>
      <w:r w:rsidRPr="001F2271">
        <w:rPr>
          <w:rFonts w:ascii="Century Gothic" w:hAnsi="Century Gothic" w:cs="Arial"/>
          <w:noProof/>
          <w:lang w:val="es-CO" w:eastAsia="es-CO"/>
        </w:rPr>
        <mc:AlternateContent>
          <mc:Choice Requires="wps">
            <w:drawing>
              <wp:anchor distT="0" distB="0" distL="114300" distR="114300" simplePos="0" relativeHeight="251660288" behindDoc="0" locked="0" layoutInCell="1" allowOverlap="1" wp14:anchorId="719CCBC3" wp14:editId="2741D9EC">
                <wp:simplePos x="0" y="0"/>
                <wp:positionH relativeFrom="column">
                  <wp:posOffset>3161665</wp:posOffset>
                </wp:positionH>
                <wp:positionV relativeFrom="paragraph">
                  <wp:posOffset>158115</wp:posOffset>
                </wp:positionV>
                <wp:extent cx="666750" cy="996950"/>
                <wp:effectExtent l="0" t="0" r="57150" b="50800"/>
                <wp:wrapNone/>
                <wp:docPr id="59" name="Conector recto de flecha 59"/>
                <wp:cNvGraphicFramePr/>
                <a:graphic xmlns:a="http://schemas.openxmlformats.org/drawingml/2006/main">
                  <a:graphicData uri="http://schemas.microsoft.com/office/word/2010/wordprocessingShape">
                    <wps:wsp>
                      <wps:cNvCnPr/>
                      <wps:spPr>
                        <a:xfrm>
                          <a:off x="0" y="0"/>
                          <a:ext cx="666750" cy="9969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F5B4526" id="_x0000_t32" coordsize="21600,21600" o:spt="32" o:oned="t" path="m,l21600,21600e" filled="f">
                <v:path arrowok="t" fillok="f" o:connecttype="none"/>
                <o:lock v:ext="edit" shapetype="t"/>
              </v:shapetype>
              <v:shape id="Conector recto de flecha 59" o:spid="_x0000_s1026" type="#_x0000_t32" style="position:absolute;margin-left:248.95pt;margin-top:12.45pt;width:52.5pt;height:7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Wh2wEAAAYEAAAOAAAAZHJzL2Uyb0RvYy54bWysU02P0zAQvSPxHyzfadqVttCq6R66wAVB&#10;BcsP8DrjxpK/NB6a9t8zdtosAoTEai+OHc+bee/NeHN38k4cAbONoZWL2VwKCDp2Nhxa+f3hw5t3&#10;UmRSoVMuBmjlGbK8275+tRnSGm5iH10HKDhJyOshtbInSuumyboHr/IsJgh8aSJ6RXzEQ9OhGji7&#10;d83NfL5shohdwqghZ/57P17Kbc1vDGj6YkwGEq6VzI3qinV9LGuz3aj1AVXqrb7QUM9g4ZUNXHRK&#10;da9IiR9o/0jlrcaYo6GZjr6JxlgNVQOrWcx/U/OtVwmqFjYnp8mm/HJp9efjHoXtWnm7kiIozz3a&#10;cac0RRRYPqIDYRzoXgkOYb+GlNcM24U9Xk457bGIPxn05cuyxKl6fJ48hhMJzT+Xy+XbW+6E5qvV&#10;arniPWdpnsAJM32E6EXZtDITKnvoiUmNrBbVZ3X8lGkEXgGlsgtlJWXd+9AJOieWQ2hVODi41Ckh&#10;TdEwsq47OjsY4V/BsBvMcyxT5xB2DsVR8QQprSHQYsrE0QVmrHMTcF75/RN4iS9QqDP6P+AJUSvH&#10;QBPY2xDxb9XpdKVsxvirA6PuYsFj7M61n9UaHrbak8vDKNP867nCn57v9icAAAD//wMAUEsDBBQA&#10;BgAIAAAAIQAdYCGm3gAAAAoBAAAPAAAAZHJzL2Rvd25yZXYueG1sTI/BTsMwDIbvSLxDZCRuLF01&#10;jbU0nRASO4LYOMAta7ykWuNUTdYWnh5zgpNt+dPvz9V29p0YcYhtIAXLRQYCqQmmJavg/fB8twER&#10;kyaju0Co4AsjbOvrq0qXJkz0huM+WcEhFEutwKXUl1LGxqHXcRF6JN6dwuB14nGw0gx64nDfyTzL&#10;1tLrlviC0z0+OWzO+4tX8Go/Rp/TrpWn4vN7Z1/M2U1Jqdub+fEBRMI5/cHwq8/qULPTMVzIRNEp&#10;WBX3BaMK8hVXBtZZzs2Ryc2yAFlX8v8L9Q8AAAD//wMAUEsBAi0AFAAGAAgAAAAhALaDOJL+AAAA&#10;4QEAABMAAAAAAAAAAAAAAAAAAAAAAFtDb250ZW50X1R5cGVzXS54bWxQSwECLQAUAAYACAAAACEA&#10;OP0h/9YAAACUAQAACwAAAAAAAAAAAAAAAAAvAQAAX3JlbHMvLnJlbHNQSwECLQAUAAYACAAAACEA&#10;fozFodsBAAAGBAAADgAAAAAAAAAAAAAAAAAuAgAAZHJzL2Uyb0RvYy54bWxQSwECLQAUAAYACAAA&#10;ACEAHWAhpt4AAAAKAQAADwAAAAAAAAAAAAAAAAA1BAAAZHJzL2Rvd25yZXYueG1sUEsFBgAAAAAE&#10;AAQA8wAAAEAFAAAAAA==&#10;" strokecolor="#5b9bd5 [3204]" strokeweight=".5pt">
                <v:stroke endarrow="block" joinstyle="miter"/>
              </v:shape>
            </w:pict>
          </mc:Fallback>
        </mc:AlternateContent>
      </w:r>
      <w:r w:rsidRPr="001F2271">
        <w:rPr>
          <w:rFonts w:ascii="Century Gothic" w:hAnsi="Century Gothic" w:cs="Arial"/>
          <w:noProof/>
          <w:lang w:val="es-CO" w:eastAsia="es-CO"/>
        </w:rPr>
        <mc:AlternateContent>
          <mc:Choice Requires="wps">
            <w:drawing>
              <wp:anchor distT="0" distB="0" distL="114300" distR="114300" simplePos="0" relativeHeight="251659264" behindDoc="0" locked="0" layoutInCell="1" allowOverlap="1" wp14:anchorId="245203BC" wp14:editId="79660455">
                <wp:simplePos x="0" y="0"/>
                <wp:positionH relativeFrom="column">
                  <wp:posOffset>3745865</wp:posOffset>
                </wp:positionH>
                <wp:positionV relativeFrom="paragraph">
                  <wp:posOffset>158115</wp:posOffset>
                </wp:positionV>
                <wp:extent cx="165100" cy="1593850"/>
                <wp:effectExtent l="0" t="0" r="25400" b="25400"/>
                <wp:wrapNone/>
                <wp:docPr id="58" name="Rectángulo 58"/>
                <wp:cNvGraphicFramePr/>
                <a:graphic xmlns:a="http://schemas.openxmlformats.org/drawingml/2006/main">
                  <a:graphicData uri="http://schemas.microsoft.com/office/word/2010/wordprocessingShape">
                    <wps:wsp>
                      <wps:cNvSpPr/>
                      <wps:spPr>
                        <a:xfrm>
                          <a:off x="0" y="0"/>
                          <a:ext cx="165100" cy="15938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599D18" id="Rectángulo 58" o:spid="_x0000_s1026" style="position:absolute;margin-left:294.95pt;margin-top:12.45pt;width:13pt;height:12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VnzggIAAEgFAAAOAAAAZHJzL2Uyb0RvYy54bWysVMFu2zAMvQ/YPwi6r7azpmuDOkWQosOA&#10;oi3aDj2rshQbkEWNUuJkf7Nv2Y+Nkh2naIsdhvkgiyL5SD6ROr/YtoZtFPoGbMmLo5wzZSVUjV2V&#10;/Pvj1adTznwQthIGrCr5Tnl+Mf/44bxzMzWBGkylkBGI9bPOlbwOwc2yzMtatcIfgVOWlBqwFYFE&#10;XGUVio7QW5NN8vwk6wArhyCV93R62Sv5POFrrWS41dqrwEzJKbeQVkzrc1yz+bmYrVC4upFDGuIf&#10;smhFYynoCHUpgmBrbN5AtY1E8KDDkYQ2A60bqVINVE2Rv6rmoRZOpVqIHO9Gmvz/g5U3mztkTVXy&#10;Kd2UFS3d0T2x9vuXXa0NMDolijrnZ2T54O5wkDxtY71bjW38UyVsm2jdjbSqbWCSDouTaZET+ZJU&#10;xfTs8+k08Z4dvB368FVBy+Km5EgJJDbF5toHikime5MYzMJVY0w8j4n1qaRd2BkVDYy9V5qqouCT&#10;BJT6SS0Nso2gThBSKhuKXlWLSvXH05y+WC/FGz2SlAAjsqbAI/YAEHv1LXYPM9hHV5XacXTO/5ZY&#10;7zx6pMhgw+jcNhbwPQBDVQ2Re/s9ST01kaVnqHZ05wj9MHgnrxqi/Vr4cCeQup+uiiY63NKiDXQl&#10;h2HHWQ34873zaE9NSVrOOpqmkvsfa4GKM/PNUrueFcfHcfyScDz9MiEBX2qeX2rsul0CXVNBb4eT&#10;aRvtg9lvNUL7RIO/iFFJJayk2CWXAffCMvRTTk+HVItFMqORcyJc2wcnI3hkNbbV4/ZJoBt6L1DX&#10;3sB+8sTsVQv2ttHTwmIdQDepPw+8DnzTuKbGGZ6W+B68lJPV4QGc/wEAAP//AwBQSwMEFAAGAAgA&#10;AAAhAC1zwbjhAAAACgEAAA8AAABkcnMvZG93bnJldi54bWxMj0FLw0AQhe+C/2EZwZvdpJjYxmxK&#10;KgiiUGgsordtdpoEs7Mxu23jv3c86WnezDzefJOvJtuLE46+c6QgnkUgkGpnOmoU7F4fbxYgfNBk&#10;dO8IFXyjh1VxeZHrzLgzbfFUhUZwCPlMK2hDGDIpfd2i1X7mBiTeHdxodeB2bKQZ9ZnDbS/nUZRK&#10;qzviC60e8KHF+rM6WgVv2+SA63W6k5uP8quMq6fp5fldqeurqbwHEXAKf2b4xWd0KJhp745kvOgV&#10;JIvlkq0K5rdc2ZDGCYs9D+5YyCKX/18ofgAAAP//AwBQSwECLQAUAAYACAAAACEAtoM4kv4AAADh&#10;AQAAEwAAAAAAAAAAAAAAAAAAAAAAW0NvbnRlbnRfVHlwZXNdLnhtbFBLAQItABQABgAIAAAAIQA4&#10;/SH/1gAAAJQBAAALAAAAAAAAAAAAAAAAAC8BAABfcmVscy8ucmVsc1BLAQItABQABgAIAAAAIQBp&#10;pVnzggIAAEgFAAAOAAAAAAAAAAAAAAAAAC4CAABkcnMvZTJvRG9jLnhtbFBLAQItABQABgAIAAAA&#10;IQAtc8G44QAAAAoBAAAPAAAAAAAAAAAAAAAAANwEAABkcnMvZG93bnJldi54bWxQSwUGAAAAAAQA&#10;BADzAAAA6gUAAAAA&#10;" filled="f" strokecolor="#1f4d78 [1604]" strokeweight="1pt"/>
            </w:pict>
          </mc:Fallback>
        </mc:AlternateContent>
      </w:r>
      <w:r w:rsidRPr="001F2271">
        <w:rPr>
          <w:rFonts w:ascii="Century Gothic" w:hAnsi="Century Gothic" w:cs="Arial"/>
          <w:noProof/>
          <w:lang w:val="es-CO" w:eastAsia="es-CO"/>
        </w:rPr>
        <w:drawing>
          <wp:inline distT="0" distB="0" distL="0" distR="0" wp14:anchorId="59C12431" wp14:editId="61965A9E">
            <wp:extent cx="4319270" cy="2089150"/>
            <wp:effectExtent l="0" t="0" r="5080" b="635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50646" cy="2104326"/>
                    </a:xfrm>
                    <a:prstGeom prst="rect">
                      <a:avLst/>
                    </a:prstGeom>
                    <a:noFill/>
                    <a:ln>
                      <a:noFill/>
                    </a:ln>
                  </pic:spPr>
                </pic:pic>
              </a:graphicData>
            </a:graphic>
          </wp:inline>
        </w:drawing>
      </w:r>
    </w:p>
    <w:p w:rsidR="001F2271" w:rsidRPr="001F2271" w:rsidRDefault="001F2271" w:rsidP="001F2271">
      <w:pPr>
        <w:spacing w:line="240" w:lineRule="auto"/>
        <w:ind w:firstLine="567"/>
        <w:jc w:val="right"/>
        <w:rPr>
          <w:rFonts w:ascii="Century Gothic" w:hAnsi="Century Gothic" w:cs="Arial"/>
          <w:lang w:val="es-CO"/>
        </w:rPr>
      </w:pPr>
      <w:r w:rsidRPr="001F2271">
        <w:rPr>
          <w:rFonts w:ascii="Century Gothic" w:hAnsi="Century Gothic"/>
          <w:lang w:val="es-CO"/>
        </w:rPr>
        <w:t xml:space="preserve">FUENTE. Índice Departamental de Innovación para Colombia DNP – </w:t>
      </w:r>
      <w:proofErr w:type="spellStart"/>
      <w:r w:rsidRPr="001F2271">
        <w:rPr>
          <w:rFonts w:ascii="Century Gothic" w:hAnsi="Century Gothic"/>
          <w:lang w:val="es-CO"/>
        </w:rPr>
        <w:t>OcyT</w:t>
      </w:r>
      <w:proofErr w:type="spellEnd"/>
      <w:r w:rsidRPr="001F2271">
        <w:rPr>
          <w:rFonts w:ascii="Century Gothic" w:hAnsi="Century Gothic"/>
          <w:lang w:val="es-CO"/>
        </w:rPr>
        <w:t xml:space="preserve"> 2019</w:t>
      </w:r>
    </w:p>
    <w:p w:rsidR="001F2271" w:rsidRPr="001F2271" w:rsidRDefault="001F2271" w:rsidP="001F2271">
      <w:pPr>
        <w:jc w:val="both"/>
        <w:rPr>
          <w:rFonts w:ascii="Century Gothic" w:hAnsi="Century Gothic" w:cs="Arial"/>
          <w:lang w:val="es-CO"/>
        </w:rPr>
      </w:pPr>
      <w:r w:rsidRPr="001F2271">
        <w:rPr>
          <w:rFonts w:ascii="Century Gothic" w:hAnsi="Century Gothic" w:cs="Arial"/>
          <w:lang w:val="es-CO"/>
        </w:rPr>
        <w:t xml:space="preserve">En este cuadro se resume el análisis y la desagregación de cada uno de los componentes de este indicador. Observamos la ubicación del Departamento de </w:t>
      </w:r>
      <w:r w:rsidRPr="001F2271">
        <w:rPr>
          <w:rFonts w:ascii="Century Gothic" w:hAnsi="Century Gothic" w:cs="Arial"/>
          <w:lang w:val="es-CO"/>
        </w:rPr>
        <w:lastRenderedPageBreak/>
        <w:t>Sucre ocupando el puesto 21 en cada subíndice y en el consolidado ocupando el puesto 22, con una calificación de 23,36.</w:t>
      </w:r>
    </w:p>
    <w:p w:rsidR="001F2271" w:rsidRPr="001F2271" w:rsidRDefault="001F2271" w:rsidP="001F2271">
      <w:pPr>
        <w:jc w:val="center"/>
        <w:rPr>
          <w:rFonts w:ascii="Century Gothic" w:hAnsi="Century Gothic" w:cs="Arial"/>
          <w:lang w:val="es-CO"/>
        </w:rPr>
      </w:pPr>
      <w:r w:rsidRPr="001F2271">
        <w:rPr>
          <w:rFonts w:ascii="Century Gothic" w:hAnsi="Century Gothic" w:cs="Arial"/>
          <w:noProof/>
          <w:lang w:val="es-CO" w:eastAsia="es-CO"/>
        </w:rPr>
        <w:drawing>
          <wp:inline distT="0" distB="0" distL="0" distR="0" wp14:anchorId="601F5209" wp14:editId="2C9B2007">
            <wp:extent cx="4171950" cy="4533900"/>
            <wp:effectExtent l="0" t="0" r="0"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171950" cy="4533900"/>
                    </a:xfrm>
                    <a:prstGeom prst="rect">
                      <a:avLst/>
                    </a:prstGeom>
                    <a:noFill/>
                    <a:ln>
                      <a:noFill/>
                    </a:ln>
                  </pic:spPr>
                </pic:pic>
              </a:graphicData>
            </a:graphic>
          </wp:inline>
        </w:drawing>
      </w:r>
    </w:p>
    <w:p w:rsidR="001F2271" w:rsidRPr="001F2271" w:rsidRDefault="001F2271" w:rsidP="001F2271">
      <w:pPr>
        <w:jc w:val="center"/>
        <w:rPr>
          <w:rFonts w:ascii="Century Gothic" w:hAnsi="Century Gothic" w:cs="Arial"/>
          <w:lang w:val="es-CO"/>
        </w:rPr>
      </w:pPr>
      <w:r w:rsidRPr="001F2271">
        <w:rPr>
          <w:rFonts w:ascii="Century Gothic" w:hAnsi="Century Gothic"/>
          <w:lang w:val="es-CO"/>
        </w:rPr>
        <w:t xml:space="preserve">FUENTE. Índice Departamental de Innovación para Colombia DNP – </w:t>
      </w:r>
      <w:proofErr w:type="spellStart"/>
      <w:r w:rsidRPr="001F2271">
        <w:rPr>
          <w:rFonts w:ascii="Century Gothic" w:hAnsi="Century Gothic"/>
          <w:lang w:val="es-CO"/>
        </w:rPr>
        <w:t>OcyT</w:t>
      </w:r>
      <w:proofErr w:type="spellEnd"/>
      <w:r w:rsidRPr="001F2271">
        <w:rPr>
          <w:rFonts w:ascii="Century Gothic" w:hAnsi="Century Gothic"/>
          <w:lang w:val="es-CO"/>
        </w:rPr>
        <w:t xml:space="preserve"> 2019</w:t>
      </w:r>
    </w:p>
    <w:p w:rsidR="001F2271" w:rsidRPr="001F2271" w:rsidRDefault="001F2271" w:rsidP="001F2271">
      <w:pPr>
        <w:jc w:val="both"/>
        <w:rPr>
          <w:rFonts w:ascii="Century Gothic" w:hAnsi="Century Gothic" w:cs="Arial"/>
          <w:lang w:val="es-CO"/>
        </w:rPr>
      </w:pPr>
      <w:r w:rsidRPr="001F2271">
        <w:rPr>
          <w:rFonts w:ascii="Century Gothic" w:hAnsi="Century Gothic" w:cs="Arial"/>
          <w:lang w:val="es-CO"/>
        </w:rPr>
        <w:t xml:space="preserve">En el Pilar y </w:t>
      </w:r>
      <w:proofErr w:type="spellStart"/>
      <w:r w:rsidRPr="001F2271">
        <w:rPr>
          <w:rFonts w:ascii="Century Gothic" w:hAnsi="Century Gothic" w:cs="Arial"/>
          <w:lang w:val="es-CO"/>
        </w:rPr>
        <w:t>Subpilares</w:t>
      </w:r>
      <w:proofErr w:type="spellEnd"/>
      <w:r w:rsidRPr="001F2271">
        <w:rPr>
          <w:rFonts w:ascii="Century Gothic" w:hAnsi="Century Gothic" w:cs="Arial"/>
          <w:lang w:val="es-CO"/>
        </w:rPr>
        <w:t xml:space="preserve"> de Infraestructura, vemos a nuestro Departamento de Sucre con la necesidad de inversión en los componentes de análisis, pues ocupa el puesto 21 en los resultados obtenidos por el DNP y el </w:t>
      </w:r>
      <w:proofErr w:type="spellStart"/>
      <w:r w:rsidRPr="001F2271">
        <w:rPr>
          <w:rFonts w:ascii="Century Gothic" w:hAnsi="Century Gothic" w:cs="Arial"/>
          <w:lang w:val="es-CO"/>
        </w:rPr>
        <w:t>OCyT</w:t>
      </w:r>
      <w:proofErr w:type="spellEnd"/>
      <w:r w:rsidRPr="001F2271">
        <w:rPr>
          <w:rFonts w:ascii="Century Gothic" w:hAnsi="Century Gothic" w:cs="Arial"/>
          <w:lang w:val="es-CO"/>
        </w:rPr>
        <w:t>.</w:t>
      </w:r>
    </w:p>
    <w:p w:rsidR="001F2271" w:rsidRDefault="001F2271" w:rsidP="001F2271">
      <w:pPr>
        <w:jc w:val="center"/>
        <w:rPr>
          <w:rFonts w:ascii="Century Gothic" w:hAnsi="Century Gothic" w:cs="Arial"/>
          <w:lang w:val="es-CO"/>
        </w:rPr>
      </w:pPr>
    </w:p>
    <w:p w:rsidR="001F2271" w:rsidRDefault="001F2271" w:rsidP="001F2271">
      <w:pPr>
        <w:jc w:val="center"/>
        <w:rPr>
          <w:rFonts w:ascii="Century Gothic" w:hAnsi="Century Gothic" w:cs="Arial"/>
          <w:lang w:val="es-CO"/>
        </w:rPr>
      </w:pPr>
    </w:p>
    <w:p w:rsidR="001F2271" w:rsidRDefault="001F2271" w:rsidP="001F2271">
      <w:pPr>
        <w:jc w:val="center"/>
        <w:rPr>
          <w:rFonts w:ascii="Century Gothic" w:hAnsi="Century Gothic" w:cs="Arial"/>
          <w:lang w:val="es-CO"/>
        </w:rPr>
      </w:pPr>
    </w:p>
    <w:p w:rsidR="001F2271" w:rsidRDefault="001F2271" w:rsidP="001F2271">
      <w:pPr>
        <w:jc w:val="center"/>
        <w:rPr>
          <w:rFonts w:ascii="Century Gothic" w:hAnsi="Century Gothic" w:cs="Arial"/>
          <w:lang w:val="es-CO"/>
        </w:rPr>
      </w:pPr>
    </w:p>
    <w:p w:rsidR="001F2271" w:rsidRDefault="001F2271" w:rsidP="001F2271">
      <w:pPr>
        <w:jc w:val="center"/>
        <w:rPr>
          <w:rFonts w:ascii="Century Gothic" w:hAnsi="Century Gothic" w:cs="Arial"/>
          <w:lang w:val="es-CO"/>
        </w:rPr>
      </w:pPr>
    </w:p>
    <w:p w:rsidR="001F2271" w:rsidRDefault="001F2271" w:rsidP="001F2271">
      <w:pPr>
        <w:jc w:val="center"/>
        <w:rPr>
          <w:rFonts w:ascii="Century Gothic" w:hAnsi="Century Gothic" w:cs="Arial"/>
          <w:lang w:val="es-CO"/>
        </w:rPr>
      </w:pPr>
    </w:p>
    <w:p w:rsidR="001F2271" w:rsidRDefault="001F2271" w:rsidP="001F2271">
      <w:pPr>
        <w:jc w:val="center"/>
        <w:rPr>
          <w:rFonts w:ascii="Century Gothic" w:hAnsi="Century Gothic" w:cs="Arial"/>
          <w:lang w:val="es-CO"/>
        </w:rPr>
      </w:pPr>
    </w:p>
    <w:p w:rsidR="001F2271" w:rsidRDefault="001F2271" w:rsidP="001F2271">
      <w:pPr>
        <w:jc w:val="center"/>
        <w:rPr>
          <w:rFonts w:ascii="Century Gothic" w:hAnsi="Century Gothic" w:cs="Arial"/>
          <w:lang w:val="es-CO"/>
        </w:rPr>
      </w:pPr>
    </w:p>
    <w:p w:rsidR="001F2271" w:rsidRPr="001F2271" w:rsidRDefault="001F2271" w:rsidP="001F2271">
      <w:pPr>
        <w:jc w:val="center"/>
        <w:rPr>
          <w:rFonts w:ascii="Century Gothic" w:hAnsi="Century Gothic" w:cs="Arial"/>
          <w:b/>
          <w:lang w:val="es-CO"/>
        </w:rPr>
      </w:pPr>
      <w:r w:rsidRPr="001F2271">
        <w:rPr>
          <w:rFonts w:ascii="Century Gothic" w:hAnsi="Century Gothic" w:cs="Arial"/>
          <w:b/>
          <w:lang w:val="es-CO"/>
        </w:rPr>
        <w:t xml:space="preserve">Pilar y </w:t>
      </w:r>
      <w:proofErr w:type="spellStart"/>
      <w:r w:rsidRPr="001F2271">
        <w:rPr>
          <w:rFonts w:ascii="Century Gothic" w:hAnsi="Century Gothic" w:cs="Arial"/>
          <w:b/>
          <w:lang w:val="es-CO"/>
        </w:rPr>
        <w:t>subpilares</w:t>
      </w:r>
      <w:proofErr w:type="spellEnd"/>
      <w:r w:rsidRPr="001F2271">
        <w:rPr>
          <w:rFonts w:ascii="Century Gothic" w:hAnsi="Century Gothic" w:cs="Arial"/>
          <w:b/>
          <w:lang w:val="es-CO"/>
        </w:rPr>
        <w:t xml:space="preserve"> de infraestructura, 2018</w:t>
      </w:r>
    </w:p>
    <w:p w:rsidR="001F2271" w:rsidRPr="001F2271" w:rsidRDefault="001F2271" w:rsidP="001F2271">
      <w:pPr>
        <w:jc w:val="center"/>
        <w:rPr>
          <w:rFonts w:ascii="Century Gothic" w:hAnsi="Century Gothic" w:cs="Arial"/>
          <w:lang w:val="es-CO"/>
        </w:rPr>
      </w:pPr>
      <w:r w:rsidRPr="001F2271">
        <w:rPr>
          <w:rFonts w:ascii="Century Gothic" w:hAnsi="Century Gothic" w:cs="Arial"/>
          <w:noProof/>
          <w:lang w:val="es-CO" w:eastAsia="es-CO"/>
        </w:rPr>
        <mc:AlternateContent>
          <mc:Choice Requires="wps">
            <w:drawing>
              <wp:anchor distT="0" distB="0" distL="114300" distR="114300" simplePos="0" relativeHeight="251662336" behindDoc="0" locked="0" layoutInCell="1" allowOverlap="1" wp14:anchorId="56287094" wp14:editId="6873B4E8">
                <wp:simplePos x="0" y="0"/>
                <wp:positionH relativeFrom="column">
                  <wp:posOffset>1459865</wp:posOffset>
                </wp:positionH>
                <wp:positionV relativeFrom="paragraph">
                  <wp:posOffset>201930</wp:posOffset>
                </wp:positionV>
                <wp:extent cx="222250" cy="1155700"/>
                <wp:effectExtent l="0" t="0" r="63500" b="63500"/>
                <wp:wrapNone/>
                <wp:docPr id="62" name="Conector recto de flecha 62"/>
                <wp:cNvGraphicFramePr/>
                <a:graphic xmlns:a="http://schemas.openxmlformats.org/drawingml/2006/main">
                  <a:graphicData uri="http://schemas.microsoft.com/office/word/2010/wordprocessingShape">
                    <wps:wsp>
                      <wps:cNvCnPr/>
                      <wps:spPr>
                        <a:xfrm>
                          <a:off x="0" y="0"/>
                          <a:ext cx="222250" cy="11557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9F26853" id="Conector recto de flecha 62" o:spid="_x0000_s1026" type="#_x0000_t32" style="position:absolute;margin-left:114.95pt;margin-top:15.9pt;width:17.5pt;height:9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x4J2wEAAAcEAAAOAAAAZHJzL2Uyb0RvYy54bWysU9uO0zAQfUfiHyy/0ySVuqCq6T50gRcE&#10;FbAf4HXGjSXfNB56+XvGTptFgJBA5MGJ4zkz55wZb+7P3okjYLYx9LJbtFJA0HGw4dDLx6/vXr2R&#10;IpMKg3IxQC8vkOX99uWLzSmtYRnH6AZAwUlCXp9SL0eitG6arEfwKi9igsCHJqJXxFs8NAOqE2f3&#10;rlm27V1zijgkjBpy5r8P06Hc1vzGgKZPxmQg4XrJ3KiuWNensjbbjVofUKXR6isN9Q8svLKBi86p&#10;HhQp8Q3tL6m81RhzNLTQ0TfRGKuhamA1XfuTmi+jSlC1sDk5zTbl/5dWfzzuUdihl3dLKYLy3KMd&#10;d0pTRIHlJQYQxoEeleAQ9uuU8pphu7DH6y6nPRbxZ4O+vFmWOFePL7PHcCah+eeSnxV3QvNR161W&#10;r9vahOYZnTDTe4helI9eZkJlDyMxq4lWV41Wxw+ZuD4Db4BS2oWykrLubRgEXRLrIbQqHBwU8hxe&#10;QpoiYqJdv+jiYIJ/BsN2MNGpTB1E2DkUR8UjpLSGQN2ciaMLzFjnZmBb+f0ReI0vUKhD+jfgGVEr&#10;x0Az2NsQ8XfV6XyjbKb4mwOT7mLBUxwutaHVGp626tX1ZpRx/nFf4c/3d/sdAAD//wMAUEsDBBQA&#10;BgAIAAAAIQBvO89b3wAAAAoBAAAPAAAAZHJzL2Rvd25yZXYueG1sTI/BTsMwEETvSP0Haytxo05c&#10;VDUhToWQ6BFEywFubuzaUeN1FLtJ4OtZTnDb3RnNvql2s+/YaIbYBpSQrzJgBpugW7QS3o/Pd1tg&#10;MSnUqgtoJHyZCLt6cVOpUocJ38x4SJZRCMZSSXAp9SXnsXHGq7gKvUHSzmHwKtE6WK4HNVG477jI&#10;sg33qkX64FRvnpxpLoerl/BqP0YvcN/yc/H5vbcv+uKmJOXtcn58AJbMnP7M8ItP6FAT0ylcUUfW&#10;SRCiKMgqYZ1TBTKIzT0dTjTk6y3wuuL/K9Q/AAAA//8DAFBLAQItABQABgAIAAAAIQC2gziS/gAA&#10;AOEBAAATAAAAAAAAAAAAAAAAAAAAAABbQ29udGVudF9UeXBlc10ueG1sUEsBAi0AFAAGAAgAAAAh&#10;ADj9If/WAAAAlAEAAAsAAAAAAAAAAAAAAAAALwEAAF9yZWxzLy5yZWxzUEsBAi0AFAAGAAgAAAAh&#10;AOcDHgnbAQAABwQAAA4AAAAAAAAAAAAAAAAALgIAAGRycy9lMm9Eb2MueG1sUEsBAi0AFAAGAAgA&#10;AAAhAG87z1vfAAAACgEAAA8AAAAAAAAAAAAAAAAANQQAAGRycy9kb3ducmV2LnhtbFBLBQYAAAAA&#10;BAAEAPMAAABBBQAAAAA=&#10;" strokecolor="#5b9bd5 [3204]" strokeweight=".5pt">
                <v:stroke endarrow="block" joinstyle="miter"/>
              </v:shape>
            </w:pict>
          </mc:Fallback>
        </mc:AlternateContent>
      </w:r>
      <w:r w:rsidRPr="001F2271">
        <w:rPr>
          <w:rFonts w:ascii="Century Gothic" w:hAnsi="Century Gothic" w:cs="Arial"/>
          <w:noProof/>
          <w:lang w:val="es-CO" w:eastAsia="es-CO"/>
        </w:rPr>
        <mc:AlternateContent>
          <mc:Choice Requires="wps">
            <w:drawing>
              <wp:anchor distT="0" distB="0" distL="114300" distR="114300" simplePos="0" relativeHeight="251661312" behindDoc="0" locked="0" layoutInCell="1" allowOverlap="1" wp14:anchorId="39F00BA3" wp14:editId="48FB4082">
                <wp:simplePos x="0" y="0"/>
                <wp:positionH relativeFrom="column">
                  <wp:posOffset>774065</wp:posOffset>
                </wp:positionH>
                <wp:positionV relativeFrom="paragraph">
                  <wp:posOffset>1275080</wp:posOffset>
                </wp:positionV>
                <wp:extent cx="4057650" cy="152400"/>
                <wp:effectExtent l="0" t="0" r="19050" b="19050"/>
                <wp:wrapNone/>
                <wp:docPr id="61" name="Rectángulo 61"/>
                <wp:cNvGraphicFramePr/>
                <a:graphic xmlns:a="http://schemas.openxmlformats.org/drawingml/2006/main">
                  <a:graphicData uri="http://schemas.microsoft.com/office/word/2010/wordprocessingShape">
                    <wps:wsp>
                      <wps:cNvSpPr/>
                      <wps:spPr>
                        <a:xfrm>
                          <a:off x="0" y="0"/>
                          <a:ext cx="4057650" cy="1524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245EE7A" id="Rectángulo 61" o:spid="_x0000_s1026" style="position:absolute;margin-left:60.95pt;margin-top:100.4pt;width:319.5pt;height:12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J3CgQIAAEgFAAAOAAAAZHJzL2Uyb0RvYy54bWysVMFOGzEQvVfqP1i+l91ECbQRGxSBqCoh&#10;QEDF2Xjt7Eq2xx072aR/02/pj3Xs3SwIUA9Vc3Bsz8ybmbdvfHq2s4ZtFYYWXMUnRyVnykmoW7eu&#10;+PeHy0+fOQtRuFoYcKriexX42fLjh9POL9QUGjC1QkYgLiw6X/EmRr8oiiAbZUU4Aq8cGTWgFZGO&#10;uC5qFB2hW1NMy/K46ABrjyBVCHR70Rv5MuNrrWS80TqoyEzFqbaYV8zrU1qL5alYrFH4ppVDGeIf&#10;qrCidZR0hLoQUbANtm+gbCsRAuh4JMEWoHUrVe6BupmUr7q5b4RXuRciJ/iRpvD/YOX19hZZW1f8&#10;eMKZE5a+0R2x9vuXW28MMLolijofFuR5729xOAXapn53Gm36p07YLtO6H2lVu8gkXc7K+cnxnNiX&#10;ZJvMp7My8148R3sM8asCy9Km4kgFZDbF9ipEykiuB5eUzMFla0y6T4X1peRd3BuVHIy7U5q6ouTT&#10;DJT1pM4Nsq0gJQgplYuT3tSIWvXX85J+qV/KN0bkUwZMyJoSj9gDQNLqW+weZvBPoSrLcQwu/1ZY&#10;HzxG5Mzg4hhsWwf4HoChrobMvf+BpJ6axNIT1Hv65gj9MAQvL1ui/UqEeCuQ1E9fiiY63tCiDXQV&#10;h2HHWQP487375E+iJCtnHU1TxcOPjUDFmfnmSK5fJrNZGr98mM1PpnTAl5anlxa3sedAn4kUSdXl&#10;bfKP5rDVCPaRBn+VspJJOEm5Ky4jHg7nsZ9yejqkWq2yG42cF/HK3XuZwBOrSVYPu0eBftBeJNVe&#10;w2HyxOKVBHvfFOlgtYmg26zPZ14Hvmlcs3CGpyW9By/P2ev5AVz+AQAA//8DAFBLAwQUAAYACAAA&#10;ACEArmofZd4AAAALAQAADwAAAGRycy9kb3ducmV2LnhtbExPy0rDQBTdC/7DcAV3dpKgsY2ZlFQQ&#10;RKHQWIruppnbJJi5EzPTNv6915Uuz4PzyJeT7cUJR985UhDPIhBItTMdNQq2b083cxA+aDK6d4QK&#10;vtHDsri8yHVm3Jk2eKpCIziEfKYVtCEMmZS+btFqP3MDEmsHN1odGI6NNKM+c7jtZRJFqbS6I25o&#10;9YCPLdaf1dEq2G3uDrhapVu5/ii/yrh6nl5f3pW6vprKBxABp/Bnht/5PB0K3rR3RzJe9IyTeMFW&#10;BVzDH9hxn0bM7JlJbucgi1z+/1D8AAAA//8DAFBLAQItABQABgAIAAAAIQC2gziS/gAAAOEBAAAT&#10;AAAAAAAAAAAAAAAAAAAAAABbQ29udGVudF9UeXBlc10ueG1sUEsBAi0AFAAGAAgAAAAhADj9If/W&#10;AAAAlAEAAAsAAAAAAAAAAAAAAAAALwEAAF9yZWxzLy5yZWxzUEsBAi0AFAAGAAgAAAAhAPIsncKB&#10;AgAASAUAAA4AAAAAAAAAAAAAAAAALgIAAGRycy9lMm9Eb2MueG1sUEsBAi0AFAAGAAgAAAAhAK5q&#10;H2XeAAAACwEAAA8AAAAAAAAAAAAAAAAA2wQAAGRycy9kb3ducmV2LnhtbFBLBQYAAAAABAAEAPMA&#10;AADmBQAAAAA=&#10;" filled="f" strokecolor="#1f4d78 [1604]" strokeweight="1pt"/>
            </w:pict>
          </mc:Fallback>
        </mc:AlternateContent>
      </w:r>
      <w:r w:rsidRPr="001F2271">
        <w:rPr>
          <w:rFonts w:ascii="Century Gothic" w:hAnsi="Century Gothic" w:cs="Arial"/>
          <w:noProof/>
          <w:lang w:val="es-CO" w:eastAsia="es-CO"/>
        </w:rPr>
        <w:drawing>
          <wp:inline distT="0" distB="0" distL="0" distR="0" wp14:anchorId="69E6A253" wp14:editId="4FEE47F5">
            <wp:extent cx="4019550" cy="1646015"/>
            <wp:effectExtent l="0" t="0" r="0"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053613" cy="1659964"/>
                    </a:xfrm>
                    <a:prstGeom prst="rect">
                      <a:avLst/>
                    </a:prstGeom>
                    <a:noFill/>
                    <a:ln>
                      <a:noFill/>
                    </a:ln>
                  </pic:spPr>
                </pic:pic>
              </a:graphicData>
            </a:graphic>
          </wp:inline>
        </w:drawing>
      </w:r>
    </w:p>
    <w:p w:rsidR="001F2271" w:rsidRPr="001F2271" w:rsidRDefault="001F2271" w:rsidP="001F2271">
      <w:pPr>
        <w:jc w:val="center"/>
        <w:rPr>
          <w:rFonts w:ascii="Century Gothic" w:hAnsi="Century Gothic" w:cs="Arial"/>
          <w:lang w:val="es-CO"/>
        </w:rPr>
      </w:pPr>
      <w:r w:rsidRPr="001F2271">
        <w:rPr>
          <w:rFonts w:ascii="Century Gothic" w:hAnsi="Century Gothic"/>
          <w:lang w:val="es-CO"/>
        </w:rPr>
        <w:t xml:space="preserve">FUENTE. Índice Departamental de Innovación para Colombia DNP – </w:t>
      </w:r>
      <w:proofErr w:type="spellStart"/>
      <w:r w:rsidRPr="001F2271">
        <w:rPr>
          <w:rFonts w:ascii="Century Gothic" w:hAnsi="Century Gothic"/>
          <w:lang w:val="es-CO"/>
        </w:rPr>
        <w:t>OcyT</w:t>
      </w:r>
      <w:proofErr w:type="spellEnd"/>
      <w:r w:rsidRPr="001F2271">
        <w:rPr>
          <w:rFonts w:ascii="Century Gothic" w:hAnsi="Century Gothic"/>
          <w:lang w:val="es-CO"/>
        </w:rPr>
        <w:t xml:space="preserve"> 2019</w:t>
      </w:r>
    </w:p>
    <w:p w:rsidR="001F2271" w:rsidRPr="001F2271" w:rsidRDefault="001F2271" w:rsidP="001F2271">
      <w:pPr>
        <w:jc w:val="center"/>
        <w:rPr>
          <w:rFonts w:ascii="Century Gothic" w:hAnsi="Century Gothic" w:cs="Arial"/>
          <w:lang w:val="es-CO"/>
        </w:rPr>
      </w:pPr>
    </w:p>
    <w:p w:rsidR="001F2271" w:rsidRPr="001F2271" w:rsidRDefault="001F2271" w:rsidP="001F2271">
      <w:pPr>
        <w:jc w:val="both"/>
        <w:rPr>
          <w:rFonts w:ascii="Century Gothic" w:hAnsi="Century Gothic" w:cs="Arial"/>
          <w:lang w:val="es-CO"/>
        </w:rPr>
      </w:pPr>
      <w:r w:rsidRPr="001F2271">
        <w:rPr>
          <w:rFonts w:ascii="Century Gothic" w:hAnsi="Century Gothic" w:cs="Arial"/>
          <w:lang w:val="es-CO"/>
        </w:rPr>
        <w:t xml:space="preserve">Igualmente, si continuamos con la valoración de cada uno de los componentes del Indicador del Índice Departamental de Innovación – IDIC, como los son el pilar de sofisticación de mercados, el Departamento de Sucre ocupa el puesto 21, en el pilar de sofisticación de negocios, ocupa el puesto 24, en pilar de conocimiento y tecnología, el puesto 23 y en pilar de producción creativa, ocupamos el puesto 27 a nivel nacional. </w:t>
      </w:r>
    </w:p>
    <w:p w:rsidR="001F2271" w:rsidRPr="001F2271" w:rsidRDefault="001F2271" w:rsidP="001F2271">
      <w:pPr>
        <w:jc w:val="center"/>
        <w:rPr>
          <w:rFonts w:ascii="Century Gothic" w:hAnsi="Century Gothic" w:cs="Arial"/>
          <w:lang w:val="es-CO"/>
        </w:rPr>
      </w:pPr>
      <w:r w:rsidRPr="001F2271">
        <w:rPr>
          <w:rFonts w:ascii="Century Gothic" w:hAnsi="Century Gothic" w:cs="Arial"/>
          <w:noProof/>
          <w:lang w:val="es-CO" w:eastAsia="es-CO"/>
        </w:rPr>
        <w:drawing>
          <wp:inline distT="0" distB="0" distL="0" distR="0" wp14:anchorId="034B5ADF" wp14:editId="7CE9E0D2">
            <wp:extent cx="1049020" cy="2076450"/>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56116" cy="2090496"/>
                    </a:xfrm>
                    <a:prstGeom prst="rect">
                      <a:avLst/>
                    </a:prstGeom>
                    <a:noFill/>
                    <a:ln>
                      <a:noFill/>
                    </a:ln>
                  </pic:spPr>
                </pic:pic>
              </a:graphicData>
            </a:graphic>
          </wp:inline>
        </w:drawing>
      </w:r>
      <w:r w:rsidRPr="001F2271">
        <w:rPr>
          <w:rFonts w:ascii="Century Gothic" w:hAnsi="Century Gothic" w:cs="Arial"/>
          <w:noProof/>
          <w:lang w:val="es-CO" w:eastAsia="es-CO"/>
        </w:rPr>
        <w:drawing>
          <wp:inline distT="0" distB="0" distL="0" distR="0" wp14:anchorId="3362C0E4" wp14:editId="6E8ECB42">
            <wp:extent cx="991235" cy="2047875"/>
            <wp:effectExtent l="0" t="0" r="0" b="952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26822" cy="2121397"/>
                    </a:xfrm>
                    <a:prstGeom prst="rect">
                      <a:avLst/>
                    </a:prstGeom>
                    <a:noFill/>
                    <a:ln>
                      <a:noFill/>
                    </a:ln>
                  </pic:spPr>
                </pic:pic>
              </a:graphicData>
            </a:graphic>
          </wp:inline>
        </w:drawing>
      </w:r>
    </w:p>
    <w:p w:rsidR="001F2271" w:rsidRPr="001F2271" w:rsidRDefault="001F2271" w:rsidP="001F2271">
      <w:pPr>
        <w:jc w:val="center"/>
        <w:rPr>
          <w:rFonts w:ascii="Century Gothic" w:hAnsi="Century Gothic" w:cs="Arial"/>
          <w:lang w:val="es-CO"/>
        </w:rPr>
      </w:pPr>
      <w:r w:rsidRPr="001F2271">
        <w:rPr>
          <w:rFonts w:ascii="Century Gothic" w:hAnsi="Century Gothic"/>
          <w:lang w:val="es-CO"/>
        </w:rPr>
        <w:t xml:space="preserve">FUENTE. Índice Departamental de Innovación para Colombia DNP – </w:t>
      </w:r>
      <w:proofErr w:type="spellStart"/>
      <w:r w:rsidRPr="001F2271">
        <w:rPr>
          <w:rFonts w:ascii="Century Gothic" w:hAnsi="Century Gothic"/>
          <w:lang w:val="es-CO"/>
        </w:rPr>
        <w:t>OcyT</w:t>
      </w:r>
      <w:proofErr w:type="spellEnd"/>
      <w:r w:rsidRPr="001F2271">
        <w:rPr>
          <w:rFonts w:ascii="Century Gothic" w:hAnsi="Century Gothic"/>
          <w:lang w:val="es-CO"/>
        </w:rPr>
        <w:t xml:space="preserve"> 2019</w:t>
      </w:r>
    </w:p>
    <w:p w:rsidR="001F2271" w:rsidRPr="001F2271" w:rsidRDefault="001F2271" w:rsidP="001F2271">
      <w:pPr>
        <w:jc w:val="both"/>
        <w:rPr>
          <w:rFonts w:ascii="Century Gothic" w:hAnsi="Century Gothic" w:cs="Arial"/>
          <w:lang w:val="es-CO"/>
        </w:rPr>
      </w:pPr>
      <w:r w:rsidRPr="001F2271">
        <w:rPr>
          <w:rFonts w:ascii="Century Gothic" w:hAnsi="Century Gothic" w:cs="Arial"/>
          <w:lang w:val="es-CO"/>
        </w:rPr>
        <w:t xml:space="preserve">Como podemos observar, la evaluación en productividad, competitividad e innovación es muy crítica para nuestro Departamento de Sucre, lo que deja al descubierto, la enorme necesidad de trazar agendas sectoriales, articuladas con las entidades territoriales y orientadas por las Entidades técnicas y de política del Gobierno Nacional que permitan definir acciones concretas en la búsqueda de </w:t>
      </w:r>
      <w:r w:rsidRPr="001F2271">
        <w:rPr>
          <w:rFonts w:ascii="Century Gothic" w:hAnsi="Century Gothic" w:cs="Arial"/>
          <w:lang w:val="es-CO"/>
        </w:rPr>
        <w:lastRenderedPageBreak/>
        <w:t>objetivos comunes que lleven a que nuestro Departamento de Sucre se ponga a la vanguardia de otros departamentos y fortalezcamos el sector productivo, mejorando nuestra dinámica económica y orientando las inversiones en los sectores que más lo necesitan para avanzar en desarrollo y generar empleo en nuestra región.</w:t>
      </w:r>
    </w:p>
    <w:p w:rsidR="001F2271" w:rsidRPr="001F2271" w:rsidRDefault="001F2271" w:rsidP="001F2271">
      <w:pPr>
        <w:jc w:val="both"/>
        <w:rPr>
          <w:rFonts w:ascii="Century Gothic" w:hAnsi="Century Gothic" w:cs="Arial"/>
          <w:lang w:val="es-CO"/>
        </w:rPr>
      </w:pPr>
    </w:p>
    <w:p w:rsidR="001F2271" w:rsidRPr="001F2271" w:rsidRDefault="001F2271" w:rsidP="001F2271">
      <w:pPr>
        <w:pStyle w:val="Prrafodelista"/>
        <w:numPr>
          <w:ilvl w:val="1"/>
          <w:numId w:val="4"/>
        </w:numPr>
        <w:jc w:val="both"/>
        <w:rPr>
          <w:rFonts w:ascii="Century Gothic" w:hAnsi="Century Gothic" w:cs="Arial"/>
          <w:b/>
          <w:u w:val="single"/>
          <w:lang w:val="es-CO"/>
        </w:rPr>
      </w:pPr>
      <w:r w:rsidRPr="001F2271">
        <w:rPr>
          <w:rFonts w:ascii="Century Gothic" w:hAnsi="Century Gothic" w:cs="Arial"/>
          <w:b/>
          <w:u w:val="single"/>
          <w:lang w:val="es-CO"/>
        </w:rPr>
        <w:t>Composición sectorial del PIB en el Departamento de Sucre</w:t>
      </w:r>
    </w:p>
    <w:p w:rsidR="001F2271" w:rsidRPr="001F2271" w:rsidRDefault="001F2271" w:rsidP="001F2271">
      <w:pPr>
        <w:jc w:val="both"/>
        <w:rPr>
          <w:rFonts w:ascii="Century Gothic" w:hAnsi="Century Gothic" w:cs="Arial"/>
          <w:lang w:val="es-CO"/>
        </w:rPr>
      </w:pPr>
      <w:r w:rsidRPr="001F2271">
        <w:rPr>
          <w:rFonts w:ascii="Century Gothic" w:hAnsi="Century Gothic" w:cs="Arial"/>
          <w:lang w:val="es-CO"/>
        </w:rPr>
        <w:t xml:space="preserve">El Departamento de Sucre ha basado su economía principalmente en la ganadería y servicios, a pesar de la riqueza en sus tierras, que podría convertir al departamento en una despensa alimentaria para el País, ha faltado planes de producción y productividad agrícola que promueva el desarrollo en este sector, acompañado de distritos y sistemas de riego, proyectos que garanticen el suministro y la sostenibilidad del agua para la producción del campo, especialmente en las zonas de escasas fuentes hídricas, que se puedan aprovechar las características geográficas y climáticas variadas, con algunas zonas ricas en agua, pero no subutilizadas, para poder aprovechar el enorme potencial de producción agroindustrial, artesanal y </w:t>
      </w:r>
      <w:proofErr w:type="spellStart"/>
      <w:r w:rsidRPr="001F2271">
        <w:rPr>
          <w:rFonts w:ascii="Century Gothic" w:hAnsi="Century Gothic" w:cs="Arial"/>
          <w:lang w:val="es-CO"/>
        </w:rPr>
        <w:t>microempresarial</w:t>
      </w:r>
      <w:proofErr w:type="spellEnd"/>
      <w:r w:rsidRPr="001F2271">
        <w:rPr>
          <w:rFonts w:ascii="Century Gothic" w:hAnsi="Century Gothic" w:cs="Arial"/>
          <w:lang w:val="es-CO"/>
        </w:rPr>
        <w:t>, de productores que necesitan del apoyo estatal para obtener inyección de recursos para mejorar sus condiciones y evitar la alta intermediación en la cadena de comercialización.</w:t>
      </w:r>
    </w:p>
    <w:p w:rsidR="001F2271" w:rsidRPr="001F2271" w:rsidRDefault="001F2271" w:rsidP="001F2271">
      <w:pPr>
        <w:jc w:val="both"/>
        <w:rPr>
          <w:rFonts w:ascii="Century Gothic" w:hAnsi="Century Gothic" w:cs="Arial"/>
          <w:lang w:val="es-CO"/>
        </w:rPr>
      </w:pPr>
      <w:r w:rsidRPr="001F2271">
        <w:rPr>
          <w:rFonts w:ascii="Century Gothic" w:hAnsi="Century Gothic" w:cs="Arial"/>
          <w:lang w:val="es-CO"/>
        </w:rPr>
        <w:t xml:space="preserve">Para mejorar la dinámica económica de nuestro departamento, se requiere de importantes recursos de la nación, destinados a mega proyectos de infraestructura vial, especialmente vías terciarias, portuaria y aeroportuaria, recursos para la búsqueda de nuevas fuentes hídricas para la región sucreña, proyectos que le apuesten a infraestructura turística, mejoramiento en la prestación de los servicios públicos, mejorar su infraestructura en comunicaciones, especialmente en </w:t>
      </w:r>
      <w:proofErr w:type="spellStart"/>
      <w:r w:rsidRPr="001F2271">
        <w:rPr>
          <w:rFonts w:ascii="Century Gothic" w:hAnsi="Century Gothic" w:cs="Arial"/>
          <w:lang w:val="es-CO"/>
        </w:rPr>
        <w:t>TIC’s</w:t>
      </w:r>
      <w:proofErr w:type="spellEnd"/>
      <w:r w:rsidRPr="001F2271">
        <w:rPr>
          <w:rFonts w:ascii="Century Gothic" w:hAnsi="Century Gothic" w:cs="Arial"/>
          <w:lang w:val="es-CO"/>
        </w:rPr>
        <w:t>, de tal manera que fortalezca los sectores económicos del departamento y lo haga más productivo, más competitivo e innovador.</w:t>
      </w:r>
    </w:p>
    <w:p w:rsidR="001F2271" w:rsidRDefault="001F2271" w:rsidP="001F2271">
      <w:pPr>
        <w:jc w:val="both"/>
        <w:rPr>
          <w:rFonts w:ascii="Century Gothic" w:hAnsi="Century Gothic" w:cs="Arial"/>
          <w:lang w:val="es-CO"/>
        </w:rPr>
      </w:pPr>
      <w:r w:rsidRPr="001F2271">
        <w:rPr>
          <w:rFonts w:ascii="Century Gothic" w:hAnsi="Century Gothic" w:cs="Arial"/>
          <w:lang w:val="es-CO"/>
        </w:rPr>
        <w:t xml:space="preserve">Podemos observar que la participación del Departamento de Sucre en el PIB Nacional, siempre ha sido el que menos le aporta, en promedio 0.8%, en los últimos años (2013 – 2018), </w:t>
      </w:r>
    </w:p>
    <w:p w:rsidR="001F2271" w:rsidRDefault="001F2271" w:rsidP="001F2271">
      <w:pPr>
        <w:jc w:val="both"/>
        <w:rPr>
          <w:rFonts w:ascii="Century Gothic" w:hAnsi="Century Gothic" w:cs="Arial"/>
          <w:lang w:val="es-CO"/>
        </w:rPr>
      </w:pPr>
    </w:p>
    <w:p w:rsidR="001F2271" w:rsidRDefault="001F2271" w:rsidP="001F2271">
      <w:pPr>
        <w:jc w:val="both"/>
        <w:rPr>
          <w:rFonts w:ascii="Century Gothic" w:hAnsi="Century Gothic" w:cs="Arial"/>
          <w:lang w:val="es-CO"/>
        </w:rPr>
      </w:pPr>
    </w:p>
    <w:p w:rsidR="001F2271" w:rsidRDefault="001F2271" w:rsidP="001F2271">
      <w:pPr>
        <w:jc w:val="both"/>
        <w:rPr>
          <w:rFonts w:ascii="Century Gothic" w:hAnsi="Century Gothic" w:cs="Arial"/>
          <w:lang w:val="es-CO"/>
        </w:rPr>
      </w:pPr>
    </w:p>
    <w:p w:rsidR="001F2271" w:rsidRDefault="001F2271" w:rsidP="001F2271">
      <w:pPr>
        <w:jc w:val="both"/>
        <w:rPr>
          <w:rFonts w:ascii="Century Gothic" w:hAnsi="Century Gothic" w:cs="Arial"/>
          <w:lang w:val="es-CO"/>
        </w:rPr>
      </w:pPr>
    </w:p>
    <w:p w:rsidR="001F2271" w:rsidRDefault="001F2271" w:rsidP="001F2271">
      <w:pPr>
        <w:jc w:val="both"/>
        <w:rPr>
          <w:rFonts w:ascii="Century Gothic" w:hAnsi="Century Gothic" w:cs="Arial"/>
          <w:lang w:val="es-CO"/>
        </w:rPr>
      </w:pPr>
    </w:p>
    <w:p w:rsidR="001F2271" w:rsidRDefault="001F2271" w:rsidP="001F2271">
      <w:pPr>
        <w:jc w:val="both"/>
        <w:rPr>
          <w:rFonts w:ascii="Century Gothic" w:hAnsi="Century Gothic" w:cs="Arial"/>
          <w:lang w:val="es-CO"/>
        </w:rPr>
      </w:pPr>
    </w:p>
    <w:p w:rsidR="001F2271" w:rsidRPr="001F2271" w:rsidRDefault="001F2271" w:rsidP="001F2271">
      <w:pPr>
        <w:jc w:val="both"/>
        <w:rPr>
          <w:rFonts w:ascii="Century Gothic" w:hAnsi="Century Gothic" w:cs="Arial"/>
          <w:b/>
          <w:lang w:val="es-CO"/>
        </w:rPr>
      </w:pPr>
    </w:p>
    <w:p w:rsidR="001F2271" w:rsidRPr="001F2271" w:rsidRDefault="001F2271" w:rsidP="001F2271">
      <w:pPr>
        <w:spacing w:after="0" w:line="240" w:lineRule="auto"/>
        <w:jc w:val="center"/>
        <w:rPr>
          <w:rFonts w:ascii="Century Gothic" w:hAnsi="Century Gothic" w:cs="Arial"/>
          <w:b/>
          <w:lang w:val="es-CO"/>
        </w:rPr>
      </w:pPr>
      <w:r w:rsidRPr="001F2271">
        <w:rPr>
          <w:rFonts w:ascii="Century Gothic" w:hAnsi="Century Gothic" w:cs="Arial"/>
          <w:b/>
          <w:lang w:val="es-CO"/>
        </w:rPr>
        <w:t xml:space="preserve">Participación al PIB </w:t>
      </w:r>
      <w:proofErr w:type="spellStart"/>
      <w:r w:rsidRPr="001F2271">
        <w:rPr>
          <w:rFonts w:ascii="Century Gothic" w:hAnsi="Century Gothic" w:cs="Arial"/>
          <w:b/>
          <w:lang w:val="es-CO"/>
        </w:rPr>
        <w:t>NAcional</w:t>
      </w:r>
      <w:proofErr w:type="spellEnd"/>
    </w:p>
    <w:p w:rsidR="001F2271" w:rsidRPr="001F2271" w:rsidRDefault="001F2271" w:rsidP="001F2271">
      <w:pPr>
        <w:spacing w:after="0" w:line="240" w:lineRule="auto"/>
        <w:jc w:val="center"/>
        <w:rPr>
          <w:rFonts w:ascii="Century Gothic" w:hAnsi="Century Gothic" w:cs="Arial"/>
          <w:b/>
          <w:lang w:val="es-CO"/>
        </w:rPr>
      </w:pPr>
      <w:r w:rsidRPr="001F2271">
        <w:rPr>
          <w:rFonts w:ascii="Century Gothic" w:hAnsi="Century Gothic" w:cs="Arial"/>
          <w:b/>
          <w:lang w:val="es-CO"/>
        </w:rPr>
        <w:t>Por Departamento (%)</w:t>
      </w:r>
    </w:p>
    <w:p w:rsidR="001F2271" w:rsidRPr="001F2271" w:rsidRDefault="001F2271" w:rsidP="001F2271">
      <w:pPr>
        <w:jc w:val="center"/>
        <w:rPr>
          <w:rFonts w:ascii="Century Gothic" w:hAnsi="Century Gothic" w:cs="Arial"/>
          <w:lang w:val="es-CO"/>
        </w:rPr>
      </w:pPr>
      <w:r w:rsidRPr="001F2271">
        <w:rPr>
          <w:rFonts w:ascii="Century Gothic" w:hAnsi="Century Gothic"/>
          <w:noProof/>
          <w:lang w:val="es-CO" w:eastAsia="es-CO"/>
        </w:rPr>
        <w:drawing>
          <wp:inline distT="0" distB="0" distL="0" distR="0" wp14:anchorId="77189A69" wp14:editId="05E89CAB">
            <wp:extent cx="4010025" cy="2914650"/>
            <wp:effectExtent l="0" t="0" r="9525" b="0"/>
            <wp:docPr id="7"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1F2271" w:rsidRPr="001F2271" w:rsidRDefault="001F2271" w:rsidP="001F2271">
      <w:pPr>
        <w:jc w:val="center"/>
        <w:rPr>
          <w:rFonts w:ascii="Century Gothic" w:hAnsi="Century Gothic" w:cs="Arial"/>
          <w:lang w:val="es-CO"/>
        </w:rPr>
      </w:pPr>
      <w:r w:rsidRPr="001F2271">
        <w:rPr>
          <w:rFonts w:ascii="Century Gothic" w:hAnsi="Century Gothic" w:cs="Arial"/>
          <w:lang w:val="es-CO"/>
        </w:rPr>
        <w:t>Fuente. DANE</w:t>
      </w:r>
    </w:p>
    <w:p w:rsidR="001F2271" w:rsidRPr="001F2271" w:rsidRDefault="001F2271" w:rsidP="001F2271">
      <w:pPr>
        <w:jc w:val="both"/>
        <w:rPr>
          <w:rFonts w:ascii="Century Gothic" w:hAnsi="Century Gothic" w:cs="Arial"/>
          <w:lang w:val="es-CO"/>
        </w:rPr>
      </w:pPr>
      <w:r w:rsidRPr="001F2271">
        <w:rPr>
          <w:rFonts w:ascii="Century Gothic" w:hAnsi="Century Gothic" w:cs="Arial"/>
          <w:lang w:val="es-CO"/>
        </w:rPr>
        <w:t>Si logramos mejorar la producción, especialmente en agricultura, de la mano de proyectos de transformación y le apostamos a la innovación y al emprendimiento innovador, trazando un plan de desarrollo industrial y de competitividad para la región, vamos a ver moverse positivamente esos indicadores favoreciendo el empleo y por ende la dinámica económica de sucre.</w:t>
      </w:r>
    </w:p>
    <w:p w:rsidR="001F2271" w:rsidRPr="001F2271" w:rsidRDefault="001F2271" w:rsidP="001F2271">
      <w:pPr>
        <w:jc w:val="both"/>
        <w:rPr>
          <w:rFonts w:ascii="Century Gothic" w:hAnsi="Century Gothic" w:cs="Arial"/>
          <w:lang w:val="es-CO"/>
        </w:rPr>
      </w:pPr>
      <w:r w:rsidRPr="001F2271">
        <w:rPr>
          <w:rFonts w:ascii="Century Gothic" w:hAnsi="Century Gothic" w:cs="Arial"/>
          <w:lang w:val="es-CO"/>
        </w:rPr>
        <w:t>Es fundamental reorientar o replantear la composición sectorial del PIB, en el Departamento de Sucre, para favorecer nuevos mercados y promover inversión del sector privado que le apueste a la innovación tecnológica, la agroindustria y la transformación de productos agrícolas para ganar nuevos mercados nacionales y exportador, que logre mejorar la producción interna, pero en nuevos sectores o fortalecer otros como la industria manufacturera, actividades científicas y técnicas o las actividades de entretenimiento entre otras.</w:t>
      </w:r>
    </w:p>
    <w:p w:rsidR="001F2271" w:rsidRDefault="001F2271" w:rsidP="001F2271">
      <w:pPr>
        <w:spacing w:after="0" w:line="240" w:lineRule="auto"/>
        <w:jc w:val="center"/>
        <w:rPr>
          <w:rFonts w:ascii="Century Gothic" w:hAnsi="Century Gothic" w:cs="Arial"/>
          <w:lang w:val="es-CO"/>
        </w:rPr>
      </w:pPr>
    </w:p>
    <w:p w:rsidR="001F2271" w:rsidRDefault="001F2271" w:rsidP="001F2271">
      <w:pPr>
        <w:spacing w:after="0" w:line="240" w:lineRule="auto"/>
        <w:jc w:val="center"/>
        <w:rPr>
          <w:rFonts w:ascii="Century Gothic" w:hAnsi="Century Gothic" w:cs="Arial"/>
          <w:lang w:val="es-CO"/>
        </w:rPr>
      </w:pPr>
    </w:p>
    <w:p w:rsidR="001F2271" w:rsidRDefault="001F2271" w:rsidP="001F2271">
      <w:pPr>
        <w:spacing w:after="0" w:line="240" w:lineRule="auto"/>
        <w:jc w:val="center"/>
        <w:rPr>
          <w:rFonts w:ascii="Century Gothic" w:hAnsi="Century Gothic" w:cs="Arial"/>
          <w:lang w:val="es-CO"/>
        </w:rPr>
      </w:pPr>
    </w:p>
    <w:p w:rsidR="001F2271" w:rsidRDefault="001F2271" w:rsidP="001F2271">
      <w:pPr>
        <w:spacing w:after="0" w:line="240" w:lineRule="auto"/>
        <w:jc w:val="center"/>
        <w:rPr>
          <w:rFonts w:ascii="Century Gothic" w:hAnsi="Century Gothic" w:cs="Arial"/>
          <w:lang w:val="es-CO"/>
        </w:rPr>
      </w:pPr>
    </w:p>
    <w:p w:rsidR="001F2271" w:rsidRDefault="001F2271" w:rsidP="001F2271">
      <w:pPr>
        <w:spacing w:after="0" w:line="240" w:lineRule="auto"/>
        <w:jc w:val="center"/>
        <w:rPr>
          <w:rFonts w:ascii="Century Gothic" w:hAnsi="Century Gothic" w:cs="Arial"/>
          <w:lang w:val="es-CO"/>
        </w:rPr>
      </w:pPr>
    </w:p>
    <w:p w:rsidR="001F2271" w:rsidRDefault="001F2271" w:rsidP="001F2271">
      <w:pPr>
        <w:spacing w:after="0" w:line="240" w:lineRule="auto"/>
        <w:jc w:val="center"/>
        <w:rPr>
          <w:rFonts w:ascii="Century Gothic" w:hAnsi="Century Gothic" w:cs="Arial"/>
          <w:lang w:val="es-CO"/>
        </w:rPr>
      </w:pPr>
    </w:p>
    <w:p w:rsidR="001F2271" w:rsidRDefault="001F2271" w:rsidP="001F2271">
      <w:pPr>
        <w:spacing w:after="0" w:line="240" w:lineRule="auto"/>
        <w:jc w:val="center"/>
        <w:rPr>
          <w:rFonts w:ascii="Century Gothic" w:hAnsi="Century Gothic" w:cs="Arial"/>
          <w:lang w:val="es-CO"/>
        </w:rPr>
      </w:pPr>
    </w:p>
    <w:p w:rsidR="001F2271" w:rsidRDefault="001F2271" w:rsidP="001F2271">
      <w:pPr>
        <w:spacing w:after="0" w:line="240" w:lineRule="auto"/>
        <w:jc w:val="center"/>
        <w:rPr>
          <w:rFonts w:ascii="Century Gothic" w:hAnsi="Century Gothic" w:cs="Arial"/>
          <w:lang w:val="es-CO"/>
        </w:rPr>
      </w:pPr>
    </w:p>
    <w:p w:rsidR="001F2271" w:rsidRPr="001F2271" w:rsidRDefault="001F2271" w:rsidP="001F2271">
      <w:pPr>
        <w:spacing w:after="0" w:line="240" w:lineRule="auto"/>
        <w:jc w:val="center"/>
        <w:rPr>
          <w:rFonts w:ascii="Century Gothic" w:hAnsi="Century Gothic" w:cs="Arial"/>
          <w:b/>
          <w:lang w:val="es-CO"/>
        </w:rPr>
      </w:pPr>
      <w:r w:rsidRPr="001F2271">
        <w:rPr>
          <w:rFonts w:ascii="Century Gothic" w:hAnsi="Century Gothic" w:cs="Arial"/>
          <w:b/>
          <w:lang w:val="es-CO"/>
        </w:rPr>
        <w:lastRenderedPageBreak/>
        <w:t>Composición sectorial del PIB Departamental de Sucre</w:t>
      </w:r>
    </w:p>
    <w:p w:rsidR="001F2271" w:rsidRPr="001F2271" w:rsidRDefault="001F2271" w:rsidP="001F2271">
      <w:pPr>
        <w:spacing w:after="0" w:line="240" w:lineRule="auto"/>
        <w:jc w:val="center"/>
        <w:rPr>
          <w:rFonts w:ascii="Century Gothic" w:hAnsi="Century Gothic" w:cs="Arial"/>
          <w:b/>
          <w:lang w:val="es-CO"/>
        </w:rPr>
      </w:pPr>
      <w:r w:rsidRPr="001F2271">
        <w:rPr>
          <w:rFonts w:ascii="Century Gothic" w:hAnsi="Century Gothic" w:cs="Arial"/>
          <w:b/>
          <w:lang w:val="es-CO"/>
        </w:rPr>
        <w:t>2018</w:t>
      </w:r>
    </w:p>
    <w:p w:rsidR="001F2271" w:rsidRPr="001F2271" w:rsidRDefault="001F2271" w:rsidP="001F2271">
      <w:pPr>
        <w:jc w:val="center"/>
        <w:rPr>
          <w:rFonts w:ascii="Century Gothic" w:hAnsi="Century Gothic" w:cs="Arial"/>
          <w:lang w:val="es-CO"/>
        </w:rPr>
      </w:pPr>
      <w:r w:rsidRPr="001F2271">
        <w:rPr>
          <w:rFonts w:ascii="Century Gothic" w:hAnsi="Century Gothic" w:cs="Arial"/>
          <w:noProof/>
          <w:lang w:val="es-CO" w:eastAsia="es-CO"/>
        </w:rPr>
        <w:drawing>
          <wp:inline distT="0" distB="0" distL="0" distR="0" wp14:anchorId="47CEFC99" wp14:editId="6ABD676D">
            <wp:extent cx="3284855" cy="2644826"/>
            <wp:effectExtent l="0" t="0" r="0" b="317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295638" cy="2653508"/>
                    </a:xfrm>
                    <a:prstGeom prst="rect">
                      <a:avLst/>
                    </a:prstGeom>
                    <a:noFill/>
                    <a:ln>
                      <a:noFill/>
                    </a:ln>
                  </pic:spPr>
                </pic:pic>
              </a:graphicData>
            </a:graphic>
          </wp:inline>
        </w:drawing>
      </w:r>
    </w:p>
    <w:p w:rsidR="001F2271" w:rsidRPr="001F2271" w:rsidRDefault="001F2271" w:rsidP="001F2271">
      <w:pPr>
        <w:jc w:val="center"/>
        <w:rPr>
          <w:rFonts w:ascii="Century Gothic" w:hAnsi="Century Gothic" w:cs="Arial"/>
          <w:lang w:val="es-CO"/>
        </w:rPr>
      </w:pPr>
      <w:r w:rsidRPr="001F2271">
        <w:rPr>
          <w:rFonts w:ascii="Century Gothic" w:hAnsi="Century Gothic" w:cs="Arial"/>
          <w:lang w:val="es-CO"/>
        </w:rPr>
        <w:t xml:space="preserve">FUENTE. Información Perfiles Económicos Departamentales </w:t>
      </w:r>
      <w:proofErr w:type="spellStart"/>
      <w:r w:rsidRPr="001F2271">
        <w:rPr>
          <w:rFonts w:ascii="Century Gothic" w:hAnsi="Century Gothic" w:cs="Arial"/>
          <w:lang w:val="es-CO"/>
        </w:rPr>
        <w:t>MinComercio</w:t>
      </w:r>
      <w:proofErr w:type="spellEnd"/>
      <w:r w:rsidRPr="001F2271">
        <w:rPr>
          <w:rFonts w:ascii="Century Gothic" w:hAnsi="Century Gothic" w:cs="Arial"/>
          <w:lang w:val="es-CO"/>
        </w:rPr>
        <w:t xml:space="preserve"> 2020</w:t>
      </w:r>
    </w:p>
    <w:p w:rsidR="001F2271" w:rsidRPr="001F2271" w:rsidRDefault="001F2271" w:rsidP="001F2271">
      <w:pPr>
        <w:jc w:val="both"/>
        <w:rPr>
          <w:rFonts w:ascii="Century Gothic" w:hAnsi="Century Gothic" w:cs="Arial"/>
          <w:lang w:val="es-CO"/>
        </w:rPr>
      </w:pPr>
    </w:p>
    <w:p w:rsidR="001F2271" w:rsidRPr="001F2271" w:rsidRDefault="001F2271" w:rsidP="001F2271">
      <w:pPr>
        <w:jc w:val="both"/>
        <w:rPr>
          <w:rFonts w:ascii="Century Gothic" w:hAnsi="Century Gothic"/>
          <w:lang w:val="es-CO"/>
        </w:rPr>
      </w:pPr>
      <w:r w:rsidRPr="001F2271">
        <w:rPr>
          <w:rFonts w:ascii="Century Gothic" w:hAnsi="Century Gothic" w:cs="Arial"/>
          <w:lang w:val="es-CO"/>
        </w:rPr>
        <w:t>De acuerdo a los resultados de la Encuesta Integrada de Hogares – DANE publicada el 29 de mayo de 2020, las actividades de comercio y reparación de vehículos representaron el 23,1 % del total de ocupados de Sincelejo, seguido de la administración pública y defensa que representan el 16% y el sector de transporte y almacenamiento 13,4%.</w:t>
      </w:r>
    </w:p>
    <w:p w:rsidR="001F2271" w:rsidRPr="001F2271" w:rsidRDefault="001F2271" w:rsidP="001F2271">
      <w:pPr>
        <w:jc w:val="center"/>
        <w:rPr>
          <w:rFonts w:ascii="Century Gothic" w:hAnsi="Century Gothic" w:cs="Arial"/>
          <w:lang w:val="es-CO"/>
        </w:rPr>
      </w:pPr>
      <w:r w:rsidRPr="001F2271">
        <w:rPr>
          <w:rFonts w:ascii="Century Gothic" w:hAnsi="Century Gothic"/>
          <w:lang w:val="es-CO"/>
        </w:rPr>
        <w:t>Participación ocupada según ramas de actividad económica</w:t>
      </w:r>
    </w:p>
    <w:p w:rsidR="001F2271" w:rsidRPr="001F2271" w:rsidRDefault="001F2271" w:rsidP="001F2271">
      <w:pPr>
        <w:jc w:val="center"/>
        <w:rPr>
          <w:rFonts w:ascii="Century Gothic" w:hAnsi="Century Gothic" w:cs="Arial"/>
          <w:lang w:val="es-CO"/>
        </w:rPr>
      </w:pPr>
      <w:r w:rsidRPr="001F2271">
        <w:rPr>
          <w:rFonts w:ascii="Century Gothic" w:hAnsi="Century Gothic" w:cs="Arial"/>
          <w:noProof/>
          <w:lang w:val="es-CO" w:eastAsia="es-CO"/>
        </w:rPr>
        <w:drawing>
          <wp:inline distT="0" distB="0" distL="0" distR="0" wp14:anchorId="7F35A55F" wp14:editId="4816397A">
            <wp:extent cx="2675733" cy="2120937"/>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92716" cy="2134399"/>
                    </a:xfrm>
                    <a:prstGeom prst="rect">
                      <a:avLst/>
                    </a:prstGeom>
                    <a:noFill/>
                    <a:ln>
                      <a:noFill/>
                    </a:ln>
                  </pic:spPr>
                </pic:pic>
              </a:graphicData>
            </a:graphic>
          </wp:inline>
        </w:drawing>
      </w:r>
    </w:p>
    <w:p w:rsidR="001F2271" w:rsidRPr="001F2271" w:rsidRDefault="001F2271" w:rsidP="001F2271">
      <w:pPr>
        <w:jc w:val="center"/>
        <w:rPr>
          <w:rFonts w:ascii="Century Gothic" w:hAnsi="Century Gothic" w:cs="Arial"/>
          <w:lang w:val="es-CO"/>
        </w:rPr>
      </w:pPr>
      <w:r w:rsidRPr="001F2271">
        <w:rPr>
          <w:rFonts w:ascii="Century Gothic" w:hAnsi="Century Gothic" w:cs="Arial"/>
          <w:lang w:val="es-CO"/>
        </w:rPr>
        <w:t>FUENTE. Fuente: Gran Encuesta Integrada de Hogares - DANE 2020.</w:t>
      </w:r>
    </w:p>
    <w:p w:rsidR="001F2271" w:rsidRPr="001F2271" w:rsidRDefault="001F2271" w:rsidP="001F2271">
      <w:pPr>
        <w:jc w:val="both"/>
        <w:rPr>
          <w:rFonts w:ascii="Century Gothic" w:hAnsi="Century Gothic" w:cs="Arial"/>
          <w:lang w:val="es-CO"/>
        </w:rPr>
      </w:pPr>
    </w:p>
    <w:p w:rsidR="001F2271" w:rsidRPr="001F2271" w:rsidRDefault="001F2271" w:rsidP="001F2271">
      <w:pPr>
        <w:pStyle w:val="Prrafodelista"/>
        <w:numPr>
          <w:ilvl w:val="2"/>
          <w:numId w:val="1"/>
        </w:numPr>
        <w:jc w:val="both"/>
        <w:rPr>
          <w:rFonts w:ascii="Century Gothic" w:hAnsi="Century Gothic" w:cs="Arial"/>
          <w:b/>
          <w:u w:val="single"/>
          <w:lang w:val="es-CO"/>
        </w:rPr>
      </w:pPr>
      <w:r w:rsidRPr="001F2271">
        <w:rPr>
          <w:rFonts w:ascii="Century Gothic" w:hAnsi="Century Gothic" w:cs="Arial"/>
          <w:b/>
          <w:u w:val="single"/>
          <w:lang w:val="es-CO"/>
        </w:rPr>
        <w:lastRenderedPageBreak/>
        <w:t>Principales cultivos permanentes y transitorios del Departamento</w:t>
      </w:r>
    </w:p>
    <w:p w:rsidR="001F2271" w:rsidRPr="001F2271" w:rsidRDefault="001F2271" w:rsidP="001F2271">
      <w:pPr>
        <w:jc w:val="both"/>
        <w:rPr>
          <w:rFonts w:ascii="Century Gothic" w:hAnsi="Century Gothic" w:cs="Arial"/>
          <w:lang w:val="es-CO"/>
        </w:rPr>
      </w:pPr>
      <w:r w:rsidRPr="001F2271">
        <w:rPr>
          <w:rFonts w:ascii="Century Gothic" w:hAnsi="Century Gothic" w:cs="Arial"/>
          <w:lang w:val="es-CO"/>
        </w:rPr>
        <w:t>La yuca es el principal cultivo permanente del departamento de Sucre (55,5%, seguido del ñame (21%) y a su vez, el arroz es el cultivo transitorio más representativo 59,8%, seguido del maíz (21,7%), lo que muestra que debemos aprovechar las propiedades de la tierra para realizar modelamientos y diversificar nuestra producción agrícola en más productos que impacten nuestra producción y la seguridad alimentaria del departamento, de la región y del país.</w:t>
      </w:r>
    </w:p>
    <w:p w:rsidR="001F2271" w:rsidRPr="001F2271" w:rsidRDefault="001F2271" w:rsidP="001F2271">
      <w:pPr>
        <w:jc w:val="both"/>
        <w:rPr>
          <w:rFonts w:ascii="Century Gothic" w:hAnsi="Century Gothic" w:cs="Arial"/>
          <w:lang w:val="es-CO"/>
        </w:rPr>
      </w:pPr>
    </w:p>
    <w:p w:rsidR="001F2271" w:rsidRPr="001F2271" w:rsidRDefault="001F2271" w:rsidP="001F2271">
      <w:pPr>
        <w:jc w:val="center"/>
        <w:rPr>
          <w:rFonts w:ascii="Century Gothic" w:hAnsi="Century Gothic" w:cs="Arial"/>
          <w:lang w:val="es-CO"/>
        </w:rPr>
      </w:pPr>
      <w:r w:rsidRPr="001F2271">
        <w:rPr>
          <w:rFonts w:ascii="Century Gothic" w:hAnsi="Century Gothic" w:cs="Arial"/>
          <w:noProof/>
          <w:lang w:val="es-CO" w:eastAsia="es-CO"/>
        </w:rPr>
        <w:drawing>
          <wp:inline distT="0" distB="0" distL="0" distR="0" wp14:anchorId="17A7E2DA" wp14:editId="1EB67D65">
            <wp:extent cx="4932680" cy="3076575"/>
            <wp:effectExtent l="0" t="0" r="1270"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962537" cy="3095197"/>
                    </a:xfrm>
                    <a:prstGeom prst="rect">
                      <a:avLst/>
                    </a:prstGeom>
                    <a:noFill/>
                    <a:ln>
                      <a:noFill/>
                    </a:ln>
                  </pic:spPr>
                </pic:pic>
              </a:graphicData>
            </a:graphic>
          </wp:inline>
        </w:drawing>
      </w:r>
    </w:p>
    <w:p w:rsidR="001F2271" w:rsidRPr="001F2271" w:rsidRDefault="001F2271" w:rsidP="001F2271">
      <w:pPr>
        <w:spacing w:after="0" w:line="240" w:lineRule="auto"/>
        <w:jc w:val="center"/>
        <w:rPr>
          <w:rFonts w:ascii="Century Gothic" w:hAnsi="Century Gothic" w:cs="Arial"/>
          <w:lang w:val="es-CO"/>
        </w:rPr>
      </w:pPr>
      <w:r w:rsidRPr="001F2271">
        <w:rPr>
          <w:rFonts w:ascii="Century Gothic" w:hAnsi="Century Gothic" w:cs="Arial"/>
          <w:lang w:val="es-CO"/>
        </w:rPr>
        <w:t>Fuente: Base Agrícola EVA - Ministerio de Agricultura y Desarrollo Rural - 2018</w:t>
      </w:r>
    </w:p>
    <w:p w:rsidR="001F2271" w:rsidRPr="001F2271" w:rsidRDefault="001F2271" w:rsidP="001F2271">
      <w:pPr>
        <w:spacing w:after="0" w:line="240" w:lineRule="auto"/>
        <w:jc w:val="center"/>
        <w:rPr>
          <w:rFonts w:ascii="Century Gothic" w:hAnsi="Century Gothic" w:cs="Arial"/>
          <w:lang w:val="es-CO"/>
        </w:rPr>
      </w:pPr>
    </w:p>
    <w:p w:rsidR="001F2271" w:rsidRPr="001F2271" w:rsidRDefault="001F2271" w:rsidP="001F2271">
      <w:pPr>
        <w:jc w:val="both"/>
        <w:rPr>
          <w:rFonts w:ascii="Century Gothic" w:hAnsi="Century Gothic" w:cs="Arial"/>
          <w:lang w:val="es-CO"/>
        </w:rPr>
      </w:pPr>
    </w:p>
    <w:p w:rsidR="001F2271" w:rsidRPr="001F2271" w:rsidRDefault="001F2271" w:rsidP="001F2271">
      <w:pPr>
        <w:pStyle w:val="Prrafodelista"/>
        <w:numPr>
          <w:ilvl w:val="1"/>
          <w:numId w:val="1"/>
        </w:numPr>
        <w:jc w:val="both"/>
        <w:rPr>
          <w:rFonts w:ascii="Century Gothic" w:hAnsi="Century Gothic" w:cs="Arial"/>
          <w:b/>
          <w:u w:val="single"/>
          <w:lang w:val="es-CO"/>
        </w:rPr>
      </w:pPr>
      <w:r w:rsidRPr="001F2271">
        <w:rPr>
          <w:rFonts w:ascii="Century Gothic" w:hAnsi="Century Gothic" w:cs="Arial"/>
          <w:b/>
          <w:u w:val="single"/>
          <w:lang w:val="es-CO"/>
        </w:rPr>
        <w:t>Desempleo</w:t>
      </w:r>
      <w:r w:rsidRPr="001F2271">
        <w:rPr>
          <w:rStyle w:val="Refdenotaalpie"/>
          <w:rFonts w:ascii="Century Gothic" w:hAnsi="Century Gothic" w:cs="Arial"/>
          <w:b/>
          <w:u w:val="single"/>
          <w:lang w:val="es-CO"/>
        </w:rPr>
        <w:footnoteReference w:id="12"/>
      </w:r>
    </w:p>
    <w:p w:rsidR="001F2271" w:rsidRPr="001F2271" w:rsidRDefault="001F2271" w:rsidP="001F2271">
      <w:pPr>
        <w:jc w:val="both"/>
        <w:rPr>
          <w:rFonts w:ascii="Century Gothic" w:hAnsi="Century Gothic" w:cs="Arial"/>
          <w:lang w:val="es-CO"/>
        </w:rPr>
      </w:pPr>
      <w:r w:rsidRPr="001F2271">
        <w:rPr>
          <w:rFonts w:ascii="Century Gothic" w:hAnsi="Century Gothic" w:cs="Arial"/>
          <w:lang w:val="es-CO"/>
        </w:rPr>
        <w:t>Se puede decir que los principales problemas del mercado laboral del departamento de Sucre están relacionados directamente con los desequilibrios entre la demanda y oferta laboral, la desarticulación entre formación de la mano de obra y la vocación productiva del departamento.</w:t>
      </w:r>
    </w:p>
    <w:p w:rsidR="001F2271" w:rsidRPr="001F2271" w:rsidRDefault="001F2271" w:rsidP="001F2271">
      <w:pPr>
        <w:jc w:val="both"/>
        <w:rPr>
          <w:rFonts w:ascii="Century Gothic" w:hAnsi="Century Gothic" w:cs="Arial"/>
          <w:lang w:val="es-CO"/>
        </w:rPr>
      </w:pPr>
      <w:r w:rsidRPr="001F2271">
        <w:rPr>
          <w:rFonts w:ascii="Century Gothic" w:hAnsi="Century Gothic" w:cs="Arial"/>
          <w:lang w:val="es-CO"/>
        </w:rPr>
        <w:t xml:space="preserve">Para el año 2019, Sucre registró una tasa global de participación de 60,7%, presentando una disminución de 1,6 p.p. frente al año anterior (62,3%). La tasa de ocupación se situó en 53,9%, 2,7 p.p. por debajo de la cifra reportada para 2018 </w:t>
      </w:r>
      <w:r w:rsidRPr="001F2271">
        <w:rPr>
          <w:rFonts w:ascii="Century Gothic" w:hAnsi="Century Gothic" w:cs="Arial"/>
          <w:lang w:val="es-CO"/>
        </w:rPr>
        <w:lastRenderedPageBreak/>
        <w:t>(56,6%). Finalmente, la tasa de desempleo fue de 11,2%, con un aumento de 2,0 p.p. frente al periodo anterior (9,1%).</w:t>
      </w:r>
    </w:p>
    <w:p w:rsidR="001F2271" w:rsidRPr="001F2271" w:rsidRDefault="001F2271" w:rsidP="001F2271">
      <w:pPr>
        <w:jc w:val="both"/>
        <w:rPr>
          <w:rFonts w:ascii="Century Gothic" w:hAnsi="Century Gothic" w:cs="Arial"/>
          <w:lang w:val="es-CO"/>
        </w:rPr>
      </w:pPr>
    </w:p>
    <w:p w:rsidR="001F2271" w:rsidRPr="001F2271" w:rsidRDefault="001F2271" w:rsidP="001F2271">
      <w:pPr>
        <w:spacing w:after="0" w:line="240" w:lineRule="auto"/>
        <w:jc w:val="center"/>
        <w:rPr>
          <w:rFonts w:ascii="Century Gothic" w:hAnsi="Century Gothic" w:cs="Arial"/>
          <w:b/>
          <w:lang w:val="es-CO"/>
        </w:rPr>
      </w:pPr>
      <w:r w:rsidRPr="001F2271">
        <w:rPr>
          <w:rFonts w:ascii="Century Gothic" w:hAnsi="Century Gothic" w:cs="Arial"/>
          <w:b/>
          <w:lang w:val="es-CO"/>
        </w:rPr>
        <w:t>Tasa global de participación, ocupación y desempleo</w:t>
      </w:r>
    </w:p>
    <w:p w:rsidR="001F2271" w:rsidRPr="001F2271" w:rsidRDefault="001F2271" w:rsidP="001F2271">
      <w:pPr>
        <w:spacing w:after="0" w:line="240" w:lineRule="auto"/>
        <w:jc w:val="center"/>
        <w:rPr>
          <w:rFonts w:ascii="Century Gothic" w:hAnsi="Century Gothic" w:cs="Arial"/>
          <w:b/>
          <w:lang w:val="es-CO"/>
        </w:rPr>
      </w:pPr>
      <w:r w:rsidRPr="001F2271">
        <w:rPr>
          <w:rFonts w:ascii="Century Gothic" w:hAnsi="Century Gothic" w:cs="Arial"/>
          <w:b/>
          <w:lang w:val="es-CO"/>
        </w:rPr>
        <w:t>Sucre</w:t>
      </w:r>
    </w:p>
    <w:p w:rsidR="001F2271" w:rsidRPr="001F2271" w:rsidRDefault="001F2271" w:rsidP="001F2271">
      <w:pPr>
        <w:spacing w:after="0" w:line="240" w:lineRule="auto"/>
        <w:jc w:val="center"/>
        <w:rPr>
          <w:rFonts w:ascii="Century Gothic" w:hAnsi="Century Gothic" w:cs="Arial"/>
          <w:b/>
          <w:lang w:val="es-CO"/>
        </w:rPr>
      </w:pPr>
      <w:r w:rsidRPr="001F2271">
        <w:rPr>
          <w:rFonts w:ascii="Century Gothic" w:hAnsi="Century Gothic" w:cs="Arial"/>
          <w:b/>
          <w:lang w:val="es-CO"/>
        </w:rPr>
        <w:t>2010 – 2019</w:t>
      </w:r>
    </w:p>
    <w:p w:rsidR="001F2271" w:rsidRPr="001F2271" w:rsidRDefault="001F2271" w:rsidP="001F2271">
      <w:pPr>
        <w:jc w:val="center"/>
        <w:rPr>
          <w:rFonts w:ascii="Century Gothic" w:hAnsi="Century Gothic" w:cs="Arial"/>
          <w:lang w:val="es-CO"/>
        </w:rPr>
      </w:pPr>
      <w:r w:rsidRPr="001F2271">
        <w:rPr>
          <w:rFonts w:ascii="Century Gothic" w:hAnsi="Century Gothic" w:cs="Arial"/>
          <w:noProof/>
          <w:lang w:val="es-CO" w:eastAsia="es-CO"/>
        </w:rPr>
        <w:drawing>
          <wp:inline distT="0" distB="0" distL="0" distR="0" wp14:anchorId="59F54802" wp14:editId="31D85709">
            <wp:extent cx="4985038" cy="2886075"/>
            <wp:effectExtent l="0" t="0" r="635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005900" cy="2898153"/>
                    </a:xfrm>
                    <a:prstGeom prst="rect">
                      <a:avLst/>
                    </a:prstGeom>
                    <a:noFill/>
                    <a:ln>
                      <a:noFill/>
                    </a:ln>
                  </pic:spPr>
                </pic:pic>
              </a:graphicData>
            </a:graphic>
          </wp:inline>
        </w:drawing>
      </w:r>
    </w:p>
    <w:p w:rsidR="001F2271" w:rsidRPr="001F2271" w:rsidRDefault="001F2271" w:rsidP="001F2271">
      <w:pPr>
        <w:jc w:val="center"/>
        <w:rPr>
          <w:rFonts w:ascii="Century Gothic" w:hAnsi="Century Gothic" w:cs="Arial"/>
          <w:lang w:val="es-CO"/>
        </w:rPr>
      </w:pPr>
      <w:r w:rsidRPr="001F2271">
        <w:rPr>
          <w:rFonts w:ascii="Century Gothic" w:hAnsi="Century Gothic" w:cs="Arial"/>
          <w:lang w:val="es-CO"/>
        </w:rPr>
        <w:t>FUENTE. Fuente: Gran Encuesta Integrada de Hogares - DANE 2020.</w:t>
      </w:r>
    </w:p>
    <w:p w:rsidR="001F2271" w:rsidRPr="001F2271" w:rsidRDefault="001F2271" w:rsidP="001F2271">
      <w:pPr>
        <w:jc w:val="both"/>
        <w:rPr>
          <w:rFonts w:ascii="Century Gothic" w:hAnsi="Century Gothic" w:cs="Arial"/>
          <w:lang w:val="es-CO"/>
        </w:rPr>
      </w:pPr>
    </w:p>
    <w:p w:rsidR="001F2271" w:rsidRPr="001F2271" w:rsidRDefault="001F2271" w:rsidP="001F2271">
      <w:pPr>
        <w:pStyle w:val="Prrafodelista"/>
        <w:numPr>
          <w:ilvl w:val="1"/>
          <w:numId w:val="1"/>
        </w:numPr>
        <w:jc w:val="both"/>
        <w:rPr>
          <w:rFonts w:ascii="Century Gothic" w:hAnsi="Century Gothic" w:cs="Arial"/>
          <w:b/>
          <w:u w:val="single"/>
          <w:lang w:val="es-CO"/>
        </w:rPr>
      </w:pPr>
      <w:r w:rsidRPr="001F2271">
        <w:rPr>
          <w:rFonts w:ascii="Century Gothic" w:hAnsi="Century Gothic" w:cs="Arial"/>
          <w:b/>
          <w:u w:val="single"/>
          <w:lang w:val="es-CO"/>
        </w:rPr>
        <w:t>La Informalidad laboral</w:t>
      </w:r>
    </w:p>
    <w:p w:rsidR="001F2271" w:rsidRPr="001F2271" w:rsidRDefault="001F2271" w:rsidP="001F2271">
      <w:pPr>
        <w:jc w:val="both"/>
        <w:rPr>
          <w:rFonts w:ascii="Century Gothic" w:hAnsi="Century Gothic" w:cs="Arial"/>
          <w:lang w:val="es-CO"/>
        </w:rPr>
      </w:pPr>
      <w:r w:rsidRPr="001F2271">
        <w:rPr>
          <w:rFonts w:ascii="Century Gothic" w:hAnsi="Century Gothic" w:cs="Arial"/>
          <w:lang w:val="es-CO"/>
        </w:rPr>
        <w:t>La informalidad en el Departamento de Sucre es un tema preocupante, pues de cada 10 trabajadores, 8 lo hacen de manera informal y viven del rebusque. La gráfica presenta el índice de informalidad desde el año 2008 al año 2019.</w:t>
      </w:r>
    </w:p>
    <w:p w:rsidR="001F2271" w:rsidRDefault="001F2271" w:rsidP="001F2271">
      <w:pPr>
        <w:jc w:val="center"/>
        <w:rPr>
          <w:rFonts w:ascii="Century Gothic" w:hAnsi="Century Gothic" w:cs="Arial"/>
          <w:lang w:val="es-CO"/>
        </w:rPr>
      </w:pPr>
    </w:p>
    <w:p w:rsidR="001F2271" w:rsidRDefault="001F2271" w:rsidP="001F2271">
      <w:pPr>
        <w:jc w:val="center"/>
        <w:rPr>
          <w:rFonts w:ascii="Century Gothic" w:hAnsi="Century Gothic" w:cs="Arial"/>
          <w:lang w:val="es-CO"/>
        </w:rPr>
      </w:pPr>
    </w:p>
    <w:p w:rsidR="001F2271" w:rsidRDefault="001F2271" w:rsidP="001F2271">
      <w:pPr>
        <w:jc w:val="center"/>
        <w:rPr>
          <w:rFonts w:ascii="Century Gothic" w:hAnsi="Century Gothic" w:cs="Arial"/>
          <w:lang w:val="es-CO"/>
        </w:rPr>
      </w:pPr>
    </w:p>
    <w:p w:rsidR="001F2271" w:rsidRDefault="001F2271" w:rsidP="001F2271">
      <w:pPr>
        <w:jc w:val="center"/>
        <w:rPr>
          <w:rFonts w:ascii="Century Gothic" w:hAnsi="Century Gothic" w:cs="Arial"/>
          <w:lang w:val="es-CO"/>
        </w:rPr>
      </w:pPr>
    </w:p>
    <w:p w:rsidR="001F2271" w:rsidRDefault="001F2271" w:rsidP="001F2271">
      <w:pPr>
        <w:jc w:val="center"/>
        <w:rPr>
          <w:rFonts w:ascii="Century Gothic" w:hAnsi="Century Gothic" w:cs="Arial"/>
          <w:lang w:val="es-CO"/>
        </w:rPr>
      </w:pPr>
    </w:p>
    <w:p w:rsidR="001F2271" w:rsidRDefault="001F2271" w:rsidP="001F2271">
      <w:pPr>
        <w:jc w:val="center"/>
        <w:rPr>
          <w:rFonts w:ascii="Century Gothic" w:hAnsi="Century Gothic" w:cs="Arial"/>
          <w:lang w:val="es-CO"/>
        </w:rPr>
      </w:pPr>
    </w:p>
    <w:p w:rsidR="001F2271" w:rsidRPr="001F2271" w:rsidRDefault="001F2271" w:rsidP="001F2271">
      <w:pPr>
        <w:jc w:val="center"/>
        <w:rPr>
          <w:rFonts w:ascii="Century Gothic" w:hAnsi="Century Gothic" w:cs="Arial"/>
          <w:lang w:val="es-CO"/>
        </w:rPr>
      </w:pPr>
    </w:p>
    <w:p w:rsidR="001F2271" w:rsidRPr="001F2271" w:rsidRDefault="001F2271" w:rsidP="001F2271">
      <w:pPr>
        <w:spacing w:after="0" w:line="240" w:lineRule="auto"/>
        <w:jc w:val="center"/>
        <w:rPr>
          <w:rFonts w:ascii="Century Gothic" w:hAnsi="Century Gothic" w:cs="Arial"/>
          <w:b/>
          <w:lang w:val="es-CO"/>
        </w:rPr>
      </w:pPr>
      <w:r w:rsidRPr="001F2271">
        <w:rPr>
          <w:rFonts w:ascii="Century Gothic" w:hAnsi="Century Gothic" w:cs="Arial"/>
          <w:b/>
          <w:lang w:val="es-CO"/>
        </w:rPr>
        <w:lastRenderedPageBreak/>
        <w:t>Índice de Informalidad del Departamento de Sucre</w:t>
      </w:r>
    </w:p>
    <w:p w:rsidR="001F2271" w:rsidRPr="001F2271" w:rsidRDefault="001F2271" w:rsidP="001F2271">
      <w:pPr>
        <w:spacing w:after="0" w:line="240" w:lineRule="auto"/>
        <w:jc w:val="center"/>
        <w:rPr>
          <w:rFonts w:ascii="Century Gothic" w:hAnsi="Century Gothic" w:cs="Arial"/>
          <w:b/>
          <w:lang w:val="es-CO"/>
        </w:rPr>
      </w:pPr>
      <w:r w:rsidRPr="001F2271">
        <w:rPr>
          <w:rFonts w:ascii="Century Gothic" w:hAnsi="Century Gothic" w:cs="Arial"/>
          <w:b/>
          <w:lang w:val="es-CO"/>
        </w:rPr>
        <w:t>2008 - 2019</w:t>
      </w:r>
    </w:p>
    <w:p w:rsidR="001F2271" w:rsidRPr="001F2271" w:rsidRDefault="001F2271" w:rsidP="001F2271">
      <w:pPr>
        <w:jc w:val="center"/>
        <w:rPr>
          <w:rFonts w:ascii="Century Gothic" w:hAnsi="Century Gothic" w:cs="Arial"/>
          <w:lang w:val="es-CO"/>
        </w:rPr>
      </w:pPr>
      <w:r w:rsidRPr="001F2271">
        <w:rPr>
          <w:rFonts w:ascii="Century Gothic" w:hAnsi="Century Gothic"/>
          <w:noProof/>
          <w:lang w:val="es-CO" w:eastAsia="es-CO"/>
        </w:rPr>
        <w:drawing>
          <wp:inline distT="0" distB="0" distL="0" distR="0" wp14:anchorId="538FB3BC" wp14:editId="4AEF075E">
            <wp:extent cx="3590925" cy="2066925"/>
            <wp:effectExtent l="0" t="0" r="9525" b="9525"/>
            <wp:docPr id="16" name="Gráfico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1F2271" w:rsidRPr="001F2271" w:rsidRDefault="001F2271" w:rsidP="001F2271">
      <w:pPr>
        <w:jc w:val="center"/>
        <w:rPr>
          <w:rFonts w:ascii="Century Gothic" w:hAnsi="Century Gothic" w:cs="Arial"/>
          <w:lang w:val="es-CO"/>
        </w:rPr>
      </w:pPr>
      <w:r w:rsidRPr="001F2271">
        <w:rPr>
          <w:rFonts w:ascii="Century Gothic" w:hAnsi="Century Gothic" w:cs="Arial"/>
          <w:lang w:val="es-CO"/>
        </w:rPr>
        <w:t>Fuente DANE.</w:t>
      </w:r>
    </w:p>
    <w:p w:rsidR="001F2271" w:rsidRPr="001F2271" w:rsidRDefault="001F2271" w:rsidP="001F2271">
      <w:pPr>
        <w:jc w:val="center"/>
        <w:rPr>
          <w:rFonts w:ascii="Century Gothic" w:hAnsi="Century Gothic" w:cs="Arial"/>
          <w:lang w:val="es-CO"/>
        </w:rPr>
      </w:pPr>
    </w:p>
    <w:p w:rsidR="001F2271" w:rsidRPr="001F2271" w:rsidRDefault="001F2271" w:rsidP="001F2271">
      <w:pPr>
        <w:pStyle w:val="Prrafodelista"/>
        <w:numPr>
          <w:ilvl w:val="0"/>
          <w:numId w:val="1"/>
        </w:numPr>
        <w:jc w:val="both"/>
        <w:rPr>
          <w:rFonts w:ascii="Century Gothic" w:hAnsi="Century Gothic" w:cs="Arial"/>
          <w:b/>
          <w:lang w:val="es-CO"/>
        </w:rPr>
      </w:pPr>
      <w:r w:rsidRPr="001F2271">
        <w:rPr>
          <w:rFonts w:ascii="Century Gothic" w:hAnsi="Century Gothic" w:cs="Arial"/>
          <w:b/>
          <w:lang w:val="es-CO"/>
        </w:rPr>
        <w:t>MARCO NORMATIVO</w:t>
      </w:r>
    </w:p>
    <w:p w:rsidR="001F2271" w:rsidRPr="001F2271" w:rsidRDefault="001F2271" w:rsidP="001F2271">
      <w:pPr>
        <w:jc w:val="both"/>
        <w:rPr>
          <w:rFonts w:ascii="Century Gothic" w:hAnsi="Century Gothic" w:cs="Arial"/>
          <w:b/>
          <w:lang w:val="es-CO"/>
        </w:rPr>
      </w:pPr>
      <w:r w:rsidRPr="001F2271">
        <w:rPr>
          <w:rFonts w:ascii="Century Gothic" w:hAnsi="Century Gothic" w:cs="Arial"/>
          <w:b/>
          <w:lang w:val="es-CO"/>
        </w:rPr>
        <w:t>Principios Constitucionales que rigen el funcionamiento de las Entidades Territoriales, en el proceso de descentralización</w:t>
      </w:r>
    </w:p>
    <w:p w:rsidR="001F2271" w:rsidRPr="001F2271" w:rsidRDefault="001F2271" w:rsidP="001F2271">
      <w:pPr>
        <w:jc w:val="both"/>
        <w:rPr>
          <w:rFonts w:ascii="Century Gothic" w:hAnsi="Century Gothic" w:cs="Arial"/>
          <w:u w:val="single"/>
          <w:lang w:val="es-CO"/>
        </w:rPr>
      </w:pPr>
      <w:r w:rsidRPr="001F2271">
        <w:rPr>
          <w:rFonts w:ascii="Century Gothic" w:hAnsi="Century Gothic" w:cs="Arial"/>
          <w:u w:val="single"/>
          <w:lang w:val="es-CO"/>
        </w:rPr>
        <w:t>Constitución Política de Colombia</w:t>
      </w:r>
    </w:p>
    <w:p w:rsidR="001F2271" w:rsidRPr="001F2271" w:rsidRDefault="001F2271" w:rsidP="001F2271">
      <w:pPr>
        <w:jc w:val="both"/>
        <w:rPr>
          <w:rFonts w:ascii="Century Gothic" w:hAnsi="Century Gothic" w:cs="Arial"/>
          <w:lang w:val="es-CO"/>
        </w:rPr>
      </w:pPr>
      <w:r w:rsidRPr="001F2271">
        <w:rPr>
          <w:rFonts w:ascii="Century Gothic" w:hAnsi="Century Gothic" w:cs="Arial"/>
          <w:lang w:val="es-CO"/>
        </w:rPr>
        <w:t>Artículo 209. “La función administrativa está al servicio de los intereses generales y se desarrolla con fundamento en los principios de igualdad, moralidad, eficacia, economía, celeridad, imparcialidad y publicidad, mediante la descentralización, la delegación y la desconcentración de funciones”. (Art. 209 de la Constitución Política de Colombia).</w:t>
      </w:r>
    </w:p>
    <w:p w:rsidR="001F2271" w:rsidRPr="001F2271" w:rsidRDefault="001F2271" w:rsidP="001F2271">
      <w:pPr>
        <w:jc w:val="both"/>
        <w:rPr>
          <w:rFonts w:ascii="Century Gothic" w:hAnsi="Century Gothic" w:cs="Arial"/>
          <w:lang w:val="es-CO"/>
        </w:rPr>
      </w:pPr>
    </w:p>
    <w:p w:rsidR="001F2271" w:rsidRPr="001F2271" w:rsidRDefault="001F2271" w:rsidP="001F2271">
      <w:pPr>
        <w:jc w:val="both"/>
        <w:rPr>
          <w:rFonts w:ascii="Century Gothic" w:hAnsi="Century Gothic" w:cs="Arial"/>
          <w:u w:val="single"/>
          <w:lang w:val="es-CO"/>
        </w:rPr>
      </w:pPr>
      <w:r w:rsidRPr="001F2271">
        <w:rPr>
          <w:rFonts w:ascii="Century Gothic" w:hAnsi="Century Gothic" w:cs="Arial"/>
          <w:u w:val="single"/>
          <w:lang w:val="es-CO"/>
        </w:rPr>
        <w:t>LEY 1437 DE 2011 (Por la cual se expide el Código de Procedimiento Administrativo y de lo Contencioso Administrativo.)</w:t>
      </w:r>
    </w:p>
    <w:p w:rsidR="001F2271" w:rsidRPr="001F2271" w:rsidRDefault="001F2271" w:rsidP="001F2271">
      <w:pPr>
        <w:jc w:val="both"/>
        <w:rPr>
          <w:rFonts w:ascii="Century Gothic" w:hAnsi="Century Gothic" w:cs="Arial"/>
          <w:lang w:val="es-CO"/>
        </w:rPr>
      </w:pPr>
      <w:r w:rsidRPr="001F2271">
        <w:rPr>
          <w:rFonts w:ascii="Century Gothic" w:hAnsi="Century Gothic" w:cs="Arial"/>
          <w:lang w:val="es-CO"/>
        </w:rPr>
        <w:t>(…)</w:t>
      </w:r>
    </w:p>
    <w:p w:rsidR="001F2271" w:rsidRPr="001F2271" w:rsidRDefault="001F2271" w:rsidP="001F2271">
      <w:pPr>
        <w:jc w:val="both"/>
        <w:rPr>
          <w:rFonts w:ascii="Century Gothic" w:hAnsi="Century Gothic" w:cs="Arial"/>
          <w:lang w:val="es-CO"/>
        </w:rPr>
      </w:pPr>
      <w:r w:rsidRPr="001F2271">
        <w:rPr>
          <w:rFonts w:ascii="Century Gothic" w:hAnsi="Century Gothic" w:cs="Arial"/>
          <w:lang w:val="es-CO"/>
        </w:rPr>
        <w:t>ARTÍCULO 3o. PRINCIPIOS. Todas las autoridades deberán interpretar y aplicar las disposiciones que regulan las actuaciones y procedimientos administrativos a la luz de los principios consagrados en la Constitución Política, (…).</w:t>
      </w:r>
    </w:p>
    <w:p w:rsidR="001F2271" w:rsidRPr="001F2271" w:rsidRDefault="001F2271" w:rsidP="001F2271">
      <w:pPr>
        <w:jc w:val="both"/>
        <w:rPr>
          <w:rFonts w:ascii="Century Gothic" w:hAnsi="Century Gothic" w:cs="Arial"/>
          <w:lang w:val="es-CO"/>
        </w:rPr>
      </w:pPr>
      <w:r w:rsidRPr="001F2271">
        <w:rPr>
          <w:rFonts w:ascii="Century Gothic" w:hAnsi="Century Gothic" w:cs="Arial"/>
          <w:lang w:val="es-CO"/>
        </w:rPr>
        <w:t>(…)</w:t>
      </w:r>
    </w:p>
    <w:p w:rsidR="001F2271" w:rsidRPr="001F2271" w:rsidRDefault="001F2271" w:rsidP="001F2271">
      <w:pPr>
        <w:jc w:val="both"/>
        <w:rPr>
          <w:rFonts w:ascii="Century Gothic" w:hAnsi="Century Gothic" w:cs="Arial"/>
          <w:lang w:val="es-CO"/>
        </w:rPr>
      </w:pPr>
      <w:r w:rsidRPr="001F2271">
        <w:rPr>
          <w:rFonts w:ascii="Century Gothic" w:hAnsi="Century Gothic" w:cs="Arial"/>
          <w:lang w:val="es-CO"/>
        </w:rPr>
        <w:t xml:space="preserve">2. En virtud del principio de igualdad, las autoridades darán el mismo trato y protección a las personas e instituciones que intervengan en las actuaciones bajo su conocimiento. No obstante, serán objeto de trato y protección especial las </w:t>
      </w:r>
      <w:r w:rsidRPr="001F2271">
        <w:rPr>
          <w:rFonts w:ascii="Century Gothic" w:hAnsi="Century Gothic" w:cs="Arial"/>
          <w:lang w:val="es-CO"/>
        </w:rPr>
        <w:lastRenderedPageBreak/>
        <w:t>personas que por su condición económica, física o mental se encuentran en circunstancias de debilidad manifiesta.</w:t>
      </w:r>
    </w:p>
    <w:p w:rsidR="001F2271" w:rsidRPr="001F2271" w:rsidRDefault="001F2271" w:rsidP="001F2271">
      <w:pPr>
        <w:jc w:val="both"/>
        <w:rPr>
          <w:rFonts w:ascii="Century Gothic" w:hAnsi="Century Gothic" w:cs="Arial"/>
          <w:lang w:val="es-CO"/>
        </w:rPr>
      </w:pPr>
      <w:r w:rsidRPr="001F2271">
        <w:rPr>
          <w:rFonts w:ascii="Century Gothic" w:hAnsi="Century Gothic" w:cs="Arial"/>
          <w:lang w:val="es-CO"/>
        </w:rPr>
        <w:t>3. En virtud del principio de imparcialidad, las autoridades deberán actuar teniendo en cuenta que la finalidad de los procedimientos consiste en asegurar y garantizar los derechos de todas las personas sin discriminación alguna y sin tener en consideración factores de afecto o de interés y, en general, cualquier clase de motivación subjetiva.</w:t>
      </w:r>
    </w:p>
    <w:p w:rsidR="001F2271" w:rsidRPr="001F2271" w:rsidRDefault="001F2271" w:rsidP="001F2271">
      <w:pPr>
        <w:jc w:val="both"/>
        <w:rPr>
          <w:rFonts w:ascii="Century Gothic" w:hAnsi="Century Gothic" w:cs="Arial"/>
          <w:lang w:val="es-CO"/>
        </w:rPr>
      </w:pPr>
      <w:r w:rsidRPr="001F2271">
        <w:rPr>
          <w:rFonts w:ascii="Century Gothic" w:hAnsi="Century Gothic" w:cs="Arial"/>
          <w:lang w:val="es-CO"/>
        </w:rPr>
        <w:t>(…)</w:t>
      </w:r>
    </w:p>
    <w:p w:rsidR="001F2271" w:rsidRPr="001F2271" w:rsidRDefault="001F2271" w:rsidP="001F2271">
      <w:pPr>
        <w:jc w:val="both"/>
        <w:rPr>
          <w:rFonts w:ascii="Century Gothic" w:hAnsi="Century Gothic" w:cs="Arial"/>
          <w:lang w:val="es-CO"/>
        </w:rPr>
      </w:pPr>
      <w:r w:rsidRPr="001F2271">
        <w:rPr>
          <w:rFonts w:ascii="Century Gothic" w:hAnsi="Century Gothic" w:cs="Arial"/>
          <w:lang w:val="es-CO"/>
        </w:rPr>
        <w:t>5. En virtud del principio de moralidad, todas las personas y los servidores públicos están obligados a actuar con rectitud, lealtad y honestidad en las actuaciones administrativas.</w:t>
      </w:r>
    </w:p>
    <w:p w:rsidR="001F2271" w:rsidRPr="001F2271" w:rsidRDefault="001F2271" w:rsidP="001F2271">
      <w:pPr>
        <w:jc w:val="both"/>
        <w:rPr>
          <w:rFonts w:ascii="Century Gothic" w:hAnsi="Century Gothic" w:cs="Arial"/>
          <w:lang w:val="es-CO"/>
        </w:rPr>
      </w:pPr>
      <w:r w:rsidRPr="001F2271">
        <w:rPr>
          <w:rFonts w:ascii="Century Gothic" w:hAnsi="Century Gothic" w:cs="Arial"/>
          <w:lang w:val="es-CO"/>
        </w:rPr>
        <w:t>6. En virtud del principio de participación, las autoridades promoverán y atenderán las iniciativas de los ciudadanos, organizaciones y comunidades encaminadas a intervenir en los procesos de deliberación, formulación, ejecución, control y evaluación de la gestión pública.</w:t>
      </w:r>
    </w:p>
    <w:p w:rsidR="001F2271" w:rsidRPr="001F2271" w:rsidRDefault="001F2271" w:rsidP="001F2271">
      <w:pPr>
        <w:jc w:val="both"/>
        <w:rPr>
          <w:rFonts w:ascii="Century Gothic" w:hAnsi="Century Gothic" w:cs="Arial"/>
          <w:lang w:val="es-CO"/>
        </w:rPr>
      </w:pPr>
    </w:p>
    <w:p w:rsidR="001F2271" w:rsidRPr="001F2271" w:rsidRDefault="001F2271" w:rsidP="001F2271">
      <w:pPr>
        <w:jc w:val="both"/>
        <w:rPr>
          <w:rFonts w:ascii="Century Gothic" w:hAnsi="Century Gothic" w:cs="Arial"/>
          <w:lang w:val="es-CO"/>
        </w:rPr>
      </w:pPr>
      <w:r w:rsidRPr="001F2271">
        <w:rPr>
          <w:rFonts w:ascii="Century Gothic" w:hAnsi="Century Gothic" w:cs="Arial"/>
          <w:lang w:val="es-CO"/>
        </w:rPr>
        <w:t>(…)</w:t>
      </w:r>
    </w:p>
    <w:p w:rsidR="001F2271" w:rsidRPr="001F2271" w:rsidRDefault="001F2271" w:rsidP="001F2271">
      <w:pPr>
        <w:jc w:val="both"/>
        <w:rPr>
          <w:rFonts w:ascii="Century Gothic" w:hAnsi="Century Gothic" w:cs="Arial"/>
          <w:lang w:val="es-CO"/>
        </w:rPr>
      </w:pPr>
      <w:r w:rsidRPr="001F2271">
        <w:rPr>
          <w:rFonts w:ascii="Century Gothic" w:hAnsi="Century Gothic" w:cs="Arial"/>
          <w:lang w:val="es-CO"/>
        </w:rPr>
        <w:t>9. En virtud del principio de publicidad, las autoridades darán a conocer al público y a los interesados, en forma sistemática y permanente, sin que medie petición alguna, sus actos, contratos y resoluciones, mediante las comunicaciones, notificaciones y publicaciones que ordene la ley, incluyendo el empleo de tecnologías que permitan difundir de manera masiva tal información de conformidad con lo dispuesto en este Código. Cuando el interesado deba asumir el costo de la publicación, esta no podrá exceder en ningún caso el valor de la misma.</w:t>
      </w:r>
    </w:p>
    <w:p w:rsidR="001F2271" w:rsidRPr="001F2271" w:rsidRDefault="001F2271" w:rsidP="001F2271">
      <w:pPr>
        <w:jc w:val="both"/>
        <w:rPr>
          <w:rFonts w:ascii="Century Gothic" w:hAnsi="Century Gothic" w:cs="Arial"/>
          <w:lang w:val="es-CO"/>
        </w:rPr>
      </w:pPr>
      <w:r w:rsidRPr="001F2271">
        <w:rPr>
          <w:rFonts w:ascii="Century Gothic" w:hAnsi="Century Gothic" w:cs="Arial"/>
          <w:lang w:val="es-CO"/>
        </w:rPr>
        <w:t>10. En virtud del principio de coordinación, las autoridades concertarán sus actividades con las de otras instancias estatales en el cumplimiento de sus cometidos y en el reconocimiento de sus derechos a los particulares.</w:t>
      </w:r>
    </w:p>
    <w:p w:rsidR="001F2271" w:rsidRPr="001F2271" w:rsidRDefault="001F2271" w:rsidP="001F2271">
      <w:pPr>
        <w:jc w:val="both"/>
        <w:rPr>
          <w:rFonts w:ascii="Century Gothic" w:hAnsi="Century Gothic" w:cs="Arial"/>
          <w:lang w:val="es-CO"/>
        </w:rPr>
      </w:pPr>
      <w:r w:rsidRPr="001F2271">
        <w:rPr>
          <w:rFonts w:ascii="Century Gothic" w:hAnsi="Century Gothic" w:cs="Arial"/>
          <w:lang w:val="es-CO"/>
        </w:rPr>
        <w:t>11. En virtud del principio de eficacia, las autoridades buscarán que los procedimientos logren su finalidad y, para el efecto, removerán de oficio los obstáculos puramente formales, evitarán decisiones inhibitorias, dilaciones o retardos y sanearán, de acuerdo con este Código las irregularidades procedimentales que se presenten, en procura de la efectividad del derecho material objeto de la actuación administrativa.</w:t>
      </w:r>
    </w:p>
    <w:p w:rsidR="001F2271" w:rsidRPr="001F2271" w:rsidRDefault="001F2271" w:rsidP="001F2271">
      <w:pPr>
        <w:jc w:val="both"/>
        <w:rPr>
          <w:rFonts w:ascii="Century Gothic" w:hAnsi="Century Gothic" w:cs="Arial"/>
          <w:lang w:val="es-CO"/>
        </w:rPr>
      </w:pPr>
      <w:r w:rsidRPr="001F2271">
        <w:rPr>
          <w:rFonts w:ascii="Century Gothic" w:hAnsi="Century Gothic" w:cs="Arial"/>
          <w:lang w:val="es-CO"/>
        </w:rPr>
        <w:t xml:space="preserve">12. En virtud del principio de economía, las autoridades deberán proceder con austeridad y eficiencia, optimizar el uso del tiempo y de los demás recursos, </w:t>
      </w:r>
      <w:r w:rsidRPr="001F2271">
        <w:rPr>
          <w:rFonts w:ascii="Century Gothic" w:hAnsi="Century Gothic" w:cs="Arial"/>
          <w:lang w:val="es-CO"/>
        </w:rPr>
        <w:lastRenderedPageBreak/>
        <w:t>procurando el más alto nivel de calidad en sus actuaciones y la protección de los derechos de las personas.</w:t>
      </w:r>
    </w:p>
    <w:p w:rsidR="001F2271" w:rsidRPr="001F2271" w:rsidRDefault="001F2271" w:rsidP="001F2271">
      <w:pPr>
        <w:jc w:val="both"/>
        <w:rPr>
          <w:rFonts w:ascii="Century Gothic" w:hAnsi="Century Gothic" w:cs="Arial"/>
          <w:lang w:val="es-CO"/>
        </w:rPr>
      </w:pPr>
      <w:r w:rsidRPr="001F2271">
        <w:rPr>
          <w:rFonts w:ascii="Century Gothic" w:hAnsi="Century Gothic" w:cs="Arial"/>
          <w:lang w:val="es-CO"/>
        </w:rPr>
        <w:t>13. En virtud del principio de celeridad, las autoridades impulsarán oficiosamente los procedimientos, e incentivarán el uso de las tecnologías de la información y las comunicaciones, a efectos de que los procedimientos se adelanten con diligencia, dentro de los términos legales y sin dilaciones injustificadas</w:t>
      </w:r>
    </w:p>
    <w:p w:rsidR="001F2271" w:rsidRPr="001F2271" w:rsidRDefault="001F2271" w:rsidP="001F2271">
      <w:pPr>
        <w:jc w:val="both"/>
        <w:rPr>
          <w:rFonts w:ascii="Century Gothic" w:hAnsi="Century Gothic" w:cs="Arial"/>
          <w:lang w:val="es-CO"/>
        </w:rPr>
      </w:pPr>
    </w:p>
    <w:p w:rsidR="001F2271" w:rsidRPr="001F2271" w:rsidRDefault="001F2271" w:rsidP="001F2271">
      <w:pPr>
        <w:jc w:val="both"/>
        <w:rPr>
          <w:rFonts w:ascii="Century Gothic" w:hAnsi="Century Gothic" w:cs="Arial"/>
          <w:b/>
          <w:lang w:val="es-CO"/>
        </w:rPr>
      </w:pPr>
      <w:r w:rsidRPr="001F2271">
        <w:rPr>
          <w:rFonts w:ascii="Century Gothic" w:hAnsi="Century Gothic" w:cs="Arial"/>
          <w:b/>
          <w:lang w:val="es-CO"/>
        </w:rPr>
        <w:t>PRINCIPIOS RECTORES EN EL EJERCICIO DE LAS COMPETENCIAS</w:t>
      </w:r>
    </w:p>
    <w:p w:rsidR="001F2271" w:rsidRPr="001F2271" w:rsidRDefault="001F2271" w:rsidP="001F2271">
      <w:pPr>
        <w:jc w:val="both"/>
        <w:rPr>
          <w:rFonts w:ascii="Century Gothic" w:hAnsi="Century Gothic" w:cs="Arial"/>
          <w:b/>
          <w:lang w:val="es-CO"/>
        </w:rPr>
      </w:pPr>
      <w:r w:rsidRPr="001F2271">
        <w:rPr>
          <w:rFonts w:ascii="Century Gothic" w:hAnsi="Century Gothic" w:cs="Arial"/>
          <w:b/>
          <w:lang w:val="es-CO"/>
        </w:rPr>
        <w:t>Constitución Política de Colombia</w:t>
      </w:r>
    </w:p>
    <w:p w:rsidR="001F2271" w:rsidRPr="001F2271" w:rsidRDefault="001F2271" w:rsidP="001F2271">
      <w:pPr>
        <w:jc w:val="both"/>
        <w:rPr>
          <w:rFonts w:ascii="Century Gothic" w:hAnsi="Century Gothic" w:cs="Arial"/>
          <w:lang w:val="es-CO"/>
        </w:rPr>
      </w:pPr>
      <w:r w:rsidRPr="001F2271">
        <w:rPr>
          <w:rFonts w:ascii="Century Gothic" w:hAnsi="Century Gothic" w:cs="Arial"/>
          <w:lang w:val="es-CO"/>
        </w:rPr>
        <w:t>Artículo 288. Las competencias atribuidas a los distintos niveles territoriales serán ejercidas conforme a los principios de coordinación, concurrencia y subsidiariedad en los términos que establezca la Ley”</w:t>
      </w:r>
    </w:p>
    <w:p w:rsidR="001F2271" w:rsidRPr="001F2271" w:rsidRDefault="001F2271" w:rsidP="001F2271">
      <w:pPr>
        <w:jc w:val="both"/>
        <w:rPr>
          <w:rFonts w:ascii="Century Gothic" w:hAnsi="Century Gothic" w:cs="Arial"/>
          <w:lang w:val="es-CO"/>
        </w:rPr>
      </w:pPr>
      <w:r w:rsidRPr="001F2271">
        <w:rPr>
          <w:rFonts w:ascii="Century Gothic" w:hAnsi="Century Gothic" w:cs="Arial"/>
          <w:lang w:val="es-CO"/>
        </w:rPr>
        <w:t>En virtud del principio de coordinación, las autoridades concertarán sus actividades con las de otras instancias estatales en el cumplimiento de sus cometidos y en el reconocimiento de sus derechos a los particulares.</w:t>
      </w:r>
    </w:p>
    <w:p w:rsidR="001F2271" w:rsidRPr="001F2271" w:rsidRDefault="001F2271" w:rsidP="001F2271">
      <w:pPr>
        <w:jc w:val="both"/>
        <w:rPr>
          <w:rFonts w:ascii="Century Gothic" w:hAnsi="Century Gothic" w:cs="Arial"/>
          <w:lang w:val="es-CO"/>
        </w:rPr>
      </w:pPr>
      <w:r w:rsidRPr="001F2271">
        <w:rPr>
          <w:rFonts w:ascii="Century Gothic" w:hAnsi="Century Gothic" w:cs="Arial"/>
          <w:lang w:val="es-CO"/>
        </w:rPr>
        <w:t>El principio de concurrencia hace un llamado a las entidades territoriales locales y regionales, a respetar los límites de cada autoridad territorial.</w:t>
      </w:r>
    </w:p>
    <w:p w:rsidR="001F2271" w:rsidRPr="001F2271" w:rsidRDefault="001F2271" w:rsidP="001F2271">
      <w:pPr>
        <w:jc w:val="both"/>
        <w:rPr>
          <w:rFonts w:ascii="Century Gothic" w:hAnsi="Century Gothic" w:cs="Arial"/>
          <w:lang w:val="es-CO"/>
        </w:rPr>
      </w:pPr>
      <w:r w:rsidRPr="001F2271">
        <w:rPr>
          <w:rFonts w:ascii="Century Gothic" w:hAnsi="Century Gothic" w:cs="Arial"/>
          <w:lang w:val="es-CO"/>
        </w:rPr>
        <w:t>El principio de subsidiariedad determina que, en el evento en que las autoridades territoriales no cuenten con la capacidad presupuestal e institucional requerida para atender las necesidades propias del territorio, dichas obligaciones deben ser atendidas y asumidas por las entidades de los niveles superiores.</w:t>
      </w:r>
    </w:p>
    <w:p w:rsidR="001F2271" w:rsidRPr="001F2271" w:rsidRDefault="001F2271" w:rsidP="001F2271">
      <w:pPr>
        <w:jc w:val="both"/>
        <w:rPr>
          <w:rFonts w:ascii="Century Gothic" w:hAnsi="Century Gothic" w:cs="Arial"/>
          <w:lang w:val="es-CO"/>
        </w:rPr>
      </w:pPr>
    </w:p>
    <w:p w:rsidR="001F2271" w:rsidRPr="001F2271" w:rsidRDefault="001F2271" w:rsidP="001F2271">
      <w:pPr>
        <w:jc w:val="both"/>
        <w:rPr>
          <w:rFonts w:ascii="Century Gothic" w:hAnsi="Century Gothic" w:cs="Arial"/>
          <w:b/>
          <w:lang w:val="es-CO"/>
        </w:rPr>
      </w:pPr>
      <w:r w:rsidRPr="001F2271">
        <w:rPr>
          <w:rFonts w:ascii="Century Gothic" w:hAnsi="Century Gothic" w:cs="Arial"/>
          <w:b/>
          <w:lang w:val="es-CO"/>
        </w:rPr>
        <w:t>PRINCIPIOS DEL PROCESO DE ORDENAMIENTO TERRITORIAL</w:t>
      </w:r>
    </w:p>
    <w:p w:rsidR="001F2271" w:rsidRPr="001F2271" w:rsidRDefault="001F2271" w:rsidP="001F2271">
      <w:pPr>
        <w:jc w:val="both"/>
        <w:rPr>
          <w:rFonts w:ascii="Century Gothic" w:hAnsi="Century Gothic" w:cs="Arial"/>
          <w:b/>
          <w:lang w:val="es-CO"/>
        </w:rPr>
      </w:pPr>
      <w:r w:rsidRPr="001F2271">
        <w:rPr>
          <w:rFonts w:ascii="Century Gothic" w:hAnsi="Century Gothic" w:cs="Arial"/>
          <w:b/>
          <w:lang w:val="es-CO"/>
        </w:rPr>
        <w:t>Ley 1454 de 2011 “Por la cual se dictan normas orgánicas sobre ordenamiento territorial y se modifican otras disposiciones”</w:t>
      </w:r>
    </w:p>
    <w:p w:rsidR="001F2271" w:rsidRPr="001F2271" w:rsidRDefault="001F2271" w:rsidP="001F2271">
      <w:pPr>
        <w:jc w:val="both"/>
        <w:rPr>
          <w:rFonts w:ascii="Century Gothic" w:hAnsi="Century Gothic" w:cs="Arial"/>
          <w:lang w:val="es-CO"/>
        </w:rPr>
      </w:pPr>
      <w:r w:rsidRPr="001F2271">
        <w:rPr>
          <w:rFonts w:ascii="Century Gothic" w:hAnsi="Century Gothic" w:cs="Arial"/>
          <w:lang w:val="es-CO"/>
        </w:rPr>
        <w:t>Artículo 3°. Son principios del proceso de ordenamiento territorial, entre otros, los siguientes:</w:t>
      </w:r>
    </w:p>
    <w:p w:rsidR="001F2271" w:rsidRPr="001F2271" w:rsidRDefault="001F2271" w:rsidP="001F2271">
      <w:pPr>
        <w:jc w:val="both"/>
        <w:rPr>
          <w:rFonts w:ascii="Century Gothic" w:hAnsi="Century Gothic" w:cs="Arial"/>
          <w:lang w:val="es-CO"/>
        </w:rPr>
      </w:pPr>
      <w:r w:rsidRPr="001F2271">
        <w:rPr>
          <w:rFonts w:ascii="Century Gothic" w:hAnsi="Century Gothic" w:cs="Arial"/>
          <w:lang w:val="es-CO"/>
        </w:rPr>
        <w:t>1. Soberanía y unidad nacional. El ordenamiento territorial propiciará la integridad territorial, su seguridad y defensa y fortalecerá el Estado social de derecho, organizado en forma de república unitaria, descentralizada, con autonomía de sus entidades territoriales.</w:t>
      </w:r>
    </w:p>
    <w:p w:rsidR="001F2271" w:rsidRPr="001F2271" w:rsidRDefault="001F2271" w:rsidP="001F2271">
      <w:pPr>
        <w:jc w:val="both"/>
        <w:rPr>
          <w:rFonts w:ascii="Century Gothic" w:hAnsi="Century Gothic" w:cs="Arial"/>
          <w:lang w:val="es-CO"/>
        </w:rPr>
      </w:pPr>
      <w:r w:rsidRPr="001F2271">
        <w:rPr>
          <w:rFonts w:ascii="Century Gothic" w:hAnsi="Century Gothic" w:cs="Arial"/>
          <w:lang w:val="es-CO"/>
        </w:rPr>
        <w:t>2. Autonomía. Las entidades territoriales gozan de autonomía para la gestión de sus intereses dentro de los límites de la Constitución y la Ley.</w:t>
      </w:r>
    </w:p>
    <w:p w:rsidR="001F2271" w:rsidRPr="001F2271" w:rsidRDefault="001F2271" w:rsidP="001F2271">
      <w:pPr>
        <w:jc w:val="both"/>
        <w:rPr>
          <w:rFonts w:ascii="Century Gothic" w:hAnsi="Century Gothic" w:cs="Arial"/>
          <w:lang w:val="es-CO"/>
        </w:rPr>
      </w:pPr>
      <w:r w:rsidRPr="001F2271">
        <w:rPr>
          <w:rFonts w:ascii="Century Gothic" w:hAnsi="Century Gothic" w:cs="Arial"/>
          <w:lang w:val="es-CO"/>
        </w:rPr>
        <w:lastRenderedPageBreak/>
        <w:t>3. Descentralización. La distribución de competencias entre la nación, entidades territoriales y demás esquemas asociativos se realizará trasladando el correspondiente poder de decisión de los órganos centrales del Estado hacia el nivel territorial pertinente, en lo que corresponda, de tal manera que se promueva una mayor capacidad de planeación, gestión y de administración de sus propios intereses, garantizando por parte de la nación los recursos necesarios para su cumplimiento.</w:t>
      </w:r>
    </w:p>
    <w:p w:rsidR="001F2271" w:rsidRPr="001F2271" w:rsidRDefault="001F2271" w:rsidP="001F2271">
      <w:pPr>
        <w:jc w:val="both"/>
        <w:rPr>
          <w:rFonts w:ascii="Century Gothic" w:hAnsi="Century Gothic" w:cs="Arial"/>
          <w:lang w:val="es-CO"/>
        </w:rPr>
      </w:pPr>
      <w:r w:rsidRPr="001F2271">
        <w:rPr>
          <w:rFonts w:ascii="Century Gothic" w:hAnsi="Century Gothic" w:cs="Arial"/>
          <w:lang w:val="es-CO"/>
        </w:rPr>
        <w:t>4. Integración. Los departamentos y los municipios ubicados en zonas fronterizas pueden adelantar programas de cooperación dirigidos al fomento del desarrollo comunitario, la prestación de los servicios públicos, la preservación del ambiente y el desarrollo productivo y social, con entidades territoriales limítrofes de un Estado.</w:t>
      </w:r>
    </w:p>
    <w:p w:rsidR="001F2271" w:rsidRPr="001F2271" w:rsidRDefault="001F2271" w:rsidP="001F2271">
      <w:pPr>
        <w:jc w:val="both"/>
        <w:rPr>
          <w:rFonts w:ascii="Century Gothic" w:hAnsi="Century Gothic" w:cs="Arial"/>
          <w:lang w:val="es-CO"/>
        </w:rPr>
      </w:pPr>
      <w:r w:rsidRPr="001F2271">
        <w:rPr>
          <w:rFonts w:ascii="Century Gothic" w:hAnsi="Century Gothic" w:cs="Arial"/>
          <w:lang w:val="es-CO"/>
        </w:rPr>
        <w:t xml:space="preserve">5. Regionalización. </w:t>
      </w:r>
      <w:r w:rsidRPr="001F2271">
        <w:rPr>
          <w:rFonts w:ascii="Century Gothic" w:hAnsi="Century Gothic" w:cs="Arial"/>
          <w:i/>
          <w:lang w:val="es-CO"/>
        </w:rPr>
        <w:t>(modificado por el artículo 2 de la Ley 1962 de 2019)</w:t>
      </w:r>
      <w:r w:rsidRPr="001F2271">
        <w:rPr>
          <w:rFonts w:ascii="Century Gothic" w:hAnsi="Century Gothic" w:cs="Arial"/>
          <w:lang w:val="es-CO"/>
        </w:rPr>
        <w:t>. El Estado colombiano desarrollará sus funciones utilizando la figura de las Regiones para planificar, organizar, y ejecutar sus actividades en el proceso de construcción colectiva del país, promoviendo la igualdad y el cierre de brechas entre los territorios. El ordenamiento territorial promoverá el establecimiento de Regiones de Planeación y Gestión, Regiones Administrativas y de Planificación (RAP) y de Regiones como Entidades Territoriales (RET) como marcos de relaciones geográficas, económicas, culturales, y funcionales, a partir de ecosistemas bióticos y biofísicos, de identidades culturales locales, de equipamientos e infraestructuras económicas y productivas y de relaciones entre las formas de vida rural y urbana, en el que se desarrolla la sociedad colombiana. En tal sentido la creación y el desarrollo de Regiones Administrativas y de Planificación (RAP) y Regiones como Entidad Territorial (RET), se enmarcan en una visión del desarrollo hacia la descentralización y la autonomía territorial, con el fin de fortalecer; el desarrollo nacional.</w:t>
      </w:r>
    </w:p>
    <w:p w:rsidR="001F2271" w:rsidRPr="001F2271" w:rsidRDefault="001F2271" w:rsidP="001F2271">
      <w:pPr>
        <w:jc w:val="both"/>
        <w:rPr>
          <w:rFonts w:ascii="Century Gothic" w:hAnsi="Century Gothic" w:cs="Arial"/>
          <w:lang w:val="es-CO"/>
        </w:rPr>
      </w:pPr>
      <w:r w:rsidRPr="001F2271">
        <w:rPr>
          <w:rFonts w:ascii="Century Gothic" w:hAnsi="Century Gothic" w:cs="Arial"/>
          <w:lang w:val="es-CO"/>
        </w:rPr>
        <w:t>(…)</w:t>
      </w:r>
    </w:p>
    <w:p w:rsidR="001F2271" w:rsidRPr="001F2271" w:rsidRDefault="001F2271" w:rsidP="001F2271">
      <w:pPr>
        <w:jc w:val="both"/>
        <w:rPr>
          <w:rFonts w:ascii="Century Gothic" w:hAnsi="Century Gothic" w:cs="Arial"/>
          <w:lang w:val="es-CO"/>
        </w:rPr>
      </w:pPr>
      <w:r w:rsidRPr="001F2271">
        <w:rPr>
          <w:rFonts w:ascii="Century Gothic" w:hAnsi="Century Gothic" w:cs="Arial"/>
          <w:lang w:val="es-CO"/>
        </w:rPr>
        <w:t>15. Equidad social y equilibrio territorial. La Ley de ordenamiento territorial reconoce los desequilibrios en el desarrollo económico, social y ambiental que existen entre diferentes regiones geográficas de nuestro país y buscará crear instrumentos para superar dichos desequilibrios.</w:t>
      </w:r>
    </w:p>
    <w:p w:rsidR="001F2271" w:rsidRPr="001F2271" w:rsidRDefault="001F2271" w:rsidP="001F2271">
      <w:pPr>
        <w:jc w:val="both"/>
        <w:rPr>
          <w:rFonts w:ascii="Century Gothic" w:hAnsi="Century Gothic" w:cs="Arial"/>
          <w:lang w:val="es-CO"/>
        </w:rPr>
      </w:pPr>
      <w:r w:rsidRPr="001F2271">
        <w:rPr>
          <w:rFonts w:ascii="Century Gothic" w:hAnsi="Century Gothic" w:cs="Arial"/>
          <w:lang w:val="es-CO"/>
        </w:rPr>
        <w:t>Por ello, la nación y las entidades territoriales propiciarán el acceso equitativo de todos los habitantes del territorio colombiano a las oportunidades y beneficios del desarrollo, buscando reducir los desequilibrios enunciados.</w:t>
      </w:r>
    </w:p>
    <w:p w:rsidR="001F2271" w:rsidRPr="001F2271" w:rsidRDefault="001F2271" w:rsidP="001F2271">
      <w:pPr>
        <w:jc w:val="both"/>
        <w:rPr>
          <w:rFonts w:ascii="Century Gothic" w:hAnsi="Century Gothic" w:cs="Arial"/>
          <w:lang w:val="es-CO"/>
        </w:rPr>
      </w:pPr>
    </w:p>
    <w:p w:rsidR="001F2271" w:rsidRPr="001F2271" w:rsidRDefault="001F2271" w:rsidP="001F2271">
      <w:pPr>
        <w:jc w:val="both"/>
        <w:rPr>
          <w:rFonts w:ascii="Century Gothic" w:hAnsi="Century Gothic" w:cs="Arial"/>
          <w:b/>
          <w:lang w:val="es-CO"/>
        </w:rPr>
      </w:pPr>
      <w:r w:rsidRPr="001F2271">
        <w:rPr>
          <w:rFonts w:ascii="Century Gothic" w:hAnsi="Century Gothic" w:cs="Arial"/>
          <w:b/>
          <w:lang w:val="es-CO"/>
        </w:rPr>
        <w:t>OTRAS COMPETENCIAS QUE PUEDE ASIGNALE LA LEY A LAS REGIONES</w:t>
      </w:r>
    </w:p>
    <w:p w:rsidR="001F2271" w:rsidRPr="001F2271" w:rsidRDefault="001F2271" w:rsidP="001F2271">
      <w:pPr>
        <w:jc w:val="both"/>
        <w:rPr>
          <w:rFonts w:ascii="Century Gothic" w:hAnsi="Century Gothic" w:cs="Arial"/>
          <w:u w:val="single"/>
          <w:lang w:val="es-CO"/>
        </w:rPr>
      </w:pPr>
      <w:r w:rsidRPr="001F2271">
        <w:rPr>
          <w:rFonts w:ascii="Century Gothic" w:hAnsi="Century Gothic" w:cs="Arial"/>
          <w:u w:val="single"/>
          <w:lang w:val="es-CO"/>
        </w:rPr>
        <w:t>Constitución Política de Colombia</w:t>
      </w:r>
    </w:p>
    <w:p w:rsidR="001F2271" w:rsidRPr="001F2271" w:rsidRDefault="001F2271" w:rsidP="001F2271">
      <w:pPr>
        <w:jc w:val="both"/>
        <w:rPr>
          <w:rFonts w:ascii="Century Gothic" w:hAnsi="Century Gothic" w:cs="Arial"/>
          <w:lang w:val="es-CO"/>
        </w:rPr>
      </w:pPr>
      <w:r w:rsidRPr="001F2271">
        <w:rPr>
          <w:rFonts w:ascii="Century Gothic" w:hAnsi="Century Gothic" w:cs="Arial"/>
          <w:lang w:val="es-CO"/>
        </w:rPr>
        <w:lastRenderedPageBreak/>
        <w:t>Artículo 302. La ley podrá establecer para uno o varios Departamentos diversas capacidades y competencias de gestión administrativa y fiscal distintas a las señaladas para ellos en la Constitución, en atención a la necesidad de mejorar la administración o la prestación de los servicios públicos de acuerdo con su población, recursos económicos y naturales y circunstancias sociales, culturales y ecológicas.</w:t>
      </w:r>
    </w:p>
    <w:p w:rsidR="001F2271" w:rsidRPr="001F2271" w:rsidRDefault="001F2271" w:rsidP="001F2271">
      <w:pPr>
        <w:jc w:val="both"/>
        <w:rPr>
          <w:rFonts w:ascii="Century Gothic" w:hAnsi="Century Gothic" w:cs="Arial"/>
          <w:lang w:val="es-CO"/>
        </w:rPr>
      </w:pPr>
      <w:r w:rsidRPr="001F2271">
        <w:rPr>
          <w:rFonts w:ascii="Century Gothic" w:hAnsi="Century Gothic" w:cs="Arial"/>
          <w:lang w:val="es-CO"/>
        </w:rPr>
        <w:t>En desarrollo de lo anterior, la ley podrá delegar, a uno o varios Departamentos, atribuciones propias de los organismos o entidades públicas nacionales.</w:t>
      </w:r>
    </w:p>
    <w:p w:rsidR="001F2271" w:rsidRPr="001F2271" w:rsidRDefault="001F2271" w:rsidP="001F2271">
      <w:pPr>
        <w:jc w:val="both"/>
        <w:rPr>
          <w:rFonts w:ascii="Century Gothic" w:hAnsi="Century Gothic" w:cs="Arial"/>
          <w:lang w:val="es-CO"/>
        </w:rPr>
      </w:pPr>
    </w:p>
    <w:p w:rsidR="001F2271" w:rsidRPr="001F2271" w:rsidRDefault="001F2271" w:rsidP="001F2271">
      <w:pPr>
        <w:pStyle w:val="Prrafodelista"/>
        <w:numPr>
          <w:ilvl w:val="0"/>
          <w:numId w:val="1"/>
        </w:numPr>
        <w:jc w:val="both"/>
        <w:rPr>
          <w:rFonts w:ascii="Century Gothic" w:hAnsi="Century Gothic" w:cs="Arial"/>
          <w:b/>
          <w:lang w:val="es-CO"/>
        </w:rPr>
      </w:pPr>
      <w:r w:rsidRPr="001F2271">
        <w:rPr>
          <w:rFonts w:ascii="Century Gothic" w:hAnsi="Century Gothic" w:cs="Arial"/>
          <w:b/>
          <w:lang w:val="es-CO"/>
        </w:rPr>
        <w:t>CONCLUSIONES</w:t>
      </w:r>
    </w:p>
    <w:p w:rsidR="001F2271" w:rsidRPr="001F2271" w:rsidRDefault="001F2271" w:rsidP="001F2271">
      <w:pPr>
        <w:jc w:val="both"/>
        <w:rPr>
          <w:rFonts w:ascii="Century Gothic" w:hAnsi="Century Gothic" w:cs="Arial"/>
          <w:lang w:val="es-CO"/>
        </w:rPr>
      </w:pPr>
      <w:r w:rsidRPr="001F2271">
        <w:rPr>
          <w:rFonts w:ascii="Century Gothic" w:hAnsi="Century Gothic" w:cs="Arial"/>
          <w:lang w:val="es-CO"/>
        </w:rPr>
        <w:t>No sólo la articulación y coordinación de funciones y competencias, sino la innovación en la construcción de nuevas formas de gerencia pública, es lo que ha venido orientando el desarrollo de las entidades territoriales en algunas regiones de Colombia. La falta de simetría y sincronía en los diálogos entre las regiones y la nación, entre las autoridades territoriales y nacionales, en especial entre las entidades que tienen la obligación de articular elementos de política pública para incidir en los territorios, ha constituido un factor de desigualdad, pero especialmente de inequidad territorial que ha generado exclusión y atraso regional, que ha llevado a muchas regiones a conflictos ambientales, políticos, sociales y culturales y que llevan años esperando ser resueltos y en muchos casos ni siquiera son conocidos por la opinión pública. Lo que no podremos cambiar es que, en esta reinvención del estado, de la administración pública y de la gerencia territorial, lo que sucede en las regiones y en cada territorio de cualquier parte del país, inevitablemente afectará o impactará positiva o negativamente en lo nacional y en sus resultados sectoriales.</w:t>
      </w:r>
    </w:p>
    <w:p w:rsidR="001F2271" w:rsidRPr="001F2271" w:rsidRDefault="001F2271" w:rsidP="001F2271">
      <w:pPr>
        <w:jc w:val="both"/>
        <w:rPr>
          <w:rFonts w:ascii="Century Gothic" w:hAnsi="Century Gothic" w:cs="Arial"/>
          <w:lang w:val="es-CO"/>
        </w:rPr>
      </w:pPr>
      <w:r w:rsidRPr="001F2271">
        <w:rPr>
          <w:rFonts w:ascii="Century Gothic" w:hAnsi="Century Gothic" w:cs="Arial"/>
          <w:lang w:val="es-CO"/>
        </w:rPr>
        <w:t>Se requiere que la autonomía local y regional, esté acompañada de fortalecimiento permanente en la capacidad institucional de las entidades territoriales, fortaleciendo la participación de las mismas comunidades, de la mano de las acciones comunales, ediles y líderes que se pueden convertir en gestores de desarrollo, en la construcción de una visión compartida de territorio, donde todos se sientan incluidos e identificados, donde sientan que es posible construir un futuro prometedor con dignidad y donde el Gobierno Nacional apoye, respalde y respete las decisiones en las regiones y sus entidades territoriales.  Ésta puede ser una nueva ruta que permita construir nuevos modelos de gestión pública de la mano de los principios de integración y regionalización, haciendo más efectiva y real la descentralización, pero sobre todo logrando impactar positivamente el desarrollo de nuestros territorios.</w:t>
      </w:r>
    </w:p>
    <w:p w:rsidR="001F2271" w:rsidRDefault="001F2271" w:rsidP="001F2271">
      <w:pPr>
        <w:jc w:val="both"/>
        <w:rPr>
          <w:rFonts w:ascii="Century Gothic" w:hAnsi="Century Gothic" w:cs="Arial"/>
          <w:lang w:val="es-CO"/>
        </w:rPr>
      </w:pPr>
      <w:r w:rsidRPr="001F2271">
        <w:rPr>
          <w:rFonts w:ascii="Century Gothic" w:hAnsi="Century Gothic" w:cs="Arial"/>
          <w:lang w:val="es-CO"/>
        </w:rPr>
        <w:lastRenderedPageBreak/>
        <w:t xml:space="preserve">Este modelo que les estoy poniendo a consideración de ustedes, permitirá no solo fortalecer la descentralización, sino que será un espaldarazo </w:t>
      </w:r>
      <w:r>
        <w:rPr>
          <w:rFonts w:ascii="Century Gothic" w:hAnsi="Century Gothic" w:cs="Arial"/>
          <w:lang w:val="es-CO"/>
        </w:rPr>
        <w:t>al desarrollo de nuestra región.</w:t>
      </w:r>
    </w:p>
    <w:p w:rsidR="001F2271" w:rsidRPr="001F2271" w:rsidRDefault="001F2271" w:rsidP="001F2271">
      <w:pPr>
        <w:jc w:val="both"/>
        <w:rPr>
          <w:rFonts w:ascii="Century Gothic" w:hAnsi="Century Gothic" w:cs="Arial"/>
          <w:lang w:val="es-CO"/>
        </w:rPr>
      </w:pPr>
      <w:r w:rsidRPr="001F2271">
        <w:rPr>
          <w:rFonts w:ascii="Century Gothic" w:hAnsi="Century Gothic" w:cs="Arial"/>
          <w:lang w:val="es-CO"/>
        </w:rPr>
        <w:t xml:space="preserve">Atentamente, </w:t>
      </w:r>
    </w:p>
    <w:p w:rsidR="001F2271" w:rsidRPr="001F2271" w:rsidRDefault="001F2271" w:rsidP="001F2271">
      <w:pPr>
        <w:jc w:val="both"/>
        <w:rPr>
          <w:rFonts w:ascii="Century Gothic" w:hAnsi="Century Gothic" w:cs="Arial"/>
          <w:lang w:val="es-CO"/>
        </w:rPr>
      </w:pPr>
    </w:p>
    <w:p w:rsidR="001F2271" w:rsidRPr="001F2271" w:rsidRDefault="001F2271" w:rsidP="001F2271">
      <w:pPr>
        <w:spacing w:after="0" w:line="240" w:lineRule="auto"/>
        <w:jc w:val="center"/>
        <w:rPr>
          <w:rFonts w:ascii="Century Gothic" w:hAnsi="Century Gothic" w:cs="Arial"/>
          <w:b/>
          <w:lang w:val="es-CO"/>
        </w:rPr>
      </w:pPr>
    </w:p>
    <w:p w:rsidR="001F2271" w:rsidRPr="001F2271" w:rsidRDefault="001F2271" w:rsidP="001F2271">
      <w:pPr>
        <w:spacing w:after="0" w:line="240" w:lineRule="auto"/>
        <w:jc w:val="center"/>
        <w:rPr>
          <w:rFonts w:ascii="Century Gothic" w:hAnsi="Century Gothic" w:cs="Arial"/>
          <w:b/>
          <w:lang w:val="es-CO"/>
        </w:rPr>
      </w:pPr>
    </w:p>
    <w:p w:rsidR="001F2271" w:rsidRPr="001F2271" w:rsidRDefault="001F2271" w:rsidP="001F2271">
      <w:pPr>
        <w:spacing w:after="0" w:line="240" w:lineRule="auto"/>
        <w:jc w:val="center"/>
        <w:rPr>
          <w:rFonts w:ascii="Century Gothic" w:hAnsi="Century Gothic" w:cs="Arial"/>
          <w:b/>
          <w:lang w:val="es-CO"/>
        </w:rPr>
      </w:pPr>
      <w:r w:rsidRPr="001F2271">
        <w:rPr>
          <w:rFonts w:ascii="Century Gothic" w:hAnsi="Century Gothic" w:cs="Arial"/>
          <w:b/>
          <w:lang w:val="es-CO"/>
        </w:rPr>
        <w:t>SALIM VILLAMIL QUESSEP</w:t>
      </w:r>
    </w:p>
    <w:p w:rsidR="001F2271" w:rsidRPr="001F2271" w:rsidRDefault="001F2271" w:rsidP="001F2271">
      <w:pPr>
        <w:spacing w:after="0" w:line="240" w:lineRule="auto"/>
        <w:jc w:val="center"/>
        <w:rPr>
          <w:rFonts w:ascii="Century Gothic" w:hAnsi="Century Gothic" w:cs="Arial"/>
          <w:lang w:val="es-CO"/>
        </w:rPr>
      </w:pPr>
      <w:r w:rsidRPr="001F2271">
        <w:rPr>
          <w:rFonts w:ascii="Century Gothic" w:hAnsi="Century Gothic" w:cs="Arial"/>
          <w:lang w:val="es-CO"/>
        </w:rPr>
        <w:t>Representante a la Cámara</w:t>
      </w:r>
    </w:p>
    <w:p w:rsidR="001F2271" w:rsidRPr="001F2271" w:rsidRDefault="001F2271" w:rsidP="001F2271">
      <w:pPr>
        <w:spacing w:after="0" w:line="240" w:lineRule="auto"/>
        <w:jc w:val="center"/>
        <w:rPr>
          <w:rFonts w:ascii="Century Gothic" w:hAnsi="Century Gothic" w:cs="Arial"/>
          <w:lang w:val="es-CO"/>
        </w:rPr>
      </w:pPr>
      <w:r w:rsidRPr="001F2271">
        <w:rPr>
          <w:rFonts w:ascii="Century Gothic" w:hAnsi="Century Gothic" w:cs="Arial"/>
          <w:lang w:val="es-CO"/>
        </w:rPr>
        <w:t>Partido Cambio Radical</w:t>
      </w:r>
    </w:p>
    <w:p w:rsidR="00D665D2" w:rsidRDefault="00D665D2" w:rsidP="001F2271">
      <w:pPr>
        <w:jc w:val="both"/>
        <w:rPr>
          <w:rFonts w:ascii="Century Gothic" w:hAnsi="Century Gothic"/>
          <w:lang w:val="es-CO"/>
        </w:rPr>
      </w:pPr>
    </w:p>
    <w:p w:rsidR="00D665D2" w:rsidRDefault="00D665D2" w:rsidP="00D665D2">
      <w:pPr>
        <w:jc w:val="both"/>
        <w:rPr>
          <w:rFonts w:ascii="Arial" w:hAnsi="Arial" w:cs="Arial"/>
          <w:sz w:val="24"/>
          <w:szCs w:val="24"/>
          <w:lang w:val="es-CO"/>
        </w:rPr>
      </w:pPr>
    </w:p>
    <w:p w:rsidR="00D665D2" w:rsidRPr="00D665D2" w:rsidRDefault="00D665D2" w:rsidP="00D665D2">
      <w:pPr>
        <w:spacing w:after="0" w:line="240" w:lineRule="auto"/>
        <w:jc w:val="center"/>
        <w:rPr>
          <w:rFonts w:ascii="Century Gothic" w:eastAsia="Times New Roman" w:hAnsi="Century Gothic" w:cs="Arial"/>
          <w:b/>
          <w:lang w:val="es-ES" w:eastAsia="es-ES"/>
        </w:rPr>
      </w:pPr>
      <w:r w:rsidRPr="00D665D2">
        <w:rPr>
          <w:rFonts w:ascii="Century Gothic" w:eastAsia="Times New Roman" w:hAnsi="Century Gothic" w:cs="Arial"/>
          <w:b/>
          <w:lang w:val="es-ES" w:eastAsia="es-ES"/>
        </w:rPr>
        <w:t>BANCADA SENADO -CR-</w:t>
      </w:r>
    </w:p>
    <w:tbl>
      <w:tblPr>
        <w:tblStyle w:val="Tablaconcuadrcula"/>
        <w:tblW w:w="0" w:type="auto"/>
        <w:tblLook w:val="04A0" w:firstRow="1" w:lastRow="0" w:firstColumn="1" w:lastColumn="0" w:noHBand="0" w:noVBand="1"/>
      </w:tblPr>
      <w:tblGrid>
        <w:gridCol w:w="4414"/>
        <w:gridCol w:w="4414"/>
      </w:tblGrid>
      <w:tr w:rsidR="00D665D2" w:rsidRPr="00D665D2" w:rsidTr="00496E01">
        <w:tc>
          <w:tcPr>
            <w:tcW w:w="4414" w:type="dxa"/>
          </w:tcPr>
          <w:p w:rsidR="00D665D2" w:rsidRPr="00D665D2" w:rsidRDefault="00D665D2" w:rsidP="00496E01">
            <w:pPr>
              <w:jc w:val="center"/>
              <w:rPr>
                <w:rStyle w:val="A3"/>
                <w:rFonts w:ascii="Century Gothic" w:hAnsi="Century Gothic" w:cs="Arial"/>
                <w:b/>
                <w:bCs/>
                <w:i w:val="0"/>
                <w:iCs w:val="0"/>
              </w:rPr>
            </w:pPr>
          </w:p>
          <w:p w:rsidR="00D665D2" w:rsidRPr="00D665D2" w:rsidRDefault="00D665D2" w:rsidP="00496E01">
            <w:pPr>
              <w:jc w:val="center"/>
              <w:rPr>
                <w:rStyle w:val="A3"/>
                <w:rFonts w:ascii="Century Gothic" w:hAnsi="Century Gothic" w:cs="Arial"/>
                <w:b/>
                <w:bCs/>
                <w:i w:val="0"/>
                <w:iCs w:val="0"/>
              </w:rPr>
            </w:pPr>
            <w:r w:rsidRPr="00D665D2">
              <w:rPr>
                <w:rStyle w:val="A3"/>
                <w:rFonts w:ascii="Century Gothic" w:hAnsi="Century Gothic" w:cs="Arial"/>
                <w:b/>
                <w:bCs/>
                <w:i w:val="0"/>
                <w:iCs w:val="0"/>
              </w:rPr>
              <w:t>TEMISTOCLE SORTEGA NARVAEZ</w:t>
            </w:r>
          </w:p>
          <w:p w:rsidR="00D665D2" w:rsidRPr="00D665D2" w:rsidRDefault="00D665D2" w:rsidP="00496E01">
            <w:pPr>
              <w:jc w:val="center"/>
              <w:rPr>
                <w:rStyle w:val="A3"/>
                <w:rFonts w:ascii="Century Gothic" w:hAnsi="Century Gothic" w:cs="Arial"/>
                <w:bCs/>
                <w:i w:val="0"/>
                <w:iCs w:val="0"/>
              </w:rPr>
            </w:pPr>
            <w:proofErr w:type="spellStart"/>
            <w:r w:rsidRPr="00D665D2">
              <w:rPr>
                <w:rStyle w:val="A3"/>
                <w:rFonts w:ascii="Century Gothic" w:hAnsi="Century Gothic" w:cs="Arial"/>
                <w:bCs/>
                <w:i w:val="0"/>
                <w:iCs w:val="0"/>
              </w:rPr>
              <w:t>Senador</w:t>
            </w:r>
            <w:proofErr w:type="spellEnd"/>
            <w:r w:rsidRPr="00D665D2">
              <w:rPr>
                <w:rStyle w:val="A3"/>
                <w:rFonts w:ascii="Century Gothic" w:hAnsi="Century Gothic" w:cs="Arial"/>
                <w:bCs/>
                <w:i w:val="0"/>
                <w:iCs w:val="0"/>
              </w:rPr>
              <w:t xml:space="preserve"> de la </w:t>
            </w:r>
            <w:proofErr w:type="spellStart"/>
            <w:r w:rsidRPr="00D665D2">
              <w:rPr>
                <w:rStyle w:val="A3"/>
                <w:rFonts w:ascii="Century Gothic" w:hAnsi="Century Gothic" w:cs="Arial"/>
                <w:bCs/>
                <w:i w:val="0"/>
                <w:iCs w:val="0"/>
              </w:rPr>
              <w:t>República</w:t>
            </w:r>
            <w:proofErr w:type="spellEnd"/>
          </w:p>
        </w:tc>
        <w:tc>
          <w:tcPr>
            <w:tcW w:w="4414" w:type="dxa"/>
          </w:tcPr>
          <w:p w:rsidR="00D665D2" w:rsidRPr="00D665D2" w:rsidRDefault="00D665D2" w:rsidP="00496E01">
            <w:pPr>
              <w:rPr>
                <w:rStyle w:val="A3"/>
                <w:rFonts w:ascii="Century Gothic" w:hAnsi="Century Gothic" w:cs="Arial"/>
                <w:b/>
                <w:bCs/>
                <w:i w:val="0"/>
                <w:iCs w:val="0"/>
              </w:rPr>
            </w:pPr>
            <w:r w:rsidRPr="00D665D2">
              <w:rPr>
                <w:rFonts w:ascii="Century Gothic" w:hAnsi="Century Gothic"/>
                <w:noProof/>
                <w:lang w:eastAsia="es-CO"/>
              </w:rPr>
              <w:t xml:space="preserve">                        </w:t>
            </w:r>
          </w:p>
          <w:p w:rsidR="00D665D2" w:rsidRPr="00D665D2" w:rsidRDefault="00D665D2" w:rsidP="00496E01">
            <w:pPr>
              <w:jc w:val="center"/>
              <w:rPr>
                <w:rStyle w:val="A3"/>
                <w:rFonts w:ascii="Century Gothic" w:hAnsi="Century Gothic" w:cs="Arial"/>
                <w:b/>
                <w:bCs/>
                <w:i w:val="0"/>
                <w:iCs w:val="0"/>
              </w:rPr>
            </w:pPr>
            <w:r w:rsidRPr="00D665D2">
              <w:rPr>
                <w:rStyle w:val="A3"/>
                <w:rFonts w:ascii="Century Gothic" w:hAnsi="Century Gothic" w:cs="Arial"/>
                <w:b/>
                <w:bCs/>
                <w:i w:val="0"/>
                <w:iCs w:val="0"/>
              </w:rPr>
              <w:t>DIDIER LOBO CHINCHILLA</w:t>
            </w:r>
          </w:p>
          <w:p w:rsidR="00D665D2" w:rsidRPr="00D665D2" w:rsidRDefault="00D665D2" w:rsidP="00496E01">
            <w:pPr>
              <w:jc w:val="center"/>
              <w:rPr>
                <w:rStyle w:val="A3"/>
                <w:rFonts w:ascii="Century Gothic" w:hAnsi="Century Gothic" w:cs="Arial"/>
                <w:b/>
                <w:bCs/>
                <w:i w:val="0"/>
                <w:iCs w:val="0"/>
              </w:rPr>
            </w:pPr>
            <w:proofErr w:type="spellStart"/>
            <w:r w:rsidRPr="00D665D2">
              <w:rPr>
                <w:rStyle w:val="A3"/>
                <w:rFonts w:ascii="Century Gothic" w:hAnsi="Century Gothic" w:cs="Arial"/>
                <w:bCs/>
                <w:i w:val="0"/>
                <w:iCs w:val="0"/>
              </w:rPr>
              <w:t>Senador</w:t>
            </w:r>
            <w:proofErr w:type="spellEnd"/>
            <w:r w:rsidRPr="00D665D2">
              <w:rPr>
                <w:rStyle w:val="A3"/>
                <w:rFonts w:ascii="Century Gothic" w:hAnsi="Century Gothic" w:cs="Arial"/>
                <w:bCs/>
                <w:i w:val="0"/>
                <w:iCs w:val="0"/>
              </w:rPr>
              <w:t xml:space="preserve"> de la </w:t>
            </w:r>
            <w:proofErr w:type="spellStart"/>
            <w:r w:rsidRPr="00D665D2">
              <w:rPr>
                <w:rStyle w:val="A3"/>
                <w:rFonts w:ascii="Century Gothic" w:hAnsi="Century Gothic" w:cs="Arial"/>
                <w:bCs/>
                <w:i w:val="0"/>
                <w:iCs w:val="0"/>
              </w:rPr>
              <w:t>República</w:t>
            </w:r>
            <w:proofErr w:type="spellEnd"/>
          </w:p>
        </w:tc>
      </w:tr>
      <w:tr w:rsidR="00D665D2" w:rsidRPr="00D665D2" w:rsidTr="00496E01">
        <w:tc>
          <w:tcPr>
            <w:tcW w:w="4414" w:type="dxa"/>
          </w:tcPr>
          <w:p w:rsidR="00D665D2" w:rsidRDefault="00D665D2" w:rsidP="00496E01">
            <w:pPr>
              <w:jc w:val="center"/>
              <w:rPr>
                <w:rFonts w:ascii="Century Gothic" w:hAnsi="Century Gothic"/>
                <w:noProof/>
                <w:lang w:eastAsia="es-CO"/>
              </w:rPr>
            </w:pPr>
          </w:p>
          <w:p w:rsidR="00A14EE4" w:rsidRPr="00D665D2" w:rsidRDefault="00A14EE4" w:rsidP="00496E01">
            <w:pPr>
              <w:jc w:val="center"/>
              <w:rPr>
                <w:rFonts w:ascii="Century Gothic" w:hAnsi="Century Gothic"/>
                <w:noProof/>
                <w:lang w:eastAsia="es-CO"/>
              </w:rPr>
            </w:pPr>
          </w:p>
          <w:p w:rsidR="00D665D2" w:rsidRPr="00D665D2" w:rsidRDefault="00D665D2" w:rsidP="00496E01">
            <w:pPr>
              <w:jc w:val="center"/>
              <w:rPr>
                <w:rFonts w:ascii="Century Gothic" w:hAnsi="Century Gothic" w:cs="Arial"/>
                <w:b/>
                <w:noProof/>
                <w:lang w:eastAsia="es-CO"/>
              </w:rPr>
            </w:pPr>
            <w:r w:rsidRPr="00D665D2">
              <w:rPr>
                <w:rFonts w:ascii="Century Gothic" w:hAnsi="Century Gothic" w:cs="Arial"/>
                <w:b/>
                <w:noProof/>
                <w:lang w:eastAsia="es-CO"/>
              </w:rPr>
              <w:t>LUIS EDUARDO DIAZGRANADOS</w:t>
            </w:r>
          </w:p>
          <w:p w:rsidR="00D665D2" w:rsidRPr="00D665D2" w:rsidRDefault="00D665D2" w:rsidP="00496E01">
            <w:pPr>
              <w:jc w:val="center"/>
              <w:rPr>
                <w:rFonts w:ascii="Century Gothic" w:hAnsi="Century Gothic"/>
                <w:noProof/>
                <w:lang w:eastAsia="es-CO"/>
              </w:rPr>
            </w:pPr>
            <w:r w:rsidRPr="00D665D2">
              <w:rPr>
                <w:rFonts w:ascii="Century Gothic" w:hAnsi="Century Gothic" w:cs="Arial"/>
                <w:noProof/>
                <w:lang w:eastAsia="es-CO"/>
              </w:rPr>
              <w:t>Senador de la República</w:t>
            </w:r>
          </w:p>
        </w:tc>
        <w:tc>
          <w:tcPr>
            <w:tcW w:w="4414" w:type="dxa"/>
          </w:tcPr>
          <w:p w:rsidR="00D665D2" w:rsidRPr="00D665D2" w:rsidRDefault="00D665D2" w:rsidP="00496E01">
            <w:pPr>
              <w:rPr>
                <w:rFonts w:ascii="Century Gothic" w:hAnsi="Century Gothic"/>
                <w:noProof/>
                <w:lang w:eastAsia="es-CO"/>
              </w:rPr>
            </w:pPr>
            <w:r w:rsidRPr="00D665D2">
              <w:rPr>
                <w:rFonts w:ascii="Century Gothic" w:hAnsi="Century Gothic"/>
                <w:noProof/>
                <w:lang w:val="es-CO" w:eastAsia="es-CO"/>
              </w:rPr>
              <w:drawing>
                <wp:anchor distT="0" distB="0" distL="114300" distR="114300" simplePos="0" relativeHeight="251666432" behindDoc="1" locked="0" layoutInCell="1" allowOverlap="1" wp14:anchorId="3A1CF51F" wp14:editId="03F46CA0">
                  <wp:simplePos x="0" y="0"/>
                  <wp:positionH relativeFrom="column">
                    <wp:posOffset>267335</wp:posOffset>
                  </wp:positionH>
                  <wp:positionV relativeFrom="paragraph">
                    <wp:posOffset>51435</wp:posOffset>
                  </wp:positionV>
                  <wp:extent cx="2095500" cy="523875"/>
                  <wp:effectExtent l="0" t="0" r="0" b="9525"/>
                  <wp:wrapNone/>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95500" cy="523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665D2">
              <w:rPr>
                <w:rFonts w:ascii="Century Gothic" w:hAnsi="Century Gothic"/>
                <w:noProof/>
                <w:lang w:eastAsia="es-CO"/>
              </w:rPr>
              <w:t xml:space="preserve">    </w:t>
            </w:r>
          </w:p>
          <w:p w:rsidR="00D665D2" w:rsidRPr="00D665D2" w:rsidRDefault="00D665D2" w:rsidP="00496E01">
            <w:pPr>
              <w:rPr>
                <w:rFonts w:ascii="Century Gothic" w:hAnsi="Century Gothic"/>
                <w:noProof/>
                <w:lang w:eastAsia="es-CO"/>
              </w:rPr>
            </w:pPr>
          </w:p>
          <w:p w:rsidR="00D665D2" w:rsidRPr="00D665D2" w:rsidRDefault="00D665D2" w:rsidP="00496E01">
            <w:pPr>
              <w:rPr>
                <w:rFonts w:ascii="Century Gothic" w:hAnsi="Century Gothic"/>
                <w:noProof/>
                <w:lang w:eastAsia="es-CO"/>
              </w:rPr>
            </w:pPr>
          </w:p>
          <w:p w:rsidR="00D665D2" w:rsidRPr="00D665D2" w:rsidRDefault="00D665D2" w:rsidP="00496E01">
            <w:pPr>
              <w:rPr>
                <w:rFonts w:ascii="Century Gothic" w:hAnsi="Century Gothic"/>
                <w:noProof/>
                <w:lang w:eastAsia="es-CO"/>
              </w:rPr>
            </w:pPr>
          </w:p>
          <w:p w:rsidR="00D665D2" w:rsidRPr="00D665D2" w:rsidRDefault="00D665D2" w:rsidP="00496E01">
            <w:pPr>
              <w:jc w:val="center"/>
              <w:rPr>
                <w:rFonts w:ascii="Century Gothic" w:hAnsi="Century Gothic" w:cs="Arial"/>
                <w:b/>
                <w:noProof/>
                <w:lang w:eastAsia="es-CO"/>
              </w:rPr>
            </w:pPr>
            <w:r w:rsidRPr="00D665D2">
              <w:rPr>
                <w:rFonts w:ascii="Century Gothic" w:hAnsi="Century Gothic" w:cs="Arial"/>
                <w:b/>
                <w:noProof/>
                <w:lang w:eastAsia="es-CO"/>
              </w:rPr>
              <w:t>FABIAN CASTILLO SUAREZ</w:t>
            </w:r>
          </w:p>
          <w:p w:rsidR="00D665D2" w:rsidRPr="00D665D2" w:rsidRDefault="00D665D2" w:rsidP="00496E01">
            <w:pPr>
              <w:jc w:val="center"/>
              <w:rPr>
                <w:rFonts w:ascii="Century Gothic" w:hAnsi="Century Gothic" w:cs="Arial"/>
                <w:noProof/>
                <w:lang w:eastAsia="es-CO"/>
              </w:rPr>
            </w:pPr>
            <w:r w:rsidRPr="00D665D2">
              <w:rPr>
                <w:rFonts w:ascii="Century Gothic" w:hAnsi="Century Gothic" w:cs="Arial"/>
                <w:noProof/>
                <w:lang w:eastAsia="es-CO"/>
              </w:rPr>
              <w:t>Senador de la República</w:t>
            </w:r>
          </w:p>
        </w:tc>
      </w:tr>
      <w:tr w:rsidR="00D665D2" w:rsidRPr="00D665D2" w:rsidTr="00496E01">
        <w:trPr>
          <w:trHeight w:val="1949"/>
        </w:trPr>
        <w:tc>
          <w:tcPr>
            <w:tcW w:w="4414" w:type="dxa"/>
          </w:tcPr>
          <w:p w:rsidR="00D665D2" w:rsidRPr="00D665D2" w:rsidRDefault="00D665D2" w:rsidP="00496E01">
            <w:pPr>
              <w:jc w:val="center"/>
              <w:rPr>
                <w:rFonts w:ascii="Century Gothic" w:hAnsi="Century Gothic"/>
                <w:noProof/>
                <w:lang w:eastAsia="es-CO"/>
              </w:rPr>
            </w:pPr>
            <w:r w:rsidRPr="00D665D2">
              <w:rPr>
                <w:rFonts w:ascii="Century Gothic" w:hAnsi="Century Gothic"/>
                <w:noProof/>
                <w:lang w:eastAsia="es-CO"/>
              </w:rPr>
              <w:t xml:space="preserve">     </w:t>
            </w:r>
          </w:p>
          <w:p w:rsidR="00D665D2" w:rsidRPr="00D665D2" w:rsidRDefault="00D665D2" w:rsidP="00496E01">
            <w:pPr>
              <w:jc w:val="center"/>
              <w:rPr>
                <w:rFonts w:ascii="Century Gothic" w:hAnsi="Century Gothic" w:cs="Arial"/>
                <w:b/>
                <w:noProof/>
                <w:lang w:eastAsia="es-CO"/>
              </w:rPr>
            </w:pPr>
            <w:r w:rsidRPr="00D665D2">
              <w:rPr>
                <w:rFonts w:ascii="Century Gothic" w:hAnsi="Century Gothic" w:cs="Arial"/>
                <w:b/>
                <w:noProof/>
                <w:lang w:eastAsia="es-CO"/>
              </w:rPr>
              <w:t>JOSÉ LUIS PÉREZ OYUELA</w:t>
            </w:r>
          </w:p>
          <w:p w:rsidR="00D665D2" w:rsidRPr="00D665D2" w:rsidRDefault="00D665D2" w:rsidP="00496E01">
            <w:pPr>
              <w:jc w:val="center"/>
              <w:rPr>
                <w:rFonts w:ascii="Century Gothic" w:hAnsi="Century Gothic"/>
                <w:noProof/>
                <w:lang w:eastAsia="es-CO"/>
              </w:rPr>
            </w:pPr>
            <w:r w:rsidRPr="00D665D2">
              <w:rPr>
                <w:rFonts w:ascii="Century Gothic" w:hAnsi="Century Gothic" w:cs="Arial"/>
                <w:noProof/>
                <w:lang w:eastAsia="es-CO"/>
              </w:rPr>
              <w:t>Senador de la República</w:t>
            </w:r>
          </w:p>
        </w:tc>
        <w:tc>
          <w:tcPr>
            <w:tcW w:w="4414" w:type="dxa"/>
          </w:tcPr>
          <w:p w:rsidR="00D665D2" w:rsidRPr="00D665D2" w:rsidRDefault="00D665D2" w:rsidP="00496E01">
            <w:pPr>
              <w:jc w:val="center"/>
              <w:rPr>
                <w:rFonts w:ascii="Century Gothic" w:hAnsi="Century Gothic" w:cs="Arial"/>
                <w:b/>
                <w:noProof/>
                <w:lang w:eastAsia="es-CO"/>
              </w:rPr>
            </w:pPr>
          </w:p>
          <w:p w:rsidR="00D665D2" w:rsidRPr="00D665D2" w:rsidRDefault="00D665D2" w:rsidP="00496E01">
            <w:pPr>
              <w:jc w:val="center"/>
              <w:rPr>
                <w:rFonts w:ascii="Century Gothic" w:hAnsi="Century Gothic" w:cs="Arial"/>
                <w:b/>
                <w:noProof/>
                <w:lang w:eastAsia="es-CO"/>
              </w:rPr>
            </w:pPr>
            <w:r w:rsidRPr="00D665D2">
              <w:rPr>
                <w:rFonts w:ascii="Century Gothic" w:hAnsi="Century Gothic" w:cs="Arial"/>
                <w:b/>
                <w:noProof/>
                <w:lang w:eastAsia="es-CO"/>
              </w:rPr>
              <w:t>ANTONIO LUIS ZABARAIN GUEVARA</w:t>
            </w:r>
          </w:p>
          <w:p w:rsidR="00D665D2" w:rsidRPr="00D665D2" w:rsidRDefault="00D665D2" w:rsidP="00496E01">
            <w:pPr>
              <w:jc w:val="center"/>
              <w:rPr>
                <w:rFonts w:ascii="Century Gothic" w:hAnsi="Century Gothic"/>
                <w:noProof/>
                <w:lang w:eastAsia="es-CO"/>
              </w:rPr>
            </w:pPr>
            <w:r w:rsidRPr="00D665D2">
              <w:rPr>
                <w:rFonts w:ascii="Century Gothic" w:hAnsi="Century Gothic" w:cs="Arial"/>
                <w:noProof/>
                <w:lang w:eastAsia="es-CO"/>
              </w:rPr>
              <w:t>Senador de la República</w:t>
            </w:r>
            <w:r w:rsidRPr="00D665D2">
              <w:rPr>
                <w:rFonts w:ascii="Century Gothic" w:hAnsi="Century Gothic"/>
                <w:noProof/>
                <w:lang w:eastAsia="es-CO"/>
              </w:rPr>
              <w:t xml:space="preserve"> </w:t>
            </w:r>
          </w:p>
        </w:tc>
      </w:tr>
    </w:tbl>
    <w:p w:rsidR="00D665D2" w:rsidRDefault="00D665D2" w:rsidP="001F2271">
      <w:pPr>
        <w:jc w:val="both"/>
        <w:rPr>
          <w:rFonts w:ascii="Century Gothic" w:hAnsi="Century Gothic"/>
          <w:lang w:val="es-CO"/>
        </w:rPr>
      </w:pPr>
    </w:p>
    <w:p w:rsidR="00D665D2" w:rsidRDefault="00D665D2" w:rsidP="001F2271">
      <w:pPr>
        <w:jc w:val="both"/>
        <w:rPr>
          <w:rFonts w:ascii="Century Gothic" w:hAnsi="Century Gothic"/>
          <w:lang w:val="es-CO"/>
        </w:rPr>
      </w:pPr>
    </w:p>
    <w:p w:rsidR="00D665D2" w:rsidRPr="00D665D2" w:rsidRDefault="00D665D2" w:rsidP="00D665D2">
      <w:pPr>
        <w:spacing w:after="0" w:line="240" w:lineRule="auto"/>
        <w:jc w:val="center"/>
        <w:rPr>
          <w:rFonts w:ascii="Century Gothic" w:eastAsia="Times New Roman" w:hAnsi="Century Gothic" w:cs="Arial"/>
          <w:b/>
          <w:lang w:val="es-ES" w:eastAsia="es-ES"/>
        </w:rPr>
      </w:pPr>
      <w:r w:rsidRPr="00D665D2">
        <w:rPr>
          <w:rFonts w:ascii="Century Gothic" w:eastAsia="Times New Roman" w:hAnsi="Century Gothic" w:cs="Arial"/>
          <w:b/>
          <w:lang w:val="es-ES" w:eastAsia="es-ES"/>
        </w:rPr>
        <w:t>BANCADA CÁMARA DE REPRESENTANTES -CR-</w:t>
      </w:r>
    </w:p>
    <w:p w:rsidR="00D665D2" w:rsidRPr="00D665D2" w:rsidRDefault="00D665D2" w:rsidP="00D665D2">
      <w:pPr>
        <w:spacing w:after="0" w:line="240" w:lineRule="auto"/>
        <w:jc w:val="center"/>
        <w:rPr>
          <w:rStyle w:val="A3"/>
          <w:rFonts w:ascii="Century Gothic" w:hAnsi="Century Gothic" w:cs="Arial"/>
          <w:b/>
          <w:bCs/>
          <w:i w:val="0"/>
          <w:iCs w:val="0"/>
          <w:lang w:val="es-CO"/>
        </w:rPr>
      </w:pPr>
    </w:p>
    <w:p w:rsidR="00D665D2" w:rsidRPr="00D665D2" w:rsidRDefault="00D665D2" w:rsidP="00D665D2">
      <w:pPr>
        <w:spacing w:after="0" w:line="240" w:lineRule="auto"/>
        <w:jc w:val="center"/>
        <w:rPr>
          <w:rStyle w:val="A3"/>
          <w:rFonts w:ascii="Century Gothic" w:hAnsi="Century Gothic" w:cs="Arial"/>
          <w:b/>
          <w:bCs/>
          <w:i w:val="0"/>
          <w:iCs w:val="0"/>
          <w:lang w:val="es-CO"/>
        </w:rPr>
      </w:pPr>
    </w:p>
    <w:tbl>
      <w:tblPr>
        <w:tblStyle w:val="Tablaconcuadrcula"/>
        <w:tblW w:w="0" w:type="auto"/>
        <w:tblLook w:val="04A0" w:firstRow="1" w:lastRow="0" w:firstColumn="1" w:lastColumn="0" w:noHBand="0" w:noVBand="1"/>
      </w:tblPr>
      <w:tblGrid>
        <w:gridCol w:w="4414"/>
        <w:gridCol w:w="4414"/>
      </w:tblGrid>
      <w:tr w:rsidR="00D665D2" w:rsidRPr="00D665D2" w:rsidTr="00496E01">
        <w:trPr>
          <w:trHeight w:val="1421"/>
        </w:trPr>
        <w:tc>
          <w:tcPr>
            <w:tcW w:w="4414" w:type="dxa"/>
          </w:tcPr>
          <w:p w:rsidR="00D665D2" w:rsidRPr="00D665D2" w:rsidRDefault="00D665D2" w:rsidP="00496E01">
            <w:pPr>
              <w:jc w:val="both"/>
              <w:rPr>
                <w:rFonts w:ascii="Century Gothic" w:eastAsia="Times New Roman" w:hAnsi="Century Gothic" w:cs="Arial"/>
                <w:b/>
                <w:lang w:val="es-ES" w:eastAsia="es-ES"/>
              </w:rPr>
            </w:pPr>
            <w:r w:rsidRPr="00D665D2">
              <w:rPr>
                <w:rFonts w:ascii="Century Gothic" w:eastAsia="Times New Roman" w:hAnsi="Century Gothic" w:cs="Arial"/>
                <w:noProof/>
                <w:lang w:eastAsia="es-CO"/>
              </w:rPr>
              <w:t xml:space="preserve">        </w:t>
            </w:r>
          </w:p>
          <w:p w:rsidR="00D665D2" w:rsidRPr="00D665D2" w:rsidRDefault="00D665D2" w:rsidP="00496E01">
            <w:pPr>
              <w:jc w:val="both"/>
              <w:rPr>
                <w:rFonts w:ascii="Century Gothic" w:eastAsia="Times New Roman" w:hAnsi="Century Gothic" w:cs="Arial"/>
                <w:b/>
                <w:lang w:val="es-ES" w:eastAsia="es-ES"/>
              </w:rPr>
            </w:pPr>
            <w:r w:rsidRPr="00D665D2">
              <w:rPr>
                <w:rFonts w:ascii="Century Gothic" w:eastAsia="Times New Roman" w:hAnsi="Century Gothic" w:cs="Arial"/>
                <w:noProof/>
                <w:lang w:eastAsia="es-CO"/>
              </w:rPr>
              <w:t xml:space="preserve">          </w:t>
            </w:r>
          </w:p>
          <w:p w:rsidR="00D665D2" w:rsidRPr="00D665D2" w:rsidRDefault="00D665D2" w:rsidP="00496E01">
            <w:pPr>
              <w:jc w:val="center"/>
              <w:rPr>
                <w:rFonts w:ascii="Century Gothic" w:eastAsia="Times New Roman" w:hAnsi="Century Gothic" w:cs="Arial"/>
                <w:b/>
                <w:lang w:val="es-ES" w:eastAsia="es-ES"/>
              </w:rPr>
            </w:pPr>
            <w:r w:rsidRPr="00D665D2">
              <w:rPr>
                <w:rFonts w:ascii="Century Gothic" w:eastAsia="Times New Roman" w:hAnsi="Century Gothic" w:cs="Arial"/>
                <w:b/>
                <w:lang w:val="es-ES" w:eastAsia="es-ES"/>
              </w:rPr>
              <w:t>KARINA ROJANO</w:t>
            </w:r>
          </w:p>
          <w:p w:rsidR="00D665D2" w:rsidRPr="00D665D2" w:rsidRDefault="00D665D2" w:rsidP="00496E01">
            <w:pPr>
              <w:jc w:val="center"/>
              <w:rPr>
                <w:rFonts w:ascii="Century Gothic" w:eastAsia="Times New Roman" w:hAnsi="Century Gothic" w:cs="Arial"/>
                <w:lang w:val="es-ES" w:eastAsia="es-ES"/>
              </w:rPr>
            </w:pPr>
            <w:r w:rsidRPr="00D665D2">
              <w:rPr>
                <w:rFonts w:ascii="Century Gothic" w:eastAsia="Times New Roman" w:hAnsi="Century Gothic" w:cs="Arial"/>
                <w:lang w:val="es-ES" w:eastAsia="es-ES"/>
              </w:rPr>
              <w:t>Representante a la Cámara</w:t>
            </w:r>
          </w:p>
        </w:tc>
        <w:tc>
          <w:tcPr>
            <w:tcW w:w="4414" w:type="dxa"/>
          </w:tcPr>
          <w:p w:rsidR="00D665D2" w:rsidRPr="00D665D2" w:rsidRDefault="00D665D2" w:rsidP="00496E01">
            <w:pPr>
              <w:jc w:val="both"/>
              <w:rPr>
                <w:rFonts w:ascii="Century Gothic" w:eastAsia="Times New Roman" w:hAnsi="Century Gothic" w:cs="Arial"/>
                <w:b/>
                <w:lang w:val="es-ES" w:eastAsia="es-ES"/>
              </w:rPr>
            </w:pPr>
            <w:r w:rsidRPr="00D665D2">
              <w:rPr>
                <w:rFonts w:ascii="Century Gothic" w:eastAsia="Times New Roman" w:hAnsi="Century Gothic" w:cs="Arial"/>
                <w:noProof/>
                <w:lang w:eastAsia="es-CO"/>
              </w:rPr>
              <w:t xml:space="preserve">               </w:t>
            </w:r>
          </w:p>
          <w:p w:rsidR="00D665D2" w:rsidRPr="00D665D2" w:rsidRDefault="00D665D2" w:rsidP="00496E01">
            <w:pPr>
              <w:jc w:val="both"/>
              <w:rPr>
                <w:rFonts w:ascii="Century Gothic" w:eastAsia="Times New Roman" w:hAnsi="Century Gothic" w:cs="Arial"/>
                <w:b/>
                <w:lang w:val="es-ES" w:eastAsia="es-ES"/>
              </w:rPr>
            </w:pPr>
          </w:p>
          <w:p w:rsidR="00D665D2" w:rsidRPr="00D665D2" w:rsidRDefault="00D665D2" w:rsidP="00496E01">
            <w:pPr>
              <w:jc w:val="center"/>
              <w:rPr>
                <w:rFonts w:ascii="Century Gothic" w:eastAsia="Times New Roman" w:hAnsi="Century Gothic" w:cs="Arial"/>
                <w:b/>
                <w:lang w:val="es-ES" w:eastAsia="es-ES"/>
              </w:rPr>
            </w:pPr>
            <w:r w:rsidRPr="00D665D2">
              <w:rPr>
                <w:rFonts w:ascii="Century Gothic" w:eastAsia="Times New Roman" w:hAnsi="Century Gothic" w:cs="Arial"/>
                <w:b/>
                <w:lang w:val="es-ES" w:eastAsia="es-ES"/>
              </w:rPr>
              <w:t>JOSÉ AMAR SEPÚLVEDA</w:t>
            </w:r>
          </w:p>
          <w:p w:rsidR="00D665D2" w:rsidRPr="00D665D2" w:rsidRDefault="00D665D2" w:rsidP="00496E01">
            <w:pPr>
              <w:jc w:val="center"/>
              <w:rPr>
                <w:rFonts w:ascii="Century Gothic" w:eastAsia="Times New Roman" w:hAnsi="Century Gothic" w:cs="Arial"/>
                <w:lang w:val="es-ES" w:eastAsia="es-ES"/>
              </w:rPr>
            </w:pPr>
            <w:r w:rsidRPr="00D665D2">
              <w:rPr>
                <w:rFonts w:ascii="Century Gothic" w:eastAsia="Times New Roman" w:hAnsi="Century Gothic" w:cs="Arial"/>
                <w:lang w:val="es-ES" w:eastAsia="es-ES"/>
              </w:rPr>
              <w:t>Representante a la Cámara</w:t>
            </w:r>
          </w:p>
        </w:tc>
      </w:tr>
      <w:tr w:rsidR="00D665D2" w:rsidRPr="00D665D2" w:rsidTr="00496E01">
        <w:trPr>
          <w:trHeight w:val="2051"/>
        </w:trPr>
        <w:tc>
          <w:tcPr>
            <w:tcW w:w="4414" w:type="dxa"/>
          </w:tcPr>
          <w:p w:rsidR="00D665D2" w:rsidRPr="00D665D2" w:rsidRDefault="00D665D2" w:rsidP="00496E01">
            <w:pPr>
              <w:jc w:val="center"/>
              <w:rPr>
                <w:rFonts w:ascii="Century Gothic" w:eastAsia="Times New Roman" w:hAnsi="Century Gothic" w:cs="Arial"/>
                <w:b/>
                <w:lang w:val="es-ES" w:eastAsia="es-ES"/>
              </w:rPr>
            </w:pPr>
          </w:p>
          <w:p w:rsidR="00D665D2" w:rsidRPr="00D665D2" w:rsidRDefault="00D665D2" w:rsidP="00496E01">
            <w:pPr>
              <w:rPr>
                <w:rFonts w:ascii="Century Gothic" w:eastAsia="Times New Roman" w:hAnsi="Century Gothic" w:cs="Arial"/>
                <w:b/>
                <w:lang w:val="es-ES" w:eastAsia="es-ES"/>
              </w:rPr>
            </w:pPr>
            <w:r w:rsidRPr="00D665D2">
              <w:rPr>
                <w:rFonts w:ascii="Century Gothic" w:eastAsia="Times New Roman" w:hAnsi="Century Gothic" w:cs="Arial"/>
                <w:b/>
                <w:noProof/>
                <w:lang w:eastAsia="es-CO"/>
              </w:rPr>
              <w:t xml:space="preserve">                                        </w:t>
            </w:r>
          </w:p>
          <w:p w:rsidR="00D665D2" w:rsidRPr="00D665D2" w:rsidRDefault="00D665D2" w:rsidP="00496E01">
            <w:pPr>
              <w:jc w:val="center"/>
              <w:rPr>
                <w:rFonts w:ascii="Century Gothic" w:eastAsia="Times New Roman" w:hAnsi="Century Gothic" w:cs="Arial"/>
                <w:b/>
                <w:lang w:val="es-ES" w:eastAsia="es-ES"/>
              </w:rPr>
            </w:pPr>
          </w:p>
          <w:p w:rsidR="00D665D2" w:rsidRPr="00D665D2" w:rsidRDefault="00D665D2" w:rsidP="00496E01">
            <w:pPr>
              <w:jc w:val="center"/>
              <w:rPr>
                <w:rFonts w:ascii="Century Gothic" w:eastAsia="Times New Roman" w:hAnsi="Century Gothic" w:cs="Arial"/>
                <w:b/>
                <w:lang w:val="es-ES" w:eastAsia="es-ES"/>
              </w:rPr>
            </w:pPr>
          </w:p>
          <w:p w:rsidR="00D665D2" w:rsidRPr="00D665D2" w:rsidRDefault="00D665D2" w:rsidP="00496E01">
            <w:pPr>
              <w:jc w:val="center"/>
              <w:rPr>
                <w:rFonts w:ascii="Century Gothic" w:eastAsia="Times New Roman" w:hAnsi="Century Gothic" w:cs="Arial"/>
                <w:lang w:val="es-ES" w:eastAsia="es-ES"/>
              </w:rPr>
            </w:pPr>
            <w:r w:rsidRPr="00D665D2">
              <w:rPr>
                <w:rFonts w:ascii="Century Gothic" w:eastAsia="Times New Roman" w:hAnsi="Century Gothic" w:cs="Arial"/>
                <w:b/>
                <w:lang w:val="es-ES" w:eastAsia="es-ES"/>
              </w:rPr>
              <w:t>CESAR LORDUY MALDONADO</w:t>
            </w:r>
          </w:p>
          <w:p w:rsidR="00D665D2" w:rsidRPr="00D665D2" w:rsidRDefault="00D665D2" w:rsidP="00496E01">
            <w:pPr>
              <w:jc w:val="center"/>
              <w:rPr>
                <w:rFonts w:ascii="Century Gothic" w:eastAsia="Times New Roman" w:hAnsi="Century Gothic" w:cs="Arial"/>
                <w:lang w:val="es-ES" w:eastAsia="es-ES"/>
              </w:rPr>
            </w:pPr>
            <w:r w:rsidRPr="00D665D2">
              <w:rPr>
                <w:rFonts w:ascii="Century Gothic" w:eastAsia="Times New Roman" w:hAnsi="Century Gothic" w:cs="Arial"/>
                <w:lang w:val="es-ES" w:eastAsia="es-ES"/>
              </w:rPr>
              <w:t>Representante a la Cámara</w:t>
            </w:r>
          </w:p>
        </w:tc>
        <w:tc>
          <w:tcPr>
            <w:tcW w:w="4414" w:type="dxa"/>
          </w:tcPr>
          <w:p w:rsidR="00D665D2" w:rsidRPr="00D665D2" w:rsidRDefault="00D665D2" w:rsidP="00496E01">
            <w:pPr>
              <w:jc w:val="both"/>
              <w:rPr>
                <w:rFonts w:ascii="Century Gothic" w:eastAsia="Times New Roman" w:hAnsi="Century Gothic" w:cs="Arial"/>
                <w:b/>
                <w:lang w:val="es-ES" w:eastAsia="es-ES"/>
              </w:rPr>
            </w:pPr>
            <w:r w:rsidRPr="00D665D2">
              <w:rPr>
                <w:rFonts w:ascii="Century Gothic" w:eastAsia="Times New Roman" w:hAnsi="Century Gothic" w:cs="Arial"/>
                <w:noProof/>
                <w:lang w:eastAsia="es-CO"/>
              </w:rPr>
              <w:t xml:space="preserve">                         </w:t>
            </w:r>
          </w:p>
          <w:p w:rsidR="00D665D2" w:rsidRPr="00D665D2" w:rsidRDefault="00D665D2" w:rsidP="00496E01">
            <w:pPr>
              <w:jc w:val="center"/>
              <w:rPr>
                <w:rFonts w:ascii="Century Gothic" w:eastAsia="Times New Roman" w:hAnsi="Century Gothic" w:cs="Arial"/>
                <w:b/>
                <w:lang w:val="es-ES" w:eastAsia="es-ES"/>
              </w:rPr>
            </w:pPr>
          </w:p>
          <w:p w:rsidR="00D665D2" w:rsidRPr="00D665D2" w:rsidRDefault="00D665D2" w:rsidP="00496E01">
            <w:pPr>
              <w:jc w:val="center"/>
              <w:rPr>
                <w:rFonts w:ascii="Century Gothic" w:eastAsia="Times New Roman" w:hAnsi="Century Gothic" w:cs="Arial"/>
                <w:b/>
                <w:lang w:val="es-ES" w:eastAsia="es-ES"/>
              </w:rPr>
            </w:pPr>
            <w:r w:rsidRPr="00D665D2">
              <w:rPr>
                <w:rFonts w:ascii="Century Gothic" w:eastAsia="Times New Roman" w:hAnsi="Century Gothic" w:cs="Arial"/>
                <w:b/>
                <w:lang w:val="es-ES" w:eastAsia="es-ES"/>
              </w:rPr>
              <w:t>MODESTO AGUILERA VIDES</w:t>
            </w:r>
          </w:p>
          <w:p w:rsidR="00D665D2" w:rsidRPr="00D665D2" w:rsidRDefault="00D665D2" w:rsidP="00496E01">
            <w:pPr>
              <w:jc w:val="center"/>
              <w:rPr>
                <w:rFonts w:ascii="Century Gothic" w:eastAsia="Times New Roman" w:hAnsi="Century Gothic" w:cs="Arial"/>
                <w:lang w:val="es-ES" w:eastAsia="es-ES"/>
              </w:rPr>
            </w:pPr>
            <w:r w:rsidRPr="00D665D2">
              <w:rPr>
                <w:rFonts w:ascii="Century Gothic" w:eastAsia="Times New Roman" w:hAnsi="Century Gothic" w:cs="Arial"/>
                <w:lang w:val="es-ES" w:eastAsia="es-ES"/>
              </w:rPr>
              <w:t>Representante a la Cámara</w:t>
            </w:r>
          </w:p>
        </w:tc>
      </w:tr>
      <w:tr w:rsidR="00D665D2" w:rsidRPr="00D665D2" w:rsidTr="00496E01">
        <w:trPr>
          <w:trHeight w:val="1530"/>
        </w:trPr>
        <w:tc>
          <w:tcPr>
            <w:tcW w:w="4414" w:type="dxa"/>
          </w:tcPr>
          <w:p w:rsidR="00D665D2" w:rsidRPr="00D665D2" w:rsidRDefault="00D665D2" w:rsidP="00496E01">
            <w:pPr>
              <w:jc w:val="center"/>
              <w:rPr>
                <w:rFonts w:ascii="Century Gothic" w:eastAsia="Times New Roman" w:hAnsi="Century Gothic" w:cs="Arial"/>
                <w:b/>
                <w:lang w:val="es-ES" w:eastAsia="es-ES"/>
              </w:rPr>
            </w:pPr>
          </w:p>
          <w:p w:rsidR="00D665D2" w:rsidRPr="00D665D2" w:rsidRDefault="00D665D2" w:rsidP="00496E01">
            <w:pPr>
              <w:jc w:val="center"/>
              <w:rPr>
                <w:rFonts w:ascii="Century Gothic" w:eastAsia="Times New Roman" w:hAnsi="Century Gothic" w:cs="Arial"/>
                <w:b/>
                <w:lang w:val="es-ES" w:eastAsia="es-ES"/>
              </w:rPr>
            </w:pPr>
          </w:p>
          <w:p w:rsidR="00D665D2" w:rsidRPr="00D665D2" w:rsidRDefault="00D665D2" w:rsidP="00496E01">
            <w:pPr>
              <w:jc w:val="center"/>
              <w:rPr>
                <w:rFonts w:ascii="Century Gothic" w:eastAsia="Times New Roman" w:hAnsi="Century Gothic" w:cs="Arial"/>
                <w:b/>
                <w:color w:val="000000" w:themeColor="text1"/>
                <w:lang w:val="es-ES" w:eastAsia="es-ES"/>
              </w:rPr>
            </w:pPr>
            <w:r w:rsidRPr="00D665D2">
              <w:rPr>
                <w:rFonts w:ascii="Century Gothic" w:eastAsia="Times New Roman" w:hAnsi="Century Gothic" w:cs="Arial"/>
                <w:b/>
                <w:color w:val="000000" w:themeColor="text1"/>
                <w:lang w:val="es-ES" w:eastAsia="es-ES"/>
              </w:rPr>
              <w:t>ANGELA SÁNCHEZ LEAL</w:t>
            </w:r>
          </w:p>
          <w:p w:rsidR="00D665D2" w:rsidRPr="00D665D2" w:rsidRDefault="00D665D2" w:rsidP="00496E01">
            <w:pPr>
              <w:jc w:val="center"/>
              <w:rPr>
                <w:rFonts w:ascii="Century Gothic" w:eastAsia="Times New Roman" w:hAnsi="Century Gothic" w:cs="Arial"/>
                <w:lang w:val="es-ES" w:eastAsia="es-ES"/>
              </w:rPr>
            </w:pPr>
            <w:r w:rsidRPr="00D665D2">
              <w:rPr>
                <w:rFonts w:ascii="Century Gothic" w:eastAsia="Times New Roman" w:hAnsi="Century Gothic" w:cs="Arial"/>
                <w:color w:val="000000" w:themeColor="text1"/>
                <w:lang w:val="es-ES" w:eastAsia="es-ES"/>
              </w:rPr>
              <w:t>Representante a la Cámara</w:t>
            </w:r>
          </w:p>
        </w:tc>
        <w:tc>
          <w:tcPr>
            <w:tcW w:w="4414" w:type="dxa"/>
          </w:tcPr>
          <w:p w:rsidR="00D665D2" w:rsidRPr="00D665D2" w:rsidRDefault="00D665D2" w:rsidP="00496E01">
            <w:pPr>
              <w:jc w:val="center"/>
              <w:rPr>
                <w:rFonts w:ascii="Century Gothic" w:eastAsia="Times New Roman" w:hAnsi="Century Gothic" w:cs="Arial"/>
                <w:b/>
                <w:lang w:val="es-ES" w:eastAsia="es-ES"/>
              </w:rPr>
            </w:pPr>
          </w:p>
          <w:p w:rsidR="00D665D2" w:rsidRPr="00D665D2" w:rsidRDefault="00D665D2" w:rsidP="00496E01">
            <w:pPr>
              <w:jc w:val="center"/>
              <w:rPr>
                <w:rFonts w:ascii="Century Gothic" w:eastAsia="Times New Roman" w:hAnsi="Century Gothic" w:cs="Arial"/>
                <w:b/>
                <w:lang w:val="es-ES" w:eastAsia="es-ES"/>
              </w:rPr>
            </w:pPr>
          </w:p>
          <w:p w:rsidR="00D665D2" w:rsidRPr="00D665D2" w:rsidRDefault="00D665D2" w:rsidP="00496E01">
            <w:pPr>
              <w:jc w:val="center"/>
              <w:rPr>
                <w:rFonts w:ascii="Century Gothic" w:eastAsia="Times New Roman" w:hAnsi="Century Gothic" w:cs="Arial"/>
                <w:b/>
                <w:lang w:val="es-ES" w:eastAsia="es-ES"/>
              </w:rPr>
            </w:pPr>
            <w:r w:rsidRPr="00D665D2">
              <w:rPr>
                <w:rFonts w:ascii="Century Gothic" w:eastAsia="Times New Roman" w:hAnsi="Century Gothic" w:cs="Arial"/>
                <w:b/>
                <w:lang w:val="es-ES" w:eastAsia="es-ES"/>
              </w:rPr>
              <w:t>OSWALDO ARCOS BENAVIDES</w:t>
            </w:r>
          </w:p>
          <w:p w:rsidR="00D665D2" w:rsidRPr="00D665D2" w:rsidRDefault="00D665D2" w:rsidP="00496E01">
            <w:pPr>
              <w:jc w:val="center"/>
              <w:rPr>
                <w:rFonts w:ascii="Century Gothic" w:eastAsia="Times New Roman" w:hAnsi="Century Gothic" w:cs="Arial"/>
                <w:lang w:val="es-ES" w:eastAsia="es-ES"/>
              </w:rPr>
            </w:pPr>
            <w:r w:rsidRPr="00D665D2">
              <w:rPr>
                <w:rFonts w:ascii="Century Gothic" w:eastAsia="Times New Roman" w:hAnsi="Century Gothic" w:cs="Arial"/>
                <w:lang w:val="es-ES" w:eastAsia="es-ES"/>
              </w:rPr>
              <w:t>Representante a la Cámara</w:t>
            </w:r>
          </w:p>
        </w:tc>
      </w:tr>
      <w:tr w:rsidR="00D665D2" w:rsidRPr="00D665D2" w:rsidTr="00496E01">
        <w:trPr>
          <w:trHeight w:val="1530"/>
        </w:trPr>
        <w:tc>
          <w:tcPr>
            <w:tcW w:w="4414" w:type="dxa"/>
          </w:tcPr>
          <w:p w:rsidR="00D665D2" w:rsidRPr="00D665D2" w:rsidRDefault="00D665D2" w:rsidP="00496E01">
            <w:pPr>
              <w:rPr>
                <w:rFonts w:ascii="Century Gothic" w:eastAsia="Times New Roman" w:hAnsi="Century Gothic" w:cs="Arial"/>
                <w:b/>
                <w:lang w:val="es-ES" w:eastAsia="es-ES"/>
              </w:rPr>
            </w:pPr>
          </w:p>
          <w:p w:rsidR="00D665D2" w:rsidRPr="00D665D2" w:rsidRDefault="00D665D2" w:rsidP="00496E01">
            <w:pPr>
              <w:jc w:val="center"/>
              <w:rPr>
                <w:rFonts w:ascii="Century Gothic" w:eastAsia="Times New Roman" w:hAnsi="Century Gothic" w:cs="Arial"/>
                <w:b/>
                <w:lang w:val="es-ES" w:eastAsia="es-ES"/>
              </w:rPr>
            </w:pPr>
            <w:r w:rsidRPr="00D665D2">
              <w:rPr>
                <w:rFonts w:ascii="Century Gothic" w:eastAsia="Times New Roman" w:hAnsi="Century Gothic" w:cs="Arial"/>
                <w:b/>
                <w:lang w:val="es-ES" w:eastAsia="es-ES"/>
              </w:rPr>
              <w:t>DAVID ERNESTO PULIDO NOVOA</w:t>
            </w:r>
          </w:p>
          <w:p w:rsidR="00D665D2" w:rsidRPr="00D665D2" w:rsidRDefault="00D665D2" w:rsidP="00496E01">
            <w:pPr>
              <w:jc w:val="center"/>
              <w:rPr>
                <w:rFonts w:ascii="Century Gothic" w:eastAsia="Times New Roman" w:hAnsi="Century Gothic" w:cs="Arial"/>
                <w:noProof/>
                <w:lang w:eastAsia="es-CO"/>
              </w:rPr>
            </w:pPr>
            <w:r w:rsidRPr="00D665D2">
              <w:rPr>
                <w:rFonts w:ascii="Century Gothic" w:eastAsia="Times New Roman" w:hAnsi="Century Gothic" w:cs="Arial"/>
                <w:lang w:val="es-ES" w:eastAsia="es-ES"/>
              </w:rPr>
              <w:t>Representante a la Cámara</w:t>
            </w:r>
          </w:p>
        </w:tc>
        <w:tc>
          <w:tcPr>
            <w:tcW w:w="4414" w:type="dxa"/>
          </w:tcPr>
          <w:p w:rsidR="00D665D2" w:rsidRPr="00D665D2" w:rsidRDefault="00D665D2" w:rsidP="00496E01">
            <w:pPr>
              <w:jc w:val="center"/>
              <w:rPr>
                <w:rFonts w:ascii="Century Gothic" w:eastAsia="Times New Roman" w:hAnsi="Century Gothic" w:cs="Arial"/>
                <w:b/>
                <w:highlight w:val="yellow"/>
                <w:lang w:val="es-ES" w:eastAsia="es-ES"/>
              </w:rPr>
            </w:pPr>
          </w:p>
          <w:p w:rsidR="00D665D2" w:rsidRPr="00D665D2" w:rsidRDefault="00D665D2" w:rsidP="00496E01">
            <w:pPr>
              <w:jc w:val="center"/>
              <w:rPr>
                <w:rFonts w:ascii="Century Gothic" w:eastAsia="Times New Roman" w:hAnsi="Century Gothic" w:cs="Arial"/>
                <w:b/>
                <w:highlight w:val="yellow"/>
                <w:lang w:val="es-ES" w:eastAsia="es-ES"/>
              </w:rPr>
            </w:pPr>
          </w:p>
          <w:p w:rsidR="00D665D2" w:rsidRPr="00D665D2" w:rsidRDefault="00D665D2" w:rsidP="00496E01">
            <w:pPr>
              <w:jc w:val="center"/>
              <w:rPr>
                <w:rFonts w:ascii="Century Gothic" w:eastAsia="Times New Roman" w:hAnsi="Century Gothic" w:cs="Arial"/>
                <w:b/>
                <w:lang w:val="es-ES" w:eastAsia="es-ES"/>
              </w:rPr>
            </w:pPr>
            <w:r w:rsidRPr="00D665D2">
              <w:rPr>
                <w:rFonts w:ascii="Century Gothic" w:eastAsia="Times New Roman" w:hAnsi="Century Gothic" w:cs="Arial"/>
                <w:b/>
                <w:lang w:val="es-ES" w:eastAsia="es-ES"/>
              </w:rPr>
              <w:t>ATILANO ALONSO GIRALDO</w:t>
            </w:r>
          </w:p>
          <w:p w:rsidR="00D665D2" w:rsidRPr="00D665D2" w:rsidRDefault="00D665D2" w:rsidP="00496E01">
            <w:pPr>
              <w:jc w:val="center"/>
              <w:rPr>
                <w:rFonts w:ascii="Century Gothic" w:eastAsia="Times New Roman" w:hAnsi="Century Gothic" w:cs="Arial"/>
                <w:b/>
                <w:noProof/>
                <w:lang w:eastAsia="es-CO"/>
              </w:rPr>
            </w:pPr>
            <w:r w:rsidRPr="00D665D2">
              <w:rPr>
                <w:rFonts w:ascii="Century Gothic" w:eastAsia="Times New Roman" w:hAnsi="Century Gothic" w:cs="Arial"/>
                <w:lang w:val="es-ES" w:eastAsia="es-ES"/>
              </w:rPr>
              <w:t>Representante a la Cámara</w:t>
            </w:r>
          </w:p>
        </w:tc>
      </w:tr>
      <w:tr w:rsidR="00D665D2" w:rsidRPr="00D665D2" w:rsidTr="00496E01">
        <w:trPr>
          <w:trHeight w:val="1530"/>
        </w:trPr>
        <w:tc>
          <w:tcPr>
            <w:tcW w:w="4414" w:type="dxa"/>
          </w:tcPr>
          <w:p w:rsidR="00D665D2" w:rsidRPr="00D665D2" w:rsidRDefault="00D665D2" w:rsidP="00496E01">
            <w:pPr>
              <w:jc w:val="center"/>
              <w:rPr>
                <w:rFonts w:ascii="Century Gothic" w:eastAsia="Times New Roman" w:hAnsi="Century Gothic" w:cs="Arial"/>
                <w:b/>
                <w:lang w:val="es-ES" w:eastAsia="es-ES"/>
              </w:rPr>
            </w:pPr>
          </w:p>
          <w:p w:rsidR="00D665D2" w:rsidRPr="00D665D2" w:rsidRDefault="00D665D2" w:rsidP="00496E01">
            <w:pPr>
              <w:rPr>
                <w:rFonts w:ascii="Century Gothic" w:eastAsia="Times New Roman" w:hAnsi="Century Gothic" w:cs="Arial"/>
                <w:lang w:val="es-ES" w:eastAsia="es-ES"/>
              </w:rPr>
            </w:pPr>
          </w:p>
          <w:p w:rsidR="00D665D2" w:rsidRPr="00D665D2" w:rsidRDefault="00D665D2" w:rsidP="00496E01">
            <w:pPr>
              <w:jc w:val="center"/>
              <w:rPr>
                <w:rFonts w:ascii="Century Gothic" w:eastAsia="Times New Roman" w:hAnsi="Century Gothic" w:cs="Arial"/>
                <w:b/>
                <w:lang w:val="es-ES" w:eastAsia="es-ES"/>
              </w:rPr>
            </w:pPr>
            <w:r w:rsidRPr="00D665D2">
              <w:rPr>
                <w:rFonts w:ascii="Century Gothic" w:eastAsia="Times New Roman" w:hAnsi="Century Gothic" w:cs="Arial"/>
                <w:b/>
                <w:lang w:val="es-ES" w:eastAsia="es-ES"/>
              </w:rPr>
              <w:t>ELOY QUINTERO ROMERO</w:t>
            </w:r>
          </w:p>
          <w:p w:rsidR="00D665D2" w:rsidRPr="00D665D2" w:rsidRDefault="00D665D2" w:rsidP="00496E01">
            <w:pPr>
              <w:jc w:val="center"/>
              <w:rPr>
                <w:rFonts w:ascii="Century Gothic" w:eastAsia="Times New Roman" w:hAnsi="Century Gothic" w:cs="Arial"/>
                <w:lang w:val="es-ES" w:eastAsia="es-ES"/>
              </w:rPr>
            </w:pPr>
            <w:r w:rsidRPr="00D665D2">
              <w:rPr>
                <w:rFonts w:ascii="Century Gothic" w:eastAsia="Times New Roman" w:hAnsi="Century Gothic" w:cs="Arial"/>
                <w:lang w:val="es-ES" w:eastAsia="es-ES"/>
              </w:rPr>
              <w:t>Representante a la Cámara</w:t>
            </w:r>
          </w:p>
        </w:tc>
        <w:tc>
          <w:tcPr>
            <w:tcW w:w="4414" w:type="dxa"/>
          </w:tcPr>
          <w:p w:rsidR="00D665D2" w:rsidRPr="00D665D2" w:rsidRDefault="00D665D2" w:rsidP="00496E01">
            <w:pPr>
              <w:jc w:val="center"/>
              <w:rPr>
                <w:rFonts w:ascii="Century Gothic" w:eastAsia="Times New Roman" w:hAnsi="Century Gothic" w:cs="Arial"/>
                <w:noProof/>
                <w:lang w:eastAsia="es-CO"/>
              </w:rPr>
            </w:pPr>
          </w:p>
          <w:p w:rsidR="00D665D2" w:rsidRPr="00D665D2" w:rsidRDefault="00D665D2" w:rsidP="00496E01">
            <w:pPr>
              <w:jc w:val="center"/>
              <w:rPr>
                <w:rFonts w:ascii="Century Gothic" w:eastAsia="Times New Roman" w:hAnsi="Century Gothic" w:cs="Arial"/>
                <w:b/>
                <w:lang w:val="es-ES" w:eastAsia="es-ES"/>
              </w:rPr>
            </w:pPr>
            <w:r w:rsidRPr="00D665D2">
              <w:rPr>
                <w:rFonts w:ascii="Century Gothic" w:eastAsia="Times New Roman" w:hAnsi="Century Gothic" w:cs="Arial"/>
                <w:b/>
                <w:lang w:val="es-ES" w:eastAsia="es-ES"/>
              </w:rPr>
              <w:t>GUSTAVO PUENTES DIAZ</w:t>
            </w:r>
          </w:p>
          <w:p w:rsidR="00D665D2" w:rsidRPr="00D665D2" w:rsidRDefault="00D665D2" w:rsidP="00496E01">
            <w:pPr>
              <w:tabs>
                <w:tab w:val="left" w:pos="1125"/>
              </w:tabs>
              <w:jc w:val="center"/>
              <w:rPr>
                <w:rFonts w:ascii="Century Gothic" w:eastAsia="Times New Roman" w:hAnsi="Century Gothic" w:cs="Arial"/>
                <w:lang w:eastAsia="es-CO"/>
              </w:rPr>
            </w:pPr>
            <w:r w:rsidRPr="00D665D2">
              <w:rPr>
                <w:rFonts w:ascii="Century Gothic" w:eastAsia="Times New Roman" w:hAnsi="Century Gothic" w:cs="Arial"/>
                <w:lang w:val="es-ES" w:eastAsia="es-ES"/>
              </w:rPr>
              <w:t>Representante a la Cámara</w:t>
            </w:r>
          </w:p>
        </w:tc>
      </w:tr>
      <w:tr w:rsidR="00D665D2" w:rsidRPr="00D665D2" w:rsidTr="00496E01">
        <w:tc>
          <w:tcPr>
            <w:tcW w:w="4414" w:type="dxa"/>
          </w:tcPr>
          <w:p w:rsidR="00D665D2" w:rsidRPr="00D665D2" w:rsidRDefault="00D665D2" w:rsidP="00496E01">
            <w:pPr>
              <w:jc w:val="center"/>
              <w:rPr>
                <w:rFonts w:ascii="Century Gothic" w:eastAsia="Times New Roman" w:hAnsi="Century Gothic" w:cs="Arial"/>
                <w:b/>
                <w:lang w:val="es-ES" w:eastAsia="es-ES"/>
              </w:rPr>
            </w:pPr>
          </w:p>
          <w:p w:rsidR="00D665D2" w:rsidRPr="00D665D2" w:rsidRDefault="00D665D2" w:rsidP="00496E01">
            <w:pPr>
              <w:jc w:val="center"/>
              <w:rPr>
                <w:rFonts w:ascii="Century Gothic" w:eastAsia="Times New Roman" w:hAnsi="Century Gothic" w:cs="Arial"/>
                <w:b/>
                <w:lang w:val="es-ES" w:eastAsia="es-ES"/>
              </w:rPr>
            </w:pPr>
            <w:r w:rsidRPr="00D665D2">
              <w:rPr>
                <w:rFonts w:ascii="Century Gothic" w:eastAsia="Times New Roman" w:hAnsi="Century Gothic" w:cs="Arial"/>
                <w:b/>
                <w:lang w:val="es-ES" w:eastAsia="es-ES"/>
              </w:rPr>
              <w:t>GLORIA BETTY ZORRO AFRICANO</w:t>
            </w:r>
          </w:p>
          <w:p w:rsidR="00D665D2" w:rsidRPr="00D665D2" w:rsidRDefault="00D665D2" w:rsidP="00496E01">
            <w:pPr>
              <w:jc w:val="center"/>
              <w:rPr>
                <w:rFonts w:ascii="Century Gothic" w:eastAsia="Times New Roman" w:hAnsi="Century Gothic" w:cs="Arial"/>
                <w:lang w:val="es-ES" w:eastAsia="es-ES"/>
              </w:rPr>
            </w:pPr>
            <w:r w:rsidRPr="00D665D2">
              <w:rPr>
                <w:rFonts w:ascii="Century Gothic" w:eastAsia="Times New Roman" w:hAnsi="Century Gothic" w:cs="Arial"/>
                <w:lang w:val="es-ES" w:eastAsia="es-ES"/>
              </w:rPr>
              <w:t>Representante a la Cámara</w:t>
            </w:r>
          </w:p>
        </w:tc>
        <w:tc>
          <w:tcPr>
            <w:tcW w:w="4414" w:type="dxa"/>
          </w:tcPr>
          <w:p w:rsidR="00D665D2" w:rsidRPr="00D665D2" w:rsidRDefault="00D665D2" w:rsidP="00496E01">
            <w:pPr>
              <w:jc w:val="center"/>
              <w:rPr>
                <w:rFonts w:ascii="Century Gothic" w:eastAsia="Times New Roman" w:hAnsi="Century Gothic" w:cs="Arial"/>
                <w:b/>
                <w:lang w:val="es-ES" w:eastAsia="es-ES"/>
              </w:rPr>
            </w:pPr>
          </w:p>
          <w:p w:rsidR="00D665D2" w:rsidRPr="00D665D2" w:rsidRDefault="00D665D2" w:rsidP="00D665D2">
            <w:pPr>
              <w:rPr>
                <w:rFonts w:ascii="Century Gothic" w:eastAsia="Times New Roman" w:hAnsi="Century Gothic" w:cs="Arial"/>
                <w:b/>
                <w:lang w:val="es-ES" w:eastAsia="es-ES"/>
              </w:rPr>
            </w:pPr>
            <w:r>
              <w:rPr>
                <w:rFonts w:ascii="Century Gothic" w:eastAsia="Times New Roman" w:hAnsi="Century Gothic" w:cs="Arial"/>
                <w:b/>
                <w:lang w:val="es-ES" w:eastAsia="es-ES"/>
              </w:rPr>
              <w:t xml:space="preserve">             </w:t>
            </w:r>
            <w:r w:rsidRPr="00D665D2">
              <w:rPr>
                <w:rFonts w:ascii="Century Gothic" w:eastAsia="Times New Roman" w:hAnsi="Century Gothic" w:cs="Arial"/>
                <w:b/>
                <w:lang w:val="es-ES" w:eastAsia="es-ES"/>
              </w:rPr>
              <w:t>MAURICIO PARODI DIAZ</w:t>
            </w:r>
          </w:p>
          <w:p w:rsidR="00D665D2" w:rsidRPr="00D665D2" w:rsidRDefault="00D665D2" w:rsidP="00496E01">
            <w:pPr>
              <w:jc w:val="center"/>
              <w:rPr>
                <w:rFonts w:ascii="Century Gothic" w:eastAsia="Times New Roman" w:hAnsi="Century Gothic" w:cs="Arial"/>
                <w:lang w:val="es-ES" w:eastAsia="es-ES"/>
              </w:rPr>
            </w:pPr>
            <w:r w:rsidRPr="00D665D2">
              <w:rPr>
                <w:rFonts w:ascii="Century Gothic" w:eastAsia="Times New Roman" w:hAnsi="Century Gothic" w:cs="Arial"/>
                <w:lang w:val="es-ES" w:eastAsia="es-ES"/>
              </w:rPr>
              <w:t>Representante a la Cámara</w:t>
            </w:r>
          </w:p>
        </w:tc>
      </w:tr>
      <w:tr w:rsidR="00D665D2" w:rsidRPr="00D665D2" w:rsidTr="00496E01">
        <w:tc>
          <w:tcPr>
            <w:tcW w:w="4414" w:type="dxa"/>
          </w:tcPr>
          <w:p w:rsidR="00D665D2" w:rsidRPr="00D665D2" w:rsidRDefault="00D665D2" w:rsidP="00496E01">
            <w:pPr>
              <w:tabs>
                <w:tab w:val="left" w:pos="1290"/>
              </w:tabs>
              <w:rPr>
                <w:rFonts w:ascii="Century Gothic" w:eastAsia="Times New Roman" w:hAnsi="Century Gothic" w:cs="Arial"/>
                <w:b/>
                <w:lang w:val="es-ES" w:eastAsia="es-ES"/>
              </w:rPr>
            </w:pPr>
          </w:p>
          <w:p w:rsidR="00D665D2" w:rsidRPr="00D665D2" w:rsidRDefault="00D665D2" w:rsidP="00496E01">
            <w:pPr>
              <w:jc w:val="center"/>
              <w:rPr>
                <w:rFonts w:ascii="Century Gothic" w:eastAsia="Times New Roman" w:hAnsi="Century Gothic" w:cs="Arial"/>
                <w:b/>
                <w:lang w:val="es-ES" w:eastAsia="es-ES"/>
              </w:rPr>
            </w:pPr>
            <w:r w:rsidRPr="00D665D2">
              <w:rPr>
                <w:rFonts w:ascii="Century Gothic" w:eastAsia="Times New Roman" w:hAnsi="Century Gothic" w:cs="Arial"/>
                <w:b/>
                <w:lang w:val="es-ES" w:eastAsia="es-ES"/>
              </w:rPr>
              <w:t>CARLOS MARIO FARELO DAZA</w:t>
            </w:r>
          </w:p>
          <w:p w:rsidR="00D665D2" w:rsidRPr="00D665D2" w:rsidRDefault="00D665D2" w:rsidP="00496E01">
            <w:pPr>
              <w:jc w:val="center"/>
              <w:rPr>
                <w:rFonts w:ascii="Century Gothic" w:eastAsia="Times New Roman" w:hAnsi="Century Gothic" w:cs="Arial"/>
                <w:noProof/>
                <w:lang w:eastAsia="es-CO"/>
              </w:rPr>
            </w:pPr>
            <w:proofErr w:type="spellStart"/>
            <w:r w:rsidRPr="00D665D2">
              <w:rPr>
                <w:rFonts w:ascii="Century Gothic" w:eastAsia="Times New Roman" w:hAnsi="Century Gothic" w:cs="Arial"/>
              </w:rPr>
              <w:t>Representante</w:t>
            </w:r>
            <w:proofErr w:type="spellEnd"/>
            <w:r w:rsidRPr="00D665D2">
              <w:rPr>
                <w:rFonts w:ascii="Century Gothic" w:eastAsia="Times New Roman" w:hAnsi="Century Gothic" w:cs="Arial"/>
              </w:rPr>
              <w:t xml:space="preserve"> a la </w:t>
            </w:r>
            <w:proofErr w:type="spellStart"/>
            <w:r w:rsidRPr="00D665D2">
              <w:rPr>
                <w:rFonts w:ascii="Century Gothic" w:eastAsia="Times New Roman" w:hAnsi="Century Gothic" w:cs="Arial"/>
              </w:rPr>
              <w:t>Cámara</w:t>
            </w:r>
            <w:proofErr w:type="spellEnd"/>
            <w:r w:rsidRPr="00D665D2">
              <w:rPr>
                <w:rFonts w:ascii="Century Gothic" w:eastAsia="Times New Roman" w:hAnsi="Century Gothic" w:cs="Arial"/>
              </w:rPr>
              <w:t xml:space="preserve">    </w:t>
            </w:r>
            <w:r w:rsidRPr="00D665D2">
              <w:rPr>
                <w:rFonts w:ascii="Century Gothic" w:eastAsia="Times New Roman" w:hAnsi="Century Gothic" w:cs="Arial"/>
                <w:lang w:val="es-ES" w:eastAsia="es-ES"/>
              </w:rPr>
              <w:t xml:space="preserve">                      </w:t>
            </w:r>
          </w:p>
        </w:tc>
        <w:tc>
          <w:tcPr>
            <w:tcW w:w="4414" w:type="dxa"/>
          </w:tcPr>
          <w:p w:rsidR="00D665D2" w:rsidRPr="00D665D2" w:rsidRDefault="00D665D2" w:rsidP="00496E01">
            <w:pPr>
              <w:jc w:val="center"/>
              <w:rPr>
                <w:rFonts w:ascii="Century Gothic" w:eastAsia="Times New Roman" w:hAnsi="Century Gothic" w:cs="Arial"/>
                <w:b/>
                <w:lang w:val="es-ES" w:eastAsia="es-ES"/>
              </w:rPr>
            </w:pPr>
          </w:p>
          <w:p w:rsidR="00D665D2" w:rsidRPr="00D665D2" w:rsidRDefault="00D665D2" w:rsidP="00496E01">
            <w:pPr>
              <w:jc w:val="center"/>
              <w:rPr>
                <w:rFonts w:ascii="Century Gothic" w:eastAsia="Times New Roman" w:hAnsi="Century Gothic" w:cs="Arial"/>
                <w:b/>
                <w:lang w:val="es-ES" w:eastAsia="es-ES"/>
              </w:rPr>
            </w:pPr>
          </w:p>
          <w:p w:rsidR="00D665D2" w:rsidRPr="00D665D2" w:rsidRDefault="00D665D2" w:rsidP="00496E01">
            <w:pPr>
              <w:tabs>
                <w:tab w:val="left" w:pos="525"/>
                <w:tab w:val="center" w:pos="2099"/>
              </w:tabs>
              <w:jc w:val="center"/>
              <w:rPr>
                <w:rFonts w:ascii="Century Gothic" w:eastAsia="Times New Roman" w:hAnsi="Century Gothic" w:cs="Arial"/>
                <w:b/>
                <w:lang w:val="es-ES" w:eastAsia="es-ES"/>
              </w:rPr>
            </w:pPr>
            <w:r w:rsidRPr="00D665D2">
              <w:rPr>
                <w:rFonts w:ascii="Century Gothic" w:eastAsia="Times New Roman" w:hAnsi="Century Gothic" w:cs="Arial"/>
                <w:b/>
                <w:lang w:val="es-ES" w:eastAsia="es-ES"/>
              </w:rPr>
              <w:t>JOSÉ DANIEL LÓPEZ</w:t>
            </w:r>
          </w:p>
          <w:p w:rsidR="00D665D2" w:rsidRPr="00D665D2" w:rsidRDefault="00D665D2" w:rsidP="00496E01">
            <w:pPr>
              <w:tabs>
                <w:tab w:val="left" w:pos="525"/>
                <w:tab w:val="center" w:pos="2099"/>
              </w:tabs>
              <w:jc w:val="center"/>
              <w:rPr>
                <w:rFonts w:ascii="Century Gothic" w:eastAsia="Times New Roman" w:hAnsi="Century Gothic" w:cs="Arial"/>
                <w:lang w:val="es-ES" w:eastAsia="es-ES"/>
              </w:rPr>
            </w:pPr>
            <w:r w:rsidRPr="00D665D2">
              <w:rPr>
                <w:rFonts w:ascii="Century Gothic" w:eastAsia="Times New Roman" w:hAnsi="Century Gothic" w:cs="Arial"/>
                <w:lang w:val="es-ES" w:eastAsia="es-ES"/>
              </w:rPr>
              <w:t>Representante a la Cámara</w:t>
            </w:r>
            <w:r w:rsidRPr="00D665D2">
              <w:rPr>
                <w:rFonts w:ascii="Century Gothic" w:eastAsia="Times New Roman" w:hAnsi="Century Gothic" w:cs="Arial"/>
                <w:b/>
                <w:lang w:val="es-ES" w:eastAsia="es-ES"/>
              </w:rPr>
              <w:t xml:space="preserve"> </w:t>
            </w:r>
          </w:p>
        </w:tc>
      </w:tr>
      <w:tr w:rsidR="00D665D2" w:rsidRPr="00D665D2" w:rsidTr="00496E01">
        <w:tc>
          <w:tcPr>
            <w:tcW w:w="4414" w:type="dxa"/>
          </w:tcPr>
          <w:p w:rsidR="00D665D2" w:rsidRPr="00D665D2" w:rsidRDefault="00D665D2" w:rsidP="00496E01">
            <w:pPr>
              <w:jc w:val="center"/>
              <w:rPr>
                <w:rFonts w:ascii="Century Gothic" w:eastAsia="Times New Roman" w:hAnsi="Century Gothic" w:cs="Arial"/>
                <w:b/>
                <w:lang w:val="es-ES" w:eastAsia="es-ES"/>
              </w:rPr>
            </w:pPr>
          </w:p>
          <w:p w:rsidR="00D665D2" w:rsidRPr="00D665D2" w:rsidRDefault="00D665D2" w:rsidP="00496E01">
            <w:pPr>
              <w:jc w:val="center"/>
              <w:rPr>
                <w:rFonts w:ascii="Century Gothic" w:eastAsia="Times New Roman" w:hAnsi="Century Gothic" w:cs="Arial"/>
                <w:b/>
                <w:lang w:val="es-ES" w:eastAsia="es-ES"/>
              </w:rPr>
            </w:pPr>
          </w:p>
          <w:p w:rsidR="00D665D2" w:rsidRPr="00D665D2" w:rsidRDefault="00D665D2" w:rsidP="00496E01">
            <w:pPr>
              <w:jc w:val="center"/>
              <w:rPr>
                <w:rFonts w:ascii="Century Gothic" w:eastAsia="Times New Roman" w:hAnsi="Century Gothic" w:cs="Arial"/>
                <w:b/>
                <w:lang w:val="es-ES" w:eastAsia="es-ES"/>
              </w:rPr>
            </w:pPr>
            <w:r w:rsidRPr="00D665D2">
              <w:rPr>
                <w:rFonts w:ascii="Century Gothic" w:eastAsia="Times New Roman" w:hAnsi="Century Gothic" w:cs="Arial"/>
                <w:b/>
                <w:lang w:val="es-ES" w:eastAsia="es-ES"/>
              </w:rPr>
              <w:t>JAIME RODRÍGUEZ CONTRERAS</w:t>
            </w:r>
          </w:p>
          <w:p w:rsidR="00D665D2" w:rsidRPr="00D665D2" w:rsidRDefault="00D665D2" w:rsidP="00496E01">
            <w:pPr>
              <w:jc w:val="center"/>
              <w:rPr>
                <w:rFonts w:ascii="Century Gothic" w:eastAsia="Times New Roman" w:hAnsi="Century Gothic" w:cs="Arial"/>
                <w:noProof/>
                <w:lang w:eastAsia="es-CO"/>
              </w:rPr>
            </w:pPr>
            <w:r w:rsidRPr="00D665D2">
              <w:rPr>
                <w:rFonts w:ascii="Century Gothic" w:eastAsia="Times New Roman" w:hAnsi="Century Gothic" w:cs="Arial"/>
                <w:lang w:val="es-ES" w:eastAsia="es-ES"/>
              </w:rPr>
              <w:t>Representante a la Cámara</w:t>
            </w:r>
          </w:p>
        </w:tc>
        <w:tc>
          <w:tcPr>
            <w:tcW w:w="4414" w:type="dxa"/>
          </w:tcPr>
          <w:p w:rsidR="00D665D2" w:rsidRPr="00D665D2" w:rsidRDefault="00D665D2" w:rsidP="00496E01">
            <w:pPr>
              <w:jc w:val="center"/>
              <w:rPr>
                <w:rFonts w:ascii="Century Gothic" w:eastAsia="Times New Roman" w:hAnsi="Century Gothic" w:cs="Arial"/>
                <w:b/>
                <w:lang w:val="es-ES" w:eastAsia="es-ES"/>
              </w:rPr>
            </w:pPr>
          </w:p>
          <w:p w:rsidR="00D665D2" w:rsidRPr="00D665D2" w:rsidRDefault="00D665D2" w:rsidP="00496E01">
            <w:pPr>
              <w:jc w:val="center"/>
              <w:rPr>
                <w:rFonts w:ascii="Century Gothic" w:eastAsia="Times New Roman" w:hAnsi="Century Gothic" w:cs="Arial"/>
                <w:b/>
                <w:lang w:val="es-ES" w:eastAsia="es-ES"/>
              </w:rPr>
            </w:pPr>
          </w:p>
          <w:p w:rsidR="00D665D2" w:rsidRPr="00D665D2" w:rsidRDefault="00D665D2" w:rsidP="00496E01">
            <w:pPr>
              <w:jc w:val="center"/>
              <w:rPr>
                <w:rFonts w:ascii="Century Gothic" w:eastAsia="Times New Roman" w:hAnsi="Century Gothic" w:cs="Arial"/>
                <w:b/>
                <w:lang w:val="es-ES" w:eastAsia="es-ES"/>
              </w:rPr>
            </w:pPr>
            <w:r w:rsidRPr="00D665D2">
              <w:rPr>
                <w:rFonts w:ascii="Century Gothic" w:eastAsia="Times New Roman" w:hAnsi="Century Gothic" w:cs="Arial"/>
                <w:b/>
                <w:lang w:val="es-ES" w:eastAsia="es-ES"/>
              </w:rPr>
              <w:t>CARLOS CUENCA CHAUX</w:t>
            </w:r>
          </w:p>
          <w:p w:rsidR="00D665D2" w:rsidRPr="00D665D2" w:rsidRDefault="00D665D2" w:rsidP="00496E01">
            <w:pPr>
              <w:jc w:val="center"/>
              <w:rPr>
                <w:rFonts w:ascii="Century Gothic" w:eastAsia="Times New Roman" w:hAnsi="Century Gothic" w:cs="Arial"/>
                <w:lang w:val="es-ES" w:eastAsia="es-ES"/>
              </w:rPr>
            </w:pPr>
            <w:r w:rsidRPr="00D665D2">
              <w:rPr>
                <w:rFonts w:ascii="Century Gothic" w:eastAsia="Times New Roman" w:hAnsi="Century Gothic" w:cs="Arial"/>
                <w:lang w:val="es-ES" w:eastAsia="es-ES"/>
              </w:rPr>
              <w:t>Representante a la Cámara</w:t>
            </w:r>
          </w:p>
        </w:tc>
      </w:tr>
      <w:tr w:rsidR="00D665D2" w:rsidRPr="00D665D2" w:rsidTr="00496E01">
        <w:tc>
          <w:tcPr>
            <w:tcW w:w="4414" w:type="dxa"/>
          </w:tcPr>
          <w:p w:rsidR="00D665D2" w:rsidRPr="00D665D2" w:rsidRDefault="00D665D2" w:rsidP="00496E01">
            <w:pPr>
              <w:jc w:val="center"/>
              <w:rPr>
                <w:rFonts w:ascii="Century Gothic" w:eastAsia="Times New Roman" w:hAnsi="Century Gothic" w:cs="Arial"/>
                <w:b/>
                <w:highlight w:val="yellow"/>
                <w:lang w:val="es-ES" w:eastAsia="es-ES"/>
              </w:rPr>
            </w:pPr>
          </w:p>
          <w:p w:rsidR="00D665D2" w:rsidRPr="00D665D2" w:rsidRDefault="00D665D2" w:rsidP="00496E01">
            <w:pPr>
              <w:rPr>
                <w:rFonts w:ascii="Century Gothic" w:eastAsia="Times New Roman" w:hAnsi="Century Gothic" w:cs="Arial"/>
                <w:b/>
                <w:highlight w:val="yellow"/>
                <w:lang w:val="es-ES" w:eastAsia="es-ES"/>
              </w:rPr>
            </w:pPr>
          </w:p>
          <w:p w:rsidR="00D665D2" w:rsidRPr="00D665D2" w:rsidRDefault="00D665D2" w:rsidP="00496E01">
            <w:pPr>
              <w:jc w:val="center"/>
              <w:rPr>
                <w:rFonts w:ascii="Century Gothic" w:eastAsia="Times New Roman" w:hAnsi="Century Gothic" w:cs="Arial"/>
                <w:b/>
                <w:lang w:val="es-ES" w:eastAsia="es-ES"/>
              </w:rPr>
            </w:pPr>
            <w:r w:rsidRPr="00D665D2">
              <w:rPr>
                <w:rFonts w:ascii="Century Gothic" w:eastAsia="Times New Roman" w:hAnsi="Century Gothic" w:cs="Arial"/>
                <w:b/>
                <w:lang w:val="es-ES" w:eastAsia="es-ES"/>
              </w:rPr>
              <w:t>OSCAR CAMILO ARANGO</w:t>
            </w:r>
          </w:p>
          <w:p w:rsidR="00D665D2" w:rsidRPr="00D665D2" w:rsidRDefault="00D665D2" w:rsidP="00496E01">
            <w:pPr>
              <w:tabs>
                <w:tab w:val="left" w:pos="525"/>
                <w:tab w:val="center" w:pos="2099"/>
              </w:tabs>
              <w:jc w:val="center"/>
              <w:rPr>
                <w:rFonts w:ascii="Century Gothic" w:eastAsia="Times New Roman" w:hAnsi="Century Gothic" w:cs="Arial"/>
                <w:b/>
                <w:lang w:val="es-ES" w:eastAsia="es-ES"/>
              </w:rPr>
            </w:pPr>
            <w:r w:rsidRPr="00D665D2">
              <w:rPr>
                <w:rFonts w:ascii="Century Gothic" w:eastAsia="Times New Roman" w:hAnsi="Century Gothic" w:cs="Arial"/>
                <w:noProof/>
                <w:lang w:eastAsia="es-CO"/>
              </w:rPr>
              <w:t>Representante a la Cámara</w:t>
            </w:r>
          </w:p>
          <w:p w:rsidR="00D665D2" w:rsidRPr="00D665D2" w:rsidRDefault="00D665D2" w:rsidP="00496E01">
            <w:pPr>
              <w:jc w:val="center"/>
              <w:rPr>
                <w:rFonts w:ascii="Century Gothic" w:eastAsia="Times New Roman" w:hAnsi="Century Gothic" w:cs="Arial"/>
                <w:lang w:val="es-ES" w:eastAsia="es-ES"/>
              </w:rPr>
            </w:pPr>
          </w:p>
        </w:tc>
        <w:tc>
          <w:tcPr>
            <w:tcW w:w="4414" w:type="dxa"/>
          </w:tcPr>
          <w:p w:rsidR="00D665D2" w:rsidRPr="00D665D2" w:rsidRDefault="00D665D2" w:rsidP="00496E01">
            <w:pPr>
              <w:tabs>
                <w:tab w:val="left" w:pos="525"/>
                <w:tab w:val="center" w:pos="2099"/>
              </w:tabs>
              <w:rPr>
                <w:rFonts w:ascii="Century Gothic" w:eastAsia="Times New Roman" w:hAnsi="Century Gothic" w:cs="Arial"/>
                <w:lang w:val="es-ES" w:eastAsia="es-ES"/>
              </w:rPr>
            </w:pPr>
            <w:r w:rsidRPr="00D665D2">
              <w:rPr>
                <w:rFonts w:ascii="Century Gothic" w:eastAsia="Times New Roman" w:hAnsi="Century Gothic" w:cs="Arial"/>
                <w:b/>
                <w:lang w:val="es-ES" w:eastAsia="es-ES"/>
              </w:rPr>
              <w:tab/>
              <w:t xml:space="preserve">    </w:t>
            </w:r>
          </w:p>
          <w:p w:rsidR="00D665D2" w:rsidRPr="00D665D2" w:rsidRDefault="00D665D2" w:rsidP="00496E01">
            <w:pPr>
              <w:tabs>
                <w:tab w:val="left" w:pos="525"/>
                <w:tab w:val="center" w:pos="2099"/>
              </w:tabs>
              <w:jc w:val="center"/>
              <w:rPr>
                <w:rFonts w:ascii="Century Gothic" w:eastAsia="Times New Roman" w:hAnsi="Century Gothic" w:cs="Arial"/>
                <w:b/>
                <w:highlight w:val="yellow"/>
                <w:lang w:val="es-ES" w:eastAsia="es-ES"/>
              </w:rPr>
            </w:pPr>
          </w:p>
          <w:p w:rsidR="00D665D2" w:rsidRPr="00D665D2" w:rsidRDefault="00D665D2" w:rsidP="00496E01">
            <w:pPr>
              <w:tabs>
                <w:tab w:val="left" w:pos="525"/>
                <w:tab w:val="center" w:pos="2099"/>
              </w:tabs>
              <w:jc w:val="center"/>
              <w:rPr>
                <w:rFonts w:ascii="Century Gothic" w:eastAsia="Times New Roman" w:hAnsi="Century Gothic" w:cs="Arial"/>
                <w:b/>
                <w:lang w:val="es-ES" w:eastAsia="es-ES"/>
              </w:rPr>
            </w:pPr>
            <w:r w:rsidRPr="00D665D2">
              <w:rPr>
                <w:rFonts w:ascii="Century Gothic" w:eastAsia="Times New Roman" w:hAnsi="Century Gothic" w:cs="Arial"/>
                <w:b/>
                <w:lang w:val="es-ES" w:eastAsia="es-ES"/>
              </w:rPr>
              <w:t>JORGE MÉNDEZ HERNÁNDEZ</w:t>
            </w:r>
          </w:p>
          <w:p w:rsidR="00D665D2" w:rsidRPr="00D665D2" w:rsidRDefault="00D665D2" w:rsidP="00496E01">
            <w:pPr>
              <w:jc w:val="center"/>
              <w:rPr>
                <w:rFonts w:ascii="Century Gothic" w:eastAsia="Times New Roman" w:hAnsi="Century Gothic" w:cs="Arial"/>
                <w:lang w:val="es-ES" w:eastAsia="es-ES"/>
              </w:rPr>
            </w:pPr>
            <w:r w:rsidRPr="00D665D2">
              <w:rPr>
                <w:rFonts w:ascii="Century Gothic" w:eastAsia="Times New Roman" w:hAnsi="Century Gothic" w:cs="Arial"/>
                <w:lang w:val="es-ES" w:eastAsia="es-ES"/>
              </w:rPr>
              <w:t xml:space="preserve">Representante a la Cámara                     </w:t>
            </w:r>
          </w:p>
        </w:tc>
      </w:tr>
      <w:tr w:rsidR="00D665D2" w:rsidRPr="00D665D2" w:rsidTr="00496E01">
        <w:trPr>
          <w:trHeight w:val="1654"/>
        </w:trPr>
        <w:tc>
          <w:tcPr>
            <w:tcW w:w="4414" w:type="dxa"/>
          </w:tcPr>
          <w:p w:rsidR="00D665D2" w:rsidRPr="00D665D2" w:rsidRDefault="00D665D2" w:rsidP="00496E01">
            <w:pPr>
              <w:jc w:val="center"/>
              <w:rPr>
                <w:rFonts w:ascii="Century Gothic" w:eastAsia="Times New Roman" w:hAnsi="Century Gothic" w:cs="Arial"/>
                <w:b/>
                <w:highlight w:val="yellow"/>
                <w:lang w:val="es-ES" w:eastAsia="es-ES"/>
              </w:rPr>
            </w:pPr>
          </w:p>
          <w:p w:rsidR="00D665D2" w:rsidRPr="00D665D2" w:rsidRDefault="00D665D2" w:rsidP="00496E01">
            <w:pPr>
              <w:jc w:val="center"/>
              <w:rPr>
                <w:rFonts w:ascii="Century Gothic" w:eastAsia="Times New Roman" w:hAnsi="Century Gothic" w:cs="Arial"/>
                <w:b/>
                <w:lang w:val="es-ES" w:eastAsia="es-ES"/>
              </w:rPr>
            </w:pPr>
            <w:r w:rsidRPr="00D665D2">
              <w:rPr>
                <w:rFonts w:ascii="Century Gothic" w:eastAsia="Times New Roman" w:hAnsi="Century Gothic" w:cs="Arial"/>
                <w:b/>
                <w:lang w:val="es-ES" w:eastAsia="es-ES"/>
              </w:rPr>
              <w:t xml:space="preserve">JAIRO HUMBERTO CRISTO CORREA               </w:t>
            </w:r>
          </w:p>
          <w:p w:rsidR="00D665D2" w:rsidRPr="00D665D2" w:rsidRDefault="00D665D2" w:rsidP="00496E01">
            <w:pPr>
              <w:jc w:val="center"/>
              <w:rPr>
                <w:rFonts w:ascii="Century Gothic" w:eastAsia="Times New Roman" w:hAnsi="Century Gothic" w:cs="Arial"/>
                <w:bCs/>
                <w:noProof/>
                <w:lang w:eastAsia="es-CO"/>
              </w:rPr>
            </w:pPr>
            <w:r w:rsidRPr="00D665D2">
              <w:rPr>
                <w:rFonts w:ascii="Century Gothic" w:eastAsia="Times New Roman" w:hAnsi="Century Gothic" w:cs="Arial"/>
                <w:lang w:val="es-ES" w:eastAsia="es-ES"/>
              </w:rPr>
              <w:t>Representante a la Cámara</w:t>
            </w:r>
          </w:p>
        </w:tc>
        <w:tc>
          <w:tcPr>
            <w:tcW w:w="4414" w:type="dxa"/>
          </w:tcPr>
          <w:p w:rsidR="00D665D2" w:rsidRPr="00D665D2" w:rsidRDefault="00D665D2" w:rsidP="00496E01">
            <w:pPr>
              <w:jc w:val="center"/>
              <w:rPr>
                <w:rFonts w:ascii="Century Gothic" w:eastAsia="Times New Roman" w:hAnsi="Century Gothic" w:cs="Arial"/>
                <w:b/>
                <w:lang w:val="es-ES" w:eastAsia="es-ES"/>
              </w:rPr>
            </w:pPr>
          </w:p>
          <w:p w:rsidR="00D665D2" w:rsidRPr="00D665D2" w:rsidRDefault="00D665D2" w:rsidP="00496E01">
            <w:pPr>
              <w:jc w:val="center"/>
              <w:rPr>
                <w:rFonts w:ascii="Century Gothic" w:eastAsia="Times New Roman" w:hAnsi="Century Gothic" w:cs="Arial"/>
                <w:b/>
                <w:lang w:val="es-ES" w:eastAsia="es-ES"/>
              </w:rPr>
            </w:pPr>
          </w:p>
          <w:p w:rsidR="00D665D2" w:rsidRPr="00D665D2" w:rsidRDefault="00D665D2" w:rsidP="00496E01">
            <w:pPr>
              <w:jc w:val="center"/>
              <w:rPr>
                <w:rFonts w:ascii="Century Gothic" w:eastAsia="Times New Roman" w:hAnsi="Century Gothic" w:cs="Arial"/>
                <w:b/>
                <w:lang w:val="es-ES" w:eastAsia="es-ES"/>
              </w:rPr>
            </w:pPr>
            <w:r w:rsidRPr="00D665D2">
              <w:rPr>
                <w:rFonts w:ascii="Century Gothic" w:eastAsia="Times New Roman" w:hAnsi="Century Gothic" w:cs="Arial"/>
                <w:b/>
                <w:lang w:val="es-ES" w:eastAsia="es-ES"/>
              </w:rPr>
              <w:t>KAREN VIOLETTE CURE CORCIONE</w:t>
            </w:r>
          </w:p>
          <w:p w:rsidR="00D665D2" w:rsidRPr="00D665D2" w:rsidRDefault="00D665D2" w:rsidP="00496E01">
            <w:pPr>
              <w:tabs>
                <w:tab w:val="left" w:pos="525"/>
                <w:tab w:val="center" w:pos="2099"/>
              </w:tabs>
              <w:jc w:val="center"/>
              <w:rPr>
                <w:rFonts w:ascii="Century Gothic" w:eastAsia="Times New Roman" w:hAnsi="Century Gothic" w:cs="Arial"/>
                <w:lang w:val="es-ES" w:eastAsia="es-ES"/>
              </w:rPr>
            </w:pPr>
            <w:r w:rsidRPr="00D665D2">
              <w:rPr>
                <w:rFonts w:ascii="Century Gothic" w:eastAsia="Times New Roman" w:hAnsi="Century Gothic" w:cs="Arial"/>
                <w:lang w:val="es-ES" w:eastAsia="es-ES"/>
              </w:rPr>
              <w:t>Representante a la Cámara</w:t>
            </w:r>
          </w:p>
        </w:tc>
      </w:tr>
      <w:tr w:rsidR="00D665D2" w:rsidRPr="00D665D2" w:rsidTr="00496E01">
        <w:trPr>
          <w:trHeight w:val="1654"/>
        </w:trPr>
        <w:tc>
          <w:tcPr>
            <w:tcW w:w="4414" w:type="dxa"/>
          </w:tcPr>
          <w:p w:rsidR="00D665D2" w:rsidRPr="00D665D2" w:rsidRDefault="00D665D2" w:rsidP="00496E01">
            <w:pPr>
              <w:jc w:val="center"/>
              <w:rPr>
                <w:rFonts w:ascii="Century Gothic" w:eastAsia="Times New Roman" w:hAnsi="Century Gothic" w:cs="Arial"/>
                <w:noProof/>
                <w:lang w:eastAsia="es-CO"/>
              </w:rPr>
            </w:pPr>
          </w:p>
          <w:p w:rsidR="00D665D2" w:rsidRPr="00D665D2" w:rsidRDefault="00D665D2" w:rsidP="00496E01">
            <w:pPr>
              <w:jc w:val="center"/>
              <w:rPr>
                <w:rFonts w:ascii="Century Gothic" w:eastAsia="Times New Roman" w:hAnsi="Century Gothic" w:cs="Arial"/>
                <w:b/>
                <w:noProof/>
                <w:lang w:eastAsia="es-CO"/>
              </w:rPr>
            </w:pPr>
            <w:r w:rsidRPr="00D665D2">
              <w:rPr>
                <w:rFonts w:ascii="Century Gothic" w:eastAsia="Times New Roman" w:hAnsi="Century Gothic" w:cs="Arial"/>
                <w:b/>
                <w:noProof/>
                <w:lang w:eastAsia="es-CO"/>
              </w:rPr>
              <w:t>JORGE BENEDETTI</w:t>
            </w:r>
          </w:p>
          <w:p w:rsidR="00D665D2" w:rsidRPr="00D665D2" w:rsidRDefault="00D665D2" w:rsidP="00496E01">
            <w:pPr>
              <w:jc w:val="center"/>
              <w:rPr>
                <w:rFonts w:ascii="Century Gothic" w:eastAsia="Times New Roman" w:hAnsi="Century Gothic" w:cs="Arial"/>
                <w:noProof/>
                <w:lang w:eastAsia="es-CO"/>
              </w:rPr>
            </w:pPr>
            <w:r w:rsidRPr="00D665D2">
              <w:rPr>
                <w:rFonts w:ascii="Century Gothic" w:eastAsia="Times New Roman" w:hAnsi="Century Gothic" w:cs="Arial"/>
                <w:noProof/>
                <w:lang w:eastAsia="es-CO"/>
              </w:rPr>
              <w:t>Representante a la Cámara</w:t>
            </w:r>
          </w:p>
        </w:tc>
        <w:tc>
          <w:tcPr>
            <w:tcW w:w="4414" w:type="dxa"/>
          </w:tcPr>
          <w:p w:rsidR="00D665D2" w:rsidRPr="00D665D2" w:rsidRDefault="00D665D2" w:rsidP="00496E01">
            <w:pPr>
              <w:jc w:val="center"/>
              <w:rPr>
                <w:rFonts w:ascii="Century Gothic" w:eastAsia="Times New Roman" w:hAnsi="Century Gothic" w:cs="Arial"/>
                <w:b/>
                <w:noProof/>
                <w:lang w:eastAsia="es-CO"/>
              </w:rPr>
            </w:pPr>
          </w:p>
          <w:p w:rsidR="00D665D2" w:rsidRPr="00D665D2" w:rsidRDefault="00D665D2" w:rsidP="00496E01">
            <w:pPr>
              <w:jc w:val="center"/>
              <w:rPr>
                <w:rFonts w:ascii="Century Gothic" w:eastAsia="Times New Roman" w:hAnsi="Century Gothic" w:cs="Arial"/>
                <w:b/>
                <w:noProof/>
                <w:lang w:eastAsia="es-CO"/>
              </w:rPr>
            </w:pPr>
            <w:r w:rsidRPr="00D665D2">
              <w:rPr>
                <w:rFonts w:ascii="Century Gothic" w:eastAsia="Times New Roman" w:hAnsi="Century Gothic" w:cs="Arial"/>
                <w:b/>
                <w:noProof/>
                <w:lang w:eastAsia="es-CO"/>
              </w:rPr>
              <w:t>NESTOR LEONARDO RICO</w:t>
            </w:r>
          </w:p>
          <w:p w:rsidR="00D665D2" w:rsidRPr="00D665D2" w:rsidRDefault="00D665D2" w:rsidP="00496E01">
            <w:pPr>
              <w:tabs>
                <w:tab w:val="left" w:pos="525"/>
                <w:tab w:val="center" w:pos="2099"/>
              </w:tabs>
              <w:jc w:val="center"/>
              <w:rPr>
                <w:rFonts w:ascii="Century Gothic" w:eastAsia="Times New Roman" w:hAnsi="Century Gothic" w:cs="Arial"/>
                <w:b/>
                <w:lang w:val="es-ES" w:eastAsia="es-ES"/>
              </w:rPr>
            </w:pPr>
            <w:r w:rsidRPr="00D665D2">
              <w:rPr>
                <w:rFonts w:ascii="Century Gothic" w:eastAsia="Times New Roman" w:hAnsi="Century Gothic" w:cs="Arial"/>
                <w:noProof/>
                <w:lang w:eastAsia="es-CO"/>
              </w:rPr>
              <w:t>Representante a la Cámara</w:t>
            </w:r>
            <w:r w:rsidRPr="00D665D2">
              <w:rPr>
                <w:rFonts w:ascii="Century Gothic" w:hAnsi="Century Gothic"/>
                <w:noProof/>
                <w:lang w:eastAsia="es-CO"/>
              </w:rPr>
              <w:t xml:space="preserve"> </w:t>
            </w:r>
          </w:p>
        </w:tc>
      </w:tr>
      <w:tr w:rsidR="00D665D2" w:rsidRPr="00D665D2" w:rsidTr="00496E01">
        <w:trPr>
          <w:trHeight w:val="1654"/>
        </w:trPr>
        <w:tc>
          <w:tcPr>
            <w:tcW w:w="4414" w:type="dxa"/>
          </w:tcPr>
          <w:p w:rsidR="00D665D2" w:rsidRPr="00D665D2" w:rsidRDefault="00D665D2" w:rsidP="00496E01">
            <w:pPr>
              <w:jc w:val="center"/>
              <w:rPr>
                <w:rFonts w:ascii="Century Gothic" w:eastAsia="Times New Roman" w:hAnsi="Century Gothic" w:cs="Arial"/>
                <w:b/>
                <w:noProof/>
                <w:lang w:eastAsia="es-CO"/>
              </w:rPr>
            </w:pPr>
          </w:p>
          <w:p w:rsidR="00D665D2" w:rsidRPr="00D665D2" w:rsidRDefault="00D665D2" w:rsidP="00496E01">
            <w:pPr>
              <w:jc w:val="center"/>
              <w:rPr>
                <w:rFonts w:ascii="Century Gothic" w:eastAsia="Times New Roman" w:hAnsi="Century Gothic" w:cs="Arial"/>
                <w:b/>
                <w:noProof/>
                <w:lang w:eastAsia="es-CO"/>
              </w:rPr>
            </w:pPr>
            <w:r w:rsidRPr="00D665D2">
              <w:rPr>
                <w:rFonts w:ascii="Century Gothic" w:eastAsia="Times New Roman" w:hAnsi="Century Gothic" w:cs="Arial"/>
                <w:b/>
                <w:noProof/>
                <w:lang w:eastAsia="es-CO"/>
              </w:rPr>
              <w:t>AQUILEO MEDINA ARTEAGA</w:t>
            </w:r>
          </w:p>
          <w:p w:rsidR="00D665D2" w:rsidRPr="00D665D2" w:rsidRDefault="00D665D2" w:rsidP="00496E01">
            <w:pPr>
              <w:jc w:val="center"/>
              <w:rPr>
                <w:rFonts w:ascii="Century Gothic" w:hAnsi="Century Gothic"/>
                <w:noProof/>
                <w:lang w:eastAsia="es-CO"/>
              </w:rPr>
            </w:pPr>
            <w:r w:rsidRPr="00D665D2">
              <w:rPr>
                <w:rFonts w:ascii="Century Gothic" w:eastAsia="Times New Roman" w:hAnsi="Century Gothic" w:cs="Arial"/>
                <w:noProof/>
                <w:lang w:eastAsia="es-CO"/>
              </w:rPr>
              <w:t>Representante a la Cámara</w:t>
            </w:r>
            <w:r w:rsidRPr="00D665D2">
              <w:rPr>
                <w:rFonts w:ascii="Century Gothic" w:hAnsi="Century Gothic"/>
                <w:noProof/>
                <w:lang w:eastAsia="es-CO"/>
              </w:rPr>
              <w:t xml:space="preserve"> </w:t>
            </w:r>
          </w:p>
        </w:tc>
        <w:tc>
          <w:tcPr>
            <w:tcW w:w="4414" w:type="dxa"/>
          </w:tcPr>
          <w:p w:rsidR="00D665D2" w:rsidRPr="00D665D2" w:rsidRDefault="00D665D2" w:rsidP="00496E01">
            <w:pPr>
              <w:jc w:val="center"/>
              <w:rPr>
                <w:rFonts w:ascii="Century Gothic" w:eastAsia="Times New Roman" w:hAnsi="Century Gothic" w:cs="Arial"/>
                <w:b/>
                <w:noProof/>
                <w:lang w:eastAsia="es-CO"/>
              </w:rPr>
            </w:pPr>
          </w:p>
          <w:p w:rsidR="00D665D2" w:rsidRPr="00D665D2" w:rsidRDefault="00D665D2" w:rsidP="00496E01">
            <w:pPr>
              <w:jc w:val="center"/>
              <w:rPr>
                <w:rFonts w:ascii="Century Gothic" w:eastAsia="Times New Roman" w:hAnsi="Century Gothic" w:cs="Arial"/>
                <w:b/>
                <w:noProof/>
                <w:lang w:eastAsia="es-CO"/>
              </w:rPr>
            </w:pPr>
            <w:r w:rsidRPr="00D665D2">
              <w:rPr>
                <w:rFonts w:ascii="Century Gothic" w:eastAsia="Times New Roman" w:hAnsi="Century Gothic" w:cs="Arial"/>
                <w:b/>
                <w:noProof/>
                <w:lang w:eastAsia="es-CO"/>
              </w:rPr>
              <w:t>JULIO CESAR TRIANA</w:t>
            </w:r>
          </w:p>
          <w:p w:rsidR="00D665D2" w:rsidRPr="00D665D2" w:rsidRDefault="00D665D2" w:rsidP="00D665D2">
            <w:pPr>
              <w:jc w:val="center"/>
              <w:rPr>
                <w:rFonts w:ascii="Century Gothic" w:hAnsi="Century Gothic"/>
                <w:noProof/>
                <w:lang w:eastAsia="es-CO"/>
              </w:rPr>
            </w:pPr>
            <w:r w:rsidRPr="00D665D2">
              <w:rPr>
                <w:rFonts w:ascii="Century Gothic" w:eastAsia="Times New Roman" w:hAnsi="Century Gothic" w:cs="Arial"/>
                <w:noProof/>
                <w:lang w:eastAsia="es-CO"/>
              </w:rPr>
              <w:t>Representante a la Cámara</w:t>
            </w:r>
            <w:r w:rsidRPr="00D665D2">
              <w:rPr>
                <w:rFonts w:ascii="Century Gothic" w:hAnsi="Century Gothic"/>
                <w:noProof/>
                <w:lang w:eastAsia="es-CO"/>
              </w:rPr>
              <w:t xml:space="preserve"> </w:t>
            </w:r>
          </w:p>
        </w:tc>
      </w:tr>
      <w:tr w:rsidR="00D665D2" w:rsidRPr="00D665D2" w:rsidTr="00496E01">
        <w:trPr>
          <w:trHeight w:val="1654"/>
        </w:trPr>
        <w:tc>
          <w:tcPr>
            <w:tcW w:w="4414" w:type="dxa"/>
          </w:tcPr>
          <w:p w:rsidR="00A14EE4" w:rsidRPr="00A14EE4" w:rsidRDefault="00A14EE4" w:rsidP="00A14EE4">
            <w:pPr>
              <w:pStyle w:val="Sinespaciado"/>
              <w:jc w:val="center"/>
              <w:rPr>
                <w:rFonts w:ascii="Century Gothic" w:hAnsi="Century Gothic"/>
              </w:rPr>
            </w:pPr>
            <w:r w:rsidRPr="00A14EE4">
              <w:rPr>
                <w:rFonts w:ascii="Century Gothic" w:hAnsi="Century Gothic"/>
                <w:b/>
              </w:rPr>
              <w:t>GILBERTO BAYARDO BETANCOURT</w:t>
            </w:r>
          </w:p>
          <w:p w:rsidR="00A14EE4" w:rsidRPr="00A14EE4" w:rsidRDefault="00A14EE4" w:rsidP="00A14EE4">
            <w:pPr>
              <w:pStyle w:val="Sinespaciado"/>
              <w:jc w:val="center"/>
              <w:rPr>
                <w:rFonts w:ascii="Century Gothic" w:hAnsi="Century Gothic"/>
              </w:rPr>
            </w:pPr>
            <w:proofErr w:type="spellStart"/>
            <w:r w:rsidRPr="00A14EE4">
              <w:rPr>
                <w:rFonts w:ascii="Century Gothic" w:hAnsi="Century Gothic"/>
              </w:rPr>
              <w:t>Representante</w:t>
            </w:r>
            <w:proofErr w:type="spellEnd"/>
            <w:r w:rsidRPr="00A14EE4">
              <w:rPr>
                <w:rFonts w:ascii="Century Gothic" w:hAnsi="Century Gothic"/>
              </w:rPr>
              <w:t xml:space="preserve"> a la </w:t>
            </w:r>
            <w:proofErr w:type="spellStart"/>
            <w:r w:rsidRPr="00A14EE4">
              <w:rPr>
                <w:rFonts w:ascii="Century Gothic" w:hAnsi="Century Gothic"/>
              </w:rPr>
              <w:t>Càmara</w:t>
            </w:r>
            <w:proofErr w:type="spellEnd"/>
          </w:p>
          <w:p w:rsidR="00D665D2" w:rsidRPr="00A14EE4" w:rsidRDefault="00A14EE4" w:rsidP="00A14EE4">
            <w:pPr>
              <w:tabs>
                <w:tab w:val="left" w:pos="1440"/>
              </w:tabs>
              <w:rPr>
                <w:rFonts w:ascii="Century Gothic" w:hAnsi="Century Gothic"/>
                <w:lang w:eastAsia="es-CO"/>
              </w:rPr>
            </w:pPr>
            <w:r>
              <w:rPr>
                <w:rFonts w:ascii="Century Gothic" w:hAnsi="Century Gothic"/>
                <w:lang w:eastAsia="es-CO"/>
              </w:rPr>
              <w:tab/>
            </w:r>
          </w:p>
        </w:tc>
        <w:tc>
          <w:tcPr>
            <w:tcW w:w="4414" w:type="dxa"/>
          </w:tcPr>
          <w:p w:rsidR="00D665D2" w:rsidRPr="00D665D2" w:rsidRDefault="00D665D2" w:rsidP="00496E01">
            <w:pPr>
              <w:jc w:val="center"/>
              <w:rPr>
                <w:rFonts w:ascii="Century Gothic" w:hAnsi="Century Gothic"/>
                <w:noProof/>
                <w:lang w:eastAsia="es-CO"/>
              </w:rPr>
            </w:pPr>
          </w:p>
        </w:tc>
      </w:tr>
    </w:tbl>
    <w:p w:rsidR="00D665D2" w:rsidRPr="00D665D2" w:rsidRDefault="00D665D2" w:rsidP="00D665D2">
      <w:pPr>
        <w:spacing w:after="0" w:line="240" w:lineRule="auto"/>
        <w:jc w:val="center"/>
        <w:rPr>
          <w:rFonts w:ascii="Century Gothic" w:hAnsi="Century Gothic" w:cs="Arial"/>
          <w:lang w:val="es-CO"/>
        </w:rPr>
      </w:pPr>
    </w:p>
    <w:p w:rsidR="00D665D2" w:rsidRPr="00D665D2" w:rsidRDefault="00D665D2" w:rsidP="001F2271">
      <w:pPr>
        <w:jc w:val="both"/>
        <w:rPr>
          <w:rFonts w:ascii="Century Gothic" w:hAnsi="Century Gothic"/>
          <w:lang w:val="es-CO"/>
        </w:rPr>
      </w:pPr>
    </w:p>
    <w:p w:rsidR="00A14EE4" w:rsidRPr="00A14EE4" w:rsidRDefault="00A14EE4" w:rsidP="00A14EE4">
      <w:pPr>
        <w:pStyle w:val="Pa23"/>
        <w:spacing w:before="40" w:after="40"/>
        <w:ind w:right="20"/>
        <w:jc w:val="center"/>
        <w:rPr>
          <w:rFonts w:ascii="Century Gothic" w:hAnsi="Century Gothic" w:cs="Arial"/>
          <w:i/>
          <w:color w:val="000000"/>
          <w:sz w:val="22"/>
          <w:szCs w:val="22"/>
          <w:lang w:val="es-CO"/>
        </w:rPr>
      </w:pPr>
      <w:r w:rsidRPr="00A14EE4">
        <w:rPr>
          <w:rStyle w:val="A3"/>
          <w:rFonts w:ascii="Century Gothic" w:hAnsi="Century Gothic" w:cs="Arial"/>
          <w:b/>
          <w:bCs/>
          <w:i w:val="0"/>
          <w:sz w:val="22"/>
          <w:szCs w:val="22"/>
          <w:lang w:val="es-CO"/>
        </w:rPr>
        <w:t>PROYECTO DE LEY NÚMERO ________ DE 2020 CÁMARA</w:t>
      </w:r>
    </w:p>
    <w:p w:rsidR="00A14EE4" w:rsidRPr="00A14EE4" w:rsidRDefault="00A14EE4" w:rsidP="00A14EE4">
      <w:pPr>
        <w:jc w:val="center"/>
        <w:rPr>
          <w:rStyle w:val="A3"/>
          <w:rFonts w:ascii="Century Gothic" w:hAnsi="Century Gothic" w:cs="Arial"/>
          <w:lang w:val="es-CO"/>
        </w:rPr>
      </w:pPr>
    </w:p>
    <w:p w:rsidR="00A14EE4" w:rsidRPr="00A14EE4" w:rsidRDefault="00A14EE4" w:rsidP="00A14EE4">
      <w:pPr>
        <w:jc w:val="center"/>
        <w:rPr>
          <w:rStyle w:val="A3"/>
          <w:rFonts w:ascii="Century Gothic" w:hAnsi="Century Gothic" w:cs="Arial"/>
          <w:lang w:val="es-CO"/>
        </w:rPr>
      </w:pPr>
    </w:p>
    <w:p w:rsidR="00A14EE4" w:rsidRPr="00A14EE4" w:rsidRDefault="00A14EE4" w:rsidP="00A14EE4">
      <w:pPr>
        <w:jc w:val="center"/>
        <w:rPr>
          <w:rStyle w:val="A3"/>
          <w:rFonts w:ascii="Century Gothic" w:hAnsi="Century Gothic" w:cs="Arial"/>
          <w:i w:val="0"/>
          <w:lang w:val="es-CO"/>
        </w:rPr>
      </w:pPr>
      <w:r w:rsidRPr="00A14EE4">
        <w:rPr>
          <w:rStyle w:val="A3"/>
          <w:rFonts w:ascii="Century Gothic" w:hAnsi="Century Gothic" w:cs="Arial"/>
          <w:lang w:val="es-CO"/>
        </w:rPr>
        <w:t>“Por el cual se crea el Fondo para el Desarrollo y la Reactivación Económica de Sucre - FODRES”.</w:t>
      </w:r>
    </w:p>
    <w:p w:rsidR="00A14EE4" w:rsidRPr="00A14EE4" w:rsidRDefault="00A14EE4" w:rsidP="00A14EE4">
      <w:pPr>
        <w:rPr>
          <w:rStyle w:val="A3"/>
          <w:rFonts w:ascii="Century Gothic" w:hAnsi="Century Gothic" w:cs="Arial"/>
          <w:i w:val="0"/>
          <w:lang w:val="es-CO"/>
        </w:rPr>
      </w:pPr>
    </w:p>
    <w:p w:rsidR="00A14EE4" w:rsidRPr="00A14EE4" w:rsidRDefault="00A14EE4" w:rsidP="00A14EE4">
      <w:pPr>
        <w:jc w:val="center"/>
        <w:rPr>
          <w:rFonts w:ascii="Century Gothic" w:hAnsi="Century Gothic" w:cs="Arial"/>
          <w:b/>
          <w:lang w:val="es-CO"/>
        </w:rPr>
      </w:pPr>
      <w:r w:rsidRPr="00A14EE4">
        <w:rPr>
          <w:rFonts w:ascii="Century Gothic" w:hAnsi="Century Gothic" w:cs="Arial"/>
          <w:b/>
          <w:lang w:val="es-CO"/>
        </w:rPr>
        <w:t>EL CONGRESO DE LA REPÚBLICA DE COLOMBIA.</w:t>
      </w:r>
    </w:p>
    <w:p w:rsidR="00A14EE4" w:rsidRPr="00A14EE4" w:rsidRDefault="00A14EE4" w:rsidP="00A14EE4">
      <w:pPr>
        <w:jc w:val="center"/>
        <w:rPr>
          <w:rFonts w:ascii="Century Gothic" w:hAnsi="Century Gothic" w:cs="Arial"/>
          <w:b/>
          <w:lang w:val="es-CO"/>
        </w:rPr>
      </w:pPr>
    </w:p>
    <w:p w:rsidR="00A14EE4" w:rsidRPr="00A14EE4" w:rsidRDefault="00A14EE4" w:rsidP="00A14EE4">
      <w:pPr>
        <w:jc w:val="center"/>
        <w:rPr>
          <w:rFonts w:ascii="Century Gothic" w:hAnsi="Century Gothic" w:cs="Arial"/>
          <w:b/>
          <w:lang w:val="es-CO"/>
        </w:rPr>
      </w:pPr>
      <w:r w:rsidRPr="00A14EE4">
        <w:rPr>
          <w:rFonts w:ascii="Century Gothic" w:hAnsi="Century Gothic" w:cs="Arial"/>
          <w:b/>
          <w:lang w:val="es-CO"/>
        </w:rPr>
        <w:t>DECRETA:</w:t>
      </w:r>
    </w:p>
    <w:p w:rsidR="00A14EE4" w:rsidRPr="00A14EE4" w:rsidRDefault="00A14EE4" w:rsidP="00A14EE4">
      <w:pPr>
        <w:jc w:val="both"/>
        <w:rPr>
          <w:rFonts w:ascii="Century Gothic" w:hAnsi="Century Gothic" w:cs="Arial"/>
          <w:lang w:val="es-CO"/>
        </w:rPr>
      </w:pPr>
    </w:p>
    <w:p w:rsidR="00A14EE4" w:rsidRPr="00A14EE4" w:rsidRDefault="00A14EE4" w:rsidP="00A14EE4">
      <w:pPr>
        <w:jc w:val="both"/>
        <w:rPr>
          <w:rFonts w:ascii="Century Gothic" w:hAnsi="Century Gothic" w:cs="Arial"/>
          <w:lang w:val="es-CO"/>
        </w:rPr>
      </w:pPr>
      <w:r w:rsidRPr="00A14EE4">
        <w:rPr>
          <w:rFonts w:ascii="Century Gothic" w:hAnsi="Century Gothic" w:cs="Arial"/>
          <w:b/>
          <w:lang w:val="es-CO"/>
        </w:rPr>
        <w:t>ARTÍCULO PRIMERO. OBJETO.</w:t>
      </w:r>
      <w:r w:rsidRPr="00A14EE4">
        <w:rPr>
          <w:rFonts w:ascii="Century Gothic" w:hAnsi="Century Gothic" w:cs="Arial"/>
          <w:lang w:val="es-CO"/>
        </w:rPr>
        <w:t xml:space="preserve"> La presente ley tiene por objeto definir acciones y articular esfuerzos institucionales del orden Nacional y Territorial, de tal manera que </w:t>
      </w:r>
      <w:r w:rsidRPr="00A14EE4">
        <w:rPr>
          <w:rFonts w:ascii="Century Gothic" w:hAnsi="Century Gothic" w:cs="Arial"/>
          <w:lang w:val="es-CO"/>
        </w:rPr>
        <w:lastRenderedPageBreak/>
        <w:t>permitan promover la reactivación económica, promover la inversión pública y privada, el empleo y el emprendimiento en el Departamento de Sucre.</w:t>
      </w:r>
    </w:p>
    <w:p w:rsidR="00A14EE4" w:rsidRPr="00A14EE4" w:rsidRDefault="00A14EE4" w:rsidP="00A14EE4">
      <w:pPr>
        <w:jc w:val="both"/>
        <w:rPr>
          <w:rFonts w:ascii="Century Gothic" w:hAnsi="Century Gothic" w:cs="Arial"/>
          <w:lang w:val="es-CO"/>
        </w:rPr>
      </w:pPr>
      <w:r w:rsidRPr="00A14EE4">
        <w:rPr>
          <w:rFonts w:ascii="Century Gothic" w:hAnsi="Century Gothic" w:cs="Arial"/>
          <w:b/>
          <w:lang w:val="es-CO"/>
        </w:rPr>
        <w:t xml:space="preserve">ARTÍCULO SEGUNDO. CREACIÓN. </w:t>
      </w:r>
      <w:r w:rsidRPr="00A14EE4">
        <w:rPr>
          <w:rFonts w:ascii="Century Gothic" w:hAnsi="Century Gothic" w:cs="Arial"/>
          <w:lang w:val="es-CO"/>
        </w:rPr>
        <w:t xml:space="preserve">Créese el </w:t>
      </w:r>
      <w:r w:rsidRPr="00A14EE4">
        <w:rPr>
          <w:rFonts w:ascii="Century Gothic" w:hAnsi="Century Gothic" w:cs="Arial"/>
          <w:b/>
          <w:lang w:val="es-CO"/>
        </w:rPr>
        <w:t>Fondo para el Desarrollo y la Reactivación Económica de Sucre - FODRES</w:t>
      </w:r>
      <w:r w:rsidRPr="00A14EE4">
        <w:rPr>
          <w:rFonts w:ascii="Century Gothic" w:hAnsi="Century Gothic" w:cs="Arial"/>
          <w:lang w:val="es-CO"/>
        </w:rPr>
        <w:t>, con patrimonio autónomo y con domicilio en la ciudad de Sincelejo, que tendrá como objeto social principal promover el desarrollo el Departamento de Sucre a través de proyectos de impacto regional, recibir, asignar y ejecutar los proyectos con recursos destinados a impactar los sectores económicos, sociales y ambientales, así como promover acciones de coordinación, planeación y articulación conjuntas con las entidades territoriales y del orden nacional para mejorar su dinámica económica, promover y atraer la inversión privada, promover el empleo decente y el emprendimiento en todo el Departamento.  La Naturaleza del FODRES se creará como sociedad que se constituye por acciones simplificada (S.A.S), regulada por la Ley 1258 de 2008.</w:t>
      </w:r>
    </w:p>
    <w:p w:rsidR="00A14EE4" w:rsidRPr="00A14EE4" w:rsidRDefault="00A14EE4" w:rsidP="00A14EE4">
      <w:pPr>
        <w:jc w:val="both"/>
        <w:rPr>
          <w:rFonts w:ascii="Century Gothic" w:hAnsi="Century Gothic" w:cs="Arial"/>
          <w:lang w:val="es-CO"/>
        </w:rPr>
      </w:pPr>
      <w:r w:rsidRPr="00A14EE4">
        <w:rPr>
          <w:rFonts w:ascii="Century Gothic" w:hAnsi="Century Gothic" w:cs="Arial"/>
          <w:b/>
          <w:lang w:val="es-CO"/>
        </w:rPr>
        <w:t xml:space="preserve">ARTÍCULO TERCERO. FUNCIONES. </w:t>
      </w:r>
      <w:r w:rsidRPr="00A14EE4">
        <w:rPr>
          <w:rFonts w:ascii="Century Gothic" w:hAnsi="Century Gothic" w:cs="Arial"/>
          <w:lang w:val="es-CO"/>
        </w:rPr>
        <w:tab/>
        <w:t>El Fondo para el Desarrollo y la Reactivación Económica de Sucre – FODRES tendrá las siguientes funciones:</w:t>
      </w:r>
    </w:p>
    <w:p w:rsidR="00A14EE4" w:rsidRPr="00A14EE4" w:rsidRDefault="00A14EE4" w:rsidP="00A14EE4">
      <w:pPr>
        <w:pStyle w:val="Prrafodelista"/>
        <w:numPr>
          <w:ilvl w:val="0"/>
          <w:numId w:val="7"/>
        </w:numPr>
        <w:ind w:left="426" w:hanging="426"/>
        <w:jc w:val="both"/>
        <w:rPr>
          <w:rFonts w:ascii="Century Gothic" w:hAnsi="Century Gothic" w:cs="Arial"/>
          <w:lang w:val="es-CO"/>
        </w:rPr>
      </w:pPr>
      <w:r w:rsidRPr="00A14EE4">
        <w:rPr>
          <w:rFonts w:ascii="Century Gothic" w:hAnsi="Century Gothic" w:cs="Arial"/>
          <w:lang w:val="es-CO"/>
        </w:rPr>
        <w:t>Promover la articulación de la planificación del desarrollo del Departamento de Sucre y sus municipios, con el Gobierno Nacional.</w:t>
      </w:r>
    </w:p>
    <w:p w:rsidR="00A14EE4" w:rsidRPr="00A14EE4" w:rsidRDefault="00A14EE4" w:rsidP="00A14EE4">
      <w:pPr>
        <w:pStyle w:val="Prrafodelista"/>
        <w:numPr>
          <w:ilvl w:val="0"/>
          <w:numId w:val="7"/>
        </w:numPr>
        <w:ind w:left="426" w:hanging="426"/>
        <w:jc w:val="both"/>
        <w:rPr>
          <w:rFonts w:ascii="Century Gothic" w:hAnsi="Century Gothic" w:cs="Arial"/>
          <w:lang w:val="es-CO"/>
        </w:rPr>
      </w:pPr>
      <w:r w:rsidRPr="00A14EE4">
        <w:rPr>
          <w:rFonts w:ascii="Century Gothic" w:hAnsi="Century Gothic" w:cs="Arial"/>
          <w:lang w:val="es-CO"/>
        </w:rPr>
        <w:t>Promover acciones de manera articulada con las entidades territoriales del Departamento de Sucre para atraer la inversión privada, la generación de empleo y el emprendimiento en el Departamento.</w:t>
      </w:r>
    </w:p>
    <w:p w:rsidR="00A14EE4" w:rsidRPr="00A14EE4" w:rsidRDefault="00A14EE4" w:rsidP="00A14EE4">
      <w:pPr>
        <w:pStyle w:val="Prrafodelista"/>
        <w:numPr>
          <w:ilvl w:val="0"/>
          <w:numId w:val="7"/>
        </w:numPr>
        <w:ind w:left="426" w:hanging="426"/>
        <w:jc w:val="both"/>
        <w:rPr>
          <w:rFonts w:ascii="Century Gothic" w:hAnsi="Century Gothic" w:cs="Arial"/>
          <w:lang w:val="es-CO"/>
        </w:rPr>
      </w:pPr>
      <w:r w:rsidRPr="00A14EE4">
        <w:rPr>
          <w:rFonts w:ascii="Century Gothic" w:hAnsi="Century Gothic" w:cs="Arial"/>
          <w:lang w:val="es-CO"/>
        </w:rPr>
        <w:t>Financiar, cofinanciar o invertir en los proyectos, programas o planes que se presenten al FODRES y que estén incluidas en el Plan de Inversiones del Fondo, de acuerdo con los lineamientos establecidos por la Junta Directiva. Los proyectos programas o planes podrán ser presentados por la Gobernación, las Alcaldías del Departamento de Sucre o cualquier entidad que haga parte de sus estructuras administrativas y que cuente con la respectiva facultad para presentarlo.</w:t>
      </w:r>
    </w:p>
    <w:p w:rsidR="00A14EE4" w:rsidRPr="00A14EE4" w:rsidRDefault="00A14EE4" w:rsidP="00A14EE4">
      <w:pPr>
        <w:pStyle w:val="Prrafodelista"/>
        <w:numPr>
          <w:ilvl w:val="0"/>
          <w:numId w:val="7"/>
        </w:numPr>
        <w:ind w:left="426" w:hanging="426"/>
        <w:jc w:val="both"/>
        <w:rPr>
          <w:rFonts w:ascii="Century Gothic" w:hAnsi="Century Gothic" w:cs="Arial"/>
          <w:lang w:val="es-CO"/>
        </w:rPr>
      </w:pPr>
      <w:r w:rsidRPr="00A14EE4">
        <w:rPr>
          <w:rFonts w:ascii="Century Gothic" w:hAnsi="Century Gothic" w:cs="Arial"/>
          <w:lang w:val="es-CO"/>
        </w:rPr>
        <w:t xml:space="preserve">Promover procesos de </w:t>
      </w:r>
      <w:proofErr w:type="spellStart"/>
      <w:r w:rsidRPr="00A14EE4">
        <w:rPr>
          <w:rFonts w:ascii="Century Gothic" w:hAnsi="Century Gothic" w:cs="Arial"/>
          <w:lang w:val="es-CO"/>
        </w:rPr>
        <w:t>asociatividad</w:t>
      </w:r>
      <w:proofErr w:type="spellEnd"/>
      <w:r w:rsidRPr="00A14EE4">
        <w:rPr>
          <w:rFonts w:ascii="Century Gothic" w:hAnsi="Century Gothic" w:cs="Arial"/>
          <w:lang w:val="es-CO"/>
        </w:rPr>
        <w:t xml:space="preserve"> en los sectores de la economía y la promoción y creación de CLUSTERS en el Departamento de Sucre, en articulación con la Gobernación y las Alcaldías.</w:t>
      </w:r>
    </w:p>
    <w:p w:rsidR="00A14EE4" w:rsidRPr="00A14EE4" w:rsidRDefault="00A14EE4" w:rsidP="00A14EE4">
      <w:pPr>
        <w:pStyle w:val="Prrafodelista"/>
        <w:numPr>
          <w:ilvl w:val="0"/>
          <w:numId w:val="7"/>
        </w:numPr>
        <w:ind w:left="426" w:hanging="426"/>
        <w:jc w:val="both"/>
        <w:rPr>
          <w:rFonts w:ascii="Century Gothic" w:hAnsi="Century Gothic" w:cs="Arial"/>
          <w:lang w:val="es-CO"/>
        </w:rPr>
      </w:pPr>
      <w:r w:rsidRPr="00A14EE4">
        <w:rPr>
          <w:rFonts w:ascii="Century Gothic" w:hAnsi="Century Gothic" w:cs="Arial"/>
          <w:lang w:val="es-CO"/>
        </w:rPr>
        <w:t>Trazar en coordinación con la Gobernación y Alcaldías, agendas que promuevan el desarrollo empresarial y el desarrollo en el sector turístico del Departamento de Sucre.</w:t>
      </w:r>
    </w:p>
    <w:p w:rsidR="00A14EE4" w:rsidRPr="00A14EE4" w:rsidRDefault="00A14EE4" w:rsidP="00A14EE4">
      <w:pPr>
        <w:pStyle w:val="Prrafodelista"/>
        <w:numPr>
          <w:ilvl w:val="0"/>
          <w:numId w:val="7"/>
        </w:numPr>
        <w:ind w:left="426" w:hanging="426"/>
        <w:jc w:val="both"/>
        <w:rPr>
          <w:rFonts w:ascii="Century Gothic" w:hAnsi="Century Gothic" w:cs="Arial"/>
          <w:lang w:val="es-CO"/>
        </w:rPr>
      </w:pPr>
      <w:r w:rsidRPr="00A14EE4">
        <w:rPr>
          <w:rFonts w:ascii="Century Gothic" w:hAnsi="Century Gothic" w:cs="Arial"/>
          <w:lang w:val="es-CO"/>
        </w:rPr>
        <w:t xml:space="preserve">Promover procesos de </w:t>
      </w:r>
      <w:proofErr w:type="spellStart"/>
      <w:r w:rsidRPr="00A14EE4">
        <w:rPr>
          <w:rFonts w:ascii="Century Gothic" w:hAnsi="Century Gothic" w:cs="Arial"/>
          <w:lang w:val="es-CO"/>
        </w:rPr>
        <w:t>asociatividad</w:t>
      </w:r>
      <w:proofErr w:type="spellEnd"/>
      <w:r w:rsidRPr="00A14EE4">
        <w:rPr>
          <w:rFonts w:ascii="Century Gothic" w:hAnsi="Century Gothic" w:cs="Arial"/>
          <w:lang w:val="es-CO"/>
        </w:rPr>
        <w:t xml:space="preserve"> entre las entidades territoriales del Departamento de Sucre, para la estructuración, desarrollo y ejecución de obras de impacto regional.</w:t>
      </w:r>
    </w:p>
    <w:p w:rsidR="00A14EE4" w:rsidRPr="00A14EE4" w:rsidRDefault="00A14EE4" w:rsidP="00A14EE4">
      <w:pPr>
        <w:pStyle w:val="Prrafodelista"/>
        <w:numPr>
          <w:ilvl w:val="0"/>
          <w:numId w:val="7"/>
        </w:numPr>
        <w:ind w:left="426" w:hanging="426"/>
        <w:jc w:val="both"/>
        <w:rPr>
          <w:rFonts w:ascii="Century Gothic" w:hAnsi="Century Gothic" w:cs="Arial"/>
          <w:lang w:val="es-CO"/>
        </w:rPr>
      </w:pPr>
      <w:r w:rsidRPr="00A14EE4">
        <w:rPr>
          <w:rFonts w:ascii="Century Gothic" w:hAnsi="Century Gothic" w:cs="Arial"/>
          <w:lang w:val="es-CO"/>
        </w:rPr>
        <w:t>Apoyar a las entidades territoriales del departamento de Sucre en la definición, elaboración y articulación de sus Planes de Desarrollo.</w:t>
      </w:r>
    </w:p>
    <w:p w:rsidR="00A14EE4" w:rsidRPr="00A14EE4" w:rsidRDefault="00A14EE4" w:rsidP="00A14EE4">
      <w:pPr>
        <w:pStyle w:val="Prrafodelista"/>
        <w:numPr>
          <w:ilvl w:val="0"/>
          <w:numId w:val="7"/>
        </w:numPr>
        <w:ind w:left="426" w:hanging="426"/>
        <w:jc w:val="both"/>
        <w:rPr>
          <w:rFonts w:ascii="Century Gothic" w:hAnsi="Century Gothic" w:cs="Arial"/>
          <w:lang w:val="es-CO"/>
        </w:rPr>
      </w:pPr>
      <w:r w:rsidRPr="00A14EE4">
        <w:rPr>
          <w:rFonts w:ascii="Century Gothic" w:hAnsi="Century Gothic" w:cs="Arial"/>
          <w:lang w:val="es-CO"/>
        </w:rPr>
        <w:t>Promover la planificación con prospectiva de la Gobernación y Alcaldías del Departamento de Sucre.</w:t>
      </w:r>
    </w:p>
    <w:p w:rsidR="00A14EE4" w:rsidRPr="00A14EE4" w:rsidRDefault="00A14EE4" w:rsidP="00A14EE4">
      <w:pPr>
        <w:pStyle w:val="Prrafodelista"/>
        <w:numPr>
          <w:ilvl w:val="0"/>
          <w:numId w:val="7"/>
        </w:numPr>
        <w:ind w:left="426" w:hanging="426"/>
        <w:jc w:val="both"/>
        <w:rPr>
          <w:rFonts w:ascii="Century Gothic" w:hAnsi="Century Gothic" w:cs="Arial"/>
          <w:lang w:val="es-CO"/>
        </w:rPr>
      </w:pPr>
      <w:r w:rsidRPr="00A14EE4">
        <w:rPr>
          <w:rFonts w:ascii="Century Gothic" w:hAnsi="Century Gothic" w:cs="Arial"/>
          <w:lang w:val="es-CO"/>
        </w:rPr>
        <w:lastRenderedPageBreak/>
        <w:t>Promover megaproyectos y proyectos de impacto regional en el Departamento de Sucre que requiere del apoyo y articulación con varias entidades territoriales del Departamento de Sucre y el financiamiento por parte del Gobierno Nacional y/o recursos de cooperación nacional e internacional.</w:t>
      </w:r>
    </w:p>
    <w:p w:rsidR="00A14EE4" w:rsidRPr="00A14EE4" w:rsidRDefault="00A14EE4" w:rsidP="00A14EE4">
      <w:pPr>
        <w:pStyle w:val="Prrafodelista"/>
        <w:numPr>
          <w:ilvl w:val="0"/>
          <w:numId w:val="7"/>
        </w:numPr>
        <w:ind w:left="426" w:hanging="426"/>
        <w:jc w:val="both"/>
        <w:rPr>
          <w:rFonts w:ascii="Century Gothic" w:hAnsi="Century Gothic" w:cs="Arial"/>
          <w:lang w:val="es-CO"/>
        </w:rPr>
      </w:pPr>
      <w:r w:rsidRPr="00A14EE4">
        <w:rPr>
          <w:rFonts w:ascii="Century Gothic" w:hAnsi="Century Gothic" w:cs="Arial"/>
          <w:lang w:val="es-CO"/>
        </w:rPr>
        <w:t>Liderar, fomentar, estructurar y ejecutar megaproyectos y proyectos que propendan por el desarrollo económico, social y ambiental del Departamento de Sucre, que sean financiados con recursos del Presupuesto Nacional, Departamental y/o de los municipios del Departamento de Sucre.</w:t>
      </w:r>
    </w:p>
    <w:p w:rsidR="00A14EE4" w:rsidRPr="00A14EE4" w:rsidRDefault="00A14EE4" w:rsidP="00A14EE4">
      <w:pPr>
        <w:pStyle w:val="Prrafodelista"/>
        <w:numPr>
          <w:ilvl w:val="0"/>
          <w:numId w:val="7"/>
        </w:numPr>
        <w:ind w:left="426" w:hanging="426"/>
        <w:jc w:val="both"/>
        <w:rPr>
          <w:rFonts w:ascii="Century Gothic" w:hAnsi="Century Gothic" w:cs="Arial"/>
          <w:lang w:val="es-CO"/>
        </w:rPr>
      </w:pPr>
      <w:r w:rsidRPr="00A14EE4">
        <w:rPr>
          <w:rFonts w:ascii="Century Gothic" w:hAnsi="Century Gothic" w:cs="Arial"/>
          <w:lang w:val="es-CO"/>
        </w:rPr>
        <w:t>Celebrar contratos y/o convenios con cualquier entidad del estado, organismos de cooperación u organismos multilaterales y con particulares a través de una entidad fiduciaria, de conformidad con la normatividad y legislación aplicables a la contratación. La Junta Directiva Administradora del FODRES definirá los límites o montos máximos en materia de contratación, así como los demás requisitos que deban desarrollarse en materia contractual, según sea caso.</w:t>
      </w:r>
    </w:p>
    <w:p w:rsidR="00A14EE4" w:rsidRPr="00A14EE4" w:rsidRDefault="00A14EE4" w:rsidP="00A14EE4">
      <w:pPr>
        <w:pStyle w:val="Prrafodelista"/>
        <w:numPr>
          <w:ilvl w:val="0"/>
          <w:numId w:val="7"/>
        </w:numPr>
        <w:ind w:left="426" w:hanging="426"/>
        <w:jc w:val="both"/>
        <w:rPr>
          <w:rFonts w:ascii="Century Gothic" w:hAnsi="Century Gothic" w:cs="Arial"/>
          <w:lang w:val="es-CO"/>
        </w:rPr>
      </w:pPr>
      <w:r w:rsidRPr="00A14EE4">
        <w:rPr>
          <w:rFonts w:ascii="Century Gothic" w:hAnsi="Century Gothic" w:cs="Arial"/>
          <w:lang w:val="es-CO"/>
        </w:rPr>
        <w:t>Promover lazos permanentes de coordinación interinstitucional entre los niveles administrativos nacional, departamental y municipal, especialmente en lo relativo a la planificación, de tal forma que los proyectos que promueva, lidere, estructure o ejecute, sean complementarios a los definidos en los Planes de Desarrollo de las entidades territoriales del Departamento de Sucre, en coordinación con las entidades Nacionales.</w:t>
      </w:r>
    </w:p>
    <w:p w:rsidR="00A14EE4" w:rsidRPr="00A14EE4" w:rsidRDefault="00A14EE4" w:rsidP="00A14EE4">
      <w:pPr>
        <w:pStyle w:val="Prrafodelista"/>
        <w:numPr>
          <w:ilvl w:val="0"/>
          <w:numId w:val="7"/>
        </w:numPr>
        <w:ind w:left="426" w:hanging="426"/>
        <w:jc w:val="both"/>
        <w:rPr>
          <w:rFonts w:ascii="Century Gothic" w:hAnsi="Century Gothic" w:cs="Arial"/>
          <w:lang w:val="es-CO"/>
        </w:rPr>
      </w:pPr>
      <w:r w:rsidRPr="00A14EE4">
        <w:rPr>
          <w:rFonts w:ascii="Century Gothic" w:hAnsi="Century Gothic" w:cs="Arial"/>
          <w:lang w:val="es-CO"/>
        </w:rPr>
        <w:t>Promover la participación e inclusión de proyectos y recursos para las entidades territoriales del Departamento de Sucre, así como promover la preparación de los planes que deben incluirse como parte del Plan Nacional de Desarrollo Económico y Social y en los Planes Operativos Anuales de Inversión que hacen parte de los presupuestos anuales de la Nación.</w:t>
      </w:r>
    </w:p>
    <w:p w:rsidR="00A14EE4" w:rsidRPr="00A14EE4" w:rsidRDefault="00A14EE4" w:rsidP="00A14EE4">
      <w:pPr>
        <w:jc w:val="both"/>
        <w:rPr>
          <w:rFonts w:ascii="Century Gothic" w:hAnsi="Century Gothic" w:cs="Arial"/>
          <w:lang w:val="es-CO"/>
        </w:rPr>
      </w:pPr>
      <w:r w:rsidRPr="00A14EE4">
        <w:rPr>
          <w:rFonts w:ascii="Century Gothic" w:hAnsi="Century Gothic" w:cs="Arial"/>
          <w:b/>
          <w:lang w:val="es-CO"/>
        </w:rPr>
        <w:t>ARTÍCULO CUARTO. NATURALEZA Y RÉGIMEN DEL FODRES.</w:t>
      </w:r>
      <w:r w:rsidRPr="00A14EE4">
        <w:rPr>
          <w:rFonts w:ascii="Century Gothic" w:hAnsi="Century Gothic" w:cs="Arial"/>
          <w:lang w:val="es-CO"/>
        </w:rPr>
        <w:t xml:space="preserve"> El FODRES será una sociedad de capitales cuya naturaleza será siempre comercial, independientemente de las actividades previstas en su objeto social. Para efectos tributarios, se regirá por las reglas aplicables a las sociedades anónimas.</w:t>
      </w:r>
    </w:p>
    <w:p w:rsidR="00A14EE4" w:rsidRPr="00A14EE4" w:rsidRDefault="00A14EE4" w:rsidP="00A14EE4">
      <w:pPr>
        <w:jc w:val="both"/>
        <w:rPr>
          <w:rFonts w:ascii="Century Gothic" w:hAnsi="Century Gothic" w:cs="Arial"/>
          <w:lang w:val="es-CO"/>
        </w:rPr>
      </w:pPr>
      <w:r w:rsidRPr="00A14EE4">
        <w:rPr>
          <w:rFonts w:ascii="Century Gothic" w:hAnsi="Century Gothic" w:cs="Arial"/>
          <w:lang w:val="es-CO"/>
        </w:rPr>
        <w:t>El régimen de los actos, actuaciones, contratos y administración de los recursos del FODRES se regirán por lo definido en su propio estatuto, que se ajustará a lo establecido en la Ley 1258 de 2008, por las normas que regulan a las sociedades anónimas y en su defecto, en cuanto no resulten contradictorias, por las disposiciones generales que rigen a las sociedades en el Código de Comercio. Cuando en dicho estatuto haya contradicción entre alguna de sus normas y los dispuesto por la ley 1258 de 2008, se aplicará, necesariamente lo que ésta última normatividad ordene.</w:t>
      </w:r>
    </w:p>
    <w:p w:rsidR="00A14EE4" w:rsidRPr="00A14EE4" w:rsidRDefault="00A14EE4" w:rsidP="00A14EE4">
      <w:pPr>
        <w:jc w:val="both"/>
        <w:rPr>
          <w:rFonts w:ascii="Century Gothic" w:hAnsi="Century Gothic" w:cs="Arial"/>
          <w:lang w:val="es-CO"/>
        </w:rPr>
      </w:pPr>
      <w:r w:rsidRPr="00A14EE4">
        <w:rPr>
          <w:rFonts w:ascii="Century Gothic" w:hAnsi="Century Gothic" w:cs="Arial"/>
          <w:b/>
          <w:lang w:val="es-CO"/>
        </w:rPr>
        <w:t>ARTÍCULO QUINTO. DURACIÓN.</w:t>
      </w:r>
      <w:r w:rsidRPr="00A14EE4">
        <w:rPr>
          <w:rFonts w:ascii="Century Gothic" w:hAnsi="Century Gothic" w:cs="Arial"/>
          <w:lang w:val="es-CO"/>
        </w:rPr>
        <w:t xml:space="preserve"> EL FODRES tendrá una duración de VEINTE (20) años, contados a partir de la expedición de la presente ley. </w:t>
      </w:r>
    </w:p>
    <w:p w:rsidR="00A14EE4" w:rsidRPr="00A14EE4" w:rsidRDefault="00A14EE4" w:rsidP="00A14EE4">
      <w:pPr>
        <w:jc w:val="both"/>
        <w:rPr>
          <w:rFonts w:ascii="Century Gothic" w:hAnsi="Century Gothic" w:cs="Arial"/>
          <w:lang w:val="es-CO"/>
        </w:rPr>
      </w:pPr>
      <w:r w:rsidRPr="00A14EE4">
        <w:rPr>
          <w:rFonts w:ascii="Century Gothic" w:hAnsi="Century Gothic" w:cs="Arial"/>
          <w:b/>
          <w:lang w:val="es-CO"/>
        </w:rPr>
        <w:lastRenderedPageBreak/>
        <w:t>ARTÍCULO SEXTO. CAPITAL AUTORIZADO, SUSCRITO Y PAGADO</w:t>
      </w:r>
      <w:r w:rsidRPr="00A14EE4">
        <w:rPr>
          <w:rFonts w:ascii="Century Gothic" w:hAnsi="Century Gothic" w:cs="Arial"/>
          <w:lang w:val="es-CO"/>
        </w:rPr>
        <w:t xml:space="preserve">: Capital autorizado: Se autoriza al Gobierno Nacional, a través del Ministerio de Hacienda y Crédito Público, para que dentro de los seis (6) meses siguientes a la aprobación de la presente Ley, en el marco de la constitución de la sociedad, realice todas las actuaciones jurídicas, administrativas y presupuestales para definir el número de acciones y su respectivo valor, así como el aporte y el capital autorizado por parte del Gobierno Nacional, con el propósito de la constitución del FODRES. </w:t>
      </w:r>
    </w:p>
    <w:p w:rsidR="00A14EE4" w:rsidRPr="00A14EE4" w:rsidRDefault="00A14EE4" w:rsidP="00A14EE4">
      <w:pPr>
        <w:jc w:val="both"/>
        <w:rPr>
          <w:rFonts w:ascii="Century Gothic" w:hAnsi="Century Gothic" w:cs="Arial"/>
          <w:lang w:val="es-CO"/>
        </w:rPr>
      </w:pPr>
      <w:r w:rsidRPr="00A14EE4">
        <w:rPr>
          <w:rFonts w:ascii="Century Gothic" w:hAnsi="Century Gothic" w:cs="Arial"/>
          <w:b/>
          <w:lang w:val="es-CO"/>
        </w:rPr>
        <w:t>ARTÍCULO SÉPTIMO. ÓRGANOS QUE INTEGRAN EL FODRES</w:t>
      </w:r>
      <w:r w:rsidRPr="00A14EE4">
        <w:rPr>
          <w:rFonts w:ascii="Century Gothic" w:hAnsi="Century Gothic" w:cs="Arial"/>
          <w:lang w:val="es-CO"/>
        </w:rPr>
        <w:t>: EL FODRES tendrá:</w:t>
      </w:r>
    </w:p>
    <w:p w:rsidR="00A14EE4" w:rsidRPr="00A14EE4" w:rsidRDefault="00A14EE4" w:rsidP="00A14EE4">
      <w:pPr>
        <w:pStyle w:val="Prrafodelista"/>
        <w:numPr>
          <w:ilvl w:val="0"/>
          <w:numId w:val="8"/>
        </w:numPr>
        <w:ind w:left="567" w:hanging="425"/>
        <w:jc w:val="both"/>
        <w:rPr>
          <w:rFonts w:ascii="Century Gothic" w:hAnsi="Century Gothic" w:cs="Arial"/>
          <w:lang w:val="es-CO"/>
        </w:rPr>
      </w:pPr>
      <w:r w:rsidRPr="00A14EE4">
        <w:rPr>
          <w:rFonts w:ascii="Century Gothic" w:hAnsi="Century Gothic" w:cs="Arial"/>
          <w:lang w:val="es-CO"/>
        </w:rPr>
        <w:t xml:space="preserve">Un órgano de dirección denominado ASAMBLEA GENERAL DE ACCIONISTAS, </w:t>
      </w:r>
    </w:p>
    <w:p w:rsidR="00A14EE4" w:rsidRPr="00A14EE4" w:rsidRDefault="00A14EE4" w:rsidP="00A14EE4">
      <w:pPr>
        <w:pStyle w:val="Prrafodelista"/>
        <w:numPr>
          <w:ilvl w:val="0"/>
          <w:numId w:val="8"/>
        </w:numPr>
        <w:ind w:left="567" w:hanging="425"/>
        <w:jc w:val="both"/>
        <w:rPr>
          <w:rFonts w:ascii="Century Gothic" w:hAnsi="Century Gothic" w:cs="Arial"/>
          <w:lang w:val="es-CO"/>
        </w:rPr>
      </w:pPr>
      <w:r w:rsidRPr="00A14EE4">
        <w:rPr>
          <w:rFonts w:ascii="Century Gothic" w:hAnsi="Century Gothic" w:cs="Arial"/>
          <w:lang w:val="es-CO"/>
        </w:rPr>
        <w:t xml:space="preserve">Un órgano de administración denominado JUNTA DIRECTIVA, </w:t>
      </w:r>
    </w:p>
    <w:p w:rsidR="00A14EE4" w:rsidRPr="00A14EE4" w:rsidRDefault="00A14EE4" w:rsidP="00A14EE4">
      <w:pPr>
        <w:pStyle w:val="Prrafodelista"/>
        <w:numPr>
          <w:ilvl w:val="0"/>
          <w:numId w:val="8"/>
        </w:numPr>
        <w:ind w:left="567" w:hanging="425"/>
        <w:jc w:val="both"/>
        <w:rPr>
          <w:rFonts w:ascii="Century Gothic" w:hAnsi="Century Gothic" w:cs="Arial"/>
          <w:lang w:val="es-CO"/>
        </w:rPr>
      </w:pPr>
      <w:r w:rsidRPr="00A14EE4">
        <w:rPr>
          <w:rFonts w:ascii="Century Gothic" w:hAnsi="Century Gothic" w:cs="Arial"/>
          <w:lang w:val="es-CO"/>
        </w:rPr>
        <w:t xml:space="preserve">Un órgano de representación denominado GERENTE quien será a su vez el REPRESENTANTE LEGAL y </w:t>
      </w:r>
    </w:p>
    <w:p w:rsidR="00A14EE4" w:rsidRPr="00A14EE4" w:rsidRDefault="00A14EE4" w:rsidP="00A14EE4">
      <w:pPr>
        <w:pStyle w:val="Prrafodelista"/>
        <w:numPr>
          <w:ilvl w:val="0"/>
          <w:numId w:val="8"/>
        </w:numPr>
        <w:ind w:left="567" w:hanging="425"/>
        <w:jc w:val="both"/>
        <w:rPr>
          <w:rFonts w:ascii="Century Gothic" w:hAnsi="Century Gothic" w:cs="Arial"/>
          <w:lang w:val="es-CO"/>
        </w:rPr>
      </w:pPr>
      <w:r w:rsidRPr="00A14EE4">
        <w:rPr>
          <w:rFonts w:ascii="Century Gothic" w:hAnsi="Century Gothic" w:cs="Arial"/>
          <w:lang w:val="es-CO"/>
        </w:rPr>
        <w:t>Un órgano de control denominado REVISORÍA FISCAL.</w:t>
      </w:r>
    </w:p>
    <w:p w:rsidR="00A14EE4" w:rsidRPr="00A14EE4" w:rsidRDefault="00A14EE4" w:rsidP="00A14EE4">
      <w:pPr>
        <w:jc w:val="both"/>
        <w:rPr>
          <w:rFonts w:ascii="Century Gothic" w:hAnsi="Century Gothic" w:cs="Arial"/>
          <w:lang w:val="es-CO"/>
        </w:rPr>
      </w:pPr>
      <w:r w:rsidRPr="00A14EE4">
        <w:rPr>
          <w:rFonts w:ascii="Century Gothic" w:hAnsi="Century Gothic" w:cs="Arial"/>
          <w:b/>
          <w:lang w:val="es-CO"/>
        </w:rPr>
        <w:t>ARTÍCULO OCTAVO. ASAMBLEA GENERAL DE ACCIONISTAS.</w:t>
      </w:r>
      <w:r w:rsidRPr="00A14EE4">
        <w:rPr>
          <w:rFonts w:ascii="Century Gothic" w:hAnsi="Century Gothic" w:cs="Arial"/>
          <w:lang w:val="es-CO"/>
        </w:rPr>
        <w:t xml:space="preserve"> El Gobierno Nacional a través del Ministerio de Hacienda y Crédito Público, será el responsable en la materialización y el cumplimiento de lo establecido en la presente ley, para lo cual tendrá un tiempo de seis (6) meses para la inscripción y registro del FODRES ante las entidades respectivas, así como de la definición del número de acciones y su valor, del registro del libro de acciones y accionistas.  Para ello, adelantará todas las gestiones necesarias con la Gobernación y Alcaldías del Departamento de Sucre para promover la participación de ellas como accionistas del FODRES y su porcentaje de participación, para poder legalizar su inscripción.</w:t>
      </w:r>
    </w:p>
    <w:p w:rsidR="00A14EE4" w:rsidRPr="00A14EE4" w:rsidRDefault="00A14EE4" w:rsidP="00A14EE4">
      <w:pPr>
        <w:jc w:val="both"/>
        <w:rPr>
          <w:rFonts w:ascii="Century Gothic" w:hAnsi="Century Gothic" w:cs="Arial"/>
          <w:lang w:val="es-CO"/>
        </w:rPr>
      </w:pPr>
      <w:r w:rsidRPr="00A14EE4">
        <w:rPr>
          <w:rFonts w:ascii="Century Gothic" w:hAnsi="Century Gothic" w:cs="Arial"/>
          <w:lang w:val="es-CO"/>
        </w:rPr>
        <w:t>La Asamblea General de Accionistas la integran los Accionistas del FODRES que figuren en el libro de registro de Accionistas, con arreglo a las disposiciones sobre convocatoria, quórum, mayorías, y demás condiciones previstas en los estatutos y en la ley.</w:t>
      </w:r>
    </w:p>
    <w:p w:rsidR="00A14EE4" w:rsidRPr="00A14EE4" w:rsidRDefault="00A14EE4" w:rsidP="00A14EE4">
      <w:pPr>
        <w:jc w:val="both"/>
        <w:rPr>
          <w:rFonts w:ascii="Century Gothic" w:hAnsi="Century Gothic" w:cs="Arial"/>
          <w:lang w:val="es-CO"/>
        </w:rPr>
      </w:pPr>
      <w:r w:rsidRPr="00A14EE4">
        <w:rPr>
          <w:rFonts w:ascii="Century Gothic" w:hAnsi="Century Gothic" w:cs="Arial"/>
          <w:lang w:val="es-CO"/>
        </w:rPr>
        <w:t>Las reuniones de la Asamblea General de Accionistas serán presididas por un presidente y un secretario que serán elegidos por la Asamblea General de Accionistas para la respectiva reunión y serán quienes firmarán el Acta correspondiente una vez sea aprobada por la Asamblea General de Accionistas.</w:t>
      </w:r>
    </w:p>
    <w:p w:rsidR="00A14EE4" w:rsidRPr="00A14EE4" w:rsidRDefault="00A14EE4" w:rsidP="00A14EE4">
      <w:pPr>
        <w:jc w:val="both"/>
        <w:rPr>
          <w:rFonts w:ascii="Century Gothic" w:hAnsi="Century Gothic" w:cs="Arial"/>
          <w:lang w:val="es-CO"/>
        </w:rPr>
      </w:pPr>
      <w:r w:rsidRPr="00A14EE4">
        <w:rPr>
          <w:rFonts w:ascii="Century Gothic" w:hAnsi="Century Gothic" w:cs="Arial"/>
          <w:lang w:val="es-CO"/>
        </w:rPr>
        <w:t>Si después de adelantar la gestión y convocatoria que realice el gobierno nacional para que la gobernación y las Alcaldías del Departamento de Sucre manifiesten su interés de participar y lo materialicen como accionistas del FODRES, dichas entidades no han dado respuesta, en un plazo máximo de tres (3) meses, la sociedad será unipersonal y el Accionista Único será el Gobierno Nacional, quien ejercerá todas las atribuciones de la Asamblea General de Accionistas.</w:t>
      </w:r>
    </w:p>
    <w:p w:rsidR="00A14EE4" w:rsidRPr="00A14EE4" w:rsidRDefault="00A14EE4" w:rsidP="00A14EE4">
      <w:pPr>
        <w:jc w:val="both"/>
        <w:rPr>
          <w:rFonts w:ascii="Century Gothic" w:hAnsi="Century Gothic" w:cs="Arial"/>
          <w:lang w:val="es-CO"/>
        </w:rPr>
      </w:pPr>
      <w:r w:rsidRPr="00A14EE4">
        <w:rPr>
          <w:rFonts w:ascii="Century Gothic" w:hAnsi="Century Gothic" w:cs="Arial"/>
          <w:b/>
          <w:lang w:val="es-CO"/>
        </w:rPr>
        <w:t>ARTÍCULO NOVENO. PARTICIPACIÓN DE LAS ENTIDADES TERRITORIALES EN EL FODRES.</w:t>
      </w:r>
      <w:r w:rsidRPr="00A14EE4">
        <w:rPr>
          <w:rFonts w:ascii="Century Gothic" w:hAnsi="Century Gothic" w:cs="Arial"/>
          <w:lang w:val="es-CO"/>
        </w:rPr>
        <w:t xml:space="preserve"> Las Entidades Territoriales del Departamento de Sucre que manifiesten el interés de </w:t>
      </w:r>
      <w:r w:rsidRPr="00A14EE4">
        <w:rPr>
          <w:rFonts w:ascii="Century Gothic" w:hAnsi="Century Gothic" w:cs="Arial"/>
          <w:lang w:val="es-CO"/>
        </w:rPr>
        <w:lastRenderedPageBreak/>
        <w:t>ser accionistas del FODRES, realizarán todas las acciones jurídicas, administrativas y presupuestales que establezca la Ley, así como las respectivas facultades a los mandatarios, para su participación en el FONDO.</w:t>
      </w:r>
    </w:p>
    <w:p w:rsidR="00A14EE4" w:rsidRPr="00A14EE4" w:rsidRDefault="00A14EE4" w:rsidP="00A14EE4">
      <w:pPr>
        <w:jc w:val="both"/>
        <w:rPr>
          <w:rFonts w:ascii="Century Gothic" w:hAnsi="Century Gothic" w:cs="Arial"/>
          <w:lang w:val="es-CO"/>
        </w:rPr>
      </w:pPr>
      <w:r w:rsidRPr="00A14EE4">
        <w:rPr>
          <w:rFonts w:ascii="Century Gothic" w:hAnsi="Century Gothic" w:cs="Arial"/>
          <w:b/>
          <w:lang w:val="es-CO"/>
        </w:rPr>
        <w:t xml:space="preserve">ARTÍCULO DÉCIMO. JUNTA DIRECTIVA. </w:t>
      </w:r>
      <w:r w:rsidRPr="00A14EE4">
        <w:rPr>
          <w:rFonts w:ascii="Century Gothic" w:hAnsi="Century Gothic" w:cs="Arial"/>
          <w:lang w:val="es-CO"/>
        </w:rPr>
        <w:t>La Junta Directiva del Fondo para el Desarrollo y la Reactivación Económica de Sucre - FODRES estará integrada por:</w:t>
      </w:r>
    </w:p>
    <w:p w:rsidR="00A14EE4" w:rsidRPr="00A14EE4" w:rsidRDefault="00A14EE4" w:rsidP="00A14EE4">
      <w:pPr>
        <w:pStyle w:val="Prrafodelista"/>
        <w:numPr>
          <w:ilvl w:val="0"/>
          <w:numId w:val="5"/>
        </w:numPr>
        <w:jc w:val="both"/>
        <w:rPr>
          <w:rFonts w:ascii="Century Gothic" w:hAnsi="Century Gothic" w:cs="Arial"/>
          <w:lang w:val="es-CO"/>
        </w:rPr>
      </w:pPr>
      <w:r w:rsidRPr="00A14EE4">
        <w:rPr>
          <w:rFonts w:ascii="Century Gothic" w:hAnsi="Century Gothic" w:cs="Arial"/>
          <w:lang w:val="es-CO"/>
        </w:rPr>
        <w:t>El Ministro de Hacienda y Crédito Público o su delegado, quien será el Presidente de la Junta,</w:t>
      </w:r>
    </w:p>
    <w:p w:rsidR="00A14EE4" w:rsidRPr="00A14EE4" w:rsidRDefault="00A14EE4" w:rsidP="00A14EE4">
      <w:pPr>
        <w:pStyle w:val="Prrafodelista"/>
        <w:numPr>
          <w:ilvl w:val="0"/>
          <w:numId w:val="5"/>
        </w:numPr>
        <w:jc w:val="both"/>
        <w:rPr>
          <w:rFonts w:ascii="Century Gothic" w:hAnsi="Century Gothic" w:cs="Arial"/>
          <w:lang w:val="es-CO"/>
        </w:rPr>
      </w:pPr>
      <w:r w:rsidRPr="00A14EE4">
        <w:rPr>
          <w:rFonts w:ascii="Century Gothic" w:hAnsi="Century Gothic" w:cs="Arial"/>
          <w:lang w:val="es-CO"/>
        </w:rPr>
        <w:t>El Gerente del FODRES, quien será el Secretario Técnico de la Junta Directiva y que tendrá voz, pero no voto.</w:t>
      </w:r>
    </w:p>
    <w:p w:rsidR="00A14EE4" w:rsidRPr="00A14EE4" w:rsidRDefault="00A14EE4" w:rsidP="00A14EE4">
      <w:pPr>
        <w:pStyle w:val="Prrafodelista"/>
        <w:numPr>
          <w:ilvl w:val="0"/>
          <w:numId w:val="5"/>
        </w:numPr>
        <w:jc w:val="both"/>
        <w:rPr>
          <w:rFonts w:ascii="Century Gothic" w:hAnsi="Century Gothic" w:cs="Arial"/>
          <w:lang w:val="es-CO"/>
        </w:rPr>
      </w:pPr>
      <w:r w:rsidRPr="00A14EE4">
        <w:rPr>
          <w:rFonts w:ascii="Century Gothic" w:hAnsi="Century Gothic" w:cs="Arial"/>
          <w:lang w:val="es-CO"/>
        </w:rPr>
        <w:t>El Director del Departamento Nacional de Planeación - DNP o su delegado,</w:t>
      </w:r>
    </w:p>
    <w:p w:rsidR="00A14EE4" w:rsidRPr="00A14EE4" w:rsidRDefault="00A14EE4" w:rsidP="00A14EE4">
      <w:pPr>
        <w:pStyle w:val="Prrafodelista"/>
        <w:numPr>
          <w:ilvl w:val="0"/>
          <w:numId w:val="5"/>
        </w:numPr>
        <w:jc w:val="both"/>
        <w:rPr>
          <w:rFonts w:ascii="Century Gothic" w:hAnsi="Century Gothic" w:cs="Arial"/>
          <w:lang w:val="es-CO"/>
        </w:rPr>
      </w:pPr>
      <w:r w:rsidRPr="00A14EE4">
        <w:rPr>
          <w:rFonts w:ascii="Century Gothic" w:hAnsi="Century Gothic" w:cs="Arial"/>
          <w:lang w:val="es-CO"/>
        </w:rPr>
        <w:t>El Ministro de Comercio, Industria y Turismo o su delegado,</w:t>
      </w:r>
    </w:p>
    <w:p w:rsidR="00A14EE4" w:rsidRPr="00A14EE4" w:rsidRDefault="00A14EE4" w:rsidP="00A14EE4">
      <w:pPr>
        <w:pStyle w:val="Prrafodelista"/>
        <w:numPr>
          <w:ilvl w:val="0"/>
          <w:numId w:val="5"/>
        </w:numPr>
        <w:jc w:val="both"/>
        <w:rPr>
          <w:rFonts w:ascii="Century Gothic" w:hAnsi="Century Gothic" w:cs="Arial"/>
          <w:lang w:val="es-CO"/>
        </w:rPr>
      </w:pPr>
      <w:r w:rsidRPr="00A14EE4">
        <w:rPr>
          <w:rFonts w:ascii="Century Gothic" w:hAnsi="Century Gothic" w:cs="Arial"/>
          <w:lang w:val="es-CO"/>
        </w:rPr>
        <w:t>El Ministro de Ciencia Tecnología e Innovación o su delegado,</w:t>
      </w:r>
    </w:p>
    <w:p w:rsidR="00A14EE4" w:rsidRPr="00A14EE4" w:rsidRDefault="00A14EE4" w:rsidP="00A14EE4">
      <w:pPr>
        <w:pStyle w:val="Prrafodelista"/>
        <w:numPr>
          <w:ilvl w:val="0"/>
          <w:numId w:val="5"/>
        </w:numPr>
        <w:jc w:val="both"/>
        <w:rPr>
          <w:rFonts w:ascii="Century Gothic" w:hAnsi="Century Gothic" w:cs="Arial"/>
          <w:lang w:val="es-CO"/>
        </w:rPr>
      </w:pPr>
      <w:r w:rsidRPr="00A14EE4">
        <w:rPr>
          <w:rFonts w:ascii="Century Gothic" w:hAnsi="Century Gothic" w:cs="Arial"/>
          <w:lang w:val="es-CO"/>
        </w:rPr>
        <w:t>El Presidente del Consejo Regional de Competitividad de Sucre,</w:t>
      </w:r>
    </w:p>
    <w:p w:rsidR="00A14EE4" w:rsidRPr="00A14EE4" w:rsidRDefault="00A14EE4" w:rsidP="00A14EE4">
      <w:pPr>
        <w:pStyle w:val="Prrafodelista"/>
        <w:numPr>
          <w:ilvl w:val="0"/>
          <w:numId w:val="5"/>
        </w:numPr>
        <w:jc w:val="both"/>
        <w:rPr>
          <w:rFonts w:ascii="Century Gothic" w:hAnsi="Century Gothic" w:cs="Arial"/>
          <w:lang w:val="es-CO"/>
        </w:rPr>
      </w:pPr>
      <w:r w:rsidRPr="00A14EE4">
        <w:rPr>
          <w:rFonts w:ascii="Century Gothic" w:hAnsi="Century Gothic" w:cs="Arial"/>
          <w:lang w:val="es-CO"/>
        </w:rPr>
        <w:t>El Director del SENA regional Sucre.</w:t>
      </w:r>
    </w:p>
    <w:p w:rsidR="00A14EE4" w:rsidRPr="00A14EE4" w:rsidRDefault="00A14EE4" w:rsidP="00A14EE4">
      <w:pPr>
        <w:pStyle w:val="Prrafodelista"/>
        <w:numPr>
          <w:ilvl w:val="0"/>
          <w:numId w:val="5"/>
        </w:numPr>
        <w:jc w:val="both"/>
        <w:rPr>
          <w:rFonts w:ascii="Century Gothic" w:hAnsi="Century Gothic" w:cs="Arial"/>
          <w:lang w:val="es-CO"/>
        </w:rPr>
      </w:pPr>
      <w:r w:rsidRPr="00A14EE4">
        <w:rPr>
          <w:rFonts w:ascii="Century Gothic" w:hAnsi="Century Gothic" w:cs="Arial"/>
          <w:lang w:val="es-CO"/>
        </w:rPr>
        <w:t>El Gobernador de Sucre,</w:t>
      </w:r>
    </w:p>
    <w:p w:rsidR="00A14EE4" w:rsidRPr="00A14EE4" w:rsidRDefault="00A14EE4" w:rsidP="00A14EE4">
      <w:pPr>
        <w:pStyle w:val="Prrafodelista"/>
        <w:numPr>
          <w:ilvl w:val="0"/>
          <w:numId w:val="5"/>
        </w:numPr>
        <w:jc w:val="both"/>
        <w:rPr>
          <w:rFonts w:ascii="Century Gothic" w:hAnsi="Century Gothic" w:cs="Arial"/>
          <w:lang w:val="es-CO"/>
        </w:rPr>
      </w:pPr>
      <w:r w:rsidRPr="00A14EE4">
        <w:rPr>
          <w:rFonts w:ascii="Century Gothic" w:hAnsi="Century Gothic" w:cs="Arial"/>
          <w:lang w:val="es-CO"/>
        </w:rPr>
        <w:t>El Alcalde de Sincelejo,</w:t>
      </w:r>
    </w:p>
    <w:p w:rsidR="00A14EE4" w:rsidRPr="00A14EE4" w:rsidRDefault="00A14EE4" w:rsidP="00A14EE4">
      <w:pPr>
        <w:pStyle w:val="Prrafodelista"/>
        <w:numPr>
          <w:ilvl w:val="0"/>
          <w:numId w:val="5"/>
        </w:numPr>
        <w:jc w:val="both"/>
        <w:rPr>
          <w:rFonts w:ascii="Century Gothic" w:hAnsi="Century Gothic" w:cs="Arial"/>
          <w:lang w:val="es-CO"/>
        </w:rPr>
      </w:pPr>
      <w:r w:rsidRPr="00A14EE4">
        <w:rPr>
          <w:rFonts w:ascii="Century Gothic" w:hAnsi="Century Gothic" w:cs="Arial"/>
          <w:lang w:val="es-CO"/>
        </w:rPr>
        <w:t>Un Alcalde en representación de los demás municipios del Departamento de Sucre y quien será elegido por la Junta Directiva para un período de un año. Cada año la Junta deberá escoger entre los Alcaldes que presenten carta de postulación en la primera Junta del año que se convoque para tan fin.</w:t>
      </w:r>
    </w:p>
    <w:p w:rsidR="00A14EE4" w:rsidRPr="00A14EE4" w:rsidRDefault="00A14EE4" w:rsidP="00A14EE4">
      <w:pPr>
        <w:jc w:val="both"/>
        <w:rPr>
          <w:rFonts w:ascii="Century Gothic" w:hAnsi="Century Gothic" w:cs="Arial"/>
          <w:lang w:val="es-CO"/>
        </w:rPr>
      </w:pPr>
      <w:r w:rsidRPr="00A14EE4">
        <w:rPr>
          <w:rFonts w:ascii="Century Gothic" w:hAnsi="Century Gothic" w:cs="Arial"/>
          <w:b/>
          <w:lang w:val="es-CO"/>
        </w:rPr>
        <w:t>PARÁGRAFO.</w:t>
      </w:r>
      <w:r w:rsidRPr="00A14EE4">
        <w:rPr>
          <w:rFonts w:ascii="Century Gothic" w:hAnsi="Century Gothic" w:cs="Arial"/>
          <w:lang w:val="es-CO"/>
        </w:rPr>
        <w:t xml:space="preserve"> La Junta Directiva del FODRES, autorizará al Presidente de la Junta, para que presente a consideración de la misma y para su respectiva aprobación, su propio estatuto, así como el procedimiento y la forma de asignación, financiación, cofinanciación o inversión de los recursos a cada proyecto programa o plan y la respectiva ejecución de los recursos del fondo, que se manejarán a través de una entidad fiduciaria.</w:t>
      </w:r>
    </w:p>
    <w:p w:rsidR="00A14EE4" w:rsidRPr="00A14EE4" w:rsidRDefault="00A14EE4" w:rsidP="00A14EE4">
      <w:pPr>
        <w:jc w:val="both"/>
        <w:rPr>
          <w:rFonts w:ascii="Century Gothic" w:hAnsi="Century Gothic" w:cs="Arial"/>
          <w:lang w:val="es-CO"/>
        </w:rPr>
      </w:pPr>
      <w:r w:rsidRPr="00A14EE4">
        <w:rPr>
          <w:rFonts w:ascii="Century Gothic" w:hAnsi="Century Gothic" w:cs="Arial"/>
          <w:b/>
          <w:lang w:val="es-CO"/>
        </w:rPr>
        <w:t>ARTÍCULO DÉCIMO PRIMERO. FUNCIONES DE LA JUNTA DIRECTIVA DEL FODRES:</w:t>
      </w:r>
      <w:r w:rsidRPr="00A14EE4">
        <w:rPr>
          <w:rFonts w:ascii="Century Gothic" w:hAnsi="Century Gothic" w:cs="Arial"/>
          <w:lang w:val="es-CO"/>
        </w:rPr>
        <w:t xml:space="preserve"> La Junta Directiva del FODRES, tendrá las siguientes funciones:</w:t>
      </w:r>
    </w:p>
    <w:p w:rsidR="00A14EE4" w:rsidRPr="00A14EE4" w:rsidRDefault="00A14EE4" w:rsidP="00A14EE4">
      <w:pPr>
        <w:pStyle w:val="Prrafodelista"/>
        <w:numPr>
          <w:ilvl w:val="0"/>
          <w:numId w:val="6"/>
        </w:numPr>
        <w:jc w:val="both"/>
        <w:rPr>
          <w:rFonts w:ascii="Century Gothic" w:hAnsi="Century Gothic" w:cs="Arial"/>
          <w:lang w:val="es-CO"/>
        </w:rPr>
      </w:pPr>
      <w:r w:rsidRPr="00A14EE4">
        <w:rPr>
          <w:rFonts w:ascii="Century Gothic" w:hAnsi="Century Gothic" w:cs="Arial"/>
          <w:lang w:val="es-CO"/>
        </w:rPr>
        <w:t>Definir y aprobar el reglamento, los estatutos, los manuales y las políticas generales para el funcionamiento del FODRES.</w:t>
      </w:r>
    </w:p>
    <w:p w:rsidR="00A14EE4" w:rsidRPr="00A14EE4" w:rsidRDefault="00A14EE4" w:rsidP="00A14EE4">
      <w:pPr>
        <w:pStyle w:val="Prrafodelista"/>
        <w:numPr>
          <w:ilvl w:val="0"/>
          <w:numId w:val="6"/>
        </w:numPr>
        <w:jc w:val="both"/>
        <w:rPr>
          <w:rFonts w:ascii="Century Gothic" w:hAnsi="Century Gothic" w:cs="Arial"/>
          <w:lang w:val="es-CO"/>
        </w:rPr>
      </w:pPr>
      <w:r w:rsidRPr="00A14EE4">
        <w:rPr>
          <w:rFonts w:ascii="Century Gothic" w:hAnsi="Century Gothic" w:cs="Arial"/>
          <w:lang w:val="es-CO"/>
        </w:rPr>
        <w:t xml:space="preserve">Designar al Gerente del FODRES, quien será a su vez el Representante Legal y será de libre nombramiento y remoción. </w:t>
      </w:r>
    </w:p>
    <w:p w:rsidR="00A14EE4" w:rsidRPr="00A14EE4" w:rsidRDefault="00A14EE4" w:rsidP="00A14EE4">
      <w:pPr>
        <w:pStyle w:val="Prrafodelista"/>
        <w:numPr>
          <w:ilvl w:val="0"/>
          <w:numId w:val="6"/>
        </w:numPr>
        <w:jc w:val="both"/>
        <w:rPr>
          <w:rFonts w:ascii="Century Gothic" w:hAnsi="Century Gothic" w:cs="Arial"/>
          <w:lang w:val="es-CO"/>
        </w:rPr>
      </w:pPr>
      <w:r w:rsidRPr="00A14EE4">
        <w:rPr>
          <w:rFonts w:ascii="Century Gothic" w:hAnsi="Century Gothic" w:cs="Arial"/>
          <w:lang w:val="es-CO"/>
        </w:rPr>
        <w:t xml:space="preserve">Autorizar y facultar al Gerente del FODRES para celebrar convenios y contratos, cuando su monto supere los mil (1.000) salarios mínimos mensuales legales vigentes </w:t>
      </w:r>
      <w:proofErr w:type="spellStart"/>
      <w:r w:rsidRPr="00A14EE4">
        <w:rPr>
          <w:rFonts w:ascii="Century Gothic" w:hAnsi="Century Gothic" w:cs="Arial"/>
          <w:lang w:val="es-CO"/>
        </w:rPr>
        <w:t>s.m.m.l.v</w:t>
      </w:r>
      <w:proofErr w:type="spellEnd"/>
      <w:r w:rsidRPr="00A14EE4">
        <w:rPr>
          <w:rFonts w:ascii="Century Gothic" w:hAnsi="Century Gothic" w:cs="Arial"/>
          <w:lang w:val="es-CO"/>
        </w:rPr>
        <w:t>.</w:t>
      </w:r>
    </w:p>
    <w:p w:rsidR="00A14EE4" w:rsidRPr="00A14EE4" w:rsidRDefault="00A14EE4" w:rsidP="00A14EE4">
      <w:pPr>
        <w:pStyle w:val="Prrafodelista"/>
        <w:numPr>
          <w:ilvl w:val="0"/>
          <w:numId w:val="6"/>
        </w:numPr>
        <w:jc w:val="both"/>
        <w:rPr>
          <w:rFonts w:ascii="Century Gothic" w:hAnsi="Century Gothic" w:cs="Arial"/>
          <w:lang w:val="es-CO"/>
        </w:rPr>
      </w:pPr>
      <w:r w:rsidRPr="00A14EE4">
        <w:rPr>
          <w:rFonts w:ascii="Century Gothic" w:hAnsi="Century Gothic" w:cs="Arial"/>
          <w:lang w:val="es-CO"/>
        </w:rPr>
        <w:t>Aprobar el presupuesto, el plan de inversiones y la planta de personal del FODRES.</w:t>
      </w:r>
    </w:p>
    <w:p w:rsidR="00A14EE4" w:rsidRPr="00A14EE4" w:rsidRDefault="00A14EE4" w:rsidP="00A14EE4">
      <w:pPr>
        <w:pStyle w:val="Prrafodelista"/>
        <w:numPr>
          <w:ilvl w:val="0"/>
          <w:numId w:val="6"/>
        </w:numPr>
        <w:jc w:val="both"/>
        <w:rPr>
          <w:rFonts w:ascii="Century Gothic" w:hAnsi="Century Gothic" w:cs="Arial"/>
          <w:lang w:val="es-CO"/>
        </w:rPr>
      </w:pPr>
      <w:r w:rsidRPr="00A14EE4">
        <w:rPr>
          <w:rFonts w:ascii="Century Gothic" w:hAnsi="Century Gothic" w:cs="Arial"/>
          <w:lang w:val="es-CO"/>
        </w:rPr>
        <w:lastRenderedPageBreak/>
        <w:t>Conceder al Gerente del FODRES, comisiones al exterior en el cumplimiento del desarrollo de su objeto social.</w:t>
      </w:r>
    </w:p>
    <w:p w:rsidR="00A14EE4" w:rsidRPr="00A14EE4" w:rsidRDefault="00A14EE4" w:rsidP="00A14EE4">
      <w:pPr>
        <w:pStyle w:val="Prrafodelista"/>
        <w:numPr>
          <w:ilvl w:val="0"/>
          <w:numId w:val="6"/>
        </w:numPr>
        <w:jc w:val="both"/>
        <w:rPr>
          <w:rFonts w:ascii="Century Gothic" w:hAnsi="Century Gothic" w:cs="Arial"/>
          <w:lang w:val="es-CO"/>
        </w:rPr>
      </w:pPr>
      <w:r w:rsidRPr="00A14EE4">
        <w:rPr>
          <w:rFonts w:ascii="Century Gothic" w:hAnsi="Century Gothic" w:cs="Arial"/>
          <w:lang w:val="es-CO"/>
        </w:rPr>
        <w:t>Estudiar, proponer y aprobar reformas estatutarias que se pongan a consideración por algún integrante de la Junta Directiva.</w:t>
      </w:r>
    </w:p>
    <w:p w:rsidR="00A14EE4" w:rsidRPr="00A14EE4" w:rsidRDefault="00A14EE4" w:rsidP="00A14EE4">
      <w:pPr>
        <w:pStyle w:val="Prrafodelista"/>
        <w:numPr>
          <w:ilvl w:val="0"/>
          <w:numId w:val="6"/>
        </w:numPr>
        <w:jc w:val="both"/>
        <w:rPr>
          <w:rFonts w:ascii="Century Gothic" w:hAnsi="Century Gothic" w:cs="Arial"/>
          <w:lang w:val="es-CO"/>
        </w:rPr>
      </w:pPr>
      <w:r w:rsidRPr="00A14EE4">
        <w:rPr>
          <w:rFonts w:ascii="Century Gothic" w:hAnsi="Century Gothic" w:cs="Arial"/>
          <w:lang w:val="es-CO"/>
        </w:rPr>
        <w:t>Designar al revisor fiscal.</w:t>
      </w:r>
    </w:p>
    <w:p w:rsidR="00A14EE4" w:rsidRPr="00A14EE4" w:rsidRDefault="00A14EE4" w:rsidP="00A14EE4">
      <w:pPr>
        <w:jc w:val="both"/>
        <w:rPr>
          <w:rFonts w:ascii="Century Gothic" w:hAnsi="Century Gothic" w:cs="Arial"/>
          <w:lang w:val="es-CO"/>
        </w:rPr>
      </w:pPr>
      <w:r w:rsidRPr="00A14EE4">
        <w:rPr>
          <w:rFonts w:ascii="Century Gothic" w:hAnsi="Century Gothic" w:cs="Arial"/>
          <w:b/>
          <w:lang w:val="es-CO"/>
        </w:rPr>
        <w:t>PARÁGRAFO.</w:t>
      </w:r>
      <w:r w:rsidRPr="00A14EE4">
        <w:rPr>
          <w:rFonts w:ascii="Century Gothic" w:hAnsi="Century Gothic" w:cs="Arial"/>
          <w:lang w:val="es-CO"/>
        </w:rPr>
        <w:t xml:space="preserve"> La Junta Directiva podrá remover al Gerente del FODRES cuando lo considere pertinente, siempre y cuando su remoción sea ajustada a la normatividad vigente en materia laboral y contractual.</w:t>
      </w:r>
    </w:p>
    <w:p w:rsidR="00A14EE4" w:rsidRPr="00A14EE4" w:rsidRDefault="00A14EE4" w:rsidP="00A14EE4">
      <w:pPr>
        <w:jc w:val="both"/>
        <w:rPr>
          <w:rFonts w:ascii="Century Gothic" w:hAnsi="Century Gothic" w:cs="Arial"/>
          <w:lang w:val="es-CO"/>
        </w:rPr>
      </w:pPr>
      <w:r w:rsidRPr="00A14EE4">
        <w:rPr>
          <w:rFonts w:ascii="Century Gothic" w:hAnsi="Century Gothic" w:cs="Arial"/>
          <w:b/>
          <w:lang w:val="es-CO"/>
        </w:rPr>
        <w:t>ARTÍCULO DÉCIMO SEGUNDO. RECURSOS DEL FODRES.</w:t>
      </w:r>
      <w:r w:rsidRPr="00A14EE4">
        <w:rPr>
          <w:rFonts w:ascii="Century Gothic" w:hAnsi="Century Gothic" w:cs="Arial"/>
          <w:lang w:val="es-CO"/>
        </w:rPr>
        <w:t xml:space="preserve"> El FODRES se constituirá y funcionará con las siguientes fuentes de recursos:</w:t>
      </w:r>
    </w:p>
    <w:p w:rsidR="00A14EE4" w:rsidRPr="00A14EE4" w:rsidRDefault="00A14EE4" w:rsidP="00A14EE4">
      <w:pPr>
        <w:pStyle w:val="Prrafodelista"/>
        <w:numPr>
          <w:ilvl w:val="0"/>
          <w:numId w:val="9"/>
        </w:numPr>
        <w:jc w:val="both"/>
        <w:rPr>
          <w:rFonts w:ascii="Century Gothic" w:hAnsi="Century Gothic" w:cs="Arial"/>
          <w:lang w:val="es-CO"/>
        </w:rPr>
      </w:pPr>
      <w:r w:rsidRPr="00A14EE4">
        <w:rPr>
          <w:rFonts w:ascii="Century Gothic" w:hAnsi="Century Gothic" w:cs="Arial"/>
          <w:lang w:val="es-CO"/>
        </w:rPr>
        <w:t>Las partidas que le sean asignadas e incorporadas en el Presupuesto General de la Nación – PGN, por cualquiera de las entidades que hacen parte del proceso de elaboración y aprobación del mismo.</w:t>
      </w:r>
    </w:p>
    <w:p w:rsidR="00A14EE4" w:rsidRPr="00A14EE4" w:rsidRDefault="00A14EE4" w:rsidP="00A14EE4">
      <w:pPr>
        <w:pStyle w:val="Prrafodelista"/>
        <w:numPr>
          <w:ilvl w:val="0"/>
          <w:numId w:val="9"/>
        </w:numPr>
        <w:jc w:val="both"/>
        <w:rPr>
          <w:rFonts w:ascii="Century Gothic" w:hAnsi="Century Gothic" w:cs="Arial"/>
          <w:lang w:val="es-CO"/>
        </w:rPr>
      </w:pPr>
      <w:r w:rsidRPr="00A14EE4">
        <w:rPr>
          <w:rFonts w:ascii="Century Gothic" w:hAnsi="Century Gothic" w:cs="Arial"/>
          <w:lang w:val="es-CO"/>
        </w:rPr>
        <w:t>Los recursos asignados por las entidades que hagan parte de los accionistas del FODRES para su constitución.</w:t>
      </w:r>
    </w:p>
    <w:p w:rsidR="00A14EE4" w:rsidRPr="00A14EE4" w:rsidRDefault="00A14EE4" w:rsidP="00A14EE4">
      <w:pPr>
        <w:pStyle w:val="Prrafodelista"/>
        <w:numPr>
          <w:ilvl w:val="0"/>
          <w:numId w:val="9"/>
        </w:numPr>
        <w:jc w:val="both"/>
        <w:rPr>
          <w:rFonts w:ascii="Century Gothic" w:hAnsi="Century Gothic" w:cs="Arial"/>
          <w:lang w:val="es-CO"/>
        </w:rPr>
      </w:pPr>
      <w:r w:rsidRPr="00A14EE4">
        <w:rPr>
          <w:rFonts w:ascii="Century Gothic" w:hAnsi="Century Gothic" w:cs="Arial"/>
          <w:lang w:val="es-CO"/>
        </w:rPr>
        <w:t>Los recursos asignados por la Gobernación de Sucre.</w:t>
      </w:r>
    </w:p>
    <w:p w:rsidR="00A14EE4" w:rsidRPr="00A14EE4" w:rsidRDefault="00A14EE4" w:rsidP="00A14EE4">
      <w:pPr>
        <w:pStyle w:val="Prrafodelista"/>
        <w:numPr>
          <w:ilvl w:val="0"/>
          <w:numId w:val="9"/>
        </w:numPr>
        <w:jc w:val="both"/>
        <w:rPr>
          <w:rFonts w:ascii="Century Gothic" w:hAnsi="Century Gothic" w:cs="Arial"/>
          <w:lang w:val="es-CO"/>
        </w:rPr>
      </w:pPr>
      <w:r w:rsidRPr="00A14EE4">
        <w:rPr>
          <w:rFonts w:ascii="Century Gothic" w:hAnsi="Century Gothic" w:cs="Arial"/>
          <w:lang w:val="es-CO"/>
        </w:rPr>
        <w:t>Los recursos asignados por las Alcaldías del Departamento de Sucre o cualquier entidad que hagan parte de sus estructuras administrativas.</w:t>
      </w:r>
    </w:p>
    <w:p w:rsidR="00A14EE4" w:rsidRPr="00A14EE4" w:rsidRDefault="00A14EE4" w:rsidP="00A14EE4">
      <w:pPr>
        <w:pStyle w:val="Prrafodelista"/>
        <w:numPr>
          <w:ilvl w:val="0"/>
          <w:numId w:val="9"/>
        </w:numPr>
        <w:jc w:val="both"/>
        <w:rPr>
          <w:rFonts w:ascii="Century Gothic" w:hAnsi="Century Gothic" w:cs="Arial"/>
          <w:lang w:val="es-CO"/>
        </w:rPr>
      </w:pPr>
      <w:r w:rsidRPr="00A14EE4">
        <w:rPr>
          <w:rFonts w:ascii="Century Gothic" w:hAnsi="Century Gothic" w:cs="Arial"/>
          <w:lang w:val="es-CO"/>
        </w:rPr>
        <w:t>Los recursos derivados de las operaciones de financiamiento con entidades multilaterales de crédito, entidades de fomento y gobiernos, que celebre la Nación con destino al Patrimonio Autónomo del FODRES.</w:t>
      </w:r>
    </w:p>
    <w:p w:rsidR="00A14EE4" w:rsidRPr="00A14EE4" w:rsidRDefault="00A14EE4" w:rsidP="00A14EE4">
      <w:pPr>
        <w:pStyle w:val="Prrafodelista"/>
        <w:numPr>
          <w:ilvl w:val="0"/>
          <w:numId w:val="9"/>
        </w:numPr>
        <w:jc w:val="both"/>
        <w:rPr>
          <w:rFonts w:ascii="Century Gothic" w:hAnsi="Century Gothic" w:cs="Arial"/>
          <w:lang w:val="es-CO"/>
        </w:rPr>
      </w:pPr>
      <w:r w:rsidRPr="00A14EE4">
        <w:rPr>
          <w:rFonts w:ascii="Century Gothic" w:hAnsi="Century Gothic" w:cs="Arial"/>
          <w:lang w:val="es-CO"/>
        </w:rPr>
        <w:t>Los recursos de donaciones que reciba, tanto de origen internacional o nacional, así como los recursos de cooperación nacional o internacional no reembolsables, con el propósito de desarrollar el objeto del FONDO.</w:t>
      </w:r>
    </w:p>
    <w:p w:rsidR="00A14EE4" w:rsidRPr="00A14EE4" w:rsidRDefault="00A14EE4" w:rsidP="00A14EE4">
      <w:pPr>
        <w:pStyle w:val="Prrafodelista"/>
        <w:numPr>
          <w:ilvl w:val="0"/>
          <w:numId w:val="9"/>
        </w:numPr>
        <w:jc w:val="both"/>
        <w:rPr>
          <w:rFonts w:ascii="Century Gothic" w:hAnsi="Century Gothic" w:cs="Arial"/>
          <w:lang w:val="es-CO"/>
        </w:rPr>
      </w:pPr>
      <w:r w:rsidRPr="00A14EE4">
        <w:rPr>
          <w:rFonts w:ascii="Century Gothic" w:hAnsi="Century Gothic" w:cs="Arial"/>
          <w:lang w:val="es-CO"/>
        </w:rPr>
        <w:t>Los demás recursos que gestione, obtengan o se le asignen al FODRES por cualquier entidad a cualquier título.</w:t>
      </w:r>
    </w:p>
    <w:p w:rsidR="00A14EE4" w:rsidRPr="00A14EE4" w:rsidRDefault="00A14EE4" w:rsidP="00A14EE4">
      <w:pPr>
        <w:jc w:val="both"/>
        <w:rPr>
          <w:rFonts w:ascii="Century Gothic" w:hAnsi="Century Gothic" w:cs="Arial"/>
          <w:lang w:val="es-CO"/>
        </w:rPr>
      </w:pPr>
      <w:r w:rsidRPr="00A14EE4">
        <w:rPr>
          <w:rFonts w:ascii="Century Gothic" w:hAnsi="Century Gothic" w:cs="Arial"/>
          <w:b/>
          <w:lang w:val="es-CO"/>
        </w:rPr>
        <w:t>PARÁGRAFO PRIMERO.</w:t>
      </w:r>
      <w:r w:rsidRPr="00A14EE4">
        <w:rPr>
          <w:rFonts w:ascii="Century Gothic" w:hAnsi="Century Gothic" w:cs="Arial"/>
          <w:lang w:val="es-CO"/>
        </w:rPr>
        <w:t xml:space="preserve"> El Gobierno Nacional incluirá anualmente en la Ley de Presupuesto una partida para el FODRES de mínimo trescientos mil millones de pesos $300.000’000.000.oo</w:t>
      </w:r>
      <w:r w:rsidRPr="00A14EE4">
        <w:rPr>
          <w:rStyle w:val="Refdenotaalpie"/>
          <w:rFonts w:ascii="Century Gothic" w:hAnsi="Century Gothic" w:cs="Arial"/>
          <w:lang w:val="es-CO"/>
        </w:rPr>
        <w:footnoteReference w:id="13"/>
      </w:r>
      <w:r w:rsidRPr="00A14EE4">
        <w:rPr>
          <w:rFonts w:ascii="Century Gothic" w:hAnsi="Century Gothic" w:cs="Arial"/>
          <w:lang w:val="es-CO"/>
        </w:rPr>
        <w:t xml:space="preserve"> para financiar los proyectos de los Planes Plurianual y Anual de Inversiones.</w:t>
      </w:r>
    </w:p>
    <w:p w:rsidR="00A14EE4" w:rsidRPr="00A14EE4" w:rsidRDefault="00A14EE4" w:rsidP="00A14EE4">
      <w:pPr>
        <w:jc w:val="both"/>
        <w:rPr>
          <w:rFonts w:ascii="Century Gothic" w:hAnsi="Century Gothic" w:cs="Arial"/>
          <w:lang w:val="es-CO"/>
        </w:rPr>
      </w:pPr>
      <w:r w:rsidRPr="00A14EE4">
        <w:rPr>
          <w:rFonts w:ascii="Century Gothic" w:hAnsi="Century Gothic" w:cs="Arial"/>
          <w:b/>
          <w:lang w:val="es-CO"/>
        </w:rPr>
        <w:t>PARÁGRAFO SEGUNDO.</w:t>
      </w:r>
      <w:r w:rsidRPr="00A14EE4">
        <w:rPr>
          <w:rFonts w:ascii="Century Gothic" w:hAnsi="Century Gothic" w:cs="Arial"/>
          <w:lang w:val="es-CO"/>
        </w:rPr>
        <w:t xml:space="preserve"> El Gobierno Nacional queda facultado para realizar todas las actuaciones administrativas y presupuestales para asignar la partida destinada al FODRES para la vigencia 2020.</w:t>
      </w:r>
    </w:p>
    <w:p w:rsidR="00A14EE4" w:rsidRPr="00A14EE4" w:rsidRDefault="00A14EE4" w:rsidP="00A14EE4">
      <w:pPr>
        <w:jc w:val="both"/>
        <w:rPr>
          <w:rFonts w:ascii="Century Gothic" w:hAnsi="Century Gothic" w:cs="Arial"/>
          <w:lang w:val="es-CO"/>
        </w:rPr>
      </w:pPr>
      <w:r w:rsidRPr="00A14EE4">
        <w:rPr>
          <w:rFonts w:ascii="Century Gothic" w:hAnsi="Century Gothic" w:cs="Arial"/>
          <w:b/>
          <w:lang w:val="es-CO"/>
        </w:rPr>
        <w:t>ARTÍCULO DECIMO TERCERO.</w:t>
      </w:r>
      <w:r w:rsidRPr="00A14EE4">
        <w:rPr>
          <w:rFonts w:ascii="Century Gothic" w:hAnsi="Century Gothic" w:cs="Arial"/>
          <w:lang w:val="es-CO"/>
        </w:rPr>
        <w:t xml:space="preserve"> PLAN DE INVERSIONES DEL FODRES. El Plan de Inversiones del FODRES tiene los siguientes componentes:</w:t>
      </w:r>
    </w:p>
    <w:p w:rsidR="00A14EE4" w:rsidRPr="00A14EE4" w:rsidRDefault="00A14EE4" w:rsidP="00A14EE4">
      <w:pPr>
        <w:pStyle w:val="Prrafodelista"/>
        <w:numPr>
          <w:ilvl w:val="0"/>
          <w:numId w:val="1"/>
        </w:numPr>
        <w:jc w:val="both"/>
        <w:rPr>
          <w:rFonts w:ascii="Century Gothic" w:hAnsi="Century Gothic" w:cs="Arial"/>
          <w:lang w:val="es-CO"/>
        </w:rPr>
      </w:pPr>
      <w:r w:rsidRPr="00A14EE4">
        <w:rPr>
          <w:rFonts w:ascii="Century Gothic" w:hAnsi="Century Gothic" w:cs="Arial"/>
          <w:lang w:val="es-CO"/>
        </w:rPr>
        <w:lastRenderedPageBreak/>
        <w:t>El Plan Financiero Plurianual proyectado a cuatro (4) años, con su respectivo Plan Plurianual de Inversiones y</w:t>
      </w:r>
    </w:p>
    <w:p w:rsidR="00A14EE4" w:rsidRPr="00A14EE4" w:rsidRDefault="00A14EE4" w:rsidP="00A14EE4">
      <w:pPr>
        <w:pStyle w:val="Prrafodelista"/>
        <w:numPr>
          <w:ilvl w:val="0"/>
          <w:numId w:val="1"/>
        </w:numPr>
        <w:jc w:val="both"/>
        <w:rPr>
          <w:rFonts w:ascii="Century Gothic" w:hAnsi="Century Gothic" w:cs="Arial"/>
          <w:lang w:val="es-CO"/>
        </w:rPr>
      </w:pPr>
      <w:r w:rsidRPr="00A14EE4">
        <w:rPr>
          <w:rFonts w:ascii="Century Gothic" w:hAnsi="Century Gothic" w:cs="Arial"/>
          <w:lang w:val="es-CO"/>
        </w:rPr>
        <w:t>El Presupuesto Anual de Ingresos y Gastos, con su respectivo Plan Anual de Inversiones.</w:t>
      </w:r>
    </w:p>
    <w:p w:rsidR="00A14EE4" w:rsidRPr="00A14EE4" w:rsidRDefault="00A14EE4" w:rsidP="00A14EE4">
      <w:pPr>
        <w:jc w:val="both"/>
        <w:rPr>
          <w:rFonts w:ascii="Century Gothic" w:hAnsi="Century Gothic" w:cs="Arial"/>
          <w:lang w:val="es-CO"/>
        </w:rPr>
      </w:pPr>
      <w:r w:rsidRPr="00A14EE4">
        <w:rPr>
          <w:rFonts w:ascii="Century Gothic" w:hAnsi="Century Gothic" w:cs="Arial"/>
          <w:lang w:val="es-CO"/>
        </w:rPr>
        <w:t>El Gerente del FODRES presentará a consideración de la JUNTA DIRECTIVA para su respectiva aprobación Plan Financiero Plurianual proyectado a cuatro (4) años, con su respectivo Plan Plurianual de Inversiones del FODRES, con las respectivas fuentes de recursos, que garanticen el financiamiento y ejecución de cada proyecto, programa o plan y desagregado con la proyección por cada vigencia e incluirá todos los proyectos que para su ejecución requieran de más de una vigencia y que requieren compromisos presupuestales de vigencias futuras, por parte del Gobierno Nacional o de alguna otra entidad del estado.</w:t>
      </w:r>
    </w:p>
    <w:p w:rsidR="00A14EE4" w:rsidRPr="00A14EE4" w:rsidRDefault="00A14EE4" w:rsidP="00A14EE4">
      <w:pPr>
        <w:jc w:val="both"/>
        <w:rPr>
          <w:rFonts w:ascii="Century Gothic" w:hAnsi="Century Gothic" w:cs="Arial"/>
          <w:lang w:val="es-CO"/>
        </w:rPr>
      </w:pPr>
      <w:r w:rsidRPr="00A14EE4">
        <w:rPr>
          <w:rFonts w:ascii="Century Gothic" w:hAnsi="Century Gothic" w:cs="Arial"/>
          <w:lang w:val="es-CO"/>
        </w:rPr>
        <w:t>Así mismo la Junta Directiva del FODRES aprobará el presupuesto y el Plan Anual de Inversiones del FODRES, que tendrán incluidos los programas, planes y proyectos a desarrollarse durante cada vigencia y que serán financiados, cofinanciados o invertidos con recursos del FONDO.</w:t>
      </w:r>
    </w:p>
    <w:p w:rsidR="00A14EE4" w:rsidRPr="00A14EE4" w:rsidRDefault="00A14EE4" w:rsidP="00A14EE4">
      <w:pPr>
        <w:jc w:val="both"/>
        <w:rPr>
          <w:rFonts w:ascii="Century Gothic" w:hAnsi="Century Gothic" w:cs="Arial"/>
          <w:lang w:val="es-CO"/>
        </w:rPr>
      </w:pPr>
      <w:r w:rsidRPr="00A14EE4">
        <w:rPr>
          <w:rFonts w:ascii="Century Gothic" w:hAnsi="Century Gothic" w:cs="Arial"/>
          <w:lang w:val="es-CO"/>
        </w:rPr>
        <w:t>Para la elaboración del Presupuesto y el Plan de Inversiones, se crearán comités técnicos sectoriales en coordinación con el Gobierno Nacional, en el que participarán el Departamento Nacional de Planeación y los Ministerios cuando así se requiera para concepto técnico, en coordinación con la Gobernación de Sucre y las Alcaldías del Departamento.</w:t>
      </w:r>
    </w:p>
    <w:p w:rsidR="00A14EE4" w:rsidRPr="00A14EE4" w:rsidRDefault="00A14EE4" w:rsidP="00A14EE4">
      <w:pPr>
        <w:jc w:val="both"/>
        <w:rPr>
          <w:rFonts w:ascii="Century Gothic" w:hAnsi="Century Gothic" w:cs="Arial"/>
          <w:lang w:val="es-CO"/>
        </w:rPr>
      </w:pPr>
      <w:r w:rsidRPr="00A14EE4">
        <w:rPr>
          <w:rFonts w:ascii="Century Gothic" w:hAnsi="Century Gothic" w:cs="Arial"/>
          <w:b/>
          <w:lang w:val="es-CO"/>
        </w:rPr>
        <w:t>PARÁGRAFO PRIMERO.</w:t>
      </w:r>
      <w:r w:rsidRPr="00A14EE4">
        <w:rPr>
          <w:rFonts w:ascii="Century Gothic" w:hAnsi="Century Gothic" w:cs="Arial"/>
          <w:lang w:val="es-CO"/>
        </w:rPr>
        <w:t xml:space="preserve"> Los Planes Plurianual y Anual de Inversiones aprobados por la JUNTA DIRECTIVA, tendrán incluidos todos los proyectos, programas y planes que hayan sido incluidos como iniciativas de inversión, proyectos asociados, proyectos prioritarios en Las leyes de los Planes Nacionales de Desarrollo, en las Leyes Anuales de Presupuesto, en los CONPES o en Leyes que incluyan recursos y proyectos para el Departamento de Sucre.</w:t>
      </w:r>
    </w:p>
    <w:p w:rsidR="00A14EE4" w:rsidRPr="00A14EE4" w:rsidRDefault="00A14EE4" w:rsidP="00A14EE4">
      <w:pPr>
        <w:jc w:val="both"/>
        <w:rPr>
          <w:rFonts w:ascii="Century Gothic" w:hAnsi="Century Gothic" w:cs="Arial"/>
          <w:lang w:val="es-CO"/>
        </w:rPr>
      </w:pPr>
      <w:r w:rsidRPr="00A14EE4">
        <w:rPr>
          <w:rFonts w:ascii="Century Gothic" w:hAnsi="Century Gothic" w:cs="Arial"/>
          <w:b/>
          <w:lang w:val="es-CO"/>
        </w:rPr>
        <w:t>PARÁGRAFO SEGUNDO.</w:t>
      </w:r>
      <w:r w:rsidRPr="00A14EE4">
        <w:rPr>
          <w:rFonts w:ascii="Century Gothic" w:hAnsi="Century Gothic" w:cs="Arial"/>
          <w:lang w:val="es-CO"/>
        </w:rPr>
        <w:t xml:space="preserve"> La JUNTA DIRECTIVA, garantizará que se hayan incluido en el Primer Plan Plurianual de Inversiones de los primeros cuatro (4) años, las iniciativas de inversión, los proyectos asociados y prioritarios, descritos en la Ley 1955 de 2019 “Plan Nacional de Desarrollo 2018-2022 “Pacto por Colombia, pacto por la equidad”, destinados para el Departamento de Sucre, que a la fecha de aprobación de la presente ley no hayan sido ejecutadas por el gobierno nacional, de tal forma que se puedan articular acciones conjuntas entre la Nación, la Gobernación de Sucre y las Alcaldías para su financiamiento, cofinanciamiento, inversión y ejecución en el Departamento, las cuales se describen a continuación:</w:t>
      </w:r>
    </w:p>
    <w:p w:rsidR="00A14EE4" w:rsidRPr="00A14EE4" w:rsidRDefault="00A14EE4" w:rsidP="00A14EE4">
      <w:pPr>
        <w:jc w:val="both"/>
        <w:rPr>
          <w:rFonts w:ascii="Century Gothic" w:hAnsi="Century Gothic" w:cs="Arial"/>
          <w:lang w:val="es-CO"/>
        </w:rPr>
      </w:pPr>
      <w:r w:rsidRPr="00A14EE4">
        <w:rPr>
          <w:rFonts w:ascii="Century Gothic" w:hAnsi="Century Gothic" w:cs="Arial"/>
          <w:noProof/>
          <w:lang w:val="es-CO" w:eastAsia="es-CO"/>
        </w:rPr>
        <w:lastRenderedPageBreak/>
        <w:drawing>
          <wp:inline distT="0" distB="0" distL="0" distR="0" wp14:anchorId="39FD068E" wp14:editId="3AF14E60">
            <wp:extent cx="5552440" cy="23050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563913" cy="2309813"/>
                    </a:xfrm>
                    <a:prstGeom prst="rect">
                      <a:avLst/>
                    </a:prstGeom>
                    <a:noFill/>
                    <a:ln>
                      <a:noFill/>
                    </a:ln>
                  </pic:spPr>
                </pic:pic>
              </a:graphicData>
            </a:graphic>
          </wp:inline>
        </w:drawing>
      </w:r>
      <w:r w:rsidRPr="00A14EE4">
        <w:rPr>
          <w:rFonts w:ascii="Century Gothic" w:hAnsi="Century Gothic" w:cs="Arial"/>
          <w:noProof/>
          <w:lang w:val="es-CO" w:eastAsia="es-CO"/>
        </w:rPr>
        <w:drawing>
          <wp:inline distT="0" distB="0" distL="0" distR="0" wp14:anchorId="56589C14" wp14:editId="206897FD">
            <wp:extent cx="5610225" cy="3746500"/>
            <wp:effectExtent l="0" t="0" r="9525" b="63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610225" cy="3746500"/>
                    </a:xfrm>
                    <a:prstGeom prst="rect">
                      <a:avLst/>
                    </a:prstGeom>
                    <a:noFill/>
                    <a:ln>
                      <a:noFill/>
                    </a:ln>
                  </pic:spPr>
                </pic:pic>
              </a:graphicData>
            </a:graphic>
          </wp:inline>
        </w:drawing>
      </w:r>
    </w:p>
    <w:p w:rsidR="00A14EE4" w:rsidRPr="00A14EE4" w:rsidRDefault="00A14EE4" w:rsidP="00A14EE4">
      <w:pPr>
        <w:jc w:val="center"/>
        <w:rPr>
          <w:rFonts w:ascii="Century Gothic" w:hAnsi="Century Gothic" w:cs="Arial"/>
          <w:lang w:val="es-CO"/>
        </w:rPr>
      </w:pPr>
      <w:r w:rsidRPr="00A14EE4">
        <w:rPr>
          <w:rFonts w:ascii="Century Gothic" w:hAnsi="Century Gothic" w:cs="Arial"/>
          <w:lang w:val="es-CO"/>
        </w:rPr>
        <w:t>Fuente: DNP – Plan Nacional de Desarrollo 2018 -2022</w:t>
      </w:r>
    </w:p>
    <w:p w:rsidR="00A14EE4" w:rsidRPr="00A14EE4" w:rsidRDefault="00A14EE4" w:rsidP="00A14EE4">
      <w:pPr>
        <w:jc w:val="both"/>
        <w:rPr>
          <w:rFonts w:ascii="Century Gothic" w:hAnsi="Century Gothic" w:cs="Arial"/>
          <w:lang w:val="es-CO"/>
        </w:rPr>
      </w:pPr>
      <w:r w:rsidRPr="00A14EE4">
        <w:rPr>
          <w:rFonts w:ascii="Century Gothic" w:hAnsi="Century Gothic" w:cs="Arial"/>
          <w:noProof/>
          <w:lang w:val="es-CO" w:eastAsia="es-CO"/>
        </w:rPr>
        <w:lastRenderedPageBreak/>
        <w:drawing>
          <wp:inline distT="0" distB="0" distL="0" distR="0" wp14:anchorId="679B8DE3" wp14:editId="559F3A85">
            <wp:extent cx="5610225" cy="238125"/>
            <wp:effectExtent l="0" t="0" r="9525"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610225" cy="238125"/>
                    </a:xfrm>
                    <a:prstGeom prst="rect">
                      <a:avLst/>
                    </a:prstGeom>
                    <a:noFill/>
                    <a:ln>
                      <a:noFill/>
                    </a:ln>
                  </pic:spPr>
                </pic:pic>
              </a:graphicData>
            </a:graphic>
          </wp:inline>
        </w:drawing>
      </w:r>
      <w:r w:rsidRPr="00A14EE4">
        <w:rPr>
          <w:rFonts w:ascii="Century Gothic" w:hAnsi="Century Gothic" w:cs="Arial"/>
          <w:noProof/>
          <w:lang w:val="es-CO" w:eastAsia="es-CO"/>
        </w:rPr>
        <w:drawing>
          <wp:inline distT="0" distB="0" distL="0" distR="0" wp14:anchorId="5894E039" wp14:editId="626AD7BA">
            <wp:extent cx="5572125" cy="2857500"/>
            <wp:effectExtent l="0" t="0" r="952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582164" cy="2862648"/>
                    </a:xfrm>
                    <a:prstGeom prst="rect">
                      <a:avLst/>
                    </a:prstGeom>
                    <a:noFill/>
                    <a:ln>
                      <a:noFill/>
                    </a:ln>
                  </pic:spPr>
                </pic:pic>
              </a:graphicData>
            </a:graphic>
          </wp:inline>
        </w:drawing>
      </w:r>
      <w:r w:rsidRPr="00A14EE4">
        <w:rPr>
          <w:rFonts w:ascii="Century Gothic" w:hAnsi="Century Gothic" w:cs="Arial"/>
          <w:noProof/>
          <w:lang w:val="es-CO" w:eastAsia="es-CO"/>
        </w:rPr>
        <w:drawing>
          <wp:inline distT="0" distB="0" distL="0" distR="0" wp14:anchorId="37E2DF6D" wp14:editId="15A21ECF">
            <wp:extent cx="5610225" cy="4610100"/>
            <wp:effectExtent l="0" t="0" r="952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610225" cy="4610100"/>
                    </a:xfrm>
                    <a:prstGeom prst="rect">
                      <a:avLst/>
                    </a:prstGeom>
                    <a:noFill/>
                    <a:ln>
                      <a:noFill/>
                    </a:ln>
                  </pic:spPr>
                </pic:pic>
              </a:graphicData>
            </a:graphic>
          </wp:inline>
        </w:drawing>
      </w:r>
    </w:p>
    <w:p w:rsidR="00A14EE4" w:rsidRPr="00A14EE4" w:rsidRDefault="00A14EE4" w:rsidP="00A14EE4">
      <w:pPr>
        <w:jc w:val="center"/>
        <w:rPr>
          <w:rFonts w:ascii="Century Gothic" w:hAnsi="Century Gothic" w:cs="Arial"/>
          <w:lang w:val="es-CO"/>
        </w:rPr>
      </w:pPr>
      <w:r w:rsidRPr="00A14EE4">
        <w:rPr>
          <w:rFonts w:ascii="Century Gothic" w:hAnsi="Century Gothic" w:cs="Arial"/>
          <w:lang w:val="es-CO"/>
        </w:rPr>
        <w:lastRenderedPageBreak/>
        <w:t>Fuente: DNP – Plan Nacional de Desarrollo 2018 -2022</w:t>
      </w:r>
    </w:p>
    <w:p w:rsidR="00A14EE4" w:rsidRPr="00A14EE4" w:rsidRDefault="00A14EE4" w:rsidP="00A14EE4">
      <w:pPr>
        <w:jc w:val="both"/>
        <w:rPr>
          <w:rFonts w:ascii="Century Gothic" w:hAnsi="Century Gothic" w:cs="Arial"/>
          <w:b/>
          <w:lang w:val="es-CO"/>
        </w:rPr>
      </w:pPr>
      <w:r w:rsidRPr="00A14EE4">
        <w:rPr>
          <w:rFonts w:ascii="Century Gothic" w:hAnsi="Century Gothic" w:cs="Arial"/>
          <w:b/>
          <w:lang w:val="es-CO"/>
        </w:rPr>
        <w:t>ARTÍCULO DÉCIMO CUARTO.</w:t>
      </w:r>
      <w:r w:rsidRPr="00A14EE4">
        <w:rPr>
          <w:rFonts w:ascii="Century Gothic" w:hAnsi="Century Gothic" w:cs="Arial"/>
          <w:lang w:val="es-CO"/>
        </w:rPr>
        <w:t xml:space="preserve"> </w:t>
      </w:r>
      <w:r w:rsidRPr="00A14EE4">
        <w:rPr>
          <w:rFonts w:ascii="Century Gothic" w:hAnsi="Century Gothic" w:cs="Arial"/>
          <w:b/>
          <w:lang w:val="es-CO"/>
        </w:rPr>
        <w:t xml:space="preserve">SELLO HECHO EN SUCRE. </w:t>
      </w:r>
      <w:r w:rsidRPr="00A14EE4">
        <w:rPr>
          <w:rFonts w:ascii="Century Gothic" w:hAnsi="Century Gothic" w:cs="Arial"/>
          <w:lang w:val="es-CO"/>
        </w:rPr>
        <w:t>El FODRES, liderará de manera articulada con las entidades territoriales y el sector privado, un plan estratégico de implementación del sello “Hecho en Sucre”, para incentivar, reactivar y promover la economía, la producción y comercialización de productos hechos por empresas establecidas en el Departamento de Sucre.</w:t>
      </w:r>
    </w:p>
    <w:p w:rsidR="00A14EE4" w:rsidRPr="00A14EE4" w:rsidRDefault="00A14EE4" w:rsidP="00A14EE4">
      <w:pPr>
        <w:jc w:val="both"/>
        <w:rPr>
          <w:rFonts w:ascii="Century Gothic" w:hAnsi="Century Gothic" w:cs="Arial"/>
          <w:lang w:val="es-CO"/>
        </w:rPr>
      </w:pPr>
      <w:r w:rsidRPr="00A14EE4">
        <w:rPr>
          <w:rFonts w:ascii="Century Gothic" w:hAnsi="Century Gothic" w:cs="Arial"/>
          <w:b/>
          <w:lang w:val="es-CO"/>
        </w:rPr>
        <w:t>ARTÍCULO DÉCIMO QUINTO.</w:t>
      </w:r>
      <w:r w:rsidRPr="00A14EE4">
        <w:rPr>
          <w:rFonts w:ascii="Century Gothic" w:hAnsi="Century Gothic" w:cs="Arial"/>
          <w:lang w:val="es-CO"/>
        </w:rPr>
        <w:t xml:space="preserve"> </w:t>
      </w:r>
      <w:r w:rsidRPr="00A14EE4">
        <w:rPr>
          <w:rFonts w:ascii="Century Gothic" w:hAnsi="Century Gothic" w:cs="Arial"/>
          <w:b/>
          <w:lang w:val="es-CO"/>
        </w:rPr>
        <w:t>OPERACIÓN Y FUNCIONAMIENTO DEL FONDO.</w:t>
      </w:r>
      <w:r w:rsidRPr="00A14EE4">
        <w:rPr>
          <w:rFonts w:ascii="Century Gothic" w:hAnsi="Century Gothic" w:cs="Arial"/>
          <w:lang w:val="es-CO"/>
        </w:rPr>
        <w:t xml:space="preserve"> El FONDO contará con una planta de personal mínima para su operación y funcionamiento. Un gerente, un subgerente técnico, un subgerente administrativo, un Director jurídico y una asistente administrativa, que se pagarán con recursos del FODRES y que su estructura y funcionamiento quedará definida en el Reglamento Interno y los manuales que para tal fin sean elaborados y aprobados por la Junta Directiva. </w:t>
      </w:r>
    </w:p>
    <w:p w:rsidR="00A14EE4" w:rsidRPr="00A14EE4" w:rsidRDefault="00A14EE4" w:rsidP="00A14EE4">
      <w:pPr>
        <w:jc w:val="both"/>
        <w:rPr>
          <w:rFonts w:ascii="Century Gothic" w:hAnsi="Century Gothic" w:cs="Arial"/>
          <w:lang w:val="es-CO"/>
        </w:rPr>
      </w:pPr>
      <w:r w:rsidRPr="00A14EE4">
        <w:rPr>
          <w:rFonts w:ascii="Century Gothic" w:hAnsi="Century Gothic" w:cs="Arial"/>
          <w:b/>
          <w:lang w:val="es-CO"/>
        </w:rPr>
        <w:t>ARTÍCULO DÉCIMO SEXTO. CONTROL SOCIAL Y VEEDURÍAS CIUDADANAS.</w:t>
      </w:r>
      <w:r w:rsidRPr="00A14EE4">
        <w:rPr>
          <w:rFonts w:ascii="Century Gothic" w:hAnsi="Century Gothic" w:cs="Arial"/>
          <w:lang w:val="es-CO"/>
        </w:rPr>
        <w:t xml:space="preserve"> Los ciudadanos y organizaciones de la sociedad civil podrán realizar seguimiento y vigilancia a las actividades, inversiones y a los proyectos que ejecute el FODRES en el Departamento de Sucre.</w:t>
      </w:r>
    </w:p>
    <w:p w:rsidR="00A14EE4" w:rsidRPr="00A14EE4" w:rsidRDefault="00A14EE4" w:rsidP="00A14EE4">
      <w:pPr>
        <w:jc w:val="both"/>
        <w:rPr>
          <w:rFonts w:ascii="Century Gothic" w:hAnsi="Century Gothic" w:cs="Arial"/>
          <w:lang w:val="es-CO"/>
        </w:rPr>
      </w:pPr>
      <w:r w:rsidRPr="00A14EE4">
        <w:rPr>
          <w:rFonts w:ascii="Century Gothic" w:hAnsi="Century Gothic" w:cs="Arial"/>
          <w:b/>
          <w:lang w:val="es-CO"/>
        </w:rPr>
        <w:t>ARTÍCULO DÉCIMO SÉPTIMO. REGLAMENTACIÓN.</w:t>
      </w:r>
      <w:r w:rsidRPr="00A14EE4">
        <w:rPr>
          <w:rFonts w:ascii="Century Gothic" w:hAnsi="Century Gothic" w:cs="Arial"/>
          <w:lang w:val="es-CO"/>
        </w:rPr>
        <w:t xml:space="preserve"> El Gobierno Nacional dentro de los próximos seis (6) meses cumplirá con lo establecido en la presente Ley expedirá los actos administrativos necesarios en cumplimiento de su función reglamentaria.</w:t>
      </w:r>
    </w:p>
    <w:p w:rsidR="00A14EE4" w:rsidRPr="00A14EE4" w:rsidRDefault="00A14EE4" w:rsidP="00A14EE4">
      <w:pPr>
        <w:jc w:val="both"/>
        <w:rPr>
          <w:rFonts w:ascii="Century Gothic" w:hAnsi="Century Gothic" w:cs="Arial"/>
          <w:lang w:val="es-CO"/>
        </w:rPr>
      </w:pPr>
      <w:r w:rsidRPr="00A14EE4">
        <w:rPr>
          <w:rFonts w:ascii="Century Gothic" w:hAnsi="Century Gothic" w:cs="Arial"/>
          <w:b/>
          <w:lang w:val="es-CO"/>
        </w:rPr>
        <w:t>ARTÍCULO DÉCIMO OCTAVO.</w:t>
      </w:r>
      <w:r w:rsidRPr="00A14EE4">
        <w:rPr>
          <w:rFonts w:ascii="Century Gothic" w:hAnsi="Century Gothic" w:cs="Arial"/>
          <w:lang w:val="es-CO"/>
        </w:rPr>
        <w:t xml:space="preserve"> </w:t>
      </w:r>
      <w:r w:rsidRPr="00A14EE4">
        <w:rPr>
          <w:rFonts w:ascii="Century Gothic" w:hAnsi="Century Gothic" w:cs="Arial"/>
          <w:b/>
          <w:lang w:val="es-CO"/>
        </w:rPr>
        <w:t>ZONA ECONÓMICA Y SOCIAL ESPECIAL (ZESE) PARA SUCRE.</w:t>
      </w:r>
      <w:r w:rsidRPr="00A14EE4">
        <w:rPr>
          <w:rFonts w:ascii="Century Gothic" w:hAnsi="Century Gothic" w:cs="Arial"/>
          <w:lang w:val="es-CO"/>
        </w:rPr>
        <w:t xml:space="preserve"> Inclúyase al Departamento de Sucre dentro de las Zonas Económicas y Sociales Especiales (ZESE) contempladas en el Artículo 268 de la Ley 1955 de 2019, para atraer la inversión nacional y extranjera y así contribuir al mejoramiento de las condiciones de vida de la población sucreña y la generación de empleo.</w:t>
      </w:r>
    </w:p>
    <w:p w:rsidR="00A14EE4" w:rsidRPr="00A14EE4" w:rsidRDefault="00A14EE4" w:rsidP="00A14EE4">
      <w:pPr>
        <w:jc w:val="both"/>
        <w:rPr>
          <w:rFonts w:ascii="Century Gothic" w:hAnsi="Century Gothic" w:cs="Arial"/>
          <w:lang w:val="es-CO"/>
        </w:rPr>
      </w:pPr>
      <w:r w:rsidRPr="00A14EE4">
        <w:rPr>
          <w:rFonts w:ascii="Century Gothic" w:hAnsi="Century Gothic" w:cs="Arial"/>
          <w:b/>
          <w:lang w:val="es-CO"/>
        </w:rPr>
        <w:t>ARTÍCULO DÉCIMO NOVENO. VIGENCIA Y DEROGATORIAS.</w:t>
      </w:r>
      <w:r w:rsidRPr="00A14EE4">
        <w:rPr>
          <w:rFonts w:ascii="Century Gothic" w:hAnsi="Century Gothic" w:cs="Arial"/>
          <w:lang w:val="es-CO"/>
        </w:rPr>
        <w:t xml:space="preserve"> La presente ley rige a partir de su promulgación y deroga todas las disposiciones que le sean contrarias.</w:t>
      </w:r>
    </w:p>
    <w:p w:rsidR="00A14EE4" w:rsidRPr="00A14EE4" w:rsidRDefault="00A14EE4" w:rsidP="00A14EE4">
      <w:pPr>
        <w:jc w:val="both"/>
        <w:rPr>
          <w:rFonts w:ascii="Century Gothic" w:hAnsi="Century Gothic" w:cs="Arial"/>
          <w:lang w:val="es-CO"/>
        </w:rPr>
      </w:pPr>
    </w:p>
    <w:p w:rsidR="00A14EE4" w:rsidRPr="00A14EE4" w:rsidRDefault="00A14EE4" w:rsidP="00A14EE4">
      <w:pPr>
        <w:jc w:val="both"/>
        <w:rPr>
          <w:rFonts w:ascii="Century Gothic" w:hAnsi="Century Gothic" w:cs="Arial"/>
          <w:lang w:val="es-CO"/>
        </w:rPr>
      </w:pPr>
    </w:p>
    <w:p w:rsidR="00A14EE4" w:rsidRPr="00A14EE4" w:rsidRDefault="00A14EE4" w:rsidP="00A14EE4">
      <w:pPr>
        <w:jc w:val="both"/>
        <w:rPr>
          <w:rFonts w:ascii="Century Gothic" w:hAnsi="Century Gothic" w:cs="Arial"/>
          <w:lang w:val="es-CO"/>
        </w:rPr>
      </w:pPr>
    </w:p>
    <w:p w:rsidR="00A14EE4" w:rsidRPr="00A14EE4" w:rsidRDefault="00A14EE4" w:rsidP="00A14EE4">
      <w:pPr>
        <w:jc w:val="both"/>
        <w:rPr>
          <w:rFonts w:ascii="Century Gothic" w:hAnsi="Century Gothic" w:cs="Arial"/>
          <w:lang w:val="es-CO"/>
        </w:rPr>
      </w:pPr>
    </w:p>
    <w:p w:rsidR="00A14EE4" w:rsidRPr="00A14EE4" w:rsidRDefault="00A14EE4" w:rsidP="00A14EE4">
      <w:pPr>
        <w:rPr>
          <w:rFonts w:ascii="Century Gothic" w:hAnsi="Century Gothic" w:cs="Arial"/>
          <w:lang w:val="es-CO"/>
        </w:rPr>
      </w:pPr>
      <w:r w:rsidRPr="00A14EE4">
        <w:rPr>
          <w:rFonts w:ascii="Century Gothic" w:hAnsi="Century Gothic" w:cs="Arial"/>
          <w:lang w:val="es-CO"/>
        </w:rPr>
        <w:br w:type="page"/>
      </w:r>
    </w:p>
    <w:p w:rsidR="00A14EE4" w:rsidRPr="00A14EE4" w:rsidRDefault="00A14EE4" w:rsidP="00A14EE4">
      <w:pPr>
        <w:jc w:val="both"/>
        <w:rPr>
          <w:rFonts w:ascii="Century Gothic" w:hAnsi="Century Gothic" w:cs="Arial"/>
          <w:lang w:val="es-CO"/>
        </w:rPr>
      </w:pPr>
    </w:p>
    <w:p w:rsidR="00A14EE4" w:rsidRPr="00A14EE4" w:rsidRDefault="00A14EE4" w:rsidP="00A14EE4">
      <w:pPr>
        <w:jc w:val="both"/>
        <w:rPr>
          <w:rFonts w:ascii="Century Gothic" w:hAnsi="Century Gothic" w:cs="Arial"/>
          <w:lang w:val="es-CO"/>
        </w:rPr>
      </w:pPr>
      <w:r w:rsidRPr="00A14EE4">
        <w:rPr>
          <w:rFonts w:ascii="Century Gothic" w:hAnsi="Century Gothic" w:cs="Arial"/>
          <w:lang w:val="es-CO"/>
        </w:rPr>
        <w:t>Bogotá D.C., agosto 4 de 2020</w:t>
      </w:r>
    </w:p>
    <w:p w:rsidR="00A14EE4" w:rsidRPr="00A14EE4" w:rsidRDefault="00A14EE4" w:rsidP="00A14EE4">
      <w:pPr>
        <w:jc w:val="both"/>
        <w:rPr>
          <w:rFonts w:ascii="Century Gothic" w:hAnsi="Century Gothic" w:cs="Arial"/>
          <w:lang w:val="es-CO"/>
        </w:rPr>
      </w:pPr>
    </w:p>
    <w:p w:rsidR="00A14EE4" w:rsidRPr="00A14EE4" w:rsidRDefault="00A14EE4" w:rsidP="00A14EE4">
      <w:pPr>
        <w:spacing w:after="0" w:line="240" w:lineRule="auto"/>
        <w:jc w:val="both"/>
        <w:rPr>
          <w:rFonts w:ascii="Century Gothic" w:hAnsi="Century Gothic" w:cs="Arial"/>
          <w:lang w:val="es-CO"/>
        </w:rPr>
      </w:pPr>
      <w:r w:rsidRPr="00A14EE4">
        <w:rPr>
          <w:rFonts w:ascii="Century Gothic" w:hAnsi="Century Gothic" w:cs="Arial"/>
          <w:lang w:val="es-CO"/>
        </w:rPr>
        <w:t>Doctor</w:t>
      </w:r>
    </w:p>
    <w:p w:rsidR="00A14EE4" w:rsidRPr="00A14EE4" w:rsidRDefault="00A14EE4" w:rsidP="00A14EE4">
      <w:pPr>
        <w:spacing w:after="0" w:line="240" w:lineRule="auto"/>
        <w:jc w:val="both"/>
        <w:rPr>
          <w:rFonts w:ascii="Century Gothic" w:hAnsi="Century Gothic" w:cs="Arial"/>
          <w:b/>
          <w:lang w:val="es-CO"/>
        </w:rPr>
      </w:pPr>
      <w:r w:rsidRPr="00A14EE4">
        <w:rPr>
          <w:rFonts w:ascii="Century Gothic" w:hAnsi="Century Gothic" w:cs="Arial"/>
          <w:b/>
          <w:lang w:val="es-CO"/>
        </w:rPr>
        <w:t>JORGE HUMBERTO MANTILLA SERRANO</w:t>
      </w:r>
    </w:p>
    <w:p w:rsidR="00A14EE4" w:rsidRPr="00A14EE4" w:rsidRDefault="00A14EE4" w:rsidP="00A14EE4">
      <w:pPr>
        <w:spacing w:after="0" w:line="240" w:lineRule="auto"/>
        <w:jc w:val="both"/>
        <w:rPr>
          <w:rFonts w:ascii="Century Gothic" w:hAnsi="Century Gothic" w:cs="Arial"/>
          <w:lang w:val="es-CO"/>
        </w:rPr>
      </w:pPr>
      <w:r w:rsidRPr="00A14EE4">
        <w:rPr>
          <w:rFonts w:ascii="Century Gothic" w:hAnsi="Century Gothic" w:cs="Arial"/>
          <w:lang w:val="es-CO"/>
        </w:rPr>
        <w:t>Secretario General</w:t>
      </w:r>
    </w:p>
    <w:p w:rsidR="00A14EE4" w:rsidRPr="00A14EE4" w:rsidRDefault="00A14EE4" w:rsidP="00A14EE4">
      <w:pPr>
        <w:spacing w:after="0" w:line="240" w:lineRule="auto"/>
        <w:jc w:val="both"/>
        <w:rPr>
          <w:rFonts w:ascii="Century Gothic" w:hAnsi="Century Gothic" w:cs="Arial"/>
          <w:lang w:val="es-CO"/>
        </w:rPr>
      </w:pPr>
      <w:r w:rsidRPr="00A14EE4">
        <w:rPr>
          <w:rFonts w:ascii="Century Gothic" w:hAnsi="Century Gothic" w:cs="Arial"/>
          <w:lang w:val="es-CO"/>
        </w:rPr>
        <w:t>Cámara de Representantes</w:t>
      </w:r>
    </w:p>
    <w:p w:rsidR="00A14EE4" w:rsidRPr="00A14EE4" w:rsidRDefault="00A14EE4" w:rsidP="00A14EE4">
      <w:pPr>
        <w:spacing w:after="0" w:line="240" w:lineRule="auto"/>
        <w:jc w:val="both"/>
        <w:rPr>
          <w:rFonts w:ascii="Century Gothic" w:hAnsi="Century Gothic" w:cs="Arial"/>
          <w:lang w:val="es-CO"/>
        </w:rPr>
      </w:pPr>
      <w:r w:rsidRPr="00A14EE4">
        <w:rPr>
          <w:rFonts w:ascii="Century Gothic" w:hAnsi="Century Gothic" w:cs="Arial"/>
          <w:lang w:val="es-CO"/>
        </w:rPr>
        <w:t>Ciudad</w:t>
      </w:r>
    </w:p>
    <w:p w:rsidR="00A14EE4" w:rsidRPr="00A14EE4" w:rsidRDefault="00A14EE4" w:rsidP="00A14EE4">
      <w:pPr>
        <w:jc w:val="both"/>
        <w:rPr>
          <w:rFonts w:ascii="Century Gothic" w:hAnsi="Century Gothic" w:cs="Arial"/>
          <w:lang w:val="es-CO"/>
        </w:rPr>
      </w:pPr>
    </w:p>
    <w:p w:rsidR="00A14EE4" w:rsidRPr="00A14EE4" w:rsidRDefault="00A14EE4" w:rsidP="00A14EE4">
      <w:pPr>
        <w:jc w:val="both"/>
        <w:rPr>
          <w:rFonts w:ascii="Century Gothic" w:hAnsi="Century Gothic" w:cs="Arial"/>
          <w:lang w:val="es-CO"/>
        </w:rPr>
      </w:pPr>
    </w:p>
    <w:p w:rsidR="00A14EE4" w:rsidRPr="00A14EE4" w:rsidRDefault="00A14EE4" w:rsidP="00A14EE4">
      <w:pPr>
        <w:jc w:val="both"/>
        <w:rPr>
          <w:rFonts w:ascii="Century Gothic" w:hAnsi="Century Gothic" w:cs="Arial"/>
          <w:b/>
          <w:lang w:val="es-CO"/>
        </w:rPr>
      </w:pPr>
      <w:r w:rsidRPr="00A14EE4">
        <w:rPr>
          <w:rFonts w:ascii="Century Gothic" w:hAnsi="Century Gothic" w:cs="Arial"/>
          <w:b/>
          <w:lang w:val="es-CO"/>
        </w:rPr>
        <w:t>ASUNTO. RADICACIÓN PROYECTO DE LEY</w:t>
      </w:r>
    </w:p>
    <w:p w:rsidR="00A14EE4" w:rsidRPr="00A14EE4" w:rsidRDefault="00A14EE4" w:rsidP="00A14EE4">
      <w:pPr>
        <w:jc w:val="both"/>
        <w:rPr>
          <w:rFonts w:ascii="Century Gothic" w:hAnsi="Century Gothic" w:cs="Arial"/>
          <w:lang w:val="es-CO"/>
        </w:rPr>
      </w:pPr>
    </w:p>
    <w:p w:rsidR="00A14EE4" w:rsidRPr="00A14EE4" w:rsidRDefault="00A14EE4" w:rsidP="00A14EE4">
      <w:pPr>
        <w:jc w:val="both"/>
        <w:rPr>
          <w:rFonts w:ascii="Century Gothic" w:hAnsi="Century Gothic" w:cs="Arial"/>
          <w:lang w:val="es-CO"/>
        </w:rPr>
      </w:pPr>
      <w:r w:rsidRPr="00A14EE4">
        <w:rPr>
          <w:rFonts w:ascii="Century Gothic" w:hAnsi="Century Gothic" w:cs="Arial"/>
          <w:lang w:val="es-CO"/>
        </w:rPr>
        <w:t>Respetado Secretario:</w:t>
      </w:r>
    </w:p>
    <w:p w:rsidR="00A14EE4" w:rsidRPr="00A14EE4" w:rsidRDefault="00A14EE4" w:rsidP="00A14EE4">
      <w:pPr>
        <w:jc w:val="both"/>
        <w:rPr>
          <w:rFonts w:ascii="Century Gothic" w:hAnsi="Century Gothic" w:cs="Arial"/>
          <w:lang w:val="es-CO"/>
        </w:rPr>
      </w:pPr>
    </w:p>
    <w:p w:rsidR="00A14EE4" w:rsidRPr="00A14EE4" w:rsidRDefault="00A14EE4" w:rsidP="00A14EE4">
      <w:pPr>
        <w:jc w:val="both"/>
        <w:rPr>
          <w:rFonts w:ascii="Century Gothic" w:hAnsi="Century Gothic" w:cs="Arial"/>
          <w:lang w:val="es-CO"/>
        </w:rPr>
      </w:pPr>
      <w:r w:rsidRPr="00A14EE4">
        <w:rPr>
          <w:rFonts w:ascii="Century Gothic" w:hAnsi="Century Gothic" w:cs="Arial"/>
          <w:lang w:val="es-CO"/>
        </w:rPr>
        <w:t>En nuestra condición de integrantes del Congreso de la República y en uso del derecho consagrado en la Constitución Política de Colombia y en la Ley 5 de 1992, por su digno conducto nos permitimos poner en consideración de la Honorable Cámara de Representantes el siguiente proyecto de Ley. “Por el cual se crea el Fondo para el Desarrollo y la Reactivación Económica de Sucre - FODRES”</w:t>
      </w:r>
    </w:p>
    <w:p w:rsidR="00A14EE4" w:rsidRPr="00A14EE4" w:rsidRDefault="00A14EE4" w:rsidP="00A14EE4">
      <w:pPr>
        <w:jc w:val="both"/>
        <w:rPr>
          <w:rFonts w:ascii="Century Gothic" w:hAnsi="Century Gothic" w:cs="Arial"/>
          <w:lang w:val="es-CO"/>
        </w:rPr>
      </w:pPr>
    </w:p>
    <w:p w:rsidR="00A14EE4" w:rsidRDefault="00A14EE4" w:rsidP="00A14EE4">
      <w:pPr>
        <w:jc w:val="both"/>
        <w:rPr>
          <w:rFonts w:ascii="Century Gothic" w:hAnsi="Century Gothic" w:cs="Arial"/>
          <w:lang w:val="es-CO"/>
        </w:rPr>
      </w:pPr>
      <w:r w:rsidRPr="00A14EE4">
        <w:rPr>
          <w:rFonts w:ascii="Century Gothic" w:hAnsi="Century Gothic" w:cs="Arial"/>
          <w:lang w:val="es-CO"/>
        </w:rPr>
        <w:t xml:space="preserve">Atentamente, </w:t>
      </w:r>
    </w:p>
    <w:p w:rsidR="00A14EE4" w:rsidRDefault="00A14EE4" w:rsidP="00A14EE4">
      <w:pPr>
        <w:jc w:val="both"/>
        <w:rPr>
          <w:rFonts w:ascii="Century Gothic" w:hAnsi="Century Gothic" w:cs="Arial"/>
          <w:lang w:val="es-CO"/>
        </w:rPr>
      </w:pPr>
    </w:p>
    <w:p w:rsidR="00A14EE4" w:rsidRPr="00A14EE4" w:rsidRDefault="00A14EE4" w:rsidP="00A14EE4">
      <w:pPr>
        <w:jc w:val="both"/>
        <w:rPr>
          <w:rFonts w:ascii="Century Gothic" w:hAnsi="Century Gothic" w:cs="Arial"/>
          <w:lang w:val="es-CO"/>
        </w:rPr>
      </w:pPr>
    </w:p>
    <w:p w:rsidR="00A14EE4" w:rsidRPr="00A14EE4" w:rsidRDefault="00A14EE4" w:rsidP="00A14EE4">
      <w:pPr>
        <w:jc w:val="both"/>
        <w:rPr>
          <w:rFonts w:ascii="Century Gothic" w:hAnsi="Century Gothic" w:cs="Arial"/>
          <w:lang w:val="es-CO"/>
        </w:rPr>
      </w:pPr>
    </w:p>
    <w:p w:rsidR="00A14EE4" w:rsidRPr="00A14EE4" w:rsidRDefault="00A14EE4" w:rsidP="00A14EE4">
      <w:pPr>
        <w:spacing w:after="0" w:line="240" w:lineRule="auto"/>
        <w:jc w:val="center"/>
        <w:rPr>
          <w:rFonts w:ascii="Century Gothic" w:hAnsi="Century Gothic" w:cs="Arial"/>
          <w:b/>
          <w:lang w:val="es-CO"/>
        </w:rPr>
      </w:pPr>
    </w:p>
    <w:p w:rsidR="00A14EE4" w:rsidRPr="00A14EE4" w:rsidRDefault="00A14EE4" w:rsidP="00A14EE4">
      <w:pPr>
        <w:spacing w:after="0" w:line="240" w:lineRule="auto"/>
        <w:jc w:val="center"/>
        <w:rPr>
          <w:rFonts w:ascii="Century Gothic" w:hAnsi="Century Gothic" w:cs="Arial"/>
          <w:b/>
          <w:lang w:val="es-CO"/>
        </w:rPr>
      </w:pPr>
    </w:p>
    <w:p w:rsidR="00A14EE4" w:rsidRPr="00A14EE4" w:rsidRDefault="00A14EE4" w:rsidP="00A14EE4">
      <w:pPr>
        <w:spacing w:after="0" w:line="240" w:lineRule="auto"/>
        <w:jc w:val="center"/>
        <w:rPr>
          <w:rFonts w:ascii="Century Gothic" w:hAnsi="Century Gothic" w:cs="Arial"/>
          <w:b/>
          <w:lang w:val="es-CO"/>
        </w:rPr>
      </w:pPr>
      <w:r w:rsidRPr="00A14EE4">
        <w:rPr>
          <w:rFonts w:ascii="Century Gothic" w:hAnsi="Century Gothic" w:cs="Arial"/>
          <w:b/>
          <w:lang w:val="es-CO"/>
        </w:rPr>
        <w:t>SALIM VILLAMIL QUESSEP</w:t>
      </w:r>
    </w:p>
    <w:p w:rsidR="00A14EE4" w:rsidRPr="00A14EE4" w:rsidRDefault="00A14EE4" w:rsidP="00A14EE4">
      <w:pPr>
        <w:spacing w:after="0" w:line="240" w:lineRule="auto"/>
        <w:jc w:val="center"/>
        <w:rPr>
          <w:rFonts w:ascii="Century Gothic" w:hAnsi="Century Gothic" w:cs="Arial"/>
          <w:lang w:val="es-CO"/>
        </w:rPr>
      </w:pPr>
      <w:r w:rsidRPr="00A14EE4">
        <w:rPr>
          <w:rFonts w:ascii="Century Gothic" w:hAnsi="Century Gothic" w:cs="Arial"/>
          <w:lang w:val="es-CO"/>
        </w:rPr>
        <w:t>Representante a la Cámara</w:t>
      </w:r>
    </w:p>
    <w:p w:rsidR="00A14EE4" w:rsidRPr="00A14EE4" w:rsidRDefault="00A14EE4" w:rsidP="00A14EE4">
      <w:pPr>
        <w:spacing w:after="0" w:line="240" w:lineRule="auto"/>
        <w:jc w:val="center"/>
        <w:rPr>
          <w:rFonts w:ascii="Century Gothic" w:hAnsi="Century Gothic" w:cs="Arial"/>
          <w:lang w:val="es-CO"/>
        </w:rPr>
      </w:pPr>
      <w:r w:rsidRPr="00A14EE4">
        <w:rPr>
          <w:rFonts w:ascii="Century Gothic" w:hAnsi="Century Gothic" w:cs="Arial"/>
          <w:lang w:val="es-CO"/>
        </w:rPr>
        <w:t>Partido Cambio Radical</w:t>
      </w:r>
    </w:p>
    <w:p w:rsidR="00A14EE4" w:rsidRPr="00A14EE4" w:rsidRDefault="00A14EE4" w:rsidP="00A14EE4">
      <w:pPr>
        <w:jc w:val="both"/>
        <w:rPr>
          <w:rFonts w:ascii="Century Gothic" w:hAnsi="Century Gothic" w:cs="Arial"/>
          <w:lang w:val="es-CO"/>
        </w:rPr>
      </w:pPr>
    </w:p>
    <w:p w:rsidR="00D665D2" w:rsidRDefault="00D665D2" w:rsidP="001F2271">
      <w:pPr>
        <w:jc w:val="both"/>
        <w:rPr>
          <w:rFonts w:ascii="Century Gothic" w:hAnsi="Century Gothic"/>
          <w:lang w:val="es-CO"/>
        </w:rPr>
      </w:pPr>
    </w:p>
    <w:p w:rsidR="00A14EE4" w:rsidRDefault="00A14EE4" w:rsidP="001F2271">
      <w:pPr>
        <w:jc w:val="both"/>
        <w:rPr>
          <w:rFonts w:ascii="Century Gothic" w:hAnsi="Century Gothic"/>
          <w:lang w:val="es-CO"/>
        </w:rPr>
      </w:pPr>
    </w:p>
    <w:p w:rsidR="00A14EE4" w:rsidRDefault="00A14EE4" w:rsidP="001F2271">
      <w:pPr>
        <w:jc w:val="both"/>
        <w:rPr>
          <w:rFonts w:ascii="Century Gothic" w:hAnsi="Century Gothic"/>
          <w:lang w:val="es-CO"/>
        </w:rPr>
      </w:pPr>
    </w:p>
    <w:p w:rsidR="00A14EE4" w:rsidRDefault="00A14EE4" w:rsidP="001F2271">
      <w:pPr>
        <w:jc w:val="both"/>
        <w:rPr>
          <w:rFonts w:ascii="Century Gothic" w:hAnsi="Century Gothic"/>
          <w:lang w:val="es-CO"/>
        </w:rPr>
      </w:pPr>
    </w:p>
    <w:p w:rsidR="00A14EE4" w:rsidRDefault="00A14EE4" w:rsidP="001F2271">
      <w:pPr>
        <w:jc w:val="both"/>
        <w:rPr>
          <w:rFonts w:ascii="Century Gothic" w:hAnsi="Century Gothic"/>
          <w:lang w:val="es-CO"/>
        </w:rPr>
      </w:pPr>
    </w:p>
    <w:p w:rsidR="00A14EE4" w:rsidRDefault="00A14EE4" w:rsidP="001F2271">
      <w:pPr>
        <w:jc w:val="both"/>
        <w:rPr>
          <w:rFonts w:ascii="Century Gothic" w:hAnsi="Century Gothic"/>
          <w:lang w:val="es-CO"/>
        </w:rPr>
      </w:pPr>
    </w:p>
    <w:p w:rsidR="00A14EE4" w:rsidRPr="00D665D2" w:rsidRDefault="00A14EE4" w:rsidP="00A14EE4">
      <w:pPr>
        <w:spacing w:after="0" w:line="240" w:lineRule="auto"/>
        <w:jc w:val="center"/>
        <w:rPr>
          <w:rFonts w:ascii="Century Gothic" w:eastAsia="Times New Roman" w:hAnsi="Century Gothic" w:cs="Arial"/>
          <w:b/>
          <w:lang w:val="es-ES" w:eastAsia="es-ES"/>
        </w:rPr>
      </w:pPr>
      <w:r w:rsidRPr="00D665D2">
        <w:rPr>
          <w:rFonts w:ascii="Century Gothic" w:eastAsia="Times New Roman" w:hAnsi="Century Gothic" w:cs="Arial"/>
          <w:b/>
          <w:lang w:val="es-ES" w:eastAsia="es-ES"/>
        </w:rPr>
        <w:t>BANCADA SENADO -CR-</w:t>
      </w:r>
    </w:p>
    <w:tbl>
      <w:tblPr>
        <w:tblStyle w:val="Tablaconcuadrcula"/>
        <w:tblW w:w="0" w:type="auto"/>
        <w:tblLook w:val="04A0" w:firstRow="1" w:lastRow="0" w:firstColumn="1" w:lastColumn="0" w:noHBand="0" w:noVBand="1"/>
      </w:tblPr>
      <w:tblGrid>
        <w:gridCol w:w="4414"/>
        <w:gridCol w:w="4414"/>
      </w:tblGrid>
      <w:tr w:rsidR="00A14EE4" w:rsidRPr="00D665D2" w:rsidTr="000E78A2">
        <w:tc>
          <w:tcPr>
            <w:tcW w:w="4414" w:type="dxa"/>
          </w:tcPr>
          <w:p w:rsidR="00A14EE4" w:rsidRPr="00D665D2" w:rsidRDefault="00A14EE4" w:rsidP="000E78A2">
            <w:pPr>
              <w:jc w:val="center"/>
              <w:rPr>
                <w:rStyle w:val="A3"/>
                <w:rFonts w:ascii="Century Gothic" w:hAnsi="Century Gothic" w:cs="Arial"/>
                <w:b/>
                <w:bCs/>
                <w:i w:val="0"/>
                <w:iCs w:val="0"/>
              </w:rPr>
            </w:pPr>
          </w:p>
          <w:p w:rsidR="00A14EE4" w:rsidRPr="00D665D2" w:rsidRDefault="00A14EE4" w:rsidP="000E78A2">
            <w:pPr>
              <w:jc w:val="center"/>
              <w:rPr>
                <w:rStyle w:val="A3"/>
                <w:rFonts w:ascii="Century Gothic" w:hAnsi="Century Gothic" w:cs="Arial"/>
                <w:b/>
                <w:bCs/>
                <w:i w:val="0"/>
                <w:iCs w:val="0"/>
              </w:rPr>
            </w:pPr>
            <w:r w:rsidRPr="00D665D2">
              <w:rPr>
                <w:rStyle w:val="A3"/>
                <w:rFonts w:ascii="Century Gothic" w:hAnsi="Century Gothic" w:cs="Arial"/>
                <w:b/>
                <w:bCs/>
                <w:i w:val="0"/>
                <w:iCs w:val="0"/>
              </w:rPr>
              <w:t>TEMISTOCLE SORTEGA NARVAEZ</w:t>
            </w:r>
          </w:p>
          <w:p w:rsidR="00A14EE4" w:rsidRPr="00D665D2" w:rsidRDefault="00A14EE4" w:rsidP="000E78A2">
            <w:pPr>
              <w:jc w:val="center"/>
              <w:rPr>
                <w:rStyle w:val="A3"/>
                <w:rFonts w:ascii="Century Gothic" w:hAnsi="Century Gothic" w:cs="Arial"/>
                <w:bCs/>
                <w:i w:val="0"/>
                <w:iCs w:val="0"/>
              </w:rPr>
            </w:pPr>
            <w:proofErr w:type="spellStart"/>
            <w:r w:rsidRPr="00D665D2">
              <w:rPr>
                <w:rStyle w:val="A3"/>
                <w:rFonts w:ascii="Century Gothic" w:hAnsi="Century Gothic" w:cs="Arial"/>
                <w:bCs/>
                <w:i w:val="0"/>
                <w:iCs w:val="0"/>
              </w:rPr>
              <w:t>Senador</w:t>
            </w:r>
            <w:proofErr w:type="spellEnd"/>
            <w:r w:rsidRPr="00D665D2">
              <w:rPr>
                <w:rStyle w:val="A3"/>
                <w:rFonts w:ascii="Century Gothic" w:hAnsi="Century Gothic" w:cs="Arial"/>
                <w:bCs/>
                <w:i w:val="0"/>
                <w:iCs w:val="0"/>
              </w:rPr>
              <w:t xml:space="preserve"> de la </w:t>
            </w:r>
            <w:proofErr w:type="spellStart"/>
            <w:r w:rsidRPr="00D665D2">
              <w:rPr>
                <w:rStyle w:val="A3"/>
                <w:rFonts w:ascii="Century Gothic" w:hAnsi="Century Gothic" w:cs="Arial"/>
                <w:bCs/>
                <w:i w:val="0"/>
                <w:iCs w:val="0"/>
              </w:rPr>
              <w:t>República</w:t>
            </w:r>
            <w:proofErr w:type="spellEnd"/>
          </w:p>
        </w:tc>
        <w:tc>
          <w:tcPr>
            <w:tcW w:w="4414" w:type="dxa"/>
          </w:tcPr>
          <w:p w:rsidR="00A14EE4" w:rsidRPr="00D665D2" w:rsidRDefault="00A14EE4" w:rsidP="000E78A2">
            <w:pPr>
              <w:rPr>
                <w:rStyle w:val="A3"/>
                <w:rFonts w:ascii="Century Gothic" w:hAnsi="Century Gothic" w:cs="Arial"/>
                <w:b/>
                <w:bCs/>
                <w:i w:val="0"/>
                <w:iCs w:val="0"/>
              </w:rPr>
            </w:pPr>
            <w:r w:rsidRPr="00D665D2">
              <w:rPr>
                <w:rFonts w:ascii="Century Gothic" w:hAnsi="Century Gothic"/>
                <w:noProof/>
                <w:lang w:eastAsia="es-CO"/>
              </w:rPr>
              <w:t xml:space="preserve">                        </w:t>
            </w:r>
          </w:p>
          <w:p w:rsidR="00A14EE4" w:rsidRPr="00D665D2" w:rsidRDefault="00A14EE4" w:rsidP="000E78A2">
            <w:pPr>
              <w:jc w:val="center"/>
              <w:rPr>
                <w:rStyle w:val="A3"/>
                <w:rFonts w:ascii="Century Gothic" w:hAnsi="Century Gothic" w:cs="Arial"/>
                <w:b/>
                <w:bCs/>
                <w:i w:val="0"/>
                <w:iCs w:val="0"/>
              </w:rPr>
            </w:pPr>
            <w:r w:rsidRPr="00D665D2">
              <w:rPr>
                <w:rStyle w:val="A3"/>
                <w:rFonts w:ascii="Century Gothic" w:hAnsi="Century Gothic" w:cs="Arial"/>
                <w:b/>
                <w:bCs/>
                <w:i w:val="0"/>
                <w:iCs w:val="0"/>
              </w:rPr>
              <w:t>DIDIER LOBO CHINCHILLA</w:t>
            </w:r>
          </w:p>
          <w:p w:rsidR="00A14EE4" w:rsidRPr="00D665D2" w:rsidRDefault="00A14EE4" w:rsidP="000E78A2">
            <w:pPr>
              <w:jc w:val="center"/>
              <w:rPr>
                <w:rStyle w:val="A3"/>
                <w:rFonts w:ascii="Century Gothic" w:hAnsi="Century Gothic" w:cs="Arial"/>
                <w:b/>
                <w:bCs/>
                <w:i w:val="0"/>
                <w:iCs w:val="0"/>
              </w:rPr>
            </w:pPr>
            <w:proofErr w:type="spellStart"/>
            <w:r w:rsidRPr="00D665D2">
              <w:rPr>
                <w:rStyle w:val="A3"/>
                <w:rFonts w:ascii="Century Gothic" w:hAnsi="Century Gothic" w:cs="Arial"/>
                <w:bCs/>
                <w:i w:val="0"/>
                <w:iCs w:val="0"/>
              </w:rPr>
              <w:t>Senador</w:t>
            </w:r>
            <w:proofErr w:type="spellEnd"/>
            <w:r w:rsidRPr="00D665D2">
              <w:rPr>
                <w:rStyle w:val="A3"/>
                <w:rFonts w:ascii="Century Gothic" w:hAnsi="Century Gothic" w:cs="Arial"/>
                <w:bCs/>
                <w:i w:val="0"/>
                <w:iCs w:val="0"/>
              </w:rPr>
              <w:t xml:space="preserve"> de la </w:t>
            </w:r>
            <w:proofErr w:type="spellStart"/>
            <w:r w:rsidRPr="00D665D2">
              <w:rPr>
                <w:rStyle w:val="A3"/>
                <w:rFonts w:ascii="Century Gothic" w:hAnsi="Century Gothic" w:cs="Arial"/>
                <w:bCs/>
                <w:i w:val="0"/>
                <w:iCs w:val="0"/>
              </w:rPr>
              <w:t>República</w:t>
            </w:r>
            <w:proofErr w:type="spellEnd"/>
          </w:p>
        </w:tc>
      </w:tr>
      <w:tr w:rsidR="00A14EE4" w:rsidRPr="00D665D2" w:rsidTr="000E78A2">
        <w:tc>
          <w:tcPr>
            <w:tcW w:w="4414" w:type="dxa"/>
          </w:tcPr>
          <w:p w:rsidR="00A14EE4" w:rsidRPr="00D665D2" w:rsidRDefault="00A14EE4" w:rsidP="000E78A2">
            <w:pPr>
              <w:jc w:val="center"/>
              <w:rPr>
                <w:rFonts w:ascii="Century Gothic" w:hAnsi="Century Gothic"/>
                <w:noProof/>
                <w:lang w:eastAsia="es-CO"/>
              </w:rPr>
            </w:pPr>
          </w:p>
          <w:p w:rsidR="00A14EE4" w:rsidRPr="00D665D2" w:rsidRDefault="00A14EE4" w:rsidP="000E78A2">
            <w:pPr>
              <w:jc w:val="center"/>
              <w:rPr>
                <w:rFonts w:ascii="Century Gothic" w:hAnsi="Century Gothic" w:cs="Arial"/>
                <w:b/>
                <w:noProof/>
                <w:lang w:eastAsia="es-CO"/>
              </w:rPr>
            </w:pPr>
            <w:r w:rsidRPr="00D665D2">
              <w:rPr>
                <w:rFonts w:ascii="Century Gothic" w:hAnsi="Century Gothic" w:cs="Arial"/>
                <w:b/>
                <w:noProof/>
                <w:lang w:eastAsia="es-CO"/>
              </w:rPr>
              <w:t>LUIS EDUARDO DIAZGRANADOS</w:t>
            </w:r>
          </w:p>
          <w:p w:rsidR="00A14EE4" w:rsidRPr="00D665D2" w:rsidRDefault="00A14EE4" w:rsidP="000E78A2">
            <w:pPr>
              <w:jc w:val="center"/>
              <w:rPr>
                <w:rFonts w:ascii="Century Gothic" w:hAnsi="Century Gothic"/>
                <w:noProof/>
                <w:lang w:eastAsia="es-CO"/>
              </w:rPr>
            </w:pPr>
            <w:r w:rsidRPr="00D665D2">
              <w:rPr>
                <w:rFonts w:ascii="Century Gothic" w:hAnsi="Century Gothic" w:cs="Arial"/>
                <w:noProof/>
                <w:lang w:eastAsia="es-CO"/>
              </w:rPr>
              <w:t>Senador de la República</w:t>
            </w:r>
          </w:p>
        </w:tc>
        <w:tc>
          <w:tcPr>
            <w:tcW w:w="4414" w:type="dxa"/>
          </w:tcPr>
          <w:p w:rsidR="00A14EE4" w:rsidRDefault="00A14EE4" w:rsidP="00A14EE4">
            <w:pPr>
              <w:rPr>
                <w:rFonts w:ascii="Century Gothic" w:hAnsi="Century Gothic"/>
                <w:b/>
                <w:noProof/>
                <w:lang w:eastAsia="es-CO"/>
              </w:rPr>
            </w:pPr>
          </w:p>
          <w:p w:rsidR="00A14EE4" w:rsidRPr="00A14EE4" w:rsidRDefault="00A14EE4" w:rsidP="00A14EE4">
            <w:pPr>
              <w:jc w:val="center"/>
              <w:rPr>
                <w:rFonts w:ascii="Century Gothic" w:hAnsi="Century Gothic"/>
                <w:b/>
                <w:noProof/>
                <w:lang w:eastAsia="es-CO"/>
              </w:rPr>
            </w:pPr>
            <w:r w:rsidRPr="00A14EE4">
              <w:rPr>
                <w:rFonts w:ascii="Century Gothic" w:hAnsi="Century Gothic"/>
                <w:b/>
                <w:noProof/>
                <w:lang w:eastAsia="es-CO"/>
              </w:rPr>
              <w:t>FABIAN CASTILLO SUAREZ</w:t>
            </w:r>
          </w:p>
          <w:p w:rsidR="00A14EE4" w:rsidRPr="00A14EE4" w:rsidRDefault="00A14EE4" w:rsidP="00A14EE4">
            <w:pPr>
              <w:jc w:val="center"/>
              <w:rPr>
                <w:rFonts w:ascii="Century Gothic" w:hAnsi="Century Gothic" w:cs="Arial"/>
                <w:noProof/>
                <w:lang w:eastAsia="es-CO"/>
              </w:rPr>
            </w:pPr>
            <w:r w:rsidRPr="00A14EE4">
              <w:rPr>
                <w:rFonts w:ascii="Century Gothic" w:hAnsi="Century Gothic"/>
                <w:noProof/>
                <w:lang w:eastAsia="es-CO"/>
              </w:rPr>
              <w:t>Senador de la Repùblica</w:t>
            </w:r>
          </w:p>
          <w:p w:rsidR="00A14EE4" w:rsidRPr="00D665D2" w:rsidRDefault="00A14EE4" w:rsidP="000E78A2">
            <w:pPr>
              <w:jc w:val="center"/>
              <w:rPr>
                <w:rFonts w:ascii="Century Gothic" w:hAnsi="Century Gothic" w:cs="Arial"/>
                <w:noProof/>
                <w:lang w:eastAsia="es-CO"/>
              </w:rPr>
            </w:pPr>
          </w:p>
        </w:tc>
      </w:tr>
      <w:tr w:rsidR="00A14EE4" w:rsidRPr="00D665D2" w:rsidTr="000E78A2">
        <w:trPr>
          <w:trHeight w:val="1949"/>
        </w:trPr>
        <w:tc>
          <w:tcPr>
            <w:tcW w:w="4414" w:type="dxa"/>
          </w:tcPr>
          <w:p w:rsidR="00A14EE4" w:rsidRPr="00D665D2" w:rsidRDefault="00A14EE4" w:rsidP="000E78A2">
            <w:pPr>
              <w:jc w:val="center"/>
              <w:rPr>
                <w:rFonts w:ascii="Century Gothic" w:hAnsi="Century Gothic"/>
                <w:noProof/>
                <w:lang w:eastAsia="es-CO"/>
              </w:rPr>
            </w:pPr>
            <w:r w:rsidRPr="00D665D2">
              <w:rPr>
                <w:rFonts w:ascii="Century Gothic" w:hAnsi="Century Gothic"/>
                <w:noProof/>
                <w:lang w:eastAsia="es-CO"/>
              </w:rPr>
              <w:t xml:space="preserve">     </w:t>
            </w:r>
          </w:p>
          <w:p w:rsidR="00A14EE4" w:rsidRPr="00D665D2" w:rsidRDefault="00A14EE4" w:rsidP="000E78A2">
            <w:pPr>
              <w:jc w:val="center"/>
              <w:rPr>
                <w:rFonts w:ascii="Century Gothic" w:hAnsi="Century Gothic" w:cs="Arial"/>
                <w:b/>
                <w:noProof/>
                <w:lang w:eastAsia="es-CO"/>
              </w:rPr>
            </w:pPr>
            <w:r w:rsidRPr="00D665D2">
              <w:rPr>
                <w:rFonts w:ascii="Century Gothic" w:hAnsi="Century Gothic" w:cs="Arial"/>
                <w:b/>
                <w:noProof/>
                <w:lang w:eastAsia="es-CO"/>
              </w:rPr>
              <w:t>JOSÉ LUIS PÉREZ OYUELA</w:t>
            </w:r>
          </w:p>
          <w:p w:rsidR="00A14EE4" w:rsidRPr="00D665D2" w:rsidRDefault="00A14EE4" w:rsidP="000E78A2">
            <w:pPr>
              <w:jc w:val="center"/>
              <w:rPr>
                <w:rFonts w:ascii="Century Gothic" w:hAnsi="Century Gothic"/>
                <w:noProof/>
                <w:lang w:eastAsia="es-CO"/>
              </w:rPr>
            </w:pPr>
            <w:r w:rsidRPr="00D665D2">
              <w:rPr>
                <w:rFonts w:ascii="Century Gothic" w:hAnsi="Century Gothic" w:cs="Arial"/>
                <w:noProof/>
                <w:lang w:eastAsia="es-CO"/>
              </w:rPr>
              <w:t>Senador de la República</w:t>
            </w:r>
          </w:p>
        </w:tc>
        <w:tc>
          <w:tcPr>
            <w:tcW w:w="4414" w:type="dxa"/>
          </w:tcPr>
          <w:p w:rsidR="00A14EE4" w:rsidRDefault="00A14EE4" w:rsidP="000E78A2">
            <w:pPr>
              <w:jc w:val="center"/>
              <w:rPr>
                <w:rFonts w:ascii="Century Gothic" w:hAnsi="Century Gothic" w:cs="Arial"/>
                <w:b/>
                <w:noProof/>
                <w:lang w:eastAsia="es-CO"/>
              </w:rPr>
            </w:pPr>
          </w:p>
          <w:p w:rsidR="00A14EE4" w:rsidRPr="00D665D2" w:rsidRDefault="00A14EE4" w:rsidP="000E78A2">
            <w:pPr>
              <w:jc w:val="center"/>
              <w:rPr>
                <w:rFonts w:ascii="Century Gothic" w:hAnsi="Century Gothic" w:cs="Arial"/>
                <w:b/>
                <w:noProof/>
                <w:lang w:eastAsia="es-CO"/>
              </w:rPr>
            </w:pPr>
          </w:p>
          <w:p w:rsidR="00A14EE4" w:rsidRPr="00D665D2" w:rsidRDefault="00A14EE4" w:rsidP="000E78A2">
            <w:pPr>
              <w:jc w:val="center"/>
              <w:rPr>
                <w:rFonts w:ascii="Century Gothic" w:hAnsi="Century Gothic" w:cs="Arial"/>
                <w:b/>
                <w:noProof/>
                <w:lang w:eastAsia="es-CO"/>
              </w:rPr>
            </w:pPr>
            <w:r w:rsidRPr="00D665D2">
              <w:rPr>
                <w:rFonts w:ascii="Century Gothic" w:hAnsi="Century Gothic" w:cs="Arial"/>
                <w:b/>
                <w:noProof/>
                <w:lang w:eastAsia="es-CO"/>
              </w:rPr>
              <w:t>ANTONIO LUIS ZABARAIN GUEVARA</w:t>
            </w:r>
          </w:p>
          <w:p w:rsidR="00A14EE4" w:rsidRPr="00D665D2" w:rsidRDefault="00A14EE4" w:rsidP="000E78A2">
            <w:pPr>
              <w:jc w:val="center"/>
              <w:rPr>
                <w:rFonts w:ascii="Century Gothic" w:hAnsi="Century Gothic"/>
                <w:noProof/>
                <w:lang w:eastAsia="es-CO"/>
              </w:rPr>
            </w:pPr>
            <w:r w:rsidRPr="00D665D2">
              <w:rPr>
                <w:rFonts w:ascii="Century Gothic" w:hAnsi="Century Gothic" w:cs="Arial"/>
                <w:noProof/>
                <w:lang w:eastAsia="es-CO"/>
              </w:rPr>
              <w:t>Senador de la República</w:t>
            </w:r>
            <w:r w:rsidRPr="00D665D2">
              <w:rPr>
                <w:rFonts w:ascii="Century Gothic" w:hAnsi="Century Gothic"/>
                <w:noProof/>
                <w:lang w:eastAsia="es-CO"/>
              </w:rPr>
              <w:t xml:space="preserve"> </w:t>
            </w:r>
          </w:p>
        </w:tc>
      </w:tr>
    </w:tbl>
    <w:p w:rsidR="00A14EE4" w:rsidRDefault="00A14EE4" w:rsidP="00A14EE4">
      <w:pPr>
        <w:jc w:val="both"/>
        <w:rPr>
          <w:rFonts w:ascii="Century Gothic" w:hAnsi="Century Gothic"/>
          <w:lang w:val="es-CO"/>
        </w:rPr>
      </w:pPr>
    </w:p>
    <w:p w:rsidR="00A14EE4" w:rsidRPr="00D665D2" w:rsidRDefault="00A14EE4" w:rsidP="00A14EE4">
      <w:pPr>
        <w:spacing w:after="0" w:line="240" w:lineRule="auto"/>
        <w:jc w:val="center"/>
        <w:rPr>
          <w:rFonts w:ascii="Century Gothic" w:eastAsia="Times New Roman" w:hAnsi="Century Gothic" w:cs="Arial"/>
          <w:b/>
          <w:lang w:val="es-ES" w:eastAsia="es-ES"/>
        </w:rPr>
      </w:pPr>
      <w:r w:rsidRPr="00D665D2">
        <w:rPr>
          <w:rFonts w:ascii="Century Gothic" w:eastAsia="Times New Roman" w:hAnsi="Century Gothic" w:cs="Arial"/>
          <w:b/>
          <w:lang w:val="es-ES" w:eastAsia="es-ES"/>
        </w:rPr>
        <w:t>BANCADA CÁMARA DE REPRESENTANTES -CR-</w:t>
      </w:r>
    </w:p>
    <w:p w:rsidR="00A14EE4" w:rsidRPr="00D665D2" w:rsidRDefault="00A14EE4" w:rsidP="00A14EE4">
      <w:pPr>
        <w:spacing w:after="0" w:line="240" w:lineRule="auto"/>
        <w:jc w:val="center"/>
        <w:rPr>
          <w:rStyle w:val="A3"/>
          <w:rFonts w:ascii="Century Gothic" w:hAnsi="Century Gothic" w:cs="Arial"/>
          <w:b/>
          <w:bCs/>
          <w:i w:val="0"/>
          <w:iCs w:val="0"/>
          <w:lang w:val="es-CO"/>
        </w:rPr>
      </w:pPr>
    </w:p>
    <w:p w:rsidR="00A14EE4" w:rsidRPr="00D665D2" w:rsidRDefault="00A14EE4" w:rsidP="00A14EE4">
      <w:pPr>
        <w:spacing w:after="0" w:line="240" w:lineRule="auto"/>
        <w:jc w:val="center"/>
        <w:rPr>
          <w:rStyle w:val="A3"/>
          <w:rFonts w:ascii="Century Gothic" w:hAnsi="Century Gothic" w:cs="Arial"/>
          <w:b/>
          <w:bCs/>
          <w:i w:val="0"/>
          <w:iCs w:val="0"/>
          <w:lang w:val="es-CO"/>
        </w:rPr>
      </w:pPr>
    </w:p>
    <w:tbl>
      <w:tblPr>
        <w:tblStyle w:val="Tablaconcuadrcula"/>
        <w:tblW w:w="0" w:type="auto"/>
        <w:tblLook w:val="04A0" w:firstRow="1" w:lastRow="0" w:firstColumn="1" w:lastColumn="0" w:noHBand="0" w:noVBand="1"/>
      </w:tblPr>
      <w:tblGrid>
        <w:gridCol w:w="4414"/>
        <w:gridCol w:w="4414"/>
      </w:tblGrid>
      <w:tr w:rsidR="00A14EE4" w:rsidRPr="00D665D2" w:rsidTr="000E78A2">
        <w:trPr>
          <w:trHeight w:val="1421"/>
        </w:trPr>
        <w:tc>
          <w:tcPr>
            <w:tcW w:w="4414" w:type="dxa"/>
          </w:tcPr>
          <w:p w:rsidR="00A14EE4" w:rsidRPr="00D665D2" w:rsidRDefault="00A14EE4" w:rsidP="000E78A2">
            <w:pPr>
              <w:jc w:val="both"/>
              <w:rPr>
                <w:rFonts w:ascii="Century Gothic" w:eastAsia="Times New Roman" w:hAnsi="Century Gothic" w:cs="Arial"/>
                <w:b/>
                <w:lang w:val="es-ES" w:eastAsia="es-ES"/>
              </w:rPr>
            </w:pPr>
            <w:r w:rsidRPr="00D665D2">
              <w:rPr>
                <w:rFonts w:ascii="Century Gothic" w:eastAsia="Times New Roman" w:hAnsi="Century Gothic" w:cs="Arial"/>
                <w:noProof/>
                <w:lang w:eastAsia="es-CO"/>
              </w:rPr>
              <w:t xml:space="preserve">        </w:t>
            </w:r>
          </w:p>
          <w:p w:rsidR="00A14EE4" w:rsidRPr="00D665D2" w:rsidRDefault="00A14EE4" w:rsidP="000E78A2">
            <w:pPr>
              <w:jc w:val="both"/>
              <w:rPr>
                <w:rFonts w:ascii="Century Gothic" w:eastAsia="Times New Roman" w:hAnsi="Century Gothic" w:cs="Arial"/>
                <w:b/>
                <w:lang w:val="es-ES" w:eastAsia="es-ES"/>
              </w:rPr>
            </w:pPr>
            <w:r w:rsidRPr="00D665D2">
              <w:rPr>
                <w:rFonts w:ascii="Century Gothic" w:eastAsia="Times New Roman" w:hAnsi="Century Gothic" w:cs="Arial"/>
                <w:noProof/>
                <w:lang w:eastAsia="es-CO"/>
              </w:rPr>
              <w:t xml:space="preserve">          </w:t>
            </w:r>
          </w:p>
          <w:p w:rsidR="00A14EE4" w:rsidRPr="00D665D2" w:rsidRDefault="00A14EE4" w:rsidP="000E78A2">
            <w:pPr>
              <w:jc w:val="center"/>
              <w:rPr>
                <w:rFonts w:ascii="Century Gothic" w:eastAsia="Times New Roman" w:hAnsi="Century Gothic" w:cs="Arial"/>
                <w:b/>
                <w:lang w:val="es-ES" w:eastAsia="es-ES"/>
              </w:rPr>
            </w:pPr>
            <w:r w:rsidRPr="00D665D2">
              <w:rPr>
                <w:rFonts w:ascii="Century Gothic" w:eastAsia="Times New Roman" w:hAnsi="Century Gothic" w:cs="Arial"/>
                <w:b/>
                <w:lang w:val="es-ES" w:eastAsia="es-ES"/>
              </w:rPr>
              <w:t>KARINA ROJANO</w:t>
            </w:r>
          </w:p>
          <w:p w:rsidR="00A14EE4" w:rsidRPr="00D665D2" w:rsidRDefault="00A14EE4" w:rsidP="000E78A2">
            <w:pPr>
              <w:jc w:val="center"/>
              <w:rPr>
                <w:rFonts w:ascii="Century Gothic" w:eastAsia="Times New Roman" w:hAnsi="Century Gothic" w:cs="Arial"/>
                <w:lang w:val="es-ES" w:eastAsia="es-ES"/>
              </w:rPr>
            </w:pPr>
            <w:r w:rsidRPr="00D665D2">
              <w:rPr>
                <w:rFonts w:ascii="Century Gothic" w:eastAsia="Times New Roman" w:hAnsi="Century Gothic" w:cs="Arial"/>
                <w:lang w:val="es-ES" w:eastAsia="es-ES"/>
              </w:rPr>
              <w:t>Representante a la Cámara</w:t>
            </w:r>
          </w:p>
        </w:tc>
        <w:tc>
          <w:tcPr>
            <w:tcW w:w="4414" w:type="dxa"/>
          </w:tcPr>
          <w:p w:rsidR="00A14EE4" w:rsidRPr="00D665D2" w:rsidRDefault="00A14EE4" w:rsidP="000E78A2">
            <w:pPr>
              <w:jc w:val="both"/>
              <w:rPr>
                <w:rFonts w:ascii="Century Gothic" w:eastAsia="Times New Roman" w:hAnsi="Century Gothic" w:cs="Arial"/>
                <w:b/>
                <w:lang w:val="es-ES" w:eastAsia="es-ES"/>
              </w:rPr>
            </w:pPr>
            <w:r w:rsidRPr="00D665D2">
              <w:rPr>
                <w:rFonts w:ascii="Century Gothic" w:eastAsia="Times New Roman" w:hAnsi="Century Gothic" w:cs="Arial"/>
                <w:noProof/>
                <w:lang w:eastAsia="es-CO"/>
              </w:rPr>
              <w:t xml:space="preserve">               </w:t>
            </w:r>
          </w:p>
          <w:p w:rsidR="00A14EE4" w:rsidRPr="00D665D2" w:rsidRDefault="00A14EE4" w:rsidP="000E78A2">
            <w:pPr>
              <w:jc w:val="both"/>
              <w:rPr>
                <w:rFonts w:ascii="Century Gothic" w:eastAsia="Times New Roman" w:hAnsi="Century Gothic" w:cs="Arial"/>
                <w:b/>
                <w:lang w:val="es-ES" w:eastAsia="es-ES"/>
              </w:rPr>
            </w:pPr>
          </w:p>
          <w:p w:rsidR="00A14EE4" w:rsidRPr="00D665D2" w:rsidRDefault="00A14EE4" w:rsidP="000E78A2">
            <w:pPr>
              <w:jc w:val="center"/>
              <w:rPr>
                <w:rFonts w:ascii="Century Gothic" w:eastAsia="Times New Roman" w:hAnsi="Century Gothic" w:cs="Arial"/>
                <w:b/>
                <w:lang w:val="es-ES" w:eastAsia="es-ES"/>
              </w:rPr>
            </w:pPr>
            <w:r w:rsidRPr="00D665D2">
              <w:rPr>
                <w:rFonts w:ascii="Century Gothic" w:eastAsia="Times New Roman" w:hAnsi="Century Gothic" w:cs="Arial"/>
                <w:b/>
                <w:lang w:val="es-ES" w:eastAsia="es-ES"/>
              </w:rPr>
              <w:t>JOSÉ AMAR SEPÚLVEDA</w:t>
            </w:r>
          </w:p>
          <w:p w:rsidR="00A14EE4" w:rsidRPr="00D665D2" w:rsidRDefault="00A14EE4" w:rsidP="000E78A2">
            <w:pPr>
              <w:jc w:val="center"/>
              <w:rPr>
                <w:rFonts w:ascii="Century Gothic" w:eastAsia="Times New Roman" w:hAnsi="Century Gothic" w:cs="Arial"/>
                <w:lang w:val="es-ES" w:eastAsia="es-ES"/>
              </w:rPr>
            </w:pPr>
            <w:r w:rsidRPr="00D665D2">
              <w:rPr>
                <w:rFonts w:ascii="Century Gothic" w:eastAsia="Times New Roman" w:hAnsi="Century Gothic" w:cs="Arial"/>
                <w:lang w:val="es-ES" w:eastAsia="es-ES"/>
              </w:rPr>
              <w:t>Representante a la Cámara</w:t>
            </w:r>
          </w:p>
        </w:tc>
      </w:tr>
      <w:tr w:rsidR="00A14EE4" w:rsidRPr="00D665D2" w:rsidTr="000E78A2">
        <w:trPr>
          <w:trHeight w:val="2051"/>
        </w:trPr>
        <w:tc>
          <w:tcPr>
            <w:tcW w:w="4414" w:type="dxa"/>
          </w:tcPr>
          <w:p w:rsidR="00A14EE4" w:rsidRPr="00D665D2" w:rsidRDefault="00A14EE4" w:rsidP="000E78A2">
            <w:pPr>
              <w:jc w:val="center"/>
              <w:rPr>
                <w:rFonts w:ascii="Century Gothic" w:eastAsia="Times New Roman" w:hAnsi="Century Gothic" w:cs="Arial"/>
                <w:b/>
                <w:lang w:val="es-ES" w:eastAsia="es-ES"/>
              </w:rPr>
            </w:pPr>
          </w:p>
          <w:p w:rsidR="00A14EE4" w:rsidRPr="00D665D2" w:rsidRDefault="00A14EE4" w:rsidP="000E78A2">
            <w:pPr>
              <w:rPr>
                <w:rFonts w:ascii="Century Gothic" w:eastAsia="Times New Roman" w:hAnsi="Century Gothic" w:cs="Arial"/>
                <w:b/>
                <w:lang w:val="es-ES" w:eastAsia="es-ES"/>
              </w:rPr>
            </w:pPr>
            <w:r w:rsidRPr="00D665D2">
              <w:rPr>
                <w:rFonts w:ascii="Century Gothic" w:eastAsia="Times New Roman" w:hAnsi="Century Gothic" w:cs="Arial"/>
                <w:b/>
                <w:noProof/>
                <w:lang w:eastAsia="es-CO"/>
              </w:rPr>
              <w:t xml:space="preserve">                                        </w:t>
            </w:r>
          </w:p>
          <w:p w:rsidR="00A14EE4" w:rsidRPr="00D665D2" w:rsidRDefault="00A14EE4" w:rsidP="000E78A2">
            <w:pPr>
              <w:jc w:val="center"/>
              <w:rPr>
                <w:rFonts w:ascii="Century Gothic" w:eastAsia="Times New Roman" w:hAnsi="Century Gothic" w:cs="Arial"/>
                <w:b/>
                <w:lang w:val="es-ES" w:eastAsia="es-ES"/>
              </w:rPr>
            </w:pPr>
          </w:p>
          <w:p w:rsidR="00A14EE4" w:rsidRPr="00D665D2" w:rsidRDefault="00A14EE4" w:rsidP="000E78A2">
            <w:pPr>
              <w:jc w:val="center"/>
              <w:rPr>
                <w:rFonts w:ascii="Century Gothic" w:eastAsia="Times New Roman" w:hAnsi="Century Gothic" w:cs="Arial"/>
                <w:b/>
                <w:lang w:val="es-ES" w:eastAsia="es-ES"/>
              </w:rPr>
            </w:pPr>
          </w:p>
          <w:p w:rsidR="00A14EE4" w:rsidRPr="00D665D2" w:rsidRDefault="00A14EE4" w:rsidP="000E78A2">
            <w:pPr>
              <w:jc w:val="center"/>
              <w:rPr>
                <w:rFonts w:ascii="Century Gothic" w:eastAsia="Times New Roman" w:hAnsi="Century Gothic" w:cs="Arial"/>
                <w:lang w:val="es-ES" w:eastAsia="es-ES"/>
              </w:rPr>
            </w:pPr>
            <w:r w:rsidRPr="00D665D2">
              <w:rPr>
                <w:rFonts w:ascii="Century Gothic" w:eastAsia="Times New Roman" w:hAnsi="Century Gothic" w:cs="Arial"/>
                <w:b/>
                <w:lang w:val="es-ES" w:eastAsia="es-ES"/>
              </w:rPr>
              <w:t>CESAR LORDUY MALDONADO</w:t>
            </w:r>
          </w:p>
          <w:p w:rsidR="00A14EE4" w:rsidRPr="00D665D2" w:rsidRDefault="00A14EE4" w:rsidP="000E78A2">
            <w:pPr>
              <w:jc w:val="center"/>
              <w:rPr>
                <w:rFonts w:ascii="Century Gothic" w:eastAsia="Times New Roman" w:hAnsi="Century Gothic" w:cs="Arial"/>
                <w:lang w:val="es-ES" w:eastAsia="es-ES"/>
              </w:rPr>
            </w:pPr>
            <w:r w:rsidRPr="00D665D2">
              <w:rPr>
                <w:rFonts w:ascii="Century Gothic" w:eastAsia="Times New Roman" w:hAnsi="Century Gothic" w:cs="Arial"/>
                <w:lang w:val="es-ES" w:eastAsia="es-ES"/>
              </w:rPr>
              <w:t>Representante a la Cámara</w:t>
            </w:r>
          </w:p>
        </w:tc>
        <w:tc>
          <w:tcPr>
            <w:tcW w:w="4414" w:type="dxa"/>
          </w:tcPr>
          <w:p w:rsidR="00A14EE4" w:rsidRPr="00D665D2" w:rsidRDefault="00A14EE4" w:rsidP="000E78A2">
            <w:pPr>
              <w:jc w:val="both"/>
              <w:rPr>
                <w:rFonts w:ascii="Century Gothic" w:eastAsia="Times New Roman" w:hAnsi="Century Gothic" w:cs="Arial"/>
                <w:b/>
                <w:lang w:val="es-ES" w:eastAsia="es-ES"/>
              </w:rPr>
            </w:pPr>
            <w:r w:rsidRPr="00D665D2">
              <w:rPr>
                <w:rFonts w:ascii="Century Gothic" w:eastAsia="Times New Roman" w:hAnsi="Century Gothic" w:cs="Arial"/>
                <w:noProof/>
                <w:lang w:eastAsia="es-CO"/>
              </w:rPr>
              <w:t xml:space="preserve">                         </w:t>
            </w:r>
          </w:p>
          <w:p w:rsidR="00A14EE4" w:rsidRPr="00D665D2" w:rsidRDefault="00A14EE4" w:rsidP="000E78A2">
            <w:pPr>
              <w:jc w:val="center"/>
              <w:rPr>
                <w:rFonts w:ascii="Century Gothic" w:eastAsia="Times New Roman" w:hAnsi="Century Gothic" w:cs="Arial"/>
                <w:b/>
                <w:lang w:val="es-ES" w:eastAsia="es-ES"/>
              </w:rPr>
            </w:pPr>
          </w:p>
          <w:p w:rsidR="00A14EE4" w:rsidRPr="00D665D2" w:rsidRDefault="00A14EE4" w:rsidP="000E78A2">
            <w:pPr>
              <w:jc w:val="center"/>
              <w:rPr>
                <w:rFonts w:ascii="Century Gothic" w:eastAsia="Times New Roman" w:hAnsi="Century Gothic" w:cs="Arial"/>
                <w:b/>
                <w:lang w:val="es-ES" w:eastAsia="es-ES"/>
              </w:rPr>
            </w:pPr>
            <w:r w:rsidRPr="00D665D2">
              <w:rPr>
                <w:rFonts w:ascii="Century Gothic" w:eastAsia="Times New Roman" w:hAnsi="Century Gothic" w:cs="Arial"/>
                <w:b/>
                <w:lang w:val="es-ES" w:eastAsia="es-ES"/>
              </w:rPr>
              <w:t>MODESTO AGUILERA VIDES</w:t>
            </w:r>
          </w:p>
          <w:p w:rsidR="00A14EE4" w:rsidRPr="00D665D2" w:rsidRDefault="00A14EE4" w:rsidP="000E78A2">
            <w:pPr>
              <w:jc w:val="center"/>
              <w:rPr>
                <w:rFonts w:ascii="Century Gothic" w:eastAsia="Times New Roman" w:hAnsi="Century Gothic" w:cs="Arial"/>
                <w:lang w:val="es-ES" w:eastAsia="es-ES"/>
              </w:rPr>
            </w:pPr>
            <w:r w:rsidRPr="00D665D2">
              <w:rPr>
                <w:rFonts w:ascii="Century Gothic" w:eastAsia="Times New Roman" w:hAnsi="Century Gothic" w:cs="Arial"/>
                <w:lang w:val="es-ES" w:eastAsia="es-ES"/>
              </w:rPr>
              <w:t>Representante a la Cámara</w:t>
            </w:r>
          </w:p>
        </w:tc>
      </w:tr>
      <w:tr w:rsidR="00A14EE4" w:rsidRPr="00D665D2" w:rsidTr="000E78A2">
        <w:trPr>
          <w:trHeight w:val="1530"/>
        </w:trPr>
        <w:tc>
          <w:tcPr>
            <w:tcW w:w="4414" w:type="dxa"/>
          </w:tcPr>
          <w:p w:rsidR="00A14EE4" w:rsidRPr="00D665D2" w:rsidRDefault="00A14EE4" w:rsidP="000E78A2">
            <w:pPr>
              <w:jc w:val="center"/>
              <w:rPr>
                <w:rFonts w:ascii="Century Gothic" w:eastAsia="Times New Roman" w:hAnsi="Century Gothic" w:cs="Arial"/>
                <w:b/>
                <w:lang w:val="es-ES" w:eastAsia="es-ES"/>
              </w:rPr>
            </w:pPr>
          </w:p>
          <w:p w:rsidR="00A14EE4" w:rsidRPr="00D665D2" w:rsidRDefault="00A14EE4" w:rsidP="000E78A2">
            <w:pPr>
              <w:jc w:val="center"/>
              <w:rPr>
                <w:rFonts w:ascii="Century Gothic" w:eastAsia="Times New Roman" w:hAnsi="Century Gothic" w:cs="Arial"/>
                <w:b/>
                <w:lang w:val="es-ES" w:eastAsia="es-ES"/>
              </w:rPr>
            </w:pPr>
          </w:p>
          <w:p w:rsidR="00A14EE4" w:rsidRPr="00D665D2" w:rsidRDefault="00A14EE4" w:rsidP="000E78A2">
            <w:pPr>
              <w:jc w:val="center"/>
              <w:rPr>
                <w:rFonts w:ascii="Century Gothic" w:eastAsia="Times New Roman" w:hAnsi="Century Gothic" w:cs="Arial"/>
                <w:b/>
                <w:color w:val="000000" w:themeColor="text1"/>
                <w:lang w:val="es-ES" w:eastAsia="es-ES"/>
              </w:rPr>
            </w:pPr>
            <w:r w:rsidRPr="00D665D2">
              <w:rPr>
                <w:rFonts w:ascii="Century Gothic" w:eastAsia="Times New Roman" w:hAnsi="Century Gothic" w:cs="Arial"/>
                <w:b/>
                <w:color w:val="000000" w:themeColor="text1"/>
                <w:lang w:val="es-ES" w:eastAsia="es-ES"/>
              </w:rPr>
              <w:t>ANGELA SÁNCHEZ LEAL</w:t>
            </w:r>
          </w:p>
          <w:p w:rsidR="00A14EE4" w:rsidRPr="00D665D2" w:rsidRDefault="00A14EE4" w:rsidP="000E78A2">
            <w:pPr>
              <w:jc w:val="center"/>
              <w:rPr>
                <w:rFonts w:ascii="Century Gothic" w:eastAsia="Times New Roman" w:hAnsi="Century Gothic" w:cs="Arial"/>
                <w:lang w:val="es-ES" w:eastAsia="es-ES"/>
              </w:rPr>
            </w:pPr>
            <w:r w:rsidRPr="00D665D2">
              <w:rPr>
                <w:rFonts w:ascii="Century Gothic" w:eastAsia="Times New Roman" w:hAnsi="Century Gothic" w:cs="Arial"/>
                <w:color w:val="000000" w:themeColor="text1"/>
                <w:lang w:val="es-ES" w:eastAsia="es-ES"/>
              </w:rPr>
              <w:t>Representante a la Cámara</w:t>
            </w:r>
          </w:p>
        </w:tc>
        <w:tc>
          <w:tcPr>
            <w:tcW w:w="4414" w:type="dxa"/>
          </w:tcPr>
          <w:p w:rsidR="00A14EE4" w:rsidRPr="00D665D2" w:rsidRDefault="00A14EE4" w:rsidP="000E78A2">
            <w:pPr>
              <w:jc w:val="center"/>
              <w:rPr>
                <w:rFonts w:ascii="Century Gothic" w:eastAsia="Times New Roman" w:hAnsi="Century Gothic" w:cs="Arial"/>
                <w:b/>
                <w:lang w:val="es-ES" w:eastAsia="es-ES"/>
              </w:rPr>
            </w:pPr>
          </w:p>
          <w:p w:rsidR="00A14EE4" w:rsidRPr="00D665D2" w:rsidRDefault="00A14EE4" w:rsidP="000E78A2">
            <w:pPr>
              <w:jc w:val="center"/>
              <w:rPr>
                <w:rFonts w:ascii="Century Gothic" w:eastAsia="Times New Roman" w:hAnsi="Century Gothic" w:cs="Arial"/>
                <w:b/>
                <w:lang w:val="es-ES" w:eastAsia="es-ES"/>
              </w:rPr>
            </w:pPr>
          </w:p>
          <w:p w:rsidR="00A14EE4" w:rsidRPr="00D665D2" w:rsidRDefault="00A14EE4" w:rsidP="000E78A2">
            <w:pPr>
              <w:jc w:val="center"/>
              <w:rPr>
                <w:rFonts w:ascii="Century Gothic" w:eastAsia="Times New Roman" w:hAnsi="Century Gothic" w:cs="Arial"/>
                <w:b/>
                <w:lang w:val="es-ES" w:eastAsia="es-ES"/>
              </w:rPr>
            </w:pPr>
            <w:r w:rsidRPr="00D665D2">
              <w:rPr>
                <w:rFonts w:ascii="Century Gothic" w:eastAsia="Times New Roman" w:hAnsi="Century Gothic" w:cs="Arial"/>
                <w:b/>
                <w:lang w:val="es-ES" w:eastAsia="es-ES"/>
              </w:rPr>
              <w:t>OSWALDO ARCOS BENAVIDES</w:t>
            </w:r>
          </w:p>
          <w:p w:rsidR="00A14EE4" w:rsidRPr="00D665D2" w:rsidRDefault="00A14EE4" w:rsidP="000E78A2">
            <w:pPr>
              <w:jc w:val="center"/>
              <w:rPr>
                <w:rFonts w:ascii="Century Gothic" w:eastAsia="Times New Roman" w:hAnsi="Century Gothic" w:cs="Arial"/>
                <w:lang w:val="es-ES" w:eastAsia="es-ES"/>
              </w:rPr>
            </w:pPr>
            <w:r w:rsidRPr="00D665D2">
              <w:rPr>
                <w:rFonts w:ascii="Century Gothic" w:eastAsia="Times New Roman" w:hAnsi="Century Gothic" w:cs="Arial"/>
                <w:lang w:val="es-ES" w:eastAsia="es-ES"/>
              </w:rPr>
              <w:t>Representante a la Cámara</w:t>
            </w:r>
          </w:p>
        </w:tc>
      </w:tr>
      <w:tr w:rsidR="00A14EE4" w:rsidRPr="00D665D2" w:rsidTr="000E78A2">
        <w:trPr>
          <w:trHeight w:val="1530"/>
        </w:trPr>
        <w:tc>
          <w:tcPr>
            <w:tcW w:w="4414" w:type="dxa"/>
          </w:tcPr>
          <w:p w:rsidR="00A14EE4" w:rsidRPr="00D665D2" w:rsidRDefault="00A14EE4" w:rsidP="000E78A2">
            <w:pPr>
              <w:jc w:val="center"/>
              <w:rPr>
                <w:rFonts w:ascii="Century Gothic" w:eastAsia="Times New Roman" w:hAnsi="Century Gothic" w:cs="Arial"/>
                <w:b/>
                <w:lang w:val="es-ES" w:eastAsia="es-ES"/>
              </w:rPr>
            </w:pPr>
          </w:p>
          <w:p w:rsidR="00A14EE4" w:rsidRPr="00D665D2" w:rsidRDefault="00A14EE4" w:rsidP="000E78A2">
            <w:pPr>
              <w:rPr>
                <w:rFonts w:ascii="Century Gothic" w:eastAsia="Times New Roman" w:hAnsi="Century Gothic" w:cs="Arial"/>
                <w:b/>
                <w:lang w:val="es-ES" w:eastAsia="es-ES"/>
              </w:rPr>
            </w:pPr>
          </w:p>
          <w:p w:rsidR="00A14EE4" w:rsidRPr="00D665D2" w:rsidRDefault="00A14EE4" w:rsidP="000E78A2">
            <w:pPr>
              <w:jc w:val="center"/>
              <w:rPr>
                <w:rFonts w:ascii="Century Gothic" w:eastAsia="Times New Roman" w:hAnsi="Century Gothic" w:cs="Arial"/>
                <w:b/>
                <w:lang w:val="es-ES" w:eastAsia="es-ES"/>
              </w:rPr>
            </w:pPr>
            <w:r w:rsidRPr="00D665D2">
              <w:rPr>
                <w:rFonts w:ascii="Century Gothic" w:eastAsia="Times New Roman" w:hAnsi="Century Gothic" w:cs="Arial"/>
                <w:b/>
                <w:lang w:val="es-ES" w:eastAsia="es-ES"/>
              </w:rPr>
              <w:t>DAVID ERNESTO PULIDO NOVOA</w:t>
            </w:r>
          </w:p>
          <w:p w:rsidR="00A14EE4" w:rsidRPr="00D665D2" w:rsidRDefault="00A14EE4" w:rsidP="000E78A2">
            <w:pPr>
              <w:jc w:val="center"/>
              <w:rPr>
                <w:rFonts w:ascii="Century Gothic" w:eastAsia="Times New Roman" w:hAnsi="Century Gothic" w:cs="Arial"/>
                <w:noProof/>
                <w:lang w:eastAsia="es-CO"/>
              </w:rPr>
            </w:pPr>
            <w:r w:rsidRPr="00D665D2">
              <w:rPr>
                <w:rFonts w:ascii="Century Gothic" w:eastAsia="Times New Roman" w:hAnsi="Century Gothic" w:cs="Arial"/>
                <w:lang w:val="es-ES" w:eastAsia="es-ES"/>
              </w:rPr>
              <w:t>Representante a la Cámara</w:t>
            </w:r>
          </w:p>
        </w:tc>
        <w:tc>
          <w:tcPr>
            <w:tcW w:w="4414" w:type="dxa"/>
          </w:tcPr>
          <w:p w:rsidR="00A14EE4" w:rsidRPr="00D665D2" w:rsidRDefault="00A14EE4" w:rsidP="000E78A2">
            <w:pPr>
              <w:jc w:val="center"/>
              <w:rPr>
                <w:rFonts w:ascii="Century Gothic" w:eastAsia="Times New Roman" w:hAnsi="Century Gothic" w:cs="Arial"/>
                <w:b/>
                <w:highlight w:val="yellow"/>
                <w:lang w:val="es-ES" w:eastAsia="es-ES"/>
              </w:rPr>
            </w:pPr>
          </w:p>
          <w:p w:rsidR="00A14EE4" w:rsidRPr="00D665D2" w:rsidRDefault="00A14EE4" w:rsidP="000E78A2">
            <w:pPr>
              <w:jc w:val="center"/>
              <w:rPr>
                <w:rFonts w:ascii="Century Gothic" w:eastAsia="Times New Roman" w:hAnsi="Century Gothic" w:cs="Arial"/>
                <w:b/>
                <w:highlight w:val="yellow"/>
                <w:lang w:val="es-ES" w:eastAsia="es-ES"/>
              </w:rPr>
            </w:pPr>
          </w:p>
          <w:p w:rsidR="00A14EE4" w:rsidRPr="00D665D2" w:rsidRDefault="00A14EE4" w:rsidP="000E78A2">
            <w:pPr>
              <w:jc w:val="center"/>
              <w:rPr>
                <w:rFonts w:ascii="Century Gothic" w:eastAsia="Times New Roman" w:hAnsi="Century Gothic" w:cs="Arial"/>
                <w:b/>
                <w:lang w:val="es-ES" w:eastAsia="es-ES"/>
              </w:rPr>
            </w:pPr>
            <w:r w:rsidRPr="00D665D2">
              <w:rPr>
                <w:rFonts w:ascii="Century Gothic" w:eastAsia="Times New Roman" w:hAnsi="Century Gothic" w:cs="Arial"/>
                <w:b/>
                <w:lang w:val="es-ES" w:eastAsia="es-ES"/>
              </w:rPr>
              <w:t>ATILANO ALONSO GIRALDO</w:t>
            </w:r>
          </w:p>
          <w:p w:rsidR="00A14EE4" w:rsidRPr="00D665D2" w:rsidRDefault="00A14EE4" w:rsidP="000E78A2">
            <w:pPr>
              <w:jc w:val="center"/>
              <w:rPr>
                <w:rFonts w:ascii="Century Gothic" w:eastAsia="Times New Roman" w:hAnsi="Century Gothic" w:cs="Arial"/>
                <w:b/>
                <w:noProof/>
                <w:lang w:eastAsia="es-CO"/>
              </w:rPr>
            </w:pPr>
            <w:r w:rsidRPr="00D665D2">
              <w:rPr>
                <w:rFonts w:ascii="Century Gothic" w:eastAsia="Times New Roman" w:hAnsi="Century Gothic" w:cs="Arial"/>
                <w:lang w:val="es-ES" w:eastAsia="es-ES"/>
              </w:rPr>
              <w:t>Representante a la Cámara</w:t>
            </w:r>
          </w:p>
        </w:tc>
      </w:tr>
      <w:tr w:rsidR="00A14EE4" w:rsidRPr="00D665D2" w:rsidTr="000E78A2">
        <w:trPr>
          <w:trHeight w:val="1530"/>
        </w:trPr>
        <w:tc>
          <w:tcPr>
            <w:tcW w:w="4414" w:type="dxa"/>
          </w:tcPr>
          <w:p w:rsidR="00A14EE4" w:rsidRPr="00D665D2" w:rsidRDefault="00A14EE4" w:rsidP="000E78A2">
            <w:pPr>
              <w:jc w:val="center"/>
              <w:rPr>
                <w:rFonts w:ascii="Century Gothic" w:eastAsia="Times New Roman" w:hAnsi="Century Gothic" w:cs="Arial"/>
                <w:b/>
                <w:lang w:val="es-ES" w:eastAsia="es-ES"/>
              </w:rPr>
            </w:pPr>
          </w:p>
          <w:p w:rsidR="00A14EE4" w:rsidRPr="00D665D2" w:rsidRDefault="00A14EE4" w:rsidP="000E78A2">
            <w:pPr>
              <w:rPr>
                <w:rFonts w:ascii="Century Gothic" w:eastAsia="Times New Roman" w:hAnsi="Century Gothic" w:cs="Arial"/>
                <w:lang w:val="es-ES" w:eastAsia="es-ES"/>
              </w:rPr>
            </w:pPr>
          </w:p>
          <w:p w:rsidR="00A14EE4" w:rsidRPr="00D665D2" w:rsidRDefault="00A14EE4" w:rsidP="000E78A2">
            <w:pPr>
              <w:jc w:val="center"/>
              <w:rPr>
                <w:rFonts w:ascii="Century Gothic" w:eastAsia="Times New Roman" w:hAnsi="Century Gothic" w:cs="Arial"/>
                <w:b/>
                <w:lang w:val="es-ES" w:eastAsia="es-ES"/>
              </w:rPr>
            </w:pPr>
            <w:r w:rsidRPr="00D665D2">
              <w:rPr>
                <w:rFonts w:ascii="Century Gothic" w:eastAsia="Times New Roman" w:hAnsi="Century Gothic" w:cs="Arial"/>
                <w:b/>
                <w:lang w:val="es-ES" w:eastAsia="es-ES"/>
              </w:rPr>
              <w:t>ELOY QUINTERO ROMERO</w:t>
            </w:r>
          </w:p>
          <w:p w:rsidR="00A14EE4" w:rsidRPr="00D665D2" w:rsidRDefault="00A14EE4" w:rsidP="000E78A2">
            <w:pPr>
              <w:jc w:val="center"/>
              <w:rPr>
                <w:rFonts w:ascii="Century Gothic" w:eastAsia="Times New Roman" w:hAnsi="Century Gothic" w:cs="Arial"/>
                <w:lang w:val="es-ES" w:eastAsia="es-ES"/>
              </w:rPr>
            </w:pPr>
            <w:r w:rsidRPr="00D665D2">
              <w:rPr>
                <w:rFonts w:ascii="Century Gothic" w:eastAsia="Times New Roman" w:hAnsi="Century Gothic" w:cs="Arial"/>
                <w:lang w:val="es-ES" w:eastAsia="es-ES"/>
              </w:rPr>
              <w:t>Representante a la Cámara</w:t>
            </w:r>
          </w:p>
        </w:tc>
        <w:tc>
          <w:tcPr>
            <w:tcW w:w="4414" w:type="dxa"/>
          </w:tcPr>
          <w:p w:rsidR="00A14EE4" w:rsidRPr="00D665D2" w:rsidRDefault="00A14EE4" w:rsidP="000E78A2">
            <w:pPr>
              <w:jc w:val="center"/>
              <w:rPr>
                <w:rFonts w:ascii="Century Gothic" w:eastAsia="Times New Roman" w:hAnsi="Century Gothic" w:cs="Arial"/>
                <w:noProof/>
                <w:lang w:eastAsia="es-CO"/>
              </w:rPr>
            </w:pPr>
          </w:p>
          <w:p w:rsidR="00A14EE4" w:rsidRPr="00D665D2" w:rsidRDefault="00A14EE4" w:rsidP="000E78A2">
            <w:pPr>
              <w:jc w:val="center"/>
              <w:rPr>
                <w:rFonts w:ascii="Century Gothic" w:eastAsia="Times New Roman" w:hAnsi="Century Gothic" w:cs="Arial"/>
                <w:b/>
                <w:lang w:val="es-ES" w:eastAsia="es-ES"/>
              </w:rPr>
            </w:pPr>
            <w:r w:rsidRPr="00D665D2">
              <w:rPr>
                <w:rFonts w:ascii="Century Gothic" w:eastAsia="Times New Roman" w:hAnsi="Century Gothic" w:cs="Arial"/>
                <w:b/>
                <w:lang w:val="es-ES" w:eastAsia="es-ES"/>
              </w:rPr>
              <w:t>GUSTAVO PUENTES DIAZ</w:t>
            </w:r>
          </w:p>
          <w:p w:rsidR="00A14EE4" w:rsidRPr="00D665D2" w:rsidRDefault="00A14EE4" w:rsidP="000E78A2">
            <w:pPr>
              <w:tabs>
                <w:tab w:val="left" w:pos="1125"/>
              </w:tabs>
              <w:jc w:val="center"/>
              <w:rPr>
                <w:rFonts w:ascii="Century Gothic" w:eastAsia="Times New Roman" w:hAnsi="Century Gothic" w:cs="Arial"/>
                <w:lang w:eastAsia="es-CO"/>
              </w:rPr>
            </w:pPr>
            <w:r w:rsidRPr="00D665D2">
              <w:rPr>
                <w:rFonts w:ascii="Century Gothic" w:eastAsia="Times New Roman" w:hAnsi="Century Gothic" w:cs="Arial"/>
                <w:lang w:val="es-ES" w:eastAsia="es-ES"/>
              </w:rPr>
              <w:t>Representante a la Cámara</w:t>
            </w:r>
          </w:p>
        </w:tc>
      </w:tr>
      <w:tr w:rsidR="00A14EE4" w:rsidRPr="00D665D2" w:rsidTr="000E78A2">
        <w:tc>
          <w:tcPr>
            <w:tcW w:w="4414" w:type="dxa"/>
          </w:tcPr>
          <w:p w:rsidR="00A14EE4" w:rsidRPr="00D665D2" w:rsidRDefault="00A14EE4" w:rsidP="000E78A2">
            <w:pPr>
              <w:jc w:val="center"/>
              <w:rPr>
                <w:rFonts w:ascii="Century Gothic" w:eastAsia="Times New Roman" w:hAnsi="Century Gothic" w:cs="Arial"/>
                <w:b/>
                <w:lang w:val="es-ES" w:eastAsia="es-ES"/>
              </w:rPr>
            </w:pPr>
          </w:p>
          <w:p w:rsidR="00A14EE4" w:rsidRPr="00D665D2" w:rsidRDefault="00A14EE4" w:rsidP="000E78A2">
            <w:pPr>
              <w:jc w:val="center"/>
              <w:rPr>
                <w:rFonts w:ascii="Century Gothic" w:eastAsia="Times New Roman" w:hAnsi="Century Gothic" w:cs="Arial"/>
                <w:b/>
                <w:lang w:val="es-ES" w:eastAsia="es-ES"/>
              </w:rPr>
            </w:pPr>
            <w:r w:rsidRPr="00D665D2">
              <w:rPr>
                <w:rFonts w:ascii="Century Gothic" w:eastAsia="Times New Roman" w:hAnsi="Century Gothic" w:cs="Arial"/>
                <w:b/>
                <w:lang w:val="es-ES" w:eastAsia="es-ES"/>
              </w:rPr>
              <w:t>GLORIA BETTY ZORRO AFRICANO</w:t>
            </w:r>
          </w:p>
          <w:p w:rsidR="00A14EE4" w:rsidRPr="00D665D2" w:rsidRDefault="00A14EE4" w:rsidP="000E78A2">
            <w:pPr>
              <w:jc w:val="center"/>
              <w:rPr>
                <w:rFonts w:ascii="Century Gothic" w:eastAsia="Times New Roman" w:hAnsi="Century Gothic" w:cs="Arial"/>
                <w:lang w:val="es-ES" w:eastAsia="es-ES"/>
              </w:rPr>
            </w:pPr>
            <w:r w:rsidRPr="00D665D2">
              <w:rPr>
                <w:rFonts w:ascii="Century Gothic" w:eastAsia="Times New Roman" w:hAnsi="Century Gothic" w:cs="Arial"/>
                <w:lang w:val="es-ES" w:eastAsia="es-ES"/>
              </w:rPr>
              <w:t>Representante a la Cámara</w:t>
            </w:r>
          </w:p>
        </w:tc>
        <w:tc>
          <w:tcPr>
            <w:tcW w:w="4414" w:type="dxa"/>
          </w:tcPr>
          <w:p w:rsidR="00A14EE4" w:rsidRPr="00D665D2" w:rsidRDefault="00A14EE4" w:rsidP="000E78A2">
            <w:pPr>
              <w:jc w:val="center"/>
              <w:rPr>
                <w:rFonts w:ascii="Century Gothic" w:eastAsia="Times New Roman" w:hAnsi="Century Gothic" w:cs="Arial"/>
                <w:b/>
                <w:lang w:val="es-ES" w:eastAsia="es-ES"/>
              </w:rPr>
            </w:pPr>
          </w:p>
          <w:p w:rsidR="00A14EE4" w:rsidRPr="00D665D2" w:rsidRDefault="00A14EE4" w:rsidP="000E78A2">
            <w:pPr>
              <w:jc w:val="center"/>
              <w:rPr>
                <w:rFonts w:ascii="Century Gothic" w:eastAsia="Times New Roman" w:hAnsi="Century Gothic" w:cs="Arial"/>
                <w:b/>
                <w:lang w:val="es-ES" w:eastAsia="es-ES"/>
              </w:rPr>
            </w:pPr>
          </w:p>
          <w:p w:rsidR="00A14EE4" w:rsidRPr="00D665D2" w:rsidRDefault="00A14EE4" w:rsidP="000E78A2">
            <w:pPr>
              <w:rPr>
                <w:rFonts w:ascii="Century Gothic" w:eastAsia="Times New Roman" w:hAnsi="Century Gothic" w:cs="Arial"/>
                <w:b/>
                <w:lang w:val="es-ES" w:eastAsia="es-ES"/>
              </w:rPr>
            </w:pPr>
            <w:r>
              <w:rPr>
                <w:rFonts w:ascii="Century Gothic" w:eastAsia="Times New Roman" w:hAnsi="Century Gothic" w:cs="Arial"/>
                <w:b/>
                <w:lang w:val="es-ES" w:eastAsia="es-ES"/>
              </w:rPr>
              <w:t xml:space="preserve">             </w:t>
            </w:r>
            <w:r w:rsidRPr="00D665D2">
              <w:rPr>
                <w:rFonts w:ascii="Century Gothic" w:eastAsia="Times New Roman" w:hAnsi="Century Gothic" w:cs="Arial"/>
                <w:b/>
                <w:lang w:val="es-ES" w:eastAsia="es-ES"/>
              </w:rPr>
              <w:t>MAURICIO PARODI DIAZ</w:t>
            </w:r>
          </w:p>
          <w:p w:rsidR="00A14EE4" w:rsidRPr="00D665D2" w:rsidRDefault="00A14EE4" w:rsidP="000E78A2">
            <w:pPr>
              <w:jc w:val="center"/>
              <w:rPr>
                <w:rFonts w:ascii="Century Gothic" w:eastAsia="Times New Roman" w:hAnsi="Century Gothic" w:cs="Arial"/>
                <w:lang w:val="es-ES" w:eastAsia="es-ES"/>
              </w:rPr>
            </w:pPr>
            <w:r w:rsidRPr="00D665D2">
              <w:rPr>
                <w:rFonts w:ascii="Century Gothic" w:eastAsia="Times New Roman" w:hAnsi="Century Gothic" w:cs="Arial"/>
                <w:lang w:val="es-ES" w:eastAsia="es-ES"/>
              </w:rPr>
              <w:t>Representante a la Cámara</w:t>
            </w:r>
          </w:p>
        </w:tc>
      </w:tr>
      <w:tr w:rsidR="00A14EE4" w:rsidRPr="00D665D2" w:rsidTr="000E78A2">
        <w:tc>
          <w:tcPr>
            <w:tcW w:w="4414" w:type="dxa"/>
          </w:tcPr>
          <w:p w:rsidR="00A14EE4" w:rsidRPr="00D665D2" w:rsidRDefault="00A14EE4" w:rsidP="000E78A2">
            <w:pPr>
              <w:tabs>
                <w:tab w:val="left" w:pos="1290"/>
              </w:tabs>
              <w:rPr>
                <w:rFonts w:ascii="Century Gothic" w:eastAsia="Times New Roman" w:hAnsi="Century Gothic" w:cs="Arial"/>
                <w:b/>
                <w:lang w:val="es-ES" w:eastAsia="es-ES"/>
              </w:rPr>
            </w:pPr>
          </w:p>
          <w:p w:rsidR="00A14EE4" w:rsidRPr="00D665D2" w:rsidRDefault="00A14EE4" w:rsidP="000E78A2">
            <w:pPr>
              <w:jc w:val="center"/>
              <w:rPr>
                <w:rFonts w:ascii="Century Gothic" w:eastAsia="Times New Roman" w:hAnsi="Century Gothic" w:cs="Arial"/>
                <w:b/>
                <w:lang w:val="es-ES" w:eastAsia="es-ES"/>
              </w:rPr>
            </w:pPr>
            <w:r w:rsidRPr="00D665D2">
              <w:rPr>
                <w:rFonts w:ascii="Century Gothic" w:eastAsia="Times New Roman" w:hAnsi="Century Gothic" w:cs="Arial"/>
                <w:b/>
                <w:lang w:val="es-ES" w:eastAsia="es-ES"/>
              </w:rPr>
              <w:t>CARLOS MARIO FARELO DAZA</w:t>
            </w:r>
          </w:p>
          <w:p w:rsidR="00A14EE4" w:rsidRPr="00D665D2" w:rsidRDefault="00A14EE4" w:rsidP="000E78A2">
            <w:pPr>
              <w:jc w:val="center"/>
              <w:rPr>
                <w:rFonts w:ascii="Century Gothic" w:eastAsia="Times New Roman" w:hAnsi="Century Gothic" w:cs="Arial"/>
                <w:noProof/>
                <w:lang w:eastAsia="es-CO"/>
              </w:rPr>
            </w:pPr>
            <w:proofErr w:type="spellStart"/>
            <w:r w:rsidRPr="00D665D2">
              <w:rPr>
                <w:rFonts w:ascii="Century Gothic" w:eastAsia="Times New Roman" w:hAnsi="Century Gothic" w:cs="Arial"/>
              </w:rPr>
              <w:t>Representante</w:t>
            </w:r>
            <w:proofErr w:type="spellEnd"/>
            <w:r w:rsidRPr="00D665D2">
              <w:rPr>
                <w:rFonts w:ascii="Century Gothic" w:eastAsia="Times New Roman" w:hAnsi="Century Gothic" w:cs="Arial"/>
              </w:rPr>
              <w:t xml:space="preserve"> a la </w:t>
            </w:r>
            <w:proofErr w:type="spellStart"/>
            <w:r w:rsidRPr="00D665D2">
              <w:rPr>
                <w:rFonts w:ascii="Century Gothic" w:eastAsia="Times New Roman" w:hAnsi="Century Gothic" w:cs="Arial"/>
              </w:rPr>
              <w:t>Cámara</w:t>
            </w:r>
            <w:proofErr w:type="spellEnd"/>
            <w:r w:rsidRPr="00D665D2">
              <w:rPr>
                <w:rFonts w:ascii="Century Gothic" w:eastAsia="Times New Roman" w:hAnsi="Century Gothic" w:cs="Arial"/>
              </w:rPr>
              <w:t xml:space="preserve">    </w:t>
            </w:r>
            <w:r w:rsidRPr="00D665D2">
              <w:rPr>
                <w:rFonts w:ascii="Century Gothic" w:eastAsia="Times New Roman" w:hAnsi="Century Gothic" w:cs="Arial"/>
                <w:lang w:val="es-ES" w:eastAsia="es-ES"/>
              </w:rPr>
              <w:t xml:space="preserve">                      </w:t>
            </w:r>
          </w:p>
        </w:tc>
        <w:tc>
          <w:tcPr>
            <w:tcW w:w="4414" w:type="dxa"/>
          </w:tcPr>
          <w:p w:rsidR="00A14EE4" w:rsidRPr="00D665D2" w:rsidRDefault="00A14EE4" w:rsidP="000E78A2">
            <w:pPr>
              <w:jc w:val="center"/>
              <w:rPr>
                <w:rFonts w:ascii="Century Gothic" w:eastAsia="Times New Roman" w:hAnsi="Century Gothic" w:cs="Arial"/>
                <w:b/>
                <w:lang w:val="es-ES" w:eastAsia="es-ES"/>
              </w:rPr>
            </w:pPr>
          </w:p>
          <w:p w:rsidR="00A14EE4" w:rsidRPr="00D665D2" w:rsidRDefault="00A14EE4" w:rsidP="000E78A2">
            <w:pPr>
              <w:jc w:val="center"/>
              <w:rPr>
                <w:rFonts w:ascii="Century Gothic" w:eastAsia="Times New Roman" w:hAnsi="Century Gothic" w:cs="Arial"/>
                <w:b/>
                <w:lang w:val="es-ES" w:eastAsia="es-ES"/>
              </w:rPr>
            </w:pPr>
          </w:p>
          <w:p w:rsidR="00A14EE4" w:rsidRPr="00D665D2" w:rsidRDefault="00A14EE4" w:rsidP="000E78A2">
            <w:pPr>
              <w:tabs>
                <w:tab w:val="left" w:pos="525"/>
                <w:tab w:val="center" w:pos="2099"/>
              </w:tabs>
              <w:jc w:val="center"/>
              <w:rPr>
                <w:rFonts w:ascii="Century Gothic" w:eastAsia="Times New Roman" w:hAnsi="Century Gothic" w:cs="Arial"/>
                <w:b/>
                <w:lang w:val="es-ES" w:eastAsia="es-ES"/>
              </w:rPr>
            </w:pPr>
            <w:r w:rsidRPr="00D665D2">
              <w:rPr>
                <w:rFonts w:ascii="Century Gothic" w:eastAsia="Times New Roman" w:hAnsi="Century Gothic" w:cs="Arial"/>
                <w:b/>
                <w:lang w:val="es-ES" w:eastAsia="es-ES"/>
              </w:rPr>
              <w:t>JOSÉ DANIEL LÓPEZ</w:t>
            </w:r>
          </w:p>
          <w:p w:rsidR="00A14EE4" w:rsidRPr="00D665D2" w:rsidRDefault="00A14EE4" w:rsidP="000E78A2">
            <w:pPr>
              <w:tabs>
                <w:tab w:val="left" w:pos="525"/>
                <w:tab w:val="center" w:pos="2099"/>
              </w:tabs>
              <w:jc w:val="center"/>
              <w:rPr>
                <w:rFonts w:ascii="Century Gothic" w:eastAsia="Times New Roman" w:hAnsi="Century Gothic" w:cs="Arial"/>
                <w:lang w:val="es-ES" w:eastAsia="es-ES"/>
              </w:rPr>
            </w:pPr>
            <w:r w:rsidRPr="00D665D2">
              <w:rPr>
                <w:rFonts w:ascii="Century Gothic" w:eastAsia="Times New Roman" w:hAnsi="Century Gothic" w:cs="Arial"/>
                <w:lang w:val="es-ES" w:eastAsia="es-ES"/>
              </w:rPr>
              <w:t>Representante a la Cámara</w:t>
            </w:r>
            <w:r w:rsidRPr="00D665D2">
              <w:rPr>
                <w:rFonts w:ascii="Century Gothic" w:eastAsia="Times New Roman" w:hAnsi="Century Gothic" w:cs="Arial"/>
                <w:b/>
                <w:lang w:val="es-ES" w:eastAsia="es-ES"/>
              </w:rPr>
              <w:t xml:space="preserve"> </w:t>
            </w:r>
          </w:p>
        </w:tc>
      </w:tr>
      <w:tr w:rsidR="00A14EE4" w:rsidRPr="00D665D2" w:rsidTr="000E78A2">
        <w:tc>
          <w:tcPr>
            <w:tcW w:w="4414" w:type="dxa"/>
          </w:tcPr>
          <w:p w:rsidR="00A14EE4" w:rsidRPr="00D665D2" w:rsidRDefault="00A14EE4" w:rsidP="000E78A2">
            <w:pPr>
              <w:jc w:val="center"/>
              <w:rPr>
                <w:rFonts w:ascii="Century Gothic" w:eastAsia="Times New Roman" w:hAnsi="Century Gothic" w:cs="Arial"/>
                <w:b/>
                <w:lang w:val="es-ES" w:eastAsia="es-ES"/>
              </w:rPr>
            </w:pPr>
          </w:p>
          <w:p w:rsidR="00A14EE4" w:rsidRPr="00D665D2" w:rsidRDefault="00A14EE4" w:rsidP="000E78A2">
            <w:pPr>
              <w:jc w:val="center"/>
              <w:rPr>
                <w:rFonts w:ascii="Century Gothic" w:eastAsia="Times New Roman" w:hAnsi="Century Gothic" w:cs="Arial"/>
                <w:b/>
                <w:lang w:val="es-ES" w:eastAsia="es-ES"/>
              </w:rPr>
            </w:pPr>
          </w:p>
          <w:p w:rsidR="00A14EE4" w:rsidRPr="00D665D2" w:rsidRDefault="00A14EE4" w:rsidP="000E78A2">
            <w:pPr>
              <w:jc w:val="center"/>
              <w:rPr>
                <w:rFonts w:ascii="Century Gothic" w:eastAsia="Times New Roman" w:hAnsi="Century Gothic" w:cs="Arial"/>
                <w:b/>
                <w:lang w:val="es-ES" w:eastAsia="es-ES"/>
              </w:rPr>
            </w:pPr>
            <w:r w:rsidRPr="00D665D2">
              <w:rPr>
                <w:rFonts w:ascii="Century Gothic" w:eastAsia="Times New Roman" w:hAnsi="Century Gothic" w:cs="Arial"/>
                <w:b/>
                <w:lang w:val="es-ES" w:eastAsia="es-ES"/>
              </w:rPr>
              <w:t>JAIME RODRÍGUEZ CONTRERAS</w:t>
            </w:r>
          </w:p>
          <w:p w:rsidR="00A14EE4" w:rsidRDefault="00A14EE4" w:rsidP="000E78A2">
            <w:pPr>
              <w:jc w:val="center"/>
              <w:rPr>
                <w:rFonts w:ascii="Century Gothic" w:eastAsia="Times New Roman" w:hAnsi="Century Gothic" w:cs="Arial"/>
                <w:lang w:val="es-ES" w:eastAsia="es-ES"/>
              </w:rPr>
            </w:pPr>
            <w:r w:rsidRPr="00D665D2">
              <w:rPr>
                <w:rFonts w:ascii="Century Gothic" w:eastAsia="Times New Roman" w:hAnsi="Century Gothic" w:cs="Arial"/>
                <w:lang w:val="es-ES" w:eastAsia="es-ES"/>
              </w:rPr>
              <w:t>Representante a la Cámara</w:t>
            </w:r>
          </w:p>
          <w:p w:rsidR="00A14EE4" w:rsidRPr="00D665D2" w:rsidRDefault="00A14EE4" w:rsidP="000E78A2">
            <w:pPr>
              <w:jc w:val="center"/>
              <w:rPr>
                <w:rFonts w:ascii="Century Gothic" w:eastAsia="Times New Roman" w:hAnsi="Century Gothic" w:cs="Arial"/>
                <w:noProof/>
                <w:lang w:eastAsia="es-CO"/>
              </w:rPr>
            </w:pPr>
          </w:p>
        </w:tc>
        <w:tc>
          <w:tcPr>
            <w:tcW w:w="4414" w:type="dxa"/>
          </w:tcPr>
          <w:p w:rsidR="00A14EE4" w:rsidRPr="00D665D2" w:rsidRDefault="00A14EE4" w:rsidP="000E78A2">
            <w:pPr>
              <w:jc w:val="center"/>
              <w:rPr>
                <w:rFonts w:ascii="Century Gothic" w:eastAsia="Times New Roman" w:hAnsi="Century Gothic" w:cs="Arial"/>
                <w:b/>
                <w:lang w:val="es-ES" w:eastAsia="es-ES"/>
              </w:rPr>
            </w:pPr>
          </w:p>
          <w:p w:rsidR="00A14EE4" w:rsidRPr="00D665D2" w:rsidRDefault="00A14EE4" w:rsidP="000E78A2">
            <w:pPr>
              <w:jc w:val="center"/>
              <w:rPr>
                <w:rFonts w:ascii="Century Gothic" w:eastAsia="Times New Roman" w:hAnsi="Century Gothic" w:cs="Arial"/>
                <w:b/>
                <w:lang w:val="es-ES" w:eastAsia="es-ES"/>
              </w:rPr>
            </w:pPr>
          </w:p>
          <w:p w:rsidR="00A14EE4" w:rsidRPr="00D665D2" w:rsidRDefault="00A14EE4" w:rsidP="000E78A2">
            <w:pPr>
              <w:jc w:val="center"/>
              <w:rPr>
                <w:rFonts w:ascii="Century Gothic" w:eastAsia="Times New Roman" w:hAnsi="Century Gothic" w:cs="Arial"/>
                <w:b/>
                <w:lang w:val="es-ES" w:eastAsia="es-ES"/>
              </w:rPr>
            </w:pPr>
            <w:r w:rsidRPr="00D665D2">
              <w:rPr>
                <w:rFonts w:ascii="Century Gothic" w:eastAsia="Times New Roman" w:hAnsi="Century Gothic" w:cs="Arial"/>
                <w:b/>
                <w:lang w:val="es-ES" w:eastAsia="es-ES"/>
              </w:rPr>
              <w:t>CARLOS CUENCA CHAUX</w:t>
            </w:r>
          </w:p>
          <w:p w:rsidR="00A14EE4" w:rsidRPr="00D665D2" w:rsidRDefault="00A14EE4" w:rsidP="000E78A2">
            <w:pPr>
              <w:jc w:val="center"/>
              <w:rPr>
                <w:rFonts w:ascii="Century Gothic" w:eastAsia="Times New Roman" w:hAnsi="Century Gothic" w:cs="Arial"/>
                <w:lang w:val="es-ES" w:eastAsia="es-ES"/>
              </w:rPr>
            </w:pPr>
            <w:r w:rsidRPr="00D665D2">
              <w:rPr>
                <w:rFonts w:ascii="Century Gothic" w:eastAsia="Times New Roman" w:hAnsi="Century Gothic" w:cs="Arial"/>
                <w:lang w:val="es-ES" w:eastAsia="es-ES"/>
              </w:rPr>
              <w:t>Representante a la Cámara</w:t>
            </w:r>
          </w:p>
        </w:tc>
      </w:tr>
      <w:tr w:rsidR="00A14EE4" w:rsidRPr="00D665D2" w:rsidTr="000E78A2">
        <w:tc>
          <w:tcPr>
            <w:tcW w:w="4414" w:type="dxa"/>
          </w:tcPr>
          <w:p w:rsidR="00A14EE4" w:rsidRPr="00D665D2" w:rsidRDefault="00A14EE4" w:rsidP="00A14EE4">
            <w:pPr>
              <w:rPr>
                <w:rFonts w:ascii="Century Gothic" w:eastAsia="Times New Roman" w:hAnsi="Century Gothic" w:cs="Arial"/>
                <w:b/>
                <w:highlight w:val="yellow"/>
                <w:lang w:val="es-ES" w:eastAsia="es-ES"/>
              </w:rPr>
            </w:pPr>
          </w:p>
          <w:p w:rsidR="00A14EE4" w:rsidRPr="00D665D2" w:rsidRDefault="00A14EE4" w:rsidP="000E78A2">
            <w:pPr>
              <w:rPr>
                <w:rFonts w:ascii="Century Gothic" w:eastAsia="Times New Roman" w:hAnsi="Century Gothic" w:cs="Arial"/>
                <w:b/>
                <w:highlight w:val="yellow"/>
                <w:lang w:val="es-ES" w:eastAsia="es-ES"/>
              </w:rPr>
            </w:pPr>
          </w:p>
          <w:p w:rsidR="00A14EE4" w:rsidRDefault="00A14EE4" w:rsidP="000E78A2">
            <w:pPr>
              <w:jc w:val="center"/>
              <w:rPr>
                <w:rFonts w:ascii="Century Gothic" w:eastAsia="Times New Roman" w:hAnsi="Century Gothic" w:cs="Arial"/>
                <w:b/>
                <w:lang w:val="es-ES" w:eastAsia="es-ES"/>
              </w:rPr>
            </w:pPr>
          </w:p>
          <w:p w:rsidR="00A14EE4" w:rsidRDefault="00A14EE4" w:rsidP="000E78A2">
            <w:pPr>
              <w:jc w:val="center"/>
              <w:rPr>
                <w:rFonts w:ascii="Century Gothic" w:eastAsia="Times New Roman" w:hAnsi="Century Gothic" w:cs="Arial"/>
                <w:b/>
                <w:lang w:val="es-ES" w:eastAsia="es-ES"/>
              </w:rPr>
            </w:pPr>
          </w:p>
          <w:p w:rsidR="00A14EE4" w:rsidRDefault="00A14EE4" w:rsidP="000E78A2">
            <w:pPr>
              <w:jc w:val="center"/>
              <w:rPr>
                <w:rFonts w:ascii="Century Gothic" w:eastAsia="Times New Roman" w:hAnsi="Century Gothic" w:cs="Arial"/>
                <w:b/>
                <w:lang w:val="es-ES" w:eastAsia="es-ES"/>
              </w:rPr>
            </w:pPr>
          </w:p>
          <w:p w:rsidR="00A14EE4" w:rsidRDefault="00A14EE4" w:rsidP="000E78A2">
            <w:pPr>
              <w:jc w:val="center"/>
              <w:rPr>
                <w:rFonts w:ascii="Century Gothic" w:eastAsia="Times New Roman" w:hAnsi="Century Gothic" w:cs="Arial"/>
                <w:b/>
                <w:lang w:val="es-ES" w:eastAsia="es-ES"/>
              </w:rPr>
            </w:pPr>
          </w:p>
          <w:p w:rsidR="00A14EE4" w:rsidRDefault="00A14EE4" w:rsidP="000E78A2">
            <w:pPr>
              <w:jc w:val="center"/>
              <w:rPr>
                <w:rFonts w:ascii="Century Gothic" w:eastAsia="Times New Roman" w:hAnsi="Century Gothic" w:cs="Arial"/>
                <w:b/>
                <w:lang w:val="es-ES" w:eastAsia="es-ES"/>
              </w:rPr>
            </w:pPr>
          </w:p>
          <w:p w:rsidR="00A14EE4" w:rsidRDefault="00A14EE4" w:rsidP="000E78A2">
            <w:pPr>
              <w:jc w:val="center"/>
              <w:rPr>
                <w:rFonts w:ascii="Century Gothic" w:eastAsia="Times New Roman" w:hAnsi="Century Gothic" w:cs="Arial"/>
                <w:b/>
                <w:lang w:val="es-ES" w:eastAsia="es-ES"/>
              </w:rPr>
            </w:pPr>
          </w:p>
          <w:p w:rsidR="00A14EE4" w:rsidRDefault="00A14EE4" w:rsidP="000E78A2">
            <w:pPr>
              <w:jc w:val="center"/>
              <w:rPr>
                <w:rFonts w:ascii="Century Gothic" w:eastAsia="Times New Roman" w:hAnsi="Century Gothic" w:cs="Arial"/>
                <w:b/>
                <w:lang w:val="es-ES" w:eastAsia="es-ES"/>
              </w:rPr>
            </w:pPr>
          </w:p>
          <w:p w:rsidR="00A14EE4" w:rsidRPr="00D665D2" w:rsidRDefault="00A14EE4" w:rsidP="000E78A2">
            <w:pPr>
              <w:jc w:val="center"/>
              <w:rPr>
                <w:rFonts w:ascii="Century Gothic" w:eastAsia="Times New Roman" w:hAnsi="Century Gothic" w:cs="Arial"/>
                <w:b/>
                <w:lang w:val="es-ES" w:eastAsia="es-ES"/>
              </w:rPr>
            </w:pPr>
            <w:r w:rsidRPr="00D665D2">
              <w:rPr>
                <w:rFonts w:ascii="Century Gothic" w:eastAsia="Times New Roman" w:hAnsi="Century Gothic" w:cs="Arial"/>
                <w:b/>
                <w:lang w:val="es-ES" w:eastAsia="es-ES"/>
              </w:rPr>
              <w:t>OSCAR CAMILO ARANGO</w:t>
            </w:r>
          </w:p>
          <w:p w:rsidR="00A14EE4" w:rsidRPr="00D665D2" w:rsidRDefault="00A14EE4" w:rsidP="000E78A2">
            <w:pPr>
              <w:tabs>
                <w:tab w:val="left" w:pos="525"/>
                <w:tab w:val="center" w:pos="2099"/>
              </w:tabs>
              <w:jc w:val="center"/>
              <w:rPr>
                <w:rFonts w:ascii="Century Gothic" w:eastAsia="Times New Roman" w:hAnsi="Century Gothic" w:cs="Arial"/>
                <w:b/>
                <w:lang w:val="es-ES" w:eastAsia="es-ES"/>
              </w:rPr>
            </w:pPr>
            <w:r w:rsidRPr="00D665D2">
              <w:rPr>
                <w:rFonts w:ascii="Century Gothic" w:eastAsia="Times New Roman" w:hAnsi="Century Gothic" w:cs="Arial"/>
                <w:noProof/>
                <w:lang w:eastAsia="es-CO"/>
              </w:rPr>
              <w:t>Representante a la Cámara</w:t>
            </w:r>
          </w:p>
          <w:p w:rsidR="00A14EE4" w:rsidRPr="00D665D2" w:rsidRDefault="00A14EE4" w:rsidP="000E78A2">
            <w:pPr>
              <w:jc w:val="center"/>
              <w:rPr>
                <w:rFonts w:ascii="Century Gothic" w:eastAsia="Times New Roman" w:hAnsi="Century Gothic" w:cs="Arial"/>
                <w:lang w:val="es-ES" w:eastAsia="es-ES"/>
              </w:rPr>
            </w:pPr>
          </w:p>
        </w:tc>
        <w:tc>
          <w:tcPr>
            <w:tcW w:w="4414" w:type="dxa"/>
          </w:tcPr>
          <w:p w:rsidR="00A14EE4" w:rsidRPr="00D665D2" w:rsidRDefault="00A14EE4" w:rsidP="000E78A2">
            <w:pPr>
              <w:tabs>
                <w:tab w:val="left" w:pos="525"/>
                <w:tab w:val="center" w:pos="2099"/>
              </w:tabs>
              <w:rPr>
                <w:rFonts w:ascii="Century Gothic" w:eastAsia="Times New Roman" w:hAnsi="Century Gothic" w:cs="Arial"/>
                <w:lang w:val="es-ES" w:eastAsia="es-ES"/>
              </w:rPr>
            </w:pPr>
            <w:r w:rsidRPr="00D665D2">
              <w:rPr>
                <w:rFonts w:ascii="Century Gothic" w:eastAsia="Times New Roman" w:hAnsi="Century Gothic" w:cs="Arial"/>
                <w:b/>
                <w:lang w:val="es-ES" w:eastAsia="es-ES"/>
              </w:rPr>
              <w:tab/>
              <w:t xml:space="preserve">    </w:t>
            </w:r>
          </w:p>
          <w:p w:rsidR="00A14EE4" w:rsidRPr="00D665D2" w:rsidRDefault="00A14EE4" w:rsidP="000E78A2">
            <w:pPr>
              <w:tabs>
                <w:tab w:val="left" w:pos="525"/>
                <w:tab w:val="center" w:pos="2099"/>
              </w:tabs>
              <w:jc w:val="center"/>
              <w:rPr>
                <w:rFonts w:ascii="Century Gothic" w:eastAsia="Times New Roman" w:hAnsi="Century Gothic" w:cs="Arial"/>
                <w:b/>
                <w:highlight w:val="yellow"/>
                <w:lang w:val="es-ES" w:eastAsia="es-ES"/>
              </w:rPr>
            </w:pPr>
          </w:p>
          <w:p w:rsidR="00A14EE4" w:rsidRDefault="00A14EE4" w:rsidP="000E78A2">
            <w:pPr>
              <w:tabs>
                <w:tab w:val="left" w:pos="525"/>
                <w:tab w:val="center" w:pos="2099"/>
              </w:tabs>
              <w:jc w:val="center"/>
              <w:rPr>
                <w:rFonts w:ascii="Century Gothic" w:eastAsia="Times New Roman" w:hAnsi="Century Gothic" w:cs="Arial"/>
                <w:b/>
                <w:lang w:val="es-ES" w:eastAsia="es-ES"/>
              </w:rPr>
            </w:pPr>
          </w:p>
          <w:p w:rsidR="00A14EE4" w:rsidRDefault="00A14EE4" w:rsidP="000E78A2">
            <w:pPr>
              <w:tabs>
                <w:tab w:val="left" w:pos="525"/>
                <w:tab w:val="center" w:pos="2099"/>
              </w:tabs>
              <w:jc w:val="center"/>
              <w:rPr>
                <w:rFonts w:ascii="Century Gothic" w:eastAsia="Times New Roman" w:hAnsi="Century Gothic" w:cs="Arial"/>
                <w:b/>
                <w:lang w:val="es-ES" w:eastAsia="es-ES"/>
              </w:rPr>
            </w:pPr>
          </w:p>
          <w:p w:rsidR="00A14EE4" w:rsidRDefault="00A14EE4" w:rsidP="000E78A2">
            <w:pPr>
              <w:tabs>
                <w:tab w:val="left" w:pos="525"/>
                <w:tab w:val="center" w:pos="2099"/>
              </w:tabs>
              <w:jc w:val="center"/>
              <w:rPr>
                <w:rFonts w:ascii="Century Gothic" w:eastAsia="Times New Roman" w:hAnsi="Century Gothic" w:cs="Arial"/>
                <w:b/>
                <w:lang w:val="es-ES" w:eastAsia="es-ES"/>
              </w:rPr>
            </w:pPr>
          </w:p>
          <w:p w:rsidR="00A14EE4" w:rsidRDefault="00A14EE4" w:rsidP="000E78A2">
            <w:pPr>
              <w:tabs>
                <w:tab w:val="left" w:pos="525"/>
                <w:tab w:val="center" w:pos="2099"/>
              </w:tabs>
              <w:jc w:val="center"/>
              <w:rPr>
                <w:rFonts w:ascii="Century Gothic" w:eastAsia="Times New Roman" w:hAnsi="Century Gothic" w:cs="Arial"/>
                <w:b/>
                <w:lang w:val="es-ES" w:eastAsia="es-ES"/>
              </w:rPr>
            </w:pPr>
          </w:p>
          <w:p w:rsidR="00A14EE4" w:rsidRDefault="00A14EE4" w:rsidP="000E78A2">
            <w:pPr>
              <w:tabs>
                <w:tab w:val="left" w:pos="525"/>
                <w:tab w:val="center" w:pos="2099"/>
              </w:tabs>
              <w:jc w:val="center"/>
              <w:rPr>
                <w:rFonts w:ascii="Century Gothic" w:eastAsia="Times New Roman" w:hAnsi="Century Gothic" w:cs="Arial"/>
                <w:b/>
                <w:lang w:val="es-ES" w:eastAsia="es-ES"/>
              </w:rPr>
            </w:pPr>
          </w:p>
          <w:p w:rsidR="00A14EE4" w:rsidRDefault="00A14EE4" w:rsidP="000E78A2">
            <w:pPr>
              <w:tabs>
                <w:tab w:val="left" w:pos="525"/>
                <w:tab w:val="center" w:pos="2099"/>
              </w:tabs>
              <w:jc w:val="center"/>
              <w:rPr>
                <w:rFonts w:ascii="Century Gothic" w:eastAsia="Times New Roman" w:hAnsi="Century Gothic" w:cs="Arial"/>
                <w:b/>
                <w:lang w:val="es-ES" w:eastAsia="es-ES"/>
              </w:rPr>
            </w:pPr>
          </w:p>
          <w:p w:rsidR="00A14EE4" w:rsidRDefault="00A14EE4" w:rsidP="00A14EE4">
            <w:pPr>
              <w:tabs>
                <w:tab w:val="left" w:pos="525"/>
                <w:tab w:val="center" w:pos="2099"/>
              </w:tabs>
              <w:jc w:val="center"/>
              <w:rPr>
                <w:rFonts w:ascii="Century Gothic" w:eastAsia="Times New Roman" w:hAnsi="Century Gothic" w:cs="Arial"/>
                <w:b/>
                <w:lang w:val="es-ES" w:eastAsia="es-ES"/>
              </w:rPr>
            </w:pPr>
          </w:p>
          <w:p w:rsidR="00A14EE4" w:rsidRDefault="00A14EE4" w:rsidP="000E78A2">
            <w:pPr>
              <w:tabs>
                <w:tab w:val="left" w:pos="525"/>
                <w:tab w:val="center" w:pos="2099"/>
              </w:tabs>
              <w:jc w:val="center"/>
              <w:rPr>
                <w:rFonts w:ascii="Century Gothic" w:eastAsia="Times New Roman" w:hAnsi="Century Gothic" w:cs="Arial"/>
                <w:b/>
                <w:lang w:val="es-ES" w:eastAsia="es-ES"/>
              </w:rPr>
            </w:pPr>
          </w:p>
          <w:p w:rsidR="00A14EE4" w:rsidRPr="00D665D2" w:rsidRDefault="00A14EE4" w:rsidP="000E78A2">
            <w:pPr>
              <w:tabs>
                <w:tab w:val="left" w:pos="525"/>
                <w:tab w:val="center" w:pos="2099"/>
              </w:tabs>
              <w:jc w:val="center"/>
              <w:rPr>
                <w:rFonts w:ascii="Century Gothic" w:eastAsia="Times New Roman" w:hAnsi="Century Gothic" w:cs="Arial"/>
                <w:b/>
                <w:lang w:val="es-ES" w:eastAsia="es-ES"/>
              </w:rPr>
            </w:pPr>
            <w:r w:rsidRPr="00D665D2">
              <w:rPr>
                <w:rFonts w:ascii="Century Gothic" w:eastAsia="Times New Roman" w:hAnsi="Century Gothic" w:cs="Arial"/>
                <w:b/>
                <w:lang w:val="es-ES" w:eastAsia="es-ES"/>
              </w:rPr>
              <w:t>JORGE MÉNDEZ HERNÁNDEZ</w:t>
            </w:r>
          </w:p>
          <w:p w:rsidR="00A14EE4" w:rsidRPr="00D665D2" w:rsidRDefault="00A14EE4" w:rsidP="000E78A2">
            <w:pPr>
              <w:jc w:val="center"/>
              <w:rPr>
                <w:rFonts w:ascii="Century Gothic" w:eastAsia="Times New Roman" w:hAnsi="Century Gothic" w:cs="Arial"/>
                <w:lang w:val="es-ES" w:eastAsia="es-ES"/>
              </w:rPr>
            </w:pPr>
            <w:r w:rsidRPr="00D665D2">
              <w:rPr>
                <w:rFonts w:ascii="Century Gothic" w:eastAsia="Times New Roman" w:hAnsi="Century Gothic" w:cs="Arial"/>
                <w:lang w:val="es-ES" w:eastAsia="es-ES"/>
              </w:rPr>
              <w:t xml:space="preserve">Representante a la Cámara                     </w:t>
            </w:r>
          </w:p>
        </w:tc>
      </w:tr>
      <w:tr w:rsidR="00A14EE4" w:rsidRPr="00D665D2" w:rsidTr="000E78A2">
        <w:trPr>
          <w:trHeight w:val="1654"/>
        </w:trPr>
        <w:tc>
          <w:tcPr>
            <w:tcW w:w="4414" w:type="dxa"/>
          </w:tcPr>
          <w:p w:rsidR="00A14EE4" w:rsidRPr="00D665D2" w:rsidRDefault="00A14EE4" w:rsidP="000E78A2">
            <w:pPr>
              <w:jc w:val="center"/>
              <w:rPr>
                <w:rFonts w:ascii="Century Gothic" w:eastAsia="Times New Roman" w:hAnsi="Century Gothic" w:cs="Arial"/>
                <w:b/>
                <w:highlight w:val="yellow"/>
                <w:lang w:val="es-ES" w:eastAsia="es-ES"/>
              </w:rPr>
            </w:pPr>
          </w:p>
          <w:p w:rsidR="00A14EE4" w:rsidRPr="00D665D2" w:rsidRDefault="00A14EE4" w:rsidP="000E78A2">
            <w:pPr>
              <w:jc w:val="center"/>
              <w:rPr>
                <w:rFonts w:ascii="Century Gothic" w:eastAsia="Times New Roman" w:hAnsi="Century Gothic" w:cs="Arial"/>
                <w:b/>
                <w:lang w:val="es-ES" w:eastAsia="es-ES"/>
              </w:rPr>
            </w:pPr>
            <w:r w:rsidRPr="00D665D2">
              <w:rPr>
                <w:rFonts w:ascii="Century Gothic" w:eastAsia="Times New Roman" w:hAnsi="Century Gothic" w:cs="Arial"/>
                <w:b/>
                <w:lang w:val="es-ES" w:eastAsia="es-ES"/>
              </w:rPr>
              <w:t xml:space="preserve">JAIRO HUMBERTO CRISTO CORREA               </w:t>
            </w:r>
          </w:p>
          <w:p w:rsidR="00A14EE4" w:rsidRPr="00D665D2" w:rsidRDefault="00A14EE4" w:rsidP="000E78A2">
            <w:pPr>
              <w:jc w:val="center"/>
              <w:rPr>
                <w:rFonts w:ascii="Century Gothic" w:eastAsia="Times New Roman" w:hAnsi="Century Gothic" w:cs="Arial"/>
                <w:bCs/>
                <w:noProof/>
                <w:lang w:eastAsia="es-CO"/>
              </w:rPr>
            </w:pPr>
            <w:r w:rsidRPr="00D665D2">
              <w:rPr>
                <w:rFonts w:ascii="Century Gothic" w:eastAsia="Times New Roman" w:hAnsi="Century Gothic" w:cs="Arial"/>
                <w:lang w:val="es-ES" w:eastAsia="es-ES"/>
              </w:rPr>
              <w:t>Representante a la Cámara</w:t>
            </w:r>
          </w:p>
        </w:tc>
        <w:tc>
          <w:tcPr>
            <w:tcW w:w="4414" w:type="dxa"/>
          </w:tcPr>
          <w:p w:rsidR="00A14EE4" w:rsidRPr="00D665D2" w:rsidRDefault="00A14EE4" w:rsidP="000E78A2">
            <w:pPr>
              <w:jc w:val="center"/>
              <w:rPr>
                <w:rFonts w:ascii="Century Gothic" w:eastAsia="Times New Roman" w:hAnsi="Century Gothic" w:cs="Arial"/>
                <w:b/>
                <w:lang w:val="es-ES" w:eastAsia="es-ES"/>
              </w:rPr>
            </w:pPr>
          </w:p>
          <w:p w:rsidR="00A14EE4" w:rsidRPr="00D665D2" w:rsidRDefault="00A14EE4" w:rsidP="000E78A2">
            <w:pPr>
              <w:jc w:val="center"/>
              <w:rPr>
                <w:rFonts w:ascii="Century Gothic" w:eastAsia="Times New Roman" w:hAnsi="Century Gothic" w:cs="Arial"/>
                <w:b/>
                <w:lang w:val="es-ES" w:eastAsia="es-ES"/>
              </w:rPr>
            </w:pPr>
            <w:r w:rsidRPr="00D665D2">
              <w:rPr>
                <w:rFonts w:ascii="Century Gothic" w:eastAsia="Times New Roman" w:hAnsi="Century Gothic" w:cs="Arial"/>
                <w:b/>
                <w:lang w:val="es-ES" w:eastAsia="es-ES"/>
              </w:rPr>
              <w:t>KAREN VIOLETTE CURE CORCIONE</w:t>
            </w:r>
          </w:p>
          <w:p w:rsidR="00A14EE4" w:rsidRPr="00D665D2" w:rsidRDefault="00A14EE4" w:rsidP="000E78A2">
            <w:pPr>
              <w:tabs>
                <w:tab w:val="left" w:pos="525"/>
                <w:tab w:val="center" w:pos="2099"/>
              </w:tabs>
              <w:jc w:val="center"/>
              <w:rPr>
                <w:rFonts w:ascii="Century Gothic" w:eastAsia="Times New Roman" w:hAnsi="Century Gothic" w:cs="Arial"/>
                <w:lang w:val="es-ES" w:eastAsia="es-ES"/>
              </w:rPr>
            </w:pPr>
            <w:r w:rsidRPr="00D665D2">
              <w:rPr>
                <w:rFonts w:ascii="Century Gothic" w:eastAsia="Times New Roman" w:hAnsi="Century Gothic" w:cs="Arial"/>
                <w:lang w:val="es-ES" w:eastAsia="es-ES"/>
              </w:rPr>
              <w:t>Representante a la Cámara</w:t>
            </w:r>
          </w:p>
        </w:tc>
      </w:tr>
      <w:tr w:rsidR="00A14EE4" w:rsidRPr="00D665D2" w:rsidTr="000E78A2">
        <w:trPr>
          <w:trHeight w:val="1654"/>
        </w:trPr>
        <w:tc>
          <w:tcPr>
            <w:tcW w:w="4414" w:type="dxa"/>
          </w:tcPr>
          <w:p w:rsidR="00A14EE4" w:rsidRPr="00D665D2" w:rsidRDefault="00A14EE4" w:rsidP="000E78A2">
            <w:pPr>
              <w:jc w:val="center"/>
              <w:rPr>
                <w:rFonts w:ascii="Century Gothic" w:eastAsia="Times New Roman" w:hAnsi="Century Gothic" w:cs="Arial"/>
                <w:noProof/>
                <w:lang w:eastAsia="es-CO"/>
              </w:rPr>
            </w:pPr>
          </w:p>
          <w:p w:rsidR="00A14EE4" w:rsidRPr="00D665D2" w:rsidRDefault="00A14EE4" w:rsidP="000E78A2">
            <w:pPr>
              <w:jc w:val="center"/>
              <w:rPr>
                <w:rFonts w:ascii="Century Gothic" w:eastAsia="Times New Roman" w:hAnsi="Century Gothic" w:cs="Arial"/>
                <w:b/>
                <w:noProof/>
                <w:lang w:eastAsia="es-CO"/>
              </w:rPr>
            </w:pPr>
            <w:r w:rsidRPr="00D665D2">
              <w:rPr>
                <w:rFonts w:ascii="Century Gothic" w:eastAsia="Times New Roman" w:hAnsi="Century Gothic" w:cs="Arial"/>
                <w:b/>
                <w:noProof/>
                <w:lang w:eastAsia="es-CO"/>
              </w:rPr>
              <w:t>JORGE BENEDETTI</w:t>
            </w:r>
          </w:p>
          <w:p w:rsidR="00A14EE4" w:rsidRPr="00D665D2" w:rsidRDefault="00A14EE4" w:rsidP="000E78A2">
            <w:pPr>
              <w:jc w:val="center"/>
              <w:rPr>
                <w:rFonts w:ascii="Century Gothic" w:eastAsia="Times New Roman" w:hAnsi="Century Gothic" w:cs="Arial"/>
                <w:noProof/>
                <w:lang w:eastAsia="es-CO"/>
              </w:rPr>
            </w:pPr>
            <w:r w:rsidRPr="00D665D2">
              <w:rPr>
                <w:rFonts w:ascii="Century Gothic" w:eastAsia="Times New Roman" w:hAnsi="Century Gothic" w:cs="Arial"/>
                <w:noProof/>
                <w:lang w:eastAsia="es-CO"/>
              </w:rPr>
              <w:t>Representante a la Cámara</w:t>
            </w:r>
          </w:p>
        </w:tc>
        <w:tc>
          <w:tcPr>
            <w:tcW w:w="4414" w:type="dxa"/>
          </w:tcPr>
          <w:p w:rsidR="00A14EE4" w:rsidRPr="00D665D2" w:rsidRDefault="00A14EE4" w:rsidP="000E78A2">
            <w:pPr>
              <w:jc w:val="center"/>
              <w:rPr>
                <w:rFonts w:ascii="Century Gothic" w:eastAsia="Times New Roman" w:hAnsi="Century Gothic" w:cs="Arial"/>
                <w:b/>
                <w:noProof/>
                <w:lang w:eastAsia="es-CO"/>
              </w:rPr>
            </w:pPr>
          </w:p>
          <w:p w:rsidR="00A14EE4" w:rsidRPr="00D665D2" w:rsidRDefault="00A14EE4" w:rsidP="000E78A2">
            <w:pPr>
              <w:jc w:val="center"/>
              <w:rPr>
                <w:rFonts w:ascii="Century Gothic" w:eastAsia="Times New Roman" w:hAnsi="Century Gothic" w:cs="Arial"/>
                <w:b/>
                <w:noProof/>
                <w:lang w:eastAsia="es-CO"/>
              </w:rPr>
            </w:pPr>
          </w:p>
          <w:p w:rsidR="00A14EE4" w:rsidRPr="00D665D2" w:rsidRDefault="00A14EE4" w:rsidP="000E78A2">
            <w:pPr>
              <w:jc w:val="center"/>
              <w:rPr>
                <w:rFonts w:ascii="Century Gothic" w:eastAsia="Times New Roman" w:hAnsi="Century Gothic" w:cs="Arial"/>
                <w:b/>
                <w:noProof/>
                <w:lang w:eastAsia="es-CO"/>
              </w:rPr>
            </w:pPr>
            <w:r w:rsidRPr="00D665D2">
              <w:rPr>
                <w:rFonts w:ascii="Century Gothic" w:eastAsia="Times New Roman" w:hAnsi="Century Gothic" w:cs="Arial"/>
                <w:b/>
                <w:noProof/>
                <w:lang w:eastAsia="es-CO"/>
              </w:rPr>
              <w:t>NESTOR LEONARDO RICO</w:t>
            </w:r>
          </w:p>
          <w:p w:rsidR="00A14EE4" w:rsidRPr="00D665D2" w:rsidRDefault="00A14EE4" w:rsidP="000E78A2">
            <w:pPr>
              <w:tabs>
                <w:tab w:val="left" w:pos="525"/>
                <w:tab w:val="center" w:pos="2099"/>
              </w:tabs>
              <w:jc w:val="center"/>
              <w:rPr>
                <w:rFonts w:ascii="Century Gothic" w:eastAsia="Times New Roman" w:hAnsi="Century Gothic" w:cs="Arial"/>
                <w:b/>
                <w:lang w:val="es-ES" w:eastAsia="es-ES"/>
              </w:rPr>
            </w:pPr>
            <w:r w:rsidRPr="00D665D2">
              <w:rPr>
                <w:rFonts w:ascii="Century Gothic" w:eastAsia="Times New Roman" w:hAnsi="Century Gothic" w:cs="Arial"/>
                <w:noProof/>
                <w:lang w:eastAsia="es-CO"/>
              </w:rPr>
              <w:t>Representante a la Cámara</w:t>
            </w:r>
            <w:r w:rsidRPr="00D665D2">
              <w:rPr>
                <w:rFonts w:ascii="Century Gothic" w:hAnsi="Century Gothic"/>
                <w:noProof/>
                <w:lang w:eastAsia="es-CO"/>
              </w:rPr>
              <w:t xml:space="preserve"> </w:t>
            </w:r>
          </w:p>
        </w:tc>
      </w:tr>
      <w:tr w:rsidR="00A14EE4" w:rsidRPr="00D665D2" w:rsidTr="000E78A2">
        <w:trPr>
          <w:trHeight w:val="1654"/>
        </w:trPr>
        <w:tc>
          <w:tcPr>
            <w:tcW w:w="4414" w:type="dxa"/>
          </w:tcPr>
          <w:p w:rsidR="00A14EE4" w:rsidRPr="00D665D2" w:rsidRDefault="00A14EE4" w:rsidP="000E78A2">
            <w:pPr>
              <w:jc w:val="center"/>
              <w:rPr>
                <w:rFonts w:ascii="Century Gothic" w:eastAsia="Times New Roman" w:hAnsi="Century Gothic" w:cs="Arial"/>
                <w:b/>
                <w:noProof/>
                <w:lang w:eastAsia="es-CO"/>
              </w:rPr>
            </w:pPr>
          </w:p>
          <w:p w:rsidR="00A14EE4" w:rsidRPr="00D665D2" w:rsidRDefault="00A14EE4" w:rsidP="000E78A2">
            <w:pPr>
              <w:jc w:val="center"/>
              <w:rPr>
                <w:rFonts w:ascii="Century Gothic" w:eastAsia="Times New Roman" w:hAnsi="Century Gothic" w:cs="Arial"/>
                <w:b/>
                <w:noProof/>
                <w:lang w:eastAsia="es-CO"/>
              </w:rPr>
            </w:pPr>
            <w:r w:rsidRPr="00D665D2">
              <w:rPr>
                <w:rFonts w:ascii="Century Gothic" w:eastAsia="Times New Roman" w:hAnsi="Century Gothic" w:cs="Arial"/>
                <w:b/>
                <w:noProof/>
                <w:lang w:eastAsia="es-CO"/>
              </w:rPr>
              <w:t>AQUILEO MEDINA ARTEAGA</w:t>
            </w:r>
          </w:p>
          <w:p w:rsidR="00A14EE4" w:rsidRPr="00D665D2" w:rsidRDefault="00A14EE4" w:rsidP="000E78A2">
            <w:pPr>
              <w:jc w:val="center"/>
              <w:rPr>
                <w:rFonts w:ascii="Century Gothic" w:hAnsi="Century Gothic"/>
                <w:noProof/>
                <w:lang w:eastAsia="es-CO"/>
              </w:rPr>
            </w:pPr>
            <w:r w:rsidRPr="00D665D2">
              <w:rPr>
                <w:rFonts w:ascii="Century Gothic" w:eastAsia="Times New Roman" w:hAnsi="Century Gothic" w:cs="Arial"/>
                <w:noProof/>
                <w:lang w:eastAsia="es-CO"/>
              </w:rPr>
              <w:t>Representante a la Cámara</w:t>
            </w:r>
            <w:r w:rsidRPr="00D665D2">
              <w:rPr>
                <w:rFonts w:ascii="Century Gothic" w:hAnsi="Century Gothic"/>
                <w:noProof/>
                <w:lang w:eastAsia="es-CO"/>
              </w:rPr>
              <w:t xml:space="preserve"> </w:t>
            </w:r>
          </w:p>
        </w:tc>
        <w:tc>
          <w:tcPr>
            <w:tcW w:w="4414" w:type="dxa"/>
          </w:tcPr>
          <w:p w:rsidR="00A14EE4" w:rsidRPr="00D665D2" w:rsidRDefault="00A14EE4" w:rsidP="000E78A2">
            <w:pPr>
              <w:jc w:val="center"/>
              <w:rPr>
                <w:rFonts w:ascii="Century Gothic" w:eastAsia="Times New Roman" w:hAnsi="Century Gothic" w:cs="Arial"/>
                <w:b/>
                <w:noProof/>
                <w:lang w:eastAsia="es-CO"/>
              </w:rPr>
            </w:pPr>
          </w:p>
          <w:p w:rsidR="00A14EE4" w:rsidRPr="00D665D2" w:rsidRDefault="00A14EE4" w:rsidP="000E78A2">
            <w:pPr>
              <w:jc w:val="center"/>
              <w:rPr>
                <w:rFonts w:ascii="Century Gothic" w:eastAsia="Times New Roman" w:hAnsi="Century Gothic" w:cs="Arial"/>
                <w:b/>
                <w:noProof/>
                <w:lang w:eastAsia="es-CO"/>
              </w:rPr>
            </w:pPr>
            <w:r w:rsidRPr="00D665D2">
              <w:rPr>
                <w:rFonts w:ascii="Century Gothic" w:eastAsia="Times New Roman" w:hAnsi="Century Gothic" w:cs="Arial"/>
                <w:b/>
                <w:noProof/>
                <w:lang w:eastAsia="es-CO"/>
              </w:rPr>
              <w:t>JULIO CESAR TRIANA</w:t>
            </w:r>
          </w:p>
          <w:p w:rsidR="00A14EE4" w:rsidRPr="00D665D2" w:rsidRDefault="00A14EE4" w:rsidP="000E78A2">
            <w:pPr>
              <w:jc w:val="center"/>
              <w:rPr>
                <w:rFonts w:ascii="Century Gothic" w:hAnsi="Century Gothic"/>
                <w:noProof/>
                <w:lang w:eastAsia="es-CO"/>
              </w:rPr>
            </w:pPr>
            <w:r w:rsidRPr="00D665D2">
              <w:rPr>
                <w:rFonts w:ascii="Century Gothic" w:eastAsia="Times New Roman" w:hAnsi="Century Gothic" w:cs="Arial"/>
                <w:noProof/>
                <w:lang w:eastAsia="es-CO"/>
              </w:rPr>
              <w:t>Representante a la Cámara</w:t>
            </w:r>
            <w:r w:rsidRPr="00D665D2">
              <w:rPr>
                <w:rFonts w:ascii="Century Gothic" w:hAnsi="Century Gothic"/>
                <w:noProof/>
                <w:lang w:eastAsia="es-CO"/>
              </w:rPr>
              <w:t xml:space="preserve"> </w:t>
            </w:r>
          </w:p>
        </w:tc>
      </w:tr>
      <w:tr w:rsidR="00A14EE4" w:rsidRPr="00D665D2" w:rsidTr="000E78A2">
        <w:trPr>
          <w:trHeight w:val="1654"/>
        </w:trPr>
        <w:tc>
          <w:tcPr>
            <w:tcW w:w="4414" w:type="dxa"/>
          </w:tcPr>
          <w:p w:rsidR="00A14EE4" w:rsidRPr="00A14EE4" w:rsidRDefault="00A14EE4" w:rsidP="000E78A2">
            <w:pPr>
              <w:pStyle w:val="Sinespaciado"/>
              <w:jc w:val="center"/>
              <w:rPr>
                <w:rFonts w:ascii="Century Gothic" w:hAnsi="Century Gothic"/>
              </w:rPr>
            </w:pPr>
            <w:r w:rsidRPr="00A14EE4">
              <w:rPr>
                <w:rFonts w:ascii="Century Gothic" w:hAnsi="Century Gothic"/>
                <w:b/>
              </w:rPr>
              <w:t>GILBERTO BAYARDO BETANCOURT</w:t>
            </w:r>
          </w:p>
          <w:p w:rsidR="00A14EE4" w:rsidRPr="00A14EE4" w:rsidRDefault="00A14EE4" w:rsidP="000E78A2">
            <w:pPr>
              <w:pStyle w:val="Sinespaciado"/>
              <w:jc w:val="center"/>
              <w:rPr>
                <w:rFonts w:ascii="Century Gothic" w:hAnsi="Century Gothic"/>
              </w:rPr>
            </w:pPr>
            <w:proofErr w:type="spellStart"/>
            <w:r w:rsidRPr="00A14EE4">
              <w:rPr>
                <w:rFonts w:ascii="Century Gothic" w:hAnsi="Century Gothic"/>
              </w:rPr>
              <w:t>Representante</w:t>
            </w:r>
            <w:proofErr w:type="spellEnd"/>
            <w:r w:rsidRPr="00A14EE4">
              <w:rPr>
                <w:rFonts w:ascii="Century Gothic" w:hAnsi="Century Gothic"/>
              </w:rPr>
              <w:t xml:space="preserve"> a la </w:t>
            </w:r>
            <w:proofErr w:type="spellStart"/>
            <w:r w:rsidRPr="00A14EE4">
              <w:rPr>
                <w:rFonts w:ascii="Century Gothic" w:hAnsi="Century Gothic"/>
              </w:rPr>
              <w:t>Càmara</w:t>
            </w:r>
            <w:proofErr w:type="spellEnd"/>
          </w:p>
          <w:p w:rsidR="00A14EE4" w:rsidRPr="00A14EE4" w:rsidRDefault="00A14EE4" w:rsidP="000E78A2">
            <w:pPr>
              <w:tabs>
                <w:tab w:val="left" w:pos="1440"/>
              </w:tabs>
              <w:rPr>
                <w:rFonts w:ascii="Century Gothic" w:hAnsi="Century Gothic"/>
                <w:lang w:eastAsia="es-CO"/>
              </w:rPr>
            </w:pPr>
            <w:r>
              <w:rPr>
                <w:rFonts w:ascii="Century Gothic" w:hAnsi="Century Gothic"/>
                <w:lang w:eastAsia="es-CO"/>
              </w:rPr>
              <w:tab/>
            </w:r>
          </w:p>
        </w:tc>
        <w:tc>
          <w:tcPr>
            <w:tcW w:w="4414" w:type="dxa"/>
          </w:tcPr>
          <w:p w:rsidR="00A14EE4" w:rsidRPr="00D665D2" w:rsidRDefault="00A14EE4" w:rsidP="000E78A2">
            <w:pPr>
              <w:jc w:val="center"/>
              <w:rPr>
                <w:rFonts w:ascii="Century Gothic" w:hAnsi="Century Gothic"/>
                <w:noProof/>
                <w:lang w:eastAsia="es-CO"/>
              </w:rPr>
            </w:pPr>
          </w:p>
        </w:tc>
      </w:tr>
    </w:tbl>
    <w:p w:rsidR="00A14EE4" w:rsidRPr="00D665D2" w:rsidRDefault="00A14EE4" w:rsidP="00A14EE4">
      <w:pPr>
        <w:spacing w:after="0" w:line="240" w:lineRule="auto"/>
        <w:jc w:val="center"/>
        <w:rPr>
          <w:rFonts w:ascii="Century Gothic" w:hAnsi="Century Gothic" w:cs="Arial"/>
          <w:lang w:val="es-CO"/>
        </w:rPr>
      </w:pPr>
    </w:p>
    <w:p w:rsidR="00A14EE4" w:rsidRPr="00A14EE4" w:rsidRDefault="00A14EE4" w:rsidP="00A14EE4">
      <w:pPr>
        <w:rPr>
          <w:rFonts w:ascii="Century Gothic" w:hAnsi="Century Gothic"/>
          <w:lang w:val="es-CO"/>
        </w:rPr>
      </w:pPr>
    </w:p>
    <w:sectPr w:rsidR="00A14EE4" w:rsidRPr="00A14EE4">
      <w:headerReference w:type="even" r:id="rId42"/>
      <w:headerReference w:type="default" r:id="rId43"/>
      <w:headerReference w:type="first" r:id="rId44"/>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C2414" w:rsidRDefault="00CC2414" w:rsidP="00483BFF">
      <w:pPr>
        <w:spacing w:after="0" w:line="240" w:lineRule="auto"/>
      </w:pPr>
      <w:r>
        <w:separator/>
      </w:r>
    </w:p>
  </w:endnote>
  <w:endnote w:type="continuationSeparator" w:id="0">
    <w:p w:rsidR="00CC2414" w:rsidRDefault="00CC2414" w:rsidP="00483B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C2414" w:rsidRDefault="00CC2414" w:rsidP="00483BFF">
      <w:pPr>
        <w:spacing w:after="0" w:line="240" w:lineRule="auto"/>
      </w:pPr>
      <w:r>
        <w:separator/>
      </w:r>
    </w:p>
  </w:footnote>
  <w:footnote w:type="continuationSeparator" w:id="0">
    <w:p w:rsidR="00CC2414" w:rsidRDefault="00CC2414" w:rsidP="00483BFF">
      <w:pPr>
        <w:spacing w:after="0" w:line="240" w:lineRule="auto"/>
      </w:pPr>
      <w:r>
        <w:continuationSeparator/>
      </w:r>
    </w:p>
  </w:footnote>
  <w:footnote w:id="1">
    <w:p w:rsidR="001F2271" w:rsidRPr="005438DA" w:rsidRDefault="001F2271" w:rsidP="001F2271">
      <w:pPr>
        <w:pStyle w:val="Textonotapie"/>
        <w:rPr>
          <w:lang w:val="es-CO"/>
        </w:rPr>
      </w:pPr>
      <w:r>
        <w:rPr>
          <w:rStyle w:val="Refdenotaalpie"/>
        </w:rPr>
        <w:footnoteRef/>
      </w:r>
      <w:r w:rsidRPr="005438DA">
        <w:rPr>
          <w:lang w:val="es-CO"/>
        </w:rPr>
        <w:t xml:space="preserve"> </w:t>
      </w:r>
      <w:r>
        <w:rPr>
          <w:lang w:val="es-CO"/>
        </w:rPr>
        <w:t>FUENTE DANE.</w:t>
      </w:r>
    </w:p>
  </w:footnote>
  <w:footnote w:id="2">
    <w:p w:rsidR="001F2271" w:rsidRPr="003005E1" w:rsidRDefault="001F2271" w:rsidP="001F2271">
      <w:pPr>
        <w:pStyle w:val="Textonotapie"/>
        <w:rPr>
          <w:lang w:val="es-CO"/>
        </w:rPr>
      </w:pPr>
      <w:r>
        <w:rPr>
          <w:rStyle w:val="Refdenotaalpie"/>
        </w:rPr>
        <w:footnoteRef/>
      </w:r>
      <w:r w:rsidRPr="00652683">
        <w:rPr>
          <w:lang w:val="es-CO"/>
        </w:rPr>
        <w:t xml:space="preserve"> </w:t>
      </w:r>
      <w:r>
        <w:rPr>
          <w:lang w:val="es-CO"/>
        </w:rPr>
        <w:t>FUENTE DANE.</w:t>
      </w:r>
    </w:p>
  </w:footnote>
  <w:footnote w:id="3">
    <w:p w:rsidR="001F2271" w:rsidRPr="001E1B18" w:rsidRDefault="001F2271" w:rsidP="001F2271">
      <w:pPr>
        <w:pStyle w:val="Textonotapie"/>
        <w:rPr>
          <w:lang w:val="es-CO"/>
        </w:rPr>
      </w:pPr>
      <w:r>
        <w:rPr>
          <w:rStyle w:val="Refdenotaalpie"/>
        </w:rPr>
        <w:footnoteRef/>
      </w:r>
      <w:r w:rsidRPr="00006AAC">
        <w:rPr>
          <w:lang w:val="es-CO"/>
        </w:rPr>
        <w:t xml:space="preserve"> FUENTE </w:t>
      </w:r>
      <w:r>
        <w:rPr>
          <w:lang w:val="es-CO"/>
        </w:rPr>
        <w:t>DANE ECV 2018</w:t>
      </w:r>
    </w:p>
  </w:footnote>
  <w:footnote w:id="4">
    <w:p w:rsidR="001F2271" w:rsidRPr="004E2C64" w:rsidRDefault="001F2271" w:rsidP="001F2271">
      <w:pPr>
        <w:pStyle w:val="Textonotapie"/>
        <w:rPr>
          <w:lang w:val="es-CO"/>
        </w:rPr>
      </w:pPr>
      <w:r>
        <w:rPr>
          <w:rStyle w:val="Refdenotaalpie"/>
        </w:rPr>
        <w:footnoteRef/>
      </w:r>
      <w:r w:rsidRPr="00006AAC">
        <w:rPr>
          <w:lang w:val="es-CO"/>
        </w:rPr>
        <w:t xml:space="preserve"> </w:t>
      </w:r>
      <w:r>
        <w:rPr>
          <w:lang w:val="es-CO"/>
        </w:rPr>
        <w:t>FUENTE DANE ECV 2018</w:t>
      </w:r>
    </w:p>
  </w:footnote>
  <w:footnote w:id="5">
    <w:p w:rsidR="001F2271" w:rsidRPr="002C355C" w:rsidRDefault="001F2271" w:rsidP="001F2271">
      <w:pPr>
        <w:pStyle w:val="Textonotapie"/>
        <w:rPr>
          <w:lang w:val="es-CO"/>
        </w:rPr>
      </w:pPr>
      <w:r>
        <w:rPr>
          <w:rStyle w:val="Refdenotaalpie"/>
        </w:rPr>
        <w:footnoteRef/>
      </w:r>
      <w:r w:rsidRPr="002C355C">
        <w:rPr>
          <w:lang w:val="es-CO"/>
        </w:rPr>
        <w:t xml:space="preserve"> </w:t>
      </w:r>
      <w:r>
        <w:rPr>
          <w:lang w:val="es-CO"/>
        </w:rPr>
        <w:t>DANE – Gran Encuesta Integral de Hogares GEIH 2015 para DNP</w:t>
      </w:r>
    </w:p>
  </w:footnote>
  <w:footnote w:id="6">
    <w:p w:rsidR="001F2271" w:rsidRPr="00EA5351" w:rsidRDefault="001F2271" w:rsidP="001F2271">
      <w:pPr>
        <w:pStyle w:val="Textonotapie"/>
        <w:rPr>
          <w:lang w:val="es-CO"/>
        </w:rPr>
      </w:pPr>
      <w:r>
        <w:rPr>
          <w:rStyle w:val="Refdenotaalpie"/>
        </w:rPr>
        <w:footnoteRef/>
      </w:r>
      <w:r w:rsidRPr="00EA5351">
        <w:rPr>
          <w:lang w:val="es-CO"/>
        </w:rPr>
        <w:t xml:space="preserve"> </w:t>
      </w:r>
      <w:r w:rsidRPr="00EA5351">
        <w:rPr>
          <w:sz w:val="18"/>
          <w:lang w:val="es-CO"/>
        </w:rPr>
        <w:t>El Índice Departamental de Competitividad (IDC), en su versión 2019, incluye un proceso de actualización metodológica con base en el Índice Global de Competitividad (IGC) del Foro Económico Mundial (WEF por sus siglas en inglés), organización que en el año 2018 realizó una revisión estructural a su metodología de cálculo. En particular, esta nueva metodología reconoce la importancia de las crisis financieras globales en</w:t>
      </w:r>
      <w:r>
        <w:rPr>
          <w:sz w:val="18"/>
          <w:lang w:val="es-CO"/>
        </w:rPr>
        <w:t xml:space="preserve"> </w:t>
      </w:r>
      <w:r w:rsidRPr="00EA5351">
        <w:rPr>
          <w:sz w:val="18"/>
          <w:lang w:val="es-CO"/>
        </w:rPr>
        <w:t xml:space="preserve">el comportamiento de los mercados, la productividad como el factor determinante para el crecimiento y el uso masivo de la información a través de las técnicas de explosión de datos o </w:t>
      </w:r>
      <w:proofErr w:type="spellStart"/>
      <w:r w:rsidRPr="00EA5351">
        <w:rPr>
          <w:sz w:val="18"/>
          <w:lang w:val="es-CO"/>
        </w:rPr>
        <w:t>big</w:t>
      </w:r>
      <w:proofErr w:type="spellEnd"/>
      <w:r w:rsidRPr="00EA5351">
        <w:rPr>
          <w:sz w:val="18"/>
          <w:lang w:val="es-CO"/>
        </w:rPr>
        <w:t xml:space="preserve"> data (WEF, 2018).</w:t>
      </w:r>
      <w:r>
        <w:rPr>
          <w:sz w:val="18"/>
          <w:lang w:val="es-CO"/>
        </w:rPr>
        <w:t xml:space="preserve">  </w:t>
      </w:r>
      <w:r w:rsidRPr="00EA5351">
        <w:rPr>
          <w:sz w:val="18"/>
          <w:lang w:val="es-CO"/>
        </w:rPr>
        <w:t>A partir de estos antecedentes, el Consejo Privado de Competitividad (CPC) y la Universidad del Rosario realizaron un proceso de ajuste de sus índices regionales de competitividad (el Índice de Competitividad de Ciudades y el Índice Departamental de Competitividad), para de esta manera adaptarlos a la nueva metodología del ICC del WEF. En resumen, los principales cambios que se realizaron para lograr la aplicación del IGC 4.0 para los departamentos de Colombia.</w:t>
      </w:r>
    </w:p>
  </w:footnote>
  <w:footnote w:id="7">
    <w:p w:rsidR="001F2271" w:rsidRPr="00C77B33" w:rsidRDefault="001F2271" w:rsidP="001F2271">
      <w:pPr>
        <w:pStyle w:val="Textonotapie"/>
        <w:rPr>
          <w:lang w:val="es-CO"/>
        </w:rPr>
      </w:pPr>
      <w:r>
        <w:rPr>
          <w:rStyle w:val="Refdenotaalpie"/>
        </w:rPr>
        <w:footnoteRef/>
      </w:r>
      <w:r w:rsidRPr="00C77B33">
        <w:rPr>
          <w:lang w:val="es-CO"/>
        </w:rPr>
        <w:t xml:space="preserve"> </w:t>
      </w:r>
      <w:r>
        <w:rPr>
          <w:lang w:val="es-CO"/>
        </w:rPr>
        <w:t xml:space="preserve">CPC </w:t>
      </w:r>
      <w:r w:rsidRPr="00C77B33">
        <w:rPr>
          <w:lang w:val="es-CO"/>
        </w:rPr>
        <w:t>Consejo Privado de Competitividad</w:t>
      </w:r>
      <w:r>
        <w:rPr>
          <w:lang w:val="es-CO"/>
        </w:rPr>
        <w:t xml:space="preserve"> estudio </w:t>
      </w:r>
      <w:r w:rsidRPr="00EA5351">
        <w:rPr>
          <w:sz w:val="18"/>
          <w:lang w:val="es-CO"/>
        </w:rPr>
        <w:t>Índice Departamental de Competitividad (IDC), 2019</w:t>
      </w:r>
    </w:p>
  </w:footnote>
  <w:footnote w:id="8">
    <w:p w:rsidR="001F2271" w:rsidRPr="00DA4759" w:rsidRDefault="001F2271" w:rsidP="001F2271">
      <w:pPr>
        <w:pStyle w:val="Textonotapie"/>
        <w:rPr>
          <w:lang w:val="es-CO"/>
        </w:rPr>
      </w:pPr>
      <w:r>
        <w:rPr>
          <w:rStyle w:val="Refdenotaalpie"/>
        </w:rPr>
        <w:footnoteRef/>
      </w:r>
      <w:r w:rsidRPr="00DA4759">
        <w:rPr>
          <w:lang w:val="es-CO"/>
        </w:rPr>
        <w:t xml:space="preserve"> </w:t>
      </w:r>
      <w:r w:rsidRPr="00EA5351">
        <w:rPr>
          <w:sz w:val="18"/>
          <w:lang w:val="es-CO"/>
        </w:rPr>
        <w:t>Índice Departamental de Competitividad (IDC), 2019</w:t>
      </w:r>
      <w:r>
        <w:rPr>
          <w:sz w:val="18"/>
          <w:lang w:val="es-CO"/>
        </w:rPr>
        <w:t xml:space="preserve"> </w:t>
      </w:r>
      <w:r w:rsidRPr="00C77B33">
        <w:rPr>
          <w:lang w:val="es-CO"/>
        </w:rPr>
        <w:t>Consejo Privado de Competitividad</w:t>
      </w:r>
      <w:r>
        <w:rPr>
          <w:lang w:val="es-CO"/>
        </w:rPr>
        <w:t xml:space="preserve"> - CPC</w:t>
      </w:r>
    </w:p>
  </w:footnote>
  <w:footnote w:id="9">
    <w:p w:rsidR="001F2271" w:rsidRPr="00DA4759" w:rsidRDefault="001F2271" w:rsidP="001F2271">
      <w:pPr>
        <w:pStyle w:val="Textonotapie"/>
        <w:rPr>
          <w:lang w:val="es-CO"/>
        </w:rPr>
      </w:pPr>
      <w:r>
        <w:rPr>
          <w:rStyle w:val="Refdenotaalpie"/>
        </w:rPr>
        <w:footnoteRef/>
      </w:r>
      <w:r w:rsidRPr="00DA4759">
        <w:rPr>
          <w:lang w:val="es-CO"/>
        </w:rPr>
        <w:t xml:space="preserve"> </w:t>
      </w:r>
      <w:r w:rsidRPr="00EA5351">
        <w:rPr>
          <w:sz w:val="18"/>
          <w:lang w:val="es-CO"/>
        </w:rPr>
        <w:t>Índice Departamental de Competitividad (IDC), 2019</w:t>
      </w:r>
      <w:r>
        <w:rPr>
          <w:sz w:val="18"/>
          <w:lang w:val="es-CO"/>
        </w:rPr>
        <w:t xml:space="preserve"> </w:t>
      </w:r>
      <w:r w:rsidRPr="00C77B33">
        <w:rPr>
          <w:lang w:val="es-CO"/>
        </w:rPr>
        <w:t>Consejo Privado de Competitividad</w:t>
      </w:r>
      <w:r>
        <w:rPr>
          <w:lang w:val="es-CO"/>
        </w:rPr>
        <w:t xml:space="preserve"> - CPC</w:t>
      </w:r>
    </w:p>
  </w:footnote>
  <w:footnote w:id="10">
    <w:p w:rsidR="001F2271" w:rsidRPr="000E4A9C" w:rsidRDefault="001F2271" w:rsidP="001F2271">
      <w:pPr>
        <w:pStyle w:val="Textonotapie"/>
        <w:rPr>
          <w:lang w:val="es-CO"/>
        </w:rPr>
      </w:pPr>
      <w:r>
        <w:rPr>
          <w:rStyle w:val="Refdenotaalpie"/>
        </w:rPr>
        <w:footnoteRef/>
      </w:r>
      <w:r w:rsidRPr="000E4A9C">
        <w:rPr>
          <w:lang w:val="es-CO"/>
        </w:rPr>
        <w:t xml:space="preserve"> </w:t>
      </w:r>
      <w:r>
        <w:rPr>
          <w:lang w:val="es-CO"/>
        </w:rPr>
        <w:t xml:space="preserve">Índice Departamental de Innovación para Colombia DNP – </w:t>
      </w:r>
      <w:proofErr w:type="spellStart"/>
      <w:r>
        <w:rPr>
          <w:lang w:val="es-CO"/>
        </w:rPr>
        <w:t>OCyT</w:t>
      </w:r>
      <w:proofErr w:type="spellEnd"/>
      <w:r>
        <w:rPr>
          <w:lang w:val="es-CO"/>
        </w:rPr>
        <w:t xml:space="preserve"> 2019</w:t>
      </w:r>
    </w:p>
  </w:footnote>
  <w:footnote w:id="11">
    <w:p w:rsidR="001F2271" w:rsidRPr="00910699" w:rsidRDefault="001F2271" w:rsidP="001F2271">
      <w:pPr>
        <w:pStyle w:val="Textonotapie"/>
        <w:rPr>
          <w:lang w:val="es-CO"/>
        </w:rPr>
      </w:pPr>
      <w:r>
        <w:rPr>
          <w:rStyle w:val="Refdenotaalpie"/>
        </w:rPr>
        <w:footnoteRef/>
      </w:r>
      <w:r w:rsidRPr="00910699">
        <w:rPr>
          <w:lang w:val="es-CO"/>
        </w:rPr>
        <w:t xml:space="preserve"> </w:t>
      </w:r>
      <w:r>
        <w:rPr>
          <w:lang w:val="es-CO"/>
        </w:rPr>
        <w:t xml:space="preserve">Índice Departamental de Innovación para Colombia DNP – </w:t>
      </w:r>
      <w:proofErr w:type="spellStart"/>
      <w:r>
        <w:rPr>
          <w:lang w:val="es-CO"/>
        </w:rPr>
        <w:t>OCyT</w:t>
      </w:r>
      <w:proofErr w:type="spellEnd"/>
      <w:r>
        <w:rPr>
          <w:lang w:val="es-CO"/>
        </w:rPr>
        <w:t xml:space="preserve"> 2019</w:t>
      </w:r>
    </w:p>
  </w:footnote>
  <w:footnote w:id="12">
    <w:p w:rsidR="001F2271" w:rsidRPr="00EE2404" w:rsidRDefault="001F2271" w:rsidP="001F2271">
      <w:pPr>
        <w:pStyle w:val="Textonotapie"/>
        <w:rPr>
          <w:lang w:val="es-CO"/>
        </w:rPr>
      </w:pPr>
      <w:r>
        <w:rPr>
          <w:rStyle w:val="Refdenotaalpie"/>
        </w:rPr>
        <w:footnoteRef/>
      </w:r>
      <w:r w:rsidRPr="00EE2404">
        <w:rPr>
          <w:lang w:val="es-CO"/>
        </w:rPr>
        <w:t xml:space="preserve"> Gran Encue</w:t>
      </w:r>
      <w:r>
        <w:rPr>
          <w:lang w:val="es-CO"/>
        </w:rPr>
        <w:t>sta Integrada de Hogares – DANE - 2019</w:t>
      </w:r>
    </w:p>
  </w:footnote>
  <w:footnote w:id="13">
    <w:p w:rsidR="00A14EE4" w:rsidRPr="00006AAC" w:rsidRDefault="00A14EE4" w:rsidP="00A14EE4">
      <w:pPr>
        <w:pStyle w:val="Textonotapie"/>
        <w:rPr>
          <w:lang w:val="es-CO"/>
        </w:rPr>
      </w:pPr>
      <w:r>
        <w:rPr>
          <w:rStyle w:val="Refdenotaalpie"/>
        </w:rPr>
        <w:footnoteRef/>
      </w:r>
      <w:r w:rsidRPr="00006AAC">
        <w:rPr>
          <w:lang w:val="es-CO"/>
        </w:rPr>
        <w:t xml:space="preserve"> </w:t>
      </w:r>
      <w:r>
        <w:rPr>
          <w:lang w:val="es-CO"/>
        </w:rPr>
        <w:t>A precios constantes 2020</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3BFF" w:rsidRDefault="00CC2414">
    <w:pPr>
      <w:pStyle w:val="Encabezado"/>
    </w:pPr>
    <w:r>
      <w:rPr>
        <w:noProof/>
        <w:lang w:eastAsia="es-C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9253501" o:spid="_x0000_s2128" type="#_x0000_t75" style="position:absolute;margin-left:0;margin-top:0;width:612pt;height:11in;z-index:-251657216;mso-position-horizontal:center;mso-position-horizontal-relative:margin;mso-position-vertical:center;mso-position-vertical-relative:margin" o:allowincell="f">
          <v:imagedata r:id="rId1" o:title="salim-01"/>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3BFF" w:rsidRDefault="00CC2414">
    <w:pPr>
      <w:pStyle w:val="Encabezado"/>
    </w:pPr>
    <w:r>
      <w:rPr>
        <w:noProof/>
        <w:lang w:eastAsia="es-C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9253502" o:spid="_x0000_s2129" type="#_x0000_t75" style="position:absolute;margin-left:-85.05pt;margin-top:-118.65pt;width:612pt;height:11in;z-index:-251656192;mso-position-horizontal-relative:margin;mso-position-vertical-relative:margin" o:allowincell="f">
          <v:imagedata r:id="rId1" o:title="salim-01"/>
          <w10:wrap anchorx="margin" anchory="margin"/>
        </v:shape>
      </w:pict>
    </w:r>
  </w:p>
  <w:p w:rsidR="00C46D9C" w:rsidRDefault="00C46D9C">
    <w:pPr>
      <w:pStyle w:val="Encabezado"/>
    </w:pPr>
  </w:p>
  <w:p w:rsidR="00C46D9C" w:rsidRDefault="00C46D9C">
    <w:pPr>
      <w:pStyle w:val="Encabezado"/>
    </w:pPr>
  </w:p>
  <w:p w:rsidR="00C46D9C" w:rsidRDefault="00C46D9C">
    <w:pPr>
      <w:pStyle w:val="Encabezado"/>
      <w:pBdr>
        <w:bottom w:val="single" w:sz="12" w:space="1" w:color="auto"/>
      </w:pBdr>
    </w:pPr>
  </w:p>
  <w:p w:rsidR="00C46D9C" w:rsidRDefault="00C46D9C">
    <w:pPr>
      <w:pStyle w:val="Encabezado"/>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3BFF" w:rsidRDefault="00CC2414">
    <w:pPr>
      <w:pStyle w:val="Encabezado"/>
    </w:pPr>
    <w:r>
      <w:rPr>
        <w:noProof/>
        <w:lang w:eastAsia="es-C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9253500" o:spid="_x0000_s2127" type="#_x0000_t75" style="position:absolute;margin-left:0;margin-top:0;width:612pt;height:11in;z-index:-251658240;mso-position-horizontal:center;mso-position-horizontal-relative:margin;mso-position-vertical:center;mso-position-vertical-relative:margin" o:allowincell="f">
          <v:imagedata r:id="rId1" o:title="salim-01"/>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CA312B"/>
    <w:multiLevelType w:val="hybridMultilevel"/>
    <w:tmpl w:val="1B46AC50"/>
    <w:lvl w:ilvl="0" w:tplc="159EC79C">
      <w:start w:val="1"/>
      <w:numFmt w:val="decimal"/>
      <w:lvlText w:val="%1."/>
      <w:lvlJc w:val="left"/>
      <w:pPr>
        <w:ind w:left="1150" w:hanging="720"/>
      </w:pPr>
      <w:rPr>
        <w:rFonts w:hint="default"/>
      </w:rPr>
    </w:lvl>
    <w:lvl w:ilvl="1" w:tplc="04090019" w:tentative="1">
      <w:start w:val="1"/>
      <w:numFmt w:val="lowerLetter"/>
      <w:lvlText w:val="%2."/>
      <w:lvlJc w:val="left"/>
      <w:pPr>
        <w:ind w:left="1510" w:hanging="360"/>
      </w:pPr>
    </w:lvl>
    <w:lvl w:ilvl="2" w:tplc="0409001B" w:tentative="1">
      <w:start w:val="1"/>
      <w:numFmt w:val="lowerRoman"/>
      <w:lvlText w:val="%3."/>
      <w:lvlJc w:val="right"/>
      <w:pPr>
        <w:ind w:left="2230" w:hanging="180"/>
      </w:pPr>
    </w:lvl>
    <w:lvl w:ilvl="3" w:tplc="0409000F" w:tentative="1">
      <w:start w:val="1"/>
      <w:numFmt w:val="decimal"/>
      <w:lvlText w:val="%4."/>
      <w:lvlJc w:val="left"/>
      <w:pPr>
        <w:ind w:left="2950" w:hanging="360"/>
      </w:pPr>
    </w:lvl>
    <w:lvl w:ilvl="4" w:tplc="04090019" w:tentative="1">
      <w:start w:val="1"/>
      <w:numFmt w:val="lowerLetter"/>
      <w:lvlText w:val="%5."/>
      <w:lvlJc w:val="left"/>
      <w:pPr>
        <w:ind w:left="3670" w:hanging="360"/>
      </w:pPr>
    </w:lvl>
    <w:lvl w:ilvl="5" w:tplc="0409001B" w:tentative="1">
      <w:start w:val="1"/>
      <w:numFmt w:val="lowerRoman"/>
      <w:lvlText w:val="%6."/>
      <w:lvlJc w:val="right"/>
      <w:pPr>
        <w:ind w:left="4390" w:hanging="180"/>
      </w:pPr>
    </w:lvl>
    <w:lvl w:ilvl="6" w:tplc="0409000F" w:tentative="1">
      <w:start w:val="1"/>
      <w:numFmt w:val="decimal"/>
      <w:lvlText w:val="%7."/>
      <w:lvlJc w:val="left"/>
      <w:pPr>
        <w:ind w:left="5110" w:hanging="360"/>
      </w:pPr>
    </w:lvl>
    <w:lvl w:ilvl="7" w:tplc="04090019" w:tentative="1">
      <w:start w:val="1"/>
      <w:numFmt w:val="lowerLetter"/>
      <w:lvlText w:val="%8."/>
      <w:lvlJc w:val="left"/>
      <w:pPr>
        <w:ind w:left="5830" w:hanging="360"/>
      </w:pPr>
    </w:lvl>
    <w:lvl w:ilvl="8" w:tplc="0409001B" w:tentative="1">
      <w:start w:val="1"/>
      <w:numFmt w:val="lowerRoman"/>
      <w:lvlText w:val="%9."/>
      <w:lvlJc w:val="right"/>
      <w:pPr>
        <w:ind w:left="6550" w:hanging="180"/>
      </w:pPr>
    </w:lvl>
  </w:abstractNum>
  <w:abstractNum w:abstractNumId="1" w15:restartNumberingAfterBreak="0">
    <w:nsid w:val="054D1B2E"/>
    <w:multiLevelType w:val="hybridMultilevel"/>
    <w:tmpl w:val="C478AB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77C1627"/>
    <w:multiLevelType w:val="hybridMultilevel"/>
    <w:tmpl w:val="63229450"/>
    <w:lvl w:ilvl="0" w:tplc="159EC79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B1D3D2D"/>
    <w:multiLevelType w:val="multilevel"/>
    <w:tmpl w:val="5DBA07AE"/>
    <w:lvl w:ilvl="0">
      <w:start w:val="1"/>
      <w:numFmt w:val="decimal"/>
      <w:lvlText w:val="%1."/>
      <w:lvlJc w:val="left"/>
      <w:pPr>
        <w:ind w:left="720" w:hanging="360"/>
      </w:pPr>
    </w:lvl>
    <w:lvl w:ilvl="1">
      <w:start w:val="5"/>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 w15:restartNumberingAfterBreak="0">
    <w:nsid w:val="2F1F6DF9"/>
    <w:multiLevelType w:val="hybridMultilevel"/>
    <w:tmpl w:val="C352DB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83E62E7"/>
    <w:multiLevelType w:val="hybridMultilevel"/>
    <w:tmpl w:val="009CBA3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1D85609"/>
    <w:multiLevelType w:val="multilevel"/>
    <w:tmpl w:val="211EE40C"/>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 w15:restartNumberingAfterBreak="0">
    <w:nsid w:val="792E33CB"/>
    <w:multiLevelType w:val="hybridMultilevel"/>
    <w:tmpl w:val="575494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F175B3B"/>
    <w:multiLevelType w:val="hybridMultilevel"/>
    <w:tmpl w:val="4FFE2C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7"/>
  </w:num>
  <w:num w:numId="3">
    <w:abstractNumId w:val="8"/>
  </w:num>
  <w:num w:numId="4">
    <w:abstractNumId w:val="6"/>
  </w:num>
  <w:num w:numId="5">
    <w:abstractNumId w:val="5"/>
  </w:num>
  <w:num w:numId="6">
    <w:abstractNumId w:val="4"/>
  </w:num>
  <w:num w:numId="7">
    <w:abstractNumId w:val="2"/>
  </w:num>
  <w:num w:numId="8">
    <w:abstractNumId w:val="0"/>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13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3BFF"/>
    <w:rsid w:val="00042130"/>
    <w:rsid w:val="0004605A"/>
    <w:rsid w:val="00053547"/>
    <w:rsid w:val="000571E0"/>
    <w:rsid w:val="0006277A"/>
    <w:rsid w:val="000812B6"/>
    <w:rsid w:val="00087E7B"/>
    <w:rsid w:val="00124FED"/>
    <w:rsid w:val="00144446"/>
    <w:rsid w:val="00147EBE"/>
    <w:rsid w:val="00154E54"/>
    <w:rsid w:val="00167863"/>
    <w:rsid w:val="00175B3E"/>
    <w:rsid w:val="001B1723"/>
    <w:rsid w:val="001B30A2"/>
    <w:rsid w:val="001C4786"/>
    <w:rsid w:val="001C6682"/>
    <w:rsid w:val="001C6ED2"/>
    <w:rsid w:val="001E7717"/>
    <w:rsid w:val="001F2271"/>
    <w:rsid w:val="00282A01"/>
    <w:rsid w:val="00282C78"/>
    <w:rsid w:val="002869B3"/>
    <w:rsid w:val="002B5EDF"/>
    <w:rsid w:val="002D7CCD"/>
    <w:rsid w:val="003008C1"/>
    <w:rsid w:val="003070F0"/>
    <w:rsid w:val="00330696"/>
    <w:rsid w:val="00336DCF"/>
    <w:rsid w:val="00345569"/>
    <w:rsid w:val="00357587"/>
    <w:rsid w:val="00366B2E"/>
    <w:rsid w:val="0037550E"/>
    <w:rsid w:val="0039281E"/>
    <w:rsid w:val="003935EF"/>
    <w:rsid w:val="003969F1"/>
    <w:rsid w:val="003A19D6"/>
    <w:rsid w:val="003A422B"/>
    <w:rsid w:val="003B5552"/>
    <w:rsid w:val="003C5A36"/>
    <w:rsid w:val="003E678B"/>
    <w:rsid w:val="004107EA"/>
    <w:rsid w:val="00421323"/>
    <w:rsid w:val="00483BFF"/>
    <w:rsid w:val="00485D58"/>
    <w:rsid w:val="00496E01"/>
    <w:rsid w:val="004C3A9B"/>
    <w:rsid w:val="004C7499"/>
    <w:rsid w:val="004E47B3"/>
    <w:rsid w:val="004F7DF5"/>
    <w:rsid w:val="00502702"/>
    <w:rsid w:val="0052267D"/>
    <w:rsid w:val="00527AA4"/>
    <w:rsid w:val="0054068C"/>
    <w:rsid w:val="005429AA"/>
    <w:rsid w:val="00550825"/>
    <w:rsid w:val="00560DA8"/>
    <w:rsid w:val="005623BD"/>
    <w:rsid w:val="005644A0"/>
    <w:rsid w:val="00580198"/>
    <w:rsid w:val="005A6B49"/>
    <w:rsid w:val="005E665B"/>
    <w:rsid w:val="006078E8"/>
    <w:rsid w:val="006407D6"/>
    <w:rsid w:val="00646E9D"/>
    <w:rsid w:val="00654058"/>
    <w:rsid w:val="0067562A"/>
    <w:rsid w:val="00680A50"/>
    <w:rsid w:val="00697D30"/>
    <w:rsid w:val="006A5B0B"/>
    <w:rsid w:val="006B045E"/>
    <w:rsid w:val="006C2434"/>
    <w:rsid w:val="006C3FF5"/>
    <w:rsid w:val="006C4A59"/>
    <w:rsid w:val="006E01DA"/>
    <w:rsid w:val="00744E14"/>
    <w:rsid w:val="0079358B"/>
    <w:rsid w:val="007B1555"/>
    <w:rsid w:val="007D5775"/>
    <w:rsid w:val="007E4F67"/>
    <w:rsid w:val="007F1404"/>
    <w:rsid w:val="007F2518"/>
    <w:rsid w:val="007F58B3"/>
    <w:rsid w:val="00800447"/>
    <w:rsid w:val="008045E3"/>
    <w:rsid w:val="00841237"/>
    <w:rsid w:val="00842810"/>
    <w:rsid w:val="008544E4"/>
    <w:rsid w:val="008E12BF"/>
    <w:rsid w:val="0092560F"/>
    <w:rsid w:val="00934F2C"/>
    <w:rsid w:val="00943796"/>
    <w:rsid w:val="009A70D9"/>
    <w:rsid w:val="009D348B"/>
    <w:rsid w:val="009F414C"/>
    <w:rsid w:val="00A14EE4"/>
    <w:rsid w:val="00A804C7"/>
    <w:rsid w:val="00A85DDA"/>
    <w:rsid w:val="00AC271E"/>
    <w:rsid w:val="00AC7A14"/>
    <w:rsid w:val="00AD1CF9"/>
    <w:rsid w:val="00AE48CE"/>
    <w:rsid w:val="00B1378A"/>
    <w:rsid w:val="00B14B20"/>
    <w:rsid w:val="00B20F10"/>
    <w:rsid w:val="00B23DFB"/>
    <w:rsid w:val="00B348BA"/>
    <w:rsid w:val="00B4138D"/>
    <w:rsid w:val="00BA024E"/>
    <w:rsid w:val="00BB07D5"/>
    <w:rsid w:val="00BE0EB9"/>
    <w:rsid w:val="00BE29B3"/>
    <w:rsid w:val="00C13A1E"/>
    <w:rsid w:val="00C26AC1"/>
    <w:rsid w:val="00C354B5"/>
    <w:rsid w:val="00C35A57"/>
    <w:rsid w:val="00C46D9C"/>
    <w:rsid w:val="00CC2414"/>
    <w:rsid w:val="00CC5A97"/>
    <w:rsid w:val="00CD6554"/>
    <w:rsid w:val="00D60178"/>
    <w:rsid w:val="00D665D2"/>
    <w:rsid w:val="00D926FB"/>
    <w:rsid w:val="00DA5215"/>
    <w:rsid w:val="00DD0EC4"/>
    <w:rsid w:val="00E21074"/>
    <w:rsid w:val="00E30F3A"/>
    <w:rsid w:val="00E7481B"/>
    <w:rsid w:val="00E75581"/>
    <w:rsid w:val="00E8422B"/>
    <w:rsid w:val="00E86C8F"/>
    <w:rsid w:val="00E9498D"/>
    <w:rsid w:val="00ED7E12"/>
    <w:rsid w:val="00EE06F1"/>
    <w:rsid w:val="00EE3516"/>
    <w:rsid w:val="00F0188C"/>
    <w:rsid w:val="00F26CBE"/>
    <w:rsid w:val="00F3416B"/>
    <w:rsid w:val="00F508A1"/>
    <w:rsid w:val="00F86737"/>
    <w:rsid w:val="00F91201"/>
    <w:rsid w:val="00F94AE3"/>
    <w:rsid w:val="00FA45B0"/>
    <w:rsid w:val="00FB2287"/>
    <w:rsid w:val="00FB6419"/>
    <w:rsid w:val="00FC52EA"/>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130"/>
    <o:shapelayout v:ext="edit">
      <o:idmap v:ext="edit" data="1"/>
    </o:shapelayout>
  </w:shapeDefaults>
  <w:decimalSymbol w:val=","/>
  <w:listSeparator w:val=";"/>
  <w15:chartTrackingRefBased/>
  <w15:docId w15:val="{A50A65B9-BDDE-4444-A5A6-310534049F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F2271"/>
    <w:rPr>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83BFF"/>
    <w:pPr>
      <w:tabs>
        <w:tab w:val="center" w:pos="4419"/>
        <w:tab w:val="right" w:pos="8838"/>
      </w:tabs>
      <w:spacing w:after="0" w:line="240" w:lineRule="auto"/>
    </w:pPr>
    <w:rPr>
      <w:lang w:val="es-CO"/>
    </w:rPr>
  </w:style>
  <w:style w:type="character" w:customStyle="1" w:styleId="EncabezadoCar">
    <w:name w:val="Encabezado Car"/>
    <w:basedOn w:val="Fuentedeprrafopredeter"/>
    <w:link w:val="Encabezado"/>
    <w:uiPriority w:val="99"/>
    <w:rsid w:val="00483BFF"/>
  </w:style>
  <w:style w:type="paragraph" w:styleId="Piedepgina">
    <w:name w:val="footer"/>
    <w:basedOn w:val="Normal"/>
    <w:link w:val="PiedepginaCar"/>
    <w:uiPriority w:val="99"/>
    <w:unhideWhenUsed/>
    <w:rsid w:val="00483BFF"/>
    <w:pPr>
      <w:tabs>
        <w:tab w:val="center" w:pos="4419"/>
        <w:tab w:val="right" w:pos="8838"/>
      </w:tabs>
      <w:spacing w:after="0" w:line="240" w:lineRule="auto"/>
    </w:pPr>
    <w:rPr>
      <w:lang w:val="es-CO"/>
    </w:rPr>
  </w:style>
  <w:style w:type="character" w:customStyle="1" w:styleId="PiedepginaCar">
    <w:name w:val="Pie de página Car"/>
    <w:basedOn w:val="Fuentedeprrafopredeter"/>
    <w:link w:val="Piedepgina"/>
    <w:uiPriority w:val="99"/>
    <w:rsid w:val="00483BFF"/>
  </w:style>
  <w:style w:type="character" w:styleId="Hipervnculo">
    <w:name w:val="Hyperlink"/>
    <w:basedOn w:val="Fuentedeprrafopredeter"/>
    <w:uiPriority w:val="99"/>
    <w:unhideWhenUsed/>
    <w:rsid w:val="00AD1CF9"/>
    <w:rPr>
      <w:color w:val="0563C1" w:themeColor="hyperlink"/>
      <w:u w:val="single"/>
    </w:rPr>
  </w:style>
  <w:style w:type="paragraph" w:styleId="Prrafodelista">
    <w:name w:val="List Paragraph"/>
    <w:basedOn w:val="Normal"/>
    <w:uiPriority w:val="34"/>
    <w:qFormat/>
    <w:rsid w:val="001F2271"/>
    <w:pPr>
      <w:ind w:left="720"/>
      <w:contextualSpacing/>
    </w:pPr>
  </w:style>
  <w:style w:type="paragraph" w:styleId="Textonotapie">
    <w:name w:val="footnote text"/>
    <w:basedOn w:val="Normal"/>
    <w:link w:val="TextonotapieCar"/>
    <w:uiPriority w:val="99"/>
    <w:semiHidden/>
    <w:unhideWhenUsed/>
    <w:rsid w:val="001F2271"/>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1F2271"/>
    <w:rPr>
      <w:sz w:val="20"/>
      <w:szCs w:val="20"/>
      <w:lang w:val="en-US"/>
    </w:rPr>
  </w:style>
  <w:style w:type="character" w:styleId="Refdenotaalpie">
    <w:name w:val="footnote reference"/>
    <w:basedOn w:val="Fuentedeprrafopredeter"/>
    <w:uiPriority w:val="99"/>
    <w:semiHidden/>
    <w:unhideWhenUsed/>
    <w:rsid w:val="001F2271"/>
    <w:rPr>
      <w:vertAlign w:val="superscript"/>
    </w:rPr>
  </w:style>
  <w:style w:type="character" w:customStyle="1" w:styleId="A3">
    <w:name w:val="A3"/>
    <w:uiPriority w:val="99"/>
    <w:rsid w:val="00D665D2"/>
    <w:rPr>
      <w:i/>
      <w:iCs/>
      <w:color w:val="000000"/>
    </w:rPr>
  </w:style>
  <w:style w:type="table" w:styleId="Tablaconcuadrcula">
    <w:name w:val="Table Grid"/>
    <w:basedOn w:val="Tablanormal"/>
    <w:uiPriority w:val="39"/>
    <w:rsid w:val="00D665D2"/>
    <w:pPr>
      <w:spacing w:after="0" w:line="240" w:lineRule="auto"/>
    </w:pPr>
    <w:rPr>
      <w:rFonts w:ascii="Calibri" w:eastAsia="Calibri" w:hAnsi="Calibri" w:cs="Calibri"/>
      <w:lang w:eastAsia="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A14EE4"/>
    <w:pPr>
      <w:spacing w:after="0" w:line="240" w:lineRule="auto"/>
    </w:pPr>
    <w:rPr>
      <w:lang w:val="en-US"/>
    </w:rPr>
  </w:style>
  <w:style w:type="paragraph" w:customStyle="1" w:styleId="Pa23">
    <w:name w:val="Pa23"/>
    <w:basedOn w:val="Normal"/>
    <w:next w:val="Normal"/>
    <w:uiPriority w:val="99"/>
    <w:rsid w:val="00A14EE4"/>
    <w:pPr>
      <w:autoSpaceDE w:val="0"/>
      <w:autoSpaceDN w:val="0"/>
      <w:adjustRightInd w:val="0"/>
      <w:spacing w:after="0" w:line="231" w:lineRule="atLeast"/>
    </w:pPr>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chart" Target="charts/chart3.xml"/><Relationship Id="rId26" Type="http://schemas.openxmlformats.org/officeDocument/2006/relationships/image" Target="media/image10.png"/><Relationship Id="rId39" Type="http://schemas.openxmlformats.org/officeDocument/2006/relationships/image" Target="media/image21.png"/><Relationship Id="rId21" Type="http://schemas.openxmlformats.org/officeDocument/2006/relationships/chart" Target="charts/chart6.xml"/><Relationship Id="rId34" Type="http://schemas.openxmlformats.org/officeDocument/2006/relationships/image" Target="media/image17.png"/><Relationship Id="rId42"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chart" Target="charts/chart9.xml"/><Relationship Id="rId32" Type="http://schemas.openxmlformats.org/officeDocument/2006/relationships/image" Target="media/image15.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chart" Target="charts/chart8.xml"/><Relationship Id="rId28" Type="http://schemas.openxmlformats.org/officeDocument/2006/relationships/image" Target="media/image12.png"/><Relationship Id="rId36" Type="http://schemas.openxmlformats.org/officeDocument/2006/relationships/image" Target="media/image18.jpeg"/><Relationship Id="rId10" Type="http://schemas.openxmlformats.org/officeDocument/2006/relationships/image" Target="media/image2.png"/><Relationship Id="rId19" Type="http://schemas.openxmlformats.org/officeDocument/2006/relationships/chart" Target="charts/chart4.xml"/><Relationship Id="rId31" Type="http://schemas.openxmlformats.org/officeDocument/2006/relationships/image" Target="media/image14.png"/><Relationship Id="rId44"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chart" Target="charts/chart2.xml"/><Relationship Id="rId22" Type="http://schemas.openxmlformats.org/officeDocument/2006/relationships/chart" Target="charts/chart7.xml"/><Relationship Id="rId27" Type="http://schemas.openxmlformats.org/officeDocument/2006/relationships/image" Target="media/image11.png"/><Relationship Id="rId30" Type="http://schemas.openxmlformats.org/officeDocument/2006/relationships/chart" Target="charts/chart10.xml"/><Relationship Id="rId35" Type="http://schemas.openxmlformats.org/officeDocument/2006/relationships/chart" Target="charts/chart11.xml"/><Relationship Id="rId43" Type="http://schemas.openxmlformats.org/officeDocument/2006/relationships/header" Target="header2.xml"/><Relationship Id="rId8" Type="http://schemas.openxmlformats.org/officeDocument/2006/relationships/chart" Target="charts/chart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9.png"/><Relationship Id="rId33" Type="http://schemas.openxmlformats.org/officeDocument/2006/relationships/image" Target="media/image16.png"/><Relationship Id="rId38" Type="http://schemas.openxmlformats.org/officeDocument/2006/relationships/image" Target="media/image20.png"/><Relationship Id="rId46" Type="http://schemas.openxmlformats.org/officeDocument/2006/relationships/theme" Target="theme/theme1.xml"/><Relationship Id="rId20" Type="http://schemas.openxmlformats.org/officeDocument/2006/relationships/chart" Target="charts/chart5.xml"/><Relationship Id="rId41" Type="http://schemas.openxmlformats.org/officeDocument/2006/relationships/image" Target="media/image23.png"/></Relationships>
</file>

<file path=word/_rels/header1.xml.rels><?xml version="1.0" encoding="UTF-8" standalone="yes"?>
<Relationships xmlns="http://schemas.openxmlformats.org/package/2006/relationships"><Relationship Id="rId1" Type="http://schemas.openxmlformats.org/officeDocument/2006/relationships/image" Target="media/image24.png"/></Relationships>
</file>

<file path=word/_rels/header2.xml.rels><?xml version="1.0" encoding="UTF-8" standalone="yes"?>
<Relationships xmlns="http://schemas.openxmlformats.org/package/2006/relationships"><Relationship Id="rId1" Type="http://schemas.openxmlformats.org/officeDocument/2006/relationships/image" Target="media/image24.png"/></Relationships>
</file>

<file path=word/_rels/header3.xml.rels><?xml version="1.0" encoding="UTF-8" standalone="yes"?>
<Relationships xmlns="http://schemas.openxmlformats.org/package/2006/relationships"><Relationship Id="rId1" Type="http://schemas.openxmlformats.org/officeDocument/2006/relationships/image" Target="media/image24.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ARNULFO\Documents\2020%20SALIM%20VILLAMIL%20CAMARA\PROYECTOS%20DE%20LEY%20PROPIOS%20SALIM%202020\PROYECTO%20DE%20LEY%20FONDO%20DE%20REACTIVACION%20ECONOMICA%20DE%20SUCRE\DANE\Anexos%20Sucre\Estimaciones%20y%20proyecciones%20de%20poblaci&#243;n%20Sucre.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ARNULFO\Downloads\2018-provisional-PIB-total-por-departamento.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ARNULFO\Documents\2020%20SALIM%20VILLAMIL%20CAMARA\PROYECTOS%20DE%20LEY%20PROPIOS%20SALIM%202020\PROYECTO%20DE%20LEY%20FONDO%20DE%20REACTIVACION%20ECONOMICA%20DE%20SUCRE\DANE\Anexos%20Sucre\Sucre%20GEIH.xls" TargetMode="External"/><Relationship Id="rId2" Type="http://schemas.microsoft.com/office/2011/relationships/chartColorStyle" Target="colors11.xml"/><Relationship Id="rId1" Type="http://schemas.microsoft.com/office/2011/relationships/chartStyle" Target="style11.xml"/></Relationships>
</file>

<file path=word/charts/_rels/chart2.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ARNULFO\Documents\2020%20SALIM%20VILLAMIL%20CAMARA\PROYECTOS%20DE%20LEY%20PROPIOS%20SALIM%202020\PROYECTO%20DE%20LEY%20FONDO%20DE%20REACTIVACION%20ECONOMICA%20DE%20SUCRE\GRAFICOS%20INDICADORES%20DE%20COMPETITIVIDAD%20SUCRE.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ARNULFO\Documents\2020%20SALIM%20VILLAMIL%20CAMARA\PROYECTOS%20DE%20LEY%20PROPIOS%20SALIM%202020\PROYECTO%20DE%20LEY%20FONDO%20DE%20REACTIVACION%20ECONOMICA%20DE%20SUCRE\GRAFICOS%20INDICADORES%20DE%20COMPETITIVIDAD%20SUCRE.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ARNULFO\Documents\2020%20SALIM%20VILLAMIL%20CAMARA\PROYECTOS%20DE%20LEY%20PROPIOS%20SALIM%202020\PROYECTO%20DE%20LEY%20FONDO%20DE%20REACTIVACION%20ECONOMICA%20DE%20SUCRE\GRAFICOS%20INDICADORES%20DE%20COMPETITIVIDAD%20SUCRE.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ARNULFO\Documents\2020%20SALIM%20VILLAMIL%20CAMARA\PROYECTOS%20DE%20LEY%20PROPIOS%20SALIM%202020\PROYECTO%20DE%20LEY%20FONDO%20DE%20REACTIVACION%20ECONOMICA%20DE%20SUCRE\GRAFICOS%20INDICADORES%20DE%20COMPETITIVIDAD%20SUCRE.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ARNULFO\Documents\2020%20SALIM%20VILLAMIL%20CAMARA\PROYECTOS%20DE%20LEY%20PROPIOS%20SALIM%202020\PROYECTO%20DE%20LEY%20FONDO%20DE%20REACTIVACION%20ECONOMICA%20DE%20SUCRE\GRAFICOS%20INDICADORES%20DE%20COMPETITIVIDAD%20SUCRE.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ARNULFO\Documents\2020%20SALIM%20VILLAMIL%20CAMARA\PROYECTOS%20DE%20LEY%20PROPIOS%20SALIM%202020\PROYECTO%20DE%20LEY%20FONDO%20DE%20REACTIVACION%20ECONOMICA%20DE%20SUCRE\GRAFICOS%20INDICADORES%20DE%20COMPETITIVIDAD%20SUCRE.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B22B-4EB4-848E-6DA956A02B13}"/>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B22B-4EB4-848E-6DA956A02B13}"/>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CO"/>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'Estimaciones y proyecciones'!$K$43:$K$44</c:f>
              <c:strCache>
                <c:ptCount val="2"/>
                <c:pt idx="0">
                  <c:v>CABECERA MUNICIPAL</c:v>
                </c:pt>
                <c:pt idx="1">
                  <c:v>CENTROS POBLADOS Y RURAL DISPERSA</c:v>
                </c:pt>
              </c:strCache>
            </c:strRef>
          </c:cat>
          <c:val>
            <c:numRef>
              <c:f>'Estimaciones y proyecciones'!$L$43:$L$44</c:f>
              <c:numCache>
                <c:formatCode>_-* #,##0\ _€_-;\-* #,##0\ _€_-;_-* "-"??\ _€_-;_-@_-</c:formatCode>
                <c:ptCount val="2"/>
                <c:pt idx="0">
                  <c:v>591085</c:v>
                </c:pt>
                <c:pt idx="1">
                  <c:v>358167</c:v>
                </c:pt>
              </c:numCache>
            </c:numRef>
          </c:val>
          <c:extLst>
            <c:ext xmlns:c16="http://schemas.microsoft.com/office/drawing/2014/chart" uri="{C3380CC4-5D6E-409C-BE32-E72D297353CC}">
              <c16:uniqueId val="{00000004-B22B-4EB4-848E-6DA956A02B13}"/>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CO"/>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CO"/>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'[2018-provisional-PIB-total-por-departamento.xlsx]Cuadro 1'!$S$51</c:f>
              <c:strCache>
                <c:ptCount val="1"/>
                <c:pt idx="0">
                  <c:v>Atlántico</c:v>
                </c:pt>
              </c:strCache>
            </c:strRef>
          </c:tx>
          <c:spPr>
            <a:ln w="22225" cap="rnd" cmpd="sng" algn="ctr">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s-CO"/>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'[2018-provisional-PIB-total-por-departamento.xlsx]Cuadro 1'!$T$50:$AG$50</c:f>
              <c:numCache>
                <c:formatCode>General</c:formatCode>
                <c:ptCount val="6"/>
                <c:pt idx="0">
                  <c:v>2013</c:v>
                </c:pt>
                <c:pt idx="1">
                  <c:v>2014</c:v>
                </c:pt>
                <c:pt idx="2">
                  <c:v>2015</c:v>
                </c:pt>
                <c:pt idx="3">
                  <c:v>2016</c:v>
                </c:pt>
                <c:pt idx="4">
                  <c:v>2017</c:v>
                </c:pt>
                <c:pt idx="5">
                  <c:v>2018</c:v>
                </c:pt>
              </c:numCache>
            </c:numRef>
          </c:cat>
          <c:val>
            <c:numRef>
              <c:f>'[2018-provisional-PIB-total-por-departamento.xlsx]Cuadro 1'!$T$51:$AG$51</c:f>
              <c:numCache>
                <c:formatCode>_(* #,##0.0_);_(* \(#,##0.0\);_(* "-"??_);_(@_)</c:formatCode>
                <c:ptCount val="6"/>
                <c:pt idx="0">
                  <c:v>4.0768397150913405</c:v>
                </c:pt>
                <c:pt idx="1">
                  <c:v>4.2446635908541532</c:v>
                </c:pt>
                <c:pt idx="2">
                  <c:v>4.4385051286570976</c:v>
                </c:pt>
                <c:pt idx="3">
                  <c:v>4.4658644305061035</c:v>
                </c:pt>
                <c:pt idx="4">
                  <c:v>4.4406374810188929</c:v>
                </c:pt>
                <c:pt idx="5">
                  <c:v>4.4046102923371278</c:v>
                </c:pt>
              </c:numCache>
            </c:numRef>
          </c:val>
          <c:smooth val="0"/>
          <c:extLst>
            <c:ext xmlns:c16="http://schemas.microsoft.com/office/drawing/2014/chart" uri="{C3380CC4-5D6E-409C-BE32-E72D297353CC}">
              <c16:uniqueId val="{00000000-CECB-4569-AA50-0FA6056750C3}"/>
            </c:ext>
          </c:extLst>
        </c:ser>
        <c:ser>
          <c:idx val="1"/>
          <c:order val="1"/>
          <c:tx>
            <c:strRef>
              <c:f>'[2018-provisional-PIB-total-por-departamento.xlsx]Cuadro 1'!$S$52</c:f>
              <c:strCache>
                <c:ptCount val="1"/>
                <c:pt idx="0">
                  <c:v>Bolívar</c:v>
                </c:pt>
              </c:strCache>
            </c:strRef>
          </c:tx>
          <c:spPr>
            <a:ln w="22225" cap="rnd" cmpd="sng" algn="ctr">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s-CO"/>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'[2018-provisional-PIB-total-por-departamento.xlsx]Cuadro 1'!$T$50:$AG$50</c:f>
              <c:numCache>
                <c:formatCode>General</c:formatCode>
                <c:ptCount val="6"/>
                <c:pt idx="0">
                  <c:v>2013</c:v>
                </c:pt>
                <c:pt idx="1">
                  <c:v>2014</c:v>
                </c:pt>
                <c:pt idx="2">
                  <c:v>2015</c:v>
                </c:pt>
                <c:pt idx="3">
                  <c:v>2016</c:v>
                </c:pt>
                <c:pt idx="4">
                  <c:v>2017</c:v>
                </c:pt>
                <c:pt idx="5">
                  <c:v>2018</c:v>
                </c:pt>
              </c:numCache>
            </c:numRef>
          </c:cat>
          <c:val>
            <c:numRef>
              <c:f>'[2018-provisional-PIB-total-por-departamento.xlsx]Cuadro 1'!$T$52:$AG$52</c:f>
              <c:numCache>
                <c:formatCode>_(* #,##0.0_);_(* \(#,##0.0\);_(* "-"??_);_(@_)</c:formatCode>
                <c:ptCount val="6"/>
                <c:pt idx="0">
                  <c:v>3.6211954269413655</c:v>
                </c:pt>
                <c:pt idx="1">
                  <c:v>3.4897572019991352</c:v>
                </c:pt>
                <c:pt idx="2">
                  <c:v>3.4926669195526712</c:v>
                </c:pt>
                <c:pt idx="3">
                  <c:v>3.5793590101893336</c:v>
                </c:pt>
                <c:pt idx="4">
                  <c:v>3.6279014243777143</c:v>
                </c:pt>
                <c:pt idx="5">
                  <c:v>3.5965093181167274</c:v>
                </c:pt>
              </c:numCache>
            </c:numRef>
          </c:val>
          <c:smooth val="0"/>
          <c:extLst>
            <c:ext xmlns:c16="http://schemas.microsoft.com/office/drawing/2014/chart" uri="{C3380CC4-5D6E-409C-BE32-E72D297353CC}">
              <c16:uniqueId val="{00000001-CECB-4569-AA50-0FA6056750C3}"/>
            </c:ext>
          </c:extLst>
        </c:ser>
        <c:ser>
          <c:idx val="2"/>
          <c:order val="2"/>
          <c:tx>
            <c:strRef>
              <c:f>'[2018-provisional-PIB-total-por-departamento.xlsx]Cuadro 1'!$S$53</c:f>
              <c:strCache>
                <c:ptCount val="1"/>
                <c:pt idx="0">
                  <c:v>Cesar</c:v>
                </c:pt>
              </c:strCache>
            </c:strRef>
          </c:tx>
          <c:spPr>
            <a:ln w="22225" cap="rnd" cmpd="sng" algn="ctr">
              <a:solidFill>
                <a:schemeClr val="accent3"/>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s-CO"/>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'[2018-provisional-PIB-total-por-departamento.xlsx]Cuadro 1'!$T$50:$AG$50</c:f>
              <c:numCache>
                <c:formatCode>General</c:formatCode>
                <c:ptCount val="6"/>
                <c:pt idx="0">
                  <c:v>2013</c:v>
                </c:pt>
                <c:pt idx="1">
                  <c:v>2014</c:v>
                </c:pt>
                <c:pt idx="2">
                  <c:v>2015</c:v>
                </c:pt>
                <c:pt idx="3">
                  <c:v>2016</c:v>
                </c:pt>
                <c:pt idx="4">
                  <c:v>2017</c:v>
                </c:pt>
                <c:pt idx="5">
                  <c:v>2018</c:v>
                </c:pt>
              </c:numCache>
            </c:numRef>
          </c:cat>
          <c:val>
            <c:numRef>
              <c:f>'[2018-provisional-PIB-total-por-departamento.xlsx]Cuadro 1'!$T$53:$AG$53</c:f>
              <c:numCache>
                <c:formatCode>_(* #,##0.0_);_(* \(#,##0.0\);_(* "-"??_);_(@_)</c:formatCode>
                <c:ptCount val="6"/>
                <c:pt idx="0">
                  <c:v>1.8741290263217476</c:v>
                </c:pt>
                <c:pt idx="1">
                  <c:v>1.7896871789689091</c:v>
                </c:pt>
                <c:pt idx="2">
                  <c:v>1.8106806696359872</c:v>
                </c:pt>
                <c:pt idx="3">
                  <c:v>1.9671748775657378</c:v>
                </c:pt>
                <c:pt idx="4">
                  <c:v>2.1239791335045473</c:v>
                </c:pt>
                <c:pt idx="5">
                  <c:v>2.1640705991675664</c:v>
                </c:pt>
              </c:numCache>
            </c:numRef>
          </c:val>
          <c:smooth val="0"/>
          <c:extLst>
            <c:ext xmlns:c16="http://schemas.microsoft.com/office/drawing/2014/chart" uri="{C3380CC4-5D6E-409C-BE32-E72D297353CC}">
              <c16:uniqueId val="{00000002-CECB-4569-AA50-0FA6056750C3}"/>
            </c:ext>
          </c:extLst>
        </c:ser>
        <c:ser>
          <c:idx val="3"/>
          <c:order val="3"/>
          <c:tx>
            <c:strRef>
              <c:f>'[2018-provisional-PIB-total-por-departamento.xlsx]Cuadro 1'!$S$54</c:f>
              <c:strCache>
                <c:ptCount val="1"/>
                <c:pt idx="0">
                  <c:v>Magdalena</c:v>
                </c:pt>
              </c:strCache>
            </c:strRef>
          </c:tx>
          <c:spPr>
            <a:ln w="22225" cap="rnd" cmpd="sng" algn="ctr">
              <a:solidFill>
                <a:schemeClr val="accent4"/>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s-CO"/>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'[2018-provisional-PIB-total-por-departamento.xlsx]Cuadro 1'!$T$50:$AG$50</c:f>
              <c:numCache>
                <c:formatCode>General</c:formatCode>
                <c:ptCount val="6"/>
                <c:pt idx="0">
                  <c:v>2013</c:v>
                </c:pt>
                <c:pt idx="1">
                  <c:v>2014</c:v>
                </c:pt>
                <c:pt idx="2">
                  <c:v>2015</c:v>
                </c:pt>
                <c:pt idx="3">
                  <c:v>2016</c:v>
                </c:pt>
                <c:pt idx="4">
                  <c:v>2017</c:v>
                </c:pt>
                <c:pt idx="5">
                  <c:v>2018</c:v>
                </c:pt>
              </c:numCache>
            </c:numRef>
          </c:cat>
          <c:val>
            <c:numRef>
              <c:f>'[2018-provisional-PIB-total-por-departamento.xlsx]Cuadro 1'!$T$54:$AG$54</c:f>
              <c:numCache>
                <c:formatCode>_(* #,##0.0_);_(* \(#,##0.0\);_(* "-"??_);_(@_)</c:formatCode>
                <c:ptCount val="6"/>
                <c:pt idx="0">
                  <c:v>1.3050291607904358</c:v>
                </c:pt>
                <c:pt idx="1">
                  <c:v>1.2517639947522099</c:v>
                </c:pt>
                <c:pt idx="2">
                  <c:v>1.3065343572737198</c:v>
                </c:pt>
                <c:pt idx="3">
                  <c:v>1.3535511762155046</c:v>
                </c:pt>
                <c:pt idx="4">
                  <c:v>1.3495571130001058</c:v>
                </c:pt>
                <c:pt idx="5">
                  <c:v>1.3354543191121704</c:v>
                </c:pt>
              </c:numCache>
            </c:numRef>
          </c:val>
          <c:smooth val="0"/>
          <c:extLst>
            <c:ext xmlns:c16="http://schemas.microsoft.com/office/drawing/2014/chart" uri="{C3380CC4-5D6E-409C-BE32-E72D297353CC}">
              <c16:uniqueId val="{00000003-CECB-4569-AA50-0FA6056750C3}"/>
            </c:ext>
          </c:extLst>
        </c:ser>
        <c:ser>
          <c:idx val="4"/>
          <c:order val="4"/>
          <c:tx>
            <c:strRef>
              <c:f>'[2018-provisional-PIB-total-por-departamento.xlsx]Cuadro 1'!$S$55</c:f>
              <c:strCache>
                <c:ptCount val="1"/>
                <c:pt idx="0">
                  <c:v>Córdoba</c:v>
                </c:pt>
              </c:strCache>
            </c:strRef>
          </c:tx>
          <c:spPr>
            <a:ln w="22225" cap="rnd" cmpd="sng" algn="ctr">
              <a:solidFill>
                <a:schemeClr val="accent5"/>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s-CO"/>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'[2018-provisional-PIB-total-por-departamento.xlsx]Cuadro 1'!$T$50:$AG$50</c:f>
              <c:numCache>
                <c:formatCode>General</c:formatCode>
                <c:ptCount val="6"/>
                <c:pt idx="0">
                  <c:v>2013</c:v>
                </c:pt>
                <c:pt idx="1">
                  <c:v>2014</c:v>
                </c:pt>
                <c:pt idx="2">
                  <c:v>2015</c:v>
                </c:pt>
                <c:pt idx="3">
                  <c:v>2016</c:v>
                </c:pt>
                <c:pt idx="4">
                  <c:v>2017</c:v>
                </c:pt>
                <c:pt idx="5">
                  <c:v>2018</c:v>
                </c:pt>
              </c:numCache>
            </c:numRef>
          </c:cat>
          <c:val>
            <c:numRef>
              <c:f>'[2018-provisional-PIB-total-por-departamento.xlsx]Cuadro 1'!$T$55:$AG$55</c:f>
              <c:numCache>
                <c:formatCode>_(* #,##0.0_);_(* \(#,##0.0\);_(* "-"??_);_(@_)</c:formatCode>
                <c:ptCount val="6"/>
                <c:pt idx="0">
                  <c:v>1.6379607617896645</c:v>
                </c:pt>
                <c:pt idx="1">
                  <c:v>1.6925772726202282</c:v>
                </c:pt>
                <c:pt idx="2">
                  <c:v>1.6971173194381701</c:v>
                </c:pt>
                <c:pt idx="3">
                  <c:v>1.6973721292642783</c:v>
                </c:pt>
                <c:pt idx="4">
                  <c:v>1.7157046369388778</c:v>
                </c:pt>
                <c:pt idx="5">
                  <c:v>1.6898860786866237</c:v>
                </c:pt>
              </c:numCache>
            </c:numRef>
          </c:val>
          <c:smooth val="0"/>
          <c:extLst>
            <c:ext xmlns:c16="http://schemas.microsoft.com/office/drawing/2014/chart" uri="{C3380CC4-5D6E-409C-BE32-E72D297353CC}">
              <c16:uniqueId val="{00000004-CECB-4569-AA50-0FA6056750C3}"/>
            </c:ext>
          </c:extLst>
        </c:ser>
        <c:ser>
          <c:idx val="5"/>
          <c:order val="5"/>
          <c:tx>
            <c:strRef>
              <c:f>'[2018-provisional-PIB-total-por-departamento.xlsx]Cuadro 1'!$S$56</c:f>
              <c:strCache>
                <c:ptCount val="1"/>
                <c:pt idx="0">
                  <c:v>La Guajira</c:v>
                </c:pt>
              </c:strCache>
            </c:strRef>
          </c:tx>
          <c:spPr>
            <a:ln w="22225" cap="rnd" cmpd="sng" algn="ctr">
              <a:solidFill>
                <a:schemeClr val="accent6"/>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s-CO"/>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'[2018-provisional-PIB-total-por-departamento.xlsx]Cuadro 1'!$T$50:$AG$50</c:f>
              <c:numCache>
                <c:formatCode>General</c:formatCode>
                <c:ptCount val="6"/>
                <c:pt idx="0">
                  <c:v>2013</c:v>
                </c:pt>
                <c:pt idx="1">
                  <c:v>2014</c:v>
                </c:pt>
                <c:pt idx="2">
                  <c:v>2015</c:v>
                </c:pt>
                <c:pt idx="3">
                  <c:v>2016</c:v>
                </c:pt>
                <c:pt idx="4">
                  <c:v>2017</c:v>
                </c:pt>
                <c:pt idx="5">
                  <c:v>2018</c:v>
                </c:pt>
              </c:numCache>
            </c:numRef>
          </c:cat>
          <c:val>
            <c:numRef>
              <c:f>'[2018-provisional-PIB-total-por-departamento.xlsx]Cuadro 1'!$T$56:$AG$56</c:f>
              <c:numCache>
                <c:formatCode>_(* #,##0.0_);_(* \(#,##0.0\);_(* "-"??_);_(@_)</c:formatCode>
                <c:ptCount val="6"/>
                <c:pt idx="0">
                  <c:v>1.1466070606387764</c:v>
                </c:pt>
                <c:pt idx="1">
                  <c:v>1.0959408643870383</c:v>
                </c:pt>
                <c:pt idx="2">
                  <c:v>1.0769106813806151</c:v>
                </c:pt>
                <c:pt idx="3">
                  <c:v>1.0931316813008842</c:v>
                </c:pt>
                <c:pt idx="4">
                  <c:v>1.1716402687267919</c:v>
                </c:pt>
                <c:pt idx="5">
                  <c:v>1.2026082026370746</c:v>
                </c:pt>
              </c:numCache>
            </c:numRef>
          </c:val>
          <c:smooth val="0"/>
          <c:extLst>
            <c:ext xmlns:c16="http://schemas.microsoft.com/office/drawing/2014/chart" uri="{C3380CC4-5D6E-409C-BE32-E72D297353CC}">
              <c16:uniqueId val="{00000005-CECB-4569-AA50-0FA6056750C3}"/>
            </c:ext>
          </c:extLst>
        </c:ser>
        <c:ser>
          <c:idx val="6"/>
          <c:order val="6"/>
          <c:tx>
            <c:strRef>
              <c:f>'[2018-provisional-PIB-total-por-departamento.xlsx]Cuadro 1'!$S$57</c:f>
              <c:strCache>
                <c:ptCount val="1"/>
                <c:pt idx="0">
                  <c:v>Sucre</c:v>
                </c:pt>
              </c:strCache>
            </c:strRef>
          </c:tx>
          <c:spPr>
            <a:ln w="22225" cap="rnd" cmpd="sng" algn="ctr">
              <a:solidFill>
                <a:schemeClr val="accent1">
                  <a:lumMod val="60000"/>
                </a:schemeClr>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s-CO"/>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'[2018-provisional-PIB-total-por-departamento.xlsx]Cuadro 1'!$T$50:$AG$50</c:f>
              <c:numCache>
                <c:formatCode>General</c:formatCode>
                <c:ptCount val="6"/>
                <c:pt idx="0">
                  <c:v>2013</c:v>
                </c:pt>
                <c:pt idx="1">
                  <c:v>2014</c:v>
                </c:pt>
                <c:pt idx="2">
                  <c:v>2015</c:v>
                </c:pt>
                <c:pt idx="3">
                  <c:v>2016</c:v>
                </c:pt>
                <c:pt idx="4">
                  <c:v>2017</c:v>
                </c:pt>
                <c:pt idx="5">
                  <c:v>2018</c:v>
                </c:pt>
              </c:numCache>
            </c:numRef>
          </c:cat>
          <c:val>
            <c:numRef>
              <c:f>'[2018-provisional-PIB-total-por-departamento.xlsx]Cuadro 1'!$T$57:$AG$57</c:f>
              <c:numCache>
                <c:formatCode>_(* #,##0.0_);_(* \(#,##0.0\);_(* "-"??_);_(@_)</c:formatCode>
                <c:ptCount val="6"/>
                <c:pt idx="0">
                  <c:v>0.76745019783392265</c:v>
                </c:pt>
                <c:pt idx="1">
                  <c:v>0.79810665858246344</c:v>
                </c:pt>
                <c:pt idx="2">
                  <c:v>0.81737127744298776</c:v>
                </c:pt>
                <c:pt idx="3">
                  <c:v>0.83196195581716881</c:v>
                </c:pt>
                <c:pt idx="4">
                  <c:v>0.83675502038849137</c:v>
                </c:pt>
                <c:pt idx="5">
                  <c:v>0.82522957597394209</c:v>
                </c:pt>
              </c:numCache>
            </c:numRef>
          </c:val>
          <c:smooth val="0"/>
          <c:extLst>
            <c:ext xmlns:c16="http://schemas.microsoft.com/office/drawing/2014/chart" uri="{C3380CC4-5D6E-409C-BE32-E72D297353CC}">
              <c16:uniqueId val="{00000006-CECB-4569-AA50-0FA6056750C3}"/>
            </c:ext>
          </c:extLst>
        </c:ser>
        <c:dLbls>
          <c:dLblPos val="ctr"/>
          <c:showLegendKey val="0"/>
          <c:showVal val="1"/>
          <c:showCatName val="0"/>
          <c:showSerName val="0"/>
          <c:showPercent val="0"/>
          <c:showBubbleSize val="0"/>
        </c:dLbls>
        <c:dropLines>
          <c:spPr>
            <a:ln w="9525" cap="flat" cmpd="sng" algn="ctr">
              <a:solidFill>
                <a:schemeClr val="dk1">
                  <a:lumMod val="35000"/>
                  <a:lumOff val="65000"/>
                  <a:alpha val="33000"/>
                </a:schemeClr>
              </a:solidFill>
              <a:round/>
            </a:ln>
            <a:effectLst/>
          </c:spPr>
        </c:dropLines>
        <c:smooth val="0"/>
        <c:axId val="330465632"/>
        <c:axId val="330461712"/>
      </c:lineChart>
      <c:catAx>
        <c:axId val="330465632"/>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es-CO"/>
          </a:p>
        </c:txPr>
        <c:crossAx val="330461712"/>
        <c:crosses val="autoZero"/>
        <c:auto val="1"/>
        <c:lblAlgn val="ctr"/>
        <c:lblOffset val="100"/>
        <c:noMultiLvlLbl val="0"/>
      </c:catAx>
      <c:valAx>
        <c:axId val="330461712"/>
        <c:scaling>
          <c:orientation val="minMax"/>
        </c:scaling>
        <c:delete val="0"/>
        <c:axPos val="l"/>
        <c:numFmt formatCode="_(* #,##0.0_);_(* \(#,##0.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es-CO"/>
          </a:p>
        </c:txPr>
        <c:crossAx val="330465632"/>
        <c:crosses val="autoZero"/>
        <c:crossBetween val="between"/>
      </c:valAx>
      <c:spPr>
        <a:gradFill>
          <a:gsLst>
            <a:gs pos="100000">
              <a:schemeClr val="lt1">
                <a:lumMod val="95000"/>
              </a:schemeClr>
            </a:gs>
            <a:gs pos="0">
              <a:schemeClr val="lt1"/>
            </a:gs>
          </a:gsLst>
          <a:lin ang="5400000" scaled="0"/>
        </a:grad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CO"/>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s-CO"/>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Informalidad!$C$24:$N$24</c:f>
              <c:numCache>
                <c:formatCode>0.0</c:formatCode>
                <c:ptCount val="12"/>
                <c:pt idx="0">
                  <c:v>80.45287493463546</c:v>
                </c:pt>
                <c:pt idx="1">
                  <c:v>83.17866562469473</c:v>
                </c:pt>
                <c:pt idx="2">
                  <c:v>81.950418048563563</c:v>
                </c:pt>
                <c:pt idx="3">
                  <c:v>81.252997563580323</c:v>
                </c:pt>
                <c:pt idx="4">
                  <c:v>82.07128088599562</c:v>
                </c:pt>
                <c:pt idx="5">
                  <c:v>79.282922655319538</c:v>
                </c:pt>
                <c:pt idx="6">
                  <c:v>78.347513420439583</c:v>
                </c:pt>
                <c:pt idx="7">
                  <c:v>78.243672015787482</c:v>
                </c:pt>
                <c:pt idx="8">
                  <c:v>78.47530073665429</c:v>
                </c:pt>
                <c:pt idx="9">
                  <c:v>79.33471482941232</c:v>
                </c:pt>
                <c:pt idx="10">
                  <c:v>78.966663671488902</c:v>
                </c:pt>
                <c:pt idx="11">
                  <c:v>78.864388621500183</c:v>
                </c:pt>
              </c:numCache>
            </c:numRef>
          </c:val>
          <c:smooth val="0"/>
          <c:extLst>
            <c:ext xmlns:c16="http://schemas.microsoft.com/office/drawing/2014/chart" uri="{C3380CC4-5D6E-409C-BE32-E72D297353CC}">
              <c16:uniqueId val="{00000000-C976-47DA-85D3-965FFC21387A}"/>
            </c:ext>
          </c:extLst>
        </c:ser>
        <c:dLbls>
          <c:dLblPos val="t"/>
          <c:showLegendKey val="0"/>
          <c:showVal val="1"/>
          <c:showCatName val="0"/>
          <c:showSerName val="0"/>
          <c:showPercent val="0"/>
          <c:showBubbleSize val="0"/>
        </c:dLbls>
        <c:smooth val="0"/>
        <c:axId val="330456224"/>
        <c:axId val="330463280"/>
      </c:lineChart>
      <c:catAx>
        <c:axId val="330456224"/>
        <c:scaling>
          <c:orientation val="minMax"/>
        </c:scaling>
        <c:delete val="1"/>
        <c:axPos val="b"/>
        <c:majorTickMark val="none"/>
        <c:minorTickMark val="none"/>
        <c:tickLblPos val="nextTo"/>
        <c:crossAx val="330463280"/>
        <c:crosses val="autoZero"/>
        <c:auto val="1"/>
        <c:lblAlgn val="ctr"/>
        <c:lblOffset val="100"/>
        <c:noMultiLvlLbl val="0"/>
      </c:catAx>
      <c:valAx>
        <c:axId val="330463280"/>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crossAx val="3304562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r>
              <a:rPr lang="en-US"/>
              <a:t>Incidencia</a:t>
            </a:r>
            <a:r>
              <a:rPr lang="en-US" baseline="0"/>
              <a:t> de Pobreza Multidimensional</a:t>
            </a:r>
            <a:endParaRPr lang="en-US"/>
          </a:p>
        </c:rich>
      </c:tx>
      <c:overlay val="0"/>
      <c:spPr>
        <a:noFill/>
        <a:ln>
          <a:noFill/>
        </a:ln>
        <a:effectLst/>
      </c:spPr>
      <c:txPr>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endParaRPr lang="es-CO"/>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Hoja1!$A$2:$A$16</c:f>
              <c:strCache>
                <c:ptCount val="15"/>
                <c:pt idx="0">
                  <c:v>Analfabetismo</c:v>
                </c:pt>
                <c:pt idx="1">
                  <c:v>Bajo logro educativo</c:v>
                </c:pt>
                <c:pt idx="2">
                  <c:v>Barreras a servicios para cuidado de la primera infancia</c:v>
                </c:pt>
                <c:pt idx="3">
                  <c:v>Barreras de acceso a servicios de salud</c:v>
                </c:pt>
                <c:pt idx="4">
                  <c:v>Desempleo de larga duración</c:v>
                </c:pt>
                <c:pt idx="5">
                  <c:v>Hacinamiento crítico</c:v>
                </c:pt>
                <c:pt idx="6">
                  <c:v>Inadecuada eliminación de excretas</c:v>
                </c:pt>
                <c:pt idx="7">
                  <c:v>Inasistencia escolar</c:v>
                </c:pt>
                <c:pt idx="8">
                  <c:v>Material inadecuado de paredes exteriores</c:v>
                </c:pt>
                <c:pt idx="9">
                  <c:v>Material inadecuado de pisos</c:v>
                </c:pt>
                <c:pt idx="10">
                  <c:v>Rezago escolar</c:v>
                </c:pt>
                <c:pt idx="11">
                  <c:v>Sin acceso a fuente de agua mejorada</c:v>
                </c:pt>
                <c:pt idx="12">
                  <c:v>Sin aseguramiento en salud</c:v>
                </c:pt>
                <c:pt idx="13">
                  <c:v>Trabajo infantil</c:v>
                </c:pt>
                <c:pt idx="14">
                  <c:v>Trabajo informal</c:v>
                </c:pt>
              </c:strCache>
            </c:strRef>
          </c:cat>
          <c:val>
            <c:numRef>
              <c:f>Hoja1!$B$2:$B$16</c:f>
              <c:numCache>
                <c:formatCode>0.0</c:formatCode>
                <c:ptCount val="15"/>
                <c:pt idx="0">
                  <c:v>18.600000000000001</c:v>
                </c:pt>
                <c:pt idx="1">
                  <c:v>50.3</c:v>
                </c:pt>
                <c:pt idx="2">
                  <c:v>10.9</c:v>
                </c:pt>
                <c:pt idx="3">
                  <c:v>9.6999999999999993</c:v>
                </c:pt>
                <c:pt idx="4">
                  <c:v>9.5</c:v>
                </c:pt>
                <c:pt idx="5">
                  <c:v>17.2</c:v>
                </c:pt>
                <c:pt idx="6">
                  <c:v>27.2</c:v>
                </c:pt>
                <c:pt idx="7">
                  <c:v>4.8</c:v>
                </c:pt>
                <c:pt idx="8">
                  <c:v>4.0999999999999996</c:v>
                </c:pt>
                <c:pt idx="9">
                  <c:v>18.600000000000001</c:v>
                </c:pt>
                <c:pt idx="10">
                  <c:v>34.9</c:v>
                </c:pt>
                <c:pt idx="11">
                  <c:v>16.5</c:v>
                </c:pt>
                <c:pt idx="12">
                  <c:v>13.4</c:v>
                </c:pt>
                <c:pt idx="13">
                  <c:v>2.6</c:v>
                </c:pt>
                <c:pt idx="14">
                  <c:v>85.9</c:v>
                </c:pt>
              </c:numCache>
            </c:numRef>
          </c:val>
          <c:extLst>
            <c:ext xmlns:c16="http://schemas.microsoft.com/office/drawing/2014/chart" uri="{C3380CC4-5D6E-409C-BE32-E72D297353CC}">
              <c16:uniqueId val="{00000000-2CDA-477F-8F98-A6E233E02B4D}"/>
            </c:ext>
          </c:extLst>
        </c:ser>
        <c:dLbls>
          <c:dLblPos val="outEnd"/>
          <c:showLegendKey val="0"/>
          <c:showVal val="1"/>
          <c:showCatName val="0"/>
          <c:showSerName val="0"/>
          <c:showPercent val="0"/>
          <c:showBubbleSize val="0"/>
        </c:dLbls>
        <c:gapWidth val="267"/>
        <c:overlap val="-43"/>
        <c:axId val="330451520"/>
        <c:axId val="330447992"/>
      </c:barChart>
      <c:catAx>
        <c:axId val="330451520"/>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700" b="0" i="0" u="none" strike="noStrike" kern="1200" cap="none" spc="0" normalizeH="0" baseline="0">
                <a:solidFill>
                  <a:schemeClr val="dk1">
                    <a:lumMod val="65000"/>
                    <a:lumOff val="35000"/>
                  </a:schemeClr>
                </a:solidFill>
                <a:latin typeface="+mn-lt"/>
                <a:ea typeface="+mn-ea"/>
                <a:cs typeface="+mn-cs"/>
              </a:defRPr>
            </a:pPr>
            <a:endParaRPr lang="es-CO"/>
          </a:p>
        </c:txPr>
        <c:crossAx val="330447992"/>
        <c:crosses val="autoZero"/>
        <c:auto val="1"/>
        <c:lblAlgn val="ctr"/>
        <c:lblOffset val="100"/>
        <c:noMultiLvlLbl val="0"/>
      </c:catAx>
      <c:valAx>
        <c:axId val="330447992"/>
        <c:scaling>
          <c:orientation val="minMax"/>
        </c:scaling>
        <c:delete val="0"/>
        <c:axPos val="l"/>
        <c:majorGridlines>
          <c:spPr>
            <a:ln w="9525" cap="flat" cmpd="sng" algn="ctr">
              <a:solidFill>
                <a:schemeClr val="dk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CO"/>
          </a:p>
        </c:txPr>
        <c:crossAx val="330451520"/>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s-CO"/>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ysClr val="windowText" lastClr="000000"/>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Hoja1!$A$2:$A$23</c:f>
              <c:strCache>
                <c:ptCount val="22"/>
                <c:pt idx="0">
                  <c:v>Bogotá D.C</c:v>
                </c:pt>
                <c:pt idx="1">
                  <c:v>Santander </c:v>
                </c:pt>
                <c:pt idx="2">
                  <c:v>Antioquia</c:v>
                </c:pt>
                <c:pt idx="3">
                  <c:v>Caldas</c:v>
                </c:pt>
                <c:pt idx="4">
                  <c:v>Atlántico</c:v>
                </c:pt>
                <c:pt idx="5">
                  <c:v>Risaralda</c:v>
                </c:pt>
                <c:pt idx="6">
                  <c:v>Casanare</c:v>
                </c:pt>
                <c:pt idx="7">
                  <c:v>Valle del Cauca</c:v>
                </c:pt>
                <c:pt idx="8">
                  <c:v>Nte de Santander</c:v>
                </c:pt>
                <c:pt idx="9">
                  <c:v>Quindio</c:v>
                </c:pt>
                <c:pt idx="10">
                  <c:v>Meta</c:v>
                </c:pt>
                <c:pt idx="11">
                  <c:v>Cundinamarca</c:v>
                </c:pt>
                <c:pt idx="12">
                  <c:v>Tolima</c:v>
                </c:pt>
                <c:pt idx="13">
                  <c:v>Boyacá</c:v>
                </c:pt>
                <c:pt idx="14">
                  <c:v>Cesar</c:v>
                </c:pt>
                <c:pt idx="15">
                  <c:v>Huila</c:v>
                </c:pt>
                <c:pt idx="16">
                  <c:v>Nariño</c:v>
                </c:pt>
                <c:pt idx="17">
                  <c:v>Bolivar</c:v>
                </c:pt>
                <c:pt idx="18">
                  <c:v>Magdalena</c:v>
                </c:pt>
                <c:pt idx="19">
                  <c:v>Cauca</c:v>
                </c:pt>
                <c:pt idx="20">
                  <c:v>La Guajira</c:v>
                </c:pt>
                <c:pt idx="21">
                  <c:v>Sucre</c:v>
                </c:pt>
              </c:strCache>
            </c:strRef>
          </c:cat>
          <c:val>
            <c:numRef>
              <c:f>Hoja1!$B$2:$B$23</c:f>
              <c:numCache>
                <c:formatCode>_(* #,##0.00_);_(* \(#,##0.00\);_(* "-"??_);_(@_)</c:formatCode>
                <c:ptCount val="22"/>
                <c:pt idx="0">
                  <c:v>8.66</c:v>
                </c:pt>
                <c:pt idx="1">
                  <c:v>7.7</c:v>
                </c:pt>
                <c:pt idx="2">
                  <c:v>6.79</c:v>
                </c:pt>
                <c:pt idx="3">
                  <c:v>6.67</c:v>
                </c:pt>
                <c:pt idx="4">
                  <c:v>6.6</c:v>
                </c:pt>
                <c:pt idx="5">
                  <c:v>6.13</c:v>
                </c:pt>
                <c:pt idx="6">
                  <c:v>6.12</c:v>
                </c:pt>
                <c:pt idx="7">
                  <c:v>6.1</c:v>
                </c:pt>
                <c:pt idx="8">
                  <c:v>6.08</c:v>
                </c:pt>
                <c:pt idx="9">
                  <c:v>6</c:v>
                </c:pt>
                <c:pt idx="10">
                  <c:v>5.53</c:v>
                </c:pt>
                <c:pt idx="11">
                  <c:v>5.28</c:v>
                </c:pt>
                <c:pt idx="12">
                  <c:v>5.16</c:v>
                </c:pt>
                <c:pt idx="13">
                  <c:v>5.09</c:v>
                </c:pt>
                <c:pt idx="14">
                  <c:v>4.76</c:v>
                </c:pt>
                <c:pt idx="15">
                  <c:v>4.5999999999999996</c:v>
                </c:pt>
                <c:pt idx="16">
                  <c:v>4.3</c:v>
                </c:pt>
                <c:pt idx="17">
                  <c:v>4.29</c:v>
                </c:pt>
                <c:pt idx="18">
                  <c:v>4.1500000000000004</c:v>
                </c:pt>
                <c:pt idx="19">
                  <c:v>4.1399999999999997</c:v>
                </c:pt>
                <c:pt idx="20">
                  <c:v>3.43</c:v>
                </c:pt>
                <c:pt idx="21">
                  <c:v>3.32</c:v>
                </c:pt>
              </c:numCache>
            </c:numRef>
          </c:val>
          <c:extLst>
            <c:ext xmlns:c16="http://schemas.microsoft.com/office/drawing/2014/chart" uri="{C3380CC4-5D6E-409C-BE32-E72D297353CC}">
              <c16:uniqueId val="{00000000-CB5B-45B1-ACA0-80B3447617AC}"/>
            </c:ext>
          </c:extLst>
        </c:ser>
        <c:dLbls>
          <c:dLblPos val="outEnd"/>
          <c:showLegendKey val="0"/>
          <c:showVal val="1"/>
          <c:showCatName val="0"/>
          <c:showSerName val="0"/>
          <c:showPercent val="0"/>
          <c:showBubbleSize val="0"/>
        </c:dLbls>
        <c:gapWidth val="65"/>
        <c:axId val="330448384"/>
        <c:axId val="330452696"/>
      </c:barChart>
      <c:catAx>
        <c:axId val="330448384"/>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s-CO"/>
          </a:p>
        </c:txPr>
        <c:crossAx val="330452696"/>
        <c:crosses val="autoZero"/>
        <c:auto val="1"/>
        <c:lblAlgn val="ctr"/>
        <c:lblOffset val="100"/>
        <c:noMultiLvlLbl val="0"/>
      </c:catAx>
      <c:valAx>
        <c:axId val="330452696"/>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_(* #,##0.00_);_(* \(#,##0.00\);_(* &quot;-&quot;??_);_(@_)" sourceLinked="1"/>
        <c:majorTickMark val="none"/>
        <c:minorTickMark val="none"/>
        <c:tickLblPos val="nextTo"/>
        <c:crossAx val="330448384"/>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CO"/>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ysClr val="windowText" lastClr="000000"/>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Hoja1!$A$26:$A$53</c:f>
              <c:strCache>
                <c:ptCount val="28"/>
                <c:pt idx="0">
                  <c:v>Bogotá D.C.</c:v>
                </c:pt>
                <c:pt idx="1">
                  <c:v>Guaviare</c:v>
                </c:pt>
                <c:pt idx="2">
                  <c:v>Amazonas</c:v>
                </c:pt>
                <c:pt idx="3">
                  <c:v>Quindio</c:v>
                </c:pt>
                <c:pt idx="4">
                  <c:v>Casanare</c:v>
                </c:pt>
                <c:pt idx="5">
                  <c:v>Santander</c:v>
                </c:pt>
                <c:pt idx="6">
                  <c:v>Caquetá</c:v>
                </c:pt>
                <c:pt idx="7">
                  <c:v>Valle del Cauca</c:v>
                </c:pt>
                <c:pt idx="8">
                  <c:v>Putumayo</c:v>
                </c:pt>
                <c:pt idx="9">
                  <c:v>Archip de Sn Andres</c:v>
                </c:pt>
                <c:pt idx="10">
                  <c:v>Cundinamarca</c:v>
                </c:pt>
                <c:pt idx="11">
                  <c:v>Vichada</c:v>
                </c:pt>
                <c:pt idx="12">
                  <c:v>Córdoba</c:v>
                </c:pt>
                <c:pt idx="13">
                  <c:v>Cauca</c:v>
                </c:pt>
                <c:pt idx="14">
                  <c:v>Risaralda</c:v>
                </c:pt>
                <c:pt idx="15">
                  <c:v>Huila</c:v>
                </c:pt>
                <c:pt idx="16">
                  <c:v>Boyacá</c:v>
                </c:pt>
                <c:pt idx="17">
                  <c:v>Tolima</c:v>
                </c:pt>
                <c:pt idx="18">
                  <c:v>Meta</c:v>
                </c:pt>
                <c:pt idx="19">
                  <c:v>Antioquia</c:v>
                </c:pt>
                <c:pt idx="20">
                  <c:v>Nte de Santander</c:v>
                </c:pt>
                <c:pt idx="21">
                  <c:v>Vaupes</c:v>
                </c:pt>
                <c:pt idx="22">
                  <c:v>Cesar</c:v>
                </c:pt>
                <c:pt idx="23">
                  <c:v>Arauca</c:v>
                </c:pt>
                <c:pt idx="24">
                  <c:v>Magdalena</c:v>
                </c:pt>
                <c:pt idx="25">
                  <c:v>Nariño</c:v>
                </c:pt>
                <c:pt idx="26">
                  <c:v>Atlántico</c:v>
                </c:pt>
                <c:pt idx="27">
                  <c:v>Sucre</c:v>
                </c:pt>
              </c:strCache>
            </c:strRef>
          </c:cat>
          <c:val>
            <c:numRef>
              <c:f>Hoja1!$B$26:$B$53</c:f>
              <c:numCache>
                <c:formatCode>_(* #,##0.00_);_(* \(#,##0.00\);_(* "-"??_);_(@_)</c:formatCode>
                <c:ptCount val="28"/>
                <c:pt idx="0">
                  <c:v>6.89</c:v>
                </c:pt>
                <c:pt idx="1">
                  <c:v>6.7</c:v>
                </c:pt>
                <c:pt idx="2">
                  <c:v>6.15</c:v>
                </c:pt>
                <c:pt idx="3">
                  <c:v>6.05</c:v>
                </c:pt>
                <c:pt idx="4">
                  <c:v>5.86</c:v>
                </c:pt>
                <c:pt idx="5">
                  <c:v>5.74</c:v>
                </c:pt>
                <c:pt idx="6">
                  <c:v>5.66</c:v>
                </c:pt>
                <c:pt idx="7">
                  <c:v>5.63</c:v>
                </c:pt>
                <c:pt idx="8">
                  <c:v>5.39</c:v>
                </c:pt>
                <c:pt idx="9">
                  <c:v>5.37</c:v>
                </c:pt>
                <c:pt idx="10">
                  <c:v>5.26</c:v>
                </c:pt>
                <c:pt idx="11">
                  <c:v>5.16</c:v>
                </c:pt>
                <c:pt idx="12">
                  <c:v>5.0999999999999996</c:v>
                </c:pt>
                <c:pt idx="13">
                  <c:v>5.05</c:v>
                </c:pt>
                <c:pt idx="14">
                  <c:v>5</c:v>
                </c:pt>
                <c:pt idx="15">
                  <c:v>4.95</c:v>
                </c:pt>
                <c:pt idx="16">
                  <c:v>4.8899999999999997</c:v>
                </c:pt>
                <c:pt idx="17">
                  <c:v>4.8</c:v>
                </c:pt>
                <c:pt idx="18">
                  <c:v>4.76</c:v>
                </c:pt>
                <c:pt idx="19">
                  <c:v>4.66</c:v>
                </c:pt>
                <c:pt idx="20">
                  <c:v>4.38</c:v>
                </c:pt>
                <c:pt idx="21">
                  <c:v>4.37</c:v>
                </c:pt>
                <c:pt idx="22">
                  <c:v>4.37</c:v>
                </c:pt>
                <c:pt idx="23">
                  <c:v>4.37</c:v>
                </c:pt>
                <c:pt idx="24">
                  <c:v>4.3499999999999996</c:v>
                </c:pt>
                <c:pt idx="25">
                  <c:v>4.32</c:v>
                </c:pt>
                <c:pt idx="26">
                  <c:v>4.2300000000000004</c:v>
                </c:pt>
                <c:pt idx="27">
                  <c:v>4.09</c:v>
                </c:pt>
              </c:numCache>
            </c:numRef>
          </c:val>
          <c:extLst>
            <c:ext xmlns:c16="http://schemas.microsoft.com/office/drawing/2014/chart" uri="{C3380CC4-5D6E-409C-BE32-E72D297353CC}">
              <c16:uniqueId val="{00000000-0488-485B-B597-ED327AD7B26E}"/>
            </c:ext>
          </c:extLst>
        </c:ser>
        <c:dLbls>
          <c:dLblPos val="outEnd"/>
          <c:showLegendKey val="0"/>
          <c:showVal val="1"/>
          <c:showCatName val="0"/>
          <c:showSerName val="0"/>
          <c:showPercent val="0"/>
          <c:showBubbleSize val="0"/>
        </c:dLbls>
        <c:gapWidth val="65"/>
        <c:axId val="330452304"/>
        <c:axId val="330442504"/>
      </c:barChart>
      <c:catAx>
        <c:axId val="330452304"/>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s-CO"/>
          </a:p>
        </c:txPr>
        <c:crossAx val="330442504"/>
        <c:crosses val="autoZero"/>
        <c:auto val="1"/>
        <c:lblAlgn val="ctr"/>
        <c:lblOffset val="100"/>
        <c:noMultiLvlLbl val="0"/>
      </c:catAx>
      <c:valAx>
        <c:axId val="330442504"/>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_(* #,##0.00_);_(* \(#,##0.00\);_(* &quot;-&quot;??_);_(@_)" sourceLinked="1"/>
        <c:majorTickMark val="none"/>
        <c:minorTickMark val="none"/>
        <c:tickLblPos val="nextTo"/>
        <c:crossAx val="330452304"/>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CO"/>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dk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Hoja1!$A$57:$A$78</c:f>
              <c:strCache>
                <c:ptCount val="22"/>
                <c:pt idx="0">
                  <c:v>Bogotá D.C.</c:v>
                </c:pt>
                <c:pt idx="1">
                  <c:v>Antioquia</c:v>
                </c:pt>
                <c:pt idx="2">
                  <c:v>Santander</c:v>
                </c:pt>
                <c:pt idx="3">
                  <c:v>Caldas</c:v>
                </c:pt>
                <c:pt idx="4">
                  <c:v>Atlántico</c:v>
                </c:pt>
                <c:pt idx="5">
                  <c:v>Valle del Cauca</c:v>
                </c:pt>
                <c:pt idx="6">
                  <c:v>Quindío</c:v>
                </c:pt>
                <c:pt idx="7">
                  <c:v>Arch de Sn Andrés</c:v>
                </c:pt>
                <c:pt idx="8">
                  <c:v>Risaralda</c:v>
                </c:pt>
                <c:pt idx="9">
                  <c:v>Boyacá</c:v>
                </c:pt>
                <c:pt idx="10">
                  <c:v>Bolivar</c:v>
                </c:pt>
                <c:pt idx="11">
                  <c:v>Cundinamarca</c:v>
                </c:pt>
                <c:pt idx="12">
                  <c:v>Nte de Santander</c:v>
                </c:pt>
                <c:pt idx="13">
                  <c:v>Magdalena</c:v>
                </c:pt>
                <c:pt idx="14">
                  <c:v>Cauca</c:v>
                </c:pt>
                <c:pt idx="15">
                  <c:v>Córdoba</c:v>
                </c:pt>
                <c:pt idx="16">
                  <c:v>Meta</c:v>
                </c:pt>
                <c:pt idx="17">
                  <c:v>Tolima</c:v>
                </c:pt>
                <c:pt idx="18">
                  <c:v>Nariño</c:v>
                </c:pt>
                <c:pt idx="19">
                  <c:v>Casanare</c:v>
                </c:pt>
                <c:pt idx="20">
                  <c:v>Cesar</c:v>
                </c:pt>
                <c:pt idx="21">
                  <c:v>Sucre</c:v>
                </c:pt>
              </c:strCache>
            </c:strRef>
          </c:cat>
          <c:val>
            <c:numRef>
              <c:f>Hoja1!$B$57:$B$78</c:f>
              <c:numCache>
                <c:formatCode>_(* #,##0.00_);_(* \(#,##0.00\);_(* "-"??_);_(@_)</c:formatCode>
                <c:ptCount val="22"/>
                <c:pt idx="0">
                  <c:v>8.4499999999999993</c:v>
                </c:pt>
                <c:pt idx="1">
                  <c:v>6.59</c:v>
                </c:pt>
                <c:pt idx="2">
                  <c:v>6.09</c:v>
                </c:pt>
                <c:pt idx="3">
                  <c:v>6.01</c:v>
                </c:pt>
                <c:pt idx="4">
                  <c:v>5.87</c:v>
                </c:pt>
                <c:pt idx="5">
                  <c:v>5.57</c:v>
                </c:pt>
                <c:pt idx="6">
                  <c:v>5.55</c:v>
                </c:pt>
                <c:pt idx="7">
                  <c:v>5.43</c:v>
                </c:pt>
                <c:pt idx="8">
                  <c:v>5.2</c:v>
                </c:pt>
                <c:pt idx="9">
                  <c:v>4.93</c:v>
                </c:pt>
                <c:pt idx="10">
                  <c:v>4.41</c:v>
                </c:pt>
                <c:pt idx="11">
                  <c:v>3.98</c:v>
                </c:pt>
                <c:pt idx="12">
                  <c:v>3.91</c:v>
                </c:pt>
                <c:pt idx="13">
                  <c:v>3.71</c:v>
                </c:pt>
                <c:pt idx="14">
                  <c:v>3.5</c:v>
                </c:pt>
                <c:pt idx="15">
                  <c:v>3.1</c:v>
                </c:pt>
                <c:pt idx="16">
                  <c:v>3.09</c:v>
                </c:pt>
                <c:pt idx="17">
                  <c:v>3.04</c:v>
                </c:pt>
                <c:pt idx="18">
                  <c:v>2.9</c:v>
                </c:pt>
                <c:pt idx="19">
                  <c:v>2.4700000000000002</c:v>
                </c:pt>
                <c:pt idx="20">
                  <c:v>2.46</c:v>
                </c:pt>
                <c:pt idx="21">
                  <c:v>2.44</c:v>
                </c:pt>
              </c:numCache>
            </c:numRef>
          </c:val>
          <c:extLst>
            <c:ext xmlns:c16="http://schemas.microsoft.com/office/drawing/2014/chart" uri="{C3380CC4-5D6E-409C-BE32-E72D297353CC}">
              <c16:uniqueId val="{00000000-39B0-46AD-ABB9-6BDE8DC7381F}"/>
            </c:ext>
          </c:extLst>
        </c:ser>
        <c:dLbls>
          <c:showLegendKey val="0"/>
          <c:showVal val="1"/>
          <c:showCatName val="0"/>
          <c:showSerName val="0"/>
          <c:showPercent val="0"/>
          <c:showBubbleSize val="0"/>
        </c:dLbls>
        <c:gapWidth val="65"/>
        <c:shape val="box"/>
        <c:axId val="330467200"/>
        <c:axId val="330459360"/>
        <c:axId val="0"/>
      </c:bar3DChart>
      <c:catAx>
        <c:axId val="330467200"/>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s-CO"/>
          </a:p>
        </c:txPr>
        <c:crossAx val="330459360"/>
        <c:crosses val="autoZero"/>
        <c:auto val="1"/>
        <c:lblAlgn val="ctr"/>
        <c:lblOffset val="100"/>
        <c:noMultiLvlLbl val="0"/>
      </c:catAx>
      <c:valAx>
        <c:axId val="330459360"/>
        <c:scaling>
          <c:orientation val="minMax"/>
        </c:scaling>
        <c:delete val="0"/>
        <c:axPos val="l"/>
        <c:majorGridlines>
          <c:spPr>
            <a:ln w="9525" cap="flat" cmpd="sng" algn="ctr">
              <a:solidFill>
                <a:schemeClr val="dk1">
                  <a:lumMod val="15000"/>
                  <a:lumOff val="85000"/>
                </a:schemeClr>
              </a:solidFill>
              <a:round/>
            </a:ln>
            <a:effectLst/>
          </c:spPr>
        </c:majorGridlines>
        <c:numFmt formatCode="_(* #,##0.00_);_(* \(#,##0.0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CO"/>
          </a:p>
        </c:txPr>
        <c:crossAx val="330467200"/>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CO"/>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1323513582884163E-2"/>
          <c:y val="2.3010136929364766E-2"/>
          <c:w val="0.92657343699545447"/>
          <c:h val="0.59835262527667921"/>
        </c:manualLayout>
      </c:layout>
      <c:bar3DChart>
        <c:barDir val="col"/>
        <c:grouping val="clustered"/>
        <c:varyColors val="0"/>
        <c:ser>
          <c:idx val="0"/>
          <c:order val="0"/>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dk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Hoja1!$A$82:$A$111</c:f>
              <c:strCache>
                <c:ptCount val="30"/>
                <c:pt idx="0">
                  <c:v>Bogotá D.C.</c:v>
                </c:pt>
                <c:pt idx="1">
                  <c:v>Cundinamarca</c:v>
                </c:pt>
                <c:pt idx="2">
                  <c:v>Casanare</c:v>
                </c:pt>
                <c:pt idx="3">
                  <c:v>Arch de San Andrés</c:v>
                </c:pt>
                <c:pt idx="4">
                  <c:v>Antioquia</c:v>
                </c:pt>
                <c:pt idx="5">
                  <c:v>Putumayo</c:v>
                </c:pt>
                <c:pt idx="6">
                  <c:v>Santander</c:v>
                </c:pt>
                <c:pt idx="7">
                  <c:v>Amazonas</c:v>
                </c:pt>
                <c:pt idx="8">
                  <c:v>Vaupés</c:v>
                </c:pt>
                <c:pt idx="9">
                  <c:v>Caldas</c:v>
                </c:pt>
                <c:pt idx="10">
                  <c:v>Risaralda</c:v>
                </c:pt>
                <c:pt idx="11">
                  <c:v>Atlántico</c:v>
                </c:pt>
                <c:pt idx="12">
                  <c:v>Vichada</c:v>
                </c:pt>
                <c:pt idx="13">
                  <c:v>Valle del Cauca</c:v>
                </c:pt>
                <c:pt idx="14">
                  <c:v>Guaviare</c:v>
                </c:pt>
                <c:pt idx="15">
                  <c:v>Boyacá</c:v>
                </c:pt>
                <c:pt idx="16">
                  <c:v>Meta</c:v>
                </c:pt>
                <c:pt idx="17">
                  <c:v>La Guajira</c:v>
                </c:pt>
                <c:pt idx="18">
                  <c:v>Nariño</c:v>
                </c:pt>
                <c:pt idx="19">
                  <c:v>Arauca</c:v>
                </c:pt>
                <c:pt idx="20">
                  <c:v>Magdalena</c:v>
                </c:pt>
                <c:pt idx="21">
                  <c:v>Caquetá</c:v>
                </c:pt>
                <c:pt idx="22">
                  <c:v>Córdoba</c:v>
                </c:pt>
                <c:pt idx="23">
                  <c:v>Tolima</c:v>
                </c:pt>
                <c:pt idx="24">
                  <c:v>Bolivar</c:v>
                </c:pt>
                <c:pt idx="25">
                  <c:v>Quindío</c:v>
                </c:pt>
                <c:pt idx="26">
                  <c:v>Cesar</c:v>
                </c:pt>
                <c:pt idx="27">
                  <c:v>Huila</c:v>
                </c:pt>
                <c:pt idx="28">
                  <c:v>Nte de Santander</c:v>
                </c:pt>
                <c:pt idx="29">
                  <c:v>Sucre</c:v>
                </c:pt>
              </c:strCache>
            </c:strRef>
          </c:cat>
          <c:val>
            <c:numRef>
              <c:f>Hoja1!$B$82:$B$111</c:f>
              <c:numCache>
                <c:formatCode>_(* #,##0.00_);_(* \(#,##0.00\);_(* "-"??_);_(@_)</c:formatCode>
                <c:ptCount val="30"/>
                <c:pt idx="0">
                  <c:v>7.9</c:v>
                </c:pt>
                <c:pt idx="1">
                  <c:v>7.17</c:v>
                </c:pt>
                <c:pt idx="2">
                  <c:v>7.1</c:v>
                </c:pt>
                <c:pt idx="3">
                  <c:v>7.03</c:v>
                </c:pt>
                <c:pt idx="4">
                  <c:v>7.02</c:v>
                </c:pt>
                <c:pt idx="5">
                  <c:v>6.97</c:v>
                </c:pt>
                <c:pt idx="6">
                  <c:v>6.8</c:v>
                </c:pt>
                <c:pt idx="7">
                  <c:v>6.7</c:v>
                </c:pt>
                <c:pt idx="8">
                  <c:v>6.5</c:v>
                </c:pt>
                <c:pt idx="9">
                  <c:v>6.48</c:v>
                </c:pt>
                <c:pt idx="10">
                  <c:v>6.25</c:v>
                </c:pt>
                <c:pt idx="11">
                  <c:v>6.21</c:v>
                </c:pt>
                <c:pt idx="12">
                  <c:v>6.17</c:v>
                </c:pt>
                <c:pt idx="13">
                  <c:v>6.11</c:v>
                </c:pt>
                <c:pt idx="14">
                  <c:v>6.1</c:v>
                </c:pt>
                <c:pt idx="15">
                  <c:v>5.9</c:v>
                </c:pt>
                <c:pt idx="16">
                  <c:v>5.68</c:v>
                </c:pt>
                <c:pt idx="17">
                  <c:v>5.6</c:v>
                </c:pt>
                <c:pt idx="18">
                  <c:v>5.6</c:v>
                </c:pt>
                <c:pt idx="19">
                  <c:v>5.46</c:v>
                </c:pt>
                <c:pt idx="20">
                  <c:v>5.42</c:v>
                </c:pt>
                <c:pt idx="21">
                  <c:v>5.24</c:v>
                </c:pt>
                <c:pt idx="22">
                  <c:v>5.23</c:v>
                </c:pt>
                <c:pt idx="23">
                  <c:v>5.2</c:v>
                </c:pt>
                <c:pt idx="24">
                  <c:v>5.12</c:v>
                </c:pt>
                <c:pt idx="25">
                  <c:v>4.92</c:v>
                </c:pt>
                <c:pt idx="26">
                  <c:v>4.6500000000000004</c:v>
                </c:pt>
                <c:pt idx="27">
                  <c:v>4.59</c:v>
                </c:pt>
                <c:pt idx="28">
                  <c:v>4.3099999999999996</c:v>
                </c:pt>
                <c:pt idx="29">
                  <c:v>4.2300000000000004</c:v>
                </c:pt>
              </c:numCache>
            </c:numRef>
          </c:val>
          <c:extLst>
            <c:ext xmlns:c16="http://schemas.microsoft.com/office/drawing/2014/chart" uri="{C3380CC4-5D6E-409C-BE32-E72D297353CC}">
              <c16:uniqueId val="{00000000-0974-407E-B6E7-5EA98EE68001}"/>
            </c:ext>
          </c:extLst>
        </c:ser>
        <c:dLbls>
          <c:showLegendKey val="0"/>
          <c:showVal val="1"/>
          <c:showCatName val="0"/>
          <c:showSerName val="0"/>
          <c:showPercent val="0"/>
          <c:showBubbleSize val="0"/>
        </c:dLbls>
        <c:gapWidth val="65"/>
        <c:shape val="box"/>
        <c:axId val="330464456"/>
        <c:axId val="330457008"/>
        <c:axId val="0"/>
      </c:bar3DChart>
      <c:catAx>
        <c:axId val="330464456"/>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s-CO"/>
          </a:p>
        </c:txPr>
        <c:crossAx val="330457008"/>
        <c:crosses val="autoZero"/>
        <c:auto val="1"/>
        <c:lblAlgn val="ctr"/>
        <c:lblOffset val="100"/>
        <c:noMultiLvlLbl val="0"/>
      </c:catAx>
      <c:valAx>
        <c:axId val="330457008"/>
        <c:scaling>
          <c:orientation val="minMax"/>
        </c:scaling>
        <c:delete val="0"/>
        <c:axPos val="l"/>
        <c:majorGridlines>
          <c:spPr>
            <a:ln w="9525" cap="flat" cmpd="sng" algn="ctr">
              <a:solidFill>
                <a:schemeClr val="dk1">
                  <a:lumMod val="15000"/>
                  <a:lumOff val="85000"/>
                </a:schemeClr>
              </a:solidFill>
              <a:round/>
            </a:ln>
            <a:effectLst/>
          </c:spPr>
        </c:majorGridlines>
        <c:numFmt formatCode="_(* #,##0.00_);_(* \(#,##0.0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CO"/>
          </a:p>
        </c:txPr>
        <c:crossAx val="330464456"/>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CO"/>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dk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Hoja1!$A$115:$A$140</c:f>
              <c:strCache>
                <c:ptCount val="26"/>
                <c:pt idx="0">
                  <c:v>Bogotá D.C.</c:v>
                </c:pt>
                <c:pt idx="1">
                  <c:v>Antioquia</c:v>
                </c:pt>
                <c:pt idx="2">
                  <c:v>Atlántico</c:v>
                </c:pt>
                <c:pt idx="3">
                  <c:v>Valle del Cauca</c:v>
                </c:pt>
                <c:pt idx="4">
                  <c:v>Huila</c:v>
                </c:pt>
                <c:pt idx="5">
                  <c:v>Santander</c:v>
                </c:pt>
                <c:pt idx="6">
                  <c:v>Risaralda</c:v>
                </c:pt>
                <c:pt idx="7">
                  <c:v>Quindío</c:v>
                </c:pt>
                <c:pt idx="8">
                  <c:v>Caldas</c:v>
                </c:pt>
                <c:pt idx="9">
                  <c:v>Tolima</c:v>
                </c:pt>
                <c:pt idx="10">
                  <c:v>Casanare</c:v>
                </c:pt>
                <c:pt idx="11">
                  <c:v>Nte de Santander</c:v>
                </c:pt>
                <c:pt idx="12">
                  <c:v>Cundinamarca</c:v>
                </c:pt>
                <c:pt idx="13">
                  <c:v>Meta</c:v>
                </c:pt>
                <c:pt idx="14">
                  <c:v>Boyacá</c:v>
                </c:pt>
                <c:pt idx="15">
                  <c:v>Arch de Sn Andrés</c:v>
                </c:pt>
                <c:pt idx="16">
                  <c:v>Caquetá</c:v>
                </c:pt>
                <c:pt idx="17">
                  <c:v>Nariño</c:v>
                </c:pt>
                <c:pt idx="18">
                  <c:v>Magdalena</c:v>
                </c:pt>
                <c:pt idx="19">
                  <c:v>Bolivar</c:v>
                </c:pt>
                <c:pt idx="20">
                  <c:v>Arauca</c:v>
                </c:pt>
                <c:pt idx="21">
                  <c:v>Guaviare</c:v>
                </c:pt>
                <c:pt idx="22">
                  <c:v>Cesar</c:v>
                </c:pt>
                <c:pt idx="23">
                  <c:v>Cauca</c:v>
                </c:pt>
                <c:pt idx="24">
                  <c:v>Córdoba</c:v>
                </c:pt>
                <c:pt idx="25">
                  <c:v>Sucre</c:v>
                </c:pt>
              </c:strCache>
            </c:strRef>
          </c:cat>
          <c:val>
            <c:numRef>
              <c:f>Hoja1!$B$115:$B$140</c:f>
              <c:numCache>
                <c:formatCode>_(* #,##0.00_);_(* \(#,##0.00\);_(* "-"??_);_(@_)</c:formatCode>
                <c:ptCount val="26"/>
                <c:pt idx="0">
                  <c:v>10</c:v>
                </c:pt>
                <c:pt idx="1">
                  <c:v>6.11</c:v>
                </c:pt>
                <c:pt idx="2">
                  <c:v>4.95</c:v>
                </c:pt>
                <c:pt idx="3">
                  <c:v>4.8899999999999997</c:v>
                </c:pt>
                <c:pt idx="4">
                  <c:v>4.7699999999999996</c:v>
                </c:pt>
                <c:pt idx="5">
                  <c:v>4.74</c:v>
                </c:pt>
                <c:pt idx="6">
                  <c:v>4.71</c:v>
                </c:pt>
                <c:pt idx="7">
                  <c:v>4.42</c:v>
                </c:pt>
                <c:pt idx="8">
                  <c:v>4.13</c:v>
                </c:pt>
                <c:pt idx="9">
                  <c:v>4.13</c:v>
                </c:pt>
                <c:pt idx="10">
                  <c:v>4.04</c:v>
                </c:pt>
                <c:pt idx="11">
                  <c:v>3.79</c:v>
                </c:pt>
                <c:pt idx="12">
                  <c:v>3.69</c:v>
                </c:pt>
                <c:pt idx="13">
                  <c:v>3.63</c:v>
                </c:pt>
                <c:pt idx="14">
                  <c:v>3.61</c:v>
                </c:pt>
                <c:pt idx="15">
                  <c:v>3.61</c:v>
                </c:pt>
                <c:pt idx="16">
                  <c:v>2.75</c:v>
                </c:pt>
                <c:pt idx="17">
                  <c:v>2.57</c:v>
                </c:pt>
                <c:pt idx="18">
                  <c:v>2.5299999999999998</c:v>
                </c:pt>
                <c:pt idx="19">
                  <c:v>2.42</c:v>
                </c:pt>
                <c:pt idx="20">
                  <c:v>2.36</c:v>
                </c:pt>
                <c:pt idx="21">
                  <c:v>2.19</c:v>
                </c:pt>
                <c:pt idx="22">
                  <c:v>2.11</c:v>
                </c:pt>
                <c:pt idx="23">
                  <c:v>1.9</c:v>
                </c:pt>
                <c:pt idx="24">
                  <c:v>1.78</c:v>
                </c:pt>
                <c:pt idx="25">
                  <c:v>1.75</c:v>
                </c:pt>
              </c:numCache>
            </c:numRef>
          </c:val>
          <c:extLst>
            <c:ext xmlns:c16="http://schemas.microsoft.com/office/drawing/2014/chart" uri="{C3380CC4-5D6E-409C-BE32-E72D297353CC}">
              <c16:uniqueId val="{00000000-EEE6-4416-A69E-9D5A352AEEA9}"/>
            </c:ext>
          </c:extLst>
        </c:ser>
        <c:dLbls>
          <c:showLegendKey val="0"/>
          <c:showVal val="1"/>
          <c:showCatName val="0"/>
          <c:showSerName val="0"/>
          <c:showPercent val="0"/>
          <c:showBubbleSize val="0"/>
        </c:dLbls>
        <c:gapWidth val="65"/>
        <c:shape val="box"/>
        <c:axId val="330460536"/>
        <c:axId val="330456616"/>
        <c:axId val="0"/>
      </c:bar3DChart>
      <c:catAx>
        <c:axId val="330460536"/>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s-CO"/>
          </a:p>
        </c:txPr>
        <c:crossAx val="330456616"/>
        <c:crosses val="autoZero"/>
        <c:auto val="1"/>
        <c:lblAlgn val="ctr"/>
        <c:lblOffset val="100"/>
        <c:noMultiLvlLbl val="0"/>
      </c:catAx>
      <c:valAx>
        <c:axId val="330456616"/>
        <c:scaling>
          <c:orientation val="minMax"/>
        </c:scaling>
        <c:delete val="0"/>
        <c:axPos val="l"/>
        <c:majorGridlines>
          <c:spPr>
            <a:ln w="9525" cap="flat" cmpd="sng" algn="ctr">
              <a:solidFill>
                <a:schemeClr val="dk1">
                  <a:lumMod val="15000"/>
                  <a:lumOff val="85000"/>
                </a:schemeClr>
              </a:solidFill>
              <a:round/>
            </a:ln>
            <a:effectLst/>
          </c:spPr>
        </c:majorGridlines>
        <c:numFmt formatCode="_(* #,##0.00_);_(* \(#,##0.0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CO"/>
          </a:p>
        </c:txPr>
        <c:crossAx val="330460536"/>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CO"/>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dk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Hoja1!$A$144:$A$166</c:f>
              <c:strCache>
                <c:ptCount val="23"/>
                <c:pt idx="0">
                  <c:v>Bogotá D.C.</c:v>
                </c:pt>
                <c:pt idx="1">
                  <c:v>Antioquia</c:v>
                </c:pt>
                <c:pt idx="2">
                  <c:v>Valle del Cauca</c:v>
                </c:pt>
                <c:pt idx="3">
                  <c:v>Cundinamarca</c:v>
                </c:pt>
                <c:pt idx="4">
                  <c:v>Atlántico</c:v>
                </c:pt>
                <c:pt idx="5">
                  <c:v>Cauca</c:v>
                </c:pt>
                <c:pt idx="6">
                  <c:v>Risaralda</c:v>
                </c:pt>
                <c:pt idx="7">
                  <c:v>Bolivar</c:v>
                </c:pt>
                <c:pt idx="8">
                  <c:v>Caldas</c:v>
                </c:pt>
                <c:pt idx="9">
                  <c:v>Santander</c:v>
                </c:pt>
                <c:pt idx="10">
                  <c:v>Nte de Sanander</c:v>
                </c:pt>
                <c:pt idx="11">
                  <c:v>Arch de San Andrés</c:v>
                </c:pt>
                <c:pt idx="12">
                  <c:v>Magdalena</c:v>
                </c:pt>
                <c:pt idx="13">
                  <c:v>Nariño</c:v>
                </c:pt>
                <c:pt idx="14">
                  <c:v>Tolima</c:v>
                </c:pt>
                <c:pt idx="15">
                  <c:v>Boyacá</c:v>
                </c:pt>
                <c:pt idx="16">
                  <c:v>Caquetá</c:v>
                </c:pt>
                <c:pt idx="17">
                  <c:v>Quindío</c:v>
                </c:pt>
                <c:pt idx="18">
                  <c:v>Córdoba</c:v>
                </c:pt>
                <c:pt idx="19">
                  <c:v>Huila</c:v>
                </c:pt>
                <c:pt idx="20">
                  <c:v>Cesar</c:v>
                </c:pt>
                <c:pt idx="21">
                  <c:v>Chocó</c:v>
                </c:pt>
                <c:pt idx="22">
                  <c:v>Sucre</c:v>
                </c:pt>
              </c:strCache>
            </c:strRef>
          </c:cat>
          <c:val>
            <c:numRef>
              <c:f>Hoja1!$B$144:$B$166</c:f>
              <c:numCache>
                <c:formatCode>_(* #,##0.00_);_(* \(#,##0.00\);_(* "-"??_);_(@_)</c:formatCode>
                <c:ptCount val="23"/>
                <c:pt idx="0">
                  <c:v>9.6999999999999993</c:v>
                </c:pt>
                <c:pt idx="1">
                  <c:v>9.42</c:v>
                </c:pt>
                <c:pt idx="2">
                  <c:v>9.31</c:v>
                </c:pt>
                <c:pt idx="3">
                  <c:v>9.0399999999999991</c:v>
                </c:pt>
                <c:pt idx="4">
                  <c:v>8.6199999999999992</c:v>
                </c:pt>
                <c:pt idx="5">
                  <c:v>8.26</c:v>
                </c:pt>
                <c:pt idx="6">
                  <c:v>8.07</c:v>
                </c:pt>
                <c:pt idx="7">
                  <c:v>7.97</c:v>
                </c:pt>
                <c:pt idx="8">
                  <c:v>7.34</c:v>
                </c:pt>
                <c:pt idx="9">
                  <c:v>6.85</c:v>
                </c:pt>
                <c:pt idx="10">
                  <c:v>6.78</c:v>
                </c:pt>
                <c:pt idx="11">
                  <c:v>6.31</c:v>
                </c:pt>
                <c:pt idx="12">
                  <c:v>6.3</c:v>
                </c:pt>
                <c:pt idx="13">
                  <c:v>6.29</c:v>
                </c:pt>
                <c:pt idx="14">
                  <c:v>6.16</c:v>
                </c:pt>
                <c:pt idx="15">
                  <c:v>5.7</c:v>
                </c:pt>
                <c:pt idx="16">
                  <c:v>4.75</c:v>
                </c:pt>
                <c:pt idx="17">
                  <c:v>4.6500000000000004</c:v>
                </c:pt>
                <c:pt idx="18">
                  <c:v>4.63</c:v>
                </c:pt>
                <c:pt idx="19">
                  <c:v>4.6100000000000003</c:v>
                </c:pt>
                <c:pt idx="20">
                  <c:v>4.37</c:v>
                </c:pt>
                <c:pt idx="21">
                  <c:v>3.69</c:v>
                </c:pt>
                <c:pt idx="22">
                  <c:v>3.68</c:v>
                </c:pt>
              </c:numCache>
            </c:numRef>
          </c:val>
          <c:extLst>
            <c:ext xmlns:c16="http://schemas.microsoft.com/office/drawing/2014/chart" uri="{C3380CC4-5D6E-409C-BE32-E72D297353CC}">
              <c16:uniqueId val="{00000000-45C0-4C2A-BCF2-13DD39F9036D}"/>
            </c:ext>
          </c:extLst>
        </c:ser>
        <c:dLbls>
          <c:showLegendKey val="0"/>
          <c:showVal val="1"/>
          <c:showCatName val="0"/>
          <c:showSerName val="0"/>
          <c:showPercent val="0"/>
          <c:showBubbleSize val="0"/>
        </c:dLbls>
        <c:gapWidth val="65"/>
        <c:shape val="box"/>
        <c:axId val="330464848"/>
        <c:axId val="330460928"/>
        <c:axId val="0"/>
      </c:bar3DChart>
      <c:catAx>
        <c:axId val="330464848"/>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700" b="1" i="0" u="none" strike="noStrike" kern="1200" cap="all" baseline="0">
                <a:solidFill>
                  <a:schemeClr val="dk1">
                    <a:lumMod val="75000"/>
                    <a:lumOff val="25000"/>
                  </a:schemeClr>
                </a:solidFill>
                <a:latin typeface="+mn-lt"/>
                <a:ea typeface="+mn-ea"/>
                <a:cs typeface="+mn-cs"/>
              </a:defRPr>
            </a:pPr>
            <a:endParaRPr lang="es-CO"/>
          </a:p>
        </c:txPr>
        <c:crossAx val="330460928"/>
        <c:crosses val="autoZero"/>
        <c:auto val="1"/>
        <c:lblAlgn val="ctr"/>
        <c:lblOffset val="100"/>
        <c:noMultiLvlLbl val="0"/>
      </c:catAx>
      <c:valAx>
        <c:axId val="330460928"/>
        <c:scaling>
          <c:orientation val="minMax"/>
        </c:scaling>
        <c:delete val="0"/>
        <c:axPos val="l"/>
        <c:majorGridlines>
          <c:spPr>
            <a:ln w="9525" cap="flat" cmpd="sng" algn="ctr">
              <a:solidFill>
                <a:schemeClr val="dk1">
                  <a:lumMod val="15000"/>
                  <a:lumOff val="85000"/>
                </a:schemeClr>
              </a:solidFill>
              <a:round/>
            </a:ln>
            <a:effectLst/>
          </c:spPr>
        </c:majorGridlines>
        <c:numFmt formatCode="_(* #,##0.00_);_(* \(#,##0.00\);_(* &quot;-&quot;??_);_(@_)" sourceLinked="1"/>
        <c:majorTickMark val="none"/>
        <c:minorTickMark val="none"/>
        <c:tickLblPos val="nextTo"/>
        <c:spPr>
          <a:noFill/>
          <a:ln>
            <a:noFill/>
          </a:ln>
          <a:effectLst/>
        </c:spPr>
        <c:txPr>
          <a:bodyPr rot="-60000000" spcFirstLastPara="1" vertOverflow="ellipsis" vert="horz" wrap="square" anchor="ctr" anchorCtr="1"/>
          <a:lstStyle/>
          <a:p>
            <a:pPr>
              <a:defRPr sz="700" b="1" i="0" u="none" strike="noStrike" kern="1200" baseline="0">
                <a:solidFill>
                  <a:schemeClr val="dk1">
                    <a:lumMod val="75000"/>
                    <a:lumOff val="25000"/>
                  </a:schemeClr>
                </a:solidFill>
                <a:latin typeface="+mn-lt"/>
                <a:ea typeface="+mn-ea"/>
                <a:cs typeface="+mn-cs"/>
              </a:defRPr>
            </a:pPr>
            <a:endParaRPr lang="es-CO"/>
          </a:p>
        </c:txPr>
        <c:crossAx val="330464848"/>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sz="700" b="1"/>
      </a:pPr>
      <a:endParaRPr lang="es-CO"/>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dk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Hoja1!$A$169:$A$192</c:f>
              <c:strCache>
                <c:ptCount val="24"/>
                <c:pt idx="0">
                  <c:v>Bogotá D.C.</c:v>
                </c:pt>
                <c:pt idx="1">
                  <c:v>Antioquia</c:v>
                </c:pt>
                <c:pt idx="2">
                  <c:v>Caldas</c:v>
                </c:pt>
                <c:pt idx="3">
                  <c:v>Santander</c:v>
                </c:pt>
                <c:pt idx="4">
                  <c:v>Rosaralda</c:v>
                </c:pt>
                <c:pt idx="5">
                  <c:v>Atlántico</c:v>
                </c:pt>
                <c:pt idx="6">
                  <c:v>Quindío</c:v>
                </c:pt>
                <c:pt idx="7">
                  <c:v>Valle del Cauca</c:v>
                </c:pt>
                <c:pt idx="8">
                  <c:v>Cundinamarca</c:v>
                </c:pt>
                <c:pt idx="9">
                  <c:v>Boyacá</c:v>
                </c:pt>
                <c:pt idx="10">
                  <c:v>Bolivar</c:v>
                </c:pt>
                <c:pt idx="11">
                  <c:v>Tolima</c:v>
                </c:pt>
                <c:pt idx="12">
                  <c:v>Nte de Santander</c:v>
                </c:pt>
                <c:pt idx="13">
                  <c:v>Arch de San Andrés</c:v>
                </c:pt>
                <c:pt idx="14">
                  <c:v>Magdalena</c:v>
                </c:pt>
                <c:pt idx="15">
                  <c:v>Meta</c:v>
                </c:pt>
                <c:pt idx="16">
                  <c:v>Nariño</c:v>
                </c:pt>
                <c:pt idx="17">
                  <c:v>Huila</c:v>
                </c:pt>
                <c:pt idx="18">
                  <c:v>Amazonas</c:v>
                </c:pt>
                <c:pt idx="19">
                  <c:v>Cauca</c:v>
                </c:pt>
                <c:pt idx="20">
                  <c:v>Casanare</c:v>
                </c:pt>
                <c:pt idx="21">
                  <c:v>Córdoba</c:v>
                </c:pt>
                <c:pt idx="22">
                  <c:v>Cesar</c:v>
                </c:pt>
                <c:pt idx="23">
                  <c:v>Sucre</c:v>
                </c:pt>
              </c:strCache>
            </c:strRef>
          </c:cat>
          <c:val>
            <c:numRef>
              <c:f>Hoja1!$B$169:$B$192</c:f>
              <c:numCache>
                <c:formatCode>_(* #,##0.00_);_(* \(#,##0.00\);_(* "-"??_);_(@_)</c:formatCode>
                <c:ptCount val="24"/>
                <c:pt idx="0">
                  <c:v>9.75</c:v>
                </c:pt>
                <c:pt idx="1">
                  <c:v>6.99</c:v>
                </c:pt>
                <c:pt idx="2">
                  <c:v>5.44</c:v>
                </c:pt>
                <c:pt idx="3">
                  <c:v>4.96</c:v>
                </c:pt>
                <c:pt idx="4">
                  <c:v>4.8600000000000003</c:v>
                </c:pt>
                <c:pt idx="5">
                  <c:v>4.24</c:v>
                </c:pt>
                <c:pt idx="6">
                  <c:v>4.13</c:v>
                </c:pt>
                <c:pt idx="7">
                  <c:v>3.98</c:v>
                </c:pt>
                <c:pt idx="8">
                  <c:v>3.22</c:v>
                </c:pt>
                <c:pt idx="9">
                  <c:v>3.15</c:v>
                </c:pt>
                <c:pt idx="10">
                  <c:v>2.68</c:v>
                </c:pt>
                <c:pt idx="11">
                  <c:v>2.3199999999999998</c:v>
                </c:pt>
                <c:pt idx="12">
                  <c:v>2.2400000000000002</c:v>
                </c:pt>
                <c:pt idx="13">
                  <c:v>2.23</c:v>
                </c:pt>
                <c:pt idx="14">
                  <c:v>2.08</c:v>
                </c:pt>
                <c:pt idx="15">
                  <c:v>2</c:v>
                </c:pt>
                <c:pt idx="16">
                  <c:v>1.96</c:v>
                </c:pt>
                <c:pt idx="17">
                  <c:v>1.78</c:v>
                </c:pt>
                <c:pt idx="18">
                  <c:v>1.78</c:v>
                </c:pt>
                <c:pt idx="19">
                  <c:v>1.64</c:v>
                </c:pt>
                <c:pt idx="20">
                  <c:v>1.57</c:v>
                </c:pt>
                <c:pt idx="21">
                  <c:v>1.43</c:v>
                </c:pt>
                <c:pt idx="22">
                  <c:v>1.41</c:v>
                </c:pt>
                <c:pt idx="23">
                  <c:v>1.4</c:v>
                </c:pt>
              </c:numCache>
            </c:numRef>
          </c:val>
          <c:extLst>
            <c:ext xmlns:c16="http://schemas.microsoft.com/office/drawing/2014/chart" uri="{C3380CC4-5D6E-409C-BE32-E72D297353CC}">
              <c16:uniqueId val="{00000000-DF7C-484E-8EDE-05F03EC89DA5}"/>
            </c:ext>
          </c:extLst>
        </c:ser>
        <c:dLbls>
          <c:showLegendKey val="0"/>
          <c:showVal val="1"/>
          <c:showCatName val="0"/>
          <c:showSerName val="0"/>
          <c:showPercent val="0"/>
          <c:showBubbleSize val="0"/>
        </c:dLbls>
        <c:gapWidth val="65"/>
        <c:shape val="box"/>
        <c:axId val="330458968"/>
        <c:axId val="330458184"/>
        <c:axId val="0"/>
      </c:bar3DChart>
      <c:catAx>
        <c:axId val="330458968"/>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s-CO"/>
          </a:p>
        </c:txPr>
        <c:crossAx val="330458184"/>
        <c:crosses val="autoZero"/>
        <c:auto val="1"/>
        <c:lblAlgn val="ctr"/>
        <c:lblOffset val="100"/>
        <c:noMultiLvlLbl val="0"/>
      </c:catAx>
      <c:valAx>
        <c:axId val="330458184"/>
        <c:scaling>
          <c:orientation val="minMax"/>
        </c:scaling>
        <c:delete val="0"/>
        <c:axPos val="l"/>
        <c:majorGridlines>
          <c:spPr>
            <a:ln w="9525" cap="flat" cmpd="sng" algn="ctr">
              <a:solidFill>
                <a:schemeClr val="dk1">
                  <a:lumMod val="15000"/>
                  <a:lumOff val="85000"/>
                </a:schemeClr>
              </a:solidFill>
              <a:round/>
            </a:ln>
            <a:effectLst/>
          </c:spPr>
        </c:majorGridlines>
        <c:numFmt formatCode="_(* #,##0.00_);_(* \(#,##0.0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CO"/>
          </a:p>
        </c:txPr>
        <c:crossAx val="330458968"/>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C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0.xml><?xml version="1.0" encoding="utf-8"?>
<cs:chartStyle xmlns:cs="http://schemas.microsoft.com/office/drawing/2012/chartStyle" xmlns:a="http://schemas.openxmlformats.org/drawingml/2006/main" id="230">
  <cs:axisTitle>
    <cs:lnRef idx="0"/>
    <cs:fillRef idx="0"/>
    <cs:effectRef idx="0"/>
    <cs:fontRef idx="minor">
      <a:schemeClr val="dk1">
        <a:lumMod val="65000"/>
        <a:lumOff val="35000"/>
      </a:schemeClr>
    </cs:fontRef>
    <cs:defRPr sz="900" kern="1200" cap="all"/>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b="0" kern="1200" spc="20" baseline="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2225" cap="rnd" cmpd="sng" algn="ctr">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alpha val="33000"/>
          </a:schemeClr>
        </a:solidFill>
        <a:round/>
      </a:ln>
    </cs:spPr>
  </cs:dropLine>
  <cs:errorBar>
    <cs:lnRef idx="0"/>
    <cs:fillRef idx="0"/>
    <cs:effectRef idx="0"/>
    <cs:fontRef idx="minor">
      <a:schemeClr val="dk1"/>
    </cs:fontRef>
    <cs:spPr>
      <a:ln w="9525">
        <a:solidFill>
          <a:schemeClr val="dk1">
            <a:lumMod val="65000"/>
            <a:lumOff val="35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gradFill>
        <a:gsLst>
          <a:gs pos="100000">
            <a:schemeClr val="lt1">
              <a:lumMod val="95000"/>
            </a:schemeClr>
          </a:gs>
          <a:gs pos="0">
            <a:schemeClr val="lt1"/>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prstDash val="dash"/>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65000"/>
        <a:lumOff val="35000"/>
      </a:schemeClr>
    </cs:fontRef>
    <cs:defRPr sz="900" kern="1200" spc="20" baseline="0"/>
  </cs:valueAxis>
  <cs:wall>
    <cs:lnRef idx="0"/>
    <cs:fillRef idx="0"/>
    <cs:effectRef idx="0"/>
    <cs:fontRef idx="minor">
      <a:schemeClr val="dk1"/>
    </cs:fontRef>
  </cs:wall>
</cs:chartStyle>
</file>

<file path=word/charts/style1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3.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119647-409E-4818-9526-F3CACC6B34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46</Pages>
  <Words>9085</Words>
  <Characters>49973</Characters>
  <Application>Microsoft Office Word</Application>
  <DocSecurity>0</DocSecurity>
  <Lines>416</Lines>
  <Paragraphs>117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58941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COMPADRE DE LECHE</dc:creator>
  <cp:keywords/>
  <dc:description/>
  <cp:lastModifiedBy>hasbleidy suarez</cp:lastModifiedBy>
  <cp:revision>2</cp:revision>
  <cp:lastPrinted>2020-08-06T21:42:00Z</cp:lastPrinted>
  <dcterms:created xsi:type="dcterms:W3CDTF">2020-08-11T01:51:00Z</dcterms:created>
  <dcterms:modified xsi:type="dcterms:W3CDTF">2020-08-11T01:51:00Z</dcterms:modified>
</cp:coreProperties>
</file>