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51" w:rsidRPr="00513F37" w:rsidRDefault="00513F37" w:rsidP="0044515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13F37">
        <w:rPr>
          <w:rFonts w:ascii="Arial" w:hAnsi="Arial" w:cs="Arial"/>
          <w:b/>
          <w:sz w:val="20"/>
          <w:szCs w:val="20"/>
        </w:rPr>
        <w:t>Pregunta</w:t>
      </w:r>
      <w:r w:rsidR="00133314" w:rsidRPr="00513F37">
        <w:rPr>
          <w:rFonts w:ascii="Arial" w:hAnsi="Arial" w:cs="Arial"/>
          <w:b/>
          <w:sz w:val="20"/>
          <w:szCs w:val="20"/>
        </w:rPr>
        <w:t xml:space="preserve">. </w:t>
      </w:r>
      <w:r w:rsidRPr="00513F37">
        <w:rPr>
          <w:rFonts w:ascii="Arial" w:hAnsi="Arial" w:cs="Arial"/>
          <w:b/>
          <w:sz w:val="20"/>
          <w:szCs w:val="20"/>
        </w:rPr>
        <w:t>Presentar documento ejecutivo de cada entidad sobre: ejecución presupuestal para la vigencia 2019, detallando aplazamientos de presupuesto, adiciones y créditos o contra créditos que se le hayan hecho al mismo. Igualmente, la proyección presupuestal de la entidad para la vigencia 2020</w:t>
      </w:r>
      <w:r w:rsidR="00133314" w:rsidRPr="00513F37">
        <w:rPr>
          <w:rFonts w:ascii="Arial" w:hAnsi="Arial" w:cs="Arial"/>
          <w:b/>
          <w:sz w:val="20"/>
          <w:szCs w:val="20"/>
        </w:rPr>
        <w:t xml:space="preserve"> </w:t>
      </w:r>
    </w:p>
    <w:p w:rsidR="00513F37" w:rsidRPr="00513F37" w:rsidRDefault="00513F37" w:rsidP="00B43A0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13F37" w:rsidRDefault="00513F37" w:rsidP="00445152">
      <w:pPr>
        <w:pStyle w:val="Prrafodelista"/>
        <w:numPr>
          <w:ilvl w:val="0"/>
          <w:numId w:val="7"/>
        </w:numPr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13F37">
        <w:rPr>
          <w:rFonts w:ascii="Arial" w:hAnsi="Arial" w:cs="Arial"/>
          <w:sz w:val="20"/>
          <w:szCs w:val="20"/>
        </w:rPr>
        <w:t xml:space="preserve">De conformidad con el Decreto 2467 de 2019 “por el cual se liquida el Presupuesto General de la Nación para la vigencia fiscal 2019, se detallan apropiaciones y se clasifican y se definen gastos”, a continuación, se detalla la ejecución presupuestal para el presupuesto apropiado con fecha de corte a 31 de julio de 2019, así: </w:t>
      </w:r>
    </w:p>
    <w:p w:rsidR="00E63EDD" w:rsidRDefault="00E63EDD" w:rsidP="00513F37">
      <w:pPr>
        <w:pStyle w:val="Prrafodelista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71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074"/>
        <w:gridCol w:w="1133"/>
        <w:gridCol w:w="1133"/>
        <w:gridCol w:w="1216"/>
        <w:gridCol w:w="706"/>
        <w:gridCol w:w="1145"/>
        <w:gridCol w:w="752"/>
      </w:tblGrid>
      <w:tr w:rsidR="00445152" w:rsidRPr="00445152" w:rsidTr="00445152">
        <w:trPr>
          <w:trHeight w:val="170"/>
        </w:trPr>
        <w:tc>
          <w:tcPr>
            <w:tcW w:w="2552" w:type="dxa"/>
            <w:shd w:val="clear" w:color="auto" w:fill="1F497D" w:themeFill="text2"/>
            <w:vAlign w:val="center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Presupuesto Aerocivil Vigencia 2019</w:t>
            </w:r>
          </w:p>
        </w:tc>
        <w:tc>
          <w:tcPr>
            <w:tcW w:w="1074" w:type="dxa"/>
            <w:shd w:val="clear" w:color="auto" w:fill="1F497D" w:themeFill="text2"/>
            <w:vAlign w:val="center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Apropiación inicial</w:t>
            </w:r>
          </w:p>
        </w:tc>
        <w:tc>
          <w:tcPr>
            <w:tcW w:w="1133" w:type="dxa"/>
            <w:shd w:val="clear" w:color="auto" w:fill="1F497D" w:themeFill="text2"/>
            <w:vAlign w:val="center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Apropiación vigente</w:t>
            </w:r>
          </w:p>
        </w:tc>
        <w:tc>
          <w:tcPr>
            <w:tcW w:w="1133" w:type="dxa"/>
            <w:shd w:val="clear" w:color="auto" w:fill="1F497D" w:themeFill="text2"/>
            <w:vAlign w:val="center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Apropiación disponible</w:t>
            </w:r>
          </w:p>
        </w:tc>
        <w:tc>
          <w:tcPr>
            <w:tcW w:w="1216" w:type="dxa"/>
            <w:shd w:val="clear" w:color="auto" w:fill="1F497D" w:themeFill="text2"/>
            <w:vAlign w:val="center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Compromisos</w:t>
            </w:r>
          </w:p>
        </w:tc>
        <w:tc>
          <w:tcPr>
            <w:tcW w:w="706" w:type="dxa"/>
            <w:shd w:val="clear" w:color="auto" w:fill="1F497D" w:themeFill="text2"/>
            <w:vAlign w:val="center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1145" w:type="dxa"/>
            <w:shd w:val="clear" w:color="auto" w:fill="1F497D" w:themeFill="text2"/>
            <w:vAlign w:val="center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Obligaciones</w:t>
            </w:r>
          </w:p>
        </w:tc>
        <w:tc>
          <w:tcPr>
            <w:tcW w:w="752" w:type="dxa"/>
            <w:shd w:val="clear" w:color="auto" w:fill="1F497D" w:themeFill="text2"/>
            <w:vAlign w:val="center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%</w:t>
            </w:r>
          </w:p>
        </w:tc>
      </w:tr>
      <w:tr w:rsidR="00445152" w:rsidRPr="00445152" w:rsidTr="00445152">
        <w:trPr>
          <w:trHeight w:val="170"/>
        </w:trPr>
        <w:tc>
          <w:tcPr>
            <w:tcW w:w="2552" w:type="dxa"/>
            <w:shd w:val="clear" w:color="000000" w:fill="E8EAED"/>
            <w:vAlign w:val="bottom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A. Presupuesto de funcionamiento</w:t>
            </w:r>
          </w:p>
        </w:tc>
        <w:tc>
          <w:tcPr>
            <w:tcW w:w="1074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608.459</w:t>
            </w:r>
          </w:p>
        </w:tc>
        <w:tc>
          <w:tcPr>
            <w:tcW w:w="1133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608.459</w:t>
            </w:r>
          </w:p>
        </w:tc>
        <w:tc>
          <w:tcPr>
            <w:tcW w:w="1133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40.298</w:t>
            </w:r>
          </w:p>
        </w:tc>
        <w:tc>
          <w:tcPr>
            <w:tcW w:w="1216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366.715</w:t>
            </w:r>
          </w:p>
        </w:tc>
        <w:tc>
          <w:tcPr>
            <w:tcW w:w="706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60,27%</w:t>
            </w:r>
          </w:p>
        </w:tc>
        <w:tc>
          <w:tcPr>
            <w:tcW w:w="1145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352.189</w:t>
            </w:r>
          </w:p>
        </w:tc>
        <w:tc>
          <w:tcPr>
            <w:tcW w:w="752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57,88%</w:t>
            </w:r>
          </w:p>
        </w:tc>
      </w:tr>
      <w:tr w:rsidR="00445152" w:rsidRPr="00445152" w:rsidTr="00445152">
        <w:trPr>
          <w:trHeight w:val="171"/>
        </w:trPr>
        <w:tc>
          <w:tcPr>
            <w:tcW w:w="2552" w:type="dxa"/>
            <w:shd w:val="clear" w:color="000000" w:fill="FFFFFF"/>
            <w:vAlign w:val="bottom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Gastos de personal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327.922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359.552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-</w:t>
            </w:r>
          </w:p>
        </w:tc>
        <w:tc>
          <w:tcPr>
            <w:tcW w:w="121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166.795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50,86%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166.668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50,83%</w:t>
            </w:r>
          </w:p>
        </w:tc>
      </w:tr>
      <w:tr w:rsidR="00445152" w:rsidRPr="00445152" w:rsidTr="00445152">
        <w:trPr>
          <w:trHeight w:val="170"/>
        </w:trPr>
        <w:tc>
          <w:tcPr>
            <w:tcW w:w="2552" w:type="dxa"/>
            <w:shd w:val="clear" w:color="000000" w:fill="FFFFFF"/>
            <w:vAlign w:val="bottom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Adquisición de bienes y servicios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40.031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52.994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15.386</w:t>
            </w:r>
          </w:p>
        </w:tc>
        <w:tc>
          <w:tcPr>
            <w:tcW w:w="121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34.173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85,37%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21.788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54,43%</w:t>
            </w:r>
          </w:p>
        </w:tc>
      </w:tr>
      <w:tr w:rsidR="00445152" w:rsidRPr="00445152" w:rsidTr="00445152">
        <w:trPr>
          <w:trHeight w:val="170"/>
        </w:trPr>
        <w:tc>
          <w:tcPr>
            <w:tcW w:w="2552" w:type="dxa"/>
            <w:shd w:val="clear" w:color="000000" w:fill="FFFFFF"/>
            <w:vAlign w:val="bottom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Transferencias corrientes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217.187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171.824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22.475</w:t>
            </w:r>
          </w:p>
        </w:tc>
        <w:tc>
          <w:tcPr>
            <w:tcW w:w="121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147.757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68,03%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145.757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67,11%</w:t>
            </w:r>
          </w:p>
        </w:tc>
      </w:tr>
      <w:tr w:rsidR="00445152" w:rsidRPr="00445152" w:rsidTr="00445152">
        <w:trPr>
          <w:trHeight w:val="170"/>
        </w:trPr>
        <w:tc>
          <w:tcPr>
            <w:tcW w:w="2552" w:type="dxa"/>
            <w:shd w:val="clear" w:color="000000" w:fill="FFFFFF"/>
            <w:vAlign w:val="bottom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Gastos de comercialización y producción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21.739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21.739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119</w:t>
            </w:r>
          </w:p>
        </w:tc>
        <w:tc>
          <w:tcPr>
            <w:tcW w:w="121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17.957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82,60%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17.943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82,54%</w:t>
            </w:r>
          </w:p>
        </w:tc>
      </w:tr>
      <w:tr w:rsidR="00445152" w:rsidRPr="00445152" w:rsidTr="00445152">
        <w:trPr>
          <w:trHeight w:val="170"/>
        </w:trPr>
        <w:tc>
          <w:tcPr>
            <w:tcW w:w="2552" w:type="dxa"/>
            <w:shd w:val="clear" w:color="000000" w:fill="FFFFFF"/>
            <w:vAlign w:val="bottom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 xml:space="preserve">Gastos por tributos, multas, sanciones e intereses de mora 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1.580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2.350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2.318</w:t>
            </w:r>
          </w:p>
        </w:tc>
        <w:tc>
          <w:tcPr>
            <w:tcW w:w="121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32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2,04%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32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2,04%</w:t>
            </w:r>
          </w:p>
        </w:tc>
      </w:tr>
      <w:tr w:rsidR="00445152" w:rsidRPr="00445152" w:rsidTr="00445152">
        <w:trPr>
          <w:trHeight w:val="170"/>
        </w:trPr>
        <w:tc>
          <w:tcPr>
            <w:tcW w:w="2552" w:type="dxa"/>
            <w:shd w:val="clear" w:color="000000" w:fill="E8EAED"/>
            <w:vAlign w:val="bottom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 xml:space="preserve">B. Presupuesto de servicio de la deuda pública </w:t>
            </w:r>
          </w:p>
        </w:tc>
        <w:tc>
          <w:tcPr>
            <w:tcW w:w="1074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1.316</w:t>
            </w:r>
          </w:p>
        </w:tc>
        <w:tc>
          <w:tcPr>
            <w:tcW w:w="1133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1.316</w:t>
            </w:r>
          </w:p>
        </w:tc>
        <w:tc>
          <w:tcPr>
            <w:tcW w:w="1133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64</w:t>
            </w:r>
          </w:p>
        </w:tc>
        <w:tc>
          <w:tcPr>
            <w:tcW w:w="1216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1.252</w:t>
            </w:r>
          </w:p>
        </w:tc>
        <w:tc>
          <w:tcPr>
            <w:tcW w:w="706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95,14%</w:t>
            </w:r>
          </w:p>
        </w:tc>
        <w:tc>
          <w:tcPr>
            <w:tcW w:w="1145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1.252</w:t>
            </w:r>
          </w:p>
        </w:tc>
        <w:tc>
          <w:tcPr>
            <w:tcW w:w="752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5,14%</w:t>
            </w:r>
          </w:p>
        </w:tc>
      </w:tr>
      <w:tr w:rsidR="00445152" w:rsidRPr="00445152" w:rsidTr="00445152">
        <w:trPr>
          <w:trHeight w:val="170"/>
        </w:trPr>
        <w:tc>
          <w:tcPr>
            <w:tcW w:w="2552" w:type="dxa"/>
            <w:shd w:val="clear" w:color="000000" w:fill="FFFFFF"/>
            <w:vAlign w:val="bottom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Servicio de la deuda pública interna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1.316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1.316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64</w:t>
            </w:r>
          </w:p>
        </w:tc>
        <w:tc>
          <w:tcPr>
            <w:tcW w:w="121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1.252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95,14%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1.252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95,14%</w:t>
            </w:r>
          </w:p>
        </w:tc>
      </w:tr>
      <w:tr w:rsidR="00445152" w:rsidRPr="00445152" w:rsidTr="00445152">
        <w:trPr>
          <w:trHeight w:val="371"/>
        </w:trPr>
        <w:tc>
          <w:tcPr>
            <w:tcW w:w="2552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 xml:space="preserve">C. Presupuesto de inversión </w:t>
            </w:r>
          </w:p>
        </w:tc>
        <w:tc>
          <w:tcPr>
            <w:tcW w:w="1074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900.715</w:t>
            </w:r>
          </w:p>
        </w:tc>
        <w:tc>
          <w:tcPr>
            <w:tcW w:w="1133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900.715</w:t>
            </w:r>
          </w:p>
        </w:tc>
        <w:tc>
          <w:tcPr>
            <w:tcW w:w="1133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263.402</w:t>
            </w:r>
          </w:p>
        </w:tc>
        <w:tc>
          <w:tcPr>
            <w:tcW w:w="1216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392.269</w:t>
            </w:r>
          </w:p>
        </w:tc>
        <w:tc>
          <w:tcPr>
            <w:tcW w:w="706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43,55%</w:t>
            </w:r>
          </w:p>
        </w:tc>
        <w:tc>
          <w:tcPr>
            <w:tcW w:w="1145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86.300</w:t>
            </w:r>
          </w:p>
        </w:tc>
        <w:tc>
          <w:tcPr>
            <w:tcW w:w="752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9,58%</w:t>
            </w:r>
          </w:p>
        </w:tc>
      </w:tr>
      <w:tr w:rsidR="00445152" w:rsidRPr="00445152" w:rsidTr="00445152">
        <w:trPr>
          <w:trHeight w:val="170"/>
        </w:trPr>
        <w:tc>
          <w:tcPr>
            <w:tcW w:w="2552" w:type="dxa"/>
            <w:shd w:val="clear" w:color="000000" w:fill="FFFFFF"/>
            <w:vAlign w:val="bottom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 xml:space="preserve">2403 Infraestructura y servicios de transporte aéreo 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842.904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842.904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243.984</w:t>
            </w:r>
          </w:p>
        </w:tc>
        <w:tc>
          <w:tcPr>
            <w:tcW w:w="121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369.791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43,87%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75.749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8,99%</w:t>
            </w:r>
          </w:p>
        </w:tc>
      </w:tr>
      <w:tr w:rsidR="00445152" w:rsidRPr="00445152" w:rsidTr="00445152">
        <w:trPr>
          <w:trHeight w:val="170"/>
        </w:trPr>
        <w:tc>
          <w:tcPr>
            <w:tcW w:w="2552" w:type="dxa"/>
            <w:shd w:val="clear" w:color="000000" w:fill="FFFFFF"/>
            <w:vAlign w:val="bottom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2409 Seguridad de transporte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21.378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21.378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12.523</w:t>
            </w:r>
          </w:p>
        </w:tc>
        <w:tc>
          <w:tcPr>
            <w:tcW w:w="121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6.771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31,67%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2.961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13,85%</w:t>
            </w:r>
          </w:p>
        </w:tc>
      </w:tr>
      <w:tr w:rsidR="00445152" w:rsidRPr="00445152" w:rsidTr="00445152">
        <w:trPr>
          <w:trHeight w:val="170"/>
        </w:trPr>
        <w:tc>
          <w:tcPr>
            <w:tcW w:w="2552" w:type="dxa"/>
            <w:shd w:val="clear" w:color="000000" w:fill="FFFFFF"/>
            <w:vAlign w:val="bottom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2499 Fortalecimiento de la gestión y dirección del sector transporte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36.433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36.433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6.895</w:t>
            </w:r>
          </w:p>
        </w:tc>
        <w:tc>
          <w:tcPr>
            <w:tcW w:w="121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15.707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43,11%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7.590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s-CO" w:eastAsia="es-CO"/>
              </w:rPr>
              <w:t>20,83%</w:t>
            </w:r>
          </w:p>
        </w:tc>
      </w:tr>
      <w:tr w:rsidR="00445152" w:rsidRPr="00445152" w:rsidTr="00445152">
        <w:trPr>
          <w:trHeight w:val="170"/>
        </w:trPr>
        <w:tc>
          <w:tcPr>
            <w:tcW w:w="2552" w:type="dxa"/>
            <w:shd w:val="clear" w:color="000000" w:fill="E8EAED"/>
            <w:vAlign w:val="bottom"/>
            <w:hideMark/>
          </w:tcPr>
          <w:p w:rsidR="00513F37" w:rsidRPr="00513F37" w:rsidRDefault="00513F37" w:rsidP="00513F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Total general</w:t>
            </w:r>
          </w:p>
        </w:tc>
        <w:tc>
          <w:tcPr>
            <w:tcW w:w="1074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1.510.490</w:t>
            </w:r>
          </w:p>
        </w:tc>
        <w:tc>
          <w:tcPr>
            <w:tcW w:w="1133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1.510.490</w:t>
            </w:r>
          </w:p>
        </w:tc>
        <w:tc>
          <w:tcPr>
            <w:tcW w:w="1133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303.763</w:t>
            </w:r>
          </w:p>
        </w:tc>
        <w:tc>
          <w:tcPr>
            <w:tcW w:w="1216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760.236</w:t>
            </w:r>
          </w:p>
        </w:tc>
        <w:tc>
          <w:tcPr>
            <w:tcW w:w="706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50,33%</w:t>
            </w:r>
          </w:p>
        </w:tc>
        <w:tc>
          <w:tcPr>
            <w:tcW w:w="1145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439.741</w:t>
            </w:r>
          </w:p>
        </w:tc>
        <w:tc>
          <w:tcPr>
            <w:tcW w:w="752" w:type="dxa"/>
            <w:shd w:val="clear" w:color="000000" w:fill="E8EAED"/>
            <w:vAlign w:val="center"/>
            <w:hideMark/>
          </w:tcPr>
          <w:p w:rsidR="00513F37" w:rsidRPr="00513F37" w:rsidRDefault="00513F37" w:rsidP="0044515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</w:pPr>
            <w:r w:rsidRPr="00513F37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6"/>
                <w:szCs w:val="16"/>
                <w:lang w:val="es-CO" w:eastAsia="es-CO"/>
              </w:rPr>
              <w:t>29,11%</w:t>
            </w:r>
          </w:p>
        </w:tc>
      </w:tr>
    </w:tbl>
    <w:p w:rsidR="00513F37" w:rsidRPr="00445152" w:rsidRDefault="00445152" w:rsidP="00445152">
      <w:pPr>
        <w:pStyle w:val="Prrafodelista"/>
        <w:spacing w:line="276" w:lineRule="auto"/>
        <w:ind w:left="360"/>
        <w:jc w:val="center"/>
        <w:rPr>
          <w:rFonts w:ascii="Arial" w:hAnsi="Arial" w:cs="Arial"/>
          <w:sz w:val="16"/>
          <w:szCs w:val="20"/>
        </w:rPr>
      </w:pPr>
      <w:r w:rsidRPr="00626C05">
        <w:rPr>
          <w:rFonts w:ascii="Arial" w:hAnsi="Arial" w:cs="Arial"/>
          <w:b/>
          <w:sz w:val="16"/>
          <w:szCs w:val="20"/>
        </w:rPr>
        <w:t>Fuente:</w:t>
      </w:r>
      <w:r w:rsidRPr="00445152">
        <w:rPr>
          <w:rFonts w:ascii="Arial" w:hAnsi="Arial" w:cs="Arial"/>
          <w:sz w:val="16"/>
          <w:szCs w:val="20"/>
        </w:rPr>
        <w:t xml:space="preserve"> Reporte SIIF. Fecha de corte 31 de julio de 2019. Cifras en millones de pesos</w:t>
      </w:r>
    </w:p>
    <w:p w:rsidR="00E63EDD" w:rsidRDefault="00E63EDD" w:rsidP="00445152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</w:p>
    <w:p w:rsidR="00E63EDD" w:rsidRPr="00E63EDD" w:rsidRDefault="00E63EDD" w:rsidP="00E63EDD">
      <w:pPr>
        <w:pStyle w:val="Sinespaciado"/>
        <w:shd w:val="clear" w:color="auto" w:fill="1F497D" w:themeFill="text2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highlight w:val="yellow"/>
        </w:rPr>
      </w:pPr>
      <w:r w:rsidRPr="00E63EDD">
        <w:rPr>
          <w:rFonts w:ascii="Arial" w:hAnsi="Arial" w:cs="Arial"/>
          <w:color w:val="FFFFFF" w:themeColor="background1"/>
          <w:sz w:val="20"/>
          <w:szCs w:val="20"/>
        </w:rPr>
        <w:t xml:space="preserve">Gráfico </w:t>
      </w:r>
      <w:r w:rsidRPr="00E63EDD">
        <w:rPr>
          <w:rFonts w:ascii="Arial" w:hAnsi="Arial" w:cs="Arial"/>
          <w:color w:val="FFFFFF" w:themeColor="background1"/>
          <w:sz w:val="20"/>
          <w:szCs w:val="20"/>
        </w:rPr>
        <w:fldChar w:fldCharType="begin"/>
      </w:r>
      <w:r w:rsidRPr="00E63EDD">
        <w:rPr>
          <w:rFonts w:ascii="Arial" w:hAnsi="Arial" w:cs="Arial"/>
          <w:color w:val="FFFFFF" w:themeColor="background1"/>
          <w:sz w:val="20"/>
          <w:szCs w:val="20"/>
        </w:rPr>
        <w:instrText xml:space="preserve"> SEQ Gráfico \* ARABIC </w:instrText>
      </w:r>
      <w:r w:rsidRPr="00E63EDD">
        <w:rPr>
          <w:rFonts w:ascii="Arial" w:hAnsi="Arial" w:cs="Arial"/>
          <w:color w:val="FFFFFF" w:themeColor="background1"/>
          <w:sz w:val="20"/>
          <w:szCs w:val="20"/>
        </w:rPr>
        <w:fldChar w:fldCharType="separate"/>
      </w:r>
      <w:r w:rsidRPr="00E63EDD">
        <w:rPr>
          <w:rFonts w:ascii="Arial" w:hAnsi="Arial" w:cs="Arial"/>
          <w:noProof/>
          <w:color w:val="FFFFFF" w:themeColor="background1"/>
          <w:sz w:val="20"/>
          <w:szCs w:val="20"/>
        </w:rPr>
        <w:t>1</w:t>
      </w:r>
      <w:r w:rsidRPr="00E63EDD">
        <w:rPr>
          <w:rFonts w:ascii="Arial" w:hAnsi="Arial" w:cs="Arial"/>
          <w:color w:val="FFFFFF" w:themeColor="background1"/>
          <w:sz w:val="20"/>
          <w:szCs w:val="20"/>
        </w:rPr>
        <w:fldChar w:fldCharType="end"/>
      </w:r>
      <w:r w:rsidRPr="00E63EDD">
        <w:rPr>
          <w:rFonts w:ascii="Arial" w:hAnsi="Arial" w:cs="Arial"/>
          <w:color w:val="FFFFFF" w:themeColor="background1"/>
          <w:sz w:val="20"/>
          <w:szCs w:val="20"/>
        </w:rPr>
        <w:t>. Ejecución presupuestal vigencia 2019</w:t>
      </w:r>
    </w:p>
    <w:p w:rsidR="00E63EDD" w:rsidRDefault="00E63EDD" w:rsidP="00E63EDD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  <w:highlight w:val="yellow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11036DB8" wp14:editId="4B94DE58">
            <wp:extent cx="5919458" cy="2354400"/>
            <wp:effectExtent l="19050" t="19050" r="24765" b="2730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70" cy="23865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63EDD" w:rsidRDefault="00E63EDD" w:rsidP="00445152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</w:p>
    <w:p w:rsidR="00445152" w:rsidRPr="00626C05" w:rsidRDefault="00445152" w:rsidP="00445152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626C05">
        <w:rPr>
          <w:rFonts w:ascii="Arial" w:eastAsia="Times New Roman" w:hAnsi="Arial" w:cs="Arial"/>
          <w:sz w:val="20"/>
          <w:szCs w:val="20"/>
          <w:highlight w:val="yellow"/>
        </w:rPr>
        <w:t>Es importante mencionar que a la fecha el presupuestal apropiado a la Aerocivil no ha tenido aplazamientos de presupuesto, adiciones y créditos o contra créditos que aumenten o disminuyen la apropiación de la entidad.</w:t>
      </w:r>
    </w:p>
    <w:p w:rsidR="00445152" w:rsidRPr="00626C05" w:rsidRDefault="00445152" w:rsidP="00445152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</w:p>
    <w:p w:rsidR="00445152" w:rsidRPr="00445152" w:rsidRDefault="00445152" w:rsidP="00445152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6C05">
        <w:rPr>
          <w:rFonts w:ascii="Arial" w:eastAsia="Times New Roman" w:hAnsi="Arial" w:cs="Arial"/>
          <w:sz w:val="20"/>
          <w:szCs w:val="20"/>
          <w:highlight w:val="yellow"/>
        </w:rPr>
        <w:t>De igual forma se aclara que al interior de la entidad, se encuentra en trámite un traslado presupuestal</w:t>
      </w:r>
    </w:p>
    <w:p w:rsidR="00445152" w:rsidRDefault="00445152" w:rsidP="00445152">
      <w:pPr>
        <w:spacing w:line="276" w:lineRule="auto"/>
        <w:jc w:val="both"/>
        <w:rPr>
          <w:rFonts w:ascii="Arial" w:hAnsi="Arial" w:cs="Arial"/>
          <w:sz w:val="18"/>
          <w:lang w:val="es-CO"/>
        </w:rPr>
      </w:pPr>
    </w:p>
    <w:p w:rsidR="00626C05" w:rsidRDefault="00626C05" w:rsidP="00445152">
      <w:pPr>
        <w:spacing w:line="276" w:lineRule="auto"/>
        <w:jc w:val="both"/>
        <w:rPr>
          <w:rFonts w:ascii="Arial" w:hAnsi="Arial" w:cs="Arial"/>
          <w:sz w:val="18"/>
          <w:lang w:val="es-CO"/>
        </w:rPr>
      </w:pPr>
    </w:p>
    <w:p w:rsidR="00E63EDD" w:rsidRDefault="00E63EDD" w:rsidP="00445152">
      <w:pPr>
        <w:spacing w:line="276" w:lineRule="auto"/>
        <w:jc w:val="both"/>
        <w:rPr>
          <w:rFonts w:ascii="Arial" w:hAnsi="Arial" w:cs="Arial"/>
          <w:sz w:val="18"/>
          <w:lang w:val="es-CO"/>
        </w:rPr>
      </w:pPr>
    </w:p>
    <w:p w:rsidR="00626C05" w:rsidRPr="00513F37" w:rsidRDefault="00626C05" w:rsidP="00626C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26C05" w:rsidRDefault="00626C05" w:rsidP="00626C05">
      <w:pPr>
        <w:pStyle w:val="Prrafodelista"/>
        <w:numPr>
          <w:ilvl w:val="0"/>
          <w:numId w:val="7"/>
        </w:numPr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continuación, se relaciona la proyección de presupuesto de acuerdo con el </w:t>
      </w:r>
      <w:r w:rsidRPr="00626C05">
        <w:rPr>
          <w:rFonts w:ascii="Arial" w:hAnsi="Arial" w:cs="Arial"/>
          <w:sz w:val="20"/>
          <w:szCs w:val="20"/>
        </w:rPr>
        <w:t>Proyecto de ley de presupuesto general de la nación 2020.</w:t>
      </w:r>
    </w:p>
    <w:p w:rsidR="00E63EDD" w:rsidRPr="00626C05" w:rsidRDefault="00E63EDD" w:rsidP="00E63EDD">
      <w:pPr>
        <w:pStyle w:val="Prrafodelista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64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1107"/>
      </w:tblGrid>
      <w:tr w:rsidR="00626C05" w:rsidRPr="00626C05" w:rsidTr="00E63EDD">
        <w:trPr>
          <w:trHeight w:val="20"/>
        </w:trPr>
        <w:tc>
          <w:tcPr>
            <w:tcW w:w="6484" w:type="dxa"/>
            <w:gridSpan w:val="2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1F497D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CO"/>
              </w:rPr>
              <w:t>2412 - Unidad Administrativa Especial de la Aeronáutica Civil</w:t>
            </w:r>
          </w:p>
        </w:tc>
      </w:tr>
      <w:tr w:rsidR="00E63EDD" w:rsidRPr="00626C05" w:rsidTr="00E63EDD">
        <w:trPr>
          <w:trHeight w:val="20"/>
        </w:trPr>
        <w:tc>
          <w:tcPr>
            <w:tcW w:w="5377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E8EAE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120" w:hanging="12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A. Presupuesto de funcionamiento</w:t>
            </w:r>
          </w:p>
        </w:tc>
        <w:tc>
          <w:tcPr>
            <w:tcW w:w="1102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E8EAE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360"/>
              <w:jc w:val="righ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sz w:val="16"/>
                <w:szCs w:val="16"/>
                <w:lang w:val="es-CO"/>
              </w:rPr>
              <w:t xml:space="preserve">605.884 </w:t>
            </w:r>
          </w:p>
        </w:tc>
      </w:tr>
      <w:tr w:rsidR="00E63EDD" w:rsidRPr="00626C05" w:rsidTr="00E63EDD">
        <w:trPr>
          <w:trHeight w:val="20"/>
        </w:trPr>
        <w:tc>
          <w:tcPr>
            <w:tcW w:w="5377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120" w:hanging="12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 xml:space="preserve">B. Presupuesto de servicio de la deuda pública </w:t>
            </w:r>
          </w:p>
        </w:tc>
        <w:tc>
          <w:tcPr>
            <w:tcW w:w="1102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360"/>
              <w:jc w:val="righ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sz w:val="16"/>
                <w:szCs w:val="16"/>
                <w:lang w:val="es-CO"/>
              </w:rPr>
              <w:t xml:space="preserve">1.165 </w:t>
            </w:r>
          </w:p>
        </w:tc>
      </w:tr>
      <w:tr w:rsidR="00E63EDD" w:rsidRPr="00626C05" w:rsidTr="00E63EDD">
        <w:trPr>
          <w:trHeight w:val="20"/>
        </w:trPr>
        <w:tc>
          <w:tcPr>
            <w:tcW w:w="5377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E8EAE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120" w:hanging="12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 xml:space="preserve">C. Presupuesto de inversión </w:t>
            </w:r>
          </w:p>
        </w:tc>
        <w:tc>
          <w:tcPr>
            <w:tcW w:w="1102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E8EAE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360"/>
              <w:jc w:val="righ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sz w:val="16"/>
                <w:szCs w:val="16"/>
                <w:lang w:val="es-CO"/>
              </w:rPr>
              <w:t xml:space="preserve">982.823 </w:t>
            </w:r>
          </w:p>
        </w:tc>
      </w:tr>
      <w:tr w:rsidR="00E63EDD" w:rsidRPr="00626C05" w:rsidTr="00E63EDD">
        <w:trPr>
          <w:trHeight w:val="20"/>
        </w:trPr>
        <w:tc>
          <w:tcPr>
            <w:tcW w:w="5377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120" w:hanging="12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sz w:val="16"/>
                <w:szCs w:val="16"/>
                <w:lang w:val="es-CO"/>
              </w:rPr>
              <w:t xml:space="preserve">2403 Infraestructura y servicios de transporte aéreo </w:t>
            </w:r>
          </w:p>
        </w:tc>
        <w:tc>
          <w:tcPr>
            <w:tcW w:w="1102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360"/>
              <w:jc w:val="righ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sz w:val="16"/>
                <w:szCs w:val="16"/>
                <w:lang w:val="es-CO"/>
              </w:rPr>
              <w:t xml:space="preserve">897.273 </w:t>
            </w:r>
          </w:p>
        </w:tc>
      </w:tr>
      <w:tr w:rsidR="00E63EDD" w:rsidRPr="00626C05" w:rsidTr="00E63EDD">
        <w:trPr>
          <w:trHeight w:val="20"/>
        </w:trPr>
        <w:tc>
          <w:tcPr>
            <w:tcW w:w="5377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120" w:hanging="12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sz w:val="16"/>
                <w:szCs w:val="16"/>
                <w:lang w:val="es-CO"/>
              </w:rPr>
              <w:t>2409 Seguridad de transporte</w:t>
            </w:r>
          </w:p>
        </w:tc>
        <w:tc>
          <w:tcPr>
            <w:tcW w:w="1102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360"/>
              <w:jc w:val="righ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sz w:val="16"/>
                <w:szCs w:val="16"/>
                <w:lang w:val="es-CO"/>
              </w:rPr>
              <w:t xml:space="preserve">42.550 </w:t>
            </w:r>
          </w:p>
        </w:tc>
      </w:tr>
      <w:tr w:rsidR="00E63EDD" w:rsidRPr="00626C05" w:rsidTr="00E63EDD">
        <w:trPr>
          <w:trHeight w:val="20"/>
        </w:trPr>
        <w:tc>
          <w:tcPr>
            <w:tcW w:w="5377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120" w:hanging="12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sz w:val="16"/>
                <w:szCs w:val="16"/>
                <w:lang w:val="es-CO"/>
              </w:rPr>
              <w:t>2499 Fortalecimiento de la gestión y dirección del sector transporte</w:t>
            </w:r>
          </w:p>
        </w:tc>
        <w:tc>
          <w:tcPr>
            <w:tcW w:w="1102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360"/>
              <w:jc w:val="righ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sz w:val="16"/>
                <w:szCs w:val="16"/>
                <w:lang w:val="es-CO"/>
              </w:rPr>
              <w:t xml:space="preserve">43.000 </w:t>
            </w:r>
          </w:p>
        </w:tc>
      </w:tr>
      <w:tr w:rsidR="00E63EDD" w:rsidRPr="00626C05" w:rsidTr="00E63EDD">
        <w:trPr>
          <w:trHeight w:val="20"/>
        </w:trPr>
        <w:tc>
          <w:tcPr>
            <w:tcW w:w="5377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E8EAE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120" w:hanging="12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 xml:space="preserve">TOTAL PRESUPUESTO </w:t>
            </w:r>
          </w:p>
        </w:tc>
        <w:tc>
          <w:tcPr>
            <w:tcW w:w="1102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E8EAE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6C05" w:rsidRPr="00626C05" w:rsidRDefault="00626C05" w:rsidP="00E63EDD">
            <w:pPr>
              <w:pStyle w:val="Prrafodelista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C05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 xml:space="preserve">1.589.872 </w:t>
            </w:r>
          </w:p>
        </w:tc>
      </w:tr>
    </w:tbl>
    <w:p w:rsidR="00E63EDD" w:rsidRDefault="00E63EDD" w:rsidP="00626C05">
      <w:pPr>
        <w:pStyle w:val="Prrafodelista"/>
        <w:spacing w:line="276" w:lineRule="auto"/>
        <w:ind w:left="360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br w:type="textWrapping" w:clear="all"/>
      </w:r>
    </w:p>
    <w:p w:rsidR="00E63EDD" w:rsidRDefault="00E63EDD" w:rsidP="00626C05">
      <w:pPr>
        <w:pStyle w:val="Prrafodelista"/>
        <w:spacing w:line="276" w:lineRule="auto"/>
        <w:ind w:left="360"/>
        <w:jc w:val="center"/>
        <w:rPr>
          <w:rFonts w:ascii="Arial" w:hAnsi="Arial" w:cs="Arial"/>
          <w:b/>
          <w:sz w:val="16"/>
          <w:szCs w:val="20"/>
        </w:rPr>
      </w:pPr>
    </w:p>
    <w:p w:rsidR="00E63EDD" w:rsidRPr="00E63EDD" w:rsidRDefault="00E63EDD" w:rsidP="00E63EDD">
      <w:pPr>
        <w:pStyle w:val="Sinespaciado"/>
        <w:shd w:val="clear" w:color="auto" w:fill="1F497D" w:themeFill="text2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highlight w:val="yellow"/>
        </w:rPr>
      </w:pPr>
      <w:r w:rsidRPr="00E63EDD">
        <w:rPr>
          <w:rFonts w:ascii="Arial" w:hAnsi="Arial" w:cs="Arial"/>
          <w:color w:val="FFFFFF" w:themeColor="background1"/>
          <w:sz w:val="20"/>
          <w:szCs w:val="20"/>
        </w:rPr>
        <w:t xml:space="preserve">Gráfico </w:t>
      </w:r>
      <w:r w:rsidRPr="00E63EDD">
        <w:rPr>
          <w:rFonts w:ascii="Arial" w:hAnsi="Arial" w:cs="Arial"/>
          <w:color w:val="FFFFFF" w:themeColor="background1"/>
          <w:sz w:val="20"/>
          <w:szCs w:val="20"/>
        </w:rPr>
        <w:fldChar w:fldCharType="begin"/>
      </w:r>
      <w:r w:rsidRPr="00E63EDD">
        <w:rPr>
          <w:rFonts w:ascii="Arial" w:hAnsi="Arial" w:cs="Arial"/>
          <w:color w:val="FFFFFF" w:themeColor="background1"/>
          <w:sz w:val="20"/>
          <w:szCs w:val="20"/>
        </w:rPr>
        <w:instrText xml:space="preserve"> SEQ Gráfico \* ARABIC </w:instrText>
      </w:r>
      <w:r w:rsidRPr="00E63EDD">
        <w:rPr>
          <w:rFonts w:ascii="Arial" w:hAnsi="Arial" w:cs="Arial"/>
          <w:color w:val="FFFFFF" w:themeColor="background1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20"/>
          <w:szCs w:val="20"/>
        </w:rPr>
        <w:t>2</w:t>
      </w:r>
      <w:r w:rsidRPr="00E63EDD">
        <w:rPr>
          <w:rFonts w:ascii="Arial" w:hAnsi="Arial" w:cs="Arial"/>
          <w:color w:val="FFFFFF" w:themeColor="background1"/>
          <w:sz w:val="20"/>
          <w:szCs w:val="20"/>
        </w:rPr>
        <w:fldChar w:fldCharType="end"/>
      </w:r>
      <w:r w:rsidRPr="00E63EDD">
        <w:rPr>
          <w:rFonts w:ascii="Arial" w:hAnsi="Arial" w:cs="Arial"/>
          <w:color w:val="FFFFFF" w:themeColor="background1"/>
          <w:sz w:val="20"/>
          <w:szCs w:val="20"/>
        </w:rPr>
        <w:t xml:space="preserve">. </w:t>
      </w:r>
      <w:r>
        <w:rPr>
          <w:rFonts w:ascii="Arial" w:hAnsi="Arial" w:cs="Arial"/>
          <w:color w:val="FFFFFF" w:themeColor="background1"/>
          <w:sz w:val="20"/>
          <w:szCs w:val="20"/>
        </w:rPr>
        <w:t>Proyección presupuesto vigencia 2020</w:t>
      </w:r>
    </w:p>
    <w:p w:rsidR="00E63EDD" w:rsidRDefault="00E63EDD" w:rsidP="00626C05">
      <w:pPr>
        <w:pStyle w:val="Prrafodelista"/>
        <w:spacing w:line="276" w:lineRule="auto"/>
        <w:ind w:left="360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noProof/>
          <w:sz w:val="18"/>
          <w:lang w:val="es-CO" w:eastAsia="es-CO"/>
        </w:rPr>
        <w:drawing>
          <wp:inline distT="0" distB="0" distL="0" distR="0" wp14:anchorId="650D82B1" wp14:editId="525BB0EB">
            <wp:extent cx="3084754" cy="2702174"/>
            <wp:effectExtent l="19050" t="19050" r="20955" b="222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9" t="17650" r="14231"/>
                    <a:stretch/>
                  </pic:blipFill>
                  <pic:spPr bwMode="auto">
                    <a:xfrm>
                      <a:off x="0" y="0"/>
                      <a:ext cx="3110202" cy="27244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C05" w:rsidRPr="00626C05" w:rsidRDefault="00626C05" w:rsidP="00626C05">
      <w:pPr>
        <w:pStyle w:val="Prrafodelista"/>
        <w:spacing w:line="276" w:lineRule="auto"/>
        <w:ind w:left="360"/>
        <w:jc w:val="center"/>
        <w:rPr>
          <w:rFonts w:ascii="Arial" w:hAnsi="Arial" w:cs="Arial"/>
          <w:sz w:val="16"/>
          <w:szCs w:val="20"/>
        </w:rPr>
      </w:pPr>
      <w:r w:rsidRPr="00626C05">
        <w:rPr>
          <w:rFonts w:ascii="Arial" w:hAnsi="Arial" w:cs="Arial"/>
          <w:b/>
          <w:sz w:val="16"/>
          <w:szCs w:val="20"/>
        </w:rPr>
        <w:t>Fuente:</w:t>
      </w:r>
      <w:r w:rsidRPr="00626C05">
        <w:rPr>
          <w:rFonts w:ascii="Arial" w:hAnsi="Arial" w:cs="Arial"/>
          <w:sz w:val="16"/>
          <w:szCs w:val="20"/>
        </w:rPr>
        <w:t xml:space="preserve"> Proyecto de ley de presup</w:t>
      </w:r>
      <w:r>
        <w:rPr>
          <w:rFonts w:ascii="Arial" w:hAnsi="Arial" w:cs="Arial"/>
          <w:sz w:val="16"/>
          <w:szCs w:val="20"/>
        </w:rPr>
        <w:t>uesto general de la nación 2020 (</w:t>
      </w:r>
      <w:r w:rsidRPr="00626C05">
        <w:rPr>
          <w:rFonts w:ascii="Arial" w:hAnsi="Arial" w:cs="Arial"/>
          <w:sz w:val="16"/>
          <w:szCs w:val="20"/>
        </w:rPr>
        <w:t>Cifras en millones de pesos</w:t>
      </w:r>
      <w:r>
        <w:rPr>
          <w:rFonts w:ascii="Arial" w:hAnsi="Arial" w:cs="Arial"/>
          <w:sz w:val="16"/>
          <w:szCs w:val="20"/>
        </w:rPr>
        <w:t>)</w:t>
      </w:r>
    </w:p>
    <w:p w:rsidR="00626C05" w:rsidRDefault="00626C05" w:rsidP="00626C05">
      <w:pPr>
        <w:pStyle w:val="Prrafodelista"/>
        <w:spacing w:line="276" w:lineRule="auto"/>
        <w:ind w:left="360"/>
        <w:jc w:val="both"/>
        <w:rPr>
          <w:rFonts w:ascii="Arial" w:hAnsi="Arial" w:cs="Arial"/>
          <w:sz w:val="18"/>
          <w:lang w:val="es-CO"/>
        </w:rPr>
      </w:pPr>
    </w:p>
    <w:p w:rsidR="00626C05" w:rsidRPr="00626C05" w:rsidRDefault="00626C05" w:rsidP="00626C05">
      <w:pPr>
        <w:pStyle w:val="Prrafodelista"/>
        <w:spacing w:line="276" w:lineRule="auto"/>
        <w:ind w:left="360"/>
        <w:jc w:val="center"/>
        <w:rPr>
          <w:rFonts w:ascii="Arial" w:hAnsi="Arial" w:cs="Arial"/>
          <w:sz w:val="18"/>
          <w:lang w:val="es-CO"/>
        </w:rPr>
      </w:pPr>
    </w:p>
    <w:sectPr w:rsidR="00626C05" w:rsidRPr="00626C05" w:rsidSect="00445152">
      <w:headerReference w:type="default" r:id="rId10"/>
      <w:footerReference w:type="default" r:id="rId11"/>
      <w:pgSz w:w="12240" w:h="15840" w:code="1"/>
      <w:pgMar w:top="1560" w:right="1325" w:bottom="1134" w:left="1418" w:header="720" w:footer="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8C" w:rsidRDefault="002C798C" w:rsidP="00CF442F">
      <w:r>
        <w:separator/>
      </w:r>
    </w:p>
  </w:endnote>
  <w:endnote w:type="continuationSeparator" w:id="0">
    <w:p w:rsidR="002C798C" w:rsidRDefault="002C798C" w:rsidP="00CF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02" w:rsidRPr="00A96716" w:rsidRDefault="00887B02" w:rsidP="00CF442F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>Clave: GDIR-3.0-12-</w:t>
    </w:r>
    <w:r>
      <w:rPr>
        <w:rFonts w:ascii="Arial" w:hAnsi="Arial" w:cs="Arial"/>
        <w:b/>
        <w:sz w:val="16"/>
        <w:szCs w:val="16"/>
      </w:rPr>
      <w:t>08</w:t>
    </w:r>
  </w:p>
  <w:p w:rsidR="00887B02" w:rsidRPr="00A96716" w:rsidRDefault="00887B02" w:rsidP="00CF442F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>Versión: 01</w:t>
    </w:r>
  </w:p>
  <w:p w:rsidR="00887B02" w:rsidRPr="00A96716" w:rsidRDefault="00887B02" w:rsidP="00CF442F">
    <w:pPr>
      <w:tabs>
        <w:tab w:val="right" w:pos="9540"/>
      </w:tabs>
      <w:ind w:firstLine="708"/>
      <w:jc w:val="right"/>
      <w:rPr>
        <w:rFonts w:ascii="Arial" w:hAnsi="Arial" w:cs="Arial"/>
        <w:b/>
        <w:sz w:val="16"/>
        <w:szCs w:val="16"/>
      </w:rPr>
    </w:pPr>
    <w:r w:rsidRPr="00A96716">
      <w:rPr>
        <w:rFonts w:ascii="Arial" w:hAnsi="Arial" w:cs="Arial"/>
        <w:b/>
        <w:sz w:val="16"/>
        <w:szCs w:val="16"/>
      </w:rPr>
      <w:t xml:space="preserve">Fecha: </w:t>
    </w:r>
    <w:r>
      <w:rPr>
        <w:rFonts w:ascii="Arial" w:hAnsi="Arial" w:cs="Arial"/>
        <w:b/>
        <w:sz w:val="16"/>
        <w:szCs w:val="16"/>
      </w:rPr>
      <w:t>2</w:t>
    </w:r>
    <w:r w:rsidRPr="00A96716">
      <w:rPr>
        <w:rFonts w:ascii="Arial" w:hAnsi="Arial" w:cs="Arial"/>
        <w:b/>
        <w:sz w:val="16"/>
        <w:szCs w:val="16"/>
      </w:rPr>
      <w:t>0/09/2011</w:t>
    </w:r>
  </w:p>
  <w:p w:rsidR="00887B02" w:rsidRPr="00E9550A" w:rsidRDefault="00887B02" w:rsidP="00CF442F">
    <w:pPr>
      <w:pStyle w:val="Piedepgina"/>
      <w:jc w:val="right"/>
      <w:rPr>
        <w:rStyle w:val="Nmerodepgina"/>
        <w:rFonts w:ascii="Arial" w:hAnsi="Arial" w:cs="Arial"/>
        <w:b/>
        <w:sz w:val="16"/>
        <w:szCs w:val="16"/>
      </w:rPr>
    </w:pPr>
    <w:r w:rsidRPr="00E9550A">
      <w:rPr>
        <w:rStyle w:val="Nmerodepgina"/>
        <w:rFonts w:ascii="Arial" w:hAnsi="Arial" w:cs="Arial"/>
        <w:b/>
        <w:sz w:val="16"/>
        <w:szCs w:val="16"/>
      </w:rPr>
      <w:t>Página:</w:t>
    </w:r>
    <w:r>
      <w:rPr>
        <w:rStyle w:val="Nmerodepgina"/>
        <w:rFonts w:ascii="Arial" w:hAnsi="Arial" w:cs="Arial"/>
        <w:b/>
        <w:sz w:val="16"/>
        <w:szCs w:val="16"/>
      </w:rPr>
      <w:t xml:space="preserve"> 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E63EDD">
      <w:rPr>
        <w:rStyle w:val="Nmerodepgina"/>
        <w:rFonts w:ascii="Arial" w:hAnsi="Arial" w:cs="Arial"/>
        <w:b/>
        <w:noProof/>
        <w:sz w:val="16"/>
        <w:szCs w:val="16"/>
      </w:rPr>
      <w:t>2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E9550A">
      <w:rPr>
        <w:rStyle w:val="Nmerodepgina"/>
        <w:rFonts w:ascii="Arial" w:hAnsi="Arial" w:cs="Arial"/>
        <w:b/>
        <w:sz w:val="16"/>
        <w:szCs w:val="16"/>
      </w:rPr>
      <w:t xml:space="preserve"> de 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NUMPAGES  </w:instrTex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E63EDD">
      <w:rPr>
        <w:rStyle w:val="Nmerodepgina"/>
        <w:rFonts w:ascii="Arial" w:hAnsi="Arial" w:cs="Arial"/>
        <w:b/>
        <w:noProof/>
        <w:sz w:val="16"/>
        <w:szCs w:val="16"/>
      </w:rPr>
      <w:t>2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</w:p>
  <w:p w:rsidR="00887B02" w:rsidRDefault="00887B02" w:rsidP="00684009">
    <w:pPr>
      <w:pStyle w:val="Piedepgina"/>
      <w:tabs>
        <w:tab w:val="clear" w:pos="4252"/>
        <w:tab w:val="clear" w:pos="8504"/>
        <w:tab w:val="left" w:pos="1185"/>
      </w:tabs>
    </w:pPr>
    <w:r>
      <w:tab/>
    </w:r>
  </w:p>
  <w:p w:rsidR="00887B02" w:rsidRDefault="00887B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8C" w:rsidRDefault="002C798C" w:rsidP="00CF442F">
      <w:r>
        <w:separator/>
      </w:r>
    </w:p>
  </w:footnote>
  <w:footnote w:type="continuationSeparator" w:id="0">
    <w:p w:rsidR="002C798C" w:rsidRDefault="002C798C" w:rsidP="00CF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02" w:rsidRDefault="00887B0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-1369695</wp:posOffset>
          </wp:positionH>
          <wp:positionV relativeFrom="paragraph">
            <wp:posOffset>-307487</wp:posOffset>
          </wp:positionV>
          <wp:extent cx="3943350" cy="1016244"/>
          <wp:effectExtent l="0" t="0" r="0" b="0"/>
          <wp:wrapNone/>
          <wp:docPr id="11" name="Imagen 26" descr="Descripción: Marca Aeroci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Descripción: Marca Aerocivil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3243"/>
                  <a:stretch/>
                </pic:blipFill>
                <pic:spPr bwMode="auto">
                  <a:xfrm>
                    <a:off x="0" y="0"/>
                    <a:ext cx="3943350" cy="10162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35pt;height:11.35pt" o:bullet="t">
        <v:imagedata r:id="rId1" o:title=""/>
      </v:shape>
    </w:pict>
  </w:numPicBullet>
  <w:abstractNum w:abstractNumId="0" w15:restartNumberingAfterBreak="0">
    <w:nsid w:val="05AE2239"/>
    <w:multiLevelType w:val="hybridMultilevel"/>
    <w:tmpl w:val="4FE0A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696"/>
    <w:multiLevelType w:val="hybridMultilevel"/>
    <w:tmpl w:val="6AD25C0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7EEF"/>
    <w:multiLevelType w:val="hybridMultilevel"/>
    <w:tmpl w:val="C75A6D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63B7A"/>
    <w:multiLevelType w:val="hybridMultilevel"/>
    <w:tmpl w:val="DEA8791A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9004EC"/>
    <w:multiLevelType w:val="hybridMultilevel"/>
    <w:tmpl w:val="6DACE0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63024E"/>
    <w:multiLevelType w:val="hybridMultilevel"/>
    <w:tmpl w:val="4886C0D8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8E7162"/>
    <w:multiLevelType w:val="hybridMultilevel"/>
    <w:tmpl w:val="FAFC27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73"/>
    <w:rsid w:val="000034E4"/>
    <w:rsid w:val="0001198A"/>
    <w:rsid w:val="00050BAA"/>
    <w:rsid w:val="00061C60"/>
    <w:rsid w:val="000632EB"/>
    <w:rsid w:val="00090142"/>
    <w:rsid w:val="000917B3"/>
    <w:rsid w:val="000A2302"/>
    <w:rsid w:val="000A46CE"/>
    <w:rsid w:val="000A632C"/>
    <w:rsid w:val="000B2E5F"/>
    <w:rsid w:val="000B3D51"/>
    <w:rsid w:val="000B6B95"/>
    <w:rsid w:val="000C190B"/>
    <w:rsid w:val="000C3CFE"/>
    <w:rsid w:val="000D3F49"/>
    <w:rsid w:val="000D619D"/>
    <w:rsid w:val="000E5F0D"/>
    <w:rsid w:val="00102C88"/>
    <w:rsid w:val="00127AC8"/>
    <w:rsid w:val="00132AB2"/>
    <w:rsid w:val="00133314"/>
    <w:rsid w:val="00134F00"/>
    <w:rsid w:val="00135D70"/>
    <w:rsid w:val="00141FAC"/>
    <w:rsid w:val="00145654"/>
    <w:rsid w:val="00153387"/>
    <w:rsid w:val="00161BC6"/>
    <w:rsid w:val="0018444A"/>
    <w:rsid w:val="0018681A"/>
    <w:rsid w:val="001A50E6"/>
    <w:rsid w:val="001E0F25"/>
    <w:rsid w:val="001E236F"/>
    <w:rsid w:val="001F3C4E"/>
    <w:rsid w:val="00215D34"/>
    <w:rsid w:val="002415C4"/>
    <w:rsid w:val="00257187"/>
    <w:rsid w:val="002659C5"/>
    <w:rsid w:val="0028371D"/>
    <w:rsid w:val="00292D00"/>
    <w:rsid w:val="00296CC5"/>
    <w:rsid w:val="002A1AAC"/>
    <w:rsid w:val="002C798C"/>
    <w:rsid w:val="002E0536"/>
    <w:rsid w:val="002E7FAD"/>
    <w:rsid w:val="002F4F73"/>
    <w:rsid w:val="002F6FAE"/>
    <w:rsid w:val="0031141D"/>
    <w:rsid w:val="00323D91"/>
    <w:rsid w:val="00336D83"/>
    <w:rsid w:val="003428C1"/>
    <w:rsid w:val="0035143C"/>
    <w:rsid w:val="00351B3E"/>
    <w:rsid w:val="00375F38"/>
    <w:rsid w:val="003954DF"/>
    <w:rsid w:val="00395B5D"/>
    <w:rsid w:val="00396A64"/>
    <w:rsid w:val="003E38FC"/>
    <w:rsid w:val="003E4D38"/>
    <w:rsid w:val="003E5704"/>
    <w:rsid w:val="00412E43"/>
    <w:rsid w:val="00420F6C"/>
    <w:rsid w:val="00445152"/>
    <w:rsid w:val="00453E69"/>
    <w:rsid w:val="004540B4"/>
    <w:rsid w:val="00477344"/>
    <w:rsid w:val="00477B20"/>
    <w:rsid w:val="00495240"/>
    <w:rsid w:val="004B048F"/>
    <w:rsid w:val="004C79E7"/>
    <w:rsid w:val="004D7473"/>
    <w:rsid w:val="004E53E3"/>
    <w:rsid w:val="004E5DA1"/>
    <w:rsid w:val="004F3AB4"/>
    <w:rsid w:val="004F687F"/>
    <w:rsid w:val="005063F1"/>
    <w:rsid w:val="00513961"/>
    <w:rsid w:val="00513F37"/>
    <w:rsid w:val="005256DF"/>
    <w:rsid w:val="005606CC"/>
    <w:rsid w:val="005629BF"/>
    <w:rsid w:val="005770EB"/>
    <w:rsid w:val="0058745E"/>
    <w:rsid w:val="005F3CA1"/>
    <w:rsid w:val="006041DF"/>
    <w:rsid w:val="00615AC0"/>
    <w:rsid w:val="00622E2C"/>
    <w:rsid w:val="0062606C"/>
    <w:rsid w:val="00626C05"/>
    <w:rsid w:val="00642EC1"/>
    <w:rsid w:val="00657F51"/>
    <w:rsid w:val="00671F6B"/>
    <w:rsid w:val="00676915"/>
    <w:rsid w:val="00681DBB"/>
    <w:rsid w:val="00684009"/>
    <w:rsid w:val="006904B7"/>
    <w:rsid w:val="006C5BF9"/>
    <w:rsid w:val="007024D0"/>
    <w:rsid w:val="00703BFE"/>
    <w:rsid w:val="00727C45"/>
    <w:rsid w:val="007321C4"/>
    <w:rsid w:val="007370A3"/>
    <w:rsid w:val="00742ECA"/>
    <w:rsid w:val="00755F93"/>
    <w:rsid w:val="007643EA"/>
    <w:rsid w:val="007A7C2D"/>
    <w:rsid w:val="007B11A2"/>
    <w:rsid w:val="007C1786"/>
    <w:rsid w:val="007D1BA1"/>
    <w:rsid w:val="0080282A"/>
    <w:rsid w:val="00830F09"/>
    <w:rsid w:val="00832396"/>
    <w:rsid w:val="00834A5F"/>
    <w:rsid w:val="00852B53"/>
    <w:rsid w:val="00853A9B"/>
    <w:rsid w:val="008642A5"/>
    <w:rsid w:val="00874F21"/>
    <w:rsid w:val="008765DF"/>
    <w:rsid w:val="00885EAB"/>
    <w:rsid w:val="00887B02"/>
    <w:rsid w:val="00887D67"/>
    <w:rsid w:val="00893B8F"/>
    <w:rsid w:val="00896188"/>
    <w:rsid w:val="008A2D1D"/>
    <w:rsid w:val="00905D91"/>
    <w:rsid w:val="00917A7F"/>
    <w:rsid w:val="00917FFE"/>
    <w:rsid w:val="0095529D"/>
    <w:rsid w:val="00961D50"/>
    <w:rsid w:val="009632F3"/>
    <w:rsid w:val="00966494"/>
    <w:rsid w:val="00982599"/>
    <w:rsid w:val="0098651F"/>
    <w:rsid w:val="00994D28"/>
    <w:rsid w:val="009A4322"/>
    <w:rsid w:val="009C6724"/>
    <w:rsid w:val="009E366F"/>
    <w:rsid w:val="00A115AB"/>
    <w:rsid w:val="00A1546D"/>
    <w:rsid w:val="00A318BF"/>
    <w:rsid w:val="00A32A4D"/>
    <w:rsid w:val="00A62593"/>
    <w:rsid w:val="00A652C0"/>
    <w:rsid w:val="00A840D2"/>
    <w:rsid w:val="00A96673"/>
    <w:rsid w:val="00AB56D7"/>
    <w:rsid w:val="00AC1284"/>
    <w:rsid w:val="00AC381D"/>
    <w:rsid w:val="00AF1600"/>
    <w:rsid w:val="00B03008"/>
    <w:rsid w:val="00B137FE"/>
    <w:rsid w:val="00B17D35"/>
    <w:rsid w:val="00B30377"/>
    <w:rsid w:val="00B33999"/>
    <w:rsid w:val="00B43A04"/>
    <w:rsid w:val="00B461B3"/>
    <w:rsid w:val="00B71B7D"/>
    <w:rsid w:val="00B75756"/>
    <w:rsid w:val="00B92D32"/>
    <w:rsid w:val="00BC1E78"/>
    <w:rsid w:val="00BC348B"/>
    <w:rsid w:val="00BD199F"/>
    <w:rsid w:val="00BE0C6D"/>
    <w:rsid w:val="00BF1C45"/>
    <w:rsid w:val="00BF6C12"/>
    <w:rsid w:val="00C16A39"/>
    <w:rsid w:val="00C171A4"/>
    <w:rsid w:val="00C30BA5"/>
    <w:rsid w:val="00C33ECB"/>
    <w:rsid w:val="00C37323"/>
    <w:rsid w:val="00C40265"/>
    <w:rsid w:val="00C444A7"/>
    <w:rsid w:val="00CA604B"/>
    <w:rsid w:val="00CB2C40"/>
    <w:rsid w:val="00CD1F6F"/>
    <w:rsid w:val="00CD50C8"/>
    <w:rsid w:val="00CF09A0"/>
    <w:rsid w:val="00CF442F"/>
    <w:rsid w:val="00D3150A"/>
    <w:rsid w:val="00D4087E"/>
    <w:rsid w:val="00D53425"/>
    <w:rsid w:val="00D642C1"/>
    <w:rsid w:val="00D64747"/>
    <w:rsid w:val="00D7297A"/>
    <w:rsid w:val="00D96AE7"/>
    <w:rsid w:val="00DA37A4"/>
    <w:rsid w:val="00DA404F"/>
    <w:rsid w:val="00DD4BA9"/>
    <w:rsid w:val="00DD62E6"/>
    <w:rsid w:val="00E20F24"/>
    <w:rsid w:val="00E256F1"/>
    <w:rsid w:val="00E3135A"/>
    <w:rsid w:val="00E32E5F"/>
    <w:rsid w:val="00E37AAB"/>
    <w:rsid w:val="00E40516"/>
    <w:rsid w:val="00E63EDD"/>
    <w:rsid w:val="00E8066F"/>
    <w:rsid w:val="00EB4C14"/>
    <w:rsid w:val="00EC6141"/>
    <w:rsid w:val="00EF72DD"/>
    <w:rsid w:val="00F06658"/>
    <w:rsid w:val="00F0742B"/>
    <w:rsid w:val="00F31253"/>
    <w:rsid w:val="00F342F4"/>
    <w:rsid w:val="00F4740C"/>
    <w:rsid w:val="00F53CF5"/>
    <w:rsid w:val="00F57EBB"/>
    <w:rsid w:val="00F84423"/>
    <w:rsid w:val="00F85CB0"/>
    <w:rsid w:val="00F93EEC"/>
    <w:rsid w:val="00F9550D"/>
    <w:rsid w:val="00FA3481"/>
    <w:rsid w:val="00FB463C"/>
    <w:rsid w:val="00FB4A2E"/>
    <w:rsid w:val="00FB5075"/>
    <w:rsid w:val="00FC2ECF"/>
    <w:rsid w:val="00FC7E8D"/>
    <w:rsid w:val="00FD5FF3"/>
    <w:rsid w:val="00FD69E4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47FA6B"/>
  <w15:docId w15:val="{B7F5A82F-4DEA-4EAB-97D2-DE958392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47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4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42F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CF44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442F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4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42F"/>
    <w:rPr>
      <w:rFonts w:ascii="Tahoma" w:eastAsiaTheme="minorEastAsia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rsid w:val="00CF442F"/>
  </w:style>
  <w:style w:type="paragraph" w:styleId="Textonotapie">
    <w:name w:val="footnote text"/>
    <w:basedOn w:val="Normal"/>
    <w:link w:val="TextonotapieCar"/>
    <w:uiPriority w:val="99"/>
    <w:semiHidden/>
    <w:unhideWhenUsed/>
    <w:rsid w:val="006840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4009"/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84009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657F51"/>
    <w:pPr>
      <w:widowControl/>
      <w:autoSpaceDE/>
      <w:autoSpaceDN/>
      <w:adjustRightInd/>
    </w:pPr>
    <w:rPr>
      <w:rFonts w:ascii="Calibri" w:eastAsia="Times New Roman" w:hAnsi="Calibri"/>
      <w:sz w:val="22"/>
      <w:szCs w:val="21"/>
      <w:lang w:val="es-CO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7F51"/>
    <w:rPr>
      <w:rFonts w:ascii="Calibri" w:eastAsia="Times New Roman" w:hAnsi="Calibri" w:cs="Times New Roman"/>
      <w:szCs w:val="21"/>
      <w:lang w:val="es-CO"/>
    </w:rPr>
  </w:style>
  <w:style w:type="paragraph" w:styleId="Prrafodelista">
    <w:name w:val="List Paragraph"/>
    <w:basedOn w:val="Normal"/>
    <w:uiPriority w:val="34"/>
    <w:qFormat/>
    <w:rsid w:val="005063F1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Sinespaciado">
    <w:name w:val="No Spacing"/>
    <w:uiPriority w:val="1"/>
    <w:qFormat/>
    <w:rsid w:val="00EC6141"/>
    <w:rPr>
      <w:lang w:val="es-CO"/>
    </w:rPr>
  </w:style>
  <w:style w:type="paragraph" w:styleId="NormalWeb">
    <w:name w:val="Normal (Web)"/>
    <w:basedOn w:val="Normal"/>
    <w:uiPriority w:val="99"/>
    <w:semiHidden/>
    <w:unhideWhenUsed/>
    <w:rsid w:val="000917B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s-CO" w:eastAsia="es-CO"/>
    </w:rPr>
  </w:style>
  <w:style w:type="table" w:styleId="Tablaconcuadrcula">
    <w:name w:val="Table Grid"/>
    <w:basedOn w:val="Tablanormal"/>
    <w:uiPriority w:val="59"/>
    <w:rsid w:val="00AF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63ED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A2D712F-D419-498E-903B-6BE2320EEC0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2994719</dc:creator>
  <cp:lastModifiedBy>Lina Marcela Morales Botero</cp:lastModifiedBy>
  <cp:revision>7</cp:revision>
  <cp:lastPrinted>2018-06-06T18:08:00Z</cp:lastPrinted>
  <dcterms:created xsi:type="dcterms:W3CDTF">2018-07-31T18:00:00Z</dcterms:created>
  <dcterms:modified xsi:type="dcterms:W3CDTF">2019-08-01T16:44:00Z</dcterms:modified>
</cp:coreProperties>
</file>