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3137" w14:textId="77777777" w:rsidR="006F4ECB" w:rsidRPr="006F4ECB" w:rsidRDefault="006F4ECB" w:rsidP="006F4ECB">
      <w:pPr>
        <w:pBdr>
          <w:top w:val="nil"/>
          <w:left w:val="nil"/>
          <w:bottom w:val="nil"/>
          <w:right w:val="nil"/>
          <w:between w:val="nil"/>
        </w:pBdr>
        <w:rPr>
          <w:rFonts w:ascii="Tahoma" w:eastAsia="Calibri" w:hAnsi="Tahoma" w:cs="Tahoma"/>
          <w:color w:val="000000"/>
        </w:rPr>
      </w:pPr>
      <w:bookmarkStart w:id="0" w:name="_Hlk46144724"/>
      <w:bookmarkStart w:id="1" w:name="_GoBack"/>
      <w:bookmarkEnd w:id="1"/>
    </w:p>
    <w:p w14:paraId="379DCDAB" w14:textId="77777777" w:rsidR="006F4ECB" w:rsidRPr="006F4ECB" w:rsidRDefault="006F4ECB" w:rsidP="006F4ECB">
      <w:pPr>
        <w:rPr>
          <w:rFonts w:ascii="Tahoma" w:hAnsi="Tahoma" w:cs="Tahoma"/>
          <w:color w:val="000000"/>
        </w:rPr>
      </w:pPr>
    </w:p>
    <w:p w14:paraId="3BE7E5EC" w14:textId="6A3ED3CD" w:rsidR="006F4ECB" w:rsidRPr="006F4ECB" w:rsidRDefault="006F4ECB" w:rsidP="006F4ECB">
      <w:pPr>
        <w:rPr>
          <w:rFonts w:ascii="Tahoma" w:hAnsi="Tahoma" w:cs="Tahoma"/>
          <w:color w:val="000000"/>
        </w:rPr>
      </w:pPr>
      <w:r w:rsidRPr="006F4ECB">
        <w:rPr>
          <w:rFonts w:ascii="Tahoma" w:hAnsi="Tahoma" w:cs="Tahoma"/>
          <w:color w:val="000000"/>
        </w:rPr>
        <w:t xml:space="preserve">Bogotá D.C., julio </w:t>
      </w:r>
      <w:r w:rsidR="00515873">
        <w:rPr>
          <w:rFonts w:ascii="Tahoma" w:hAnsi="Tahoma" w:cs="Tahoma"/>
          <w:color w:val="000000"/>
        </w:rPr>
        <w:t xml:space="preserve">20 </w:t>
      </w:r>
      <w:r w:rsidRPr="006F4ECB">
        <w:rPr>
          <w:rFonts w:ascii="Tahoma" w:hAnsi="Tahoma" w:cs="Tahoma"/>
          <w:color w:val="000000"/>
        </w:rPr>
        <w:t>de 2020</w:t>
      </w:r>
    </w:p>
    <w:p w14:paraId="5F2A65E8" w14:textId="77777777" w:rsidR="008767F0" w:rsidRDefault="008767F0" w:rsidP="006F4ECB">
      <w:pPr>
        <w:rPr>
          <w:rFonts w:ascii="Tahoma" w:hAnsi="Tahoma" w:cs="Tahoma"/>
          <w:color w:val="000000"/>
        </w:rPr>
      </w:pPr>
      <w:r>
        <w:rPr>
          <w:rFonts w:ascii="Tahoma" w:hAnsi="Tahoma" w:cs="Tahoma"/>
          <w:color w:val="000000"/>
        </w:rPr>
        <w:br/>
      </w:r>
    </w:p>
    <w:p w14:paraId="4A6C6F8B" w14:textId="56D25C43" w:rsidR="006F4ECB" w:rsidRPr="006F4ECB" w:rsidRDefault="006F4ECB" w:rsidP="006F4ECB">
      <w:pPr>
        <w:rPr>
          <w:rFonts w:ascii="Tahoma" w:hAnsi="Tahoma" w:cs="Tahoma"/>
          <w:color w:val="000000"/>
        </w:rPr>
      </w:pPr>
      <w:r w:rsidRPr="006F4ECB">
        <w:rPr>
          <w:rFonts w:ascii="Tahoma" w:hAnsi="Tahoma" w:cs="Tahoma"/>
          <w:color w:val="000000"/>
        </w:rPr>
        <w:t>Honorable Representante</w:t>
      </w:r>
    </w:p>
    <w:p w14:paraId="3CFFF50C" w14:textId="77777777" w:rsidR="006F4ECB" w:rsidRPr="006F4ECB" w:rsidRDefault="006F4ECB" w:rsidP="006F4ECB">
      <w:pPr>
        <w:rPr>
          <w:rFonts w:ascii="Tahoma" w:hAnsi="Tahoma" w:cs="Tahoma"/>
          <w:b/>
          <w:color w:val="000000"/>
        </w:rPr>
      </w:pPr>
      <w:r w:rsidRPr="006F4ECB">
        <w:rPr>
          <w:rFonts w:ascii="Tahoma" w:hAnsi="Tahoma" w:cs="Tahoma"/>
          <w:b/>
          <w:color w:val="000000"/>
        </w:rPr>
        <w:t>GERMÁN ALCIDES BLANCO ÁLVAREZ</w:t>
      </w:r>
    </w:p>
    <w:p w14:paraId="4268A720" w14:textId="77777777" w:rsidR="006F4ECB" w:rsidRPr="006F4ECB" w:rsidRDefault="006F4ECB" w:rsidP="006F4ECB">
      <w:pPr>
        <w:rPr>
          <w:rFonts w:ascii="Tahoma" w:hAnsi="Tahoma" w:cs="Tahoma"/>
          <w:color w:val="000000"/>
        </w:rPr>
      </w:pPr>
      <w:r w:rsidRPr="006F4ECB">
        <w:rPr>
          <w:rFonts w:ascii="Tahoma" w:hAnsi="Tahoma" w:cs="Tahoma"/>
          <w:color w:val="000000"/>
        </w:rPr>
        <w:t>Presidente Cámara de Representantes</w:t>
      </w:r>
    </w:p>
    <w:p w14:paraId="43E04154" w14:textId="77777777" w:rsidR="006F4ECB" w:rsidRPr="006F4ECB" w:rsidRDefault="006F4ECB" w:rsidP="006F4ECB">
      <w:pPr>
        <w:rPr>
          <w:rFonts w:ascii="Tahoma" w:hAnsi="Tahoma" w:cs="Tahoma"/>
          <w:color w:val="000000"/>
        </w:rPr>
      </w:pPr>
      <w:r w:rsidRPr="006F4ECB">
        <w:rPr>
          <w:rFonts w:ascii="Tahoma" w:hAnsi="Tahoma" w:cs="Tahoma"/>
          <w:color w:val="000000"/>
        </w:rPr>
        <w:t>Ciudad</w:t>
      </w:r>
    </w:p>
    <w:p w14:paraId="0D371108" w14:textId="77777777" w:rsidR="006F4ECB" w:rsidRPr="006F4ECB" w:rsidRDefault="006F4ECB" w:rsidP="006F4ECB">
      <w:pPr>
        <w:rPr>
          <w:rFonts w:ascii="Tahoma" w:hAnsi="Tahoma" w:cs="Tahoma"/>
          <w:color w:val="000000"/>
        </w:rPr>
      </w:pPr>
    </w:p>
    <w:p w14:paraId="14950765" w14:textId="41591CC1" w:rsidR="006F4ECB" w:rsidRPr="008767F0" w:rsidRDefault="006F4ECB" w:rsidP="006F4ECB">
      <w:pPr>
        <w:ind w:left="4956"/>
        <w:jc w:val="both"/>
        <w:rPr>
          <w:rFonts w:ascii="Tahoma" w:hAnsi="Tahoma" w:cs="Tahoma"/>
          <w:i/>
          <w:iCs/>
          <w:sz w:val="20"/>
          <w:szCs w:val="20"/>
        </w:rPr>
      </w:pPr>
      <w:r w:rsidRPr="008767F0">
        <w:rPr>
          <w:rFonts w:ascii="Tahoma" w:hAnsi="Tahoma" w:cs="Tahoma"/>
          <w:b/>
          <w:i/>
          <w:iCs/>
          <w:color w:val="000000"/>
          <w:sz w:val="20"/>
          <w:szCs w:val="20"/>
        </w:rPr>
        <w:t>ASUNTO:</w:t>
      </w:r>
      <w:r w:rsidRPr="008767F0">
        <w:rPr>
          <w:rFonts w:ascii="Tahoma" w:hAnsi="Tahoma" w:cs="Tahoma"/>
          <w:i/>
          <w:iCs/>
          <w:color w:val="000000"/>
          <w:sz w:val="20"/>
          <w:szCs w:val="20"/>
        </w:rPr>
        <w:t xml:space="preserve"> Radicación proyecto de Ley </w:t>
      </w:r>
      <w:r w:rsidRPr="008767F0">
        <w:rPr>
          <w:rFonts w:ascii="Tahoma" w:hAnsi="Tahoma" w:cs="Tahoma"/>
          <w:i/>
          <w:iCs/>
          <w:sz w:val="20"/>
          <w:szCs w:val="20"/>
        </w:rPr>
        <w:t>“</w:t>
      </w:r>
      <w:r w:rsidR="003911C3" w:rsidRPr="008767F0">
        <w:rPr>
          <w:rFonts w:ascii="Tahoma" w:hAnsi="Tahoma" w:cs="Tahoma"/>
          <w:bCs/>
          <w:i/>
          <w:iCs/>
          <w:sz w:val="20"/>
          <w:szCs w:val="20"/>
          <w:lang w:val="es-ES_tradnl"/>
        </w:rPr>
        <w:t>POR MEDIO DE LA CUAL SE AUTORIZA LA EMISIÓN DE LA ESTAMPILLA PRO UNIVERSIDAD DEL TOLIMA Y SE DICTAN OTRAS DISPOSICIONES</w:t>
      </w:r>
      <w:r w:rsidRPr="008767F0">
        <w:rPr>
          <w:rFonts w:ascii="Tahoma" w:hAnsi="Tahoma" w:cs="Tahoma"/>
          <w:i/>
          <w:iCs/>
          <w:sz w:val="20"/>
          <w:szCs w:val="20"/>
        </w:rPr>
        <w:t xml:space="preserve">”. </w:t>
      </w:r>
    </w:p>
    <w:p w14:paraId="34497CF7" w14:textId="77777777" w:rsidR="006F4ECB" w:rsidRPr="006F4ECB" w:rsidRDefault="006F4ECB" w:rsidP="006F4ECB">
      <w:pPr>
        <w:rPr>
          <w:rFonts w:ascii="Tahoma" w:hAnsi="Tahoma" w:cs="Tahoma"/>
          <w:color w:val="000000"/>
        </w:rPr>
      </w:pPr>
    </w:p>
    <w:p w14:paraId="024BF051" w14:textId="77777777" w:rsidR="006F4ECB" w:rsidRPr="006F4ECB" w:rsidRDefault="006F4ECB" w:rsidP="006F4ECB">
      <w:pPr>
        <w:rPr>
          <w:rFonts w:ascii="Tahoma" w:eastAsia="Calibri" w:hAnsi="Tahoma" w:cs="Tahoma"/>
          <w:color w:val="000000"/>
        </w:rPr>
      </w:pPr>
      <w:r w:rsidRPr="006F4ECB">
        <w:rPr>
          <w:rFonts w:ascii="Tahoma" w:eastAsia="Calibri" w:hAnsi="Tahoma" w:cs="Tahoma"/>
          <w:color w:val="000000"/>
        </w:rPr>
        <w:t xml:space="preserve">Honorable Presidente: </w:t>
      </w:r>
    </w:p>
    <w:p w14:paraId="118EF4AC" w14:textId="05A1E24A" w:rsidR="006F4ECB" w:rsidRPr="006F4ECB" w:rsidRDefault="006F4ECB" w:rsidP="006F4ECB">
      <w:pPr>
        <w:jc w:val="both"/>
        <w:rPr>
          <w:rFonts w:ascii="Tahoma" w:eastAsia="Calibri" w:hAnsi="Tahoma" w:cs="Tahoma"/>
          <w:color w:val="000000"/>
        </w:rPr>
      </w:pPr>
      <w:r w:rsidRPr="006F4ECB">
        <w:rPr>
          <w:rFonts w:ascii="Tahoma" w:eastAsia="Calibri" w:hAnsi="Tahoma" w:cs="Tahoma"/>
          <w:color w:val="000000"/>
        </w:rPr>
        <w:t>De conformidad con los artículos 139 y 140 de la Ley 5 de 1992 y demás normas concordantes, nos permitimos presentar a consideración de la Honorable Cámara de Representantes, el proyecto de Ley “</w:t>
      </w:r>
      <w:r w:rsidR="003911C3" w:rsidRPr="003911C3">
        <w:rPr>
          <w:rFonts w:ascii="Tahoma" w:hAnsi="Tahoma" w:cs="Tahoma"/>
          <w:bCs/>
          <w:sz w:val="24"/>
          <w:szCs w:val="24"/>
          <w:lang w:val="es-ES_tradnl"/>
        </w:rPr>
        <w:t>Por medio de la cual se autoriza la emisión de la estampilla pro Universidad del Tolima y se dictan otras disposiciones</w:t>
      </w:r>
      <w:r w:rsidRPr="003911C3">
        <w:rPr>
          <w:rFonts w:ascii="Tahoma" w:eastAsia="Calibri" w:hAnsi="Tahoma" w:cs="Tahoma"/>
          <w:bCs/>
          <w:color w:val="000000"/>
        </w:rPr>
        <w:t xml:space="preserve">.” </w:t>
      </w:r>
      <w:r w:rsidRPr="006F4ECB">
        <w:rPr>
          <w:rFonts w:ascii="Tahoma" w:eastAsia="Calibri" w:hAnsi="Tahoma" w:cs="Tahoma"/>
          <w:color w:val="000000"/>
        </w:rPr>
        <w:t>Lo anterior, con la finalidad de dar el trámite correspondiente conforme a los términos establecidos por la Constitución y la Ley</w:t>
      </w:r>
    </w:p>
    <w:p w14:paraId="344D24B4" w14:textId="77777777" w:rsidR="006F4ECB" w:rsidRPr="006F4ECB" w:rsidRDefault="006F4ECB" w:rsidP="006F4ECB">
      <w:pPr>
        <w:jc w:val="both"/>
        <w:rPr>
          <w:rFonts w:ascii="Tahoma" w:eastAsia="Calibri" w:hAnsi="Tahoma" w:cs="Tahoma"/>
          <w:color w:val="000000"/>
        </w:rPr>
      </w:pPr>
    </w:p>
    <w:p w14:paraId="0E85EC67" w14:textId="049E0FC1" w:rsidR="006F4ECB" w:rsidRPr="006F4ECB" w:rsidRDefault="006F4ECB" w:rsidP="006F4ECB">
      <w:pPr>
        <w:jc w:val="both"/>
        <w:rPr>
          <w:rFonts w:ascii="Tahoma" w:eastAsia="Calibri" w:hAnsi="Tahoma" w:cs="Tahoma"/>
          <w:color w:val="000000"/>
        </w:rPr>
      </w:pPr>
      <w:r w:rsidRPr="006F4ECB">
        <w:rPr>
          <w:rFonts w:ascii="Tahoma" w:eastAsia="Calibri" w:hAnsi="Tahoma" w:cs="Tahoma"/>
          <w:color w:val="000000"/>
        </w:rPr>
        <w:t>De los Honorables Congresistas,</w:t>
      </w:r>
    </w:p>
    <w:p w14:paraId="42CAEB2F" w14:textId="77777777" w:rsidR="006F4ECB" w:rsidRDefault="006F4ECB" w:rsidP="006F4ECB">
      <w:pPr>
        <w:jc w:val="both"/>
        <w:rPr>
          <w:rFonts w:ascii="Tahoma" w:eastAsia="Calibri" w:hAnsi="Tahoma" w:cs="Tahoma"/>
          <w:color w:val="000000"/>
        </w:rPr>
      </w:pPr>
    </w:p>
    <w:p w14:paraId="7DAD33A6" w14:textId="77777777" w:rsidR="006F4ECB" w:rsidRPr="006F4ECB" w:rsidRDefault="006F4ECB" w:rsidP="006F4ECB">
      <w:pPr>
        <w:jc w:val="both"/>
        <w:rPr>
          <w:rFonts w:ascii="Tahoma" w:eastAsia="Calibri" w:hAnsi="Tahoma" w:cs="Tahoma"/>
          <w:color w:val="000000"/>
        </w:rPr>
      </w:pPr>
    </w:p>
    <w:p w14:paraId="78A375BE" w14:textId="77777777" w:rsidR="006F4ECB" w:rsidRPr="006F4ECB" w:rsidRDefault="006F4ECB" w:rsidP="006F4ECB">
      <w:pPr>
        <w:spacing w:line="259" w:lineRule="auto"/>
        <w:jc w:val="both"/>
        <w:rPr>
          <w:rFonts w:ascii="Tahoma" w:eastAsia="Calibri" w:hAnsi="Tahoma" w:cs="Tahoma"/>
        </w:rPr>
      </w:pPr>
    </w:p>
    <w:p w14:paraId="31E8DF67" w14:textId="77777777" w:rsidR="006F4ECB" w:rsidRPr="006F4ECB" w:rsidRDefault="006F4ECB" w:rsidP="006F4ECB">
      <w:pPr>
        <w:spacing w:line="240" w:lineRule="auto"/>
        <w:jc w:val="center"/>
        <w:rPr>
          <w:rFonts w:ascii="Tahoma" w:eastAsia="Times New Roman" w:hAnsi="Tahoma" w:cs="Tahoma"/>
          <w:b/>
          <w:bCs/>
          <w:lang w:eastAsia="es-ES_tradnl"/>
        </w:rPr>
      </w:pPr>
    </w:p>
    <w:p w14:paraId="4DCF431D" w14:textId="77777777" w:rsidR="006F4ECB" w:rsidRPr="006F4ECB" w:rsidRDefault="006F4ECB" w:rsidP="006F4ECB">
      <w:pPr>
        <w:spacing w:line="240" w:lineRule="auto"/>
        <w:jc w:val="center"/>
        <w:rPr>
          <w:rFonts w:ascii="Tahoma" w:eastAsia="Times New Roman" w:hAnsi="Tahoma" w:cs="Tahoma"/>
          <w:b/>
          <w:bCs/>
          <w:lang w:eastAsia="es-ES_tradnl"/>
        </w:rPr>
      </w:pPr>
      <w:r w:rsidRPr="006F4ECB">
        <w:rPr>
          <w:rFonts w:ascii="Tahoma" w:eastAsia="Times New Roman" w:hAnsi="Tahoma" w:cs="Tahoma"/>
          <w:b/>
          <w:bCs/>
          <w:lang w:eastAsia="es-ES_tradnl"/>
        </w:rPr>
        <w:t>MIGUEL ÁNGEL BARRETO CASTILLO</w:t>
      </w:r>
    </w:p>
    <w:p w14:paraId="234EA16E" w14:textId="41D7EE49" w:rsidR="006F4ECB" w:rsidRDefault="006F4ECB" w:rsidP="004C7113">
      <w:pPr>
        <w:spacing w:line="240" w:lineRule="auto"/>
        <w:jc w:val="center"/>
        <w:rPr>
          <w:rFonts w:ascii="Tahoma" w:eastAsia="Times New Roman" w:hAnsi="Tahoma" w:cs="Tahoma"/>
          <w:b/>
          <w:bCs/>
          <w:lang w:eastAsia="es-ES_tradnl"/>
        </w:rPr>
      </w:pPr>
      <w:r w:rsidRPr="006F4ECB">
        <w:rPr>
          <w:rFonts w:ascii="Tahoma" w:eastAsia="Times New Roman" w:hAnsi="Tahoma" w:cs="Tahoma"/>
          <w:b/>
          <w:bCs/>
          <w:lang w:eastAsia="es-ES_tradnl"/>
        </w:rPr>
        <w:t>Senador de la República</w:t>
      </w:r>
    </w:p>
    <w:p w14:paraId="13DD3FE9" w14:textId="29E99BDF" w:rsidR="00856BE4" w:rsidRDefault="00856BE4" w:rsidP="004C7113">
      <w:pPr>
        <w:spacing w:line="240" w:lineRule="auto"/>
        <w:jc w:val="center"/>
        <w:rPr>
          <w:rFonts w:ascii="Tahoma" w:eastAsia="Times New Roman" w:hAnsi="Tahoma" w:cs="Tahoma"/>
          <w:b/>
          <w:bCs/>
          <w:lang w:eastAsia="es-ES_tradnl"/>
        </w:rPr>
      </w:pPr>
    </w:p>
    <w:bookmarkEnd w:id="0"/>
    <w:p w14:paraId="020D85C5" w14:textId="77777777" w:rsidR="00856BE4" w:rsidRPr="004C7113" w:rsidRDefault="00856BE4" w:rsidP="004C7113">
      <w:pPr>
        <w:spacing w:line="240" w:lineRule="auto"/>
        <w:jc w:val="center"/>
        <w:rPr>
          <w:rFonts w:ascii="Tahoma" w:eastAsia="Times New Roman" w:hAnsi="Tahoma" w:cs="Tahoma"/>
          <w:b/>
          <w:bCs/>
          <w:lang w:eastAsia="es-ES_tradnl"/>
        </w:rPr>
      </w:pPr>
    </w:p>
    <w:p w14:paraId="6F556B48" w14:textId="77777777" w:rsidR="008767F0" w:rsidRDefault="008767F0" w:rsidP="00085B9E">
      <w:pPr>
        <w:spacing w:after="0" w:line="240" w:lineRule="auto"/>
        <w:ind w:left="284"/>
        <w:contextualSpacing/>
        <w:jc w:val="center"/>
        <w:rPr>
          <w:rFonts w:ascii="Tahoma" w:eastAsia="Times New Roman" w:hAnsi="Tahoma" w:cs="Tahoma"/>
          <w:b/>
          <w:sz w:val="24"/>
          <w:szCs w:val="24"/>
          <w:lang w:eastAsia="es-CO"/>
        </w:rPr>
      </w:pPr>
    </w:p>
    <w:p w14:paraId="1A93B009" w14:textId="789460E0" w:rsidR="006535A1" w:rsidRPr="004C7113" w:rsidRDefault="006A03B5" w:rsidP="00085B9E">
      <w:pPr>
        <w:spacing w:after="0" w:line="240" w:lineRule="auto"/>
        <w:ind w:left="284"/>
        <w:contextualSpacing/>
        <w:jc w:val="center"/>
        <w:rPr>
          <w:rFonts w:ascii="Tahoma" w:eastAsia="Times New Roman" w:hAnsi="Tahoma" w:cs="Tahoma"/>
          <w:b/>
          <w:sz w:val="24"/>
          <w:szCs w:val="24"/>
          <w:lang w:eastAsia="es-CO"/>
        </w:rPr>
      </w:pPr>
      <w:r w:rsidRPr="004C7113">
        <w:rPr>
          <w:rFonts w:ascii="Tahoma" w:eastAsia="Times New Roman" w:hAnsi="Tahoma" w:cs="Tahoma"/>
          <w:b/>
          <w:sz w:val="24"/>
          <w:szCs w:val="24"/>
          <w:lang w:eastAsia="es-CO"/>
        </w:rPr>
        <w:lastRenderedPageBreak/>
        <w:t xml:space="preserve">TEXTO PROPUESTO PARA PROYECTO DE LEY </w:t>
      </w:r>
      <w:r w:rsidR="006535A1" w:rsidRPr="004C7113">
        <w:rPr>
          <w:rFonts w:ascii="Tahoma" w:hAnsi="Tahoma" w:cs="Tahoma"/>
          <w:b/>
          <w:sz w:val="24"/>
          <w:szCs w:val="24"/>
          <w:lang w:val="es-ES_tradnl"/>
        </w:rPr>
        <w:t>________ DE 2020</w:t>
      </w:r>
    </w:p>
    <w:p w14:paraId="2ED51027" w14:textId="77777777" w:rsidR="006535A1" w:rsidRPr="004C7113" w:rsidRDefault="006535A1" w:rsidP="00085B9E">
      <w:pPr>
        <w:jc w:val="center"/>
        <w:rPr>
          <w:rFonts w:ascii="Tahoma" w:hAnsi="Tahoma" w:cs="Tahoma"/>
          <w:b/>
          <w:sz w:val="24"/>
          <w:szCs w:val="24"/>
          <w:lang w:val="es-ES_tradnl"/>
        </w:rPr>
      </w:pPr>
    </w:p>
    <w:p w14:paraId="3ED97B90" w14:textId="77777777" w:rsidR="006535A1" w:rsidRPr="004C7113" w:rsidRDefault="006535A1" w:rsidP="00085B9E">
      <w:pPr>
        <w:jc w:val="center"/>
        <w:rPr>
          <w:rFonts w:ascii="Tahoma" w:hAnsi="Tahoma" w:cs="Tahoma"/>
          <w:b/>
          <w:sz w:val="24"/>
          <w:szCs w:val="24"/>
          <w:lang w:val="es-ES_tradnl"/>
        </w:rPr>
      </w:pPr>
      <w:r w:rsidRPr="004C7113">
        <w:rPr>
          <w:rFonts w:ascii="Tahoma" w:hAnsi="Tahoma" w:cs="Tahoma"/>
          <w:b/>
          <w:sz w:val="24"/>
          <w:szCs w:val="24"/>
          <w:lang w:val="es-ES_tradnl"/>
        </w:rPr>
        <w:t>“</w:t>
      </w:r>
      <w:r w:rsidR="005045B9" w:rsidRPr="004C7113">
        <w:rPr>
          <w:rFonts w:ascii="Tahoma" w:hAnsi="Tahoma" w:cs="Tahoma"/>
          <w:b/>
          <w:sz w:val="24"/>
          <w:szCs w:val="24"/>
          <w:lang w:val="es-ES_tradnl"/>
        </w:rPr>
        <w:t>Por medio de la cual se autoriza la emisión de la estampilla pro Universidad del Tolima y se dictan otras disposiciones”</w:t>
      </w:r>
    </w:p>
    <w:p w14:paraId="38662385" w14:textId="77777777" w:rsidR="00C04431" w:rsidRPr="004C7113" w:rsidRDefault="006F4ECB" w:rsidP="006F4ECB">
      <w:pPr>
        <w:tabs>
          <w:tab w:val="center" w:pos="4419"/>
          <w:tab w:val="right" w:pos="8838"/>
        </w:tabs>
        <w:rPr>
          <w:rFonts w:ascii="Tahoma" w:eastAsia="Arial" w:hAnsi="Tahoma" w:cs="Tahoma"/>
          <w:sz w:val="24"/>
          <w:szCs w:val="24"/>
        </w:rPr>
      </w:pPr>
      <w:r w:rsidRPr="004C7113">
        <w:rPr>
          <w:rFonts w:ascii="Tahoma" w:eastAsia="Arial" w:hAnsi="Tahoma" w:cs="Tahoma"/>
          <w:sz w:val="24"/>
          <w:szCs w:val="24"/>
        </w:rPr>
        <w:tab/>
      </w:r>
      <w:r w:rsidR="00C04431" w:rsidRPr="004C7113">
        <w:rPr>
          <w:rFonts w:ascii="Tahoma" w:eastAsia="Arial" w:hAnsi="Tahoma" w:cs="Tahoma"/>
          <w:sz w:val="24"/>
          <w:szCs w:val="24"/>
        </w:rPr>
        <w:t>EL CONGRESO DE COLOMBIA</w:t>
      </w:r>
      <w:r w:rsidRPr="004C7113">
        <w:rPr>
          <w:rFonts w:ascii="Tahoma" w:eastAsia="Arial" w:hAnsi="Tahoma" w:cs="Tahoma"/>
          <w:sz w:val="24"/>
          <w:szCs w:val="24"/>
        </w:rPr>
        <w:tab/>
      </w:r>
    </w:p>
    <w:p w14:paraId="416D87D9" w14:textId="77777777" w:rsidR="00C04431" w:rsidRPr="003911C3" w:rsidRDefault="00C04431" w:rsidP="00085B9E">
      <w:pPr>
        <w:jc w:val="center"/>
        <w:rPr>
          <w:rFonts w:ascii="Tahoma" w:hAnsi="Tahoma" w:cs="Tahoma"/>
          <w:b/>
          <w:sz w:val="24"/>
          <w:szCs w:val="24"/>
          <w:lang w:val="es-ES_tradnl"/>
        </w:rPr>
      </w:pPr>
      <w:r w:rsidRPr="003911C3">
        <w:rPr>
          <w:rFonts w:ascii="Tahoma" w:eastAsia="Arial" w:hAnsi="Tahoma" w:cs="Tahoma"/>
          <w:sz w:val="24"/>
          <w:szCs w:val="24"/>
        </w:rPr>
        <w:t>DECRETA</w:t>
      </w:r>
    </w:p>
    <w:p w14:paraId="22016434" w14:textId="77777777" w:rsidR="005045B9" w:rsidRPr="003911C3" w:rsidRDefault="006535A1" w:rsidP="00085B9E">
      <w:pPr>
        <w:spacing w:line="240" w:lineRule="auto"/>
        <w:jc w:val="both"/>
        <w:rPr>
          <w:rFonts w:ascii="Tahoma" w:eastAsia="Times New Roman" w:hAnsi="Tahoma" w:cs="Tahoma"/>
          <w:color w:val="000000" w:themeColor="text1"/>
          <w:sz w:val="24"/>
          <w:szCs w:val="24"/>
          <w:lang w:eastAsia="es-ES_tradnl"/>
        </w:rPr>
      </w:pPr>
      <w:r w:rsidRPr="003911C3">
        <w:rPr>
          <w:rFonts w:ascii="Tahoma" w:hAnsi="Tahoma" w:cs="Tahoma"/>
          <w:b/>
          <w:sz w:val="24"/>
          <w:szCs w:val="24"/>
          <w:lang w:val="es-ES_tradnl"/>
        </w:rPr>
        <w:t xml:space="preserve">Artículo 1. </w:t>
      </w:r>
      <w:r w:rsidR="00255314" w:rsidRPr="003911C3">
        <w:rPr>
          <w:rFonts w:ascii="Tahoma" w:hAnsi="Tahoma" w:cs="Tahoma"/>
          <w:b/>
          <w:sz w:val="24"/>
          <w:szCs w:val="24"/>
          <w:lang w:val="es-ES_tradnl"/>
        </w:rPr>
        <w:t>Objeto.</w:t>
      </w:r>
      <w:r w:rsidR="00255314" w:rsidRPr="003911C3">
        <w:rPr>
          <w:rFonts w:ascii="Tahoma" w:hAnsi="Tahoma" w:cs="Tahoma"/>
          <w:sz w:val="24"/>
          <w:szCs w:val="24"/>
        </w:rPr>
        <w:t xml:space="preserve"> </w:t>
      </w:r>
      <w:r w:rsidR="005045B9" w:rsidRPr="003911C3">
        <w:rPr>
          <w:rFonts w:ascii="Tahoma" w:eastAsia="Times New Roman" w:hAnsi="Tahoma" w:cs="Tahoma"/>
          <w:color w:val="000000" w:themeColor="text1"/>
          <w:sz w:val="24"/>
          <w:szCs w:val="24"/>
          <w:lang w:eastAsia="es-ES_tradnl"/>
        </w:rPr>
        <w:t xml:space="preserve">Autorícese a la Asamblea Departamental del Tolima para que ordene la emisión de la estampilla "Pro Universidad del Tolima". </w:t>
      </w:r>
    </w:p>
    <w:p w14:paraId="2A6DE699" w14:textId="2C9868F8" w:rsidR="00D6764B" w:rsidRPr="003911C3" w:rsidRDefault="005045B9" w:rsidP="00085B9E">
      <w:pPr>
        <w:spacing w:line="240" w:lineRule="auto"/>
        <w:jc w:val="both"/>
        <w:rPr>
          <w:rFonts w:ascii="Tahoma" w:eastAsia="Times New Roman" w:hAnsi="Tahoma" w:cs="Tahoma"/>
          <w:sz w:val="24"/>
          <w:szCs w:val="24"/>
          <w:lang w:eastAsia="es-ES_tradnl"/>
        </w:rPr>
      </w:pPr>
      <w:r w:rsidRPr="003911C3">
        <w:rPr>
          <w:rFonts w:ascii="Tahoma" w:eastAsia="Times New Roman" w:hAnsi="Tahoma" w:cs="Tahoma"/>
          <w:b/>
          <w:bCs/>
          <w:color w:val="000000" w:themeColor="text1"/>
          <w:sz w:val="24"/>
          <w:szCs w:val="24"/>
          <w:lang w:eastAsia="es-ES_tradnl"/>
        </w:rPr>
        <w:t>Artículo 2. Cuantía de la emisión</w:t>
      </w:r>
      <w:r w:rsidRPr="003911C3">
        <w:rPr>
          <w:rFonts w:ascii="Tahoma" w:eastAsia="Times New Roman" w:hAnsi="Tahoma" w:cs="Tahoma"/>
          <w:color w:val="000000" w:themeColor="text1"/>
          <w:sz w:val="24"/>
          <w:szCs w:val="24"/>
          <w:lang w:eastAsia="es-ES_tradnl"/>
        </w:rPr>
        <w:t xml:space="preserve">. La emisión de </w:t>
      </w:r>
      <w:r w:rsidRPr="003911C3">
        <w:rPr>
          <w:rFonts w:ascii="Tahoma" w:eastAsia="Times New Roman" w:hAnsi="Tahoma" w:cs="Tahoma"/>
          <w:sz w:val="24"/>
          <w:szCs w:val="24"/>
          <w:lang w:eastAsia="es-ES_tradnl"/>
        </w:rPr>
        <w:t xml:space="preserve">la estampilla "Pro Universidad del Tolima", cuya creación se autoriza, será hasta por la suma de </w:t>
      </w:r>
      <w:r w:rsidR="000B4DE9">
        <w:rPr>
          <w:rFonts w:ascii="Tahoma" w:eastAsia="Times New Roman" w:hAnsi="Tahoma" w:cs="Tahoma"/>
          <w:sz w:val="24"/>
          <w:szCs w:val="24"/>
          <w:lang w:eastAsia="es-ES_tradnl"/>
        </w:rPr>
        <w:t>doscientos</w:t>
      </w:r>
      <w:r w:rsidR="00856BE4">
        <w:rPr>
          <w:rFonts w:ascii="Tahoma" w:eastAsia="Times New Roman" w:hAnsi="Tahoma" w:cs="Tahoma"/>
          <w:sz w:val="24"/>
          <w:szCs w:val="24"/>
          <w:lang w:eastAsia="es-ES_tradnl"/>
        </w:rPr>
        <w:t xml:space="preserve"> </w:t>
      </w:r>
      <w:r w:rsidR="00856BE4" w:rsidRPr="003911C3">
        <w:rPr>
          <w:rFonts w:ascii="Tahoma" w:eastAsia="Times New Roman" w:hAnsi="Tahoma" w:cs="Tahoma"/>
          <w:sz w:val="24"/>
          <w:szCs w:val="24"/>
          <w:lang w:eastAsia="es-ES_tradnl"/>
        </w:rPr>
        <w:t>mil</w:t>
      </w:r>
      <w:r w:rsidRPr="003911C3">
        <w:rPr>
          <w:rFonts w:ascii="Tahoma" w:eastAsia="Times New Roman" w:hAnsi="Tahoma" w:cs="Tahoma"/>
          <w:sz w:val="24"/>
          <w:szCs w:val="24"/>
          <w:lang w:eastAsia="es-ES_tradnl"/>
        </w:rPr>
        <w:t xml:space="preserve"> millones de pesos (</w:t>
      </w:r>
      <w:r w:rsidR="000B4DE9">
        <w:rPr>
          <w:rFonts w:ascii="Tahoma" w:eastAsia="Times New Roman" w:hAnsi="Tahoma" w:cs="Tahoma"/>
          <w:sz w:val="24"/>
          <w:szCs w:val="24"/>
          <w:lang w:eastAsia="es-ES_tradnl"/>
        </w:rPr>
        <w:t>200</w:t>
      </w:r>
      <w:r w:rsidRPr="003911C3">
        <w:rPr>
          <w:rFonts w:ascii="Tahoma" w:eastAsia="Times New Roman" w:hAnsi="Tahoma" w:cs="Tahoma"/>
          <w:sz w:val="24"/>
          <w:szCs w:val="24"/>
          <w:lang w:eastAsia="es-ES_tradnl"/>
        </w:rPr>
        <w:t xml:space="preserve">.000.000.000). </w:t>
      </w:r>
    </w:p>
    <w:p w14:paraId="55344EE7" w14:textId="4F12B11A" w:rsidR="00E35B97" w:rsidRPr="003911C3" w:rsidRDefault="005045B9" w:rsidP="00BB2405">
      <w:pPr>
        <w:spacing w:line="240" w:lineRule="auto"/>
        <w:jc w:val="both"/>
        <w:rPr>
          <w:rFonts w:ascii="Tahoma" w:eastAsia="Times New Roman" w:hAnsi="Tahoma" w:cs="Tahoma"/>
          <w:sz w:val="24"/>
          <w:szCs w:val="24"/>
          <w:lang w:eastAsia="es-ES_tradnl"/>
        </w:rPr>
      </w:pPr>
      <w:r w:rsidRPr="003911C3">
        <w:rPr>
          <w:rFonts w:ascii="Tahoma" w:eastAsia="Times New Roman" w:hAnsi="Tahoma" w:cs="Tahoma"/>
          <w:sz w:val="24"/>
          <w:szCs w:val="24"/>
          <w:lang w:eastAsia="es-ES_tradnl"/>
        </w:rPr>
        <w:t xml:space="preserve">El presente valor se establece a precios constantes </w:t>
      </w:r>
      <w:r w:rsidR="00194AFD" w:rsidRPr="003911C3">
        <w:rPr>
          <w:rFonts w:ascii="Tahoma" w:eastAsia="Times New Roman" w:hAnsi="Tahoma" w:cs="Tahoma"/>
          <w:sz w:val="24"/>
          <w:szCs w:val="24"/>
          <w:lang w:eastAsia="es-ES_tradnl"/>
        </w:rPr>
        <w:t>de 199</w:t>
      </w:r>
      <w:r w:rsidR="00856BE4">
        <w:rPr>
          <w:rFonts w:ascii="Tahoma" w:eastAsia="Times New Roman" w:hAnsi="Tahoma" w:cs="Tahoma"/>
          <w:sz w:val="24"/>
          <w:szCs w:val="24"/>
          <w:lang w:eastAsia="es-ES_tradnl"/>
        </w:rPr>
        <w:t>3</w:t>
      </w:r>
      <w:r w:rsidRPr="003911C3">
        <w:rPr>
          <w:rFonts w:ascii="Tahoma" w:eastAsia="Times New Roman" w:hAnsi="Tahoma" w:cs="Tahoma"/>
          <w:sz w:val="24"/>
          <w:szCs w:val="24"/>
          <w:lang w:eastAsia="es-ES_tradnl"/>
        </w:rPr>
        <w:t xml:space="preserve">. </w:t>
      </w:r>
    </w:p>
    <w:p w14:paraId="52C3CD28" w14:textId="77777777" w:rsidR="00D6764B" w:rsidRPr="003911C3" w:rsidRDefault="00A1395E" w:rsidP="00085B9E">
      <w:pPr>
        <w:spacing w:line="240" w:lineRule="auto"/>
        <w:jc w:val="both"/>
        <w:rPr>
          <w:rFonts w:ascii="Tahoma" w:eastAsia="Times New Roman" w:hAnsi="Tahoma" w:cs="Tahoma"/>
          <w:color w:val="000000"/>
          <w:sz w:val="24"/>
          <w:szCs w:val="24"/>
          <w:shd w:val="clear" w:color="auto" w:fill="FFFFFF"/>
          <w:lang w:eastAsia="es-ES_tradnl"/>
        </w:rPr>
      </w:pPr>
      <w:r w:rsidRPr="003911C3">
        <w:rPr>
          <w:rFonts w:ascii="Tahoma" w:hAnsi="Tahoma" w:cs="Tahoma"/>
          <w:b/>
          <w:bCs/>
          <w:sz w:val="24"/>
          <w:szCs w:val="24"/>
          <w:lang w:val="es-ES_tradnl"/>
        </w:rPr>
        <w:t xml:space="preserve">Artículo </w:t>
      </w:r>
      <w:r w:rsidR="00D6764B" w:rsidRPr="003911C3">
        <w:rPr>
          <w:rFonts w:ascii="Tahoma" w:hAnsi="Tahoma" w:cs="Tahoma"/>
          <w:b/>
          <w:bCs/>
          <w:sz w:val="24"/>
          <w:szCs w:val="24"/>
          <w:lang w:val="es-ES_tradnl"/>
        </w:rPr>
        <w:t>3</w:t>
      </w:r>
      <w:r w:rsidRPr="003911C3">
        <w:rPr>
          <w:rFonts w:ascii="Tahoma" w:hAnsi="Tahoma" w:cs="Tahoma"/>
          <w:b/>
          <w:bCs/>
          <w:sz w:val="24"/>
          <w:szCs w:val="24"/>
          <w:lang w:val="es-ES_tradnl"/>
        </w:rPr>
        <w:t>.</w:t>
      </w:r>
      <w:r w:rsidR="00D6764B" w:rsidRPr="003911C3">
        <w:rPr>
          <w:rFonts w:ascii="Tahoma" w:hAnsi="Tahoma" w:cs="Tahoma"/>
          <w:b/>
          <w:bCs/>
          <w:sz w:val="24"/>
          <w:szCs w:val="24"/>
          <w:lang w:val="es-ES_tradnl"/>
        </w:rPr>
        <w:t xml:space="preserve"> Destinación de los recursos</w:t>
      </w:r>
      <w:r w:rsidR="007D3AD5" w:rsidRPr="003911C3">
        <w:rPr>
          <w:rFonts w:ascii="Tahoma" w:hAnsi="Tahoma" w:cs="Tahoma"/>
          <w:sz w:val="24"/>
          <w:szCs w:val="24"/>
          <w:lang w:val="es-ES_tradnl"/>
        </w:rPr>
        <w:t xml:space="preserve">. </w:t>
      </w:r>
      <w:r w:rsidR="005045B9" w:rsidRPr="003911C3">
        <w:rPr>
          <w:rFonts w:ascii="Tahoma" w:eastAsia="Times New Roman" w:hAnsi="Tahoma" w:cs="Tahoma"/>
          <w:color w:val="000000"/>
          <w:sz w:val="24"/>
          <w:szCs w:val="24"/>
          <w:shd w:val="clear" w:color="auto" w:fill="FFFFFF"/>
          <w:lang w:eastAsia="es-ES_tradnl"/>
        </w:rPr>
        <w:t>Los recursos que se recauden mediante la estampilla</w:t>
      </w:r>
      <w:r w:rsidR="00D6764B" w:rsidRPr="003911C3">
        <w:rPr>
          <w:rFonts w:ascii="Tahoma" w:eastAsia="Times New Roman" w:hAnsi="Tahoma" w:cs="Tahoma"/>
          <w:color w:val="000000"/>
          <w:sz w:val="24"/>
          <w:szCs w:val="24"/>
          <w:shd w:val="clear" w:color="auto" w:fill="FFFFFF"/>
          <w:lang w:eastAsia="es-ES_tradnl"/>
        </w:rPr>
        <w:t xml:space="preserve"> “Pro Universidad del Tolima”</w:t>
      </w:r>
      <w:r w:rsidR="005045B9" w:rsidRPr="003911C3">
        <w:rPr>
          <w:rFonts w:ascii="Tahoma" w:eastAsia="Times New Roman" w:hAnsi="Tahoma" w:cs="Tahoma"/>
          <w:color w:val="000000"/>
          <w:sz w:val="24"/>
          <w:szCs w:val="24"/>
          <w:shd w:val="clear" w:color="auto" w:fill="FFFFFF"/>
          <w:lang w:eastAsia="es-ES_tradnl"/>
        </w:rPr>
        <w:t xml:space="preserve"> se destinarán prioritariamente a la construcción, adecuación</w:t>
      </w:r>
      <w:r w:rsidR="00D6764B" w:rsidRPr="003911C3">
        <w:rPr>
          <w:rFonts w:ascii="Tahoma" w:eastAsia="Times New Roman" w:hAnsi="Tahoma" w:cs="Tahoma"/>
          <w:color w:val="000000"/>
          <w:sz w:val="24"/>
          <w:szCs w:val="24"/>
          <w:shd w:val="clear" w:color="auto" w:fill="FFFFFF"/>
          <w:lang w:eastAsia="es-ES_tradnl"/>
        </w:rPr>
        <w:t>,</w:t>
      </w:r>
      <w:r w:rsidR="005045B9" w:rsidRPr="003911C3">
        <w:rPr>
          <w:rFonts w:ascii="Tahoma" w:eastAsia="Times New Roman" w:hAnsi="Tahoma" w:cs="Tahoma"/>
          <w:color w:val="000000"/>
          <w:sz w:val="24"/>
          <w:szCs w:val="24"/>
          <w:shd w:val="clear" w:color="auto" w:fill="FFFFFF"/>
          <w:lang w:eastAsia="es-ES_tradnl"/>
        </w:rPr>
        <w:t xml:space="preserve"> modernización</w:t>
      </w:r>
      <w:r w:rsidR="00D6764B" w:rsidRPr="003911C3">
        <w:rPr>
          <w:rFonts w:ascii="Tahoma" w:eastAsia="Times New Roman" w:hAnsi="Tahoma" w:cs="Tahoma"/>
          <w:color w:val="000000"/>
          <w:sz w:val="24"/>
          <w:szCs w:val="24"/>
          <w:shd w:val="clear" w:color="auto" w:fill="FFFFFF"/>
          <w:lang w:eastAsia="es-ES_tradnl"/>
        </w:rPr>
        <w:t xml:space="preserve"> y mantenimiento</w:t>
      </w:r>
      <w:r w:rsidR="005045B9" w:rsidRPr="003911C3">
        <w:rPr>
          <w:rFonts w:ascii="Tahoma" w:eastAsia="Times New Roman" w:hAnsi="Tahoma" w:cs="Tahoma"/>
          <w:color w:val="000000"/>
          <w:sz w:val="24"/>
          <w:szCs w:val="24"/>
          <w:shd w:val="clear" w:color="auto" w:fill="FFFFFF"/>
          <w:lang w:eastAsia="es-ES_tradnl"/>
        </w:rPr>
        <w:t xml:space="preserve"> de la infraestructura universitaria y a los estudios y diseños requeridos para esta finalidad; además de la dotación, modernización tecnológica, apoyo a la investigación, apoyo a programas de bienestar estudiantil</w:t>
      </w:r>
      <w:r w:rsidR="00D6764B" w:rsidRPr="003911C3">
        <w:rPr>
          <w:rFonts w:ascii="Tahoma" w:eastAsia="Times New Roman" w:hAnsi="Tahoma" w:cs="Tahoma"/>
          <w:color w:val="000000"/>
          <w:sz w:val="24"/>
          <w:szCs w:val="24"/>
          <w:shd w:val="clear" w:color="auto" w:fill="FFFFFF"/>
          <w:lang w:eastAsia="es-ES_tradnl"/>
        </w:rPr>
        <w:t xml:space="preserve"> y </w:t>
      </w:r>
      <w:r w:rsidR="005045B9" w:rsidRPr="003911C3">
        <w:rPr>
          <w:rFonts w:ascii="Tahoma" w:eastAsia="Times New Roman" w:hAnsi="Tahoma" w:cs="Tahoma"/>
          <w:color w:val="000000"/>
          <w:sz w:val="24"/>
          <w:szCs w:val="24"/>
          <w:shd w:val="clear" w:color="auto" w:fill="FFFFFF"/>
          <w:lang w:eastAsia="es-ES_tradnl"/>
        </w:rPr>
        <w:t>subsidios estudiantiles</w:t>
      </w:r>
      <w:r w:rsidR="00D6764B" w:rsidRPr="003911C3">
        <w:rPr>
          <w:rFonts w:ascii="Tahoma" w:eastAsia="Times New Roman" w:hAnsi="Tahoma" w:cs="Tahoma"/>
          <w:color w:val="000000"/>
          <w:sz w:val="24"/>
          <w:szCs w:val="24"/>
          <w:shd w:val="clear" w:color="auto" w:fill="FFFFFF"/>
          <w:lang w:eastAsia="es-ES_tradnl"/>
        </w:rPr>
        <w:t xml:space="preserve">. </w:t>
      </w:r>
    </w:p>
    <w:p w14:paraId="3CA25E2F" w14:textId="77777777" w:rsidR="00C2165F" w:rsidRPr="003911C3" w:rsidRDefault="00D6764B" w:rsidP="00085B9E">
      <w:pPr>
        <w:spacing w:line="240" w:lineRule="auto"/>
        <w:jc w:val="both"/>
        <w:rPr>
          <w:rFonts w:ascii="Tahoma" w:eastAsia="Times New Roman" w:hAnsi="Tahoma" w:cs="Tahoma"/>
          <w:color w:val="000000"/>
          <w:sz w:val="24"/>
          <w:szCs w:val="24"/>
          <w:shd w:val="clear" w:color="auto" w:fill="FFFFFF"/>
          <w:lang w:eastAsia="es-ES_tradnl"/>
        </w:rPr>
      </w:pPr>
      <w:r w:rsidRPr="003911C3">
        <w:rPr>
          <w:rFonts w:ascii="Tahoma" w:eastAsia="Times New Roman" w:hAnsi="Tahoma" w:cs="Tahoma"/>
          <w:color w:val="000000"/>
          <w:sz w:val="24"/>
          <w:szCs w:val="24"/>
          <w:shd w:val="clear" w:color="auto" w:fill="FFFFFF"/>
          <w:lang w:eastAsia="es-ES_tradnl"/>
        </w:rPr>
        <w:t>Propendiendo siempre con estos recursos por la disminución de los costos por matrícula de los estudiantes de los estratos 1, 2 y 3. Para ello, el Consejo Superior de la universidad definirá los criterios técnicos para la aplicación de esta directriz.</w:t>
      </w:r>
    </w:p>
    <w:p w14:paraId="3C040512" w14:textId="77777777" w:rsidR="00843F54" w:rsidRPr="003911C3" w:rsidRDefault="00C2165F" w:rsidP="00085B9E">
      <w:pPr>
        <w:spacing w:after="0" w:line="240" w:lineRule="auto"/>
        <w:jc w:val="both"/>
        <w:rPr>
          <w:rFonts w:ascii="Tahoma" w:eastAsia="Times New Roman" w:hAnsi="Tahoma" w:cs="Tahoma"/>
          <w:sz w:val="24"/>
          <w:szCs w:val="24"/>
          <w:lang w:eastAsia="es-ES_tradnl"/>
        </w:rPr>
      </w:pPr>
      <w:r w:rsidRPr="003911C3">
        <w:rPr>
          <w:rFonts w:ascii="Tahoma" w:eastAsia="Times New Roman" w:hAnsi="Tahoma" w:cs="Tahoma"/>
          <w:b/>
          <w:bCs/>
          <w:sz w:val="24"/>
          <w:szCs w:val="24"/>
          <w:lang w:eastAsia="es-ES_tradnl"/>
        </w:rPr>
        <w:t>A</w:t>
      </w:r>
      <w:r w:rsidR="00843F54" w:rsidRPr="003911C3">
        <w:rPr>
          <w:rFonts w:ascii="Tahoma" w:eastAsia="Times New Roman" w:hAnsi="Tahoma" w:cs="Tahoma"/>
          <w:b/>
          <w:bCs/>
          <w:sz w:val="24"/>
          <w:szCs w:val="24"/>
          <w:lang w:eastAsia="es-ES_tradnl"/>
        </w:rPr>
        <w:t>rtículo</w:t>
      </w:r>
      <w:r w:rsidRPr="003911C3">
        <w:rPr>
          <w:rFonts w:ascii="Tahoma" w:eastAsia="Times New Roman" w:hAnsi="Tahoma" w:cs="Tahoma"/>
          <w:b/>
          <w:bCs/>
          <w:sz w:val="24"/>
          <w:szCs w:val="24"/>
          <w:lang w:eastAsia="es-ES_tradnl"/>
        </w:rPr>
        <w:t xml:space="preserve"> </w:t>
      </w:r>
      <w:r w:rsidR="00843F54" w:rsidRPr="003911C3">
        <w:rPr>
          <w:rFonts w:ascii="Tahoma" w:eastAsia="Times New Roman" w:hAnsi="Tahoma" w:cs="Tahoma"/>
          <w:b/>
          <w:bCs/>
          <w:sz w:val="24"/>
          <w:szCs w:val="24"/>
          <w:lang w:eastAsia="es-ES_tradnl"/>
        </w:rPr>
        <w:t>4. Elementos de la Obligación</w:t>
      </w:r>
      <w:r w:rsidR="00843F54" w:rsidRPr="003911C3">
        <w:rPr>
          <w:rFonts w:ascii="Tahoma" w:eastAsia="Times New Roman" w:hAnsi="Tahoma" w:cs="Tahoma"/>
          <w:sz w:val="24"/>
          <w:szCs w:val="24"/>
          <w:lang w:eastAsia="es-ES_tradnl"/>
        </w:rPr>
        <w:t>.</w:t>
      </w:r>
      <w:r w:rsidRPr="003911C3">
        <w:rPr>
          <w:rFonts w:ascii="Tahoma" w:eastAsia="Times New Roman" w:hAnsi="Tahoma" w:cs="Tahoma"/>
          <w:sz w:val="24"/>
          <w:szCs w:val="24"/>
          <w:lang w:eastAsia="es-ES_tradnl"/>
        </w:rPr>
        <w:t xml:space="preserve"> Autorícese a la Asamblea Departamental de</w:t>
      </w:r>
      <w:r w:rsidR="00843F54" w:rsidRPr="003911C3">
        <w:rPr>
          <w:rFonts w:ascii="Tahoma" w:eastAsia="Times New Roman" w:hAnsi="Tahoma" w:cs="Tahoma"/>
          <w:sz w:val="24"/>
          <w:szCs w:val="24"/>
          <w:lang w:eastAsia="es-ES_tradnl"/>
        </w:rPr>
        <w:t>l</w:t>
      </w:r>
      <w:r w:rsidRPr="003911C3">
        <w:rPr>
          <w:rFonts w:ascii="Tahoma" w:eastAsia="Times New Roman" w:hAnsi="Tahoma" w:cs="Tahoma"/>
          <w:sz w:val="24"/>
          <w:szCs w:val="24"/>
          <w:lang w:eastAsia="es-ES_tradnl"/>
        </w:rPr>
        <w:t xml:space="preserve"> </w:t>
      </w:r>
      <w:r w:rsidR="00843F54" w:rsidRPr="003911C3">
        <w:rPr>
          <w:rFonts w:ascii="Tahoma" w:eastAsia="Times New Roman" w:hAnsi="Tahoma" w:cs="Tahoma"/>
          <w:sz w:val="24"/>
          <w:szCs w:val="24"/>
          <w:lang w:eastAsia="es-ES_tradnl"/>
        </w:rPr>
        <w:t>Tolima</w:t>
      </w:r>
      <w:r w:rsidRPr="003911C3">
        <w:rPr>
          <w:rFonts w:ascii="Tahoma" w:eastAsia="Times New Roman" w:hAnsi="Tahoma" w:cs="Tahoma"/>
          <w:sz w:val="24"/>
          <w:szCs w:val="24"/>
          <w:lang w:eastAsia="es-ES_tradnl"/>
        </w:rPr>
        <w:t xml:space="preserve"> para que determine los elementos estructurales del tributo: sujetos, base gravable, tarifas, hechos generadores</w:t>
      </w:r>
      <w:r w:rsidR="00843F54" w:rsidRPr="003911C3">
        <w:rPr>
          <w:rFonts w:ascii="Tahoma" w:eastAsia="Times New Roman" w:hAnsi="Tahoma" w:cs="Tahoma"/>
          <w:sz w:val="24"/>
          <w:szCs w:val="24"/>
          <w:lang w:eastAsia="es-ES_tradnl"/>
        </w:rPr>
        <w:t xml:space="preserve"> </w:t>
      </w:r>
      <w:r w:rsidRPr="003911C3">
        <w:rPr>
          <w:rFonts w:ascii="Tahoma" w:eastAsia="Times New Roman" w:hAnsi="Tahoma" w:cs="Tahoma"/>
          <w:sz w:val="24"/>
          <w:szCs w:val="24"/>
          <w:lang w:eastAsia="es-ES_tradnl"/>
        </w:rPr>
        <w:t>y todos los asuntos referentes al uso obligatorio de la estampilla en los actos, contratos y negocios jurídicos que deba realizar el departamento y sus municipios.</w:t>
      </w:r>
    </w:p>
    <w:p w14:paraId="01434EC5" w14:textId="77777777" w:rsidR="00843F54" w:rsidRPr="003911C3" w:rsidRDefault="00843F54" w:rsidP="00085B9E">
      <w:pPr>
        <w:spacing w:after="0" w:line="240" w:lineRule="auto"/>
        <w:jc w:val="both"/>
        <w:rPr>
          <w:rFonts w:ascii="Tahoma" w:eastAsia="Times New Roman" w:hAnsi="Tahoma" w:cs="Tahoma"/>
          <w:sz w:val="24"/>
          <w:szCs w:val="24"/>
          <w:lang w:eastAsia="es-ES_tradnl"/>
        </w:rPr>
      </w:pPr>
    </w:p>
    <w:p w14:paraId="0E319D22" w14:textId="77777777" w:rsidR="00843F54" w:rsidRPr="003911C3" w:rsidRDefault="00843F54" w:rsidP="00085B9E">
      <w:pPr>
        <w:spacing w:line="240" w:lineRule="auto"/>
        <w:jc w:val="both"/>
        <w:rPr>
          <w:rFonts w:ascii="Tahoma" w:eastAsia="Times New Roman" w:hAnsi="Tahoma" w:cs="Tahoma"/>
          <w:sz w:val="24"/>
          <w:szCs w:val="24"/>
          <w:lang w:eastAsia="es-ES_tradnl"/>
        </w:rPr>
      </w:pPr>
      <w:r w:rsidRPr="003911C3">
        <w:rPr>
          <w:rFonts w:ascii="Tahoma" w:eastAsia="Times New Roman" w:hAnsi="Tahoma" w:cs="Tahoma"/>
          <w:b/>
          <w:bCs/>
          <w:sz w:val="24"/>
          <w:szCs w:val="24"/>
          <w:lang w:eastAsia="es-ES_tradnl"/>
        </w:rPr>
        <w:t>Parágrafo</w:t>
      </w:r>
      <w:r w:rsidRPr="003911C3">
        <w:rPr>
          <w:rFonts w:ascii="Tahoma" w:eastAsia="Times New Roman" w:hAnsi="Tahoma" w:cs="Tahoma"/>
          <w:sz w:val="24"/>
          <w:szCs w:val="24"/>
          <w:lang w:eastAsia="es-ES_tradnl"/>
        </w:rPr>
        <w:t xml:space="preserve">. La tarifa de la Estampilla "Pro Universidad del Tolima" </w:t>
      </w:r>
      <w:r w:rsidR="00085B9E" w:rsidRPr="003911C3">
        <w:rPr>
          <w:rFonts w:ascii="Tahoma" w:eastAsia="Times New Roman" w:hAnsi="Tahoma" w:cs="Tahoma"/>
          <w:sz w:val="24"/>
          <w:szCs w:val="24"/>
          <w:lang w:eastAsia="es-ES_tradnl"/>
        </w:rPr>
        <w:t xml:space="preserve">no podrá exceder </w:t>
      </w:r>
      <w:r w:rsidRPr="003911C3">
        <w:rPr>
          <w:rFonts w:ascii="Tahoma" w:eastAsia="Times New Roman" w:hAnsi="Tahoma" w:cs="Tahoma"/>
          <w:sz w:val="24"/>
          <w:szCs w:val="24"/>
          <w:lang w:eastAsia="es-ES_tradnl"/>
        </w:rPr>
        <w:t>el dos por ciento (2%) del valor de los actos sujetos a gravamen</w:t>
      </w:r>
      <w:r w:rsidR="00965BB0" w:rsidRPr="003911C3">
        <w:rPr>
          <w:rFonts w:ascii="Tahoma" w:eastAsia="Times New Roman" w:hAnsi="Tahoma" w:cs="Tahoma"/>
          <w:sz w:val="24"/>
          <w:szCs w:val="24"/>
          <w:lang w:eastAsia="es-ES_tradnl"/>
        </w:rPr>
        <w:t>.</w:t>
      </w:r>
    </w:p>
    <w:p w14:paraId="7D43CA74" w14:textId="77777777" w:rsidR="00843F54" w:rsidRPr="003911C3" w:rsidRDefault="00843F54" w:rsidP="00085B9E">
      <w:pPr>
        <w:spacing w:after="0" w:line="240" w:lineRule="auto"/>
        <w:jc w:val="both"/>
        <w:rPr>
          <w:rFonts w:ascii="Tahoma" w:eastAsia="Times New Roman" w:hAnsi="Tahoma" w:cs="Tahoma"/>
          <w:sz w:val="24"/>
          <w:szCs w:val="24"/>
          <w:lang w:eastAsia="es-ES_tradnl"/>
        </w:rPr>
      </w:pPr>
    </w:p>
    <w:p w14:paraId="2CBAC116" w14:textId="77777777" w:rsidR="00244900" w:rsidRPr="003911C3" w:rsidRDefault="00C2165F" w:rsidP="00BB2405">
      <w:pPr>
        <w:spacing w:after="0" w:line="240" w:lineRule="auto"/>
        <w:jc w:val="both"/>
        <w:rPr>
          <w:rFonts w:ascii="Tahoma" w:eastAsia="Times New Roman" w:hAnsi="Tahoma" w:cs="Tahoma"/>
          <w:sz w:val="24"/>
          <w:szCs w:val="24"/>
          <w:lang w:eastAsia="es-ES_tradnl"/>
        </w:rPr>
      </w:pPr>
      <w:r w:rsidRPr="003911C3">
        <w:rPr>
          <w:rFonts w:ascii="Tahoma" w:eastAsia="Times New Roman" w:hAnsi="Tahoma" w:cs="Tahoma"/>
          <w:b/>
          <w:bCs/>
          <w:sz w:val="24"/>
          <w:szCs w:val="24"/>
          <w:lang w:eastAsia="es-ES_tradnl"/>
        </w:rPr>
        <w:t>A</w:t>
      </w:r>
      <w:r w:rsidR="00843F54" w:rsidRPr="003911C3">
        <w:rPr>
          <w:rFonts w:ascii="Tahoma" w:eastAsia="Times New Roman" w:hAnsi="Tahoma" w:cs="Tahoma"/>
          <w:b/>
          <w:bCs/>
          <w:sz w:val="24"/>
          <w:szCs w:val="24"/>
          <w:lang w:eastAsia="es-ES_tradnl"/>
        </w:rPr>
        <w:t>rtículo 5. Uso de la Estampilla en los municipios</w:t>
      </w:r>
      <w:r w:rsidRPr="003911C3">
        <w:rPr>
          <w:rFonts w:ascii="Tahoma" w:eastAsia="Times New Roman" w:hAnsi="Tahoma" w:cs="Tahoma"/>
          <w:sz w:val="24"/>
          <w:szCs w:val="24"/>
          <w:lang w:eastAsia="es-ES_tradnl"/>
        </w:rPr>
        <w:t>. Facúltese a los Concejos Municipales del Departamento de</w:t>
      </w:r>
      <w:r w:rsidR="00843F54" w:rsidRPr="003911C3">
        <w:rPr>
          <w:rFonts w:ascii="Tahoma" w:eastAsia="Times New Roman" w:hAnsi="Tahoma" w:cs="Tahoma"/>
          <w:sz w:val="24"/>
          <w:szCs w:val="24"/>
          <w:lang w:eastAsia="es-ES_tradnl"/>
        </w:rPr>
        <w:t>l</w:t>
      </w:r>
      <w:r w:rsidRPr="003911C3">
        <w:rPr>
          <w:rFonts w:ascii="Tahoma" w:eastAsia="Times New Roman" w:hAnsi="Tahoma" w:cs="Tahoma"/>
          <w:sz w:val="24"/>
          <w:szCs w:val="24"/>
          <w:lang w:eastAsia="es-ES_tradnl"/>
        </w:rPr>
        <w:t xml:space="preserve"> </w:t>
      </w:r>
      <w:r w:rsidR="00843F54" w:rsidRPr="003911C3">
        <w:rPr>
          <w:rFonts w:ascii="Tahoma" w:eastAsia="Times New Roman" w:hAnsi="Tahoma" w:cs="Tahoma"/>
          <w:sz w:val="24"/>
          <w:szCs w:val="24"/>
          <w:lang w:eastAsia="es-ES_tradnl"/>
        </w:rPr>
        <w:t>Tolima</w:t>
      </w:r>
      <w:r w:rsidRPr="003911C3">
        <w:rPr>
          <w:rFonts w:ascii="Tahoma" w:eastAsia="Times New Roman" w:hAnsi="Tahoma" w:cs="Tahoma"/>
          <w:sz w:val="24"/>
          <w:szCs w:val="24"/>
          <w:lang w:eastAsia="es-ES_tradnl"/>
        </w:rPr>
        <w:t xml:space="preserve"> para que</w:t>
      </w:r>
      <w:r w:rsidR="00843F54" w:rsidRPr="003911C3">
        <w:rPr>
          <w:rFonts w:ascii="Tahoma" w:eastAsia="Times New Roman" w:hAnsi="Tahoma" w:cs="Tahoma"/>
          <w:sz w:val="24"/>
          <w:szCs w:val="24"/>
          <w:lang w:eastAsia="es-ES_tradnl"/>
        </w:rPr>
        <w:t>,</w:t>
      </w:r>
      <w:r w:rsidRPr="003911C3">
        <w:rPr>
          <w:rFonts w:ascii="Tahoma" w:eastAsia="Times New Roman" w:hAnsi="Tahoma" w:cs="Tahoma"/>
          <w:sz w:val="24"/>
          <w:szCs w:val="24"/>
          <w:lang w:eastAsia="es-ES_tradnl"/>
        </w:rPr>
        <w:t xml:space="preserve"> previa autorización de la Asamblea Departamental, hagan obligatorio el uso de la estampilla que autoriza la presente ley,</w:t>
      </w:r>
      <w:r w:rsidR="00843F54" w:rsidRPr="003911C3">
        <w:rPr>
          <w:rFonts w:ascii="Tahoma" w:eastAsia="Times New Roman" w:hAnsi="Tahoma" w:cs="Tahoma"/>
          <w:sz w:val="24"/>
          <w:szCs w:val="24"/>
          <w:lang w:eastAsia="es-ES_tradnl"/>
        </w:rPr>
        <w:t xml:space="preserve"> en sus respectivos municipios,</w:t>
      </w:r>
      <w:r w:rsidRPr="003911C3">
        <w:rPr>
          <w:rFonts w:ascii="Tahoma" w:eastAsia="Times New Roman" w:hAnsi="Tahoma" w:cs="Tahoma"/>
          <w:sz w:val="24"/>
          <w:szCs w:val="24"/>
          <w:lang w:eastAsia="es-ES_tradnl"/>
        </w:rPr>
        <w:t xml:space="preserve"> teniendo en cuenta los elementos estructurales del tributo que defina la Asamblea Departamental. </w:t>
      </w:r>
    </w:p>
    <w:p w14:paraId="138E2B4F" w14:textId="77777777" w:rsidR="00BB2405" w:rsidRPr="003911C3" w:rsidRDefault="00BB2405" w:rsidP="00BB2405">
      <w:pPr>
        <w:spacing w:after="0" w:line="240" w:lineRule="auto"/>
        <w:jc w:val="both"/>
        <w:rPr>
          <w:rFonts w:ascii="Tahoma" w:eastAsia="Times New Roman" w:hAnsi="Tahoma" w:cs="Tahoma"/>
          <w:sz w:val="24"/>
          <w:szCs w:val="24"/>
          <w:lang w:eastAsia="es-ES_tradnl"/>
        </w:rPr>
      </w:pPr>
    </w:p>
    <w:p w14:paraId="50201FA9" w14:textId="77777777" w:rsidR="00085B9E" w:rsidRPr="003911C3" w:rsidRDefault="00244900" w:rsidP="00085B9E">
      <w:pPr>
        <w:spacing w:line="240" w:lineRule="auto"/>
        <w:jc w:val="both"/>
        <w:rPr>
          <w:rFonts w:ascii="Tahoma" w:eastAsia="Times New Roman" w:hAnsi="Tahoma" w:cs="Tahoma"/>
          <w:color w:val="000000" w:themeColor="text1"/>
          <w:sz w:val="24"/>
          <w:szCs w:val="24"/>
          <w:lang w:eastAsia="es-ES_tradnl"/>
        </w:rPr>
      </w:pPr>
      <w:r w:rsidRPr="003911C3">
        <w:rPr>
          <w:rFonts w:ascii="Tahoma" w:hAnsi="Tahoma" w:cs="Tahoma"/>
          <w:b/>
          <w:sz w:val="24"/>
          <w:szCs w:val="24"/>
          <w:lang w:val="es-ES_tradnl"/>
        </w:rPr>
        <w:t xml:space="preserve">Artículo </w:t>
      </w:r>
      <w:r w:rsidR="00965BB0" w:rsidRPr="003911C3">
        <w:rPr>
          <w:rFonts w:ascii="Tahoma" w:hAnsi="Tahoma" w:cs="Tahoma"/>
          <w:b/>
          <w:sz w:val="24"/>
          <w:szCs w:val="24"/>
          <w:lang w:val="es-ES_tradnl"/>
        </w:rPr>
        <w:t xml:space="preserve">6. Recaudo. </w:t>
      </w:r>
      <w:r w:rsidR="00085B9E" w:rsidRPr="003911C3">
        <w:rPr>
          <w:rFonts w:ascii="Tahoma" w:eastAsia="Times New Roman" w:hAnsi="Tahoma" w:cs="Tahoma"/>
          <w:color w:val="000000" w:themeColor="text1"/>
          <w:sz w:val="24"/>
          <w:szCs w:val="24"/>
          <w:lang w:eastAsia="es-ES_tradnl"/>
        </w:rPr>
        <w:t xml:space="preserve">El recaudo y traslado de los recursos a la Universidad del Tolima estará a cargo de la Secretaría de Hacienda departamental y las tesorerías municipales, de conformidad con la ordenanza que la reglamente. </w:t>
      </w:r>
    </w:p>
    <w:p w14:paraId="7B6B6571" w14:textId="77777777" w:rsidR="00664FCB" w:rsidRPr="003911C3" w:rsidRDefault="00085B9E" w:rsidP="00085B9E">
      <w:pPr>
        <w:spacing w:line="240" w:lineRule="auto"/>
        <w:jc w:val="both"/>
        <w:rPr>
          <w:rFonts w:ascii="Tahoma" w:eastAsia="Times New Roman" w:hAnsi="Tahoma" w:cs="Tahoma"/>
          <w:color w:val="000000" w:themeColor="text1"/>
          <w:sz w:val="24"/>
          <w:szCs w:val="24"/>
          <w:lang w:eastAsia="es-ES_tradnl"/>
        </w:rPr>
      </w:pPr>
      <w:r w:rsidRPr="003911C3">
        <w:rPr>
          <w:rFonts w:ascii="Tahoma" w:eastAsia="Times New Roman" w:hAnsi="Tahoma" w:cs="Tahoma"/>
          <w:b/>
          <w:bCs/>
          <w:color w:val="000000" w:themeColor="text1"/>
          <w:sz w:val="24"/>
          <w:szCs w:val="24"/>
          <w:lang w:eastAsia="es-ES_tradnl"/>
        </w:rPr>
        <w:lastRenderedPageBreak/>
        <w:t>Parágrafo</w:t>
      </w:r>
      <w:r w:rsidRPr="003911C3">
        <w:rPr>
          <w:rFonts w:ascii="Tahoma" w:eastAsia="Times New Roman" w:hAnsi="Tahoma" w:cs="Tahoma"/>
          <w:color w:val="000000" w:themeColor="text1"/>
          <w:sz w:val="24"/>
          <w:szCs w:val="24"/>
          <w:lang w:eastAsia="es-ES_tradnl"/>
        </w:rPr>
        <w:t xml:space="preserve">. La vigilancia y control fiscal del recaudo, del traslado oportuno y de la inversión de los recursos provenientes del cumplimiento de la presente ley, estará a cargo de las contralorías municipales y departamental del Tolima. </w:t>
      </w:r>
    </w:p>
    <w:p w14:paraId="621F9217" w14:textId="77777777" w:rsidR="00085B9E" w:rsidRPr="003911C3" w:rsidRDefault="00664FCB" w:rsidP="00085B9E">
      <w:pPr>
        <w:spacing w:line="240" w:lineRule="auto"/>
        <w:jc w:val="both"/>
        <w:rPr>
          <w:rFonts w:ascii="Tahoma" w:eastAsia="Times New Roman" w:hAnsi="Tahoma" w:cs="Tahoma"/>
          <w:sz w:val="24"/>
          <w:szCs w:val="24"/>
          <w:lang w:eastAsia="es-ES_tradnl"/>
        </w:rPr>
      </w:pPr>
      <w:r w:rsidRPr="003911C3">
        <w:rPr>
          <w:rFonts w:ascii="Tahoma" w:eastAsia="Times New Roman" w:hAnsi="Tahoma" w:cs="Tahoma"/>
          <w:b/>
          <w:bCs/>
          <w:color w:val="000000" w:themeColor="text1"/>
          <w:sz w:val="24"/>
          <w:szCs w:val="24"/>
          <w:lang w:eastAsia="es-ES_tradnl"/>
        </w:rPr>
        <w:t>Artículo 7. Anulación y adhesión</w:t>
      </w:r>
      <w:r w:rsidRPr="003911C3">
        <w:rPr>
          <w:rFonts w:ascii="Tahoma" w:eastAsia="Times New Roman" w:hAnsi="Tahoma" w:cs="Tahoma"/>
          <w:color w:val="000000" w:themeColor="text1"/>
          <w:sz w:val="24"/>
          <w:szCs w:val="24"/>
          <w:lang w:eastAsia="es-ES_tradnl"/>
        </w:rPr>
        <w:t>. La obligación de adherir y anular la estampilla a que se refiere esta ley, queda a cargo de los funcionarios departamentales y municipales que intervengan en los actos.</w:t>
      </w:r>
    </w:p>
    <w:p w14:paraId="703467E0" w14:textId="77777777" w:rsidR="00664FCB" w:rsidRPr="003911C3" w:rsidRDefault="00085B9E" w:rsidP="00085B9E">
      <w:pPr>
        <w:spacing w:line="240" w:lineRule="auto"/>
        <w:jc w:val="both"/>
        <w:rPr>
          <w:rFonts w:ascii="Tahoma" w:eastAsia="Times New Roman" w:hAnsi="Tahoma" w:cs="Tahoma"/>
          <w:sz w:val="24"/>
          <w:szCs w:val="24"/>
          <w:lang w:eastAsia="es-ES_tradnl"/>
        </w:rPr>
      </w:pPr>
      <w:r w:rsidRPr="003911C3">
        <w:rPr>
          <w:rFonts w:ascii="Tahoma" w:eastAsia="Times New Roman" w:hAnsi="Tahoma" w:cs="Tahoma"/>
          <w:b/>
          <w:bCs/>
          <w:color w:val="000000" w:themeColor="text1"/>
          <w:sz w:val="24"/>
          <w:szCs w:val="24"/>
          <w:lang w:eastAsia="es-ES_tradnl"/>
        </w:rPr>
        <w:t xml:space="preserve">Artículo </w:t>
      </w:r>
      <w:r w:rsidR="00664FCB" w:rsidRPr="003911C3">
        <w:rPr>
          <w:rFonts w:ascii="Tahoma" w:eastAsia="Times New Roman" w:hAnsi="Tahoma" w:cs="Tahoma"/>
          <w:b/>
          <w:bCs/>
          <w:color w:val="000000" w:themeColor="text1"/>
          <w:sz w:val="24"/>
          <w:szCs w:val="24"/>
          <w:lang w:eastAsia="es-ES_tradnl"/>
        </w:rPr>
        <w:t>8</w:t>
      </w:r>
      <w:r w:rsidRPr="003911C3">
        <w:rPr>
          <w:rFonts w:ascii="Tahoma" w:eastAsia="Times New Roman" w:hAnsi="Tahoma" w:cs="Tahoma"/>
          <w:b/>
          <w:bCs/>
          <w:color w:val="000000" w:themeColor="text1"/>
          <w:sz w:val="24"/>
          <w:szCs w:val="24"/>
          <w:lang w:eastAsia="es-ES_tradnl"/>
        </w:rPr>
        <w:t>. Rendición de Cuentas</w:t>
      </w:r>
      <w:r w:rsidRPr="003911C3">
        <w:rPr>
          <w:rFonts w:ascii="Tahoma" w:eastAsia="Times New Roman" w:hAnsi="Tahoma" w:cs="Tahoma"/>
          <w:color w:val="000000" w:themeColor="text1"/>
          <w:sz w:val="24"/>
          <w:szCs w:val="24"/>
          <w:lang w:eastAsia="es-ES_tradnl"/>
        </w:rPr>
        <w:t xml:space="preserve">. </w:t>
      </w:r>
      <w:r w:rsidRPr="003911C3">
        <w:rPr>
          <w:rFonts w:ascii="Tahoma" w:eastAsia="Times New Roman" w:hAnsi="Tahoma" w:cs="Tahoma"/>
          <w:sz w:val="24"/>
          <w:szCs w:val="24"/>
          <w:lang w:eastAsia="es-ES_tradnl"/>
        </w:rPr>
        <w:t>Cada año, dentro de los quince 15 días siguientes al inicio de las Sesiones Ordinarias de la Asamblea Departamental de</w:t>
      </w:r>
      <w:r w:rsidR="00664FCB" w:rsidRPr="003911C3">
        <w:rPr>
          <w:rFonts w:ascii="Tahoma" w:eastAsia="Times New Roman" w:hAnsi="Tahoma" w:cs="Tahoma"/>
          <w:sz w:val="24"/>
          <w:szCs w:val="24"/>
          <w:lang w:eastAsia="es-ES_tradnl"/>
        </w:rPr>
        <w:t>l</w:t>
      </w:r>
      <w:r w:rsidRPr="003911C3">
        <w:rPr>
          <w:rFonts w:ascii="Tahoma" w:eastAsia="Times New Roman" w:hAnsi="Tahoma" w:cs="Tahoma"/>
          <w:sz w:val="24"/>
          <w:szCs w:val="24"/>
          <w:lang w:eastAsia="es-ES_tradnl"/>
        </w:rPr>
        <w:t xml:space="preserve"> </w:t>
      </w:r>
      <w:r w:rsidR="00664FCB" w:rsidRPr="003911C3">
        <w:rPr>
          <w:rFonts w:ascii="Tahoma" w:eastAsia="Times New Roman" w:hAnsi="Tahoma" w:cs="Tahoma"/>
          <w:sz w:val="24"/>
          <w:szCs w:val="24"/>
          <w:lang w:eastAsia="es-ES_tradnl"/>
        </w:rPr>
        <w:t>Tolima</w:t>
      </w:r>
      <w:r w:rsidRPr="003911C3">
        <w:rPr>
          <w:rFonts w:ascii="Tahoma" w:eastAsia="Times New Roman" w:hAnsi="Tahoma" w:cs="Tahoma"/>
          <w:sz w:val="24"/>
          <w:szCs w:val="24"/>
          <w:lang w:eastAsia="es-ES_tradnl"/>
        </w:rPr>
        <w:t>, el Consejo Superior de la Universidad de</w:t>
      </w:r>
      <w:r w:rsidR="00664FCB" w:rsidRPr="003911C3">
        <w:rPr>
          <w:rFonts w:ascii="Tahoma" w:eastAsia="Times New Roman" w:hAnsi="Tahoma" w:cs="Tahoma"/>
          <w:sz w:val="24"/>
          <w:szCs w:val="24"/>
          <w:lang w:eastAsia="es-ES_tradnl"/>
        </w:rPr>
        <w:t>l</w:t>
      </w:r>
      <w:r w:rsidRPr="003911C3">
        <w:rPr>
          <w:rFonts w:ascii="Tahoma" w:eastAsia="Times New Roman" w:hAnsi="Tahoma" w:cs="Tahoma"/>
          <w:sz w:val="24"/>
          <w:szCs w:val="24"/>
          <w:lang w:eastAsia="es-ES_tradnl"/>
        </w:rPr>
        <w:t xml:space="preserve"> </w:t>
      </w:r>
      <w:r w:rsidR="00664FCB" w:rsidRPr="003911C3">
        <w:rPr>
          <w:rFonts w:ascii="Tahoma" w:eastAsia="Times New Roman" w:hAnsi="Tahoma" w:cs="Tahoma"/>
          <w:sz w:val="24"/>
          <w:szCs w:val="24"/>
          <w:lang w:eastAsia="es-ES_tradnl"/>
        </w:rPr>
        <w:t>Tolima</w:t>
      </w:r>
      <w:r w:rsidRPr="003911C3">
        <w:rPr>
          <w:rFonts w:ascii="Tahoma" w:eastAsia="Times New Roman" w:hAnsi="Tahoma" w:cs="Tahoma"/>
          <w:sz w:val="24"/>
          <w:szCs w:val="24"/>
          <w:lang w:eastAsia="es-ES_tradnl"/>
        </w:rPr>
        <w:t>, por medio de su rector, presentará un informe a la Asamblea Departamental sobre el monto de los recursos recaudados desde la vigencia de la estampilla, la distribución para el período del informe, el plan de inversión, una evaluación de impacto económico y social en materia de inversión de los recursos recaudados por concepto de la estampilla, además de los objetivos y metas de los recursos a invertir cuando la ejecución de los mismos requiera de más de una vigencia</w:t>
      </w:r>
      <w:r w:rsidR="00664FCB" w:rsidRPr="003911C3">
        <w:rPr>
          <w:rFonts w:ascii="Tahoma" w:eastAsia="Times New Roman" w:hAnsi="Tahoma" w:cs="Tahoma"/>
          <w:sz w:val="24"/>
          <w:szCs w:val="24"/>
          <w:lang w:eastAsia="es-ES_tradnl"/>
        </w:rPr>
        <w:t>.</w:t>
      </w:r>
    </w:p>
    <w:p w14:paraId="2581EF51" w14:textId="77777777" w:rsidR="00664FCB" w:rsidRPr="004C7113" w:rsidRDefault="00664FCB" w:rsidP="00085B9E">
      <w:pPr>
        <w:spacing w:line="240" w:lineRule="auto"/>
        <w:jc w:val="both"/>
        <w:rPr>
          <w:rFonts w:ascii="Tahoma" w:eastAsia="Times New Roman" w:hAnsi="Tahoma" w:cs="Tahoma"/>
          <w:sz w:val="24"/>
          <w:szCs w:val="24"/>
          <w:lang w:eastAsia="es-ES_tradnl"/>
        </w:rPr>
      </w:pPr>
      <w:r w:rsidRPr="003911C3">
        <w:rPr>
          <w:rFonts w:ascii="Tahoma" w:eastAsia="Times New Roman" w:hAnsi="Tahoma" w:cs="Tahoma"/>
          <w:b/>
          <w:bCs/>
          <w:sz w:val="24"/>
          <w:szCs w:val="24"/>
          <w:lang w:eastAsia="es-ES_tradnl"/>
        </w:rPr>
        <w:t>Artículo 9. Vigencia y derogatorias</w:t>
      </w:r>
      <w:r w:rsidRPr="003911C3">
        <w:rPr>
          <w:rFonts w:ascii="Tahoma" w:eastAsia="Times New Roman" w:hAnsi="Tahoma" w:cs="Tahoma"/>
          <w:sz w:val="24"/>
          <w:szCs w:val="24"/>
          <w:lang w:eastAsia="es-ES_tradnl"/>
        </w:rPr>
        <w:t xml:space="preserve">. Le presente ley rige a partir de su promulgación y hasta tanto se recaude el monto total aprobado en el artículo 1 de la ley 664 de 2001, y deroga todas las disposiciones que le sean contrarias, en especial los artículos </w:t>
      </w:r>
      <w:r w:rsidR="008A515E" w:rsidRPr="003911C3">
        <w:rPr>
          <w:rFonts w:ascii="Tahoma" w:eastAsia="Times New Roman" w:hAnsi="Tahoma" w:cs="Tahoma"/>
          <w:sz w:val="24"/>
          <w:szCs w:val="24"/>
          <w:lang w:eastAsia="es-ES_tradnl"/>
        </w:rPr>
        <w:t>3, 4, 5 y 9 de la ley 66 de 1982.</w:t>
      </w:r>
      <w:r w:rsidR="008A515E" w:rsidRPr="004C7113">
        <w:rPr>
          <w:rFonts w:ascii="Tahoma" w:eastAsia="Times New Roman" w:hAnsi="Tahoma" w:cs="Tahoma"/>
          <w:sz w:val="24"/>
          <w:szCs w:val="24"/>
          <w:lang w:eastAsia="es-ES_tradnl"/>
        </w:rPr>
        <w:t xml:space="preserve"> </w:t>
      </w:r>
    </w:p>
    <w:p w14:paraId="04C6C27B" w14:textId="5105C694" w:rsidR="008A515E" w:rsidRPr="004C7113" w:rsidRDefault="008A515E" w:rsidP="00BB2405">
      <w:pPr>
        <w:spacing w:line="240" w:lineRule="auto"/>
        <w:rPr>
          <w:rFonts w:ascii="Tahoma" w:eastAsia="Times New Roman" w:hAnsi="Tahoma" w:cs="Tahoma"/>
          <w:sz w:val="24"/>
          <w:szCs w:val="24"/>
          <w:lang w:eastAsia="es-ES_tradnl"/>
        </w:rPr>
      </w:pPr>
    </w:p>
    <w:p w14:paraId="581FAA2B" w14:textId="77777777" w:rsidR="00BB2405" w:rsidRPr="004C7113" w:rsidRDefault="00BB2405" w:rsidP="00BB2405">
      <w:pPr>
        <w:spacing w:line="240" w:lineRule="auto"/>
        <w:rPr>
          <w:rFonts w:ascii="Tahoma" w:eastAsia="Times New Roman" w:hAnsi="Tahoma" w:cs="Tahoma"/>
          <w:b/>
          <w:bCs/>
          <w:sz w:val="24"/>
          <w:szCs w:val="24"/>
          <w:lang w:eastAsia="es-ES_tradnl"/>
        </w:rPr>
      </w:pPr>
    </w:p>
    <w:p w14:paraId="51D02A62" w14:textId="77777777" w:rsidR="007F3B68" w:rsidRPr="004C7113" w:rsidRDefault="007F3B68" w:rsidP="00BB2405">
      <w:pPr>
        <w:spacing w:line="240" w:lineRule="auto"/>
        <w:rPr>
          <w:rFonts w:ascii="Tahoma" w:eastAsia="Times New Roman" w:hAnsi="Tahoma" w:cs="Tahoma"/>
          <w:b/>
          <w:bCs/>
          <w:sz w:val="24"/>
          <w:szCs w:val="24"/>
          <w:lang w:eastAsia="es-ES_tradnl"/>
        </w:rPr>
      </w:pPr>
    </w:p>
    <w:p w14:paraId="39F6C79F" w14:textId="77777777" w:rsidR="007F3B68" w:rsidRPr="004C7113" w:rsidRDefault="007F3B68" w:rsidP="00BB2405">
      <w:pPr>
        <w:spacing w:line="240" w:lineRule="auto"/>
        <w:rPr>
          <w:rFonts w:ascii="Tahoma" w:eastAsia="Times New Roman" w:hAnsi="Tahoma" w:cs="Tahoma"/>
          <w:b/>
          <w:bCs/>
          <w:sz w:val="24"/>
          <w:szCs w:val="24"/>
          <w:lang w:eastAsia="es-ES_tradnl"/>
        </w:rPr>
      </w:pPr>
    </w:p>
    <w:p w14:paraId="4B54E651" w14:textId="77777777" w:rsidR="008A515E" w:rsidRPr="004C7113" w:rsidRDefault="008A515E" w:rsidP="008A515E">
      <w:pPr>
        <w:spacing w:line="240" w:lineRule="auto"/>
        <w:jc w:val="center"/>
        <w:rPr>
          <w:rFonts w:ascii="Tahoma" w:eastAsia="Times New Roman" w:hAnsi="Tahoma" w:cs="Tahoma"/>
          <w:b/>
          <w:bCs/>
          <w:sz w:val="24"/>
          <w:szCs w:val="24"/>
          <w:lang w:eastAsia="es-ES_tradnl"/>
        </w:rPr>
      </w:pPr>
    </w:p>
    <w:p w14:paraId="13149D2D" w14:textId="77777777" w:rsidR="008A515E" w:rsidRPr="004C7113" w:rsidRDefault="008A515E" w:rsidP="008A515E">
      <w:pPr>
        <w:spacing w:line="240" w:lineRule="auto"/>
        <w:jc w:val="center"/>
        <w:rPr>
          <w:rFonts w:ascii="Tahoma" w:eastAsia="Times New Roman" w:hAnsi="Tahoma" w:cs="Tahoma"/>
          <w:b/>
          <w:bCs/>
          <w:sz w:val="24"/>
          <w:szCs w:val="24"/>
          <w:lang w:eastAsia="es-ES_tradnl"/>
        </w:rPr>
      </w:pPr>
      <w:r w:rsidRPr="004C7113">
        <w:rPr>
          <w:rFonts w:ascii="Tahoma" w:eastAsia="Times New Roman" w:hAnsi="Tahoma" w:cs="Tahoma"/>
          <w:b/>
          <w:bCs/>
          <w:sz w:val="24"/>
          <w:szCs w:val="24"/>
          <w:lang w:eastAsia="es-ES_tradnl"/>
        </w:rPr>
        <w:t>MIGUEL ÁNGEL BARRETO CASTILLO</w:t>
      </w:r>
    </w:p>
    <w:p w14:paraId="18DE8278" w14:textId="77777777" w:rsidR="008A515E" w:rsidRPr="004C7113" w:rsidRDefault="008A515E" w:rsidP="008A515E">
      <w:pPr>
        <w:spacing w:line="240" w:lineRule="auto"/>
        <w:jc w:val="center"/>
        <w:rPr>
          <w:rFonts w:ascii="Tahoma" w:eastAsia="Times New Roman" w:hAnsi="Tahoma" w:cs="Tahoma"/>
          <w:b/>
          <w:bCs/>
          <w:sz w:val="24"/>
          <w:szCs w:val="24"/>
          <w:lang w:eastAsia="es-ES_tradnl"/>
        </w:rPr>
      </w:pPr>
      <w:r w:rsidRPr="004C7113">
        <w:rPr>
          <w:rFonts w:ascii="Tahoma" w:eastAsia="Times New Roman" w:hAnsi="Tahoma" w:cs="Tahoma"/>
          <w:b/>
          <w:bCs/>
          <w:sz w:val="24"/>
          <w:szCs w:val="24"/>
          <w:lang w:eastAsia="es-ES_tradnl"/>
        </w:rPr>
        <w:t>Senador de la República</w:t>
      </w:r>
    </w:p>
    <w:p w14:paraId="2B3FF522" w14:textId="77777777" w:rsidR="00997FA4" w:rsidRPr="004C7113" w:rsidRDefault="00997FA4" w:rsidP="00085B9E">
      <w:pPr>
        <w:spacing w:line="240" w:lineRule="auto"/>
        <w:jc w:val="both"/>
        <w:rPr>
          <w:rFonts w:ascii="Tahoma" w:eastAsia="Times New Roman" w:hAnsi="Tahoma" w:cs="Tahoma"/>
          <w:sz w:val="24"/>
          <w:szCs w:val="24"/>
          <w:lang w:eastAsia="es-ES_tradnl"/>
        </w:rPr>
      </w:pPr>
    </w:p>
    <w:p w14:paraId="4FABF464" w14:textId="77777777" w:rsidR="00997FA4" w:rsidRPr="004C7113" w:rsidRDefault="00997FA4" w:rsidP="00085B9E">
      <w:pPr>
        <w:spacing w:line="240" w:lineRule="auto"/>
        <w:jc w:val="both"/>
        <w:rPr>
          <w:rFonts w:ascii="Tahoma" w:eastAsia="Times New Roman" w:hAnsi="Tahoma" w:cs="Tahoma"/>
          <w:sz w:val="24"/>
          <w:szCs w:val="24"/>
          <w:lang w:eastAsia="es-ES_tradnl"/>
        </w:rPr>
      </w:pPr>
    </w:p>
    <w:p w14:paraId="12CB6E68" w14:textId="77777777" w:rsidR="00997FA4" w:rsidRPr="004C7113" w:rsidRDefault="00997FA4" w:rsidP="00085B9E">
      <w:pPr>
        <w:spacing w:line="240" w:lineRule="auto"/>
        <w:jc w:val="both"/>
        <w:rPr>
          <w:rFonts w:ascii="Tahoma" w:eastAsia="Times New Roman" w:hAnsi="Tahoma" w:cs="Tahoma"/>
          <w:sz w:val="24"/>
          <w:szCs w:val="24"/>
          <w:lang w:eastAsia="es-ES_tradnl"/>
        </w:rPr>
      </w:pPr>
    </w:p>
    <w:p w14:paraId="21574999" w14:textId="5BD17C2E" w:rsidR="00997FA4" w:rsidRDefault="00997FA4" w:rsidP="00085B9E">
      <w:pPr>
        <w:spacing w:line="240" w:lineRule="auto"/>
        <w:jc w:val="both"/>
        <w:rPr>
          <w:rFonts w:ascii="Tahoma" w:eastAsia="Times New Roman" w:hAnsi="Tahoma" w:cs="Tahoma"/>
          <w:sz w:val="24"/>
          <w:szCs w:val="24"/>
          <w:lang w:eastAsia="es-ES_tradnl"/>
        </w:rPr>
      </w:pPr>
    </w:p>
    <w:p w14:paraId="0E95D199" w14:textId="24969FBE" w:rsidR="00856BE4" w:rsidRDefault="00856BE4" w:rsidP="00085B9E">
      <w:pPr>
        <w:spacing w:line="240" w:lineRule="auto"/>
        <w:jc w:val="both"/>
        <w:rPr>
          <w:rFonts w:ascii="Tahoma" w:eastAsia="Times New Roman" w:hAnsi="Tahoma" w:cs="Tahoma"/>
          <w:sz w:val="24"/>
          <w:szCs w:val="24"/>
          <w:lang w:eastAsia="es-ES_tradnl"/>
        </w:rPr>
      </w:pPr>
    </w:p>
    <w:p w14:paraId="417B089A" w14:textId="2805C7D9" w:rsidR="00856BE4" w:rsidRDefault="00856BE4" w:rsidP="00085B9E">
      <w:pPr>
        <w:spacing w:line="240" w:lineRule="auto"/>
        <w:jc w:val="both"/>
        <w:rPr>
          <w:rFonts w:ascii="Tahoma" w:eastAsia="Times New Roman" w:hAnsi="Tahoma" w:cs="Tahoma"/>
          <w:sz w:val="24"/>
          <w:szCs w:val="24"/>
          <w:lang w:eastAsia="es-ES_tradnl"/>
        </w:rPr>
      </w:pPr>
    </w:p>
    <w:p w14:paraId="00D0A9C0" w14:textId="77777777" w:rsidR="00856BE4" w:rsidRPr="004C7113" w:rsidRDefault="00856BE4" w:rsidP="00085B9E">
      <w:pPr>
        <w:spacing w:line="240" w:lineRule="auto"/>
        <w:jc w:val="both"/>
        <w:rPr>
          <w:rFonts w:ascii="Tahoma" w:eastAsia="Times New Roman" w:hAnsi="Tahoma" w:cs="Tahoma"/>
          <w:sz w:val="24"/>
          <w:szCs w:val="24"/>
          <w:lang w:eastAsia="es-ES_tradnl"/>
        </w:rPr>
      </w:pPr>
    </w:p>
    <w:p w14:paraId="2CAF46CE" w14:textId="77777777" w:rsidR="00997FA4" w:rsidRPr="004C7113" w:rsidRDefault="00997FA4" w:rsidP="00085B9E">
      <w:pPr>
        <w:spacing w:line="240" w:lineRule="auto"/>
        <w:jc w:val="both"/>
        <w:rPr>
          <w:rFonts w:ascii="Tahoma" w:eastAsia="Times New Roman" w:hAnsi="Tahoma" w:cs="Tahoma"/>
          <w:sz w:val="24"/>
          <w:szCs w:val="24"/>
          <w:lang w:eastAsia="es-ES_tradnl"/>
        </w:rPr>
      </w:pPr>
    </w:p>
    <w:p w14:paraId="5B3C069B" w14:textId="77777777" w:rsidR="00997FA4" w:rsidRPr="004C7113" w:rsidRDefault="00997FA4" w:rsidP="00085B9E">
      <w:pPr>
        <w:spacing w:line="240" w:lineRule="auto"/>
        <w:jc w:val="both"/>
        <w:rPr>
          <w:rFonts w:ascii="Tahoma" w:eastAsia="Times New Roman" w:hAnsi="Tahoma" w:cs="Tahoma"/>
          <w:sz w:val="24"/>
          <w:szCs w:val="24"/>
          <w:lang w:eastAsia="es-ES_tradnl"/>
        </w:rPr>
      </w:pPr>
    </w:p>
    <w:p w14:paraId="28D643DF" w14:textId="77777777" w:rsidR="00085B9E" w:rsidRPr="004C7113" w:rsidRDefault="00997FA4" w:rsidP="00997FA4">
      <w:pPr>
        <w:spacing w:line="240" w:lineRule="auto"/>
        <w:jc w:val="center"/>
        <w:rPr>
          <w:rFonts w:ascii="Tahoma" w:eastAsia="Times New Roman" w:hAnsi="Tahoma" w:cs="Tahoma"/>
          <w:b/>
          <w:sz w:val="24"/>
          <w:szCs w:val="24"/>
          <w:lang w:eastAsia="es-ES_tradnl"/>
        </w:rPr>
      </w:pPr>
      <w:bookmarkStart w:id="2" w:name="_Hlk46144738"/>
      <w:r w:rsidRPr="004C7113">
        <w:rPr>
          <w:rFonts w:ascii="Tahoma" w:eastAsia="Times New Roman" w:hAnsi="Tahoma" w:cs="Tahoma"/>
          <w:b/>
          <w:sz w:val="24"/>
          <w:szCs w:val="24"/>
          <w:lang w:eastAsia="es-ES_tradnl"/>
        </w:rPr>
        <w:lastRenderedPageBreak/>
        <w:t>EXPOSICIÓN DE MOTIVOS</w:t>
      </w:r>
    </w:p>
    <w:p w14:paraId="3EF69A81" w14:textId="77777777" w:rsidR="00997FA4" w:rsidRPr="004C7113" w:rsidRDefault="00997FA4" w:rsidP="00085B9E">
      <w:pPr>
        <w:spacing w:line="240" w:lineRule="auto"/>
        <w:jc w:val="both"/>
        <w:rPr>
          <w:rFonts w:ascii="Tahoma" w:eastAsia="Times New Roman" w:hAnsi="Tahoma" w:cs="Tahoma"/>
          <w:sz w:val="24"/>
          <w:szCs w:val="24"/>
          <w:lang w:eastAsia="es-ES_tradnl"/>
        </w:rPr>
      </w:pPr>
    </w:p>
    <w:p w14:paraId="2C10F336" w14:textId="77777777" w:rsidR="00085B9E" w:rsidRPr="004C7113" w:rsidRDefault="00997FA4" w:rsidP="00997FA4">
      <w:pPr>
        <w:spacing w:line="240" w:lineRule="auto"/>
        <w:jc w:val="both"/>
        <w:rPr>
          <w:rFonts w:ascii="Tahoma" w:eastAsia="Times New Roman" w:hAnsi="Tahoma" w:cs="Tahoma"/>
          <w:b/>
          <w:sz w:val="24"/>
          <w:szCs w:val="24"/>
          <w:lang w:eastAsia="es-ES_tradnl"/>
        </w:rPr>
      </w:pPr>
      <w:r w:rsidRPr="004C7113">
        <w:rPr>
          <w:rFonts w:ascii="Tahoma" w:eastAsia="Times New Roman" w:hAnsi="Tahoma" w:cs="Tahoma"/>
          <w:b/>
          <w:sz w:val="24"/>
          <w:szCs w:val="24"/>
          <w:lang w:eastAsia="es-ES_tradnl"/>
        </w:rPr>
        <w:t>MARCO JURIDICO</w:t>
      </w:r>
    </w:p>
    <w:p w14:paraId="214F1D09" w14:textId="77777777" w:rsidR="007C3A2F" w:rsidRPr="004C7113" w:rsidRDefault="007C3A2F" w:rsidP="007C3A2F">
      <w:pPr>
        <w:spacing w:line="276" w:lineRule="auto"/>
        <w:jc w:val="both"/>
        <w:rPr>
          <w:rFonts w:ascii="Tahoma" w:hAnsi="Tahoma" w:cs="Tahoma"/>
          <w:sz w:val="24"/>
          <w:szCs w:val="24"/>
        </w:rPr>
      </w:pPr>
      <w:r w:rsidRPr="004C7113">
        <w:rPr>
          <w:rFonts w:ascii="Tahoma" w:hAnsi="Tahoma" w:cs="Tahoma"/>
          <w:sz w:val="24"/>
          <w:szCs w:val="24"/>
        </w:rPr>
        <w:t xml:space="preserve">El proyecto en estudio fundamenta </w:t>
      </w:r>
      <w:r w:rsidR="00997FA4" w:rsidRPr="004C7113">
        <w:rPr>
          <w:rFonts w:ascii="Tahoma" w:hAnsi="Tahoma" w:cs="Tahoma"/>
          <w:sz w:val="24"/>
          <w:szCs w:val="24"/>
        </w:rPr>
        <w:t>su presentación</w:t>
      </w:r>
      <w:r w:rsidRPr="004C7113">
        <w:rPr>
          <w:rFonts w:ascii="Tahoma" w:hAnsi="Tahoma" w:cs="Tahoma"/>
          <w:sz w:val="24"/>
          <w:szCs w:val="24"/>
        </w:rPr>
        <w:t>, en las facultades que la constitución le otorga al Senado de la República en su Artículo 150º  Numeral  12º,  el cual establece:</w:t>
      </w:r>
    </w:p>
    <w:p w14:paraId="7319A182" w14:textId="77777777" w:rsidR="007C3A2F" w:rsidRPr="004C7113" w:rsidRDefault="007C3A2F" w:rsidP="007C3A2F">
      <w:pPr>
        <w:spacing w:line="276" w:lineRule="auto"/>
        <w:ind w:left="708"/>
        <w:jc w:val="both"/>
        <w:rPr>
          <w:rFonts w:ascii="Tahoma" w:hAnsi="Tahoma" w:cs="Tahoma"/>
          <w:i/>
          <w:sz w:val="24"/>
          <w:szCs w:val="24"/>
        </w:rPr>
      </w:pPr>
      <w:r w:rsidRPr="004C7113">
        <w:rPr>
          <w:rFonts w:ascii="Tahoma" w:hAnsi="Tahoma" w:cs="Tahoma"/>
          <w:i/>
          <w:sz w:val="24"/>
          <w:szCs w:val="24"/>
        </w:rPr>
        <w:t>Artículo 150. Corresponde al Congreso hacer las leyes, Por medio de ellas ejerce las siguientes funciones:</w:t>
      </w:r>
    </w:p>
    <w:p w14:paraId="3955DDC1" w14:textId="77777777" w:rsidR="007C3A2F" w:rsidRPr="004C7113" w:rsidRDefault="007C3A2F" w:rsidP="007C3A2F">
      <w:pPr>
        <w:spacing w:line="276" w:lineRule="auto"/>
        <w:ind w:left="708"/>
        <w:jc w:val="both"/>
        <w:rPr>
          <w:rFonts w:ascii="Tahoma" w:hAnsi="Tahoma" w:cs="Tahoma"/>
          <w:i/>
          <w:sz w:val="24"/>
          <w:szCs w:val="24"/>
        </w:rPr>
      </w:pPr>
      <w:r w:rsidRPr="004C7113">
        <w:rPr>
          <w:rFonts w:ascii="Tahoma" w:hAnsi="Tahoma" w:cs="Tahoma"/>
          <w:i/>
          <w:sz w:val="24"/>
          <w:szCs w:val="24"/>
        </w:rPr>
        <w:t>(..)</w:t>
      </w:r>
    </w:p>
    <w:p w14:paraId="2E2913C0" w14:textId="77777777" w:rsidR="007C3A2F" w:rsidRPr="004C7113" w:rsidRDefault="007C3A2F" w:rsidP="007C3A2F">
      <w:pPr>
        <w:spacing w:line="276" w:lineRule="auto"/>
        <w:ind w:left="708"/>
        <w:jc w:val="both"/>
        <w:rPr>
          <w:rFonts w:ascii="Tahoma" w:hAnsi="Tahoma" w:cs="Tahoma"/>
          <w:i/>
          <w:sz w:val="24"/>
          <w:szCs w:val="24"/>
        </w:rPr>
      </w:pPr>
      <w:r w:rsidRPr="004C7113">
        <w:rPr>
          <w:rFonts w:ascii="Tahoma" w:hAnsi="Tahoma" w:cs="Tahoma"/>
          <w:i/>
          <w:sz w:val="24"/>
          <w:szCs w:val="24"/>
        </w:rPr>
        <w:t>12. Establecer contribuciones fiscales y, excepcionalmente, contribuciones parafiscales en los casos y bajo las condiciones que establezca la ley</w:t>
      </w:r>
    </w:p>
    <w:p w14:paraId="78E77008" w14:textId="77777777" w:rsidR="007C3A2F" w:rsidRPr="004C7113" w:rsidRDefault="007C3A2F" w:rsidP="007C3A2F">
      <w:pPr>
        <w:spacing w:line="276" w:lineRule="auto"/>
        <w:jc w:val="both"/>
        <w:rPr>
          <w:rFonts w:ascii="Tahoma" w:hAnsi="Tahoma" w:cs="Tahoma"/>
          <w:sz w:val="24"/>
          <w:szCs w:val="24"/>
        </w:rPr>
      </w:pPr>
      <w:r w:rsidRPr="004C7113">
        <w:rPr>
          <w:rFonts w:ascii="Tahoma" w:hAnsi="Tahoma" w:cs="Tahoma"/>
          <w:sz w:val="24"/>
          <w:szCs w:val="24"/>
        </w:rPr>
        <w:t>De la misma manera, la Carta Constitucional en su Artículo 338, consagra un principio sobre esta materia así:</w:t>
      </w:r>
    </w:p>
    <w:p w14:paraId="61C1E774" w14:textId="77777777" w:rsidR="007C3A2F" w:rsidRPr="004C7113" w:rsidRDefault="007C3A2F" w:rsidP="007C3A2F">
      <w:pPr>
        <w:spacing w:line="276" w:lineRule="auto"/>
        <w:ind w:left="708"/>
        <w:jc w:val="both"/>
        <w:rPr>
          <w:rFonts w:ascii="Tahoma" w:hAnsi="Tahoma" w:cs="Tahoma"/>
          <w:i/>
          <w:sz w:val="24"/>
          <w:szCs w:val="24"/>
        </w:rPr>
      </w:pPr>
      <w:r w:rsidRPr="004C7113">
        <w:rPr>
          <w:rFonts w:ascii="Tahoma" w:hAnsi="Tahoma" w:cs="Tahoma"/>
          <w:i/>
          <w:sz w:val="24"/>
          <w:szCs w:val="24"/>
        </w:rPr>
        <w:t>ARTICULO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66D9336A" w14:textId="77777777" w:rsidR="007C3A2F" w:rsidRPr="004C7113" w:rsidRDefault="007C3A2F" w:rsidP="007C3A2F">
      <w:pPr>
        <w:spacing w:line="276" w:lineRule="auto"/>
        <w:jc w:val="both"/>
        <w:rPr>
          <w:rFonts w:ascii="Tahoma" w:hAnsi="Tahoma" w:cs="Tahoma"/>
          <w:sz w:val="24"/>
          <w:szCs w:val="24"/>
        </w:rPr>
      </w:pPr>
      <w:r w:rsidRPr="004C7113">
        <w:rPr>
          <w:rFonts w:ascii="Tahoma" w:hAnsi="Tahoma" w:cs="Tahoma"/>
          <w:sz w:val="24"/>
          <w:szCs w:val="24"/>
        </w:rPr>
        <w:t xml:space="preserve">Frente a la creación de las estampillas, igualmente la Corte Constitucional ha hecho diferentes pronunciamientos frente al tema de los impuestos parafiscales, dentro de los cuales en la Sentencia C-134 de 2009, siendo Magistrado Ponente Mauricio González Cuervo dijo: </w:t>
      </w:r>
    </w:p>
    <w:p w14:paraId="35966763" w14:textId="77777777" w:rsidR="007C3A2F" w:rsidRPr="004C7113" w:rsidRDefault="007C3A2F" w:rsidP="007C3A2F">
      <w:pPr>
        <w:spacing w:line="276" w:lineRule="auto"/>
        <w:ind w:left="708"/>
        <w:jc w:val="both"/>
        <w:rPr>
          <w:rFonts w:ascii="Tahoma" w:hAnsi="Tahoma" w:cs="Tahoma"/>
          <w:i/>
          <w:sz w:val="24"/>
          <w:szCs w:val="24"/>
        </w:rPr>
      </w:pPr>
      <w:r w:rsidRPr="004C7113">
        <w:rPr>
          <w:rStyle w:val="iaj"/>
          <w:rFonts w:ascii="Tahoma" w:hAnsi="Tahoma" w:cs="Tahoma"/>
          <w:i/>
          <w:sz w:val="24"/>
          <w:szCs w:val="24"/>
        </w:rPr>
        <w:t xml:space="preserve">“Por el principio de legalidad previsto en la Constitución Política, la ley, las ordenanzas y los acuerdos deben fijar, directamente, los sujetos activos y pasivos, los hechos y las bases gravables, y las tarifas de los impuestos, lo que constituye una regla de legalidad de los elementos del tributo que se extiende a los impuestos, las tasas y las contribuciones, aunque por excepción, tratándose de tasas y contribuciones, el elemento “tarifa” de estos tributos puede ser definido por la autoridad administrativa, pero tal habilitación tiene como marco legal para su ejercicio el que previamente deben ser fijados por la ley, las ordenanzas o los acuerdos el sistema y el método para definir tales costos y beneficios, y la forma de hacer su reparto. En el presente caso, aún si la ley habilitante - y no el Decreto Ley -hubiera establecido las tasas por concepto de licencias y credenciales, la autorización a la Superintendencia contenida en los artículos 87 y 111 del Decreto 356 de </w:t>
      </w:r>
      <w:r w:rsidRPr="004C7113">
        <w:rPr>
          <w:rStyle w:val="iaj"/>
          <w:rFonts w:ascii="Tahoma" w:hAnsi="Tahoma" w:cs="Tahoma"/>
          <w:i/>
          <w:sz w:val="24"/>
          <w:szCs w:val="24"/>
        </w:rPr>
        <w:lastRenderedPageBreak/>
        <w:t>1994 para cuantificarlos, estaría viciada de inconstitucionalidad, al omitir “el sistema” y “el método” de cálculo de la tarifa.”</w:t>
      </w:r>
    </w:p>
    <w:p w14:paraId="660920CC" w14:textId="77777777" w:rsidR="007C3A2F" w:rsidRPr="004C7113" w:rsidRDefault="007C3A2F" w:rsidP="007C3A2F">
      <w:pPr>
        <w:spacing w:line="276" w:lineRule="auto"/>
        <w:jc w:val="both"/>
        <w:rPr>
          <w:rFonts w:ascii="Tahoma" w:hAnsi="Tahoma" w:cs="Tahoma"/>
          <w:sz w:val="24"/>
          <w:szCs w:val="24"/>
        </w:rPr>
      </w:pPr>
      <w:r w:rsidRPr="004C7113">
        <w:rPr>
          <w:rFonts w:ascii="Tahoma" w:hAnsi="Tahoma" w:cs="Tahoma"/>
          <w:sz w:val="24"/>
          <w:szCs w:val="24"/>
        </w:rPr>
        <w:t>“Entonces, las "estampillas", dependiendo de si se imponen como medio de comprobación para acreditar el pago del servicio público recibido, tendrán el carácter de administrativas; o de parafiscales, si corresponden al cumplimento de una prestación que se causa a favor de la entidad nacional o territorial como sujeto impositivo fiscal.</w:t>
      </w:r>
    </w:p>
    <w:p w14:paraId="073C182A" w14:textId="77777777" w:rsidR="007C3A2F" w:rsidRPr="004C7113" w:rsidRDefault="007C3A2F" w:rsidP="007C3A2F">
      <w:pPr>
        <w:spacing w:line="276" w:lineRule="auto"/>
        <w:jc w:val="both"/>
        <w:rPr>
          <w:rFonts w:ascii="Tahoma" w:hAnsi="Tahoma" w:cs="Tahoma"/>
          <w:sz w:val="24"/>
          <w:szCs w:val="24"/>
        </w:rPr>
      </w:pPr>
      <w:r w:rsidRPr="004C7113">
        <w:rPr>
          <w:rFonts w:ascii="Tahoma" w:hAnsi="Tahoma" w:cs="Tahoma"/>
          <w:sz w:val="24"/>
          <w:szCs w:val="24"/>
        </w:rPr>
        <w:t>Por otra parte, el artículo 69 de la Constitución Política de Colombia se establece la necesidad de que todo colombiano pueda acceder a la educación, siendo este un servicio público con función social que debe ser prestado de forma integral a todos los colombianos buscando el acceso “al conocimiento, a la ciencia, a la técnica y valores de la cultura”</w:t>
      </w:r>
    </w:p>
    <w:p w14:paraId="2777C5DF" w14:textId="77777777" w:rsidR="007C3A2F" w:rsidRPr="004C7113" w:rsidRDefault="007C3A2F" w:rsidP="007C3A2F">
      <w:pPr>
        <w:spacing w:before="100" w:beforeAutospacing="1" w:after="100" w:afterAutospacing="1"/>
        <w:ind w:left="708"/>
        <w:jc w:val="both"/>
        <w:rPr>
          <w:rFonts w:ascii="Tahoma" w:eastAsia="Times New Roman" w:hAnsi="Tahoma" w:cs="Tahoma"/>
          <w:i/>
          <w:sz w:val="24"/>
          <w:szCs w:val="24"/>
          <w:lang w:val="es-ES" w:eastAsia="es-ES"/>
        </w:rPr>
      </w:pPr>
      <w:bookmarkStart w:id="3" w:name="69"/>
      <w:r w:rsidRPr="004C7113">
        <w:rPr>
          <w:rFonts w:ascii="Tahoma" w:eastAsia="Times New Roman" w:hAnsi="Tahoma" w:cs="Tahoma"/>
          <w:i/>
          <w:sz w:val="24"/>
          <w:szCs w:val="24"/>
          <w:lang w:val="es-ES" w:eastAsia="es-ES"/>
        </w:rPr>
        <w:t xml:space="preserve">ARTICULO 69. </w:t>
      </w:r>
      <w:bookmarkEnd w:id="3"/>
      <w:r w:rsidRPr="004C7113">
        <w:rPr>
          <w:rFonts w:ascii="Tahoma" w:eastAsia="Times New Roman" w:hAnsi="Tahoma" w:cs="Tahoma"/>
          <w:i/>
          <w:sz w:val="24"/>
          <w:szCs w:val="24"/>
          <w:lang w:val="es-ES" w:eastAsia="es-ES"/>
        </w:rPr>
        <w:t xml:space="preserve">Se garantiza la autonomía universitaria. Las universidades podrán darse sus directivas y regirse por sus propios estatutos, de acuerdo con la ley. </w:t>
      </w:r>
    </w:p>
    <w:p w14:paraId="38EEC1D8" w14:textId="77777777" w:rsidR="007C3A2F" w:rsidRPr="004C7113" w:rsidRDefault="007C3A2F" w:rsidP="007C3A2F">
      <w:pPr>
        <w:spacing w:before="100" w:beforeAutospacing="1" w:after="100" w:afterAutospacing="1"/>
        <w:ind w:left="708"/>
        <w:jc w:val="both"/>
        <w:rPr>
          <w:rFonts w:ascii="Tahoma" w:eastAsia="Times New Roman" w:hAnsi="Tahoma" w:cs="Tahoma"/>
          <w:i/>
          <w:sz w:val="24"/>
          <w:szCs w:val="24"/>
          <w:lang w:val="es-ES" w:eastAsia="es-ES"/>
        </w:rPr>
      </w:pPr>
      <w:r w:rsidRPr="004C7113">
        <w:rPr>
          <w:rFonts w:ascii="Tahoma" w:eastAsia="Times New Roman" w:hAnsi="Tahoma" w:cs="Tahoma"/>
          <w:i/>
          <w:sz w:val="24"/>
          <w:szCs w:val="24"/>
          <w:lang w:val="es-ES" w:eastAsia="es-ES"/>
        </w:rPr>
        <w:t xml:space="preserve">La ley establecerá un régimen especial para las universidades del Estado. </w:t>
      </w:r>
    </w:p>
    <w:p w14:paraId="3A8F6066" w14:textId="77777777" w:rsidR="007C3A2F" w:rsidRPr="004C7113" w:rsidRDefault="007C3A2F" w:rsidP="007C3A2F">
      <w:pPr>
        <w:spacing w:before="100" w:beforeAutospacing="1" w:after="100" w:afterAutospacing="1"/>
        <w:ind w:left="708"/>
        <w:jc w:val="both"/>
        <w:rPr>
          <w:rFonts w:ascii="Tahoma" w:eastAsia="Times New Roman" w:hAnsi="Tahoma" w:cs="Tahoma"/>
          <w:i/>
          <w:sz w:val="24"/>
          <w:szCs w:val="24"/>
          <w:lang w:val="es-ES" w:eastAsia="es-ES"/>
        </w:rPr>
      </w:pPr>
      <w:r w:rsidRPr="004C7113">
        <w:rPr>
          <w:rFonts w:ascii="Tahoma" w:eastAsia="Times New Roman" w:hAnsi="Tahoma" w:cs="Tahoma"/>
          <w:i/>
          <w:sz w:val="24"/>
          <w:szCs w:val="24"/>
          <w:lang w:val="es-ES" w:eastAsia="es-ES"/>
        </w:rPr>
        <w:t xml:space="preserve">El Estado fortalecerá la investigación científica en las universidades oficiales y privadas y ofrecerá las condiciones especiales para su desarrollo. </w:t>
      </w:r>
    </w:p>
    <w:p w14:paraId="2971F63C" w14:textId="77777777" w:rsidR="007C3A2F" w:rsidRPr="004C7113" w:rsidRDefault="007C3A2F" w:rsidP="007C3A2F">
      <w:pPr>
        <w:spacing w:before="100" w:beforeAutospacing="1" w:after="100" w:afterAutospacing="1"/>
        <w:ind w:left="708"/>
        <w:jc w:val="both"/>
        <w:rPr>
          <w:rFonts w:ascii="Tahoma" w:eastAsia="Times New Roman" w:hAnsi="Tahoma" w:cs="Tahoma"/>
          <w:i/>
          <w:sz w:val="24"/>
          <w:szCs w:val="24"/>
          <w:lang w:val="es-ES" w:eastAsia="es-ES"/>
        </w:rPr>
      </w:pPr>
      <w:r w:rsidRPr="004C7113">
        <w:rPr>
          <w:rFonts w:ascii="Tahoma" w:eastAsia="Times New Roman" w:hAnsi="Tahoma" w:cs="Tahoma"/>
          <w:i/>
          <w:sz w:val="24"/>
          <w:szCs w:val="24"/>
          <w:lang w:val="es-ES" w:eastAsia="es-ES"/>
        </w:rPr>
        <w:t xml:space="preserve">El Estado facilitará mecanismos financieros que hagan posible el acceso de todas las personas aptas a la educación superior. </w:t>
      </w:r>
    </w:p>
    <w:p w14:paraId="140012B9" w14:textId="77777777" w:rsidR="007C3A2F" w:rsidRPr="004C7113" w:rsidRDefault="007C3A2F" w:rsidP="007C3A2F">
      <w:pPr>
        <w:spacing w:line="276" w:lineRule="auto"/>
        <w:jc w:val="both"/>
        <w:rPr>
          <w:rFonts w:ascii="Tahoma" w:hAnsi="Tahoma" w:cs="Tahoma"/>
          <w:sz w:val="24"/>
          <w:szCs w:val="24"/>
        </w:rPr>
      </w:pPr>
      <w:r w:rsidRPr="004C7113">
        <w:rPr>
          <w:rFonts w:ascii="Tahoma" w:hAnsi="Tahoma" w:cs="Tahoma"/>
          <w:sz w:val="24"/>
          <w:szCs w:val="24"/>
        </w:rPr>
        <w:t xml:space="preserve">Es necesario proveerle a las Universidades Públicas recursos suficientes para incentivar la prestación de servicios  educativos de calidad, estos recursos deben ser destinarlos en infraestructura educativa (construcción, adecuación, remodelación y mantenimiento de la planta física,  bibliotecas, entre otros.) </w:t>
      </w:r>
    </w:p>
    <w:p w14:paraId="61DAFC27" w14:textId="77777777" w:rsidR="00997FA4" w:rsidRPr="004C7113" w:rsidRDefault="00997FA4" w:rsidP="00997FA4">
      <w:pPr>
        <w:spacing w:line="276" w:lineRule="auto"/>
        <w:jc w:val="both"/>
        <w:rPr>
          <w:rFonts w:ascii="Tahoma" w:hAnsi="Tahoma" w:cs="Tahoma"/>
          <w:b/>
          <w:sz w:val="24"/>
          <w:szCs w:val="24"/>
        </w:rPr>
      </w:pPr>
      <w:bookmarkStart w:id="4" w:name="_Hlk46144746"/>
      <w:bookmarkEnd w:id="2"/>
      <w:r w:rsidRPr="004C7113">
        <w:rPr>
          <w:rFonts w:ascii="Tahoma" w:hAnsi="Tahoma" w:cs="Tahoma"/>
          <w:b/>
          <w:sz w:val="24"/>
          <w:szCs w:val="24"/>
        </w:rPr>
        <w:t>FUNDAMENTO</w:t>
      </w:r>
    </w:p>
    <w:bookmarkEnd w:id="4"/>
    <w:p w14:paraId="29083FCF" w14:textId="77777777" w:rsidR="00997FA4" w:rsidRPr="004C7113" w:rsidRDefault="00997FA4" w:rsidP="00997FA4">
      <w:pPr>
        <w:pStyle w:val="Prrafodelista"/>
        <w:numPr>
          <w:ilvl w:val="0"/>
          <w:numId w:val="28"/>
        </w:numPr>
        <w:jc w:val="both"/>
        <w:rPr>
          <w:rFonts w:ascii="Tahoma" w:hAnsi="Tahoma" w:cs="Tahoma"/>
          <w:b/>
          <w:sz w:val="24"/>
          <w:szCs w:val="24"/>
        </w:rPr>
      </w:pPr>
      <w:r w:rsidRPr="004C7113">
        <w:rPr>
          <w:rFonts w:ascii="Tahoma" w:hAnsi="Tahoma" w:cs="Tahoma"/>
          <w:b/>
          <w:sz w:val="24"/>
          <w:szCs w:val="24"/>
        </w:rPr>
        <w:t>Universidad del Tolima</w:t>
      </w:r>
    </w:p>
    <w:p w14:paraId="3C84A14C" w14:textId="77777777" w:rsidR="00285C20" w:rsidRPr="004C7113" w:rsidRDefault="00285C20" w:rsidP="00285C20">
      <w:pPr>
        <w:jc w:val="both"/>
        <w:rPr>
          <w:rFonts w:ascii="Tahoma" w:hAnsi="Tahoma" w:cs="Tahoma"/>
          <w:b/>
          <w:sz w:val="24"/>
          <w:szCs w:val="24"/>
        </w:rPr>
      </w:pPr>
      <w:r w:rsidRPr="004C7113">
        <w:rPr>
          <w:rFonts w:ascii="Tahoma" w:hAnsi="Tahoma" w:cs="Tahoma"/>
          <w:b/>
          <w:sz w:val="24"/>
          <w:szCs w:val="24"/>
        </w:rPr>
        <w:t>Historia</w:t>
      </w:r>
      <w:r w:rsidR="0087499E" w:rsidRPr="004C7113">
        <w:rPr>
          <w:rStyle w:val="Refdenotaalpie"/>
          <w:rFonts w:ascii="Tahoma" w:hAnsi="Tahoma" w:cs="Tahoma"/>
          <w:b/>
          <w:sz w:val="24"/>
          <w:szCs w:val="24"/>
        </w:rPr>
        <w:footnoteReference w:id="1"/>
      </w:r>
    </w:p>
    <w:p w14:paraId="472CA3D2" w14:textId="77777777" w:rsidR="00616C03" w:rsidRPr="004C7113" w:rsidRDefault="00997FA4"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La Universidad del Tolima es un ente universitario autónomo, de carácter estatal u oficial, del orden departamental, creado por la Ordenanza No. 005 de 1945, con personería jurídica, autonomía académica, administrativa y financiera, y patrimonio independiente, que elaborará y manejará su presupuesto de acuerdo con las </w:t>
      </w:r>
      <w:r w:rsidRPr="004C7113">
        <w:rPr>
          <w:rFonts w:ascii="Tahoma" w:hAnsi="Tahoma" w:cs="Tahoma"/>
          <w:sz w:val="24"/>
          <w:szCs w:val="24"/>
        </w:rPr>
        <w:lastRenderedPageBreak/>
        <w:t>funciones que le corresponden. En lo concerniente a las políticas y la planeación del sector educativo, está vinculada al Ministerio de Educación Nacional.</w:t>
      </w:r>
    </w:p>
    <w:p w14:paraId="16958682" w14:textId="77777777" w:rsidR="00997FA4" w:rsidRPr="004C7113" w:rsidRDefault="00997FA4" w:rsidP="00997FA4">
      <w:pPr>
        <w:spacing w:after="0" w:line="240" w:lineRule="auto"/>
        <w:contextualSpacing/>
        <w:jc w:val="both"/>
        <w:rPr>
          <w:rFonts w:ascii="Tahoma" w:hAnsi="Tahoma" w:cs="Tahoma"/>
          <w:sz w:val="24"/>
          <w:szCs w:val="24"/>
        </w:rPr>
      </w:pPr>
    </w:p>
    <w:p w14:paraId="0155ED31" w14:textId="77777777" w:rsidR="00997FA4" w:rsidRPr="004C7113" w:rsidRDefault="00997FA4" w:rsidP="00997FA4">
      <w:pPr>
        <w:spacing w:after="0" w:line="240" w:lineRule="auto"/>
        <w:contextualSpacing/>
        <w:jc w:val="both"/>
        <w:rPr>
          <w:rFonts w:ascii="Tahoma" w:hAnsi="Tahoma" w:cs="Tahoma"/>
          <w:sz w:val="24"/>
          <w:szCs w:val="24"/>
        </w:rPr>
      </w:pPr>
      <w:r w:rsidRPr="004C7113">
        <w:rPr>
          <w:rFonts w:ascii="Tahoma" w:hAnsi="Tahoma" w:cs="Tahoma"/>
          <w:sz w:val="24"/>
          <w:szCs w:val="24"/>
        </w:rPr>
        <w:t>En 1945, siendo diputado a la Asamblea del Departamento del Tolima para el período 1944-1946, don Lucio Huertas Rengifo, presentó un proyecto de ordenanza por el cual se creaba la Universidad del Tolima; este fue aprobado mediante la Ordenanza No. 05 del 21 de mayo de 1945 y pasó a sanción del señor Gobernador. La Universidad del Tolima nació con la firma del Decreto No. 357 del 10 de marzo de 1955, que al amparo de la Ordenanza No. 26 del 16 de diciembre de 1954 le asignaba recursos del presupuesto departamental. Este Decreto creó los cargos de Rector y de Decano de la Facultad de Agronomía.</w:t>
      </w:r>
    </w:p>
    <w:p w14:paraId="58791A9C" w14:textId="77777777" w:rsidR="00997FA4" w:rsidRPr="004C7113" w:rsidRDefault="00997FA4" w:rsidP="00997FA4">
      <w:pPr>
        <w:spacing w:after="0" w:line="240" w:lineRule="auto"/>
        <w:contextualSpacing/>
        <w:jc w:val="both"/>
        <w:rPr>
          <w:rFonts w:ascii="Tahoma" w:hAnsi="Tahoma" w:cs="Tahoma"/>
          <w:sz w:val="24"/>
          <w:szCs w:val="24"/>
        </w:rPr>
      </w:pPr>
    </w:p>
    <w:p w14:paraId="38FEBA26" w14:textId="77777777" w:rsidR="00997FA4" w:rsidRPr="004C7113" w:rsidRDefault="00997FA4" w:rsidP="00997FA4">
      <w:pPr>
        <w:spacing w:after="0" w:line="240" w:lineRule="auto"/>
        <w:contextualSpacing/>
        <w:jc w:val="both"/>
        <w:rPr>
          <w:rFonts w:ascii="Tahoma" w:hAnsi="Tahoma" w:cs="Tahoma"/>
          <w:sz w:val="24"/>
          <w:szCs w:val="24"/>
        </w:rPr>
      </w:pPr>
      <w:r w:rsidRPr="004C7113">
        <w:rPr>
          <w:rFonts w:ascii="Tahoma" w:hAnsi="Tahoma" w:cs="Tahoma"/>
          <w:sz w:val="24"/>
          <w:szCs w:val="24"/>
        </w:rPr>
        <w:t>El 12 de marzo de 1955 se inauguró oficialmente la Universidad del Tolima, en terrenos de la Escuela Agronómica de San Jorge (de los salesianos). Poco tiempo después se creó la Escuela de Enfermería, por Decreto No. 099 de enero 31 de 1956 y se anexó la Escuela de Bellas Artes, creada por Decreto No. 1236 de octubre 18 de 1955. Para el primer semestre de 1956, la Universidad del Tolima contaba con Facultad de Ingeniería Agronómica, Escuela de Enfermería y Escuela de Bellas Artes.</w:t>
      </w:r>
    </w:p>
    <w:p w14:paraId="1F382331" w14:textId="77777777" w:rsidR="00997FA4" w:rsidRPr="004C7113" w:rsidRDefault="00997FA4" w:rsidP="00997FA4">
      <w:pPr>
        <w:spacing w:after="0" w:line="240" w:lineRule="auto"/>
        <w:contextualSpacing/>
        <w:jc w:val="both"/>
        <w:rPr>
          <w:rFonts w:ascii="Tahoma" w:hAnsi="Tahoma" w:cs="Tahoma"/>
          <w:sz w:val="24"/>
          <w:szCs w:val="24"/>
        </w:rPr>
      </w:pPr>
    </w:p>
    <w:p w14:paraId="47AACB0B" w14:textId="77777777" w:rsidR="00997FA4" w:rsidRPr="004C7113" w:rsidRDefault="00997FA4" w:rsidP="00997FA4">
      <w:pPr>
        <w:spacing w:after="0" w:line="240" w:lineRule="auto"/>
        <w:contextualSpacing/>
        <w:jc w:val="both"/>
        <w:rPr>
          <w:rFonts w:ascii="Tahoma" w:hAnsi="Tahoma" w:cs="Tahoma"/>
          <w:sz w:val="24"/>
          <w:szCs w:val="24"/>
        </w:rPr>
      </w:pPr>
      <w:r w:rsidRPr="004C7113">
        <w:rPr>
          <w:rFonts w:ascii="Tahoma" w:hAnsi="Tahoma" w:cs="Tahoma"/>
          <w:sz w:val="24"/>
          <w:szCs w:val="24"/>
        </w:rPr>
        <w:t>A partir de la década de los 90, la Universidad del Tolima inicia la apertura de programas en el nivel de postgrado y abre el camino hacia el mejoramiento del nivel académico en todos sus programas. Actualmente, la Universidad es ampliamente conocida a nivel de todo el país por la calidad de los programas que ofrece en el ámbito de las ciencias agropecuarias, con una tradición de más de medio siglo formando profesionales.</w:t>
      </w:r>
    </w:p>
    <w:p w14:paraId="7E3C4055" w14:textId="77777777" w:rsidR="004B12FA" w:rsidRPr="004C7113" w:rsidRDefault="004B12FA" w:rsidP="00997FA4">
      <w:pPr>
        <w:spacing w:after="0" w:line="240" w:lineRule="auto"/>
        <w:contextualSpacing/>
        <w:jc w:val="both"/>
        <w:rPr>
          <w:rFonts w:ascii="Tahoma" w:hAnsi="Tahoma" w:cs="Tahoma"/>
          <w:sz w:val="24"/>
          <w:szCs w:val="24"/>
        </w:rPr>
      </w:pPr>
    </w:p>
    <w:p w14:paraId="687CE6D3" w14:textId="77777777" w:rsidR="004B12FA" w:rsidRPr="004C7113" w:rsidRDefault="004B12FA" w:rsidP="00997FA4">
      <w:pPr>
        <w:spacing w:after="0" w:line="240" w:lineRule="auto"/>
        <w:contextualSpacing/>
        <w:jc w:val="both"/>
        <w:rPr>
          <w:rFonts w:ascii="Tahoma" w:hAnsi="Tahoma" w:cs="Tahoma"/>
          <w:sz w:val="24"/>
          <w:szCs w:val="24"/>
        </w:rPr>
      </w:pPr>
      <w:r w:rsidRPr="004C7113">
        <w:rPr>
          <w:rFonts w:ascii="Tahoma" w:hAnsi="Tahoma" w:cs="Tahoma"/>
          <w:sz w:val="24"/>
          <w:szCs w:val="24"/>
        </w:rPr>
        <w:t>Presupues</w:t>
      </w:r>
      <w:r w:rsidR="00926ED3" w:rsidRPr="004C7113">
        <w:rPr>
          <w:rFonts w:ascii="Tahoma" w:hAnsi="Tahoma" w:cs="Tahoma"/>
          <w:sz w:val="24"/>
          <w:szCs w:val="24"/>
        </w:rPr>
        <w:t>to y gastos de inversión para la Universidad del Tolima.</w:t>
      </w:r>
    </w:p>
    <w:p w14:paraId="1AB026DD" w14:textId="77777777" w:rsidR="00C15DCD" w:rsidRPr="004C7113" w:rsidRDefault="00C15DCD" w:rsidP="00997FA4">
      <w:pPr>
        <w:spacing w:after="0" w:line="240" w:lineRule="auto"/>
        <w:contextualSpacing/>
        <w:jc w:val="both"/>
        <w:rPr>
          <w:rFonts w:ascii="Tahoma" w:hAnsi="Tahoma" w:cs="Tahoma"/>
          <w:sz w:val="24"/>
          <w:szCs w:val="24"/>
        </w:rPr>
      </w:pPr>
    </w:p>
    <w:p w14:paraId="72CFA993" w14:textId="77777777" w:rsidR="00C15DCD" w:rsidRPr="004C7113" w:rsidRDefault="00C15DCD" w:rsidP="00997FA4">
      <w:pPr>
        <w:spacing w:after="0" w:line="240" w:lineRule="auto"/>
        <w:contextualSpacing/>
        <w:jc w:val="both"/>
        <w:rPr>
          <w:rFonts w:ascii="Tahoma" w:hAnsi="Tahoma" w:cs="Tahoma"/>
          <w:sz w:val="24"/>
          <w:szCs w:val="24"/>
        </w:rPr>
      </w:pPr>
      <w:r w:rsidRPr="004C7113">
        <w:rPr>
          <w:rFonts w:ascii="Tahoma" w:hAnsi="Tahoma" w:cs="Tahoma"/>
          <w:sz w:val="24"/>
          <w:szCs w:val="24"/>
        </w:rPr>
        <w:t>Tabla 1. Inversión y Fuentes</w:t>
      </w:r>
      <w:r w:rsidR="0087499E" w:rsidRPr="004C7113">
        <w:rPr>
          <w:rFonts w:ascii="Tahoma" w:hAnsi="Tahoma" w:cs="Tahoma"/>
          <w:sz w:val="24"/>
          <w:szCs w:val="24"/>
        </w:rPr>
        <w:t xml:space="preserve"> para el 2020.</w:t>
      </w:r>
    </w:p>
    <w:p w14:paraId="23A95C92" w14:textId="77777777" w:rsidR="005170DE" w:rsidRDefault="005170DE" w:rsidP="00997FA4">
      <w:pPr>
        <w:spacing w:after="0" w:line="240" w:lineRule="auto"/>
        <w:contextualSpacing/>
        <w:jc w:val="both"/>
        <w:rPr>
          <w:rFonts w:ascii="Tahoma" w:hAnsi="Tahoma" w:cs="Tahoma"/>
        </w:rPr>
      </w:pPr>
    </w:p>
    <w:tbl>
      <w:tblPr>
        <w:tblW w:w="0" w:type="auto"/>
        <w:tblCellMar>
          <w:left w:w="70" w:type="dxa"/>
          <w:right w:w="70" w:type="dxa"/>
        </w:tblCellMar>
        <w:tblLook w:val="04A0" w:firstRow="1" w:lastRow="0" w:firstColumn="1" w:lastColumn="0" w:noHBand="0" w:noVBand="1"/>
      </w:tblPr>
      <w:tblGrid>
        <w:gridCol w:w="1523"/>
        <w:gridCol w:w="1262"/>
        <w:gridCol w:w="1195"/>
        <w:gridCol w:w="1195"/>
        <w:gridCol w:w="1195"/>
        <w:gridCol w:w="1195"/>
        <w:gridCol w:w="1263"/>
      </w:tblGrid>
      <w:tr w:rsidR="005170DE" w:rsidRPr="005170DE" w14:paraId="4A109D7A" w14:textId="77777777" w:rsidTr="005170D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123B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4AD49CD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gridSpan w:val="5"/>
            <w:tcBorders>
              <w:top w:val="single" w:sz="4" w:space="0" w:color="000000"/>
              <w:left w:val="nil"/>
              <w:bottom w:val="single" w:sz="4" w:space="0" w:color="000000"/>
              <w:right w:val="single" w:sz="4" w:space="0" w:color="000000"/>
            </w:tcBorders>
            <w:shd w:val="clear" w:color="auto" w:fill="auto"/>
            <w:vAlign w:val="bottom"/>
            <w:hideMark/>
          </w:tcPr>
          <w:p w14:paraId="5991D120"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FUENTE</w:t>
            </w:r>
          </w:p>
        </w:tc>
      </w:tr>
      <w:tr w:rsidR="005170DE" w:rsidRPr="005170DE" w14:paraId="56609DC4"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763DE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531353D"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PRESUPUESTO</w:t>
            </w:r>
          </w:p>
        </w:tc>
        <w:tc>
          <w:tcPr>
            <w:tcW w:w="0" w:type="auto"/>
            <w:tcBorders>
              <w:top w:val="nil"/>
              <w:left w:val="nil"/>
              <w:bottom w:val="single" w:sz="4" w:space="0" w:color="000000"/>
              <w:right w:val="single" w:sz="4" w:space="0" w:color="000000"/>
            </w:tcBorders>
            <w:shd w:val="clear" w:color="auto" w:fill="auto"/>
            <w:noWrap/>
            <w:vAlign w:val="bottom"/>
            <w:hideMark/>
          </w:tcPr>
          <w:p w14:paraId="6BD41DBB"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INVERSIÓN</w:t>
            </w:r>
          </w:p>
        </w:tc>
        <w:tc>
          <w:tcPr>
            <w:tcW w:w="0" w:type="auto"/>
            <w:tcBorders>
              <w:top w:val="nil"/>
              <w:left w:val="nil"/>
              <w:bottom w:val="single" w:sz="4" w:space="0" w:color="000000"/>
              <w:right w:val="single" w:sz="4" w:space="0" w:color="000000"/>
            </w:tcBorders>
            <w:shd w:val="clear" w:color="auto" w:fill="auto"/>
            <w:noWrap/>
            <w:vAlign w:val="bottom"/>
            <w:hideMark/>
          </w:tcPr>
          <w:p w14:paraId="43856E18"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PROUNAL</w:t>
            </w:r>
          </w:p>
        </w:tc>
        <w:tc>
          <w:tcPr>
            <w:tcW w:w="0" w:type="auto"/>
            <w:tcBorders>
              <w:top w:val="nil"/>
              <w:left w:val="nil"/>
              <w:bottom w:val="single" w:sz="4" w:space="0" w:color="000000"/>
              <w:right w:val="single" w:sz="4" w:space="0" w:color="000000"/>
            </w:tcBorders>
            <w:shd w:val="clear" w:color="auto" w:fill="auto"/>
            <w:noWrap/>
            <w:vAlign w:val="bottom"/>
            <w:hideMark/>
          </w:tcPr>
          <w:p w14:paraId="70DD5C91"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PROPIOS</w:t>
            </w:r>
          </w:p>
        </w:tc>
        <w:tc>
          <w:tcPr>
            <w:tcW w:w="0" w:type="auto"/>
            <w:tcBorders>
              <w:top w:val="nil"/>
              <w:left w:val="nil"/>
              <w:bottom w:val="single" w:sz="4" w:space="0" w:color="000000"/>
              <w:right w:val="single" w:sz="4" w:space="0" w:color="000000"/>
            </w:tcBorders>
            <w:shd w:val="clear" w:color="auto" w:fill="auto"/>
            <w:noWrap/>
            <w:vAlign w:val="bottom"/>
            <w:hideMark/>
          </w:tcPr>
          <w:p w14:paraId="77351C4F"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PROUT</w:t>
            </w:r>
          </w:p>
        </w:tc>
        <w:tc>
          <w:tcPr>
            <w:tcW w:w="0" w:type="auto"/>
            <w:tcBorders>
              <w:top w:val="nil"/>
              <w:left w:val="nil"/>
              <w:bottom w:val="single" w:sz="4" w:space="0" w:color="000000"/>
              <w:right w:val="single" w:sz="4" w:space="0" w:color="000000"/>
            </w:tcBorders>
            <w:shd w:val="clear" w:color="auto" w:fill="auto"/>
            <w:noWrap/>
            <w:vAlign w:val="bottom"/>
            <w:hideMark/>
          </w:tcPr>
          <w:p w14:paraId="4B8C09CB" w14:textId="77777777" w:rsidR="005170DE" w:rsidRPr="005170DE" w:rsidRDefault="005170DE" w:rsidP="005170DE">
            <w:pPr>
              <w:spacing w:after="0" w:line="240" w:lineRule="auto"/>
              <w:jc w:val="center"/>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TOTAL</w:t>
            </w:r>
          </w:p>
        </w:tc>
      </w:tr>
      <w:tr w:rsidR="005170DE" w:rsidRPr="005170DE" w14:paraId="1F8BB404" w14:textId="77777777" w:rsidTr="005170DE">
        <w:trPr>
          <w:trHeight w:val="3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914D0E"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GASTOS DE INVERSIÓN</w:t>
            </w:r>
          </w:p>
        </w:tc>
        <w:tc>
          <w:tcPr>
            <w:tcW w:w="0" w:type="auto"/>
            <w:tcBorders>
              <w:top w:val="nil"/>
              <w:left w:val="nil"/>
              <w:bottom w:val="single" w:sz="4" w:space="0" w:color="000000"/>
              <w:right w:val="single" w:sz="4" w:space="0" w:color="000000"/>
            </w:tcBorders>
            <w:shd w:val="clear" w:color="auto" w:fill="auto"/>
            <w:noWrap/>
            <w:vAlign w:val="bottom"/>
            <w:hideMark/>
          </w:tcPr>
          <w:p w14:paraId="0845FEA9"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10.950.809.240 </w:t>
            </w:r>
          </w:p>
        </w:tc>
        <w:tc>
          <w:tcPr>
            <w:tcW w:w="0" w:type="auto"/>
            <w:tcBorders>
              <w:top w:val="nil"/>
              <w:left w:val="nil"/>
              <w:bottom w:val="single" w:sz="4" w:space="0" w:color="000000"/>
              <w:right w:val="single" w:sz="4" w:space="0" w:color="000000"/>
            </w:tcBorders>
            <w:shd w:val="clear" w:color="auto" w:fill="auto"/>
            <w:noWrap/>
            <w:vAlign w:val="bottom"/>
            <w:hideMark/>
          </w:tcPr>
          <w:p w14:paraId="00475471"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3.200.000.000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4B7F2B9F"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2.500.000.000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8B951EC"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3.885.000.000 </w:t>
            </w:r>
          </w:p>
        </w:tc>
        <w:tc>
          <w:tcPr>
            <w:tcW w:w="0" w:type="auto"/>
            <w:tcBorders>
              <w:top w:val="nil"/>
              <w:left w:val="nil"/>
              <w:bottom w:val="single" w:sz="4" w:space="0" w:color="000000"/>
              <w:right w:val="single" w:sz="4" w:space="0" w:color="000000"/>
            </w:tcBorders>
            <w:shd w:val="clear" w:color="auto" w:fill="auto"/>
            <w:noWrap/>
            <w:vAlign w:val="bottom"/>
            <w:hideMark/>
          </w:tcPr>
          <w:p w14:paraId="2888A6D3"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1.365.809.240 </w:t>
            </w:r>
          </w:p>
        </w:tc>
        <w:tc>
          <w:tcPr>
            <w:tcW w:w="0" w:type="auto"/>
            <w:tcBorders>
              <w:top w:val="nil"/>
              <w:left w:val="nil"/>
              <w:bottom w:val="single" w:sz="4" w:space="0" w:color="000000"/>
              <w:right w:val="single" w:sz="4" w:space="0" w:color="000000"/>
            </w:tcBorders>
            <w:shd w:val="clear" w:color="auto" w:fill="auto"/>
            <w:noWrap/>
            <w:vAlign w:val="bottom"/>
            <w:hideMark/>
          </w:tcPr>
          <w:p w14:paraId="1D74A932" w14:textId="77777777" w:rsidR="005170DE" w:rsidRPr="005170DE" w:rsidRDefault="005170DE" w:rsidP="005170DE">
            <w:pPr>
              <w:spacing w:after="0" w:line="240" w:lineRule="auto"/>
              <w:rPr>
                <w:rFonts w:asciiTheme="majorHAnsi" w:eastAsia="Times New Roman" w:hAnsiTheme="majorHAnsi" w:cstheme="majorHAnsi"/>
                <w:b/>
                <w:bCs/>
                <w:color w:val="000000"/>
                <w:sz w:val="16"/>
                <w:szCs w:val="16"/>
                <w:lang w:eastAsia="es-CO"/>
              </w:rPr>
            </w:pPr>
            <w:r w:rsidRPr="005170DE">
              <w:rPr>
                <w:rFonts w:asciiTheme="majorHAnsi" w:eastAsia="Times New Roman" w:hAnsiTheme="majorHAnsi" w:cstheme="majorHAnsi"/>
                <w:b/>
                <w:bCs/>
                <w:color w:val="000000"/>
                <w:sz w:val="16"/>
                <w:szCs w:val="16"/>
                <w:lang w:eastAsia="es-CO"/>
              </w:rPr>
              <w:t xml:space="preserve">  10.950.809.240 </w:t>
            </w:r>
          </w:p>
        </w:tc>
      </w:tr>
      <w:tr w:rsidR="005170DE" w:rsidRPr="005170DE" w14:paraId="1535A230"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92D050" w:fill="92D050"/>
            <w:noWrap/>
            <w:vAlign w:val="bottom"/>
            <w:hideMark/>
          </w:tcPr>
          <w:p w14:paraId="4D85B08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EJE 1. EXCELENCIA ACADÉMICA</w:t>
            </w:r>
          </w:p>
        </w:tc>
        <w:tc>
          <w:tcPr>
            <w:tcW w:w="0" w:type="auto"/>
            <w:tcBorders>
              <w:top w:val="nil"/>
              <w:left w:val="nil"/>
              <w:bottom w:val="single" w:sz="4" w:space="0" w:color="000000"/>
              <w:right w:val="single" w:sz="4" w:space="0" w:color="000000"/>
            </w:tcBorders>
            <w:shd w:val="clear" w:color="92D050" w:fill="92D050"/>
            <w:noWrap/>
            <w:vAlign w:val="bottom"/>
            <w:hideMark/>
          </w:tcPr>
          <w:p w14:paraId="1CD30CC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4.085.000.000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679E1C4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1.805.163.840 </w:t>
            </w:r>
          </w:p>
        </w:tc>
        <w:tc>
          <w:tcPr>
            <w:tcW w:w="0" w:type="auto"/>
            <w:tcBorders>
              <w:top w:val="nil"/>
              <w:left w:val="nil"/>
              <w:bottom w:val="single" w:sz="4" w:space="0" w:color="000000"/>
              <w:right w:val="single" w:sz="4" w:space="0" w:color="000000"/>
            </w:tcBorders>
            <w:shd w:val="clear" w:color="92D050" w:fill="92D050"/>
            <w:noWrap/>
            <w:vAlign w:val="bottom"/>
            <w:hideMark/>
          </w:tcPr>
          <w:p w14:paraId="37B00F3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877.036.160 </w:t>
            </w:r>
          </w:p>
        </w:tc>
        <w:tc>
          <w:tcPr>
            <w:tcW w:w="0" w:type="auto"/>
            <w:tcBorders>
              <w:top w:val="nil"/>
              <w:left w:val="nil"/>
              <w:bottom w:val="single" w:sz="4" w:space="0" w:color="000000"/>
              <w:right w:val="single" w:sz="4" w:space="0" w:color="000000"/>
            </w:tcBorders>
            <w:shd w:val="clear" w:color="92D050" w:fill="92D050"/>
            <w:noWrap/>
            <w:vAlign w:val="bottom"/>
            <w:hideMark/>
          </w:tcPr>
          <w:p w14:paraId="78454E2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1.402.800.000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15D43AD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09E0EEC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4.085.000.000 </w:t>
            </w:r>
          </w:p>
        </w:tc>
      </w:tr>
      <w:tr w:rsidR="005170DE" w:rsidRPr="005170DE" w14:paraId="58767E8D"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459BC70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 FORTALECIMIENTO DE LA FORMACIÓN DOCENTE</w:t>
            </w:r>
          </w:p>
        </w:tc>
        <w:tc>
          <w:tcPr>
            <w:tcW w:w="0" w:type="auto"/>
            <w:tcBorders>
              <w:top w:val="nil"/>
              <w:left w:val="nil"/>
              <w:bottom w:val="single" w:sz="4" w:space="0" w:color="000000"/>
              <w:right w:val="single" w:sz="4" w:space="0" w:color="000000"/>
            </w:tcBorders>
            <w:shd w:val="clear" w:color="FFC000" w:fill="FFC000"/>
            <w:noWrap/>
            <w:vAlign w:val="bottom"/>
            <w:hideMark/>
          </w:tcPr>
          <w:p w14:paraId="042E5AB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515.000.000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015AE0C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385.000.000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166E9C1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2C662D9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66EFD10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193319E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515.000.000 </w:t>
            </w:r>
          </w:p>
        </w:tc>
      </w:tr>
      <w:tr w:rsidR="005170DE" w:rsidRPr="005170DE" w14:paraId="4DD38765"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4E1BED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AMPLIACIÓN PLANTA DOCENTE (CONVOCATORIA)</w:t>
            </w:r>
          </w:p>
        </w:tc>
        <w:tc>
          <w:tcPr>
            <w:tcW w:w="0" w:type="auto"/>
            <w:tcBorders>
              <w:top w:val="nil"/>
              <w:left w:val="nil"/>
              <w:bottom w:val="single" w:sz="4" w:space="0" w:color="000000"/>
              <w:right w:val="single" w:sz="4" w:space="0" w:color="000000"/>
            </w:tcBorders>
            <w:shd w:val="clear" w:color="auto" w:fill="auto"/>
            <w:noWrap/>
            <w:vAlign w:val="bottom"/>
            <w:hideMark/>
          </w:tcPr>
          <w:p w14:paraId="7362185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54D89B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AA91AE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2479FF9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74E03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6E9AE6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190.000.000 </w:t>
            </w:r>
          </w:p>
        </w:tc>
      </w:tr>
      <w:tr w:rsidR="005170DE" w:rsidRPr="005170DE" w14:paraId="179711B8"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46FE047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ESTÍMULO A LA FORMACIÓN</w:t>
            </w:r>
          </w:p>
        </w:tc>
        <w:tc>
          <w:tcPr>
            <w:tcW w:w="0" w:type="auto"/>
            <w:tcBorders>
              <w:top w:val="nil"/>
              <w:left w:val="nil"/>
              <w:bottom w:val="single" w:sz="4" w:space="0" w:color="000000"/>
              <w:right w:val="single" w:sz="4" w:space="0" w:color="000000"/>
            </w:tcBorders>
            <w:shd w:val="clear" w:color="FFC000" w:fill="FFC000"/>
            <w:noWrap/>
            <w:vAlign w:val="bottom"/>
            <w:hideMark/>
          </w:tcPr>
          <w:p w14:paraId="19FDE36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325.000.000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C08E92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195.000.000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CE4C8F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2FFDAE9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22016B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14157E3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325.000.000 </w:t>
            </w:r>
          </w:p>
        </w:tc>
      </w:tr>
      <w:tr w:rsidR="005170DE" w:rsidRPr="005170DE" w14:paraId="373E2415"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98F733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ESTIMULOS A LA FORMACIÓN (DOCTORADOS MAESTRÍAS)</w:t>
            </w:r>
          </w:p>
        </w:tc>
        <w:tc>
          <w:tcPr>
            <w:tcW w:w="0" w:type="auto"/>
            <w:tcBorders>
              <w:top w:val="nil"/>
              <w:left w:val="nil"/>
              <w:bottom w:val="single" w:sz="4" w:space="0" w:color="000000"/>
              <w:right w:val="single" w:sz="4" w:space="0" w:color="000000"/>
            </w:tcBorders>
            <w:shd w:val="clear" w:color="auto" w:fill="auto"/>
            <w:noWrap/>
            <w:vAlign w:val="bottom"/>
            <w:hideMark/>
          </w:tcPr>
          <w:p w14:paraId="2F45029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225.000.000 </w:t>
            </w:r>
          </w:p>
        </w:tc>
        <w:tc>
          <w:tcPr>
            <w:tcW w:w="0" w:type="auto"/>
            <w:tcBorders>
              <w:top w:val="nil"/>
              <w:left w:val="nil"/>
              <w:bottom w:val="single" w:sz="4" w:space="0" w:color="000000"/>
              <w:right w:val="single" w:sz="4" w:space="0" w:color="000000"/>
            </w:tcBorders>
            <w:shd w:val="clear" w:color="auto" w:fill="auto"/>
            <w:noWrap/>
            <w:vAlign w:val="bottom"/>
            <w:hideMark/>
          </w:tcPr>
          <w:p w14:paraId="0581385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175.000.000 </w:t>
            </w:r>
          </w:p>
        </w:tc>
        <w:tc>
          <w:tcPr>
            <w:tcW w:w="0" w:type="auto"/>
            <w:tcBorders>
              <w:top w:val="nil"/>
              <w:left w:val="nil"/>
              <w:bottom w:val="single" w:sz="4" w:space="0" w:color="000000"/>
              <w:right w:val="single" w:sz="4" w:space="0" w:color="000000"/>
            </w:tcBorders>
            <w:shd w:val="clear" w:color="auto" w:fill="auto"/>
            <w:noWrap/>
            <w:vAlign w:val="bottom"/>
            <w:hideMark/>
          </w:tcPr>
          <w:p w14:paraId="495C3C0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72769B4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4B2FAD0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F0D2B2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225.000.000 </w:t>
            </w:r>
          </w:p>
        </w:tc>
      </w:tr>
      <w:tr w:rsidR="005170DE" w:rsidRPr="005170DE" w14:paraId="65E3133D"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5FAFF1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ESTIMULOS A LA FORMACIÓN (SEGUNDA LENGUA)</w:t>
            </w:r>
          </w:p>
        </w:tc>
        <w:tc>
          <w:tcPr>
            <w:tcW w:w="0" w:type="auto"/>
            <w:tcBorders>
              <w:top w:val="nil"/>
              <w:left w:val="nil"/>
              <w:bottom w:val="single" w:sz="4" w:space="0" w:color="000000"/>
              <w:right w:val="single" w:sz="4" w:space="0" w:color="000000"/>
            </w:tcBorders>
            <w:shd w:val="clear" w:color="auto" w:fill="auto"/>
            <w:noWrap/>
            <w:vAlign w:val="bottom"/>
            <w:hideMark/>
          </w:tcPr>
          <w:p w14:paraId="6918D77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90DEBD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61D25C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3FA74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002048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87544F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r>
      <w:tr w:rsidR="005170DE" w:rsidRPr="005170DE" w14:paraId="5AED291B"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365F9C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ESTIMULOS A LA FORMACIÓN (LINEAMIENTOS PEDAGÓGICOS)</w:t>
            </w:r>
          </w:p>
        </w:tc>
        <w:tc>
          <w:tcPr>
            <w:tcW w:w="0" w:type="auto"/>
            <w:tcBorders>
              <w:top w:val="nil"/>
              <w:left w:val="nil"/>
              <w:bottom w:val="single" w:sz="4" w:space="0" w:color="000000"/>
              <w:right w:val="single" w:sz="4" w:space="0" w:color="000000"/>
            </w:tcBorders>
            <w:shd w:val="clear" w:color="auto" w:fill="auto"/>
            <w:noWrap/>
            <w:vAlign w:val="bottom"/>
            <w:hideMark/>
          </w:tcPr>
          <w:p w14:paraId="0A2B3ED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3816ED9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2A57CC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01B04CE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3835B1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14A500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r>
      <w:tr w:rsidR="005170DE" w:rsidRPr="005170DE" w14:paraId="00B21D31"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574EE7B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PROGRAMA-MODERNIZACIÓN CURRICULAR. </w:t>
            </w:r>
          </w:p>
        </w:tc>
        <w:tc>
          <w:tcPr>
            <w:tcW w:w="0" w:type="auto"/>
            <w:tcBorders>
              <w:top w:val="nil"/>
              <w:left w:val="nil"/>
              <w:bottom w:val="single" w:sz="4" w:space="0" w:color="000000"/>
              <w:right w:val="single" w:sz="4" w:space="0" w:color="000000"/>
            </w:tcBorders>
            <w:shd w:val="clear" w:color="92D050" w:fill="92D050"/>
            <w:noWrap/>
            <w:vAlign w:val="bottom"/>
            <w:hideMark/>
          </w:tcPr>
          <w:p w14:paraId="091C61C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1.850.000.000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20E0B4C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820.163.840 </w:t>
            </w:r>
          </w:p>
        </w:tc>
        <w:tc>
          <w:tcPr>
            <w:tcW w:w="0" w:type="auto"/>
            <w:tcBorders>
              <w:top w:val="nil"/>
              <w:left w:val="nil"/>
              <w:bottom w:val="single" w:sz="4" w:space="0" w:color="000000"/>
              <w:right w:val="single" w:sz="4" w:space="0" w:color="000000"/>
            </w:tcBorders>
            <w:shd w:val="clear" w:color="92D050" w:fill="92D050"/>
            <w:noWrap/>
            <w:vAlign w:val="bottom"/>
            <w:hideMark/>
          </w:tcPr>
          <w:p w14:paraId="67846F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477.036.160 </w:t>
            </w:r>
          </w:p>
        </w:tc>
        <w:tc>
          <w:tcPr>
            <w:tcW w:w="0" w:type="auto"/>
            <w:tcBorders>
              <w:top w:val="nil"/>
              <w:left w:val="nil"/>
              <w:bottom w:val="single" w:sz="4" w:space="0" w:color="000000"/>
              <w:right w:val="single" w:sz="4" w:space="0" w:color="000000"/>
            </w:tcBorders>
            <w:shd w:val="clear" w:color="92D050" w:fill="92D050"/>
            <w:noWrap/>
            <w:vAlign w:val="bottom"/>
            <w:hideMark/>
          </w:tcPr>
          <w:p w14:paraId="5EB6F56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552.800.000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2BF0E06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52DCEE6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1.850.000.000 </w:t>
            </w:r>
          </w:p>
        </w:tc>
      </w:tr>
      <w:tr w:rsidR="005170DE" w:rsidRPr="005170DE" w14:paraId="17FB1D11"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4C16906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ESTRUCTURACIÓN CURRICULAR FORMATIVA</w:t>
            </w:r>
          </w:p>
        </w:tc>
        <w:tc>
          <w:tcPr>
            <w:tcW w:w="0" w:type="auto"/>
            <w:tcBorders>
              <w:top w:val="nil"/>
              <w:left w:val="nil"/>
              <w:bottom w:val="single" w:sz="4" w:space="0" w:color="000000"/>
              <w:right w:val="single" w:sz="4" w:space="0" w:color="000000"/>
            </w:tcBorders>
            <w:shd w:val="clear" w:color="FFC000" w:fill="FFC000"/>
            <w:noWrap/>
            <w:vAlign w:val="bottom"/>
            <w:hideMark/>
          </w:tcPr>
          <w:p w14:paraId="18ADC03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1.400.000.000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5CB2ECC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820.163.840 </w:t>
            </w:r>
          </w:p>
        </w:tc>
        <w:tc>
          <w:tcPr>
            <w:tcW w:w="0" w:type="auto"/>
            <w:tcBorders>
              <w:top w:val="nil"/>
              <w:left w:val="nil"/>
              <w:bottom w:val="single" w:sz="4" w:space="0" w:color="000000"/>
              <w:right w:val="single" w:sz="4" w:space="0" w:color="000000"/>
            </w:tcBorders>
            <w:shd w:val="clear" w:color="FFC000" w:fill="FFC000"/>
            <w:noWrap/>
            <w:vAlign w:val="bottom"/>
            <w:hideMark/>
          </w:tcPr>
          <w:p w14:paraId="57321AA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27.036.160 </w:t>
            </w:r>
          </w:p>
        </w:tc>
        <w:tc>
          <w:tcPr>
            <w:tcW w:w="0" w:type="auto"/>
            <w:tcBorders>
              <w:top w:val="nil"/>
              <w:left w:val="nil"/>
              <w:bottom w:val="single" w:sz="4" w:space="0" w:color="000000"/>
              <w:right w:val="single" w:sz="4" w:space="0" w:color="000000"/>
            </w:tcBorders>
            <w:shd w:val="clear" w:color="FFC000" w:fill="FFC000"/>
            <w:noWrap/>
            <w:vAlign w:val="bottom"/>
            <w:hideMark/>
          </w:tcPr>
          <w:p w14:paraId="383577B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552.800.000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763FB69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54DE29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1.400.000.000 </w:t>
            </w:r>
          </w:p>
        </w:tc>
      </w:tr>
      <w:tr w:rsidR="005170DE" w:rsidRPr="005170DE" w14:paraId="67B8809E"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796D6F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Practicas Academicas</w:t>
            </w:r>
          </w:p>
        </w:tc>
        <w:tc>
          <w:tcPr>
            <w:tcW w:w="0" w:type="auto"/>
            <w:tcBorders>
              <w:top w:val="nil"/>
              <w:left w:val="nil"/>
              <w:bottom w:val="single" w:sz="4" w:space="0" w:color="000000"/>
              <w:right w:val="single" w:sz="4" w:space="0" w:color="000000"/>
            </w:tcBorders>
            <w:shd w:val="clear" w:color="auto" w:fill="auto"/>
            <w:noWrap/>
            <w:vAlign w:val="bottom"/>
            <w:hideMark/>
          </w:tcPr>
          <w:p w14:paraId="10C187A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B7D641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820.163.840 </w:t>
            </w:r>
          </w:p>
        </w:tc>
        <w:tc>
          <w:tcPr>
            <w:tcW w:w="0" w:type="auto"/>
            <w:tcBorders>
              <w:top w:val="nil"/>
              <w:left w:val="nil"/>
              <w:bottom w:val="single" w:sz="4" w:space="0" w:color="000000"/>
              <w:right w:val="single" w:sz="4" w:space="0" w:color="000000"/>
            </w:tcBorders>
            <w:shd w:val="clear" w:color="auto" w:fill="auto"/>
            <w:noWrap/>
            <w:vAlign w:val="bottom"/>
            <w:hideMark/>
          </w:tcPr>
          <w:p w14:paraId="4476759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27.036.160 </w:t>
            </w:r>
          </w:p>
        </w:tc>
        <w:tc>
          <w:tcPr>
            <w:tcW w:w="0" w:type="auto"/>
            <w:tcBorders>
              <w:top w:val="nil"/>
              <w:left w:val="nil"/>
              <w:bottom w:val="single" w:sz="4" w:space="0" w:color="000000"/>
              <w:right w:val="single" w:sz="4" w:space="0" w:color="000000"/>
            </w:tcBorders>
            <w:shd w:val="clear" w:color="auto" w:fill="auto"/>
            <w:noWrap/>
            <w:vAlign w:val="bottom"/>
            <w:hideMark/>
          </w:tcPr>
          <w:p w14:paraId="0F89FF9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552.800.000 </w:t>
            </w:r>
          </w:p>
        </w:tc>
        <w:tc>
          <w:tcPr>
            <w:tcW w:w="0" w:type="auto"/>
            <w:tcBorders>
              <w:top w:val="nil"/>
              <w:left w:val="nil"/>
              <w:bottom w:val="single" w:sz="4" w:space="0" w:color="000000"/>
              <w:right w:val="single" w:sz="4" w:space="0" w:color="000000"/>
            </w:tcBorders>
            <w:shd w:val="clear" w:color="auto" w:fill="auto"/>
            <w:noWrap/>
            <w:vAlign w:val="bottom"/>
            <w:hideMark/>
          </w:tcPr>
          <w:p w14:paraId="3C1F269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21917F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1.400.000.000 </w:t>
            </w:r>
          </w:p>
        </w:tc>
      </w:tr>
      <w:tr w:rsidR="005170DE" w:rsidRPr="005170DE" w14:paraId="2724CE94"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2C2B283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ACREDITACIÓN DE ALTA CALIDAD DE PROGRAMAS ACADÉMICOS</w:t>
            </w:r>
          </w:p>
        </w:tc>
        <w:tc>
          <w:tcPr>
            <w:tcW w:w="0" w:type="auto"/>
            <w:tcBorders>
              <w:top w:val="nil"/>
              <w:left w:val="nil"/>
              <w:bottom w:val="single" w:sz="4" w:space="0" w:color="000000"/>
              <w:right w:val="single" w:sz="4" w:space="0" w:color="000000"/>
            </w:tcBorders>
            <w:shd w:val="clear" w:color="FFC000" w:fill="FFC000"/>
            <w:noWrap/>
            <w:vAlign w:val="bottom"/>
            <w:hideMark/>
          </w:tcPr>
          <w:p w14:paraId="0EB247E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687E44A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4F1CE10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21F0ECD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32BB735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5C43912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450.000.000 </w:t>
            </w:r>
          </w:p>
        </w:tc>
      </w:tr>
      <w:tr w:rsidR="005170DE" w:rsidRPr="005170DE" w14:paraId="36208D64"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4A15C0D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PROGRAMA-INVESTIGACIÓN Y DESARROLLO</w:t>
            </w:r>
          </w:p>
        </w:tc>
        <w:tc>
          <w:tcPr>
            <w:tcW w:w="0" w:type="auto"/>
            <w:tcBorders>
              <w:top w:val="nil"/>
              <w:left w:val="nil"/>
              <w:bottom w:val="single" w:sz="4" w:space="0" w:color="000000"/>
              <w:right w:val="single" w:sz="4" w:space="0" w:color="000000"/>
            </w:tcBorders>
            <w:shd w:val="clear" w:color="92D050" w:fill="92D050"/>
            <w:noWrap/>
            <w:vAlign w:val="bottom"/>
            <w:hideMark/>
          </w:tcPr>
          <w:p w14:paraId="3F9386A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650.000.000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19A1249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350.000.000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560459C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300.000.000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7FF4898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634D956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326A613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650.000.000 </w:t>
            </w:r>
          </w:p>
        </w:tc>
      </w:tr>
      <w:tr w:rsidR="005170DE" w:rsidRPr="005170DE" w14:paraId="04ED05DC" w14:textId="77777777" w:rsidTr="005170DE">
        <w:trPr>
          <w:trHeight w:val="600"/>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19DD0C5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PROMOCIÓN PARA DEL DESARROLLO DE PROYECTOS DE INVESTIGACIÓN CON PERTINENCIA REGIONAL</w:t>
            </w:r>
          </w:p>
        </w:tc>
        <w:tc>
          <w:tcPr>
            <w:tcW w:w="0" w:type="auto"/>
            <w:tcBorders>
              <w:top w:val="nil"/>
              <w:left w:val="nil"/>
              <w:bottom w:val="single" w:sz="4" w:space="0" w:color="000000"/>
              <w:right w:val="single" w:sz="4" w:space="0" w:color="000000"/>
            </w:tcBorders>
            <w:shd w:val="clear" w:color="FFC000" w:fill="FFC000"/>
            <w:noWrap/>
            <w:vAlign w:val="bottom"/>
            <w:hideMark/>
          </w:tcPr>
          <w:p w14:paraId="502E7B3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22397CC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127537B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300.000.000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5E805C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2132A55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2EFEED9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650.000.000 </w:t>
            </w:r>
          </w:p>
        </w:tc>
      </w:tr>
      <w:tr w:rsidR="005170DE" w:rsidRPr="005170DE" w14:paraId="3C059815" w14:textId="77777777" w:rsidTr="005170DE">
        <w:trPr>
          <w:trHeight w:val="600"/>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14067A2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PROGRAMA-MODERNIZACIÓN Y VISIBILIZACIÓN DE FUENTES DOCUMENTALES Y COLECCIONES MUSEOLÓGICAS DE LA UNIVERSIDAD. </w:t>
            </w:r>
          </w:p>
        </w:tc>
        <w:tc>
          <w:tcPr>
            <w:tcW w:w="0" w:type="auto"/>
            <w:tcBorders>
              <w:top w:val="nil"/>
              <w:left w:val="nil"/>
              <w:bottom w:val="single" w:sz="4" w:space="0" w:color="000000"/>
              <w:right w:val="single" w:sz="4" w:space="0" w:color="000000"/>
            </w:tcBorders>
            <w:shd w:val="clear" w:color="92D050" w:fill="92D050"/>
            <w:noWrap/>
            <w:vAlign w:val="bottom"/>
            <w:hideMark/>
          </w:tcPr>
          <w:p w14:paraId="5788EA9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3A9D1E3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389DF3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1E93AAE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2210303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6217899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r>
      <w:tr w:rsidR="005170DE" w:rsidRPr="005170DE" w14:paraId="4975D0FF" w14:textId="77777777" w:rsidTr="005170DE">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DA822A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BIBLIOTECA</w:t>
            </w:r>
          </w:p>
        </w:tc>
        <w:tc>
          <w:tcPr>
            <w:tcW w:w="0" w:type="auto"/>
            <w:tcBorders>
              <w:top w:val="nil"/>
              <w:left w:val="nil"/>
              <w:bottom w:val="single" w:sz="4" w:space="0" w:color="000000"/>
              <w:right w:val="single" w:sz="4" w:space="0" w:color="000000"/>
            </w:tcBorders>
            <w:shd w:val="clear" w:color="auto" w:fill="auto"/>
            <w:noWrap/>
            <w:vAlign w:val="bottom"/>
            <w:hideMark/>
          </w:tcPr>
          <w:p w14:paraId="7645AC3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9ECB47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38D4F8A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5D53DEF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59D30F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2A6D983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r>
      <w:tr w:rsidR="005170DE" w:rsidRPr="005170DE" w14:paraId="5F3B2B3F"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47DF9E0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Dotación de Equipos, Material Bibliográfico y Bases de Datos.</w:t>
            </w:r>
          </w:p>
        </w:tc>
        <w:tc>
          <w:tcPr>
            <w:tcW w:w="0" w:type="auto"/>
            <w:tcBorders>
              <w:top w:val="nil"/>
              <w:left w:val="nil"/>
              <w:bottom w:val="single" w:sz="4" w:space="0" w:color="000000"/>
              <w:right w:val="single" w:sz="4" w:space="0" w:color="000000"/>
            </w:tcBorders>
            <w:shd w:val="clear" w:color="FFC000" w:fill="FFC000"/>
            <w:noWrap/>
            <w:vAlign w:val="bottom"/>
            <w:hideMark/>
          </w:tcPr>
          <w:p w14:paraId="68BD5E4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43D5F84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02A2574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28FBA52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58FA7E0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1CC2261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670.000.000 </w:t>
            </w:r>
          </w:p>
        </w:tc>
      </w:tr>
      <w:tr w:rsidR="005170DE" w:rsidRPr="005170DE" w14:paraId="5C1E5E69"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7BF6FE4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PROGRAMA-INTERNACIONALIZACIÓN</w:t>
            </w:r>
          </w:p>
        </w:tc>
        <w:tc>
          <w:tcPr>
            <w:tcW w:w="0" w:type="auto"/>
            <w:tcBorders>
              <w:top w:val="nil"/>
              <w:left w:val="nil"/>
              <w:bottom w:val="single" w:sz="4" w:space="0" w:color="000000"/>
              <w:right w:val="single" w:sz="4" w:space="0" w:color="000000"/>
            </w:tcBorders>
            <w:shd w:val="clear" w:color="92D050" w:fill="92D050"/>
            <w:noWrap/>
            <w:vAlign w:val="bottom"/>
            <w:hideMark/>
          </w:tcPr>
          <w:p w14:paraId="4D84F2C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0063B7F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0C94F3C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495978A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087698F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48D630E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400.000.000 </w:t>
            </w:r>
          </w:p>
        </w:tc>
      </w:tr>
      <w:tr w:rsidR="005170DE" w:rsidRPr="005170DE" w14:paraId="104ED217"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1418DC3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MOVILIDAD ACADÉMICA E INVESTIGATIVA</w:t>
            </w:r>
          </w:p>
        </w:tc>
        <w:tc>
          <w:tcPr>
            <w:tcW w:w="0" w:type="auto"/>
            <w:tcBorders>
              <w:top w:val="nil"/>
              <w:left w:val="nil"/>
              <w:bottom w:val="single" w:sz="4" w:space="0" w:color="000000"/>
              <w:right w:val="single" w:sz="4" w:space="0" w:color="000000"/>
            </w:tcBorders>
            <w:shd w:val="clear" w:color="FFC000" w:fill="FFC000"/>
            <w:noWrap/>
            <w:vAlign w:val="bottom"/>
            <w:hideMark/>
          </w:tcPr>
          <w:p w14:paraId="18C48C9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47530EB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58687EB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BD1EC1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7F5B6F1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FFC000" w:fill="FFC000"/>
            <w:noWrap/>
            <w:vAlign w:val="bottom"/>
            <w:hideMark/>
          </w:tcPr>
          <w:p w14:paraId="71C0E64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400.000.000 </w:t>
            </w:r>
          </w:p>
        </w:tc>
      </w:tr>
      <w:tr w:rsidR="005170DE" w:rsidRPr="005170DE" w14:paraId="3F420D80"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3ADE7AE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EJE 2. COMPROMISO SOCIAL.</w:t>
            </w:r>
          </w:p>
        </w:tc>
        <w:tc>
          <w:tcPr>
            <w:tcW w:w="0" w:type="auto"/>
            <w:tcBorders>
              <w:top w:val="nil"/>
              <w:left w:val="nil"/>
              <w:bottom w:val="single" w:sz="4" w:space="0" w:color="000000"/>
              <w:right w:val="single" w:sz="4" w:space="0" w:color="000000"/>
            </w:tcBorders>
            <w:shd w:val="clear" w:color="92D050" w:fill="92D050"/>
            <w:noWrap/>
            <w:vAlign w:val="bottom"/>
            <w:hideMark/>
          </w:tcPr>
          <w:p w14:paraId="041E7CE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4.651.804.202 </w:t>
            </w:r>
          </w:p>
        </w:tc>
        <w:tc>
          <w:tcPr>
            <w:tcW w:w="0" w:type="auto"/>
            <w:tcBorders>
              <w:top w:val="nil"/>
              <w:left w:val="nil"/>
              <w:bottom w:val="single" w:sz="4" w:space="0" w:color="000000"/>
              <w:right w:val="single" w:sz="4" w:space="0" w:color="000000"/>
            </w:tcBorders>
            <w:shd w:val="clear" w:color="92D050" w:fill="92D050"/>
            <w:noWrap/>
            <w:vAlign w:val="bottom"/>
            <w:hideMark/>
          </w:tcPr>
          <w:p w14:paraId="20AAD3E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1.394.836.160 </w:t>
            </w:r>
          </w:p>
        </w:tc>
        <w:tc>
          <w:tcPr>
            <w:tcW w:w="0" w:type="auto"/>
            <w:tcBorders>
              <w:top w:val="nil"/>
              <w:left w:val="nil"/>
              <w:bottom w:val="single" w:sz="4" w:space="0" w:color="000000"/>
              <w:right w:val="single" w:sz="4" w:space="0" w:color="000000"/>
            </w:tcBorders>
            <w:shd w:val="clear" w:color="92D050" w:fill="92D050"/>
            <w:noWrap/>
            <w:vAlign w:val="bottom"/>
            <w:hideMark/>
          </w:tcPr>
          <w:p w14:paraId="549130C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1.292.963.840 </w:t>
            </w:r>
          </w:p>
        </w:tc>
        <w:tc>
          <w:tcPr>
            <w:tcW w:w="0" w:type="auto"/>
            <w:tcBorders>
              <w:top w:val="nil"/>
              <w:left w:val="nil"/>
              <w:bottom w:val="single" w:sz="4" w:space="0" w:color="000000"/>
              <w:right w:val="single" w:sz="4" w:space="0" w:color="000000"/>
            </w:tcBorders>
            <w:shd w:val="clear" w:color="92D050" w:fill="92D050"/>
            <w:noWrap/>
            <w:vAlign w:val="bottom"/>
            <w:hideMark/>
          </w:tcPr>
          <w:p w14:paraId="6108D13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1.964.004.202 </w:t>
            </w:r>
          </w:p>
        </w:tc>
        <w:tc>
          <w:tcPr>
            <w:tcW w:w="0" w:type="auto"/>
            <w:tcBorders>
              <w:top w:val="nil"/>
              <w:left w:val="nil"/>
              <w:bottom w:val="single" w:sz="4" w:space="0" w:color="000000"/>
              <w:right w:val="single" w:sz="4" w:space="0" w:color="000000"/>
            </w:tcBorders>
            <w:shd w:val="clear" w:color="92D050" w:fill="92D050"/>
            <w:noWrap/>
            <w:vAlign w:val="bottom"/>
            <w:hideMark/>
          </w:tcPr>
          <w:p w14:paraId="2A4E975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24111AE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4.651.804.202 </w:t>
            </w:r>
          </w:p>
        </w:tc>
      </w:tr>
      <w:tr w:rsidR="005170DE" w:rsidRPr="005170DE" w14:paraId="698B0EE3"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40CAB7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PROGRAMA-DESARROLLO HUMANO</w:t>
            </w:r>
          </w:p>
        </w:tc>
        <w:tc>
          <w:tcPr>
            <w:tcW w:w="0" w:type="auto"/>
            <w:tcBorders>
              <w:top w:val="nil"/>
              <w:left w:val="nil"/>
              <w:bottom w:val="single" w:sz="4" w:space="0" w:color="000000"/>
              <w:right w:val="single" w:sz="4" w:space="0" w:color="000000"/>
            </w:tcBorders>
            <w:shd w:val="clear" w:color="auto" w:fill="auto"/>
            <w:noWrap/>
            <w:vAlign w:val="bottom"/>
            <w:hideMark/>
          </w:tcPr>
          <w:p w14:paraId="551A9E0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4.431.804.202 </w:t>
            </w:r>
          </w:p>
        </w:tc>
        <w:tc>
          <w:tcPr>
            <w:tcW w:w="0" w:type="auto"/>
            <w:tcBorders>
              <w:top w:val="nil"/>
              <w:left w:val="nil"/>
              <w:bottom w:val="single" w:sz="4" w:space="0" w:color="000000"/>
              <w:right w:val="single" w:sz="4" w:space="0" w:color="000000"/>
            </w:tcBorders>
            <w:shd w:val="clear" w:color="auto" w:fill="auto"/>
            <w:noWrap/>
            <w:vAlign w:val="bottom"/>
            <w:hideMark/>
          </w:tcPr>
          <w:p w14:paraId="792DCD1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1.394.836.160 </w:t>
            </w:r>
          </w:p>
        </w:tc>
        <w:tc>
          <w:tcPr>
            <w:tcW w:w="0" w:type="auto"/>
            <w:tcBorders>
              <w:top w:val="nil"/>
              <w:left w:val="nil"/>
              <w:bottom w:val="single" w:sz="4" w:space="0" w:color="000000"/>
              <w:right w:val="single" w:sz="4" w:space="0" w:color="000000"/>
            </w:tcBorders>
            <w:shd w:val="clear" w:color="auto" w:fill="auto"/>
            <w:noWrap/>
            <w:vAlign w:val="bottom"/>
            <w:hideMark/>
          </w:tcPr>
          <w:p w14:paraId="6D227F1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1.072.963.840 </w:t>
            </w:r>
          </w:p>
        </w:tc>
        <w:tc>
          <w:tcPr>
            <w:tcW w:w="0" w:type="auto"/>
            <w:tcBorders>
              <w:top w:val="nil"/>
              <w:left w:val="nil"/>
              <w:bottom w:val="single" w:sz="4" w:space="0" w:color="000000"/>
              <w:right w:val="single" w:sz="4" w:space="0" w:color="000000"/>
            </w:tcBorders>
            <w:shd w:val="clear" w:color="auto" w:fill="auto"/>
            <w:noWrap/>
            <w:vAlign w:val="bottom"/>
            <w:hideMark/>
          </w:tcPr>
          <w:p w14:paraId="5F727FF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1.964.004.202 </w:t>
            </w:r>
          </w:p>
        </w:tc>
        <w:tc>
          <w:tcPr>
            <w:tcW w:w="0" w:type="auto"/>
            <w:tcBorders>
              <w:top w:val="nil"/>
              <w:left w:val="nil"/>
              <w:bottom w:val="single" w:sz="4" w:space="0" w:color="000000"/>
              <w:right w:val="single" w:sz="4" w:space="0" w:color="000000"/>
            </w:tcBorders>
            <w:shd w:val="clear" w:color="auto" w:fill="auto"/>
            <w:noWrap/>
            <w:vAlign w:val="bottom"/>
            <w:hideMark/>
          </w:tcPr>
          <w:p w14:paraId="46A485F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30B34C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4.431.804.202 </w:t>
            </w:r>
          </w:p>
        </w:tc>
      </w:tr>
      <w:tr w:rsidR="005170DE" w:rsidRPr="005170DE" w14:paraId="4828FBA7"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16C6F76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BIENESTAR INSTITUCIONAL</w:t>
            </w:r>
          </w:p>
        </w:tc>
        <w:tc>
          <w:tcPr>
            <w:tcW w:w="0" w:type="auto"/>
            <w:tcBorders>
              <w:top w:val="nil"/>
              <w:left w:val="nil"/>
              <w:bottom w:val="single" w:sz="4" w:space="0" w:color="000000"/>
              <w:right w:val="single" w:sz="4" w:space="0" w:color="000000"/>
            </w:tcBorders>
            <w:shd w:val="clear" w:color="FFC000" w:fill="FFC000"/>
            <w:noWrap/>
            <w:vAlign w:val="bottom"/>
            <w:hideMark/>
          </w:tcPr>
          <w:p w14:paraId="6A0D00B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3.603.810.000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0FE0E9A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1.344.836.160 </w:t>
            </w:r>
          </w:p>
        </w:tc>
        <w:tc>
          <w:tcPr>
            <w:tcW w:w="0" w:type="auto"/>
            <w:tcBorders>
              <w:top w:val="nil"/>
              <w:left w:val="nil"/>
              <w:bottom w:val="single" w:sz="4" w:space="0" w:color="000000"/>
              <w:right w:val="single" w:sz="4" w:space="0" w:color="000000"/>
            </w:tcBorders>
            <w:shd w:val="clear" w:color="FFC000" w:fill="FFC000"/>
            <w:noWrap/>
            <w:vAlign w:val="bottom"/>
            <w:hideMark/>
          </w:tcPr>
          <w:p w14:paraId="426FC97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899.969.638 </w:t>
            </w:r>
          </w:p>
        </w:tc>
        <w:tc>
          <w:tcPr>
            <w:tcW w:w="0" w:type="auto"/>
            <w:tcBorders>
              <w:top w:val="nil"/>
              <w:left w:val="nil"/>
              <w:bottom w:val="single" w:sz="4" w:space="0" w:color="000000"/>
              <w:right w:val="single" w:sz="4" w:space="0" w:color="000000"/>
            </w:tcBorders>
            <w:shd w:val="clear" w:color="FFC000" w:fill="FFC000"/>
            <w:noWrap/>
            <w:vAlign w:val="bottom"/>
            <w:hideMark/>
          </w:tcPr>
          <w:p w14:paraId="558FA28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1.359.004.202 </w:t>
            </w:r>
          </w:p>
        </w:tc>
        <w:tc>
          <w:tcPr>
            <w:tcW w:w="0" w:type="auto"/>
            <w:tcBorders>
              <w:top w:val="nil"/>
              <w:left w:val="nil"/>
              <w:bottom w:val="single" w:sz="4" w:space="0" w:color="000000"/>
              <w:right w:val="single" w:sz="4" w:space="0" w:color="000000"/>
            </w:tcBorders>
            <w:shd w:val="clear" w:color="FFC000" w:fill="FFC000"/>
            <w:noWrap/>
            <w:vAlign w:val="bottom"/>
            <w:hideMark/>
          </w:tcPr>
          <w:p w14:paraId="025A206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56990A3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3.603.810.000 </w:t>
            </w:r>
          </w:p>
        </w:tc>
      </w:tr>
      <w:tr w:rsidR="005170DE" w:rsidRPr="005170DE" w14:paraId="07E1F600"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74B1E3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Inversiones Bienestar</w:t>
            </w:r>
          </w:p>
        </w:tc>
        <w:tc>
          <w:tcPr>
            <w:tcW w:w="0" w:type="auto"/>
            <w:tcBorders>
              <w:top w:val="nil"/>
              <w:left w:val="nil"/>
              <w:bottom w:val="single" w:sz="4" w:space="0" w:color="000000"/>
              <w:right w:val="single" w:sz="4" w:space="0" w:color="000000"/>
            </w:tcBorders>
            <w:shd w:val="clear" w:color="auto" w:fill="auto"/>
            <w:noWrap/>
            <w:vAlign w:val="bottom"/>
            <w:hideMark/>
          </w:tcPr>
          <w:p w14:paraId="47D2268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41DC6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85.000.000 </w:t>
            </w:r>
          </w:p>
        </w:tc>
        <w:tc>
          <w:tcPr>
            <w:tcW w:w="0" w:type="auto"/>
            <w:tcBorders>
              <w:top w:val="nil"/>
              <w:left w:val="nil"/>
              <w:bottom w:val="single" w:sz="4" w:space="0" w:color="000000"/>
              <w:right w:val="single" w:sz="4" w:space="0" w:color="000000"/>
            </w:tcBorders>
            <w:shd w:val="clear" w:color="auto" w:fill="auto"/>
            <w:noWrap/>
            <w:vAlign w:val="bottom"/>
            <w:hideMark/>
          </w:tcPr>
          <w:p w14:paraId="655580E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 </w:t>
            </w:r>
          </w:p>
        </w:tc>
        <w:tc>
          <w:tcPr>
            <w:tcW w:w="0" w:type="auto"/>
            <w:tcBorders>
              <w:top w:val="nil"/>
              <w:left w:val="nil"/>
              <w:bottom w:val="single" w:sz="4" w:space="0" w:color="000000"/>
              <w:right w:val="single" w:sz="4" w:space="0" w:color="000000"/>
            </w:tcBorders>
            <w:shd w:val="clear" w:color="auto" w:fill="auto"/>
            <w:noWrap/>
            <w:vAlign w:val="bottom"/>
            <w:hideMark/>
          </w:tcPr>
          <w:p w14:paraId="1C3E2A2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7E4020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2E4A3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90.000.000 </w:t>
            </w:r>
          </w:p>
        </w:tc>
      </w:tr>
      <w:tr w:rsidR="005170DE" w:rsidRPr="005170DE" w14:paraId="4AE163DE"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2A7259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Bienestar Universitario &lt;intérpretes</w:t>
            </w:r>
          </w:p>
        </w:tc>
        <w:tc>
          <w:tcPr>
            <w:tcW w:w="0" w:type="auto"/>
            <w:tcBorders>
              <w:top w:val="nil"/>
              <w:left w:val="nil"/>
              <w:bottom w:val="single" w:sz="4" w:space="0" w:color="000000"/>
              <w:right w:val="single" w:sz="4" w:space="0" w:color="000000"/>
            </w:tcBorders>
            <w:shd w:val="clear" w:color="auto" w:fill="auto"/>
            <w:noWrap/>
            <w:vAlign w:val="bottom"/>
            <w:hideMark/>
          </w:tcPr>
          <w:p w14:paraId="6158A45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0A5325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C89F05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2D5987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747C27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6FBF48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190.000.000 </w:t>
            </w:r>
          </w:p>
        </w:tc>
      </w:tr>
      <w:tr w:rsidR="005170DE" w:rsidRPr="005170DE" w14:paraId="72082933"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3C120A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Restaurante Universitario</w:t>
            </w:r>
          </w:p>
        </w:tc>
        <w:tc>
          <w:tcPr>
            <w:tcW w:w="0" w:type="auto"/>
            <w:tcBorders>
              <w:top w:val="nil"/>
              <w:left w:val="nil"/>
              <w:bottom w:val="single" w:sz="4" w:space="0" w:color="000000"/>
              <w:right w:val="single" w:sz="4" w:space="0" w:color="000000"/>
            </w:tcBorders>
            <w:shd w:val="clear" w:color="auto" w:fill="auto"/>
            <w:noWrap/>
            <w:vAlign w:val="bottom"/>
            <w:hideMark/>
          </w:tcPr>
          <w:p w14:paraId="630E7AD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3D8A56B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F2DFD4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94.169.638 </w:t>
            </w:r>
          </w:p>
        </w:tc>
        <w:tc>
          <w:tcPr>
            <w:tcW w:w="0" w:type="auto"/>
            <w:tcBorders>
              <w:top w:val="nil"/>
              <w:left w:val="nil"/>
              <w:bottom w:val="single" w:sz="4" w:space="0" w:color="000000"/>
              <w:right w:val="single" w:sz="4" w:space="0" w:color="000000"/>
            </w:tcBorders>
            <w:shd w:val="clear" w:color="auto" w:fill="auto"/>
            <w:noWrap/>
            <w:vAlign w:val="bottom"/>
            <w:hideMark/>
          </w:tcPr>
          <w:p w14:paraId="22597EB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785.830.362 </w:t>
            </w:r>
          </w:p>
        </w:tc>
        <w:tc>
          <w:tcPr>
            <w:tcW w:w="0" w:type="auto"/>
            <w:tcBorders>
              <w:top w:val="nil"/>
              <w:left w:val="nil"/>
              <w:bottom w:val="single" w:sz="4" w:space="0" w:color="000000"/>
              <w:right w:val="single" w:sz="4" w:space="0" w:color="000000"/>
            </w:tcBorders>
            <w:shd w:val="clear" w:color="auto" w:fill="auto"/>
            <w:noWrap/>
            <w:vAlign w:val="bottom"/>
            <w:hideMark/>
          </w:tcPr>
          <w:p w14:paraId="5E5F96C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428887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1.780.000.000 </w:t>
            </w:r>
          </w:p>
        </w:tc>
      </w:tr>
      <w:tr w:rsidR="005170DE" w:rsidRPr="005170DE" w14:paraId="33ABB1D2"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E217FE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Residencias Masculinas y Femeninas</w:t>
            </w:r>
          </w:p>
        </w:tc>
        <w:tc>
          <w:tcPr>
            <w:tcW w:w="0" w:type="auto"/>
            <w:tcBorders>
              <w:top w:val="nil"/>
              <w:left w:val="nil"/>
              <w:bottom w:val="single" w:sz="4" w:space="0" w:color="000000"/>
              <w:right w:val="single" w:sz="4" w:space="0" w:color="000000"/>
            </w:tcBorders>
            <w:shd w:val="clear" w:color="auto" w:fill="auto"/>
            <w:noWrap/>
            <w:vAlign w:val="bottom"/>
            <w:hideMark/>
          </w:tcPr>
          <w:p w14:paraId="26350D8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C55900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982F9B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0B1C80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0F538E6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38A174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30.000.000 </w:t>
            </w:r>
          </w:p>
        </w:tc>
      </w:tr>
      <w:tr w:rsidR="005170DE" w:rsidRPr="005170DE" w14:paraId="1B8165C6"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CD193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Becas Estudiantiles</w:t>
            </w:r>
          </w:p>
        </w:tc>
        <w:tc>
          <w:tcPr>
            <w:tcW w:w="0" w:type="auto"/>
            <w:tcBorders>
              <w:top w:val="nil"/>
              <w:left w:val="nil"/>
              <w:bottom w:val="single" w:sz="4" w:space="0" w:color="000000"/>
              <w:right w:val="single" w:sz="4" w:space="0" w:color="000000"/>
            </w:tcBorders>
            <w:shd w:val="clear" w:color="auto" w:fill="auto"/>
            <w:noWrap/>
            <w:vAlign w:val="bottom"/>
            <w:hideMark/>
          </w:tcPr>
          <w:p w14:paraId="6F14FAB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128.000.000 </w:t>
            </w:r>
          </w:p>
        </w:tc>
        <w:tc>
          <w:tcPr>
            <w:tcW w:w="0" w:type="auto"/>
            <w:tcBorders>
              <w:top w:val="nil"/>
              <w:left w:val="nil"/>
              <w:bottom w:val="single" w:sz="4" w:space="0" w:color="000000"/>
              <w:right w:val="single" w:sz="4" w:space="0" w:color="000000"/>
            </w:tcBorders>
            <w:shd w:val="clear" w:color="auto" w:fill="auto"/>
            <w:noWrap/>
            <w:vAlign w:val="bottom"/>
            <w:hideMark/>
          </w:tcPr>
          <w:p w14:paraId="12E2BDB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F958FF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C0D93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 </w:t>
            </w:r>
          </w:p>
        </w:tc>
        <w:tc>
          <w:tcPr>
            <w:tcW w:w="0" w:type="auto"/>
            <w:tcBorders>
              <w:top w:val="nil"/>
              <w:left w:val="nil"/>
              <w:bottom w:val="single" w:sz="4" w:space="0" w:color="000000"/>
              <w:right w:val="single" w:sz="4" w:space="0" w:color="000000"/>
            </w:tcBorders>
            <w:shd w:val="clear" w:color="auto" w:fill="auto"/>
            <w:noWrap/>
            <w:vAlign w:val="bottom"/>
            <w:hideMark/>
          </w:tcPr>
          <w:p w14:paraId="4C58D3D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6C3AAF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128.000.000 </w:t>
            </w:r>
          </w:p>
        </w:tc>
      </w:tr>
      <w:tr w:rsidR="005170DE" w:rsidRPr="005170DE" w14:paraId="09D6F5F1"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E2A135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Apoyo Actividades Estudiantiles Pregrado y Posgrado</w:t>
            </w:r>
          </w:p>
        </w:tc>
        <w:tc>
          <w:tcPr>
            <w:tcW w:w="0" w:type="auto"/>
            <w:tcBorders>
              <w:top w:val="nil"/>
              <w:left w:val="nil"/>
              <w:bottom w:val="single" w:sz="4" w:space="0" w:color="000000"/>
              <w:right w:val="single" w:sz="4" w:space="0" w:color="000000"/>
            </w:tcBorders>
            <w:shd w:val="clear" w:color="auto" w:fill="auto"/>
            <w:noWrap/>
            <w:vAlign w:val="bottom"/>
            <w:hideMark/>
          </w:tcPr>
          <w:p w14:paraId="3F34526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54A584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029058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0C65AF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 </w:t>
            </w:r>
          </w:p>
        </w:tc>
        <w:tc>
          <w:tcPr>
            <w:tcW w:w="0" w:type="auto"/>
            <w:tcBorders>
              <w:top w:val="nil"/>
              <w:left w:val="nil"/>
              <w:bottom w:val="single" w:sz="4" w:space="0" w:color="000000"/>
              <w:right w:val="single" w:sz="4" w:space="0" w:color="000000"/>
            </w:tcBorders>
            <w:shd w:val="clear" w:color="auto" w:fill="auto"/>
            <w:noWrap/>
            <w:vAlign w:val="bottom"/>
            <w:hideMark/>
          </w:tcPr>
          <w:p w14:paraId="349DB6A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74686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90.000.000 </w:t>
            </w:r>
          </w:p>
        </w:tc>
      </w:tr>
      <w:tr w:rsidR="005170DE" w:rsidRPr="005170DE" w14:paraId="2DB0EDE8"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6A5D7F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Actividades y dotaciones deportivas</w:t>
            </w:r>
          </w:p>
        </w:tc>
        <w:tc>
          <w:tcPr>
            <w:tcW w:w="0" w:type="auto"/>
            <w:tcBorders>
              <w:top w:val="nil"/>
              <w:left w:val="nil"/>
              <w:bottom w:val="single" w:sz="4" w:space="0" w:color="000000"/>
              <w:right w:val="single" w:sz="4" w:space="0" w:color="000000"/>
            </w:tcBorders>
            <w:shd w:val="clear" w:color="auto" w:fill="auto"/>
            <w:noWrap/>
            <w:vAlign w:val="bottom"/>
            <w:hideMark/>
          </w:tcPr>
          <w:p w14:paraId="735A3DF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8094CB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47D18DC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D380D9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A6D2F1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9B4872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320.000.000 </w:t>
            </w:r>
          </w:p>
        </w:tc>
      </w:tr>
      <w:tr w:rsidR="005170DE" w:rsidRPr="005170DE" w14:paraId="53637C77"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7A3ACD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Actividades de integración y recreación</w:t>
            </w:r>
          </w:p>
        </w:tc>
        <w:tc>
          <w:tcPr>
            <w:tcW w:w="0" w:type="auto"/>
            <w:tcBorders>
              <w:top w:val="nil"/>
              <w:left w:val="nil"/>
              <w:bottom w:val="single" w:sz="4" w:space="0" w:color="000000"/>
              <w:right w:val="single" w:sz="4" w:space="0" w:color="000000"/>
            </w:tcBorders>
            <w:shd w:val="clear" w:color="auto" w:fill="auto"/>
            <w:noWrap/>
            <w:vAlign w:val="bottom"/>
            <w:hideMark/>
          </w:tcPr>
          <w:p w14:paraId="5D2B23A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16.588.404 </w:t>
            </w:r>
          </w:p>
        </w:tc>
        <w:tc>
          <w:tcPr>
            <w:tcW w:w="0" w:type="auto"/>
            <w:tcBorders>
              <w:top w:val="nil"/>
              <w:left w:val="nil"/>
              <w:bottom w:val="single" w:sz="4" w:space="0" w:color="000000"/>
              <w:right w:val="single" w:sz="4" w:space="0" w:color="000000"/>
            </w:tcBorders>
            <w:shd w:val="clear" w:color="auto" w:fill="auto"/>
            <w:noWrap/>
            <w:vAlign w:val="bottom"/>
            <w:hideMark/>
          </w:tcPr>
          <w:p w14:paraId="5B038C4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228FB4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16.588.404 </w:t>
            </w:r>
          </w:p>
        </w:tc>
        <w:tc>
          <w:tcPr>
            <w:tcW w:w="0" w:type="auto"/>
            <w:tcBorders>
              <w:top w:val="nil"/>
              <w:left w:val="nil"/>
              <w:bottom w:val="single" w:sz="4" w:space="0" w:color="000000"/>
              <w:right w:val="single" w:sz="4" w:space="0" w:color="000000"/>
            </w:tcBorders>
            <w:shd w:val="clear" w:color="auto" w:fill="auto"/>
            <w:noWrap/>
            <w:vAlign w:val="bottom"/>
            <w:hideMark/>
          </w:tcPr>
          <w:p w14:paraId="693D705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0BC2B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3A1C7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16.588.404 </w:t>
            </w:r>
          </w:p>
        </w:tc>
      </w:tr>
      <w:tr w:rsidR="005170DE" w:rsidRPr="005170DE" w14:paraId="2A36F202"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AAABCA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 integral para el abordaje del consumo de adictivos -PICA</w:t>
            </w:r>
          </w:p>
        </w:tc>
        <w:tc>
          <w:tcPr>
            <w:tcW w:w="0" w:type="auto"/>
            <w:tcBorders>
              <w:top w:val="nil"/>
              <w:left w:val="nil"/>
              <w:bottom w:val="single" w:sz="4" w:space="0" w:color="000000"/>
              <w:right w:val="single" w:sz="4" w:space="0" w:color="000000"/>
            </w:tcBorders>
            <w:shd w:val="clear" w:color="auto" w:fill="auto"/>
            <w:noWrap/>
            <w:vAlign w:val="bottom"/>
            <w:hideMark/>
          </w:tcPr>
          <w:p w14:paraId="7313D07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29.005.798 </w:t>
            </w:r>
          </w:p>
        </w:tc>
        <w:tc>
          <w:tcPr>
            <w:tcW w:w="0" w:type="auto"/>
            <w:tcBorders>
              <w:top w:val="nil"/>
              <w:left w:val="nil"/>
              <w:bottom w:val="single" w:sz="4" w:space="0" w:color="000000"/>
              <w:right w:val="single" w:sz="4" w:space="0" w:color="000000"/>
            </w:tcBorders>
            <w:shd w:val="clear" w:color="auto" w:fill="auto"/>
            <w:noWrap/>
            <w:vAlign w:val="bottom"/>
            <w:hideMark/>
          </w:tcPr>
          <w:p w14:paraId="5A3267B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29.005.798 </w:t>
            </w:r>
          </w:p>
        </w:tc>
        <w:tc>
          <w:tcPr>
            <w:tcW w:w="0" w:type="auto"/>
            <w:tcBorders>
              <w:top w:val="nil"/>
              <w:left w:val="nil"/>
              <w:bottom w:val="single" w:sz="4" w:space="0" w:color="000000"/>
              <w:right w:val="single" w:sz="4" w:space="0" w:color="000000"/>
            </w:tcBorders>
            <w:shd w:val="clear" w:color="auto" w:fill="auto"/>
            <w:noWrap/>
            <w:vAlign w:val="bottom"/>
            <w:hideMark/>
          </w:tcPr>
          <w:p w14:paraId="5AC1875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D72B0E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F8AD7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62450A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29.005.798 </w:t>
            </w:r>
          </w:p>
        </w:tc>
      </w:tr>
      <w:tr w:rsidR="005170DE" w:rsidRPr="005170DE" w14:paraId="17FC8A03"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8EEFA5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Librería Universitaria</w:t>
            </w:r>
          </w:p>
        </w:tc>
        <w:tc>
          <w:tcPr>
            <w:tcW w:w="0" w:type="auto"/>
            <w:tcBorders>
              <w:top w:val="nil"/>
              <w:left w:val="nil"/>
              <w:bottom w:val="single" w:sz="4" w:space="0" w:color="000000"/>
              <w:right w:val="single" w:sz="4" w:space="0" w:color="000000"/>
            </w:tcBorders>
            <w:shd w:val="clear" w:color="auto" w:fill="auto"/>
            <w:noWrap/>
            <w:vAlign w:val="bottom"/>
            <w:hideMark/>
          </w:tcPr>
          <w:p w14:paraId="2305A2C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 </w:t>
            </w:r>
          </w:p>
        </w:tc>
        <w:tc>
          <w:tcPr>
            <w:tcW w:w="0" w:type="auto"/>
            <w:tcBorders>
              <w:top w:val="nil"/>
              <w:left w:val="nil"/>
              <w:bottom w:val="single" w:sz="4" w:space="0" w:color="000000"/>
              <w:right w:val="single" w:sz="4" w:space="0" w:color="000000"/>
            </w:tcBorders>
            <w:shd w:val="clear" w:color="auto" w:fill="auto"/>
            <w:noWrap/>
            <w:vAlign w:val="bottom"/>
            <w:hideMark/>
          </w:tcPr>
          <w:p w14:paraId="2A41C23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C3CA3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 </w:t>
            </w:r>
          </w:p>
        </w:tc>
        <w:tc>
          <w:tcPr>
            <w:tcW w:w="0" w:type="auto"/>
            <w:tcBorders>
              <w:top w:val="nil"/>
              <w:left w:val="nil"/>
              <w:bottom w:val="single" w:sz="4" w:space="0" w:color="000000"/>
              <w:right w:val="single" w:sz="4" w:space="0" w:color="000000"/>
            </w:tcBorders>
            <w:shd w:val="clear" w:color="auto" w:fill="auto"/>
            <w:noWrap/>
            <w:vAlign w:val="bottom"/>
            <w:hideMark/>
          </w:tcPr>
          <w:p w14:paraId="6D314F7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7C3280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4E3889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 </w:t>
            </w:r>
          </w:p>
        </w:tc>
      </w:tr>
      <w:tr w:rsidR="005170DE" w:rsidRPr="005170DE" w14:paraId="6AECF8EB"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E47578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Seguridad y Salud en el Trabajo</w:t>
            </w:r>
          </w:p>
        </w:tc>
        <w:tc>
          <w:tcPr>
            <w:tcW w:w="0" w:type="auto"/>
            <w:tcBorders>
              <w:top w:val="nil"/>
              <w:left w:val="nil"/>
              <w:bottom w:val="single" w:sz="4" w:space="0" w:color="000000"/>
              <w:right w:val="single" w:sz="4" w:space="0" w:color="000000"/>
            </w:tcBorders>
            <w:shd w:val="clear" w:color="auto" w:fill="auto"/>
            <w:noWrap/>
            <w:vAlign w:val="bottom"/>
            <w:hideMark/>
          </w:tcPr>
          <w:p w14:paraId="21F69A7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0C914DD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30.830.362 </w:t>
            </w:r>
          </w:p>
        </w:tc>
        <w:tc>
          <w:tcPr>
            <w:tcW w:w="0" w:type="auto"/>
            <w:tcBorders>
              <w:top w:val="nil"/>
              <w:left w:val="nil"/>
              <w:bottom w:val="single" w:sz="4" w:space="0" w:color="000000"/>
              <w:right w:val="single" w:sz="4" w:space="0" w:color="000000"/>
            </w:tcBorders>
            <w:shd w:val="clear" w:color="auto" w:fill="auto"/>
            <w:noWrap/>
            <w:vAlign w:val="bottom"/>
            <w:hideMark/>
          </w:tcPr>
          <w:p w14:paraId="3D6496F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563.995.798 </w:t>
            </w:r>
          </w:p>
        </w:tc>
        <w:tc>
          <w:tcPr>
            <w:tcW w:w="0" w:type="auto"/>
            <w:tcBorders>
              <w:top w:val="nil"/>
              <w:left w:val="nil"/>
              <w:bottom w:val="single" w:sz="4" w:space="0" w:color="000000"/>
              <w:right w:val="single" w:sz="4" w:space="0" w:color="000000"/>
            </w:tcBorders>
            <w:shd w:val="clear" w:color="auto" w:fill="auto"/>
            <w:noWrap/>
            <w:vAlign w:val="bottom"/>
            <w:hideMark/>
          </w:tcPr>
          <w:p w14:paraId="570125E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55.173.840 </w:t>
            </w:r>
          </w:p>
        </w:tc>
        <w:tc>
          <w:tcPr>
            <w:tcW w:w="0" w:type="auto"/>
            <w:tcBorders>
              <w:top w:val="nil"/>
              <w:left w:val="nil"/>
              <w:bottom w:val="single" w:sz="4" w:space="0" w:color="000000"/>
              <w:right w:val="single" w:sz="4" w:space="0" w:color="000000"/>
            </w:tcBorders>
            <w:shd w:val="clear" w:color="auto" w:fill="auto"/>
            <w:noWrap/>
            <w:vAlign w:val="bottom"/>
            <w:hideMark/>
          </w:tcPr>
          <w:p w14:paraId="6216E48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234A0D4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650.000.000 </w:t>
            </w:r>
          </w:p>
        </w:tc>
      </w:tr>
      <w:tr w:rsidR="005170DE" w:rsidRPr="005170DE" w14:paraId="5A587A6F"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016472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Sección Asistencial</w:t>
            </w:r>
          </w:p>
        </w:tc>
        <w:tc>
          <w:tcPr>
            <w:tcW w:w="0" w:type="auto"/>
            <w:tcBorders>
              <w:top w:val="nil"/>
              <w:left w:val="nil"/>
              <w:bottom w:val="single" w:sz="4" w:space="0" w:color="000000"/>
              <w:right w:val="single" w:sz="4" w:space="0" w:color="000000"/>
            </w:tcBorders>
            <w:shd w:val="clear" w:color="auto" w:fill="auto"/>
            <w:noWrap/>
            <w:vAlign w:val="bottom"/>
            <w:hideMark/>
          </w:tcPr>
          <w:p w14:paraId="11B59AA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255.215.798 </w:t>
            </w:r>
          </w:p>
        </w:tc>
        <w:tc>
          <w:tcPr>
            <w:tcW w:w="0" w:type="auto"/>
            <w:tcBorders>
              <w:top w:val="nil"/>
              <w:left w:val="nil"/>
              <w:bottom w:val="single" w:sz="4" w:space="0" w:color="000000"/>
              <w:right w:val="single" w:sz="4" w:space="0" w:color="000000"/>
            </w:tcBorders>
            <w:shd w:val="clear" w:color="auto" w:fill="auto"/>
            <w:noWrap/>
            <w:vAlign w:val="bottom"/>
            <w:hideMark/>
          </w:tcPr>
          <w:p w14:paraId="7EFA1A6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BD3F4A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55.215.798 </w:t>
            </w:r>
          </w:p>
        </w:tc>
        <w:tc>
          <w:tcPr>
            <w:tcW w:w="0" w:type="auto"/>
            <w:tcBorders>
              <w:top w:val="nil"/>
              <w:left w:val="nil"/>
              <w:bottom w:val="single" w:sz="4" w:space="0" w:color="000000"/>
              <w:right w:val="single" w:sz="4" w:space="0" w:color="000000"/>
            </w:tcBorders>
            <w:shd w:val="clear" w:color="auto" w:fill="auto"/>
            <w:noWrap/>
            <w:vAlign w:val="bottom"/>
            <w:hideMark/>
          </w:tcPr>
          <w:p w14:paraId="6D5D81A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374405D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9FD91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255.215.798 </w:t>
            </w:r>
          </w:p>
        </w:tc>
      </w:tr>
      <w:tr w:rsidR="005170DE" w:rsidRPr="005170DE" w14:paraId="721C362E"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0F5DD2D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PERMANENCIA Y GRADUACIÓN ESTUDIANTIL</w:t>
            </w:r>
          </w:p>
        </w:tc>
        <w:tc>
          <w:tcPr>
            <w:tcW w:w="0" w:type="auto"/>
            <w:tcBorders>
              <w:top w:val="nil"/>
              <w:left w:val="nil"/>
              <w:bottom w:val="single" w:sz="4" w:space="0" w:color="000000"/>
              <w:right w:val="single" w:sz="4" w:space="0" w:color="000000"/>
            </w:tcBorders>
            <w:shd w:val="clear" w:color="FFC000" w:fill="FFC000"/>
            <w:noWrap/>
            <w:vAlign w:val="bottom"/>
            <w:hideMark/>
          </w:tcPr>
          <w:p w14:paraId="1D6D2AE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495.000.000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0014131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1D2C7EF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4F10ADD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445.000.000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4DEAEBB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4861FC6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495.000.000 </w:t>
            </w:r>
          </w:p>
        </w:tc>
      </w:tr>
      <w:tr w:rsidR="005170DE" w:rsidRPr="005170DE" w14:paraId="18C07E3F"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F57893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Asistencias Administrativas  y  Monitorias Académicas</w:t>
            </w:r>
          </w:p>
        </w:tc>
        <w:tc>
          <w:tcPr>
            <w:tcW w:w="0" w:type="auto"/>
            <w:tcBorders>
              <w:top w:val="nil"/>
              <w:left w:val="nil"/>
              <w:bottom w:val="single" w:sz="4" w:space="0" w:color="000000"/>
              <w:right w:val="single" w:sz="4" w:space="0" w:color="000000"/>
            </w:tcBorders>
            <w:shd w:val="clear" w:color="auto" w:fill="auto"/>
            <w:noWrap/>
            <w:vAlign w:val="bottom"/>
            <w:hideMark/>
          </w:tcPr>
          <w:p w14:paraId="1C3791E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AE4B74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358551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C550E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330.000.000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2BECB2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auto" w:fill="auto"/>
            <w:noWrap/>
            <w:vAlign w:val="bottom"/>
            <w:hideMark/>
          </w:tcPr>
          <w:p w14:paraId="1C84410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380.000.000 </w:t>
            </w:r>
          </w:p>
        </w:tc>
      </w:tr>
      <w:tr w:rsidR="005170DE" w:rsidRPr="005170DE" w14:paraId="42A87822"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BB7E74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Cursos Nivelatorios</w:t>
            </w:r>
          </w:p>
        </w:tc>
        <w:tc>
          <w:tcPr>
            <w:tcW w:w="0" w:type="auto"/>
            <w:tcBorders>
              <w:top w:val="nil"/>
              <w:left w:val="nil"/>
              <w:bottom w:val="single" w:sz="4" w:space="0" w:color="000000"/>
              <w:right w:val="single" w:sz="4" w:space="0" w:color="000000"/>
            </w:tcBorders>
            <w:shd w:val="clear" w:color="auto" w:fill="auto"/>
            <w:noWrap/>
            <w:vAlign w:val="bottom"/>
            <w:hideMark/>
          </w:tcPr>
          <w:p w14:paraId="4930E8C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45E436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4B9F1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323919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369461C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791F0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r>
      <w:tr w:rsidR="005170DE" w:rsidRPr="005170DE" w14:paraId="0792AC51"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4157E8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Tiendas universitarias</w:t>
            </w:r>
          </w:p>
        </w:tc>
        <w:tc>
          <w:tcPr>
            <w:tcW w:w="0" w:type="auto"/>
            <w:tcBorders>
              <w:top w:val="nil"/>
              <w:left w:val="nil"/>
              <w:bottom w:val="single" w:sz="4" w:space="0" w:color="000000"/>
              <w:right w:val="single" w:sz="4" w:space="0" w:color="000000"/>
            </w:tcBorders>
            <w:shd w:val="clear" w:color="auto" w:fill="auto"/>
            <w:noWrap/>
            <w:vAlign w:val="bottom"/>
            <w:hideMark/>
          </w:tcPr>
          <w:p w14:paraId="57A2DFA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c>
          <w:tcPr>
            <w:tcW w:w="0" w:type="auto"/>
            <w:tcBorders>
              <w:top w:val="nil"/>
              <w:left w:val="nil"/>
              <w:bottom w:val="single" w:sz="4" w:space="0" w:color="000000"/>
              <w:right w:val="single" w:sz="4" w:space="0" w:color="000000"/>
            </w:tcBorders>
            <w:shd w:val="clear" w:color="auto" w:fill="auto"/>
            <w:noWrap/>
            <w:vAlign w:val="bottom"/>
            <w:hideMark/>
          </w:tcPr>
          <w:p w14:paraId="1E6AB36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7156E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D209A2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c>
          <w:tcPr>
            <w:tcW w:w="0" w:type="auto"/>
            <w:tcBorders>
              <w:top w:val="nil"/>
              <w:left w:val="nil"/>
              <w:bottom w:val="single" w:sz="4" w:space="0" w:color="000000"/>
              <w:right w:val="single" w:sz="4" w:space="0" w:color="000000"/>
            </w:tcBorders>
            <w:shd w:val="clear" w:color="auto" w:fill="auto"/>
            <w:noWrap/>
            <w:vAlign w:val="bottom"/>
            <w:hideMark/>
          </w:tcPr>
          <w:p w14:paraId="46C61B0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9081EC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r>
      <w:tr w:rsidR="005170DE" w:rsidRPr="005170DE" w14:paraId="5652E66E"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20E94CF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FORMACIÓN POLÍTICA Y CIUDADANÍA</w:t>
            </w:r>
          </w:p>
        </w:tc>
        <w:tc>
          <w:tcPr>
            <w:tcW w:w="0" w:type="auto"/>
            <w:tcBorders>
              <w:top w:val="nil"/>
              <w:left w:val="nil"/>
              <w:bottom w:val="single" w:sz="4" w:space="0" w:color="000000"/>
              <w:right w:val="single" w:sz="4" w:space="0" w:color="000000"/>
            </w:tcBorders>
            <w:shd w:val="clear" w:color="FFC000" w:fill="FFC000"/>
            <w:noWrap/>
            <w:vAlign w:val="bottom"/>
            <w:hideMark/>
          </w:tcPr>
          <w:p w14:paraId="313B23C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44D981E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6758921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4BE9782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56B2B34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2093849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60.000.000 </w:t>
            </w:r>
          </w:p>
        </w:tc>
      </w:tr>
      <w:tr w:rsidR="005170DE" w:rsidRPr="005170DE" w14:paraId="630D034C"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55EE5A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Política Institucionales de Género </w:t>
            </w:r>
          </w:p>
        </w:tc>
        <w:tc>
          <w:tcPr>
            <w:tcW w:w="0" w:type="auto"/>
            <w:tcBorders>
              <w:top w:val="nil"/>
              <w:left w:val="nil"/>
              <w:bottom w:val="single" w:sz="4" w:space="0" w:color="000000"/>
              <w:right w:val="single" w:sz="4" w:space="0" w:color="000000"/>
            </w:tcBorders>
            <w:shd w:val="clear" w:color="auto" w:fill="auto"/>
            <w:noWrap/>
            <w:vAlign w:val="bottom"/>
            <w:hideMark/>
          </w:tcPr>
          <w:p w14:paraId="649DDDE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17.000.000 </w:t>
            </w:r>
          </w:p>
        </w:tc>
        <w:tc>
          <w:tcPr>
            <w:tcW w:w="0" w:type="auto"/>
            <w:tcBorders>
              <w:top w:val="nil"/>
              <w:left w:val="nil"/>
              <w:bottom w:val="single" w:sz="4" w:space="0" w:color="000000"/>
              <w:right w:val="single" w:sz="4" w:space="0" w:color="000000"/>
            </w:tcBorders>
            <w:shd w:val="clear" w:color="auto" w:fill="auto"/>
            <w:noWrap/>
            <w:vAlign w:val="bottom"/>
            <w:hideMark/>
          </w:tcPr>
          <w:p w14:paraId="1757191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36AABA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E48CC4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17.000.000 </w:t>
            </w:r>
          </w:p>
        </w:tc>
        <w:tc>
          <w:tcPr>
            <w:tcW w:w="0" w:type="auto"/>
            <w:tcBorders>
              <w:top w:val="nil"/>
              <w:left w:val="nil"/>
              <w:bottom w:val="single" w:sz="4" w:space="0" w:color="000000"/>
              <w:right w:val="single" w:sz="4" w:space="0" w:color="000000"/>
            </w:tcBorders>
            <w:shd w:val="clear" w:color="auto" w:fill="auto"/>
            <w:noWrap/>
            <w:vAlign w:val="bottom"/>
            <w:hideMark/>
          </w:tcPr>
          <w:p w14:paraId="39D1EE7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5B59B2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17.000.000 </w:t>
            </w:r>
          </w:p>
        </w:tc>
      </w:tr>
      <w:tr w:rsidR="005170DE" w:rsidRPr="005170DE" w14:paraId="65B0871A"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544714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Politicas Institucionales de Inclusión </w:t>
            </w:r>
          </w:p>
        </w:tc>
        <w:tc>
          <w:tcPr>
            <w:tcW w:w="0" w:type="auto"/>
            <w:tcBorders>
              <w:top w:val="nil"/>
              <w:left w:val="nil"/>
              <w:bottom w:val="single" w:sz="4" w:space="0" w:color="000000"/>
              <w:right w:val="single" w:sz="4" w:space="0" w:color="000000"/>
            </w:tcBorders>
            <w:shd w:val="clear" w:color="auto" w:fill="auto"/>
            <w:noWrap/>
            <w:vAlign w:val="bottom"/>
            <w:hideMark/>
          </w:tcPr>
          <w:p w14:paraId="2DBB3FA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c>
          <w:tcPr>
            <w:tcW w:w="0" w:type="auto"/>
            <w:tcBorders>
              <w:top w:val="nil"/>
              <w:left w:val="nil"/>
              <w:bottom w:val="single" w:sz="4" w:space="0" w:color="000000"/>
              <w:right w:val="single" w:sz="4" w:space="0" w:color="000000"/>
            </w:tcBorders>
            <w:shd w:val="clear" w:color="auto" w:fill="auto"/>
            <w:noWrap/>
            <w:vAlign w:val="bottom"/>
            <w:hideMark/>
          </w:tcPr>
          <w:p w14:paraId="0386021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0A57E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2DB6AA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c>
          <w:tcPr>
            <w:tcW w:w="0" w:type="auto"/>
            <w:tcBorders>
              <w:top w:val="nil"/>
              <w:left w:val="nil"/>
              <w:bottom w:val="single" w:sz="4" w:space="0" w:color="000000"/>
              <w:right w:val="single" w:sz="4" w:space="0" w:color="000000"/>
            </w:tcBorders>
            <w:shd w:val="clear" w:color="auto" w:fill="auto"/>
            <w:noWrap/>
            <w:vAlign w:val="bottom"/>
            <w:hideMark/>
          </w:tcPr>
          <w:p w14:paraId="6697367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210B30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r>
      <w:tr w:rsidR="005170DE" w:rsidRPr="005170DE" w14:paraId="28577506"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03BEAC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Actualizacion del Estatuto Estudiantil </w:t>
            </w:r>
          </w:p>
        </w:tc>
        <w:tc>
          <w:tcPr>
            <w:tcW w:w="0" w:type="auto"/>
            <w:tcBorders>
              <w:top w:val="nil"/>
              <w:left w:val="nil"/>
              <w:bottom w:val="single" w:sz="4" w:space="0" w:color="000000"/>
              <w:right w:val="single" w:sz="4" w:space="0" w:color="000000"/>
            </w:tcBorders>
            <w:shd w:val="clear" w:color="auto" w:fill="auto"/>
            <w:noWrap/>
            <w:vAlign w:val="bottom"/>
            <w:hideMark/>
          </w:tcPr>
          <w:p w14:paraId="55ABAC1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18.000.000 </w:t>
            </w:r>
          </w:p>
        </w:tc>
        <w:tc>
          <w:tcPr>
            <w:tcW w:w="0" w:type="auto"/>
            <w:tcBorders>
              <w:top w:val="nil"/>
              <w:left w:val="nil"/>
              <w:bottom w:val="single" w:sz="4" w:space="0" w:color="000000"/>
              <w:right w:val="single" w:sz="4" w:space="0" w:color="000000"/>
            </w:tcBorders>
            <w:shd w:val="clear" w:color="auto" w:fill="auto"/>
            <w:noWrap/>
            <w:vAlign w:val="bottom"/>
            <w:hideMark/>
          </w:tcPr>
          <w:p w14:paraId="35F4C9B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EC2F0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D4F17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18.000.000 </w:t>
            </w:r>
          </w:p>
        </w:tc>
        <w:tc>
          <w:tcPr>
            <w:tcW w:w="0" w:type="auto"/>
            <w:tcBorders>
              <w:top w:val="nil"/>
              <w:left w:val="nil"/>
              <w:bottom w:val="single" w:sz="4" w:space="0" w:color="000000"/>
              <w:right w:val="single" w:sz="4" w:space="0" w:color="000000"/>
            </w:tcBorders>
            <w:shd w:val="clear" w:color="auto" w:fill="auto"/>
            <w:noWrap/>
            <w:vAlign w:val="bottom"/>
            <w:hideMark/>
          </w:tcPr>
          <w:p w14:paraId="013F43F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31FDC6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18.000.000 </w:t>
            </w:r>
          </w:p>
        </w:tc>
      </w:tr>
      <w:tr w:rsidR="005170DE" w:rsidRPr="005170DE" w14:paraId="42438662"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E31342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Politica  Institucional de Derechos Humanos</w:t>
            </w:r>
          </w:p>
        </w:tc>
        <w:tc>
          <w:tcPr>
            <w:tcW w:w="0" w:type="auto"/>
            <w:tcBorders>
              <w:top w:val="nil"/>
              <w:left w:val="nil"/>
              <w:bottom w:val="single" w:sz="4" w:space="0" w:color="000000"/>
              <w:right w:val="single" w:sz="4" w:space="0" w:color="000000"/>
            </w:tcBorders>
            <w:shd w:val="clear" w:color="auto" w:fill="auto"/>
            <w:noWrap/>
            <w:vAlign w:val="bottom"/>
            <w:hideMark/>
          </w:tcPr>
          <w:p w14:paraId="00A9C4B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 </w:t>
            </w:r>
          </w:p>
        </w:tc>
        <w:tc>
          <w:tcPr>
            <w:tcW w:w="0" w:type="auto"/>
            <w:tcBorders>
              <w:top w:val="nil"/>
              <w:left w:val="nil"/>
              <w:bottom w:val="single" w:sz="4" w:space="0" w:color="000000"/>
              <w:right w:val="single" w:sz="4" w:space="0" w:color="000000"/>
            </w:tcBorders>
            <w:shd w:val="clear" w:color="auto" w:fill="auto"/>
            <w:noWrap/>
            <w:vAlign w:val="bottom"/>
            <w:hideMark/>
          </w:tcPr>
          <w:p w14:paraId="0BED259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3C885D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EC2BED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01F1AD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456D55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 </w:t>
            </w:r>
          </w:p>
        </w:tc>
      </w:tr>
      <w:tr w:rsidR="005170DE" w:rsidRPr="005170DE" w14:paraId="00265AE1"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3387295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DESARROLLO CULTURAL</w:t>
            </w:r>
          </w:p>
        </w:tc>
        <w:tc>
          <w:tcPr>
            <w:tcW w:w="0" w:type="auto"/>
            <w:tcBorders>
              <w:top w:val="nil"/>
              <w:left w:val="nil"/>
              <w:bottom w:val="single" w:sz="4" w:space="0" w:color="000000"/>
              <w:right w:val="single" w:sz="4" w:space="0" w:color="000000"/>
            </w:tcBorders>
            <w:shd w:val="clear" w:color="FFC000" w:fill="FFC000"/>
            <w:noWrap/>
            <w:vAlign w:val="bottom"/>
            <w:hideMark/>
          </w:tcPr>
          <w:p w14:paraId="634A540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272.994.202 </w:t>
            </w:r>
          </w:p>
        </w:tc>
        <w:tc>
          <w:tcPr>
            <w:tcW w:w="0" w:type="auto"/>
            <w:tcBorders>
              <w:top w:val="nil"/>
              <w:left w:val="nil"/>
              <w:bottom w:val="single" w:sz="4" w:space="0" w:color="000000"/>
              <w:right w:val="single" w:sz="4" w:space="0" w:color="000000"/>
            </w:tcBorders>
            <w:shd w:val="clear" w:color="FFC000" w:fill="FFC000"/>
            <w:noWrap/>
            <w:vAlign w:val="bottom"/>
            <w:hideMark/>
          </w:tcPr>
          <w:p w14:paraId="3586BE2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D39B2B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172.994.202 </w:t>
            </w:r>
          </w:p>
        </w:tc>
        <w:tc>
          <w:tcPr>
            <w:tcW w:w="0" w:type="auto"/>
            <w:tcBorders>
              <w:top w:val="nil"/>
              <w:left w:val="nil"/>
              <w:bottom w:val="single" w:sz="4" w:space="0" w:color="000000"/>
              <w:right w:val="single" w:sz="4" w:space="0" w:color="000000"/>
            </w:tcBorders>
            <w:shd w:val="clear" w:color="FFC000" w:fill="FFC000"/>
            <w:noWrap/>
            <w:vAlign w:val="bottom"/>
            <w:hideMark/>
          </w:tcPr>
          <w:p w14:paraId="7988DF9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12F6223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78B256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272.994.202 </w:t>
            </w:r>
          </w:p>
        </w:tc>
      </w:tr>
      <w:tr w:rsidR="005170DE" w:rsidRPr="005170DE" w14:paraId="7C6F9C5A"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A790C4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Talleristas del Centro Cultural  </w:t>
            </w:r>
          </w:p>
        </w:tc>
        <w:tc>
          <w:tcPr>
            <w:tcW w:w="0" w:type="auto"/>
            <w:tcBorders>
              <w:top w:val="nil"/>
              <w:left w:val="nil"/>
              <w:bottom w:val="single" w:sz="4" w:space="0" w:color="000000"/>
              <w:right w:val="single" w:sz="4" w:space="0" w:color="000000"/>
            </w:tcBorders>
            <w:shd w:val="clear" w:color="auto" w:fill="auto"/>
            <w:noWrap/>
            <w:vAlign w:val="bottom"/>
            <w:hideMark/>
          </w:tcPr>
          <w:p w14:paraId="70D8F5E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4E5DAB2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A7BDF1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D2A731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08DE50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E98869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r>
      <w:tr w:rsidR="005170DE" w:rsidRPr="005170DE" w14:paraId="42340131"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0CE189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Instrumentistas Orquesta Sinfónica</w:t>
            </w:r>
          </w:p>
        </w:tc>
        <w:tc>
          <w:tcPr>
            <w:tcW w:w="0" w:type="auto"/>
            <w:tcBorders>
              <w:top w:val="nil"/>
              <w:left w:val="nil"/>
              <w:bottom w:val="single" w:sz="4" w:space="0" w:color="000000"/>
              <w:right w:val="single" w:sz="4" w:space="0" w:color="000000"/>
            </w:tcBorders>
            <w:shd w:val="clear" w:color="auto" w:fill="auto"/>
            <w:noWrap/>
            <w:vAlign w:val="bottom"/>
            <w:hideMark/>
          </w:tcPr>
          <w:p w14:paraId="5D912D7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58B2B2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703D5C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92D263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742097B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6887F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r>
      <w:tr w:rsidR="005170DE" w:rsidRPr="005170DE" w14:paraId="5DBA488C"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01E8A1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Centro Cultural</w:t>
            </w:r>
          </w:p>
        </w:tc>
        <w:tc>
          <w:tcPr>
            <w:tcW w:w="0" w:type="auto"/>
            <w:tcBorders>
              <w:top w:val="nil"/>
              <w:left w:val="nil"/>
              <w:bottom w:val="single" w:sz="4" w:space="0" w:color="000000"/>
              <w:right w:val="single" w:sz="4" w:space="0" w:color="000000"/>
            </w:tcBorders>
            <w:shd w:val="clear" w:color="auto" w:fill="auto"/>
            <w:noWrap/>
            <w:vAlign w:val="bottom"/>
            <w:hideMark/>
          </w:tcPr>
          <w:p w14:paraId="0EA3A32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48.000.000 </w:t>
            </w:r>
          </w:p>
        </w:tc>
        <w:tc>
          <w:tcPr>
            <w:tcW w:w="0" w:type="auto"/>
            <w:tcBorders>
              <w:top w:val="nil"/>
              <w:left w:val="nil"/>
              <w:bottom w:val="single" w:sz="4" w:space="0" w:color="000000"/>
              <w:right w:val="single" w:sz="4" w:space="0" w:color="000000"/>
            </w:tcBorders>
            <w:shd w:val="clear" w:color="auto" w:fill="auto"/>
            <w:noWrap/>
            <w:vAlign w:val="bottom"/>
            <w:hideMark/>
          </w:tcPr>
          <w:p w14:paraId="36B6644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33087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48.000.000 </w:t>
            </w:r>
          </w:p>
        </w:tc>
        <w:tc>
          <w:tcPr>
            <w:tcW w:w="0" w:type="auto"/>
            <w:tcBorders>
              <w:top w:val="nil"/>
              <w:left w:val="nil"/>
              <w:bottom w:val="single" w:sz="4" w:space="0" w:color="000000"/>
              <w:right w:val="single" w:sz="4" w:space="0" w:color="000000"/>
            </w:tcBorders>
            <w:shd w:val="clear" w:color="auto" w:fill="auto"/>
            <w:noWrap/>
            <w:vAlign w:val="bottom"/>
            <w:hideMark/>
          </w:tcPr>
          <w:p w14:paraId="56D76D1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80818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9F66CD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48.000.000 </w:t>
            </w:r>
          </w:p>
        </w:tc>
      </w:tr>
      <w:tr w:rsidR="005170DE" w:rsidRPr="005170DE" w14:paraId="1EFB582E"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E7E17E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Orquesta Sinfonica</w:t>
            </w:r>
          </w:p>
        </w:tc>
        <w:tc>
          <w:tcPr>
            <w:tcW w:w="0" w:type="auto"/>
            <w:tcBorders>
              <w:top w:val="nil"/>
              <w:left w:val="nil"/>
              <w:bottom w:val="single" w:sz="4" w:space="0" w:color="000000"/>
              <w:right w:val="single" w:sz="4" w:space="0" w:color="000000"/>
            </w:tcBorders>
            <w:shd w:val="clear" w:color="auto" w:fill="auto"/>
            <w:noWrap/>
            <w:vAlign w:val="bottom"/>
            <w:hideMark/>
          </w:tcPr>
          <w:p w14:paraId="5667A1C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24.994.202 </w:t>
            </w:r>
          </w:p>
        </w:tc>
        <w:tc>
          <w:tcPr>
            <w:tcW w:w="0" w:type="auto"/>
            <w:tcBorders>
              <w:top w:val="nil"/>
              <w:left w:val="nil"/>
              <w:bottom w:val="single" w:sz="4" w:space="0" w:color="000000"/>
              <w:right w:val="single" w:sz="4" w:space="0" w:color="000000"/>
            </w:tcBorders>
            <w:shd w:val="clear" w:color="auto" w:fill="auto"/>
            <w:noWrap/>
            <w:vAlign w:val="bottom"/>
            <w:hideMark/>
          </w:tcPr>
          <w:p w14:paraId="60B542B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4CDBCB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24.994.202 </w:t>
            </w:r>
          </w:p>
        </w:tc>
        <w:tc>
          <w:tcPr>
            <w:tcW w:w="0" w:type="auto"/>
            <w:tcBorders>
              <w:top w:val="nil"/>
              <w:left w:val="nil"/>
              <w:bottom w:val="single" w:sz="4" w:space="0" w:color="000000"/>
              <w:right w:val="single" w:sz="4" w:space="0" w:color="000000"/>
            </w:tcBorders>
            <w:shd w:val="clear" w:color="auto" w:fill="auto"/>
            <w:noWrap/>
            <w:vAlign w:val="bottom"/>
            <w:hideMark/>
          </w:tcPr>
          <w:p w14:paraId="03CD04C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B3D39C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6DD9DC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24.994.202 </w:t>
            </w:r>
          </w:p>
        </w:tc>
      </w:tr>
      <w:tr w:rsidR="005170DE" w:rsidRPr="005170DE" w14:paraId="1EFEA6E2"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2B72919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PROGRAMA-PROYECCIÓN SOCIAL. </w:t>
            </w:r>
          </w:p>
        </w:tc>
        <w:tc>
          <w:tcPr>
            <w:tcW w:w="0" w:type="auto"/>
            <w:tcBorders>
              <w:top w:val="nil"/>
              <w:left w:val="nil"/>
              <w:bottom w:val="single" w:sz="4" w:space="0" w:color="000000"/>
              <w:right w:val="single" w:sz="4" w:space="0" w:color="000000"/>
            </w:tcBorders>
            <w:shd w:val="clear" w:color="FFC000" w:fill="FFC000"/>
            <w:noWrap/>
            <w:vAlign w:val="bottom"/>
            <w:hideMark/>
          </w:tcPr>
          <w:p w14:paraId="6548F0A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A450E7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649806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4CCF51E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4885A8A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4AA45FD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120.000.000 </w:t>
            </w:r>
          </w:p>
        </w:tc>
      </w:tr>
      <w:tr w:rsidR="005170DE" w:rsidRPr="005170DE" w14:paraId="66056D7B"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A5500C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REGIONALIZACIÓN</w:t>
            </w:r>
          </w:p>
        </w:tc>
        <w:tc>
          <w:tcPr>
            <w:tcW w:w="0" w:type="auto"/>
            <w:tcBorders>
              <w:top w:val="nil"/>
              <w:left w:val="nil"/>
              <w:bottom w:val="single" w:sz="4" w:space="0" w:color="000000"/>
              <w:right w:val="single" w:sz="4" w:space="0" w:color="000000"/>
            </w:tcBorders>
            <w:shd w:val="clear" w:color="auto" w:fill="auto"/>
            <w:noWrap/>
            <w:vAlign w:val="bottom"/>
            <w:hideMark/>
          </w:tcPr>
          <w:p w14:paraId="1A0B692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42CD99A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48C035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A6812F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5AD689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891A21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r>
      <w:tr w:rsidR="005170DE" w:rsidRPr="005170DE" w14:paraId="65BA29B1"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945E8F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UT SOLIDARIA</w:t>
            </w:r>
          </w:p>
        </w:tc>
        <w:tc>
          <w:tcPr>
            <w:tcW w:w="0" w:type="auto"/>
            <w:tcBorders>
              <w:top w:val="nil"/>
              <w:left w:val="nil"/>
              <w:bottom w:val="single" w:sz="4" w:space="0" w:color="000000"/>
              <w:right w:val="single" w:sz="4" w:space="0" w:color="000000"/>
            </w:tcBorders>
            <w:shd w:val="clear" w:color="auto" w:fill="auto"/>
            <w:noWrap/>
            <w:vAlign w:val="bottom"/>
            <w:hideMark/>
          </w:tcPr>
          <w:p w14:paraId="0A06368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B67805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CB3372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 </w:t>
            </w:r>
          </w:p>
        </w:tc>
        <w:tc>
          <w:tcPr>
            <w:tcW w:w="0" w:type="auto"/>
            <w:tcBorders>
              <w:top w:val="nil"/>
              <w:left w:val="nil"/>
              <w:bottom w:val="single" w:sz="4" w:space="0" w:color="000000"/>
              <w:right w:val="single" w:sz="4" w:space="0" w:color="000000"/>
            </w:tcBorders>
            <w:shd w:val="clear" w:color="auto" w:fill="auto"/>
            <w:noWrap/>
            <w:vAlign w:val="bottom"/>
            <w:hideMark/>
          </w:tcPr>
          <w:p w14:paraId="42580A8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698560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D2814F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40.000.000 </w:t>
            </w:r>
          </w:p>
        </w:tc>
      </w:tr>
      <w:tr w:rsidR="005170DE" w:rsidRPr="005170DE" w14:paraId="6CB64697"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31DE47D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PROGRAMA-GRADUADOS</w:t>
            </w:r>
          </w:p>
        </w:tc>
        <w:tc>
          <w:tcPr>
            <w:tcW w:w="0" w:type="auto"/>
            <w:tcBorders>
              <w:top w:val="nil"/>
              <w:left w:val="nil"/>
              <w:bottom w:val="single" w:sz="4" w:space="0" w:color="000000"/>
              <w:right w:val="single" w:sz="4" w:space="0" w:color="000000"/>
            </w:tcBorders>
            <w:shd w:val="clear" w:color="FFC000" w:fill="FFC000"/>
            <w:noWrap/>
            <w:vAlign w:val="bottom"/>
            <w:hideMark/>
          </w:tcPr>
          <w:p w14:paraId="3776C31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62274E3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18EFFC9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49BA865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13C1CFF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D540E5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r>
      <w:tr w:rsidR="005170DE" w:rsidRPr="005170DE" w14:paraId="0719E5DC"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7BEF0C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FORTALECIMIENTO DE VÍNCULOS CON LOS GRADUADOS</w:t>
            </w:r>
          </w:p>
        </w:tc>
        <w:tc>
          <w:tcPr>
            <w:tcW w:w="0" w:type="auto"/>
            <w:tcBorders>
              <w:top w:val="nil"/>
              <w:left w:val="nil"/>
              <w:bottom w:val="single" w:sz="4" w:space="0" w:color="000000"/>
              <w:right w:val="single" w:sz="4" w:space="0" w:color="000000"/>
            </w:tcBorders>
            <w:shd w:val="clear" w:color="auto" w:fill="auto"/>
            <w:noWrap/>
            <w:vAlign w:val="bottom"/>
            <w:hideMark/>
          </w:tcPr>
          <w:p w14:paraId="6328387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90A36B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E116D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137121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BD2B0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29B53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100.000.000 </w:t>
            </w:r>
          </w:p>
        </w:tc>
      </w:tr>
      <w:tr w:rsidR="005170DE" w:rsidRPr="005170DE" w14:paraId="15AFD186"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0793EB7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EJE 3. COMPROMISO AMBIENTAL</w:t>
            </w:r>
          </w:p>
        </w:tc>
        <w:tc>
          <w:tcPr>
            <w:tcW w:w="0" w:type="auto"/>
            <w:tcBorders>
              <w:top w:val="nil"/>
              <w:left w:val="nil"/>
              <w:bottom w:val="single" w:sz="4" w:space="0" w:color="000000"/>
              <w:right w:val="single" w:sz="4" w:space="0" w:color="000000"/>
            </w:tcBorders>
            <w:shd w:val="clear" w:color="92D050" w:fill="92D050"/>
            <w:noWrap/>
            <w:vAlign w:val="bottom"/>
            <w:hideMark/>
          </w:tcPr>
          <w:p w14:paraId="50BCCCB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94.200.000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76070AF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073D325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51C1613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94.200.000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02BB4F8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66E5B72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94.200.000 </w:t>
            </w:r>
          </w:p>
        </w:tc>
      </w:tr>
      <w:tr w:rsidR="005170DE" w:rsidRPr="005170DE" w14:paraId="6C3B1AEC"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1505CC5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PROGRAMA-UNIVERSIDAD TERRITORIO VERDE.</w:t>
            </w:r>
          </w:p>
        </w:tc>
        <w:tc>
          <w:tcPr>
            <w:tcW w:w="0" w:type="auto"/>
            <w:tcBorders>
              <w:top w:val="nil"/>
              <w:left w:val="nil"/>
              <w:bottom w:val="single" w:sz="4" w:space="0" w:color="000000"/>
              <w:right w:val="single" w:sz="4" w:space="0" w:color="000000"/>
            </w:tcBorders>
            <w:shd w:val="clear" w:color="FFC000" w:fill="FFC000"/>
            <w:noWrap/>
            <w:vAlign w:val="bottom"/>
            <w:hideMark/>
          </w:tcPr>
          <w:p w14:paraId="1A7BC93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19E4217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5FE5D40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F04416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14CCD2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6A6628E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r>
      <w:tr w:rsidR="005170DE" w:rsidRPr="005170DE" w14:paraId="63C6E2DD"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284D21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CÁTEDRA AMBIENTAL</w:t>
            </w:r>
          </w:p>
        </w:tc>
        <w:tc>
          <w:tcPr>
            <w:tcW w:w="0" w:type="auto"/>
            <w:tcBorders>
              <w:top w:val="nil"/>
              <w:left w:val="nil"/>
              <w:bottom w:val="single" w:sz="4" w:space="0" w:color="000000"/>
              <w:right w:val="single" w:sz="4" w:space="0" w:color="000000"/>
            </w:tcBorders>
            <w:shd w:val="clear" w:color="auto" w:fill="auto"/>
            <w:noWrap/>
            <w:vAlign w:val="bottom"/>
            <w:hideMark/>
          </w:tcPr>
          <w:p w14:paraId="2C7D581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5FA9FF2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7ADE12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A4075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3BA4A7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CC81B2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80.000.000 </w:t>
            </w:r>
          </w:p>
        </w:tc>
      </w:tr>
      <w:tr w:rsidR="005170DE" w:rsidRPr="005170DE" w14:paraId="0C59EAA6"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5FFA127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PROGRAMA-HACIA UN TOLIMA SUSTENTABLE</w:t>
            </w:r>
          </w:p>
        </w:tc>
        <w:tc>
          <w:tcPr>
            <w:tcW w:w="0" w:type="auto"/>
            <w:tcBorders>
              <w:top w:val="nil"/>
              <w:left w:val="nil"/>
              <w:bottom w:val="single" w:sz="4" w:space="0" w:color="000000"/>
              <w:right w:val="single" w:sz="4" w:space="0" w:color="000000"/>
            </w:tcBorders>
            <w:shd w:val="clear" w:color="FFC000" w:fill="FFC000"/>
            <w:noWrap/>
            <w:vAlign w:val="bottom"/>
            <w:hideMark/>
          </w:tcPr>
          <w:p w14:paraId="17A486A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14.200.000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1DCE797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1516273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DEC2FA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14.200.000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38ED8B2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C008E2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14.200.000 </w:t>
            </w:r>
          </w:p>
        </w:tc>
      </w:tr>
      <w:tr w:rsidR="005170DE" w:rsidRPr="005170DE" w14:paraId="7D9B5D63"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08BA78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ACOMPAÑAMIENTO A ACTORES SOCIALES PARA LA GESTIÓN DE CONFLICTOS AMBIENTALES</w:t>
            </w:r>
          </w:p>
        </w:tc>
        <w:tc>
          <w:tcPr>
            <w:tcW w:w="0" w:type="auto"/>
            <w:tcBorders>
              <w:top w:val="nil"/>
              <w:left w:val="nil"/>
              <w:bottom w:val="single" w:sz="4" w:space="0" w:color="000000"/>
              <w:right w:val="single" w:sz="4" w:space="0" w:color="000000"/>
            </w:tcBorders>
            <w:shd w:val="clear" w:color="auto" w:fill="auto"/>
            <w:noWrap/>
            <w:vAlign w:val="bottom"/>
            <w:hideMark/>
          </w:tcPr>
          <w:p w14:paraId="38A72CA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14.200.000 </w:t>
            </w:r>
          </w:p>
        </w:tc>
        <w:tc>
          <w:tcPr>
            <w:tcW w:w="0" w:type="auto"/>
            <w:tcBorders>
              <w:top w:val="nil"/>
              <w:left w:val="nil"/>
              <w:bottom w:val="single" w:sz="4" w:space="0" w:color="000000"/>
              <w:right w:val="single" w:sz="4" w:space="0" w:color="000000"/>
            </w:tcBorders>
            <w:shd w:val="clear" w:color="auto" w:fill="auto"/>
            <w:noWrap/>
            <w:vAlign w:val="bottom"/>
            <w:hideMark/>
          </w:tcPr>
          <w:p w14:paraId="0069D71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76C886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BADB5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14.200.000 </w:t>
            </w:r>
          </w:p>
        </w:tc>
        <w:tc>
          <w:tcPr>
            <w:tcW w:w="0" w:type="auto"/>
            <w:tcBorders>
              <w:top w:val="nil"/>
              <w:left w:val="nil"/>
              <w:bottom w:val="single" w:sz="4" w:space="0" w:color="000000"/>
              <w:right w:val="single" w:sz="4" w:space="0" w:color="000000"/>
            </w:tcBorders>
            <w:shd w:val="clear" w:color="auto" w:fill="auto"/>
            <w:noWrap/>
            <w:vAlign w:val="bottom"/>
            <w:hideMark/>
          </w:tcPr>
          <w:p w14:paraId="307CCEA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F10ABC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14.200.000 </w:t>
            </w:r>
          </w:p>
        </w:tc>
      </w:tr>
      <w:tr w:rsidR="005170DE" w:rsidRPr="005170DE" w14:paraId="7F1CEA79"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92D050" w:fill="92D050"/>
            <w:vAlign w:val="bottom"/>
            <w:hideMark/>
          </w:tcPr>
          <w:p w14:paraId="4C5AAC9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EJE 4. EFICIENCIA Y TRANSPARENCIA ADMINISTRATIVA</w:t>
            </w:r>
          </w:p>
        </w:tc>
        <w:tc>
          <w:tcPr>
            <w:tcW w:w="0" w:type="auto"/>
            <w:tcBorders>
              <w:top w:val="nil"/>
              <w:left w:val="nil"/>
              <w:bottom w:val="single" w:sz="4" w:space="0" w:color="000000"/>
              <w:right w:val="single" w:sz="4" w:space="0" w:color="000000"/>
            </w:tcBorders>
            <w:shd w:val="clear" w:color="92D050" w:fill="92D050"/>
            <w:noWrap/>
            <w:vAlign w:val="bottom"/>
            <w:hideMark/>
          </w:tcPr>
          <w:p w14:paraId="4D9B8F4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2.119.805.038 </w:t>
            </w:r>
          </w:p>
        </w:tc>
        <w:tc>
          <w:tcPr>
            <w:tcW w:w="0" w:type="auto"/>
            <w:tcBorders>
              <w:top w:val="nil"/>
              <w:left w:val="nil"/>
              <w:bottom w:val="single" w:sz="4" w:space="0" w:color="000000"/>
              <w:right w:val="single" w:sz="4" w:space="0" w:color="000000"/>
            </w:tcBorders>
            <w:shd w:val="clear" w:color="92D050" w:fill="92D050"/>
            <w:noWrap/>
            <w:vAlign w:val="bottom"/>
            <w:hideMark/>
          </w:tcPr>
          <w:p w14:paraId="63D50EC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92D050" w:fill="92D050"/>
            <w:noWrap/>
            <w:vAlign w:val="bottom"/>
            <w:hideMark/>
          </w:tcPr>
          <w:p w14:paraId="7FA5D78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330.000.000 </w:t>
            </w:r>
          </w:p>
        </w:tc>
        <w:tc>
          <w:tcPr>
            <w:tcW w:w="0" w:type="auto"/>
            <w:tcBorders>
              <w:top w:val="nil"/>
              <w:left w:val="nil"/>
              <w:bottom w:val="single" w:sz="4" w:space="0" w:color="000000"/>
              <w:right w:val="single" w:sz="4" w:space="0" w:color="000000"/>
            </w:tcBorders>
            <w:shd w:val="clear" w:color="92D050" w:fill="92D050"/>
            <w:noWrap/>
            <w:vAlign w:val="bottom"/>
            <w:hideMark/>
          </w:tcPr>
          <w:p w14:paraId="1849C54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423.995.798 </w:t>
            </w:r>
          </w:p>
        </w:tc>
        <w:tc>
          <w:tcPr>
            <w:tcW w:w="0" w:type="auto"/>
            <w:tcBorders>
              <w:top w:val="nil"/>
              <w:left w:val="nil"/>
              <w:bottom w:val="single" w:sz="4" w:space="0" w:color="000000"/>
              <w:right w:val="single" w:sz="4" w:space="0" w:color="000000"/>
            </w:tcBorders>
            <w:shd w:val="clear" w:color="92D050" w:fill="92D050"/>
            <w:noWrap/>
            <w:vAlign w:val="bottom"/>
            <w:hideMark/>
          </w:tcPr>
          <w:p w14:paraId="61215AC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c>
          <w:tcPr>
            <w:tcW w:w="0" w:type="auto"/>
            <w:tcBorders>
              <w:top w:val="nil"/>
              <w:left w:val="nil"/>
              <w:bottom w:val="single" w:sz="4" w:space="0" w:color="000000"/>
              <w:right w:val="single" w:sz="4" w:space="0" w:color="000000"/>
            </w:tcBorders>
            <w:shd w:val="clear" w:color="92D050" w:fill="92D050"/>
            <w:noWrap/>
            <w:vAlign w:val="bottom"/>
            <w:hideMark/>
          </w:tcPr>
          <w:p w14:paraId="57A564E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2.119.805.038 </w:t>
            </w:r>
          </w:p>
        </w:tc>
      </w:tr>
      <w:tr w:rsidR="005170DE" w:rsidRPr="005170DE" w14:paraId="044CA28C"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135C2E2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PROGRAMA-MODELO INTEGRADO DE PLANEACIÓN Y GESTIÓN.</w:t>
            </w:r>
          </w:p>
        </w:tc>
        <w:tc>
          <w:tcPr>
            <w:tcW w:w="0" w:type="auto"/>
            <w:tcBorders>
              <w:top w:val="nil"/>
              <w:left w:val="nil"/>
              <w:bottom w:val="single" w:sz="4" w:space="0" w:color="000000"/>
              <w:right w:val="single" w:sz="4" w:space="0" w:color="000000"/>
            </w:tcBorders>
            <w:shd w:val="clear" w:color="FFC000" w:fill="FFC000"/>
            <w:noWrap/>
            <w:vAlign w:val="bottom"/>
            <w:hideMark/>
          </w:tcPr>
          <w:p w14:paraId="5262595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753.995.798 </w:t>
            </w:r>
          </w:p>
        </w:tc>
        <w:tc>
          <w:tcPr>
            <w:tcW w:w="0" w:type="auto"/>
            <w:tcBorders>
              <w:top w:val="nil"/>
              <w:left w:val="nil"/>
              <w:bottom w:val="single" w:sz="4" w:space="0" w:color="000000"/>
              <w:right w:val="single" w:sz="4" w:space="0" w:color="000000"/>
            </w:tcBorders>
            <w:shd w:val="clear" w:color="FFC000" w:fill="FFC000"/>
            <w:noWrap/>
            <w:vAlign w:val="bottom"/>
            <w:hideMark/>
          </w:tcPr>
          <w:p w14:paraId="220B398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23AAA35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330.000.000 </w:t>
            </w:r>
          </w:p>
        </w:tc>
        <w:tc>
          <w:tcPr>
            <w:tcW w:w="0" w:type="auto"/>
            <w:tcBorders>
              <w:top w:val="nil"/>
              <w:left w:val="nil"/>
              <w:bottom w:val="single" w:sz="4" w:space="0" w:color="000000"/>
              <w:right w:val="single" w:sz="4" w:space="0" w:color="000000"/>
            </w:tcBorders>
            <w:shd w:val="clear" w:color="FFC000" w:fill="FFC000"/>
            <w:noWrap/>
            <w:vAlign w:val="bottom"/>
            <w:hideMark/>
          </w:tcPr>
          <w:p w14:paraId="644A373F"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423.995.798 </w:t>
            </w:r>
          </w:p>
        </w:tc>
        <w:tc>
          <w:tcPr>
            <w:tcW w:w="0" w:type="auto"/>
            <w:tcBorders>
              <w:top w:val="nil"/>
              <w:left w:val="nil"/>
              <w:bottom w:val="single" w:sz="4" w:space="0" w:color="000000"/>
              <w:right w:val="single" w:sz="4" w:space="0" w:color="000000"/>
            </w:tcBorders>
            <w:shd w:val="clear" w:color="FFC000" w:fill="FFC000"/>
            <w:noWrap/>
            <w:vAlign w:val="bottom"/>
            <w:hideMark/>
          </w:tcPr>
          <w:p w14:paraId="0E364D8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5448B4CB"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753.995.798 </w:t>
            </w:r>
          </w:p>
        </w:tc>
      </w:tr>
      <w:tr w:rsidR="005170DE" w:rsidRPr="005170DE" w14:paraId="7E619AC3"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B047D5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SISTEMA DE PLANIFICACIÓN INSTITUCIONAL</w:t>
            </w:r>
          </w:p>
        </w:tc>
        <w:tc>
          <w:tcPr>
            <w:tcW w:w="0" w:type="auto"/>
            <w:tcBorders>
              <w:top w:val="nil"/>
              <w:left w:val="nil"/>
              <w:bottom w:val="single" w:sz="4" w:space="0" w:color="000000"/>
              <w:right w:val="single" w:sz="4" w:space="0" w:color="000000"/>
            </w:tcBorders>
            <w:shd w:val="clear" w:color="auto" w:fill="auto"/>
            <w:noWrap/>
            <w:vAlign w:val="bottom"/>
            <w:hideMark/>
          </w:tcPr>
          <w:p w14:paraId="46488FE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c>
          <w:tcPr>
            <w:tcW w:w="0" w:type="auto"/>
            <w:tcBorders>
              <w:top w:val="nil"/>
              <w:left w:val="nil"/>
              <w:bottom w:val="single" w:sz="4" w:space="0" w:color="000000"/>
              <w:right w:val="single" w:sz="4" w:space="0" w:color="000000"/>
            </w:tcBorders>
            <w:shd w:val="clear" w:color="auto" w:fill="auto"/>
            <w:noWrap/>
            <w:vAlign w:val="bottom"/>
            <w:hideMark/>
          </w:tcPr>
          <w:p w14:paraId="68C6487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D7077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9468BA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c>
          <w:tcPr>
            <w:tcW w:w="0" w:type="auto"/>
            <w:tcBorders>
              <w:top w:val="nil"/>
              <w:left w:val="nil"/>
              <w:bottom w:val="single" w:sz="4" w:space="0" w:color="000000"/>
              <w:right w:val="single" w:sz="4" w:space="0" w:color="000000"/>
            </w:tcBorders>
            <w:shd w:val="clear" w:color="auto" w:fill="auto"/>
            <w:noWrap/>
            <w:vAlign w:val="bottom"/>
            <w:hideMark/>
          </w:tcPr>
          <w:p w14:paraId="5268E96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DCDE1F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 </w:t>
            </w:r>
          </w:p>
        </w:tc>
      </w:tr>
      <w:tr w:rsidR="005170DE" w:rsidRPr="005170DE" w14:paraId="1D1C2749"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17B1E3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SISTEMA DE COMUNICACIÓN Y MEDIOS</w:t>
            </w:r>
          </w:p>
        </w:tc>
        <w:tc>
          <w:tcPr>
            <w:tcW w:w="0" w:type="auto"/>
            <w:tcBorders>
              <w:top w:val="nil"/>
              <w:left w:val="nil"/>
              <w:bottom w:val="single" w:sz="4" w:space="0" w:color="000000"/>
              <w:right w:val="single" w:sz="4" w:space="0" w:color="000000"/>
            </w:tcBorders>
            <w:shd w:val="clear" w:color="auto" w:fill="auto"/>
            <w:noWrap/>
            <w:vAlign w:val="bottom"/>
            <w:hideMark/>
          </w:tcPr>
          <w:p w14:paraId="6B438CC8"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197CBC3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4D23A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180.000.000 </w:t>
            </w:r>
          </w:p>
        </w:tc>
        <w:tc>
          <w:tcPr>
            <w:tcW w:w="0" w:type="auto"/>
            <w:tcBorders>
              <w:top w:val="nil"/>
              <w:left w:val="nil"/>
              <w:bottom w:val="single" w:sz="4" w:space="0" w:color="000000"/>
              <w:right w:val="single" w:sz="4" w:space="0" w:color="000000"/>
            </w:tcBorders>
            <w:shd w:val="clear" w:color="auto" w:fill="auto"/>
            <w:noWrap/>
            <w:vAlign w:val="bottom"/>
            <w:hideMark/>
          </w:tcPr>
          <w:p w14:paraId="675EAFA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685E45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996112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180.000.000 </w:t>
            </w:r>
          </w:p>
        </w:tc>
      </w:tr>
      <w:tr w:rsidR="005170DE" w:rsidRPr="005170DE" w14:paraId="0545AC69"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C1BDE8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PLAN ESTRATÉGICO DE GESTIÓN DE TIC</w:t>
            </w:r>
          </w:p>
        </w:tc>
        <w:tc>
          <w:tcPr>
            <w:tcW w:w="0" w:type="auto"/>
            <w:tcBorders>
              <w:top w:val="nil"/>
              <w:left w:val="nil"/>
              <w:bottom w:val="single" w:sz="4" w:space="0" w:color="000000"/>
              <w:right w:val="single" w:sz="4" w:space="0" w:color="000000"/>
            </w:tcBorders>
            <w:shd w:val="clear" w:color="auto" w:fill="auto"/>
            <w:noWrap/>
            <w:vAlign w:val="bottom"/>
            <w:hideMark/>
          </w:tcPr>
          <w:p w14:paraId="3433E38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533.995.798 </w:t>
            </w:r>
          </w:p>
        </w:tc>
        <w:tc>
          <w:tcPr>
            <w:tcW w:w="0" w:type="auto"/>
            <w:tcBorders>
              <w:top w:val="nil"/>
              <w:left w:val="nil"/>
              <w:bottom w:val="single" w:sz="4" w:space="0" w:color="000000"/>
              <w:right w:val="single" w:sz="4" w:space="0" w:color="000000"/>
            </w:tcBorders>
            <w:shd w:val="clear" w:color="auto" w:fill="auto"/>
            <w:noWrap/>
            <w:vAlign w:val="bottom"/>
            <w:hideMark/>
          </w:tcPr>
          <w:p w14:paraId="45ACF575"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751588E"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150.000.000 </w:t>
            </w:r>
          </w:p>
        </w:tc>
        <w:tc>
          <w:tcPr>
            <w:tcW w:w="0" w:type="auto"/>
            <w:tcBorders>
              <w:top w:val="nil"/>
              <w:left w:val="nil"/>
              <w:bottom w:val="single" w:sz="4" w:space="0" w:color="000000"/>
              <w:right w:val="single" w:sz="4" w:space="0" w:color="000000"/>
            </w:tcBorders>
            <w:shd w:val="clear" w:color="auto" w:fill="auto"/>
            <w:noWrap/>
            <w:vAlign w:val="bottom"/>
            <w:hideMark/>
          </w:tcPr>
          <w:p w14:paraId="26BF0B4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383.995.798 </w:t>
            </w:r>
          </w:p>
        </w:tc>
        <w:tc>
          <w:tcPr>
            <w:tcW w:w="0" w:type="auto"/>
            <w:tcBorders>
              <w:top w:val="nil"/>
              <w:left w:val="nil"/>
              <w:bottom w:val="single" w:sz="4" w:space="0" w:color="000000"/>
              <w:right w:val="single" w:sz="4" w:space="0" w:color="000000"/>
            </w:tcBorders>
            <w:shd w:val="clear" w:color="auto" w:fill="auto"/>
            <w:noWrap/>
            <w:vAlign w:val="bottom"/>
            <w:hideMark/>
          </w:tcPr>
          <w:p w14:paraId="0A1FF4B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6FBCF2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533.995.798 </w:t>
            </w:r>
          </w:p>
        </w:tc>
      </w:tr>
      <w:tr w:rsidR="005170DE" w:rsidRPr="005170DE" w14:paraId="65E7CE57"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CF3EAF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SISTEMA DE GESTIÓN INTEGRADA</w:t>
            </w:r>
          </w:p>
        </w:tc>
        <w:tc>
          <w:tcPr>
            <w:tcW w:w="0" w:type="auto"/>
            <w:tcBorders>
              <w:top w:val="nil"/>
              <w:left w:val="nil"/>
              <w:bottom w:val="single" w:sz="4" w:space="0" w:color="000000"/>
              <w:right w:val="single" w:sz="4" w:space="0" w:color="000000"/>
            </w:tcBorders>
            <w:shd w:val="clear" w:color="auto" w:fill="auto"/>
            <w:noWrap/>
            <w:vAlign w:val="bottom"/>
            <w:hideMark/>
          </w:tcPr>
          <w:p w14:paraId="1489259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 </w:t>
            </w:r>
          </w:p>
        </w:tc>
        <w:tc>
          <w:tcPr>
            <w:tcW w:w="0" w:type="auto"/>
            <w:tcBorders>
              <w:top w:val="nil"/>
              <w:left w:val="nil"/>
              <w:bottom w:val="single" w:sz="4" w:space="0" w:color="000000"/>
              <w:right w:val="single" w:sz="4" w:space="0" w:color="000000"/>
            </w:tcBorders>
            <w:shd w:val="clear" w:color="auto" w:fill="auto"/>
            <w:noWrap/>
            <w:vAlign w:val="bottom"/>
            <w:hideMark/>
          </w:tcPr>
          <w:p w14:paraId="6C7436B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1633BE2"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6FD1243"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 </w:t>
            </w:r>
          </w:p>
        </w:tc>
        <w:tc>
          <w:tcPr>
            <w:tcW w:w="0" w:type="auto"/>
            <w:tcBorders>
              <w:top w:val="nil"/>
              <w:left w:val="nil"/>
              <w:bottom w:val="single" w:sz="4" w:space="0" w:color="000000"/>
              <w:right w:val="single" w:sz="4" w:space="0" w:color="000000"/>
            </w:tcBorders>
            <w:shd w:val="clear" w:color="auto" w:fill="auto"/>
            <w:noWrap/>
            <w:vAlign w:val="bottom"/>
            <w:hideMark/>
          </w:tcPr>
          <w:p w14:paraId="05B260E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73CE346"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25.000.000 </w:t>
            </w:r>
          </w:p>
        </w:tc>
      </w:tr>
      <w:tr w:rsidR="005170DE" w:rsidRPr="005170DE" w14:paraId="465F82C9" w14:textId="77777777" w:rsidTr="005170DE">
        <w:trPr>
          <w:trHeight w:val="315"/>
        </w:trPr>
        <w:tc>
          <w:tcPr>
            <w:tcW w:w="0" w:type="auto"/>
            <w:tcBorders>
              <w:top w:val="nil"/>
              <w:left w:val="single" w:sz="4" w:space="0" w:color="000000"/>
              <w:bottom w:val="single" w:sz="4" w:space="0" w:color="000000"/>
              <w:right w:val="single" w:sz="4" w:space="0" w:color="000000"/>
            </w:tcBorders>
            <w:shd w:val="clear" w:color="FFC000" w:fill="FFC000"/>
            <w:vAlign w:val="bottom"/>
            <w:hideMark/>
          </w:tcPr>
          <w:p w14:paraId="08E3DE9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PROGRAMA-REGIONALIZACIÓN.</w:t>
            </w:r>
          </w:p>
        </w:tc>
        <w:tc>
          <w:tcPr>
            <w:tcW w:w="0" w:type="auto"/>
            <w:tcBorders>
              <w:top w:val="nil"/>
              <w:left w:val="nil"/>
              <w:bottom w:val="single" w:sz="4" w:space="0" w:color="000000"/>
              <w:right w:val="single" w:sz="4" w:space="0" w:color="000000"/>
            </w:tcBorders>
            <w:shd w:val="clear" w:color="FFC000" w:fill="FFC000"/>
            <w:noWrap/>
            <w:vAlign w:val="bottom"/>
            <w:hideMark/>
          </w:tcPr>
          <w:p w14:paraId="28DFDBF1"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c>
          <w:tcPr>
            <w:tcW w:w="0" w:type="auto"/>
            <w:tcBorders>
              <w:top w:val="nil"/>
              <w:left w:val="nil"/>
              <w:bottom w:val="single" w:sz="4" w:space="0" w:color="000000"/>
              <w:right w:val="single" w:sz="4" w:space="0" w:color="000000"/>
            </w:tcBorders>
            <w:shd w:val="clear" w:color="FFC000" w:fill="FFC000"/>
            <w:noWrap/>
            <w:vAlign w:val="bottom"/>
            <w:hideMark/>
          </w:tcPr>
          <w:p w14:paraId="2F057B2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00524F6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70BCD9CA"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 </w:t>
            </w:r>
          </w:p>
        </w:tc>
        <w:tc>
          <w:tcPr>
            <w:tcW w:w="0" w:type="auto"/>
            <w:tcBorders>
              <w:top w:val="nil"/>
              <w:left w:val="nil"/>
              <w:bottom w:val="single" w:sz="4" w:space="0" w:color="000000"/>
              <w:right w:val="single" w:sz="4" w:space="0" w:color="000000"/>
            </w:tcBorders>
            <w:shd w:val="clear" w:color="FFC000" w:fill="FFC000"/>
            <w:noWrap/>
            <w:vAlign w:val="bottom"/>
            <w:hideMark/>
          </w:tcPr>
          <w:p w14:paraId="17FBFD2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c>
          <w:tcPr>
            <w:tcW w:w="0" w:type="auto"/>
            <w:tcBorders>
              <w:top w:val="nil"/>
              <w:left w:val="nil"/>
              <w:bottom w:val="single" w:sz="4" w:space="0" w:color="000000"/>
              <w:right w:val="single" w:sz="4" w:space="0" w:color="000000"/>
            </w:tcBorders>
            <w:shd w:val="clear" w:color="FFC000" w:fill="FFC000"/>
            <w:noWrap/>
            <w:vAlign w:val="bottom"/>
            <w:hideMark/>
          </w:tcPr>
          <w:p w14:paraId="392B1F60"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r>
      <w:tr w:rsidR="005170DE" w:rsidRPr="005170DE" w14:paraId="3A5C6338" w14:textId="77777777" w:rsidTr="005170DE">
        <w:trPr>
          <w:trHeight w:val="405"/>
        </w:trPr>
        <w:tc>
          <w:tcPr>
            <w:tcW w:w="0" w:type="auto"/>
            <w:tcBorders>
              <w:top w:val="nil"/>
              <w:left w:val="single" w:sz="4" w:space="0" w:color="000000"/>
              <w:bottom w:val="single" w:sz="4" w:space="0" w:color="000000"/>
              <w:right w:val="single" w:sz="4" w:space="0" w:color="000000"/>
            </w:tcBorders>
            <w:shd w:val="clear" w:color="auto" w:fill="auto"/>
            <w:hideMark/>
          </w:tcPr>
          <w:p w14:paraId="59293BD9"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PLAN ESTRATÉGICO DE EXPANSIÓN DEL CAMPUS UNIVERSITARIO SIGLO XXI</w:t>
            </w:r>
          </w:p>
        </w:tc>
        <w:tc>
          <w:tcPr>
            <w:tcW w:w="0" w:type="auto"/>
            <w:tcBorders>
              <w:top w:val="nil"/>
              <w:left w:val="nil"/>
              <w:bottom w:val="single" w:sz="4" w:space="0" w:color="000000"/>
              <w:right w:val="single" w:sz="4" w:space="0" w:color="000000"/>
            </w:tcBorders>
            <w:shd w:val="clear" w:color="auto" w:fill="auto"/>
            <w:noWrap/>
            <w:hideMark/>
          </w:tcPr>
          <w:p w14:paraId="1DE9E41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c>
          <w:tcPr>
            <w:tcW w:w="0" w:type="auto"/>
            <w:tcBorders>
              <w:top w:val="nil"/>
              <w:left w:val="nil"/>
              <w:bottom w:val="single" w:sz="4" w:space="0" w:color="000000"/>
              <w:right w:val="single" w:sz="4" w:space="0" w:color="000000"/>
            </w:tcBorders>
            <w:shd w:val="clear" w:color="auto" w:fill="auto"/>
            <w:noWrap/>
            <w:hideMark/>
          </w:tcPr>
          <w:p w14:paraId="30DF8A7D"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hideMark/>
          </w:tcPr>
          <w:p w14:paraId="0AD0B23C"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hideMark/>
          </w:tcPr>
          <w:p w14:paraId="03524C97"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w:t>
            </w:r>
          </w:p>
        </w:tc>
        <w:tc>
          <w:tcPr>
            <w:tcW w:w="0" w:type="auto"/>
            <w:tcBorders>
              <w:top w:val="nil"/>
              <w:left w:val="nil"/>
              <w:bottom w:val="single" w:sz="4" w:space="0" w:color="000000"/>
              <w:right w:val="single" w:sz="4" w:space="0" w:color="000000"/>
            </w:tcBorders>
            <w:shd w:val="clear" w:color="auto" w:fill="auto"/>
            <w:noWrap/>
            <w:hideMark/>
          </w:tcPr>
          <w:p w14:paraId="0750F77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c>
          <w:tcPr>
            <w:tcW w:w="0" w:type="auto"/>
            <w:tcBorders>
              <w:top w:val="nil"/>
              <w:left w:val="nil"/>
              <w:bottom w:val="single" w:sz="4" w:space="0" w:color="000000"/>
              <w:right w:val="single" w:sz="4" w:space="0" w:color="000000"/>
            </w:tcBorders>
            <w:shd w:val="clear" w:color="auto" w:fill="auto"/>
            <w:noWrap/>
            <w:hideMark/>
          </w:tcPr>
          <w:p w14:paraId="4831D244" w14:textId="77777777" w:rsidR="005170DE" w:rsidRPr="005170DE" w:rsidRDefault="005170DE" w:rsidP="005170DE">
            <w:pPr>
              <w:spacing w:after="0" w:line="240" w:lineRule="auto"/>
              <w:rPr>
                <w:rFonts w:asciiTheme="majorHAnsi" w:eastAsia="Times New Roman" w:hAnsiTheme="majorHAnsi" w:cstheme="majorHAnsi"/>
                <w:color w:val="000000"/>
                <w:sz w:val="16"/>
                <w:szCs w:val="16"/>
                <w:lang w:eastAsia="es-CO"/>
              </w:rPr>
            </w:pPr>
            <w:r w:rsidRPr="005170DE">
              <w:rPr>
                <w:rFonts w:asciiTheme="majorHAnsi" w:eastAsia="Times New Roman" w:hAnsiTheme="majorHAnsi" w:cstheme="majorHAnsi"/>
                <w:color w:val="000000"/>
                <w:sz w:val="16"/>
                <w:szCs w:val="16"/>
                <w:lang w:eastAsia="es-CO"/>
              </w:rPr>
              <w:t xml:space="preserve">                   1.365.809.240 </w:t>
            </w:r>
          </w:p>
        </w:tc>
      </w:tr>
    </w:tbl>
    <w:p w14:paraId="055734D0" w14:textId="77777777" w:rsidR="005170DE" w:rsidRDefault="005170DE" w:rsidP="00997FA4">
      <w:pPr>
        <w:spacing w:after="0" w:line="240" w:lineRule="auto"/>
        <w:contextualSpacing/>
        <w:jc w:val="both"/>
        <w:rPr>
          <w:rFonts w:ascii="Tahoma" w:hAnsi="Tahoma" w:cs="Tahoma"/>
        </w:rPr>
      </w:pPr>
    </w:p>
    <w:p w14:paraId="7D91BE64" w14:textId="77777777" w:rsidR="00C15DCD" w:rsidRDefault="00C15DCD" w:rsidP="00997FA4">
      <w:pPr>
        <w:spacing w:after="0" w:line="240" w:lineRule="auto"/>
        <w:contextualSpacing/>
        <w:jc w:val="both"/>
        <w:rPr>
          <w:rFonts w:ascii="Tahoma" w:hAnsi="Tahoma" w:cs="Tahoma"/>
        </w:rPr>
      </w:pPr>
      <w:r>
        <w:rPr>
          <w:rFonts w:ascii="Tahoma" w:hAnsi="Tahoma" w:cs="Tahoma"/>
        </w:rPr>
        <w:t xml:space="preserve">Fuente:  Universidad del Tolima </w:t>
      </w:r>
      <w:hyperlink r:id="rId8" w:history="1">
        <w:r>
          <w:rPr>
            <w:rStyle w:val="Hipervnculo"/>
          </w:rPr>
          <w:t>https://www.ut.edu.co/transparencia-y-acceso-a-la-informacion-publica.html</w:t>
        </w:r>
      </w:hyperlink>
    </w:p>
    <w:p w14:paraId="5B41F052" w14:textId="77777777" w:rsidR="00997FA4" w:rsidRDefault="00997FA4" w:rsidP="00997FA4">
      <w:pPr>
        <w:spacing w:after="0" w:line="240" w:lineRule="auto"/>
        <w:contextualSpacing/>
        <w:jc w:val="both"/>
        <w:rPr>
          <w:rFonts w:ascii="Tahoma" w:hAnsi="Tahoma" w:cs="Tahoma"/>
        </w:rPr>
      </w:pPr>
    </w:p>
    <w:p w14:paraId="0BAD6C82" w14:textId="77777777" w:rsidR="00205E26" w:rsidRPr="004C7113" w:rsidRDefault="00C15DCD" w:rsidP="00997FA4">
      <w:pPr>
        <w:spacing w:after="0" w:line="240" w:lineRule="auto"/>
        <w:contextualSpacing/>
        <w:jc w:val="both"/>
        <w:rPr>
          <w:rFonts w:ascii="Tahoma" w:hAnsi="Tahoma" w:cs="Tahoma"/>
          <w:sz w:val="24"/>
          <w:szCs w:val="24"/>
        </w:rPr>
      </w:pPr>
      <w:r w:rsidRPr="004C7113">
        <w:rPr>
          <w:rFonts w:ascii="Tahoma" w:hAnsi="Tahoma" w:cs="Tahoma"/>
          <w:sz w:val="24"/>
          <w:szCs w:val="24"/>
        </w:rPr>
        <w:t>La universidad tiene un total de 10 mil millones para gastos de inversión, en seguimiento de sus ejes</w:t>
      </w:r>
      <w:r w:rsidR="00C2415A" w:rsidRPr="004C7113">
        <w:rPr>
          <w:rFonts w:ascii="Tahoma" w:hAnsi="Tahoma" w:cs="Tahoma"/>
          <w:sz w:val="24"/>
          <w:szCs w:val="24"/>
        </w:rPr>
        <w:t xml:space="preserve">: excelencia, compromiso social, compromiso ambiental y la eficiencia y transparencia administrativa. </w:t>
      </w:r>
    </w:p>
    <w:p w14:paraId="17286E3A" w14:textId="77777777" w:rsidR="00205E26" w:rsidRPr="004C7113" w:rsidRDefault="00205E26" w:rsidP="00997FA4">
      <w:pPr>
        <w:spacing w:after="0" w:line="240" w:lineRule="auto"/>
        <w:contextualSpacing/>
        <w:jc w:val="both"/>
        <w:rPr>
          <w:rFonts w:ascii="Tahoma" w:hAnsi="Tahoma" w:cs="Tahoma"/>
          <w:sz w:val="24"/>
          <w:szCs w:val="24"/>
        </w:rPr>
      </w:pPr>
    </w:p>
    <w:p w14:paraId="051966FD"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El primero de ellos, </w:t>
      </w:r>
      <w:r w:rsidR="00205E26" w:rsidRPr="004C7113">
        <w:rPr>
          <w:rFonts w:ascii="Tahoma" w:hAnsi="Tahoma" w:cs="Tahoma"/>
          <w:b/>
          <w:sz w:val="24"/>
          <w:szCs w:val="24"/>
        </w:rPr>
        <w:t xml:space="preserve">el eje de </w:t>
      </w:r>
      <w:r w:rsidRPr="004C7113">
        <w:rPr>
          <w:rFonts w:ascii="Tahoma" w:hAnsi="Tahoma" w:cs="Tahoma"/>
          <w:b/>
          <w:sz w:val="24"/>
          <w:szCs w:val="24"/>
        </w:rPr>
        <w:t>la excelencia</w:t>
      </w:r>
      <w:r w:rsidR="0087499E" w:rsidRPr="004C7113">
        <w:rPr>
          <w:rFonts w:ascii="Tahoma" w:hAnsi="Tahoma" w:cs="Tahoma"/>
          <w:sz w:val="24"/>
          <w:szCs w:val="24"/>
        </w:rPr>
        <w:t xml:space="preserve">, que </w:t>
      </w:r>
      <w:r w:rsidRPr="004C7113">
        <w:rPr>
          <w:rFonts w:ascii="Tahoma" w:hAnsi="Tahoma" w:cs="Tahoma"/>
          <w:sz w:val="24"/>
          <w:szCs w:val="24"/>
        </w:rPr>
        <w:t>busca</w:t>
      </w:r>
      <w:r w:rsidR="00205E26" w:rsidRPr="004C7113">
        <w:rPr>
          <w:rFonts w:ascii="Tahoma" w:hAnsi="Tahoma" w:cs="Tahoma"/>
          <w:sz w:val="24"/>
          <w:szCs w:val="24"/>
        </w:rPr>
        <w:t xml:space="preserve"> que l</w:t>
      </w:r>
      <w:r w:rsidRPr="004C7113">
        <w:rPr>
          <w:rFonts w:ascii="Tahoma" w:hAnsi="Tahoma" w:cs="Tahoma"/>
          <w:sz w:val="24"/>
          <w:szCs w:val="24"/>
        </w:rPr>
        <w:t>os planes de estudio en la Universidad del Tolima procurarán la formación académica, teniendo como principal interés el desarrollo humano, mediante la formación en actitudes y habilidades del ser, del saber y el hacer (cognitivas, socio-afectivas y comunicativas), relacionadas entre sí, para facilitar el desempeño flexible en situaciones relativamente nuevas y en contextos sociales complejos. La excelencia académica es la apuesta que hace la Universidad del Tolima en cuatro dimensiones, a saber: formación de recursos humanos, vinculación de docentes con las más altas calidades y experiencias, aumento sistemático de la cantidad y calidad de los productos de investigación, y evaluación y acreditación permanente de sus procesos y productos</w:t>
      </w:r>
      <w:r w:rsidRPr="004C7113">
        <w:rPr>
          <w:rStyle w:val="Refdenotaalpie"/>
          <w:rFonts w:ascii="Tahoma" w:hAnsi="Tahoma" w:cs="Tahoma"/>
          <w:sz w:val="24"/>
          <w:szCs w:val="24"/>
        </w:rPr>
        <w:footnoteReference w:id="2"/>
      </w:r>
      <w:r w:rsidRPr="004C7113">
        <w:rPr>
          <w:rFonts w:ascii="Tahoma" w:hAnsi="Tahoma" w:cs="Tahoma"/>
          <w:sz w:val="24"/>
          <w:szCs w:val="24"/>
        </w:rPr>
        <w:t>.</w:t>
      </w:r>
    </w:p>
    <w:p w14:paraId="3A90A910" w14:textId="77777777" w:rsidR="00C2415A" w:rsidRPr="004C7113" w:rsidRDefault="00C2415A" w:rsidP="00997FA4">
      <w:pPr>
        <w:spacing w:after="0" w:line="240" w:lineRule="auto"/>
        <w:contextualSpacing/>
        <w:jc w:val="both"/>
        <w:rPr>
          <w:rFonts w:ascii="Tahoma" w:hAnsi="Tahoma" w:cs="Tahoma"/>
          <w:sz w:val="24"/>
          <w:szCs w:val="24"/>
        </w:rPr>
      </w:pPr>
    </w:p>
    <w:p w14:paraId="5AB2AAA5"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De igual forma, La Universidad considera al profesor universitario como un profesional académico que más que cumplir roles, desarrolla labores de docencia, investigación y producción intelectual, proyección social e interacciones académicas con otras comunidades, a través de redes de colaboración. El profesor universitario es un profesional académico que actúa como líder en la sociedad. </w:t>
      </w:r>
    </w:p>
    <w:p w14:paraId="134961FF" w14:textId="77777777" w:rsidR="00C2415A" w:rsidRPr="004C7113" w:rsidRDefault="00C2415A" w:rsidP="00997FA4">
      <w:pPr>
        <w:spacing w:after="0" w:line="240" w:lineRule="auto"/>
        <w:contextualSpacing/>
        <w:jc w:val="both"/>
        <w:rPr>
          <w:rFonts w:ascii="Tahoma" w:hAnsi="Tahoma" w:cs="Tahoma"/>
          <w:sz w:val="24"/>
          <w:szCs w:val="24"/>
        </w:rPr>
      </w:pPr>
    </w:p>
    <w:p w14:paraId="01413641"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b/>
          <w:sz w:val="24"/>
          <w:szCs w:val="24"/>
        </w:rPr>
        <w:t>El fortalecimiento de la formación docente</w:t>
      </w:r>
      <w:r w:rsidRPr="004C7113">
        <w:rPr>
          <w:rFonts w:ascii="Tahoma" w:hAnsi="Tahoma" w:cs="Tahoma"/>
          <w:sz w:val="24"/>
          <w:szCs w:val="24"/>
        </w:rPr>
        <w:t xml:space="preserve"> se debe orientar a la cualificación de una planta profesoral con prioridad en los requerimientos institucionales, en la perspectiva del abordaje de problemas regionales, teniendo en cuenta líneas de investigación pertinentes y requerimientos de los procesos didácticos y pedagógicos, de investigación y de proyección social. En este proceso juega un papel importante la formación de los profesores como investigadores y la formación de los profesores en actividades propias de la docencia, el diseño curricular, la construcción de material didáctico y la evaluación</w:t>
      </w:r>
      <w:r w:rsidR="0087499E" w:rsidRPr="004C7113">
        <w:rPr>
          <w:rStyle w:val="Refdenotaalpie"/>
          <w:rFonts w:ascii="Tahoma" w:hAnsi="Tahoma" w:cs="Tahoma"/>
          <w:sz w:val="24"/>
          <w:szCs w:val="24"/>
        </w:rPr>
        <w:footnoteReference w:id="3"/>
      </w:r>
      <w:r w:rsidRPr="004C7113">
        <w:rPr>
          <w:rFonts w:ascii="Tahoma" w:hAnsi="Tahoma" w:cs="Tahoma"/>
          <w:sz w:val="24"/>
          <w:szCs w:val="24"/>
        </w:rPr>
        <w:t>.</w:t>
      </w:r>
    </w:p>
    <w:p w14:paraId="3DCAFB15" w14:textId="77777777" w:rsidR="00C2415A" w:rsidRPr="004C7113" w:rsidRDefault="00C2415A" w:rsidP="00997FA4">
      <w:pPr>
        <w:spacing w:after="0" w:line="240" w:lineRule="auto"/>
        <w:contextualSpacing/>
        <w:jc w:val="both"/>
        <w:rPr>
          <w:rFonts w:ascii="Tahoma" w:hAnsi="Tahoma" w:cs="Tahoma"/>
          <w:sz w:val="24"/>
          <w:szCs w:val="24"/>
        </w:rPr>
      </w:pPr>
    </w:p>
    <w:p w14:paraId="2F0F398F"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De igual forma, la universidad cuenta con el </w:t>
      </w:r>
      <w:r w:rsidRPr="004C7113">
        <w:rPr>
          <w:rFonts w:ascii="Tahoma" w:hAnsi="Tahoma" w:cs="Tahoma"/>
          <w:b/>
          <w:sz w:val="24"/>
          <w:szCs w:val="24"/>
        </w:rPr>
        <w:t>programa de modernización curricular</w:t>
      </w:r>
      <w:r w:rsidR="0087499E" w:rsidRPr="004C7113">
        <w:rPr>
          <w:rStyle w:val="Refdenotaalpie"/>
          <w:rFonts w:ascii="Tahoma" w:hAnsi="Tahoma" w:cs="Tahoma"/>
          <w:b/>
          <w:sz w:val="24"/>
          <w:szCs w:val="24"/>
        </w:rPr>
        <w:footnoteReference w:id="4"/>
      </w:r>
      <w:r w:rsidRPr="004C7113">
        <w:rPr>
          <w:rFonts w:ascii="Tahoma" w:hAnsi="Tahoma" w:cs="Tahoma"/>
          <w:sz w:val="24"/>
          <w:szCs w:val="24"/>
        </w:rPr>
        <w:t xml:space="preserve"> se desprende del Proyecto Educativo Institucional (PEI) el cual se constituye en una carta maestra de navegación para la Universidad. Del PEI se desprenden, entre otros, cuatro programas importantes: </w:t>
      </w:r>
    </w:p>
    <w:p w14:paraId="761FFB96" w14:textId="77777777" w:rsidR="00C2415A" w:rsidRPr="004C7113" w:rsidRDefault="00C2415A" w:rsidP="00997FA4">
      <w:pPr>
        <w:spacing w:after="0" w:line="240" w:lineRule="auto"/>
        <w:contextualSpacing/>
        <w:jc w:val="both"/>
        <w:rPr>
          <w:rFonts w:ascii="Tahoma" w:hAnsi="Tahoma" w:cs="Tahoma"/>
          <w:sz w:val="24"/>
          <w:szCs w:val="24"/>
        </w:rPr>
      </w:pPr>
    </w:p>
    <w:p w14:paraId="4403A520"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a) la construcción de los Proyectos Educativos de Programa, como estrategia para construir e implementar programas académicos de alta calidad, con una reflexión para su renovación permanente; </w:t>
      </w:r>
    </w:p>
    <w:p w14:paraId="5AE28B60"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b) la estructuración curricular que se fundamenta en fundamenta en los principios curriculares de contextualización, internacionalización, formación investigativa, interdisciplinariedad, flexibilidad y mediación; </w:t>
      </w:r>
    </w:p>
    <w:p w14:paraId="4009B80B"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c) la acreditación de los programas académicos; en esta dimensión, la Universidad del Tolima generará las condiciones necesarias y suficientes para que sus programas sean evaluados y reconocidos por su alta calidad y </w:t>
      </w:r>
    </w:p>
    <w:p w14:paraId="4FE6537D"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d) l-a educación mediada por las TIC. En la Universidad del Tolima se fortalecerá la infraestructura de redes, la dotación de hardware y software, se actualizará a los maestros para que hagan un uso sistemático de la tecnología computacional, como herramienta mediadora entre la enseñanza y el aprendizaje y como herramienta motivadora e innovadora en el acto pedagógico. En el proceso de modernización curricular se contempla igualmente la perspectiva de creación de nuevos programas de pregrado y la adopción de la formación por ciclos propedéuticos, así, la Universidad del Tolima estructura un proceso de for- 92 93 mación que incluye los ciclos técnico, tecnológico y superior, incluyendo la formación de nivel posgraduado.</w:t>
      </w:r>
    </w:p>
    <w:p w14:paraId="521DC5EA" w14:textId="77777777" w:rsidR="00C2415A" w:rsidRPr="004C7113" w:rsidRDefault="00C2415A" w:rsidP="00997FA4">
      <w:pPr>
        <w:spacing w:after="0" w:line="240" w:lineRule="auto"/>
        <w:contextualSpacing/>
        <w:jc w:val="both"/>
        <w:rPr>
          <w:rFonts w:ascii="Tahoma" w:hAnsi="Tahoma" w:cs="Tahoma"/>
          <w:sz w:val="24"/>
          <w:szCs w:val="24"/>
        </w:rPr>
      </w:pPr>
    </w:p>
    <w:p w14:paraId="5B3E843D"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b/>
          <w:sz w:val="24"/>
          <w:szCs w:val="24"/>
        </w:rPr>
        <w:t>Política de Educación a Distancia</w:t>
      </w:r>
      <w:r w:rsidR="0087499E" w:rsidRPr="004C7113">
        <w:rPr>
          <w:rStyle w:val="Refdenotaalpie"/>
          <w:rFonts w:ascii="Tahoma" w:hAnsi="Tahoma" w:cs="Tahoma"/>
          <w:b/>
          <w:sz w:val="24"/>
          <w:szCs w:val="24"/>
        </w:rPr>
        <w:footnoteReference w:id="5"/>
      </w:r>
      <w:r w:rsidRPr="004C7113">
        <w:rPr>
          <w:rFonts w:ascii="Tahoma" w:hAnsi="Tahoma" w:cs="Tahoma"/>
          <w:sz w:val="24"/>
          <w:szCs w:val="24"/>
        </w:rPr>
        <w:t xml:space="preserve">. La educación superior a distancia ha tenido diversidad de desarrollos en distintos lugares del mundo. Desde la educación por correspondencia hasta la emergencia de la educación virtual, las innovaciones pedagógicas y tecnológicas han permitido el crecimiento y mejoramiento continuo de los proyectos de formación de aquellas universidades que se han planteado el reto de construir una opción que complementa las clásicas propuestas de educación presencial. En este campo, la Universidad del Tolima cuenta con un acumulado histórico 94 95 de gran relevancia. A través del Instituto de Educación a Distancia, se ha gestado un proyecto académico, que permite a comunidades de diferentes zonas del país acceder a la educación superior. </w:t>
      </w:r>
    </w:p>
    <w:p w14:paraId="0863F706" w14:textId="77777777" w:rsidR="00C2415A" w:rsidRPr="004C7113" w:rsidRDefault="00C2415A" w:rsidP="00997FA4">
      <w:pPr>
        <w:spacing w:after="0" w:line="240" w:lineRule="auto"/>
        <w:contextualSpacing/>
        <w:jc w:val="both"/>
        <w:rPr>
          <w:rFonts w:ascii="Tahoma" w:hAnsi="Tahoma" w:cs="Tahoma"/>
          <w:sz w:val="24"/>
          <w:szCs w:val="24"/>
        </w:rPr>
      </w:pPr>
    </w:p>
    <w:p w14:paraId="7E085301"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Se proyecta el fortalecimiento y consolidación de la modalidad de educación a distancia, a partir de una estrategia de autoformación que articule la docencia, la investigación y la proyección social. Tal estrategia se fundamenta en la formación en y para la autonomía y en el currículo problémico; soportada en la investigación formativa; apoyada en ambientes mixtos o híbridos de aprendizaje que integran el trabajo independiente del estudiante y el trabajo orientado por el profesor e incorporan el uso de tecnologías de información y comunicación, e innovadora de los procesos formativos a partir de la investigación educativa.</w:t>
      </w:r>
    </w:p>
    <w:p w14:paraId="2065458D" w14:textId="77777777" w:rsidR="00C2415A" w:rsidRPr="004C7113" w:rsidRDefault="00C2415A" w:rsidP="00997FA4">
      <w:pPr>
        <w:spacing w:after="0" w:line="240" w:lineRule="auto"/>
        <w:contextualSpacing/>
        <w:jc w:val="both"/>
        <w:rPr>
          <w:rFonts w:ascii="Tahoma" w:hAnsi="Tahoma" w:cs="Tahoma"/>
          <w:sz w:val="24"/>
          <w:szCs w:val="24"/>
        </w:rPr>
      </w:pPr>
    </w:p>
    <w:p w14:paraId="6829F32F"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Política de educación mediada por las TIC. La educación se encuentra en un punto de encuentro de diferentes posibilidades de organización de Sus principios, propósitos y fines institucionales. Se puede presentar este actuar educativo en una interacción constante de motivos mediados por: la institución de Educación Superior misma, en el ser del profesor universitario, el tipo de estudiante y profesional que se quiere formar, el contexto regulatorio de políticas normativas y económicas, y las tecnologías de la información y la comunicación (TIC). La educación mediada por tecnología de la información y la comunicación obliga a reconocer y a aceptar que la tecnología computacional ha permeado las acciones pedagógicas, y como tal, ha modelado nuevos modos de aprendizaje. Este nuevo modo de aprendizaje instaura un régimen de alfabetización digital que a su vez organiza las prácticas pedagógicas en ambientes de aprendizaje digitalizados.</w:t>
      </w:r>
    </w:p>
    <w:p w14:paraId="2C633E6C" w14:textId="77777777" w:rsidR="00C2415A" w:rsidRPr="004C7113" w:rsidRDefault="00C2415A" w:rsidP="00997FA4">
      <w:pPr>
        <w:spacing w:after="0" w:line="240" w:lineRule="auto"/>
        <w:contextualSpacing/>
        <w:jc w:val="both"/>
        <w:rPr>
          <w:rFonts w:ascii="Tahoma" w:hAnsi="Tahoma" w:cs="Tahoma"/>
          <w:sz w:val="24"/>
          <w:szCs w:val="24"/>
        </w:rPr>
      </w:pPr>
    </w:p>
    <w:p w14:paraId="765E81BC"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Además, la de la </w:t>
      </w:r>
      <w:r w:rsidRPr="004C7113">
        <w:rPr>
          <w:rFonts w:ascii="Tahoma" w:hAnsi="Tahoma" w:cs="Tahoma"/>
          <w:b/>
          <w:sz w:val="24"/>
          <w:szCs w:val="24"/>
        </w:rPr>
        <w:t>política de investigación</w:t>
      </w:r>
      <w:r w:rsidR="0087499E" w:rsidRPr="004C7113">
        <w:rPr>
          <w:rStyle w:val="Refdenotaalpie"/>
          <w:rFonts w:ascii="Tahoma" w:hAnsi="Tahoma" w:cs="Tahoma"/>
          <w:b/>
          <w:sz w:val="24"/>
          <w:szCs w:val="24"/>
        </w:rPr>
        <w:footnoteReference w:id="6"/>
      </w:r>
      <w:r w:rsidRPr="004C7113">
        <w:rPr>
          <w:rFonts w:ascii="Tahoma" w:hAnsi="Tahoma" w:cs="Tahoma"/>
          <w:sz w:val="24"/>
          <w:szCs w:val="24"/>
        </w:rPr>
        <w:t xml:space="preserve">, la cual es factor determinante en la generación de conocimiento para fortalecer los procesos de producción social, económica y cultural, que marquen diferencias esenciales en la competitividad y en el crecimiento equitativo de las sociedades. Producir conocimiento es construir mundos posibles, razón por la cual, hablar de producción implica construir la experiencia que se hace valiosa para enfrentar el mundo en el cual se encuentra enmarcada la Universidad. </w:t>
      </w:r>
    </w:p>
    <w:p w14:paraId="22A3F499" w14:textId="77777777" w:rsidR="00C2415A" w:rsidRPr="004C7113" w:rsidRDefault="00C2415A" w:rsidP="00997FA4">
      <w:pPr>
        <w:spacing w:after="0" w:line="240" w:lineRule="auto"/>
        <w:contextualSpacing/>
        <w:jc w:val="both"/>
        <w:rPr>
          <w:rFonts w:ascii="Tahoma" w:hAnsi="Tahoma" w:cs="Tahoma"/>
          <w:sz w:val="24"/>
          <w:szCs w:val="24"/>
        </w:rPr>
      </w:pPr>
    </w:p>
    <w:p w14:paraId="06EB4942" w14:textId="77777777" w:rsidR="00C2415A"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Las problemáticas de investigación que requieren exploración, observación, descripción, interpretación, sistematización, en la región y desde la región, deben estar estructuradas de tal manera que continúen con la tradición de investigación institucional de la Universidad. Este conocimiento no solo es de carácter académico, sino que es producto de labores investigativas sobre los problemas fundamentales de la región, en perspectiva universal. Para lograr este propósito se requiere de la revisión, la valoración de impactos y la actualización permanente de las líneas de investigación, así como de un plan de fomento a la investigación y la capacidad científica y tecnológica institucional.</w:t>
      </w:r>
    </w:p>
    <w:p w14:paraId="0B661AE2" w14:textId="77777777" w:rsidR="00C2415A" w:rsidRPr="004C7113" w:rsidRDefault="00C2415A" w:rsidP="00997FA4">
      <w:pPr>
        <w:spacing w:after="0" w:line="240" w:lineRule="auto"/>
        <w:contextualSpacing/>
        <w:jc w:val="both"/>
        <w:rPr>
          <w:rFonts w:ascii="Tahoma" w:hAnsi="Tahoma" w:cs="Tahoma"/>
          <w:sz w:val="24"/>
          <w:szCs w:val="24"/>
        </w:rPr>
      </w:pPr>
    </w:p>
    <w:p w14:paraId="67220287" w14:textId="77777777" w:rsidR="0087499E" w:rsidRPr="004C7113" w:rsidRDefault="00C2415A" w:rsidP="00997FA4">
      <w:pPr>
        <w:spacing w:after="0" w:line="240" w:lineRule="auto"/>
        <w:contextualSpacing/>
        <w:jc w:val="both"/>
        <w:rPr>
          <w:rFonts w:ascii="Tahoma" w:hAnsi="Tahoma" w:cs="Tahoma"/>
          <w:sz w:val="24"/>
          <w:szCs w:val="24"/>
        </w:rPr>
      </w:pPr>
      <w:r w:rsidRPr="004C7113">
        <w:rPr>
          <w:rFonts w:ascii="Tahoma" w:hAnsi="Tahoma" w:cs="Tahoma"/>
          <w:sz w:val="24"/>
          <w:szCs w:val="24"/>
        </w:rPr>
        <w:t>El segundo eje abarca el compromiso social de la universidad</w:t>
      </w:r>
      <w:r w:rsidR="0087499E" w:rsidRPr="004C7113">
        <w:rPr>
          <w:rFonts w:ascii="Tahoma" w:hAnsi="Tahoma" w:cs="Tahoma"/>
          <w:sz w:val="24"/>
          <w:szCs w:val="24"/>
        </w:rPr>
        <w:t xml:space="preserve">, el cual integra dos programas macro: el programa de Desarrollo Humano y el programa de Proyección Social. En el primero se promoverá el principio de equidad en el ingreso y permanencia de los estudiantes, se trabajará por la equidad de género, se propiciarán condiciones para una buena salud mental y física de la comunidad universitaria, se promoverán el deporte y la recreación para el disfrute del ocio y el tiempo libre, e y se impulsarán las artes y las diversas expresiones culturales orientadas a la movilización de liderazgos sociales, políticos, económicos y culturales que dinamicen la realidad social. </w:t>
      </w:r>
    </w:p>
    <w:p w14:paraId="1EC7D840" w14:textId="77777777" w:rsidR="0087499E" w:rsidRPr="004C7113" w:rsidRDefault="0087499E" w:rsidP="00997FA4">
      <w:pPr>
        <w:spacing w:after="0" w:line="240" w:lineRule="auto"/>
        <w:contextualSpacing/>
        <w:jc w:val="both"/>
        <w:rPr>
          <w:rFonts w:ascii="Tahoma" w:hAnsi="Tahoma" w:cs="Tahoma"/>
          <w:sz w:val="24"/>
          <w:szCs w:val="24"/>
        </w:rPr>
      </w:pPr>
    </w:p>
    <w:p w14:paraId="73BFD59B" w14:textId="77777777" w:rsidR="0087499E" w:rsidRPr="004C7113" w:rsidRDefault="0087499E" w:rsidP="00997FA4">
      <w:pPr>
        <w:spacing w:after="0" w:line="240" w:lineRule="auto"/>
        <w:contextualSpacing/>
        <w:jc w:val="both"/>
        <w:rPr>
          <w:rFonts w:ascii="Tahoma" w:hAnsi="Tahoma" w:cs="Tahoma"/>
          <w:sz w:val="24"/>
          <w:szCs w:val="24"/>
        </w:rPr>
      </w:pPr>
      <w:r w:rsidRPr="004C7113">
        <w:rPr>
          <w:rFonts w:ascii="Tahoma" w:hAnsi="Tahoma" w:cs="Tahoma"/>
          <w:sz w:val="24"/>
          <w:szCs w:val="24"/>
        </w:rPr>
        <w:t>El segundo abarcará acciones de apertura a la realidad social, económica, política, cultural y ambiental de todo nivel, desde lo local hasta lo internacional, partiendo de un papel propositivo que aborde las necesidades y problemas de las comunidades locales y regionales. De este modo se fortalecerá la articulación Universidad-Sociedad-Estado, involucrando a todos los actores y sectores, organizados y no organizados, de la sociedad. En consecuencia, para la Universidad es importante vincular sus procesos académicos a las instituciones públicas, a los sectores productivos, a las empresas, a los gremios, a la clase política comprometida con el territorio, a las organizaciones sociales sectoriales (campesinos, indígenas, mujeres, jóvenes y trabajadores, entre otros).</w:t>
      </w:r>
    </w:p>
    <w:p w14:paraId="21728AA7" w14:textId="77777777" w:rsidR="0087499E" w:rsidRPr="004C7113" w:rsidRDefault="0087499E" w:rsidP="00997FA4">
      <w:pPr>
        <w:spacing w:after="0" w:line="240" w:lineRule="auto"/>
        <w:contextualSpacing/>
        <w:jc w:val="both"/>
        <w:rPr>
          <w:rFonts w:ascii="Tahoma" w:hAnsi="Tahoma" w:cs="Tahoma"/>
          <w:sz w:val="24"/>
          <w:szCs w:val="24"/>
        </w:rPr>
      </w:pPr>
    </w:p>
    <w:p w14:paraId="423DFF83" w14:textId="77777777" w:rsidR="0087499E" w:rsidRPr="004C7113" w:rsidRDefault="0087499E"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El </w:t>
      </w:r>
      <w:r w:rsidRPr="004C7113">
        <w:rPr>
          <w:rFonts w:ascii="Tahoma" w:hAnsi="Tahoma" w:cs="Tahoma"/>
          <w:b/>
          <w:sz w:val="24"/>
          <w:szCs w:val="24"/>
        </w:rPr>
        <w:t>eje del compromiso ambiental</w:t>
      </w:r>
      <w:r w:rsidRPr="004C7113">
        <w:rPr>
          <w:rStyle w:val="Refdenotaalpie"/>
          <w:rFonts w:ascii="Tahoma" w:hAnsi="Tahoma" w:cs="Tahoma"/>
          <w:b/>
          <w:sz w:val="24"/>
          <w:szCs w:val="24"/>
        </w:rPr>
        <w:footnoteReference w:id="7"/>
      </w:r>
      <w:r w:rsidRPr="004C7113">
        <w:rPr>
          <w:rFonts w:ascii="Tahoma" w:hAnsi="Tahoma" w:cs="Tahoma"/>
          <w:sz w:val="24"/>
          <w:szCs w:val="24"/>
        </w:rPr>
        <w:t xml:space="preserve"> de la Universidad del Tolima asume su empeño en la formación integral de personas comprometidas con el respeto de todas las formas de vida, la construcción de un ambiente sustentable, la formulación, articulación y valoración de políticas y agendas públicas tendientes a la gestión ambiental de su entorno territorial, el conocimiento profundo del potencial ambiental y el aprovechamiento sustentable del mismo. Ello requiere la construcción y aprendizaje de epistemologías ambientales que, por definición, implican ver la realidad como un todo interrelacionado, interdependiente, orgánico y dinámico; de esta manera se puede entender que el papel del hombre no es dominar la naturaleza sino entender sus dinámicas, de manera que su acción sobre esta sea acorde para dar sustentabilidad a las configuraciones territoriales que moldea, en las que cultura y la naturaleza interactúan y se condicionan mutuamente.</w:t>
      </w:r>
    </w:p>
    <w:p w14:paraId="5F800C12" w14:textId="77777777" w:rsidR="0087499E" w:rsidRPr="004C7113" w:rsidRDefault="0087499E" w:rsidP="00997FA4">
      <w:pPr>
        <w:spacing w:after="0" w:line="240" w:lineRule="auto"/>
        <w:contextualSpacing/>
        <w:jc w:val="both"/>
        <w:rPr>
          <w:rFonts w:ascii="Tahoma" w:hAnsi="Tahoma" w:cs="Tahoma"/>
          <w:sz w:val="24"/>
          <w:szCs w:val="24"/>
        </w:rPr>
      </w:pPr>
    </w:p>
    <w:p w14:paraId="4E5BF351" w14:textId="77777777" w:rsidR="0087499E" w:rsidRPr="004C7113" w:rsidRDefault="0087499E" w:rsidP="00997FA4">
      <w:pPr>
        <w:spacing w:after="0" w:line="240" w:lineRule="auto"/>
        <w:contextualSpacing/>
        <w:jc w:val="both"/>
        <w:rPr>
          <w:rFonts w:ascii="Tahoma" w:hAnsi="Tahoma" w:cs="Tahoma"/>
          <w:sz w:val="24"/>
          <w:szCs w:val="24"/>
        </w:rPr>
      </w:pPr>
      <w:r w:rsidRPr="004C7113">
        <w:rPr>
          <w:rFonts w:ascii="Tahoma" w:hAnsi="Tahoma" w:cs="Tahoma"/>
          <w:sz w:val="24"/>
          <w:szCs w:val="24"/>
        </w:rPr>
        <w:t xml:space="preserve">El cuarto </w:t>
      </w:r>
      <w:r w:rsidRPr="004C7113">
        <w:rPr>
          <w:rFonts w:ascii="Tahoma" w:hAnsi="Tahoma" w:cs="Tahoma"/>
          <w:b/>
          <w:sz w:val="24"/>
          <w:szCs w:val="24"/>
        </w:rPr>
        <w:t>eje de Eficiencia y Transparencia Administrativa</w:t>
      </w:r>
      <w:r w:rsidRPr="004C7113">
        <w:rPr>
          <w:rStyle w:val="Refdenotaalpie"/>
          <w:rFonts w:ascii="Tahoma" w:hAnsi="Tahoma" w:cs="Tahoma"/>
          <w:b/>
          <w:sz w:val="24"/>
          <w:szCs w:val="24"/>
        </w:rPr>
        <w:footnoteReference w:id="8"/>
      </w:r>
      <w:r w:rsidRPr="004C7113">
        <w:rPr>
          <w:rFonts w:ascii="Tahoma" w:hAnsi="Tahoma" w:cs="Tahoma"/>
          <w:sz w:val="24"/>
          <w:szCs w:val="24"/>
        </w:rPr>
        <w:t>, retrata que la Universidad requiere de un sistema de administración ágil, eficaz, moderna, flexible que dé soporte a la academia. Todos los funcionarios administrativos de la Universidad deben interiorizar el postulado: “Administración al servicio de la academia”. También se debe garantizar que todos los procesos administrativos (compras, contratación, vinculación de talento humano, ejecución presupuestal, etc.) sean transparentes, en el marco de la legalidad y con apego a los valores éticos de la vida universitaria. La Institución debe implementar mecanismos que la blinden de la corrupción en la administración.</w:t>
      </w:r>
    </w:p>
    <w:p w14:paraId="60150212" w14:textId="77777777" w:rsidR="0087499E" w:rsidRPr="004C7113" w:rsidRDefault="0087499E" w:rsidP="00997FA4">
      <w:pPr>
        <w:spacing w:after="0" w:line="240" w:lineRule="auto"/>
        <w:contextualSpacing/>
        <w:jc w:val="both"/>
        <w:rPr>
          <w:rFonts w:ascii="Tahoma" w:hAnsi="Tahoma" w:cs="Tahoma"/>
          <w:sz w:val="24"/>
          <w:szCs w:val="24"/>
        </w:rPr>
      </w:pPr>
    </w:p>
    <w:p w14:paraId="55D30954" w14:textId="77777777" w:rsidR="004C7113" w:rsidRPr="004C7113" w:rsidRDefault="004C7113" w:rsidP="004C7113">
      <w:pPr>
        <w:spacing w:after="0" w:line="240" w:lineRule="auto"/>
        <w:contextualSpacing/>
        <w:jc w:val="both"/>
        <w:rPr>
          <w:rFonts w:ascii="Tahoma" w:hAnsi="Tahoma" w:cs="Tahoma"/>
          <w:sz w:val="24"/>
          <w:szCs w:val="24"/>
        </w:rPr>
      </w:pPr>
      <w:bookmarkStart w:id="5" w:name="_Hlk46144766"/>
      <w:r w:rsidRPr="004C7113">
        <w:rPr>
          <w:rFonts w:ascii="Tahoma" w:hAnsi="Tahoma" w:cs="Tahoma"/>
          <w:sz w:val="24"/>
          <w:szCs w:val="24"/>
        </w:rPr>
        <w:t>Con lo anterior, se precisa la necesidad proveerle a las Universidades Públicas recursos suficientes para incentivar la prestación de servicios educativos de calidad, estos recursos deben ser destinarlos en infraestructura educativa (construcción, adecuación, remodelación y mantenimiento de la planta física, bibliotecas, entre otros.)</w:t>
      </w:r>
    </w:p>
    <w:p w14:paraId="1C19B103" w14:textId="77777777" w:rsidR="004C7113" w:rsidRPr="004C7113" w:rsidRDefault="004C7113" w:rsidP="004C7113">
      <w:pPr>
        <w:spacing w:after="0" w:line="240" w:lineRule="auto"/>
        <w:contextualSpacing/>
        <w:jc w:val="both"/>
        <w:rPr>
          <w:rFonts w:ascii="Tahoma" w:hAnsi="Tahoma" w:cs="Tahoma"/>
          <w:sz w:val="24"/>
          <w:szCs w:val="24"/>
        </w:rPr>
      </w:pPr>
    </w:p>
    <w:p w14:paraId="20A87D3C" w14:textId="77777777" w:rsidR="004C7113" w:rsidRPr="004C7113" w:rsidRDefault="004C7113" w:rsidP="004C7113">
      <w:pPr>
        <w:spacing w:after="0" w:line="276" w:lineRule="auto"/>
        <w:jc w:val="both"/>
        <w:rPr>
          <w:rFonts w:ascii="Tahoma" w:hAnsi="Tahoma" w:cs="Tahoma"/>
          <w:color w:val="000000" w:themeColor="text1"/>
          <w:sz w:val="24"/>
          <w:szCs w:val="24"/>
        </w:rPr>
      </w:pPr>
      <w:r w:rsidRPr="004C7113">
        <w:rPr>
          <w:rFonts w:ascii="Tahoma" w:hAnsi="Tahoma" w:cs="Tahoma"/>
          <w:color w:val="000000" w:themeColor="text1"/>
          <w:sz w:val="24"/>
          <w:szCs w:val="24"/>
        </w:rPr>
        <w:t>De los Honorables congresistas, con sentimientos de consideración y aprecio.</w:t>
      </w:r>
    </w:p>
    <w:p w14:paraId="7AD922A9" w14:textId="77777777" w:rsidR="004C7113" w:rsidRPr="004C7113" w:rsidRDefault="004C7113" w:rsidP="004C7113">
      <w:pPr>
        <w:spacing w:after="0" w:line="276" w:lineRule="auto"/>
        <w:jc w:val="both"/>
        <w:rPr>
          <w:rFonts w:ascii="Tahoma" w:hAnsi="Tahoma" w:cs="Tahoma"/>
          <w:color w:val="000000" w:themeColor="text1"/>
          <w:sz w:val="24"/>
          <w:szCs w:val="24"/>
        </w:rPr>
      </w:pPr>
    </w:p>
    <w:p w14:paraId="7713B29D" w14:textId="4515A4E6" w:rsidR="004C7113" w:rsidRPr="004C7113" w:rsidRDefault="004C7113" w:rsidP="004C7113">
      <w:pPr>
        <w:spacing w:after="0" w:line="276" w:lineRule="auto"/>
        <w:jc w:val="center"/>
        <w:rPr>
          <w:rFonts w:ascii="Tahoma" w:hAnsi="Tahoma" w:cs="Tahoma"/>
          <w:b/>
          <w:color w:val="000000" w:themeColor="text1"/>
          <w:sz w:val="24"/>
          <w:szCs w:val="24"/>
        </w:rPr>
      </w:pPr>
    </w:p>
    <w:p w14:paraId="49B82FBD" w14:textId="77777777" w:rsidR="004C7113" w:rsidRPr="004C7113" w:rsidRDefault="004C7113" w:rsidP="004C7113">
      <w:pPr>
        <w:spacing w:after="0" w:line="276" w:lineRule="auto"/>
        <w:jc w:val="center"/>
        <w:rPr>
          <w:rFonts w:ascii="Tahoma" w:hAnsi="Tahoma" w:cs="Tahoma"/>
          <w:b/>
          <w:color w:val="000000" w:themeColor="text1"/>
          <w:sz w:val="24"/>
          <w:szCs w:val="24"/>
        </w:rPr>
      </w:pPr>
    </w:p>
    <w:p w14:paraId="3A0C457E" w14:textId="77777777" w:rsidR="004C7113" w:rsidRPr="004C7113" w:rsidRDefault="004C7113" w:rsidP="004C7113">
      <w:pPr>
        <w:spacing w:after="0" w:line="276" w:lineRule="auto"/>
        <w:jc w:val="center"/>
        <w:rPr>
          <w:rFonts w:ascii="Tahoma" w:hAnsi="Tahoma" w:cs="Tahoma"/>
          <w:b/>
          <w:color w:val="000000" w:themeColor="text1"/>
          <w:sz w:val="24"/>
          <w:szCs w:val="24"/>
        </w:rPr>
      </w:pPr>
      <w:r w:rsidRPr="004C7113">
        <w:rPr>
          <w:rFonts w:ascii="Tahoma" w:hAnsi="Tahoma" w:cs="Tahoma"/>
          <w:b/>
          <w:color w:val="000000" w:themeColor="text1"/>
          <w:sz w:val="24"/>
          <w:szCs w:val="24"/>
        </w:rPr>
        <w:t>MIGUEL ÁNGEL BARRETO CASTILLO</w:t>
      </w:r>
    </w:p>
    <w:p w14:paraId="03D2D8D4" w14:textId="77777777" w:rsidR="004C7113" w:rsidRPr="004C7113" w:rsidRDefault="004C7113" w:rsidP="004C7113">
      <w:pPr>
        <w:spacing w:after="0" w:line="276" w:lineRule="auto"/>
        <w:jc w:val="center"/>
        <w:rPr>
          <w:rFonts w:ascii="Tahoma" w:hAnsi="Tahoma" w:cs="Tahoma"/>
          <w:b/>
          <w:color w:val="000000" w:themeColor="text1"/>
          <w:sz w:val="24"/>
          <w:szCs w:val="24"/>
        </w:rPr>
      </w:pPr>
      <w:r w:rsidRPr="004C7113">
        <w:rPr>
          <w:rFonts w:ascii="Tahoma" w:hAnsi="Tahoma" w:cs="Tahoma"/>
          <w:b/>
          <w:color w:val="000000" w:themeColor="text1"/>
          <w:sz w:val="24"/>
          <w:szCs w:val="24"/>
        </w:rPr>
        <w:t>Senador de la República</w:t>
      </w:r>
    </w:p>
    <w:bookmarkEnd w:id="5"/>
    <w:p w14:paraId="4AD4FFA0" w14:textId="77777777" w:rsidR="004C7113" w:rsidRPr="004C7113" w:rsidRDefault="004C7113" w:rsidP="00285C20">
      <w:pPr>
        <w:spacing w:before="100" w:beforeAutospacing="1" w:after="100" w:afterAutospacing="1" w:line="240" w:lineRule="auto"/>
        <w:jc w:val="both"/>
        <w:rPr>
          <w:rFonts w:ascii="Tahoma" w:hAnsi="Tahoma" w:cs="Tahoma"/>
          <w:sz w:val="24"/>
          <w:szCs w:val="24"/>
        </w:rPr>
      </w:pPr>
    </w:p>
    <w:p w14:paraId="685F8952" w14:textId="77777777" w:rsidR="00285C20" w:rsidRPr="00285C20" w:rsidRDefault="00285C20" w:rsidP="00285C20">
      <w:pPr>
        <w:spacing w:after="0" w:line="240" w:lineRule="auto"/>
        <w:jc w:val="both"/>
        <w:rPr>
          <w:rFonts w:ascii="Tahoma" w:hAnsi="Tahoma" w:cs="Tahoma"/>
        </w:rPr>
      </w:pPr>
    </w:p>
    <w:sectPr w:rsidR="00285C20" w:rsidRPr="00285C20" w:rsidSect="0071056D">
      <w:headerReference w:type="default" r:id="rId9"/>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8FF7B" w14:textId="77777777" w:rsidR="008F11FB" w:rsidRDefault="008F11FB" w:rsidP="006E29B1">
      <w:pPr>
        <w:spacing w:after="0" w:line="240" w:lineRule="auto"/>
      </w:pPr>
      <w:r>
        <w:separator/>
      </w:r>
    </w:p>
  </w:endnote>
  <w:endnote w:type="continuationSeparator" w:id="0">
    <w:p w14:paraId="4E2AC4AA" w14:textId="77777777" w:rsidR="008F11FB" w:rsidRDefault="008F11FB" w:rsidP="006E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48F9" w14:textId="77777777" w:rsidR="008F11FB" w:rsidRDefault="008F11FB" w:rsidP="006E29B1">
      <w:pPr>
        <w:spacing w:after="0" w:line="240" w:lineRule="auto"/>
      </w:pPr>
      <w:r>
        <w:separator/>
      </w:r>
    </w:p>
  </w:footnote>
  <w:footnote w:type="continuationSeparator" w:id="0">
    <w:p w14:paraId="71779297" w14:textId="77777777" w:rsidR="008F11FB" w:rsidRDefault="008F11FB" w:rsidP="006E29B1">
      <w:pPr>
        <w:spacing w:after="0" w:line="240" w:lineRule="auto"/>
      </w:pPr>
      <w:r>
        <w:continuationSeparator/>
      </w:r>
    </w:p>
  </w:footnote>
  <w:footnote w:id="1">
    <w:p w14:paraId="1DB7412F" w14:textId="77777777" w:rsidR="00194AFD" w:rsidRPr="0087499E" w:rsidRDefault="00194AFD">
      <w:pPr>
        <w:pStyle w:val="Textonotapie"/>
      </w:pPr>
      <w:r>
        <w:rPr>
          <w:rStyle w:val="Refdenotaalpie"/>
        </w:rPr>
        <w:footnoteRef/>
      </w:r>
      <w:r>
        <w:t xml:space="preserve"> Universidad del Tolima  - </w:t>
      </w:r>
      <w:hyperlink r:id="rId1" w:history="1">
        <w:r w:rsidRPr="000D1975">
          <w:rPr>
            <w:rStyle w:val="Hipervnculo"/>
          </w:rPr>
          <w:t>http://administrativos.ut.edu.co/</w:t>
        </w:r>
      </w:hyperlink>
    </w:p>
  </w:footnote>
  <w:footnote w:id="2">
    <w:p w14:paraId="1A4C58C8" w14:textId="77777777" w:rsidR="00194AFD" w:rsidRPr="00C2415A" w:rsidRDefault="00194AFD">
      <w:pPr>
        <w:pStyle w:val="Textonotapie"/>
        <w:rPr>
          <w:lang w:val="es-MX"/>
        </w:rPr>
      </w:pPr>
      <w:r>
        <w:rPr>
          <w:rStyle w:val="Refdenotaalpie"/>
        </w:rPr>
        <w:footnoteRef/>
      </w:r>
      <w:r>
        <w:t xml:space="preserve"> </w:t>
      </w:r>
      <w:r>
        <w:rPr>
          <w:lang w:val="es-MX"/>
        </w:rPr>
        <w:t xml:space="preserve">Universidad del Tolima </w:t>
      </w:r>
      <w:hyperlink r:id="rId2" w:history="1">
        <w:r>
          <w:rPr>
            <w:rStyle w:val="Hipervnculo"/>
          </w:rPr>
          <w:t>http://administrativos.ut.edu.co/images/universidad/Plan_de_desarrollo_2013_2022_V.pdf</w:t>
        </w:r>
      </w:hyperlink>
    </w:p>
  </w:footnote>
  <w:footnote w:id="3">
    <w:p w14:paraId="7DF6A6AD" w14:textId="77777777" w:rsidR="00194AFD" w:rsidRPr="00856BE4" w:rsidRDefault="00194AFD">
      <w:pPr>
        <w:pStyle w:val="Textonotapie"/>
        <w:rPr>
          <w:lang w:val="en-US"/>
        </w:rPr>
      </w:pPr>
      <w:r>
        <w:rPr>
          <w:rStyle w:val="Refdenotaalpie"/>
        </w:rPr>
        <w:footnoteRef/>
      </w:r>
      <w:r w:rsidRPr="00856BE4">
        <w:rPr>
          <w:lang w:val="en-US"/>
        </w:rPr>
        <w:t xml:space="preserve"> Ibid</w:t>
      </w:r>
    </w:p>
  </w:footnote>
  <w:footnote w:id="4">
    <w:p w14:paraId="7A6539A0" w14:textId="77777777" w:rsidR="00194AFD" w:rsidRPr="00856BE4" w:rsidRDefault="00194AFD">
      <w:pPr>
        <w:pStyle w:val="Textonotapie"/>
        <w:rPr>
          <w:lang w:val="en-US"/>
        </w:rPr>
      </w:pPr>
      <w:r>
        <w:rPr>
          <w:rStyle w:val="Refdenotaalpie"/>
        </w:rPr>
        <w:footnoteRef/>
      </w:r>
      <w:r w:rsidRPr="00856BE4">
        <w:rPr>
          <w:lang w:val="en-US"/>
        </w:rPr>
        <w:t xml:space="preserve"> Ibid</w:t>
      </w:r>
    </w:p>
  </w:footnote>
  <w:footnote w:id="5">
    <w:p w14:paraId="186095DB" w14:textId="77777777" w:rsidR="00194AFD" w:rsidRPr="00856BE4" w:rsidRDefault="00194AFD">
      <w:pPr>
        <w:pStyle w:val="Textonotapie"/>
        <w:rPr>
          <w:lang w:val="en-US"/>
        </w:rPr>
      </w:pPr>
      <w:r>
        <w:rPr>
          <w:rStyle w:val="Refdenotaalpie"/>
        </w:rPr>
        <w:footnoteRef/>
      </w:r>
      <w:r w:rsidRPr="00856BE4">
        <w:rPr>
          <w:lang w:val="en-US"/>
        </w:rPr>
        <w:t xml:space="preserve"> Ibid</w:t>
      </w:r>
    </w:p>
  </w:footnote>
  <w:footnote w:id="6">
    <w:p w14:paraId="4C61A73C" w14:textId="77777777" w:rsidR="00194AFD" w:rsidRPr="00856BE4" w:rsidRDefault="00194AFD">
      <w:pPr>
        <w:pStyle w:val="Textonotapie"/>
        <w:rPr>
          <w:lang w:val="en-US"/>
        </w:rPr>
      </w:pPr>
      <w:r>
        <w:rPr>
          <w:rStyle w:val="Refdenotaalpie"/>
        </w:rPr>
        <w:footnoteRef/>
      </w:r>
      <w:r w:rsidRPr="00856BE4">
        <w:rPr>
          <w:lang w:val="en-US"/>
        </w:rPr>
        <w:t xml:space="preserve"> Ibid</w:t>
      </w:r>
    </w:p>
  </w:footnote>
  <w:footnote w:id="7">
    <w:p w14:paraId="595976DF" w14:textId="77777777" w:rsidR="00194AFD" w:rsidRPr="00856BE4" w:rsidRDefault="00194AFD">
      <w:pPr>
        <w:pStyle w:val="Textonotapie"/>
        <w:rPr>
          <w:lang w:val="en-US"/>
        </w:rPr>
      </w:pPr>
      <w:r>
        <w:rPr>
          <w:rStyle w:val="Refdenotaalpie"/>
        </w:rPr>
        <w:footnoteRef/>
      </w:r>
      <w:r w:rsidRPr="00856BE4">
        <w:rPr>
          <w:lang w:val="en-US"/>
        </w:rPr>
        <w:t xml:space="preserve"> Ibid</w:t>
      </w:r>
    </w:p>
  </w:footnote>
  <w:footnote w:id="8">
    <w:p w14:paraId="58322D31" w14:textId="77777777" w:rsidR="00194AFD" w:rsidRPr="00856BE4" w:rsidRDefault="00194AFD">
      <w:pPr>
        <w:pStyle w:val="Textonotapie"/>
        <w:rPr>
          <w:lang w:val="en-US"/>
        </w:rPr>
      </w:pPr>
      <w:r>
        <w:rPr>
          <w:rStyle w:val="Refdenotaalpie"/>
        </w:rPr>
        <w:footnoteRef/>
      </w:r>
      <w:r w:rsidRPr="00856BE4">
        <w:rPr>
          <w:lang w:val="en-US"/>
        </w:rPr>
        <w:t xml:space="preserve"> 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73AF" w14:textId="77777777" w:rsidR="00194AFD" w:rsidRPr="004535E4" w:rsidRDefault="00194AFD" w:rsidP="00F200FD">
    <w:pPr>
      <w:pStyle w:val="Cuerpo"/>
      <w:tabs>
        <w:tab w:val="center" w:pos="4419"/>
        <w:tab w:val="left" w:pos="7420"/>
      </w:tabs>
      <w:rPr>
        <w:rStyle w:val="Ninguno"/>
        <w:rFonts w:ascii="Segoe UI" w:eastAsia="Gill Sans MT" w:hAnsi="Segoe UI" w:cs="Segoe UI"/>
        <w:i/>
        <w:iCs/>
        <w:szCs w:val="24"/>
      </w:rPr>
    </w:pPr>
    <w:r w:rsidRPr="00BB2405">
      <w:rPr>
        <w:noProof/>
        <w:lang w:val="es-CO" w:eastAsia="es-CO"/>
      </w:rPr>
      <w:drawing>
        <wp:anchor distT="0" distB="0" distL="114300" distR="114300" simplePos="0" relativeHeight="251659264" behindDoc="0" locked="0" layoutInCell="1" hidden="0" allowOverlap="1" wp14:anchorId="5B654A03" wp14:editId="57D52D0E">
          <wp:simplePos x="0" y="0"/>
          <wp:positionH relativeFrom="column">
            <wp:posOffset>-47625</wp:posOffset>
          </wp:positionH>
          <wp:positionV relativeFrom="paragraph">
            <wp:posOffset>-334010</wp:posOffset>
          </wp:positionV>
          <wp:extent cx="2413000" cy="766445"/>
          <wp:effectExtent l="0" t="0" r="0" b="0"/>
          <wp:wrapSquare wrapText="bothSides" distT="0" distB="0" distL="114300" distR="114300"/>
          <wp:docPr id="11" name="image4.png" descr="Senado de la RepÃºblica"/>
          <wp:cNvGraphicFramePr/>
          <a:graphic xmlns:a="http://schemas.openxmlformats.org/drawingml/2006/main">
            <a:graphicData uri="http://schemas.openxmlformats.org/drawingml/2006/picture">
              <pic:pic xmlns:pic="http://schemas.openxmlformats.org/drawingml/2006/picture">
                <pic:nvPicPr>
                  <pic:cNvPr id="0" name="image4.png" descr="Senado de la RepÃºblica"/>
                  <pic:cNvPicPr preferRelativeResize="0"/>
                </pic:nvPicPr>
                <pic:blipFill>
                  <a:blip r:embed="rId1"/>
                  <a:srcRect r="64675"/>
                  <a:stretch>
                    <a:fillRect/>
                  </a:stretch>
                </pic:blipFill>
                <pic:spPr>
                  <a:xfrm>
                    <a:off x="0" y="0"/>
                    <a:ext cx="2413000" cy="766445"/>
                  </a:xfrm>
                  <a:prstGeom prst="rect">
                    <a:avLst/>
                  </a:prstGeom>
                  <a:ln/>
                </pic:spPr>
              </pic:pic>
            </a:graphicData>
          </a:graphic>
        </wp:anchor>
      </w:drawing>
    </w:r>
    <w:r w:rsidRPr="00BB2405">
      <w:rPr>
        <w:noProof/>
        <w:lang w:val="es-CO" w:eastAsia="es-CO"/>
      </w:rPr>
      <w:drawing>
        <wp:anchor distT="0" distB="0" distL="114300" distR="114300" simplePos="0" relativeHeight="251660288" behindDoc="0" locked="0" layoutInCell="1" hidden="0" allowOverlap="1" wp14:anchorId="282E555E" wp14:editId="148DC47A">
          <wp:simplePos x="0" y="0"/>
          <wp:positionH relativeFrom="column">
            <wp:posOffset>4040505</wp:posOffset>
          </wp:positionH>
          <wp:positionV relativeFrom="paragraph">
            <wp:posOffset>-262255</wp:posOffset>
          </wp:positionV>
          <wp:extent cx="1524000" cy="706120"/>
          <wp:effectExtent l="0" t="0" r="0" b="0"/>
          <wp:wrapSquare wrapText="bothSides" distT="0" distB="0" distL="114300" distR="114300"/>
          <wp:docPr id="8" name="image1.png" descr="Miguel Barreto"/>
          <wp:cNvGraphicFramePr/>
          <a:graphic xmlns:a="http://schemas.openxmlformats.org/drawingml/2006/main">
            <a:graphicData uri="http://schemas.openxmlformats.org/drawingml/2006/picture">
              <pic:pic xmlns:pic="http://schemas.openxmlformats.org/drawingml/2006/picture">
                <pic:nvPicPr>
                  <pic:cNvPr id="0" name="image1.png" descr="Miguel Barreto"/>
                  <pic:cNvPicPr preferRelativeResize="0"/>
                </pic:nvPicPr>
                <pic:blipFill>
                  <a:blip r:embed="rId2"/>
                  <a:srcRect/>
                  <a:stretch>
                    <a:fillRect/>
                  </a:stretch>
                </pic:blipFill>
                <pic:spPr>
                  <a:xfrm>
                    <a:off x="0" y="0"/>
                    <a:ext cx="1524000" cy="706120"/>
                  </a:xfrm>
                  <a:prstGeom prst="rect">
                    <a:avLst/>
                  </a:prstGeom>
                  <a:ln/>
                </pic:spPr>
              </pic:pic>
            </a:graphicData>
          </a:graphic>
        </wp:anchor>
      </w:drawing>
    </w:r>
    <w:r>
      <w:tab/>
    </w:r>
  </w:p>
  <w:p w14:paraId="2C33DE3C" w14:textId="77777777" w:rsidR="00194AFD" w:rsidRPr="004535E4" w:rsidRDefault="00194AFD">
    <w:pPr>
      <w:pStyle w:val="Encabezado"/>
      <w:rPr>
        <w:rFonts w:ascii="Segoe UI" w:hAnsi="Segoe UI" w:cs="Segoe U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BFFA2"/>
    <w:multiLevelType w:val="hybridMultilevel"/>
    <w:tmpl w:val="AABF83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35C8B"/>
    <w:multiLevelType w:val="hybridMultilevel"/>
    <w:tmpl w:val="0B52C5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F0401"/>
    <w:multiLevelType w:val="hybridMultilevel"/>
    <w:tmpl w:val="116CA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5A824E"/>
    <w:multiLevelType w:val="hybridMultilevel"/>
    <w:tmpl w:val="C9970E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006B9E"/>
    <w:multiLevelType w:val="hybridMultilevel"/>
    <w:tmpl w:val="9A648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F302D2"/>
    <w:multiLevelType w:val="hybridMultilevel"/>
    <w:tmpl w:val="9D60E58C"/>
    <w:lvl w:ilvl="0" w:tplc="240A000F">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8177CE"/>
    <w:multiLevelType w:val="hybridMultilevel"/>
    <w:tmpl w:val="C69E381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CF1C87"/>
    <w:multiLevelType w:val="multilevel"/>
    <w:tmpl w:val="0A023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94552A5"/>
    <w:multiLevelType w:val="multilevel"/>
    <w:tmpl w:val="7ACA27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B9D4544"/>
    <w:multiLevelType w:val="hybridMultilevel"/>
    <w:tmpl w:val="D43464D6"/>
    <w:lvl w:ilvl="0" w:tplc="9B10559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3F5C7E92"/>
    <w:multiLevelType w:val="hybridMultilevel"/>
    <w:tmpl w:val="EFCC2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705937"/>
    <w:multiLevelType w:val="hybridMultilevel"/>
    <w:tmpl w:val="D6E487F0"/>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CC0304"/>
    <w:multiLevelType w:val="hybridMultilevel"/>
    <w:tmpl w:val="682E2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F64FE9"/>
    <w:multiLevelType w:val="hybridMultilevel"/>
    <w:tmpl w:val="D9DA3BAA"/>
    <w:lvl w:ilvl="0" w:tplc="73F85F62">
      <w:start w:val="1"/>
      <w:numFmt w:val="decimal"/>
      <w:lvlText w:val="%1."/>
      <w:lvlJc w:val="left"/>
      <w:pPr>
        <w:ind w:left="720" w:hanging="360"/>
      </w:pPr>
      <w:rPr>
        <w:rFonts w:asciiTheme="minorHAnsi" w:eastAsiaTheme="minorEastAsia"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0604D1"/>
    <w:multiLevelType w:val="hybridMultilevel"/>
    <w:tmpl w:val="EF5C2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64A919"/>
    <w:multiLevelType w:val="hybridMultilevel"/>
    <w:tmpl w:val="867D55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EF7A8A"/>
    <w:multiLevelType w:val="hybridMultilevel"/>
    <w:tmpl w:val="CC4282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8C088D"/>
    <w:multiLevelType w:val="hybridMultilevel"/>
    <w:tmpl w:val="BD120D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7011FB"/>
    <w:multiLevelType w:val="hybridMultilevel"/>
    <w:tmpl w:val="CCA20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D40541"/>
    <w:multiLevelType w:val="multilevel"/>
    <w:tmpl w:val="900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A50553"/>
    <w:multiLevelType w:val="hybridMultilevel"/>
    <w:tmpl w:val="BD120D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3E4655"/>
    <w:multiLevelType w:val="multilevel"/>
    <w:tmpl w:val="E0B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10393"/>
    <w:multiLevelType w:val="multilevel"/>
    <w:tmpl w:val="0A023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764744D6"/>
    <w:multiLevelType w:val="hybridMultilevel"/>
    <w:tmpl w:val="2E18A6F4"/>
    <w:lvl w:ilvl="0" w:tplc="669866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A014B89"/>
    <w:multiLevelType w:val="multilevel"/>
    <w:tmpl w:val="020A8514"/>
    <w:lvl w:ilvl="0">
      <w:start w:val="1"/>
      <w:numFmt w:val="decimal"/>
      <w:lvlText w:val="%1."/>
      <w:lvlJc w:val="left"/>
      <w:pPr>
        <w:ind w:left="708" w:hanging="708"/>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761CDD"/>
    <w:multiLevelType w:val="hybridMultilevel"/>
    <w:tmpl w:val="E250B1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C1D2A0"/>
    <w:multiLevelType w:val="hybridMultilevel"/>
    <w:tmpl w:val="23E143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3"/>
  </w:num>
  <w:num w:numId="3">
    <w:abstractNumId w:val="4"/>
  </w:num>
  <w:num w:numId="4">
    <w:abstractNumId w:val="19"/>
  </w:num>
  <w:num w:numId="5">
    <w:abstractNumId w:val="20"/>
  </w:num>
  <w:num w:numId="6">
    <w:abstractNumId w:val="17"/>
  </w:num>
  <w:num w:numId="7">
    <w:abstractNumId w:val="13"/>
  </w:num>
  <w:num w:numId="8">
    <w:abstractNumId w:val="11"/>
  </w:num>
  <w:num w:numId="9">
    <w:abstractNumId w:val="14"/>
  </w:num>
  <w:num w:numId="10">
    <w:abstractNumId w:val="9"/>
  </w:num>
  <w:num w:numId="11">
    <w:abstractNumId w:val="8"/>
  </w:num>
  <w:num w:numId="12">
    <w:abstractNumId w:val="22"/>
  </w:num>
  <w:num w:numId="13">
    <w:abstractNumId w:val="12"/>
  </w:num>
  <w:num w:numId="14">
    <w:abstractNumId w:val="7"/>
  </w:num>
  <w:num w:numId="15">
    <w:abstractNumId w:val="24"/>
  </w:num>
  <w:num w:numId="16">
    <w:abstractNumId w:val="25"/>
  </w:num>
  <w:num w:numId="17">
    <w:abstractNumId w:val="16"/>
  </w:num>
  <w:num w:numId="18">
    <w:abstractNumId w:val="1"/>
  </w:num>
  <w:num w:numId="19">
    <w:abstractNumId w:val="5"/>
  </w:num>
  <w:num w:numId="20">
    <w:abstractNumId w:val="3"/>
  </w:num>
  <w:num w:numId="21">
    <w:abstractNumId w:val="0"/>
  </w:num>
  <w:num w:numId="22">
    <w:abstractNumId w:val="15"/>
  </w:num>
  <w:num w:numId="23">
    <w:abstractNumId w:val="26"/>
  </w:num>
  <w:num w:numId="24">
    <w:abstractNumId w:val="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92"/>
    <w:rsid w:val="00003337"/>
    <w:rsid w:val="00013011"/>
    <w:rsid w:val="00022090"/>
    <w:rsid w:val="00024E0B"/>
    <w:rsid w:val="00027E71"/>
    <w:rsid w:val="00035540"/>
    <w:rsid w:val="0004225A"/>
    <w:rsid w:val="00044923"/>
    <w:rsid w:val="0005195A"/>
    <w:rsid w:val="00052FB9"/>
    <w:rsid w:val="00054306"/>
    <w:rsid w:val="00085B9E"/>
    <w:rsid w:val="000868D0"/>
    <w:rsid w:val="00090080"/>
    <w:rsid w:val="000922C0"/>
    <w:rsid w:val="000A761C"/>
    <w:rsid w:val="000B4DE9"/>
    <w:rsid w:val="000B6D40"/>
    <w:rsid w:val="000C4A4B"/>
    <w:rsid w:val="000D502E"/>
    <w:rsid w:val="000E5324"/>
    <w:rsid w:val="000F5D49"/>
    <w:rsid w:val="000F6F63"/>
    <w:rsid w:val="00104DB8"/>
    <w:rsid w:val="00105D43"/>
    <w:rsid w:val="00110A22"/>
    <w:rsid w:val="00116A21"/>
    <w:rsid w:val="001172B4"/>
    <w:rsid w:val="00125919"/>
    <w:rsid w:val="00135A8F"/>
    <w:rsid w:val="0014121B"/>
    <w:rsid w:val="001458F8"/>
    <w:rsid w:val="00146B29"/>
    <w:rsid w:val="00165ECC"/>
    <w:rsid w:val="001777E8"/>
    <w:rsid w:val="00184992"/>
    <w:rsid w:val="00190421"/>
    <w:rsid w:val="00194AFD"/>
    <w:rsid w:val="0019530D"/>
    <w:rsid w:val="0019561E"/>
    <w:rsid w:val="001A470E"/>
    <w:rsid w:val="001B2DDE"/>
    <w:rsid w:val="001B61F1"/>
    <w:rsid w:val="001C3CAF"/>
    <w:rsid w:val="001C65F0"/>
    <w:rsid w:val="001D06F3"/>
    <w:rsid w:val="001D1E88"/>
    <w:rsid w:val="001D575E"/>
    <w:rsid w:val="001F08B2"/>
    <w:rsid w:val="001F4B15"/>
    <w:rsid w:val="00205E26"/>
    <w:rsid w:val="00210D3F"/>
    <w:rsid w:val="002151D6"/>
    <w:rsid w:val="00221A3A"/>
    <w:rsid w:val="002255FB"/>
    <w:rsid w:val="00241A13"/>
    <w:rsid w:val="0024296A"/>
    <w:rsid w:val="0024366A"/>
    <w:rsid w:val="002444B1"/>
    <w:rsid w:val="00244900"/>
    <w:rsid w:val="00247BA5"/>
    <w:rsid w:val="00250353"/>
    <w:rsid w:val="00251213"/>
    <w:rsid w:val="002513E4"/>
    <w:rsid w:val="002551B6"/>
    <w:rsid w:val="00255314"/>
    <w:rsid w:val="00255491"/>
    <w:rsid w:val="00260982"/>
    <w:rsid w:val="0026469D"/>
    <w:rsid w:val="00264C4A"/>
    <w:rsid w:val="002676F5"/>
    <w:rsid w:val="00275E00"/>
    <w:rsid w:val="00285C20"/>
    <w:rsid w:val="0029395B"/>
    <w:rsid w:val="002B3816"/>
    <w:rsid w:val="002B3F9E"/>
    <w:rsid w:val="002C2372"/>
    <w:rsid w:val="002D0B57"/>
    <w:rsid w:val="002E3A6E"/>
    <w:rsid w:val="002E5788"/>
    <w:rsid w:val="002F531C"/>
    <w:rsid w:val="0031107F"/>
    <w:rsid w:val="003118A1"/>
    <w:rsid w:val="00326A6E"/>
    <w:rsid w:val="00330015"/>
    <w:rsid w:val="003333CF"/>
    <w:rsid w:val="00333C87"/>
    <w:rsid w:val="00337BBB"/>
    <w:rsid w:val="00340311"/>
    <w:rsid w:val="00352B95"/>
    <w:rsid w:val="00353994"/>
    <w:rsid w:val="00363C4F"/>
    <w:rsid w:val="00377862"/>
    <w:rsid w:val="003863D6"/>
    <w:rsid w:val="0038798E"/>
    <w:rsid w:val="003911C3"/>
    <w:rsid w:val="003A60D7"/>
    <w:rsid w:val="003B345E"/>
    <w:rsid w:val="003C23C5"/>
    <w:rsid w:val="003C3F50"/>
    <w:rsid w:val="003C5988"/>
    <w:rsid w:val="003D54BD"/>
    <w:rsid w:val="003D5640"/>
    <w:rsid w:val="003E12BE"/>
    <w:rsid w:val="003E64E1"/>
    <w:rsid w:val="003E6F6E"/>
    <w:rsid w:val="00401828"/>
    <w:rsid w:val="00405F18"/>
    <w:rsid w:val="004247FC"/>
    <w:rsid w:val="004316C3"/>
    <w:rsid w:val="00431C04"/>
    <w:rsid w:val="004329F5"/>
    <w:rsid w:val="00432F76"/>
    <w:rsid w:val="00434429"/>
    <w:rsid w:val="004367D1"/>
    <w:rsid w:val="00446F78"/>
    <w:rsid w:val="004535E4"/>
    <w:rsid w:val="00461E79"/>
    <w:rsid w:val="00462B46"/>
    <w:rsid w:val="00470C0C"/>
    <w:rsid w:val="00472838"/>
    <w:rsid w:val="00472CC5"/>
    <w:rsid w:val="00477CD6"/>
    <w:rsid w:val="00482EB0"/>
    <w:rsid w:val="004849A5"/>
    <w:rsid w:val="00485B84"/>
    <w:rsid w:val="00490BE5"/>
    <w:rsid w:val="004934F5"/>
    <w:rsid w:val="0049532F"/>
    <w:rsid w:val="00497A71"/>
    <w:rsid w:val="004A1E0D"/>
    <w:rsid w:val="004B12FA"/>
    <w:rsid w:val="004B4625"/>
    <w:rsid w:val="004C084E"/>
    <w:rsid w:val="004C7113"/>
    <w:rsid w:val="004E174F"/>
    <w:rsid w:val="004E5256"/>
    <w:rsid w:val="004F490D"/>
    <w:rsid w:val="004F67E7"/>
    <w:rsid w:val="005045B9"/>
    <w:rsid w:val="00515873"/>
    <w:rsid w:val="005170DE"/>
    <w:rsid w:val="00521066"/>
    <w:rsid w:val="00534056"/>
    <w:rsid w:val="00535C32"/>
    <w:rsid w:val="00535F08"/>
    <w:rsid w:val="005560EA"/>
    <w:rsid w:val="00556E79"/>
    <w:rsid w:val="00560FA3"/>
    <w:rsid w:val="0056442A"/>
    <w:rsid w:val="00564EFB"/>
    <w:rsid w:val="00573B40"/>
    <w:rsid w:val="0059039C"/>
    <w:rsid w:val="00597FD4"/>
    <w:rsid w:val="005A4555"/>
    <w:rsid w:val="005B301E"/>
    <w:rsid w:val="005C60F4"/>
    <w:rsid w:val="005C6314"/>
    <w:rsid w:val="005E1816"/>
    <w:rsid w:val="005E3F68"/>
    <w:rsid w:val="005E7763"/>
    <w:rsid w:val="005E7C1B"/>
    <w:rsid w:val="005F0EDD"/>
    <w:rsid w:val="005F50B7"/>
    <w:rsid w:val="006063C9"/>
    <w:rsid w:val="00607B07"/>
    <w:rsid w:val="00613FAA"/>
    <w:rsid w:val="00616C03"/>
    <w:rsid w:val="00620128"/>
    <w:rsid w:val="00631F02"/>
    <w:rsid w:val="006335F6"/>
    <w:rsid w:val="00644209"/>
    <w:rsid w:val="006462B0"/>
    <w:rsid w:val="00651379"/>
    <w:rsid w:val="00652F8D"/>
    <w:rsid w:val="006535A1"/>
    <w:rsid w:val="00664FCB"/>
    <w:rsid w:val="006665B5"/>
    <w:rsid w:val="00676B70"/>
    <w:rsid w:val="00680BAA"/>
    <w:rsid w:val="006810BF"/>
    <w:rsid w:val="00686E52"/>
    <w:rsid w:val="00691851"/>
    <w:rsid w:val="00695E52"/>
    <w:rsid w:val="006A03B5"/>
    <w:rsid w:val="006A29B8"/>
    <w:rsid w:val="006B462B"/>
    <w:rsid w:val="006B7FE6"/>
    <w:rsid w:val="006D64AD"/>
    <w:rsid w:val="006E29B1"/>
    <w:rsid w:val="006F1096"/>
    <w:rsid w:val="006F2282"/>
    <w:rsid w:val="006F4ECB"/>
    <w:rsid w:val="00703795"/>
    <w:rsid w:val="0071056D"/>
    <w:rsid w:val="00725B1A"/>
    <w:rsid w:val="00730D31"/>
    <w:rsid w:val="00740CD0"/>
    <w:rsid w:val="007457F9"/>
    <w:rsid w:val="00760808"/>
    <w:rsid w:val="00763633"/>
    <w:rsid w:val="00786A07"/>
    <w:rsid w:val="007A016B"/>
    <w:rsid w:val="007C3A2F"/>
    <w:rsid w:val="007D3AD5"/>
    <w:rsid w:val="007D4863"/>
    <w:rsid w:val="007D71A1"/>
    <w:rsid w:val="007D7F8E"/>
    <w:rsid w:val="007E1746"/>
    <w:rsid w:val="007E787E"/>
    <w:rsid w:val="007F0BAB"/>
    <w:rsid w:val="007F3B68"/>
    <w:rsid w:val="007F7932"/>
    <w:rsid w:val="00800B60"/>
    <w:rsid w:val="00800DA2"/>
    <w:rsid w:val="00803EBB"/>
    <w:rsid w:val="00806423"/>
    <w:rsid w:val="00814EFF"/>
    <w:rsid w:val="0081588F"/>
    <w:rsid w:val="00825400"/>
    <w:rsid w:val="008268A5"/>
    <w:rsid w:val="00843F54"/>
    <w:rsid w:val="00845784"/>
    <w:rsid w:val="00847923"/>
    <w:rsid w:val="00854109"/>
    <w:rsid w:val="00856BE4"/>
    <w:rsid w:val="00872D23"/>
    <w:rsid w:val="00873357"/>
    <w:rsid w:val="0087499E"/>
    <w:rsid w:val="008767F0"/>
    <w:rsid w:val="008769AA"/>
    <w:rsid w:val="008801D5"/>
    <w:rsid w:val="00883BF5"/>
    <w:rsid w:val="00884C2D"/>
    <w:rsid w:val="00885132"/>
    <w:rsid w:val="008950B4"/>
    <w:rsid w:val="008A4E7E"/>
    <w:rsid w:val="008A515E"/>
    <w:rsid w:val="008B0943"/>
    <w:rsid w:val="008D06BF"/>
    <w:rsid w:val="008D6C7A"/>
    <w:rsid w:val="008F01D6"/>
    <w:rsid w:val="008F0A3A"/>
    <w:rsid w:val="008F11FB"/>
    <w:rsid w:val="008F5E24"/>
    <w:rsid w:val="008F6983"/>
    <w:rsid w:val="00916559"/>
    <w:rsid w:val="00926ED3"/>
    <w:rsid w:val="00927FE5"/>
    <w:rsid w:val="00934BEA"/>
    <w:rsid w:val="0094192F"/>
    <w:rsid w:val="009439C4"/>
    <w:rsid w:val="0094485C"/>
    <w:rsid w:val="009562D0"/>
    <w:rsid w:val="00965BB0"/>
    <w:rsid w:val="00972FC5"/>
    <w:rsid w:val="00976855"/>
    <w:rsid w:val="0098599D"/>
    <w:rsid w:val="00992B0B"/>
    <w:rsid w:val="009938ED"/>
    <w:rsid w:val="00997FA4"/>
    <w:rsid w:val="009A174D"/>
    <w:rsid w:val="009A38D1"/>
    <w:rsid w:val="009A4FFB"/>
    <w:rsid w:val="009B07D8"/>
    <w:rsid w:val="009C137E"/>
    <w:rsid w:val="009E0E09"/>
    <w:rsid w:val="009E2806"/>
    <w:rsid w:val="009E5267"/>
    <w:rsid w:val="00A02408"/>
    <w:rsid w:val="00A07B0B"/>
    <w:rsid w:val="00A1085A"/>
    <w:rsid w:val="00A10DF6"/>
    <w:rsid w:val="00A1395E"/>
    <w:rsid w:val="00A158E2"/>
    <w:rsid w:val="00A235A2"/>
    <w:rsid w:val="00A31EE4"/>
    <w:rsid w:val="00A60132"/>
    <w:rsid w:val="00A625B7"/>
    <w:rsid w:val="00A93834"/>
    <w:rsid w:val="00A979CD"/>
    <w:rsid w:val="00AA78CF"/>
    <w:rsid w:val="00AB7773"/>
    <w:rsid w:val="00AE2CBE"/>
    <w:rsid w:val="00AE6DEE"/>
    <w:rsid w:val="00AF1AD5"/>
    <w:rsid w:val="00AF6112"/>
    <w:rsid w:val="00B052FA"/>
    <w:rsid w:val="00B057E9"/>
    <w:rsid w:val="00B124D2"/>
    <w:rsid w:val="00B129D9"/>
    <w:rsid w:val="00B14A75"/>
    <w:rsid w:val="00B205C3"/>
    <w:rsid w:val="00B22987"/>
    <w:rsid w:val="00B24AFF"/>
    <w:rsid w:val="00B30771"/>
    <w:rsid w:val="00B3212E"/>
    <w:rsid w:val="00B35F34"/>
    <w:rsid w:val="00B424BD"/>
    <w:rsid w:val="00B42C8B"/>
    <w:rsid w:val="00B44617"/>
    <w:rsid w:val="00B54910"/>
    <w:rsid w:val="00B610CC"/>
    <w:rsid w:val="00B71F21"/>
    <w:rsid w:val="00B73DAC"/>
    <w:rsid w:val="00B75810"/>
    <w:rsid w:val="00B81BAC"/>
    <w:rsid w:val="00B822EA"/>
    <w:rsid w:val="00B82770"/>
    <w:rsid w:val="00B82C4D"/>
    <w:rsid w:val="00B85898"/>
    <w:rsid w:val="00B90D43"/>
    <w:rsid w:val="00B969C6"/>
    <w:rsid w:val="00BA2B65"/>
    <w:rsid w:val="00BB140F"/>
    <w:rsid w:val="00BB159F"/>
    <w:rsid w:val="00BB1758"/>
    <w:rsid w:val="00BB2405"/>
    <w:rsid w:val="00BC0A69"/>
    <w:rsid w:val="00BC1597"/>
    <w:rsid w:val="00BD1159"/>
    <w:rsid w:val="00BE2818"/>
    <w:rsid w:val="00BE3D4E"/>
    <w:rsid w:val="00BF102B"/>
    <w:rsid w:val="00C0258A"/>
    <w:rsid w:val="00C04431"/>
    <w:rsid w:val="00C0753C"/>
    <w:rsid w:val="00C109D8"/>
    <w:rsid w:val="00C14085"/>
    <w:rsid w:val="00C14BF2"/>
    <w:rsid w:val="00C15DCD"/>
    <w:rsid w:val="00C20B71"/>
    <w:rsid w:val="00C2165F"/>
    <w:rsid w:val="00C2276D"/>
    <w:rsid w:val="00C2415A"/>
    <w:rsid w:val="00C32802"/>
    <w:rsid w:val="00C33967"/>
    <w:rsid w:val="00C34FE7"/>
    <w:rsid w:val="00C37CA9"/>
    <w:rsid w:val="00C430EC"/>
    <w:rsid w:val="00C43795"/>
    <w:rsid w:val="00C608B9"/>
    <w:rsid w:val="00C75DA4"/>
    <w:rsid w:val="00C83530"/>
    <w:rsid w:val="00C836BC"/>
    <w:rsid w:val="00C84F37"/>
    <w:rsid w:val="00C867B0"/>
    <w:rsid w:val="00C933B3"/>
    <w:rsid w:val="00C93946"/>
    <w:rsid w:val="00CA0E9B"/>
    <w:rsid w:val="00CA1EF0"/>
    <w:rsid w:val="00CD29E6"/>
    <w:rsid w:val="00CE0F4E"/>
    <w:rsid w:val="00CE1D81"/>
    <w:rsid w:val="00CE3C5B"/>
    <w:rsid w:val="00CF57D0"/>
    <w:rsid w:val="00CF7713"/>
    <w:rsid w:val="00D03048"/>
    <w:rsid w:val="00D127A0"/>
    <w:rsid w:val="00D1351F"/>
    <w:rsid w:val="00D1520F"/>
    <w:rsid w:val="00D23CA4"/>
    <w:rsid w:val="00D23F82"/>
    <w:rsid w:val="00D30A5A"/>
    <w:rsid w:val="00D31B8E"/>
    <w:rsid w:val="00D32030"/>
    <w:rsid w:val="00D325DA"/>
    <w:rsid w:val="00D32F6E"/>
    <w:rsid w:val="00D53560"/>
    <w:rsid w:val="00D53B9C"/>
    <w:rsid w:val="00D5558E"/>
    <w:rsid w:val="00D60075"/>
    <w:rsid w:val="00D6764B"/>
    <w:rsid w:val="00D77A7F"/>
    <w:rsid w:val="00D80841"/>
    <w:rsid w:val="00D81B3A"/>
    <w:rsid w:val="00D833B7"/>
    <w:rsid w:val="00D86F02"/>
    <w:rsid w:val="00D90E4B"/>
    <w:rsid w:val="00D94218"/>
    <w:rsid w:val="00DA1BC4"/>
    <w:rsid w:val="00DA50DF"/>
    <w:rsid w:val="00DA572A"/>
    <w:rsid w:val="00DA6783"/>
    <w:rsid w:val="00DB27CE"/>
    <w:rsid w:val="00DB612A"/>
    <w:rsid w:val="00DC55F2"/>
    <w:rsid w:val="00DD1892"/>
    <w:rsid w:val="00DD373C"/>
    <w:rsid w:val="00DD5256"/>
    <w:rsid w:val="00DE05A7"/>
    <w:rsid w:val="00DE11AE"/>
    <w:rsid w:val="00DE28C1"/>
    <w:rsid w:val="00DF67E4"/>
    <w:rsid w:val="00E03ED0"/>
    <w:rsid w:val="00E0726A"/>
    <w:rsid w:val="00E11D04"/>
    <w:rsid w:val="00E22460"/>
    <w:rsid w:val="00E25D04"/>
    <w:rsid w:val="00E26082"/>
    <w:rsid w:val="00E35B97"/>
    <w:rsid w:val="00E460C5"/>
    <w:rsid w:val="00E52395"/>
    <w:rsid w:val="00E6676E"/>
    <w:rsid w:val="00E83512"/>
    <w:rsid w:val="00E837A3"/>
    <w:rsid w:val="00E84E4A"/>
    <w:rsid w:val="00E85B62"/>
    <w:rsid w:val="00EC51B8"/>
    <w:rsid w:val="00ED3011"/>
    <w:rsid w:val="00ED3228"/>
    <w:rsid w:val="00EF34DA"/>
    <w:rsid w:val="00EF5309"/>
    <w:rsid w:val="00EF6584"/>
    <w:rsid w:val="00EF6B7B"/>
    <w:rsid w:val="00F14FEB"/>
    <w:rsid w:val="00F200FD"/>
    <w:rsid w:val="00F350BD"/>
    <w:rsid w:val="00F36DEF"/>
    <w:rsid w:val="00F377E6"/>
    <w:rsid w:val="00F453F6"/>
    <w:rsid w:val="00F4549F"/>
    <w:rsid w:val="00F553D6"/>
    <w:rsid w:val="00F7775D"/>
    <w:rsid w:val="00F87C96"/>
    <w:rsid w:val="00F91731"/>
    <w:rsid w:val="00F952AD"/>
    <w:rsid w:val="00FA0CE3"/>
    <w:rsid w:val="00FA6748"/>
    <w:rsid w:val="00FB00A4"/>
    <w:rsid w:val="00FB76C4"/>
    <w:rsid w:val="00FB7775"/>
    <w:rsid w:val="00FD05BD"/>
    <w:rsid w:val="00FE433C"/>
    <w:rsid w:val="00FE4949"/>
    <w:rsid w:val="00FE7BD6"/>
    <w:rsid w:val="00FF551B"/>
    <w:rsid w:val="00FF5CA0"/>
    <w:rsid w:val="00FF66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61FD"/>
  <w15:chartTrackingRefBased/>
  <w15:docId w15:val="{8ECE226A-EF75-4928-98BF-21F0E63F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9C"/>
    <w:pPr>
      <w:spacing w:line="256" w:lineRule="auto"/>
    </w:pPr>
  </w:style>
  <w:style w:type="paragraph" w:styleId="Ttulo1">
    <w:name w:val="heading 1"/>
    <w:basedOn w:val="Normal"/>
    <w:next w:val="Normal"/>
    <w:link w:val="Ttulo1Car"/>
    <w:uiPriority w:val="9"/>
    <w:qFormat/>
    <w:rsid w:val="006F4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A158E2"/>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4E0B"/>
    <w:rPr>
      <w:color w:val="0563C1" w:themeColor="hyperlink"/>
      <w:u w:val="single"/>
    </w:rPr>
  </w:style>
  <w:style w:type="paragraph" w:styleId="Prrafodelista">
    <w:name w:val="List Paragraph"/>
    <w:aliases w:val="Ha,List Paragraph1,lp1,Párrafo de lista1,Bullet List,FooterText,Use Case List Paragraph,titulo 3,numbered,Paragraphe de liste1,Bulletr List Paragraph,Foot,列出段落,列出段落1,List Paragraph2,List Paragraph21,Parágrafo da Lista1,リスト段落1,Bullets,HO"/>
    <w:basedOn w:val="Normal"/>
    <w:link w:val="PrrafodelistaCar"/>
    <w:uiPriority w:val="34"/>
    <w:qFormat/>
    <w:rsid w:val="00024E0B"/>
    <w:pPr>
      <w:spacing w:after="200" w:line="276" w:lineRule="auto"/>
      <w:ind w:left="720"/>
      <w:contextualSpacing/>
    </w:pPr>
  </w:style>
  <w:style w:type="paragraph" w:customStyle="1" w:styleId="Cuerpo">
    <w:name w:val="Cuerpo"/>
    <w:rsid w:val="001D575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Ninguno">
    <w:name w:val="Ninguno"/>
    <w:rsid w:val="001D575E"/>
    <w:rPr>
      <w:lang w:val="es-ES_tradnl"/>
    </w:rPr>
  </w:style>
  <w:style w:type="paragraph" w:customStyle="1" w:styleId="CuerpoA">
    <w:name w:val="Cuerpo A"/>
    <w:rsid w:val="001D575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Ttulo4Car">
    <w:name w:val="Título 4 Car"/>
    <w:basedOn w:val="Fuentedeprrafopredeter"/>
    <w:link w:val="Ttulo4"/>
    <w:uiPriority w:val="9"/>
    <w:rsid w:val="00A158E2"/>
    <w:rPr>
      <w:rFonts w:ascii="Times New Roman" w:eastAsia="Times New Roman" w:hAnsi="Times New Roman" w:cs="Times New Roman"/>
      <w:b/>
      <w:bCs/>
      <w:sz w:val="24"/>
      <w:szCs w:val="24"/>
      <w:lang w:eastAsia="es-CO"/>
    </w:rPr>
  </w:style>
  <w:style w:type="character" w:customStyle="1" w:styleId="Mencinsinresolver1">
    <w:name w:val="Mención sin resolver1"/>
    <w:basedOn w:val="Fuentedeprrafopredeter"/>
    <w:uiPriority w:val="99"/>
    <w:semiHidden/>
    <w:unhideWhenUsed/>
    <w:rsid w:val="00A158E2"/>
    <w:rPr>
      <w:color w:val="605E5C"/>
      <w:shd w:val="clear" w:color="auto" w:fill="E1DFDD"/>
    </w:rPr>
  </w:style>
  <w:style w:type="character" w:styleId="Hipervnculovisitado">
    <w:name w:val="FollowedHyperlink"/>
    <w:basedOn w:val="Fuentedeprrafopredeter"/>
    <w:uiPriority w:val="99"/>
    <w:semiHidden/>
    <w:unhideWhenUsed/>
    <w:rsid w:val="00A158E2"/>
    <w:rPr>
      <w:color w:val="954F72" w:themeColor="followedHyperlink"/>
      <w:u w:val="single"/>
    </w:rPr>
  </w:style>
  <w:style w:type="paragraph" w:styleId="Textonotapie">
    <w:name w:val="footnote text"/>
    <w:aliases w:val="Car, Car,Footnote Text Char Char Char Char Char,Footnote Text Char Char Char Char,Footnote reference,FA Fu,Footnote Text Char Char Char,texto de nota al pie,Footnote Text Char,Footnote Text Char Char Char Char Char Char,Footnote Text Cha"/>
    <w:basedOn w:val="Normal"/>
    <w:link w:val="TextonotapieCar"/>
    <w:uiPriority w:val="99"/>
    <w:unhideWhenUsed/>
    <w:qFormat/>
    <w:rsid w:val="006E29B1"/>
    <w:pPr>
      <w:spacing w:after="0" w:line="240" w:lineRule="auto"/>
    </w:pPr>
    <w:rPr>
      <w:rFonts w:eastAsiaTheme="minorEastAsia"/>
      <w:sz w:val="20"/>
      <w:szCs w:val="20"/>
      <w:lang w:eastAsia="es-ES"/>
    </w:rPr>
  </w:style>
  <w:style w:type="character" w:customStyle="1" w:styleId="TextonotapieCar">
    <w:name w:val="Texto nota pie Car"/>
    <w:aliases w:val="Car Car, Car Car,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6E29B1"/>
    <w:rPr>
      <w:rFonts w:eastAsiaTheme="minorEastAsia"/>
      <w:sz w:val="20"/>
      <w:szCs w:val="20"/>
      <w:lang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Nota de pie"/>
    <w:basedOn w:val="Fuentedeprrafopredeter"/>
    <w:link w:val="Piedepagina"/>
    <w:uiPriority w:val="99"/>
    <w:unhideWhenUsed/>
    <w:qFormat/>
    <w:rsid w:val="006E29B1"/>
    <w:rPr>
      <w:vertAlign w:val="superscript"/>
    </w:rPr>
  </w:style>
  <w:style w:type="table" w:styleId="Tablaconcuadrcula">
    <w:name w:val="Table Grid"/>
    <w:basedOn w:val="Tablanormal"/>
    <w:uiPriority w:val="39"/>
    <w:rsid w:val="006E29B1"/>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E29B1"/>
    <w:pPr>
      <w:spacing w:after="0" w:line="240" w:lineRule="auto"/>
    </w:pPr>
    <w:rPr>
      <w:rFonts w:eastAsiaTheme="minorEastAsia"/>
      <w:lang w:eastAsia="es-ES"/>
    </w:rPr>
  </w:style>
  <w:style w:type="paragraph" w:styleId="Encabezado">
    <w:name w:val="header"/>
    <w:basedOn w:val="Normal"/>
    <w:link w:val="EncabezadoCar"/>
    <w:uiPriority w:val="99"/>
    <w:unhideWhenUsed/>
    <w:rsid w:val="00453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5E4"/>
  </w:style>
  <w:style w:type="paragraph" w:styleId="Piedepgina">
    <w:name w:val="footer"/>
    <w:basedOn w:val="Normal"/>
    <w:link w:val="PiedepginaCar"/>
    <w:uiPriority w:val="99"/>
    <w:unhideWhenUsed/>
    <w:rsid w:val="00453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5E4"/>
  </w:style>
  <w:style w:type="character" w:customStyle="1" w:styleId="PrrafodelistaCar">
    <w:name w:val="Párrafo de lista Car"/>
    <w:aliases w:val="Ha Car,List Paragraph1 Car,lp1 Car,Párrafo de lista1 Car,Bullet List Car,FooterText Car,Use Case List Paragraph Car,titulo 3 Car,numbered Car,Paragraphe de liste1 Car,Bulletr List Paragraph Car,Foot Car,列出段落 Car,列出段落1 Car,リスト段落1 Car"/>
    <w:link w:val="Prrafodelista"/>
    <w:uiPriority w:val="34"/>
    <w:locked/>
    <w:rsid w:val="001172B4"/>
  </w:style>
  <w:style w:type="paragraph" w:styleId="Textodeglobo">
    <w:name w:val="Balloon Text"/>
    <w:basedOn w:val="Normal"/>
    <w:link w:val="TextodegloboCar"/>
    <w:uiPriority w:val="99"/>
    <w:semiHidden/>
    <w:unhideWhenUsed/>
    <w:rsid w:val="001172B4"/>
    <w:pPr>
      <w:widowControl w:val="0"/>
      <w:suppressAutoHyphens/>
      <w:autoSpaceDN w:val="0"/>
      <w:spacing w:after="0" w:line="240" w:lineRule="auto"/>
      <w:textAlignment w:val="baseline"/>
    </w:pPr>
    <w:rPr>
      <w:rFonts w:ascii="Segoe UI" w:eastAsia="SimSun" w:hAnsi="Segoe UI" w:cs="Segoe UI"/>
      <w:kern w:val="3"/>
      <w:sz w:val="18"/>
      <w:szCs w:val="18"/>
    </w:rPr>
  </w:style>
  <w:style w:type="character" w:customStyle="1" w:styleId="TextodegloboCar">
    <w:name w:val="Texto de globo Car"/>
    <w:basedOn w:val="Fuentedeprrafopredeter"/>
    <w:link w:val="Textodeglobo"/>
    <w:uiPriority w:val="99"/>
    <w:semiHidden/>
    <w:rsid w:val="001172B4"/>
    <w:rPr>
      <w:rFonts w:ascii="Segoe UI" w:eastAsia="SimSun" w:hAnsi="Segoe UI" w:cs="Segoe UI"/>
      <w:kern w:val="3"/>
      <w:sz w:val="18"/>
      <w:szCs w:val="18"/>
    </w:rPr>
  </w:style>
  <w:style w:type="paragraph" w:customStyle="1" w:styleId="Standard">
    <w:name w:val="Standard"/>
    <w:uiPriority w:val="99"/>
    <w:rsid w:val="001172B4"/>
    <w:pPr>
      <w:suppressAutoHyphens/>
      <w:autoSpaceDN w:val="0"/>
      <w:spacing w:line="256" w:lineRule="auto"/>
      <w:textAlignment w:val="baseline"/>
    </w:pPr>
    <w:rPr>
      <w:rFonts w:ascii="Calibri" w:eastAsia="SimSun" w:hAnsi="Calibri" w:cs="Tahoma"/>
      <w:kern w:val="3"/>
    </w:rPr>
  </w:style>
  <w:style w:type="table" w:customStyle="1" w:styleId="Tablaconcuadrcula1">
    <w:name w:val="Tabla con cuadrícula1"/>
    <w:basedOn w:val="Tablanormal"/>
    <w:next w:val="Tablaconcuadrcula"/>
    <w:uiPriority w:val="39"/>
    <w:rsid w:val="0094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2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952AD"/>
  </w:style>
  <w:style w:type="character" w:customStyle="1" w:styleId="iaj">
    <w:name w:val="i_aj"/>
    <w:basedOn w:val="Fuentedeprrafopredeter"/>
    <w:rsid w:val="00883BF5"/>
  </w:style>
  <w:style w:type="paragraph" w:customStyle="1" w:styleId="Piedepagina">
    <w:name w:val="Pie de pagina"/>
    <w:basedOn w:val="Normal"/>
    <w:link w:val="Refdenotaalpie"/>
    <w:uiPriority w:val="99"/>
    <w:qFormat/>
    <w:rsid w:val="00616C03"/>
    <w:pPr>
      <w:spacing w:line="240" w:lineRule="exact"/>
    </w:pPr>
    <w:rPr>
      <w:vertAlign w:val="superscript"/>
    </w:rPr>
  </w:style>
  <w:style w:type="character" w:customStyle="1" w:styleId="Ttulo1Car">
    <w:name w:val="Título 1 Car"/>
    <w:basedOn w:val="Fuentedeprrafopredeter"/>
    <w:link w:val="Ttulo1"/>
    <w:uiPriority w:val="9"/>
    <w:rsid w:val="006F4ECB"/>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87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732">
      <w:bodyDiv w:val="1"/>
      <w:marLeft w:val="0"/>
      <w:marRight w:val="0"/>
      <w:marTop w:val="0"/>
      <w:marBottom w:val="0"/>
      <w:divBdr>
        <w:top w:val="none" w:sz="0" w:space="0" w:color="auto"/>
        <w:left w:val="none" w:sz="0" w:space="0" w:color="auto"/>
        <w:bottom w:val="none" w:sz="0" w:space="0" w:color="auto"/>
        <w:right w:val="none" w:sz="0" w:space="0" w:color="auto"/>
      </w:divBdr>
    </w:div>
    <w:div w:id="84084113">
      <w:bodyDiv w:val="1"/>
      <w:marLeft w:val="0"/>
      <w:marRight w:val="0"/>
      <w:marTop w:val="0"/>
      <w:marBottom w:val="0"/>
      <w:divBdr>
        <w:top w:val="none" w:sz="0" w:space="0" w:color="auto"/>
        <w:left w:val="none" w:sz="0" w:space="0" w:color="auto"/>
        <w:bottom w:val="none" w:sz="0" w:space="0" w:color="auto"/>
        <w:right w:val="none" w:sz="0" w:space="0" w:color="auto"/>
      </w:divBdr>
    </w:div>
    <w:div w:id="136845706">
      <w:bodyDiv w:val="1"/>
      <w:marLeft w:val="0"/>
      <w:marRight w:val="0"/>
      <w:marTop w:val="0"/>
      <w:marBottom w:val="0"/>
      <w:divBdr>
        <w:top w:val="none" w:sz="0" w:space="0" w:color="auto"/>
        <w:left w:val="none" w:sz="0" w:space="0" w:color="auto"/>
        <w:bottom w:val="none" w:sz="0" w:space="0" w:color="auto"/>
        <w:right w:val="none" w:sz="0" w:space="0" w:color="auto"/>
      </w:divBdr>
    </w:div>
    <w:div w:id="160658930">
      <w:bodyDiv w:val="1"/>
      <w:marLeft w:val="0"/>
      <w:marRight w:val="0"/>
      <w:marTop w:val="0"/>
      <w:marBottom w:val="0"/>
      <w:divBdr>
        <w:top w:val="none" w:sz="0" w:space="0" w:color="auto"/>
        <w:left w:val="none" w:sz="0" w:space="0" w:color="auto"/>
        <w:bottom w:val="none" w:sz="0" w:space="0" w:color="auto"/>
        <w:right w:val="none" w:sz="0" w:space="0" w:color="auto"/>
      </w:divBdr>
    </w:div>
    <w:div w:id="242305019">
      <w:bodyDiv w:val="1"/>
      <w:marLeft w:val="0"/>
      <w:marRight w:val="0"/>
      <w:marTop w:val="0"/>
      <w:marBottom w:val="0"/>
      <w:divBdr>
        <w:top w:val="none" w:sz="0" w:space="0" w:color="auto"/>
        <w:left w:val="none" w:sz="0" w:space="0" w:color="auto"/>
        <w:bottom w:val="none" w:sz="0" w:space="0" w:color="auto"/>
        <w:right w:val="none" w:sz="0" w:space="0" w:color="auto"/>
      </w:divBdr>
    </w:div>
    <w:div w:id="279992598">
      <w:bodyDiv w:val="1"/>
      <w:marLeft w:val="0"/>
      <w:marRight w:val="0"/>
      <w:marTop w:val="0"/>
      <w:marBottom w:val="0"/>
      <w:divBdr>
        <w:top w:val="none" w:sz="0" w:space="0" w:color="auto"/>
        <w:left w:val="none" w:sz="0" w:space="0" w:color="auto"/>
        <w:bottom w:val="none" w:sz="0" w:space="0" w:color="auto"/>
        <w:right w:val="none" w:sz="0" w:space="0" w:color="auto"/>
      </w:divBdr>
    </w:div>
    <w:div w:id="422726468">
      <w:bodyDiv w:val="1"/>
      <w:marLeft w:val="0"/>
      <w:marRight w:val="0"/>
      <w:marTop w:val="0"/>
      <w:marBottom w:val="0"/>
      <w:divBdr>
        <w:top w:val="none" w:sz="0" w:space="0" w:color="auto"/>
        <w:left w:val="none" w:sz="0" w:space="0" w:color="auto"/>
        <w:bottom w:val="none" w:sz="0" w:space="0" w:color="auto"/>
        <w:right w:val="none" w:sz="0" w:space="0" w:color="auto"/>
      </w:divBdr>
    </w:div>
    <w:div w:id="475031616">
      <w:bodyDiv w:val="1"/>
      <w:marLeft w:val="0"/>
      <w:marRight w:val="0"/>
      <w:marTop w:val="0"/>
      <w:marBottom w:val="0"/>
      <w:divBdr>
        <w:top w:val="none" w:sz="0" w:space="0" w:color="auto"/>
        <w:left w:val="none" w:sz="0" w:space="0" w:color="auto"/>
        <w:bottom w:val="none" w:sz="0" w:space="0" w:color="auto"/>
        <w:right w:val="none" w:sz="0" w:space="0" w:color="auto"/>
      </w:divBdr>
    </w:div>
    <w:div w:id="496580895">
      <w:bodyDiv w:val="1"/>
      <w:marLeft w:val="0"/>
      <w:marRight w:val="0"/>
      <w:marTop w:val="0"/>
      <w:marBottom w:val="0"/>
      <w:divBdr>
        <w:top w:val="none" w:sz="0" w:space="0" w:color="auto"/>
        <w:left w:val="none" w:sz="0" w:space="0" w:color="auto"/>
        <w:bottom w:val="none" w:sz="0" w:space="0" w:color="auto"/>
        <w:right w:val="none" w:sz="0" w:space="0" w:color="auto"/>
      </w:divBdr>
    </w:div>
    <w:div w:id="517501623">
      <w:bodyDiv w:val="1"/>
      <w:marLeft w:val="0"/>
      <w:marRight w:val="0"/>
      <w:marTop w:val="0"/>
      <w:marBottom w:val="0"/>
      <w:divBdr>
        <w:top w:val="none" w:sz="0" w:space="0" w:color="auto"/>
        <w:left w:val="none" w:sz="0" w:space="0" w:color="auto"/>
        <w:bottom w:val="none" w:sz="0" w:space="0" w:color="auto"/>
        <w:right w:val="none" w:sz="0" w:space="0" w:color="auto"/>
      </w:divBdr>
    </w:div>
    <w:div w:id="602038335">
      <w:bodyDiv w:val="1"/>
      <w:marLeft w:val="0"/>
      <w:marRight w:val="0"/>
      <w:marTop w:val="0"/>
      <w:marBottom w:val="0"/>
      <w:divBdr>
        <w:top w:val="none" w:sz="0" w:space="0" w:color="auto"/>
        <w:left w:val="none" w:sz="0" w:space="0" w:color="auto"/>
        <w:bottom w:val="none" w:sz="0" w:space="0" w:color="auto"/>
        <w:right w:val="none" w:sz="0" w:space="0" w:color="auto"/>
      </w:divBdr>
    </w:div>
    <w:div w:id="648746514">
      <w:bodyDiv w:val="1"/>
      <w:marLeft w:val="0"/>
      <w:marRight w:val="0"/>
      <w:marTop w:val="0"/>
      <w:marBottom w:val="0"/>
      <w:divBdr>
        <w:top w:val="none" w:sz="0" w:space="0" w:color="auto"/>
        <w:left w:val="none" w:sz="0" w:space="0" w:color="auto"/>
        <w:bottom w:val="none" w:sz="0" w:space="0" w:color="auto"/>
        <w:right w:val="none" w:sz="0" w:space="0" w:color="auto"/>
      </w:divBdr>
    </w:div>
    <w:div w:id="722102840">
      <w:bodyDiv w:val="1"/>
      <w:marLeft w:val="0"/>
      <w:marRight w:val="0"/>
      <w:marTop w:val="0"/>
      <w:marBottom w:val="0"/>
      <w:divBdr>
        <w:top w:val="none" w:sz="0" w:space="0" w:color="auto"/>
        <w:left w:val="none" w:sz="0" w:space="0" w:color="auto"/>
        <w:bottom w:val="none" w:sz="0" w:space="0" w:color="auto"/>
        <w:right w:val="none" w:sz="0" w:space="0" w:color="auto"/>
      </w:divBdr>
    </w:div>
    <w:div w:id="991834195">
      <w:bodyDiv w:val="1"/>
      <w:marLeft w:val="0"/>
      <w:marRight w:val="0"/>
      <w:marTop w:val="0"/>
      <w:marBottom w:val="0"/>
      <w:divBdr>
        <w:top w:val="none" w:sz="0" w:space="0" w:color="auto"/>
        <w:left w:val="none" w:sz="0" w:space="0" w:color="auto"/>
        <w:bottom w:val="none" w:sz="0" w:space="0" w:color="auto"/>
        <w:right w:val="none" w:sz="0" w:space="0" w:color="auto"/>
      </w:divBdr>
    </w:div>
    <w:div w:id="1045300694">
      <w:bodyDiv w:val="1"/>
      <w:marLeft w:val="0"/>
      <w:marRight w:val="0"/>
      <w:marTop w:val="0"/>
      <w:marBottom w:val="0"/>
      <w:divBdr>
        <w:top w:val="none" w:sz="0" w:space="0" w:color="auto"/>
        <w:left w:val="none" w:sz="0" w:space="0" w:color="auto"/>
        <w:bottom w:val="none" w:sz="0" w:space="0" w:color="auto"/>
        <w:right w:val="none" w:sz="0" w:space="0" w:color="auto"/>
      </w:divBdr>
      <w:divsChild>
        <w:div w:id="879515279">
          <w:marLeft w:val="0"/>
          <w:marRight w:val="0"/>
          <w:marTop w:val="0"/>
          <w:marBottom w:val="0"/>
          <w:divBdr>
            <w:top w:val="none" w:sz="0" w:space="0" w:color="auto"/>
            <w:left w:val="none" w:sz="0" w:space="0" w:color="auto"/>
            <w:bottom w:val="none" w:sz="0" w:space="0" w:color="auto"/>
            <w:right w:val="none" w:sz="0" w:space="0" w:color="auto"/>
          </w:divBdr>
          <w:divsChild>
            <w:div w:id="250700164">
              <w:marLeft w:val="0"/>
              <w:marRight w:val="0"/>
              <w:marTop w:val="0"/>
              <w:marBottom w:val="0"/>
              <w:divBdr>
                <w:top w:val="none" w:sz="0" w:space="0" w:color="auto"/>
                <w:left w:val="none" w:sz="0" w:space="0" w:color="auto"/>
                <w:bottom w:val="none" w:sz="0" w:space="0" w:color="auto"/>
                <w:right w:val="none" w:sz="0" w:space="0" w:color="auto"/>
              </w:divBdr>
              <w:divsChild>
                <w:div w:id="13752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2319">
      <w:bodyDiv w:val="1"/>
      <w:marLeft w:val="0"/>
      <w:marRight w:val="0"/>
      <w:marTop w:val="0"/>
      <w:marBottom w:val="0"/>
      <w:divBdr>
        <w:top w:val="none" w:sz="0" w:space="0" w:color="auto"/>
        <w:left w:val="none" w:sz="0" w:space="0" w:color="auto"/>
        <w:bottom w:val="none" w:sz="0" w:space="0" w:color="auto"/>
        <w:right w:val="none" w:sz="0" w:space="0" w:color="auto"/>
      </w:divBdr>
    </w:div>
    <w:div w:id="1111515632">
      <w:bodyDiv w:val="1"/>
      <w:marLeft w:val="0"/>
      <w:marRight w:val="0"/>
      <w:marTop w:val="0"/>
      <w:marBottom w:val="0"/>
      <w:divBdr>
        <w:top w:val="none" w:sz="0" w:space="0" w:color="auto"/>
        <w:left w:val="none" w:sz="0" w:space="0" w:color="auto"/>
        <w:bottom w:val="none" w:sz="0" w:space="0" w:color="auto"/>
        <w:right w:val="none" w:sz="0" w:space="0" w:color="auto"/>
      </w:divBdr>
      <w:divsChild>
        <w:div w:id="1426615469">
          <w:marLeft w:val="0"/>
          <w:marRight w:val="0"/>
          <w:marTop w:val="0"/>
          <w:marBottom w:val="0"/>
          <w:divBdr>
            <w:top w:val="none" w:sz="0" w:space="0" w:color="auto"/>
            <w:left w:val="none" w:sz="0" w:space="0" w:color="auto"/>
            <w:bottom w:val="none" w:sz="0" w:space="0" w:color="auto"/>
            <w:right w:val="none" w:sz="0" w:space="0" w:color="auto"/>
          </w:divBdr>
          <w:divsChild>
            <w:div w:id="19404006">
              <w:marLeft w:val="0"/>
              <w:marRight w:val="0"/>
              <w:marTop w:val="0"/>
              <w:marBottom w:val="0"/>
              <w:divBdr>
                <w:top w:val="none" w:sz="0" w:space="0" w:color="auto"/>
                <w:left w:val="none" w:sz="0" w:space="0" w:color="auto"/>
                <w:bottom w:val="none" w:sz="0" w:space="0" w:color="auto"/>
                <w:right w:val="none" w:sz="0" w:space="0" w:color="auto"/>
              </w:divBdr>
              <w:divsChild>
                <w:div w:id="18176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8808">
      <w:bodyDiv w:val="1"/>
      <w:marLeft w:val="0"/>
      <w:marRight w:val="0"/>
      <w:marTop w:val="0"/>
      <w:marBottom w:val="0"/>
      <w:divBdr>
        <w:top w:val="none" w:sz="0" w:space="0" w:color="auto"/>
        <w:left w:val="none" w:sz="0" w:space="0" w:color="auto"/>
        <w:bottom w:val="none" w:sz="0" w:space="0" w:color="auto"/>
        <w:right w:val="none" w:sz="0" w:space="0" w:color="auto"/>
      </w:divBdr>
    </w:div>
    <w:div w:id="1411584359">
      <w:bodyDiv w:val="1"/>
      <w:marLeft w:val="0"/>
      <w:marRight w:val="0"/>
      <w:marTop w:val="0"/>
      <w:marBottom w:val="0"/>
      <w:divBdr>
        <w:top w:val="none" w:sz="0" w:space="0" w:color="auto"/>
        <w:left w:val="none" w:sz="0" w:space="0" w:color="auto"/>
        <w:bottom w:val="none" w:sz="0" w:space="0" w:color="auto"/>
        <w:right w:val="none" w:sz="0" w:space="0" w:color="auto"/>
      </w:divBdr>
    </w:div>
    <w:div w:id="1457601258">
      <w:bodyDiv w:val="1"/>
      <w:marLeft w:val="0"/>
      <w:marRight w:val="0"/>
      <w:marTop w:val="0"/>
      <w:marBottom w:val="0"/>
      <w:divBdr>
        <w:top w:val="none" w:sz="0" w:space="0" w:color="auto"/>
        <w:left w:val="none" w:sz="0" w:space="0" w:color="auto"/>
        <w:bottom w:val="none" w:sz="0" w:space="0" w:color="auto"/>
        <w:right w:val="none" w:sz="0" w:space="0" w:color="auto"/>
      </w:divBdr>
    </w:div>
    <w:div w:id="1489251557">
      <w:bodyDiv w:val="1"/>
      <w:marLeft w:val="0"/>
      <w:marRight w:val="0"/>
      <w:marTop w:val="0"/>
      <w:marBottom w:val="0"/>
      <w:divBdr>
        <w:top w:val="none" w:sz="0" w:space="0" w:color="auto"/>
        <w:left w:val="none" w:sz="0" w:space="0" w:color="auto"/>
        <w:bottom w:val="none" w:sz="0" w:space="0" w:color="auto"/>
        <w:right w:val="none" w:sz="0" w:space="0" w:color="auto"/>
      </w:divBdr>
    </w:div>
    <w:div w:id="1493135488">
      <w:bodyDiv w:val="1"/>
      <w:marLeft w:val="0"/>
      <w:marRight w:val="0"/>
      <w:marTop w:val="0"/>
      <w:marBottom w:val="0"/>
      <w:divBdr>
        <w:top w:val="none" w:sz="0" w:space="0" w:color="auto"/>
        <w:left w:val="none" w:sz="0" w:space="0" w:color="auto"/>
        <w:bottom w:val="none" w:sz="0" w:space="0" w:color="auto"/>
        <w:right w:val="none" w:sz="0" w:space="0" w:color="auto"/>
      </w:divBdr>
    </w:div>
    <w:div w:id="1496264751">
      <w:bodyDiv w:val="1"/>
      <w:marLeft w:val="0"/>
      <w:marRight w:val="0"/>
      <w:marTop w:val="0"/>
      <w:marBottom w:val="0"/>
      <w:divBdr>
        <w:top w:val="none" w:sz="0" w:space="0" w:color="auto"/>
        <w:left w:val="none" w:sz="0" w:space="0" w:color="auto"/>
        <w:bottom w:val="none" w:sz="0" w:space="0" w:color="auto"/>
        <w:right w:val="none" w:sz="0" w:space="0" w:color="auto"/>
      </w:divBdr>
    </w:div>
    <w:div w:id="1512404735">
      <w:bodyDiv w:val="1"/>
      <w:marLeft w:val="0"/>
      <w:marRight w:val="0"/>
      <w:marTop w:val="0"/>
      <w:marBottom w:val="0"/>
      <w:divBdr>
        <w:top w:val="none" w:sz="0" w:space="0" w:color="auto"/>
        <w:left w:val="none" w:sz="0" w:space="0" w:color="auto"/>
        <w:bottom w:val="none" w:sz="0" w:space="0" w:color="auto"/>
        <w:right w:val="none" w:sz="0" w:space="0" w:color="auto"/>
      </w:divBdr>
    </w:div>
    <w:div w:id="1555314374">
      <w:bodyDiv w:val="1"/>
      <w:marLeft w:val="0"/>
      <w:marRight w:val="0"/>
      <w:marTop w:val="0"/>
      <w:marBottom w:val="0"/>
      <w:divBdr>
        <w:top w:val="none" w:sz="0" w:space="0" w:color="auto"/>
        <w:left w:val="none" w:sz="0" w:space="0" w:color="auto"/>
        <w:bottom w:val="none" w:sz="0" w:space="0" w:color="auto"/>
        <w:right w:val="none" w:sz="0" w:space="0" w:color="auto"/>
      </w:divBdr>
    </w:div>
    <w:div w:id="1582716313">
      <w:bodyDiv w:val="1"/>
      <w:marLeft w:val="0"/>
      <w:marRight w:val="0"/>
      <w:marTop w:val="0"/>
      <w:marBottom w:val="0"/>
      <w:divBdr>
        <w:top w:val="none" w:sz="0" w:space="0" w:color="auto"/>
        <w:left w:val="none" w:sz="0" w:space="0" w:color="auto"/>
        <w:bottom w:val="none" w:sz="0" w:space="0" w:color="auto"/>
        <w:right w:val="none" w:sz="0" w:space="0" w:color="auto"/>
      </w:divBdr>
    </w:div>
    <w:div w:id="1729500333">
      <w:bodyDiv w:val="1"/>
      <w:marLeft w:val="0"/>
      <w:marRight w:val="0"/>
      <w:marTop w:val="0"/>
      <w:marBottom w:val="0"/>
      <w:divBdr>
        <w:top w:val="none" w:sz="0" w:space="0" w:color="auto"/>
        <w:left w:val="none" w:sz="0" w:space="0" w:color="auto"/>
        <w:bottom w:val="none" w:sz="0" w:space="0" w:color="auto"/>
        <w:right w:val="none" w:sz="0" w:space="0" w:color="auto"/>
      </w:divBdr>
    </w:div>
    <w:div w:id="1972323028">
      <w:bodyDiv w:val="1"/>
      <w:marLeft w:val="0"/>
      <w:marRight w:val="0"/>
      <w:marTop w:val="0"/>
      <w:marBottom w:val="0"/>
      <w:divBdr>
        <w:top w:val="none" w:sz="0" w:space="0" w:color="auto"/>
        <w:left w:val="none" w:sz="0" w:space="0" w:color="auto"/>
        <w:bottom w:val="none" w:sz="0" w:space="0" w:color="auto"/>
        <w:right w:val="none" w:sz="0" w:space="0" w:color="auto"/>
      </w:divBdr>
    </w:div>
    <w:div w:id="19919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co/transparencia-y-acceso-a-la-informacion-public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administrativos.ut.edu.co/images/universidad/Plan_de_desarrollo_2013_2022_V.pdf" TargetMode="External"/><Relationship Id="rId1" Type="http://schemas.openxmlformats.org/officeDocument/2006/relationships/hyperlink" Target="http://administrativos.ut.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52E5-BC16-4565-98BB-D8BCA8BC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5382</Words>
  <Characters>29603</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Mosquera  Abogados</dc:creator>
  <cp:keywords/>
  <dc:description/>
  <cp:lastModifiedBy>hasbleidy suarez</cp:lastModifiedBy>
  <cp:revision>2</cp:revision>
  <cp:lastPrinted>2018-11-14T14:07:00Z</cp:lastPrinted>
  <dcterms:created xsi:type="dcterms:W3CDTF">2020-07-22T02:05:00Z</dcterms:created>
  <dcterms:modified xsi:type="dcterms:W3CDTF">2020-07-22T02:05:00Z</dcterms:modified>
</cp:coreProperties>
</file>