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B9A6A" w14:textId="3483E2C6" w:rsidR="00592D6C" w:rsidRPr="000C10D2" w:rsidRDefault="00592D6C" w:rsidP="00D03564">
      <w:pPr>
        <w:spacing w:line="360" w:lineRule="auto"/>
        <w:jc w:val="both"/>
        <w:rPr>
          <w:rFonts w:ascii="Century Gothic" w:eastAsia="Times New Roman" w:hAnsi="Century Gothic" w:cs="Times New Roman"/>
          <w:b/>
          <w:sz w:val="24"/>
          <w:szCs w:val="24"/>
          <w:lang w:val="es-CO"/>
        </w:rPr>
      </w:pPr>
      <w:bookmarkStart w:id="0" w:name="_GoBack"/>
      <w:bookmarkEnd w:id="0"/>
      <w:r w:rsidRPr="0004480D">
        <w:rPr>
          <w:rFonts w:ascii="Century Gothic" w:eastAsia="Times New Roman" w:hAnsi="Century Gothic" w:cs="Times New Roman"/>
          <w:b/>
          <w:sz w:val="24"/>
          <w:szCs w:val="24"/>
          <w:lang w:val="es-CO"/>
        </w:rPr>
        <w:t>Bogotá</w:t>
      </w:r>
      <w:r w:rsidR="002C20F0">
        <w:rPr>
          <w:rFonts w:ascii="Century Gothic" w:eastAsia="Times New Roman" w:hAnsi="Century Gothic" w:cs="Times New Roman"/>
          <w:b/>
          <w:sz w:val="24"/>
          <w:szCs w:val="24"/>
          <w:lang w:val="es-CO"/>
        </w:rPr>
        <w:t xml:space="preserve"> D. C.</w:t>
      </w:r>
      <w:r w:rsidRPr="0004480D">
        <w:rPr>
          <w:rFonts w:ascii="Century Gothic" w:eastAsia="Times New Roman" w:hAnsi="Century Gothic" w:cs="Times New Roman"/>
          <w:b/>
          <w:sz w:val="24"/>
          <w:szCs w:val="24"/>
          <w:lang w:val="es-CO"/>
        </w:rPr>
        <w:t xml:space="preserve">, </w:t>
      </w:r>
      <w:r w:rsidR="0004480D" w:rsidRPr="0004480D">
        <w:rPr>
          <w:rFonts w:ascii="Century Gothic" w:eastAsia="Times New Roman" w:hAnsi="Century Gothic" w:cs="Times New Roman"/>
          <w:b/>
          <w:sz w:val="24"/>
          <w:szCs w:val="24"/>
          <w:lang w:val="es-CO"/>
        </w:rPr>
        <w:t xml:space="preserve">20 de julio </w:t>
      </w:r>
      <w:r w:rsidRPr="0004480D">
        <w:rPr>
          <w:rFonts w:ascii="Century Gothic" w:eastAsia="Times New Roman" w:hAnsi="Century Gothic" w:cs="Times New Roman"/>
          <w:b/>
          <w:sz w:val="24"/>
          <w:szCs w:val="24"/>
          <w:lang w:val="es-CO"/>
        </w:rPr>
        <w:t>de 2020</w:t>
      </w:r>
    </w:p>
    <w:p w14:paraId="24147607" w14:textId="77777777" w:rsidR="00FD5E12" w:rsidRPr="000C10D2" w:rsidRDefault="00FD5E12" w:rsidP="00D03564">
      <w:pPr>
        <w:spacing w:line="360" w:lineRule="auto"/>
        <w:jc w:val="both"/>
        <w:rPr>
          <w:rFonts w:ascii="Century Gothic" w:eastAsia="Times New Roman" w:hAnsi="Century Gothic" w:cs="Times New Roman"/>
          <w:sz w:val="24"/>
          <w:szCs w:val="24"/>
          <w:lang w:val="es-CO"/>
        </w:rPr>
      </w:pPr>
    </w:p>
    <w:p w14:paraId="70A7D52B" w14:textId="77777777" w:rsidR="00136FB1" w:rsidRPr="0004480D" w:rsidRDefault="00136FB1" w:rsidP="008C54B5">
      <w:pPr>
        <w:spacing w:line="276" w:lineRule="auto"/>
        <w:jc w:val="both"/>
        <w:rPr>
          <w:rFonts w:ascii="Century Gothic" w:eastAsia="Times New Roman" w:hAnsi="Century Gothic" w:cs="Times New Roman"/>
          <w:sz w:val="24"/>
          <w:szCs w:val="24"/>
          <w:lang w:val="es-MX"/>
        </w:rPr>
      </w:pPr>
      <w:r w:rsidRPr="0004480D">
        <w:rPr>
          <w:rFonts w:ascii="Century Gothic" w:eastAsia="Times New Roman" w:hAnsi="Century Gothic" w:cs="Times New Roman"/>
          <w:sz w:val="24"/>
          <w:szCs w:val="24"/>
          <w:lang w:val="es-MX"/>
        </w:rPr>
        <w:t>Doctor</w:t>
      </w:r>
    </w:p>
    <w:p w14:paraId="71A9C2A3" w14:textId="77777777" w:rsidR="00136FB1" w:rsidRPr="0004480D" w:rsidRDefault="00136FB1" w:rsidP="008C54B5">
      <w:pPr>
        <w:spacing w:line="276" w:lineRule="auto"/>
        <w:jc w:val="both"/>
        <w:rPr>
          <w:rFonts w:ascii="Century Gothic" w:eastAsia="Times New Roman" w:hAnsi="Century Gothic" w:cs="Times New Roman"/>
          <w:sz w:val="24"/>
          <w:szCs w:val="24"/>
          <w:lang w:val="es-MX"/>
        </w:rPr>
      </w:pPr>
      <w:r w:rsidRPr="0004480D">
        <w:rPr>
          <w:rFonts w:ascii="Century Gothic" w:eastAsia="Times New Roman" w:hAnsi="Century Gothic" w:cs="Times New Roman"/>
          <w:b/>
          <w:bCs/>
          <w:sz w:val="24"/>
          <w:szCs w:val="24"/>
          <w:lang w:val="es-MX"/>
        </w:rPr>
        <w:t>JORGE HUMBERTO MANTILLA SERRANO</w:t>
      </w:r>
    </w:p>
    <w:p w14:paraId="189CD656" w14:textId="77777777" w:rsidR="00136FB1" w:rsidRPr="0004480D" w:rsidRDefault="00136FB1" w:rsidP="008C54B5">
      <w:pPr>
        <w:spacing w:line="276" w:lineRule="auto"/>
        <w:jc w:val="both"/>
        <w:rPr>
          <w:rFonts w:ascii="Century Gothic" w:eastAsia="Times New Roman" w:hAnsi="Century Gothic" w:cs="Times New Roman"/>
          <w:sz w:val="24"/>
          <w:szCs w:val="24"/>
          <w:lang w:val="es-MX"/>
        </w:rPr>
      </w:pPr>
      <w:r w:rsidRPr="0004480D">
        <w:rPr>
          <w:rFonts w:ascii="Century Gothic" w:eastAsia="Times New Roman" w:hAnsi="Century Gothic" w:cs="Times New Roman"/>
          <w:sz w:val="24"/>
          <w:szCs w:val="24"/>
          <w:lang w:val="es-MX"/>
        </w:rPr>
        <w:t>Secretario General </w:t>
      </w:r>
    </w:p>
    <w:p w14:paraId="53D7631A" w14:textId="77777777" w:rsidR="00136FB1" w:rsidRPr="0004480D" w:rsidRDefault="00136FB1" w:rsidP="008C54B5">
      <w:pPr>
        <w:spacing w:line="276" w:lineRule="auto"/>
        <w:jc w:val="both"/>
        <w:rPr>
          <w:rFonts w:ascii="Century Gothic" w:eastAsia="Times New Roman" w:hAnsi="Century Gothic" w:cs="Times New Roman"/>
          <w:sz w:val="24"/>
          <w:szCs w:val="24"/>
          <w:lang w:val="es-CO"/>
        </w:rPr>
      </w:pPr>
      <w:r w:rsidRPr="0004480D">
        <w:rPr>
          <w:rFonts w:ascii="Century Gothic" w:eastAsia="Times New Roman" w:hAnsi="Century Gothic" w:cs="Times New Roman"/>
          <w:sz w:val="24"/>
          <w:szCs w:val="24"/>
          <w:lang w:val="es-CO"/>
        </w:rPr>
        <w:t>Honorable Cámara de Representantes</w:t>
      </w:r>
    </w:p>
    <w:p w14:paraId="0901CFB0" w14:textId="77777777" w:rsidR="00136FB1" w:rsidRPr="0004480D" w:rsidRDefault="00136FB1" w:rsidP="008C54B5">
      <w:pPr>
        <w:spacing w:line="276" w:lineRule="auto"/>
        <w:jc w:val="both"/>
        <w:rPr>
          <w:rFonts w:ascii="Century Gothic" w:eastAsia="Times New Roman" w:hAnsi="Century Gothic" w:cs="Times New Roman"/>
          <w:sz w:val="24"/>
          <w:szCs w:val="24"/>
          <w:lang w:val="es-CO"/>
        </w:rPr>
      </w:pPr>
      <w:r w:rsidRPr="0004480D">
        <w:rPr>
          <w:rFonts w:ascii="Century Gothic" w:eastAsia="Times New Roman" w:hAnsi="Century Gothic" w:cs="Times New Roman"/>
          <w:sz w:val="24"/>
          <w:szCs w:val="24"/>
          <w:lang w:val="es-CO"/>
        </w:rPr>
        <w:t xml:space="preserve">Ciudad </w:t>
      </w:r>
    </w:p>
    <w:p w14:paraId="0235AF61" w14:textId="00F943E9" w:rsidR="00592D6C" w:rsidRPr="000C10D2" w:rsidRDefault="00592D6C" w:rsidP="00D03564">
      <w:pPr>
        <w:shd w:val="clear" w:color="auto" w:fill="FFFFFF"/>
        <w:spacing w:line="360" w:lineRule="auto"/>
        <w:jc w:val="both"/>
        <w:rPr>
          <w:rFonts w:ascii="Century Gothic" w:eastAsia="Times New Roman" w:hAnsi="Century Gothic" w:cs="Times New Roman"/>
          <w:sz w:val="24"/>
          <w:szCs w:val="24"/>
          <w:lang w:val="es-CO"/>
        </w:rPr>
      </w:pPr>
    </w:p>
    <w:p w14:paraId="41CFE150" w14:textId="2CCB466F" w:rsidR="003B6FB9" w:rsidRPr="000C10D2" w:rsidRDefault="003B6FB9" w:rsidP="00D03564">
      <w:pPr>
        <w:spacing w:afterLines="120" w:after="288" w:line="360" w:lineRule="auto"/>
        <w:jc w:val="right"/>
        <w:rPr>
          <w:rFonts w:ascii="Century Gothic" w:eastAsia="Times New Roman" w:hAnsi="Century Gothic"/>
          <w:b/>
          <w:sz w:val="24"/>
          <w:szCs w:val="24"/>
        </w:rPr>
      </w:pPr>
      <w:r w:rsidRPr="000C10D2">
        <w:rPr>
          <w:rFonts w:ascii="Century Gothic" w:eastAsia="Times New Roman" w:hAnsi="Century Gothic"/>
          <w:b/>
          <w:sz w:val="24"/>
          <w:szCs w:val="24"/>
        </w:rPr>
        <w:t xml:space="preserve">                                                                   Ref: Radicación Proyecto de Ley.</w:t>
      </w:r>
    </w:p>
    <w:p w14:paraId="6E992DCA" w14:textId="280472B2" w:rsidR="00592D6C" w:rsidRPr="000C10D2" w:rsidRDefault="00592D6C" w:rsidP="00D03564">
      <w:pPr>
        <w:spacing w:before="28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Respetado </w:t>
      </w:r>
      <w:r w:rsidR="00B01223">
        <w:rPr>
          <w:rFonts w:ascii="Century Gothic" w:eastAsia="Times New Roman" w:hAnsi="Century Gothic" w:cs="Times New Roman"/>
          <w:sz w:val="24"/>
          <w:szCs w:val="24"/>
          <w:lang w:val="es-CO"/>
        </w:rPr>
        <w:t>Secretario</w:t>
      </w:r>
      <w:r w:rsidRPr="000C10D2">
        <w:rPr>
          <w:rFonts w:ascii="Century Gothic" w:eastAsia="Times New Roman" w:hAnsi="Century Gothic" w:cs="Times New Roman"/>
          <w:sz w:val="24"/>
          <w:szCs w:val="24"/>
          <w:lang w:val="es-CO"/>
        </w:rPr>
        <w:t>:</w:t>
      </w:r>
    </w:p>
    <w:p w14:paraId="523B44C2" w14:textId="4DB0E3D7" w:rsidR="003B6FB9" w:rsidRPr="000C10D2" w:rsidRDefault="003B6FB9" w:rsidP="00D03564">
      <w:pPr>
        <w:shd w:val="clear" w:color="auto" w:fill="FFFFFF"/>
        <w:spacing w:before="240" w:after="240" w:line="360" w:lineRule="auto"/>
        <w:jc w:val="both"/>
        <w:rPr>
          <w:rFonts w:ascii="Century Gothic" w:eastAsia="Times New Roman" w:hAnsi="Century Gothic" w:cs="Times New Roman"/>
          <w:b/>
          <w:bCs/>
          <w:i/>
          <w:sz w:val="24"/>
          <w:szCs w:val="24"/>
          <w:lang w:val="es-CO"/>
        </w:rPr>
      </w:pPr>
      <w:r w:rsidRPr="000C10D2">
        <w:rPr>
          <w:rFonts w:ascii="Century Gothic" w:eastAsia="Times New Roman" w:hAnsi="Century Gothic"/>
          <w:sz w:val="24"/>
          <w:szCs w:val="24"/>
        </w:rPr>
        <w:t xml:space="preserve">En mi condición de Representante a la Cámara en el Congreso de la República y en uso del derecho consagrado en el artículo </w:t>
      </w:r>
      <w:r w:rsidRPr="00202A06">
        <w:rPr>
          <w:rFonts w:ascii="Century Gothic" w:eastAsia="Times New Roman" w:hAnsi="Century Gothic"/>
          <w:sz w:val="24"/>
          <w:szCs w:val="24"/>
        </w:rPr>
        <w:t>150</w:t>
      </w:r>
      <w:r w:rsidR="00B01223">
        <w:rPr>
          <w:rFonts w:ascii="Century Gothic" w:eastAsia="Times New Roman" w:hAnsi="Century Gothic"/>
          <w:sz w:val="24"/>
          <w:szCs w:val="24"/>
        </w:rPr>
        <w:t xml:space="preserve"> </w:t>
      </w:r>
      <w:r w:rsidRPr="000C10D2">
        <w:rPr>
          <w:rFonts w:ascii="Century Gothic" w:eastAsia="Times New Roman" w:hAnsi="Century Gothic"/>
          <w:sz w:val="24"/>
          <w:szCs w:val="24"/>
        </w:rPr>
        <w:t>de la Constitución Política de Colombia, me permito poner a consideración de la Cámara de Representantes el siguiente Proyecto Ley “</w:t>
      </w:r>
      <w:r w:rsidRPr="000C10D2">
        <w:rPr>
          <w:rFonts w:ascii="Century Gothic" w:eastAsia="Times New Roman" w:hAnsi="Century Gothic" w:cs="Times New Roman"/>
          <w:b/>
          <w:bCs/>
          <w:i/>
          <w:sz w:val="24"/>
          <w:szCs w:val="24"/>
          <w:lang w:val="es-CO"/>
        </w:rPr>
        <w:t>Por medio de la cual se modifica los artículos 88, 9</w:t>
      </w:r>
      <w:r w:rsidR="00E5768D" w:rsidRPr="000C10D2">
        <w:rPr>
          <w:rFonts w:ascii="Century Gothic" w:eastAsia="Times New Roman" w:hAnsi="Century Gothic" w:cs="Times New Roman"/>
          <w:b/>
          <w:bCs/>
          <w:i/>
          <w:sz w:val="24"/>
          <w:szCs w:val="24"/>
          <w:lang w:val="es-CO"/>
        </w:rPr>
        <w:t>2</w:t>
      </w:r>
      <w:r w:rsidRPr="000C10D2">
        <w:rPr>
          <w:rFonts w:ascii="Century Gothic" w:eastAsia="Times New Roman" w:hAnsi="Century Gothic" w:cs="Times New Roman"/>
          <w:b/>
          <w:bCs/>
          <w:i/>
          <w:sz w:val="24"/>
          <w:szCs w:val="24"/>
          <w:lang w:val="es-CO"/>
        </w:rPr>
        <w:t xml:space="preserve"> y</w:t>
      </w:r>
      <w:r w:rsidR="00E5768D" w:rsidRPr="000C10D2">
        <w:rPr>
          <w:rFonts w:ascii="Century Gothic" w:eastAsia="Times New Roman" w:hAnsi="Century Gothic" w:cs="Times New Roman"/>
          <w:b/>
          <w:bCs/>
          <w:i/>
          <w:sz w:val="24"/>
          <w:szCs w:val="24"/>
          <w:lang w:val="es-CO"/>
        </w:rPr>
        <w:t xml:space="preserve"> se adiciona el artículo 93-A al</w:t>
      </w:r>
      <w:r w:rsidRPr="000C10D2">
        <w:rPr>
          <w:rFonts w:ascii="Century Gothic" w:eastAsia="Times New Roman" w:hAnsi="Century Gothic" w:cs="Times New Roman"/>
          <w:b/>
          <w:bCs/>
          <w:i/>
          <w:sz w:val="24"/>
          <w:szCs w:val="24"/>
          <w:lang w:val="es-CO"/>
        </w:rPr>
        <w:t xml:space="preserve"> Código Extinción de Dominio. (Ley 1708 de 2014)”.</w:t>
      </w:r>
    </w:p>
    <w:p w14:paraId="66974119" w14:textId="77777777" w:rsidR="00A8205E" w:rsidRDefault="00A8205E" w:rsidP="00D03564">
      <w:pPr>
        <w:spacing w:afterLines="120" w:after="288" w:line="360" w:lineRule="auto"/>
        <w:jc w:val="both"/>
        <w:rPr>
          <w:rFonts w:ascii="Century Gothic" w:eastAsia="Times New Roman" w:hAnsi="Century Gothic"/>
          <w:iCs/>
          <w:sz w:val="24"/>
          <w:szCs w:val="24"/>
        </w:rPr>
      </w:pPr>
    </w:p>
    <w:p w14:paraId="5990B495" w14:textId="0F23AC57" w:rsidR="003B6FB9" w:rsidRPr="000C10D2" w:rsidRDefault="003B6FB9" w:rsidP="00D03564">
      <w:pPr>
        <w:spacing w:afterLines="120" w:after="288" w:line="360" w:lineRule="auto"/>
        <w:jc w:val="both"/>
        <w:rPr>
          <w:rFonts w:ascii="Century Gothic" w:eastAsia="Times New Roman" w:hAnsi="Century Gothic"/>
          <w:iCs/>
          <w:sz w:val="24"/>
          <w:szCs w:val="24"/>
        </w:rPr>
      </w:pPr>
      <w:r w:rsidRPr="000C10D2">
        <w:rPr>
          <w:rFonts w:ascii="Century Gothic" w:eastAsia="Times New Roman" w:hAnsi="Century Gothic"/>
          <w:iCs/>
          <w:sz w:val="24"/>
          <w:szCs w:val="24"/>
        </w:rPr>
        <w:t xml:space="preserve">Cordialmente, </w:t>
      </w:r>
    </w:p>
    <w:p w14:paraId="277B56FA" w14:textId="32834924" w:rsidR="003B6FB9" w:rsidRPr="000C10D2" w:rsidRDefault="003B6FB9" w:rsidP="00D03564">
      <w:pPr>
        <w:adjustRightInd w:val="0"/>
        <w:spacing w:line="360" w:lineRule="auto"/>
        <w:jc w:val="both"/>
        <w:rPr>
          <w:rFonts w:ascii="Century Gothic" w:hAnsi="Century Gothic"/>
          <w:b/>
          <w:bCs/>
          <w:sz w:val="24"/>
          <w:szCs w:val="24"/>
        </w:rPr>
      </w:pPr>
    </w:p>
    <w:p w14:paraId="41C48080" w14:textId="49167814" w:rsidR="003B6FB9" w:rsidRPr="000C10D2" w:rsidRDefault="003B6FB9" w:rsidP="00D03564">
      <w:pPr>
        <w:adjustRightInd w:val="0"/>
        <w:spacing w:line="360" w:lineRule="auto"/>
        <w:jc w:val="both"/>
        <w:rPr>
          <w:rFonts w:ascii="Century Gothic" w:hAnsi="Century Gothic"/>
          <w:b/>
          <w:bCs/>
          <w:sz w:val="24"/>
          <w:szCs w:val="24"/>
        </w:rPr>
      </w:pPr>
    </w:p>
    <w:p w14:paraId="2A827383" w14:textId="74FE5AA3" w:rsidR="003B6FB9" w:rsidRPr="000C10D2" w:rsidRDefault="003B6FB9" w:rsidP="00D03564">
      <w:pPr>
        <w:adjustRightInd w:val="0"/>
        <w:spacing w:line="360" w:lineRule="auto"/>
        <w:jc w:val="both"/>
        <w:rPr>
          <w:rFonts w:ascii="Century Gothic" w:hAnsi="Century Gothic"/>
          <w:b/>
          <w:bCs/>
          <w:sz w:val="24"/>
          <w:szCs w:val="24"/>
        </w:rPr>
      </w:pPr>
      <w:r w:rsidRPr="000C10D2">
        <w:rPr>
          <w:rFonts w:ascii="Century Gothic" w:hAnsi="Century Gothic"/>
          <w:b/>
          <w:bCs/>
          <w:sz w:val="24"/>
          <w:szCs w:val="24"/>
        </w:rPr>
        <w:t>JOHN JAIRO HOYOS GARCÍA</w:t>
      </w:r>
    </w:p>
    <w:p w14:paraId="5AB7979B" w14:textId="05E53BAE" w:rsidR="008C54B5" w:rsidRDefault="003B6FB9" w:rsidP="00D03564">
      <w:pPr>
        <w:adjustRightInd w:val="0"/>
        <w:spacing w:line="360" w:lineRule="auto"/>
        <w:jc w:val="both"/>
        <w:rPr>
          <w:rFonts w:ascii="Century Gothic" w:hAnsi="Century Gothic"/>
          <w:sz w:val="24"/>
          <w:szCs w:val="24"/>
        </w:rPr>
      </w:pPr>
      <w:r w:rsidRPr="000C10D2">
        <w:rPr>
          <w:rFonts w:ascii="Century Gothic" w:hAnsi="Century Gothic"/>
          <w:sz w:val="24"/>
          <w:szCs w:val="24"/>
        </w:rPr>
        <w:t>Representante a la Cámara por el Valle Del Cauca</w:t>
      </w:r>
    </w:p>
    <w:p w14:paraId="462F2534" w14:textId="77777777" w:rsidR="008C54B5" w:rsidRDefault="008C54B5">
      <w:pPr>
        <w:rPr>
          <w:rFonts w:ascii="Century Gothic" w:hAnsi="Century Gothic"/>
          <w:sz w:val="24"/>
          <w:szCs w:val="24"/>
        </w:rPr>
      </w:pPr>
      <w:r>
        <w:rPr>
          <w:rFonts w:ascii="Century Gothic" w:hAnsi="Century Gothic"/>
          <w:sz w:val="24"/>
          <w:szCs w:val="24"/>
        </w:rPr>
        <w:br w:type="page"/>
      </w:r>
    </w:p>
    <w:p w14:paraId="19B30F10" w14:textId="77777777" w:rsidR="008C54B5" w:rsidRPr="000C10D2" w:rsidRDefault="008C54B5" w:rsidP="008C54B5">
      <w:pPr>
        <w:spacing w:before="240" w:after="240" w:line="360" w:lineRule="auto"/>
        <w:jc w:val="center"/>
        <w:rPr>
          <w:rFonts w:ascii="Century Gothic" w:eastAsia="Times New Roman" w:hAnsi="Century Gothic"/>
          <w:b/>
          <w:sz w:val="24"/>
          <w:szCs w:val="24"/>
          <w:lang w:val="es-CO"/>
        </w:rPr>
      </w:pPr>
      <w:r w:rsidRPr="000C10D2">
        <w:rPr>
          <w:rFonts w:ascii="Century Gothic" w:eastAsia="Times New Roman" w:hAnsi="Century Gothic"/>
          <w:b/>
          <w:sz w:val="24"/>
          <w:szCs w:val="24"/>
          <w:lang w:val="es-CO"/>
        </w:rPr>
        <w:lastRenderedPageBreak/>
        <w:t xml:space="preserve">TEXTO PROPUESTO PARA DEBATE PROYECTO DE LEY </w:t>
      </w:r>
      <w:r w:rsidRPr="008973AD">
        <w:rPr>
          <w:rFonts w:ascii="Century Gothic" w:eastAsia="Times New Roman" w:hAnsi="Century Gothic"/>
          <w:b/>
          <w:sz w:val="24"/>
          <w:szCs w:val="24"/>
          <w:lang w:val="es-CO"/>
        </w:rPr>
        <w:t>NÚMERO XXX DE XXXX</w:t>
      </w:r>
      <w:r w:rsidRPr="000C10D2">
        <w:rPr>
          <w:rFonts w:ascii="Century Gothic" w:eastAsia="Times New Roman" w:hAnsi="Century Gothic"/>
          <w:b/>
          <w:sz w:val="24"/>
          <w:szCs w:val="24"/>
          <w:lang w:val="es-CO"/>
        </w:rPr>
        <w:t xml:space="preserve"> CÁMARA</w:t>
      </w:r>
    </w:p>
    <w:p w14:paraId="15BCCD35" w14:textId="77777777" w:rsidR="008C54B5" w:rsidRDefault="008C54B5" w:rsidP="008C54B5">
      <w:pPr>
        <w:spacing w:before="240" w:after="240" w:line="360" w:lineRule="auto"/>
        <w:jc w:val="center"/>
        <w:rPr>
          <w:rFonts w:ascii="Century Gothic" w:eastAsia="Times New Roman" w:hAnsi="Century Gothic"/>
          <w:i/>
          <w:sz w:val="24"/>
          <w:szCs w:val="24"/>
          <w:lang w:val="es-CO"/>
        </w:rPr>
      </w:pPr>
    </w:p>
    <w:p w14:paraId="0555A41F" w14:textId="5DBF7A1F" w:rsidR="008C54B5" w:rsidRPr="000C10D2" w:rsidRDefault="008C54B5" w:rsidP="008C54B5">
      <w:pPr>
        <w:spacing w:before="240" w:after="240" w:line="360" w:lineRule="auto"/>
        <w:jc w:val="center"/>
        <w:rPr>
          <w:rFonts w:ascii="Century Gothic" w:eastAsia="Times New Roman" w:hAnsi="Century Gothic"/>
          <w:i/>
          <w:sz w:val="24"/>
          <w:szCs w:val="24"/>
          <w:lang w:val="es-CO"/>
        </w:rPr>
      </w:pPr>
      <w:r w:rsidRPr="000C10D2">
        <w:rPr>
          <w:rFonts w:ascii="Century Gothic" w:eastAsia="Times New Roman" w:hAnsi="Century Gothic"/>
          <w:i/>
          <w:sz w:val="24"/>
          <w:szCs w:val="24"/>
          <w:lang w:val="es-CO"/>
        </w:rPr>
        <w:t>“Por medio del cual se modifican los artículos 88, 91 y 93 del Código Extinción de Dominio (Ley 1708 de 2014)”</w:t>
      </w:r>
    </w:p>
    <w:p w14:paraId="4892A82E" w14:textId="77777777" w:rsidR="008C54B5" w:rsidRDefault="008C54B5" w:rsidP="008C54B5">
      <w:pPr>
        <w:spacing w:before="240" w:after="240" w:line="360" w:lineRule="auto"/>
        <w:jc w:val="center"/>
        <w:rPr>
          <w:rFonts w:ascii="Century Gothic" w:eastAsia="Times New Roman" w:hAnsi="Century Gothic"/>
          <w:b/>
          <w:sz w:val="24"/>
          <w:szCs w:val="24"/>
          <w:lang w:val="es-CO"/>
        </w:rPr>
      </w:pPr>
    </w:p>
    <w:p w14:paraId="4185DB6E" w14:textId="387055A7" w:rsidR="008C54B5" w:rsidRPr="000C10D2" w:rsidRDefault="008C54B5" w:rsidP="008C54B5">
      <w:pPr>
        <w:spacing w:before="240" w:after="240" w:line="360" w:lineRule="auto"/>
        <w:jc w:val="center"/>
        <w:rPr>
          <w:rFonts w:ascii="Century Gothic" w:eastAsia="Times New Roman" w:hAnsi="Century Gothic"/>
          <w:b/>
          <w:sz w:val="24"/>
          <w:szCs w:val="24"/>
          <w:lang w:val="es-CO"/>
        </w:rPr>
      </w:pPr>
      <w:r w:rsidRPr="000C10D2">
        <w:rPr>
          <w:rFonts w:ascii="Century Gothic" w:eastAsia="Times New Roman" w:hAnsi="Century Gothic"/>
          <w:b/>
          <w:sz w:val="24"/>
          <w:szCs w:val="24"/>
          <w:lang w:val="es-CO"/>
        </w:rPr>
        <w:t>El Congreso de República de Colombia</w:t>
      </w:r>
    </w:p>
    <w:p w14:paraId="7AF1A6E6" w14:textId="77777777" w:rsidR="008C54B5" w:rsidRDefault="008C54B5" w:rsidP="008C54B5">
      <w:pPr>
        <w:spacing w:before="240" w:after="240" w:line="360" w:lineRule="auto"/>
        <w:jc w:val="center"/>
        <w:rPr>
          <w:rFonts w:ascii="Century Gothic" w:eastAsia="Times New Roman" w:hAnsi="Century Gothic"/>
          <w:b/>
          <w:sz w:val="24"/>
          <w:szCs w:val="24"/>
          <w:lang w:val="es-CO"/>
        </w:rPr>
      </w:pPr>
    </w:p>
    <w:p w14:paraId="473FDE35" w14:textId="3D4AD59C" w:rsidR="008C54B5" w:rsidRPr="000C10D2" w:rsidRDefault="008C54B5" w:rsidP="008C54B5">
      <w:pPr>
        <w:spacing w:before="240" w:after="240" w:line="360" w:lineRule="auto"/>
        <w:jc w:val="center"/>
        <w:rPr>
          <w:rFonts w:ascii="Century Gothic" w:eastAsia="Times New Roman" w:hAnsi="Century Gothic"/>
          <w:b/>
          <w:sz w:val="24"/>
          <w:szCs w:val="24"/>
          <w:lang w:val="es-CO"/>
        </w:rPr>
      </w:pPr>
      <w:r w:rsidRPr="000C10D2">
        <w:rPr>
          <w:rFonts w:ascii="Century Gothic" w:eastAsia="Times New Roman" w:hAnsi="Century Gothic"/>
          <w:b/>
          <w:sz w:val="24"/>
          <w:szCs w:val="24"/>
          <w:lang w:val="es-CO"/>
        </w:rPr>
        <w:t>Decreta:</w:t>
      </w:r>
    </w:p>
    <w:p w14:paraId="4CE33D42" w14:textId="77777777" w:rsidR="008C54B5" w:rsidRDefault="008C54B5" w:rsidP="008C54B5">
      <w:pPr>
        <w:spacing w:line="360" w:lineRule="auto"/>
        <w:jc w:val="both"/>
        <w:rPr>
          <w:rFonts w:ascii="Century Gothic" w:eastAsia="Times New Roman" w:hAnsi="Century Gothic"/>
          <w:b/>
          <w:sz w:val="24"/>
          <w:szCs w:val="24"/>
          <w:lang w:val="es-CO"/>
        </w:rPr>
      </w:pPr>
    </w:p>
    <w:p w14:paraId="783C6986" w14:textId="239CAE9B" w:rsidR="008C54B5" w:rsidRPr="000C10D2" w:rsidRDefault="008C54B5" w:rsidP="008C54B5">
      <w:pPr>
        <w:spacing w:line="360" w:lineRule="auto"/>
        <w:jc w:val="both"/>
        <w:rPr>
          <w:rFonts w:ascii="Century Gothic" w:hAnsi="Century Gothic"/>
          <w:sz w:val="24"/>
          <w:szCs w:val="24"/>
        </w:rPr>
      </w:pPr>
      <w:r w:rsidRPr="000C10D2">
        <w:rPr>
          <w:rFonts w:ascii="Century Gothic" w:eastAsia="Times New Roman" w:hAnsi="Century Gothic"/>
          <w:b/>
          <w:sz w:val="24"/>
          <w:szCs w:val="24"/>
          <w:lang w:val="es-CO"/>
        </w:rPr>
        <w:t>Artículo 1°.</w:t>
      </w:r>
      <w:r w:rsidRPr="000C10D2">
        <w:rPr>
          <w:rFonts w:ascii="Century Gothic" w:eastAsia="Times New Roman" w:hAnsi="Century Gothic"/>
          <w:sz w:val="24"/>
          <w:szCs w:val="24"/>
          <w:lang w:val="es-CO"/>
        </w:rPr>
        <w:t xml:space="preserve"> </w:t>
      </w:r>
      <w:r w:rsidRPr="000C10D2">
        <w:rPr>
          <w:rFonts w:ascii="Century Gothic" w:hAnsi="Century Gothic"/>
          <w:sz w:val="24"/>
          <w:szCs w:val="24"/>
        </w:rPr>
        <w:t xml:space="preserve">Modifíquese el artículo 88 del </w:t>
      </w:r>
      <w:r w:rsidRPr="000C10D2">
        <w:rPr>
          <w:rFonts w:ascii="Century Gothic" w:eastAsia="Times New Roman" w:hAnsi="Century Gothic"/>
          <w:sz w:val="24"/>
          <w:szCs w:val="24"/>
          <w:lang w:val="es-CO"/>
        </w:rPr>
        <w:t>Código de Extinción de Dominio. (Ley 1708 de 2014)</w:t>
      </w:r>
      <w:r w:rsidRPr="000C10D2">
        <w:rPr>
          <w:rFonts w:ascii="Century Gothic" w:hAnsi="Century Gothic"/>
          <w:sz w:val="24"/>
          <w:szCs w:val="24"/>
        </w:rPr>
        <w:t>, el cual quedará así:</w:t>
      </w:r>
    </w:p>
    <w:p w14:paraId="40A92474"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bookmarkStart w:id="1" w:name="88"/>
      <w:r w:rsidRPr="000C10D2">
        <w:rPr>
          <w:rFonts w:ascii="Century Gothic" w:eastAsia="Times New Roman" w:hAnsi="Century Gothic"/>
          <w:bCs/>
          <w:sz w:val="24"/>
          <w:szCs w:val="24"/>
          <w:lang w:val="es-MX"/>
        </w:rPr>
        <w:t>ARTÍCULO 88. CLASES DE MEDIDAS CAUTELARES.</w:t>
      </w:r>
      <w:bookmarkEnd w:id="1"/>
      <w:r w:rsidRPr="000C10D2">
        <w:rPr>
          <w:rFonts w:ascii="Century Gothic" w:eastAsia="Times New Roman" w:hAnsi="Century Gothic"/>
          <w:sz w:val="24"/>
          <w:szCs w:val="24"/>
          <w:lang w:val="es-MX"/>
        </w:rPr>
        <w:t>  Aquellos bienes sobre los que existan elementos de juicio suficientes que permiten considerar su probable vínculo con alguna causal de extinción de dominio, serán objeto de la medida cautelar de suspensión del poder dispositivo.</w:t>
      </w:r>
    </w:p>
    <w:p w14:paraId="33E849D6"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Adicionalmente, de considerarse razonables y necesarias, se podrán decretar las siguientes medidas cautelares:</w:t>
      </w:r>
    </w:p>
    <w:p w14:paraId="71656C75"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1. Embargo.</w:t>
      </w:r>
    </w:p>
    <w:p w14:paraId="5AFEBCEA"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lastRenderedPageBreak/>
        <w:t>2. Secuestro.</w:t>
      </w:r>
    </w:p>
    <w:p w14:paraId="79A232F3"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3. Toma de posesión de bienes, haberes y negocios de sociedades, establecimientos de comercio o unidades de explotación económica.</w:t>
      </w:r>
    </w:p>
    <w:p w14:paraId="5E897B3A"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bCs/>
          <w:sz w:val="24"/>
          <w:szCs w:val="24"/>
          <w:lang w:val="es-MX"/>
        </w:rPr>
        <w:t>PARÁGRAFO 1o.</w:t>
      </w:r>
      <w:r w:rsidRPr="000C10D2">
        <w:rPr>
          <w:rFonts w:ascii="Century Gothic" w:eastAsia="Times New Roman" w:hAnsi="Century Gothic"/>
          <w:sz w:val="24"/>
          <w:szCs w:val="24"/>
          <w:lang w:val="es-MX"/>
        </w:rPr>
        <w:t xml:space="preserve"> La medida cautelar de suspensión del poder dispositivo se inscribirá de inmediato en el registro que corresponda, sin ser sometidas a turno o restricción por parte de la entidad respectiva y sin consideración a la persona que alega ser titular del bien, dado el carácter real* de la presente acción. Tratándose de bienes muebles o derechos, se informará a las instituciones correspondientes sobre la medida a través de un oficio, si a ello hubiere lugar. </w:t>
      </w:r>
    </w:p>
    <w:p w14:paraId="5B495016"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bCs/>
          <w:sz w:val="24"/>
          <w:szCs w:val="24"/>
          <w:lang w:val="es-MX"/>
        </w:rPr>
        <w:t>PARÁGRAFO 2o.</w:t>
      </w:r>
      <w:r w:rsidRPr="000C10D2">
        <w:rPr>
          <w:rFonts w:ascii="Century Gothic" w:eastAsia="Times New Roman" w:hAnsi="Century Gothic"/>
          <w:sz w:val="24"/>
          <w:szCs w:val="24"/>
          <w:lang w:val="es-MX"/>
        </w:rPr>
        <w:t> La entidad administradora del Fondo para la Rehabilitación, Inversión Social y Lucha Contra el Crimen Organizado (Frisco) será el secuestre de los bienes, sobre los que en el pasado se hayan adoptado o se adopten medidas cautelares, los cuales quedarán de inmediato a disposición del citado fondo. En ejercicio de esta facultad, el administrador del Frisco podrá elevar directamente ante el Fiscal o juez según la etapa en que se encuentre el proceso, todas las solicitudes relacionadas con la administración de estos bienes.</w:t>
      </w:r>
    </w:p>
    <w:p w14:paraId="26924B0A" w14:textId="77777777" w:rsidR="008C54B5" w:rsidRPr="000C10D2" w:rsidRDefault="008C54B5" w:rsidP="008C54B5">
      <w:pPr>
        <w:spacing w:before="240" w:after="240" w:line="360" w:lineRule="auto"/>
        <w:ind w:left="708"/>
        <w:jc w:val="both"/>
        <w:rPr>
          <w:rFonts w:ascii="Century Gothic" w:eastAsia="Times New Roman" w:hAnsi="Century Gothic"/>
          <w:sz w:val="24"/>
          <w:szCs w:val="24"/>
          <w:u w:val="single"/>
          <w:lang w:val="es-MX"/>
        </w:rPr>
      </w:pPr>
      <w:r w:rsidRPr="000C10D2">
        <w:rPr>
          <w:rFonts w:ascii="Century Gothic" w:eastAsia="Times New Roman" w:hAnsi="Century Gothic"/>
          <w:bCs/>
          <w:sz w:val="24"/>
          <w:szCs w:val="24"/>
          <w:u w:val="single"/>
          <w:lang w:val="es-MX"/>
        </w:rPr>
        <w:t>PARÁGRAFO 3o.</w:t>
      </w:r>
      <w:r w:rsidRPr="000C10D2">
        <w:rPr>
          <w:rFonts w:ascii="Century Gothic" w:eastAsia="Times New Roman" w:hAnsi="Century Gothic"/>
          <w:sz w:val="24"/>
          <w:szCs w:val="24"/>
          <w:u w:val="single"/>
          <w:lang w:val="es-MX"/>
        </w:rPr>
        <w:t xml:space="preserve"> El administrador del Frisco en calidad de secuestre, podrá decidir la enajenación temprana, así como la enajenación temprana a favor de entidades territoriales de las que tratan los artículos </w:t>
      </w:r>
      <w:hyperlink r:id="rId7" w:anchor="93" w:history="1">
        <w:r w:rsidRPr="000C10D2">
          <w:rPr>
            <w:rStyle w:val="Hipervnculo"/>
            <w:rFonts w:ascii="Century Gothic" w:eastAsia="Times New Roman" w:hAnsi="Century Gothic"/>
            <w:color w:val="auto"/>
            <w:sz w:val="24"/>
            <w:szCs w:val="24"/>
            <w:lang w:val="es-MX"/>
          </w:rPr>
          <w:t>93</w:t>
        </w:r>
      </w:hyperlink>
      <w:r w:rsidRPr="000C10D2">
        <w:rPr>
          <w:rStyle w:val="Hipervnculo"/>
          <w:rFonts w:ascii="Century Gothic" w:eastAsia="Times New Roman" w:hAnsi="Century Gothic"/>
          <w:color w:val="auto"/>
          <w:sz w:val="24"/>
          <w:szCs w:val="24"/>
          <w:lang w:val="es-MX"/>
        </w:rPr>
        <w:t xml:space="preserve"> y 93 A</w:t>
      </w:r>
      <w:r w:rsidRPr="000C10D2">
        <w:rPr>
          <w:rFonts w:ascii="Century Gothic" w:eastAsia="Times New Roman" w:hAnsi="Century Gothic"/>
          <w:sz w:val="24"/>
          <w:szCs w:val="24"/>
          <w:u w:val="single"/>
          <w:lang w:val="es-MX"/>
        </w:rPr>
        <w:t> de esta ley.</w:t>
      </w:r>
    </w:p>
    <w:p w14:paraId="55557973"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bCs/>
          <w:sz w:val="24"/>
          <w:szCs w:val="24"/>
          <w:lang w:val="es-MX"/>
        </w:rPr>
        <w:lastRenderedPageBreak/>
        <w:t>PARÁGRAFO 4o</w:t>
      </w:r>
      <w:r w:rsidRPr="000C10D2">
        <w:rPr>
          <w:rFonts w:ascii="Century Gothic" w:eastAsia="Times New Roman" w:hAnsi="Century Gothic"/>
          <w:sz w:val="24"/>
          <w:szCs w:val="24"/>
          <w:lang w:val="es-MX"/>
        </w:rPr>
        <w:t xml:space="preserve"> El administrador del FRISCO podrá disponer definitivamente de los bienes muebles que ingresaron al mismo con anterioridad a la vigencia de la Ley </w:t>
      </w:r>
      <w:hyperlink r:id="rId8" w:anchor="INICIO" w:history="1">
        <w:r w:rsidRPr="000C10D2">
          <w:rPr>
            <w:rStyle w:val="Hipervnculo"/>
            <w:rFonts w:ascii="Century Gothic" w:eastAsia="Times New Roman" w:hAnsi="Century Gothic"/>
            <w:color w:val="auto"/>
            <w:sz w:val="24"/>
            <w:szCs w:val="24"/>
            <w:lang w:val="es-MX"/>
          </w:rPr>
          <w:t>1615</w:t>
        </w:r>
      </w:hyperlink>
      <w:r w:rsidRPr="000C10D2">
        <w:rPr>
          <w:rFonts w:ascii="Century Gothic" w:eastAsia="Times New Roman" w:hAnsi="Century Gothic"/>
          <w:sz w:val="24"/>
          <w:szCs w:val="24"/>
          <w:lang w:val="es-MX"/>
        </w:rPr>
        <w:t>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14:paraId="4B21212B"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Ley </w:t>
      </w:r>
      <w:hyperlink r:id="rId9" w:anchor="INICIO" w:history="1">
        <w:r w:rsidRPr="000C10D2">
          <w:rPr>
            <w:rStyle w:val="Hipervnculo"/>
            <w:rFonts w:ascii="Century Gothic" w:eastAsia="Times New Roman" w:hAnsi="Century Gothic"/>
            <w:color w:val="auto"/>
            <w:sz w:val="24"/>
            <w:szCs w:val="24"/>
            <w:lang w:val="es-MX"/>
          </w:rPr>
          <w:t>1708</w:t>
        </w:r>
      </w:hyperlink>
      <w:r w:rsidRPr="000C10D2">
        <w:rPr>
          <w:rFonts w:ascii="Century Gothic" w:eastAsia="Times New Roman" w:hAnsi="Century Gothic"/>
          <w:sz w:val="24"/>
          <w:szCs w:val="24"/>
          <w:lang w:val="es-MX"/>
        </w:rPr>
        <w:t> de 2014.</w:t>
      </w:r>
    </w:p>
    <w:p w14:paraId="51025A24"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MX"/>
        </w:rPr>
      </w:pPr>
      <w:r w:rsidRPr="000C10D2">
        <w:rPr>
          <w:rFonts w:ascii="Century Gothic" w:eastAsia="Times New Roman" w:hAnsi="Century Gothic"/>
          <w:sz w:val="24"/>
          <w:szCs w:val="24"/>
          <w:lang w:val="es-MX"/>
        </w:rPr>
        <w:t>El producto de la disposición de los bienes será administrado conforme a lo previsto en el artículo </w:t>
      </w:r>
      <w:hyperlink r:id="rId10" w:anchor="93" w:history="1">
        <w:r w:rsidRPr="000C10D2">
          <w:rPr>
            <w:rStyle w:val="Hipervnculo"/>
            <w:rFonts w:ascii="Century Gothic" w:eastAsia="Times New Roman" w:hAnsi="Century Gothic"/>
            <w:color w:val="auto"/>
            <w:sz w:val="24"/>
            <w:szCs w:val="24"/>
            <w:lang w:val="es-MX"/>
          </w:rPr>
          <w:t>93</w:t>
        </w:r>
      </w:hyperlink>
      <w:r w:rsidRPr="000C10D2">
        <w:rPr>
          <w:rFonts w:ascii="Century Gothic" w:eastAsia="Times New Roman" w:hAnsi="Century Gothic"/>
          <w:sz w:val="24"/>
          <w:szCs w:val="24"/>
          <w:lang w:val="es-MX"/>
        </w:rPr>
        <w:t> de la Ley 1708 en lo correspondiente a la constitución de la reserva técnica de los recursos que se generen.</w:t>
      </w:r>
    </w:p>
    <w:p w14:paraId="62490A04" w14:textId="77777777" w:rsidR="008C54B5" w:rsidRPr="000C10D2" w:rsidRDefault="008C54B5" w:rsidP="008C54B5">
      <w:pPr>
        <w:spacing w:before="240" w:after="240" w:line="360" w:lineRule="auto"/>
        <w:ind w:left="708"/>
        <w:jc w:val="both"/>
        <w:rPr>
          <w:rFonts w:ascii="Century Gothic" w:eastAsia="Times New Roman" w:hAnsi="Century Gothic"/>
          <w:sz w:val="24"/>
          <w:szCs w:val="24"/>
          <w:lang w:val="es-CO"/>
        </w:rPr>
      </w:pPr>
      <w:r w:rsidRPr="000C10D2">
        <w:rPr>
          <w:rFonts w:ascii="Century Gothic" w:eastAsia="Times New Roman" w:hAnsi="Century Gothic"/>
          <w:sz w:val="24"/>
          <w:szCs w:val="24"/>
          <w:lang w:val="es-MX"/>
        </w:rPr>
        <w:t xml:space="preserve">En todos los eventos que el bien sea chatarrizado o destruido, el FRISCO </w:t>
      </w:r>
      <w:r w:rsidRPr="000C10D2">
        <w:rPr>
          <w:rFonts w:ascii="Century Gothic" w:eastAsia="Times New Roman" w:hAnsi="Century Gothic"/>
          <w:sz w:val="24"/>
          <w:szCs w:val="24"/>
          <w:lang w:val="es-MX"/>
        </w:rPr>
        <w:lastRenderedPageBreak/>
        <w:t>deberá informar a quien aparezca como última autoridad que 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14:paraId="27122DB8" w14:textId="77777777" w:rsidR="008C54B5" w:rsidRPr="000C10D2" w:rsidRDefault="008C54B5" w:rsidP="008C54B5">
      <w:pPr>
        <w:spacing w:line="360" w:lineRule="auto"/>
        <w:jc w:val="both"/>
        <w:rPr>
          <w:rFonts w:ascii="Century Gothic" w:hAnsi="Century Gothic"/>
          <w:sz w:val="24"/>
          <w:szCs w:val="24"/>
        </w:rPr>
      </w:pPr>
      <w:r w:rsidRPr="000C10D2">
        <w:rPr>
          <w:rFonts w:ascii="Century Gothic" w:eastAsia="Times New Roman" w:hAnsi="Century Gothic"/>
          <w:b/>
          <w:sz w:val="24"/>
          <w:szCs w:val="24"/>
          <w:lang w:val="es-CO"/>
        </w:rPr>
        <w:t>Artículo 2°.</w:t>
      </w:r>
      <w:r w:rsidRPr="000C10D2">
        <w:rPr>
          <w:rFonts w:ascii="Century Gothic" w:eastAsia="Times New Roman" w:hAnsi="Century Gothic"/>
          <w:sz w:val="24"/>
          <w:szCs w:val="24"/>
          <w:lang w:val="es-CO"/>
        </w:rPr>
        <w:t xml:space="preserve"> </w:t>
      </w:r>
      <w:r w:rsidRPr="000C10D2">
        <w:rPr>
          <w:rFonts w:ascii="Century Gothic" w:hAnsi="Century Gothic"/>
          <w:sz w:val="24"/>
          <w:szCs w:val="24"/>
        </w:rPr>
        <w:t xml:space="preserve">Modifíquese el artículo 92 del </w:t>
      </w:r>
      <w:r w:rsidRPr="000C10D2">
        <w:rPr>
          <w:rFonts w:ascii="Century Gothic" w:eastAsia="Times New Roman" w:hAnsi="Century Gothic"/>
          <w:sz w:val="24"/>
          <w:szCs w:val="24"/>
          <w:lang w:val="es-CO"/>
        </w:rPr>
        <w:t>Código de Extinción de Dominio. (Ley 1708 de 2014)</w:t>
      </w:r>
      <w:r w:rsidRPr="000C10D2">
        <w:rPr>
          <w:rFonts w:ascii="Century Gothic" w:hAnsi="Century Gothic"/>
          <w:sz w:val="24"/>
          <w:szCs w:val="24"/>
        </w:rPr>
        <w:t>, el cual quedará así:</w:t>
      </w:r>
    </w:p>
    <w:p w14:paraId="7F70C5C1" w14:textId="77777777" w:rsidR="008C54B5" w:rsidRPr="000C10D2" w:rsidRDefault="008C54B5" w:rsidP="008C54B5">
      <w:pPr>
        <w:spacing w:line="360" w:lineRule="auto"/>
        <w:jc w:val="both"/>
        <w:rPr>
          <w:rFonts w:ascii="Century Gothic" w:hAnsi="Century Gothic"/>
          <w:sz w:val="24"/>
          <w:szCs w:val="24"/>
        </w:rPr>
      </w:pPr>
    </w:p>
    <w:p w14:paraId="245F7C1E" w14:textId="77777777" w:rsidR="008C54B5" w:rsidRPr="000C10D2" w:rsidRDefault="008C54B5" w:rsidP="008C54B5">
      <w:pPr>
        <w:pStyle w:val="NormalWeb"/>
        <w:spacing w:line="360" w:lineRule="auto"/>
        <w:ind w:left="708"/>
        <w:jc w:val="both"/>
        <w:rPr>
          <w:rFonts w:ascii="Century Gothic" w:hAnsi="Century Gothic" w:cs="Arial"/>
        </w:rPr>
      </w:pPr>
      <w:r w:rsidRPr="000C10D2">
        <w:rPr>
          <w:rFonts w:ascii="Century Gothic" w:hAnsi="Century Gothic" w:cs="Arial"/>
          <w:bCs/>
          <w:lang w:val="es-MX"/>
        </w:rPr>
        <w:t xml:space="preserve">ARTÍCULO 92. </w:t>
      </w:r>
      <w:r w:rsidRPr="000C10D2">
        <w:rPr>
          <w:rFonts w:ascii="Century Gothic" w:hAnsi="Century Gothic" w:cs="Arial"/>
        </w:rPr>
        <w:t>Los bienes con extinción de dominio y afectados con medidas cautelares dentro del proceso de extinción de dominio podrán ser administrados utilizando, de forma individual o concurrente, alguno de los siguientes mecanismos:</w:t>
      </w:r>
    </w:p>
    <w:p w14:paraId="7E29603D"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Enajenación.</w:t>
      </w:r>
    </w:p>
    <w:p w14:paraId="145E0018" w14:textId="77777777" w:rsidR="008C54B5" w:rsidRPr="000C10D2" w:rsidRDefault="008C54B5" w:rsidP="008C54B5">
      <w:pPr>
        <w:pStyle w:val="NormalWeb"/>
        <w:numPr>
          <w:ilvl w:val="0"/>
          <w:numId w:val="11"/>
        </w:numPr>
        <w:spacing w:line="360" w:lineRule="auto"/>
        <w:jc w:val="both"/>
        <w:rPr>
          <w:rFonts w:ascii="Century Gothic" w:hAnsi="Century Gothic" w:cs="Arial"/>
          <w:u w:val="single"/>
        </w:rPr>
      </w:pPr>
      <w:r w:rsidRPr="000C10D2">
        <w:rPr>
          <w:rFonts w:ascii="Century Gothic" w:hAnsi="Century Gothic" w:cs="Arial"/>
          <w:u w:val="single"/>
        </w:rPr>
        <w:t>Enajenación a favor de entidades territoriales.</w:t>
      </w:r>
    </w:p>
    <w:p w14:paraId="75365CFA"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Contratación.</w:t>
      </w:r>
    </w:p>
    <w:p w14:paraId="4199CEDE"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Destinación provisional.</w:t>
      </w:r>
    </w:p>
    <w:p w14:paraId="44A1F1CA"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Depósito provisional.</w:t>
      </w:r>
    </w:p>
    <w:p w14:paraId="13C5B5BE"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Destrucción o chatarrización.</w:t>
      </w:r>
    </w:p>
    <w:p w14:paraId="22D9E7F5" w14:textId="77777777" w:rsidR="008C54B5" w:rsidRPr="000C10D2" w:rsidRDefault="008C54B5" w:rsidP="008C54B5">
      <w:pPr>
        <w:pStyle w:val="NormalWeb"/>
        <w:numPr>
          <w:ilvl w:val="0"/>
          <w:numId w:val="11"/>
        </w:numPr>
        <w:spacing w:line="360" w:lineRule="auto"/>
        <w:jc w:val="both"/>
        <w:rPr>
          <w:rFonts w:ascii="Century Gothic" w:hAnsi="Century Gothic" w:cs="Arial"/>
        </w:rPr>
      </w:pPr>
      <w:r w:rsidRPr="000C10D2">
        <w:rPr>
          <w:rFonts w:ascii="Century Gothic" w:hAnsi="Century Gothic" w:cs="Arial"/>
        </w:rPr>
        <w:t>Donación entre entidades públicas.</w:t>
      </w:r>
    </w:p>
    <w:p w14:paraId="1CA462BF"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Venta masiva de bienes: </w:t>
      </w:r>
      <w:r w:rsidRPr="000C10D2">
        <w:rPr>
          <w:rFonts w:ascii="Century Gothic" w:hAnsi="Century Gothic" w:cs="Arial"/>
        </w:rPr>
        <w:t xml:space="preserve">se llamará Venta Masiva al mecanismo de administración de bienes con el que cuenta el administrador del FRISCO para agrupar conjuntos de bienes de todas las tipologías y adjudicarlos en bloque. </w:t>
      </w:r>
      <w:r w:rsidRPr="000C10D2">
        <w:rPr>
          <w:rFonts w:ascii="Century Gothic" w:hAnsi="Century Gothic" w:cs="Arial"/>
        </w:rPr>
        <w:lastRenderedPageBreak/>
        <w:t>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14:paraId="696CEA76"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Precio de venta masiva de bienes: </w:t>
      </w:r>
      <w:r w:rsidRPr="000C10D2">
        <w:rPr>
          <w:rFonts w:ascii="Century Gothic" w:hAnsi="Century Gothic" w:cs="Arial"/>
        </w:rPr>
        <w:t xml:space="preserve"> Para determinar el valor global de la Venta Masiva, se autoriza al administrador del FRISCO para que el precio base de venta individual de los bienes que lo componen 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14:paraId="126BB019"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PARÁGRAFO.</w:t>
      </w:r>
      <w:r w:rsidRPr="000C10D2">
        <w:rPr>
          <w:rFonts w:ascii="Century Gothic" w:hAnsi="Century Gothic" w:cs="Arial"/>
        </w:rPr>
        <w:t xml:space="preserve">  Los bienes objeto de enajenación  </w:t>
      </w:r>
      <w:r w:rsidRPr="000C10D2">
        <w:rPr>
          <w:rFonts w:ascii="Century Gothic" w:hAnsi="Century Gothic" w:cs="Arial"/>
          <w:u w:val="single"/>
        </w:rPr>
        <w:t xml:space="preserve">y enajenación a entidades territoriales, </w:t>
      </w:r>
      <w:r w:rsidRPr="000C10D2">
        <w:rPr>
          <w:rFonts w:ascii="Century Gothic" w:hAnsi="Century Gothic" w:cs="Arial"/>
        </w:rPr>
        <w:t>deberán contar con el avalúo comercial, el cual tendrá una vigencia de 3 años y se actualizará anualmente con el reajuste anual adoptado por el Gobierno nacional siguiendo los criterios que para el avalúo catastral están contenidos en el artículo </w:t>
      </w:r>
      <w:hyperlink r:id="rId11" w:anchor="6" w:history="1">
        <w:r w:rsidRPr="000C10D2">
          <w:rPr>
            <w:rStyle w:val="Hipervnculo"/>
            <w:rFonts w:ascii="Century Gothic" w:hAnsi="Century Gothic" w:cs="Arial"/>
            <w:color w:val="auto"/>
          </w:rPr>
          <w:t>6</w:t>
        </w:r>
      </w:hyperlink>
      <w:r w:rsidRPr="000C10D2">
        <w:rPr>
          <w:rFonts w:ascii="Century Gothic" w:hAnsi="Century Gothic" w:cs="Arial"/>
        </w:rPr>
        <w:t xml:space="preserve">o de la Ley 242 de 1995, los </w:t>
      </w:r>
      <w:r w:rsidRPr="000C10D2">
        <w:rPr>
          <w:rFonts w:ascii="Century Gothic" w:hAnsi="Century Gothic" w:cs="Arial"/>
        </w:rPr>
        <w:lastRenderedPageBreak/>
        <w:t>artículos </w:t>
      </w:r>
      <w:hyperlink r:id="rId12" w:anchor="9" w:history="1">
        <w:r w:rsidRPr="000C10D2">
          <w:rPr>
            <w:rStyle w:val="Hipervnculo"/>
            <w:rFonts w:ascii="Century Gothic" w:hAnsi="Century Gothic" w:cs="Arial"/>
            <w:color w:val="auto"/>
          </w:rPr>
          <w:t>9</w:t>
        </w:r>
      </w:hyperlink>
      <w:r w:rsidRPr="000C10D2">
        <w:rPr>
          <w:rFonts w:ascii="Century Gothic" w:hAnsi="Century Gothic" w:cs="Arial"/>
        </w:rPr>
        <w:t>o y </w:t>
      </w:r>
      <w:hyperlink r:id="rId13" w:anchor="10" w:history="1">
        <w:r w:rsidRPr="000C10D2">
          <w:rPr>
            <w:rStyle w:val="Hipervnculo"/>
            <w:rFonts w:ascii="Century Gothic" w:hAnsi="Century Gothic" w:cs="Arial"/>
            <w:color w:val="auto"/>
          </w:rPr>
          <w:t>10</w:t>
        </w:r>
      </w:hyperlink>
      <w:r w:rsidRPr="000C10D2">
        <w:rPr>
          <w:rFonts w:ascii="Century Gothic" w:hAnsi="Century Gothic" w:cs="Arial"/>
        </w:rPr>
        <w:t> de la Ley 101 de 1993 y </w:t>
      </w:r>
      <w:hyperlink r:id="rId14" w:anchor="190" w:history="1">
        <w:r w:rsidRPr="000C10D2">
          <w:rPr>
            <w:rStyle w:val="Hipervnculo"/>
            <w:rFonts w:ascii="Century Gothic" w:hAnsi="Century Gothic" w:cs="Arial"/>
            <w:color w:val="auto"/>
          </w:rPr>
          <w:t>190</w:t>
        </w:r>
      </w:hyperlink>
      <w:r w:rsidRPr="000C10D2">
        <w:rPr>
          <w:rFonts w:ascii="Century Gothic" w:hAnsi="Century Gothic" w:cs="Arial"/>
        </w:rPr>
        <w:t> de la Ley 1607 de 2012 y las demás que la modifiquen o adicionen, salvo que se hayan presentado modificaciones en las condiciones físicas, jurídicas o uso del suelo y normativa del inmueble. En el evento en que existan circunstancias ajenas al Administrador del Frisco que impidan el acceso al inmueble, podrá efectuarse el avalúo teniendo en cuenta los precios de referencia del mercado y variables económicas y técnicas utilizadas por el perito, así como el uso del suelo y la normatividad urbana vigente.</w:t>
      </w:r>
    </w:p>
    <w:p w14:paraId="484F72E4"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 xml:space="preserve">PARÁGRAFO 1o. </w:t>
      </w:r>
      <w:r w:rsidRPr="000C10D2">
        <w:rPr>
          <w:rFonts w:ascii="Century Gothic" w:hAnsi="Century Gothic" w:cs="Arial"/>
        </w:rPr>
        <w:t>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14:paraId="2AF77D6E"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PARÁGRAFO 2o.</w:t>
      </w:r>
      <w:r w:rsidRPr="000C10D2">
        <w:rPr>
          <w:rFonts w:ascii="Century Gothic" w:hAnsi="Century Gothic" w:cs="Arial"/>
        </w:rPr>
        <w:t>  En el evento en que los valores correspondientes al cumplimiento de órdenes de devolución superen los montos destinados a la reserva técnica, el administrador del FRISCO podrá afectar los recursos del Fondo. Para ello, el administrador podrá solicitar la modificación del presupuesto del Fondo al Consejo Nacional de Estupefacientes en cualquier momento, para lo cual se convocará sesión ordinaria o extraordinaria, según sea el caso.</w:t>
      </w:r>
    </w:p>
    <w:p w14:paraId="7393AE50"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lastRenderedPageBreak/>
        <w:t>PARÁGRAFO 3o.</w:t>
      </w:r>
      <w:r w:rsidRPr="000C10D2">
        <w:rPr>
          <w:rFonts w:ascii="Century Gothic" w:hAnsi="Century Gothic" w:cs="Arial"/>
        </w:rPr>
        <w:t>  En los casos de venta masiva de bienes, el administrador del FRISCO podrá expedir acto administrativo que servirá de título traslaticio de dominio del bien a favor del comprador, el cual deberá inscribirse en el evento en que los bienes sean sujetos a registro. Lo anterior, sin perjuicio de las acciones de verificación que puedan adelantarse para establecer el origen lícito de los recursos que destine el comprador para la adquisición.</w:t>
      </w:r>
    </w:p>
    <w:p w14:paraId="03932C9A"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PARÁGRAFO 4o.</w:t>
      </w:r>
      <w:r w:rsidRPr="000C10D2">
        <w:rPr>
          <w:rFonts w:ascii="Century Gothic" w:hAnsi="Century Gothic" w:cs="Arial"/>
        </w:rPr>
        <w:t>  Sin perjuicio de la comercialización individual de los bienes, el administrador del FRISCO podrá, con el apoyo de expertos, adoptar mediante acto administrativo, metodologías fundamentales en factores econométricos para la valoración de activos urbanos con información catastral disponible, que sean susceptibles de enajenación a través de ventas masivas.</w:t>
      </w:r>
    </w:p>
    <w:p w14:paraId="4022B509" w14:textId="77777777" w:rsidR="008C54B5" w:rsidRPr="000C10D2" w:rsidRDefault="008C54B5" w:rsidP="008C54B5">
      <w:pPr>
        <w:pStyle w:val="NormalWeb"/>
        <w:spacing w:line="360" w:lineRule="auto"/>
        <w:ind w:left="708"/>
        <w:jc w:val="both"/>
        <w:rPr>
          <w:rFonts w:ascii="Century Gothic" w:hAnsi="Century Gothic" w:cs="Arial"/>
        </w:rPr>
      </w:pPr>
      <w:r w:rsidRPr="000C10D2">
        <w:rPr>
          <w:rStyle w:val="baj"/>
          <w:rFonts w:ascii="Century Gothic" w:hAnsi="Century Gothic" w:cs="Arial"/>
          <w:b/>
          <w:bCs/>
        </w:rPr>
        <w:t xml:space="preserve">PARÁGRAFO 5o. </w:t>
      </w:r>
      <w:r w:rsidRPr="000C10D2">
        <w:rPr>
          <w:rFonts w:ascii="Century Gothic" w:hAnsi="Century Gothic" w:cs="Arial"/>
        </w:rPr>
        <w:t>Será causal de terminación anticipada de los contratos de arrendamiento suscritos por el FRISCO, i) Condiciones no acordes al mercado, de acuerdo con los estudios técnicos que para el caso determine el administrador en su metodología; ii) La destinación definitiva de los inmuebles de conformidad con lo previsto en esta Ley; iii) Los contratos celebrados que no se acojan a las condiciones establecidas en la metodología de administración del FRISCO.</w:t>
      </w:r>
    </w:p>
    <w:p w14:paraId="0E87F0BD" w14:textId="77777777" w:rsidR="008C54B5" w:rsidRPr="000C10D2" w:rsidRDefault="008C54B5" w:rsidP="008C54B5">
      <w:pPr>
        <w:pStyle w:val="NormalWeb"/>
        <w:spacing w:line="360" w:lineRule="auto"/>
        <w:ind w:left="708"/>
        <w:jc w:val="both"/>
        <w:rPr>
          <w:rFonts w:ascii="Century Gothic" w:hAnsi="Century Gothic" w:cs="Arial"/>
        </w:rPr>
      </w:pPr>
      <w:r w:rsidRPr="000C10D2">
        <w:rPr>
          <w:rFonts w:ascii="Century Gothic" w:hAnsi="Century Gothic" w:cs="Arial"/>
        </w:rPr>
        <w:t xml:space="preserve">Configurada la causal de terminación anticipada, el administrador del FRISCO podrá ejercer las facultades de policía administrativa previstas en esta Ley para la recuperación del activo. En todo caso, el administrador del </w:t>
      </w:r>
      <w:r w:rsidRPr="000C10D2">
        <w:rPr>
          <w:rFonts w:ascii="Century Gothic" w:hAnsi="Century Gothic" w:cs="Arial"/>
        </w:rPr>
        <w:lastRenderedPageBreak/>
        <w:t>FRISCO, no podrá celebrar contratos de arrendamiento con el afectado dentro del proceso de extinción de dominio o sus familiares dentro del cuarto grado de consanguinidad, segundo de afinidad y primero civil.</w:t>
      </w:r>
    </w:p>
    <w:p w14:paraId="4C686E41" w14:textId="77777777" w:rsidR="008C54B5" w:rsidRDefault="008C54B5" w:rsidP="008C54B5">
      <w:pPr>
        <w:spacing w:line="360" w:lineRule="auto"/>
        <w:jc w:val="both"/>
        <w:rPr>
          <w:rFonts w:ascii="Century Gothic" w:eastAsia="Times New Roman" w:hAnsi="Century Gothic"/>
          <w:b/>
          <w:sz w:val="24"/>
          <w:szCs w:val="24"/>
          <w:u w:val="single"/>
          <w:lang w:val="es-CO"/>
        </w:rPr>
      </w:pPr>
    </w:p>
    <w:p w14:paraId="102B4DAB" w14:textId="16977B78" w:rsidR="008C54B5" w:rsidRPr="000C10D2" w:rsidRDefault="008C54B5" w:rsidP="008C54B5">
      <w:pPr>
        <w:spacing w:line="360" w:lineRule="auto"/>
        <w:jc w:val="both"/>
        <w:rPr>
          <w:rFonts w:ascii="Century Gothic" w:hAnsi="Century Gothic"/>
          <w:sz w:val="24"/>
          <w:szCs w:val="24"/>
          <w:u w:val="single"/>
        </w:rPr>
      </w:pPr>
      <w:r w:rsidRPr="000C10D2">
        <w:rPr>
          <w:rFonts w:ascii="Century Gothic" w:eastAsia="Times New Roman" w:hAnsi="Century Gothic"/>
          <w:b/>
          <w:sz w:val="24"/>
          <w:szCs w:val="24"/>
          <w:u w:val="single"/>
          <w:lang w:val="es-CO"/>
        </w:rPr>
        <w:t>Artículo 3°.</w:t>
      </w:r>
      <w:r w:rsidRPr="000C10D2">
        <w:rPr>
          <w:rFonts w:ascii="Century Gothic" w:eastAsia="Times New Roman" w:hAnsi="Century Gothic"/>
          <w:sz w:val="24"/>
          <w:szCs w:val="24"/>
          <w:u w:val="single"/>
          <w:lang w:val="es-CO"/>
        </w:rPr>
        <w:t xml:space="preserve"> </w:t>
      </w:r>
      <w:r w:rsidRPr="000C10D2">
        <w:rPr>
          <w:rFonts w:ascii="Century Gothic" w:hAnsi="Century Gothic"/>
          <w:sz w:val="24"/>
          <w:szCs w:val="24"/>
          <w:u w:val="single"/>
        </w:rPr>
        <w:t xml:space="preserve">Adiciónese el artículo 93-A del </w:t>
      </w:r>
      <w:r w:rsidRPr="000C10D2">
        <w:rPr>
          <w:rFonts w:ascii="Century Gothic" w:eastAsia="Times New Roman" w:hAnsi="Century Gothic"/>
          <w:sz w:val="24"/>
          <w:szCs w:val="24"/>
          <w:u w:val="single"/>
          <w:lang w:val="es-CO"/>
        </w:rPr>
        <w:t>Código de Extinción de Dominio. (Ley 1708 de 2014)</w:t>
      </w:r>
      <w:r w:rsidRPr="000C10D2">
        <w:rPr>
          <w:rFonts w:ascii="Century Gothic" w:hAnsi="Century Gothic"/>
          <w:sz w:val="24"/>
          <w:szCs w:val="24"/>
          <w:u w:val="single"/>
        </w:rPr>
        <w:t>, el cual quedará así:</w:t>
      </w:r>
    </w:p>
    <w:p w14:paraId="684F45C7" w14:textId="77777777" w:rsidR="008C54B5" w:rsidRPr="000C10D2" w:rsidRDefault="008C54B5" w:rsidP="008C54B5">
      <w:pPr>
        <w:pStyle w:val="NormalWeb"/>
        <w:spacing w:line="360" w:lineRule="auto"/>
        <w:ind w:left="708"/>
        <w:jc w:val="both"/>
        <w:rPr>
          <w:rFonts w:ascii="Century Gothic" w:hAnsi="Century Gothic" w:cs="Arial"/>
          <w:u w:val="single"/>
        </w:rPr>
      </w:pPr>
      <w:bookmarkStart w:id="2" w:name="93"/>
      <w:r w:rsidRPr="000C10D2">
        <w:rPr>
          <w:rFonts w:ascii="Century Gothic" w:hAnsi="Century Gothic" w:cs="Arial"/>
          <w:b/>
          <w:bCs/>
          <w:u w:val="single"/>
        </w:rPr>
        <w:t xml:space="preserve">ARTÍCULO 93-A. ENAJENACIÓN </w:t>
      </w:r>
      <w:bookmarkEnd w:id="2"/>
      <w:r w:rsidRPr="000C10D2">
        <w:rPr>
          <w:rFonts w:ascii="Century Gothic" w:hAnsi="Century Gothic" w:cs="Arial"/>
          <w:b/>
          <w:bCs/>
          <w:u w:val="single"/>
        </w:rPr>
        <w:t>A FAVOR ENTIDADES TERRITORIALES:</w:t>
      </w:r>
      <w:r w:rsidRPr="000C10D2">
        <w:rPr>
          <w:rFonts w:ascii="Century Gothic" w:hAnsi="Century Gothic" w:cs="Arial"/>
          <w:u w:val="single"/>
        </w:rPr>
        <w:t>  El administrador del Frisco, podrá enajenar los bienes inmuebles con</w:t>
      </w:r>
      <w:r>
        <w:rPr>
          <w:rFonts w:ascii="Century Gothic" w:hAnsi="Century Gothic" w:cs="Arial"/>
          <w:u w:val="single"/>
        </w:rPr>
        <w:t xml:space="preserve"> sentencia de</w:t>
      </w:r>
      <w:r w:rsidRPr="000C10D2">
        <w:rPr>
          <w:rFonts w:ascii="Century Gothic" w:hAnsi="Century Gothic" w:cs="Arial"/>
          <w:u w:val="single"/>
        </w:rPr>
        <w:t xml:space="preserve"> extinción de dominio</w:t>
      </w:r>
      <w:r>
        <w:rPr>
          <w:rFonts w:ascii="Century Gothic" w:hAnsi="Century Gothic" w:cs="Arial"/>
          <w:u w:val="single"/>
        </w:rPr>
        <w:t xml:space="preserve">, de manera directa a </w:t>
      </w:r>
      <w:r w:rsidRPr="000C10D2">
        <w:rPr>
          <w:rFonts w:ascii="Century Gothic" w:hAnsi="Century Gothic" w:cs="Arial"/>
          <w:u w:val="single"/>
        </w:rPr>
        <w:t xml:space="preserve">las entidades territoriales dentro de las cuales se encuentren ubicados estos bienes inmuebles, siempre y cuando sobre dichos bienes, la entidad territorial </w:t>
      </w:r>
      <w:r>
        <w:rPr>
          <w:rFonts w:ascii="Century Gothic" w:hAnsi="Century Gothic" w:cs="Arial"/>
          <w:u w:val="single"/>
        </w:rPr>
        <w:t>haya declarado la utilidad pública o interés social de acuerdo a la Ley 9 de 1989 y la Ley 388 de 1997 o las normas que las modifiquen, adicionen o deroguen.</w:t>
      </w:r>
      <w:r w:rsidRPr="000C10D2">
        <w:rPr>
          <w:rFonts w:ascii="Century Gothic" w:hAnsi="Century Gothic" w:cs="Arial"/>
          <w:u w:val="single"/>
        </w:rPr>
        <w:t xml:space="preserve"> </w:t>
      </w:r>
    </w:p>
    <w:p w14:paraId="4434C706" w14:textId="77777777" w:rsidR="008C54B5" w:rsidRDefault="008C54B5" w:rsidP="008C54B5">
      <w:pPr>
        <w:pStyle w:val="NormalWeb"/>
        <w:spacing w:line="360" w:lineRule="auto"/>
        <w:ind w:left="708"/>
        <w:jc w:val="both"/>
        <w:rPr>
          <w:rFonts w:ascii="Century Gothic" w:hAnsi="Century Gothic" w:cs="Arial"/>
          <w:u w:val="single"/>
        </w:rPr>
      </w:pPr>
      <w:r w:rsidRPr="000C10D2">
        <w:rPr>
          <w:rFonts w:ascii="Century Gothic" w:hAnsi="Century Gothic" w:cs="Arial"/>
          <w:u w:val="single"/>
        </w:rPr>
        <w:t>La enajenación se realizará directamente por el valor correspondiente al 30% del valor comercial de los bienes inmuebles con</w:t>
      </w:r>
      <w:r>
        <w:rPr>
          <w:rFonts w:ascii="Century Gothic" w:hAnsi="Century Gothic" w:cs="Arial"/>
          <w:u w:val="single"/>
        </w:rPr>
        <w:t xml:space="preserve"> sentencia de</w:t>
      </w:r>
      <w:r w:rsidRPr="000C10D2">
        <w:rPr>
          <w:rFonts w:ascii="Century Gothic" w:hAnsi="Century Gothic" w:cs="Arial"/>
          <w:u w:val="single"/>
        </w:rPr>
        <w:t xml:space="preserve"> extinción de dominio</w:t>
      </w:r>
      <w:r>
        <w:rPr>
          <w:rFonts w:ascii="Century Gothic" w:hAnsi="Century Gothic" w:cs="Arial"/>
          <w:u w:val="single"/>
        </w:rPr>
        <w:t xml:space="preserve">, </w:t>
      </w:r>
      <w:r w:rsidRPr="000C10D2">
        <w:rPr>
          <w:rFonts w:ascii="Century Gothic" w:hAnsi="Century Gothic" w:cs="Arial"/>
          <w:u w:val="single"/>
        </w:rPr>
        <w:t>el administrador del Frisco constituirá con la totalidad del pago una reserva técnica, destinada a cumplir las órdenes judiciales de devolución de los bienes, tanto de los afectados actualmente como de los que se llegaren a afectar en procesos de extinción de dominio.</w:t>
      </w:r>
    </w:p>
    <w:p w14:paraId="37C401F4" w14:textId="77777777" w:rsidR="008C54B5" w:rsidRDefault="008C54B5" w:rsidP="008C54B5">
      <w:pPr>
        <w:pStyle w:val="NormalWeb"/>
        <w:spacing w:line="360" w:lineRule="auto"/>
        <w:ind w:left="708"/>
        <w:jc w:val="both"/>
        <w:rPr>
          <w:rFonts w:ascii="Century Gothic" w:hAnsi="Century Gothic" w:cs="Arial"/>
          <w:u w:val="single"/>
        </w:rPr>
      </w:pPr>
    </w:p>
    <w:p w14:paraId="758BC022" w14:textId="3F590195" w:rsidR="008C54B5" w:rsidRPr="000C10D2" w:rsidRDefault="008C54B5" w:rsidP="008C54B5">
      <w:pPr>
        <w:pStyle w:val="NormalWeb"/>
        <w:spacing w:line="360" w:lineRule="auto"/>
        <w:ind w:left="708"/>
        <w:jc w:val="both"/>
        <w:rPr>
          <w:rFonts w:ascii="Century Gothic" w:hAnsi="Century Gothic" w:cs="Arial"/>
          <w:u w:val="single"/>
        </w:rPr>
      </w:pPr>
      <w:r w:rsidRPr="000C10D2">
        <w:rPr>
          <w:rStyle w:val="baj"/>
          <w:rFonts w:ascii="Century Gothic" w:hAnsi="Century Gothic" w:cs="Arial"/>
          <w:b/>
          <w:bCs/>
          <w:u w:val="single"/>
        </w:rPr>
        <w:lastRenderedPageBreak/>
        <w:t>PARÁGRAFO</w:t>
      </w:r>
      <w:r w:rsidR="00AE5E84">
        <w:rPr>
          <w:rStyle w:val="baj"/>
          <w:rFonts w:ascii="Century Gothic" w:hAnsi="Century Gothic" w:cs="Arial"/>
          <w:b/>
          <w:bCs/>
          <w:u w:val="single"/>
        </w:rPr>
        <w:t xml:space="preserve"> 1</w:t>
      </w:r>
      <w:r w:rsidRPr="000C10D2">
        <w:rPr>
          <w:rStyle w:val="baj"/>
          <w:rFonts w:ascii="Century Gothic" w:hAnsi="Century Gothic" w:cs="Arial"/>
          <w:b/>
          <w:bCs/>
          <w:u w:val="single"/>
        </w:rPr>
        <w:t>.</w:t>
      </w:r>
      <w:r w:rsidRPr="000C10D2">
        <w:rPr>
          <w:rFonts w:ascii="Century Gothic" w:hAnsi="Century Gothic" w:cs="Arial"/>
          <w:u w:val="single"/>
        </w:rPr>
        <w:t xml:space="preserve">  </w:t>
      </w:r>
      <w:r>
        <w:rPr>
          <w:rFonts w:ascii="Century Gothic" w:hAnsi="Century Gothic" w:cs="Arial"/>
          <w:u w:val="single"/>
        </w:rPr>
        <w:t>Igualmente, se podrá aplicar la figura de enajenación temprana en favor de entidades territoriales, sobre aquellos bienes</w:t>
      </w:r>
      <w:r w:rsidRPr="00BA111D">
        <w:rPr>
          <w:rFonts w:ascii="Century Gothic" w:hAnsi="Century Gothic" w:cs="Arial"/>
          <w:u w:val="single"/>
        </w:rPr>
        <w:t xml:space="preserve"> </w:t>
      </w:r>
      <w:r w:rsidRPr="000C10D2">
        <w:rPr>
          <w:rFonts w:ascii="Century Gothic" w:hAnsi="Century Gothic" w:cs="Arial"/>
          <w:u w:val="single"/>
        </w:rPr>
        <w:t>afectados con medidas cautelares dentro del proceso de extinción de dominio</w:t>
      </w:r>
      <w:r>
        <w:rPr>
          <w:rFonts w:ascii="Century Gothic" w:hAnsi="Century Gothic" w:cs="Arial"/>
          <w:u w:val="single"/>
        </w:rPr>
        <w:t xml:space="preserve">; para lo cual, </w:t>
      </w:r>
      <w:r w:rsidRPr="000C10D2">
        <w:rPr>
          <w:rFonts w:ascii="Century Gothic" w:hAnsi="Century Gothic" w:cs="Arial"/>
          <w:u w:val="single"/>
        </w:rPr>
        <w:t>el administrador del FRISCO, podrá expedir acto administrativo que servirá de título traslaticio de dominio del bien a favor del FRISCO y tendrá las mismas consecuencias fijadas en el artículo </w:t>
      </w:r>
      <w:hyperlink r:id="rId15" w:anchor="18" w:history="1">
        <w:r w:rsidRPr="000C10D2">
          <w:rPr>
            <w:rStyle w:val="Hipervnculo"/>
            <w:rFonts w:ascii="Century Gothic" w:hAnsi="Century Gothic" w:cs="Arial"/>
            <w:color w:val="auto"/>
          </w:rPr>
          <w:t>18</w:t>
        </w:r>
      </w:hyperlink>
      <w:r w:rsidRPr="000C10D2">
        <w:rPr>
          <w:rFonts w:ascii="Century Gothic" w:hAnsi="Century Gothic" w:cs="Arial"/>
          <w:u w:val="single"/>
        </w:rPr>
        <w:t> de la Ley 793 de 2002.</w:t>
      </w:r>
    </w:p>
    <w:p w14:paraId="0D56D808" w14:textId="15ABEC63" w:rsidR="008C54B5" w:rsidRPr="000C10D2" w:rsidRDefault="00AE5E84" w:rsidP="008C54B5">
      <w:pPr>
        <w:pStyle w:val="NormalWeb"/>
        <w:spacing w:line="360" w:lineRule="auto"/>
        <w:ind w:left="708"/>
        <w:jc w:val="both"/>
        <w:rPr>
          <w:rFonts w:ascii="Century Gothic" w:hAnsi="Century Gothic" w:cs="Arial"/>
          <w:u w:val="single"/>
        </w:rPr>
      </w:pPr>
      <w:r>
        <w:rPr>
          <w:rStyle w:val="baj"/>
          <w:rFonts w:ascii="Century Gothic" w:hAnsi="Century Gothic" w:cs="Arial"/>
          <w:b/>
          <w:bCs/>
          <w:u w:val="single"/>
        </w:rPr>
        <w:t>PARAGRAFO 2</w:t>
      </w:r>
      <w:r w:rsidR="008C54B5" w:rsidRPr="000C10D2">
        <w:rPr>
          <w:rStyle w:val="baj"/>
          <w:rFonts w:ascii="Century Gothic" w:hAnsi="Century Gothic" w:cs="Arial"/>
          <w:b/>
          <w:bCs/>
          <w:u w:val="single"/>
        </w:rPr>
        <w:t>.</w:t>
      </w:r>
      <w:r w:rsidR="008C54B5" w:rsidRPr="000C10D2">
        <w:rPr>
          <w:rFonts w:ascii="Century Gothic" w:hAnsi="Century Gothic" w:cs="Arial"/>
          <w:u w:val="single"/>
        </w:rPr>
        <w:t xml:space="preserve"> </w:t>
      </w:r>
      <w:r w:rsidR="008C54B5" w:rsidRPr="000C10D2">
        <w:rPr>
          <w:rFonts w:ascii="Century Gothic" w:hAnsi="Century Gothic"/>
          <w:u w:val="single"/>
        </w:rPr>
        <w:t>En cualquier momento el Administrador del FRISCO podrá realizar venta directa de los bienes inmuebles requeridos por motivos de utilidad pública o interés social de que trata el Artículo 58 de la Ley 388 de 1997</w:t>
      </w:r>
      <w:r w:rsidR="008C54B5">
        <w:rPr>
          <w:rFonts w:ascii="Century Gothic" w:hAnsi="Century Gothic"/>
          <w:u w:val="single"/>
        </w:rPr>
        <w:t xml:space="preserve"> al mismo valor del treinta por ciento (30%) del avalúo comercial del bien inmueble</w:t>
      </w:r>
      <w:r w:rsidR="008C54B5" w:rsidRPr="000C10D2">
        <w:rPr>
          <w:rFonts w:ascii="Century Gothic" w:hAnsi="Century Gothic"/>
          <w:u w:val="single"/>
        </w:rPr>
        <w:t xml:space="preserve">. </w:t>
      </w:r>
    </w:p>
    <w:p w14:paraId="57AA7229" w14:textId="107FE433" w:rsidR="008C54B5" w:rsidRPr="000C10D2" w:rsidRDefault="00AE5E84" w:rsidP="008C54B5">
      <w:pPr>
        <w:pStyle w:val="NormalWeb"/>
        <w:spacing w:line="360" w:lineRule="auto"/>
        <w:ind w:left="708"/>
        <w:jc w:val="both"/>
        <w:rPr>
          <w:rFonts w:ascii="Century Gothic" w:hAnsi="Century Gothic" w:cs="Arial"/>
          <w:u w:val="single"/>
        </w:rPr>
      </w:pPr>
      <w:r>
        <w:rPr>
          <w:rStyle w:val="baj"/>
          <w:rFonts w:ascii="Century Gothic" w:hAnsi="Century Gothic" w:cs="Arial"/>
          <w:b/>
          <w:bCs/>
          <w:u w:val="single"/>
        </w:rPr>
        <w:t>PARAGRAFO 3</w:t>
      </w:r>
      <w:r w:rsidR="008C54B5" w:rsidRPr="000C10D2">
        <w:rPr>
          <w:rStyle w:val="baj"/>
          <w:rFonts w:ascii="Century Gothic" w:hAnsi="Century Gothic" w:cs="Arial"/>
          <w:b/>
          <w:bCs/>
          <w:u w:val="single"/>
        </w:rPr>
        <w:t>.</w:t>
      </w:r>
      <w:r w:rsidR="008C54B5" w:rsidRPr="000C10D2">
        <w:rPr>
          <w:rFonts w:ascii="Century Gothic" w:hAnsi="Century Gothic" w:cs="Arial"/>
          <w:u w:val="single"/>
        </w:rPr>
        <w:t xml:space="preserve"> El valor que corresponda al </w:t>
      </w:r>
      <w:r w:rsidR="008C54B5">
        <w:rPr>
          <w:rFonts w:ascii="Century Gothic" w:hAnsi="Century Gothic" w:cs="Arial"/>
          <w:u w:val="single"/>
        </w:rPr>
        <w:t>treinta por ciento (</w:t>
      </w:r>
      <w:r w:rsidR="008C54B5" w:rsidRPr="000C10D2">
        <w:rPr>
          <w:rFonts w:ascii="Century Gothic" w:hAnsi="Century Gothic" w:cs="Arial"/>
          <w:u w:val="single"/>
        </w:rPr>
        <w:t>30%</w:t>
      </w:r>
      <w:r w:rsidR="008C54B5">
        <w:rPr>
          <w:rFonts w:ascii="Century Gothic" w:hAnsi="Century Gothic" w:cs="Arial"/>
          <w:u w:val="single"/>
        </w:rPr>
        <w:t>)</w:t>
      </w:r>
      <w:r w:rsidR="008C54B5" w:rsidRPr="000C10D2">
        <w:rPr>
          <w:rFonts w:ascii="Century Gothic" w:hAnsi="Century Gothic" w:cs="Arial"/>
          <w:u w:val="single"/>
        </w:rPr>
        <w:t xml:space="preserve"> del avaluó comercial del inmueble podrá compensarse con los impuestos que en ese momento </w:t>
      </w:r>
      <w:r w:rsidR="008C54B5">
        <w:rPr>
          <w:rFonts w:ascii="Century Gothic" w:hAnsi="Century Gothic" w:cs="Arial"/>
          <w:u w:val="single"/>
        </w:rPr>
        <w:t xml:space="preserve">le adeude </w:t>
      </w:r>
      <w:r w:rsidR="008C54B5" w:rsidRPr="000C10D2">
        <w:rPr>
          <w:rFonts w:ascii="Century Gothic" w:hAnsi="Century Gothic" w:cs="Arial"/>
          <w:u w:val="single"/>
        </w:rPr>
        <w:t>el FRISCO a la entidad territorial por concepto de impuestos</w:t>
      </w:r>
      <w:r w:rsidR="008C54B5">
        <w:rPr>
          <w:rFonts w:ascii="Century Gothic" w:hAnsi="Century Gothic" w:cs="Arial"/>
          <w:u w:val="single"/>
        </w:rPr>
        <w:t>, tasas, sobretasas, plusvalías, contribuciones o cualquier concepto fiscal que sean ingresos de la entidad territorial</w:t>
      </w:r>
      <w:r w:rsidR="008C54B5" w:rsidRPr="000C10D2">
        <w:rPr>
          <w:rFonts w:ascii="Century Gothic" w:hAnsi="Century Gothic" w:cs="Arial"/>
          <w:u w:val="single"/>
        </w:rPr>
        <w:t xml:space="preserve">. </w:t>
      </w:r>
    </w:p>
    <w:p w14:paraId="7B12AD83" w14:textId="77777777" w:rsidR="008C54B5" w:rsidRDefault="008C54B5" w:rsidP="008C54B5">
      <w:pPr>
        <w:spacing w:line="360" w:lineRule="auto"/>
        <w:jc w:val="both"/>
        <w:rPr>
          <w:rFonts w:ascii="Century Gothic" w:eastAsia="Times New Roman" w:hAnsi="Century Gothic"/>
          <w:b/>
          <w:sz w:val="24"/>
          <w:szCs w:val="24"/>
          <w:u w:val="single"/>
          <w:lang w:val="es-CO"/>
        </w:rPr>
      </w:pPr>
    </w:p>
    <w:p w14:paraId="40EA8522" w14:textId="44B1FBB8" w:rsidR="008C54B5" w:rsidRPr="000C10D2" w:rsidRDefault="008C54B5" w:rsidP="008C54B5">
      <w:pPr>
        <w:spacing w:line="360" w:lineRule="auto"/>
        <w:jc w:val="both"/>
        <w:rPr>
          <w:rFonts w:ascii="Century Gothic" w:hAnsi="Century Gothic"/>
          <w:sz w:val="24"/>
          <w:szCs w:val="24"/>
          <w:u w:val="single"/>
        </w:rPr>
      </w:pPr>
      <w:r w:rsidRPr="000C10D2">
        <w:rPr>
          <w:rFonts w:ascii="Century Gothic" w:eastAsia="Times New Roman" w:hAnsi="Century Gothic"/>
          <w:b/>
          <w:sz w:val="24"/>
          <w:szCs w:val="24"/>
          <w:u w:val="single"/>
          <w:lang w:val="es-CO"/>
        </w:rPr>
        <w:t>Artículo 4°. Reglamentación:</w:t>
      </w:r>
      <w:r w:rsidRPr="000C10D2">
        <w:rPr>
          <w:rFonts w:ascii="Century Gothic" w:eastAsia="Times New Roman" w:hAnsi="Century Gothic"/>
          <w:sz w:val="24"/>
          <w:szCs w:val="24"/>
          <w:u w:val="single"/>
          <w:lang w:val="es-CO"/>
        </w:rPr>
        <w:t xml:space="preserve"> </w:t>
      </w:r>
      <w:r w:rsidRPr="000C10D2">
        <w:rPr>
          <w:rFonts w:ascii="Century Gothic" w:hAnsi="Century Gothic"/>
          <w:sz w:val="24"/>
          <w:szCs w:val="24"/>
          <w:u w:val="single"/>
        </w:rPr>
        <w:t>El Gobierno Nacional deberá dentro de los seis (6) meses siguientes a la entrada en vigencia de este esta ley, reglamentar el procedimiento para la aplicación de la figura de enajenación y enajenación temprana a entidades territoriales.</w:t>
      </w:r>
    </w:p>
    <w:p w14:paraId="000234F5" w14:textId="77777777" w:rsidR="008C54B5" w:rsidRPr="000C10D2" w:rsidRDefault="008C54B5" w:rsidP="008C54B5">
      <w:pPr>
        <w:spacing w:line="360" w:lineRule="auto"/>
        <w:jc w:val="both"/>
        <w:rPr>
          <w:rFonts w:ascii="Century Gothic" w:hAnsi="Century Gothic"/>
          <w:sz w:val="24"/>
          <w:szCs w:val="24"/>
          <w:u w:val="single"/>
        </w:rPr>
      </w:pPr>
    </w:p>
    <w:p w14:paraId="76110B63" w14:textId="77777777" w:rsidR="008C54B5" w:rsidRDefault="008C54B5" w:rsidP="008C54B5">
      <w:pPr>
        <w:spacing w:line="360" w:lineRule="auto"/>
        <w:jc w:val="both"/>
        <w:rPr>
          <w:rFonts w:ascii="Century Gothic" w:hAnsi="Century Gothic"/>
          <w:b/>
          <w:sz w:val="24"/>
          <w:szCs w:val="24"/>
          <w:u w:val="single"/>
        </w:rPr>
      </w:pPr>
    </w:p>
    <w:p w14:paraId="6FB6590B" w14:textId="5D5A8E46" w:rsidR="008C54B5" w:rsidRPr="000C10D2" w:rsidRDefault="008C54B5" w:rsidP="008C54B5">
      <w:pPr>
        <w:spacing w:line="360" w:lineRule="auto"/>
        <w:jc w:val="both"/>
        <w:rPr>
          <w:rFonts w:ascii="Century Gothic" w:hAnsi="Century Gothic"/>
          <w:sz w:val="24"/>
          <w:szCs w:val="24"/>
          <w:u w:val="single"/>
        </w:rPr>
      </w:pPr>
      <w:r w:rsidRPr="000C10D2">
        <w:rPr>
          <w:rFonts w:ascii="Century Gothic" w:hAnsi="Century Gothic"/>
          <w:b/>
          <w:sz w:val="24"/>
          <w:szCs w:val="24"/>
          <w:u w:val="single"/>
        </w:rPr>
        <w:t xml:space="preserve">Artículo 5°. Vigencias y derogatorias. </w:t>
      </w:r>
      <w:r w:rsidRPr="000C10D2">
        <w:rPr>
          <w:rFonts w:ascii="Century Gothic" w:hAnsi="Century Gothic"/>
          <w:sz w:val="24"/>
          <w:szCs w:val="24"/>
          <w:u w:val="single"/>
        </w:rPr>
        <w:t>La presente ley rige a partir de la fecha de su promulgación y deroga las disposiciones que le sean contrarias.</w:t>
      </w:r>
    </w:p>
    <w:p w14:paraId="4182E41F" w14:textId="77777777" w:rsidR="008C54B5" w:rsidRPr="000C10D2" w:rsidRDefault="008C54B5" w:rsidP="008C54B5">
      <w:pPr>
        <w:pStyle w:val="Default"/>
        <w:spacing w:line="360" w:lineRule="auto"/>
        <w:jc w:val="both"/>
        <w:rPr>
          <w:rFonts w:ascii="Century Gothic" w:hAnsi="Century Gothic" w:cs="Arial"/>
          <w:b/>
          <w:i/>
          <w:iCs/>
          <w:color w:val="auto"/>
        </w:rPr>
      </w:pPr>
    </w:p>
    <w:p w14:paraId="0CD935B9" w14:textId="1D2BC290" w:rsidR="008C54B5" w:rsidRPr="000C10D2" w:rsidRDefault="008C54B5" w:rsidP="008C54B5">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Del Honorable Representante:</w:t>
      </w:r>
    </w:p>
    <w:p w14:paraId="03EEAE70" w14:textId="305B1D64" w:rsidR="008C54B5" w:rsidRPr="000C10D2" w:rsidRDefault="008C54B5" w:rsidP="00A8205E">
      <w:pPr>
        <w:spacing w:before="240" w:after="240"/>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 </w:t>
      </w:r>
    </w:p>
    <w:p w14:paraId="76A6A2F3" w14:textId="663734E4" w:rsidR="008C54B5" w:rsidRDefault="008C54B5" w:rsidP="00A8205E">
      <w:pPr>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JOHN JAIRO HOYOS</w:t>
      </w:r>
      <w:r w:rsidR="002C20F0">
        <w:rPr>
          <w:rFonts w:ascii="Century Gothic" w:eastAsia="Times New Roman" w:hAnsi="Century Gothic" w:cs="Times New Roman"/>
          <w:b/>
          <w:sz w:val="24"/>
          <w:szCs w:val="24"/>
          <w:lang w:val="es-CO"/>
        </w:rPr>
        <w:t xml:space="preserve"> GARCÍA</w:t>
      </w:r>
    </w:p>
    <w:p w14:paraId="3CC52F6C" w14:textId="0564E123" w:rsidR="00A8205E" w:rsidRDefault="00A8205E" w:rsidP="00A8205E">
      <w:pPr>
        <w:jc w:val="both"/>
        <w:rPr>
          <w:rFonts w:ascii="Century Gothic" w:eastAsia="Times New Roman" w:hAnsi="Century Gothic" w:cs="Times New Roman"/>
          <w:b/>
          <w:sz w:val="24"/>
          <w:szCs w:val="24"/>
          <w:lang w:val="es-CO"/>
        </w:rPr>
      </w:pPr>
      <w:r>
        <w:rPr>
          <w:rFonts w:ascii="Century Gothic" w:eastAsia="Times New Roman" w:hAnsi="Century Gothic" w:cs="Times New Roman"/>
          <w:b/>
          <w:sz w:val="24"/>
          <w:szCs w:val="24"/>
          <w:lang w:val="es-CO"/>
        </w:rPr>
        <w:t xml:space="preserve">Representante a la Cámara </w:t>
      </w:r>
    </w:p>
    <w:p w14:paraId="0A1DA9CD" w14:textId="44C11D69" w:rsidR="00A8205E" w:rsidRPr="000C10D2" w:rsidRDefault="00A8205E" w:rsidP="00A8205E">
      <w:pPr>
        <w:jc w:val="both"/>
        <w:rPr>
          <w:rFonts w:ascii="Century Gothic" w:eastAsia="Times New Roman" w:hAnsi="Century Gothic" w:cs="Times New Roman"/>
          <w:b/>
          <w:sz w:val="24"/>
          <w:szCs w:val="24"/>
          <w:lang w:val="es-CO"/>
        </w:rPr>
      </w:pPr>
      <w:r>
        <w:rPr>
          <w:rFonts w:ascii="Century Gothic" w:eastAsia="Times New Roman" w:hAnsi="Century Gothic" w:cs="Times New Roman"/>
          <w:b/>
          <w:sz w:val="24"/>
          <w:szCs w:val="24"/>
          <w:lang w:val="es-CO"/>
        </w:rPr>
        <w:t>Por el Valle del Cauca</w:t>
      </w:r>
    </w:p>
    <w:p w14:paraId="71C6412E" w14:textId="77777777" w:rsidR="008C54B5" w:rsidRPr="000C10D2" w:rsidRDefault="008C54B5" w:rsidP="00A8205E">
      <w:pPr>
        <w:jc w:val="both"/>
        <w:rPr>
          <w:rFonts w:ascii="Century Gothic" w:eastAsia="Times New Roman" w:hAnsi="Century Gothic" w:cs="Times New Roman"/>
          <w:b/>
          <w:sz w:val="24"/>
          <w:szCs w:val="24"/>
        </w:rPr>
      </w:pPr>
      <w:r w:rsidRPr="000C10D2">
        <w:rPr>
          <w:rFonts w:ascii="Century Gothic" w:eastAsia="Times New Roman" w:hAnsi="Century Gothic" w:cs="Times New Roman"/>
          <w:b/>
          <w:sz w:val="24"/>
          <w:szCs w:val="24"/>
        </w:rPr>
        <w:t>Partido de la Unidad Nacional</w:t>
      </w:r>
    </w:p>
    <w:p w14:paraId="2D71E830" w14:textId="77777777" w:rsidR="00AB25EA" w:rsidRPr="000C10D2" w:rsidRDefault="00AB25EA" w:rsidP="00D03564">
      <w:pPr>
        <w:adjustRightInd w:val="0"/>
        <w:spacing w:line="360" w:lineRule="auto"/>
        <w:jc w:val="both"/>
        <w:rPr>
          <w:rFonts w:ascii="Century Gothic" w:hAnsi="Century Gothic"/>
          <w:b/>
          <w:sz w:val="24"/>
          <w:szCs w:val="24"/>
        </w:rPr>
      </w:pPr>
    </w:p>
    <w:p w14:paraId="2B4F2B6F" w14:textId="45AFA762" w:rsidR="00592D6C" w:rsidRPr="000C10D2" w:rsidRDefault="00592D6C" w:rsidP="00D03564">
      <w:pPr>
        <w:spacing w:before="240" w:after="240" w:line="360" w:lineRule="auto"/>
        <w:jc w:val="both"/>
        <w:rPr>
          <w:rFonts w:ascii="Century Gothic" w:eastAsia="Times New Roman" w:hAnsi="Century Gothic" w:cs="Times New Roman"/>
          <w:sz w:val="24"/>
          <w:szCs w:val="24"/>
          <w:lang w:val="es-CO"/>
        </w:rPr>
      </w:pPr>
    </w:p>
    <w:p w14:paraId="17421A7E" w14:textId="021441D1" w:rsidR="00592D6C" w:rsidRPr="000C10D2" w:rsidRDefault="00592D6C" w:rsidP="00D03564">
      <w:pPr>
        <w:spacing w:before="240" w:after="240" w:line="360" w:lineRule="auto"/>
        <w:jc w:val="both"/>
        <w:rPr>
          <w:rFonts w:ascii="Century Gothic" w:eastAsia="Times New Roman" w:hAnsi="Century Gothic" w:cs="Times New Roman"/>
          <w:sz w:val="24"/>
          <w:szCs w:val="24"/>
          <w:lang w:val="es-CO"/>
        </w:rPr>
      </w:pPr>
    </w:p>
    <w:p w14:paraId="16654A61" w14:textId="77777777" w:rsidR="008C54B5" w:rsidRDefault="008C54B5">
      <w:pPr>
        <w:rPr>
          <w:rFonts w:ascii="Century Gothic" w:eastAsia="Times New Roman" w:hAnsi="Century Gothic" w:cs="Times New Roman"/>
          <w:b/>
          <w:sz w:val="24"/>
          <w:szCs w:val="24"/>
          <w:lang w:val="es-CO"/>
        </w:rPr>
      </w:pPr>
      <w:r>
        <w:rPr>
          <w:rFonts w:ascii="Century Gothic" w:eastAsia="Times New Roman" w:hAnsi="Century Gothic" w:cs="Times New Roman"/>
          <w:b/>
          <w:sz w:val="24"/>
          <w:szCs w:val="24"/>
          <w:lang w:val="es-CO"/>
        </w:rPr>
        <w:br w:type="page"/>
      </w:r>
    </w:p>
    <w:p w14:paraId="27D832B6" w14:textId="77777777" w:rsidR="008C54B5" w:rsidRDefault="008C54B5" w:rsidP="008C54B5">
      <w:pPr>
        <w:spacing w:before="240" w:after="240" w:line="276" w:lineRule="auto"/>
        <w:jc w:val="center"/>
        <w:rPr>
          <w:rFonts w:ascii="Century Gothic" w:eastAsia="Times New Roman" w:hAnsi="Century Gothic" w:cs="Times New Roman"/>
          <w:b/>
          <w:sz w:val="28"/>
          <w:szCs w:val="28"/>
          <w:lang w:val="es-CO"/>
        </w:rPr>
      </w:pPr>
    </w:p>
    <w:p w14:paraId="50A97A27" w14:textId="226C17C2" w:rsidR="008C54B5" w:rsidRDefault="008C54B5" w:rsidP="008C54B5">
      <w:pPr>
        <w:spacing w:before="240" w:after="240" w:line="276" w:lineRule="auto"/>
        <w:jc w:val="center"/>
        <w:rPr>
          <w:rFonts w:ascii="Century Gothic" w:eastAsia="Times New Roman" w:hAnsi="Century Gothic" w:cs="Times New Roman"/>
          <w:b/>
          <w:sz w:val="28"/>
          <w:szCs w:val="28"/>
          <w:lang w:val="es-CO"/>
        </w:rPr>
      </w:pPr>
      <w:r w:rsidRPr="008C54B5">
        <w:rPr>
          <w:rFonts w:ascii="Century Gothic" w:eastAsia="Times New Roman" w:hAnsi="Century Gothic" w:cs="Times New Roman"/>
          <w:b/>
          <w:sz w:val="28"/>
          <w:szCs w:val="28"/>
          <w:lang w:val="es-CO"/>
        </w:rPr>
        <w:t>EXPOSICIÓN DE MOTIVOS</w:t>
      </w:r>
      <w:r>
        <w:rPr>
          <w:rFonts w:ascii="Century Gothic" w:eastAsia="Times New Roman" w:hAnsi="Century Gothic" w:cs="Times New Roman"/>
          <w:b/>
          <w:sz w:val="28"/>
          <w:szCs w:val="28"/>
          <w:lang w:val="es-CO"/>
        </w:rPr>
        <w:t>:</w:t>
      </w:r>
    </w:p>
    <w:p w14:paraId="291FBF17" w14:textId="77777777" w:rsidR="008C54B5" w:rsidRDefault="008C54B5" w:rsidP="008C54B5">
      <w:pPr>
        <w:spacing w:before="240" w:after="240" w:line="276" w:lineRule="auto"/>
        <w:jc w:val="both"/>
        <w:rPr>
          <w:rFonts w:ascii="Century Gothic" w:eastAsia="Times New Roman" w:hAnsi="Century Gothic" w:cs="Times New Roman"/>
          <w:b/>
          <w:sz w:val="28"/>
          <w:szCs w:val="28"/>
          <w:lang w:val="es-CO"/>
        </w:rPr>
      </w:pPr>
    </w:p>
    <w:p w14:paraId="15F2E5F1" w14:textId="77777777" w:rsidR="008C54B5" w:rsidRDefault="008C54B5" w:rsidP="008C54B5">
      <w:pPr>
        <w:spacing w:before="240" w:after="240" w:line="276" w:lineRule="auto"/>
        <w:jc w:val="both"/>
        <w:rPr>
          <w:rFonts w:ascii="Century Gothic" w:eastAsia="Times New Roman" w:hAnsi="Century Gothic" w:cs="Times New Roman"/>
          <w:b/>
          <w:sz w:val="28"/>
          <w:szCs w:val="28"/>
          <w:lang w:val="es-CO"/>
        </w:rPr>
      </w:pPr>
    </w:p>
    <w:p w14:paraId="7D3CAECF" w14:textId="0F11611A" w:rsidR="008C54B5" w:rsidRDefault="008C54B5" w:rsidP="008C54B5">
      <w:pPr>
        <w:spacing w:before="240" w:after="240" w:line="276" w:lineRule="auto"/>
        <w:jc w:val="both"/>
        <w:rPr>
          <w:rFonts w:ascii="Century Gothic" w:eastAsia="Times New Roman" w:hAnsi="Century Gothic" w:cs="Times New Roman"/>
          <w:b/>
          <w:sz w:val="28"/>
          <w:szCs w:val="28"/>
          <w:lang w:val="es-CO"/>
        </w:rPr>
      </w:pPr>
      <w:r>
        <w:rPr>
          <w:rFonts w:ascii="Century Gothic" w:eastAsia="Times New Roman" w:hAnsi="Century Gothic" w:cs="Times New Roman"/>
          <w:b/>
          <w:sz w:val="28"/>
          <w:szCs w:val="28"/>
          <w:lang w:val="es-CO"/>
        </w:rPr>
        <w:t>CONTENIDO:</w:t>
      </w:r>
    </w:p>
    <w:p w14:paraId="28C6CEF4" w14:textId="77777777" w:rsidR="00A8205E" w:rsidRDefault="00A8205E" w:rsidP="008C54B5">
      <w:pPr>
        <w:spacing w:before="240" w:after="240" w:line="276" w:lineRule="auto"/>
        <w:jc w:val="both"/>
        <w:rPr>
          <w:rFonts w:ascii="Century Gothic" w:eastAsia="Times New Roman" w:hAnsi="Century Gothic" w:cs="Times New Roman"/>
          <w:b/>
          <w:sz w:val="28"/>
          <w:szCs w:val="28"/>
          <w:lang w:val="es-CO"/>
        </w:rPr>
      </w:pPr>
    </w:p>
    <w:p w14:paraId="29456CBC" w14:textId="34995A83" w:rsidR="008C54B5" w:rsidRPr="000C10D2" w:rsidRDefault="008C54B5" w:rsidP="008C54B5">
      <w:pPr>
        <w:pStyle w:val="Prrafodelista"/>
        <w:numPr>
          <w:ilvl w:val="0"/>
          <w:numId w:val="8"/>
        </w:numPr>
        <w:spacing w:before="240" w:after="240" w:line="276" w:lineRule="auto"/>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Objeto </w:t>
      </w:r>
      <w:r>
        <w:rPr>
          <w:rFonts w:ascii="Century Gothic" w:eastAsia="Times New Roman" w:hAnsi="Century Gothic" w:cs="Times New Roman"/>
          <w:b/>
          <w:sz w:val="24"/>
          <w:szCs w:val="24"/>
          <w:lang w:val="es-CO"/>
        </w:rPr>
        <w:t>d</w:t>
      </w:r>
      <w:r w:rsidRPr="000C10D2">
        <w:rPr>
          <w:rFonts w:ascii="Century Gothic" w:eastAsia="Times New Roman" w:hAnsi="Century Gothic" w:cs="Times New Roman"/>
          <w:b/>
          <w:sz w:val="24"/>
          <w:szCs w:val="24"/>
          <w:lang w:val="es-CO"/>
        </w:rPr>
        <w:t xml:space="preserve">el Proyecto </w:t>
      </w:r>
      <w:r>
        <w:rPr>
          <w:rFonts w:ascii="Century Gothic" w:eastAsia="Times New Roman" w:hAnsi="Century Gothic" w:cs="Times New Roman"/>
          <w:b/>
          <w:sz w:val="24"/>
          <w:szCs w:val="24"/>
          <w:lang w:val="es-CO"/>
        </w:rPr>
        <w:t>d</w:t>
      </w:r>
      <w:r w:rsidRPr="000C10D2">
        <w:rPr>
          <w:rFonts w:ascii="Century Gothic" w:eastAsia="Times New Roman" w:hAnsi="Century Gothic" w:cs="Times New Roman"/>
          <w:b/>
          <w:sz w:val="24"/>
          <w:szCs w:val="24"/>
          <w:lang w:val="es-CO"/>
        </w:rPr>
        <w:t>e Ley</w:t>
      </w:r>
    </w:p>
    <w:p w14:paraId="712B3075" w14:textId="7C41AFED" w:rsidR="008C54B5" w:rsidRDefault="008C54B5" w:rsidP="008C54B5">
      <w:pPr>
        <w:pStyle w:val="Prrafodelista"/>
        <w:numPr>
          <w:ilvl w:val="0"/>
          <w:numId w:val="8"/>
        </w:numPr>
        <w:spacing w:before="240" w:after="240" w:line="360" w:lineRule="auto"/>
        <w:rPr>
          <w:rFonts w:ascii="Century Gothic" w:eastAsia="Times New Roman" w:hAnsi="Century Gothic" w:cs="Times New Roman"/>
          <w:b/>
          <w:sz w:val="24"/>
          <w:szCs w:val="24"/>
          <w:lang w:val="es-CO"/>
        </w:rPr>
      </w:pPr>
      <w:r w:rsidRPr="008C54B5">
        <w:rPr>
          <w:rFonts w:ascii="Century Gothic" w:eastAsia="Times New Roman" w:hAnsi="Century Gothic" w:cs="Times New Roman"/>
          <w:b/>
          <w:sz w:val="24"/>
          <w:szCs w:val="24"/>
          <w:lang w:val="es-CO"/>
        </w:rPr>
        <w:t xml:space="preserve">Contenido </w:t>
      </w:r>
      <w:r>
        <w:rPr>
          <w:rFonts w:ascii="Century Gothic" w:eastAsia="Times New Roman" w:hAnsi="Century Gothic" w:cs="Times New Roman"/>
          <w:b/>
          <w:sz w:val="24"/>
          <w:szCs w:val="24"/>
          <w:lang w:val="es-CO"/>
        </w:rPr>
        <w:t>d</w:t>
      </w:r>
      <w:r w:rsidRPr="008C54B5">
        <w:rPr>
          <w:rFonts w:ascii="Century Gothic" w:eastAsia="Times New Roman" w:hAnsi="Century Gothic" w:cs="Times New Roman"/>
          <w:b/>
          <w:sz w:val="24"/>
          <w:szCs w:val="24"/>
          <w:lang w:val="es-CO"/>
        </w:rPr>
        <w:t xml:space="preserve">el Proyecto </w:t>
      </w:r>
      <w:r>
        <w:rPr>
          <w:rFonts w:ascii="Century Gothic" w:eastAsia="Times New Roman" w:hAnsi="Century Gothic" w:cs="Times New Roman"/>
          <w:b/>
          <w:sz w:val="24"/>
          <w:szCs w:val="24"/>
          <w:lang w:val="es-CO"/>
        </w:rPr>
        <w:t>d</w:t>
      </w:r>
      <w:r w:rsidRPr="008C54B5">
        <w:rPr>
          <w:rFonts w:ascii="Century Gothic" w:eastAsia="Times New Roman" w:hAnsi="Century Gothic" w:cs="Times New Roman"/>
          <w:b/>
          <w:sz w:val="24"/>
          <w:szCs w:val="24"/>
          <w:lang w:val="es-CO"/>
        </w:rPr>
        <w:t>e Ley</w:t>
      </w:r>
    </w:p>
    <w:p w14:paraId="7F071666" w14:textId="200476B7" w:rsidR="00A8205E" w:rsidRPr="00A8205E" w:rsidRDefault="00A8205E" w:rsidP="00A8205E">
      <w:pPr>
        <w:pStyle w:val="Prrafodelista"/>
        <w:numPr>
          <w:ilvl w:val="0"/>
          <w:numId w:val="8"/>
        </w:numPr>
        <w:spacing w:before="240" w:after="240" w:line="36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Justificación d</w:t>
      </w:r>
      <w:r w:rsidRPr="00A8205E">
        <w:rPr>
          <w:rFonts w:ascii="Century Gothic" w:eastAsia="Times New Roman" w:hAnsi="Century Gothic" w:cs="Times New Roman"/>
          <w:b/>
          <w:sz w:val="24"/>
          <w:szCs w:val="24"/>
        </w:rPr>
        <w:t xml:space="preserve">el Proyecto </w:t>
      </w:r>
      <w:r>
        <w:rPr>
          <w:rFonts w:ascii="Century Gothic" w:eastAsia="Times New Roman" w:hAnsi="Century Gothic" w:cs="Times New Roman"/>
          <w:b/>
          <w:sz w:val="24"/>
          <w:szCs w:val="24"/>
        </w:rPr>
        <w:t>d</w:t>
      </w:r>
      <w:r w:rsidRPr="00A8205E">
        <w:rPr>
          <w:rFonts w:ascii="Century Gothic" w:eastAsia="Times New Roman" w:hAnsi="Century Gothic" w:cs="Times New Roman"/>
          <w:b/>
          <w:sz w:val="24"/>
          <w:szCs w:val="24"/>
        </w:rPr>
        <w:t xml:space="preserve">e Ley </w:t>
      </w:r>
    </w:p>
    <w:p w14:paraId="16416681" w14:textId="28AD707C" w:rsidR="008C54B5" w:rsidRPr="008C54B5" w:rsidRDefault="008C54B5" w:rsidP="008C54B5">
      <w:pPr>
        <w:pStyle w:val="Prrafodelista"/>
        <w:numPr>
          <w:ilvl w:val="0"/>
          <w:numId w:val="8"/>
        </w:numPr>
        <w:spacing w:before="240" w:after="240" w:line="360" w:lineRule="auto"/>
        <w:rPr>
          <w:rFonts w:ascii="Century Gothic" w:eastAsia="Times New Roman" w:hAnsi="Century Gothic" w:cs="Times New Roman"/>
          <w:b/>
          <w:sz w:val="24"/>
          <w:szCs w:val="24"/>
          <w:lang w:val="es-CO"/>
        </w:rPr>
      </w:pPr>
      <w:r w:rsidRPr="008C54B5">
        <w:rPr>
          <w:rFonts w:ascii="Century Gothic" w:eastAsia="Times New Roman" w:hAnsi="Century Gothic" w:cs="Times New Roman"/>
          <w:b/>
          <w:sz w:val="24"/>
          <w:szCs w:val="24"/>
          <w:lang w:val="es-CO"/>
        </w:rPr>
        <w:t>Marco Normativo</w:t>
      </w:r>
    </w:p>
    <w:p w14:paraId="576FA2E3" w14:textId="2B6F50FC" w:rsidR="008C54B5" w:rsidRPr="008C54B5" w:rsidRDefault="008C54B5" w:rsidP="008C54B5">
      <w:pPr>
        <w:pStyle w:val="Prrafodelista"/>
        <w:numPr>
          <w:ilvl w:val="0"/>
          <w:numId w:val="8"/>
        </w:numPr>
        <w:spacing w:before="240" w:after="240" w:line="276" w:lineRule="auto"/>
        <w:rPr>
          <w:rFonts w:ascii="Century Gothic" w:eastAsia="Times New Roman" w:hAnsi="Century Gothic" w:cs="Times New Roman"/>
          <w:b/>
          <w:sz w:val="28"/>
          <w:szCs w:val="28"/>
          <w:lang w:val="es-CO"/>
        </w:rPr>
      </w:pPr>
      <w:r>
        <w:rPr>
          <w:rFonts w:ascii="Century Gothic" w:eastAsia="Times New Roman" w:hAnsi="Century Gothic" w:cs="Times New Roman"/>
          <w:b/>
          <w:sz w:val="24"/>
          <w:szCs w:val="24"/>
          <w:lang w:val="es-CO"/>
        </w:rPr>
        <w:t>Constitucionalidad del Proyecto de Ley</w:t>
      </w:r>
    </w:p>
    <w:p w14:paraId="345C1336" w14:textId="77777777" w:rsidR="008C54B5" w:rsidRPr="008C54B5" w:rsidRDefault="008C54B5" w:rsidP="008C54B5">
      <w:pPr>
        <w:spacing w:before="240" w:after="240" w:line="276" w:lineRule="auto"/>
        <w:jc w:val="center"/>
        <w:rPr>
          <w:rFonts w:ascii="Century Gothic" w:eastAsia="Times New Roman" w:hAnsi="Century Gothic" w:cs="Times New Roman"/>
          <w:b/>
          <w:sz w:val="28"/>
          <w:szCs w:val="28"/>
          <w:lang w:val="es-CO"/>
        </w:rPr>
      </w:pPr>
    </w:p>
    <w:p w14:paraId="065CD381" w14:textId="77777777" w:rsidR="008C54B5" w:rsidRDefault="008C54B5">
      <w:pPr>
        <w:rPr>
          <w:rFonts w:ascii="Century Gothic" w:eastAsia="Times New Roman" w:hAnsi="Century Gothic" w:cs="Times New Roman"/>
          <w:b/>
          <w:sz w:val="24"/>
          <w:szCs w:val="24"/>
          <w:lang w:val="es-CO"/>
        </w:rPr>
      </w:pPr>
      <w:r>
        <w:rPr>
          <w:rFonts w:ascii="Century Gothic" w:eastAsia="Times New Roman" w:hAnsi="Century Gothic" w:cs="Times New Roman"/>
          <w:b/>
          <w:sz w:val="24"/>
          <w:szCs w:val="24"/>
          <w:lang w:val="es-CO"/>
        </w:rPr>
        <w:br w:type="page"/>
      </w:r>
    </w:p>
    <w:p w14:paraId="5DFF0D18" w14:textId="70FF1F33" w:rsidR="00592D6C" w:rsidRPr="000C10D2" w:rsidRDefault="00592D6C" w:rsidP="008C54B5">
      <w:pPr>
        <w:pStyle w:val="Prrafodelista"/>
        <w:numPr>
          <w:ilvl w:val="0"/>
          <w:numId w:val="12"/>
        </w:numPr>
        <w:spacing w:before="240" w:after="240" w:line="276" w:lineRule="auto"/>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lastRenderedPageBreak/>
        <w:t>OBJETO DEL PROYECTO DE LEY</w:t>
      </w:r>
    </w:p>
    <w:p w14:paraId="1CA629D6" w14:textId="5E2DAF36" w:rsidR="00592D6C" w:rsidRPr="000C10D2" w:rsidRDefault="00592D6C"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El presente Proyecto de Ley tiene por objeto, modificar </w:t>
      </w:r>
      <w:r w:rsidR="00136FB1">
        <w:rPr>
          <w:rFonts w:ascii="Century Gothic" w:eastAsia="Times New Roman" w:hAnsi="Century Gothic" w:cs="Times New Roman"/>
          <w:sz w:val="24"/>
          <w:szCs w:val="24"/>
          <w:lang w:val="es-CO"/>
        </w:rPr>
        <w:t>los</w:t>
      </w:r>
      <w:r w:rsidR="00136FB1" w:rsidRPr="000C10D2">
        <w:rPr>
          <w:rFonts w:ascii="Century Gothic" w:eastAsia="Times New Roman" w:hAnsi="Century Gothic" w:cs="Times New Roman"/>
          <w:sz w:val="24"/>
          <w:szCs w:val="24"/>
          <w:lang w:val="es-CO"/>
        </w:rPr>
        <w:t xml:space="preserve"> </w:t>
      </w:r>
      <w:r w:rsidRPr="000C10D2">
        <w:rPr>
          <w:rFonts w:ascii="Century Gothic" w:eastAsia="Times New Roman" w:hAnsi="Century Gothic" w:cs="Times New Roman"/>
          <w:sz w:val="24"/>
          <w:szCs w:val="24"/>
          <w:lang w:val="es-CO"/>
        </w:rPr>
        <w:t>artículo</w:t>
      </w:r>
      <w:r w:rsidR="00136FB1">
        <w:rPr>
          <w:rFonts w:ascii="Century Gothic" w:eastAsia="Times New Roman" w:hAnsi="Century Gothic" w:cs="Times New Roman"/>
          <w:sz w:val="24"/>
          <w:szCs w:val="24"/>
          <w:lang w:val="es-CO"/>
        </w:rPr>
        <w:t>s</w:t>
      </w:r>
      <w:r w:rsidR="0052694E" w:rsidRPr="000C10D2">
        <w:rPr>
          <w:rFonts w:ascii="Century Gothic" w:eastAsia="Times New Roman" w:hAnsi="Century Gothic" w:cs="Times New Roman"/>
          <w:sz w:val="24"/>
          <w:szCs w:val="24"/>
          <w:lang w:val="es-CO"/>
        </w:rPr>
        <w:t xml:space="preserve"> </w:t>
      </w:r>
      <w:r w:rsidR="000368AD" w:rsidRPr="000C10D2">
        <w:rPr>
          <w:rFonts w:ascii="Century Gothic" w:eastAsia="Times New Roman" w:hAnsi="Century Gothic" w:cs="Times New Roman"/>
          <w:sz w:val="24"/>
          <w:szCs w:val="24"/>
          <w:lang w:val="es-CO"/>
        </w:rPr>
        <w:t>8</w:t>
      </w:r>
      <w:r w:rsidR="00636A4D" w:rsidRPr="000C10D2">
        <w:rPr>
          <w:rFonts w:ascii="Century Gothic" w:eastAsia="Times New Roman" w:hAnsi="Century Gothic" w:cs="Times New Roman"/>
          <w:sz w:val="24"/>
          <w:szCs w:val="24"/>
          <w:lang w:val="es-CO"/>
        </w:rPr>
        <w:t>8</w:t>
      </w:r>
      <w:r w:rsidR="000368AD" w:rsidRPr="000C10D2">
        <w:rPr>
          <w:rFonts w:ascii="Century Gothic" w:eastAsia="Times New Roman" w:hAnsi="Century Gothic" w:cs="Times New Roman"/>
          <w:sz w:val="24"/>
          <w:szCs w:val="24"/>
          <w:lang w:val="es-CO"/>
        </w:rPr>
        <w:t xml:space="preserve">, </w:t>
      </w:r>
      <w:r w:rsidR="00E5768D" w:rsidRPr="000C10D2">
        <w:rPr>
          <w:rFonts w:ascii="Century Gothic" w:eastAsia="Times New Roman" w:hAnsi="Century Gothic" w:cs="Times New Roman"/>
          <w:sz w:val="24"/>
          <w:szCs w:val="24"/>
          <w:lang w:val="es-CO"/>
        </w:rPr>
        <w:t xml:space="preserve">92 </w:t>
      </w:r>
      <w:r w:rsidR="001B0DE9" w:rsidRPr="000C10D2">
        <w:rPr>
          <w:rFonts w:ascii="Century Gothic" w:eastAsia="Times New Roman" w:hAnsi="Century Gothic" w:cs="Times New Roman"/>
          <w:sz w:val="24"/>
          <w:szCs w:val="24"/>
          <w:lang w:val="es-CO"/>
        </w:rPr>
        <w:t xml:space="preserve">y </w:t>
      </w:r>
      <w:r w:rsidR="00E5768D" w:rsidRPr="000C10D2">
        <w:rPr>
          <w:rFonts w:ascii="Century Gothic" w:eastAsia="Times New Roman" w:hAnsi="Century Gothic" w:cs="Times New Roman"/>
          <w:sz w:val="24"/>
          <w:szCs w:val="24"/>
          <w:lang w:val="es-CO"/>
        </w:rPr>
        <w:t>adicionar un artículo al</w:t>
      </w:r>
      <w:r w:rsidRPr="000C10D2">
        <w:rPr>
          <w:rFonts w:ascii="Century Gothic" w:eastAsia="Times New Roman" w:hAnsi="Century Gothic" w:cs="Times New Roman"/>
          <w:sz w:val="24"/>
          <w:szCs w:val="24"/>
          <w:lang w:val="es-CO"/>
        </w:rPr>
        <w:t xml:space="preserve"> Código Extinción de Dominio. (Ley 1708 de 2014).  </w:t>
      </w:r>
    </w:p>
    <w:p w14:paraId="53521489" w14:textId="2B5A21AE" w:rsidR="00E5768D" w:rsidRPr="000C10D2" w:rsidRDefault="00EA7917"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La</w:t>
      </w:r>
      <w:r w:rsidR="00B90D41" w:rsidRPr="000C10D2">
        <w:rPr>
          <w:rFonts w:ascii="Century Gothic" w:eastAsia="Times New Roman" w:hAnsi="Century Gothic" w:cs="Times New Roman"/>
          <w:sz w:val="24"/>
          <w:szCs w:val="24"/>
          <w:lang w:val="es-CO"/>
        </w:rPr>
        <w:t>s modificaciones y adiciones,</w:t>
      </w:r>
      <w:r w:rsidRPr="000C10D2">
        <w:rPr>
          <w:rFonts w:ascii="Century Gothic" w:eastAsia="Times New Roman" w:hAnsi="Century Gothic" w:cs="Times New Roman"/>
          <w:sz w:val="24"/>
          <w:szCs w:val="24"/>
          <w:lang w:val="es-CO"/>
        </w:rPr>
        <w:t xml:space="preserve"> tiene</w:t>
      </w:r>
      <w:r w:rsidR="00B90D41" w:rsidRPr="000C10D2">
        <w:rPr>
          <w:rFonts w:ascii="Century Gothic" w:eastAsia="Times New Roman" w:hAnsi="Century Gothic" w:cs="Times New Roman"/>
          <w:sz w:val="24"/>
          <w:szCs w:val="24"/>
          <w:lang w:val="es-CO"/>
        </w:rPr>
        <w:t>n</w:t>
      </w:r>
      <w:r w:rsidRPr="000C10D2">
        <w:rPr>
          <w:rFonts w:ascii="Century Gothic" w:eastAsia="Times New Roman" w:hAnsi="Century Gothic" w:cs="Times New Roman"/>
          <w:sz w:val="24"/>
          <w:szCs w:val="24"/>
          <w:lang w:val="es-CO"/>
        </w:rPr>
        <w:t xml:space="preserve"> como objeto</w:t>
      </w:r>
      <w:r w:rsidR="00E5768D" w:rsidRPr="000C10D2">
        <w:rPr>
          <w:rFonts w:ascii="Century Gothic" w:eastAsia="Times New Roman" w:hAnsi="Century Gothic" w:cs="Times New Roman"/>
          <w:sz w:val="24"/>
          <w:szCs w:val="24"/>
          <w:lang w:val="es-CO"/>
        </w:rPr>
        <w:t xml:space="preserve"> i</w:t>
      </w:r>
      <w:r w:rsidRPr="000C10D2">
        <w:rPr>
          <w:rFonts w:ascii="Century Gothic" w:eastAsia="Times New Roman" w:hAnsi="Century Gothic" w:cs="Times New Roman"/>
          <w:sz w:val="24"/>
          <w:szCs w:val="24"/>
          <w:lang w:val="es-CO"/>
        </w:rPr>
        <w:t xml:space="preserve">mplementar la figura de </w:t>
      </w:r>
      <w:r w:rsidR="00E5768D" w:rsidRPr="000C10D2">
        <w:rPr>
          <w:rFonts w:ascii="Century Gothic" w:eastAsia="Times New Roman" w:hAnsi="Century Gothic" w:cs="Times New Roman"/>
          <w:b/>
          <w:sz w:val="24"/>
          <w:szCs w:val="24"/>
          <w:lang w:val="es-CO"/>
        </w:rPr>
        <w:t>enajenación a</w:t>
      </w:r>
      <w:r w:rsidR="0034086E" w:rsidRPr="000C10D2">
        <w:rPr>
          <w:rFonts w:ascii="Century Gothic" w:eastAsia="Times New Roman" w:hAnsi="Century Gothic" w:cs="Times New Roman"/>
          <w:b/>
          <w:sz w:val="24"/>
          <w:szCs w:val="24"/>
          <w:lang w:val="es-CO"/>
        </w:rPr>
        <w:t xml:space="preserve"> favor de</w:t>
      </w:r>
      <w:r w:rsidR="00E5768D" w:rsidRPr="000C10D2">
        <w:rPr>
          <w:rFonts w:ascii="Century Gothic" w:eastAsia="Times New Roman" w:hAnsi="Century Gothic" w:cs="Times New Roman"/>
          <w:b/>
          <w:sz w:val="24"/>
          <w:szCs w:val="24"/>
          <w:lang w:val="es-CO"/>
        </w:rPr>
        <w:t xml:space="preserve"> entidades territoriales, </w:t>
      </w:r>
      <w:r w:rsidR="00B90D41" w:rsidRPr="000C10D2">
        <w:rPr>
          <w:rFonts w:ascii="Century Gothic" w:eastAsia="Times New Roman" w:hAnsi="Century Gothic" w:cs="Times New Roman"/>
          <w:sz w:val="24"/>
          <w:szCs w:val="24"/>
          <w:lang w:val="es-CO"/>
        </w:rPr>
        <w:t xml:space="preserve">de </w:t>
      </w:r>
      <w:r w:rsidR="00E5768D" w:rsidRPr="000C10D2">
        <w:rPr>
          <w:rFonts w:ascii="Century Gothic" w:hAnsi="Century Gothic"/>
          <w:sz w:val="24"/>
          <w:szCs w:val="24"/>
        </w:rPr>
        <w:t xml:space="preserve">los bienes inmuebles con extinción de dominio y los afectados con medidas cautelares dentro del proceso de extinción de dominio, </w:t>
      </w:r>
      <w:r w:rsidR="008F4118" w:rsidRPr="000C10D2">
        <w:rPr>
          <w:rFonts w:ascii="Century Gothic" w:hAnsi="Century Gothic"/>
          <w:sz w:val="24"/>
          <w:szCs w:val="24"/>
        </w:rPr>
        <w:t xml:space="preserve">para que estos puedan ser enajenados, incluso de manera temprana y </w:t>
      </w:r>
      <w:r w:rsidR="00E5768D" w:rsidRPr="000C10D2">
        <w:rPr>
          <w:rFonts w:ascii="Century Gothic" w:hAnsi="Century Gothic"/>
          <w:sz w:val="24"/>
          <w:szCs w:val="24"/>
        </w:rPr>
        <w:t>directa a las entidades territoriales dentro de las cuales se encuentren ubicados los bienes</w:t>
      </w:r>
      <w:r w:rsidR="008F4118" w:rsidRPr="000C10D2">
        <w:rPr>
          <w:rFonts w:ascii="Century Gothic" w:hAnsi="Century Gothic"/>
          <w:sz w:val="24"/>
          <w:szCs w:val="24"/>
        </w:rPr>
        <w:t>.</w:t>
      </w:r>
    </w:p>
    <w:p w14:paraId="079B23D1" w14:textId="034009A1" w:rsidR="00E5768D" w:rsidRPr="000C10D2" w:rsidRDefault="00E5768D"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Lo anterior con el fin de que </w:t>
      </w:r>
      <w:r w:rsidR="00C94A3F" w:rsidRPr="000C10D2">
        <w:rPr>
          <w:rFonts w:ascii="Century Gothic" w:eastAsia="Times New Roman" w:hAnsi="Century Gothic" w:cs="Times New Roman"/>
          <w:sz w:val="24"/>
          <w:szCs w:val="24"/>
          <w:lang w:val="es-CO"/>
        </w:rPr>
        <w:t xml:space="preserve">las entidades territoriales adquieran de manera directa el predio cuando este sea de su interés para poder realizar un proyecto </w:t>
      </w:r>
      <w:r w:rsidR="00710AD2" w:rsidRPr="000C10D2">
        <w:rPr>
          <w:rFonts w:ascii="Century Gothic" w:eastAsia="Times New Roman" w:hAnsi="Century Gothic" w:cs="Times New Roman"/>
          <w:sz w:val="24"/>
          <w:szCs w:val="24"/>
          <w:lang w:val="es-CO"/>
        </w:rPr>
        <w:t>dirigido prioritariamente a infraestructura en: salud, recreación, cultura y deporte</w:t>
      </w:r>
      <w:r w:rsidR="0004480D">
        <w:rPr>
          <w:rFonts w:ascii="Century Gothic" w:eastAsia="Times New Roman" w:hAnsi="Century Gothic" w:cs="Times New Roman"/>
          <w:sz w:val="24"/>
          <w:szCs w:val="24"/>
          <w:lang w:val="es-CO"/>
        </w:rPr>
        <w:t xml:space="preserve">; </w:t>
      </w:r>
      <w:r w:rsidR="00C94A3F" w:rsidRPr="000C10D2">
        <w:rPr>
          <w:rFonts w:ascii="Century Gothic" w:eastAsia="Times New Roman" w:hAnsi="Century Gothic" w:cs="Times New Roman"/>
          <w:sz w:val="24"/>
          <w:szCs w:val="24"/>
          <w:lang w:val="es-CO"/>
        </w:rPr>
        <w:t>y cuando las mismas hubiesen requerido estos bienes inmuebles por motivos de utilidad pública o interés social</w:t>
      </w:r>
      <w:r w:rsidR="00D42C14" w:rsidRPr="000C10D2">
        <w:rPr>
          <w:rFonts w:ascii="Century Gothic" w:eastAsia="Times New Roman" w:hAnsi="Century Gothic" w:cs="Times New Roman"/>
          <w:sz w:val="24"/>
          <w:szCs w:val="24"/>
          <w:lang w:val="es-CO"/>
        </w:rPr>
        <w:t>.</w:t>
      </w:r>
    </w:p>
    <w:p w14:paraId="048DAE54" w14:textId="2827D762" w:rsidR="00D42C14" w:rsidRPr="000C10D2" w:rsidRDefault="00D42C14"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Esta enajenación será diferente a la contemplada en la norma, comoquiera que por ser entidades territoriales que han sido </w:t>
      </w:r>
      <w:r w:rsidR="0004480D">
        <w:rPr>
          <w:rFonts w:ascii="Century Gothic" w:eastAsia="Times New Roman" w:hAnsi="Century Gothic" w:cs="Times New Roman"/>
          <w:sz w:val="24"/>
          <w:szCs w:val="24"/>
          <w:lang w:val="es-CO"/>
        </w:rPr>
        <w:t xml:space="preserve">afectadas por </w:t>
      </w:r>
      <w:r w:rsidRPr="000C10D2">
        <w:rPr>
          <w:rFonts w:ascii="Century Gothic" w:eastAsia="Times New Roman" w:hAnsi="Century Gothic" w:cs="Times New Roman"/>
          <w:sz w:val="24"/>
          <w:szCs w:val="24"/>
          <w:lang w:val="es-CO"/>
        </w:rPr>
        <w:t>la utilización delictiva de estos bienes inmuebles, podrán entonces adquirir los bienes inmuebles para ejecutar proyectos</w:t>
      </w:r>
      <w:r w:rsidR="0004480D">
        <w:rPr>
          <w:rFonts w:ascii="Century Gothic" w:eastAsia="Times New Roman" w:hAnsi="Century Gothic" w:cs="Times New Roman"/>
          <w:sz w:val="24"/>
          <w:szCs w:val="24"/>
          <w:lang w:val="es-CO"/>
        </w:rPr>
        <w:t xml:space="preserve">; y </w:t>
      </w:r>
      <w:r w:rsidRPr="000C10D2">
        <w:rPr>
          <w:rFonts w:ascii="Century Gothic" w:eastAsia="Times New Roman" w:hAnsi="Century Gothic" w:cs="Times New Roman"/>
          <w:sz w:val="24"/>
          <w:szCs w:val="24"/>
          <w:lang w:val="es-CO"/>
        </w:rPr>
        <w:t>aquellos que</w:t>
      </w:r>
      <w:r w:rsidR="0004480D">
        <w:rPr>
          <w:rFonts w:ascii="Century Gothic" w:eastAsia="Times New Roman" w:hAnsi="Century Gothic" w:cs="Times New Roman"/>
          <w:sz w:val="24"/>
          <w:szCs w:val="24"/>
          <w:lang w:val="es-CO"/>
        </w:rPr>
        <w:t xml:space="preserve">, las entidades territoriales </w:t>
      </w:r>
      <w:r w:rsidRPr="000C10D2">
        <w:rPr>
          <w:rFonts w:ascii="Century Gothic" w:eastAsia="Times New Roman" w:hAnsi="Century Gothic" w:cs="Times New Roman"/>
          <w:sz w:val="24"/>
          <w:szCs w:val="24"/>
          <w:lang w:val="es-CO"/>
        </w:rPr>
        <w:t>requieran por motivos de utilidad pública o interés social por el 30% del valor comercial de los mismos</w:t>
      </w:r>
      <w:r w:rsidR="008F4118" w:rsidRPr="000C10D2">
        <w:rPr>
          <w:rFonts w:ascii="Century Gothic" w:eastAsia="Times New Roman" w:hAnsi="Century Gothic" w:cs="Times New Roman"/>
          <w:sz w:val="24"/>
          <w:szCs w:val="24"/>
          <w:lang w:val="es-CO"/>
        </w:rPr>
        <w:t xml:space="preserve">. </w:t>
      </w:r>
    </w:p>
    <w:p w14:paraId="3165E44F" w14:textId="7D5F22CC" w:rsidR="00EA7917" w:rsidRDefault="00D42C14"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Este 30% será destinado por el FRISCO para constituir la reserva técnica la cual se </w:t>
      </w:r>
      <w:r w:rsidR="008F4118" w:rsidRPr="000C10D2">
        <w:rPr>
          <w:rFonts w:ascii="Century Gothic" w:eastAsia="Times New Roman" w:hAnsi="Century Gothic" w:cs="Times New Roman"/>
          <w:sz w:val="24"/>
          <w:szCs w:val="24"/>
          <w:lang w:val="es-CO"/>
        </w:rPr>
        <w:t>destinará</w:t>
      </w:r>
      <w:r w:rsidRPr="000C10D2">
        <w:rPr>
          <w:rFonts w:ascii="Century Gothic" w:eastAsia="Times New Roman" w:hAnsi="Century Gothic" w:cs="Times New Roman"/>
          <w:sz w:val="24"/>
          <w:szCs w:val="24"/>
          <w:lang w:val="es-CO"/>
        </w:rPr>
        <w:t xml:space="preserve"> a cumplir las </w:t>
      </w:r>
      <w:r w:rsidR="00136FB1" w:rsidRPr="000C10D2">
        <w:rPr>
          <w:rFonts w:ascii="Century Gothic" w:eastAsia="Times New Roman" w:hAnsi="Century Gothic" w:cs="Times New Roman"/>
          <w:sz w:val="24"/>
          <w:szCs w:val="24"/>
          <w:lang w:val="es-CO"/>
        </w:rPr>
        <w:t>órdenes</w:t>
      </w:r>
      <w:r w:rsidRPr="000C10D2">
        <w:rPr>
          <w:rFonts w:ascii="Century Gothic" w:eastAsia="Times New Roman" w:hAnsi="Century Gothic" w:cs="Times New Roman"/>
          <w:sz w:val="24"/>
          <w:szCs w:val="24"/>
          <w:lang w:val="es-CO"/>
        </w:rPr>
        <w:t xml:space="preserve"> judiciales de devolución de los bienes,</w:t>
      </w:r>
      <w:r w:rsidR="00EA7917" w:rsidRPr="000C10D2">
        <w:rPr>
          <w:rFonts w:ascii="Century Gothic" w:eastAsia="Times New Roman" w:hAnsi="Century Gothic" w:cs="Times New Roman"/>
          <w:sz w:val="24"/>
          <w:szCs w:val="24"/>
        </w:rPr>
        <w:t xml:space="preserve"> tanto de los afectados actualmente como de los que se llegaren a afectar en procesos de </w:t>
      </w:r>
      <w:r w:rsidR="00EA7917" w:rsidRPr="000C10D2">
        <w:rPr>
          <w:rFonts w:ascii="Century Gothic" w:eastAsia="Times New Roman" w:hAnsi="Century Gothic" w:cs="Times New Roman"/>
          <w:sz w:val="24"/>
          <w:szCs w:val="24"/>
        </w:rPr>
        <w:lastRenderedPageBreak/>
        <w:t>extinción de dominio.</w:t>
      </w:r>
      <w:r w:rsidR="00EA7917" w:rsidRPr="000C10D2">
        <w:rPr>
          <w:rFonts w:ascii="Century Gothic" w:eastAsia="Times New Roman" w:hAnsi="Century Gothic" w:cs="Times New Roman"/>
          <w:sz w:val="24"/>
          <w:szCs w:val="24"/>
          <w:lang w:val="es-CO"/>
        </w:rPr>
        <w:t xml:space="preserve"> </w:t>
      </w:r>
    </w:p>
    <w:p w14:paraId="45C6D71B" w14:textId="77777777" w:rsidR="00A8205E" w:rsidRPr="000C10D2" w:rsidRDefault="00A8205E" w:rsidP="00D03564">
      <w:pPr>
        <w:spacing w:before="240" w:after="240" w:line="360" w:lineRule="auto"/>
        <w:jc w:val="both"/>
        <w:rPr>
          <w:rFonts w:ascii="Century Gothic" w:eastAsia="Times New Roman" w:hAnsi="Century Gothic" w:cs="Times New Roman"/>
          <w:b/>
          <w:sz w:val="24"/>
          <w:szCs w:val="24"/>
          <w:u w:val="single"/>
          <w:lang w:val="es-CO"/>
        </w:rPr>
      </w:pPr>
    </w:p>
    <w:p w14:paraId="6B1A57E7" w14:textId="182FCFED" w:rsidR="00592D6C" w:rsidRPr="000C10D2" w:rsidRDefault="00592D6C"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II. CONTENIDO DEL PROYECTO DE LEY</w:t>
      </w:r>
    </w:p>
    <w:p w14:paraId="413FAF0E" w14:textId="0932A752" w:rsidR="0054764C" w:rsidRPr="000C10D2" w:rsidRDefault="00592D6C"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b/>
          <w:sz w:val="24"/>
          <w:szCs w:val="24"/>
          <w:lang w:val="es-CO"/>
        </w:rPr>
        <w:t xml:space="preserve"> </w:t>
      </w:r>
      <w:r w:rsidRPr="000C10D2">
        <w:rPr>
          <w:rFonts w:ascii="Century Gothic" w:eastAsia="Times New Roman" w:hAnsi="Century Gothic" w:cs="Times New Roman"/>
          <w:sz w:val="24"/>
          <w:szCs w:val="24"/>
          <w:lang w:val="es-CO"/>
        </w:rPr>
        <w:t xml:space="preserve">El </w:t>
      </w:r>
      <w:r w:rsidR="0004480D">
        <w:rPr>
          <w:rFonts w:ascii="Century Gothic" w:eastAsia="Times New Roman" w:hAnsi="Century Gothic" w:cs="Times New Roman"/>
          <w:sz w:val="24"/>
          <w:szCs w:val="24"/>
          <w:lang w:val="es-CO"/>
        </w:rPr>
        <w:t xml:space="preserve">presente proyecto de ley </w:t>
      </w:r>
      <w:r w:rsidRPr="000C10D2">
        <w:rPr>
          <w:rFonts w:ascii="Century Gothic" w:eastAsia="Times New Roman" w:hAnsi="Century Gothic" w:cs="Times New Roman"/>
          <w:sz w:val="24"/>
          <w:szCs w:val="24"/>
          <w:lang w:val="es-CO"/>
        </w:rPr>
        <w:t xml:space="preserve">contiene </w:t>
      </w:r>
      <w:r w:rsidR="009837A0" w:rsidRPr="0004480D">
        <w:rPr>
          <w:rFonts w:ascii="Century Gothic" w:eastAsia="Times New Roman" w:hAnsi="Century Gothic" w:cs="Times New Roman"/>
          <w:sz w:val="24"/>
          <w:szCs w:val="24"/>
          <w:lang w:val="es-CO"/>
        </w:rPr>
        <w:t>cinco</w:t>
      </w:r>
      <w:r w:rsidR="000947E5" w:rsidRPr="0004480D">
        <w:rPr>
          <w:rFonts w:ascii="Century Gothic" w:eastAsia="Times New Roman" w:hAnsi="Century Gothic" w:cs="Times New Roman"/>
          <w:sz w:val="24"/>
          <w:szCs w:val="24"/>
          <w:lang w:val="es-CO"/>
        </w:rPr>
        <w:t xml:space="preserve"> </w:t>
      </w:r>
      <w:r w:rsidRPr="0004480D">
        <w:rPr>
          <w:rFonts w:ascii="Century Gothic" w:eastAsia="Times New Roman" w:hAnsi="Century Gothic" w:cs="Times New Roman"/>
          <w:sz w:val="24"/>
          <w:szCs w:val="24"/>
          <w:lang w:val="es-CO"/>
        </w:rPr>
        <w:t>artículos incluy</w:t>
      </w:r>
      <w:r w:rsidRPr="000C10D2">
        <w:rPr>
          <w:rFonts w:ascii="Century Gothic" w:eastAsia="Times New Roman" w:hAnsi="Century Gothic" w:cs="Times New Roman"/>
          <w:sz w:val="24"/>
          <w:szCs w:val="24"/>
          <w:lang w:val="es-CO"/>
        </w:rPr>
        <w:t xml:space="preserve">endo la vigencia. </w:t>
      </w:r>
    </w:p>
    <w:p w14:paraId="52B8766C" w14:textId="07A68AFF" w:rsidR="0054764C" w:rsidRPr="000C10D2" w:rsidRDefault="00592D6C"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En el artículo primero se </w:t>
      </w:r>
      <w:r w:rsidR="0054764C" w:rsidRPr="000C10D2">
        <w:rPr>
          <w:rFonts w:ascii="Century Gothic" w:eastAsia="Times New Roman" w:hAnsi="Century Gothic" w:cs="Times New Roman"/>
          <w:sz w:val="24"/>
          <w:szCs w:val="24"/>
          <w:lang w:val="es-CO"/>
        </w:rPr>
        <w:t xml:space="preserve">presenta modificación </w:t>
      </w:r>
      <w:r w:rsidR="00AD3D54" w:rsidRPr="000C10D2">
        <w:rPr>
          <w:rFonts w:ascii="Century Gothic" w:eastAsia="Times New Roman" w:hAnsi="Century Gothic" w:cs="Times New Roman"/>
          <w:sz w:val="24"/>
          <w:szCs w:val="24"/>
          <w:lang w:val="es-CO"/>
        </w:rPr>
        <w:t>del artículo 88 del Código Extinción de Dominio</w:t>
      </w:r>
      <w:r w:rsidR="00C046A5" w:rsidRPr="000C10D2">
        <w:rPr>
          <w:rFonts w:ascii="Century Gothic" w:eastAsia="Times New Roman" w:hAnsi="Century Gothic" w:cs="Times New Roman"/>
          <w:sz w:val="24"/>
          <w:szCs w:val="24"/>
          <w:lang w:val="es-CO"/>
        </w:rPr>
        <w:t xml:space="preserve"> </w:t>
      </w:r>
      <w:r w:rsidR="00AD3D54" w:rsidRPr="000C10D2">
        <w:rPr>
          <w:rFonts w:ascii="Century Gothic" w:eastAsia="Times New Roman" w:hAnsi="Century Gothic" w:cs="Times New Roman"/>
          <w:sz w:val="24"/>
          <w:szCs w:val="24"/>
          <w:lang w:val="es-CO"/>
        </w:rPr>
        <w:t xml:space="preserve">(Ley 1708 de 2014), </w:t>
      </w:r>
      <w:r w:rsidR="00B749E5" w:rsidRPr="000C10D2">
        <w:rPr>
          <w:rFonts w:ascii="Century Gothic" w:eastAsia="Times New Roman" w:hAnsi="Century Gothic" w:cs="Times New Roman"/>
          <w:sz w:val="24"/>
          <w:szCs w:val="24"/>
          <w:lang w:val="es-CO"/>
        </w:rPr>
        <w:t xml:space="preserve">modificando el </w:t>
      </w:r>
      <w:r w:rsidR="00AD3D54" w:rsidRPr="000C10D2">
        <w:rPr>
          <w:rFonts w:ascii="Century Gothic" w:eastAsia="Times New Roman" w:hAnsi="Century Gothic" w:cs="Times New Roman"/>
          <w:sz w:val="24"/>
          <w:szCs w:val="24"/>
          <w:lang w:val="es-CO"/>
        </w:rPr>
        <w:t>parágrafo</w:t>
      </w:r>
      <w:r w:rsidR="00CB28E9" w:rsidRPr="000C10D2">
        <w:rPr>
          <w:rFonts w:ascii="Century Gothic" w:eastAsia="Times New Roman" w:hAnsi="Century Gothic" w:cs="Times New Roman"/>
          <w:sz w:val="24"/>
          <w:szCs w:val="24"/>
          <w:lang w:val="es-CO"/>
        </w:rPr>
        <w:t xml:space="preserve"> 3°, con el fin de aclarar que la </w:t>
      </w:r>
      <w:r w:rsidR="00CB28E9" w:rsidRPr="0004480D">
        <w:rPr>
          <w:rFonts w:ascii="Century Gothic" w:eastAsia="Times New Roman" w:hAnsi="Century Gothic" w:cs="Times New Roman"/>
          <w:i/>
          <w:sz w:val="24"/>
          <w:szCs w:val="24"/>
          <w:u w:val="single"/>
          <w:lang w:val="es-CO"/>
        </w:rPr>
        <w:t>enajenación temprana también aplica a favor de entidades territoriales</w:t>
      </w:r>
      <w:r w:rsidR="00CB28E9" w:rsidRPr="000C10D2">
        <w:rPr>
          <w:rFonts w:ascii="Century Gothic" w:eastAsia="Times New Roman" w:hAnsi="Century Gothic" w:cs="Times New Roman"/>
          <w:sz w:val="24"/>
          <w:szCs w:val="24"/>
          <w:lang w:val="es-CO"/>
        </w:rPr>
        <w:t xml:space="preserve">, razón por la cual se </w:t>
      </w:r>
      <w:r w:rsidR="00AD3D54" w:rsidRPr="000C10D2">
        <w:rPr>
          <w:rFonts w:ascii="Century Gothic" w:eastAsia="Times New Roman" w:hAnsi="Century Gothic" w:cs="Times New Roman"/>
          <w:sz w:val="24"/>
          <w:szCs w:val="24"/>
          <w:lang w:val="es-CO"/>
        </w:rPr>
        <w:t>estable</w:t>
      </w:r>
      <w:r w:rsidR="00CB28E9" w:rsidRPr="000C10D2">
        <w:rPr>
          <w:rFonts w:ascii="Century Gothic" w:eastAsia="Times New Roman" w:hAnsi="Century Gothic" w:cs="Times New Roman"/>
          <w:sz w:val="24"/>
          <w:szCs w:val="24"/>
          <w:lang w:val="es-CO"/>
        </w:rPr>
        <w:t>ce</w:t>
      </w:r>
      <w:r w:rsidR="00AD3D54" w:rsidRPr="000C10D2">
        <w:rPr>
          <w:rFonts w:ascii="Century Gothic" w:eastAsia="Times New Roman" w:hAnsi="Century Gothic" w:cs="Times New Roman"/>
          <w:sz w:val="24"/>
          <w:szCs w:val="24"/>
          <w:lang w:val="es-CO"/>
        </w:rPr>
        <w:t xml:space="preserve"> la autorización al administrador del Frisco en calidad de secuestre, para decidir </w:t>
      </w:r>
      <w:r w:rsidR="00CB28E9" w:rsidRPr="000C10D2">
        <w:rPr>
          <w:rFonts w:ascii="Century Gothic" w:eastAsia="Times New Roman" w:hAnsi="Century Gothic" w:cs="Times New Roman"/>
          <w:sz w:val="24"/>
          <w:szCs w:val="24"/>
          <w:lang w:val="es-CO"/>
        </w:rPr>
        <w:t>sobre esta</w:t>
      </w:r>
      <w:r w:rsidR="00AD3D54" w:rsidRPr="000C10D2">
        <w:rPr>
          <w:rFonts w:ascii="Century Gothic" w:eastAsia="Times New Roman" w:hAnsi="Century Gothic" w:cs="Times New Roman"/>
          <w:sz w:val="24"/>
          <w:szCs w:val="24"/>
          <w:lang w:val="es-CO"/>
        </w:rPr>
        <w:t xml:space="preserve">. </w:t>
      </w:r>
    </w:p>
    <w:p w14:paraId="48A3EDAE" w14:textId="7749A4A1" w:rsidR="00EA7917" w:rsidRPr="000C10D2" w:rsidRDefault="00AD3D54" w:rsidP="00D03564">
      <w:pPr>
        <w:spacing w:before="240" w:after="240" w:line="360" w:lineRule="auto"/>
        <w:jc w:val="both"/>
        <w:rPr>
          <w:rFonts w:ascii="Century Gothic" w:eastAsia="Times New Roman" w:hAnsi="Century Gothic" w:cs="Times New Roman"/>
          <w:sz w:val="24"/>
          <w:szCs w:val="24"/>
          <w:lang w:val="es-CO"/>
        </w:rPr>
      </w:pPr>
      <w:r w:rsidRPr="0004480D">
        <w:rPr>
          <w:rFonts w:ascii="Century Gothic" w:eastAsia="Times New Roman" w:hAnsi="Century Gothic" w:cs="Times New Roman"/>
          <w:sz w:val="24"/>
          <w:szCs w:val="24"/>
          <w:lang w:val="es-CO"/>
        </w:rPr>
        <w:t xml:space="preserve">El artículo segundo </w:t>
      </w:r>
      <w:r w:rsidR="00592D6C" w:rsidRPr="0004480D">
        <w:rPr>
          <w:rFonts w:ascii="Century Gothic" w:eastAsia="Times New Roman" w:hAnsi="Century Gothic" w:cs="Times New Roman"/>
          <w:sz w:val="24"/>
          <w:szCs w:val="24"/>
          <w:lang w:val="es-CO"/>
        </w:rPr>
        <w:t>presenta una modificación artículo 9</w:t>
      </w:r>
      <w:r w:rsidR="001D5C4C" w:rsidRPr="0004480D">
        <w:rPr>
          <w:rFonts w:ascii="Century Gothic" w:eastAsia="Times New Roman" w:hAnsi="Century Gothic" w:cs="Times New Roman"/>
          <w:sz w:val="24"/>
          <w:szCs w:val="24"/>
          <w:lang w:val="es-CO"/>
        </w:rPr>
        <w:t>2</w:t>
      </w:r>
      <w:r w:rsidR="00592D6C" w:rsidRPr="0004480D">
        <w:rPr>
          <w:rFonts w:ascii="Century Gothic" w:eastAsia="Times New Roman" w:hAnsi="Century Gothic" w:cs="Times New Roman"/>
          <w:sz w:val="24"/>
          <w:szCs w:val="24"/>
          <w:lang w:val="es-CO"/>
        </w:rPr>
        <w:t xml:space="preserve"> del Código Extinción de Dominio. (Ley 1708 de 2014)</w:t>
      </w:r>
      <w:r w:rsidR="00460C51" w:rsidRPr="0004480D">
        <w:rPr>
          <w:rFonts w:ascii="Century Gothic" w:eastAsia="Times New Roman" w:hAnsi="Century Gothic" w:cs="Times New Roman"/>
          <w:sz w:val="24"/>
          <w:szCs w:val="24"/>
          <w:lang w:val="es-CO"/>
        </w:rPr>
        <w:t xml:space="preserve">, por medio del cual se </w:t>
      </w:r>
      <w:r w:rsidR="00D04EFC" w:rsidRPr="0004480D">
        <w:rPr>
          <w:rFonts w:ascii="Century Gothic" w:eastAsia="Times New Roman" w:hAnsi="Century Gothic" w:cs="Times New Roman"/>
          <w:sz w:val="24"/>
          <w:szCs w:val="24"/>
          <w:lang w:val="es-CO"/>
        </w:rPr>
        <w:t>establece</w:t>
      </w:r>
      <w:r w:rsidR="00710AD2" w:rsidRPr="0004480D">
        <w:rPr>
          <w:rFonts w:ascii="Century Gothic" w:eastAsia="Times New Roman" w:hAnsi="Century Gothic" w:cs="Times New Roman"/>
          <w:sz w:val="24"/>
          <w:szCs w:val="24"/>
          <w:lang w:val="es-CO"/>
        </w:rPr>
        <w:t xml:space="preserve">n los mecanismos para facilitar la administración de los bienes, agregándole el mecanismo de </w:t>
      </w:r>
      <w:r w:rsidR="00710AD2" w:rsidRPr="0004480D">
        <w:rPr>
          <w:rFonts w:ascii="Century Gothic" w:eastAsia="Times New Roman" w:hAnsi="Century Gothic" w:cs="Times New Roman"/>
          <w:i/>
          <w:sz w:val="24"/>
          <w:szCs w:val="24"/>
          <w:u w:val="single"/>
          <w:lang w:val="es-CO"/>
        </w:rPr>
        <w:t xml:space="preserve">Enajenación </w:t>
      </w:r>
      <w:r w:rsidR="00FD5E12" w:rsidRPr="0004480D">
        <w:rPr>
          <w:rFonts w:ascii="Century Gothic" w:eastAsia="Times New Roman" w:hAnsi="Century Gothic" w:cs="Times New Roman"/>
          <w:i/>
          <w:sz w:val="24"/>
          <w:szCs w:val="24"/>
          <w:u w:val="single"/>
          <w:lang w:val="es-CO"/>
        </w:rPr>
        <w:t xml:space="preserve">en favor de </w:t>
      </w:r>
      <w:r w:rsidR="00710AD2" w:rsidRPr="0004480D">
        <w:rPr>
          <w:rFonts w:ascii="Century Gothic" w:eastAsia="Times New Roman" w:hAnsi="Century Gothic" w:cs="Times New Roman"/>
          <w:i/>
          <w:sz w:val="24"/>
          <w:szCs w:val="24"/>
          <w:u w:val="single"/>
          <w:lang w:val="es-CO"/>
        </w:rPr>
        <w:t>entidades territoriales</w:t>
      </w:r>
      <w:r w:rsidR="00710AD2" w:rsidRPr="0004480D">
        <w:rPr>
          <w:rFonts w:ascii="Century Gothic" w:eastAsia="Times New Roman" w:hAnsi="Century Gothic" w:cs="Times New Roman"/>
          <w:i/>
          <w:sz w:val="24"/>
          <w:szCs w:val="24"/>
          <w:lang w:val="es-CO"/>
        </w:rPr>
        <w:t xml:space="preserve"> </w:t>
      </w:r>
      <w:r w:rsidR="00710AD2" w:rsidRPr="0004480D">
        <w:rPr>
          <w:rFonts w:ascii="Century Gothic" w:eastAsia="Times New Roman" w:hAnsi="Century Gothic" w:cs="Times New Roman"/>
          <w:sz w:val="24"/>
          <w:szCs w:val="24"/>
          <w:lang w:val="es-CO"/>
        </w:rPr>
        <w:t>y la adición al parágrafo de este articulo para aclarar el hecho de qu</w:t>
      </w:r>
      <w:r w:rsidR="00136FB1" w:rsidRPr="0004480D">
        <w:rPr>
          <w:rFonts w:ascii="Century Gothic" w:eastAsia="Times New Roman" w:hAnsi="Century Gothic" w:cs="Times New Roman"/>
          <w:sz w:val="24"/>
          <w:szCs w:val="24"/>
          <w:lang w:val="es-CO"/>
        </w:rPr>
        <w:t>é</w:t>
      </w:r>
      <w:r w:rsidR="00710AD2" w:rsidRPr="0004480D">
        <w:rPr>
          <w:rFonts w:ascii="Century Gothic" w:eastAsia="Times New Roman" w:hAnsi="Century Gothic" w:cs="Times New Roman"/>
          <w:sz w:val="24"/>
          <w:szCs w:val="24"/>
          <w:lang w:val="es-CO"/>
        </w:rPr>
        <w:t>, también en enajenación a favor de entidades territoriales se deberá contar con el avaluó comercial.</w:t>
      </w:r>
    </w:p>
    <w:p w14:paraId="526AA8BF" w14:textId="66883DFD" w:rsidR="00710AD2" w:rsidRPr="000C10D2" w:rsidRDefault="00EA7917"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El artículo tercero contendrá la</w:t>
      </w:r>
      <w:r w:rsidR="00710AD2" w:rsidRPr="000C10D2">
        <w:rPr>
          <w:rFonts w:ascii="Century Gothic" w:eastAsia="Times New Roman" w:hAnsi="Century Gothic" w:cs="Times New Roman"/>
          <w:sz w:val="24"/>
          <w:szCs w:val="24"/>
          <w:lang w:val="es-CO"/>
        </w:rPr>
        <w:t xml:space="preserve"> adición de un nuevo artículo a</w:t>
      </w:r>
      <w:r w:rsidRPr="000C10D2">
        <w:rPr>
          <w:rFonts w:ascii="Century Gothic" w:eastAsia="Times New Roman" w:hAnsi="Century Gothic" w:cs="Times New Roman"/>
          <w:sz w:val="24"/>
          <w:szCs w:val="24"/>
          <w:lang w:val="es-CO"/>
        </w:rPr>
        <w:t xml:space="preserve">l Código Extinción de Dominio. (Ley 1708 de 2014), por medio del cual se </w:t>
      </w:r>
      <w:r w:rsidR="00710AD2" w:rsidRPr="000C10D2">
        <w:rPr>
          <w:rFonts w:ascii="Century Gothic" w:eastAsia="Times New Roman" w:hAnsi="Century Gothic" w:cs="Times New Roman"/>
          <w:sz w:val="24"/>
          <w:szCs w:val="24"/>
          <w:lang w:val="es-CO"/>
        </w:rPr>
        <w:t xml:space="preserve">contempla la figura de enajenación a </w:t>
      </w:r>
      <w:r w:rsidR="00FD5E12" w:rsidRPr="000C10D2">
        <w:rPr>
          <w:rFonts w:ascii="Century Gothic" w:eastAsia="Times New Roman" w:hAnsi="Century Gothic" w:cs="Times New Roman"/>
          <w:sz w:val="24"/>
          <w:szCs w:val="24"/>
          <w:lang w:val="es-CO"/>
        </w:rPr>
        <w:t xml:space="preserve">favor de </w:t>
      </w:r>
      <w:r w:rsidR="00710AD2" w:rsidRPr="000C10D2">
        <w:rPr>
          <w:rFonts w:ascii="Century Gothic" w:eastAsia="Times New Roman" w:hAnsi="Century Gothic" w:cs="Times New Roman"/>
          <w:sz w:val="24"/>
          <w:szCs w:val="24"/>
          <w:lang w:val="es-CO"/>
        </w:rPr>
        <w:t>entidades territoriales</w:t>
      </w:r>
      <w:r w:rsidR="00A500A0" w:rsidRPr="000C10D2">
        <w:rPr>
          <w:rFonts w:ascii="Century Gothic" w:eastAsia="Times New Roman" w:hAnsi="Century Gothic" w:cs="Times New Roman"/>
          <w:sz w:val="24"/>
          <w:szCs w:val="24"/>
          <w:lang w:val="es-CO"/>
        </w:rPr>
        <w:t>.</w:t>
      </w:r>
    </w:p>
    <w:p w14:paraId="74BE8E6E" w14:textId="2C94392A" w:rsidR="00915CE4" w:rsidRPr="000C10D2" w:rsidRDefault="009837A0"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El artículo </w:t>
      </w:r>
      <w:r w:rsidR="00915CE4" w:rsidRPr="000C10D2">
        <w:rPr>
          <w:rFonts w:ascii="Century Gothic" w:eastAsia="Times New Roman" w:hAnsi="Century Gothic" w:cs="Times New Roman"/>
          <w:sz w:val="24"/>
          <w:szCs w:val="24"/>
          <w:lang w:val="es-CO"/>
        </w:rPr>
        <w:t xml:space="preserve">cuarto que determinará </w:t>
      </w:r>
      <w:r w:rsidR="00A500A0" w:rsidRPr="000C10D2">
        <w:rPr>
          <w:rFonts w:ascii="Century Gothic" w:eastAsia="Times New Roman" w:hAnsi="Century Gothic" w:cs="Times New Roman"/>
          <w:sz w:val="24"/>
          <w:szCs w:val="24"/>
          <w:lang w:val="es-CO"/>
        </w:rPr>
        <w:t xml:space="preserve">el tiempo y forma </w:t>
      </w:r>
      <w:r w:rsidR="00915CE4" w:rsidRPr="000C10D2">
        <w:rPr>
          <w:rFonts w:ascii="Century Gothic" w:eastAsia="Times New Roman" w:hAnsi="Century Gothic" w:cs="Times New Roman"/>
          <w:sz w:val="24"/>
          <w:szCs w:val="24"/>
          <w:lang w:val="es-CO"/>
        </w:rPr>
        <w:t xml:space="preserve">de reglamentación de las figuras modificadas y creadas a través del presente proyecto de ley, para que en </w:t>
      </w:r>
      <w:r w:rsidR="00915CE4" w:rsidRPr="000C10D2">
        <w:rPr>
          <w:rFonts w:ascii="Century Gothic" w:eastAsia="Times New Roman" w:hAnsi="Century Gothic" w:cs="Times New Roman"/>
          <w:sz w:val="24"/>
          <w:szCs w:val="24"/>
          <w:lang w:val="es-CO"/>
        </w:rPr>
        <w:lastRenderedPageBreak/>
        <w:t xml:space="preserve">el </w:t>
      </w:r>
      <w:r w:rsidR="00FD5E12" w:rsidRPr="000C10D2">
        <w:rPr>
          <w:rFonts w:ascii="Century Gothic" w:eastAsia="Times New Roman" w:hAnsi="Century Gothic" w:cs="Times New Roman"/>
          <w:sz w:val="24"/>
          <w:szCs w:val="24"/>
          <w:lang w:val="es-CO"/>
        </w:rPr>
        <w:t>término</w:t>
      </w:r>
      <w:r w:rsidR="00915CE4" w:rsidRPr="000C10D2">
        <w:rPr>
          <w:rFonts w:ascii="Century Gothic" w:eastAsia="Times New Roman" w:hAnsi="Century Gothic" w:cs="Times New Roman"/>
          <w:sz w:val="24"/>
          <w:szCs w:val="24"/>
          <w:lang w:val="es-CO"/>
        </w:rPr>
        <w:t xml:space="preserve"> de </w:t>
      </w:r>
      <w:r w:rsidR="00FD5E12" w:rsidRPr="000C10D2">
        <w:rPr>
          <w:rFonts w:ascii="Century Gothic" w:eastAsia="Times New Roman" w:hAnsi="Century Gothic" w:cs="Times New Roman"/>
          <w:sz w:val="24"/>
          <w:szCs w:val="24"/>
          <w:lang w:val="es-CO"/>
        </w:rPr>
        <w:t xml:space="preserve">seis (6) </w:t>
      </w:r>
      <w:r w:rsidR="00915CE4" w:rsidRPr="000C10D2">
        <w:rPr>
          <w:rFonts w:ascii="Century Gothic" w:eastAsia="Times New Roman" w:hAnsi="Century Gothic" w:cs="Times New Roman"/>
          <w:sz w:val="24"/>
          <w:szCs w:val="24"/>
          <w:lang w:val="es-CO"/>
        </w:rPr>
        <w:t xml:space="preserve">meses siguientes a la entrada en vigencia de la ley, el gobierno nacional expida el </w:t>
      </w:r>
      <w:r w:rsidR="0004480D">
        <w:rPr>
          <w:rFonts w:ascii="Century Gothic" w:eastAsia="Times New Roman" w:hAnsi="Century Gothic" w:cs="Times New Roman"/>
          <w:sz w:val="24"/>
          <w:szCs w:val="24"/>
          <w:lang w:val="es-CO"/>
        </w:rPr>
        <w:t xml:space="preserve">correspondiente </w:t>
      </w:r>
      <w:r w:rsidR="00915CE4" w:rsidRPr="000C10D2">
        <w:rPr>
          <w:rFonts w:ascii="Century Gothic" w:eastAsia="Times New Roman" w:hAnsi="Century Gothic" w:cs="Times New Roman"/>
          <w:sz w:val="24"/>
          <w:szCs w:val="24"/>
          <w:lang w:val="es-CO"/>
        </w:rPr>
        <w:t xml:space="preserve">decreto reglamentario. </w:t>
      </w:r>
    </w:p>
    <w:p w14:paraId="186A989D" w14:textId="78370F55" w:rsidR="009837A0" w:rsidRDefault="000424DD"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Y finalmente el artículo quinto que </w:t>
      </w:r>
      <w:r w:rsidR="005804C4" w:rsidRPr="000C10D2">
        <w:rPr>
          <w:rFonts w:ascii="Century Gothic" w:eastAsia="Times New Roman" w:hAnsi="Century Gothic" w:cs="Times New Roman"/>
          <w:sz w:val="24"/>
          <w:szCs w:val="24"/>
          <w:lang w:val="es-CO"/>
        </w:rPr>
        <w:t xml:space="preserve">contendrá la vigencia de la normativa propuesta. </w:t>
      </w:r>
    </w:p>
    <w:p w14:paraId="735418A0" w14:textId="77777777" w:rsidR="00A8205E" w:rsidRPr="000C10D2" w:rsidRDefault="00A8205E" w:rsidP="00D03564">
      <w:pPr>
        <w:spacing w:before="240" w:after="240" w:line="360" w:lineRule="auto"/>
        <w:jc w:val="both"/>
        <w:rPr>
          <w:rFonts w:ascii="Century Gothic" w:eastAsia="Times New Roman" w:hAnsi="Century Gothic" w:cs="Times New Roman"/>
          <w:sz w:val="24"/>
          <w:szCs w:val="24"/>
          <w:lang w:val="es-CO"/>
        </w:rPr>
      </w:pPr>
    </w:p>
    <w:p w14:paraId="359FF8B9" w14:textId="70C2A991" w:rsidR="00592D6C" w:rsidRDefault="000424DD" w:rsidP="00D03564">
      <w:pPr>
        <w:spacing w:before="240" w:after="240" w:line="360" w:lineRule="auto"/>
        <w:jc w:val="both"/>
        <w:rPr>
          <w:rFonts w:ascii="Century Gothic" w:eastAsia="Times New Roman" w:hAnsi="Century Gothic" w:cs="Times New Roman"/>
          <w:b/>
          <w:sz w:val="24"/>
          <w:szCs w:val="24"/>
        </w:rPr>
      </w:pPr>
      <w:r w:rsidRPr="000C10D2">
        <w:rPr>
          <w:rFonts w:ascii="Century Gothic" w:eastAsia="Times New Roman" w:hAnsi="Century Gothic" w:cs="Times New Roman"/>
          <w:b/>
          <w:sz w:val="24"/>
          <w:szCs w:val="24"/>
        </w:rPr>
        <w:t>III</w:t>
      </w:r>
      <w:r w:rsidR="00592D6C" w:rsidRPr="000C10D2">
        <w:rPr>
          <w:rFonts w:ascii="Century Gothic" w:eastAsia="Times New Roman" w:hAnsi="Century Gothic" w:cs="Times New Roman"/>
          <w:b/>
          <w:sz w:val="24"/>
          <w:szCs w:val="24"/>
        </w:rPr>
        <w:t xml:space="preserve">. </w:t>
      </w:r>
      <w:r w:rsidR="00A8205E">
        <w:rPr>
          <w:rFonts w:ascii="Century Gothic" w:eastAsia="Times New Roman" w:hAnsi="Century Gothic" w:cs="Times New Roman"/>
          <w:b/>
          <w:sz w:val="24"/>
          <w:szCs w:val="24"/>
        </w:rPr>
        <w:t>JUSTIFICACIÓN DEL PROYECTO DE LEY</w:t>
      </w:r>
      <w:r w:rsidRPr="000C10D2">
        <w:rPr>
          <w:rFonts w:ascii="Century Gothic" w:eastAsia="Times New Roman" w:hAnsi="Century Gothic" w:cs="Times New Roman"/>
          <w:b/>
          <w:sz w:val="24"/>
          <w:szCs w:val="24"/>
        </w:rPr>
        <w:t xml:space="preserve"> </w:t>
      </w:r>
    </w:p>
    <w:p w14:paraId="7B365020" w14:textId="112808CE" w:rsid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El presente proyecto de ley está enfocado no solo en continuar y apoyar los procesos de lucha contra </w:t>
      </w:r>
      <w:r w:rsidR="00BF0C03">
        <w:rPr>
          <w:rFonts w:ascii="Century Gothic" w:eastAsia="Times New Roman" w:hAnsi="Century Gothic" w:cs="Times New Roman"/>
          <w:bCs/>
          <w:sz w:val="24"/>
          <w:szCs w:val="24"/>
          <w:lang w:val="es-CO"/>
        </w:rPr>
        <w:t>las actividades ilícitas</w:t>
      </w:r>
      <w:r w:rsidRPr="00D03564">
        <w:rPr>
          <w:rFonts w:ascii="Century Gothic" w:eastAsia="Times New Roman" w:hAnsi="Century Gothic" w:cs="Times New Roman"/>
          <w:bCs/>
          <w:sz w:val="24"/>
          <w:szCs w:val="24"/>
          <w:lang w:val="es-CO"/>
        </w:rPr>
        <w:t xml:space="preserve"> en el país sino además en procura de mejorar las condiciones socioeconómicas de </w:t>
      </w:r>
      <w:r w:rsidR="00B31D3F">
        <w:rPr>
          <w:rFonts w:ascii="Century Gothic" w:eastAsia="Times New Roman" w:hAnsi="Century Gothic" w:cs="Times New Roman"/>
          <w:bCs/>
          <w:sz w:val="24"/>
          <w:szCs w:val="24"/>
          <w:lang w:val="es-CO"/>
        </w:rPr>
        <w:t>las entidades territoriales</w:t>
      </w:r>
      <w:r w:rsidRPr="00D03564">
        <w:rPr>
          <w:rFonts w:ascii="Century Gothic" w:eastAsia="Times New Roman" w:hAnsi="Century Gothic" w:cs="Times New Roman"/>
          <w:bCs/>
          <w:sz w:val="24"/>
          <w:szCs w:val="24"/>
          <w:lang w:val="es-CO"/>
        </w:rPr>
        <w:t xml:space="preserve"> que han resultado afectados en el país</w:t>
      </w:r>
      <w:r w:rsidR="00B31D3F">
        <w:rPr>
          <w:rFonts w:ascii="Century Gothic" w:eastAsia="Times New Roman" w:hAnsi="Century Gothic" w:cs="Times New Roman"/>
          <w:bCs/>
          <w:sz w:val="24"/>
          <w:szCs w:val="24"/>
          <w:lang w:val="es-CO"/>
        </w:rPr>
        <w:t>, por estas actividades</w:t>
      </w:r>
      <w:r w:rsidRPr="00D03564">
        <w:rPr>
          <w:rFonts w:ascii="Century Gothic" w:eastAsia="Times New Roman" w:hAnsi="Century Gothic" w:cs="Times New Roman"/>
          <w:bCs/>
          <w:sz w:val="24"/>
          <w:szCs w:val="24"/>
          <w:lang w:val="es-CO"/>
        </w:rPr>
        <w:t xml:space="preserve">. En tal perspectiva nos hemos propuesto dotar de herramientas a </w:t>
      </w:r>
      <w:r w:rsidR="00B31D3F">
        <w:rPr>
          <w:rFonts w:ascii="Century Gothic" w:eastAsia="Times New Roman" w:hAnsi="Century Gothic" w:cs="Times New Roman"/>
          <w:bCs/>
          <w:sz w:val="24"/>
          <w:szCs w:val="24"/>
          <w:lang w:val="es-CO"/>
        </w:rPr>
        <w:t>las entidades territoriales</w:t>
      </w:r>
      <w:r w:rsidR="0004480D">
        <w:rPr>
          <w:rFonts w:ascii="Century Gothic" w:eastAsia="Times New Roman" w:hAnsi="Century Gothic" w:cs="Times New Roman"/>
          <w:bCs/>
          <w:sz w:val="24"/>
          <w:szCs w:val="24"/>
          <w:lang w:val="es-CO"/>
        </w:rPr>
        <w:t xml:space="preserve"> </w:t>
      </w:r>
      <w:r w:rsidRPr="00D03564">
        <w:rPr>
          <w:rFonts w:ascii="Century Gothic" w:eastAsia="Times New Roman" w:hAnsi="Century Gothic" w:cs="Times New Roman"/>
          <w:bCs/>
          <w:sz w:val="24"/>
          <w:szCs w:val="24"/>
          <w:lang w:val="es-CO"/>
        </w:rPr>
        <w:t>de</w:t>
      </w:r>
      <w:r w:rsidR="00B31D3F">
        <w:rPr>
          <w:rFonts w:ascii="Century Gothic" w:eastAsia="Times New Roman" w:hAnsi="Century Gothic" w:cs="Times New Roman"/>
          <w:bCs/>
          <w:sz w:val="24"/>
          <w:szCs w:val="24"/>
          <w:lang w:val="es-CO"/>
        </w:rPr>
        <w:t>l</w:t>
      </w:r>
      <w:r w:rsidRPr="00D03564">
        <w:rPr>
          <w:rFonts w:ascii="Century Gothic" w:eastAsia="Times New Roman" w:hAnsi="Century Gothic" w:cs="Times New Roman"/>
          <w:bCs/>
          <w:sz w:val="24"/>
          <w:szCs w:val="24"/>
          <w:lang w:val="es-CO"/>
        </w:rPr>
        <w:t xml:space="preserve"> país para generar impacto social a partir del aprovechamiento de los bienes y recursos provenientes de actividades ilícitas, así como a las entidades e instituciones encargadas de la administración de los bienes objeto de extinción de dominio. </w:t>
      </w:r>
    </w:p>
    <w:p w14:paraId="02E59A69" w14:textId="25CB1C46" w:rsidR="00D03564" w:rsidRDefault="00D03564" w:rsidP="00D03564">
      <w:pPr>
        <w:spacing w:before="240" w:after="240" w:line="360" w:lineRule="auto"/>
        <w:jc w:val="both"/>
        <w:rPr>
          <w:rFonts w:ascii="Century Gothic" w:eastAsia="Times New Roman" w:hAnsi="Century Gothic" w:cs="Times New Roman"/>
          <w:bCs/>
          <w:sz w:val="24"/>
          <w:szCs w:val="24"/>
          <w:lang w:val="es-CO"/>
        </w:rPr>
      </w:pPr>
      <w:r>
        <w:rPr>
          <w:rFonts w:ascii="Century Gothic" w:eastAsia="Times New Roman" w:hAnsi="Century Gothic" w:cs="Times New Roman"/>
          <w:bCs/>
          <w:sz w:val="24"/>
          <w:szCs w:val="24"/>
          <w:lang w:val="es-CO"/>
        </w:rPr>
        <w:t xml:space="preserve">Razón por la cual el eje de la discusión se centra en tres aspectos relevantes y que a saber son: a) </w:t>
      </w:r>
      <w:r w:rsidRPr="00D03564">
        <w:rPr>
          <w:rFonts w:ascii="Century Gothic" w:eastAsia="Times New Roman" w:hAnsi="Century Gothic" w:cs="Times New Roman"/>
          <w:bCs/>
          <w:sz w:val="24"/>
          <w:szCs w:val="24"/>
          <w:lang w:val="es-CO"/>
        </w:rPr>
        <w:t>De la situación del conflicto armado y narcotráfico en Colombia y los bienes de extinción de dominio</w:t>
      </w:r>
      <w:r>
        <w:rPr>
          <w:rFonts w:ascii="Century Gothic" w:eastAsia="Times New Roman" w:hAnsi="Century Gothic" w:cs="Times New Roman"/>
          <w:bCs/>
          <w:sz w:val="24"/>
          <w:szCs w:val="24"/>
          <w:lang w:val="es-CO"/>
        </w:rPr>
        <w:t xml:space="preserve">. b) </w:t>
      </w:r>
      <w:r w:rsidRPr="00D03564">
        <w:rPr>
          <w:rFonts w:ascii="Century Gothic" w:eastAsia="Times New Roman" w:hAnsi="Century Gothic" w:cs="Times New Roman"/>
          <w:bCs/>
          <w:sz w:val="24"/>
          <w:szCs w:val="24"/>
          <w:lang w:val="es-CO"/>
        </w:rPr>
        <w:t>De los usos que pueden tener los bienes en proceso de extinción de dominio</w:t>
      </w:r>
      <w:r>
        <w:rPr>
          <w:rFonts w:ascii="Century Gothic" w:eastAsia="Times New Roman" w:hAnsi="Century Gothic" w:cs="Times New Roman"/>
          <w:bCs/>
          <w:sz w:val="24"/>
          <w:szCs w:val="24"/>
          <w:lang w:val="es-CO"/>
        </w:rPr>
        <w:t xml:space="preserve">. y c) </w:t>
      </w:r>
      <w:r w:rsidRPr="00D03564">
        <w:rPr>
          <w:rFonts w:ascii="Century Gothic" w:eastAsia="Times New Roman" w:hAnsi="Century Gothic" w:cs="Times New Roman"/>
          <w:bCs/>
          <w:sz w:val="24"/>
          <w:szCs w:val="24"/>
          <w:lang w:val="es-CO"/>
        </w:rPr>
        <w:t>De la propuesta de</w:t>
      </w:r>
      <w:r w:rsidR="005A298F">
        <w:rPr>
          <w:rFonts w:ascii="Century Gothic" w:eastAsia="Times New Roman" w:hAnsi="Century Gothic" w:cs="Times New Roman"/>
          <w:bCs/>
          <w:sz w:val="24"/>
          <w:szCs w:val="24"/>
          <w:lang w:val="es-CO"/>
        </w:rPr>
        <w:t>l Proyecto de Ley</w:t>
      </w:r>
      <w:r>
        <w:rPr>
          <w:rFonts w:ascii="Century Gothic" w:eastAsia="Times New Roman" w:hAnsi="Century Gothic" w:cs="Times New Roman"/>
          <w:bCs/>
          <w:sz w:val="24"/>
          <w:szCs w:val="24"/>
          <w:lang w:val="es-CO"/>
        </w:rPr>
        <w:t>.</w:t>
      </w:r>
    </w:p>
    <w:p w14:paraId="6DACCBA4" w14:textId="5476371C" w:rsidR="00D03564" w:rsidRPr="00D03564" w:rsidRDefault="00D03564" w:rsidP="00D03564">
      <w:pPr>
        <w:spacing w:before="240" w:after="240" w:line="360" w:lineRule="auto"/>
        <w:jc w:val="both"/>
        <w:rPr>
          <w:rFonts w:ascii="Century Gothic" w:eastAsia="Times New Roman" w:hAnsi="Century Gothic" w:cs="Times New Roman"/>
          <w:b/>
          <w:sz w:val="24"/>
          <w:szCs w:val="24"/>
          <w:lang w:val="es-CO"/>
        </w:rPr>
      </w:pPr>
      <w:r w:rsidRPr="00D03564">
        <w:rPr>
          <w:rFonts w:ascii="Century Gothic" w:eastAsia="Times New Roman" w:hAnsi="Century Gothic" w:cs="Times New Roman"/>
          <w:b/>
          <w:sz w:val="24"/>
          <w:szCs w:val="24"/>
          <w:lang w:val="es-CO"/>
        </w:rPr>
        <w:t xml:space="preserve">De la situación del conflicto </w:t>
      </w:r>
      <w:r>
        <w:rPr>
          <w:rFonts w:ascii="Century Gothic" w:eastAsia="Times New Roman" w:hAnsi="Century Gothic" w:cs="Times New Roman"/>
          <w:b/>
          <w:sz w:val="24"/>
          <w:szCs w:val="24"/>
          <w:lang w:val="es-CO"/>
        </w:rPr>
        <w:t xml:space="preserve">armado </w:t>
      </w:r>
      <w:r w:rsidRPr="00D03564">
        <w:rPr>
          <w:rFonts w:ascii="Century Gothic" w:eastAsia="Times New Roman" w:hAnsi="Century Gothic" w:cs="Times New Roman"/>
          <w:b/>
          <w:sz w:val="24"/>
          <w:szCs w:val="24"/>
          <w:lang w:val="es-CO"/>
        </w:rPr>
        <w:t xml:space="preserve">y narcotráfico en Colombia y los bienes de extinción de dominio </w:t>
      </w:r>
    </w:p>
    <w:p w14:paraId="190D41B3" w14:textId="464AE61E"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lastRenderedPageBreak/>
        <w:t xml:space="preserve">Las acciones contra las actividades ilícitas y </w:t>
      </w:r>
      <w:r w:rsidR="0043221D">
        <w:rPr>
          <w:rFonts w:ascii="Century Gothic" w:eastAsia="Times New Roman" w:hAnsi="Century Gothic" w:cs="Times New Roman"/>
          <w:bCs/>
          <w:sz w:val="24"/>
          <w:szCs w:val="24"/>
          <w:lang w:val="es-CO"/>
        </w:rPr>
        <w:t xml:space="preserve">en </w:t>
      </w:r>
      <w:r w:rsidRPr="00D03564">
        <w:rPr>
          <w:rFonts w:ascii="Century Gothic" w:eastAsia="Times New Roman" w:hAnsi="Century Gothic" w:cs="Times New Roman"/>
          <w:bCs/>
          <w:sz w:val="24"/>
          <w:szCs w:val="24"/>
          <w:lang w:val="es-CO"/>
        </w:rPr>
        <w:t xml:space="preserve">especial contra el narcotráfico se acentuaron en la década de los 70 del siglo pasado. En tal escenario de agudización del conflicto armado y el afianzamiento de los denominados carteles de la droga en el país, la economía en Colombia se vio advocada a la influencia de los dineros provenientes de actividades ilícitas sino por demás a la adquisición de </w:t>
      </w:r>
      <w:r w:rsidR="00BA299D">
        <w:rPr>
          <w:rFonts w:ascii="Century Gothic" w:eastAsia="Times New Roman" w:hAnsi="Century Gothic" w:cs="Times New Roman"/>
          <w:bCs/>
          <w:sz w:val="24"/>
          <w:szCs w:val="24"/>
          <w:lang w:val="es-CO"/>
        </w:rPr>
        <w:t xml:space="preserve">bienes </w:t>
      </w:r>
      <w:r w:rsidRPr="00D03564">
        <w:rPr>
          <w:rFonts w:ascii="Century Gothic" w:eastAsia="Times New Roman" w:hAnsi="Century Gothic" w:cs="Times New Roman"/>
          <w:bCs/>
          <w:sz w:val="24"/>
          <w:szCs w:val="24"/>
          <w:lang w:val="es-CO"/>
        </w:rPr>
        <w:t xml:space="preserve">con estos dineros. </w:t>
      </w:r>
    </w:p>
    <w:p w14:paraId="2C9E31E4" w14:textId="77777777"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La defensoría del Pueblo (2018) refiere como los dineros de las economías ilegales y en particular de los dineros provenientes del narcotráfico han sido fundamentales en el fortalecimiento de no solo de actores armados e inmersos en las dinámicas del conflicto armado en Colombia sino además de otros actores armados organizados al margen de la ley y en consecuencia esto ha acrecentado los impactos humanitarios en las poblaciones del país en tanto ha establecido el marco de financiación de actividades como: homicidios selectivos, masacres, desapariciones  forzadas, amenazas y asesinatos de  líderes, desplazamientos forzados de población, delitos  sexuales y otras vulneraciones.</w:t>
      </w:r>
    </w:p>
    <w:p w14:paraId="4BECC4B4" w14:textId="1C487721"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De acuerdo con el Observatorio de Memoria y Conflicto (OMC), entre 1958 y 2018 se han registrado 46, 409 personas afectadas por acciones bélicas en la marco del conflicto armado. Siendo Antioquia el departamento más afectado con 8.724. Asimismo, según datos de la </w:t>
      </w:r>
      <w:r w:rsidR="00B31D3F">
        <w:rPr>
          <w:rFonts w:ascii="Century Gothic" w:eastAsia="Times New Roman" w:hAnsi="Century Gothic" w:cs="Times New Roman"/>
          <w:bCs/>
          <w:sz w:val="24"/>
          <w:szCs w:val="24"/>
          <w:lang w:val="es-CO"/>
        </w:rPr>
        <w:t>U</w:t>
      </w:r>
      <w:r w:rsidRPr="00D03564">
        <w:rPr>
          <w:rFonts w:ascii="Century Gothic" w:eastAsia="Times New Roman" w:hAnsi="Century Gothic" w:cs="Times New Roman"/>
          <w:bCs/>
          <w:sz w:val="24"/>
          <w:szCs w:val="24"/>
          <w:lang w:val="es-CO"/>
        </w:rPr>
        <w:t xml:space="preserve">nidad </w:t>
      </w:r>
      <w:r w:rsidR="00B31D3F">
        <w:rPr>
          <w:rFonts w:ascii="Century Gothic" w:eastAsia="Times New Roman" w:hAnsi="Century Gothic" w:cs="Times New Roman"/>
          <w:bCs/>
          <w:sz w:val="24"/>
          <w:szCs w:val="24"/>
          <w:lang w:val="es-CO"/>
        </w:rPr>
        <w:t>p</w:t>
      </w:r>
      <w:r w:rsidRPr="00D03564">
        <w:rPr>
          <w:rFonts w:ascii="Century Gothic" w:eastAsia="Times New Roman" w:hAnsi="Century Gothic" w:cs="Times New Roman"/>
          <w:bCs/>
          <w:sz w:val="24"/>
          <w:szCs w:val="24"/>
          <w:lang w:val="es-CO"/>
        </w:rPr>
        <w:t xml:space="preserve">ara </w:t>
      </w:r>
      <w:r w:rsidR="00B31D3F">
        <w:rPr>
          <w:rFonts w:ascii="Century Gothic" w:eastAsia="Times New Roman" w:hAnsi="Century Gothic" w:cs="Times New Roman"/>
          <w:bCs/>
          <w:sz w:val="24"/>
          <w:szCs w:val="24"/>
          <w:lang w:val="es-CO"/>
        </w:rPr>
        <w:t>l</w:t>
      </w:r>
      <w:r w:rsidRPr="00D03564">
        <w:rPr>
          <w:rFonts w:ascii="Century Gothic" w:eastAsia="Times New Roman" w:hAnsi="Century Gothic" w:cs="Times New Roman"/>
          <w:bCs/>
          <w:sz w:val="24"/>
          <w:szCs w:val="24"/>
          <w:lang w:val="es-CO"/>
        </w:rPr>
        <w:t xml:space="preserve">a Atención y Reparación Integral a las Victimas – UARIV- en la actualidad existen al menos 8.944.137 </w:t>
      </w:r>
      <w:r w:rsidR="001107B1" w:rsidRPr="00D03564">
        <w:rPr>
          <w:rFonts w:ascii="Century Gothic" w:eastAsia="Times New Roman" w:hAnsi="Century Gothic" w:cs="Times New Roman"/>
          <w:bCs/>
          <w:sz w:val="24"/>
          <w:szCs w:val="24"/>
          <w:lang w:val="es-CO"/>
        </w:rPr>
        <w:t>víctimas</w:t>
      </w:r>
      <w:r w:rsidRPr="00D03564">
        <w:rPr>
          <w:rFonts w:ascii="Century Gothic" w:eastAsia="Times New Roman" w:hAnsi="Century Gothic" w:cs="Times New Roman"/>
          <w:bCs/>
          <w:sz w:val="24"/>
          <w:szCs w:val="24"/>
          <w:lang w:val="es-CO"/>
        </w:rPr>
        <w:t xml:space="preserve"> en el Registro Único de Victimas RUV. </w:t>
      </w:r>
    </w:p>
    <w:p w14:paraId="5543152A" w14:textId="77777777"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 De igual manera las victimas por cuenta del narcotráfico de acuerdo con un </w:t>
      </w:r>
      <w:r w:rsidRPr="00D03564">
        <w:rPr>
          <w:rFonts w:ascii="Century Gothic" w:eastAsia="Times New Roman" w:hAnsi="Century Gothic" w:cs="Times New Roman"/>
          <w:bCs/>
          <w:sz w:val="24"/>
          <w:szCs w:val="24"/>
          <w:lang w:val="es-CO"/>
        </w:rPr>
        <w:lastRenderedPageBreak/>
        <w:t>informe realizado por la revista semana, refieren las siguientes cifras: 623 atentados con al menos 402 civiles muertos y 1.710 lesionados, 550 policías asesinados, 700 heridos en el atentado del DAS; asimismo se estima que al menos 15.000 personas murieron en el marco de la guerra contra el narcotráfico.</w:t>
      </w:r>
    </w:p>
    <w:p w14:paraId="098FDC0E" w14:textId="7E7A34B8"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En tal perspectiva alrededor de una quinta parte de la población en Colombia</w:t>
      </w:r>
      <w:r w:rsidR="00B31D3F">
        <w:rPr>
          <w:rFonts w:ascii="Century Gothic" w:eastAsia="Times New Roman" w:hAnsi="Century Gothic" w:cs="Times New Roman"/>
          <w:bCs/>
          <w:sz w:val="24"/>
          <w:szCs w:val="24"/>
          <w:lang w:val="es-CO"/>
        </w:rPr>
        <w:t>na</w:t>
      </w:r>
      <w:r w:rsidRPr="00D03564">
        <w:rPr>
          <w:rFonts w:ascii="Century Gothic" w:eastAsia="Times New Roman" w:hAnsi="Century Gothic" w:cs="Times New Roman"/>
          <w:bCs/>
          <w:sz w:val="24"/>
          <w:szCs w:val="24"/>
          <w:lang w:val="es-CO"/>
        </w:rPr>
        <w:t xml:space="preserve"> ha sufrido algún hecho en el marco del conflicto armado y/o del narcotráfico, planteando un escenario en el que cada habitante del país ha sido víctima, o es cercano a alguien que es víctima o alguien de su círculo cercano conoce a alguien que ha sido </w:t>
      </w:r>
      <w:r w:rsidR="001107B1" w:rsidRPr="00D03564">
        <w:rPr>
          <w:rFonts w:ascii="Century Gothic" w:eastAsia="Times New Roman" w:hAnsi="Century Gothic" w:cs="Times New Roman"/>
          <w:bCs/>
          <w:sz w:val="24"/>
          <w:szCs w:val="24"/>
          <w:lang w:val="es-CO"/>
        </w:rPr>
        <w:t>víctima</w:t>
      </w:r>
      <w:r w:rsidRPr="00D03564">
        <w:rPr>
          <w:rFonts w:ascii="Century Gothic" w:eastAsia="Times New Roman" w:hAnsi="Century Gothic" w:cs="Times New Roman"/>
          <w:bCs/>
          <w:sz w:val="24"/>
          <w:szCs w:val="24"/>
          <w:lang w:val="es-CO"/>
        </w:rPr>
        <w:t xml:space="preserve"> de alguna forma en el </w:t>
      </w:r>
      <w:r w:rsidR="001107B1" w:rsidRPr="00D03564">
        <w:rPr>
          <w:rFonts w:ascii="Century Gothic" w:eastAsia="Times New Roman" w:hAnsi="Century Gothic" w:cs="Times New Roman"/>
          <w:bCs/>
          <w:sz w:val="24"/>
          <w:szCs w:val="24"/>
          <w:lang w:val="es-CO"/>
        </w:rPr>
        <w:t>círculo</w:t>
      </w:r>
      <w:r w:rsidRPr="00D03564">
        <w:rPr>
          <w:rFonts w:ascii="Century Gothic" w:eastAsia="Times New Roman" w:hAnsi="Century Gothic" w:cs="Times New Roman"/>
          <w:bCs/>
          <w:sz w:val="24"/>
          <w:szCs w:val="24"/>
          <w:lang w:val="es-CO"/>
        </w:rPr>
        <w:t xml:space="preserve"> de violencia del conflicto armado y el narcotráfico. </w:t>
      </w:r>
    </w:p>
    <w:p w14:paraId="6EF9B8DC" w14:textId="16778D7A"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los años 90 el fenómeno del narcotráfico tuvo su momento de mayor expansión a través de la violencia, incluso sometiendo a otras actividades ilícitas como el contrabando principalmente en las regiones limítrofes </w:t>
      </w:r>
      <w:r w:rsidR="00B31D3F">
        <w:rPr>
          <w:rFonts w:ascii="Century Gothic" w:eastAsia="Times New Roman" w:hAnsi="Century Gothic" w:cs="Times New Roman"/>
          <w:bCs/>
          <w:sz w:val="24"/>
          <w:szCs w:val="24"/>
          <w:lang w:val="es-CO"/>
        </w:rPr>
        <w:t xml:space="preserve">del país, </w:t>
      </w:r>
      <w:r w:rsidRPr="00D03564">
        <w:rPr>
          <w:rFonts w:ascii="Century Gothic" w:eastAsia="Times New Roman" w:hAnsi="Century Gothic" w:cs="Times New Roman"/>
          <w:bCs/>
          <w:sz w:val="24"/>
          <w:szCs w:val="24"/>
          <w:lang w:val="es-CO"/>
        </w:rPr>
        <w:t>como Cúcuta el Catatumbo y Nariño (Defensoría del Pueblo, 2018). De igual manera el fortalecimiento de las estructuras armadas ilegales al servicio de los carteles principalmente de Cali y Medellín como el Movimiento Muerte a Secuestradores (MAS) ocurrió en el marco del fortalecimiento financiero del negocio del narcotráfico. Situación que además desemboco en el acaparamiento de tierras por algunos sectores generando a su paso deslazamiento forzado</w:t>
      </w:r>
      <w:r w:rsidR="00041B9A">
        <w:rPr>
          <w:rFonts w:ascii="Century Gothic" w:eastAsia="Times New Roman" w:hAnsi="Century Gothic" w:cs="Times New Roman"/>
          <w:bCs/>
          <w:sz w:val="24"/>
          <w:szCs w:val="24"/>
          <w:lang w:val="es-CO"/>
        </w:rPr>
        <w:t>,</w:t>
      </w:r>
      <w:r w:rsidRPr="00D03564">
        <w:rPr>
          <w:rFonts w:ascii="Century Gothic" w:eastAsia="Times New Roman" w:hAnsi="Century Gothic" w:cs="Times New Roman"/>
          <w:bCs/>
          <w:sz w:val="24"/>
          <w:szCs w:val="24"/>
          <w:lang w:val="es-CO"/>
        </w:rPr>
        <w:t xml:space="preserve"> despojo y abandonamiento de tierras</w:t>
      </w:r>
      <w:r w:rsidR="00EF475B">
        <w:rPr>
          <w:rFonts w:ascii="Century Gothic" w:eastAsia="Times New Roman" w:hAnsi="Century Gothic" w:cs="Times New Roman"/>
          <w:bCs/>
          <w:sz w:val="24"/>
          <w:szCs w:val="24"/>
          <w:lang w:val="es-CO"/>
        </w:rPr>
        <w:t xml:space="preserve"> en distintas regiones del país</w:t>
      </w:r>
      <w:r w:rsidRPr="00D03564">
        <w:rPr>
          <w:rFonts w:ascii="Century Gothic" w:eastAsia="Times New Roman" w:hAnsi="Century Gothic" w:cs="Times New Roman"/>
          <w:bCs/>
          <w:sz w:val="24"/>
          <w:szCs w:val="24"/>
          <w:lang w:val="es-CO"/>
        </w:rPr>
        <w:t xml:space="preserve">. </w:t>
      </w:r>
    </w:p>
    <w:p w14:paraId="7D35BD77" w14:textId="230EEB68"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En suma, estas actividades ilícitas han provisto de los recursos necesarios no s</w:t>
      </w:r>
      <w:r w:rsidR="00041B9A">
        <w:rPr>
          <w:rFonts w:ascii="Century Gothic" w:eastAsia="Times New Roman" w:hAnsi="Century Gothic" w:cs="Times New Roman"/>
          <w:bCs/>
          <w:sz w:val="24"/>
          <w:szCs w:val="24"/>
          <w:lang w:val="es-CO"/>
        </w:rPr>
        <w:t>ó</w:t>
      </w:r>
      <w:r w:rsidRPr="00D03564">
        <w:rPr>
          <w:rFonts w:ascii="Century Gothic" w:eastAsia="Times New Roman" w:hAnsi="Century Gothic" w:cs="Times New Roman"/>
          <w:bCs/>
          <w:sz w:val="24"/>
          <w:szCs w:val="24"/>
          <w:lang w:val="es-CO"/>
        </w:rPr>
        <w:t xml:space="preserve">lo para su funcionamiento y expansión sino además para la adquisición </w:t>
      </w:r>
      <w:r w:rsidRPr="00D03564">
        <w:rPr>
          <w:rFonts w:ascii="Century Gothic" w:eastAsia="Times New Roman" w:hAnsi="Century Gothic" w:cs="Times New Roman"/>
          <w:bCs/>
          <w:sz w:val="24"/>
          <w:szCs w:val="24"/>
          <w:lang w:val="es-CO"/>
        </w:rPr>
        <w:lastRenderedPageBreak/>
        <w:t xml:space="preserve">principalmente de bienes inmuebles </w:t>
      </w:r>
      <w:r w:rsidR="00EF475B">
        <w:rPr>
          <w:rFonts w:ascii="Century Gothic" w:eastAsia="Times New Roman" w:hAnsi="Century Gothic" w:cs="Times New Roman"/>
          <w:bCs/>
          <w:sz w:val="24"/>
          <w:szCs w:val="24"/>
          <w:lang w:val="es-CO"/>
        </w:rPr>
        <w:t>a lo largo y ancho del territorio nacional</w:t>
      </w:r>
      <w:r w:rsidRPr="00D03564">
        <w:rPr>
          <w:rFonts w:ascii="Century Gothic" w:eastAsia="Times New Roman" w:hAnsi="Century Gothic" w:cs="Times New Roman"/>
          <w:bCs/>
          <w:sz w:val="24"/>
          <w:szCs w:val="24"/>
          <w:lang w:val="es-CO"/>
        </w:rPr>
        <w:t xml:space="preserve">. </w:t>
      </w:r>
    </w:p>
    <w:p w14:paraId="11B26DA7" w14:textId="3A100DDC"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Lo señalado, pretende dimensiona</w:t>
      </w:r>
      <w:r w:rsidR="00EF475B">
        <w:rPr>
          <w:rFonts w:ascii="Century Gothic" w:eastAsia="Times New Roman" w:hAnsi="Century Gothic" w:cs="Times New Roman"/>
          <w:bCs/>
          <w:sz w:val="24"/>
          <w:szCs w:val="24"/>
          <w:lang w:val="es-CO"/>
        </w:rPr>
        <w:t>r la manera en cómo los dineros provenientes de actividades ilícitas permitieron no s</w:t>
      </w:r>
      <w:r w:rsidR="00041B9A">
        <w:rPr>
          <w:rFonts w:ascii="Century Gothic" w:eastAsia="Times New Roman" w:hAnsi="Century Gothic" w:cs="Times New Roman"/>
          <w:bCs/>
          <w:sz w:val="24"/>
          <w:szCs w:val="24"/>
          <w:lang w:val="es-CO"/>
        </w:rPr>
        <w:t>ó</w:t>
      </w:r>
      <w:r w:rsidR="00EF475B">
        <w:rPr>
          <w:rFonts w:ascii="Century Gothic" w:eastAsia="Times New Roman" w:hAnsi="Century Gothic" w:cs="Times New Roman"/>
          <w:bCs/>
          <w:sz w:val="24"/>
          <w:szCs w:val="24"/>
          <w:lang w:val="es-CO"/>
        </w:rPr>
        <w:t xml:space="preserve">lo el fortalecimiento de diferentes estructuras criminales sino además consintieron la adquisición y acumulación </w:t>
      </w:r>
      <w:r w:rsidR="0004480D">
        <w:rPr>
          <w:rFonts w:ascii="Century Gothic" w:eastAsia="Times New Roman" w:hAnsi="Century Gothic" w:cs="Times New Roman"/>
          <w:bCs/>
          <w:sz w:val="24"/>
          <w:szCs w:val="24"/>
          <w:lang w:val="es-CO"/>
        </w:rPr>
        <w:t>de bienes</w:t>
      </w:r>
      <w:r w:rsidRPr="00D03564">
        <w:rPr>
          <w:rFonts w:ascii="Century Gothic" w:eastAsia="Times New Roman" w:hAnsi="Century Gothic" w:cs="Times New Roman"/>
          <w:bCs/>
          <w:sz w:val="24"/>
          <w:szCs w:val="24"/>
          <w:lang w:val="es-CO"/>
        </w:rPr>
        <w:t xml:space="preserve">. Es importante recalar en que </w:t>
      </w:r>
      <w:r w:rsidR="00041B9A">
        <w:rPr>
          <w:rFonts w:ascii="Century Gothic" w:eastAsia="Times New Roman" w:hAnsi="Century Gothic" w:cs="Times New Roman"/>
          <w:bCs/>
          <w:sz w:val="24"/>
          <w:szCs w:val="24"/>
          <w:lang w:val="es-CO"/>
        </w:rPr>
        <w:t>este proyecto de ley</w:t>
      </w:r>
      <w:r w:rsidRPr="00D03564">
        <w:rPr>
          <w:rFonts w:ascii="Century Gothic" w:eastAsia="Times New Roman" w:hAnsi="Century Gothic" w:cs="Times New Roman"/>
          <w:bCs/>
          <w:sz w:val="24"/>
          <w:szCs w:val="24"/>
          <w:lang w:val="es-CO"/>
        </w:rPr>
        <w:t xml:space="preserve"> no está orientad</w:t>
      </w:r>
      <w:r w:rsidR="00041B9A">
        <w:rPr>
          <w:rFonts w:ascii="Century Gothic" w:eastAsia="Times New Roman" w:hAnsi="Century Gothic" w:cs="Times New Roman"/>
          <w:bCs/>
          <w:sz w:val="24"/>
          <w:szCs w:val="24"/>
          <w:lang w:val="es-CO"/>
        </w:rPr>
        <w:t>o</w:t>
      </w:r>
      <w:r w:rsidRPr="00D03564">
        <w:rPr>
          <w:rFonts w:ascii="Century Gothic" w:eastAsia="Times New Roman" w:hAnsi="Century Gothic" w:cs="Times New Roman"/>
          <w:bCs/>
          <w:sz w:val="24"/>
          <w:szCs w:val="24"/>
          <w:lang w:val="es-CO"/>
        </w:rPr>
        <w:t xml:space="preserve"> a reparar a los millones de víctimas de flagelos ocurridos producto de actividades ilícitas; pero pretende establecer una oportunidad </w:t>
      </w:r>
      <w:r w:rsidR="0004480D" w:rsidRPr="00D03564">
        <w:rPr>
          <w:rFonts w:ascii="Century Gothic" w:eastAsia="Times New Roman" w:hAnsi="Century Gothic" w:cs="Times New Roman"/>
          <w:bCs/>
          <w:sz w:val="24"/>
          <w:szCs w:val="24"/>
          <w:lang w:val="es-CO"/>
        </w:rPr>
        <w:t>para fortalecer</w:t>
      </w:r>
      <w:r w:rsidRPr="00D03564">
        <w:rPr>
          <w:rFonts w:ascii="Century Gothic" w:eastAsia="Times New Roman" w:hAnsi="Century Gothic" w:cs="Times New Roman"/>
          <w:bCs/>
          <w:sz w:val="24"/>
          <w:szCs w:val="24"/>
          <w:lang w:val="es-CO"/>
        </w:rPr>
        <w:t xml:space="preserve"> </w:t>
      </w:r>
      <w:r w:rsidR="00EF475B">
        <w:rPr>
          <w:rFonts w:ascii="Century Gothic" w:eastAsia="Times New Roman" w:hAnsi="Century Gothic" w:cs="Times New Roman"/>
          <w:bCs/>
          <w:sz w:val="24"/>
          <w:szCs w:val="24"/>
          <w:lang w:val="es-CO"/>
        </w:rPr>
        <w:t xml:space="preserve">la </w:t>
      </w:r>
      <w:r w:rsidR="00EF475B" w:rsidRPr="00D03564">
        <w:rPr>
          <w:rFonts w:ascii="Century Gothic" w:eastAsia="Times New Roman" w:hAnsi="Century Gothic" w:cs="Times New Roman"/>
          <w:bCs/>
          <w:sz w:val="24"/>
          <w:szCs w:val="24"/>
          <w:lang w:val="es-CO"/>
        </w:rPr>
        <w:t xml:space="preserve">destinación </w:t>
      </w:r>
      <w:r w:rsidR="00EF475B">
        <w:rPr>
          <w:rFonts w:ascii="Century Gothic" w:eastAsia="Times New Roman" w:hAnsi="Century Gothic" w:cs="Times New Roman"/>
          <w:bCs/>
          <w:sz w:val="24"/>
          <w:szCs w:val="24"/>
          <w:lang w:val="es-CO"/>
        </w:rPr>
        <w:t xml:space="preserve">con impacto social </w:t>
      </w:r>
      <w:r w:rsidRPr="00D03564">
        <w:rPr>
          <w:rFonts w:ascii="Century Gothic" w:eastAsia="Times New Roman" w:hAnsi="Century Gothic" w:cs="Times New Roman"/>
          <w:bCs/>
          <w:sz w:val="24"/>
          <w:szCs w:val="24"/>
          <w:lang w:val="es-CO"/>
        </w:rPr>
        <w:t xml:space="preserve">de aquellos bienes </w:t>
      </w:r>
      <w:r w:rsidR="00EF475B">
        <w:rPr>
          <w:rFonts w:ascii="Century Gothic" w:eastAsia="Times New Roman" w:hAnsi="Century Gothic" w:cs="Times New Roman"/>
          <w:bCs/>
          <w:sz w:val="24"/>
          <w:szCs w:val="24"/>
          <w:lang w:val="es-CO"/>
        </w:rPr>
        <w:t>producto de actividades ilícitas</w:t>
      </w:r>
      <w:r w:rsidRPr="00D03564">
        <w:rPr>
          <w:rFonts w:ascii="Century Gothic" w:eastAsia="Times New Roman" w:hAnsi="Century Gothic" w:cs="Times New Roman"/>
          <w:bCs/>
          <w:sz w:val="24"/>
          <w:szCs w:val="24"/>
          <w:lang w:val="es-CO"/>
        </w:rPr>
        <w:t xml:space="preserve"> en Colombia. En definitiva, se trata del establecimiento de una alternativa para que las entidades territoriales transformen el uso de los bienes en proceso de extinción de dominio en beneficio de sus territorios y comunidades</w:t>
      </w:r>
      <w:r w:rsidR="00041B9A">
        <w:rPr>
          <w:rFonts w:ascii="Century Gothic" w:eastAsia="Times New Roman" w:hAnsi="Century Gothic" w:cs="Times New Roman"/>
          <w:bCs/>
          <w:sz w:val="24"/>
          <w:szCs w:val="24"/>
          <w:lang w:val="es-CO"/>
        </w:rPr>
        <w:t>.</w:t>
      </w:r>
      <w:r w:rsidRPr="00D03564">
        <w:rPr>
          <w:rFonts w:ascii="Century Gothic" w:eastAsia="Times New Roman" w:hAnsi="Century Gothic" w:cs="Times New Roman"/>
          <w:bCs/>
          <w:sz w:val="24"/>
          <w:szCs w:val="24"/>
          <w:lang w:val="es-CO"/>
        </w:rPr>
        <w:t xml:space="preserve"> </w:t>
      </w:r>
    </w:p>
    <w:p w14:paraId="0525570B" w14:textId="77777777" w:rsidR="00D03564" w:rsidRPr="00D03564" w:rsidRDefault="00D03564" w:rsidP="00D03564">
      <w:pPr>
        <w:spacing w:before="240" w:after="240" w:line="360" w:lineRule="auto"/>
        <w:jc w:val="both"/>
        <w:rPr>
          <w:rFonts w:ascii="Century Gothic" w:eastAsia="Times New Roman" w:hAnsi="Century Gothic" w:cs="Times New Roman"/>
          <w:b/>
          <w:sz w:val="24"/>
          <w:szCs w:val="24"/>
          <w:lang w:val="es-CO"/>
        </w:rPr>
      </w:pPr>
      <w:r w:rsidRPr="00D03564">
        <w:rPr>
          <w:rFonts w:ascii="Century Gothic" w:eastAsia="Times New Roman" w:hAnsi="Century Gothic" w:cs="Times New Roman"/>
          <w:b/>
          <w:sz w:val="24"/>
          <w:szCs w:val="24"/>
          <w:lang w:val="es-CO"/>
        </w:rPr>
        <w:t xml:space="preserve">De los usos que pueden tener los bienes en proceso de extinción de dominio </w:t>
      </w:r>
    </w:p>
    <w:p w14:paraId="0488FD64" w14:textId="7FA9D8D3"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ciudades </w:t>
      </w:r>
      <w:r w:rsidR="0017667D">
        <w:rPr>
          <w:rFonts w:ascii="Century Gothic" w:eastAsia="Times New Roman" w:hAnsi="Century Gothic" w:cs="Times New Roman"/>
          <w:bCs/>
          <w:sz w:val="24"/>
          <w:szCs w:val="24"/>
          <w:lang w:val="es-CO"/>
        </w:rPr>
        <w:t>con una alta densidad poblacional</w:t>
      </w:r>
      <w:r w:rsidRPr="00D03564">
        <w:rPr>
          <w:rFonts w:ascii="Century Gothic" w:eastAsia="Times New Roman" w:hAnsi="Century Gothic" w:cs="Times New Roman"/>
          <w:bCs/>
          <w:sz w:val="24"/>
          <w:szCs w:val="24"/>
          <w:lang w:val="es-CO"/>
        </w:rPr>
        <w:t xml:space="preserve"> como es el caso de la capital del país que de acuerdo con el Stephen Wheeler, profesor de la Universidad de California  en estudio publicado en la revista Journal of the American Planning Association, Bogotá tiene una densidad de 24.643 personas por kilómetro, lo que señala no solo retos en el marco del ordenamiento territorial de la ciudad sino por demás en la posibilidades y capacidades socioeconómicas y espaciales de las administraciones</w:t>
      </w:r>
      <w:r w:rsidR="00041B9A">
        <w:rPr>
          <w:rFonts w:ascii="Century Gothic" w:eastAsia="Times New Roman" w:hAnsi="Century Gothic" w:cs="Times New Roman"/>
          <w:bCs/>
          <w:sz w:val="24"/>
          <w:szCs w:val="24"/>
          <w:lang w:val="es-CO"/>
        </w:rPr>
        <w:t xml:space="preserve"> públicas</w:t>
      </w:r>
      <w:r w:rsidRPr="00D03564">
        <w:rPr>
          <w:rFonts w:ascii="Century Gothic" w:eastAsia="Times New Roman" w:hAnsi="Century Gothic" w:cs="Times New Roman"/>
          <w:bCs/>
          <w:sz w:val="24"/>
          <w:szCs w:val="24"/>
          <w:lang w:val="es-CO"/>
        </w:rPr>
        <w:t xml:space="preserve"> para proveer equipamientos en educación, recreación, cultura y salud. </w:t>
      </w:r>
    </w:p>
    <w:p w14:paraId="166DA83E" w14:textId="31F002C6"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De manera paralela durante el </w:t>
      </w:r>
      <w:r w:rsidR="00041B9A">
        <w:rPr>
          <w:rFonts w:ascii="Century Gothic" w:eastAsia="Times New Roman" w:hAnsi="Century Gothic" w:cs="Times New Roman"/>
          <w:bCs/>
          <w:sz w:val="24"/>
          <w:szCs w:val="24"/>
          <w:lang w:val="es-CO"/>
        </w:rPr>
        <w:t xml:space="preserve">año </w:t>
      </w:r>
      <w:r w:rsidRPr="00D03564">
        <w:rPr>
          <w:rFonts w:ascii="Century Gothic" w:eastAsia="Times New Roman" w:hAnsi="Century Gothic" w:cs="Times New Roman"/>
          <w:bCs/>
          <w:sz w:val="24"/>
          <w:szCs w:val="24"/>
          <w:lang w:val="es-CO"/>
        </w:rPr>
        <w:t>2018 se sometieron a</w:t>
      </w:r>
      <w:r w:rsidR="00041B9A">
        <w:rPr>
          <w:rFonts w:ascii="Century Gothic" w:eastAsia="Times New Roman" w:hAnsi="Century Gothic" w:cs="Times New Roman"/>
          <w:bCs/>
          <w:sz w:val="24"/>
          <w:szCs w:val="24"/>
          <w:lang w:val="es-CO"/>
        </w:rPr>
        <w:t xml:space="preserve"> acción de</w:t>
      </w:r>
      <w:r w:rsidRPr="00D03564">
        <w:rPr>
          <w:rFonts w:ascii="Century Gothic" w:eastAsia="Times New Roman" w:hAnsi="Century Gothic" w:cs="Times New Roman"/>
          <w:bCs/>
          <w:sz w:val="24"/>
          <w:szCs w:val="24"/>
          <w:lang w:val="es-CO"/>
        </w:rPr>
        <w:t xml:space="preserve"> extinción de dominio 56 bienes inmuebles ubicados en las localidades de Puente Aranda (12) </w:t>
      </w:r>
      <w:r w:rsidRPr="00D03564">
        <w:rPr>
          <w:rFonts w:ascii="Century Gothic" w:eastAsia="Times New Roman" w:hAnsi="Century Gothic" w:cs="Times New Roman"/>
          <w:bCs/>
          <w:sz w:val="24"/>
          <w:szCs w:val="24"/>
          <w:lang w:val="es-CO"/>
        </w:rPr>
        <w:lastRenderedPageBreak/>
        <w:t>Bosa (1), los Mártires (31) Ciudad Bolívar (1), Engativá (7) Fontibón (2) Kennedy (2).  En tal sentido, estos bienes objeto de procesos de extinción de dominio plantean la posibilidad de establecer accione</w:t>
      </w:r>
      <w:r w:rsidR="00FF6B92">
        <w:rPr>
          <w:rFonts w:ascii="Century Gothic" w:eastAsia="Times New Roman" w:hAnsi="Century Gothic" w:cs="Times New Roman"/>
          <w:bCs/>
          <w:sz w:val="24"/>
          <w:szCs w:val="24"/>
          <w:lang w:val="es-CO"/>
        </w:rPr>
        <w:t xml:space="preserve">s </w:t>
      </w:r>
      <w:r w:rsidRPr="00D03564">
        <w:rPr>
          <w:rFonts w:ascii="Century Gothic" w:eastAsia="Times New Roman" w:hAnsi="Century Gothic" w:cs="Times New Roman"/>
          <w:bCs/>
          <w:sz w:val="24"/>
          <w:szCs w:val="24"/>
          <w:lang w:val="es-CO"/>
        </w:rPr>
        <w:t xml:space="preserve">encaminadas a la mejora de las condiciones socioeconómicas y de acceso a equipamientos de quienes habitan la ciudad. </w:t>
      </w:r>
    </w:p>
    <w:p w14:paraId="200CD218" w14:textId="68745388"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Bogotá ya se están estableciendo apuestas en esta perspectiva, en el año 2016 se emprendieron acciones para la recuperación del sector denominado como el Bronx. En este lugar se concentraba el microtráfico, venta ilegal de armas, homicidios, robos y delitos contra la integridad personal. En el marco de la renovación urbana que se ha propuesto para el antiguo sector del Bronx se han establecido una serie de acciones como la compra de bienes y el inicio de proceso de extinción de dominio sobre algunos predios. </w:t>
      </w:r>
    </w:p>
    <w:p w14:paraId="26E4B165" w14:textId="2EE732FF"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El objetivo, transformar escenarios y espacios que en otrora fueran foco de violencia y de</w:t>
      </w:r>
      <w:r w:rsidR="00041B9A">
        <w:rPr>
          <w:rFonts w:ascii="Century Gothic" w:eastAsia="Times New Roman" w:hAnsi="Century Gothic" w:cs="Times New Roman"/>
          <w:bCs/>
          <w:sz w:val="24"/>
          <w:szCs w:val="24"/>
          <w:lang w:val="es-CO"/>
        </w:rPr>
        <w:t xml:space="preserve"> actividades</w:t>
      </w:r>
      <w:r w:rsidRPr="00D03564">
        <w:rPr>
          <w:rFonts w:ascii="Century Gothic" w:eastAsia="Times New Roman" w:hAnsi="Century Gothic" w:cs="Times New Roman"/>
          <w:bCs/>
          <w:sz w:val="24"/>
          <w:szCs w:val="24"/>
          <w:lang w:val="es-CO"/>
        </w:rPr>
        <w:t xml:space="preserve"> ilícit</w:t>
      </w:r>
      <w:r w:rsidR="00041B9A">
        <w:rPr>
          <w:rFonts w:ascii="Century Gothic" w:eastAsia="Times New Roman" w:hAnsi="Century Gothic" w:cs="Times New Roman"/>
          <w:bCs/>
          <w:sz w:val="24"/>
          <w:szCs w:val="24"/>
          <w:lang w:val="es-CO"/>
        </w:rPr>
        <w:t>a</w:t>
      </w:r>
      <w:r w:rsidRPr="00D03564">
        <w:rPr>
          <w:rFonts w:ascii="Century Gothic" w:eastAsia="Times New Roman" w:hAnsi="Century Gothic" w:cs="Times New Roman"/>
          <w:bCs/>
          <w:sz w:val="24"/>
          <w:szCs w:val="24"/>
          <w:lang w:val="es-CO"/>
        </w:rPr>
        <w:t xml:space="preserve">s, para el bien y el uso de la ciudadanía; en tal perspectiva el </w:t>
      </w:r>
      <w:r w:rsidR="00041B9A">
        <w:rPr>
          <w:rFonts w:ascii="Century Gothic" w:eastAsia="Times New Roman" w:hAnsi="Century Gothic" w:cs="Times New Roman"/>
          <w:bCs/>
          <w:sz w:val="24"/>
          <w:szCs w:val="24"/>
          <w:lang w:val="es-CO"/>
        </w:rPr>
        <w:t>D</w:t>
      </w:r>
      <w:r w:rsidRPr="00D03564">
        <w:rPr>
          <w:rFonts w:ascii="Century Gothic" w:eastAsia="Times New Roman" w:hAnsi="Century Gothic" w:cs="Times New Roman"/>
          <w:bCs/>
          <w:sz w:val="24"/>
          <w:szCs w:val="24"/>
          <w:lang w:val="es-CO"/>
        </w:rPr>
        <w:t xml:space="preserve">istrito ha propuesto el desarrollo de la construcción del denominado Distrito Creativo en una apuesta clara por la renovación urbana. En el marco de esta apuesta se ha previsto una nueva vocación del sector, así como el establecimiento de locales comerciales, zonas verdes, parqueaderos para automóviles y bicicletas, e incluso han contemplado la construcción de viviendas. </w:t>
      </w:r>
    </w:p>
    <w:p w14:paraId="2E763EE4" w14:textId="4528F4F4"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De otro lado, uno de los bienes más representativos de Pablo Escobar la hacienda Nápoles que en la actualidad es propiedad del Estado Colombiano</w:t>
      </w:r>
      <w:r w:rsidR="00FF6B92">
        <w:rPr>
          <w:rFonts w:ascii="Century Gothic" w:eastAsia="Times New Roman" w:hAnsi="Century Gothic" w:cs="Times New Roman"/>
          <w:bCs/>
          <w:sz w:val="24"/>
          <w:szCs w:val="24"/>
          <w:lang w:val="es-CO"/>
        </w:rPr>
        <w:t xml:space="preserve"> e</w:t>
      </w:r>
      <w:r w:rsidRPr="00D03564">
        <w:rPr>
          <w:rFonts w:ascii="Century Gothic" w:eastAsia="Times New Roman" w:hAnsi="Century Gothic" w:cs="Times New Roman"/>
          <w:bCs/>
          <w:sz w:val="24"/>
          <w:szCs w:val="24"/>
          <w:lang w:val="es-CO"/>
        </w:rPr>
        <w:t xml:space="preserve">s en la actualidad uno de los parques más visitados tanto así que en el 2019 recibió aproximadamente 479.000 </w:t>
      </w:r>
      <w:r w:rsidR="006A70DB" w:rsidRPr="0043221D">
        <w:rPr>
          <w:rFonts w:ascii="Century Gothic" w:eastAsia="Times New Roman" w:hAnsi="Century Gothic" w:cs="Times New Roman"/>
          <w:bCs/>
          <w:sz w:val="24"/>
          <w:szCs w:val="24"/>
          <w:lang w:val="es-CO"/>
        </w:rPr>
        <w:t xml:space="preserve">visitantes, asimismo genera al menos 250 empleos </w:t>
      </w:r>
      <w:r w:rsidR="006A70DB" w:rsidRPr="0043221D">
        <w:rPr>
          <w:rFonts w:ascii="Century Gothic" w:eastAsia="Times New Roman" w:hAnsi="Century Gothic" w:cs="Times New Roman"/>
          <w:bCs/>
          <w:sz w:val="24"/>
          <w:szCs w:val="24"/>
          <w:lang w:val="es-CO"/>
        </w:rPr>
        <w:lastRenderedPageBreak/>
        <w:t>directos y un estimado de al menos 100 empleos indirectos.</w:t>
      </w:r>
      <w:r w:rsidRPr="0043221D">
        <w:rPr>
          <w:rFonts w:ascii="Century Gothic" w:eastAsia="Times New Roman" w:hAnsi="Century Gothic" w:cs="Times New Roman"/>
          <w:bCs/>
          <w:sz w:val="24"/>
          <w:szCs w:val="24"/>
          <w:lang w:val="es-CO"/>
        </w:rPr>
        <w:t xml:space="preserve"> En definitiva, se trata de una apuesta de transformación social y de impacto en las regiones utilizando los antiguos </w:t>
      </w:r>
      <w:r w:rsidR="00041B9A" w:rsidRPr="0043221D">
        <w:rPr>
          <w:rFonts w:ascii="Century Gothic" w:eastAsia="Times New Roman" w:hAnsi="Century Gothic" w:cs="Times New Roman"/>
          <w:bCs/>
          <w:sz w:val="24"/>
          <w:szCs w:val="24"/>
          <w:lang w:val="es-CO"/>
        </w:rPr>
        <w:t>b</w:t>
      </w:r>
      <w:r w:rsidRPr="0043221D">
        <w:rPr>
          <w:rFonts w:ascii="Century Gothic" w:eastAsia="Times New Roman" w:hAnsi="Century Gothic" w:cs="Times New Roman"/>
          <w:bCs/>
          <w:sz w:val="24"/>
          <w:szCs w:val="24"/>
          <w:lang w:val="es-CO"/>
        </w:rPr>
        <w:t>ienes que fueron fruto de actividades ilícitas</w:t>
      </w:r>
      <w:r w:rsidR="006A70DB" w:rsidRPr="0043221D">
        <w:rPr>
          <w:rFonts w:ascii="Century Gothic" w:eastAsia="Times New Roman" w:hAnsi="Century Gothic" w:cs="Times New Roman"/>
          <w:bCs/>
          <w:sz w:val="24"/>
          <w:szCs w:val="24"/>
          <w:lang w:val="es-CO"/>
        </w:rPr>
        <w:t>.</w:t>
      </w:r>
      <w:r w:rsidRPr="00D03564">
        <w:rPr>
          <w:rFonts w:ascii="Century Gothic" w:eastAsia="Times New Roman" w:hAnsi="Century Gothic" w:cs="Times New Roman"/>
          <w:bCs/>
          <w:sz w:val="24"/>
          <w:szCs w:val="24"/>
          <w:lang w:val="es-CO"/>
        </w:rPr>
        <w:t xml:space="preserve"> </w:t>
      </w:r>
    </w:p>
    <w:p w14:paraId="09578A72" w14:textId="491D1C05"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Asimismo, otra de las acciones desarrolladas en el marco de la actual emergencia que afronta el país tiene que ver con las acciones desarrolladas por la S</w:t>
      </w:r>
      <w:r w:rsidR="00041B9A">
        <w:rPr>
          <w:rFonts w:ascii="Century Gothic" w:eastAsia="Times New Roman" w:hAnsi="Century Gothic" w:cs="Times New Roman"/>
          <w:bCs/>
          <w:sz w:val="24"/>
          <w:szCs w:val="24"/>
          <w:lang w:val="es-CO"/>
        </w:rPr>
        <w:t xml:space="preserve">ociedad de </w:t>
      </w:r>
      <w:r w:rsidRPr="00D03564">
        <w:rPr>
          <w:rFonts w:ascii="Century Gothic" w:eastAsia="Times New Roman" w:hAnsi="Century Gothic" w:cs="Times New Roman"/>
          <w:bCs/>
          <w:sz w:val="24"/>
          <w:szCs w:val="24"/>
          <w:lang w:val="es-CO"/>
        </w:rPr>
        <w:t>A</w:t>
      </w:r>
      <w:r w:rsidR="00041B9A">
        <w:rPr>
          <w:rFonts w:ascii="Century Gothic" w:eastAsia="Times New Roman" w:hAnsi="Century Gothic" w:cs="Times New Roman"/>
          <w:bCs/>
          <w:sz w:val="24"/>
          <w:szCs w:val="24"/>
          <w:lang w:val="es-CO"/>
        </w:rPr>
        <w:t xml:space="preserve">ctivos </w:t>
      </w:r>
      <w:r w:rsidRPr="00D03564">
        <w:rPr>
          <w:rFonts w:ascii="Century Gothic" w:eastAsia="Times New Roman" w:hAnsi="Century Gothic" w:cs="Times New Roman"/>
          <w:bCs/>
          <w:sz w:val="24"/>
          <w:szCs w:val="24"/>
          <w:lang w:val="es-CO"/>
        </w:rPr>
        <w:t>E</w:t>
      </w:r>
      <w:r w:rsidR="00041B9A">
        <w:rPr>
          <w:rFonts w:ascii="Century Gothic" w:eastAsia="Times New Roman" w:hAnsi="Century Gothic" w:cs="Times New Roman"/>
          <w:bCs/>
          <w:sz w:val="24"/>
          <w:szCs w:val="24"/>
          <w:lang w:val="es-CO"/>
        </w:rPr>
        <w:t>speciales</w:t>
      </w:r>
      <w:r w:rsidRPr="00D03564">
        <w:rPr>
          <w:rFonts w:ascii="Century Gothic" w:eastAsia="Times New Roman" w:hAnsi="Century Gothic" w:cs="Times New Roman"/>
          <w:bCs/>
          <w:sz w:val="24"/>
          <w:szCs w:val="24"/>
          <w:lang w:val="es-CO"/>
        </w:rPr>
        <w:t xml:space="preserve"> quienes dispusieron de 65 inmuebles (Bogotá 17, Valle del cauca 6, Antioquia 6 y en la región Caribe 12. según el diario el Tiempo) para ser usados durante la contingencia</w:t>
      </w:r>
      <w:r w:rsidR="00041B9A">
        <w:rPr>
          <w:rFonts w:ascii="Century Gothic" w:eastAsia="Times New Roman" w:hAnsi="Century Gothic" w:cs="Times New Roman"/>
          <w:bCs/>
          <w:sz w:val="24"/>
          <w:szCs w:val="24"/>
          <w:lang w:val="es-CO"/>
        </w:rPr>
        <w:t xml:space="preserve"> ocasionada por la Covid - 19</w:t>
      </w:r>
      <w:r w:rsidRPr="00D03564">
        <w:rPr>
          <w:rFonts w:ascii="Century Gothic" w:eastAsia="Times New Roman" w:hAnsi="Century Gothic" w:cs="Times New Roman"/>
          <w:bCs/>
          <w:sz w:val="24"/>
          <w:szCs w:val="24"/>
          <w:lang w:val="es-CO"/>
        </w:rPr>
        <w:t xml:space="preserve"> a fin de que puedan ser usados como refugio para proteger a las mujeres </w:t>
      </w:r>
      <w:r w:rsidR="00041B9A">
        <w:rPr>
          <w:rFonts w:ascii="Century Gothic" w:eastAsia="Times New Roman" w:hAnsi="Century Gothic" w:cs="Times New Roman"/>
          <w:bCs/>
          <w:sz w:val="24"/>
          <w:szCs w:val="24"/>
          <w:lang w:val="es-CO"/>
        </w:rPr>
        <w:t xml:space="preserve">que </w:t>
      </w:r>
      <w:r w:rsidRPr="00D03564">
        <w:rPr>
          <w:rFonts w:ascii="Century Gothic" w:eastAsia="Times New Roman" w:hAnsi="Century Gothic" w:cs="Times New Roman"/>
          <w:bCs/>
          <w:sz w:val="24"/>
          <w:szCs w:val="24"/>
          <w:lang w:val="es-CO"/>
        </w:rPr>
        <w:t xml:space="preserve">han sufrido </w:t>
      </w:r>
      <w:r w:rsidR="00041B9A">
        <w:rPr>
          <w:rFonts w:ascii="Century Gothic" w:eastAsia="Times New Roman" w:hAnsi="Century Gothic" w:cs="Times New Roman"/>
          <w:bCs/>
          <w:sz w:val="24"/>
          <w:szCs w:val="24"/>
          <w:lang w:val="es-CO"/>
        </w:rPr>
        <w:t xml:space="preserve">de algún tipo de </w:t>
      </w:r>
      <w:r w:rsidR="00B06FF5">
        <w:rPr>
          <w:rFonts w:ascii="Century Gothic" w:eastAsia="Times New Roman" w:hAnsi="Century Gothic" w:cs="Times New Roman"/>
          <w:bCs/>
          <w:sz w:val="24"/>
          <w:szCs w:val="24"/>
          <w:lang w:val="es-CO"/>
        </w:rPr>
        <w:t xml:space="preserve">violencia </w:t>
      </w:r>
      <w:r w:rsidR="00B06FF5" w:rsidRPr="00D03564">
        <w:rPr>
          <w:rFonts w:ascii="Century Gothic" w:eastAsia="Times New Roman" w:hAnsi="Century Gothic" w:cs="Times New Roman"/>
          <w:bCs/>
          <w:sz w:val="24"/>
          <w:szCs w:val="24"/>
          <w:lang w:val="es-CO"/>
        </w:rPr>
        <w:t>en</w:t>
      </w:r>
      <w:r w:rsidRPr="00D03564">
        <w:rPr>
          <w:rFonts w:ascii="Century Gothic" w:eastAsia="Times New Roman" w:hAnsi="Century Gothic" w:cs="Times New Roman"/>
          <w:bCs/>
          <w:sz w:val="24"/>
          <w:szCs w:val="24"/>
          <w:lang w:val="es-CO"/>
        </w:rPr>
        <w:t xml:space="preserve"> el marco del aislamiento por</w:t>
      </w:r>
      <w:r w:rsidR="00041B9A">
        <w:rPr>
          <w:rFonts w:ascii="Century Gothic" w:eastAsia="Times New Roman" w:hAnsi="Century Gothic" w:cs="Times New Roman"/>
          <w:bCs/>
          <w:sz w:val="24"/>
          <w:szCs w:val="24"/>
          <w:lang w:val="es-CO"/>
        </w:rPr>
        <w:t xml:space="preserve"> la</w:t>
      </w:r>
      <w:r w:rsidRPr="00D03564">
        <w:rPr>
          <w:rFonts w:ascii="Century Gothic" w:eastAsia="Times New Roman" w:hAnsi="Century Gothic" w:cs="Times New Roman"/>
          <w:bCs/>
          <w:sz w:val="24"/>
          <w:szCs w:val="24"/>
          <w:lang w:val="es-CO"/>
        </w:rPr>
        <w:t xml:space="preserve"> </w:t>
      </w:r>
      <w:r w:rsidR="00D24231" w:rsidRPr="00D03564">
        <w:rPr>
          <w:rFonts w:ascii="Century Gothic" w:eastAsia="Times New Roman" w:hAnsi="Century Gothic" w:cs="Times New Roman"/>
          <w:bCs/>
          <w:sz w:val="24"/>
          <w:szCs w:val="24"/>
          <w:lang w:val="es-CO"/>
        </w:rPr>
        <w:t xml:space="preserve">pandemia </w:t>
      </w:r>
      <w:r w:rsidR="00D24231">
        <w:rPr>
          <w:rFonts w:ascii="Century Gothic" w:eastAsia="Times New Roman" w:hAnsi="Century Gothic" w:cs="Times New Roman"/>
          <w:bCs/>
          <w:sz w:val="24"/>
          <w:szCs w:val="24"/>
          <w:lang w:val="es-CO"/>
        </w:rPr>
        <w:t>de</w:t>
      </w:r>
      <w:r w:rsidR="00041B9A">
        <w:rPr>
          <w:rFonts w:ascii="Century Gothic" w:eastAsia="Times New Roman" w:hAnsi="Century Gothic" w:cs="Times New Roman"/>
          <w:bCs/>
          <w:sz w:val="24"/>
          <w:szCs w:val="24"/>
          <w:lang w:val="es-CO"/>
        </w:rPr>
        <w:t xml:space="preserve"> la</w:t>
      </w:r>
      <w:r w:rsidRPr="00D03564">
        <w:rPr>
          <w:rFonts w:ascii="Century Gothic" w:eastAsia="Times New Roman" w:hAnsi="Century Gothic" w:cs="Times New Roman"/>
          <w:bCs/>
          <w:sz w:val="24"/>
          <w:szCs w:val="24"/>
          <w:lang w:val="es-CO"/>
        </w:rPr>
        <w:t xml:space="preserve"> COVID-19. </w:t>
      </w:r>
    </w:p>
    <w:p w14:paraId="7E66F42D" w14:textId="479F31AE" w:rsid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Otro</w:t>
      </w:r>
      <w:r w:rsidR="00FF6B92">
        <w:rPr>
          <w:rFonts w:ascii="Century Gothic" w:eastAsia="Times New Roman" w:hAnsi="Century Gothic" w:cs="Times New Roman"/>
          <w:bCs/>
          <w:sz w:val="24"/>
          <w:szCs w:val="24"/>
          <w:lang w:val="es-CO"/>
        </w:rPr>
        <w:t xml:space="preserve"> </w:t>
      </w:r>
      <w:r w:rsidRPr="00D03564">
        <w:rPr>
          <w:rFonts w:ascii="Century Gothic" w:eastAsia="Times New Roman" w:hAnsi="Century Gothic" w:cs="Times New Roman"/>
          <w:bCs/>
          <w:sz w:val="24"/>
          <w:szCs w:val="24"/>
          <w:lang w:val="es-CO"/>
        </w:rPr>
        <w:t xml:space="preserve">ejemplo, es el parque conmemorativo inflexión ubicado en la ciudad de Medellín el cual se construyó en el lugar donde antes se encontraba el antiguo edificio Mónaco el cual era una de las edificaciones insignias del cartel de Medellín. La apuesta de esta transformación del espacio se enfoca en un reconocimiento de la historia de la ciudad en tal vez una de sus épocas más </w:t>
      </w:r>
      <w:r w:rsidR="00DA3193" w:rsidRPr="00D03564">
        <w:rPr>
          <w:rFonts w:ascii="Century Gothic" w:eastAsia="Times New Roman" w:hAnsi="Century Gothic" w:cs="Times New Roman"/>
          <w:bCs/>
          <w:sz w:val="24"/>
          <w:szCs w:val="24"/>
          <w:lang w:val="es-CO"/>
        </w:rPr>
        <w:t>violen</w:t>
      </w:r>
      <w:r w:rsidR="00DA3193">
        <w:rPr>
          <w:rFonts w:ascii="Century Gothic" w:eastAsia="Times New Roman" w:hAnsi="Century Gothic" w:cs="Times New Roman"/>
          <w:bCs/>
          <w:sz w:val="24"/>
          <w:szCs w:val="24"/>
          <w:lang w:val="es-CO"/>
        </w:rPr>
        <w:t xml:space="preserve">tas </w:t>
      </w:r>
      <w:r w:rsidRPr="00D03564">
        <w:rPr>
          <w:rFonts w:ascii="Century Gothic" w:eastAsia="Times New Roman" w:hAnsi="Century Gothic" w:cs="Times New Roman"/>
          <w:bCs/>
          <w:sz w:val="24"/>
          <w:szCs w:val="24"/>
          <w:lang w:val="es-CO"/>
        </w:rPr>
        <w:t xml:space="preserve">y encaminar una resignificación de los lugares, en tanto ahora su foco será la memoria histórica y la reconciliación. </w:t>
      </w:r>
    </w:p>
    <w:p w14:paraId="19742E11" w14:textId="3EE6EBCC" w:rsidR="00FF6B92" w:rsidRDefault="000E450F" w:rsidP="00D03564">
      <w:pPr>
        <w:spacing w:before="240" w:after="240" w:line="360" w:lineRule="auto"/>
        <w:jc w:val="both"/>
        <w:rPr>
          <w:rFonts w:ascii="Century Gothic" w:eastAsia="Times New Roman" w:hAnsi="Century Gothic" w:cs="Times New Roman"/>
          <w:bCs/>
          <w:sz w:val="24"/>
          <w:szCs w:val="24"/>
          <w:lang w:val="es-CO"/>
        </w:rPr>
      </w:pPr>
      <w:r>
        <w:rPr>
          <w:rFonts w:ascii="Century Gothic" w:eastAsia="Times New Roman" w:hAnsi="Century Gothic" w:cs="Times New Roman"/>
          <w:bCs/>
          <w:sz w:val="24"/>
          <w:szCs w:val="24"/>
          <w:lang w:val="es-CO"/>
        </w:rPr>
        <w:t xml:space="preserve">En definitiva, se trata de sumar esfuerzos y establecer alternativas para mejorar la agilidad con la cual los bienes en proceso de extinción de dominio pueden ser utilizados por las entidades territoriales para transformar estos bienes en apuestas similares a las mostradas. </w:t>
      </w:r>
    </w:p>
    <w:p w14:paraId="2016988B" w14:textId="77777777" w:rsidR="008C54B5" w:rsidRDefault="008C54B5" w:rsidP="00D03564">
      <w:pPr>
        <w:spacing w:before="240" w:after="240" w:line="360" w:lineRule="auto"/>
        <w:jc w:val="both"/>
        <w:rPr>
          <w:rFonts w:ascii="Century Gothic" w:eastAsia="Times New Roman" w:hAnsi="Century Gothic" w:cs="Times New Roman"/>
          <w:b/>
          <w:sz w:val="24"/>
          <w:szCs w:val="24"/>
          <w:lang w:val="es-CO"/>
        </w:rPr>
      </w:pPr>
    </w:p>
    <w:p w14:paraId="4EB26E77" w14:textId="637914E4" w:rsidR="00D03564" w:rsidRPr="00DF50F1" w:rsidRDefault="008C54B5" w:rsidP="00D03564">
      <w:pPr>
        <w:spacing w:before="240" w:after="240" w:line="360" w:lineRule="auto"/>
        <w:jc w:val="both"/>
        <w:rPr>
          <w:rFonts w:ascii="Century Gothic" w:eastAsia="Times New Roman" w:hAnsi="Century Gothic" w:cs="Times New Roman"/>
          <w:bCs/>
          <w:sz w:val="24"/>
          <w:szCs w:val="24"/>
          <w:lang w:val="es-CO"/>
        </w:rPr>
      </w:pPr>
      <w:r>
        <w:rPr>
          <w:rFonts w:ascii="Century Gothic" w:eastAsia="Times New Roman" w:hAnsi="Century Gothic" w:cs="Times New Roman"/>
          <w:b/>
          <w:sz w:val="24"/>
          <w:szCs w:val="24"/>
          <w:lang w:val="es-CO"/>
        </w:rPr>
        <w:lastRenderedPageBreak/>
        <w:t>De la propuesta del Proyecto de Ley</w:t>
      </w:r>
    </w:p>
    <w:p w14:paraId="2E44987C" w14:textId="4CC162E7" w:rsidR="00D03564" w:rsidRPr="00D03564" w:rsidRDefault="00DF50F1" w:rsidP="00D03564">
      <w:pPr>
        <w:spacing w:before="240" w:after="240" w:line="360" w:lineRule="auto"/>
        <w:jc w:val="both"/>
        <w:rPr>
          <w:rFonts w:ascii="Century Gothic" w:eastAsia="Times New Roman" w:hAnsi="Century Gothic" w:cs="Times New Roman"/>
          <w:bCs/>
          <w:sz w:val="24"/>
          <w:szCs w:val="24"/>
          <w:lang w:val="es-CO"/>
        </w:rPr>
      </w:pPr>
      <w:r>
        <w:rPr>
          <w:rFonts w:ascii="Century Gothic" w:eastAsia="Times New Roman" w:hAnsi="Century Gothic" w:cs="Times New Roman"/>
          <w:bCs/>
          <w:sz w:val="24"/>
          <w:szCs w:val="24"/>
          <w:lang w:val="es-CO"/>
        </w:rPr>
        <w:t>N</w:t>
      </w:r>
      <w:r w:rsidR="00D03564" w:rsidRPr="00DF50F1">
        <w:rPr>
          <w:rFonts w:ascii="Century Gothic" w:eastAsia="Times New Roman" w:hAnsi="Century Gothic" w:cs="Times New Roman"/>
          <w:bCs/>
          <w:sz w:val="24"/>
          <w:szCs w:val="24"/>
          <w:lang w:val="es-CO"/>
        </w:rPr>
        <w:t>o se trata de una apuesta novedosa en términos de</w:t>
      </w:r>
      <w:r w:rsidR="00D03564" w:rsidRPr="00D03564">
        <w:rPr>
          <w:rFonts w:ascii="Century Gothic" w:eastAsia="Times New Roman" w:hAnsi="Century Gothic" w:cs="Times New Roman"/>
          <w:bCs/>
          <w:sz w:val="24"/>
          <w:szCs w:val="24"/>
          <w:lang w:val="es-CO"/>
        </w:rPr>
        <w:t xml:space="preserve"> destinación de los bienes en tanto disposiciones jurídicas anteriores, así como la misma ley 1708 de 2014, han establecido acciones para la destinación de los bienes que se encuentran en proceso de extinción de dominio. No obstante, la propuesta busca brindar mayores alternativas para que las entidades territoriales puedan disponer de los bienes en proceso de extinción para apuestas por su territorio y sus comunidades. </w:t>
      </w:r>
    </w:p>
    <w:p w14:paraId="189A8AF1" w14:textId="4141AD9D"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Desde la constitución política de Colombia en 1991, se han edificado leyes encaminadas a los procesos de extinción de dominio, para tal caso la ley 33 de </w:t>
      </w:r>
      <w:r w:rsidR="00DF50F1" w:rsidRPr="00D03564">
        <w:rPr>
          <w:rFonts w:ascii="Century Gothic" w:eastAsia="Times New Roman" w:hAnsi="Century Gothic" w:cs="Times New Roman"/>
          <w:bCs/>
          <w:sz w:val="24"/>
          <w:szCs w:val="24"/>
          <w:lang w:val="es-CO"/>
        </w:rPr>
        <w:t>1996, la</w:t>
      </w:r>
      <w:r w:rsidRPr="00D03564">
        <w:rPr>
          <w:rFonts w:ascii="Century Gothic" w:eastAsia="Times New Roman" w:hAnsi="Century Gothic" w:cs="Times New Roman"/>
          <w:bCs/>
          <w:sz w:val="24"/>
          <w:szCs w:val="24"/>
          <w:lang w:val="es-CO"/>
        </w:rPr>
        <w:t xml:space="preserve"> ley 793 de 2010, la ley 1395 de 2010, la ley 1453 de </w:t>
      </w:r>
      <w:r w:rsidR="00DF50F1" w:rsidRPr="00D03564">
        <w:rPr>
          <w:rFonts w:ascii="Century Gothic" w:eastAsia="Times New Roman" w:hAnsi="Century Gothic" w:cs="Times New Roman"/>
          <w:bCs/>
          <w:sz w:val="24"/>
          <w:szCs w:val="24"/>
          <w:lang w:val="es-CO"/>
        </w:rPr>
        <w:t>2011 y</w:t>
      </w:r>
      <w:r w:rsidRPr="00D03564">
        <w:rPr>
          <w:rFonts w:ascii="Century Gothic" w:eastAsia="Times New Roman" w:hAnsi="Century Gothic" w:cs="Times New Roman"/>
          <w:bCs/>
          <w:sz w:val="24"/>
          <w:szCs w:val="24"/>
          <w:lang w:val="es-CO"/>
        </w:rPr>
        <w:t xml:space="preserve"> </w:t>
      </w:r>
      <w:r w:rsidR="0008628A" w:rsidRPr="00D03564">
        <w:rPr>
          <w:rFonts w:ascii="Century Gothic" w:eastAsia="Times New Roman" w:hAnsi="Century Gothic" w:cs="Times New Roman"/>
          <w:bCs/>
          <w:sz w:val="24"/>
          <w:szCs w:val="24"/>
          <w:lang w:val="es-CO"/>
        </w:rPr>
        <w:t>más</w:t>
      </w:r>
      <w:r w:rsidRPr="00D03564">
        <w:rPr>
          <w:rFonts w:ascii="Century Gothic" w:eastAsia="Times New Roman" w:hAnsi="Century Gothic" w:cs="Times New Roman"/>
          <w:bCs/>
          <w:sz w:val="24"/>
          <w:szCs w:val="24"/>
          <w:lang w:val="es-CO"/>
        </w:rPr>
        <w:t xml:space="preserve"> recientemente la ley 1708 y sus modificaciones, han dejado de manifiesto la </w:t>
      </w:r>
      <w:r w:rsidR="00DA3193">
        <w:rPr>
          <w:rFonts w:ascii="Century Gothic" w:eastAsia="Times New Roman" w:hAnsi="Century Gothic" w:cs="Times New Roman"/>
          <w:bCs/>
          <w:sz w:val="24"/>
          <w:szCs w:val="24"/>
          <w:lang w:val="es-CO"/>
        </w:rPr>
        <w:t>intención</w:t>
      </w:r>
      <w:r w:rsidR="00DA3193" w:rsidRPr="00D03564">
        <w:rPr>
          <w:rFonts w:ascii="Century Gothic" w:eastAsia="Times New Roman" w:hAnsi="Century Gothic" w:cs="Times New Roman"/>
          <w:bCs/>
          <w:sz w:val="24"/>
          <w:szCs w:val="24"/>
          <w:lang w:val="es-CO"/>
        </w:rPr>
        <w:t xml:space="preserve"> </w:t>
      </w:r>
      <w:r w:rsidRPr="00D03564">
        <w:rPr>
          <w:rFonts w:ascii="Century Gothic" w:eastAsia="Times New Roman" w:hAnsi="Century Gothic" w:cs="Times New Roman"/>
          <w:bCs/>
          <w:sz w:val="24"/>
          <w:szCs w:val="24"/>
          <w:lang w:val="es-CO"/>
        </w:rPr>
        <w:t xml:space="preserve">dual de luchar contra el enriquecimiento ilícito y la posibilidad de utilizar los bienes producto de este para generar impacto social en los territorios y comunidades. </w:t>
      </w:r>
    </w:p>
    <w:p w14:paraId="7BD0F45F" w14:textId="4B9A1DFA"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Este escenario no </w:t>
      </w:r>
      <w:r w:rsidR="0008628A">
        <w:rPr>
          <w:rFonts w:ascii="Century Gothic" w:eastAsia="Times New Roman" w:hAnsi="Century Gothic" w:cs="Times New Roman"/>
          <w:bCs/>
          <w:sz w:val="24"/>
          <w:szCs w:val="24"/>
          <w:lang w:val="es-CO"/>
        </w:rPr>
        <w:t xml:space="preserve">describe </w:t>
      </w:r>
      <w:r w:rsidRPr="00D03564">
        <w:rPr>
          <w:rFonts w:ascii="Century Gothic" w:eastAsia="Times New Roman" w:hAnsi="Century Gothic" w:cs="Times New Roman"/>
          <w:bCs/>
          <w:sz w:val="24"/>
          <w:szCs w:val="24"/>
          <w:lang w:val="es-CO"/>
        </w:rPr>
        <w:t xml:space="preserve">que la discusión este totalmente saldada, en la actualidad y de acuerdo con cifras de la </w:t>
      </w:r>
      <w:r w:rsidR="00D2144E" w:rsidRPr="00D03564">
        <w:rPr>
          <w:rFonts w:ascii="Century Gothic" w:eastAsia="Times New Roman" w:hAnsi="Century Gothic" w:cs="Times New Roman"/>
          <w:bCs/>
          <w:sz w:val="24"/>
          <w:szCs w:val="24"/>
          <w:lang w:val="es-CO"/>
        </w:rPr>
        <w:t>S</w:t>
      </w:r>
      <w:r w:rsidR="00D2144E">
        <w:rPr>
          <w:rFonts w:ascii="Century Gothic" w:eastAsia="Times New Roman" w:hAnsi="Century Gothic" w:cs="Times New Roman"/>
          <w:bCs/>
          <w:sz w:val="24"/>
          <w:szCs w:val="24"/>
          <w:lang w:val="es-CO"/>
        </w:rPr>
        <w:t xml:space="preserve">ociedad de </w:t>
      </w:r>
      <w:r w:rsidRPr="00D03564">
        <w:rPr>
          <w:rFonts w:ascii="Century Gothic" w:eastAsia="Times New Roman" w:hAnsi="Century Gothic" w:cs="Times New Roman"/>
          <w:bCs/>
          <w:sz w:val="24"/>
          <w:szCs w:val="24"/>
          <w:lang w:val="es-CO"/>
        </w:rPr>
        <w:t>A</w:t>
      </w:r>
      <w:r w:rsidR="00D2144E">
        <w:rPr>
          <w:rFonts w:ascii="Century Gothic" w:eastAsia="Times New Roman" w:hAnsi="Century Gothic" w:cs="Times New Roman"/>
          <w:bCs/>
          <w:sz w:val="24"/>
          <w:szCs w:val="24"/>
          <w:lang w:val="es-CO"/>
        </w:rPr>
        <w:t xml:space="preserve">ctivos </w:t>
      </w:r>
      <w:r w:rsidRPr="00D03564">
        <w:rPr>
          <w:rFonts w:ascii="Century Gothic" w:eastAsia="Times New Roman" w:hAnsi="Century Gothic" w:cs="Times New Roman"/>
          <w:bCs/>
          <w:sz w:val="24"/>
          <w:szCs w:val="24"/>
          <w:lang w:val="es-CO"/>
        </w:rPr>
        <w:t>E</w:t>
      </w:r>
      <w:r w:rsidR="00D2144E">
        <w:rPr>
          <w:rFonts w:ascii="Century Gothic" w:eastAsia="Times New Roman" w:hAnsi="Century Gothic" w:cs="Times New Roman"/>
          <w:bCs/>
          <w:sz w:val="24"/>
          <w:szCs w:val="24"/>
          <w:lang w:val="es-CO"/>
        </w:rPr>
        <w:t>speciales</w:t>
      </w:r>
      <w:r w:rsidRPr="00D03564">
        <w:rPr>
          <w:rFonts w:ascii="Century Gothic" w:eastAsia="Times New Roman" w:hAnsi="Century Gothic" w:cs="Times New Roman"/>
          <w:bCs/>
          <w:sz w:val="24"/>
          <w:szCs w:val="24"/>
          <w:lang w:val="es-CO"/>
        </w:rPr>
        <w:t xml:space="preserve"> se han declarado en extinción de dominio 5.700 bienes (de los cuales 1.144 son rurales y están destinados de manera específica para</w:t>
      </w:r>
      <w:r w:rsidR="00D2144E">
        <w:rPr>
          <w:rFonts w:ascii="Century Gothic" w:eastAsia="Times New Roman" w:hAnsi="Century Gothic" w:cs="Times New Roman"/>
          <w:bCs/>
          <w:sz w:val="24"/>
          <w:szCs w:val="24"/>
          <w:lang w:val="es-CO"/>
        </w:rPr>
        <w:t xml:space="preserve"> las</w:t>
      </w:r>
      <w:r w:rsidRPr="00D03564">
        <w:rPr>
          <w:rFonts w:ascii="Century Gothic" w:eastAsia="Times New Roman" w:hAnsi="Century Gothic" w:cs="Times New Roman"/>
          <w:bCs/>
          <w:sz w:val="24"/>
          <w:szCs w:val="24"/>
          <w:lang w:val="es-CO"/>
        </w:rPr>
        <w:t xml:space="preserve"> víctimas, </w:t>
      </w:r>
      <w:r w:rsidR="00D24231">
        <w:rPr>
          <w:rFonts w:ascii="Century Gothic" w:eastAsia="Times New Roman" w:hAnsi="Century Gothic" w:cs="Times New Roman"/>
          <w:bCs/>
          <w:sz w:val="24"/>
          <w:szCs w:val="24"/>
          <w:lang w:val="es-CO"/>
        </w:rPr>
        <w:t xml:space="preserve">reincorporación, </w:t>
      </w:r>
      <w:r w:rsidRPr="00D03564">
        <w:rPr>
          <w:rFonts w:ascii="Century Gothic" w:eastAsia="Times New Roman" w:hAnsi="Century Gothic" w:cs="Times New Roman"/>
          <w:bCs/>
          <w:sz w:val="24"/>
          <w:szCs w:val="24"/>
          <w:lang w:val="es-CO"/>
        </w:rPr>
        <w:t xml:space="preserve">paz y restitución de víctimas) y otros 59.109 (91% del total del inventario) bienes están en proceso, asimismo en la actualidad la </w:t>
      </w:r>
      <w:r w:rsidR="00D2144E" w:rsidRPr="00D03564">
        <w:rPr>
          <w:rFonts w:ascii="Century Gothic" w:eastAsia="Times New Roman" w:hAnsi="Century Gothic" w:cs="Times New Roman"/>
          <w:bCs/>
          <w:sz w:val="24"/>
          <w:szCs w:val="24"/>
          <w:lang w:val="es-CO"/>
        </w:rPr>
        <w:t>S</w:t>
      </w:r>
      <w:r w:rsidR="00D2144E">
        <w:rPr>
          <w:rFonts w:ascii="Century Gothic" w:eastAsia="Times New Roman" w:hAnsi="Century Gothic" w:cs="Times New Roman"/>
          <w:bCs/>
          <w:sz w:val="24"/>
          <w:szCs w:val="24"/>
          <w:lang w:val="es-CO"/>
        </w:rPr>
        <w:t xml:space="preserve">ociedad de </w:t>
      </w:r>
      <w:r w:rsidR="00D2144E" w:rsidRPr="00D03564">
        <w:rPr>
          <w:rFonts w:ascii="Century Gothic" w:eastAsia="Times New Roman" w:hAnsi="Century Gothic" w:cs="Times New Roman"/>
          <w:bCs/>
          <w:sz w:val="24"/>
          <w:szCs w:val="24"/>
          <w:lang w:val="es-CO"/>
        </w:rPr>
        <w:t>A</w:t>
      </w:r>
      <w:r w:rsidR="00D2144E">
        <w:rPr>
          <w:rFonts w:ascii="Century Gothic" w:eastAsia="Times New Roman" w:hAnsi="Century Gothic" w:cs="Times New Roman"/>
          <w:bCs/>
          <w:sz w:val="24"/>
          <w:szCs w:val="24"/>
          <w:lang w:val="es-CO"/>
        </w:rPr>
        <w:t xml:space="preserve">ctivos </w:t>
      </w:r>
      <w:r w:rsidR="00D2144E" w:rsidRPr="00D03564">
        <w:rPr>
          <w:rFonts w:ascii="Century Gothic" w:eastAsia="Times New Roman" w:hAnsi="Century Gothic" w:cs="Times New Roman"/>
          <w:bCs/>
          <w:sz w:val="24"/>
          <w:szCs w:val="24"/>
          <w:lang w:val="es-CO"/>
        </w:rPr>
        <w:t>E</w:t>
      </w:r>
      <w:r w:rsidR="00D2144E">
        <w:rPr>
          <w:rFonts w:ascii="Century Gothic" w:eastAsia="Times New Roman" w:hAnsi="Century Gothic" w:cs="Times New Roman"/>
          <w:bCs/>
          <w:sz w:val="24"/>
          <w:szCs w:val="24"/>
          <w:lang w:val="es-CO"/>
        </w:rPr>
        <w:t>speciales</w:t>
      </w:r>
      <w:r w:rsidRPr="00D03564">
        <w:rPr>
          <w:rFonts w:ascii="Century Gothic" w:eastAsia="Times New Roman" w:hAnsi="Century Gothic" w:cs="Times New Roman"/>
          <w:bCs/>
          <w:sz w:val="24"/>
          <w:szCs w:val="24"/>
          <w:lang w:val="es-CO"/>
        </w:rPr>
        <w:t xml:space="preserve"> tiene 23.054 inmuebles de los cuales el 51% se encuentran en ocupación ilegal por terceros.</w:t>
      </w:r>
    </w:p>
    <w:p w14:paraId="1A3BE2E4" w14:textId="3E764E2E"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De acuerdo con el diario El Espectador, en los dos últimos años se han incautado en Colombia al menos 20.351 bienes con fines de extinción de dominio los cuales </w:t>
      </w:r>
      <w:r w:rsidRPr="00D03564">
        <w:rPr>
          <w:rFonts w:ascii="Century Gothic" w:eastAsia="Times New Roman" w:hAnsi="Century Gothic" w:cs="Times New Roman"/>
          <w:bCs/>
          <w:sz w:val="24"/>
          <w:szCs w:val="24"/>
          <w:lang w:val="es-CO"/>
        </w:rPr>
        <w:lastRenderedPageBreak/>
        <w:t>están avaluados en más de 10,7 billones de pesos. En tal perspectiva encontramos que no s</w:t>
      </w:r>
      <w:r w:rsidR="00D2144E">
        <w:rPr>
          <w:rFonts w:ascii="Century Gothic" w:eastAsia="Times New Roman" w:hAnsi="Century Gothic" w:cs="Times New Roman"/>
          <w:bCs/>
          <w:sz w:val="24"/>
          <w:szCs w:val="24"/>
          <w:lang w:val="es-CO"/>
        </w:rPr>
        <w:t>ó</w:t>
      </w:r>
      <w:r w:rsidRPr="00D03564">
        <w:rPr>
          <w:rFonts w:ascii="Century Gothic" w:eastAsia="Times New Roman" w:hAnsi="Century Gothic" w:cs="Times New Roman"/>
          <w:bCs/>
          <w:sz w:val="24"/>
          <w:szCs w:val="24"/>
          <w:lang w:val="es-CO"/>
        </w:rPr>
        <w:t>lo la cantidad de bienes que se encuentran en proceso de extinción de dominio son un n</w:t>
      </w:r>
      <w:r w:rsidR="00B06FF5">
        <w:rPr>
          <w:rFonts w:ascii="Century Gothic" w:eastAsia="Times New Roman" w:hAnsi="Century Gothic" w:cs="Times New Roman"/>
          <w:bCs/>
          <w:sz w:val="24"/>
          <w:szCs w:val="24"/>
          <w:lang w:val="es-CO"/>
        </w:rPr>
        <w:t>ú</w:t>
      </w:r>
      <w:r w:rsidRPr="00D03564">
        <w:rPr>
          <w:rFonts w:ascii="Century Gothic" w:eastAsia="Times New Roman" w:hAnsi="Century Gothic" w:cs="Times New Roman"/>
          <w:bCs/>
          <w:sz w:val="24"/>
          <w:szCs w:val="24"/>
          <w:lang w:val="es-CO"/>
        </w:rPr>
        <w:t xml:space="preserve">mero bastante elevado sino por demás constituyen una posibilidad de luchar contra la financiación de las actividades de carácter ilícito sino </w:t>
      </w:r>
      <w:r w:rsidR="00D2144E">
        <w:rPr>
          <w:rFonts w:ascii="Century Gothic" w:eastAsia="Times New Roman" w:hAnsi="Century Gothic" w:cs="Times New Roman"/>
          <w:bCs/>
          <w:sz w:val="24"/>
          <w:szCs w:val="24"/>
          <w:lang w:val="es-CO"/>
        </w:rPr>
        <w:t>a</w:t>
      </w:r>
      <w:r w:rsidRPr="00D03564">
        <w:rPr>
          <w:rFonts w:ascii="Century Gothic" w:eastAsia="Times New Roman" w:hAnsi="Century Gothic" w:cs="Times New Roman"/>
          <w:bCs/>
          <w:sz w:val="24"/>
          <w:szCs w:val="24"/>
          <w:lang w:val="es-CO"/>
        </w:rPr>
        <w:t xml:space="preserve">demás de consolidar apuestas de redireccionamiento de estos recursos para generar un impacto social en diferentes territorios y regiones del país. </w:t>
      </w:r>
    </w:p>
    <w:p w14:paraId="68DE9532" w14:textId="4F4A1632" w:rsidR="0008628A"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En tal sentido, el Grupo de Investigación en Derecho Penal de la Universidad del Rosario destaca que en Colombia apenas se logra incautar u ocupar al año el 0.01% de los bienes de origen ilícito, aproximadamente $1.5 o $2 billones. Asimismo, señala que alrededor de $18.000 billones de pesos se lavan al año</w:t>
      </w:r>
      <w:r w:rsidR="0043221D">
        <w:rPr>
          <w:rFonts w:ascii="Century Gothic" w:eastAsia="Times New Roman" w:hAnsi="Century Gothic" w:cs="Times New Roman"/>
          <w:bCs/>
          <w:sz w:val="24"/>
          <w:szCs w:val="24"/>
          <w:lang w:val="es-CO"/>
        </w:rPr>
        <w:t>,</w:t>
      </w:r>
      <w:r w:rsidRPr="00D03564">
        <w:rPr>
          <w:rFonts w:ascii="Century Gothic" w:eastAsia="Times New Roman" w:hAnsi="Century Gothic" w:cs="Times New Roman"/>
          <w:bCs/>
          <w:sz w:val="24"/>
          <w:szCs w:val="24"/>
          <w:lang w:val="es-CO"/>
        </w:rPr>
        <w:t xml:space="preserve"> provenientes de actividades vinculadas al narcotráfico.</w:t>
      </w:r>
    </w:p>
    <w:p w14:paraId="067BFA68" w14:textId="5BA21A05" w:rsidR="00D03564" w:rsidRPr="00D03564" w:rsidRDefault="00D03564" w:rsidP="00D03564">
      <w:pPr>
        <w:spacing w:before="240" w:after="240" w:line="360" w:lineRule="auto"/>
        <w:jc w:val="both"/>
        <w:rPr>
          <w:rFonts w:ascii="Century Gothic" w:eastAsia="Times New Roman" w:hAnsi="Century Gothic" w:cs="Times New Roman"/>
          <w:bCs/>
          <w:sz w:val="24"/>
          <w:szCs w:val="24"/>
          <w:lang w:val="es-CO"/>
        </w:rPr>
      </w:pPr>
      <w:r w:rsidRPr="00D03564">
        <w:rPr>
          <w:rFonts w:ascii="Century Gothic" w:eastAsia="Times New Roman" w:hAnsi="Century Gothic" w:cs="Times New Roman"/>
          <w:bCs/>
          <w:sz w:val="24"/>
          <w:szCs w:val="24"/>
          <w:lang w:val="es-CO"/>
        </w:rPr>
        <w:t xml:space="preserve">En tal perspectiva el proceso actual contempla dificultades frente a las capacidades y posibilidades de apropiación de recursos a través del mecanismo de extinción de dominio en particular </w:t>
      </w:r>
      <w:r w:rsidR="00A06A3C" w:rsidRPr="00D03564">
        <w:rPr>
          <w:rFonts w:ascii="Century Gothic" w:eastAsia="Times New Roman" w:hAnsi="Century Gothic" w:cs="Times New Roman"/>
          <w:bCs/>
          <w:sz w:val="24"/>
          <w:szCs w:val="24"/>
          <w:lang w:val="es-CO"/>
        </w:rPr>
        <w:t xml:space="preserve">al </w:t>
      </w:r>
      <w:r w:rsidR="00A06A3C">
        <w:rPr>
          <w:rFonts w:ascii="Century Gothic" w:eastAsia="Times New Roman" w:hAnsi="Century Gothic" w:cs="Times New Roman"/>
          <w:bCs/>
          <w:sz w:val="24"/>
          <w:szCs w:val="24"/>
          <w:lang w:val="es-CO"/>
        </w:rPr>
        <w:t>dejar</w:t>
      </w:r>
      <w:r w:rsidR="0008628A">
        <w:rPr>
          <w:rFonts w:ascii="Century Gothic" w:eastAsia="Times New Roman" w:hAnsi="Century Gothic" w:cs="Times New Roman"/>
          <w:bCs/>
          <w:sz w:val="24"/>
          <w:szCs w:val="24"/>
          <w:lang w:val="es-CO"/>
        </w:rPr>
        <w:t xml:space="preserve"> en evidencia el </w:t>
      </w:r>
      <w:r w:rsidRPr="00D03564">
        <w:rPr>
          <w:rFonts w:ascii="Century Gothic" w:eastAsia="Times New Roman" w:hAnsi="Century Gothic" w:cs="Times New Roman"/>
          <w:bCs/>
          <w:sz w:val="24"/>
          <w:szCs w:val="24"/>
          <w:lang w:val="es-CO"/>
        </w:rPr>
        <w:t xml:space="preserve">pequeño margen de bienes incautados y apropiados. </w:t>
      </w:r>
      <w:r w:rsidR="00A06A3C">
        <w:rPr>
          <w:rFonts w:ascii="Century Gothic" w:eastAsia="Times New Roman" w:hAnsi="Century Gothic" w:cs="Times New Roman"/>
          <w:bCs/>
          <w:sz w:val="24"/>
          <w:szCs w:val="24"/>
          <w:lang w:val="es-CO"/>
        </w:rPr>
        <w:t xml:space="preserve">Asimismo, los ejemplos señalados apuntan a una reconfiguración de los bienes producto de actividades ilícitas para emprender proceso de reconciliación, memoria histórica y generar nueva infraestructura en salud, educación recreación y cultura. </w:t>
      </w:r>
    </w:p>
    <w:p w14:paraId="1ECE21AA" w14:textId="77777777" w:rsidR="00A8205E" w:rsidRDefault="00A8205E" w:rsidP="00D03564">
      <w:pPr>
        <w:spacing w:before="240" w:after="240" w:line="360" w:lineRule="auto"/>
        <w:jc w:val="both"/>
        <w:rPr>
          <w:rFonts w:ascii="Century Gothic" w:eastAsia="Times New Roman" w:hAnsi="Century Gothic" w:cs="Times New Roman"/>
          <w:b/>
          <w:sz w:val="24"/>
          <w:szCs w:val="24"/>
          <w:lang w:val="es-CO"/>
        </w:rPr>
      </w:pPr>
    </w:p>
    <w:p w14:paraId="168BAEDA" w14:textId="53A93E76" w:rsidR="00592D6C" w:rsidRPr="000C10D2" w:rsidRDefault="00592D6C"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IV. </w:t>
      </w:r>
      <w:r w:rsidR="008C54B5">
        <w:rPr>
          <w:rFonts w:ascii="Century Gothic" w:eastAsia="Times New Roman" w:hAnsi="Century Gothic" w:cs="Times New Roman"/>
          <w:b/>
          <w:sz w:val="24"/>
          <w:szCs w:val="24"/>
          <w:lang w:val="es-CO"/>
        </w:rPr>
        <w:t xml:space="preserve">MARCO </w:t>
      </w:r>
      <w:r w:rsidRPr="000C10D2">
        <w:rPr>
          <w:rFonts w:ascii="Century Gothic" w:eastAsia="Times New Roman" w:hAnsi="Century Gothic" w:cs="Times New Roman"/>
          <w:b/>
          <w:sz w:val="24"/>
          <w:szCs w:val="24"/>
          <w:lang w:val="es-CO"/>
        </w:rPr>
        <w:t>NORMATIV</w:t>
      </w:r>
      <w:r w:rsidR="008C54B5">
        <w:rPr>
          <w:rFonts w:ascii="Century Gothic" w:eastAsia="Times New Roman" w:hAnsi="Century Gothic" w:cs="Times New Roman"/>
          <w:b/>
          <w:sz w:val="24"/>
          <w:szCs w:val="24"/>
          <w:lang w:val="es-CO"/>
        </w:rPr>
        <w:t>O</w:t>
      </w:r>
    </w:p>
    <w:p w14:paraId="241B6054" w14:textId="77777777" w:rsidR="00A8205E" w:rsidRDefault="00A8205E" w:rsidP="00D03564">
      <w:pPr>
        <w:spacing w:before="240" w:after="240" w:line="360" w:lineRule="auto"/>
        <w:jc w:val="both"/>
        <w:rPr>
          <w:rFonts w:ascii="Century Gothic" w:eastAsia="Times New Roman" w:hAnsi="Century Gothic" w:cs="Times New Roman"/>
          <w:b/>
          <w:sz w:val="24"/>
          <w:szCs w:val="24"/>
          <w:u w:val="single"/>
          <w:lang w:val="es-CO"/>
        </w:rPr>
      </w:pPr>
    </w:p>
    <w:p w14:paraId="19D3E42D" w14:textId="648DFBD2" w:rsidR="00C046A5" w:rsidRPr="000C10D2" w:rsidRDefault="00C046A5" w:rsidP="00D03564">
      <w:pPr>
        <w:spacing w:before="240" w:after="240" w:line="360" w:lineRule="auto"/>
        <w:jc w:val="both"/>
        <w:rPr>
          <w:rFonts w:ascii="Century Gothic" w:eastAsia="Times New Roman" w:hAnsi="Century Gothic" w:cs="Times New Roman"/>
          <w:b/>
          <w:sz w:val="24"/>
          <w:szCs w:val="24"/>
          <w:u w:val="single"/>
          <w:lang w:val="es-CO"/>
        </w:rPr>
      </w:pPr>
      <w:r w:rsidRPr="000C10D2">
        <w:rPr>
          <w:rFonts w:ascii="Century Gothic" w:eastAsia="Times New Roman" w:hAnsi="Century Gothic" w:cs="Times New Roman"/>
          <w:b/>
          <w:sz w:val="24"/>
          <w:szCs w:val="24"/>
          <w:u w:val="single"/>
          <w:lang w:val="es-CO"/>
        </w:rPr>
        <w:lastRenderedPageBreak/>
        <w:t>ANTECEDENTES NORMATIVOS</w:t>
      </w:r>
    </w:p>
    <w:p w14:paraId="5091B981" w14:textId="3671A483" w:rsidR="00367161" w:rsidRPr="000C10D2" w:rsidRDefault="00C27462"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Constitución política de 1991 articulo 34 </w:t>
      </w:r>
    </w:p>
    <w:p w14:paraId="40C10F6E" w14:textId="2BB5D316" w:rsidR="0034094D" w:rsidRPr="000C10D2" w:rsidRDefault="0034094D"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sz w:val="24"/>
          <w:szCs w:val="24"/>
          <w:lang w:val="es-CO"/>
        </w:rPr>
        <w:t xml:space="preserve">La figura de extinción de dominio, tiene origen en la Constitución Política de 1991, como consecuencia de la proliferación de conductas ilícitas de diferentes orígenes, siendo una herramienta propicia para desestimular el delito, actuando sobre los bienes que se consiguieran sin estar amparados en el ordenamiento jurídico, que constituyeran un perjuicio al tesoro público o que afectaran gravemente la moral social. </w:t>
      </w:r>
    </w:p>
    <w:p w14:paraId="685A92AC" w14:textId="17D0B592" w:rsidR="0034094D" w:rsidRPr="000C10D2" w:rsidRDefault="0034094D" w:rsidP="00D03564">
      <w:pPr>
        <w:spacing w:before="240" w:after="240" w:line="360" w:lineRule="auto"/>
        <w:jc w:val="both"/>
        <w:rPr>
          <w:rFonts w:ascii="Century Gothic" w:hAnsi="Century Gothic"/>
          <w:iCs/>
          <w:sz w:val="24"/>
          <w:szCs w:val="24"/>
          <w:shd w:val="clear" w:color="auto" w:fill="FFFFFF"/>
        </w:rPr>
      </w:pPr>
      <w:r w:rsidRPr="000C10D2">
        <w:rPr>
          <w:rFonts w:ascii="Century Gothic" w:hAnsi="Century Gothic"/>
          <w:iCs/>
          <w:sz w:val="24"/>
          <w:szCs w:val="24"/>
          <w:shd w:val="clear" w:color="auto" w:fill="FFFFFF"/>
        </w:rPr>
        <w:t xml:space="preserve">De esa manera, el precepto constitucional consagrado en el artículo 34, contemplo la figura de la siguiente manera: </w:t>
      </w:r>
    </w:p>
    <w:p w14:paraId="43CAE365" w14:textId="64806F6F" w:rsidR="0034094D" w:rsidRPr="000C10D2" w:rsidRDefault="0034094D" w:rsidP="00D03564">
      <w:pPr>
        <w:pStyle w:val="NormalWeb"/>
        <w:spacing w:line="360" w:lineRule="auto"/>
        <w:ind w:left="720"/>
        <w:jc w:val="both"/>
        <w:rPr>
          <w:rFonts w:ascii="Century Gothic" w:hAnsi="Century Gothic" w:cs="Arial"/>
          <w:i/>
        </w:rPr>
      </w:pPr>
      <w:bookmarkStart w:id="3" w:name="34"/>
      <w:r w:rsidRPr="000C10D2">
        <w:rPr>
          <w:rFonts w:ascii="Century Gothic" w:hAnsi="Century Gothic" w:cs="Arial"/>
          <w:b/>
          <w:bCs/>
          <w:i/>
        </w:rPr>
        <w:t>ARTICULO 34. </w:t>
      </w:r>
      <w:bookmarkEnd w:id="3"/>
      <w:r w:rsidRPr="000C10D2">
        <w:rPr>
          <w:rFonts w:ascii="Century Gothic" w:hAnsi="Century Gothic" w:cs="Arial"/>
          <w:i/>
        </w:rPr>
        <w:t xml:space="preserve">Se </w:t>
      </w:r>
      <w:r w:rsidR="00A62CC2" w:rsidRPr="000C10D2">
        <w:rPr>
          <w:rFonts w:ascii="Century Gothic" w:hAnsi="Century Gothic" w:cs="Arial"/>
          <w:i/>
        </w:rPr>
        <w:t>prohíben</w:t>
      </w:r>
      <w:r w:rsidRPr="000C10D2">
        <w:rPr>
          <w:rFonts w:ascii="Century Gothic" w:hAnsi="Century Gothic" w:cs="Arial"/>
          <w:i/>
        </w:rPr>
        <w:t xml:space="preserve"> las penas de destierro, prisión perpetua y confiscación.</w:t>
      </w:r>
    </w:p>
    <w:p w14:paraId="59826538" w14:textId="77777777" w:rsidR="0034094D" w:rsidRPr="000C10D2" w:rsidRDefault="0034094D" w:rsidP="00D03564">
      <w:pPr>
        <w:pStyle w:val="NormalWeb"/>
        <w:spacing w:line="360" w:lineRule="auto"/>
        <w:ind w:left="720"/>
        <w:jc w:val="both"/>
        <w:rPr>
          <w:rFonts w:ascii="Century Gothic" w:hAnsi="Century Gothic" w:cs="Arial"/>
        </w:rPr>
      </w:pPr>
      <w:r w:rsidRPr="000C10D2">
        <w:rPr>
          <w:rFonts w:ascii="Century Gothic" w:hAnsi="Century Gothic" w:cs="Arial"/>
          <w:i/>
        </w:rPr>
        <w:t>No obstante, por sentencia judicial, se declarará extinguido el dominio sobre los bienes adquiridos mediante enriquecimiento ilícito, en perjuicio del Tesoro público o con grave deterioro de la moral social.</w:t>
      </w:r>
    </w:p>
    <w:p w14:paraId="19F6D5B9" w14:textId="7989FA99" w:rsidR="00C27462" w:rsidRPr="000C10D2" w:rsidRDefault="0034094D" w:rsidP="00D03564">
      <w:pPr>
        <w:pStyle w:val="NormalWeb"/>
        <w:spacing w:line="360" w:lineRule="auto"/>
        <w:jc w:val="both"/>
        <w:rPr>
          <w:rFonts w:ascii="Century Gothic" w:hAnsi="Century Gothic" w:cs="Arial"/>
        </w:rPr>
      </w:pPr>
      <w:r w:rsidRPr="000C10D2">
        <w:rPr>
          <w:rFonts w:ascii="Century Gothic" w:hAnsi="Century Gothic"/>
          <w:bCs/>
        </w:rPr>
        <w:t>Así</w:t>
      </w:r>
      <w:r w:rsidR="00A62CC2" w:rsidRPr="000C10D2">
        <w:rPr>
          <w:rFonts w:ascii="Century Gothic" w:hAnsi="Century Gothic"/>
          <w:bCs/>
        </w:rPr>
        <w:t xml:space="preserve"> las cosas, se determinó </w:t>
      </w:r>
      <w:r w:rsidR="00C27462" w:rsidRPr="000C10D2">
        <w:rPr>
          <w:rFonts w:ascii="Century Gothic" w:hAnsi="Century Gothic"/>
          <w:bCs/>
        </w:rPr>
        <w:t xml:space="preserve"> una </w:t>
      </w:r>
      <w:r w:rsidR="00541EA0" w:rsidRPr="000C10D2">
        <w:rPr>
          <w:rFonts w:ascii="Century Gothic" w:hAnsi="Century Gothic"/>
          <w:bCs/>
        </w:rPr>
        <w:t>posición respecto</w:t>
      </w:r>
      <w:r w:rsidR="00C27462" w:rsidRPr="000C10D2">
        <w:rPr>
          <w:rFonts w:ascii="Century Gothic" w:hAnsi="Century Gothic"/>
          <w:bCs/>
        </w:rPr>
        <w:t xml:space="preserve"> de lo que se debe realizar frente a los bienes</w:t>
      </w:r>
      <w:r w:rsidR="00A62CC2" w:rsidRPr="000C10D2">
        <w:rPr>
          <w:rFonts w:ascii="Century Gothic" w:hAnsi="Century Gothic"/>
          <w:bCs/>
        </w:rPr>
        <w:t xml:space="preserve"> </w:t>
      </w:r>
      <w:r w:rsidR="00A62CC2" w:rsidRPr="000C10D2">
        <w:rPr>
          <w:rFonts w:ascii="Century Gothic" w:hAnsi="Century Gothic" w:cs="Arial"/>
          <w:i/>
        </w:rPr>
        <w:t xml:space="preserve">adquiridos mediante enriquecimiento ilícito, en perjuicio del Tesoro público o con grave deterioro de la moral social, </w:t>
      </w:r>
      <w:r w:rsidR="00A62CC2" w:rsidRPr="000C10D2">
        <w:rPr>
          <w:rFonts w:ascii="Century Gothic" w:hAnsi="Century Gothic" w:cs="Arial"/>
        </w:rPr>
        <w:t xml:space="preserve"> los cuales debían extinguirse a </w:t>
      </w:r>
      <w:r w:rsidR="00D2144E" w:rsidRPr="000C10D2">
        <w:rPr>
          <w:rFonts w:ascii="Century Gothic" w:hAnsi="Century Gothic" w:cs="Arial"/>
        </w:rPr>
        <w:t>través</w:t>
      </w:r>
      <w:r w:rsidR="00A62CC2" w:rsidRPr="000C10D2">
        <w:rPr>
          <w:rFonts w:ascii="Century Gothic" w:hAnsi="Century Gothic" w:cs="Arial"/>
        </w:rPr>
        <w:t xml:space="preserve"> de sentencia judicial; esta posición constitucional permitió que se diera la lucha contra el </w:t>
      </w:r>
      <w:r w:rsidR="00541EA0" w:rsidRPr="000C10D2">
        <w:rPr>
          <w:rFonts w:ascii="Century Gothic" w:hAnsi="Century Gothic"/>
          <w:bCs/>
        </w:rPr>
        <w:t>narcotráfico</w:t>
      </w:r>
      <w:r w:rsidR="00A62CC2" w:rsidRPr="000C10D2">
        <w:rPr>
          <w:rFonts w:ascii="Century Gothic" w:hAnsi="Century Gothic"/>
          <w:bCs/>
        </w:rPr>
        <w:t xml:space="preserve">, </w:t>
      </w:r>
      <w:r w:rsidR="00D2144E">
        <w:rPr>
          <w:rFonts w:ascii="Century Gothic" w:hAnsi="Century Gothic"/>
          <w:bCs/>
        </w:rPr>
        <w:t xml:space="preserve">pues </w:t>
      </w:r>
      <w:r w:rsidR="00541EA0" w:rsidRPr="000C10D2">
        <w:rPr>
          <w:rFonts w:ascii="Century Gothic" w:hAnsi="Century Gothic"/>
          <w:bCs/>
        </w:rPr>
        <w:t>no s</w:t>
      </w:r>
      <w:r w:rsidR="00D2144E">
        <w:rPr>
          <w:rFonts w:ascii="Century Gothic" w:hAnsi="Century Gothic"/>
          <w:bCs/>
        </w:rPr>
        <w:t>ó</w:t>
      </w:r>
      <w:r w:rsidR="00541EA0" w:rsidRPr="000C10D2">
        <w:rPr>
          <w:rFonts w:ascii="Century Gothic" w:hAnsi="Century Gothic"/>
          <w:bCs/>
        </w:rPr>
        <w:t xml:space="preserve">lo estipula el actuar contra el delito sino por </w:t>
      </w:r>
      <w:r w:rsidR="00A62CC2" w:rsidRPr="000C10D2">
        <w:rPr>
          <w:rFonts w:ascii="Century Gothic" w:hAnsi="Century Gothic"/>
          <w:bCs/>
        </w:rPr>
        <w:lastRenderedPageBreak/>
        <w:t>demás</w:t>
      </w:r>
      <w:r w:rsidR="00541EA0" w:rsidRPr="000C10D2">
        <w:rPr>
          <w:rFonts w:ascii="Century Gothic" w:hAnsi="Century Gothic"/>
          <w:bCs/>
        </w:rPr>
        <w:t xml:space="preserve"> una estrategia </w:t>
      </w:r>
      <w:r w:rsidR="00A62CC2" w:rsidRPr="000C10D2">
        <w:rPr>
          <w:rFonts w:ascii="Century Gothic" w:hAnsi="Century Gothic"/>
          <w:bCs/>
        </w:rPr>
        <w:t xml:space="preserve">patrimonial, </w:t>
      </w:r>
      <w:r w:rsidR="00541EA0" w:rsidRPr="000C10D2">
        <w:rPr>
          <w:rFonts w:ascii="Century Gothic" w:hAnsi="Century Gothic"/>
          <w:bCs/>
        </w:rPr>
        <w:t xml:space="preserve">en la cual aquellos </w:t>
      </w:r>
      <w:r w:rsidR="00EE18B9" w:rsidRPr="000C10D2">
        <w:rPr>
          <w:rFonts w:ascii="Century Gothic" w:hAnsi="Century Gothic"/>
          <w:bCs/>
        </w:rPr>
        <w:t>bienes objeto</w:t>
      </w:r>
      <w:r w:rsidR="00541EA0" w:rsidRPr="000C10D2">
        <w:rPr>
          <w:rFonts w:ascii="Century Gothic" w:hAnsi="Century Gothic"/>
          <w:bCs/>
        </w:rPr>
        <w:t xml:space="preserve"> de extinción de dominio puedan tener un impacto en beneficio de la sociedad. </w:t>
      </w:r>
    </w:p>
    <w:p w14:paraId="074AEE5D" w14:textId="19D24936" w:rsidR="00363460" w:rsidRPr="000C10D2" w:rsidRDefault="00501655"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Igualmente, en la constitución podemos evidenciar la protección que se le dio a la propiedad privada, y la cual fu consagrada en el artículo 58 Constitucional, de la siguiente manera: </w:t>
      </w:r>
    </w:p>
    <w:p w14:paraId="05A92F34" w14:textId="7FCDC54A" w:rsidR="00363460" w:rsidRPr="000C10D2" w:rsidRDefault="00363460" w:rsidP="00D03564">
      <w:pPr>
        <w:spacing w:before="240" w:after="240" w:line="360" w:lineRule="auto"/>
        <w:ind w:left="720"/>
        <w:jc w:val="both"/>
        <w:rPr>
          <w:rFonts w:ascii="Century Gothic" w:hAnsi="Century Gothic"/>
          <w:sz w:val="24"/>
          <w:szCs w:val="24"/>
        </w:rPr>
      </w:pPr>
      <w:bookmarkStart w:id="4" w:name="58"/>
      <w:r w:rsidRPr="000C10D2">
        <w:rPr>
          <w:rFonts w:ascii="Century Gothic" w:hAnsi="Century Gothic"/>
          <w:b/>
          <w:bCs/>
          <w:sz w:val="24"/>
          <w:szCs w:val="24"/>
        </w:rPr>
        <w:t>ARTICULO 58. </w:t>
      </w:r>
      <w:bookmarkEnd w:id="4"/>
      <w:r w:rsidRPr="000C10D2">
        <w:rPr>
          <w:rFonts w:ascii="Century Gothic" w:hAnsi="Century Gothic"/>
          <w:sz w:val="24"/>
          <w:szCs w:val="24"/>
        </w:rPr>
        <w:t xml:space="preserve">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43A1358D" w14:textId="4A7602DE" w:rsidR="00363460" w:rsidRPr="000C10D2" w:rsidRDefault="00363460" w:rsidP="00D03564">
      <w:pPr>
        <w:spacing w:before="240" w:after="240" w:line="360" w:lineRule="auto"/>
        <w:ind w:left="720"/>
        <w:jc w:val="both"/>
        <w:rPr>
          <w:rFonts w:ascii="Century Gothic" w:hAnsi="Century Gothic"/>
          <w:sz w:val="24"/>
          <w:szCs w:val="24"/>
        </w:rPr>
      </w:pPr>
      <w:r w:rsidRPr="000C10D2">
        <w:rPr>
          <w:rFonts w:ascii="Century Gothic" w:hAnsi="Century Gothic"/>
          <w:sz w:val="24"/>
          <w:szCs w:val="24"/>
        </w:rPr>
        <w:t>La propiedad es una función social que implica obligaciones. Como tal, le es inherente una función ecológica.</w:t>
      </w:r>
    </w:p>
    <w:p w14:paraId="740E6A43" w14:textId="6D22F1E6" w:rsidR="00C75BCD" w:rsidRPr="000C10D2" w:rsidRDefault="00363460" w:rsidP="00D03564">
      <w:pPr>
        <w:spacing w:before="240" w:after="240" w:line="360" w:lineRule="auto"/>
        <w:ind w:left="720"/>
        <w:jc w:val="both"/>
        <w:rPr>
          <w:rFonts w:ascii="Century Gothic" w:hAnsi="Century Gothic"/>
          <w:sz w:val="24"/>
          <w:szCs w:val="24"/>
        </w:rPr>
      </w:pPr>
      <w:r w:rsidRPr="000C10D2">
        <w:rPr>
          <w:rFonts w:ascii="Century Gothic" w:hAnsi="Century Gothic"/>
          <w:sz w:val="24"/>
          <w:szCs w:val="24"/>
        </w:rPr>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p>
    <w:p w14:paraId="7B87931F" w14:textId="3D5FA94E" w:rsidR="00947675" w:rsidRPr="000C10D2" w:rsidRDefault="00C75BCD" w:rsidP="00D03564">
      <w:pPr>
        <w:spacing w:before="240" w:after="240" w:line="360" w:lineRule="auto"/>
        <w:jc w:val="both"/>
        <w:rPr>
          <w:rFonts w:ascii="Century Gothic" w:hAnsi="Century Gothic"/>
          <w:b/>
          <w:sz w:val="24"/>
          <w:szCs w:val="24"/>
        </w:rPr>
      </w:pPr>
      <w:r w:rsidRPr="000C10D2">
        <w:rPr>
          <w:rFonts w:ascii="Century Gothic" w:hAnsi="Century Gothic"/>
          <w:sz w:val="24"/>
          <w:szCs w:val="24"/>
        </w:rPr>
        <w:t xml:space="preserve">A través de este precepto constitucional se garantiza el derecho a la propiedad privada, siempre que ella haya sido adquirida con arreglo a las leyes, por lo que, si </w:t>
      </w:r>
      <w:r w:rsidRPr="000C10D2">
        <w:rPr>
          <w:rFonts w:ascii="Century Gothic" w:hAnsi="Century Gothic"/>
          <w:sz w:val="24"/>
          <w:szCs w:val="24"/>
        </w:rPr>
        <w:lastRenderedPageBreak/>
        <w:t xml:space="preserve">bien el </w:t>
      </w:r>
      <w:r w:rsidR="00D2144E">
        <w:rPr>
          <w:rFonts w:ascii="Century Gothic" w:hAnsi="Century Gothic"/>
          <w:sz w:val="24"/>
          <w:szCs w:val="24"/>
        </w:rPr>
        <w:t>E</w:t>
      </w:r>
      <w:r w:rsidRPr="000C10D2">
        <w:rPr>
          <w:rFonts w:ascii="Century Gothic" w:hAnsi="Century Gothic"/>
          <w:sz w:val="24"/>
          <w:szCs w:val="24"/>
        </w:rPr>
        <w:t>stado tiene el deber de proteger este derecho y no vulnerarlo a través de sus leyes, no menos cierto</w:t>
      </w:r>
      <w:r w:rsidR="00D2144E">
        <w:rPr>
          <w:rFonts w:ascii="Century Gothic" w:hAnsi="Century Gothic"/>
          <w:sz w:val="24"/>
          <w:szCs w:val="24"/>
        </w:rPr>
        <w:t>,</w:t>
      </w:r>
      <w:r w:rsidRPr="000C10D2">
        <w:rPr>
          <w:rFonts w:ascii="Century Gothic" w:hAnsi="Century Gothic"/>
          <w:sz w:val="24"/>
          <w:szCs w:val="24"/>
        </w:rPr>
        <w:t xml:space="preserve"> es que el derecho a la propiedad privada no es absoluto y </w:t>
      </w:r>
      <w:r w:rsidR="006E2942" w:rsidRPr="000C10D2">
        <w:rPr>
          <w:rFonts w:ascii="Century Gothic" w:hAnsi="Century Gothic"/>
          <w:sz w:val="24"/>
          <w:szCs w:val="24"/>
        </w:rPr>
        <w:t>así</w:t>
      </w:r>
      <w:r w:rsidRPr="000C10D2">
        <w:rPr>
          <w:rFonts w:ascii="Century Gothic" w:hAnsi="Century Gothic"/>
          <w:sz w:val="24"/>
          <w:szCs w:val="24"/>
        </w:rPr>
        <w:t xml:space="preserve"> lo ha manifestado la Corte Constitucional</w:t>
      </w:r>
      <w:r w:rsidR="006E2942" w:rsidRPr="000C10D2">
        <w:rPr>
          <w:rFonts w:ascii="Century Gothic" w:hAnsi="Century Gothic"/>
          <w:sz w:val="24"/>
          <w:szCs w:val="24"/>
        </w:rPr>
        <w:t>,</w:t>
      </w:r>
      <w:r w:rsidR="00D2144E">
        <w:rPr>
          <w:rFonts w:ascii="Century Gothic" w:hAnsi="Century Gothic"/>
          <w:sz w:val="24"/>
          <w:szCs w:val="24"/>
        </w:rPr>
        <w:t xml:space="preserve"> en reiteradas ocasiones</w:t>
      </w:r>
      <w:r w:rsidR="006E2942" w:rsidRPr="000C10D2">
        <w:rPr>
          <w:rFonts w:ascii="Century Gothic" w:hAnsi="Century Gothic"/>
          <w:sz w:val="24"/>
          <w:szCs w:val="24"/>
        </w:rPr>
        <w:t xml:space="preserve"> como en el caso de la </w:t>
      </w:r>
      <w:r w:rsidR="00947675" w:rsidRPr="000C10D2">
        <w:rPr>
          <w:rFonts w:ascii="Century Gothic" w:hAnsi="Century Gothic"/>
          <w:b/>
          <w:sz w:val="24"/>
          <w:szCs w:val="24"/>
        </w:rPr>
        <w:t xml:space="preserve">Sentencia C 374/1991: </w:t>
      </w:r>
    </w:p>
    <w:p w14:paraId="11083010" w14:textId="3E29A593" w:rsidR="00947675" w:rsidRPr="000C10D2" w:rsidRDefault="00947675" w:rsidP="00D03564">
      <w:pPr>
        <w:spacing w:before="240" w:after="240" w:line="360" w:lineRule="auto"/>
        <w:ind w:left="720"/>
        <w:jc w:val="both"/>
        <w:rPr>
          <w:rFonts w:ascii="Century Gothic" w:hAnsi="Century Gothic"/>
          <w:i/>
          <w:sz w:val="24"/>
          <w:szCs w:val="24"/>
          <w:shd w:val="clear" w:color="auto" w:fill="FFFFFF"/>
        </w:rPr>
      </w:pPr>
      <w:r w:rsidRPr="000C10D2">
        <w:rPr>
          <w:rFonts w:ascii="Century Gothic" w:hAnsi="Century Gothic"/>
          <w:sz w:val="24"/>
          <w:szCs w:val="24"/>
          <w:shd w:val="clear" w:color="auto" w:fill="FFFFFF"/>
        </w:rPr>
        <w:t>“</w:t>
      </w:r>
      <w:r w:rsidRPr="000C10D2">
        <w:rPr>
          <w:rFonts w:ascii="Century Gothic" w:hAnsi="Century Gothic"/>
          <w:i/>
          <w:sz w:val="24"/>
          <w:szCs w:val="24"/>
          <w:shd w:val="clear" w:color="auto" w:fill="FFFFFF"/>
        </w:rPr>
        <w:t>El derecho a la propiedad está protegido por el Estado siempre que contribuya a cumplir con sus fines esenciales y a su desarrollo como Estado Social de Derecho, entendiéndose la propiedad como aquélla que se ha adquirido dentro de los parámetros establecidos por el ordenamiento jurídico, de tal forma que el dominio adquirido ilícitamente debe extinguirse</w:t>
      </w:r>
    </w:p>
    <w:p w14:paraId="5EC1D41D" w14:textId="09F4BE5E" w:rsidR="00947675" w:rsidRPr="000C10D2" w:rsidRDefault="00947675" w:rsidP="00D03564">
      <w:pPr>
        <w:spacing w:before="240" w:after="240" w:line="360" w:lineRule="auto"/>
        <w:ind w:left="720"/>
        <w:jc w:val="both"/>
        <w:rPr>
          <w:rFonts w:ascii="Century Gothic" w:hAnsi="Century Gothic"/>
          <w:sz w:val="24"/>
          <w:szCs w:val="24"/>
          <w:shd w:val="clear" w:color="auto" w:fill="FFFFFF"/>
        </w:rPr>
      </w:pPr>
      <w:r w:rsidRPr="000C10D2">
        <w:rPr>
          <w:rFonts w:ascii="Century Gothic" w:hAnsi="Century Gothic"/>
          <w:sz w:val="24"/>
          <w:szCs w:val="24"/>
          <w:shd w:val="clear" w:color="auto" w:fill="FFFFFF"/>
        </w:rPr>
        <w:t>(…)</w:t>
      </w:r>
    </w:p>
    <w:p w14:paraId="0D37C4D7" w14:textId="1976D68C" w:rsidR="00947675" w:rsidRPr="000C10D2" w:rsidRDefault="00947675" w:rsidP="00D03564">
      <w:pPr>
        <w:spacing w:before="240" w:after="240" w:line="360" w:lineRule="auto"/>
        <w:ind w:left="720"/>
        <w:jc w:val="both"/>
        <w:rPr>
          <w:rFonts w:ascii="Century Gothic" w:hAnsi="Century Gothic"/>
          <w:i/>
          <w:sz w:val="24"/>
          <w:szCs w:val="24"/>
          <w:shd w:val="clear" w:color="auto" w:fill="FFFFFF"/>
        </w:rPr>
      </w:pPr>
      <w:r w:rsidRPr="000C10D2">
        <w:rPr>
          <w:rFonts w:ascii="Century Gothic" w:hAnsi="Century Gothic"/>
          <w:i/>
          <w:iCs/>
          <w:sz w:val="24"/>
          <w:szCs w:val="24"/>
          <w:shd w:val="clear" w:color="auto" w:fill="FFFFFF"/>
        </w:rPr>
        <w:t>El derecho de propiedad que la Constitución garantiza en su artículo 58 es el adquirido de manera lícita, ajustada a las exigencias de la ley, sin daño ni ofensa a los particulares ni al Estado y dentro de los límites que impone la moral social. Nadie puede exigir garantía ni respeto a su propiedad cuando el título que ostenta está viciado, ya que, si contraría los postulados mínimos, jurídicos y éticos, que la sociedad proclama, el dominio y sus componentes esenciales carecen de legitimidad.”</w:t>
      </w:r>
    </w:p>
    <w:p w14:paraId="666EC39D" w14:textId="1F336DE1" w:rsidR="006E2942" w:rsidRPr="000C10D2" w:rsidRDefault="00947675" w:rsidP="00D03564">
      <w:pPr>
        <w:spacing w:before="240" w:after="240" w:line="360" w:lineRule="auto"/>
        <w:jc w:val="both"/>
        <w:rPr>
          <w:rFonts w:ascii="Century Gothic" w:hAnsi="Century Gothic"/>
          <w:sz w:val="24"/>
          <w:szCs w:val="24"/>
        </w:rPr>
      </w:pPr>
      <w:r w:rsidRPr="000C10D2">
        <w:rPr>
          <w:rFonts w:ascii="Century Gothic" w:hAnsi="Century Gothic"/>
          <w:b/>
          <w:sz w:val="24"/>
          <w:szCs w:val="24"/>
        </w:rPr>
        <w:t xml:space="preserve">Es así como se vislumbra la limitación de ese derecho de propiedad privada, pues el mismo goza de protección estatal siempre que contribuya con los fines del estado y haya sido adquirido amparado y ajustado con el </w:t>
      </w:r>
      <w:r w:rsidR="006E2942" w:rsidRPr="000C10D2">
        <w:rPr>
          <w:rFonts w:ascii="Century Gothic" w:hAnsi="Century Gothic"/>
          <w:b/>
          <w:sz w:val="24"/>
          <w:szCs w:val="24"/>
        </w:rPr>
        <w:t>ordenamiento</w:t>
      </w:r>
      <w:r w:rsidRPr="000C10D2">
        <w:rPr>
          <w:rFonts w:ascii="Century Gothic" w:hAnsi="Century Gothic"/>
          <w:b/>
          <w:sz w:val="24"/>
          <w:szCs w:val="24"/>
        </w:rPr>
        <w:t xml:space="preserve"> jurídico</w:t>
      </w:r>
      <w:r w:rsidR="006E2942" w:rsidRPr="000C10D2">
        <w:rPr>
          <w:rFonts w:ascii="Century Gothic" w:hAnsi="Century Gothic"/>
          <w:b/>
          <w:sz w:val="24"/>
          <w:szCs w:val="24"/>
        </w:rPr>
        <w:t xml:space="preserve">, la cual se desnaturaliza cuando el titulo se ostentó con vicios en desmedro de los postulados jurídicos y éticos mínimos que la sociedad exige; </w:t>
      </w:r>
      <w:r w:rsidRPr="000C10D2">
        <w:rPr>
          <w:rFonts w:ascii="Century Gothic" w:hAnsi="Century Gothic"/>
          <w:sz w:val="24"/>
          <w:szCs w:val="24"/>
        </w:rPr>
        <w:t xml:space="preserve">la extinción de </w:t>
      </w:r>
      <w:r w:rsidRPr="000C10D2">
        <w:rPr>
          <w:rFonts w:ascii="Century Gothic" w:hAnsi="Century Gothic"/>
          <w:sz w:val="24"/>
          <w:szCs w:val="24"/>
        </w:rPr>
        <w:lastRenderedPageBreak/>
        <w:t xml:space="preserve">dominio prevista en el artículo 34 de la Constitución no es en estricto sentido una </w:t>
      </w:r>
      <w:r w:rsidR="006E2942" w:rsidRPr="000C10D2">
        <w:rPr>
          <w:rFonts w:ascii="Century Gothic" w:hAnsi="Century Gothic"/>
          <w:sz w:val="24"/>
          <w:szCs w:val="24"/>
        </w:rPr>
        <w:t>“</w:t>
      </w:r>
      <w:r w:rsidRPr="000C10D2">
        <w:rPr>
          <w:rFonts w:ascii="Century Gothic" w:hAnsi="Century Gothic"/>
          <w:sz w:val="24"/>
          <w:szCs w:val="24"/>
        </w:rPr>
        <w:t>extinción</w:t>
      </w:r>
      <w:r w:rsidR="006E2942" w:rsidRPr="000C10D2">
        <w:rPr>
          <w:rFonts w:ascii="Century Gothic" w:hAnsi="Century Gothic"/>
          <w:sz w:val="24"/>
          <w:szCs w:val="24"/>
        </w:rPr>
        <w:t xml:space="preserve">” </w:t>
      </w:r>
      <w:r w:rsidRPr="000C10D2">
        <w:rPr>
          <w:rFonts w:ascii="Century Gothic" w:hAnsi="Century Gothic"/>
          <w:sz w:val="24"/>
          <w:szCs w:val="24"/>
        </w:rPr>
        <w:t>del derecho de dominio, sino una declaración de inexistencia del derecho, en el entendido de que este ha sido privado de reconocimiento jurídico por no haber sido obtenido o ejercido con arreglo al ordenamiento jurídico.</w:t>
      </w:r>
    </w:p>
    <w:p w14:paraId="508CF3E9" w14:textId="0993E073" w:rsidR="00363460" w:rsidRPr="000C10D2" w:rsidRDefault="006E2942" w:rsidP="00D03564">
      <w:pPr>
        <w:spacing w:before="240" w:after="240" w:line="360" w:lineRule="auto"/>
        <w:jc w:val="both"/>
        <w:rPr>
          <w:rFonts w:ascii="Century Gothic" w:hAnsi="Century Gothic"/>
          <w:sz w:val="24"/>
          <w:szCs w:val="24"/>
        </w:rPr>
      </w:pPr>
      <w:r w:rsidRPr="000C10D2">
        <w:rPr>
          <w:rFonts w:ascii="Century Gothic" w:hAnsi="Century Gothic"/>
          <w:sz w:val="24"/>
          <w:szCs w:val="24"/>
        </w:rPr>
        <w:t xml:space="preserve">Por lo anterior, la Constitución doto al Estado de un instrumento para desestimular los delitos, sobre todo respecto de aquellas personas que habían adquirido el bien por medio de conductas que contravienen el ordenamiento jurídico, que causan daño al Estado o a otros particulares, o que provocan un grave deterioro de la moral social, considerando de esa manera que no es verdadero titular de un derecho de propiedad, razón por la cual no cuentan con digno reconocimiento ni protección. </w:t>
      </w:r>
    </w:p>
    <w:p w14:paraId="2D71D9D3" w14:textId="77777777" w:rsidR="00D97587" w:rsidRPr="000C10D2" w:rsidRDefault="00D97587"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Normatividad Anterior  </w:t>
      </w:r>
    </w:p>
    <w:p w14:paraId="03BE3ACD" w14:textId="77777777" w:rsidR="00B35829" w:rsidRPr="000C10D2" w:rsidRDefault="00B35829"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Ley de 333 de 1996 </w:t>
      </w:r>
    </w:p>
    <w:p w14:paraId="359FB859" w14:textId="26D9DCF5" w:rsidR="00F468E3" w:rsidRPr="000C10D2" w:rsidRDefault="00F468E3" w:rsidP="00D03564">
      <w:pPr>
        <w:tabs>
          <w:tab w:val="left" w:pos="5832"/>
        </w:tabs>
        <w:spacing w:before="240" w:after="240" w:line="360" w:lineRule="auto"/>
        <w:jc w:val="both"/>
        <w:rPr>
          <w:rFonts w:ascii="Century Gothic" w:eastAsia="Times New Roman" w:hAnsi="Century Gothic" w:cs="Times New Roman"/>
          <w:bCs/>
          <w:sz w:val="24"/>
          <w:szCs w:val="24"/>
          <w:lang w:val="es-CO"/>
        </w:rPr>
      </w:pPr>
      <w:r w:rsidRPr="000C10D2">
        <w:rPr>
          <w:rFonts w:ascii="Century Gothic" w:hAnsi="Century Gothic"/>
          <w:sz w:val="24"/>
          <w:szCs w:val="24"/>
        </w:rPr>
        <w:t>La acción de extinción de domino es un acción constitucional, real, jurisdiccional, pública e independiente, sin embargo, respecto de esta última característica existió confusión en razón a que se consideró que era dependiente de la acción penal</w:t>
      </w:r>
      <w:r w:rsidR="00094F5A" w:rsidRPr="000C10D2">
        <w:rPr>
          <w:rFonts w:ascii="Century Gothic" w:hAnsi="Century Gothic"/>
          <w:sz w:val="24"/>
          <w:szCs w:val="24"/>
        </w:rPr>
        <w:t xml:space="preserve"> y al comiso contemplado en el código penal, </w:t>
      </w:r>
      <w:r w:rsidRPr="000C10D2">
        <w:rPr>
          <w:rFonts w:ascii="Century Gothic" w:hAnsi="Century Gothic"/>
          <w:sz w:val="24"/>
          <w:szCs w:val="24"/>
        </w:rPr>
        <w:t xml:space="preserve"> por lo que para solucionar estos problemas de aplicación práctica del comiso, el Congreso de la República profirió la Ley 333 del 19 de diciembre de 1996</w:t>
      </w:r>
      <w:r w:rsidR="00094F5A" w:rsidRPr="000C10D2">
        <w:rPr>
          <w:rFonts w:ascii="Century Gothic" w:hAnsi="Century Gothic"/>
          <w:sz w:val="24"/>
          <w:szCs w:val="24"/>
        </w:rPr>
        <w:t xml:space="preserve">, </w:t>
      </w:r>
      <w:r w:rsidRPr="000C10D2">
        <w:rPr>
          <w:rFonts w:ascii="Century Gothic" w:hAnsi="Century Gothic"/>
          <w:sz w:val="24"/>
          <w:szCs w:val="24"/>
        </w:rPr>
        <w:t xml:space="preserve">por medio de la cual se crearon normas para permitir la extinción del derecho de dominio sobre bienes adquiridos de forma ilícita. El principal objetivo de esa ley era crear un mecanismo que fuera totalmente independiente de la acción penal, para perseguir los bienes adquiridos </w:t>
      </w:r>
      <w:r w:rsidRPr="000C10D2">
        <w:rPr>
          <w:rFonts w:ascii="Century Gothic" w:hAnsi="Century Gothic"/>
          <w:sz w:val="24"/>
          <w:szCs w:val="24"/>
        </w:rPr>
        <w:lastRenderedPageBreak/>
        <w:t>ilegalmente o utilizados para la comisión de conductas ilícitas.</w:t>
      </w:r>
    </w:p>
    <w:p w14:paraId="33E27CB7" w14:textId="19EEFA91" w:rsidR="00367161" w:rsidRPr="000C10D2" w:rsidRDefault="00094F5A" w:rsidP="00D03564">
      <w:pPr>
        <w:tabs>
          <w:tab w:val="left" w:pos="5832"/>
        </w:tabs>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La</w:t>
      </w:r>
      <w:r w:rsidR="00B35829" w:rsidRPr="000C10D2">
        <w:rPr>
          <w:rFonts w:ascii="Century Gothic" w:eastAsia="Times New Roman" w:hAnsi="Century Gothic" w:cs="Times New Roman"/>
          <w:bCs/>
          <w:sz w:val="24"/>
          <w:szCs w:val="24"/>
          <w:lang w:val="es-CO"/>
        </w:rPr>
        <w:t xml:space="preserve"> relevancia de esta ley constituye una normatividad positiva en beneficio, en tal sentido se disponen aspectos para el manejo de los bienes provenientes</w:t>
      </w:r>
      <w:r w:rsidR="003B1527" w:rsidRPr="000C10D2">
        <w:rPr>
          <w:rFonts w:ascii="Century Gothic" w:eastAsia="Times New Roman" w:hAnsi="Century Gothic" w:cs="Times New Roman"/>
          <w:bCs/>
          <w:sz w:val="24"/>
          <w:szCs w:val="24"/>
          <w:lang w:val="es-CO"/>
        </w:rPr>
        <w:t xml:space="preserve"> </w:t>
      </w:r>
      <w:r w:rsidR="00B35829" w:rsidRPr="000C10D2">
        <w:rPr>
          <w:rFonts w:ascii="Century Gothic" w:eastAsia="Times New Roman" w:hAnsi="Century Gothic" w:cs="Times New Roman"/>
          <w:bCs/>
          <w:sz w:val="24"/>
          <w:szCs w:val="24"/>
          <w:lang w:val="es-CO"/>
        </w:rPr>
        <w:t xml:space="preserve">de actividades ilícitas. </w:t>
      </w:r>
      <w:r w:rsidR="003B1527" w:rsidRPr="000C10D2">
        <w:rPr>
          <w:rFonts w:ascii="Century Gothic" w:eastAsia="Times New Roman" w:hAnsi="Century Gothic" w:cs="Times New Roman"/>
          <w:bCs/>
          <w:sz w:val="24"/>
          <w:szCs w:val="24"/>
          <w:lang w:val="es-CO"/>
        </w:rPr>
        <w:t>Desplegando una serie de desarrollos normativos que apuntaron a ello (Decreto 1888 de 1974, la Ley 30 de 1986, el Decreto 1886 de 1986, Decreto 1895 de 1989, el Decreto 494 de 1995, Decreto 2790 de 1990; la Ley 190 de 1995).</w:t>
      </w:r>
    </w:p>
    <w:p w14:paraId="653FE9BF" w14:textId="4ED390CE" w:rsidR="00094F5A" w:rsidRPr="000C10D2" w:rsidRDefault="00094F5A" w:rsidP="00D03564">
      <w:pPr>
        <w:tabs>
          <w:tab w:val="left" w:pos="5832"/>
        </w:tabs>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Pese a lo anterior y a los importantes esfuerzos realizados para luchar contra las finanzas de las organizaciones criminales, la aplicación de la acción de dominio de manera independiente, la ley 333 de 1996, en su artículo 7 dispuso que no podría intentarse esta acción en forma independiente, si existían actuaciones penales en curso, por lo que la mantuvo de manera dependiente a la acción penal. </w:t>
      </w:r>
    </w:p>
    <w:p w14:paraId="120AD40D" w14:textId="4A62EF49" w:rsidR="00094F5A" w:rsidRPr="000C10D2" w:rsidRDefault="00094F5A" w:rsidP="00D03564">
      <w:pPr>
        <w:tabs>
          <w:tab w:val="left" w:pos="5832"/>
        </w:tabs>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Lo anterior llevo a que, en el año 2002, se pensara en la expedición de una nueva ley: </w:t>
      </w:r>
    </w:p>
    <w:p w14:paraId="12D73716" w14:textId="3FA3B053" w:rsidR="00CE05B1" w:rsidRPr="000C10D2" w:rsidRDefault="00CE05B1" w:rsidP="00D03564">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Ley de 793 de 2002</w:t>
      </w:r>
    </w:p>
    <w:p w14:paraId="40768617" w14:textId="3619AE4D" w:rsidR="00094F5A" w:rsidRPr="00B06FF5" w:rsidRDefault="00094F5A" w:rsidP="00D03564">
      <w:pPr>
        <w:spacing w:before="240" w:after="240" w:line="360" w:lineRule="auto"/>
        <w:jc w:val="both"/>
        <w:rPr>
          <w:rFonts w:ascii="Century Gothic" w:eastAsia="Times New Roman" w:hAnsi="Century Gothic" w:cs="Times New Roman"/>
          <w:sz w:val="24"/>
          <w:szCs w:val="24"/>
          <w:lang w:val="es-CO"/>
        </w:rPr>
      </w:pPr>
      <w:r w:rsidRPr="00B06FF5">
        <w:rPr>
          <w:rFonts w:ascii="Century Gothic" w:eastAsia="Times New Roman" w:hAnsi="Century Gothic" w:cs="Times New Roman"/>
          <w:sz w:val="24"/>
          <w:szCs w:val="24"/>
          <w:lang w:val="es-CO"/>
        </w:rPr>
        <w:t>Con esta nueva normativa, se derog</w:t>
      </w:r>
      <w:r w:rsidR="00677362" w:rsidRPr="00B06FF5">
        <w:rPr>
          <w:rFonts w:ascii="Century Gothic" w:eastAsia="Times New Roman" w:hAnsi="Century Gothic" w:cs="Times New Roman"/>
          <w:sz w:val="24"/>
          <w:szCs w:val="24"/>
          <w:lang w:val="es-CO"/>
        </w:rPr>
        <w:t>ó</w:t>
      </w:r>
      <w:r w:rsidRPr="00B06FF5">
        <w:rPr>
          <w:rFonts w:ascii="Century Gothic" w:eastAsia="Times New Roman" w:hAnsi="Century Gothic" w:cs="Times New Roman"/>
          <w:sz w:val="24"/>
          <w:szCs w:val="24"/>
          <w:lang w:val="es-CO"/>
        </w:rPr>
        <w:t xml:space="preserve"> la ley 333 de 1996 y se </w:t>
      </w:r>
      <w:r w:rsidR="00677362" w:rsidRPr="00B06FF5">
        <w:rPr>
          <w:rFonts w:ascii="Century Gothic" w:eastAsia="Times New Roman" w:hAnsi="Century Gothic" w:cs="Times New Roman"/>
          <w:sz w:val="24"/>
          <w:szCs w:val="24"/>
          <w:lang w:val="es-CO"/>
        </w:rPr>
        <w:t>dejó</w:t>
      </w:r>
      <w:r w:rsidRPr="00B06FF5">
        <w:rPr>
          <w:rFonts w:ascii="Century Gothic" w:eastAsia="Times New Roman" w:hAnsi="Century Gothic" w:cs="Times New Roman"/>
          <w:sz w:val="24"/>
          <w:szCs w:val="24"/>
          <w:lang w:val="es-CO"/>
        </w:rPr>
        <w:t xml:space="preserve"> de manera </w:t>
      </w:r>
      <w:r w:rsidR="00677362" w:rsidRPr="00B06FF5">
        <w:rPr>
          <w:rFonts w:ascii="Century Gothic" w:eastAsia="Times New Roman" w:hAnsi="Century Gothic" w:cs="Times New Roman"/>
          <w:sz w:val="24"/>
          <w:szCs w:val="24"/>
          <w:lang w:val="es-CO"/>
        </w:rPr>
        <w:t>explícita</w:t>
      </w:r>
      <w:r w:rsidRPr="00B06FF5">
        <w:rPr>
          <w:rFonts w:ascii="Century Gothic" w:eastAsia="Times New Roman" w:hAnsi="Century Gothic" w:cs="Times New Roman"/>
          <w:sz w:val="24"/>
          <w:szCs w:val="24"/>
          <w:lang w:val="es-CO"/>
        </w:rPr>
        <w:t xml:space="preserve"> y clara el hecho de que la acción de extinción de dominio es totalmente independiente a las decisiones penales, que entre estas acciones (de extinción y penal) no existía relación de dependencia alguna y que tampoco era necesaria la declaración previa penal para poder declarar la extinción de dominio. </w:t>
      </w:r>
    </w:p>
    <w:p w14:paraId="65690478" w14:textId="0DB92AF3" w:rsidR="00730D4D" w:rsidRPr="000C10D2" w:rsidRDefault="00730D4D"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A partir de esta iniciativa legislativa se establecen nuevas disposiciones para llevar </w:t>
      </w:r>
      <w:r w:rsidRPr="000C10D2">
        <w:rPr>
          <w:rFonts w:ascii="Century Gothic" w:eastAsia="Times New Roman" w:hAnsi="Century Gothic" w:cs="Times New Roman"/>
          <w:bCs/>
          <w:sz w:val="24"/>
          <w:szCs w:val="24"/>
          <w:lang w:val="es-CO"/>
        </w:rPr>
        <w:lastRenderedPageBreak/>
        <w:t xml:space="preserve">a cabo la acción de extinción de </w:t>
      </w:r>
      <w:r w:rsidR="00D4199E" w:rsidRPr="000C10D2">
        <w:rPr>
          <w:rFonts w:ascii="Century Gothic" w:eastAsia="Times New Roman" w:hAnsi="Century Gothic" w:cs="Times New Roman"/>
          <w:bCs/>
          <w:sz w:val="24"/>
          <w:szCs w:val="24"/>
          <w:lang w:val="es-CO"/>
        </w:rPr>
        <w:t>dominio,</w:t>
      </w:r>
      <w:r w:rsidR="008E7ED4" w:rsidRPr="000C10D2">
        <w:rPr>
          <w:rFonts w:ascii="Century Gothic" w:eastAsia="Times New Roman" w:hAnsi="Century Gothic" w:cs="Times New Roman"/>
          <w:bCs/>
          <w:sz w:val="24"/>
          <w:szCs w:val="24"/>
          <w:lang w:val="es-CO"/>
        </w:rPr>
        <w:t xml:space="preserve"> así como de </w:t>
      </w:r>
      <w:r w:rsidR="00FD29B3" w:rsidRPr="000C10D2">
        <w:rPr>
          <w:rFonts w:ascii="Century Gothic" w:eastAsia="Times New Roman" w:hAnsi="Century Gothic" w:cs="Times New Roman"/>
          <w:bCs/>
          <w:sz w:val="24"/>
          <w:szCs w:val="24"/>
          <w:lang w:val="es-CO"/>
        </w:rPr>
        <w:t>la administración</w:t>
      </w:r>
      <w:r w:rsidRPr="000C10D2">
        <w:rPr>
          <w:rFonts w:ascii="Century Gothic" w:eastAsia="Times New Roman" w:hAnsi="Century Gothic" w:cs="Times New Roman"/>
          <w:bCs/>
          <w:sz w:val="24"/>
          <w:szCs w:val="24"/>
          <w:lang w:val="es-CO"/>
        </w:rPr>
        <w:t xml:space="preserve"> de los bienes objeto de extinción en el país.</w:t>
      </w:r>
      <w:r w:rsidR="00E727C0" w:rsidRPr="000C10D2">
        <w:rPr>
          <w:rFonts w:ascii="Century Gothic" w:eastAsia="Times New Roman" w:hAnsi="Century Gothic" w:cs="Times New Roman"/>
          <w:bCs/>
          <w:sz w:val="24"/>
          <w:szCs w:val="24"/>
          <w:lang w:val="es-CO"/>
        </w:rPr>
        <w:t xml:space="preserve"> En particular se constituyeron herramientas para el respeto de</w:t>
      </w:r>
      <w:r w:rsidR="003C078F" w:rsidRPr="000C10D2">
        <w:rPr>
          <w:rFonts w:ascii="Century Gothic" w:eastAsia="Times New Roman" w:hAnsi="Century Gothic" w:cs="Times New Roman"/>
          <w:bCs/>
          <w:sz w:val="24"/>
          <w:szCs w:val="24"/>
          <w:lang w:val="es-CO"/>
        </w:rPr>
        <w:t>l</w:t>
      </w:r>
      <w:r w:rsidR="00E727C0" w:rsidRPr="000C10D2">
        <w:rPr>
          <w:rFonts w:ascii="Century Gothic" w:eastAsia="Times New Roman" w:hAnsi="Century Gothic" w:cs="Times New Roman"/>
          <w:bCs/>
          <w:sz w:val="24"/>
          <w:szCs w:val="24"/>
          <w:lang w:val="es-CO"/>
        </w:rPr>
        <w:t xml:space="preserve"> derecho a la defensa y al debido proceso, en el marco de la posibilidad de demostrar el origen de los bienes. </w:t>
      </w:r>
      <w:r w:rsidR="00D4199E" w:rsidRPr="000C10D2">
        <w:rPr>
          <w:rFonts w:ascii="Century Gothic" w:eastAsia="Times New Roman" w:hAnsi="Century Gothic" w:cs="Times New Roman"/>
          <w:bCs/>
          <w:sz w:val="24"/>
          <w:szCs w:val="24"/>
          <w:lang w:val="es-CO"/>
        </w:rPr>
        <w:t xml:space="preserve">Además de establecer procedimientos diferenciados respecto del código de procedimiento civil y código de procedimiento penal. </w:t>
      </w:r>
    </w:p>
    <w:p w14:paraId="148B71CC" w14:textId="538D4FE8" w:rsidR="00C57141" w:rsidRPr="000C10D2" w:rsidRDefault="00C57141"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bCs/>
          <w:sz w:val="24"/>
          <w:szCs w:val="24"/>
          <w:lang w:val="es-CO"/>
        </w:rPr>
        <w:t xml:space="preserve">Luego de ello, se expidió la </w:t>
      </w:r>
      <w:r w:rsidRPr="000C10D2">
        <w:rPr>
          <w:rFonts w:ascii="Century Gothic" w:eastAsia="Times New Roman" w:hAnsi="Century Gothic" w:cs="Times New Roman"/>
          <w:b/>
          <w:bCs/>
          <w:sz w:val="24"/>
          <w:szCs w:val="24"/>
          <w:lang w:val="es-CO"/>
        </w:rPr>
        <w:t>Ley 1708</w:t>
      </w:r>
      <w:r w:rsidR="007669C3" w:rsidRPr="000C10D2">
        <w:rPr>
          <w:rFonts w:ascii="Century Gothic" w:eastAsia="Times New Roman" w:hAnsi="Century Gothic" w:cs="Times New Roman"/>
          <w:b/>
          <w:bCs/>
          <w:sz w:val="24"/>
          <w:szCs w:val="24"/>
          <w:lang w:val="es-CO"/>
        </w:rPr>
        <w:t xml:space="preserve"> de 2014, </w:t>
      </w:r>
      <w:r w:rsidR="007669C3" w:rsidRPr="000C10D2">
        <w:rPr>
          <w:rFonts w:ascii="Century Gothic" w:eastAsia="Times New Roman" w:hAnsi="Century Gothic" w:cs="Times New Roman"/>
          <w:bCs/>
          <w:sz w:val="24"/>
          <w:szCs w:val="24"/>
          <w:lang w:val="es-CO"/>
        </w:rPr>
        <w:t>la cual se constituye como un código que contiene todos los principios y reglas que gobiernan el ejercicio de esta acción, además acab</w:t>
      </w:r>
      <w:r w:rsidR="00677362">
        <w:rPr>
          <w:rFonts w:ascii="Century Gothic" w:eastAsia="Times New Roman" w:hAnsi="Century Gothic" w:cs="Times New Roman"/>
          <w:bCs/>
          <w:sz w:val="24"/>
          <w:szCs w:val="24"/>
          <w:lang w:val="es-CO"/>
        </w:rPr>
        <w:t>ó</w:t>
      </w:r>
      <w:r w:rsidR="007669C3" w:rsidRPr="000C10D2">
        <w:rPr>
          <w:rFonts w:ascii="Century Gothic" w:eastAsia="Times New Roman" w:hAnsi="Century Gothic" w:cs="Times New Roman"/>
          <w:bCs/>
          <w:sz w:val="24"/>
          <w:szCs w:val="24"/>
          <w:lang w:val="es-CO"/>
        </w:rPr>
        <w:t xml:space="preserve"> totalmente con el sesgo de dependencia con el derecho penal, definiendo esta acción de extinción de dominio como una consecuencia patrimonial de actividades ilícitas o que deterioraron gravemente la moral social, consistente en la declaración de titularidad en favor del </w:t>
      </w:r>
      <w:r w:rsidR="00677362">
        <w:rPr>
          <w:rFonts w:ascii="Century Gothic" w:eastAsia="Times New Roman" w:hAnsi="Century Gothic" w:cs="Times New Roman"/>
          <w:bCs/>
          <w:sz w:val="24"/>
          <w:szCs w:val="24"/>
          <w:lang w:val="es-CO"/>
        </w:rPr>
        <w:t>E</w:t>
      </w:r>
      <w:r w:rsidR="007669C3" w:rsidRPr="000C10D2">
        <w:rPr>
          <w:rFonts w:ascii="Century Gothic" w:eastAsia="Times New Roman" w:hAnsi="Century Gothic" w:cs="Times New Roman"/>
          <w:bCs/>
          <w:sz w:val="24"/>
          <w:szCs w:val="24"/>
          <w:lang w:val="es-CO"/>
        </w:rPr>
        <w:t xml:space="preserve">stado de los bienes a que se refiere la ley. </w:t>
      </w:r>
    </w:p>
    <w:p w14:paraId="48A05A90" w14:textId="1E43B64E" w:rsidR="00C57141" w:rsidRPr="000C10D2" w:rsidRDefault="007669C3" w:rsidP="00D03564">
      <w:pPr>
        <w:spacing w:before="240" w:after="240" w:line="360" w:lineRule="auto"/>
        <w:jc w:val="both"/>
        <w:rPr>
          <w:rFonts w:ascii="Century Gothic" w:hAnsi="Century Gothic"/>
          <w:sz w:val="24"/>
          <w:szCs w:val="24"/>
        </w:rPr>
      </w:pPr>
      <w:r w:rsidRPr="000C10D2">
        <w:rPr>
          <w:rFonts w:ascii="Century Gothic" w:eastAsia="Times New Roman" w:hAnsi="Century Gothic" w:cs="Times New Roman"/>
          <w:sz w:val="24"/>
          <w:szCs w:val="24"/>
          <w:lang w:val="es-CO"/>
        </w:rPr>
        <w:t>En</w:t>
      </w:r>
      <w:r w:rsidR="00677362">
        <w:rPr>
          <w:rFonts w:ascii="Century Gothic" w:eastAsia="Times New Roman" w:hAnsi="Century Gothic" w:cs="Times New Roman"/>
          <w:sz w:val="24"/>
          <w:szCs w:val="24"/>
          <w:lang w:val="es-CO"/>
        </w:rPr>
        <w:t xml:space="preserve"> el</w:t>
      </w:r>
      <w:r w:rsidRPr="000C10D2">
        <w:rPr>
          <w:rFonts w:ascii="Century Gothic" w:eastAsia="Times New Roman" w:hAnsi="Century Gothic" w:cs="Times New Roman"/>
          <w:sz w:val="24"/>
          <w:szCs w:val="24"/>
          <w:lang w:val="es-CO"/>
        </w:rPr>
        <w:t xml:space="preserve"> mencionado código de extinción de dominio, </w:t>
      </w:r>
      <w:r w:rsidR="00655B1E" w:rsidRPr="000C10D2">
        <w:rPr>
          <w:rFonts w:ascii="Century Gothic" w:eastAsia="Times New Roman" w:hAnsi="Century Gothic" w:cs="Times New Roman"/>
          <w:sz w:val="24"/>
          <w:szCs w:val="24"/>
          <w:lang w:val="es-CO"/>
        </w:rPr>
        <w:t xml:space="preserve">se </w:t>
      </w:r>
      <w:r w:rsidR="00677362" w:rsidRPr="000C10D2">
        <w:rPr>
          <w:rFonts w:ascii="Century Gothic" w:eastAsia="Times New Roman" w:hAnsi="Century Gothic" w:cs="Times New Roman"/>
          <w:sz w:val="24"/>
          <w:szCs w:val="24"/>
          <w:lang w:val="es-CO"/>
        </w:rPr>
        <w:t>contempló</w:t>
      </w:r>
      <w:r w:rsidR="00655B1E" w:rsidRPr="000C10D2">
        <w:rPr>
          <w:rFonts w:ascii="Century Gothic" w:eastAsia="Times New Roman" w:hAnsi="Century Gothic" w:cs="Times New Roman"/>
          <w:sz w:val="24"/>
          <w:szCs w:val="24"/>
          <w:lang w:val="es-CO"/>
        </w:rPr>
        <w:t xml:space="preserve"> la administración y destinación de los bienes en el </w:t>
      </w:r>
      <w:r w:rsidR="00677362" w:rsidRPr="000C10D2">
        <w:rPr>
          <w:rFonts w:ascii="Century Gothic" w:eastAsia="Times New Roman" w:hAnsi="Century Gothic" w:cs="Times New Roman"/>
          <w:sz w:val="24"/>
          <w:szCs w:val="24"/>
          <w:lang w:val="es-CO"/>
        </w:rPr>
        <w:t>capítulo</w:t>
      </w:r>
      <w:r w:rsidR="00655B1E" w:rsidRPr="000C10D2">
        <w:rPr>
          <w:rFonts w:ascii="Century Gothic" w:eastAsia="Times New Roman" w:hAnsi="Century Gothic" w:cs="Times New Roman"/>
          <w:sz w:val="24"/>
          <w:szCs w:val="24"/>
          <w:lang w:val="es-CO"/>
        </w:rPr>
        <w:t xml:space="preserve"> VIII del título II de Actuación procesal, determinando la competencia en el Fondo de Rehabilitación, Inversión Social y Lucha contra el Crimen Organizado ( FRISCO), con calidad de cuenta especial sin personería jurídica ad</w:t>
      </w:r>
      <w:r w:rsidR="00655B1E" w:rsidRPr="000C10D2">
        <w:rPr>
          <w:rFonts w:ascii="Century Gothic" w:hAnsi="Century Gothic"/>
          <w:sz w:val="24"/>
          <w:szCs w:val="24"/>
        </w:rPr>
        <w:t xml:space="preserve">ministrada por la Sociedad de Activos Especiales S.A.S. (SAE), sociedad de economía mixta del orden nacional autorizada por la ley, de naturaleza única y sometida al régimen del derecho privado, de acuerdo con las políticas trazadas por el Consejo Nacional de Estupefacientes o su equivalente, con el objetivo de fortalecer el sector justicia, la inversión social, la política de drogas, el desarrollo rural, la atención y reparación a víctimas de actividades ilícitas, y todo </w:t>
      </w:r>
      <w:r w:rsidR="00655B1E" w:rsidRPr="000C10D2">
        <w:rPr>
          <w:rFonts w:ascii="Century Gothic" w:hAnsi="Century Gothic"/>
          <w:sz w:val="24"/>
          <w:szCs w:val="24"/>
        </w:rPr>
        <w:lastRenderedPageBreak/>
        <w:t>aquello que sea necesario para tal finalidad.</w:t>
      </w:r>
    </w:p>
    <w:p w14:paraId="79629CE9" w14:textId="1DDCC41F" w:rsidR="00655B1E" w:rsidRPr="000C10D2" w:rsidRDefault="00655B1E" w:rsidP="00D03564">
      <w:pPr>
        <w:spacing w:before="240" w:after="240" w:line="360" w:lineRule="auto"/>
        <w:jc w:val="both"/>
        <w:rPr>
          <w:rFonts w:ascii="Century Gothic" w:hAnsi="Century Gothic"/>
          <w:sz w:val="24"/>
          <w:szCs w:val="24"/>
        </w:rPr>
      </w:pPr>
      <w:r w:rsidRPr="000C10D2">
        <w:rPr>
          <w:rFonts w:ascii="Century Gothic" w:eastAsia="Times New Roman" w:hAnsi="Century Gothic" w:cs="Times New Roman"/>
          <w:sz w:val="24"/>
          <w:szCs w:val="24"/>
          <w:lang w:val="es-CO"/>
        </w:rPr>
        <w:t xml:space="preserve">Determinando igualmente la administración en cabeza del FRISCO y los porcentajes en que debían ser destinados los bienes </w:t>
      </w:r>
      <w:r w:rsidRPr="000C10D2">
        <w:rPr>
          <w:rFonts w:ascii="Century Gothic" w:hAnsi="Century Gothic"/>
          <w:sz w:val="24"/>
          <w:szCs w:val="24"/>
        </w:rPr>
        <w:t>obre los que se declare la extinción de dominio, los recursos provenientes de la enajenación temprana y los recursos provenientes de la productividad de los bienes administrados.</w:t>
      </w:r>
    </w:p>
    <w:p w14:paraId="395C9F18" w14:textId="56C4552F" w:rsidR="00655B1E" w:rsidRPr="000C10D2" w:rsidRDefault="00655B1E" w:rsidP="00D03564">
      <w:pPr>
        <w:spacing w:before="240" w:after="240" w:line="360" w:lineRule="auto"/>
        <w:jc w:val="both"/>
        <w:rPr>
          <w:rFonts w:ascii="Century Gothic" w:hAnsi="Century Gothic"/>
          <w:sz w:val="24"/>
          <w:szCs w:val="24"/>
        </w:rPr>
      </w:pPr>
      <w:r w:rsidRPr="000C10D2">
        <w:rPr>
          <w:rFonts w:ascii="Century Gothic" w:hAnsi="Century Gothic"/>
          <w:sz w:val="24"/>
          <w:szCs w:val="24"/>
        </w:rPr>
        <w:t xml:space="preserve">Igualmente, en este </w:t>
      </w:r>
      <w:r w:rsidR="00677362" w:rsidRPr="000C10D2">
        <w:rPr>
          <w:rFonts w:ascii="Century Gothic" w:hAnsi="Century Gothic"/>
          <w:sz w:val="24"/>
          <w:szCs w:val="24"/>
        </w:rPr>
        <w:t>capítulo</w:t>
      </w:r>
      <w:r w:rsidRPr="000C10D2">
        <w:rPr>
          <w:rFonts w:ascii="Century Gothic" w:hAnsi="Century Gothic"/>
          <w:sz w:val="24"/>
          <w:szCs w:val="24"/>
        </w:rPr>
        <w:t xml:space="preserve"> se contemplaron los </w:t>
      </w:r>
      <w:r w:rsidRPr="000C10D2">
        <w:rPr>
          <w:rFonts w:ascii="Century Gothic" w:hAnsi="Century Gothic"/>
          <w:i/>
          <w:sz w:val="24"/>
          <w:szCs w:val="24"/>
        </w:rPr>
        <w:t xml:space="preserve">Mecanismos Para Facilitar la Administración de los Bienes </w:t>
      </w:r>
      <w:r w:rsidR="00016FCE" w:rsidRPr="000C10D2">
        <w:rPr>
          <w:rFonts w:ascii="Century Gothic" w:hAnsi="Century Gothic"/>
          <w:sz w:val="24"/>
          <w:szCs w:val="24"/>
        </w:rPr>
        <w:t xml:space="preserve">tales como enajenación, contratación, destinación provisional, </w:t>
      </w:r>
      <w:r w:rsidR="0043221D" w:rsidRPr="000C10D2">
        <w:rPr>
          <w:rFonts w:ascii="Century Gothic" w:hAnsi="Century Gothic"/>
          <w:sz w:val="24"/>
          <w:szCs w:val="24"/>
        </w:rPr>
        <w:t>depósito</w:t>
      </w:r>
      <w:r w:rsidR="00016FCE" w:rsidRPr="000C10D2">
        <w:rPr>
          <w:rFonts w:ascii="Century Gothic" w:hAnsi="Century Gothic"/>
          <w:sz w:val="24"/>
          <w:szCs w:val="24"/>
        </w:rPr>
        <w:t xml:space="preserve"> provisional, destrucción o chatarrización y donación entre entidades públicas. </w:t>
      </w:r>
    </w:p>
    <w:p w14:paraId="1D706F00" w14:textId="77777777" w:rsidR="00A8205E" w:rsidRDefault="00A8205E" w:rsidP="008C54B5">
      <w:pPr>
        <w:spacing w:before="240" w:after="240" w:line="360" w:lineRule="auto"/>
        <w:jc w:val="both"/>
        <w:rPr>
          <w:rFonts w:ascii="Century Gothic" w:eastAsia="Times New Roman" w:hAnsi="Century Gothic" w:cs="Times New Roman"/>
          <w:b/>
          <w:sz w:val="24"/>
          <w:szCs w:val="24"/>
          <w:lang w:val="es-CO"/>
        </w:rPr>
      </w:pPr>
    </w:p>
    <w:p w14:paraId="2932BA03" w14:textId="6ABA7B19" w:rsidR="008C54B5" w:rsidRPr="000C10D2" w:rsidRDefault="008C54B5" w:rsidP="008C54B5">
      <w:pPr>
        <w:spacing w:before="240" w:after="240" w:line="360" w:lineRule="auto"/>
        <w:jc w:val="both"/>
        <w:rPr>
          <w:rFonts w:ascii="Century Gothic" w:eastAsia="Times New Roman" w:hAnsi="Century Gothic" w:cs="Times New Roman"/>
          <w:b/>
          <w:sz w:val="24"/>
          <w:szCs w:val="24"/>
          <w:lang w:val="es-CO"/>
        </w:rPr>
      </w:pPr>
      <w:r w:rsidRPr="000C10D2">
        <w:rPr>
          <w:rFonts w:ascii="Century Gothic" w:eastAsia="Times New Roman" w:hAnsi="Century Gothic" w:cs="Times New Roman"/>
          <w:b/>
          <w:sz w:val="24"/>
          <w:szCs w:val="24"/>
          <w:lang w:val="es-CO"/>
        </w:rPr>
        <w:t xml:space="preserve">V. </w:t>
      </w:r>
      <w:r>
        <w:rPr>
          <w:rFonts w:ascii="Century Gothic" w:eastAsia="Times New Roman" w:hAnsi="Century Gothic" w:cs="Times New Roman"/>
          <w:b/>
          <w:sz w:val="24"/>
          <w:szCs w:val="24"/>
          <w:lang w:val="es-CO"/>
        </w:rPr>
        <w:t>CONSTITUCIONALIDAD DEL PROYECTO DE LEY</w:t>
      </w:r>
    </w:p>
    <w:p w14:paraId="35A3D050" w14:textId="2F78E0EE" w:rsidR="007D4C6C" w:rsidRPr="000C10D2" w:rsidRDefault="007D4C6C"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
          <w:sz w:val="24"/>
          <w:szCs w:val="24"/>
          <w:lang w:val="es-CO"/>
        </w:rPr>
        <w:t>En sentencia C- 958 de 2014,</w:t>
      </w:r>
      <w:r w:rsidRPr="000C10D2">
        <w:rPr>
          <w:rFonts w:ascii="Century Gothic" w:eastAsia="Times New Roman" w:hAnsi="Century Gothic" w:cs="Times New Roman"/>
          <w:bCs/>
          <w:sz w:val="24"/>
          <w:szCs w:val="24"/>
          <w:lang w:val="es-CO"/>
        </w:rPr>
        <w:t xml:space="preserve"> en la que se hizo un estudio de constitucionalidad sobre el artículo primero “definiciones”  y el artículo 15 “concepto”  de extinción de dominio, en la que la H. Corte Constitucional  realizó un estudio transversal de las principales características de la acción y de sus antecedentes normativos, haciendo alusión a las leyes 333 de 1996 en la que se ligaba la acción de extinción de dominio al derecho sancionatorio penal, es decir era una acción dependiente y complementaria con la acción penal; posteriormente pasamos a la ley 793 de 2002, la cual ya permitió hablar de una independencia de la</w:t>
      </w:r>
      <w:r w:rsidR="005F18DC">
        <w:rPr>
          <w:rFonts w:ascii="Century Gothic" w:eastAsia="Times New Roman" w:hAnsi="Century Gothic" w:cs="Times New Roman"/>
          <w:bCs/>
          <w:sz w:val="24"/>
          <w:szCs w:val="24"/>
          <w:lang w:val="es-CO"/>
        </w:rPr>
        <w:t xml:space="preserve"> acción de</w:t>
      </w:r>
      <w:r w:rsidRPr="000C10D2">
        <w:rPr>
          <w:rFonts w:ascii="Century Gothic" w:eastAsia="Times New Roman" w:hAnsi="Century Gothic" w:cs="Times New Roman"/>
          <w:bCs/>
          <w:sz w:val="24"/>
          <w:szCs w:val="24"/>
          <w:lang w:val="es-CO"/>
        </w:rPr>
        <w:t xml:space="preserve"> extinción de dominio con la responsabilidad penal, eliminando de esa manera reglas de prejudicialidad, abolió las posibilidades de acumular procesos de extinción con </w:t>
      </w:r>
      <w:r w:rsidRPr="000C10D2">
        <w:rPr>
          <w:rFonts w:ascii="Century Gothic" w:eastAsia="Times New Roman" w:hAnsi="Century Gothic" w:cs="Times New Roman"/>
          <w:bCs/>
          <w:sz w:val="24"/>
          <w:szCs w:val="24"/>
          <w:lang w:val="es-CO"/>
        </w:rPr>
        <w:lastRenderedPageBreak/>
        <w:t>procesos penales; para de esa manera llegar al actual código de extinción de dominio que redefinió la acción, determinó causales, mantuvo el procedimiento escrito y 2 etapas preparatorias</w:t>
      </w:r>
      <w:r w:rsidR="004D1DBE" w:rsidRPr="000C10D2">
        <w:rPr>
          <w:rFonts w:ascii="Century Gothic" w:eastAsia="Times New Roman" w:hAnsi="Century Gothic" w:cs="Times New Roman"/>
          <w:bCs/>
          <w:sz w:val="24"/>
          <w:szCs w:val="24"/>
          <w:lang w:val="es-CO"/>
        </w:rPr>
        <w:t>.</w:t>
      </w:r>
    </w:p>
    <w:p w14:paraId="2891E448" w14:textId="5AD9278A" w:rsidR="004D1DBE" w:rsidRPr="000C10D2" w:rsidRDefault="004D1DBE" w:rsidP="00D03564">
      <w:pPr>
        <w:spacing w:before="240" w:after="240" w:line="360" w:lineRule="auto"/>
        <w:jc w:val="both"/>
        <w:rPr>
          <w:rFonts w:ascii="Century Gothic" w:eastAsia="Times New Roman" w:hAnsi="Century Gothic" w:cs="Times New Roman"/>
          <w:sz w:val="24"/>
          <w:szCs w:val="24"/>
          <w:lang w:val="es-CO"/>
        </w:rPr>
      </w:pPr>
      <w:r w:rsidRPr="000C10D2">
        <w:rPr>
          <w:rFonts w:ascii="Century Gothic" w:eastAsia="Times New Roman" w:hAnsi="Century Gothic" w:cs="Times New Roman"/>
          <w:b/>
          <w:sz w:val="24"/>
          <w:szCs w:val="24"/>
          <w:lang w:val="es-CO"/>
        </w:rPr>
        <w:t xml:space="preserve">En sentencia C- 297 de 2019, </w:t>
      </w:r>
      <w:r w:rsidRPr="000C10D2">
        <w:rPr>
          <w:rFonts w:ascii="Century Gothic" w:eastAsia="Times New Roman" w:hAnsi="Century Gothic" w:cs="Times New Roman"/>
          <w:sz w:val="24"/>
          <w:szCs w:val="24"/>
          <w:lang w:val="es-CO"/>
        </w:rPr>
        <w:t xml:space="preserve"> la corte analiza la constitucionalidad de las </w:t>
      </w:r>
      <w:r w:rsidR="00C046A5" w:rsidRPr="000C10D2">
        <w:rPr>
          <w:rFonts w:ascii="Century Gothic" w:eastAsia="Times New Roman" w:hAnsi="Century Gothic" w:cs="Times New Roman"/>
          <w:sz w:val="24"/>
          <w:szCs w:val="24"/>
          <w:lang w:val="es-CO"/>
        </w:rPr>
        <w:t>disposición</w:t>
      </w:r>
      <w:r w:rsidRPr="000C10D2">
        <w:rPr>
          <w:rFonts w:ascii="Century Gothic" w:eastAsia="Times New Roman" w:hAnsi="Century Gothic" w:cs="Times New Roman"/>
          <w:sz w:val="24"/>
          <w:szCs w:val="24"/>
          <w:lang w:val="es-CO"/>
        </w:rPr>
        <w:t xml:space="preserve"> normativa</w:t>
      </w:r>
      <w:r w:rsidR="00C046A5" w:rsidRPr="000C10D2">
        <w:rPr>
          <w:rFonts w:ascii="Century Gothic" w:eastAsia="Times New Roman" w:hAnsi="Century Gothic" w:cs="Times New Roman"/>
          <w:sz w:val="24"/>
          <w:szCs w:val="24"/>
          <w:lang w:val="es-CO"/>
        </w:rPr>
        <w:t xml:space="preserve"> del </w:t>
      </w:r>
      <w:r w:rsidR="00C046A5" w:rsidRPr="000C10D2">
        <w:rPr>
          <w:rFonts w:ascii="Century Gothic" w:hAnsi="Century Gothic" w:cs="Times New Roman"/>
          <w:sz w:val="24"/>
          <w:szCs w:val="24"/>
        </w:rPr>
        <w:t>artículo 24 de la Ley 1849 de 2017, que modificó el artículo 93 de la Ley 1708 de 2014</w:t>
      </w:r>
      <w:r w:rsidRPr="000C10D2">
        <w:rPr>
          <w:rFonts w:ascii="Century Gothic" w:eastAsia="Times New Roman" w:hAnsi="Century Gothic" w:cs="Times New Roman"/>
          <w:sz w:val="24"/>
          <w:szCs w:val="24"/>
          <w:lang w:val="es-CO"/>
        </w:rPr>
        <w:t>, teniendo en cuenta que ha</w:t>
      </w:r>
      <w:r w:rsidR="00C046A5" w:rsidRPr="000C10D2">
        <w:rPr>
          <w:rFonts w:ascii="Century Gothic" w:eastAsia="Times New Roman" w:hAnsi="Century Gothic" w:cs="Times New Roman"/>
          <w:sz w:val="24"/>
          <w:szCs w:val="24"/>
          <w:lang w:val="es-CO"/>
        </w:rPr>
        <w:t xml:space="preserve"> s</w:t>
      </w:r>
      <w:r w:rsidRPr="000C10D2">
        <w:rPr>
          <w:rFonts w:ascii="Century Gothic" w:eastAsia="Times New Roman" w:hAnsi="Century Gothic" w:cs="Times New Roman"/>
          <w:sz w:val="24"/>
          <w:szCs w:val="24"/>
          <w:lang w:val="es-CO"/>
        </w:rPr>
        <w:t>ido demanda por inconstitucionalidad</w:t>
      </w:r>
      <w:r w:rsidR="00C046A5" w:rsidRPr="000C10D2">
        <w:rPr>
          <w:rFonts w:ascii="Century Gothic" w:eastAsia="Times New Roman" w:hAnsi="Century Gothic" w:cs="Times New Roman"/>
          <w:sz w:val="24"/>
          <w:szCs w:val="24"/>
          <w:lang w:val="es-CO"/>
        </w:rPr>
        <w:t>,</w:t>
      </w:r>
      <w:r w:rsidRPr="000C10D2">
        <w:rPr>
          <w:rFonts w:ascii="Century Gothic" w:eastAsia="Times New Roman" w:hAnsi="Century Gothic" w:cs="Times New Roman"/>
          <w:sz w:val="24"/>
          <w:szCs w:val="24"/>
          <w:lang w:val="es-CO"/>
        </w:rPr>
        <w:t xml:space="preserve"> por considerar el demandante que la enajenación temprana constituye una competencia para el FRISCO que no es de su naturaleza,</w:t>
      </w:r>
      <w:r w:rsidR="00DB080C" w:rsidRPr="000C10D2">
        <w:rPr>
          <w:rFonts w:ascii="Century Gothic" w:eastAsia="Times New Roman" w:hAnsi="Century Gothic" w:cs="Times New Roman"/>
          <w:sz w:val="24"/>
          <w:szCs w:val="24"/>
          <w:lang w:val="es-CO"/>
        </w:rPr>
        <w:t xml:space="preserve"> pues en </w:t>
      </w:r>
      <w:r w:rsidR="005F18DC">
        <w:rPr>
          <w:rFonts w:ascii="Century Gothic" w:eastAsia="Times New Roman" w:hAnsi="Century Gothic" w:cs="Times New Roman"/>
          <w:sz w:val="24"/>
          <w:szCs w:val="24"/>
          <w:lang w:val="es-CO"/>
        </w:rPr>
        <w:t>é</w:t>
      </w:r>
      <w:r w:rsidR="00DB080C" w:rsidRPr="000C10D2">
        <w:rPr>
          <w:rFonts w:ascii="Century Gothic" w:eastAsia="Times New Roman" w:hAnsi="Century Gothic" w:cs="Times New Roman"/>
          <w:sz w:val="24"/>
          <w:szCs w:val="24"/>
          <w:lang w:val="es-CO"/>
        </w:rPr>
        <w:t>l recaería la toma de una decisión judicial cuando su naturaleza es privad</w:t>
      </w:r>
      <w:r w:rsidR="005F18DC">
        <w:rPr>
          <w:rFonts w:ascii="Century Gothic" w:eastAsia="Times New Roman" w:hAnsi="Century Gothic" w:cs="Times New Roman"/>
          <w:sz w:val="24"/>
          <w:szCs w:val="24"/>
          <w:lang w:val="es-CO"/>
        </w:rPr>
        <w:t>a</w:t>
      </w:r>
      <w:r w:rsidR="00DB080C" w:rsidRPr="000C10D2">
        <w:rPr>
          <w:rFonts w:ascii="Century Gothic" w:eastAsia="Times New Roman" w:hAnsi="Century Gothic" w:cs="Times New Roman"/>
          <w:sz w:val="24"/>
          <w:szCs w:val="24"/>
          <w:lang w:val="es-CO"/>
        </w:rPr>
        <w:t xml:space="preserve">, </w:t>
      </w:r>
      <w:r w:rsidRPr="000C10D2">
        <w:rPr>
          <w:rFonts w:ascii="Century Gothic" w:eastAsia="Times New Roman" w:hAnsi="Century Gothic" w:cs="Times New Roman"/>
          <w:sz w:val="24"/>
          <w:szCs w:val="24"/>
          <w:lang w:val="es-CO"/>
        </w:rPr>
        <w:t xml:space="preserve"> se desprotege o viola el derecho a propiedad privada y se desconoce el principio de la presunción de inocencia, la H. Corte Constitucional, luego de realizar al estudio de la norma en mención, determina que</w:t>
      </w:r>
      <w:r w:rsidR="00DB080C" w:rsidRPr="000C10D2">
        <w:rPr>
          <w:rFonts w:ascii="Century Gothic" w:eastAsia="Times New Roman" w:hAnsi="Century Gothic" w:cs="Times New Roman"/>
          <w:sz w:val="24"/>
          <w:szCs w:val="24"/>
          <w:lang w:val="es-CO"/>
        </w:rPr>
        <w:t xml:space="preserve"> es exequible tal figura </w:t>
      </w:r>
      <w:r w:rsidRPr="000C10D2">
        <w:rPr>
          <w:rFonts w:ascii="Century Gothic" w:eastAsia="Times New Roman" w:hAnsi="Century Gothic" w:cs="Times New Roman"/>
          <w:sz w:val="24"/>
          <w:szCs w:val="24"/>
          <w:lang w:val="es-CO"/>
        </w:rPr>
        <w:t xml:space="preserve">de la enajenación temprana </w:t>
      </w:r>
      <w:r w:rsidR="00DB080C" w:rsidRPr="000C10D2">
        <w:rPr>
          <w:rFonts w:ascii="Century Gothic" w:eastAsia="Times New Roman" w:hAnsi="Century Gothic" w:cs="Times New Roman"/>
          <w:sz w:val="24"/>
          <w:szCs w:val="24"/>
          <w:lang w:val="es-CO"/>
        </w:rPr>
        <w:t xml:space="preserve">por considerar lo siguiente: </w:t>
      </w:r>
    </w:p>
    <w:p w14:paraId="17BA301E" w14:textId="64204A6F" w:rsidR="00DB080C" w:rsidRPr="000C10D2" w:rsidRDefault="00DB080C" w:rsidP="00D03564">
      <w:pPr>
        <w:shd w:val="clear" w:color="auto" w:fill="FFFFFF"/>
        <w:spacing w:line="360" w:lineRule="auto"/>
        <w:ind w:left="720"/>
        <w:jc w:val="both"/>
        <w:textAlignment w:val="baseline"/>
        <w:rPr>
          <w:rFonts w:ascii="Century Gothic" w:eastAsia="Times New Roman" w:hAnsi="Century Gothic" w:cs="Times New Roman"/>
          <w:i/>
          <w:sz w:val="24"/>
          <w:szCs w:val="24"/>
          <w:lang w:val="es-ES_tradnl"/>
        </w:rPr>
      </w:pPr>
      <w:r w:rsidRPr="000C10D2">
        <w:rPr>
          <w:rFonts w:ascii="Century Gothic" w:eastAsia="Times New Roman" w:hAnsi="Century Gothic" w:cs="Times New Roman"/>
          <w:i/>
          <w:sz w:val="24"/>
          <w:szCs w:val="24"/>
          <w:lang w:val="es-ES_tradnl"/>
        </w:rPr>
        <w:t xml:space="preserve">i) la enajenación temprana se respalda en una medida cautelar autorizada por una autoridad judicial, se restringe con las </w:t>
      </w:r>
      <w:r w:rsidR="00EF4C24" w:rsidRPr="000C10D2">
        <w:rPr>
          <w:rFonts w:ascii="Century Gothic" w:eastAsia="Times New Roman" w:hAnsi="Century Gothic" w:cs="Times New Roman"/>
          <w:i/>
          <w:sz w:val="24"/>
          <w:szCs w:val="24"/>
          <w:lang w:val="es-ES_tradnl"/>
        </w:rPr>
        <w:t>hipótesis,</w:t>
      </w:r>
      <w:r w:rsidRPr="000C10D2">
        <w:rPr>
          <w:rFonts w:ascii="Century Gothic" w:eastAsia="Times New Roman" w:hAnsi="Century Gothic" w:cs="Times New Roman"/>
          <w:i/>
          <w:sz w:val="24"/>
          <w:szCs w:val="24"/>
          <w:lang w:val="es-ES_tradnl"/>
        </w:rPr>
        <w:t xml:space="preserve"> así como procedimiento fijado por ley y se encuentra dentro de la órbita de competencia del legislador. Al respecto, adujeron que esa medida es excepcional; ii) la alternativa demandada permite administrar de manera eficiente los bienes sujetos a un proceso de extinción de dominio, de manera que suple los daños o detrimentos patrimoniales derivados de la demora de la autorización del juez de extinción para vender un bien; iii) la enajenación temprana es una opción proporcional y razonable que salvaguarda los recursos del Estado, que reemplaza la autorización judicial, sin que implique </w:t>
      </w:r>
      <w:r w:rsidRPr="000C10D2">
        <w:rPr>
          <w:rFonts w:ascii="Century Gothic" w:eastAsia="Times New Roman" w:hAnsi="Century Gothic" w:cs="Times New Roman"/>
          <w:i/>
          <w:sz w:val="24"/>
          <w:szCs w:val="24"/>
          <w:lang w:val="es-ES_tradnl"/>
        </w:rPr>
        <w:lastRenderedPageBreak/>
        <w:t xml:space="preserve">entregar la competencia a la SAE de definir la titularidad del bien; iv) el administrador del FRISCO es un secuestre y no tiene el poder de disponer sobre la cosa; v) el derecho de propiedad está garantizado a través de indemnización, en el evento en que interesado no sea vencido en juicio; vi) el principio de presunción de inocencia no opera en el proceso de extinción de dominio; vii) la enajenación temprana nunca perturba el derecho a la propiedad privada, porque no interfiere su núcleo, al retribuir la destrucción o venta del bien; viii) el derecho comparado y el Proyecto de Código de Extinción de Dominio, elaborado por la oficina de las Naciones Unidas contra la Droga y el Delito (UNDOC), consideran que la enajenación temprana es una medida óptima para gestionar los bienes afectados en un proceso de extinción de dominio; ix) nunca se vulnera el artículo 34 Superior, dado que no se desconoce el carácter judicial de extinción de dominio; y x) las medidas cautelares dictadas en esos procesos pueden ser cuestionadas, posibilidad que garantiza los derechos de defensa y de debido proceso. </w:t>
      </w:r>
    </w:p>
    <w:p w14:paraId="6FFF767F" w14:textId="2F152B0F" w:rsidR="00DB080C" w:rsidRPr="000C10D2" w:rsidRDefault="00DB080C" w:rsidP="00D03564">
      <w:pPr>
        <w:spacing w:before="240" w:after="240" w:line="360" w:lineRule="auto"/>
        <w:jc w:val="both"/>
        <w:rPr>
          <w:rFonts w:ascii="Century Gothic" w:eastAsia="Times New Roman" w:hAnsi="Century Gothic" w:cs="Times New Roman"/>
          <w:sz w:val="24"/>
          <w:szCs w:val="24"/>
        </w:rPr>
      </w:pPr>
      <w:r w:rsidRPr="000C10D2">
        <w:rPr>
          <w:rFonts w:ascii="Century Gothic" w:eastAsia="Times New Roman" w:hAnsi="Century Gothic" w:cs="Times New Roman"/>
          <w:bCs/>
          <w:sz w:val="24"/>
          <w:szCs w:val="24"/>
          <w:lang w:val="es-CO"/>
        </w:rPr>
        <w:t xml:space="preserve">Esta sentencia resulta ser de gran importancia por el análisis que realiza la H. Corte Constitucional respecto de la figura de extinción de dominio y como la aplicación de la </w:t>
      </w:r>
      <w:r w:rsidRPr="000C10D2">
        <w:rPr>
          <w:rFonts w:ascii="Century Gothic" w:eastAsia="Times New Roman" w:hAnsi="Century Gothic" w:cs="Times New Roman"/>
          <w:b/>
          <w:bCs/>
          <w:i/>
          <w:sz w:val="24"/>
          <w:szCs w:val="24"/>
          <w:lang w:val="es-CO"/>
        </w:rPr>
        <w:t>enajenación temprana</w:t>
      </w:r>
      <w:r w:rsidRPr="000C10D2">
        <w:rPr>
          <w:rFonts w:ascii="Century Gothic" w:hAnsi="Century Gothic"/>
          <w:sz w:val="24"/>
          <w:szCs w:val="24"/>
        </w:rPr>
        <w:t xml:space="preserve">, es posible en el ordenamiento jurídico y además no quebranta ni el derecho a la propiedad privada, ni desconoce el principio de presunción de inocencia, ello teniendo en cuenta que </w:t>
      </w:r>
      <w:r w:rsidR="009007FD" w:rsidRPr="000C10D2">
        <w:rPr>
          <w:rFonts w:ascii="Century Gothic" w:eastAsia="Times New Roman" w:hAnsi="Century Gothic" w:cs="Times New Roman"/>
          <w:sz w:val="24"/>
          <w:szCs w:val="24"/>
        </w:rPr>
        <w:t xml:space="preserve">se derivan tres elementos normativos de la institución reconocida en el mencionado texto constitucional, es decir de la extinción de dominio, así: i) requiere sentencia judicial para su materialización (Formal); ii) recae sobre los bienes (material-patrimonial); y iii) opera ante hipótesis definidas (causales). Ello evidencia que la ley puede imponer al </w:t>
      </w:r>
      <w:r w:rsidR="009007FD" w:rsidRPr="000C10D2">
        <w:rPr>
          <w:rFonts w:ascii="Century Gothic" w:eastAsia="Times New Roman" w:hAnsi="Century Gothic" w:cs="Times New Roman"/>
          <w:sz w:val="24"/>
          <w:szCs w:val="24"/>
        </w:rPr>
        <w:lastRenderedPageBreak/>
        <w:t>propietario una serie de restricciones o limitaciones al derecho de propiedad privada, en aras de cumplir con las funciones sociales y ecológicas que reconoce la Constitución Política</w:t>
      </w:r>
      <w:r w:rsidR="00C016B2" w:rsidRPr="000C10D2">
        <w:rPr>
          <w:rFonts w:ascii="Century Gothic" w:eastAsia="Times New Roman" w:hAnsi="Century Gothic" w:cs="Times New Roman"/>
          <w:sz w:val="24"/>
          <w:szCs w:val="24"/>
        </w:rPr>
        <w:t>.</w:t>
      </w:r>
    </w:p>
    <w:p w14:paraId="5A219F7C" w14:textId="1B734D77" w:rsidR="00C016B2" w:rsidRPr="000C10D2" w:rsidRDefault="00C016B2" w:rsidP="00D03564">
      <w:pPr>
        <w:spacing w:before="240" w:after="240" w:line="360" w:lineRule="auto"/>
        <w:jc w:val="both"/>
        <w:rPr>
          <w:rFonts w:ascii="Century Gothic" w:eastAsia="Times New Roman" w:hAnsi="Century Gothic" w:cs="Times New Roman"/>
          <w:sz w:val="24"/>
          <w:szCs w:val="24"/>
        </w:rPr>
      </w:pPr>
      <w:r w:rsidRPr="000C10D2">
        <w:rPr>
          <w:rFonts w:ascii="Century Gothic" w:hAnsi="Century Gothic"/>
          <w:sz w:val="24"/>
          <w:szCs w:val="24"/>
        </w:rPr>
        <w:t xml:space="preserve">Es por lo anterior que se le permite al legislador dentro de sus competencias fijar la </w:t>
      </w:r>
      <w:r w:rsidR="005F18DC">
        <w:rPr>
          <w:rFonts w:ascii="Century Gothic" w:hAnsi="Century Gothic"/>
          <w:sz w:val="24"/>
          <w:szCs w:val="24"/>
        </w:rPr>
        <w:t>normatividad</w:t>
      </w:r>
      <w:r w:rsidR="005F18DC" w:rsidRPr="000C10D2">
        <w:rPr>
          <w:rFonts w:ascii="Century Gothic" w:hAnsi="Century Gothic"/>
          <w:sz w:val="24"/>
          <w:szCs w:val="24"/>
        </w:rPr>
        <w:t xml:space="preserve"> </w:t>
      </w:r>
      <w:r w:rsidRPr="000C10D2">
        <w:rPr>
          <w:rFonts w:ascii="Century Gothic" w:hAnsi="Century Gothic"/>
          <w:sz w:val="24"/>
          <w:szCs w:val="24"/>
        </w:rPr>
        <w:t xml:space="preserve">necesaria para la regulación de la figura, por lo que la </w:t>
      </w:r>
      <w:r w:rsidRPr="000C10D2">
        <w:rPr>
          <w:rFonts w:ascii="Century Gothic" w:eastAsia="Times New Roman" w:hAnsi="Century Gothic" w:cs="Times New Roman"/>
          <w:sz w:val="24"/>
          <w:szCs w:val="24"/>
        </w:rPr>
        <w:t xml:space="preserve"> aplicación del artículo 34 Superior, conlleva a la consecuencia de reconocer la injusticia en el titulo ( bien sea porque genera un enriquecimiento ilícito, perjuicio al tesoro público o un grave deterioro a  </w:t>
      </w:r>
      <w:r w:rsidR="00C046A5" w:rsidRPr="000C10D2">
        <w:rPr>
          <w:rFonts w:ascii="Century Gothic" w:eastAsia="Times New Roman" w:hAnsi="Century Gothic" w:cs="Times New Roman"/>
          <w:sz w:val="24"/>
          <w:szCs w:val="24"/>
        </w:rPr>
        <w:t>la</w:t>
      </w:r>
      <w:r w:rsidRPr="000C10D2">
        <w:rPr>
          <w:rFonts w:ascii="Century Gothic" w:eastAsia="Times New Roman" w:hAnsi="Century Gothic" w:cs="Times New Roman"/>
          <w:sz w:val="24"/>
          <w:szCs w:val="24"/>
        </w:rPr>
        <w:t xml:space="preserve"> moral social), lo que llevaría a que no existiera obligación alguna por parte del </w:t>
      </w:r>
      <w:r w:rsidR="005F18DC">
        <w:rPr>
          <w:rFonts w:ascii="Century Gothic" w:eastAsia="Times New Roman" w:hAnsi="Century Gothic" w:cs="Times New Roman"/>
          <w:sz w:val="24"/>
          <w:szCs w:val="24"/>
        </w:rPr>
        <w:t>E</w:t>
      </w:r>
      <w:r w:rsidRPr="000C10D2">
        <w:rPr>
          <w:rFonts w:ascii="Century Gothic" w:eastAsia="Times New Roman" w:hAnsi="Century Gothic" w:cs="Times New Roman"/>
          <w:sz w:val="24"/>
          <w:szCs w:val="24"/>
        </w:rPr>
        <w:t xml:space="preserve">stado o más bien la excepción a la regla general de protección de la propiedad privada por la que debe propender el </w:t>
      </w:r>
      <w:r w:rsidR="005F18DC">
        <w:rPr>
          <w:rFonts w:ascii="Century Gothic" w:eastAsia="Times New Roman" w:hAnsi="Century Gothic" w:cs="Times New Roman"/>
          <w:sz w:val="24"/>
          <w:szCs w:val="24"/>
        </w:rPr>
        <w:t>E</w:t>
      </w:r>
      <w:r w:rsidRPr="000C10D2">
        <w:rPr>
          <w:rFonts w:ascii="Century Gothic" w:eastAsia="Times New Roman" w:hAnsi="Century Gothic" w:cs="Times New Roman"/>
          <w:sz w:val="24"/>
          <w:szCs w:val="24"/>
        </w:rPr>
        <w:t>stado, ello teniendo en cuenta que s</w:t>
      </w:r>
      <w:r w:rsidR="005F18DC">
        <w:rPr>
          <w:rFonts w:ascii="Century Gothic" w:eastAsia="Times New Roman" w:hAnsi="Century Gothic" w:cs="Times New Roman"/>
          <w:sz w:val="24"/>
          <w:szCs w:val="24"/>
        </w:rPr>
        <w:t>ó</w:t>
      </w:r>
      <w:r w:rsidRPr="000C10D2">
        <w:rPr>
          <w:rFonts w:ascii="Century Gothic" w:eastAsia="Times New Roman" w:hAnsi="Century Gothic" w:cs="Times New Roman"/>
          <w:sz w:val="24"/>
          <w:szCs w:val="24"/>
        </w:rPr>
        <w:t xml:space="preserve">lo </w:t>
      </w:r>
      <w:r w:rsidR="005F18DC" w:rsidRPr="000C10D2">
        <w:rPr>
          <w:rFonts w:ascii="Century Gothic" w:eastAsia="Times New Roman" w:hAnsi="Century Gothic" w:cs="Times New Roman"/>
          <w:sz w:val="24"/>
          <w:szCs w:val="24"/>
        </w:rPr>
        <w:t>está</w:t>
      </w:r>
      <w:r w:rsidRPr="000C10D2">
        <w:rPr>
          <w:rFonts w:ascii="Century Gothic" w:eastAsia="Times New Roman" w:hAnsi="Century Gothic" w:cs="Times New Roman"/>
          <w:sz w:val="24"/>
          <w:szCs w:val="24"/>
        </w:rPr>
        <w:t xml:space="preserve"> en la obligación de garantizar los derechos adquiridos conforme con la ley y con los modos de acceso de la propiedad. </w:t>
      </w:r>
    </w:p>
    <w:p w14:paraId="72ECDEF8" w14:textId="316F9903" w:rsidR="00EF4C24" w:rsidRPr="000C10D2" w:rsidRDefault="00EF4C24" w:rsidP="00D03564">
      <w:pPr>
        <w:spacing w:before="240" w:after="240" w:line="360" w:lineRule="auto"/>
        <w:jc w:val="both"/>
        <w:rPr>
          <w:rFonts w:ascii="Century Gothic" w:eastAsia="Times New Roman" w:hAnsi="Century Gothic" w:cs="Times New Roman"/>
          <w:sz w:val="24"/>
          <w:szCs w:val="24"/>
        </w:rPr>
      </w:pPr>
      <w:r w:rsidRPr="000C10D2">
        <w:rPr>
          <w:rFonts w:ascii="Century Gothic" w:eastAsia="Times New Roman" w:hAnsi="Century Gothic" w:cs="Times New Roman"/>
          <w:sz w:val="24"/>
          <w:szCs w:val="24"/>
        </w:rPr>
        <w:t xml:space="preserve">En consecuencia, y teniendo en cuenta que este proyecto de ley va dirigido a la implementación de la enajenación en favor de entidades públicas, podemos considerar que es la ampliación de la figura para el caso </w:t>
      </w:r>
      <w:r w:rsidR="005F18DC" w:rsidRPr="000C10D2">
        <w:rPr>
          <w:rFonts w:ascii="Century Gothic" w:eastAsia="Times New Roman" w:hAnsi="Century Gothic" w:cs="Times New Roman"/>
          <w:sz w:val="24"/>
          <w:szCs w:val="24"/>
        </w:rPr>
        <w:t>específico</w:t>
      </w:r>
      <w:r w:rsidRPr="000C10D2">
        <w:rPr>
          <w:rFonts w:ascii="Century Gothic" w:eastAsia="Times New Roman" w:hAnsi="Century Gothic" w:cs="Times New Roman"/>
          <w:sz w:val="24"/>
          <w:szCs w:val="24"/>
        </w:rPr>
        <w:t xml:space="preserve"> de las entidades territoriales, pues la norma mantendría el presupuesto de que para la venta se utilice el método valuatorio de avaluó comercial del bien, y sobre el mismo se cancele el 30% para poder constituir la reserva técnica de la que habla la normativa respecto de la enajenación ordinaria y enajenación temprana actual.</w:t>
      </w:r>
    </w:p>
    <w:p w14:paraId="7A41920C" w14:textId="214DC635" w:rsidR="00EF4C24" w:rsidRPr="000C10D2" w:rsidRDefault="00EF4C24"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 xml:space="preserve">Con mencionada figura se le permitiría adquirir de manera directa el bien inmueble sin recurrir al procedimiento establecido hoy en el Código de Extinción de dominio, pues no tendría que llevarse a subasta pública, sino que el FRISCO puede realizar </w:t>
      </w:r>
      <w:r w:rsidRPr="000C10D2">
        <w:rPr>
          <w:rFonts w:ascii="Century Gothic" w:eastAsia="Times New Roman" w:hAnsi="Century Gothic" w:cs="Times New Roman"/>
          <w:bCs/>
          <w:sz w:val="24"/>
          <w:szCs w:val="24"/>
          <w:lang w:val="es-CO"/>
        </w:rPr>
        <w:lastRenderedPageBreak/>
        <w:t xml:space="preserve">la enajenación directa a la entidad territorial, pero además, es una protección a esa propiedad en consideración a que debe desarrollarse un proyecto en el inmueble que la determinada entidad territorial desee adquirir a través de esta figura y de esa manera se puede asegurar que la utilidad del mismo sea pública y tenga realmente un impacto benéfico para la </w:t>
      </w:r>
      <w:r w:rsidR="005F18DC">
        <w:rPr>
          <w:rFonts w:ascii="Century Gothic" w:eastAsia="Times New Roman" w:hAnsi="Century Gothic" w:cs="Times New Roman"/>
          <w:bCs/>
          <w:sz w:val="24"/>
          <w:szCs w:val="24"/>
          <w:lang w:val="es-CO"/>
        </w:rPr>
        <w:t>comunidad residente en esa entidad territorial</w:t>
      </w:r>
      <w:r w:rsidRPr="000C10D2">
        <w:rPr>
          <w:rFonts w:ascii="Century Gothic" w:eastAsia="Times New Roman" w:hAnsi="Century Gothic" w:cs="Times New Roman"/>
          <w:bCs/>
          <w:sz w:val="24"/>
          <w:szCs w:val="24"/>
          <w:lang w:val="es-CO"/>
        </w:rPr>
        <w:t>.</w:t>
      </w:r>
    </w:p>
    <w:p w14:paraId="69732BCD" w14:textId="7B62D0C8" w:rsidR="00912E06" w:rsidRPr="000C10D2" w:rsidRDefault="00A00994" w:rsidP="00D03564">
      <w:pPr>
        <w:spacing w:before="240" w:after="240" w:line="360" w:lineRule="auto"/>
        <w:jc w:val="both"/>
        <w:rPr>
          <w:rFonts w:ascii="Century Gothic" w:eastAsia="Times New Roman" w:hAnsi="Century Gothic" w:cs="Times New Roman"/>
          <w:bCs/>
          <w:sz w:val="24"/>
          <w:szCs w:val="24"/>
          <w:lang w:val="es-CO"/>
        </w:rPr>
      </w:pPr>
      <w:r w:rsidRPr="000C10D2">
        <w:rPr>
          <w:rFonts w:ascii="Century Gothic" w:eastAsia="Times New Roman" w:hAnsi="Century Gothic" w:cs="Times New Roman"/>
          <w:bCs/>
          <w:sz w:val="24"/>
          <w:szCs w:val="24"/>
          <w:lang w:val="es-CO"/>
        </w:rPr>
        <w:t>De otro lado el tema de la utilidad pública,</w:t>
      </w:r>
      <w:r w:rsidR="00912E06" w:rsidRPr="000C10D2">
        <w:rPr>
          <w:rFonts w:ascii="Century Gothic" w:eastAsia="Times New Roman" w:hAnsi="Century Gothic" w:cs="Times New Roman"/>
          <w:bCs/>
          <w:sz w:val="24"/>
          <w:szCs w:val="24"/>
          <w:lang w:val="es-CO"/>
        </w:rPr>
        <w:t xml:space="preserve"> consiste en que, si la entidad territorial ha declarado el bien de utilidad pública e interés social, el Administrador del FRISCO realice la venta directa a la respectiva entidad territorial por el </w:t>
      </w:r>
      <w:r w:rsidR="00B01142">
        <w:rPr>
          <w:rFonts w:ascii="Century Gothic" w:eastAsia="Times New Roman" w:hAnsi="Century Gothic" w:cs="Times New Roman"/>
          <w:bCs/>
          <w:sz w:val="24"/>
          <w:szCs w:val="24"/>
          <w:lang w:val="es-CO"/>
        </w:rPr>
        <w:t>treinta por ciento (</w:t>
      </w:r>
      <w:r w:rsidR="00912E06" w:rsidRPr="000C10D2">
        <w:rPr>
          <w:rFonts w:ascii="Century Gothic" w:eastAsia="Times New Roman" w:hAnsi="Century Gothic" w:cs="Times New Roman"/>
          <w:bCs/>
          <w:sz w:val="24"/>
          <w:szCs w:val="24"/>
          <w:lang w:val="es-CO"/>
        </w:rPr>
        <w:t>30%</w:t>
      </w:r>
      <w:r w:rsidR="00B01142">
        <w:rPr>
          <w:rFonts w:ascii="Century Gothic" w:eastAsia="Times New Roman" w:hAnsi="Century Gothic" w:cs="Times New Roman"/>
          <w:bCs/>
          <w:sz w:val="24"/>
          <w:szCs w:val="24"/>
          <w:lang w:val="es-CO"/>
        </w:rPr>
        <w:t>)</w:t>
      </w:r>
      <w:r w:rsidR="00912E06" w:rsidRPr="000C10D2">
        <w:rPr>
          <w:rFonts w:ascii="Century Gothic" w:eastAsia="Times New Roman" w:hAnsi="Century Gothic" w:cs="Times New Roman"/>
          <w:bCs/>
          <w:sz w:val="24"/>
          <w:szCs w:val="24"/>
          <w:lang w:val="es-CO"/>
        </w:rPr>
        <w:t xml:space="preserve"> del valor comercial del bien. </w:t>
      </w:r>
    </w:p>
    <w:p w14:paraId="05AF209E" w14:textId="31757EEA" w:rsidR="00592D6C" w:rsidRPr="000C10D2" w:rsidRDefault="00592D6C" w:rsidP="00D03564">
      <w:pPr>
        <w:spacing w:before="240" w:after="240" w:line="360" w:lineRule="auto"/>
        <w:jc w:val="both"/>
        <w:rPr>
          <w:rFonts w:ascii="Century Gothic" w:eastAsia="Times New Roman" w:hAnsi="Century Gothic" w:cs="Times New Roman"/>
          <w:sz w:val="24"/>
          <w:szCs w:val="24"/>
        </w:rPr>
      </w:pPr>
    </w:p>
    <w:p w14:paraId="2A82FB42" w14:textId="77777777" w:rsidR="00592D6C" w:rsidRPr="000C10D2" w:rsidRDefault="00592D6C" w:rsidP="00D03564">
      <w:pPr>
        <w:spacing w:before="240" w:after="240" w:line="360" w:lineRule="auto"/>
        <w:jc w:val="both"/>
        <w:rPr>
          <w:rFonts w:ascii="Century Gothic" w:eastAsia="Times New Roman" w:hAnsi="Century Gothic" w:cs="Times New Roman"/>
          <w:sz w:val="24"/>
          <w:szCs w:val="24"/>
        </w:rPr>
      </w:pPr>
      <w:r w:rsidRPr="000C10D2">
        <w:rPr>
          <w:rFonts w:ascii="Century Gothic" w:eastAsia="Times New Roman" w:hAnsi="Century Gothic" w:cs="Times New Roman"/>
          <w:sz w:val="24"/>
          <w:szCs w:val="24"/>
        </w:rPr>
        <w:t xml:space="preserve"> </w:t>
      </w:r>
    </w:p>
    <w:p w14:paraId="7DEDCCBE" w14:textId="77777777" w:rsidR="00592D6C" w:rsidRPr="000C10D2" w:rsidRDefault="00592D6C" w:rsidP="00D03564">
      <w:pPr>
        <w:spacing w:line="360" w:lineRule="auto"/>
        <w:rPr>
          <w:rFonts w:ascii="Century Gothic" w:eastAsia="Times New Roman" w:hAnsi="Century Gothic" w:cs="Times New Roman"/>
          <w:sz w:val="24"/>
          <w:szCs w:val="24"/>
        </w:rPr>
      </w:pPr>
    </w:p>
    <w:p w14:paraId="26D496F3" w14:textId="2C470968" w:rsidR="00F64221" w:rsidRPr="000C10D2" w:rsidRDefault="00F64221" w:rsidP="00D03564">
      <w:pPr>
        <w:spacing w:line="360" w:lineRule="auto"/>
        <w:rPr>
          <w:rFonts w:ascii="Century Gothic" w:hAnsi="Century Gothic"/>
          <w:sz w:val="24"/>
          <w:szCs w:val="24"/>
        </w:rPr>
      </w:pPr>
    </w:p>
    <w:p w14:paraId="3C40AE67" w14:textId="77777777" w:rsidR="00655B1E" w:rsidRPr="000C10D2" w:rsidRDefault="00655B1E" w:rsidP="00D03564">
      <w:pPr>
        <w:spacing w:line="360" w:lineRule="auto"/>
        <w:rPr>
          <w:rFonts w:ascii="Century Gothic" w:hAnsi="Century Gothic"/>
          <w:sz w:val="24"/>
          <w:szCs w:val="24"/>
        </w:rPr>
      </w:pPr>
    </w:p>
    <w:sectPr w:rsidR="00655B1E" w:rsidRPr="000C10D2">
      <w:headerReference w:type="default" r:id="rId16"/>
      <w:footerReference w:type="default" r:id="rId17"/>
      <w:pgSz w:w="12240" w:h="15840"/>
      <w:pgMar w:top="1820" w:right="1300" w:bottom="1500" w:left="1300" w:header="820" w:footer="131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D0187" w16cid:durableId="22C00129"/>
  <w16cid:commentId w16cid:paraId="06C31049" w16cid:durableId="22BFFD1E"/>
  <w16cid:commentId w16cid:paraId="0D750DD8" w16cid:durableId="22C0065E"/>
  <w16cid:commentId w16cid:paraId="5582F4E1" w16cid:durableId="22BD9EAB"/>
  <w16cid:commentId w16cid:paraId="79589DC3" w16cid:durableId="22BFFD21"/>
  <w16cid:commentId w16cid:paraId="58AA9F35" w16cid:durableId="22C003B1"/>
  <w16cid:commentId w16cid:paraId="32BD8B81" w16cid:durableId="22C006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2A61" w14:textId="77777777" w:rsidR="00F403D5" w:rsidRDefault="00F403D5">
      <w:r>
        <w:separator/>
      </w:r>
    </w:p>
  </w:endnote>
  <w:endnote w:type="continuationSeparator" w:id="0">
    <w:p w14:paraId="5C7E84BA" w14:textId="77777777" w:rsidR="00F403D5" w:rsidRDefault="00F4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241C9" w14:textId="77777777" w:rsidR="00A62CC2" w:rsidRDefault="00A62CC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28EFC" w14:textId="77777777" w:rsidR="00F403D5" w:rsidRDefault="00F403D5">
      <w:r>
        <w:separator/>
      </w:r>
    </w:p>
  </w:footnote>
  <w:footnote w:type="continuationSeparator" w:id="0">
    <w:p w14:paraId="6F815F51" w14:textId="77777777" w:rsidR="00F403D5" w:rsidRDefault="00F40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A2D1" w14:textId="77777777" w:rsidR="00041B9A" w:rsidRDefault="00041B9A">
    <w:pPr>
      <w:pStyle w:val="Textoindependiente"/>
      <w:spacing w:line="14" w:lineRule="auto"/>
      <w:rPr>
        <w:sz w:val="20"/>
      </w:rPr>
    </w:pPr>
  </w:p>
  <w:p w14:paraId="6EDB4A4B" w14:textId="77777777" w:rsidR="00041B9A" w:rsidRDefault="00041B9A">
    <w:pPr>
      <w:pStyle w:val="Textoindependiente"/>
      <w:spacing w:line="14" w:lineRule="auto"/>
      <w:rPr>
        <w:sz w:val="20"/>
      </w:rPr>
    </w:pPr>
  </w:p>
  <w:p w14:paraId="329E06F5" w14:textId="77777777" w:rsidR="00041B9A" w:rsidRDefault="00041B9A">
    <w:pPr>
      <w:pStyle w:val="Textoindependiente"/>
      <w:spacing w:line="14" w:lineRule="auto"/>
      <w:rPr>
        <w:sz w:val="20"/>
      </w:rPr>
    </w:pPr>
  </w:p>
  <w:p w14:paraId="3597299D" w14:textId="77777777" w:rsidR="00041B9A" w:rsidRDefault="00041B9A">
    <w:pPr>
      <w:pStyle w:val="Textoindependiente"/>
      <w:spacing w:line="14" w:lineRule="auto"/>
      <w:rPr>
        <w:sz w:val="20"/>
      </w:rPr>
    </w:pPr>
  </w:p>
  <w:p w14:paraId="201E051F" w14:textId="77777777" w:rsidR="00041B9A" w:rsidRDefault="00041B9A">
    <w:pPr>
      <w:pStyle w:val="Textoindependiente"/>
      <w:spacing w:line="14" w:lineRule="auto"/>
      <w:rPr>
        <w:sz w:val="20"/>
      </w:rPr>
    </w:pPr>
  </w:p>
  <w:p w14:paraId="20C05537" w14:textId="77777777" w:rsidR="00041B9A" w:rsidRDefault="00041B9A">
    <w:pPr>
      <w:pStyle w:val="Textoindependiente"/>
      <w:spacing w:line="14" w:lineRule="auto"/>
      <w:rPr>
        <w:sz w:val="20"/>
      </w:rPr>
    </w:pPr>
  </w:p>
  <w:p w14:paraId="3137A22A" w14:textId="77777777" w:rsidR="00041B9A" w:rsidRDefault="00041B9A">
    <w:pPr>
      <w:pStyle w:val="Textoindependiente"/>
      <w:spacing w:line="14" w:lineRule="auto"/>
      <w:rPr>
        <w:sz w:val="20"/>
      </w:rPr>
    </w:pPr>
  </w:p>
  <w:p w14:paraId="5C472536" w14:textId="77777777" w:rsidR="00041B9A" w:rsidRDefault="00041B9A">
    <w:pPr>
      <w:pStyle w:val="Textoindependiente"/>
      <w:spacing w:line="14" w:lineRule="auto"/>
      <w:rPr>
        <w:sz w:val="20"/>
      </w:rPr>
    </w:pPr>
  </w:p>
  <w:p w14:paraId="257E73B8" w14:textId="77777777" w:rsidR="00041B9A" w:rsidRDefault="00041B9A">
    <w:pPr>
      <w:pStyle w:val="Textoindependiente"/>
      <w:spacing w:line="14" w:lineRule="auto"/>
      <w:rPr>
        <w:sz w:val="20"/>
      </w:rPr>
    </w:pPr>
  </w:p>
  <w:p w14:paraId="0B7332C9" w14:textId="77777777" w:rsidR="00041B9A" w:rsidRDefault="00041B9A">
    <w:pPr>
      <w:pStyle w:val="Textoindependiente"/>
      <w:spacing w:line="14" w:lineRule="auto"/>
      <w:rPr>
        <w:sz w:val="20"/>
      </w:rPr>
    </w:pPr>
  </w:p>
  <w:p w14:paraId="29E080B6" w14:textId="77777777" w:rsidR="00041B9A" w:rsidRDefault="00041B9A">
    <w:pPr>
      <w:pStyle w:val="Textoindependiente"/>
      <w:spacing w:line="14" w:lineRule="auto"/>
      <w:rPr>
        <w:sz w:val="20"/>
      </w:rPr>
    </w:pPr>
  </w:p>
  <w:p w14:paraId="094C37E9" w14:textId="77777777" w:rsidR="00041B9A" w:rsidRDefault="00041B9A">
    <w:pPr>
      <w:pStyle w:val="Textoindependiente"/>
      <w:spacing w:line="14" w:lineRule="auto"/>
      <w:rPr>
        <w:sz w:val="20"/>
      </w:rPr>
    </w:pPr>
  </w:p>
  <w:p w14:paraId="25B19E0B" w14:textId="77777777" w:rsidR="00041B9A" w:rsidRDefault="00041B9A">
    <w:pPr>
      <w:pStyle w:val="Textoindependiente"/>
      <w:spacing w:line="14" w:lineRule="auto"/>
      <w:rPr>
        <w:sz w:val="20"/>
      </w:rPr>
    </w:pPr>
  </w:p>
  <w:p w14:paraId="2CCE94D2" w14:textId="77777777" w:rsidR="00041B9A" w:rsidRDefault="00041B9A">
    <w:pPr>
      <w:pStyle w:val="Textoindependiente"/>
      <w:spacing w:line="14" w:lineRule="auto"/>
      <w:rPr>
        <w:sz w:val="20"/>
      </w:rPr>
    </w:pPr>
  </w:p>
  <w:p w14:paraId="28D6E3CE" w14:textId="77777777" w:rsidR="00041B9A" w:rsidRDefault="00041B9A">
    <w:pPr>
      <w:pStyle w:val="Textoindependiente"/>
      <w:spacing w:line="14" w:lineRule="auto"/>
      <w:rPr>
        <w:sz w:val="20"/>
      </w:rPr>
    </w:pPr>
  </w:p>
  <w:p w14:paraId="06E7BCB8" w14:textId="77777777" w:rsidR="00041B9A" w:rsidRDefault="00041B9A">
    <w:pPr>
      <w:pStyle w:val="Textoindependiente"/>
      <w:spacing w:line="14" w:lineRule="auto"/>
      <w:rPr>
        <w:sz w:val="20"/>
      </w:rPr>
    </w:pPr>
  </w:p>
  <w:p w14:paraId="3819AE42" w14:textId="77777777" w:rsidR="00041B9A" w:rsidRDefault="00041B9A">
    <w:pPr>
      <w:pStyle w:val="Textoindependiente"/>
      <w:spacing w:line="14" w:lineRule="auto"/>
      <w:rPr>
        <w:sz w:val="20"/>
      </w:rPr>
    </w:pPr>
  </w:p>
  <w:p w14:paraId="220BF06B" w14:textId="77777777" w:rsidR="00041B9A" w:rsidRDefault="00041B9A">
    <w:pPr>
      <w:pStyle w:val="Textoindependiente"/>
      <w:spacing w:line="14" w:lineRule="auto"/>
      <w:rPr>
        <w:sz w:val="20"/>
      </w:rPr>
    </w:pPr>
  </w:p>
  <w:p w14:paraId="57ADD9B7" w14:textId="77777777" w:rsidR="00041B9A" w:rsidRDefault="00041B9A">
    <w:pPr>
      <w:pStyle w:val="Textoindependiente"/>
      <w:spacing w:line="14" w:lineRule="auto"/>
      <w:rPr>
        <w:sz w:val="20"/>
      </w:rPr>
    </w:pPr>
  </w:p>
  <w:p w14:paraId="0A06D3A6" w14:textId="77777777" w:rsidR="00041B9A" w:rsidRDefault="00041B9A">
    <w:pPr>
      <w:pStyle w:val="Textoindependiente"/>
      <w:spacing w:line="14" w:lineRule="auto"/>
      <w:rPr>
        <w:sz w:val="20"/>
      </w:rPr>
    </w:pPr>
  </w:p>
  <w:p w14:paraId="5F8F95CE" w14:textId="77777777" w:rsidR="00041B9A" w:rsidRDefault="00041B9A">
    <w:pPr>
      <w:pStyle w:val="Textoindependiente"/>
      <w:spacing w:line="14" w:lineRule="auto"/>
      <w:rPr>
        <w:sz w:val="20"/>
      </w:rPr>
    </w:pPr>
  </w:p>
  <w:p w14:paraId="2BF2E990" w14:textId="77777777" w:rsidR="00041B9A" w:rsidRDefault="00041B9A">
    <w:pPr>
      <w:pStyle w:val="Textoindependiente"/>
      <w:spacing w:line="14" w:lineRule="auto"/>
      <w:rPr>
        <w:sz w:val="20"/>
      </w:rPr>
    </w:pPr>
  </w:p>
  <w:p w14:paraId="4005C398" w14:textId="77777777" w:rsidR="00041B9A" w:rsidRDefault="00041B9A">
    <w:pPr>
      <w:pStyle w:val="Textoindependiente"/>
      <w:spacing w:line="14" w:lineRule="auto"/>
      <w:rPr>
        <w:sz w:val="20"/>
      </w:rPr>
    </w:pPr>
  </w:p>
  <w:p w14:paraId="40E2A5F6" w14:textId="77777777" w:rsidR="00041B9A" w:rsidRDefault="00041B9A">
    <w:pPr>
      <w:pStyle w:val="Textoindependiente"/>
      <w:spacing w:line="14" w:lineRule="auto"/>
      <w:rPr>
        <w:sz w:val="20"/>
      </w:rPr>
    </w:pPr>
  </w:p>
  <w:p w14:paraId="3DBF6EAD" w14:textId="77777777" w:rsidR="00041B9A" w:rsidRDefault="00041B9A">
    <w:pPr>
      <w:pStyle w:val="Textoindependiente"/>
      <w:spacing w:line="14" w:lineRule="auto"/>
      <w:rPr>
        <w:sz w:val="20"/>
      </w:rPr>
    </w:pPr>
  </w:p>
  <w:p w14:paraId="1BBCD6C2" w14:textId="77777777" w:rsidR="00041B9A" w:rsidRDefault="00041B9A">
    <w:pPr>
      <w:pStyle w:val="Textoindependiente"/>
      <w:spacing w:line="14" w:lineRule="auto"/>
      <w:rPr>
        <w:sz w:val="20"/>
      </w:rPr>
    </w:pPr>
  </w:p>
  <w:p w14:paraId="0992E5A9" w14:textId="77777777" w:rsidR="00041B9A" w:rsidRDefault="00041B9A">
    <w:pPr>
      <w:pStyle w:val="Textoindependiente"/>
      <w:spacing w:line="14" w:lineRule="auto"/>
      <w:rPr>
        <w:sz w:val="20"/>
      </w:rPr>
    </w:pPr>
  </w:p>
  <w:p w14:paraId="6D550E2F" w14:textId="77777777" w:rsidR="00041B9A" w:rsidRDefault="00041B9A">
    <w:pPr>
      <w:pStyle w:val="Textoindependiente"/>
      <w:spacing w:line="14" w:lineRule="auto"/>
      <w:rPr>
        <w:sz w:val="20"/>
      </w:rPr>
    </w:pPr>
  </w:p>
  <w:p w14:paraId="7E4807BF" w14:textId="77777777" w:rsidR="00041B9A" w:rsidRDefault="00041B9A">
    <w:pPr>
      <w:pStyle w:val="Textoindependiente"/>
      <w:spacing w:line="14" w:lineRule="auto"/>
      <w:rPr>
        <w:sz w:val="20"/>
      </w:rPr>
    </w:pPr>
  </w:p>
  <w:p w14:paraId="325E4292" w14:textId="77777777" w:rsidR="00041B9A" w:rsidRDefault="00041B9A">
    <w:pPr>
      <w:pStyle w:val="Textoindependiente"/>
      <w:spacing w:line="14" w:lineRule="auto"/>
      <w:rPr>
        <w:sz w:val="20"/>
      </w:rPr>
    </w:pPr>
  </w:p>
  <w:p w14:paraId="7DD39C8A" w14:textId="77777777" w:rsidR="00041B9A" w:rsidRDefault="00041B9A">
    <w:pPr>
      <w:pStyle w:val="Textoindependiente"/>
      <w:spacing w:line="14" w:lineRule="auto"/>
      <w:rPr>
        <w:sz w:val="20"/>
      </w:rPr>
    </w:pPr>
  </w:p>
  <w:p w14:paraId="5CEEE445" w14:textId="77777777" w:rsidR="00041B9A" w:rsidRDefault="00041B9A">
    <w:pPr>
      <w:pStyle w:val="Textoindependiente"/>
      <w:spacing w:line="14" w:lineRule="auto"/>
      <w:rPr>
        <w:sz w:val="20"/>
      </w:rPr>
    </w:pPr>
  </w:p>
  <w:p w14:paraId="57C61140" w14:textId="77777777" w:rsidR="00041B9A" w:rsidRDefault="00041B9A">
    <w:pPr>
      <w:pStyle w:val="Textoindependiente"/>
      <w:spacing w:line="14" w:lineRule="auto"/>
      <w:rPr>
        <w:sz w:val="20"/>
      </w:rPr>
    </w:pPr>
  </w:p>
  <w:p w14:paraId="1DC26ADD" w14:textId="77777777" w:rsidR="00041B9A" w:rsidRDefault="00041B9A">
    <w:pPr>
      <w:pStyle w:val="Textoindependiente"/>
      <w:spacing w:line="14" w:lineRule="auto"/>
      <w:rPr>
        <w:sz w:val="20"/>
      </w:rPr>
    </w:pPr>
  </w:p>
  <w:p w14:paraId="444ECAEB" w14:textId="77777777" w:rsidR="00041B9A" w:rsidRDefault="00041B9A">
    <w:pPr>
      <w:pStyle w:val="Textoindependiente"/>
      <w:spacing w:line="14" w:lineRule="auto"/>
      <w:rPr>
        <w:sz w:val="20"/>
      </w:rPr>
    </w:pPr>
  </w:p>
  <w:p w14:paraId="1E3E30C1" w14:textId="77777777" w:rsidR="00041B9A" w:rsidRDefault="00041B9A">
    <w:pPr>
      <w:pStyle w:val="Textoindependiente"/>
      <w:spacing w:line="14" w:lineRule="auto"/>
      <w:rPr>
        <w:sz w:val="20"/>
      </w:rPr>
    </w:pPr>
  </w:p>
  <w:p w14:paraId="1ED808C3" w14:textId="77777777" w:rsidR="00041B9A" w:rsidRDefault="00041B9A">
    <w:pPr>
      <w:pStyle w:val="Textoindependiente"/>
      <w:spacing w:line="14" w:lineRule="auto"/>
      <w:rPr>
        <w:sz w:val="20"/>
      </w:rPr>
    </w:pPr>
  </w:p>
  <w:p w14:paraId="63C1AC7A" w14:textId="77777777" w:rsidR="00041B9A" w:rsidRDefault="00041B9A">
    <w:pPr>
      <w:pStyle w:val="Textoindependiente"/>
      <w:spacing w:line="14" w:lineRule="auto"/>
      <w:rPr>
        <w:sz w:val="20"/>
      </w:rPr>
    </w:pPr>
  </w:p>
  <w:p w14:paraId="3CCFBF23" w14:textId="77777777" w:rsidR="00041B9A" w:rsidRDefault="00041B9A">
    <w:pPr>
      <w:pStyle w:val="Textoindependiente"/>
      <w:spacing w:line="14" w:lineRule="auto"/>
      <w:rPr>
        <w:sz w:val="20"/>
      </w:rPr>
    </w:pPr>
  </w:p>
  <w:p w14:paraId="402E2AB7" w14:textId="77777777" w:rsidR="00041B9A" w:rsidRDefault="00041B9A">
    <w:pPr>
      <w:pStyle w:val="Textoindependiente"/>
      <w:spacing w:line="14" w:lineRule="auto"/>
      <w:rPr>
        <w:sz w:val="20"/>
      </w:rPr>
    </w:pPr>
  </w:p>
  <w:p w14:paraId="428AA185" w14:textId="77777777" w:rsidR="00041B9A" w:rsidRDefault="00041B9A">
    <w:pPr>
      <w:pStyle w:val="Textoindependiente"/>
      <w:spacing w:line="14" w:lineRule="auto"/>
      <w:rPr>
        <w:sz w:val="20"/>
      </w:rPr>
    </w:pPr>
  </w:p>
  <w:p w14:paraId="0C8BA83F" w14:textId="77777777" w:rsidR="00041B9A" w:rsidRDefault="00041B9A">
    <w:pPr>
      <w:pStyle w:val="Textoindependiente"/>
      <w:spacing w:line="14" w:lineRule="auto"/>
      <w:rPr>
        <w:sz w:val="20"/>
      </w:rPr>
    </w:pPr>
  </w:p>
  <w:p w14:paraId="09A54C85" w14:textId="77777777" w:rsidR="00041B9A" w:rsidRDefault="00041B9A">
    <w:pPr>
      <w:pStyle w:val="Textoindependiente"/>
      <w:spacing w:line="14" w:lineRule="auto"/>
      <w:rPr>
        <w:sz w:val="20"/>
      </w:rPr>
    </w:pPr>
  </w:p>
  <w:p w14:paraId="1D54CBFB" w14:textId="77777777" w:rsidR="00041B9A" w:rsidRDefault="00041B9A">
    <w:pPr>
      <w:pStyle w:val="Textoindependiente"/>
      <w:spacing w:line="14" w:lineRule="auto"/>
      <w:rPr>
        <w:sz w:val="20"/>
      </w:rPr>
    </w:pPr>
  </w:p>
  <w:p w14:paraId="0E3D8FD9" w14:textId="77777777" w:rsidR="00041B9A" w:rsidRDefault="00041B9A">
    <w:pPr>
      <w:pStyle w:val="Textoindependiente"/>
      <w:spacing w:line="14" w:lineRule="auto"/>
      <w:rPr>
        <w:sz w:val="20"/>
      </w:rPr>
    </w:pPr>
  </w:p>
  <w:p w14:paraId="061400F7" w14:textId="77777777" w:rsidR="00041B9A" w:rsidRDefault="00041B9A">
    <w:pPr>
      <w:pStyle w:val="Textoindependiente"/>
      <w:spacing w:line="14" w:lineRule="auto"/>
      <w:rPr>
        <w:sz w:val="20"/>
      </w:rPr>
    </w:pPr>
  </w:p>
  <w:p w14:paraId="6780B83C" w14:textId="77777777" w:rsidR="00041B9A" w:rsidRDefault="00041B9A">
    <w:pPr>
      <w:pStyle w:val="Textoindependiente"/>
      <w:spacing w:line="14" w:lineRule="auto"/>
      <w:rPr>
        <w:sz w:val="20"/>
      </w:rPr>
    </w:pPr>
  </w:p>
  <w:p w14:paraId="4568008F" w14:textId="77777777" w:rsidR="00041B9A" w:rsidRDefault="00041B9A">
    <w:pPr>
      <w:pStyle w:val="Textoindependiente"/>
      <w:spacing w:line="14" w:lineRule="auto"/>
      <w:rPr>
        <w:sz w:val="20"/>
      </w:rPr>
    </w:pPr>
  </w:p>
  <w:p w14:paraId="517AFCF4" w14:textId="77777777" w:rsidR="00041B9A" w:rsidRDefault="00041B9A">
    <w:pPr>
      <w:pStyle w:val="Textoindependiente"/>
      <w:spacing w:line="14" w:lineRule="auto"/>
      <w:rPr>
        <w:sz w:val="20"/>
      </w:rPr>
    </w:pPr>
  </w:p>
  <w:p w14:paraId="1D53485F" w14:textId="77777777" w:rsidR="00041B9A" w:rsidRDefault="00041B9A">
    <w:pPr>
      <w:pStyle w:val="Textoindependiente"/>
      <w:spacing w:line="14" w:lineRule="auto"/>
      <w:rPr>
        <w:sz w:val="20"/>
      </w:rPr>
    </w:pPr>
  </w:p>
  <w:p w14:paraId="322E6679" w14:textId="77777777" w:rsidR="00041B9A" w:rsidRDefault="00041B9A">
    <w:pPr>
      <w:pStyle w:val="Textoindependiente"/>
      <w:spacing w:line="14" w:lineRule="auto"/>
      <w:rPr>
        <w:sz w:val="20"/>
      </w:rPr>
    </w:pPr>
  </w:p>
  <w:p w14:paraId="5092E6F8" w14:textId="77777777" w:rsidR="00041B9A" w:rsidRDefault="00041B9A">
    <w:pPr>
      <w:pStyle w:val="Textoindependiente"/>
      <w:spacing w:line="14" w:lineRule="auto"/>
      <w:rPr>
        <w:sz w:val="20"/>
      </w:rPr>
    </w:pPr>
  </w:p>
  <w:p w14:paraId="3CBB2F6C" w14:textId="77777777" w:rsidR="00041B9A" w:rsidRDefault="00041B9A">
    <w:pPr>
      <w:pStyle w:val="Textoindependiente"/>
      <w:spacing w:line="14" w:lineRule="auto"/>
      <w:rPr>
        <w:sz w:val="20"/>
      </w:rPr>
    </w:pPr>
  </w:p>
  <w:p w14:paraId="379C7F8E" w14:textId="77777777" w:rsidR="00041B9A" w:rsidRDefault="00041B9A">
    <w:pPr>
      <w:pStyle w:val="Textoindependiente"/>
      <w:spacing w:line="14" w:lineRule="auto"/>
      <w:rPr>
        <w:sz w:val="20"/>
      </w:rPr>
    </w:pPr>
  </w:p>
  <w:p w14:paraId="7B48640F" w14:textId="77777777" w:rsidR="00041B9A" w:rsidRDefault="00041B9A">
    <w:pPr>
      <w:pStyle w:val="Textoindependiente"/>
      <w:spacing w:line="14" w:lineRule="auto"/>
      <w:rPr>
        <w:sz w:val="20"/>
      </w:rPr>
    </w:pPr>
  </w:p>
  <w:p w14:paraId="0E636C05" w14:textId="77777777" w:rsidR="00041B9A" w:rsidRDefault="00041B9A">
    <w:pPr>
      <w:pStyle w:val="Textoindependiente"/>
      <w:spacing w:line="14" w:lineRule="auto"/>
      <w:rPr>
        <w:sz w:val="20"/>
      </w:rPr>
    </w:pPr>
  </w:p>
  <w:p w14:paraId="352BFE2B" w14:textId="77777777" w:rsidR="00041B9A" w:rsidRDefault="00041B9A">
    <w:pPr>
      <w:pStyle w:val="Textoindependiente"/>
      <w:spacing w:line="14" w:lineRule="auto"/>
      <w:rPr>
        <w:sz w:val="20"/>
      </w:rPr>
    </w:pPr>
  </w:p>
  <w:p w14:paraId="099855F3" w14:textId="1E6C0C60" w:rsidR="00041B9A" w:rsidRDefault="00041B9A">
    <w:pPr>
      <w:pStyle w:val="Textoindependiente"/>
      <w:spacing w:line="14" w:lineRule="auto"/>
      <w:rPr>
        <w:sz w:val="20"/>
      </w:rPr>
    </w:pPr>
  </w:p>
  <w:p w14:paraId="32238A8E" w14:textId="18872E99" w:rsidR="00041B9A" w:rsidRDefault="00041B9A">
    <w:pPr>
      <w:pStyle w:val="Textoindependiente"/>
      <w:spacing w:line="14" w:lineRule="auto"/>
      <w:rPr>
        <w:sz w:val="20"/>
      </w:rPr>
    </w:pPr>
  </w:p>
  <w:p w14:paraId="1513623A" w14:textId="23ABF8DB" w:rsidR="00041B9A" w:rsidRDefault="00041B9A">
    <w:pPr>
      <w:pStyle w:val="Textoindependiente"/>
      <w:spacing w:line="14" w:lineRule="auto"/>
      <w:rPr>
        <w:sz w:val="20"/>
      </w:rPr>
    </w:pPr>
  </w:p>
  <w:p w14:paraId="17769C5D" w14:textId="3C59551B" w:rsidR="00041B9A" w:rsidRDefault="00041B9A">
    <w:pPr>
      <w:pStyle w:val="Textoindependiente"/>
      <w:spacing w:line="14" w:lineRule="auto"/>
      <w:rPr>
        <w:sz w:val="20"/>
      </w:rPr>
    </w:pPr>
  </w:p>
  <w:p w14:paraId="4A22C4ED" w14:textId="32E982F4" w:rsidR="00041B9A" w:rsidRDefault="00041B9A">
    <w:pPr>
      <w:pStyle w:val="Textoindependiente"/>
      <w:spacing w:line="14" w:lineRule="auto"/>
      <w:rPr>
        <w:sz w:val="20"/>
      </w:rPr>
    </w:pPr>
  </w:p>
  <w:p w14:paraId="43518FBA" w14:textId="2B03982E" w:rsidR="00041B9A" w:rsidRDefault="00041B9A">
    <w:pPr>
      <w:pStyle w:val="Textoindependiente"/>
      <w:spacing w:line="14" w:lineRule="auto"/>
      <w:rPr>
        <w:sz w:val="20"/>
      </w:rPr>
    </w:pPr>
  </w:p>
  <w:p w14:paraId="43F1ECBC" w14:textId="3313C1D6" w:rsidR="00041B9A" w:rsidRDefault="00041B9A">
    <w:pPr>
      <w:pStyle w:val="Textoindependiente"/>
      <w:spacing w:line="14" w:lineRule="auto"/>
      <w:rPr>
        <w:sz w:val="20"/>
      </w:rPr>
    </w:pPr>
  </w:p>
  <w:p w14:paraId="18000AE8" w14:textId="54AF29CA" w:rsidR="00041B9A" w:rsidRDefault="00041B9A">
    <w:pPr>
      <w:pStyle w:val="Textoindependiente"/>
      <w:spacing w:line="14" w:lineRule="auto"/>
      <w:rPr>
        <w:sz w:val="20"/>
      </w:rPr>
    </w:pPr>
  </w:p>
  <w:p w14:paraId="5EE31D79" w14:textId="49EE84CC" w:rsidR="00041B9A" w:rsidRDefault="00041B9A">
    <w:pPr>
      <w:pStyle w:val="Textoindependiente"/>
      <w:spacing w:line="14" w:lineRule="auto"/>
      <w:rPr>
        <w:sz w:val="20"/>
      </w:rPr>
    </w:pPr>
  </w:p>
  <w:p w14:paraId="5E6957C8" w14:textId="0A596D0D" w:rsidR="00041B9A" w:rsidRDefault="00041B9A">
    <w:pPr>
      <w:pStyle w:val="Textoindependiente"/>
      <w:spacing w:line="14" w:lineRule="auto"/>
      <w:rPr>
        <w:sz w:val="20"/>
      </w:rPr>
    </w:pPr>
  </w:p>
  <w:p w14:paraId="23B93396" w14:textId="12FCCD3F" w:rsidR="00041B9A" w:rsidRDefault="00041B9A">
    <w:pPr>
      <w:pStyle w:val="Textoindependiente"/>
      <w:spacing w:line="14" w:lineRule="auto"/>
      <w:rPr>
        <w:sz w:val="20"/>
      </w:rPr>
    </w:pPr>
  </w:p>
  <w:p w14:paraId="075AB5DE" w14:textId="3DFFC02B" w:rsidR="00041B9A" w:rsidRDefault="00041B9A">
    <w:pPr>
      <w:pStyle w:val="Textoindependiente"/>
      <w:spacing w:line="14" w:lineRule="auto"/>
      <w:rPr>
        <w:sz w:val="20"/>
      </w:rPr>
    </w:pPr>
  </w:p>
  <w:p w14:paraId="177C0625" w14:textId="0C0468BA" w:rsidR="00041B9A" w:rsidRDefault="00041B9A">
    <w:pPr>
      <w:pStyle w:val="Textoindependiente"/>
      <w:spacing w:line="14" w:lineRule="auto"/>
      <w:rPr>
        <w:sz w:val="20"/>
      </w:rPr>
    </w:pPr>
  </w:p>
  <w:p w14:paraId="20324C4A" w14:textId="44A56682" w:rsidR="00041B9A" w:rsidRDefault="00041B9A">
    <w:pPr>
      <w:pStyle w:val="Textoindependiente"/>
      <w:spacing w:line="14" w:lineRule="auto"/>
      <w:rPr>
        <w:sz w:val="20"/>
      </w:rPr>
    </w:pPr>
  </w:p>
  <w:p w14:paraId="185A68D6" w14:textId="5F74AAE3" w:rsidR="00041B9A" w:rsidRDefault="00041B9A">
    <w:pPr>
      <w:pStyle w:val="Textoindependiente"/>
      <w:spacing w:line="14" w:lineRule="auto"/>
      <w:rPr>
        <w:sz w:val="20"/>
      </w:rPr>
    </w:pPr>
  </w:p>
  <w:p w14:paraId="19CCBBCE" w14:textId="5E4D928B" w:rsidR="00041B9A" w:rsidRDefault="00041B9A">
    <w:pPr>
      <w:pStyle w:val="Textoindependiente"/>
      <w:spacing w:line="14" w:lineRule="auto"/>
      <w:rPr>
        <w:sz w:val="20"/>
      </w:rPr>
    </w:pPr>
  </w:p>
  <w:p w14:paraId="60FBCDFD" w14:textId="371A478A" w:rsidR="00041B9A" w:rsidRDefault="00041B9A">
    <w:pPr>
      <w:pStyle w:val="Textoindependiente"/>
      <w:spacing w:line="14" w:lineRule="auto"/>
      <w:rPr>
        <w:sz w:val="20"/>
      </w:rPr>
    </w:pPr>
  </w:p>
  <w:p w14:paraId="063750CE" w14:textId="13238FE2" w:rsidR="00041B9A" w:rsidRDefault="00041B9A">
    <w:pPr>
      <w:pStyle w:val="Textoindependiente"/>
      <w:spacing w:line="14" w:lineRule="auto"/>
      <w:rPr>
        <w:sz w:val="20"/>
      </w:rPr>
    </w:pPr>
  </w:p>
  <w:p w14:paraId="5653888C" w14:textId="5DAA4C95" w:rsidR="00041B9A" w:rsidRDefault="00041B9A">
    <w:pPr>
      <w:pStyle w:val="Textoindependiente"/>
      <w:spacing w:line="14" w:lineRule="auto"/>
      <w:rPr>
        <w:sz w:val="20"/>
      </w:rPr>
    </w:pPr>
  </w:p>
  <w:p w14:paraId="50CE6381" w14:textId="77777777" w:rsidR="00A8205E" w:rsidRDefault="00A8205E" w:rsidP="00A8205E">
    <w:pPr>
      <w:pStyle w:val="Encabezado"/>
      <w:jc w:val="right"/>
      <w:rPr>
        <w:rFonts w:ascii="Bradley Hand ITC" w:hAnsi="Bradley Hand ITC"/>
        <w:b/>
        <w:sz w:val="28"/>
        <w:szCs w:val="28"/>
      </w:rPr>
    </w:pPr>
  </w:p>
  <w:p w14:paraId="18CC1B71" w14:textId="77777777" w:rsidR="00A8205E" w:rsidRDefault="00A8205E" w:rsidP="00A8205E">
    <w:pPr>
      <w:pStyle w:val="Encabezado"/>
      <w:jc w:val="right"/>
      <w:rPr>
        <w:rFonts w:ascii="Bradley Hand ITC" w:hAnsi="Bradley Hand ITC"/>
        <w:b/>
        <w:sz w:val="28"/>
        <w:szCs w:val="28"/>
      </w:rPr>
    </w:pPr>
    <w:r>
      <w:rPr>
        <w:rFonts w:ascii="Bradley Hand ITC" w:hAnsi="Bradley Hand ITC"/>
        <w:b/>
        <w:sz w:val="28"/>
        <w:szCs w:val="28"/>
      </w:rPr>
      <w:t>John Jairo Hoyos García</w:t>
    </w:r>
  </w:p>
  <w:p w14:paraId="69456DC7" w14:textId="77777777" w:rsidR="00A8205E" w:rsidRDefault="00A8205E" w:rsidP="00A8205E">
    <w:pPr>
      <w:pStyle w:val="Encabezado"/>
      <w:jc w:val="right"/>
      <w:rPr>
        <w:rFonts w:ascii="Bradley Hand ITC" w:hAnsi="Bradley Hand ITC"/>
        <w:b/>
        <w:sz w:val="28"/>
        <w:szCs w:val="28"/>
      </w:rPr>
    </w:pPr>
    <w:r>
      <w:rPr>
        <w:rFonts w:ascii="Bradley Hand ITC" w:hAnsi="Bradley Hand ITC"/>
        <w:b/>
        <w:sz w:val="28"/>
        <w:szCs w:val="28"/>
      </w:rPr>
      <w:t>Representante a la Cámara</w:t>
    </w:r>
  </w:p>
  <w:p w14:paraId="2791602F" w14:textId="77777777" w:rsidR="00A8205E" w:rsidRDefault="00A8205E" w:rsidP="00A8205E">
    <w:pPr>
      <w:pStyle w:val="Encabezado"/>
      <w:jc w:val="right"/>
      <w:rPr>
        <w:rFonts w:ascii="Bradley Hand ITC" w:hAnsi="Bradley Hand ITC"/>
        <w:b/>
        <w:sz w:val="28"/>
        <w:szCs w:val="28"/>
      </w:rPr>
    </w:pPr>
    <w:r>
      <w:rPr>
        <w:rFonts w:ascii="Bradley Hand ITC" w:hAnsi="Bradley Hand ITC"/>
        <w:b/>
        <w:sz w:val="28"/>
        <w:szCs w:val="28"/>
      </w:rPr>
      <w:t>Por el Valle del Cauca</w:t>
    </w:r>
  </w:p>
  <w:p w14:paraId="6948D548" w14:textId="2A2B0D3D" w:rsidR="00041B9A" w:rsidRDefault="00041B9A">
    <w:pPr>
      <w:pStyle w:val="Textoindependiente"/>
      <w:spacing w:line="14" w:lineRule="auto"/>
      <w:rPr>
        <w:sz w:val="20"/>
      </w:rPr>
    </w:pPr>
  </w:p>
  <w:p w14:paraId="50A7AE15" w14:textId="4BCE3C10" w:rsidR="00041B9A" w:rsidRDefault="00041B9A">
    <w:pPr>
      <w:pStyle w:val="Textoindependiente"/>
      <w:spacing w:line="14" w:lineRule="auto"/>
      <w:rPr>
        <w:sz w:val="20"/>
      </w:rPr>
    </w:pPr>
  </w:p>
  <w:p w14:paraId="41E302E3" w14:textId="3CF28679" w:rsidR="00041B9A" w:rsidRDefault="00041B9A">
    <w:pPr>
      <w:pStyle w:val="Textoindependiente"/>
      <w:spacing w:line="14" w:lineRule="auto"/>
      <w:rPr>
        <w:sz w:val="20"/>
      </w:rPr>
    </w:pPr>
  </w:p>
  <w:p w14:paraId="3F1D98CA" w14:textId="6D7B4623" w:rsidR="00041B9A" w:rsidRDefault="00041B9A">
    <w:pPr>
      <w:pStyle w:val="Textoindependiente"/>
      <w:spacing w:line="14" w:lineRule="auto"/>
      <w:rPr>
        <w:sz w:val="20"/>
      </w:rPr>
    </w:pPr>
  </w:p>
  <w:p w14:paraId="2D3E94DE" w14:textId="54E1CEB5" w:rsidR="00041B9A" w:rsidRDefault="00041B9A">
    <w:pPr>
      <w:pStyle w:val="Textoindependiente"/>
      <w:spacing w:line="14" w:lineRule="auto"/>
      <w:rPr>
        <w:sz w:val="20"/>
      </w:rPr>
    </w:pPr>
  </w:p>
  <w:p w14:paraId="75C3C939" w14:textId="730B76E1" w:rsidR="00041B9A" w:rsidRDefault="00041B9A">
    <w:pPr>
      <w:pStyle w:val="Textoindependiente"/>
      <w:spacing w:line="14" w:lineRule="auto"/>
      <w:rPr>
        <w:sz w:val="20"/>
      </w:rPr>
    </w:pPr>
  </w:p>
  <w:p w14:paraId="19DC9A97" w14:textId="3F234848" w:rsidR="00041B9A" w:rsidRDefault="00041B9A">
    <w:pPr>
      <w:pStyle w:val="Textoindependiente"/>
      <w:spacing w:line="14" w:lineRule="auto"/>
      <w:rPr>
        <w:sz w:val="20"/>
      </w:rPr>
    </w:pPr>
  </w:p>
  <w:p w14:paraId="4798B930" w14:textId="490547C5" w:rsidR="00041B9A" w:rsidRDefault="00041B9A">
    <w:pPr>
      <w:pStyle w:val="Textoindependiente"/>
      <w:spacing w:line="14" w:lineRule="auto"/>
      <w:rPr>
        <w:sz w:val="20"/>
      </w:rPr>
    </w:pPr>
  </w:p>
  <w:p w14:paraId="6A9F2888" w14:textId="76E2CCAF" w:rsidR="00041B9A" w:rsidRDefault="00041B9A">
    <w:pPr>
      <w:pStyle w:val="Textoindependiente"/>
      <w:spacing w:line="14" w:lineRule="auto"/>
      <w:rPr>
        <w:sz w:val="20"/>
      </w:rPr>
    </w:pPr>
  </w:p>
  <w:p w14:paraId="75D34943" w14:textId="45AE7A90" w:rsidR="00041B9A" w:rsidRDefault="00041B9A">
    <w:pPr>
      <w:pStyle w:val="Textoindependiente"/>
      <w:spacing w:line="14" w:lineRule="auto"/>
      <w:rPr>
        <w:sz w:val="20"/>
      </w:rPr>
    </w:pPr>
  </w:p>
  <w:p w14:paraId="51A0BD74" w14:textId="1E90EE7F" w:rsidR="00041B9A" w:rsidRDefault="00041B9A">
    <w:pPr>
      <w:pStyle w:val="Textoindependiente"/>
      <w:spacing w:line="14" w:lineRule="auto"/>
      <w:rPr>
        <w:sz w:val="20"/>
      </w:rPr>
    </w:pPr>
  </w:p>
  <w:p w14:paraId="391A526F" w14:textId="41D92D10" w:rsidR="00041B9A" w:rsidRDefault="00041B9A">
    <w:pPr>
      <w:pStyle w:val="Textoindependiente"/>
      <w:spacing w:line="14" w:lineRule="auto"/>
      <w:rPr>
        <w:sz w:val="20"/>
      </w:rPr>
    </w:pPr>
  </w:p>
  <w:p w14:paraId="43A29641" w14:textId="4F6B147A" w:rsidR="00041B9A" w:rsidRDefault="00041B9A">
    <w:pPr>
      <w:pStyle w:val="Textoindependiente"/>
      <w:spacing w:line="14" w:lineRule="auto"/>
      <w:rPr>
        <w:sz w:val="20"/>
      </w:rPr>
    </w:pPr>
  </w:p>
  <w:p w14:paraId="59FD767E" w14:textId="6BB7A85F" w:rsidR="00041B9A" w:rsidRDefault="00041B9A">
    <w:pPr>
      <w:pStyle w:val="Textoindependiente"/>
      <w:spacing w:line="14" w:lineRule="auto"/>
      <w:rPr>
        <w:sz w:val="20"/>
      </w:rPr>
    </w:pPr>
  </w:p>
  <w:p w14:paraId="7FC3343A" w14:textId="7EB78EAD" w:rsidR="00041B9A" w:rsidRDefault="00041B9A">
    <w:pPr>
      <w:pStyle w:val="Textoindependiente"/>
      <w:spacing w:line="14" w:lineRule="auto"/>
      <w:rPr>
        <w:sz w:val="20"/>
      </w:rPr>
    </w:pPr>
  </w:p>
  <w:p w14:paraId="62E97B8E" w14:textId="77777777" w:rsidR="00041B9A" w:rsidRDefault="00041B9A">
    <w:pPr>
      <w:pStyle w:val="Textoindependiente"/>
      <w:spacing w:line="14" w:lineRule="auto"/>
      <w:rPr>
        <w:sz w:val="20"/>
      </w:rPr>
    </w:pPr>
  </w:p>
  <w:p w14:paraId="3082C599" w14:textId="77777777" w:rsidR="00041B9A" w:rsidRDefault="00041B9A">
    <w:pPr>
      <w:pStyle w:val="Textoindependiente"/>
      <w:spacing w:line="14" w:lineRule="auto"/>
      <w:rPr>
        <w:sz w:val="20"/>
      </w:rPr>
    </w:pPr>
  </w:p>
  <w:p w14:paraId="60D89A87" w14:textId="77777777" w:rsidR="00041B9A" w:rsidRDefault="00041B9A">
    <w:pPr>
      <w:pStyle w:val="Textoindependiente"/>
      <w:spacing w:line="14" w:lineRule="auto"/>
      <w:rPr>
        <w:sz w:val="20"/>
      </w:rPr>
    </w:pPr>
  </w:p>
  <w:p w14:paraId="3E34E0FE" w14:textId="77777777" w:rsidR="00041B9A" w:rsidRDefault="00041B9A">
    <w:pPr>
      <w:pStyle w:val="Textoindependiente"/>
      <w:spacing w:line="14" w:lineRule="auto"/>
      <w:rPr>
        <w:sz w:val="20"/>
      </w:rPr>
    </w:pPr>
  </w:p>
  <w:p w14:paraId="09502D51" w14:textId="77777777" w:rsidR="00041B9A" w:rsidRDefault="00041B9A">
    <w:pPr>
      <w:pStyle w:val="Textoindependiente"/>
      <w:spacing w:line="14" w:lineRule="auto"/>
      <w:rPr>
        <w:sz w:val="20"/>
      </w:rPr>
    </w:pPr>
  </w:p>
  <w:p w14:paraId="39F42242" w14:textId="77777777" w:rsidR="00041B9A" w:rsidRDefault="00041B9A">
    <w:pPr>
      <w:pStyle w:val="Textoindependiente"/>
      <w:spacing w:line="14" w:lineRule="auto"/>
      <w:rPr>
        <w:sz w:val="20"/>
      </w:rPr>
    </w:pPr>
  </w:p>
  <w:p w14:paraId="6F08F5CD" w14:textId="77777777" w:rsidR="00041B9A" w:rsidRDefault="00041B9A">
    <w:pPr>
      <w:pStyle w:val="Textoindependiente"/>
      <w:spacing w:line="14" w:lineRule="auto"/>
      <w:rPr>
        <w:sz w:val="20"/>
      </w:rPr>
    </w:pPr>
  </w:p>
  <w:p w14:paraId="0B70488C" w14:textId="77777777" w:rsidR="00041B9A" w:rsidRDefault="00041B9A">
    <w:pPr>
      <w:pStyle w:val="Textoindependiente"/>
      <w:spacing w:line="14" w:lineRule="auto"/>
      <w:rPr>
        <w:sz w:val="20"/>
      </w:rPr>
    </w:pPr>
  </w:p>
  <w:p w14:paraId="11C4AD06" w14:textId="77777777" w:rsidR="00041B9A" w:rsidRDefault="00041B9A">
    <w:pPr>
      <w:pStyle w:val="Textoindependiente"/>
      <w:spacing w:line="14" w:lineRule="auto"/>
      <w:rPr>
        <w:sz w:val="20"/>
      </w:rPr>
    </w:pPr>
  </w:p>
  <w:p w14:paraId="30E84690" w14:textId="77777777" w:rsidR="00041B9A" w:rsidRDefault="00041B9A">
    <w:pPr>
      <w:pStyle w:val="Textoindependiente"/>
      <w:spacing w:line="14" w:lineRule="auto"/>
      <w:rPr>
        <w:sz w:val="20"/>
      </w:rPr>
    </w:pPr>
  </w:p>
  <w:p w14:paraId="2CD36E6A" w14:textId="77777777" w:rsidR="00041B9A" w:rsidRDefault="00041B9A">
    <w:pPr>
      <w:pStyle w:val="Textoindependiente"/>
      <w:spacing w:line="14" w:lineRule="auto"/>
      <w:rPr>
        <w:sz w:val="20"/>
      </w:rPr>
    </w:pPr>
  </w:p>
  <w:p w14:paraId="113479D7" w14:textId="77777777" w:rsidR="00041B9A" w:rsidRDefault="00041B9A">
    <w:pPr>
      <w:pStyle w:val="Textoindependiente"/>
      <w:spacing w:line="14" w:lineRule="auto"/>
      <w:rPr>
        <w:sz w:val="20"/>
      </w:rPr>
    </w:pPr>
  </w:p>
  <w:p w14:paraId="2C4BC0E3" w14:textId="77777777" w:rsidR="00041B9A" w:rsidRDefault="00041B9A">
    <w:pPr>
      <w:pStyle w:val="Textoindependiente"/>
      <w:spacing w:line="14" w:lineRule="auto"/>
      <w:rPr>
        <w:sz w:val="20"/>
      </w:rPr>
    </w:pPr>
  </w:p>
  <w:p w14:paraId="63C2EE37" w14:textId="77777777" w:rsidR="00041B9A" w:rsidRDefault="00041B9A">
    <w:pPr>
      <w:pStyle w:val="Textoindependiente"/>
      <w:spacing w:line="14" w:lineRule="auto"/>
      <w:rPr>
        <w:sz w:val="20"/>
      </w:rPr>
    </w:pPr>
  </w:p>
  <w:p w14:paraId="225BD027" w14:textId="71339AB4" w:rsidR="00A62CC2" w:rsidRDefault="00A62CC2">
    <w:pPr>
      <w:pStyle w:val="Textoindependiente"/>
      <w:spacing w:line="14" w:lineRule="auto"/>
      <w:rPr>
        <w:sz w:val="20"/>
      </w:rPr>
    </w:pPr>
    <w:r>
      <w:rPr>
        <w:noProof/>
        <w:lang w:val="es-CO" w:eastAsia="es-CO" w:bidi="ar-SA"/>
      </w:rPr>
      <w:drawing>
        <wp:anchor distT="0" distB="0" distL="0" distR="0" simplePos="0" relativeHeight="251656192" behindDoc="1" locked="0" layoutInCell="1" allowOverlap="1" wp14:anchorId="0428CA42" wp14:editId="2BE3E6CC">
          <wp:simplePos x="0" y="0"/>
          <wp:positionH relativeFrom="page">
            <wp:posOffset>2600960</wp:posOffset>
          </wp:positionH>
          <wp:positionV relativeFrom="page">
            <wp:posOffset>520700</wp:posOffset>
          </wp:positionV>
          <wp:extent cx="2232660" cy="642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32660" cy="642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1E55"/>
    <w:multiLevelType w:val="hybridMultilevel"/>
    <w:tmpl w:val="BBC87246"/>
    <w:lvl w:ilvl="0" w:tplc="4358058E">
      <w:start w:val="1"/>
      <w:numFmt w:val="decimal"/>
      <w:lvlText w:val="%1."/>
      <w:lvlJc w:val="left"/>
      <w:pPr>
        <w:ind w:left="836" w:hanging="361"/>
      </w:pPr>
      <w:rPr>
        <w:rFonts w:hint="default"/>
        <w:b/>
        <w:bCs/>
        <w:spacing w:val="0"/>
        <w:w w:val="99"/>
        <w:lang w:val="es-ES" w:eastAsia="es-ES" w:bidi="es-ES"/>
      </w:rPr>
    </w:lvl>
    <w:lvl w:ilvl="1" w:tplc="8B48DC7A">
      <w:numFmt w:val="bullet"/>
      <w:lvlText w:val=""/>
      <w:lvlJc w:val="left"/>
      <w:pPr>
        <w:ind w:left="1961" w:hanging="712"/>
      </w:pPr>
      <w:rPr>
        <w:rFonts w:ascii="Symbol" w:eastAsia="Symbol" w:hAnsi="Symbol" w:cs="Symbol" w:hint="default"/>
        <w:w w:val="100"/>
        <w:sz w:val="22"/>
        <w:szCs w:val="22"/>
        <w:lang w:val="es-ES" w:eastAsia="es-ES" w:bidi="es-ES"/>
      </w:rPr>
    </w:lvl>
    <w:lvl w:ilvl="2" w:tplc="BC988502">
      <w:numFmt w:val="bullet"/>
      <w:lvlText w:val="•"/>
      <w:lvlJc w:val="left"/>
      <w:pPr>
        <w:ind w:left="2813" w:hanging="712"/>
      </w:pPr>
      <w:rPr>
        <w:rFonts w:hint="default"/>
        <w:lang w:val="es-ES" w:eastAsia="es-ES" w:bidi="es-ES"/>
      </w:rPr>
    </w:lvl>
    <w:lvl w:ilvl="3" w:tplc="20ACC53C">
      <w:numFmt w:val="bullet"/>
      <w:lvlText w:val="•"/>
      <w:lvlJc w:val="left"/>
      <w:pPr>
        <w:ind w:left="3666" w:hanging="712"/>
      </w:pPr>
      <w:rPr>
        <w:rFonts w:hint="default"/>
        <w:lang w:val="es-ES" w:eastAsia="es-ES" w:bidi="es-ES"/>
      </w:rPr>
    </w:lvl>
    <w:lvl w:ilvl="4" w:tplc="460C8B9C">
      <w:numFmt w:val="bullet"/>
      <w:lvlText w:val="•"/>
      <w:lvlJc w:val="left"/>
      <w:pPr>
        <w:ind w:left="4520" w:hanging="712"/>
      </w:pPr>
      <w:rPr>
        <w:rFonts w:hint="default"/>
        <w:lang w:val="es-ES" w:eastAsia="es-ES" w:bidi="es-ES"/>
      </w:rPr>
    </w:lvl>
    <w:lvl w:ilvl="5" w:tplc="71B8F948">
      <w:numFmt w:val="bullet"/>
      <w:lvlText w:val="•"/>
      <w:lvlJc w:val="left"/>
      <w:pPr>
        <w:ind w:left="5373" w:hanging="712"/>
      </w:pPr>
      <w:rPr>
        <w:rFonts w:hint="default"/>
        <w:lang w:val="es-ES" w:eastAsia="es-ES" w:bidi="es-ES"/>
      </w:rPr>
    </w:lvl>
    <w:lvl w:ilvl="6" w:tplc="0B2A8540">
      <w:numFmt w:val="bullet"/>
      <w:lvlText w:val="•"/>
      <w:lvlJc w:val="left"/>
      <w:pPr>
        <w:ind w:left="6226" w:hanging="712"/>
      </w:pPr>
      <w:rPr>
        <w:rFonts w:hint="default"/>
        <w:lang w:val="es-ES" w:eastAsia="es-ES" w:bidi="es-ES"/>
      </w:rPr>
    </w:lvl>
    <w:lvl w:ilvl="7" w:tplc="7CBA6FAC">
      <w:numFmt w:val="bullet"/>
      <w:lvlText w:val="•"/>
      <w:lvlJc w:val="left"/>
      <w:pPr>
        <w:ind w:left="7080" w:hanging="712"/>
      </w:pPr>
      <w:rPr>
        <w:rFonts w:hint="default"/>
        <w:lang w:val="es-ES" w:eastAsia="es-ES" w:bidi="es-ES"/>
      </w:rPr>
    </w:lvl>
    <w:lvl w:ilvl="8" w:tplc="72DAA9D4">
      <w:numFmt w:val="bullet"/>
      <w:lvlText w:val="•"/>
      <w:lvlJc w:val="left"/>
      <w:pPr>
        <w:ind w:left="7933" w:hanging="712"/>
      </w:pPr>
      <w:rPr>
        <w:rFonts w:hint="default"/>
        <w:lang w:val="es-ES" w:eastAsia="es-ES" w:bidi="es-ES"/>
      </w:rPr>
    </w:lvl>
  </w:abstractNum>
  <w:abstractNum w:abstractNumId="1" w15:restartNumberingAfterBreak="0">
    <w:nsid w:val="1A335BE0"/>
    <w:multiLevelType w:val="hybridMultilevel"/>
    <w:tmpl w:val="A10A8B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9C4B51"/>
    <w:multiLevelType w:val="hybridMultilevel"/>
    <w:tmpl w:val="6AC81CCA"/>
    <w:lvl w:ilvl="0" w:tplc="D56077F6">
      <w:start w:val="1"/>
      <w:numFmt w:val="decimal"/>
      <w:lvlText w:val="%1."/>
      <w:lvlJc w:val="left"/>
      <w:pPr>
        <w:ind w:left="836" w:hanging="361"/>
      </w:pPr>
      <w:rPr>
        <w:rFonts w:hint="default"/>
        <w:spacing w:val="-9"/>
        <w:w w:val="99"/>
        <w:lang w:val="es-ES" w:eastAsia="es-ES" w:bidi="es-ES"/>
      </w:rPr>
    </w:lvl>
    <w:lvl w:ilvl="1" w:tplc="774C2E62">
      <w:numFmt w:val="bullet"/>
      <w:lvlText w:val="•"/>
      <w:lvlJc w:val="left"/>
      <w:pPr>
        <w:ind w:left="1901" w:hanging="704"/>
      </w:pPr>
      <w:rPr>
        <w:rFonts w:ascii="Arial" w:eastAsia="Arial" w:hAnsi="Arial" w:cs="Arial" w:hint="default"/>
        <w:spacing w:val="-6"/>
        <w:w w:val="99"/>
        <w:sz w:val="22"/>
        <w:szCs w:val="22"/>
        <w:lang w:val="es-ES" w:eastAsia="es-ES" w:bidi="es-ES"/>
      </w:rPr>
    </w:lvl>
    <w:lvl w:ilvl="2" w:tplc="C570F568">
      <w:numFmt w:val="bullet"/>
      <w:lvlText w:val="•"/>
      <w:lvlJc w:val="left"/>
      <w:pPr>
        <w:ind w:left="2760" w:hanging="704"/>
      </w:pPr>
      <w:rPr>
        <w:rFonts w:hint="default"/>
        <w:lang w:val="es-ES" w:eastAsia="es-ES" w:bidi="es-ES"/>
      </w:rPr>
    </w:lvl>
    <w:lvl w:ilvl="3" w:tplc="57BAF15E">
      <w:numFmt w:val="bullet"/>
      <w:lvlText w:val="•"/>
      <w:lvlJc w:val="left"/>
      <w:pPr>
        <w:ind w:left="3620" w:hanging="704"/>
      </w:pPr>
      <w:rPr>
        <w:rFonts w:hint="default"/>
        <w:lang w:val="es-ES" w:eastAsia="es-ES" w:bidi="es-ES"/>
      </w:rPr>
    </w:lvl>
    <w:lvl w:ilvl="4" w:tplc="3A9A7F00">
      <w:numFmt w:val="bullet"/>
      <w:lvlText w:val="•"/>
      <w:lvlJc w:val="left"/>
      <w:pPr>
        <w:ind w:left="4480" w:hanging="704"/>
      </w:pPr>
      <w:rPr>
        <w:rFonts w:hint="default"/>
        <w:lang w:val="es-ES" w:eastAsia="es-ES" w:bidi="es-ES"/>
      </w:rPr>
    </w:lvl>
    <w:lvl w:ilvl="5" w:tplc="985817D2">
      <w:numFmt w:val="bullet"/>
      <w:lvlText w:val="•"/>
      <w:lvlJc w:val="left"/>
      <w:pPr>
        <w:ind w:left="5340" w:hanging="704"/>
      </w:pPr>
      <w:rPr>
        <w:rFonts w:hint="default"/>
        <w:lang w:val="es-ES" w:eastAsia="es-ES" w:bidi="es-ES"/>
      </w:rPr>
    </w:lvl>
    <w:lvl w:ilvl="6" w:tplc="5B3C981A">
      <w:numFmt w:val="bullet"/>
      <w:lvlText w:val="•"/>
      <w:lvlJc w:val="left"/>
      <w:pPr>
        <w:ind w:left="6200" w:hanging="704"/>
      </w:pPr>
      <w:rPr>
        <w:rFonts w:hint="default"/>
        <w:lang w:val="es-ES" w:eastAsia="es-ES" w:bidi="es-ES"/>
      </w:rPr>
    </w:lvl>
    <w:lvl w:ilvl="7" w:tplc="A3A6A240">
      <w:numFmt w:val="bullet"/>
      <w:lvlText w:val="•"/>
      <w:lvlJc w:val="left"/>
      <w:pPr>
        <w:ind w:left="7060" w:hanging="704"/>
      </w:pPr>
      <w:rPr>
        <w:rFonts w:hint="default"/>
        <w:lang w:val="es-ES" w:eastAsia="es-ES" w:bidi="es-ES"/>
      </w:rPr>
    </w:lvl>
    <w:lvl w:ilvl="8" w:tplc="DCFC735A">
      <w:numFmt w:val="bullet"/>
      <w:lvlText w:val="•"/>
      <w:lvlJc w:val="left"/>
      <w:pPr>
        <w:ind w:left="7920" w:hanging="704"/>
      </w:pPr>
      <w:rPr>
        <w:rFonts w:hint="default"/>
        <w:lang w:val="es-ES" w:eastAsia="es-ES" w:bidi="es-ES"/>
      </w:rPr>
    </w:lvl>
  </w:abstractNum>
  <w:abstractNum w:abstractNumId="3" w15:restartNumberingAfterBreak="0">
    <w:nsid w:val="253B0AA0"/>
    <w:multiLevelType w:val="hybridMultilevel"/>
    <w:tmpl w:val="16F65834"/>
    <w:lvl w:ilvl="0" w:tplc="3F52B62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B94180C"/>
    <w:multiLevelType w:val="hybridMultilevel"/>
    <w:tmpl w:val="A10A8B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DC4198"/>
    <w:multiLevelType w:val="hybridMultilevel"/>
    <w:tmpl w:val="05E6B6A2"/>
    <w:lvl w:ilvl="0" w:tplc="3D9CF5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D36719"/>
    <w:multiLevelType w:val="hybridMultilevel"/>
    <w:tmpl w:val="05E6B6A2"/>
    <w:lvl w:ilvl="0" w:tplc="3D9CF5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9D1418"/>
    <w:multiLevelType w:val="hybridMultilevel"/>
    <w:tmpl w:val="04685A78"/>
    <w:lvl w:ilvl="0" w:tplc="1DB63E6C">
      <w:numFmt w:val="bullet"/>
      <w:lvlText w:val=""/>
      <w:lvlJc w:val="left"/>
      <w:pPr>
        <w:ind w:left="1545" w:hanging="360"/>
      </w:pPr>
      <w:rPr>
        <w:rFonts w:ascii="Wingdings" w:eastAsia="Wingdings" w:hAnsi="Wingdings" w:cs="Wingdings" w:hint="default"/>
        <w:w w:val="100"/>
        <w:sz w:val="24"/>
        <w:szCs w:val="24"/>
        <w:lang w:val="es-ES" w:eastAsia="es-ES" w:bidi="es-ES"/>
      </w:rPr>
    </w:lvl>
    <w:lvl w:ilvl="1" w:tplc="28AE1412">
      <w:numFmt w:val="bullet"/>
      <w:lvlText w:val="•"/>
      <w:lvlJc w:val="left"/>
      <w:pPr>
        <w:ind w:left="2350" w:hanging="360"/>
      </w:pPr>
      <w:rPr>
        <w:rFonts w:hint="default"/>
        <w:lang w:val="es-ES" w:eastAsia="es-ES" w:bidi="es-ES"/>
      </w:rPr>
    </w:lvl>
    <w:lvl w:ilvl="2" w:tplc="33FE15AC">
      <w:numFmt w:val="bullet"/>
      <w:lvlText w:val="•"/>
      <w:lvlJc w:val="left"/>
      <w:pPr>
        <w:ind w:left="3160" w:hanging="360"/>
      </w:pPr>
      <w:rPr>
        <w:rFonts w:hint="default"/>
        <w:lang w:val="es-ES" w:eastAsia="es-ES" w:bidi="es-ES"/>
      </w:rPr>
    </w:lvl>
    <w:lvl w:ilvl="3" w:tplc="F00A4756">
      <w:numFmt w:val="bullet"/>
      <w:lvlText w:val="•"/>
      <w:lvlJc w:val="left"/>
      <w:pPr>
        <w:ind w:left="3970" w:hanging="360"/>
      </w:pPr>
      <w:rPr>
        <w:rFonts w:hint="default"/>
        <w:lang w:val="es-ES" w:eastAsia="es-ES" w:bidi="es-ES"/>
      </w:rPr>
    </w:lvl>
    <w:lvl w:ilvl="4" w:tplc="45346E0C">
      <w:numFmt w:val="bullet"/>
      <w:lvlText w:val="•"/>
      <w:lvlJc w:val="left"/>
      <w:pPr>
        <w:ind w:left="4780" w:hanging="360"/>
      </w:pPr>
      <w:rPr>
        <w:rFonts w:hint="default"/>
        <w:lang w:val="es-ES" w:eastAsia="es-ES" w:bidi="es-ES"/>
      </w:rPr>
    </w:lvl>
    <w:lvl w:ilvl="5" w:tplc="50D8BF2C">
      <w:numFmt w:val="bullet"/>
      <w:lvlText w:val="•"/>
      <w:lvlJc w:val="left"/>
      <w:pPr>
        <w:ind w:left="5590" w:hanging="360"/>
      </w:pPr>
      <w:rPr>
        <w:rFonts w:hint="default"/>
        <w:lang w:val="es-ES" w:eastAsia="es-ES" w:bidi="es-ES"/>
      </w:rPr>
    </w:lvl>
    <w:lvl w:ilvl="6" w:tplc="83E426CE">
      <w:numFmt w:val="bullet"/>
      <w:lvlText w:val="•"/>
      <w:lvlJc w:val="left"/>
      <w:pPr>
        <w:ind w:left="6400" w:hanging="360"/>
      </w:pPr>
      <w:rPr>
        <w:rFonts w:hint="default"/>
        <w:lang w:val="es-ES" w:eastAsia="es-ES" w:bidi="es-ES"/>
      </w:rPr>
    </w:lvl>
    <w:lvl w:ilvl="7" w:tplc="1B3E9C48">
      <w:numFmt w:val="bullet"/>
      <w:lvlText w:val="•"/>
      <w:lvlJc w:val="left"/>
      <w:pPr>
        <w:ind w:left="7210" w:hanging="360"/>
      </w:pPr>
      <w:rPr>
        <w:rFonts w:hint="default"/>
        <w:lang w:val="es-ES" w:eastAsia="es-ES" w:bidi="es-ES"/>
      </w:rPr>
    </w:lvl>
    <w:lvl w:ilvl="8" w:tplc="16E801CC">
      <w:numFmt w:val="bullet"/>
      <w:lvlText w:val="•"/>
      <w:lvlJc w:val="left"/>
      <w:pPr>
        <w:ind w:left="8020" w:hanging="360"/>
      </w:pPr>
      <w:rPr>
        <w:rFonts w:hint="default"/>
        <w:lang w:val="es-ES" w:eastAsia="es-ES" w:bidi="es-ES"/>
      </w:rPr>
    </w:lvl>
  </w:abstractNum>
  <w:abstractNum w:abstractNumId="8" w15:restartNumberingAfterBreak="0">
    <w:nsid w:val="4CD95D09"/>
    <w:multiLevelType w:val="hybridMultilevel"/>
    <w:tmpl w:val="EEDCEEE8"/>
    <w:lvl w:ilvl="0" w:tplc="C85E51BE">
      <w:numFmt w:val="bullet"/>
      <w:lvlText w:val=""/>
      <w:lvlJc w:val="left"/>
      <w:pPr>
        <w:ind w:left="836" w:hanging="361"/>
      </w:pPr>
      <w:rPr>
        <w:rFonts w:ascii="Wingdings" w:eastAsia="Wingdings" w:hAnsi="Wingdings" w:cs="Wingdings" w:hint="default"/>
        <w:w w:val="100"/>
        <w:sz w:val="24"/>
        <w:szCs w:val="24"/>
        <w:lang w:val="es-ES" w:eastAsia="es-ES" w:bidi="es-ES"/>
      </w:rPr>
    </w:lvl>
    <w:lvl w:ilvl="1" w:tplc="7090C564">
      <w:numFmt w:val="bullet"/>
      <w:lvlText w:val=""/>
      <w:lvlJc w:val="left"/>
      <w:pPr>
        <w:ind w:left="1121" w:hanging="361"/>
      </w:pPr>
      <w:rPr>
        <w:rFonts w:ascii="Symbol" w:eastAsia="Symbol" w:hAnsi="Symbol" w:cs="Symbol" w:hint="default"/>
        <w:w w:val="100"/>
        <w:sz w:val="22"/>
        <w:szCs w:val="22"/>
        <w:lang w:val="es-ES" w:eastAsia="es-ES" w:bidi="es-ES"/>
      </w:rPr>
    </w:lvl>
    <w:lvl w:ilvl="2" w:tplc="22D84224">
      <w:numFmt w:val="bullet"/>
      <w:lvlText w:val="•"/>
      <w:lvlJc w:val="left"/>
      <w:pPr>
        <w:ind w:left="2066" w:hanging="361"/>
      </w:pPr>
      <w:rPr>
        <w:rFonts w:hint="default"/>
        <w:lang w:val="es-ES" w:eastAsia="es-ES" w:bidi="es-ES"/>
      </w:rPr>
    </w:lvl>
    <w:lvl w:ilvl="3" w:tplc="D0CA5C08">
      <w:numFmt w:val="bullet"/>
      <w:lvlText w:val="•"/>
      <w:lvlJc w:val="left"/>
      <w:pPr>
        <w:ind w:left="3013" w:hanging="361"/>
      </w:pPr>
      <w:rPr>
        <w:rFonts w:hint="default"/>
        <w:lang w:val="es-ES" w:eastAsia="es-ES" w:bidi="es-ES"/>
      </w:rPr>
    </w:lvl>
    <w:lvl w:ilvl="4" w:tplc="14CE8C06">
      <w:numFmt w:val="bullet"/>
      <w:lvlText w:val="•"/>
      <w:lvlJc w:val="left"/>
      <w:pPr>
        <w:ind w:left="3960" w:hanging="361"/>
      </w:pPr>
      <w:rPr>
        <w:rFonts w:hint="default"/>
        <w:lang w:val="es-ES" w:eastAsia="es-ES" w:bidi="es-ES"/>
      </w:rPr>
    </w:lvl>
    <w:lvl w:ilvl="5" w:tplc="4D80906A">
      <w:numFmt w:val="bullet"/>
      <w:lvlText w:val="•"/>
      <w:lvlJc w:val="left"/>
      <w:pPr>
        <w:ind w:left="4906" w:hanging="361"/>
      </w:pPr>
      <w:rPr>
        <w:rFonts w:hint="default"/>
        <w:lang w:val="es-ES" w:eastAsia="es-ES" w:bidi="es-ES"/>
      </w:rPr>
    </w:lvl>
    <w:lvl w:ilvl="6" w:tplc="C3BA6E48">
      <w:numFmt w:val="bullet"/>
      <w:lvlText w:val="•"/>
      <w:lvlJc w:val="left"/>
      <w:pPr>
        <w:ind w:left="5853" w:hanging="361"/>
      </w:pPr>
      <w:rPr>
        <w:rFonts w:hint="default"/>
        <w:lang w:val="es-ES" w:eastAsia="es-ES" w:bidi="es-ES"/>
      </w:rPr>
    </w:lvl>
    <w:lvl w:ilvl="7" w:tplc="45F4EF58">
      <w:numFmt w:val="bullet"/>
      <w:lvlText w:val="•"/>
      <w:lvlJc w:val="left"/>
      <w:pPr>
        <w:ind w:left="6800" w:hanging="361"/>
      </w:pPr>
      <w:rPr>
        <w:rFonts w:hint="default"/>
        <w:lang w:val="es-ES" w:eastAsia="es-ES" w:bidi="es-ES"/>
      </w:rPr>
    </w:lvl>
    <w:lvl w:ilvl="8" w:tplc="B22CD0D2">
      <w:numFmt w:val="bullet"/>
      <w:lvlText w:val="•"/>
      <w:lvlJc w:val="left"/>
      <w:pPr>
        <w:ind w:left="7746" w:hanging="361"/>
      </w:pPr>
      <w:rPr>
        <w:rFonts w:hint="default"/>
        <w:lang w:val="es-ES" w:eastAsia="es-ES" w:bidi="es-ES"/>
      </w:rPr>
    </w:lvl>
  </w:abstractNum>
  <w:abstractNum w:abstractNumId="9" w15:restartNumberingAfterBreak="0">
    <w:nsid w:val="5BCA1304"/>
    <w:multiLevelType w:val="multilevel"/>
    <w:tmpl w:val="500C2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D346AA6"/>
    <w:multiLevelType w:val="hybridMultilevel"/>
    <w:tmpl w:val="433A7918"/>
    <w:lvl w:ilvl="0" w:tplc="2B4C4850">
      <w:numFmt w:val="bullet"/>
      <w:lvlText w:val=""/>
      <w:lvlJc w:val="left"/>
      <w:pPr>
        <w:ind w:left="836" w:hanging="361"/>
      </w:pPr>
      <w:rPr>
        <w:rFonts w:ascii="Symbol" w:eastAsia="Symbol" w:hAnsi="Symbol" w:cs="Symbol" w:hint="default"/>
        <w:w w:val="100"/>
        <w:sz w:val="22"/>
        <w:szCs w:val="22"/>
        <w:lang w:val="es-ES" w:eastAsia="es-ES" w:bidi="es-ES"/>
      </w:rPr>
    </w:lvl>
    <w:lvl w:ilvl="1" w:tplc="A4560F78">
      <w:numFmt w:val="bullet"/>
      <w:lvlText w:val=""/>
      <w:lvlJc w:val="left"/>
      <w:pPr>
        <w:ind w:left="1545" w:hanging="360"/>
      </w:pPr>
      <w:rPr>
        <w:rFonts w:ascii="Wingdings" w:eastAsia="Wingdings" w:hAnsi="Wingdings" w:cs="Wingdings" w:hint="default"/>
        <w:w w:val="100"/>
        <w:sz w:val="22"/>
        <w:szCs w:val="22"/>
        <w:lang w:val="es-ES" w:eastAsia="es-ES" w:bidi="es-ES"/>
      </w:rPr>
    </w:lvl>
    <w:lvl w:ilvl="2" w:tplc="F02094AC">
      <w:numFmt w:val="bullet"/>
      <w:lvlText w:val="•"/>
      <w:lvlJc w:val="left"/>
      <w:pPr>
        <w:ind w:left="2440" w:hanging="360"/>
      </w:pPr>
      <w:rPr>
        <w:rFonts w:hint="default"/>
        <w:lang w:val="es-ES" w:eastAsia="es-ES" w:bidi="es-ES"/>
      </w:rPr>
    </w:lvl>
    <w:lvl w:ilvl="3" w:tplc="05CCE224">
      <w:numFmt w:val="bullet"/>
      <w:lvlText w:val="•"/>
      <w:lvlJc w:val="left"/>
      <w:pPr>
        <w:ind w:left="3340" w:hanging="360"/>
      </w:pPr>
      <w:rPr>
        <w:rFonts w:hint="default"/>
        <w:lang w:val="es-ES" w:eastAsia="es-ES" w:bidi="es-ES"/>
      </w:rPr>
    </w:lvl>
    <w:lvl w:ilvl="4" w:tplc="45620FD6">
      <w:numFmt w:val="bullet"/>
      <w:lvlText w:val="•"/>
      <w:lvlJc w:val="left"/>
      <w:pPr>
        <w:ind w:left="4240" w:hanging="360"/>
      </w:pPr>
      <w:rPr>
        <w:rFonts w:hint="default"/>
        <w:lang w:val="es-ES" w:eastAsia="es-ES" w:bidi="es-ES"/>
      </w:rPr>
    </w:lvl>
    <w:lvl w:ilvl="5" w:tplc="04EE9B14">
      <w:numFmt w:val="bullet"/>
      <w:lvlText w:val="•"/>
      <w:lvlJc w:val="left"/>
      <w:pPr>
        <w:ind w:left="5140" w:hanging="360"/>
      </w:pPr>
      <w:rPr>
        <w:rFonts w:hint="default"/>
        <w:lang w:val="es-ES" w:eastAsia="es-ES" w:bidi="es-ES"/>
      </w:rPr>
    </w:lvl>
    <w:lvl w:ilvl="6" w:tplc="FA58A190">
      <w:numFmt w:val="bullet"/>
      <w:lvlText w:val="•"/>
      <w:lvlJc w:val="left"/>
      <w:pPr>
        <w:ind w:left="6040" w:hanging="360"/>
      </w:pPr>
      <w:rPr>
        <w:rFonts w:hint="default"/>
        <w:lang w:val="es-ES" w:eastAsia="es-ES" w:bidi="es-ES"/>
      </w:rPr>
    </w:lvl>
    <w:lvl w:ilvl="7" w:tplc="903CF5DA">
      <w:numFmt w:val="bullet"/>
      <w:lvlText w:val="•"/>
      <w:lvlJc w:val="left"/>
      <w:pPr>
        <w:ind w:left="6940" w:hanging="360"/>
      </w:pPr>
      <w:rPr>
        <w:rFonts w:hint="default"/>
        <w:lang w:val="es-ES" w:eastAsia="es-ES" w:bidi="es-ES"/>
      </w:rPr>
    </w:lvl>
    <w:lvl w:ilvl="8" w:tplc="58FADAA6">
      <w:numFmt w:val="bullet"/>
      <w:lvlText w:val="•"/>
      <w:lvlJc w:val="left"/>
      <w:pPr>
        <w:ind w:left="7840" w:hanging="360"/>
      </w:pPr>
      <w:rPr>
        <w:rFonts w:hint="default"/>
        <w:lang w:val="es-ES" w:eastAsia="es-ES" w:bidi="es-ES"/>
      </w:rPr>
    </w:lvl>
  </w:abstractNum>
  <w:abstractNum w:abstractNumId="11" w15:restartNumberingAfterBreak="0">
    <w:nsid w:val="77887151"/>
    <w:multiLevelType w:val="hybridMultilevel"/>
    <w:tmpl w:val="268C20BC"/>
    <w:lvl w:ilvl="0" w:tplc="53AC617A">
      <w:numFmt w:val="bullet"/>
      <w:lvlText w:val=""/>
      <w:lvlJc w:val="left"/>
      <w:pPr>
        <w:ind w:left="904" w:hanging="360"/>
      </w:pPr>
      <w:rPr>
        <w:rFonts w:ascii="Wingdings" w:eastAsia="Wingdings" w:hAnsi="Wingdings" w:cs="Wingdings" w:hint="default"/>
        <w:w w:val="100"/>
        <w:sz w:val="24"/>
        <w:szCs w:val="24"/>
        <w:lang w:val="es-ES" w:eastAsia="es-ES" w:bidi="es-ES"/>
      </w:rPr>
    </w:lvl>
    <w:lvl w:ilvl="1" w:tplc="FA0ADD98">
      <w:numFmt w:val="bullet"/>
      <w:lvlText w:val="•"/>
      <w:lvlJc w:val="left"/>
      <w:pPr>
        <w:ind w:left="1774" w:hanging="360"/>
      </w:pPr>
      <w:rPr>
        <w:rFonts w:hint="default"/>
        <w:lang w:val="es-ES" w:eastAsia="es-ES" w:bidi="es-ES"/>
      </w:rPr>
    </w:lvl>
    <w:lvl w:ilvl="2" w:tplc="C908B982">
      <w:numFmt w:val="bullet"/>
      <w:lvlText w:val="•"/>
      <w:lvlJc w:val="left"/>
      <w:pPr>
        <w:ind w:left="2648" w:hanging="360"/>
      </w:pPr>
      <w:rPr>
        <w:rFonts w:hint="default"/>
        <w:lang w:val="es-ES" w:eastAsia="es-ES" w:bidi="es-ES"/>
      </w:rPr>
    </w:lvl>
    <w:lvl w:ilvl="3" w:tplc="22B6E84C">
      <w:numFmt w:val="bullet"/>
      <w:lvlText w:val="•"/>
      <w:lvlJc w:val="left"/>
      <w:pPr>
        <w:ind w:left="3522" w:hanging="360"/>
      </w:pPr>
      <w:rPr>
        <w:rFonts w:hint="default"/>
        <w:lang w:val="es-ES" w:eastAsia="es-ES" w:bidi="es-ES"/>
      </w:rPr>
    </w:lvl>
    <w:lvl w:ilvl="4" w:tplc="5D7A7768">
      <w:numFmt w:val="bullet"/>
      <w:lvlText w:val="•"/>
      <w:lvlJc w:val="left"/>
      <w:pPr>
        <w:ind w:left="4396" w:hanging="360"/>
      </w:pPr>
      <w:rPr>
        <w:rFonts w:hint="default"/>
        <w:lang w:val="es-ES" w:eastAsia="es-ES" w:bidi="es-ES"/>
      </w:rPr>
    </w:lvl>
    <w:lvl w:ilvl="5" w:tplc="3BDCDED4">
      <w:numFmt w:val="bullet"/>
      <w:lvlText w:val="•"/>
      <w:lvlJc w:val="left"/>
      <w:pPr>
        <w:ind w:left="5270" w:hanging="360"/>
      </w:pPr>
      <w:rPr>
        <w:rFonts w:hint="default"/>
        <w:lang w:val="es-ES" w:eastAsia="es-ES" w:bidi="es-ES"/>
      </w:rPr>
    </w:lvl>
    <w:lvl w:ilvl="6" w:tplc="03900EA8">
      <w:numFmt w:val="bullet"/>
      <w:lvlText w:val="•"/>
      <w:lvlJc w:val="left"/>
      <w:pPr>
        <w:ind w:left="6144" w:hanging="360"/>
      </w:pPr>
      <w:rPr>
        <w:rFonts w:hint="default"/>
        <w:lang w:val="es-ES" w:eastAsia="es-ES" w:bidi="es-ES"/>
      </w:rPr>
    </w:lvl>
    <w:lvl w:ilvl="7" w:tplc="88B632BC">
      <w:numFmt w:val="bullet"/>
      <w:lvlText w:val="•"/>
      <w:lvlJc w:val="left"/>
      <w:pPr>
        <w:ind w:left="7018" w:hanging="360"/>
      </w:pPr>
      <w:rPr>
        <w:rFonts w:hint="default"/>
        <w:lang w:val="es-ES" w:eastAsia="es-ES" w:bidi="es-ES"/>
      </w:rPr>
    </w:lvl>
    <w:lvl w:ilvl="8" w:tplc="D37CFA68">
      <w:numFmt w:val="bullet"/>
      <w:lvlText w:val="•"/>
      <w:lvlJc w:val="left"/>
      <w:pPr>
        <w:ind w:left="7892" w:hanging="360"/>
      </w:pPr>
      <w:rPr>
        <w:rFonts w:hint="default"/>
        <w:lang w:val="es-ES" w:eastAsia="es-ES" w:bidi="es-ES"/>
      </w:rPr>
    </w:lvl>
  </w:abstractNum>
  <w:num w:numId="1">
    <w:abstractNumId w:val="11"/>
  </w:num>
  <w:num w:numId="2">
    <w:abstractNumId w:val="0"/>
  </w:num>
  <w:num w:numId="3">
    <w:abstractNumId w:val="7"/>
  </w:num>
  <w:num w:numId="4">
    <w:abstractNumId w:val="2"/>
  </w:num>
  <w:num w:numId="5">
    <w:abstractNumId w:val="10"/>
  </w:num>
  <w:num w:numId="6">
    <w:abstractNumId w:val="8"/>
  </w:num>
  <w:num w:numId="7">
    <w:abstractNumId w:val="9"/>
  </w:num>
  <w:num w:numId="8">
    <w:abstractNumId w:val="5"/>
  </w:num>
  <w:num w:numId="9">
    <w:abstractNumId w:val="1"/>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21"/>
    <w:rsid w:val="0000018C"/>
    <w:rsid w:val="00016FCE"/>
    <w:rsid w:val="000368AD"/>
    <w:rsid w:val="00040E80"/>
    <w:rsid w:val="00041B9A"/>
    <w:rsid w:val="000424DD"/>
    <w:rsid w:val="0004480D"/>
    <w:rsid w:val="00046982"/>
    <w:rsid w:val="0004785B"/>
    <w:rsid w:val="00073A99"/>
    <w:rsid w:val="000812C0"/>
    <w:rsid w:val="00084051"/>
    <w:rsid w:val="00084AD8"/>
    <w:rsid w:val="0008628A"/>
    <w:rsid w:val="000947E5"/>
    <w:rsid w:val="00094F5A"/>
    <w:rsid w:val="000C10D2"/>
    <w:rsid w:val="000C5100"/>
    <w:rsid w:val="000C73C4"/>
    <w:rsid w:val="000E450F"/>
    <w:rsid w:val="001107B1"/>
    <w:rsid w:val="00131CFE"/>
    <w:rsid w:val="00136FB1"/>
    <w:rsid w:val="001760B3"/>
    <w:rsid w:val="0017647A"/>
    <w:rsid w:val="0017667D"/>
    <w:rsid w:val="00177E5C"/>
    <w:rsid w:val="001B0DE9"/>
    <w:rsid w:val="001B5076"/>
    <w:rsid w:val="001D04BF"/>
    <w:rsid w:val="001D4610"/>
    <w:rsid w:val="001D5C4C"/>
    <w:rsid w:val="001E27E7"/>
    <w:rsid w:val="00201399"/>
    <w:rsid w:val="00202A06"/>
    <w:rsid w:val="00205AB0"/>
    <w:rsid w:val="002176A2"/>
    <w:rsid w:val="00217963"/>
    <w:rsid w:val="00245589"/>
    <w:rsid w:val="00264D90"/>
    <w:rsid w:val="00272960"/>
    <w:rsid w:val="002813AE"/>
    <w:rsid w:val="00292EDC"/>
    <w:rsid w:val="002C20F0"/>
    <w:rsid w:val="002C7AAB"/>
    <w:rsid w:val="002D3291"/>
    <w:rsid w:val="002D4144"/>
    <w:rsid w:val="002F2361"/>
    <w:rsid w:val="003109BF"/>
    <w:rsid w:val="0034086E"/>
    <w:rsid w:val="0034094D"/>
    <w:rsid w:val="00363460"/>
    <w:rsid w:val="00367161"/>
    <w:rsid w:val="0038505A"/>
    <w:rsid w:val="003904CB"/>
    <w:rsid w:val="003B1527"/>
    <w:rsid w:val="003B6FB9"/>
    <w:rsid w:val="003C078F"/>
    <w:rsid w:val="003D0627"/>
    <w:rsid w:val="003F2B9D"/>
    <w:rsid w:val="004072A8"/>
    <w:rsid w:val="004247DB"/>
    <w:rsid w:val="004258A0"/>
    <w:rsid w:val="0043221D"/>
    <w:rsid w:val="00450481"/>
    <w:rsid w:val="00460261"/>
    <w:rsid w:val="00460C51"/>
    <w:rsid w:val="0047704A"/>
    <w:rsid w:val="00481816"/>
    <w:rsid w:val="004B5695"/>
    <w:rsid w:val="004D1DBE"/>
    <w:rsid w:val="004F5E71"/>
    <w:rsid w:val="00501655"/>
    <w:rsid w:val="00514CCD"/>
    <w:rsid w:val="005232B4"/>
    <w:rsid w:val="00525884"/>
    <w:rsid w:val="0052694E"/>
    <w:rsid w:val="00540F57"/>
    <w:rsid w:val="00541EA0"/>
    <w:rsid w:val="0054764C"/>
    <w:rsid w:val="00555B2B"/>
    <w:rsid w:val="00573769"/>
    <w:rsid w:val="005804C4"/>
    <w:rsid w:val="00592D6C"/>
    <w:rsid w:val="005A298F"/>
    <w:rsid w:val="005A48A7"/>
    <w:rsid w:val="005F18DC"/>
    <w:rsid w:val="00611B83"/>
    <w:rsid w:val="00625060"/>
    <w:rsid w:val="00630CB9"/>
    <w:rsid w:val="00636A4D"/>
    <w:rsid w:val="006502B4"/>
    <w:rsid w:val="00650B99"/>
    <w:rsid w:val="00655B1E"/>
    <w:rsid w:val="00677362"/>
    <w:rsid w:val="006A70DB"/>
    <w:rsid w:val="006D1A4A"/>
    <w:rsid w:val="006D4B61"/>
    <w:rsid w:val="006E2942"/>
    <w:rsid w:val="006E6348"/>
    <w:rsid w:val="00710AD2"/>
    <w:rsid w:val="007241A7"/>
    <w:rsid w:val="00730D4D"/>
    <w:rsid w:val="00735694"/>
    <w:rsid w:val="00740E3C"/>
    <w:rsid w:val="00742EC8"/>
    <w:rsid w:val="00744B91"/>
    <w:rsid w:val="00747572"/>
    <w:rsid w:val="00763D47"/>
    <w:rsid w:val="007669C3"/>
    <w:rsid w:val="00772825"/>
    <w:rsid w:val="00787B70"/>
    <w:rsid w:val="007A5567"/>
    <w:rsid w:val="007D4C6C"/>
    <w:rsid w:val="007F20BD"/>
    <w:rsid w:val="007F2E3E"/>
    <w:rsid w:val="00801892"/>
    <w:rsid w:val="00825BB6"/>
    <w:rsid w:val="00892BFD"/>
    <w:rsid w:val="008973AD"/>
    <w:rsid w:val="008C54B5"/>
    <w:rsid w:val="008C6537"/>
    <w:rsid w:val="008D4672"/>
    <w:rsid w:val="008E7ED4"/>
    <w:rsid w:val="008F4118"/>
    <w:rsid w:val="009007FD"/>
    <w:rsid w:val="00901138"/>
    <w:rsid w:val="00902B03"/>
    <w:rsid w:val="00912E06"/>
    <w:rsid w:val="00915CE4"/>
    <w:rsid w:val="00947675"/>
    <w:rsid w:val="009478C9"/>
    <w:rsid w:val="00977D3B"/>
    <w:rsid w:val="009837A0"/>
    <w:rsid w:val="0098566E"/>
    <w:rsid w:val="009F2E49"/>
    <w:rsid w:val="00A00994"/>
    <w:rsid w:val="00A06A3C"/>
    <w:rsid w:val="00A07957"/>
    <w:rsid w:val="00A13988"/>
    <w:rsid w:val="00A322AD"/>
    <w:rsid w:val="00A342A0"/>
    <w:rsid w:val="00A500A0"/>
    <w:rsid w:val="00A50837"/>
    <w:rsid w:val="00A62CC2"/>
    <w:rsid w:val="00A766B1"/>
    <w:rsid w:val="00A8205E"/>
    <w:rsid w:val="00AB25EA"/>
    <w:rsid w:val="00AD3D54"/>
    <w:rsid w:val="00AE5E84"/>
    <w:rsid w:val="00B01142"/>
    <w:rsid w:val="00B01223"/>
    <w:rsid w:val="00B06FF5"/>
    <w:rsid w:val="00B31D3F"/>
    <w:rsid w:val="00B35829"/>
    <w:rsid w:val="00B40102"/>
    <w:rsid w:val="00B56AB7"/>
    <w:rsid w:val="00B749E5"/>
    <w:rsid w:val="00B90D41"/>
    <w:rsid w:val="00BA111D"/>
    <w:rsid w:val="00BA299D"/>
    <w:rsid w:val="00BE585A"/>
    <w:rsid w:val="00BF0C03"/>
    <w:rsid w:val="00C016B2"/>
    <w:rsid w:val="00C02D54"/>
    <w:rsid w:val="00C046A5"/>
    <w:rsid w:val="00C27462"/>
    <w:rsid w:val="00C310F4"/>
    <w:rsid w:val="00C57141"/>
    <w:rsid w:val="00C675BC"/>
    <w:rsid w:val="00C75BCD"/>
    <w:rsid w:val="00C80FA3"/>
    <w:rsid w:val="00C86829"/>
    <w:rsid w:val="00C94A3F"/>
    <w:rsid w:val="00CA2599"/>
    <w:rsid w:val="00CA7DAA"/>
    <w:rsid w:val="00CB1354"/>
    <w:rsid w:val="00CB28E9"/>
    <w:rsid w:val="00CE05B1"/>
    <w:rsid w:val="00D03564"/>
    <w:rsid w:val="00D04EFC"/>
    <w:rsid w:val="00D2144E"/>
    <w:rsid w:val="00D24231"/>
    <w:rsid w:val="00D33A68"/>
    <w:rsid w:val="00D4199E"/>
    <w:rsid w:val="00D42C14"/>
    <w:rsid w:val="00D57E8B"/>
    <w:rsid w:val="00D716B6"/>
    <w:rsid w:val="00D97587"/>
    <w:rsid w:val="00DA3193"/>
    <w:rsid w:val="00DB080C"/>
    <w:rsid w:val="00DF2F73"/>
    <w:rsid w:val="00DF50F1"/>
    <w:rsid w:val="00E5657F"/>
    <w:rsid w:val="00E5768D"/>
    <w:rsid w:val="00E64A73"/>
    <w:rsid w:val="00E727C0"/>
    <w:rsid w:val="00E94D13"/>
    <w:rsid w:val="00EA7917"/>
    <w:rsid w:val="00EB3272"/>
    <w:rsid w:val="00EC24EE"/>
    <w:rsid w:val="00EE18B9"/>
    <w:rsid w:val="00EF475B"/>
    <w:rsid w:val="00EF4C24"/>
    <w:rsid w:val="00F23643"/>
    <w:rsid w:val="00F2402F"/>
    <w:rsid w:val="00F3302B"/>
    <w:rsid w:val="00F403D5"/>
    <w:rsid w:val="00F468E3"/>
    <w:rsid w:val="00F64221"/>
    <w:rsid w:val="00F843AE"/>
    <w:rsid w:val="00FB0672"/>
    <w:rsid w:val="00FD29B3"/>
    <w:rsid w:val="00FD2E89"/>
    <w:rsid w:val="00FD5E12"/>
    <w:rsid w:val="00FF6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F3E12"/>
  <w15:docId w15:val="{3DCF6638-B04B-4C80-A771-5BC20F8A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90"/>
      <w:ind w:left="1559" w:right="1566"/>
      <w:jc w:val="center"/>
      <w:outlineLvl w:val="0"/>
    </w:pPr>
    <w:rPr>
      <w:b/>
      <w:bCs/>
      <w:sz w:val="32"/>
      <w:szCs w:val="32"/>
    </w:rPr>
  </w:style>
  <w:style w:type="paragraph" w:styleId="Ttulo2">
    <w:name w:val="heading 2"/>
    <w:basedOn w:val="Normal"/>
    <w:uiPriority w:val="9"/>
    <w:unhideWhenUsed/>
    <w:qFormat/>
    <w:pPr>
      <w:ind w:left="116" w:hanging="361"/>
      <w:jc w:val="both"/>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21" w:hanging="361"/>
      <w:jc w:val="both"/>
    </w:pPr>
  </w:style>
  <w:style w:type="paragraph" w:customStyle="1" w:styleId="TableParagraph">
    <w:name w:val="Table Paragraph"/>
    <w:basedOn w:val="Normal"/>
    <w:uiPriority w:val="1"/>
    <w:qFormat/>
  </w:style>
  <w:style w:type="paragraph" w:styleId="Sinespaciado">
    <w:name w:val="No Spacing"/>
    <w:uiPriority w:val="1"/>
    <w:qFormat/>
    <w:rsid w:val="00573769"/>
    <w:pPr>
      <w:widowControl/>
      <w:autoSpaceDE/>
      <w:autoSpaceDN/>
    </w:pPr>
    <w:rPr>
      <w:lang w:val="es-CO"/>
    </w:rPr>
  </w:style>
  <w:style w:type="paragraph" w:styleId="Encabezado">
    <w:name w:val="header"/>
    <w:basedOn w:val="Normal"/>
    <w:link w:val="EncabezadoCar"/>
    <w:uiPriority w:val="99"/>
    <w:unhideWhenUsed/>
    <w:rsid w:val="006D4B61"/>
    <w:pPr>
      <w:tabs>
        <w:tab w:val="center" w:pos="4419"/>
        <w:tab w:val="right" w:pos="8838"/>
      </w:tabs>
    </w:pPr>
  </w:style>
  <w:style w:type="character" w:customStyle="1" w:styleId="EncabezadoCar">
    <w:name w:val="Encabezado Car"/>
    <w:basedOn w:val="Fuentedeprrafopredeter"/>
    <w:link w:val="Encabezado"/>
    <w:uiPriority w:val="99"/>
    <w:rsid w:val="006D4B61"/>
    <w:rPr>
      <w:rFonts w:ascii="Arial" w:eastAsia="Arial" w:hAnsi="Arial" w:cs="Arial"/>
      <w:lang w:val="es-ES" w:eastAsia="es-ES" w:bidi="es-ES"/>
    </w:rPr>
  </w:style>
  <w:style w:type="paragraph" w:styleId="Piedepgina">
    <w:name w:val="footer"/>
    <w:basedOn w:val="Normal"/>
    <w:link w:val="PiedepginaCar"/>
    <w:uiPriority w:val="99"/>
    <w:unhideWhenUsed/>
    <w:rsid w:val="006D4B61"/>
    <w:pPr>
      <w:tabs>
        <w:tab w:val="center" w:pos="4419"/>
        <w:tab w:val="right" w:pos="8838"/>
      </w:tabs>
    </w:pPr>
  </w:style>
  <w:style w:type="character" w:customStyle="1" w:styleId="PiedepginaCar">
    <w:name w:val="Pie de página Car"/>
    <w:basedOn w:val="Fuentedeprrafopredeter"/>
    <w:link w:val="Piedepgina"/>
    <w:uiPriority w:val="99"/>
    <w:rsid w:val="006D4B61"/>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52694E"/>
    <w:rPr>
      <w:sz w:val="16"/>
      <w:szCs w:val="16"/>
    </w:rPr>
  </w:style>
  <w:style w:type="paragraph" w:styleId="Textocomentario">
    <w:name w:val="annotation text"/>
    <w:basedOn w:val="Normal"/>
    <w:link w:val="TextocomentarioCar"/>
    <w:uiPriority w:val="99"/>
    <w:semiHidden/>
    <w:unhideWhenUsed/>
    <w:rsid w:val="0052694E"/>
    <w:rPr>
      <w:sz w:val="20"/>
      <w:szCs w:val="20"/>
    </w:rPr>
  </w:style>
  <w:style w:type="character" w:customStyle="1" w:styleId="TextocomentarioCar">
    <w:name w:val="Texto comentario Car"/>
    <w:basedOn w:val="Fuentedeprrafopredeter"/>
    <w:link w:val="Textocomentario"/>
    <w:uiPriority w:val="99"/>
    <w:semiHidden/>
    <w:rsid w:val="0052694E"/>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52694E"/>
    <w:rPr>
      <w:b/>
      <w:bCs/>
    </w:rPr>
  </w:style>
  <w:style w:type="character" w:customStyle="1" w:styleId="AsuntodelcomentarioCar">
    <w:name w:val="Asunto del comentario Car"/>
    <w:basedOn w:val="TextocomentarioCar"/>
    <w:link w:val="Asuntodelcomentario"/>
    <w:uiPriority w:val="99"/>
    <w:semiHidden/>
    <w:rsid w:val="0052694E"/>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52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94E"/>
    <w:rPr>
      <w:rFonts w:ascii="Segoe UI" w:eastAsia="Arial" w:hAnsi="Segoe UI" w:cs="Segoe UI"/>
      <w:sz w:val="18"/>
      <w:szCs w:val="18"/>
      <w:lang w:val="es-ES" w:eastAsia="es-ES" w:bidi="es-ES"/>
    </w:rPr>
  </w:style>
  <w:style w:type="character" w:styleId="Hipervnculo">
    <w:name w:val="Hyperlink"/>
    <w:basedOn w:val="Fuentedeprrafopredeter"/>
    <w:uiPriority w:val="99"/>
    <w:unhideWhenUsed/>
    <w:rsid w:val="001D04BF"/>
    <w:rPr>
      <w:color w:val="0000FF" w:themeColor="hyperlink"/>
      <w:u w:val="single"/>
    </w:rPr>
  </w:style>
  <w:style w:type="paragraph" w:styleId="Textonotapie">
    <w:name w:val="footnote text"/>
    <w:aliases w:val="Ref. de nota al pie1,referencia nota al pie,Appel note de bas de page,Texto de nota al pie,Nota de pie,Texto nota al pie,Footnote Text Char Char Char Char Char,Footnote Text Char Char Char Char,FA Fu,Footnote reference,Footnote Text Char"/>
    <w:basedOn w:val="Normal"/>
    <w:link w:val="TextonotapieCar"/>
    <w:uiPriority w:val="99"/>
    <w:unhideWhenUsed/>
    <w:qFormat/>
    <w:rsid w:val="009007FD"/>
    <w:pPr>
      <w:widowControl/>
      <w:autoSpaceDE/>
      <w:autoSpaceDN/>
    </w:pPr>
    <w:rPr>
      <w:rFonts w:asciiTheme="minorHAnsi" w:eastAsiaTheme="minorHAnsi" w:hAnsiTheme="minorHAnsi" w:cstheme="minorBidi"/>
      <w:sz w:val="20"/>
      <w:szCs w:val="20"/>
      <w:lang w:val="es-CO" w:eastAsia="en-US" w:bidi="ar-SA"/>
    </w:rPr>
  </w:style>
  <w:style w:type="character" w:customStyle="1" w:styleId="TextonotapieCar">
    <w:name w:val="Texto nota pie Car"/>
    <w:aliases w:val="Ref. de nota al pie1 Car,referencia nota al pie Car,Appel note de bas de page Car,Texto de nota al pie Car,Nota de pie Car,Texto nota al pie Car,Footnote Text Char Char Char Char Char Car,Footnote Text Char Char Char Char Car"/>
    <w:basedOn w:val="Fuentedeprrafopredeter"/>
    <w:link w:val="Textonotapie"/>
    <w:uiPriority w:val="99"/>
    <w:rsid w:val="009007FD"/>
    <w:rPr>
      <w:sz w:val="20"/>
      <w:szCs w:val="20"/>
      <w:lang w:val="es-CO"/>
    </w:rPr>
  </w:style>
  <w:style w:type="character" w:styleId="Refdenotaalpie">
    <w:name w:val="footnote reference"/>
    <w:aliases w:val="Footnotes refss,Footnote number,BVI fnr,Ref. de nota al pie 2,Fago Fußnotenzeichen,4_G,16 Point,Superscript 6 Point,Footnote Reference Char3,Texto nota pie Car Car,Footnote Text Char Char Char Char Char Char1 Car,f,FC,FA Fu Car2"/>
    <w:basedOn w:val="Fuentedeprrafopredeter"/>
    <w:link w:val="Piedepagina"/>
    <w:uiPriority w:val="99"/>
    <w:unhideWhenUsed/>
    <w:qFormat/>
    <w:rsid w:val="009007FD"/>
    <w:rPr>
      <w:rFonts w:cs="Times New Roman"/>
      <w:vertAlign w:val="superscript"/>
    </w:rPr>
  </w:style>
  <w:style w:type="paragraph" w:customStyle="1" w:styleId="Piedepagina">
    <w:name w:val="Pie de pagina"/>
    <w:basedOn w:val="Normal"/>
    <w:link w:val="Refdenotaalpie"/>
    <w:uiPriority w:val="99"/>
    <w:rsid w:val="009007FD"/>
    <w:pPr>
      <w:widowControl/>
      <w:autoSpaceDE/>
      <w:autoSpaceDN/>
      <w:spacing w:after="160" w:line="240" w:lineRule="exact"/>
    </w:pPr>
    <w:rPr>
      <w:rFonts w:asciiTheme="minorHAnsi" w:eastAsiaTheme="minorHAnsi" w:hAnsiTheme="minorHAnsi" w:cs="Times New Roman"/>
      <w:vertAlign w:val="superscript"/>
      <w:lang w:val="en-US" w:eastAsia="en-US" w:bidi="ar-SA"/>
    </w:rPr>
  </w:style>
  <w:style w:type="paragraph" w:styleId="NormalWeb">
    <w:name w:val="Normal (Web)"/>
    <w:basedOn w:val="Normal"/>
    <w:uiPriority w:val="99"/>
    <w:unhideWhenUsed/>
    <w:rsid w:val="0034094D"/>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baj">
    <w:name w:val="b_aj"/>
    <w:basedOn w:val="Fuentedeprrafopredeter"/>
    <w:rsid w:val="00892BFD"/>
  </w:style>
  <w:style w:type="paragraph" w:customStyle="1" w:styleId="Default">
    <w:name w:val="Default"/>
    <w:rsid w:val="00892BFD"/>
    <w:pPr>
      <w:widowControl/>
      <w:adjustRightInd w:val="0"/>
    </w:pPr>
    <w:rPr>
      <w:rFonts w:ascii="Times New Roman" w:eastAsia="Calibri" w:hAnsi="Times New Roman" w:cs="Times New Roman"/>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4270">
      <w:bodyDiv w:val="1"/>
      <w:marLeft w:val="0"/>
      <w:marRight w:val="0"/>
      <w:marTop w:val="0"/>
      <w:marBottom w:val="0"/>
      <w:divBdr>
        <w:top w:val="none" w:sz="0" w:space="0" w:color="auto"/>
        <w:left w:val="none" w:sz="0" w:space="0" w:color="auto"/>
        <w:bottom w:val="none" w:sz="0" w:space="0" w:color="auto"/>
        <w:right w:val="none" w:sz="0" w:space="0" w:color="auto"/>
      </w:divBdr>
    </w:div>
    <w:div w:id="424498672">
      <w:bodyDiv w:val="1"/>
      <w:marLeft w:val="0"/>
      <w:marRight w:val="0"/>
      <w:marTop w:val="0"/>
      <w:marBottom w:val="0"/>
      <w:divBdr>
        <w:top w:val="none" w:sz="0" w:space="0" w:color="auto"/>
        <w:left w:val="none" w:sz="0" w:space="0" w:color="auto"/>
        <w:bottom w:val="none" w:sz="0" w:space="0" w:color="auto"/>
        <w:right w:val="none" w:sz="0" w:space="0" w:color="auto"/>
      </w:divBdr>
    </w:div>
    <w:div w:id="906958360">
      <w:bodyDiv w:val="1"/>
      <w:marLeft w:val="0"/>
      <w:marRight w:val="0"/>
      <w:marTop w:val="0"/>
      <w:marBottom w:val="0"/>
      <w:divBdr>
        <w:top w:val="none" w:sz="0" w:space="0" w:color="auto"/>
        <w:left w:val="none" w:sz="0" w:space="0" w:color="auto"/>
        <w:bottom w:val="none" w:sz="0" w:space="0" w:color="auto"/>
        <w:right w:val="none" w:sz="0" w:space="0" w:color="auto"/>
      </w:divBdr>
    </w:div>
    <w:div w:id="937061371">
      <w:bodyDiv w:val="1"/>
      <w:marLeft w:val="0"/>
      <w:marRight w:val="0"/>
      <w:marTop w:val="0"/>
      <w:marBottom w:val="0"/>
      <w:divBdr>
        <w:top w:val="none" w:sz="0" w:space="0" w:color="auto"/>
        <w:left w:val="none" w:sz="0" w:space="0" w:color="auto"/>
        <w:bottom w:val="none" w:sz="0" w:space="0" w:color="auto"/>
        <w:right w:val="none" w:sz="0" w:space="0" w:color="auto"/>
      </w:divBdr>
    </w:div>
    <w:div w:id="964385761">
      <w:bodyDiv w:val="1"/>
      <w:marLeft w:val="0"/>
      <w:marRight w:val="0"/>
      <w:marTop w:val="0"/>
      <w:marBottom w:val="0"/>
      <w:divBdr>
        <w:top w:val="none" w:sz="0" w:space="0" w:color="auto"/>
        <w:left w:val="none" w:sz="0" w:space="0" w:color="auto"/>
        <w:bottom w:val="none" w:sz="0" w:space="0" w:color="auto"/>
        <w:right w:val="none" w:sz="0" w:space="0" w:color="auto"/>
      </w:divBdr>
    </w:div>
    <w:div w:id="1373382114">
      <w:bodyDiv w:val="1"/>
      <w:marLeft w:val="0"/>
      <w:marRight w:val="0"/>
      <w:marTop w:val="0"/>
      <w:marBottom w:val="0"/>
      <w:divBdr>
        <w:top w:val="none" w:sz="0" w:space="0" w:color="auto"/>
        <w:left w:val="none" w:sz="0" w:space="0" w:color="auto"/>
        <w:bottom w:val="none" w:sz="0" w:space="0" w:color="auto"/>
        <w:right w:val="none" w:sz="0" w:space="0" w:color="auto"/>
      </w:divBdr>
    </w:div>
    <w:div w:id="1465391170">
      <w:bodyDiv w:val="1"/>
      <w:marLeft w:val="0"/>
      <w:marRight w:val="0"/>
      <w:marTop w:val="0"/>
      <w:marBottom w:val="0"/>
      <w:divBdr>
        <w:top w:val="none" w:sz="0" w:space="0" w:color="auto"/>
        <w:left w:val="none" w:sz="0" w:space="0" w:color="auto"/>
        <w:bottom w:val="none" w:sz="0" w:space="0" w:color="auto"/>
        <w:right w:val="none" w:sz="0" w:space="0" w:color="auto"/>
      </w:divBdr>
    </w:div>
    <w:div w:id="153206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615_2013.html" TargetMode="External"/><Relationship Id="rId13" Type="http://schemas.openxmlformats.org/officeDocument/2006/relationships/hyperlink" Target="http://www.secretariasenado.gov.co/senado/basedoc/ley_0101_199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1708_2014_pr002.html" TargetMode="External"/><Relationship Id="rId12" Type="http://schemas.openxmlformats.org/officeDocument/2006/relationships/hyperlink" Target="http://www.secretariasenado.gov.co/senado/basedoc/ley_0101_199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242_1995.html" TargetMode="External"/><Relationship Id="rId5" Type="http://schemas.openxmlformats.org/officeDocument/2006/relationships/footnotes" Target="footnotes.xml"/><Relationship Id="rId15" Type="http://schemas.openxmlformats.org/officeDocument/2006/relationships/hyperlink" Target="http://www.secretariasenado.gov.co/senado/basedoc/ley_0793_2002.html" TargetMode="External"/><Relationship Id="rId23" Type="http://schemas.microsoft.com/office/2016/09/relationships/commentsIds" Target="commentsIds.xml"/><Relationship Id="rId10" Type="http://schemas.openxmlformats.org/officeDocument/2006/relationships/hyperlink" Target="http://www.secretariasenado.gov.co/senado/basedoc/ley_1708_2014_pr002.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cretariasenado.gov.co/senado/basedoc/ley_1708_2014.html" TargetMode="External"/><Relationship Id="rId14" Type="http://schemas.openxmlformats.org/officeDocument/2006/relationships/hyperlink" Target="http://www.secretariasenado.gov.co/senado/basedoc/ley_1607_2012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7098</Words>
  <Characters>39044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camilo acuna</cp:lastModifiedBy>
  <cp:revision>2</cp:revision>
  <cp:lastPrinted>2020-07-20T18:53:00Z</cp:lastPrinted>
  <dcterms:created xsi:type="dcterms:W3CDTF">2020-07-21T17:02:00Z</dcterms:created>
  <dcterms:modified xsi:type="dcterms:W3CDTF">2020-07-21T17:02:00Z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2016</vt:lpwstr>
  </property>
  <property fmtid="{D5CDD505-2E9C-101B-9397-08002B2CF9AE}" pid="4" name="LastSaved">
    <vt:filetime>2020-07-07T00:00:00Z</vt:filetime>
  </property>
</Properties>
</file>