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DA20" w14:textId="77777777" w:rsidR="00FA18CB" w:rsidRPr="00FA18CB" w:rsidRDefault="00FA18CB" w:rsidP="00FA18CB">
      <w:pPr>
        <w:spacing w:after="0" w:line="240" w:lineRule="auto"/>
        <w:rPr>
          <w:rFonts w:ascii="Arial" w:hAnsi="Arial" w:cs="Arial"/>
          <w:sz w:val="24"/>
          <w:szCs w:val="24"/>
          <w:lang w:eastAsia="en-US"/>
        </w:rPr>
      </w:pPr>
      <w:bookmarkStart w:id="0" w:name="_GoBack"/>
      <w:bookmarkEnd w:id="0"/>
    </w:p>
    <w:p w14:paraId="5979275F" w14:textId="7BD29713" w:rsidR="00E754B3" w:rsidRPr="00C62034" w:rsidRDefault="00E754B3" w:rsidP="00ED0C11">
      <w:pPr>
        <w:jc w:val="center"/>
        <w:rPr>
          <w:rFonts w:ascii="Arial" w:eastAsia="Garamond" w:hAnsi="Arial" w:cs="Arial"/>
          <w:b/>
          <w:sz w:val="24"/>
          <w:szCs w:val="24"/>
        </w:rPr>
      </w:pPr>
      <w:r w:rsidRPr="00C62034">
        <w:rPr>
          <w:rFonts w:ascii="Arial" w:eastAsia="Garamond" w:hAnsi="Arial" w:cs="Arial"/>
          <w:b/>
          <w:sz w:val="24"/>
          <w:szCs w:val="24"/>
        </w:rPr>
        <w:t>PROYECTO DE LEY No.</w:t>
      </w:r>
      <w:r w:rsidR="00C50981">
        <w:rPr>
          <w:rFonts w:ascii="Arial" w:eastAsia="Garamond" w:hAnsi="Arial" w:cs="Arial"/>
          <w:b/>
          <w:sz w:val="24"/>
          <w:szCs w:val="24"/>
        </w:rPr>
        <w:t xml:space="preserve">  </w:t>
      </w:r>
      <w:r w:rsidR="00AC3916">
        <w:rPr>
          <w:rFonts w:ascii="Arial" w:eastAsia="Garamond" w:hAnsi="Arial" w:cs="Arial"/>
          <w:b/>
          <w:sz w:val="24"/>
          <w:szCs w:val="24"/>
        </w:rPr>
        <w:t xml:space="preserve">      </w:t>
      </w:r>
      <w:r w:rsidR="00C50981">
        <w:rPr>
          <w:rFonts w:ascii="Arial" w:eastAsia="Garamond" w:hAnsi="Arial" w:cs="Arial"/>
          <w:b/>
          <w:sz w:val="24"/>
          <w:szCs w:val="24"/>
        </w:rPr>
        <w:t>d</w:t>
      </w:r>
      <w:r w:rsidR="00C74588">
        <w:rPr>
          <w:rFonts w:ascii="Arial" w:eastAsia="Garamond" w:hAnsi="Arial" w:cs="Arial"/>
          <w:b/>
          <w:sz w:val="24"/>
          <w:szCs w:val="24"/>
        </w:rPr>
        <w:t>e 20</w:t>
      </w:r>
      <w:r w:rsidR="009B4341">
        <w:rPr>
          <w:rFonts w:ascii="Arial" w:eastAsia="Garamond" w:hAnsi="Arial" w:cs="Arial"/>
          <w:b/>
          <w:sz w:val="24"/>
          <w:szCs w:val="24"/>
        </w:rPr>
        <w:t>20</w:t>
      </w:r>
      <w:r w:rsidRPr="00C62034">
        <w:rPr>
          <w:rFonts w:ascii="Arial" w:eastAsia="Garamond" w:hAnsi="Arial" w:cs="Arial"/>
          <w:b/>
          <w:sz w:val="24"/>
          <w:szCs w:val="24"/>
        </w:rPr>
        <w:t xml:space="preserve"> </w:t>
      </w:r>
      <w:r w:rsidR="009B4341">
        <w:rPr>
          <w:rFonts w:ascii="Arial" w:eastAsia="Garamond" w:hAnsi="Arial" w:cs="Arial"/>
          <w:b/>
          <w:sz w:val="24"/>
          <w:szCs w:val="24"/>
        </w:rPr>
        <w:t>CAMARA</w:t>
      </w:r>
    </w:p>
    <w:p w14:paraId="1DD3ECEC" w14:textId="77777777" w:rsidR="00FC20BB" w:rsidRPr="00C62034" w:rsidRDefault="00FC20BB" w:rsidP="00E754B3">
      <w:pPr>
        <w:jc w:val="center"/>
        <w:rPr>
          <w:rFonts w:ascii="Arial" w:eastAsia="Garamond" w:hAnsi="Arial" w:cs="Arial"/>
          <w:b/>
          <w:sz w:val="24"/>
          <w:szCs w:val="24"/>
        </w:rPr>
      </w:pPr>
    </w:p>
    <w:p w14:paraId="77EE90DD" w14:textId="379F618F" w:rsidR="00F520EA" w:rsidRPr="00C62034" w:rsidRDefault="00E754B3" w:rsidP="00F520EA">
      <w:pPr>
        <w:jc w:val="both"/>
        <w:rPr>
          <w:rFonts w:ascii="Arial" w:hAnsi="Arial" w:cs="Arial"/>
          <w:b/>
          <w:sz w:val="24"/>
          <w:szCs w:val="24"/>
        </w:rPr>
      </w:pPr>
      <w:r w:rsidRPr="00C62034">
        <w:rPr>
          <w:rFonts w:ascii="Arial" w:eastAsia="Garamond" w:hAnsi="Arial" w:cs="Arial"/>
          <w:b/>
          <w:sz w:val="24"/>
          <w:szCs w:val="24"/>
        </w:rPr>
        <w:t xml:space="preserve">POR MEDIO DE LA CUAL SE RINDE HOMENAJE A LOS HÉROES LLANEROS DE LA INDEPENDENCIA Y A </w:t>
      </w:r>
      <w:r w:rsidR="00490EAA" w:rsidRPr="00C62034">
        <w:rPr>
          <w:rFonts w:ascii="Arial" w:eastAsia="Garamond" w:hAnsi="Arial" w:cs="Arial"/>
          <w:b/>
          <w:sz w:val="24"/>
          <w:szCs w:val="24"/>
        </w:rPr>
        <w:t xml:space="preserve">LA MEMORIA DE </w:t>
      </w:r>
      <w:r w:rsidRPr="00C62034">
        <w:rPr>
          <w:rFonts w:ascii="Arial" w:eastAsia="Garamond" w:hAnsi="Arial" w:cs="Arial"/>
          <w:b/>
          <w:sz w:val="24"/>
          <w:szCs w:val="24"/>
        </w:rPr>
        <w:t>JUAN NEPOMUCENO MORENO</w:t>
      </w:r>
      <w:r w:rsidR="00F520EA" w:rsidRPr="00C62034">
        <w:rPr>
          <w:rFonts w:ascii="Arial" w:hAnsi="Arial" w:cs="Arial"/>
          <w:b/>
          <w:sz w:val="24"/>
          <w:szCs w:val="24"/>
        </w:rPr>
        <w:t xml:space="preserve"> COMO PROCER DE LA GESTA LIBERTADORA</w:t>
      </w:r>
    </w:p>
    <w:p w14:paraId="0E2D6E0D" w14:textId="3F03E19E" w:rsidR="00E754B3" w:rsidRPr="00C62034" w:rsidRDefault="00EE4E2C" w:rsidP="00EE4E2C">
      <w:pPr>
        <w:ind w:left="720" w:hanging="720"/>
        <w:rPr>
          <w:rFonts w:ascii="Arial" w:eastAsia="Garamond" w:hAnsi="Arial" w:cs="Arial"/>
          <w:sz w:val="24"/>
          <w:szCs w:val="24"/>
        </w:rPr>
      </w:pPr>
      <w:r w:rsidRPr="00C62034">
        <w:rPr>
          <w:rFonts w:ascii="Arial" w:eastAsia="Garamond" w:hAnsi="Arial" w:cs="Arial"/>
          <w:sz w:val="24"/>
          <w:szCs w:val="24"/>
        </w:rPr>
        <w:t>.</w:t>
      </w:r>
    </w:p>
    <w:p w14:paraId="1E229B30" w14:textId="0A5BA0E6" w:rsidR="00E754B3" w:rsidRPr="00C62034" w:rsidRDefault="00E754B3" w:rsidP="00E754B3">
      <w:pPr>
        <w:jc w:val="center"/>
        <w:rPr>
          <w:rFonts w:ascii="Arial" w:eastAsia="Garamond" w:hAnsi="Arial" w:cs="Arial"/>
          <w:sz w:val="24"/>
          <w:szCs w:val="24"/>
        </w:rPr>
      </w:pPr>
      <w:r w:rsidRPr="00C62034">
        <w:rPr>
          <w:rFonts w:ascii="Arial" w:eastAsia="Garamond" w:hAnsi="Arial" w:cs="Arial"/>
          <w:sz w:val="24"/>
          <w:szCs w:val="24"/>
        </w:rPr>
        <w:t>EL CONGRESO DE LA REPUBLICA DE COLOMBIA</w:t>
      </w:r>
    </w:p>
    <w:p w14:paraId="30A84FB7" w14:textId="77777777" w:rsidR="00E754B3" w:rsidRPr="00C62034" w:rsidRDefault="00E754B3" w:rsidP="00E754B3">
      <w:pPr>
        <w:jc w:val="center"/>
        <w:rPr>
          <w:rFonts w:ascii="Arial" w:eastAsia="Garamond" w:hAnsi="Arial" w:cs="Arial"/>
          <w:b/>
          <w:sz w:val="24"/>
          <w:szCs w:val="24"/>
        </w:rPr>
      </w:pPr>
      <w:r w:rsidRPr="00C62034">
        <w:rPr>
          <w:rFonts w:ascii="Arial" w:eastAsia="Garamond" w:hAnsi="Arial" w:cs="Arial"/>
          <w:b/>
          <w:sz w:val="24"/>
          <w:szCs w:val="24"/>
        </w:rPr>
        <w:t>DECRETA:</w:t>
      </w:r>
    </w:p>
    <w:p w14:paraId="4406D9B3" w14:textId="4D06B72E"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 xml:space="preserve">Artículo 1º. </w:t>
      </w:r>
      <w:r w:rsidRPr="00C62034">
        <w:rPr>
          <w:rFonts w:ascii="Arial" w:eastAsia="Garamond" w:hAnsi="Arial" w:cs="Arial"/>
          <w:sz w:val="24"/>
          <w:szCs w:val="24"/>
        </w:rPr>
        <w:t xml:space="preserve">La presente ley tiene por objeto rendir homenaje público y </w:t>
      </w:r>
      <w:r w:rsidR="00AE32FE" w:rsidRPr="00C62034">
        <w:rPr>
          <w:rFonts w:ascii="Arial" w:eastAsia="Garamond" w:hAnsi="Arial" w:cs="Arial"/>
          <w:sz w:val="24"/>
          <w:szCs w:val="24"/>
        </w:rPr>
        <w:t>enaltecer al</w:t>
      </w:r>
      <w:r w:rsidRPr="00C62034">
        <w:rPr>
          <w:rFonts w:ascii="Arial" w:eastAsia="Garamond" w:hAnsi="Arial" w:cs="Arial"/>
          <w:sz w:val="24"/>
          <w:szCs w:val="24"/>
        </w:rPr>
        <w:t xml:space="preserve"> llanero como figura heroica de la independencia, representado en la figura del prócer neogranadino Juan Nepomuceno Moreno, en el marco de la celebración del bicentenario de </w:t>
      </w:r>
      <w:r w:rsidR="00AE32FE" w:rsidRPr="00C62034">
        <w:rPr>
          <w:rFonts w:ascii="Arial" w:eastAsia="Garamond" w:hAnsi="Arial" w:cs="Arial"/>
          <w:sz w:val="24"/>
          <w:szCs w:val="24"/>
        </w:rPr>
        <w:t>la Independencia</w:t>
      </w:r>
      <w:r w:rsidRPr="00C62034">
        <w:rPr>
          <w:rFonts w:ascii="Arial" w:eastAsia="Garamond" w:hAnsi="Arial" w:cs="Arial"/>
          <w:sz w:val="24"/>
          <w:szCs w:val="24"/>
        </w:rPr>
        <w:t xml:space="preserve"> Nacional.</w:t>
      </w:r>
    </w:p>
    <w:p w14:paraId="55DA8709" w14:textId="4C897EE6"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2°.</w:t>
      </w:r>
      <w:r w:rsidR="001A17D9" w:rsidRPr="00C62034">
        <w:rPr>
          <w:rFonts w:ascii="Arial" w:eastAsia="Garamond" w:hAnsi="Arial" w:cs="Arial"/>
          <w:sz w:val="24"/>
          <w:szCs w:val="24"/>
        </w:rPr>
        <w:t xml:space="preserve"> Autorícese al Gobierno Nacional y a</w:t>
      </w:r>
      <w:r w:rsidRPr="00C62034">
        <w:rPr>
          <w:rFonts w:ascii="Arial" w:eastAsia="Garamond" w:hAnsi="Arial" w:cs="Arial"/>
          <w:sz w:val="24"/>
          <w:szCs w:val="24"/>
        </w:rPr>
        <w:t xml:space="preserve">l Congreso de la República de Colombia </w:t>
      </w:r>
      <w:r w:rsidR="001A17D9" w:rsidRPr="00C62034">
        <w:rPr>
          <w:rFonts w:ascii="Arial" w:eastAsia="Garamond" w:hAnsi="Arial" w:cs="Arial"/>
          <w:sz w:val="24"/>
          <w:szCs w:val="24"/>
        </w:rPr>
        <w:t xml:space="preserve">para rendir honores al prócer neogranadino </w:t>
      </w:r>
      <w:r w:rsidRPr="00C62034">
        <w:rPr>
          <w:rFonts w:ascii="Arial" w:eastAsia="Garamond" w:hAnsi="Arial" w:cs="Arial"/>
          <w:sz w:val="24"/>
          <w:szCs w:val="24"/>
        </w:rPr>
        <w:t xml:space="preserve">Juan Nepomuceno Moreno y a los héroes llaneros de la independencia, en acto especial y protocolario, cuya fecha y hora será programada por la Mesa Directiva del Honorable Senado de la República; a donde se trasladará una delegación integrada por </w:t>
      </w:r>
      <w:r w:rsidR="001A17D9" w:rsidRPr="00C62034">
        <w:rPr>
          <w:rFonts w:ascii="Arial" w:eastAsia="Garamond" w:hAnsi="Arial" w:cs="Arial"/>
          <w:sz w:val="24"/>
          <w:szCs w:val="24"/>
        </w:rPr>
        <w:t>altos funcionarios del gobierno nacional</w:t>
      </w:r>
      <w:r w:rsidR="00BD04D8" w:rsidRPr="00C62034">
        <w:rPr>
          <w:rFonts w:ascii="Arial" w:eastAsia="Garamond" w:hAnsi="Arial" w:cs="Arial"/>
          <w:sz w:val="24"/>
          <w:szCs w:val="24"/>
        </w:rPr>
        <w:t xml:space="preserve">, miembros del </w:t>
      </w:r>
      <w:r w:rsidRPr="00C62034">
        <w:rPr>
          <w:rFonts w:ascii="Arial" w:eastAsia="Garamond" w:hAnsi="Arial" w:cs="Arial"/>
          <w:sz w:val="24"/>
          <w:szCs w:val="24"/>
        </w:rPr>
        <w:t>Congreso de la República, designados por la Presidencia del Congreso</w:t>
      </w:r>
      <w:r w:rsidR="001A17D9" w:rsidRPr="00C62034">
        <w:rPr>
          <w:rFonts w:ascii="Arial" w:eastAsia="Garamond" w:hAnsi="Arial" w:cs="Arial"/>
          <w:sz w:val="24"/>
          <w:szCs w:val="24"/>
        </w:rPr>
        <w:t>, y demás autoridades locales y regionales</w:t>
      </w:r>
      <w:r w:rsidRPr="00C62034">
        <w:rPr>
          <w:rFonts w:ascii="Arial" w:eastAsia="Garamond" w:hAnsi="Arial" w:cs="Arial"/>
          <w:sz w:val="24"/>
          <w:szCs w:val="24"/>
        </w:rPr>
        <w:t>. A dicho acto se invitará al Señor Presidente de la República.</w:t>
      </w:r>
    </w:p>
    <w:p w14:paraId="3B7B4A66" w14:textId="49094A10"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3°</w:t>
      </w:r>
      <w:r w:rsidR="001E6A4D" w:rsidRPr="00C62034">
        <w:rPr>
          <w:rFonts w:ascii="Arial" w:eastAsia="Garamond" w:hAnsi="Arial" w:cs="Arial"/>
          <w:sz w:val="24"/>
          <w:szCs w:val="24"/>
        </w:rPr>
        <w:t>. Autorícese</w:t>
      </w:r>
      <w:r w:rsidRPr="00C62034">
        <w:rPr>
          <w:rFonts w:ascii="Arial" w:eastAsia="Garamond" w:hAnsi="Arial" w:cs="Arial"/>
          <w:sz w:val="24"/>
          <w:szCs w:val="24"/>
        </w:rPr>
        <w:t xml:space="preserve"> al Gobierno Nacional, para que a través del Ministerio de</w:t>
      </w:r>
      <w:r w:rsidR="00BD04D8" w:rsidRPr="00C62034">
        <w:rPr>
          <w:rFonts w:ascii="Arial" w:eastAsia="Garamond" w:hAnsi="Arial" w:cs="Arial"/>
          <w:sz w:val="24"/>
          <w:szCs w:val="24"/>
        </w:rPr>
        <w:t xml:space="preserve"> Cultura,</w:t>
      </w:r>
      <w:r w:rsidRPr="00C62034">
        <w:rPr>
          <w:rFonts w:ascii="Arial" w:eastAsia="Garamond" w:hAnsi="Arial" w:cs="Arial"/>
          <w:sz w:val="24"/>
          <w:szCs w:val="24"/>
        </w:rPr>
        <w:t xml:space="preserve"> Ministerio de Educación y la Imprenta Nacional de Colombia, publique un libro biográfico relativo a los héroes llaneros de la independencia y </w:t>
      </w:r>
      <w:r w:rsidR="001E6A4D" w:rsidRPr="00C62034">
        <w:rPr>
          <w:rFonts w:ascii="Arial" w:eastAsia="Garamond" w:hAnsi="Arial" w:cs="Arial"/>
          <w:sz w:val="24"/>
          <w:szCs w:val="24"/>
        </w:rPr>
        <w:t xml:space="preserve">al prócer neogranadino </w:t>
      </w:r>
      <w:r w:rsidRPr="00C62034">
        <w:rPr>
          <w:rFonts w:ascii="Arial" w:eastAsia="Garamond" w:hAnsi="Arial" w:cs="Arial"/>
          <w:sz w:val="24"/>
          <w:szCs w:val="24"/>
        </w:rPr>
        <w:t>Juan Nepomuceno Moreno, el cual será distribuido en todas las bibliotecas públicas del país para que las generaciones</w:t>
      </w:r>
      <w:r w:rsidR="00F520EA" w:rsidRPr="00C62034">
        <w:rPr>
          <w:rFonts w:ascii="Arial" w:eastAsia="Garamond" w:hAnsi="Arial" w:cs="Arial"/>
          <w:sz w:val="24"/>
          <w:szCs w:val="24"/>
        </w:rPr>
        <w:t xml:space="preserve"> conozcan la importancia de estos héroes</w:t>
      </w:r>
      <w:r w:rsidRPr="00C62034">
        <w:rPr>
          <w:rFonts w:ascii="Arial" w:eastAsia="Garamond" w:hAnsi="Arial" w:cs="Arial"/>
          <w:sz w:val="24"/>
          <w:szCs w:val="24"/>
        </w:rPr>
        <w:t xml:space="preserve"> de la Patria. </w:t>
      </w:r>
    </w:p>
    <w:p w14:paraId="03E1F4A3" w14:textId="08C4FD08"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4º.</w:t>
      </w:r>
      <w:r w:rsidRPr="00C62034">
        <w:rPr>
          <w:rFonts w:ascii="Arial" w:eastAsia="Garamond" w:hAnsi="Arial" w:cs="Arial"/>
          <w:sz w:val="24"/>
          <w:szCs w:val="24"/>
        </w:rPr>
        <w:t xml:space="preserve"> </w:t>
      </w:r>
      <w:r w:rsidR="000710A3" w:rsidRPr="00C62034">
        <w:rPr>
          <w:rFonts w:ascii="Arial" w:eastAsia="Garamond" w:hAnsi="Arial" w:cs="Arial"/>
          <w:sz w:val="24"/>
          <w:szCs w:val="24"/>
        </w:rPr>
        <w:t>Autorícese al Gobierno Nacional para que por intermedio del</w:t>
      </w:r>
      <w:r w:rsidRPr="00C62034">
        <w:rPr>
          <w:rFonts w:ascii="Arial" w:eastAsia="Garamond" w:hAnsi="Arial" w:cs="Arial"/>
          <w:sz w:val="24"/>
          <w:szCs w:val="24"/>
        </w:rPr>
        <w:t xml:space="preserve"> Mi</w:t>
      </w:r>
      <w:r w:rsidR="000710A3" w:rsidRPr="00C62034">
        <w:rPr>
          <w:rFonts w:ascii="Arial" w:eastAsia="Garamond" w:hAnsi="Arial" w:cs="Arial"/>
          <w:sz w:val="24"/>
          <w:szCs w:val="24"/>
        </w:rPr>
        <w:t>nisterio de Cultura, se encargue</w:t>
      </w:r>
      <w:r w:rsidRPr="00C62034">
        <w:rPr>
          <w:rFonts w:ascii="Arial" w:eastAsia="Garamond" w:hAnsi="Arial" w:cs="Arial"/>
          <w:sz w:val="24"/>
          <w:szCs w:val="24"/>
        </w:rPr>
        <w:t xml:space="preserve"> de la elaboración de un cuadro de Juan Nepomuceno Moreno,</w:t>
      </w:r>
      <w:r w:rsidR="00BD04D8" w:rsidRPr="00C62034">
        <w:rPr>
          <w:rFonts w:ascii="Arial" w:eastAsia="Garamond" w:hAnsi="Arial" w:cs="Arial"/>
          <w:sz w:val="24"/>
          <w:szCs w:val="24"/>
        </w:rPr>
        <w:t xml:space="preserve">  </w:t>
      </w:r>
      <w:r w:rsidRPr="00C62034">
        <w:rPr>
          <w:rFonts w:ascii="Arial" w:eastAsia="Garamond" w:hAnsi="Arial" w:cs="Arial"/>
          <w:sz w:val="24"/>
          <w:szCs w:val="24"/>
        </w:rPr>
        <w:t xml:space="preserve"> el cual se ubicará en el recinto principal de la Asamblea </w:t>
      </w:r>
      <w:r w:rsidRPr="00C62034">
        <w:rPr>
          <w:rFonts w:ascii="Arial" w:eastAsia="Garamond" w:hAnsi="Arial" w:cs="Arial"/>
          <w:sz w:val="24"/>
          <w:szCs w:val="24"/>
        </w:rPr>
        <w:lastRenderedPageBreak/>
        <w:t>Departamental de Casanare, con el fin de rendirle honores a este insigne llanero y prócer de la independencia.</w:t>
      </w:r>
    </w:p>
    <w:p w14:paraId="0E72D2EE" w14:textId="3F7FBCDC" w:rsidR="00E754B3" w:rsidRPr="00C62034" w:rsidRDefault="00E754B3" w:rsidP="00E754B3">
      <w:pPr>
        <w:jc w:val="both"/>
        <w:rPr>
          <w:rFonts w:ascii="Arial" w:eastAsia="Garamond" w:hAnsi="Arial" w:cs="Arial"/>
          <w:sz w:val="24"/>
          <w:szCs w:val="24"/>
        </w:rPr>
      </w:pPr>
      <w:r w:rsidRPr="00C62034">
        <w:rPr>
          <w:rFonts w:ascii="Arial" w:eastAsia="Garamond" w:hAnsi="Arial" w:cs="Arial"/>
          <w:sz w:val="24"/>
          <w:szCs w:val="24"/>
        </w:rPr>
        <w:t>El cuadro será revelado en cerem</w:t>
      </w:r>
      <w:r w:rsidR="000710A3" w:rsidRPr="00C62034">
        <w:rPr>
          <w:rFonts w:ascii="Arial" w:eastAsia="Garamond" w:hAnsi="Arial" w:cs="Arial"/>
          <w:sz w:val="24"/>
          <w:szCs w:val="24"/>
        </w:rPr>
        <w:t>onia especial que convocará el G</w:t>
      </w:r>
      <w:r w:rsidRPr="00C62034">
        <w:rPr>
          <w:rFonts w:ascii="Arial" w:eastAsia="Garamond" w:hAnsi="Arial" w:cs="Arial"/>
          <w:sz w:val="24"/>
          <w:szCs w:val="24"/>
        </w:rPr>
        <w:t xml:space="preserve">obierno nacional en día y fecha que determine, a </w:t>
      </w:r>
      <w:r w:rsidR="000710A3" w:rsidRPr="00C62034">
        <w:rPr>
          <w:rFonts w:ascii="Arial" w:eastAsia="Garamond" w:hAnsi="Arial" w:cs="Arial"/>
          <w:sz w:val="24"/>
          <w:szCs w:val="24"/>
        </w:rPr>
        <w:t>la cual asistirán miembros del H</w:t>
      </w:r>
      <w:r w:rsidRPr="00C62034">
        <w:rPr>
          <w:rFonts w:ascii="Arial" w:eastAsia="Garamond" w:hAnsi="Arial" w:cs="Arial"/>
          <w:sz w:val="24"/>
          <w:szCs w:val="24"/>
        </w:rPr>
        <w:t>onorable Congreso de la República designados por la Presidencia del Congreso.</w:t>
      </w:r>
    </w:p>
    <w:p w14:paraId="6612B366" w14:textId="11193165"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5°.</w:t>
      </w:r>
      <w:r w:rsidRPr="00C62034">
        <w:rPr>
          <w:rFonts w:ascii="Arial" w:eastAsia="Garamond" w:hAnsi="Arial" w:cs="Arial"/>
          <w:sz w:val="24"/>
          <w:szCs w:val="24"/>
        </w:rPr>
        <w:t xml:space="preserve"> Autorícese al Gobierno Nacional, </w:t>
      </w:r>
      <w:r w:rsidR="00D447DC" w:rsidRPr="00C62034">
        <w:rPr>
          <w:rFonts w:ascii="Arial" w:eastAsia="Garamond" w:hAnsi="Arial" w:cs="Arial"/>
          <w:sz w:val="24"/>
          <w:szCs w:val="24"/>
        </w:rPr>
        <w:t xml:space="preserve">a través del </w:t>
      </w:r>
      <w:r w:rsidR="001E6A4D" w:rsidRPr="00C62034">
        <w:rPr>
          <w:rFonts w:ascii="Arial" w:eastAsia="Garamond" w:hAnsi="Arial" w:cs="Arial"/>
          <w:sz w:val="24"/>
          <w:szCs w:val="24"/>
        </w:rPr>
        <w:t>Ministerio de Hacienda,</w:t>
      </w:r>
      <w:r w:rsidR="00FC20BB" w:rsidRPr="00C62034">
        <w:rPr>
          <w:rFonts w:ascii="Arial" w:eastAsia="Garamond" w:hAnsi="Arial" w:cs="Arial"/>
          <w:sz w:val="24"/>
          <w:szCs w:val="24"/>
        </w:rPr>
        <w:t xml:space="preserve"> </w:t>
      </w:r>
      <w:r w:rsidRPr="00C62034">
        <w:rPr>
          <w:rFonts w:ascii="Arial" w:eastAsia="Garamond" w:hAnsi="Arial" w:cs="Arial"/>
          <w:sz w:val="24"/>
          <w:szCs w:val="24"/>
        </w:rPr>
        <w:t xml:space="preserve">Ministerio de Cultura, </w:t>
      </w:r>
      <w:r w:rsidR="000710A3" w:rsidRPr="00C62034">
        <w:rPr>
          <w:rFonts w:ascii="Arial" w:eastAsia="Garamond" w:hAnsi="Arial" w:cs="Arial"/>
          <w:sz w:val="24"/>
          <w:szCs w:val="24"/>
        </w:rPr>
        <w:t>se apropien los recurso</w:t>
      </w:r>
      <w:r w:rsidR="00FC20BB" w:rsidRPr="00C62034">
        <w:rPr>
          <w:rFonts w:ascii="Arial" w:eastAsia="Garamond" w:hAnsi="Arial" w:cs="Arial"/>
          <w:sz w:val="24"/>
          <w:szCs w:val="24"/>
        </w:rPr>
        <w:t>s</w:t>
      </w:r>
      <w:r w:rsidR="000710A3" w:rsidRPr="00C62034">
        <w:rPr>
          <w:rFonts w:ascii="Arial" w:eastAsia="Garamond" w:hAnsi="Arial" w:cs="Arial"/>
          <w:sz w:val="24"/>
          <w:szCs w:val="24"/>
        </w:rPr>
        <w:t xml:space="preserve"> necesarios para la adecuación </w:t>
      </w:r>
      <w:r w:rsidR="00FC20BB" w:rsidRPr="00C62034">
        <w:rPr>
          <w:rFonts w:ascii="Arial" w:eastAsia="Garamond" w:hAnsi="Arial" w:cs="Arial"/>
          <w:sz w:val="24"/>
          <w:szCs w:val="24"/>
        </w:rPr>
        <w:t xml:space="preserve">de la infraestructura de la casa de la cultura </w:t>
      </w:r>
      <w:r w:rsidRPr="00C62034">
        <w:rPr>
          <w:rFonts w:ascii="Arial" w:eastAsia="Garamond" w:hAnsi="Arial" w:cs="Arial"/>
          <w:sz w:val="24"/>
          <w:szCs w:val="24"/>
        </w:rPr>
        <w:t xml:space="preserve">en la ciudad de Paz de Ariporo, </w:t>
      </w:r>
      <w:r w:rsidR="00D447DC" w:rsidRPr="00C62034">
        <w:rPr>
          <w:rFonts w:ascii="Arial" w:eastAsia="Garamond" w:hAnsi="Arial" w:cs="Arial"/>
          <w:sz w:val="24"/>
          <w:szCs w:val="24"/>
        </w:rPr>
        <w:t xml:space="preserve">departamento de Casanare, </w:t>
      </w:r>
      <w:r w:rsidRPr="00C62034">
        <w:rPr>
          <w:rFonts w:ascii="Arial" w:eastAsia="Garamond" w:hAnsi="Arial" w:cs="Arial"/>
          <w:sz w:val="24"/>
          <w:szCs w:val="24"/>
        </w:rPr>
        <w:t xml:space="preserve">en homenaje a los héroes llaneros de la independencia, </w:t>
      </w:r>
      <w:r w:rsidR="00FC20BB" w:rsidRPr="00C62034">
        <w:rPr>
          <w:rFonts w:ascii="Arial" w:eastAsia="Garamond" w:hAnsi="Arial" w:cs="Arial"/>
          <w:sz w:val="24"/>
          <w:szCs w:val="24"/>
        </w:rPr>
        <w:t xml:space="preserve">la cual  llevará </w:t>
      </w:r>
      <w:r w:rsidRPr="00C62034">
        <w:rPr>
          <w:rFonts w:ascii="Arial" w:eastAsia="Garamond" w:hAnsi="Arial" w:cs="Arial"/>
          <w:sz w:val="24"/>
          <w:szCs w:val="24"/>
        </w:rPr>
        <w:t xml:space="preserve"> el nombre</w:t>
      </w:r>
      <w:r w:rsidR="00F520EA" w:rsidRPr="00C62034">
        <w:rPr>
          <w:rFonts w:ascii="Arial" w:eastAsia="Garamond" w:hAnsi="Arial" w:cs="Arial"/>
          <w:sz w:val="24"/>
          <w:szCs w:val="24"/>
        </w:rPr>
        <w:t xml:space="preserve"> de </w:t>
      </w:r>
      <w:r w:rsidRPr="00C62034">
        <w:rPr>
          <w:rFonts w:ascii="Arial" w:eastAsia="Garamond" w:hAnsi="Arial" w:cs="Arial"/>
          <w:sz w:val="24"/>
          <w:szCs w:val="24"/>
        </w:rPr>
        <w:t xml:space="preserve"> Juan Nepomuceno Moreno.</w:t>
      </w:r>
    </w:p>
    <w:p w14:paraId="249BE196" w14:textId="489E1006" w:rsidR="00E754B3" w:rsidRPr="00C62034" w:rsidRDefault="00FC20BB" w:rsidP="00E754B3">
      <w:pPr>
        <w:jc w:val="both"/>
        <w:rPr>
          <w:rFonts w:ascii="Arial" w:eastAsia="Garamond" w:hAnsi="Arial" w:cs="Arial"/>
          <w:sz w:val="24"/>
          <w:szCs w:val="24"/>
        </w:rPr>
      </w:pPr>
      <w:r w:rsidRPr="00C62034">
        <w:rPr>
          <w:rFonts w:ascii="Arial" w:eastAsia="Garamond" w:hAnsi="Arial" w:cs="Arial"/>
          <w:b/>
          <w:sz w:val="24"/>
          <w:szCs w:val="24"/>
        </w:rPr>
        <w:t>Artículo 6</w:t>
      </w:r>
      <w:r w:rsidR="00E754B3" w:rsidRPr="00C62034">
        <w:rPr>
          <w:rFonts w:ascii="Arial" w:eastAsia="Garamond" w:hAnsi="Arial" w:cs="Arial"/>
          <w:b/>
          <w:sz w:val="24"/>
          <w:szCs w:val="24"/>
        </w:rPr>
        <w:t xml:space="preserve">°. </w:t>
      </w:r>
      <w:r w:rsidR="00E754B3" w:rsidRPr="00C62034">
        <w:rPr>
          <w:rFonts w:ascii="Arial" w:eastAsia="Garamond" w:hAnsi="Arial" w:cs="Arial"/>
          <w:sz w:val="24"/>
          <w:szCs w:val="24"/>
        </w:rPr>
        <w:t>Autorícese al Gobierno Nacional, a través del Ministerio de Tecnologías de la</w:t>
      </w:r>
      <w:r w:rsidR="00D447DC" w:rsidRPr="00C62034">
        <w:rPr>
          <w:rFonts w:ascii="Arial" w:eastAsia="Garamond" w:hAnsi="Arial" w:cs="Arial"/>
          <w:sz w:val="24"/>
          <w:szCs w:val="24"/>
        </w:rPr>
        <w:t xml:space="preserve"> Información y la Radio y Televisión de Colombia, RTVC, desarrolle y emita</w:t>
      </w:r>
      <w:r w:rsidR="00E754B3" w:rsidRPr="00C62034">
        <w:rPr>
          <w:rFonts w:ascii="Arial" w:eastAsia="Garamond" w:hAnsi="Arial" w:cs="Arial"/>
          <w:sz w:val="24"/>
          <w:szCs w:val="24"/>
        </w:rPr>
        <w:t xml:space="preserve"> </w:t>
      </w:r>
      <w:r w:rsidR="00490EAA" w:rsidRPr="00C62034">
        <w:rPr>
          <w:rFonts w:ascii="Arial" w:eastAsia="Garamond" w:hAnsi="Arial" w:cs="Arial"/>
          <w:sz w:val="24"/>
          <w:szCs w:val="24"/>
        </w:rPr>
        <w:t>un</w:t>
      </w:r>
      <w:r w:rsidR="00E754B3" w:rsidRPr="00C62034">
        <w:rPr>
          <w:rFonts w:ascii="Arial" w:eastAsia="Garamond" w:hAnsi="Arial" w:cs="Arial"/>
          <w:sz w:val="24"/>
          <w:szCs w:val="24"/>
        </w:rPr>
        <w:t xml:space="preserve"> documental a propósito de las contribuciones del territorio y las gentes llaner</w:t>
      </w:r>
      <w:r w:rsidRPr="00C62034">
        <w:rPr>
          <w:rFonts w:ascii="Arial" w:eastAsia="Garamond" w:hAnsi="Arial" w:cs="Arial"/>
          <w:sz w:val="24"/>
          <w:szCs w:val="24"/>
        </w:rPr>
        <w:t>as al proceso de independencia,</w:t>
      </w:r>
      <w:r w:rsidR="001E6A4D" w:rsidRPr="00C62034">
        <w:rPr>
          <w:rFonts w:ascii="Arial" w:eastAsia="Garamond" w:hAnsi="Arial" w:cs="Arial"/>
          <w:sz w:val="24"/>
          <w:szCs w:val="24"/>
        </w:rPr>
        <w:t xml:space="preserve"> al conmemorar el bicentenario de la campaña libertadora de 1819,</w:t>
      </w:r>
      <w:r w:rsidRPr="00C62034">
        <w:rPr>
          <w:rFonts w:ascii="Arial" w:eastAsia="Garamond" w:hAnsi="Arial" w:cs="Arial"/>
          <w:sz w:val="24"/>
          <w:szCs w:val="24"/>
        </w:rPr>
        <w:t xml:space="preserve"> el cual </w:t>
      </w:r>
      <w:r w:rsidR="00E754B3" w:rsidRPr="00C62034">
        <w:rPr>
          <w:rFonts w:ascii="Arial" w:eastAsia="Garamond" w:hAnsi="Arial" w:cs="Arial"/>
          <w:sz w:val="24"/>
          <w:szCs w:val="24"/>
        </w:rPr>
        <w:t>deberá estar disponible como material pedagógico, en un repositorio de acceso público para las futuras generaciones.</w:t>
      </w:r>
    </w:p>
    <w:p w14:paraId="703F0CEE" w14:textId="6D789142" w:rsidR="00D447DC" w:rsidRPr="00C62034" w:rsidRDefault="00D447DC" w:rsidP="00E754B3">
      <w:pPr>
        <w:jc w:val="both"/>
        <w:rPr>
          <w:rFonts w:ascii="Arial" w:eastAsia="Garamond" w:hAnsi="Arial" w:cs="Arial"/>
          <w:sz w:val="24"/>
          <w:szCs w:val="24"/>
        </w:rPr>
      </w:pPr>
      <w:r w:rsidRPr="00C62034">
        <w:rPr>
          <w:rFonts w:ascii="Arial" w:eastAsia="Garamond" w:hAnsi="Arial" w:cs="Arial"/>
          <w:b/>
          <w:sz w:val="24"/>
          <w:szCs w:val="24"/>
        </w:rPr>
        <w:t>Artículo 7º</w:t>
      </w:r>
      <w:r w:rsidRPr="00C62034">
        <w:rPr>
          <w:rFonts w:ascii="Arial" w:eastAsia="Garamond" w:hAnsi="Arial" w:cs="Arial"/>
          <w:sz w:val="24"/>
          <w:szCs w:val="24"/>
        </w:rPr>
        <w:t xml:space="preserve">. Autorícese al Gobierno nacional para que incorpore dentro del presupuesto </w:t>
      </w:r>
      <w:r w:rsidR="0018749E">
        <w:rPr>
          <w:rFonts w:ascii="Arial" w:eastAsia="Garamond" w:hAnsi="Arial" w:cs="Arial"/>
          <w:sz w:val="24"/>
          <w:szCs w:val="24"/>
        </w:rPr>
        <w:t xml:space="preserve">que se tiene </w:t>
      </w:r>
      <w:r w:rsidR="00CF0749">
        <w:rPr>
          <w:rFonts w:ascii="Arial" w:eastAsia="Garamond" w:hAnsi="Arial" w:cs="Arial"/>
          <w:sz w:val="24"/>
          <w:szCs w:val="24"/>
        </w:rPr>
        <w:t xml:space="preserve">destinado para la conmemoración del </w:t>
      </w:r>
      <w:r w:rsidR="0018749E">
        <w:rPr>
          <w:rFonts w:ascii="Arial" w:eastAsia="Garamond" w:hAnsi="Arial" w:cs="Arial"/>
          <w:sz w:val="24"/>
          <w:szCs w:val="24"/>
        </w:rPr>
        <w:t xml:space="preserve"> bicentenario,</w:t>
      </w:r>
      <w:r w:rsidR="00CF0749">
        <w:rPr>
          <w:rFonts w:ascii="Arial" w:eastAsia="Garamond" w:hAnsi="Arial" w:cs="Arial"/>
          <w:sz w:val="24"/>
          <w:szCs w:val="24"/>
        </w:rPr>
        <w:t xml:space="preserve"> </w:t>
      </w:r>
      <w:r w:rsidRPr="00C62034">
        <w:rPr>
          <w:rFonts w:ascii="Arial" w:eastAsia="Garamond" w:hAnsi="Arial" w:cs="Arial"/>
          <w:sz w:val="24"/>
          <w:szCs w:val="24"/>
        </w:rPr>
        <w:t xml:space="preserve"> las partidas presupuestales necesarias, con el fin de que se lleve a cabo el cumplimiento de las disposiciones establecidas en la presente ley.</w:t>
      </w:r>
    </w:p>
    <w:p w14:paraId="634770D5" w14:textId="3635EC3A" w:rsidR="00E754B3" w:rsidRPr="00C62034" w:rsidRDefault="00435F6F" w:rsidP="00E754B3">
      <w:pPr>
        <w:shd w:val="clear" w:color="auto" w:fill="FFFFFF"/>
        <w:spacing w:before="28" w:after="28"/>
        <w:jc w:val="both"/>
        <w:rPr>
          <w:rFonts w:ascii="Arial" w:eastAsia="Garamond" w:hAnsi="Arial" w:cs="Arial"/>
          <w:sz w:val="24"/>
          <w:szCs w:val="24"/>
        </w:rPr>
      </w:pPr>
      <w:r w:rsidRPr="00C62034">
        <w:rPr>
          <w:rFonts w:ascii="Arial" w:eastAsia="Garamond" w:hAnsi="Arial" w:cs="Arial"/>
          <w:b/>
          <w:sz w:val="24"/>
          <w:szCs w:val="24"/>
        </w:rPr>
        <w:t>Artículo 8</w:t>
      </w:r>
      <w:r w:rsidR="00E754B3" w:rsidRPr="00C62034">
        <w:rPr>
          <w:rFonts w:ascii="Arial" w:eastAsia="Garamond" w:hAnsi="Arial" w:cs="Arial"/>
          <w:b/>
          <w:sz w:val="24"/>
          <w:szCs w:val="24"/>
        </w:rPr>
        <w:t>º</w:t>
      </w:r>
      <w:r w:rsidR="00E754B3" w:rsidRPr="00C62034">
        <w:rPr>
          <w:rFonts w:ascii="Arial" w:eastAsia="Garamond" w:hAnsi="Arial" w:cs="Arial"/>
          <w:sz w:val="24"/>
          <w:szCs w:val="24"/>
        </w:rPr>
        <w:t xml:space="preserve">. La presente ley rige a partir de su promulgación. </w:t>
      </w:r>
    </w:p>
    <w:p w14:paraId="46C07EA9" w14:textId="1B1A01E3" w:rsidR="00E754B3" w:rsidRPr="00C62034" w:rsidRDefault="00E754B3" w:rsidP="00E754B3">
      <w:pPr>
        <w:jc w:val="both"/>
        <w:rPr>
          <w:rFonts w:ascii="Arial" w:eastAsia="Garamond" w:hAnsi="Arial" w:cs="Arial"/>
          <w:sz w:val="24"/>
          <w:szCs w:val="24"/>
        </w:rPr>
      </w:pPr>
    </w:p>
    <w:p w14:paraId="61C7E6B8" w14:textId="053C705B" w:rsidR="00E754B3" w:rsidRPr="00C62034" w:rsidRDefault="003D604A" w:rsidP="00E754B3">
      <w:pPr>
        <w:jc w:val="both"/>
        <w:rPr>
          <w:rFonts w:ascii="Arial" w:eastAsia="Garamond" w:hAnsi="Arial" w:cs="Arial"/>
          <w:sz w:val="24"/>
          <w:szCs w:val="24"/>
        </w:rPr>
      </w:pPr>
      <w:r>
        <w:rPr>
          <w:rFonts w:ascii="Arial" w:eastAsia="Garamond" w:hAnsi="Arial" w:cs="Arial"/>
          <w:sz w:val="24"/>
          <w:szCs w:val="24"/>
        </w:rPr>
        <w:t xml:space="preserve">De los Honorables Senadores, </w:t>
      </w:r>
    </w:p>
    <w:p w14:paraId="0ABF1CB6" w14:textId="3F61D87D" w:rsidR="00CF3488" w:rsidRPr="00C62034" w:rsidRDefault="00CF3488" w:rsidP="00E754B3">
      <w:pPr>
        <w:jc w:val="center"/>
        <w:rPr>
          <w:rFonts w:ascii="Arial" w:eastAsia="Garamond" w:hAnsi="Arial" w:cs="Arial"/>
          <w:b/>
          <w:sz w:val="24"/>
          <w:szCs w:val="24"/>
        </w:rPr>
      </w:pPr>
    </w:p>
    <w:p w14:paraId="1EFFA5C9" w14:textId="4A5AEA6C" w:rsidR="00D47D0C" w:rsidRDefault="00D47D0C" w:rsidP="00A91F1C">
      <w:pPr>
        <w:spacing w:after="0" w:line="240" w:lineRule="auto"/>
        <w:ind w:firstLine="720"/>
        <w:rPr>
          <w:rFonts w:ascii="Arial" w:hAnsi="Arial" w:cs="Arial"/>
          <w:b/>
          <w:lang w:eastAsia="en-US"/>
        </w:rPr>
      </w:pPr>
    </w:p>
    <w:p w14:paraId="2D689D9B" w14:textId="50265D9E" w:rsidR="00D47D0C" w:rsidRPr="00D47D0C" w:rsidRDefault="00D47D0C" w:rsidP="00CF3488">
      <w:pPr>
        <w:spacing w:after="0" w:line="240" w:lineRule="auto"/>
        <w:rPr>
          <w:rFonts w:ascii="Arial" w:hAnsi="Arial" w:cs="Arial"/>
          <w:sz w:val="20"/>
          <w:szCs w:val="20"/>
          <w:lang w:eastAsia="en-US"/>
        </w:rPr>
      </w:pPr>
      <w:r w:rsidRPr="00D47D0C">
        <w:rPr>
          <w:rFonts w:ascii="Arial" w:hAnsi="Arial" w:cs="Arial"/>
          <w:b/>
          <w:sz w:val="20"/>
          <w:szCs w:val="20"/>
          <w:lang w:eastAsia="en-US"/>
        </w:rPr>
        <w:t>AMANDA ROCIO GONZALEZ</w:t>
      </w:r>
      <w:r w:rsidRPr="00D47D0C">
        <w:rPr>
          <w:rFonts w:ascii="Arial" w:hAnsi="Arial" w:cs="Arial"/>
          <w:b/>
          <w:sz w:val="20"/>
          <w:szCs w:val="20"/>
          <w:lang w:eastAsia="en-US"/>
        </w:rPr>
        <w:tab/>
      </w:r>
      <w:r w:rsidRPr="00D47D0C">
        <w:rPr>
          <w:rFonts w:ascii="Arial" w:hAnsi="Arial" w:cs="Arial"/>
          <w:b/>
          <w:sz w:val="20"/>
          <w:szCs w:val="20"/>
          <w:lang w:eastAsia="en-US"/>
        </w:rPr>
        <w:tab/>
      </w:r>
      <w:r w:rsidRPr="00D47D0C">
        <w:rPr>
          <w:rFonts w:ascii="Arial" w:hAnsi="Arial" w:cs="Arial"/>
          <w:b/>
          <w:sz w:val="20"/>
          <w:szCs w:val="20"/>
          <w:lang w:eastAsia="en-US"/>
        </w:rPr>
        <w:tab/>
      </w:r>
    </w:p>
    <w:p w14:paraId="59D3D083" w14:textId="7A8E0525" w:rsidR="00E3389F" w:rsidRDefault="00D47D0C" w:rsidP="00071713">
      <w:pPr>
        <w:spacing w:after="0" w:line="240" w:lineRule="auto"/>
        <w:rPr>
          <w:rFonts w:ascii="Arial" w:hAnsi="Arial" w:cs="Arial"/>
          <w:sz w:val="20"/>
          <w:szCs w:val="20"/>
          <w:lang w:eastAsia="en-US"/>
        </w:rPr>
      </w:pPr>
      <w:r w:rsidRPr="00D47D0C">
        <w:rPr>
          <w:rFonts w:ascii="Arial" w:hAnsi="Arial" w:cs="Arial"/>
          <w:sz w:val="20"/>
          <w:szCs w:val="20"/>
          <w:lang w:eastAsia="en-US"/>
        </w:rPr>
        <w:t>Senador de la República</w:t>
      </w:r>
    </w:p>
    <w:p w14:paraId="356864F6" w14:textId="77777777" w:rsidR="00071713" w:rsidRPr="00071713" w:rsidRDefault="00071713" w:rsidP="00071713">
      <w:pPr>
        <w:spacing w:after="0" w:line="240" w:lineRule="auto"/>
        <w:rPr>
          <w:rFonts w:ascii="Arial" w:hAnsi="Arial" w:cs="Arial"/>
          <w:sz w:val="20"/>
          <w:szCs w:val="20"/>
          <w:lang w:eastAsia="en-US"/>
        </w:rPr>
      </w:pPr>
    </w:p>
    <w:p w14:paraId="6AE26810" w14:textId="77777777" w:rsidR="00CF3488" w:rsidRDefault="00CF3488"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p>
    <w:p w14:paraId="5F7395FA" w14:textId="77777777" w:rsidR="00901862" w:rsidRDefault="00901862"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p>
    <w:p w14:paraId="60BD1EFF" w14:textId="77777777" w:rsidR="00CF3488" w:rsidRDefault="00CF3488"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p>
    <w:p w14:paraId="00000002" w14:textId="77777777" w:rsidR="007C24A7" w:rsidRPr="00C62034" w:rsidRDefault="00EC532D"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r w:rsidRPr="00C62034">
        <w:rPr>
          <w:rFonts w:ascii="Arial" w:eastAsia="Garamond" w:hAnsi="Arial" w:cs="Arial"/>
          <w:b/>
          <w:color w:val="000000"/>
          <w:sz w:val="24"/>
          <w:szCs w:val="24"/>
        </w:rPr>
        <w:lastRenderedPageBreak/>
        <w:t>EXPOSICIÓN DE MOTIVOS</w:t>
      </w:r>
    </w:p>
    <w:p w14:paraId="00000003" w14:textId="77777777" w:rsidR="007C24A7" w:rsidRPr="00C62034" w:rsidRDefault="007C24A7" w:rsidP="00E754B3">
      <w:pPr>
        <w:pBdr>
          <w:top w:val="nil"/>
          <w:left w:val="nil"/>
          <w:bottom w:val="nil"/>
          <w:right w:val="nil"/>
          <w:between w:val="nil"/>
        </w:pBdr>
        <w:shd w:val="clear" w:color="auto" w:fill="FFFFFF"/>
        <w:spacing w:before="45" w:after="15"/>
        <w:ind w:right="30" w:firstLine="210"/>
        <w:jc w:val="both"/>
        <w:rPr>
          <w:rFonts w:ascii="Arial" w:eastAsia="Garamond" w:hAnsi="Arial" w:cs="Arial"/>
          <w:color w:val="000000"/>
          <w:sz w:val="24"/>
          <w:szCs w:val="24"/>
        </w:rPr>
      </w:pPr>
    </w:p>
    <w:p w14:paraId="00000004" w14:textId="242E4342" w:rsidR="007C24A7" w:rsidRPr="00C62034" w:rsidRDefault="00FC20BB" w:rsidP="00E754B3">
      <w:pPr>
        <w:pStyle w:val="Prrafodelista"/>
        <w:numPr>
          <w:ilvl w:val="0"/>
          <w:numId w:val="2"/>
        </w:numPr>
        <w:pBdr>
          <w:top w:val="nil"/>
          <w:left w:val="nil"/>
          <w:bottom w:val="nil"/>
          <w:right w:val="nil"/>
          <w:between w:val="nil"/>
        </w:pBdr>
        <w:shd w:val="clear" w:color="auto" w:fill="FFFFFF"/>
        <w:spacing w:before="45" w:after="15"/>
        <w:ind w:right="30"/>
        <w:jc w:val="both"/>
        <w:rPr>
          <w:rFonts w:ascii="Arial" w:eastAsia="Garamond" w:hAnsi="Arial" w:cs="Arial"/>
          <w:b/>
          <w:color w:val="000000"/>
          <w:sz w:val="24"/>
          <w:szCs w:val="24"/>
        </w:rPr>
      </w:pPr>
      <w:r w:rsidRPr="00C62034">
        <w:rPr>
          <w:rFonts w:ascii="Arial" w:eastAsia="Garamond" w:hAnsi="Arial" w:cs="Arial"/>
          <w:b/>
          <w:color w:val="000000"/>
          <w:sz w:val="24"/>
          <w:szCs w:val="24"/>
        </w:rPr>
        <w:t>Antecedentes del proyecto</w:t>
      </w:r>
    </w:p>
    <w:p w14:paraId="00000005" w14:textId="77777777" w:rsidR="007C24A7" w:rsidRPr="00C62034" w:rsidRDefault="007C24A7" w:rsidP="00E754B3">
      <w:pPr>
        <w:pBdr>
          <w:top w:val="nil"/>
          <w:left w:val="nil"/>
          <w:bottom w:val="nil"/>
          <w:right w:val="nil"/>
          <w:between w:val="nil"/>
        </w:pBdr>
        <w:shd w:val="clear" w:color="auto" w:fill="FFFFFF"/>
        <w:spacing w:before="45" w:after="15"/>
        <w:ind w:right="30"/>
        <w:jc w:val="both"/>
        <w:rPr>
          <w:rFonts w:ascii="Arial" w:eastAsia="Garamond" w:hAnsi="Arial" w:cs="Arial"/>
          <w:color w:val="000000"/>
          <w:sz w:val="24"/>
          <w:szCs w:val="24"/>
        </w:rPr>
      </w:pPr>
    </w:p>
    <w:p w14:paraId="00000006" w14:textId="77777777" w:rsidR="007C24A7" w:rsidRPr="00C62034" w:rsidRDefault="00EC532D" w:rsidP="00E754B3">
      <w:pPr>
        <w:pBdr>
          <w:top w:val="nil"/>
          <w:left w:val="nil"/>
          <w:bottom w:val="nil"/>
          <w:right w:val="nil"/>
          <w:between w:val="nil"/>
        </w:pBdr>
        <w:shd w:val="clear" w:color="auto" w:fill="FFFFFF"/>
        <w:spacing w:before="45" w:after="15"/>
        <w:ind w:right="30"/>
        <w:jc w:val="both"/>
        <w:rPr>
          <w:rFonts w:ascii="Arial" w:eastAsia="Garamond" w:hAnsi="Arial" w:cs="Arial"/>
          <w:color w:val="000000"/>
          <w:sz w:val="24"/>
          <w:szCs w:val="24"/>
        </w:rPr>
      </w:pPr>
      <w:r w:rsidRPr="00C62034">
        <w:rPr>
          <w:rFonts w:ascii="Arial" w:eastAsia="Garamond" w:hAnsi="Arial" w:cs="Arial"/>
          <w:color w:val="000000"/>
          <w:sz w:val="24"/>
          <w:szCs w:val="24"/>
        </w:rPr>
        <w:t>La promulgación de la ley 1916 de 2018, “</w:t>
      </w:r>
      <w:r w:rsidRPr="00C62034">
        <w:rPr>
          <w:rFonts w:ascii="Arial" w:eastAsia="Garamond" w:hAnsi="Arial" w:cs="Arial"/>
          <w:i/>
          <w:color w:val="000000"/>
          <w:sz w:val="24"/>
          <w:szCs w:val="24"/>
        </w:rPr>
        <w:t>por medio de la cual la nación se vincula a la celebración de la Campaña libertadora de 1819 y se dictan otras disposiciones</w:t>
      </w:r>
      <w:r w:rsidRPr="00C62034">
        <w:rPr>
          <w:rFonts w:ascii="Arial" w:eastAsia="Garamond" w:hAnsi="Arial" w:cs="Arial"/>
          <w:color w:val="000000"/>
          <w:sz w:val="24"/>
          <w:szCs w:val="24"/>
        </w:rPr>
        <w:t xml:space="preserve">”, reconoció la participación y contribución de un conjunto diverso de territorios al proceso de independencia nacional, y en ese sentido, existe un deber de la nación de fomentar y desarrollar las medidas necesarias para garantizar la conmemoración de los eventos en los que dichas regiones y poblaciones tuvieron participación. Entre los territorios referenciados en dicha norma se encuentra el Departamento del Casanare, y los municipios de Pore, Hato Corozal, Támara, Nunchía y Paz de Ariporo, escenarios de las acciones heroicas de la población llanera encabezadas por el prócer neogranadino Juan Nepomuceno Moreno. </w:t>
      </w:r>
    </w:p>
    <w:p w14:paraId="00000007" w14:textId="77777777" w:rsidR="007C24A7" w:rsidRPr="00C62034" w:rsidRDefault="007C24A7" w:rsidP="00E754B3">
      <w:pPr>
        <w:pBdr>
          <w:top w:val="nil"/>
          <w:left w:val="nil"/>
          <w:bottom w:val="nil"/>
          <w:right w:val="nil"/>
          <w:between w:val="nil"/>
        </w:pBdr>
        <w:shd w:val="clear" w:color="auto" w:fill="FFFFFF"/>
        <w:spacing w:before="45" w:after="15"/>
        <w:ind w:right="30" w:firstLine="210"/>
        <w:jc w:val="both"/>
        <w:rPr>
          <w:rFonts w:ascii="Arial" w:eastAsia="Garamond" w:hAnsi="Arial" w:cs="Arial"/>
          <w:b/>
          <w:color w:val="000000"/>
          <w:sz w:val="24"/>
          <w:szCs w:val="24"/>
        </w:rPr>
      </w:pPr>
    </w:p>
    <w:p w14:paraId="00000008" w14:textId="5C720830" w:rsidR="007C24A7" w:rsidRPr="00C62034" w:rsidRDefault="00FC20BB" w:rsidP="00FC20BB">
      <w:pPr>
        <w:pStyle w:val="Prrafodelista"/>
        <w:numPr>
          <w:ilvl w:val="0"/>
          <w:numId w:val="2"/>
        </w:numPr>
        <w:pBdr>
          <w:top w:val="nil"/>
          <w:left w:val="nil"/>
          <w:bottom w:val="nil"/>
          <w:right w:val="nil"/>
          <w:between w:val="nil"/>
        </w:pBdr>
        <w:shd w:val="clear" w:color="auto" w:fill="FFFFFF"/>
        <w:spacing w:before="45" w:after="15"/>
        <w:ind w:right="30"/>
        <w:jc w:val="both"/>
        <w:rPr>
          <w:rFonts w:ascii="Arial" w:eastAsia="Garamond" w:hAnsi="Arial" w:cs="Arial"/>
          <w:b/>
          <w:color w:val="000000"/>
          <w:sz w:val="24"/>
          <w:szCs w:val="24"/>
        </w:rPr>
      </w:pPr>
      <w:r w:rsidRPr="00C62034">
        <w:rPr>
          <w:rFonts w:ascii="Arial" w:eastAsia="Garamond" w:hAnsi="Arial" w:cs="Arial"/>
          <w:b/>
          <w:color w:val="000000"/>
          <w:sz w:val="24"/>
          <w:szCs w:val="24"/>
        </w:rPr>
        <w:t>Objeto</w:t>
      </w:r>
    </w:p>
    <w:p w14:paraId="2B82D16D" w14:textId="77777777" w:rsidR="00D47235" w:rsidRPr="00C62034" w:rsidRDefault="00D47235" w:rsidP="00FC20BB">
      <w:pPr>
        <w:pStyle w:val="Prrafodelista"/>
        <w:pBdr>
          <w:top w:val="nil"/>
          <w:left w:val="nil"/>
          <w:bottom w:val="nil"/>
          <w:right w:val="nil"/>
          <w:between w:val="nil"/>
        </w:pBdr>
        <w:shd w:val="clear" w:color="auto" w:fill="FFFFFF"/>
        <w:spacing w:before="45" w:after="15"/>
        <w:ind w:left="570" w:right="30"/>
        <w:jc w:val="both"/>
        <w:rPr>
          <w:rFonts w:ascii="Arial" w:eastAsia="Garamond" w:hAnsi="Arial" w:cs="Arial"/>
          <w:b/>
          <w:color w:val="000000"/>
          <w:sz w:val="24"/>
          <w:szCs w:val="24"/>
        </w:rPr>
      </w:pPr>
    </w:p>
    <w:p w14:paraId="00000009" w14:textId="55729E07" w:rsidR="007C24A7" w:rsidRPr="00C62034" w:rsidRDefault="00EC532D" w:rsidP="00E754B3">
      <w:pPr>
        <w:jc w:val="both"/>
        <w:rPr>
          <w:rFonts w:ascii="Arial" w:eastAsia="Garamond" w:hAnsi="Arial" w:cs="Arial"/>
          <w:sz w:val="24"/>
          <w:szCs w:val="24"/>
        </w:rPr>
      </w:pPr>
      <w:r w:rsidRPr="00C62034">
        <w:rPr>
          <w:rFonts w:ascii="Arial" w:eastAsia="Garamond" w:hAnsi="Arial" w:cs="Arial"/>
          <w:sz w:val="24"/>
          <w:szCs w:val="24"/>
        </w:rPr>
        <w:t>El presente proyecto de ley</w:t>
      </w:r>
      <w:r w:rsidR="009B4341">
        <w:rPr>
          <w:rFonts w:ascii="Arial" w:eastAsia="Garamond" w:hAnsi="Arial" w:cs="Arial"/>
          <w:sz w:val="24"/>
          <w:szCs w:val="24"/>
        </w:rPr>
        <w:t xml:space="preserve"> fue </w:t>
      </w:r>
      <w:r w:rsidR="001C5484">
        <w:rPr>
          <w:rFonts w:ascii="Arial" w:eastAsia="Garamond" w:hAnsi="Arial" w:cs="Arial"/>
          <w:sz w:val="24"/>
          <w:szCs w:val="24"/>
        </w:rPr>
        <w:t>radicado el 20</w:t>
      </w:r>
      <w:r w:rsidR="000A0475">
        <w:rPr>
          <w:rFonts w:ascii="Arial" w:eastAsia="Garamond" w:hAnsi="Arial" w:cs="Arial"/>
          <w:sz w:val="24"/>
          <w:szCs w:val="24"/>
        </w:rPr>
        <w:t xml:space="preserve"> </w:t>
      </w:r>
      <w:r w:rsidR="001C5484">
        <w:rPr>
          <w:rFonts w:ascii="Arial" w:eastAsia="Garamond" w:hAnsi="Arial" w:cs="Arial"/>
          <w:sz w:val="24"/>
          <w:szCs w:val="24"/>
        </w:rPr>
        <w:t>de marzo de 2019</w:t>
      </w:r>
      <w:r w:rsidR="000A0475">
        <w:rPr>
          <w:rFonts w:ascii="Arial" w:eastAsia="Garamond" w:hAnsi="Arial" w:cs="Arial"/>
          <w:sz w:val="24"/>
          <w:szCs w:val="24"/>
        </w:rPr>
        <w:t>.</w:t>
      </w:r>
      <w:r w:rsidR="009B4341">
        <w:rPr>
          <w:rFonts w:ascii="Arial" w:eastAsia="Garamond" w:hAnsi="Arial" w:cs="Arial"/>
          <w:sz w:val="24"/>
          <w:szCs w:val="24"/>
        </w:rPr>
        <w:t xml:space="preserve"> </w:t>
      </w:r>
      <w:r w:rsidR="001C5484">
        <w:rPr>
          <w:rFonts w:ascii="Arial" w:eastAsia="Garamond" w:hAnsi="Arial" w:cs="Arial"/>
          <w:sz w:val="24"/>
          <w:szCs w:val="24"/>
        </w:rPr>
        <w:t xml:space="preserve">debatido y aprobado </w:t>
      </w:r>
      <w:r w:rsidR="00AE32FE">
        <w:rPr>
          <w:rFonts w:ascii="Arial" w:eastAsia="Garamond" w:hAnsi="Arial" w:cs="Arial"/>
          <w:sz w:val="24"/>
          <w:szCs w:val="24"/>
        </w:rPr>
        <w:t xml:space="preserve">tanto </w:t>
      </w:r>
      <w:r w:rsidR="001C5484">
        <w:rPr>
          <w:rFonts w:ascii="Arial" w:eastAsia="Garamond" w:hAnsi="Arial" w:cs="Arial"/>
          <w:sz w:val="24"/>
          <w:szCs w:val="24"/>
        </w:rPr>
        <w:t>en la comisión</w:t>
      </w:r>
      <w:r w:rsidR="000A0475">
        <w:rPr>
          <w:rFonts w:ascii="Arial" w:eastAsia="Garamond" w:hAnsi="Arial" w:cs="Arial"/>
          <w:sz w:val="24"/>
          <w:szCs w:val="24"/>
        </w:rPr>
        <w:t xml:space="preserve"> segunda </w:t>
      </w:r>
      <w:r w:rsidR="00AE32FE">
        <w:rPr>
          <w:rFonts w:ascii="Arial" w:eastAsia="Garamond" w:hAnsi="Arial" w:cs="Arial"/>
          <w:sz w:val="24"/>
          <w:szCs w:val="24"/>
        </w:rPr>
        <w:t>como</w:t>
      </w:r>
      <w:r w:rsidR="001C5484">
        <w:rPr>
          <w:rFonts w:ascii="Arial" w:eastAsia="Garamond" w:hAnsi="Arial" w:cs="Arial"/>
          <w:sz w:val="24"/>
          <w:szCs w:val="24"/>
        </w:rPr>
        <w:t xml:space="preserve"> </w:t>
      </w:r>
      <w:r w:rsidR="000A0475">
        <w:rPr>
          <w:rFonts w:ascii="Arial" w:eastAsia="Garamond" w:hAnsi="Arial" w:cs="Arial"/>
          <w:sz w:val="24"/>
          <w:szCs w:val="24"/>
        </w:rPr>
        <w:t xml:space="preserve">en la </w:t>
      </w:r>
      <w:r w:rsidR="001C5484">
        <w:rPr>
          <w:rFonts w:ascii="Arial" w:eastAsia="Garamond" w:hAnsi="Arial" w:cs="Arial"/>
          <w:sz w:val="24"/>
          <w:szCs w:val="24"/>
        </w:rPr>
        <w:t>Plenaria del Senado de la Republica. Estuvo en el orden del día de la Comisión segunda de la Cámara de Representantes, pero debido a la situación que se vivió por la pandemia del Co</w:t>
      </w:r>
      <w:r w:rsidR="00AE32FE">
        <w:rPr>
          <w:rFonts w:ascii="Arial" w:eastAsia="Garamond" w:hAnsi="Arial" w:cs="Arial"/>
          <w:sz w:val="24"/>
          <w:szCs w:val="24"/>
        </w:rPr>
        <w:t>vid-19</w:t>
      </w:r>
      <w:r w:rsidR="001C5484">
        <w:rPr>
          <w:rFonts w:ascii="Arial" w:eastAsia="Garamond" w:hAnsi="Arial" w:cs="Arial"/>
          <w:sz w:val="24"/>
          <w:szCs w:val="24"/>
        </w:rPr>
        <w:t xml:space="preserve"> no alcanzó a dársele tramite.  Es así que fue archivado por el </w:t>
      </w:r>
      <w:r w:rsidR="00AE32FE">
        <w:rPr>
          <w:rFonts w:ascii="Arial" w:eastAsia="Garamond" w:hAnsi="Arial" w:cs="Arial"/>
          <w:sz w:val="24"/>
          <w:szCs w:val="24"/>
        </w:rPr>
        <w:t>artículo</w:t>
      </w:r>
      <w:r w:rsidR="001C5484">
        <w:rPr>
          <w:rFonts w:ascii="Arial" w:eastAsia="Garamond" w:hAnsi="Arial" w:cs="Arial"/>
          <w:sz w:val="24"/>
          <w:szCs w:val="24"/>
        </w:rPr>
        <w:t xml:space="preserve"> 190 de la ley 5 de 1992 y 162 de la Constitución Política</w:t>
      </w:r>
      <w:r w:rsidR="00AE32FE">
        <w:rPr>
          <w:rFonts w:ascii="Arial" w:eastAsia="Garamond" w:hAnsi="Arial" w:cs="Arial"/>
          <w:sz w:val="24"/>
          <w:szCs w:val="24"/>
        </w:rPr>
        <w:t>.</w:t>
      </w:r>
      <w:r w:rsidR="001C5484">
        <w:rPr>
          <w:rFonts w:ascii="Arial" w:eastAsia="Garamond" w:hAnsi="Arial" w:cs="Arial"/>
          <w:sz w:val="24"/>
          <w:szCs w:val="24"/>
        </w:rPr>
        <w:t xml:space="preserve"> Es</w:t>
      </w:r>
      <w:r w:rsidR="000A0475">
        <w:rPr>
          <w:rFonts w:ascii="Arial" w:eastAsia="Garamond" w:hAnsi="Arial" w:cs="Arial"/>
          <w:sz w:val="24"/>
          <w:szCs w:val="24"/>
        </w:rPr>
        <w:t>te</w:t>
      </w:r>
      <w:r w:rsidR="001C5484">
        <w:rPr>
          <w:rFonts w:ascii="Arial" w:eastAsia="Garamond" w:hAnsi="Arial" w:cs="Arial"/>
          <w:sz w:val="24"/>
          <w:szCs w:val="24"/>
        </w:rPr>
        <w:t xml:space="preserve"> un proyecto que </w:t>
      </w:r>
      <w:r w:rsidRPr="00C62034">
        <w:rPr>
          <w:rFonts w:ascii="Arial" w:eastAsia="Garamond" w:hAnsi="Arial" w:cs="Arial"/>
          <w:sz w:val="24"/>
          <w:szCs w:val="24"/>
        </w:rPr>
        <w:t xml:space="preserve">busca exaltar las acciones sociales, los lugares simbólicos y los personajes llaneros que aportaron al proceso de independencia nacional, </w:t>
      </w:r>
      <w:r w:rsidR="001C5484" w:rsidRPr="00C62034">
        <w:rPr>
          <w:rFonts w:ascii="Arial" w:eastAsia="Garamond" w:hAnsi="Arial" w:cs="Arial"/>
          <w:sz w:val="24"/>
          <w:szCs w:val="24"/>
        </w:rPr>
        <w:t>reconociendo la</w:t>
      </w:r>
      <w:r w:rsidRPr="00C62034">
        <w:rPr>
          <w:rFonts w:ascii="Arial" w:eastAsia="Garamond" w:hAnsi="Arial" w:cs="Arial"/>
          <w:sz w:val="24"/>
          <w:szCs w:val="24"/>
        </w:rPr>
        <w:t xml:space="preserve"> especial contribución realizada por </w:t>
      </w:r>
      <w:r w:rsidR="00A66878" w:rsidRPr="00C62034">
        <w:rPr>
          <w:rFonts w:ascii="Arial" w:eastAsia="Garamond" w:hAnsi="Arial" w:cs="Arial"/>
          <w:sz w:val="24"/>
          <w:szCs w:val="24"/>
        </w:rPr>
        <w:t xml:space="preserve">el General </w:t>
      </w:r>
      <w:r w:rsidRPr="00C62034">
        <w:rPr>
          <w:rFonts w:ascii="Arial" w:eastAsia="Garamond" w:hAnsi="Arial" w:cs="Arial"/>
          <w:sz w:val="24"/>
          <w:szCs w:val="24"/>
        </w:rPr>
        <w:t>Juan Nepomuceno Moreno, gobernador militar de la Provincia del Casanare, por orden del General Simón Bolívar.</w:t>
      </w:r>
    </w:p>
    <w:p w14:paraId="22713305" w14:textId="3CB62B37" w:rsidR="00777DA2" w:rsidRPr="00B949C7" w:rsidRDefault="00EC532D" w:rsidP="00B949C7">
      <w:pPr>
        <w:pStyle w:val="Prrafodelista"/>
        <w:numPr>
          <w:ilvl w:val="0"/>
          <w:numId w:val="2"/>
        </w:numPr>
        <w:jc w:val="both"/>
        <w:rPr>
          <w:rFonts w:ascii="Arial" w:eastAsia="Garamond" w:hAnsi="Arial" w:cs="Arial"/>
          <w:b/>
          <w:sz w:val="24"/>
          <w:szCs w:val="24"/>
        </w:rPr>
      </w:pPr>
      <w:r w:rsidRPr="00C62034">
        <w:rPr>
          <w:rFonts w:ascii="Arial" w:eastAsia="Garamond" w:hAnsi="Arial" w:cs="Arial"/>
          <w:b/>
          <w:sz w:val="24"/>
          <w:szCs w:val="24"/>
        </w:rPr>
        <w:t>Justificación</w:t>
      </w:r>
      <w:r w:rsidR="00E754B3" w:rsidRPr="00C62034">
        <w:rPr>
          <w:rFonts w:ascii="Arial" w:eastAsia="Garamond" w:hAnsi="Arial" w:cs="Arial"/>
          <w:b/>
          <w:sz w:val="24"/>
          <w:szCs w:val="24"/>
        </w:rPr>
        <w:t xml:space="preserve"> del Proyecto </w:t>
      </w:r>
    </w:p>
    <w:p w14:paraId="5DB62678" w14:textId="77777777" w:rsidR="00777DA2" w:rsidRPr="00B949C7" w:rsidRDefault="00777DA2" w:rsidP="00777DA2">
      <w:pPr>
        <w:pStyle w:val="estlos-gacetasp-rrafos"/>
        <w:shd w:val="clear" w:color="auto" w:fill="FFFFFF"/>
        <w:spacing w:before="45" w:beforeAutospacing="0" w:after="15" w:afterAutospacing="0"/>
        <w:ind w:right="30"/>
        <w:jc w:val="both"/>
        <w:rPr>
          <w:rStyle w:val="charoverride-13"/>
          <w:rFonts w:ascii="Arial" w:hAnsi="Arial" w:cs="Arial"/>
          <w:color w:val="000000"/>
          <w:lang w:val="es-CO"/>
        </w:rPr>
      </w:pPr>
      <w:r w:rsidRPr="00B949C7">
        <w:rPr>
          <w:rStyle w:val="charoverride-13"/>
          <w:rFonts w:ascii="Arial" w:hAnsi="Arial" w:cs="Arial"/>
          <w:color w:val="000000"/>
          <w:lang w:val="es-CO"/>
        </w:rPr>
        <w:t>Con la promulgación de la Ley 1916 de 2018, "</w:t>
      </w:r>
      <w:r w:rsidRPr="00B949C7">
        <w:rPr>
          <w:rStyle w:val="charoverride-14"/>
          <w:rFonts w:ascii="Arial" w:hAnsi="Arial" w:cs="Arial"/>
          <w:i/>
          <w:iCs/>
          <w:color w:val="000000"/>
          <w:lang w:val="es-CO"/>
        </w:rPr>
        <w:t>Por medio de la cual la nación se vincula a la celebración de la Campaña libertadora de 1819 y se dictan otras disposiciones</w:t>
      </w:r>
      <w:r w:rsidRPr="00B949C7">
        <w:rPr>
          <w:rStyle w:val="charoverride-13"/>
          <w:rFonts w:ascii="Arial" w:hAnsi="Arial" w:cs="Arial"/>
          <w:color w:val="000000"/>
          <w:lang w:val="es-CO"/>
        </w:rPr>
        <w:t>", se reconoció la participación y contribución de un conjunto diverso de territorios al proceso de independencia nacional, y en ese sentido, el deber de la nación de fomentar y desarrollar las medidas necesarias para garantizar la conmemoración de los eventos en los que dichas regiones y poblaciones tuvieron participación.</w:t>
      </w:r>
    </w:p>
    <w:p w14:paraId="2FEEC108" w14:textId="77777777" w:rsidR="00777DA2" w:rsidRPr="00B949C7" w:rsidRDefault="00777DA2" w:rsidP="00777DA2">
      <w:pPr>
        <w:pStyle w:val="estlos-gacetasp-rrafos"/>
        <w:shd w:val="clear" w:color="auto" w:fill="FFFFFF"/>
        <w:spacing w:before="45" w:beforeAutospacing="0" w:after="15" w:afterAutospacing="0"/>
        <w:ind w:right="30"/>
        <w:jc w:val="both"/>
        <w:rPr>
          <w:rFonts w:ascii="Arial" w:hAnsi="Arial" w:cs="Arial"/>
          <w:color w:val="000000"/>
          <w:lang w:val="es-CO"/>
        </w:rPr>
      </w:pPr>
    </w:p>
    <w:p w14:paraId="1AFC053F" w14:textId="757017E9" w:rsidR="00777DA2" w:rsidRPr="00B949C7" w:rsidRDefault="00777DA2" w:rsidP="00777DA2">
      <w:pPr>
        <w:jc w:val="both"/>
        <w:rPr>
          <w:rFonts w:ascii="Arial" w:eastAsia="Garamond" w:hAnsi="Arial" w:cs="Arial"/>
          <w:b/>
          <w:sz w:val="24"/>
          <w:szCs w:val="24"/>
          <w:lang w:val="es-CO"/>
        </w:rPr>
      </w:pPr>
      <w:r w:rsidRPr="00B949C7">
        <w:rPr>
          <w:rStyle w:val="charoverride-13"/>
          <w:rFonts w:ascii="Arial" w:hAnsi="Arial" w:cs="Arial"/>
          <w:color w:val="000000"/>
          <w:sz w:val="24"/>
          <w:szCs w:val="24"/>
          <w:lang w:val="es-CO"/>
        </w:rPr>
        <w:t>Entre los territorios referenciados en dicha norma se encuentra el departamento del Casanare, y los municipios de Pore, Hato Corozal, Támara, Nunchía y Paz de Ariporo, escenarios de las acciones heroicas de la población llanera encabezadas por el prócer neogranadino Juan Nepomuceno Moreno</w:t>
      </w:r>
    </w:p>
    <w:p w14:paraId="73045CA8" w14:textId="7F4948E2" w:rsidR="000628EE" w:rsidRPr="00C62034" w:rsidRDefault="000628EE" w:rsidP="000628EE">
      <w:pPr>
        <w:jc w:val="both"/>
        <w:rPr>
          <w:rFonts w:ascii="Arial" w:eastAsia="Garamond" w:hAnsi="Arial" w:cs="Arial"/>
          <w:sz w:val="24"/>
          <w:szCs w:val="24"/>
        </w:rPr>
      </w:pPr>
      <w:r w:rsidRPr="00C62034">
        <w:rPr>
          <w:rFonts w:ascii="Arial" w:eastAsia="Garamond" w:hAnsi="Arial" w:cs="Arial"/>
          <w:sz w:val="24"/>
          <w:szCs w:val="24"/>
        </w:rPr>
        <w:t>El periodo de tiempo del 20 de julio de 1810 al 7 de agosto de 1819, es tal vez la época más importante, de mayores aportes materiales, humanos y morales que haya podido hacer la Pro</w:t>
      </w:r>
      <w:r w:rsidR="00A66878" w:rsidRPr="00C62034">
        <w:rPr>
          <w:rFonts w:ascii="Arial" w:eastAsia="Garamond" w:hAnsi="Arial" w:cs="Arial"/>
          <w:sz w:val="24"/>
          <w:szCs w:val="24"/>
        </w:rPr>
        <w:t>vincia de Casanare a la nación. Esta</w:t>
      </w:r>
      <w:r w:rsidRPr="00C62034">
        <w:rPr>
          <w:rFonts w:ascii="Arial" w:eastAsia="Garamond" w:hAnsi="Arial" w:cs="Arial"/>
          <w:sz w:val="24"/>
          <w:szCs w:val="24"/>
        </w:rPr>
        <w:t xml:space="preserve"> parte del territorio se consolida tanto en lo político como en lo militar, hecho que se comprueba con la declaratoria del General Santander, reconociendo que ésta era el primer Estado libre de la Nueva Granada. </w:t>
      </w:r>
    </w:p>
    <w:p w14:paraId="4D3C81A5" w14:textId="77777777" w:rsidR="000628EE" w:rsidRPr="00C62034" w:rsidRDefault="000628EE" w:rsidP="000628EE">
      <w:pPr>
        <w:jc w:val="both"/>
        <w:rPr>
          <w:rFonts w:ascii="Arial" w:eastAsia="Garamond" w:hAnsi="Arial" w:cs="Arial"/>
          <w:sz w:val="24"/>
          <w:szCs w:val="24"/>
        </w:rPr>
      </w:pPr>
      <w:r w:rsidRPr="00C62034">
        <w:rPr>
          <w:rFonts w:ascii="Arial" w:eastAsia="Garamond" w:hAnsi="Arial" w:cs="Arial"/>
          <w:sz w:val="24"/>
          <w:szCs w:val="24"/>
        </w:rPr>
        <w:t>La tenacidad y el compromiso de los llaneros fueron fundamentales no solo para la transformación social y política de Casanare, sino que se convirtió en el principal territorio para consolidar el proceso y la independencia, ya que geopolíticamente era el lugar más estratégico, pues desde allí se podían controlar las acciones de la mal llamada “pacificación” de Morillo en Venezuela y las acciones militares de Barreiro en la Nueva Granada; adicionalmente, este territorio se convertía</w:t>
      </w:r>
      <w:r w:rsidRPr="00C62034">
        <w:rPr>
          <w:rFonts w:ascii="Arial" w:eastAsia="Garamond" w:hAnsi="Arial" w:cs="Arial"/>
          <w:b/>
          <w:sz w:val="24"/>
          <w:szCs w:val="24"/>
        </w:rPr>
        <w:t xml:space="preserve"> </w:t>
      </w:r>
      <w:r w:rsidRPr="00C62034">
        <w:rPr>
          <w:rFonts w:ascii="Arial" w:eastAsia="Garamond" w:hAnsi="Arial" w:cs="Arial"/>
          <w:sz w:val="24"/>
          <w:szCs w:val="24"/>
        </w:rPr>
        <w:t xml:space="preserve">en el de menos dificultades para el acceso de los patriotas que procedían de Santa Fe o Tunja, especialmente por los pueblos del Valle de Tenza; pero que a su vez muchos patriotas hombres y mujeres de esos pueblos terminaron en el cadalso, produciéndose esa horrorosa masacre de noviembre y diciembre de 1817. </w:t>
      </w:r>
    </w:p>
    <w:p w14:paraId="5E0590C5" w14:textId="4EDF311B" w:rsidR="0048029C" w:rsidRPr="00C62034" w:rsidRDefault="000628EE" w:rsidP="0048029C">
      <w:pPr>
        <w:jc w:val="both"/>
        <w:rPr>
          <w:rFonts w:ascii="Arial" w:eastAsia="Garamond" w:hAnsi="Arial" w:cs="Arial"/>
          <w:sz w:val="24"/>
          <w:szCs w:val="24"/>
        </w:rPr>
      </w:pPr>
      <w:r w:rsidRPr="00C62034">
        <w:rPr>
          <w:rFonts w:ascii="Arial" w:eastAsia="Garamond" w:hAnsi="Arial" w:cs="Arial"/>
          <w:sz w:val="24"/>
          <w:szCs w:val="24"/>
        </w:rPr>
        <w:t xml:space="preserve">La Provincia de Casanare, era tan importante para la revolución, que Chámeza era la maestranza del ejército patriota, la cual estaba a cargo del </w:t>
      </w:r>
      <w:r w:rsidR="0048029C" w:rsidRPr="00C62034">
        <w:rPr>
          <w:rFonts w:ascii="Arial" w:eastAsia="Garamond" w:hAnsi="Arial" w:cs="Arial"/>
          <w:sz w:val="24"/>
          <w:szCs w:val="24"/>
        </w:rPr>
        <w:t>Coronel</w:t>
      </w:r>
      <w:r w:rsidRPr="00C62034">
        <w:rPr>
          <w:rFonts w:ascii="Arial" w:eastAsia="Garamond" w:hAnsi="Arial" w:cs="Arial"/>
          <w:sz w:val="24"/>
          <w:szCs w:val="24"/>
        </w:rPr>
        <w:t xml:space="preserve"> Antonio Arredondo; en esta parte era tal la actividad, que los españoles consideraban que esa parte del territorio estaba totalmente fuera de su control; tal vez lo único que ayudaba a los realistas era el desorden administrativo y la inestabilidad política existente, ésta causada por la continua rivalidad política de los comandantes, la cual terminó luego del arribó del General Santander, el cual había sido nombrado por el  General Simón Bolívar, no solo para fortalecer esa provincia, sino porque analizados los territorios, vieron que la mejor zona para invadir a la Nueva Granada era por Casanare y de esta manera poder incursionar en la Provincia de Tunja, donde había bastante compromiso con la libertad, pero también porque era la ruta por la que más fácil se les podían unir los patriotas de las provincias de Vélez y el Socorro.</w:t>
      </w:r>
      <w:r w:rsidR="003C43F3" w:rsidRPr="00C62034">
        <w:rPr>
          <w:rStyle w:val="Refdenotaalpie"/>
          <w:rFonts w:ascii="Arial" w:eastAsia="Garamond" w:hAnsi="Arial" w:cs="Arial"/>
          <w:sz w:val="24"/>
          <w:szCs w:val="24"/>
        </w:rPr>
        <w:footnoteReference w:id="1"/>
      </w:r>
      <w:r w:rsidR="006F5FBE" w:rsidRPr="00C62034">
        <w:rPr>
          <w:rFonts w:ascii="Arial" w:eastAsia="Garamond" w:hAnsi="Arial" w:cs="Arial"/>
          <w:sz w:val="24"/>
          <w:szCs w:val="24"/>
        </w:rPr>
        <w:t xml:space="preserve"> </w:t>
      </w:r>
      <w:r w:rsidR="006F5FBE" w:rsidRPr="00C62034">
        <w:rPr>
          <w:rFonts w:ascii="Arial" w:eastAsia="Garamond" w:hAnsi="Arial" w:cs="Arial"/>
          <w:color w:val="000000"/>
          <w:sz w:val="24"/>
          <w:szCs w:val="24"/>
        </w:rPr>
        <w:t>Este esfuerzo representó para el territorio de Casanare múltiples sacrificios económicos y sociales</w:t>
      </w:r>
      <w:r w:rsidR="006F5FBE" w:rsidRPr="00C62034">
        <w:rPr>
          <w:rFonts w:ascii="Arial" w:eastAsia="Garamond" w:hAnsi="Arial" w:cs="Arial"/>
          <w:sz w:val="24"/>
          <w:szCs w:val="24"/>
          <w:vertAlign w:val="superscript"/>
        </w:rPr>
        <w:footnoteReference w:id="2"/>
      </w:r>
      <w:r w:rsidR="006F5FBE" w:rsidRPr="00C62034">
        <w:rPr>
          <w:rFonts w:ascii="Arial" w:eastAsia="Garamond" w:hAnsi="Arial" w:cs="Arial"/>
          <w:color w:val="000000"/>
          <w:sz w:val="24"/>
          <w:szCs w:val="24"/>
        </w:rPr>
        <w:t>, en el momento de mayor incertidumbre que enfrentó el proyecto de la independencia.</w:t>
      </w:r>
    </w:p>
    <w:p w14:paraId="69A67EE6" w14:textId="62C428DD" w:rsidR="006F5FBE" w:rsidRPr="00C62034" w:rsidRDefault="000628EE" w:rsidP="0048029C">
      <w:pPr>
        <w:jc w:val="both"/>
        <w:rPr>
          <w:rFonts w:ascii="Arial" w:eastAsia="Garamond" w:hAnsi="Arial" w:cs="Arial"/>
          <w:color w:val="000000"/>
          <w:sz w:val="24"/>
          <w:szCs w:val="24"/>
        </w:rPr>
      </w:pPr>
      <w:r w:rsidRPr="000628EE">
        <w:rPr>
          <w:rFonts w:ascii="Arial" w:hAnsi="Arial" w:cs="Arial"/>
          <w:sz w:val="24"/>
          <w:szCs w:val="24"/>
          <w:lang w:val="es-CO" w:eastAsia="en-US"/>
        </w:rPr>
        <w:t xml:space="preserve">La participación casanareña resultó definitiva en los triunfos de las principales contiendas de la Campaña Libertadora, </w:t>
      </w:r>
      <w:r w:rsidR="006F5FBE" w:rsidRPr="00C62034">
        <w:rPr>
          <w:rFonts w:ascii="Arial" w:eastAsia="Garamond" w:hAnsi="Arial" w:cs="Arial"/>
          <w:color w:val="000000"/>
          <w:sz w:val="24"/>
          <w:szCs w:val="24"/>
        </w:rPr>
        <w:t xml:space="preserve">espacio geopolítico de vital importancia para el proyecto de independencia, al convertirse  </w:t>
      </w:r>
      <w:r w:rsidR="006F5FBE" w:rsidRPr="00C62034">
        <w:rPr>
          <w:rFonts w:ascii="Arial" w:eastAsia="Garamond" w:hAnsi="Arial" w:cs="Arial"/>
          <w:sz w:val="24"/>
          <w:szCs w:val="24"/>
        </w:rPr>
        <w:t>después</w:t>
      </w:r>
      <w:r w:rsidR="006F5FBE" w:rsidRPr="00C62034">
        <w:rPr>
          <w:rFonts w:ascii="Arial" w:eastAsia="Garamond" w:hAnsi="Arial" w:cs="Arial"/>
          <w:color w:val="000000"/>
          <w:sz w:val="24"/>
          <w:szCs w:val="24"/>
        </w:rPr>
        <w:t xml:space="preserve"> de varias batallas, incluida la bat</w:t>
      </w:r>
      <w:r w:rsidR="006F5FBE" w:rsidRPr="00C62034">
        <w:rPr>
          <w:rFonts w:ascii="Arial" w:eastAsia="Garamond" w:hAnsi="Arial" w:cs="Arial"/>
          <w:sz w:val="24"/>
          <w:szCs w:val="24"/>
        </w:rPr>
        <w:t>alla de chire</w:t>
      </w:r>
      <w:r w:rsidR="006F5FBE" w:rsidRPr="00C62034">
        <w:rPr>
          <w:rFonts w:ascii="Arial" w:eastAsia="Garamond" w:hAnsi="Arial" w:cs="Arial"/>
          <w:sz w:val="24"/>
          <w:szCs w:val="24"/>
          <w:vertAlign w:val="superscript"/>
        </w:rPr>
        <w:footnoteReference w:id="3"/>
      </w:r>
      <w:r w:rsidR="006F5FBE" w:rsidRPr="00C62034">
        <w:rPr>
          <w:rFonts w:ascii="Arial" w:eastAsia="Garamond" w:hAnsi="Arial" w:cs="Arial"/>
          <w:sz w:val="24"/>
          <w:szCs w:val="24"/>
        </w:rPr>
        <w:t xml:space="preserve">, </w:t>
      </w:r>
      <w:r w:rsidR="006F5FBE" w:rsidRPr="00C62034">
        <w:rPr>
          <w:rFonts w:ascii="Arial" w:eastAsia="Garamond" w:hAnsi="Arial" w:cs="Arial"/>
          <w:color w:val="000000"/>
          <w:sz w:val="24"/>
          <w:szCs w:val="24"/>
        </w:rPr>
        <w:t>en el centro estratégico de operaciones del ejército patriota, refugio y santuario de las ideas de libertad y orden republicano</w:t>
      </w:r>
      <w:r w:rsidR="006F5FBE" w:rsidRPr="00C62034">
        <w:rPr>
          <w:rFonts w:ascii="Arial" w:eastAsia="Garamond" w:hAnsi="Arial" w:cs="Arial"/>
          <w:color w:val="000000"/>
          <w:sz w:val="24"/>
          <w:szCs w:val="24"/>
          <w:vertAlign w:val="superscript"/>
        </w:rPr>
        <w:footnoteReference w:id="4"/>
      </w:r>
      <w:r w:rsidR="006F5FBE" w:rsidRPr="00C62034">
        <w:rPr>
          <w:rFonts w:ascii="Arial" w:eastAsia="Garamond" w:hAnsi="Arial" w:cs="Arial"/>
          <w:color w:val="000000"/>
          <w:sz w:val="24"/>
          <w:szCs w:val="24"/>
        </w:rPr>
        <w:t xml:space="preserve">. </w:t>
      </w:r>
      <w:r w:rsidR="00C62034">
        <w:rPr>
          <w:rFonts w:ascii="Arial" w:eastAsia="Garamond" w:hAnsi="Arial" w:cs="Arial"/>
          <w:color w:val="000000"/>
          <w:sz w:val="24"/>
          <w:szCs w:val="24"/>
        </w:rPr>
        <w:t xml:space="preserve">Es importante resaltar las batallas que se </w:t>
      </w:r>
      <w:r w:rsidRPr="000628EE">
        <w:rPr>
          <w:rFonts w:ascii="Arial" w:hAnsi="Arial" w:cs="Arial"/>
          <w:sz w:val="24"/>
          <w:szCs w:val="24"/>
          <w:lang w:val="es-CO" w:eastAsia="en-US"/>
        </w:rPr>
        <w:t xml:space="preserve"> dieron el 27 de junio en las Termopilas de Paya, posteriormente el 10 y 11 de julio en Gámeza y Tó</w:t>
      </w:r>
      <w:r w:rsidR="006F5FBE" w:rsidRPr="00C62034">
        <w:rPr>
          <w:rFonts w:ascii="Arial" w:hAnsi="Arial" w:cs="Arial"/>
          <w:sz w:val="24"/>
          <w:szCs w:val="24"/>
          <w:lang w:val="es-CO" w:eastAsia="en-US"/>
        </w:rPr>
        <w:t>paga y el encuentro de Corrales.</w:t>
      </w:r>
      <w:r w:rsidR="006F5FBE" w:rsidRPr="00C62034">
        <w:rPr>
          <w:rFonts w:ascii="Arial" w:eastAsia="Garamond" w:hAnsi="Arial" w:cs="Arial"/>
          <w:color w:val="000000"/>
          <w:sz w:val="24"/>
          <w:szCs w:val="24"/>
        </w:rPr>
        <w:t xml:space="preserve"> </w:t>
      </w:r>
    </w:p>
    <w:p w14:paraId="6696BB04" w14:textId="6308843D" w:rsidR="006F5FBE" w:rsidRPr="00C62034" w:rsidRDefault="006F5FBE" w:rsidP="0048029C">
      <w:pPr>
        <w:jc w:val="both"/>
        <w:rPr>
          <w:rFonts w:ascii="Arial" w:hAnsi="Arial" w:cs="Arial"/>
          <w:sz w:val="24"/>
          <w:szCs w:val="24"/>
          <w:lang w:val="es-CO" w:eastAsia="en-US"/>
        </w:rPr>
      </w:pPr>
      <w:r w:rsidRPr="00C62034">
        <w:rPr>
          <w:rFonts w:ascii="Arial" w:eastAsia="Garamond" w:hAnsi="Arial" w:cs="Arial"/>
          <w:color w:val="000000"/>
          <w:sz w:val="24"/>
          <w:szCs w:val="24"/>
        </w:rPr>
        <w:t>Esta heroica participación se consolidó el 22 de Junio de 1819, en la ciudad de Pore, momento en el cual el contingente neogranadino en cabeza del General Santander (aproximadamente 1.200 hombres) se une con las tropas al mando del libertador Simón Bolívar</w:t>
      </w:r>
      <w:r w:rsidRPr="00C62034">
        <w:rPr>
          <w:rFonts w:ascii="Arial" w:eastAsia="Garamond" w:hAnsi="Arial" w:cs="Arial"/>
          <w:color w:val="000000"/>
          <w:sz w:val="24"/>
          <w:szCs w:val="24"/>
          <w:vertAlign w:val="superscript"/>
        </w:rPr>
        <w:footnoteReference w:id="5"/>
      </w:r>
      <w:r w:rsidRPr="00C62034">
        <w:rPr>
          <w:rFonts w:ascii="Arial" w:eastAsia="Garamond" w:hAnsi="Arial" w:cs="Arial"/>
          <w:color w:val="000000"/>
          <w:sz w:val="24"/>
          <w:szCs w:val="24"/>
        </w:rPr>
        <w:t>. Desde allí el ejército patriota, compuesto por unos 2500 hombres, tomó rumbo por el camino real de Tocaría, Nunchía, Morcote, Paya, Pisba.</w:t>
      </w:r>
    </w:p>
    <w:p w14:paraId="00000010" w14:textId="362DBFA8" w:rsidR="007C24A7" w:rsidRPr="00FF459E" w:rsidRDefault="00C62034" w:rsidP="00C62034">
      <w:pPr>
        <w:jc w:val="both"/>
        <w:rPr>
          <w:rFonts w:ascii="Arial" w:hAnsi="Arial" w:cs="Arial"/>
          <w:sz w:val="24"/>
          <w:szCs w:val="24"/>
          <w:lang w:val="es-CO" w:eastAsia="en-US"/>
        </w:rPr>
      </w:pPr>
      <w:r w:rsidRPr="00C62034">
        <w:rPr>
          <w:rFonts w:ascii="Arial" w:eastAsia="Garamond" w:hAnsi="Arial" w:cs="Arial"/>
          <w:color w:val="000000"/>
          <w:sz w:val="24"/>
          <w:szCs w:val="24"/>
        </w:rPr>
        <w:t>Dicha importancia quedó ratificada en el apoyo y resguardo que los casanareños brindaron al ejército patriota durante su paso y estadía por estas tierras, rumbo a su vict</w:t>
      </w:r>
      <w:r>
        <w:rPr>
          <w:rFonts w:ascii="Arial" w:eastAsia="Garamond" w:hAnsi="Arial" w:cs="Arial"/>
          <w:color w:val="000000"/>
          <w:sz w:val="24"/>
          <w:szCs w:val="24"/>
        </w:rPr>
        <w:t>oria sobre las tropas realistas,</w:t>
      </w:r>
      <w:r w:rsidRPr="00C62034">
        <w:rPr>
          <w:rFonts w:ascii="Arial" w:eastAsia="Garamond" w:hAnsi="Arial" w:cs="Arial"/>
          <w:color w:val="000000"/>
          <w:sz w:val="24"/>
          <w:szCs w:val="24"/>
        </w:rPr>
        <w:t xml:space="preserve"> hasta llegar al lugar de las batallas estratégicas del Pantano de Vargas y Puente de Boyacá</w:t>
      </w:r>
      <w:r w:rsidR="00FF459E">
        <w:rPr>
          <w:rFonts w:ascii="Arial" w:hAnsi="Arial" w:cs="Arial"/>
          <w:sz w:val="24"/>
          <w:szCs w:val="24"/>
          <w:lang w:val="es-CO" w:eastAsia="en-US"/>
        </w:rPr>
        <w:t>. L</w:t>
      </w:r>
      <w:r w:rsidR="000628EE" w:rsidRPr="000628EE">
        <w:rPr>
          <w:rFonts w:ascii="Arial" w:hAnsi="Arial" w:cs="Arial"/>
          <w:sz w:val="24"/>
          <w:szCs w:val="24"/>
          <w:lang w:val="es-CO" w:eastAsia="en-US"/>
        </w:rPr>
        <w:t>os llaneros mostraron su fortaleza y su arraigo, convenci</w:t>
      </w:r>
      <w:r w:rsidRPr="00FF459E">
        <w:rPr>
          <w:rFonts w:ascii="Arial" w:hAnsi="Arial" w:cs="Arial"/>
          <w:sz w:val="24"/>
          <w:szCs w:val="24"/>
          <w:lang w:val="es-CO" w:eastAsia="en-US"/>
        </w:rPr>
        <w:t>miento y destrezas militares y su</w:t>
      </w:r>
      <w:r w:rsidR="000628EE" w:rsidRPr="000628EE">
        <w:rPr>
          <w:rFonts w:ascii="Arial" w:hAnsi="Arial" w:cs="Arial"/>
          <w:sz w:val="24"/>
          <w:szCs w:val="24"/>
          <w:lang w:val="es-CO" w:eastAsia="en-US"/>
        </w:rPr>
        <w:t xml:space="preserve"> contribución para la resiliencia del ejército patriota; posteriormente el aporte de hombres en la Batalla de Bonza el 4 de agosto, y el triunfo definitivo del 7 de agosto de 1819 en el glorioso campo del Puente de Boyacá.</w:t>
      </w:r>
    </w:p>
    <w:p w14:paraId="76476D47" w14:textId="7182FE70" w:rsidR="0013019A" w:rsidRDefault="00EC532D" w:rsidP="00E754B3">
      <w:pPr>
        <w:pBdr>
          <w:top w:val="nil"/>
          <w:left w:val="nil"/>
          <w:bottom w:val="nil"/>
          <w:right w:val="nil"/>
          <w:between w:val="nil"/>
        </w:pBdr>
        <w:jc w:val="both"/>
        <w:rPr>
          <w:rFonts w:ascii="Arial" w:eastAsia="Times New Roman" w:hAnsi="Arial" w:cs="Arial"/>
          <w:sz w:val="24"/>
          <w:szCs w:val="24"/>
        </w:rPr>
      </w:pPr>
      <w:r w:rsidRPr="00C62034">
        <w:rPr>
          <w:rFonts w:ascii="Arial" w:eastAsia="Garamond" w:hAnsi="Arial" w:cs="Arial"/>
          <w:color w:val="000000"/>
          <w:sz w:val="24"/>
          <w:szCs w:val="24"/>
        </w:rPr>
        <w:t>Entre el amplio y diverso conjunto de héroes y heroínas que contribuyeron a este esfuerzo, destaca el nombre de un insigne oficial pa</w:t>
      </w:r>
      <w:r w:rsidR="007B007F" w:rsidRPr="00C62034">
        <w:rPr>
          <w:rFonts w:ascii="Arial" w:eastAsia="Garamond" w:hAnsi="Arial" w:cs="Arial"/>
          <w:color w:val="000000"/>
          <w:sz w:val="24"/>
          <w:szCs w:val="24"/>
        </w:rPr>
        <w:t>triota, Juan Nepomuceno Moreno</w:t>
      </w:r>
      <w:r w:rsidR="0013019A">
        <w:rPr>
          <w:rFonts w:ascii="Arial" w:eastAsia="Garamond" w:hAnsi="Arial" w:cs="Arial"/>
          <w:color w:val="000000"/>
          <w:sz w:val="24"/>
          <w:szCs w:val="24"/>
        </w:rPr>
        <w:t xml:space="preserve">. </w:t>
      </w:r>
      <w:r w:rsidR="0013019A" w:rsidRPr="0013019A">
        <w:rPr>
          <w:rFonts w:ascii="Arial" w:eastAsia="Times New Roman" w:hAnsi="Arial" w:cs="Arial"/>
          <w:sz w:val="24"/>
          <w:szCs w:val="24"/>
        </w:rPr>
        <w:t>Sus hazañas militares constituyeron el punto de partida de la triunfante carrera política del ge</w:t>
      </w:r>
      <w:r w:rsidR="0013019A" w:rsidRPr="0013019A">
        <w:rPr>
          <w:rFonts w:ascii="Cambria" w:eastAsia="Times New Roman" w:hAnsi="Cambria" w:cs="Times New Roman"/>
          <w:sz w:val="28"/>
          <w:szCs w:val="28"/>
        </w:rPr>
        <w:t>neral</w:t>
      </w:r>
      <w:r w:rsidR="0013019A" w:rsidRPr="0013019A">
        <w:rPr>
          <w:rFonts w:ascii="Arial" w:eastAsia="Times New Roman" w:hAnsi="Arial" w:cs="Arial"/>
          <w:sz w:val="24"/>
          <w:szCs w:val="24"/>
        </w:rPr>
        <w:t xml:space="preserve">. Rudo y estratega, luchó en 1814 contra los españoles en Arauca y el 31 de enero de 1815 participó en la batalla de Guasdualito. Dos años más tarde, cuando era Gobernador de Casanare se negó a someterse a Rafael Urdaneta a quien el presidente Fernández de la Madrid, en Santa Fe, nombrara comandante del ejército patriota en los Llanos. Aceptó la decisión adoptada por </w:t>
      </w:r>
      <w:smartTag w:uri="urn:schemas-microsoft-com:office:smarttags" w:element="PersonName">
        <w:smartTagPr>
          <w:attr w:name="ProductID" w:val="la Junta"/>
        </w:smartTagPr>
        <w:r w:rsidR="0013019A" w:rsidRPr="0013019A">
          <w:rPr>
            <w:rFonts w:ascii="Arial" w:eastAsia="Times New Roman" w:hAnsi="Arial" w:cs="Arial"/>
            <w:sz w:val="24"/>
            <w:szCs w:val="24"/>
          </w:rPr>
          <w:t>la Junta</w:t>
        </w:r>
      </w:smartTag>
      <w:r w:rsidR="0013019A" w:rsidRPr="0013019A">
        <w:rPr>
          <w:rFonts w:ascii="Arial" w:eastAsia="Times New Roman" w:hAnsi="Arial" w:cs="Arial"/>
          <w:sz w:val="24"/>
          <w:szCs w:val="24"/>
        </w:rPr>
        <w:t xml:space="preserve"> de Arauca el 16 de julio de 1816 de nombrar a Santander comandante en jefe del ejército. Cuando el ejército se replegó hacia Venezuela, Moreno se unió a la retirada poniéndose del lado de Páez luego del golpe dado por éste el 16 de septiembre en Trinidad. </w:t>
      </w:r>
    </w:p>
    <w:p w14:paraId="094E21B1" w14:textId="33A4B998" w:rsidR="0013019A" w:rsidRPr="00C62034" w:rsidRDefault="0013019A" w:rsidP="00E754B3">
      <w:pPr>
        <w:pBdr>
          <w:top w:val="nil"/>
          <w:left w:val="nil"/>
          <w:bottom w:val="nil"/>
          <w:right w:val="nil"/>
          <w:between w:val="nil"/>
        </w:pBdr>
        <w:jc w:val="both"/>
        <w:rPr>
          <w:rFonts w:ascii="Arial" w:eastAsia="Garamond" w:hAnsi="Arial" w:cs="Arial"/>
          <w:color w:val="000000"/>
          <w:sz w:val="24"/>
          <w:szCs w:val="24"/>
        </w:rPr>
      </w:pPr>
      <w:r w:rsidRPr="0013019A">
        <w:rPr>
          <w:rFonts w:ascii="Arial" w:eastAsia="Times New Roman" w:hAnsi="Arial" w:cs="Arial"/>
          <w:sz w:val="24"/>
          <w:szCs w:val="24"/>
        </w:rPr>
        <w:t xml:space="preserve">Participó en la batalla de Yagual (octubre 8, 1816) y en la de Achaguas (octubre 13, 1816). En abril de 1817, luego de la victoria de Galea </w:t>
      </w:r>
      <w:r>
        <w:rPr>
          <w:rFonts w:ascii="Arial" w:eastAsia="Times New Roman" w:hAnsi="Arial" w:cs="Arial"/>
          <w:sz w:val="24"/>
          <w:szCs w:val="24"/>
        </w:rPr>
        <w:t xml:space="preserve">sobre los españoles en Casanare. </w:t>
      </w:r>
      <w:r w:rsidRPr="0013019A">
        <w:rPr>
          <w:rFonts w:ascii="Arial" w:eastAsia="Times New Roman" w:hAnsi="Arial" w:cs="Arial"/>
          <w:sz w:val="24"/>
          <w:szCs w:val="24"/>
        </w:rPr>
        <w:t xml:space="preserve"> </w:t>
      </w:r>
      <w:r w:rsidR="007B007F" w:rsidRPr="00C62034">
        <w:rPr>
          <w:rFonts w:ascii="Arial" w:eastAsia="Garamond" w:hAnsi="Arial" w:cs="Arial"/>
          <w:color w:val="000000"/>
          <w:sz w:val="24"/>
          <w:szCs w:val="24"/>
        </w:rPr>
        <w:t xml:space="preserve"> El general Santander  actuando como comandante en jefe del Ejército del Casanare y de esta provincia  (por nombramiento del General Bolívar del 3 de octubre de 1818), </w:t>
      </w:r>
      <w:r w:rsidR="00B91321" w:rsidRPr="00C62034">
        <w:rPr>
          <w:rFonts w:ascii="Arial" w:eastAsia="Garamond" w:hAnsi="Arial" w:cs="Arial"/>
          <w:color w:val="000000"/>
          <w:sz w:val="24"/>
          <w:szCs w:val="24"/>
        </w:rPr>
        <w:t>llegó</w:t>
      </w:r>
      <w:r w:rsidR="007B007F" w:rsidRPr="00C62034">
        <w:rPr>
          <w:rFonts w:ascii="Arial" w:eastAsia="Garamond" w:hAnsi="Arial" w:cs="Arial"/>
          <w:color w:val="000000"/>
          <w:sz w:val="24"/>
          <w:szCs w:val="24"/>
        </w:rPr>
        <w:t xml:space="preserve"> a Guanapalo el 2 de diciembre de 1818 y confirmó  al teniente coronel Moreno en el cargo de gobernador político de </w:t>
      </w:r>
      <w:r w:rsidR="00756D7C">
        <w:rPr>
          <w:rFonts w:ascii="Arial" w:eastAsia="Garamond" w:hAnsi="Arial" w:cs="Arial"/>
          <w:color w:val="000000"/>
          <w:sz w:val="24"/>
          <w:szCs w:val="24"/>
        </w:rPr>
        <w:t>l</w:t>
      </w:r>
      <w:r w:rsidR="007B007F" w:rsidRPr="00C62034">
        <w:rPr>
          <w:rFonts w:ascii="Arial" w:eastAsia="Garamond" w:hAnsi="Arial" w:cs="Arial"/>
          <w:color w:val="000000"/>
          <w:sz w:val="24"/>
          <w:szCs w:val="24"/>
        </w:rPr>
        <w:t>a</w:t>
      </w:r>
      <w:r w:rsidR="00B91321" w:rsidRPr="00C62034">
        <w:rPr>
          <w:rFonts w:ascii="Arial" w:eastAsia="Garamond" w:hAnsi="Arial" w:cs="Arial"/>
          <w:color w:val="000000"/>
          <w:sz w:val="24"/>
          <w:szCs w:val="24"/>
        </w:rPr>
        <w:t xml:space="preserve"> provincia del Casanare, en consideración</w:t>
      </w:r>
      <w:r w:rsidR="007B007F" w:rsidRPr="00C62034">
        <w:rPr>
          <w:rFonts w:ascii="Arial" w:eastAsia="Garamond" w:hAnsi="Arial" w:cs="Arial"/>
          <w:color w:val="000000"/>
          <w:sz w:val="24"/>
          <w:szCs w:val="24"/>
        </w:rPr>
        <w:t xml:space="preserve"> al “buen </w:t>
      </w:r>
      <w:r w:rsidR="00EC532D" w:rsidRPr="00C62034">
        <w:rPr>
          <w:rFonts w:ascii="Arial" w:eastAsia="Garamond" w:hAnsi="Arial" w:cs="Arial"/>
          <w:color w:val="000000"/>
          <w:sz w:val="24"/>
          <w:szCs w:val="24"/>
        </w:rPr>
        <w:t xml:space="preserve">por orden del General </w:t>
      </w:r>
      <w:r w:rsidR="00EC532D" w:rsidRPr="00C62034">
        <w:rPr>
          <w:rFonts w:ascii="Arial" w:eastAsia="Garamond" w:hAnsi="Arial" w:cs="Arial"/>
          <w:sz w:val="24"/>
          <w:szCs w:val="24"/>
        </w:rPr>
        <w:t>Bolívar</w:t>
      </w:r>
      <w:r w:rsidR="00EC532D" w:rsidRPr="00C62034">
        <w:rPr>
          <w:rFonts w:ascii="Arial" w:eastAsia="Garamond" w:hAnsi="Arial" w:cs="Arial"/>
          <w:color w:val="000000"/>
          <w:sz w:val="24"/>
          <w:szCs w:val="24"/>
        </w:rPr>
        <w:t>, llegó al Casanare con el propósito de ejercer como gobernador General de la Provincia para contener la arremetida de las tropas patriotas. La participación en la Gesta Independencia de Moreno se amplió después, al unirse al Ejército Libertador en Tame el 11 de Junio de 1819, participando de la campaña hasta la batalla decisiva en Boyacá</w:t>
      </w:r>
      <w:r w:rsidR="00EC532D" w:rsidRPr="00C62034">
        <w:rPr>
          <w:rFonts w:ascii="Arial" w:eastAsia="Garamond" w:hAnsi="Arial" w:cs="Arial"/>
          <w:color w:val="000000"/>
          <w:sz w:val="24"/>
          <w:szCs w:val="24"/>
          <w:vertAlign w:val="superscript"/>
        </w:rPr>
        <w:footnoteReference w:id="6"/>
      </w:r>
      <w:r w:rsidR="00EC532D" w:rsidRPr="00C62034">
        <w:rPr>
          <w:rFonts w:ascii="Arial" w:eastAsia="Garamond" w:hAnsi="Arial" w:cs="Arial"/>
          <w:color w:val="000000"/>
          <w:sz w:val="24"/>
          <w:szCs w:val="24"/>
        </w:rPr>
        <w:t>. También participó posteriormente en la Batalla de Carabobo y el sitio a Puerto Cabello en 1823, antes de retornar a su tierra natal en Casanare.  </w:t>
      </w:r>
    </w:p>
    <w:p w14:paraId="3DA7E281" w14:textId="31747EC1" w:rsidR="00FA18CB" w:rsidRPr="005677DA" w:rsidRDefault="00EC532D" w:rsidP="00E754B3">
      <w:pPr>
        <w:jc w:val="both"/>
        <w:rPr>
          <w:rFonts w:ascii="Arial" w:eastAsia="Garamond" w:hAnsi="Arial" w:cs="Arial"/>
          <w:sz w:val="24"/>
          <w:szCs w:val="24"/>
        </w:rPr>
      </w:pPr>
      <w:r w:rsidRPr="00C62034">
        <w:rPr>
          <w:rFonts w:ascii="Arial" w:eastAsia="Garamond" w:hAnsi="Arial" w:cs="Arial"/>
          <w:sz w:val="24"/>
          <w:szCs w:val="24"/>
        </w:rPr>
        <w:t>A pesar de la gran contribución de este prócer llanero a la independencia, los libros de historia no han rescatado la figura de este y otros héroes y heroínas casanareños, sin cuyo esfuerzo y dedicación el sueño de la libertad y la República no hubiese sido posible. Evidencia de esta carencia en el reconocimiento e investigación de las contribuciones llaneras a la gesta libertadora se destacan, entre otras, el desconocimiento de los impactos ideológicos y políticos que tuvo la Proclama de Pore sobre el espíritu de la campaña libertadora y los reconocimientos que dicho documento hace al Gobernador de la provincia de Casanare, Juan Nepomuceno Moreno, así como el desconocimiento de los impactos que en la economía y la sociedad tuvo este proceso de gran importancia para el nacimiento de la República.</w:t>
      </w:r>
    </w:p>
    <w:p w14:paraId="5A206B38" w14:textId="04A72AC7" w:rsidR="00E754B3" w:rsidRPr="00C62034" w:rsidRDefault="00AD516C" w:rsidP="000628EE">
      <w:pPr>
        <w:pStyle w:val="Prrafodelista"/>
        <w:numPr>
          <w:ilvl w:val="0"/>
          <w:numId w:val="2"/>
        </w:numPr>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 xml:space="preserve">Marco Jurídico </w:t>
      </w:r>
    </w:p>
    <w:p w14:paraId="74FC3268" w14:textId="77777777" w:rsidR="001A17D9" w:rsidRPr="00C62034" w:rsidRDefault="001A17D9" w:rsidP="001A17D9">
      <w:pPr>
        <w:pStyle w:val="Prrafodelista"/>
        <w:jc w:val="both"/>
        <w:rPr>
          <w:rFonts w:ascii="Arial" w:eastAsia="Times New Roman" w:hAnsi="Arial" w:cs="Arial"/>
          <w:b/>
          <w:sz w:val="24"/>
          <w:szCs w:val="24"/>
          <w:lang w:val="es-CO" w:eastAsia="es-CO"/>
        </w:rPr>
      </w:pPr>
    </w:p>
    <w:p w14:paraId="452B167B" w14:textId="77777777" w:rsidR="00B714C8" w:rsidRPr="00C62034" w:rsidRDefault="00B714C8" w:rsidP="00B714C8">
      <w:pPr>
        <w:pStyle w:val="Prrafodelista"/>
        <w:numPr>
          <w:ilvl w:val="0"/>
          <w:numId w:val="5"/>
        </w:numPr>
        <w:jc w:val="both"/>
        <w:rPr>
          <w:rFonts w:ascii="Arial" w:eastAsia="Times New Roman" w:hAnsi="Arial" w:cs="Arial"/>
          <w:b/>
          <w:sz w:val="24"/>
          <w:szCs w:val="24"/>
          <w:lang w:val="es-CO" w:eastAsia="es-CO"/>
        </w:rPr>
      </w:pPr>
      <w:r w:rsidRPr="00C62034">
        <w:rPr>
          <w:rFonts w:ascii="Arial" w:eastAsia="Times New Roman" w:hAnsi="Arial" w:cs="Arial"/>
          <w:b/>
          <w:sz w:val="24"/>
          <w:szCs w:val="24"/>
          <w:lang w:val="es-CO" w:eastAsia="es-CO"/>
        </w:rPr>
        <w:t>Aspectos Constitucionales</w:t>
      </w:r>
    </w:p>
    <w:p w14:paraId="47CC2CD6" w14:textId="2BC66422" w:rsidR="00B714C8" w:rsidRPr="00C62034" w:rsidRDefault="001A17D9" w:rsidP="00B714C8">
      <w:pPr>
        <w:ind w:left="360"/>
        <w:jc w:val="both"/>
        <w:rPr>
          <w:rFonts w:ascii="Arial" w:eastAsia="Times New Roman" w:hAnsi="Arial" w:cs="Arial"/>
          <w:sz w:val="24"/>
          <w:szCs w:val="24"/>
          <w:lang w:val="es-CO" w:eastAsia="es-CO"/>
        </w:rPr>
      </w:pPr>
      <w:r w:rsidRPr="00C62034">
        <w:rPr>
          <w:rFonts w:ascii="Arial" w:eastAsia="Times New Roman" w:hAnsi="Arial" w:cs="Arial"/>
          <w:sz w:val="24"/>
          <w:szCs w:val="24"/>
          <w:lang w:val="es-CO" w:eastAsia="es-CO"/>
        </w:rPr>
        <w:t>Artículo 150º. Corresponde al Congreso hacer las leyes . Por medio de ellas ejerce las siguientes funciones…</w:t>
      </w:r>
    </w:p>
    <w:p w14:paraId="5D51460B" w14:textId="7A078CE2" w:rsidR="00D47235" w:rsidRPr="00C62034" w:rsidRDefault="001A17D9" w:rsidP="00D47235">
      <w:pPr>
        <w:jc w:val="both"/>
        <w:rPr>
          <w:rFonts w:ascii="Arial" w:eastAsia="Garamond" w:hAnsi="Arial" w:cs="Arial"/>
          <w:sz w:val="24"/>
          <w:szCs w:val="24"/>
        </w:rPr>
      </w:pPr>
      <w:r w:rsidRPr="00C62034">
        <w:rPr>
          <w:rFonts w:ascii="Arial" w:eastAsia="Garamond" w:hAnsi="Arial" w:cs="Arial"/>
          <w:sz w:val="24"/>
          <w:szCs w:val="24"/>
          <w:lang w:val="es-CO"/>
        </w:rPr>
        <w:t>…</w:t>
      </w:r>
      <w:r w:rsidR="00D47235" w:rsidRPr="00C62034">
        <w:rPr>
          <w:rFonts w:ascii="Arial" w:eastAsia="Garamond" w:hAnsi="Arial" w:cs="Arial"/>
          <w:sz w:val="24"/>
          <w:szCs w:val="24"/>
        </w:rPr>
        <w:t>15, las de decretar honores a los pueblos y ciudadanos que hayan prestado servicios a la Patria.</w:t>
      </w:r>
    </w:p>
    <w:p w14:paraId="57C4A60D" w14:textId="018205AF" w:rsidR="00B714C8" w:rsidRPr="00C62034" w:rsidRDefault="00B714C8" w:rsidP="00B714C8">
      <w:pPr>
        <w:pStyle w:val="Prrafodelista"/>
        <w:numPr>
          <w:ilvl w:val="0"/>
          <w:numId w:val="5"/>
        </w:numPr>
        <w:jc w:val="both"/>
        <w:rPr>
          <w:rFonts w:ascii="Arial" w:eastAsia="Garamond" w:hAnsi="Arial" w:cs="Arial"/>
          <w:b/>
          <w:sz w:val="24"/>
          <w:szCs w:val="24"/>
        </w:rPr>
      </w:pPr>
      <w:r w:rsidRPr="00C62034">
        <w:rPr>
          <w:rFonts w:ascii="Arial" w:eastAsia="Garamond" w:hAnsi="Arial" w:cs="Arial"/>
          <w:b/>
          <w:sz w:val="24"/>
          <w:szCs w:val="24"/>
        </w:rPr>
        <w:t xml:space="preserve">Aspectos Legales </w:t>
      </w:r>
    </w:p>
    <w:p w14:paraId="6C57DB39" w14:textId="672FA832" w:rsidR="00B714C8" w:rsidRPr="00C62034" w:rsidRDefault="00B714C8" w:rsidP="00B714C8">
      <w:pPr>
        <w:jc w:val="both"/>
        <w:rPr>
          <w:rFonts w:ascii="Arial" w:eastAsia="Garamond" w:hAnsi="Arial" w:cs="Arial"/>
          <w:color w:val="000000"/>
          <w:sz w:val="24"/>
          <w:szCs w:val="24"/>
        </w:rPr>
      </w:pPr>
      <w:r w:rsidRPr="00C62034">
        <w:rPr>
          <w:rFonts w:ascii="Arial" w:eastAsia="Garamond" w:hAnsi="Arial" w:cs="Arial"/>
          <w:sz w:val="24"/>
          <w:szCs w:val="24"/>
        </w:rPr>
        <w:t>Ley 1916 de 2018</w:t>
      </w:r>
      <w:r w:rsidRPr="00C62034">
        <w:rPr>
          <w:rFonts w:ascii="Arial" w:eastAsia="Garamond" w:hAnsi="Arial" w:cs="Arial"/>
          <w:color w:val="000000"/>
          <w:sz w:val="24"/>
          <w:szCs w:val="24"/>
        </w:rPr>
        <w:t>“</w:t>
      </w:r>
      <w:r w:rsidRPr="00C62034">
        <w:rPr>
          <w:rFonts w:ascii="Arial" w:eastAsia="Garamond" w:hAnsi="Arial" w:cs="Arial"/>
          <w:i/>
          <w:color w:val="000000"/>
          <w:sz w:val="24"/>
          <w:szCs w:val="24"/>
        </w:rPr>
        <w:t>por medio de la cual la nación se vincula a la celebración de la Campaña libertadora de 1819 y se dictan otras disposiciones</w:t>
      </w:r>
      <w:r w:rsidRPr="00C62034">
        <w:rPr>
          <w:rFonts w:ascii="Arial" w:eastAsia="Garamond" w:hAnsi="Arial" w:cs="Arial"/>
          <w:color w:val="000000"/>
          <w:sz w:val="24"/>
          <w:szCs w:val="24"/>
        </w:rPr>
        <w:t>”</w:t>
      </w:r>
    </w:p>
    <w:p w14:paraId="2A54797B" w14:textId="0CE62AA8" w:rsidR="00B714C8" w:rsidRPr="00D111C3" w:rsidRDefault="00D111C3" w:rsidP="00B714C8">
      <w:pPr>
        <w:jc w:val="both"/>
        <w:rPr>
          <w:rFonts w:ascii="Arial" w:eastAsia="Garamond" w:hAnsi="Arial" w:cs="Arial"/>
          <w:color w:val="000000"/>
          <w:sz w:val="24"/>
          <w:szCs w:val="24"/>
        </w:rPr>
      </w:pPr>
      <w:r>
        <w:rPr>
          <w:rFonts w:ascii="Arial" w:eastAsia="Garamond" w:hAnsi="Arial" w:cs="Arial"/>
          <w:color w:val="000000"/>
          <w:sz w:val="24"/>
          <w:szCs w:val="24"/>
        </w:rPr>
        <w:t>Decreto</w:t>
      </w:r>
      <w:r w:rsidR="00B714C8" w:rsidRPr="00C62034">
        <w:rPr>
          <w:rFonts w:ascii="Arial" w:eastAsia="Garamond" w:hAnsi="Arial" w:cs="Arial"/>
          <w:color w:val="000000"/>
          <w:sz w:val="24"/>
          <w:szCs w:val="24"/>
        </w:rPr>
        <w:t xml:space="preserve"> 748 de 2018 “mediante el cual crea la comisión de expertos para la conmemoración del bicentenario de la independencia Nacional”</w:t>
      </w:r>
    </w:p>
    <w:p w14:paraId="3C550236" w14:textId="4C34639B" w:rsidR="001C68CD" w:rsidRPr="00C62034" w:rsidRDefault="00D111C3" w:rsidP="001C68CD">
      <w:pPr>
        <w:jc w:val="both"/>
        <w:rPr>
          <w:rFonts w:ascii="Arial" w:hAnsi="Arial" w:cs="Arial"/>
          <w:sz w:val="24"/>
          <w:szCs w:val="24"/>
          <w:lang w:eastAsia="en-US"/>
        </w:rPr>
      </w:pPr>
      <w:r>
        <w:rPr>
          <w:rFonts w:ascii="Arial" w:eastAsia="Times New Roman" w:hAnsi="Arial" w:cs="Arial"/>
          <w:sz w:val="24"/>
          <w:szCs w:val="24"/>
          <w:lang w:val="es-CO" w:eastAsia="es-CO"/>
        </w:rPr>
        <w:t xml:space="preserve">En este sentido, presentó </w:t>
      </w:r>
      <w:r w:rsidR="001C68CD" w:rsidRPr="00C62034">
        <w:rPr>
          <w:rFonts w:ascii="Arial" w:eastAsia="Times New Roman" w:hAnsi="Arial" w:cs="Arial"/>
          <w:sz w:val="24"/>
          <w:szCs w:val="24"/>
          <w:lang w:val="es-CO" w:eastAsia="es-CO"/>
        </w:rPr>
        <w:t xml:space="preserve"> a consideración del Congreso de la Republica este proyecto de ley, para iniciar el trámite </w:t>
      </w:r>
      <w:r w:rsidR="00BD04D8" w:rsidRPr="00C62034">
        <w:rPr>
          <w:rFonts w:ascii="Arial" w:eastAsia="Times New Roman" w:hAnsi="Arial" w:cs="Arial"/>
          <w:sz w:val="24"/>
          <w:szCs w:val="24"/>
          <w:lang w:val="es-CO" w:eastAsia="es-CO"/>
        </w:rPr>
        <w:t>correspondiente.</w:t>
      </w:r>
    </w:p>
    <w:p w14:paraId="49B9E84B" w14:textId="77777777" w:rsidR="003D604A" w:rsidRDefault="003D604A" w:rsidP="00E754B3">
      <w:pPr>
        <w:jc w:val="both"/>
        <w:rPr>
          <w:rFonts w:ascii="Arial" w:eastAsia="Garamond" w:hAnsi="Arial" w:cs="Arial"/>
          <w:sz w:val="24"/>
          <w:szCs w:val="24"/>
        </w:rPr>
      </w:pPr>
    </w:p>
    <w:p w14:paraId="7C115B69" w14:textId="1A26A47F" w:rsidR="003D604A" w:rsidRDefault="003D604A" w:rsidP="00E754B3">
      <w:pPr>
        <w:jc w:val="both"/>
        <w:rPr>
          <w:rFonts w:ascii="Arial" w:eastAsia="Garamond" w:hAnsi="Arial" w:cs="Arial"/>
          <w:sz w:val="24"/>
          <w:szCs w:val="24"/>
        </w:rPr>
      </w:pPr>
      <w:r>
        <w:rPr>
          <w:rFonts w:ascii="Arial" w:eastAsia="Garamond" w:hAnsi="Arial" w:cs="Arial"/>
          <w:sz w:val="24"/>
          <w:szCs w:val="24"/>
        </w:rPr>
        <w:t xml:space="preserve">Cordialmente, </w:t>
      </w:r>
    </w:p>
    <w:p w14:paraId="79D3C507" w14:textId="6B183DCB" w:rsidR="00071713" w:rsidRDefault="00071713" w:rsidP="00E754B3">
      <w:pPr>
        <w:jc w:val="both"/>
        <w:rPr>
          <w:rFonts w:ascii="Arial" w:eastAsia="Garamond" w:hAnsi="Arial" w:cs="Arial"/>
          <w:sz w:val="24"/>
          <w:szCs w:val="24"/>
        </w:rPr>
      </w:pPr>
    </w:p>
    <w:p w14:paraId="6CF12388" w14:textId="75AF67A1" w:rsidR="00CF3488" w:rsidRPr="00071713" w:rsidRDefault="00CF3488" w:rsidP="00CF3488">
      <w:pPr>
        <w:spacing w:after="0" w:line="240" w:lineRule="auto"/>
        <w:rPr>
          <w:rFonts w:ascii="Arial" w:hAnsi="Arial" w:cs="Arial"/>
          <w:sz w:val="20"/>
          <w:szCs w:val="20"/>
          <w:lang w:eastAsia="en-US"/>
        </w:rPr>
      </w:pPr>
    </w:p>
    <w:p w14:paraId="79ECFB02" w14:textId="74DFB66C" w:rsidR="00CF3488" w:rsidRPr="005677DA" w:rsidRDefault="00CF3488" w:rsidP="00CF3488">
      <w:pPr>
        <w:spacing w:after="0" w:line="240" w:lineRule="auto"/>
        <w:rPr>
          <w:rFonts w:ascii="Arial" w:hAnsi="Arial" w:cs="Arial"/>
          <w:b/>
          <w:sz w:val="24"/>
          <w:szCs w:val="24"/>
          <w:lang w:eastAsia="en-US"/>
        </w:rPr>
      </w:pPr>
      <w:r w:rsidRPr="005677DA">
        <w:rPr>
          <w:rFonts w:ascii="Arial" w:hAnsi="Arial" w:cs="Arial"/>
          <w:b/>
          <w:sz w:val="24"/>
          <w:szCs w:val="24"/>
          <w:lang w:eastAsia="en-US"/>
        </w:rPr>
        <w:t>AMANDA ROCIO GONZALEZ</w:t>
      </w:r>
      <w:r w:rsidRPr="005677DA">
        <w:rPr>
          <w:rFonts w:ascii="Arial" w:hAnsi="Arial" w:cs="Arial"/>
          <w:b/>
          <w:sz w:val="24"/>
          <w:szCs w:val="24"/>
          <w:lang w:eastAsia="en-US"/>
        </w:rPr>
        <w:tab/>
      </w:r>
      <w:r w:rsidRPr="005677DA">
        <w:rPr>
          <w:rFonts w:ascii="Arial" w:hAnsi="Arial" w:cs="Arial"/>
          <w:b/>
          <w:sz w:val="24"/>
          <w:szCs w:val="24"/>
          <w:lang w:eastAsia="en-US"/>
        </w:rPr>
        <w:tab/>
      </w:r>
      <w:r w:rsidRPr="005677DA">
        <w:rPr>
          <w:rFonts w:ascii="Arial" w:hAnsi="Arial" w:cs="Arial"/>
          <w:b/>
          <w:sz w:val="24"/>
          <w:szCs w:val="24"/>
          <w:lang w:eastAsia="en-US"/>
        </w:rPr>
        <w:tab/>
      </w:r>
      <w:r w:rsidRPr="005677DA">
        <w:rPr>
          <w:rFonts w:ascii="Arial" w:hAnsi="Arial" w:cs="Arial"/>
          <w:b/>
          <w:sz w:val="24"/>
          <w:szCs w:val="24"/>
          <w:lang w:eastAsia="en-US"/>
        </w:rPr>
        <w:tab/>
      </w:r>
    </w:p>
    <w:p w14:paraId="4C3A8D1D" w14:textId="5DE6A89F" w:rsidR="00071713" w:rsidRDefault="00CF3488" w:rsidP="00CF3488">
      <w:pPr>
        <w:spacing w:after="0" w:line="240" w:lineRule="auto"/>
        <w:rPr>
          <w:rFonts w:ascii="Arial" w:eastAsia="Garamond" w:hAnsi="Arial" w:cs="Arial"/>
          <w:sz w:val="24"/>
          <w:szCs w:val="24"/>
        </w:rPr>
      </w:pPr>
      <w:r w:rsidRPr="005677DA">
        <w:rPr>
          <w:rFonts w:ascii="Arial" w:hAnsi="Arial" w:cs="Arial"/>
          <w:sz w:val="24"/>
          <w:szCs w:val="24"/>
          <w:lang w:eastAsia="en-US"/>
        </w:rPr>
        <w:t>Senadora de la República</w:t>
      </w:r>
      <w:r w:rsidRPr="005677DA">
        <w:rPr>
          <w:rFonts w:ascii="Arial" w:hAnsi="Arial" w:cs="Arial"/>
          <w:sz w:val="24"/>
          <w:szCs w:val="24"/>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p>
    <w:p w14:paraId="7F711884" w14:textId="77777777" w:rsidR="00071713" w:rsidRDefault="00071713" w:rsidP="00E754B3">
      <w:pPr>
        <w:jc w:val="both"/>
        <w:rPr>
          <w:rFonts w:ascii="Arial" w:eastAsia="Garamond" w:hAnsi="Arial" w:cs="Arial"/>
          <w:sz w:val="24"/>
          <w:szCs w:val="24"/>
        </w:rPr>
      </w:pPr>
    </w:p>
    <w:p w14:paraId="64661611" w14:textId="77777777" w:rsidR="00071713" w:rsidRPr="00071713" w:rsidRDefault="00071713" w:rsidP="00071713">
      <w:pPr>
        <w:spacing w:after="0" w:line="240" w:lineRule="auto"/>
        <w:rPr>
          <w:rFonts w:ascii="Arial" w:hAnsi="Arial" w:cs="Arial"/>
          <w:sz w:val="20"/>
          <w:szCs w:val="20"/>
          <w:lang w:eastAsia="en-US"/>
        </w:rPr>
      </w:pPr>
    </w:p>
    <w:sectPr w:rsidR="00071713" w:rsidRPr="00071713" w:rsidSect="00FE7BC6">
      <w:headerReference w:type="default" r:id="rId8"/>
      <w:footerReference w:type="default" r:id="rId9"/>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D271" w14:textId="77777777" w:rsidR="00481334" w:rsidRDefault="00481334">
      <w:pPr>
        <w:spacing w:after="0" w:line="240" w:lineRule="auto"/>
      </w:pPr>
      <w:r>
        <w:separator/>
      </w:r>
    </w:p>
  </w:endnote>
  <w:endnote w:type="continuationSeparator" w:id="0">
    <w:p w14:paraId="1C809912" w14:textId="77777777" w:rsidR="00481334" w:rsidRDefault="0048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CC1D" w14:textId="77777777" w:rsidR="00ED0C11" w:rsidRPr="00ED0C11" w:rsidRDefault="00ED0C11" w:rsidP="00ED0C11">
    <w:pPr>
      <w:tabs>
        <w:tab w:val="center" w:pos="4252"/>
        <w:tab w:val="right" w:pos="8504"/>
      </w:tabs>
      <w:spacing w:after="0" w:line="240" w:lineRule="auto"/>
      <w:jc w:val="center"/>
      <w:rPr>
        <w:rFonts w:ascii="Times New Roman" w:eastAsia="Times New Roman" w:hAnsi="Times New Roman" w:cs="Times New Roman"/>
        <w:sz w:val="24"/>
        <w:szCs w:val="24"/>
      </w:rPr>
    </w:pPr>
    <w:r w:rsidRPr="00ED0C11">
      <w:rPr>
        <w:rFonts w:ascii="Times New Roman" w:eastAsia="Times New Roman" w:hAnsi="Times New Roman" w:cs="Times New Roman"/>
        <w:noProof/>
        <w:sz w:val="24"/>
        <w:szCs w:val="24"/>
        <w:lang w:val="es-CO" w:eastAsia="es-CO"/>
      </w:rPr>
      <w:drawing>
        <wp:inline distT="0" distB="0" distL="0" distR="0" wp14:anchorId="16038D28" wp14:editId="214AEA69">
          <wp:extent cx="3117215" cy="27051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14:paraId="235D4037" w14:textId="77777777" w:rsidR="00ED0C11" w:rsidRPr="00ED0C11" w:rsidRDefault="00ED0C11" w:rsidP="00ED0C11">
    <w:pPr>
      <w:tabs>
        <w:tab w:val="center" w:pos="4252"/>
        <w:tab w:val="right" w:pos="8504"/>
      </w:tabs>
      <w:spacing w:after="0" w:line="240" w:lineRule="auto"/>
      <w:jc w:val="center"/>
      <w:rPr>
        <w:rFonts w:ascii="Gill Sans MT" w:hAnsi="Gill Sans MT" w:cs="Times New Roman"/>
        <w:spacing w:val="60"/>
        <w:sz w:val="16"/>
        <w:szCs w:val="16"/>
        <w:lang w:eastAsia="en-US"/>
      </w:rPr>
    </w:pPr>
    <w:r w:rsidRPr="00ED0C11">
      <w:rPr>
        <w:rFonts w:ascii="Gill Sans MT" w:hAnsi="Gill Sans MT" w:cs="Times New Roman"/>
        <w:spacing w:val="60"/>
        <w:sz w:val="16"/>
        <w:szCs w:val="16"/>
        <w:lang w:eastAsia="en-US"/>
      </w:rPr>
      <w:t>kra 7 No. 8 68 Oficina 702 Edificio Nuevo del Congreso</w:t>
    </w:r>
  </w:p>
  <w:p w14:paraId="4B7542FD" w14:textId="77777777" w:rsidR="00ED0C11" w:rsidRPr="00ED0C11" w:rsidRDefault="00ED0C11" w:rsidP="00ED0C11">
    <w:pPr>
      <w:tabs>
        <w:tab w:val="center" w:pos="4252"/>
        <w:tab w:val="right" w:pos="8504"/>
      </w:tabs>
      <w:spacing w:after="0" w:line="240" w:lineRule="auto"/>
      <w:jc w:val="center"/>
      <w:rPr>
        <w:rFonts w:ascii="Gill Sans MT" w:hAnsi="Gill Sans MT" w:cs="Times New Roman"/>
        <w:spacing w:val="60"/>
        <w:sz w:val="16"/>
        <w:szCs w:val="16"/>
        <w:lang w:eastAsia="en-US"/>
      </w:rPr>
    </w:pPr>
    <w:r w:rsidRPr="00ED0C11">
      <w:rPr>
        <w:rFonts w:ascii="Gill Sans MT" w:hAnsi="Gill Sans MT" w:cs="Times New Roman"/>
        <w:spacing w:val="60"/>
        <w:sz w:val="16"/>
        <w:szCs w:val="16"/>
        <w:lang w:eastAsia="en-US"/>
      </w:rPr>
      <w:t xml:space="preserve">Teléfonos 3823207 3823208 </w:t>
    </w:r>
  </w:p>
  <w:p w14:paraId="6C97C8E9" w14:textId="77777777" w:rsidR="00ED0C11" w:rsidRPr="00ED0C11" w:rsidRDefault="00ED0C11" w:rsidP="00ED0C11">
    <w:pPr>
      <w:tabs>
        <w:tab w:val="center" w:pos="4252"/>
        <w:tab w:val="right" w:pos="8504"/>
      </w:tabs>
      <w:spacing w:after="0" w:line="240" w:lineRule="auto"/>
      <w:jc w:val="center"/>
      <w:rPr>
        <w:rFonts w:ascii="Gill Sans MT" w:hAnsi="Gill Sans MT" w:cs="Times New Roman"/>
        <w:spacing w:val="60"/>
        <w:sz w:val="16"/>
        <w:szCs w:val="16"/>
        <w:lang w:eastAsia="en-US"/>
      </w:rPr>
    </w:pPr>
    <w:r w:rsidRPr="00ED0C11">
      <w:rPr>
        <w:rFonts w:ascii="Gill Sans MT" w:hAnsi="Gill Sans MT" w:cs="Times New Roman"/>
        <w:spacing w:val="60"/>
        <w:sz w:val="16"/>
        <w:szCs w:val="16"/>
        <w:lang w:eastAsia="en-US"/>
      </w:rPr>
      <w:t>utlsenamandagonzalez@gmail.com</w:t>
    </w:r>
  </w:p>
  <w:p w14:paraId="03E930BE" w14:textId="7C874619" w:rsidR="00ED0C11" w:rsidRDefault="00ED0C11" w:rsidP="00ED0C11">
    <w:pPr>
      <w:pStyle w:val="Piedepgina"/>
      <w:jc w:val="center"/>
    </w:pPr>
    <w:r w:rsidRPr="00ED0C11">
      <w:rPr>
        <w:rFonts w:ascii="Gill Sans MT" w:hAnsi="Gill Sans MT" w:cs="Times New Roman"/>
        <w:noProof/>
        <w:spacing w:val="60"/>
        <w:sz w:val="20"/>
        <w:szCs w:val="20"/>
        <w:lang w:val="es-CO" w:eastAsia="es-CO"/>
      </w:rPr>
      <w:drawing>
        <wp:inline distT="0" distB="0" distL="0" distR="0" wp14:anchorId="6C992D95" wp14:editId="4B769AC0">
          <wp:extent cx="4285753" cy="29276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0EC3" w14:textId="77777777" w:rsidR="00481334" w:rsidRDefault="00481334">
      <w:pPr>
        <w:spacing w:after="0" w:line="240" w:lineRule="auto"/>
      </w:pPr>
      <w:r>
        <w:separator/>
      </w:r>
    </w:p>
  </w:footnote>
  <w:footnote w:type="continuationSeparator" w:id="0">
    <w:p w14:paraId="4F772489" w14:textId="77777777" w:rsidR="00481334" w:rsidRDefault="00481334">
      <w:pPr>
        <w:spacing w:after="0" w:line="240" w:lineRule="auto"/>
      </w:pPr>
      <w:r>
        <w:continuationSeparator/>
      </w:r>
    </w:p>
  </w:footnote>
  <w:footnote w:id="1">
    <w:p w14:paraId="5E99E1F1" w14:textId="33F96479" w:rsidR="003C43F3" w:rsidRPr="003C43F3" w:rsidRDefault="003C43F3">
      <w:pPr>
        <w:pStyle w:val="Textonotapie"/>
        <w:rPr>
          <w:lang w:val="es-ES"/>
        </w:rPr>
      </w:pPr>
      <w:r>
        <w:rPr>
          <w:rStyle w:val="Refdenotaalpie"/>
        </w:rPr>
        <w:footnoteRef/>
      </w:r>
      <w:r>
        <w:t xml:space="preserve"> </w:t>
      </w:r>
      <w:r>
        <w:rPr>
          <w:lang w:val="es-ES"/>
        </w:rPr>
        <w:t xml:space="preserve">Castillo </w:t>
      </w:r>
      <w:r w:rsidR="00D111C3">
        <w:rPr>
          <w:lang w:val="es-ES"/>
        </w:rPr>
        <w:t>Barón</w:t>
      </w:r>
      <w:r>
        <w:rPr>
          <w:lang w:val="es-ES"/>
        </w:rPr>
        <w:t>, Nubia y Neiza R Henry. Pore Bicentenario 1818-2018. Editorial Colombia 2018</w:t>
      </w:r>
    </w:p>
  </w:footnote>
  <w:footnote w:id="2">
    <w:p w14:paraId="67035B91"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Herrera, Camilo, (2017) </w:t>
      </w:r>
      <w:r>
        <w:rPr>
          <w:i/>
          <w:sz w:val="20"/>
          <w:szCs w:val="20"/>
        </w:rPr>
        <w:t>Poblamiento histórico de Casanare: reflexiones para una agenda de acción colectiva de ordenamiento democrático del territorio</w:t>
      </w:r>
      <w:r>
        <w:rPr>
          <w:sz w:val="20"/>
          <w:szCs w:val="20"/>
        </w:rPr>
        <w:t>, Universidad Nacional de Colombia, Bogotá D.C.</w:t>
      </w:r>
    </w:p>
  </w:footnote>
  <w:footnote w:id="3">
    <w:p w14:paraId="29F7FEFF"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Rausch, J. M. (1994).</w:t>
      </w:r>
      <w:r>
        <w:rPr>
          <w:i/>
          <w:sz w:val="20"/>
          <w:szCs w:val="20"/>
        </w:rPr>
        <w:t xml:space="preserve"> Una frontera de la sabana tropical los Llanos de Colombia 1531 - 1831</w:t>
      </w:r>
      <w:r>
        <w:rPr>
          <w:sz w:val="20"/>
          <w:szCs w:val="20"/>
        </w:rPr>
        <w:t xml:space="preserve">. Santa Fe de Bogotá: Banco de la Republica. </w:t>
      </w:r>
    </w:p>
  </w:footnote>
  <w:footnote w:id="4">
    <w:p w14:paraId="29FE502F"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Pérez, Eduardo (2005) gauchos y llaneros en la independencia elementos para un referencial comparativo, boletín de historia y antigüedades – vol. XCII no. 830 – septiembre 2005.  Lectura efectuada en la sesión ordinaria del 24 de mayo de 2005 con la cual su autor tomó posesión como Miembro Correspondiente de la Academia Colombiana de Historia</w:t>
      </w:r>
    </w:p>
  </w:footnote>
  <w:footnote w:id="5">
    <w:p w14:paraId="05498BB0"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Huertas, Pedro (2008), “Casanare, Baluarte de la Libertad de América” en: Reseña Histórica de Casanare, Fondo Mixto de Casanare, Yopal, Casanare. Pág 8.</w:t>
      </w:r>
    </w:p>
  </w:footnote>
  <w:footnote w:id="6">
    <w:p w14:paraId="00000029" w14:textId="77777777" w:rsidR="00EE4E2C" w:rsidRDefault="00EE4E2C">
      <w:pPr>
        <w:spacing w:after="0" w:line="240" w:lineRule="auto"/>
        <w:rPr>
          <w:sz w:val="20"/>
          <w:szCs w:val="20"/>
        </w:rPr>
      </w:pPr>
      <w:r>
        <w:rPr>
          <w:vertAlign w:val="superscript"/>
        </w:rPr>
        <w:footnoteRef/>
      </w:r>
      <w:r>
        <w:rPr>
          <w:sz w:val="20"/>
          <w:szCs w:val="20"/>
        </w:rPr>
        <w:t xml:space="preserve"> Fajardo, Hernan (2011),El general casanareño Juan Nepomuceno Moreno hombre fecundo en hechos, Gráficas Carolina, Yopal.</w:t>
      </w:r>
      <w:r>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737C" w14:textId="77777777" w:rsidR="00ED0C11" w:rsidRPr="00ED0C11" w:rsidRDefault="00ED0C11" w:rsidP="00ED0C11">
    <w:pPr>
      <w:tabs>
        <w:tab w:val="center" w:pos="4252"/>
        <w:tab w:val="right" w:pos="8504"/>
      </w:tabs>
      <w:spacing w:after="0" w:line="240" w:lineRule="auto"/>
      <w:jc w:val="center"/>
      <w:rPr>
        <w:rFonts w:ascii="Times New Roman" w:eastAsia="Times New Roman" w:hAnsi="Times New Roman" w:cs="Times New Roman"/>
        <w:sz w:val="24"/>
        <w:szCs w:val="24"/>
      </w:rPr>
    </w:pPr>
    <w:r w:rsidRPr="00ED0C11">
      <w:rPr>
        <w:rFonts w:ascii="Times New Roman" w:eastAsia="Times New Roman" w:hAnsi="Times New Roman" w:cs="Times New Roman"/>
        <w:noProof/>
        <w:sz w:val="24"/>
        <w:szCs w:val="24"/>
        <w:lang w:val="es-CO" w:eastAsia="es-CO"/>
      </w:rPr>
      <w:drawing>
        <wp:inline distT="0" distB="0" distL="0" distR="0" wp14:anchorId="666E203D" wp14:editId="29D7BAB3">
          <wp:extent cx="1256306" cy="29419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14:paraId="368A3B82" w14:textId="77777777" w:rsidR="00ED0C11" w:rsidRPr="00ED0C11" w:rsidRDefault="00ED0C11" w:rsidP="00ED0C11">
    <w:pPr>
      <w:tabs>
        <w:tab w:val="center" w:pos="4252"/>
        <w:tab w:val="right" w:pos="8504"/>
      </w:tabs>
      <w:spacing w:after="0" w:line="240" w:lineRule="auto"/>
      <w:rPr>
        <w:rFonts w:ascii="Times New Roman" w:eastAsia="Times New Roman" w:hAnsi="Times New Roman" w:cs="Times New Roman"/>
        <w:sz w:val="18"/>
        <w:szCs w:val="18"/>
      </w:rPr>
    </w:pPr>
    <w:r w:rsidRPr="00ED0C11">
      <w:rPr>
        <w:rFonts w:ascii="Times New Roman" w:eastAsia="Times New Roman" w:hAnsi="Times New Roman" w:cs="Times New Roman"/>
        <w:sz w:val="24"/>
        <w:szCs w:val="24"/>
      </w:rPr>
      <w:tab/>
    </w:r>
    <w:r w:rsidRPr="00ED0C11">
      <w:rPr>
        <w:rFonts w:ascii="Times New Roman" w:eastAsia="Times New Roman" w:hAnsi="Times New Roman" w:cs="Times New Roman"/>
        <w:sz w:val="18"/>
        <w:szCs w:val="18"/>
      </w:rPr>
      <w:t>AQUÍ VIVE LA DEMOCRACIA</w:t>
    </w:r>
  </w:p>
  <w:p w14:paraId="7019AD6F" w14:textId="77777777" w:rsidR="00ED0C11" w:rsidRPr="00ED0C11" w:rsidRDefault="00ED0C11" w:rsidP="00ED0C11">
    <w:pPr>
      <w:tabs>
        <w:tab w:val="center" w:pos="4252"/>
        <w:tab w:val="right" w:pos="8504"/>
      </w:tabs>
      <w:spacing w:after="0" w:line="240" w:lineRule="auto"/>
      <w:jc w:val="center"/>
      <w:rPr>
        <w:rFonts w:cs="Times New Roman"/>
        <w:sz w:val="28"/>
        <w:szCs w:val="28"/>
        <w:lang w:eastAsia="en-US"/>
      </w:rPr>
    </w:pPr>
    <w:r w:rsidRPr="00ED0C11">
      <w:rPr>
        <w:rFonts w:cs="Times New Roman"/>
        <w:sz w:val="28"/>
        <w:szCs w:val="28"/>
        <w:lang w:eastAsia="en-US"/>
      </w:rPr>
      <w:t>AMANDA ROCIO GONZALEZ RODRIGUEZ</w:t>
    </w:r>
  </w:p>
  <w:p w14:paraId="241F78E8" w14:textId="77777777" w:rsidR="00ED0C11" w:rsidRPr="00ED0C11" w:rsidRDefault="00ED0C11" w:rsidP="00ED0C11">
    <w:pPr>
      <w:tabs>
        <w:tab w:val="center" w:pos="4252"/>
        <w:tab w:val="right" w:pos="8504"/>
      </w:tabs>
      <w:spacing w:after="0" w:line="240" w:lineRule="auto"/>
      <w:jc w:val="center"/>
      <w:rPr>
        <w:rFonts w:cs="Times New Roman"/>
        <w:sz w:val="28"/>
        <w:szCs w:val="28"/>
        <w:lang w:eastAsia="en-US"/>
      </w:rPr>
    </w:pPr>
    <w:r w:rsidRPr="00ED0C11">
      <w:rPr>
        <w:rFonts w:cs="Times New Roman"/>
        <w:sz w:val="28"/>
        <w:szCs w:val="28"/>
        <w:lang w:eastAsia="en-US"/>
      </w:rPr>
      <w:t>Senadora de la República</w:t>
    </w:r>
  </w:p>
  <w:p w14:paraId="2801140B" w14:textId="77777777" w:rsidR="00ED0C11" w:rsidRPr="00ED0C11" w:rsidRDefault="00ED0C11" w:rsidP="00ED0C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3574"/>
    <w:multiLevelType w:val="hybridMultilevel"/>
    <w:tmpl w:val="79B8F41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1322FC"/>
    <w:multiLevelType w:val="hybridMultilevel"/>
    <w:tmpl w:val="EFD8C8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350023"/>
    <w:multiLevelType w:val="hybridMultilevel"/>
    <w:tmpl w:val="E766EA86"/>
    <w:lvl w:ilvl="0" w:tplc="6B0E5978">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3" w15:restartNumberingAfterBreak="0">
    <w:nsid w:val="412A3874"/>
    <w:multiLevelType w:val="multilevel"/>
    <w:tmpl w:val="FFFFFFFF"/>
    <w:lvl w:ilvl="0">
      <w:start w:val="1"/>
      <w:numFmt w:val="upperRoman"/>
      <w:lvlText w:val="%1."/>
      <w:lvlJc w:val="left"/>
      <w:pPr>
        <w:ind w:left="930" w:hanging="72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4" w15:restartNumberingAfterBreak="0">
    <w:nsid w:val="53C208BF"/>
    <w:multiLevelType w:val="hybridMultilevel"/>
    <w:tmpl w:val="7A20BE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A7"/>
    <w:rsid w:val="000401EA"/>
    <w:rsid w:val="000628EE"/>
    <w:rsid w:val="000710A3"/>
    <w:rsid w:val="00071713"/>
    <w:rsid w:val="000A0475"/>
    <w:rsid w:val="000F42EB"/>
    <w:rsid w:val="0013019A"/>
    <w:rsid w:val="00157E23"/>
    <w:rsid w:val="0018749E"/>
    <w:rsid w:val="001A17D9"/>
    <w:rsid w:val="001C5484"/>
    <w:rsid w:val="001C68CD"/>
    <w:rsid w:val="001D04DE"/>
    <w:rsid w:val="001E6A4D"/>
    <w:rsid w:val="002452D4"/>
    <w:rsid w:val="00281F11"/>
    <w:rsid w:val="002B01B3"/>
    <w:rsid w:val="002C5321"/>
    <w:rsid w:val="0037434E"/>
    <w:rsid w:val="003C43F3"/>
    <w:rsid w:val="003D604A"/>
    <w:rsid w:val="003E59C6"/>
    <w:rsid w:val="00435F6F"/>
    <w:rsid w:val="0048029C"/>
    <w:rsid w:val="00481334"/>
    <w:rsid w:val="00490EAA"/>
    <w:rsid w:val="004A09C9"/>
    <w:rsid w:val="0055262E"/>
    <w:rsid w:val="005677DA"/>
    <w:rsid w:val="00572C37"/>
    <w:rsid w:val="005A392F"/>
    <w:rsid w:val="00616B27"/>
    <w:rsid w:val="006B0914"/>
    <w:rsid w:val="006F3B03"/>
    <w:rsid w:val="006F5FBE"/>
    <w:rsid w:val="00756D7C"/>
    <w:rsid w:val="0077122A"/>
    <w:rsid w:val="00777DA2"/>
    <w:rsid w:val="00781F2B"/>
    <w:rsid w:val="007B007F"/>
    <w:rsid w:val="007C24A7"/>
    <w:rsid w:val="0089580B"/>
    <w:rsid w:val="00901862"/>
    <w:rsid w:val="0097355F"/>
    <w:rsid w:val="009B4341"/>
    <w:rsid w:val="00A66878"/>
    <w:rsid w:val="00A91F1C"/>
    <w:rsid w:val="00AC3916"/>
    <w:rsid w:val="00AD516C"/>
    <w:rsid w:val="00AE32FE"/>
    <w:rsid w:val="00B3358E"/>
    <w:rsid w:val="00B714C8"/>
    <w:rsid w:val="00B91321"/>
    <w:rsid w:val="00B949C7"/>
    <w:rsid w:val="00BD04D8"/>
    <w:rsid w:val="00C0042F"/>
    <w:rsid w:val="00C469BE"/>
    <w:rsid w:val="00C50981"/>
    <w:rsid w:val="00C62034"/>
    <w:rsid w:val="00C74588"/>
    <w:rsid w:val="00CA0243"/>
    <w:rsid w:val="00CF0749"/>
    <w:rsid w:val="00CF3488"/>
    <w:rsid w:val="00D03EFA"/>
    <w:rsid w:val="00D111C3"/>
    <w:rsid w:val="00D447DC"/>
    <w:rsid w:val="00D47235"/>
    <w:rsid w:val="00D47D0C"/>
    <w:rsid w:val="00D51003"/>
    <w:rsid w:val="00DC08D7"/>
    <w:rsid w:val="00E3389F"/>
    <w:rsid w:val="00E754B3"/>
    <w:rsid w:val="00EC532D"/>
    <w:rsid w:val="00ED0C11"/>
    <w:rsid w:val="00EE4E2C"/>
    <w:rsid w:val="00F520EA"/>
    <w:rsid w:val="00FA18CB"/>
    <w:rsid w:val="00FB0192"/>
    <w:rsid w:val="00FB160F"/>
    <w:rsid w:val="00FC20BB"/>
    <w:rsid w:val="00FE3C01"/>
    <w:rsid w:val="00FE7BC6"/>
    <w:rsid w:val="00FF4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DDDA88"/>
  <w15:docId w15:val="{1CED58F4-F2CB-4277-BAD2-6FBF525B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754B3"/>
    <w:pPr>
      <w:ind w:left="720"/>
      <w:contextualSpacing/>
    </w:pPr>
  </w:style>
  <w:style w:type="paragraph" w:styleId="Textonotapie">
    <w:name w:val="footnote text"/>
    <w:basedOn w:val="Normal"/>
    <w:link w:val="TextonotapieCar"/>
    <w:uiPriority w:val="99"/>
    <w:unhideWhenUsed/>
    <w:rsid w:val="000628EE"/>
    <w:pPr>
      <w:spacing w:after="0" w:line="240" w:lineRule="auto"/>
    </w:pPr>
    <w:rPr>
      <w:rFonts w:cs="Times New Roman"/>
      <w:sz w:val="20"/>
      <w:szCs w:val="20"/>
      <w:lang w:val="es-ES_tradnl" w:eastAsia="en-US"/>
    </w:rPr>
  </w:style>
  <w:style w:type="character" w:customStyle="1" w:styleId="TextonotapieCar">
    <w:name w:val="Texto nota pie Car"/>
    <w:basedOn w:val="Fuentedeprrafopredeter"/>
    <w:link w:val="Textonotapie"/>
    <w:uiPriority w:val="99"/>
    <w:rsid w:val="000628EE"/>
    <w:rPr>
      <w:rFonts w:cs="Times New Roman"/>
      <w:sz w:val="20"/>
      <w:szCs w:val="20"/>
      <w:lang w:val="es-ES_tradnl" w:eastAsia="en-US"/>
    </w:rPr>
  </w:style>
  <w:style w:type="character" w:styleId="Refdenotaalpie">
    <w:name w:val="footnote reference"/>
    <w:basedOn w:val="Fuentedeprrafopredeter"/>
    <w:uiPriority w:val="99"/>
    <w:semiHidden/>
    <w:unhideWhenUsed/>
    <w:rsid w:val="000628EE"/>
    <w:rPr>
      <w:vertAlign w:val="superscript"/>
    </w:rPr>
  </w:style>
  <w:style w:type="paragraph" w:styleId="Encabezado">
    <w:name w:val="header"/>
    <w:basedOn w:val="Normal"/>
    <w:link w:val="EncabezadoCar"/>
    <w:uiPriority w:val="99"/>
    <w:unhideWhenUsed/>
    <w:rsid w:val="00ED0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0C11"/>
  </w:style>
  <w:style w:type="paragraph" w:styleId="Piedepgina">
    <w:name w:val="footer"/>
    <w:basedOn w:val="Normal"/>
    <w:link w:val="PiedepginaCar"/>
    <w:uiPriority w:val="99"/>
    <w:unhideWhenUsed/>
    <w:rsid w:val="00ED0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C11"/>
  </w:style>
  <w:style w:type="paragraph" w:styleId="Textodeglobo">
    <w:name w:val="Balloon Text"/>
    <w:basedOn w:val="Normal"/>
    <w:link w:val="TextodegloboCar"/>
    <w:uiPriority w:val="99"/>
    <w:semiHidden/>
    <w:unhideWhenUsed/>
    <w:rsid w:val="00ED0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C11"/>
    <w:rPr>
      <w:rFonts w:ascii="Tahoma" w:hAnsi="Tahoma" w:cs="Tahoma"/>
      <w:sz w:val="16"/>
      <w:szCs w:val="16"/>
    </w:rPr>
  </w:style>
  <w:style w:type="paragraph" w:customStyle="1" w:styleId="estlos-gacetasp-rrafos">
    <w:name w:val="estlos-gacetas_p-rrafos"/>
    <w:basedOn w:val="Normal"/>
    <w:rsid w:val="00777DA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override-7">
    <w:name w:val="charoverride-7"/>
    <w:basedOn w:val="Fuentedeprrafopredeter"/>
    <w:rsid w:val="00777DA2"/>
  </w:style>
  <w:style w:type="character" w:customStyle="1" w:styleId="charoverride-13">
    <w:name w:val="charoverride-13"/>
    <w:basedOn w:val="Fuentedeprrafopredeter"/>
    <w:rsid w:val="00777DA2"/>
  </w:style>
  <w:style w:type="character" w:customStyle="1" w:styleId="charoverride-14">
    <w:name w:val="charoverride-14"/>
    <w:basedOn w:val="Fuentedeprrafopredeter"/>
    <w:rsid w:val="00777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2E16-CFDE-48A9-B517-06E35299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2054</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camilo acuna</cp:lastModifiedBy>
  <cp:revision>2</cp:revision>
  <cp:lastPrinted>2020-07-20T18:04:00Z</cp:lastPrinted>
  <dcterms:created xsi:type="dcterms:W3CDTF">2020-07-21T16:45:00Z</dcterms:created>
  <dcterms:modified xsi:type="dcterms:W3CDTF">2020-07-21T16:45:00Z</dcterms:modified>
</cp:coreProperties>
</file>