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E595F" w14:textId="77777777" w:rsidR="00A44003" w:rsidRDefault="00A44003" w:rsidP="00C64647">
      <w:pPr>
        <w:spacing w:line="276" w:lineRule="auto"/>
        <w:jc w:val="center"/>
        <w:rPr>
          <w:rFonts w:cstheme="minorHAnsi"/>
          <w:b/>
          <w:sz w:val="24"/>
        </w:rPr>
      </w:pPr>
      <w:bookmarkStart w:id="0" w:name="_GoBack"/>
      <w:bookmarkEnd w:id="0"/>
    </w:p>
    <w:p w14:paraId="5E950F09" w14:textId="33597FF3" w:rsidR="00F30127" w:rsidRDefault="00067FDA" w:rsidP="00C64647">
      <w:pPr>
        <w:spacing w:line="276" w:lineRule="auto"/>
        <w:jc w:val="center"/>
        <w:rPr>
          <w:rFonts w:cstheme="minorHAnsi"/>
          <w:b/>
          <w:sz w:val="24"/>
        </w:rPr>
      </w:pPr>
      <w:r>
        <w:rPr>
          <w:rFonts w:cstheme="minorHAnsi"/>
          <w:b/>
          <w:sz w:val="24"/>
        </w:rPr>
        <w:t>Proyecto de Ley No. __</w:t>
      </w:r>
      <w:r w:rsidR="00F431AF">
        <w:rPr>
          <w:rFonts w:cstheme="minorHAnsi"/>
          <w:b/>
          <w:sz w:val="24"/>
        </w:rPr>
        <w:t>__</w:t>
      </w:r>
      <w:r>
        <w:rPr>
          <w:rFonts w:cstheme="minorHAnsi"/>
          <w:b/>
          <w:sz w:val="24"/>
        </w:rPr>
        <w:t>___</w:t>
      </w:r>
      <w:r w:rsidR="003320FF" w:rsidRPr="00067FDA">
        <w:rPr>
          <w:rFonts w:cstheme="minorHAnsi"/>
          <w:b/>
          <w:sz w:val="24"/>
        </w:rPr>
        <w:t xml:space="preserve"> de 20</w:t>
      </w:r>
      <w:r w:rsidR="005A15F8">
        <w:rPr>
          <w:rFonts w:cstheme="minorHAnsi"/>
          <w:b/>
          <w:sz w:val="24"/>
        </w:rPr>
        <w:t>20</w:t>
      </w:r>
      <w:r>
        <w:rPr>
          <w:rFonts w:cstheme="minorHAnsi"/>
          <w:b/>
          <w:sz w:val="24"/>
        </w:rPr>
        <w:t xml:space="preserve"> Cámara</w:t>
      </w:r>
    </w:p>
    <w:p w14:paraId="0F8EBA01" w14:textId="77777777" w:rsidR="00A44003" w:rsidRPr="00067FDA" w:rsidRDefault="00A44003" w:rsidP="00C64647">
      <w:pPr>
        <w:spacing w:line="276" w:lineRule="auto"/>
        <w:jc w:val="center"/>
        <w:rPr>
          <w:rFonts w:cstheme="minorHAnsi"/>
          <w:b/>
          <w:sz w:val="24"/>
        </w:rPr>
      </w:pPr>
    </w:p>
    <w:p w14:paraId="525A43F6" w14:textId="5BB97E44" w:rsidR="00067FDA" w:rsidRDefault="00067FDA" w:rsidP="00EE428A">
      <w:pPr>
        <w:spacing w:line="276" w:lineRule="auto"/>
        <w:jc w:val="center"/>
        <w:rPr>
          <w:rFonts w:cstheme="minorHAnsi"/>
          <w:b/>
          <w:sz w:val="24"/>
        </w:rPr>
      </w:pPr>
      <w:r w:rsidRPr="00067FDA">
        <w:rPr>
          <w:rFonts w:cstheme="minorHAnsi"/>
          <w:b/>
          <w:sz w:val="24"/>
        </w:rPr>
        <w:t>"</w:t>
      </w:r>
      <w:r w:rsidR="003E11D1">
        <w:rPr>
          <w:rFonts w:cstheme="minorHAnsi"/>
          <w:b/>
          <w:sz w:val="24"/>
        </w:rPr>
        <w:t xml:space="preserve">Por </w:t>
      </w:r>
      <w:r w:rsidR="00D56B76">
        <w:rPr>
          <w:rFonts w:cstheme="minorHAnsi"/>
          <w:b/>
          <w:sz w:val="24"/>
        </w:rPr>
        <w:t xml:space="preserve">medio de </w:t>
      </w:r>
      <w:r w:rsidR="003E11D1">
        <w:rPr>
          <w:rFonts w:cstheme="minorHAnsi"/>
          <w:b/>
          <w:sz w:val="24"/>
        </w:rPr>
        <w:t xml:space="preserve">la cual se </w:t>
      </w:r>
      <w:r w:rsidR="00D56B76">
        <w:rPr>
          <w:rFonts w:cstheme="minorHAnsi"/>
          <w:b/>
          <w:sz w:val="24"/>
        </w:rPr>
        <w:t xml:space="preserve">establece una </w:t>
      </w:r>
      <w:r w:rsidR="00E12832">
        <w:rPr>
          <w:rFonts w:cstheme="minorHAnsi"/>
          <w:b/>
          <w:sz w:val="24"/>
        </w:rPr>
        <w:t>disminución</w:t>
      </w:r>
      <w:r w:rsidR="00D56B76">
        <w:rPr>
          <w:rFonts w:cstheme="minorHAnsi"/>
          <w:b/>
          <w:sz w:val="24"/>
        </w:rPr>
        <w:t xml:space="preserve"> porcentual en la tarifa del </w:t>
      </w:r>
      <w:r w:rsidR="00D56B76" w:rsidRPr="00D56B76">
        <w:rPr>
          <w:rFonts w:cstheme="minorHAnsi"/>
          <w:b/>
          <w:sz w:val="24"/>
        </w:rPr>
        <w:t>Seguro Obligatorio de Accidentes de Tránsito (SOAT)</w:t>
      </w:r>
      <w:r w:rsidR="00D56B76">
        <w:rPr>
          <w:rFonts w:cstheme="minorHAnsi"/>
          <w:b/>
          <w:sz w:val="24"/>
        </w:rPr>
        <w:t>”</w:t>
      </w:r>
    </w:p>
    <w:p w14:paraId="762DE00D" w14:textId="77777777" w:rsidR="00A44003" w:rsidRDefault="00A44003" w:rsidP="00EE428A">
      <w:pPr>
        <w:spacing w:line="276" w:lineRule="auto"/>
        <w:jc w:val="center"/>
        <w:rPr>
          <w:rFonts w:cstheme="minorHAnsi"/>
          <w:b/>
          <w:sz w:val="24"/>
        </w:rPr>
      </w:pPr>
    </w:p>
    <w:p w14:paraId="6C688873" w14:textId="77777777" w:rsidR="00A44003" w:rsidRDefault="00067FDA" w:rsidP="0027204B">
      <w:pPr>
        <w:spacing w:line="276" w:lineRule="auto"/>
        <w:jc w:val="center"/>
        <w:rPr>
          <w:rFonts w:cstheme="minorHAnsi"/>
          <w:b/>
          <w:sz w:val="24"/>
        </w:rPr>
      </w:pPr>
      <w:r w:rsidRPr="00067FDA">
        <w:rPr>
          <w:rFonts w:cstheme="minorHAnsi"/>
          <w:b/>
          <w:sz w:val="24"/>
        </w:rPr>
        <w:t>El Congreso de Colombia,</w:t>
      </w:r>
    </w:p>
    <w:p w14:paraId="6BEE1F36" w14:textId="58F93B65" w:rsidR="00067FDA" w:rsidRPr="00067FDA" w:rsidRDefault="00067FDA" w:rsidP="0027204B">
      <w:pPr>
        <w:spacing w:line="276" w:lineRule="auto"/>
        <w:jc w:val="center"/>
        <w:rPr>
          <w:rFonts w:cstheme="minorHAnsi"/>
          <w:b/>
          <w:sz w:val="24"/>
        </w:rPr>
      </w:pPr>
      <w:r>
        <w:rPr>
          <w:rFonts w:cstheme="minorHAnsi"/>
          <w:b/>
          <w:sz w:val="24"/>
        </w:rPr>
        <w:br/>
      </w:r>
      <w:r w:rsidRPr="00067FDA">
        <w:rPr>
          <w:rFonts w:cstheme="minorHAnsi"/>
          <w:b/>
          <w:sz w:val="24"/>
        </w:rPr>
        <w:t>DECRETA</w:t>
      </w:r>
    </w:p>
    <w:p w14:paraId="29305B92" w14:textId="77777777" w:rsidR="00067FDA" w:rsidRPr="00067FDA" w:rsidRDefault="00067FDA" w:rsidP="0027204B">
      <w:pPr>
        <w:spacing w:line="276" w:lineRule="auto"/>
        <w:rPr>
          <w:rFonts w:cstheme="minorHAnsi"/>
          <w:b/>
          <w:sz w:val="24"/>
        </w:rPr>
      </w:pPr>
    </w:p>
    <w:p w14:paraId="6519848F" w14:textId="0147A02A" w:rsidR="008533EC" w:rsidRDefault="00067FDA" w:rsidP="008533EC">
      <w:pPr>
        <w:spacing w:line="276" w:lineRule="auto"/>
        <w:jc w:val="both"/>
        <w:rPr>
          <w:rFonts w:cstheme="minorHAnsi"/>
          <w:sz w:val="24"/>
        </w:rPr>
      </w:pPr>
      <w:r w:rsidRPr="00067FDA">
        <w:rPr>
          <w:rFonts w:cstheme="minorHAnsi"/>
          <w:b/>
          <w:sz w:val="24"/>
        </w:rPr>
        <w:t xml:space="preserve">Artículo 1. </w:t>
      </w:r>
      <w:r w:rsidR="00D56B76" w:rsidRPr="00D56B76">
        <w:rPr>
          <w:rFonts w:cstheme="minorHAnsi"/>
          <w:b/>
          <w:sz w:val="24"/>
        </w:rPr>
        <w:t>Objeto.</w:t>
      </w:r>
      <w:r w:rsidR="00D56B76">
        <w:rPr>
          <w:rFonts w:cstheme="minorHAnsi"/>
          <w:bCs/>
          <w:sz w:val="24"/>
        </w:rPr>
        <w:t xml:space="preserve"> El objeto de la presente ley es establecer una </w:t>
      </w:r>
      <w:r w:rsidR="00E12832">
        <w:rPr>
          <w:rFonts w:cstheme="minorHAnsi"/>
          <w:bCs/>
          <w:sz w:val="24"/>
        </w:rPr>
        <w:t>disminución</w:t>
      </w:r>
      <w:r w:rsidR="00D56B76">
        <w:rPr>
          <w:rFonts w:cstheme="minorHAnsi"/>
          <w:bCs/>
          <w:sz w:val="24"/>
        </w:rPr>
        <w:t xml:space="preserve"> porcentual en la tarifa del </w:t>
      </w:r>
      <w:r w:rsidR="00D56B76">
        <w:rPr>
          <w:rFonts w:cstheme="minorHAnsi"/>
          <w:sz w:val="24"/>
        </w:rPr>
        <w:t xml:space="preserve">Seguro Obligatorio de Accidentes de Tránsito (SOAT) cuando la póliza no haya sido afectada en el anualidad anterior y el análisis de </w:t>
      </w:r>
      <w:r w:rsidR="00D56B76" w:rsidRPr="00CD5FF1">
        <w:rPr>
          <w:rFonts w:cstheme="minorHAnsi"/>
          <w:sz w:val="24"/>
        </w:rPr>
        <w:t>los factores de frecuencia y severidad de la siniestralidad del parque automotor asegurado</w:t>
      </w:r>
      <w:r w:rsidR="00D56B76">
        <w:rPr>
          <w:rFonts w:cstheme="minorHAnsi"/>
          <w:sz w:val="24"/>
        </w:rPr>
        <w:t xml:space="preserve"> así lo permitan. </w:t>
      </w:r>
    </w:p>
    <w:p w14:paraId="33D80C74" w14:textId="77777777" w:rsidR="00A44003" w:rsidRDefault="00A44003" w:rsidP="008533EC">
      <w:pPr>
        <w:spacing w:line="276" w:lineRule="auto"/>
        <w:jc w:val="both"/>
        <w:rPr>
          <w:rFonts w:cstheme="minorHAnsi"/>
          <w:bCs/>
          <w:sz w:val="24"/>
        </w:rPr>
      </w:pPr>
    </w:p>
    <w:p w14:paraId="1F988EFE" w14:textId="77777777" w:rsidR="00782E0B" w:rsidRDefault="00D56B76" w:rsidP="00E12832">
      <w:pPr>
        <w:spacing w:line="276" w:lineRule="auto"/>
        <w:jc w:val="both"/>
        <w:rPr>
          <w:rFonts w:cstheme="minorHAnsi"/>
          <w:sz w:val="24"/>
        </w:rPr>
      </w:pPr>
      <w:r w:rsidRPr="00D56B76">
        <w:rPr>
          <w:rFonts w:cstheme="minorHAnsi"/>
          <w:b/>
          <w:sz w:val="24"/>
        </w:rPr>
        <w:t>Artículo 2. Tarifa del SOAT.</w:t>
      </w:r>
      <w:r>
        <w:rPr>
          <w:rFonts w:cstheme="minorHAnsi"/>
          <w:bCs/>
          <w:sz w:val="24"/>
        </w:rPr>
        <w:t xml:space="preserve"> </w:t>
      </w:r>
      <w:r w:rsidR="008533EC">
        <w:rPr>
          <w:rFonts w:cstheme="minorHAnsi"/>
          <w:sz w:val="24"/>
        </w:rPr>
        <w:t>La Superintendencia Financiera de Colombia</w:t>
      </w:r>
      <w:r w:rsidR="00CD5FF1">
        <w:rPr>
          <w:rFonts w:cstheme="minorHAnsi"/>
          <w:sz w:val="24"/>
        </w:rPr>
        <w:t>,</w:t>
      </w:r>
      <w:r w:rsidR="00E12832">
        <w:rPr>
          <w:rFonts w:cstheme="minorHAnsi"/>
          <w:sz w:val="24"/>
        </w:rPr>
        <w:t xml:space="preserve"> </w:t>
      </w:r>
      <w:r w:rsidR="00782E0B">
        <w:rPr>
          <w:rFonts w:cstheme="minorHAnsi"/>
          <w:sz w:val="24"/>
        </w:rPr>
        <w:t>encargada</w:t>
      </w:r>
      <w:r w:rsidR="004A1C88">
        <w:rPr>
          <w:rFonts w:cstheme="minorHAnsi"/>
          <w:sz w:val="24"/>
        </w:rPr>
        <w:t xml:space="preserve"> </w:t>
      </w:r>
      <w:r>
        <w:rPr>
          <w:rFonts w:cstheme="minorHAnsi"/>
          <w:sz w:val="24"/>
        </w:rPr>
        <w:t xml:space="preserve">de calcular las tarifas máximas que pueden cobrar las entidades aseguradoras para expedir el Seguro Obligatorio de Accidentes de Tránsito (SOAT), </w:t>
      </w:r>
      <w:r w:rsidR="00B85076">
        <w:rPr>
          <w:rFonts w:cstheme="minorHAnsi"/>
          <w:sz w:val="24"/>
        </w:rPr>
        <w:t>deberá establecer</w:t>
      </w:r>
      <w:r w:rsidR="004A1C88">
        <w:rPr>
          <w:rFonts w:cstheme="minorHAnsi"/>
          <w:sz w:val="24"/>
        </w:rPr>
        <w:t xml:space="preserve"> </w:t>
      </w:r>
      <w:r>
        <w:rPr>
          <w:rFonts w:cstheme="minorHAnsi"/>
          <w:sz w:val="24"/>
        </w:rPr>
        <w:t xml:space="preserve">una </w:t>
      </w:r>
      <w:r w:rsidR="00E12832">
        <w:rPr>
          <w:rFonts w:cstheme="minorHAnsi"/>
          <w:sz w:val="24"/>
        </w:rPr>
        <w:t>disminució</w:t>
      </w:r>
      <w:r>
        <w:rPr>
          <w:rFonts w:cstheme="minorHAnsi"/>
          <w:sz w:val="24"/>
        </w:rPr>
        <w:t>n de hasta el 10% en el cobro de la tarifa</w:t>
      </w:r>
      <w:r w:rsidR="00E12832">
        <w:rPr>
          <w:rFonts w:cstheme="minorHAnsi"/>
          <w:sz w:val="24"/>
        </w:rPr>
        <w:t xml:space="preserve"> para los vehículos</w:t>
      </w:r>
      <w:r w:rsidR="00B85076">
        <w:rPr>
          <w:rFonts w:cstheme="minorHAnsi"/>
          <w:sz w:val="24"/>
        </w:rPr>
        <w:t xml:space="preserve"> que</w:t>
      </w:r>
      <w:r w:rsidR="00E12832">
        <w:rPr>
          <w:rFonts w:cstheme="minorHAnsi"/>
          <w:sz w:val="24"/>
        </w:rPr>
        <w:t xml:space="preserve">, en cualquier </w:t>
      </w:r>
      <w:r w:rsidR="00B85076">
        <w:rPr>
          <w:rFonts w:cstheme="minorHAnsi"/>
          <w:sz w:val="24"/>
        </w:rPr>
        <w:t>categoría</w:t>
      </w:r>
      <w:r w:rsidR="00E12832">
        <w:rPr>
          <w:rFonts w:cstheme="minorHAnsi"/>
          <w:sz w:val="24"/>
        </w:rPr>
        <w:t>, no hayan afectado la póliza en la</w:t>
      </w:r>
      <w:r w:rsidR="00602BDD">
        <w:rPr>
          <w:rFonts w:cstheme="minorHAnsi"/>
          <w:sz w:val="24"/>
        </w:rPr>
        <w:t xml:space="preserve"> anualidad inmediatamente anterior.</w:t>
      </w:r>
      <w:r w:rsidR="00E12832">
        <w:rPr>
          <w:rFonts w:cstheme="minorHAnsi"/>
          <w:sz w:val="24"/>
        </w:rPr>
        <w:t xml:space="preserve"> </w:t>
      </w:r>
    </w:p>
    <w:p w14:paraId="74803E57" w14:textId="7C4AF289" w:rsidR="00EE428A" w:rsidRDefault="00EE428A" w:rsidP="00E12832">
      <w:pPr>
        <w:spacing w:line="276" w:lineRule="auto"/>
        <w:jc w:val="both"/>
        <w:rPr>
          <w:rFonts w:cstheme="minorHAnsi"/>
          <w:sz w:val="24"/>
        </w:rPr>
      </w:pPr>
      <w:r>
        <w:rPr>
          <w:rFonts w:cstheme="minorHAnsi"/>
          <w:sz w:val="24"/>
        </w:rPr>
        <w:t>La disminución de la que trata el presente artículo se considerará un incentivo para que los conductores contribuyan con la seguridad vial del país a través de prácticas y actitudes responsables.</w:t>
      </w:r>
    </w:p>
    <w:p w14:paraId="27392A31" w14:textId="02628388" w:rsidR="004A1C88" w:rsidRDefault="00E12832" w:rsidP="00E12832">
      <w:pPr>
        <w:spacing w:line="276" w:lineRule="auto"/>
        <w:jc w:val="both"/>
        <w:rPr>
          <w:rFonts w:cstheme="minorHAnsi"/>
          <w:sz w:val="24"/>
        </w:rPr>
      </w:pPr>
      <w:r>
        <w:rPr>
          <w:rFonts w:cstheme="minorHAnsi"/>
          <w:sz w:val="24"/>
        </w:rPr>
        <w:t>La suficiencia de los recursos del SOAT</w:t>
      </w:r>
      <w:r w:rsidR="00E8531C">
        <w:rPr>
          <w:rFonts w:cstheme="minorHAnsi"/>
          <w:sz w:val="24"/>
        </w:rPr>
        <w:t xml:space="preserve"> no </w:t>
      </w:r>
      <w:r>
        <w:rPr>
          <w:rFonts w:cstheme="minorHAnsi"/>
          <w:sz w:val="24"/>
        </w:rPr>
        <w:t xml:space="preserve">podrá resultar </w:t>
      </w:r>
      <w:r w:rsidR="00E8531C">
        <w:rPr>
          <w:rFonts w:cstheme="minorHAnsi"/>
          <w:sz w:val="24"/>
        </w:rPr>
        <w:t>afecta</w:t>
      </w:r>
      <w:r>
        <w:rPr>
          <w:rFonts w:cstheme="minorHAnsi"/>
          <w:sz w:val="24"/>
        </w:rPr>
        <w:t>d</w:t>
      </w:r>
      <w:r w:rsidR="00B85076">
        <w:rPr>
          <w:rFonts w:cstheme="minorHAnsi"/>
          <w:sz w:val="24"/>
        </w:rPr>
        <w:t>a</w:t>
      </w:r>
      <w:r w:rsidR="00E8531C">
        <w:rPr>
          <w:rFonts w:cstheme="minorHAnsi"/>
          <w:sz w:val="24"/>
        </w:rPr>
        <w:t xml:space="preserve"> </w:t>
      </w:r>
      <w:r>
        <w:rPr>
          <w:rFonts w:cstheme="minorHAnsi"/>
          <w:sz w:val="24"/>
        </w:rPr>
        <w:t xml:space="preserve">como consecuencia de la aplicación de </w:t>
      </w:r>
      <w:r w:rsidR="004519D9">
        <w:rPr>
          <w:rFonts w:cstheme="minorHAnsi"/>
          <w:sz w:val="24"/>
        </w:rPr>
        <w:t>la presente ley.</w:t>
      </w:r>
    </w:p>
    <w:p w14:paraId="185C98AA" w14:textId="77777777" w:rsidR="00A44003" w:rsidRDefault="00A44003" w:rsidP="00E12832">
      <w:pPr>
        <w:spacing w:line="276" w:lineRule="auto"/>
        <w:jc w:val="both"/>
        <w:rPr>
          <w:rFonts w:cstheme="minorHAnsi"/>
          <w:sz w:val="24"/>
        </w:rPr>
      </w:pPr>
    </w:p>
    <w:p w14:paraId="0597A16A" w14:textId="6F07434D" w:rsidR="00EE428A" w:rsidRDefault="00602BDD" w:rsidP="00C741BB">
      <w:pPr>
        <w:spacing w:line="276" w:lineRule="auto"/>
        <w:jc w:val="both"/>
        <w:rPr>
          <w:rFonts w:cstheme="minorHAnsi"/>
          <w:sz w:val="24"/>
        </w:rPr>
      </w:pPr>
      <w:r w:rsidRPr="00E12832">
        <w:rPr>
          <w:rFonts w:cstheme="minorHAnsi"/>
          <w:b/>
          <w:bCs/>
          <w:sz w:val="24"/>
        </w:rPr>
        <w:lastRenderedPageBreak/>
        <w:t xml:space="preserve">Artículo 3. </w:t>
      </w:r>
      <w:r w:rsidR="00C64647" w:rsidRPr="00194F1C">
        <w:rPr>
          <w:rFonts w:cstheme="minorHAnsi"/>
          <w:b/>
          <w:sz w:val="24"/>
        </w:rPr>
        <w:t xml:space="preserve">Vigencia de la Ley. </w:t>
      </w:r>
      <w:r w:rsidR="00C64647" w:rsidRPr="00194F1C">
        <w:rPr>
          <w:rFonts w:cstheme="minorHAnsi"/>
          <w:sz w:val="24"/>
        </w:rPr>
        <w:t>La presente ley rige a partir de la fecha de su promulgación y deroga las disposiciones que le sean contrarias.</w:t>
      </w:r>
    </w:p>
    <w:p w14:paraId="04ADC27F" w14:textId="77777777" w:rsidR="00A44003" w:rsidRDefault="00A44003" w:rsidP="00C741BB">
      <w:pPr>
        <w:spacing w:line="276" w:lineRule="auto"/>
        <w:jc w:val="both"/>
        <w:rPr>
          <w:rFonts w:cstheme="minorHAnsi"/>
          <w:b/>
          <w:sz w:val="24"/>
        </w:rPr>
      </w:pPr>
    </w:p>
    <w:p w14:paraId="7D8DB80F" w14:textId="473540A5" w:rsidR="00C64647" w:rsidRDefault="00C64647" w:rsidP="00C64647">
      <w:pPr>
        <w:spacing w:line="276" w:lineRule="auto"/>
        <w:rPr>
          <w:rFonts w:cstheme="minorHAnsi"/>
          <w:b/>
          <w:sz w:val="24"/>
        </w:rPr>
      </w:pPr>
      <w:r>
        <w:rPr>
          <w:rFonts w:cstheme="minorHAnsi"/>
          <w:b/>
          <w:sz w:val="24"/>
        </w:rPr>
        <w:t>De los honorables Congresistas,</w:t>
      </w:r>
    </w:p>
    <w:p w14:paraId="41E8CBE2" w14:textId="116BF0CE" w:rsidR="00C741BB" w:rsidRDefault="00C741BB" w:rsidP="00C64647">
      <w:pPr>
        <w:spacing w:line="276" w:lineRule="auto"/>
        <w:rPr>
          <w:rFonts w:cstheme="minorHAnsi"/>
          <w:b/>
          <w:sz w:val="24"/>
        </w:rPr>
      </w:pPr>
    </w:p>
    <w:tbl>
      <w:tblPr>
        <w:tblStyle w:val="Tablanormal2"/>
        <w:tblW w:w="0" w:type="auto"/>
        <w:jc w:val="center"/>
        <w:tblBorders>
          <w:top w:val="none" w:sz="0" w:space="0" w:color="auto"/>
          <w:bottom w:val="none" w:sz="0" w:space="0" w:color="auto"/>
        </w:tblBorders>
        <w:tblLook w:val="04A0" w:firstRow="1" w:lastRow="0" w:firstColumn="1" w:lastColumn="0" w:noHBand="0" w:noVBand="1"/>
      </w:tblPr>
      <w:tblGrid>
        <w:gridCol w:w="4414"/>
        <w:gridCol w:w="4414"/>
      </w:tblGrid>
      <w:tr w:rsidR="006E1EE4" w14:paraId="4BC6940A" w14:textId="77777777" w:rsidTr="008474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Borders>
              <w:bottom w:val="none" w:sz="0" w:space="0" w:color="auto"/>
            </w:tcBorders>
          </w:tcPr>
          <w:p w14:paraId="5EDE8260" w14:textId="77777777" w:rsidR="006E1EE4" w:rsidRDefault="006E1EE4" w:rsidP="008474F2">
            <w:pPr>
              <w:spacing w:line="276" w:lineRule="auto"/>
              <w:jc w:val="center"/>
              <w:rPr>
                <w:rFonts w:cstheme="minorHAnsi"/>
                <w:b w:val="0"/>
                <w:sz w:val="24"/>
              </w:rPr>
            </w:pPr>
          </w:p>
          <w:p w14:paraId="193C8DA5" w14:textId="77777777" w:rsidR="006E1EE4" w:rsidRDefault="006E1EE4" w:rsidP="008474F2">
            <w:pPr>
              <w:spacing w:line="276" w:lineRule="auto"/>
              <w:rPr>
                <w:rFonts w:cstheme="minorHAnsi"/>
                <w:b w:val="0"/>
                <w:sz w:val="24"/>
              </w:rPr>
            </w:pPr>
          </w:p>
          <w:p w14:paraId="4312B494" w14:textId="77777777" w:rsidR="006E1EE4" w:rsidRDefault="006E1EE4" w:rsidP="008474F2">
            <w:pPr>
              <w:spacing w:line="276" w:lineRule="auto"/>
              <w:jc w:val="center"/>
              <w:rPr>
                <w:rFonts w:cstheme="minorHAnsi"/>
                <w:b w:val="0"/>
                <w:sz w:val="24"/>
              </w:rPr>
            </w:pPr>
            <w:r>
              <w:rPr>
                <w:rFonts w:cstheme="minorHAnsi"/>
                <w:sz w:val="24"/>
              </w:rPr>
              <w:t>NUBIA LÓPEZ MORALES</w:t>
            </w:r>
            <w:r>
              <w:rPr>
                <w:rFonts w:cstheme="minorHAnsi"/>
                <w:b w:val="0"/>
                <w:sz w:val="24"/>
              </w:rPr>
              <w:t xml:space="preserve"> </w:t>
            </w:r>
            <w:r>
              <w:rPr>
                <w:rFonts w:cstheme="minorHAnsi"/>
                <w:sz w:val="24"/>
              </w:rPr>
              <w:br/>
            </w:r>
            <w:r w:rsidRPr="00E236E8">
              <w:rPr>
                <w:rFonts w:cstheme="minorHAnsi"/>
                <w:b w:val="0"/>
                <w:bCs w:val="0"/>
                <w:sz w:val="24"/>
              </w:rPr>
              <w:t>Representante a la Cámara</w:t>
            </w:r>
            <w:r w:rsidRPr="00E236E8">
              <w:rPr>
                <w:rFonts w:cstheme="minorHAnsi"/>
                <w:b w:val="0"/>
                <w:bCs w:val="0"/>
                <w:sz w:val="24"/>
              </w:rPr>
              <w:br/>
              <w:t>Departamento de Santander</w:t>
            </w:r>
          </w:p>
          <w:p w14:paraId="3FA6701A" w14:textId="77777777" w:rsidR="006E1EE4" w:rsidRDefault="006E1EE4" w:rsidP="008474F2">
            <w:pPr>
              <w:spacing w:line="276" w:lineRule="auto"/>
              <w:jc w:val="center"/>
              <w:rPr>
                <w:rFonts w:cstheme="minorHAnsi"/>
                <w:b w:val="0"/>
                <w:sz w:val="24"/>
              </w:rPr>
            </w:pPr>
          </w:p>
        </w:tc>
        <w:tc>
          <w:tcPr>
            <w:tcW w:w="4414" w:type="dxa"/>
            <w:tcBorders>
              <w:bottom w:val="none" w:sz="0" w:space="0" w:color="auto"/>
            </w:tcBorders>
          </w:tcPr>
          <w:p w14:paraId="6F276338" w14:textId="77777777" w:rsidR="006E1EE4" w:rsidRDefault="006E1EE4"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p w14:paraId="55164A03" w14:textId="77777777" w:rsidR="006E1EE4" w:rsidRDefault="006E1EE4"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p w14:paraId="532239DE" w14:textId="77777777" w:rsidR="006E1EE4" w:rsidRDefault="006E1EE4"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r>
              <w:rPr>
                <w:rFonts w:cstheme="minorHAnsi"/>
                <w:bCs w:val="0"/>
                <w:sz w:val="24"/>
              </w:rPr>
              <w:t>RODRIGO ARTURO ROJAS LARA</w:t>
            </w:r>
          </w:p>
          <w:p w14:paraId="6312DF40" w14:textId="77777777" w:rsidR="006E1EE4" w:rsidRPr="00C741BB" w:rsidRDefault="006E1EE4"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rPr>
            </w:pPr>
            <w:r w:rsidRPr="00C741BB">
              <w:rPr>
                <w:rFonts w:cstheme="minorHAnsi"/>
                <w:b w:val="0"/>
                <w:bCs w:val="0"/>
                <w:sz w:val="24"/>
              </w:rPr>
              <w:t>Representante a la Cámara</w:t>
            </w:r>
          </w:p>
          <w:p w14:paraId="660B7FC7" w14:textId="77777777" w:rsidR="006E1EE4" w:rsidRPr="00C741BB" w:rsidRDefault="006E1EE4"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rPr>
            </w:pPr>
            <w:r w:rsidRPr="00C741BB">
              <w:rPr>
                <w:rFonts w:cstheme="minorHAnsi"/>
                <w:b w:val="0"/>
                <w:bCs w:val="0"/>
                <w:sz w:val="24"/>
              </w:rPr>
              <w:t>Departamento de Boyacá</w:t>
            </w:r>
          </w:p>
          <w:p w14:paraId="6231D3DA" w14:textId="77777777" w:rsidR="006E1EE4" w:rsidRDefault="006E1EE4"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p w14:paraId="2C9934E1" w14:textId="77777777" w:rsidR="006E1EE4" w:rsidRDefault="006E1EE4"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p w14:paraId="0C8E57AF" w14:textId="77777777" w:rsidR="006E1EE4" w:rsidRDefault="006E1EE4"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tc>
      </w:tr>
      <w:tr w:rsidR="006E1EE4" w14:paraId="3F854717" w14:textId="77777777" w:rsidTr="00847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Borders>
              <w:top w:val="none" w:sz="0" w:space="0" w:color="auto"/>
              <w:bottom w:val="none" w:sz="0" w:space="0" w:color="auto"/>
            </w:tcBorders>
          </w:tcPr>
          <w:p w14:paraId="15DC2697" w14:textId="77777777" w:rsidR="006E1EE4" w:rsidRPr="00E236E8" w:rsidRDefault="006E1EE4" w:rsidP="00E3792E">
            <w:pPr>
              <w:spacing w:line="276" w:lineRule="auto"/>
              <w:jc w:val="center"/>
              <w:rPr>
                <w:rFonts w:cstheme="minorHAnsi"/>
                <w:bCs w:val="0"/>
                <w:sz w:val="24"/>
              </w:rPr>
            </w:pPr>
            <w:r w:rsidRPr="00E236E8">
              <w:rPr>
                <w:rFonts w:cstheme="minorHAnsi"/>
                <w:bCs w:val="0"/>
                <w:sz w:val="24"/>
              </w:rPr>
              <w:t>ELIZABETH JAY-PANG DÍAZ</w:t>
            </w:r>
          </w:p>
          <w:p w14:paraId="39C12C4C" w14:textId="77777777" w:rsidR="006E1EE4" w:rsidRDefault="006E1EE4" w:rsidP="00E3792E">
            <w:pPr>
              <w:spacing w:line="276" w:lineRule="auto"/>
              <w:jc w:val="center"/>
              <w:rPr>
                <w:rFonts w:cstheme="minorHAnsi"/>
                <w:b w:val="0"/>
                <w:bCs w:val="0"/>
                <w:sz w:val="24"/>
              </w:rPr>
            </w:pPr>
            <w:r>
              <w:rPr>
                <w:rFonts w:cstheme="minorHAnsi"/>
                <w:b w:val="0"/>
                <w:sz w:val="24"/>
              </w:rPr>
              <w:t>Representante a la Cámara</w:t>
            </w:r>
            <w:r>
              <w:rPr>
                <w:rFonts w:cstheme="minorHAnsi"/>
                <w:b w:val="0"/>
                <w:sz w:val="24"/>
              </w:rPr>
              <w:br/>
              <w:t>Archipiélago San Andrés Islas</w:t>
            </w:r>
          </w:p>
          <w:p w14:paraId="42CD375A" w14:textId="77777777" w:rsidR="006E1EE4" w:rsidRDefault="006E1EE4" w:rsidP="00E3792E">
            <w:pPr>
              <w:spacing w:line="276" w:lineRule="auto"/>
              <w:jc w:val="center"/>
              <w:rPr>
                <w:rFonts w:cstheme="minorHAnsi"/>
                <w:b w:val="0"/>
                <w:sz w:val="24"/>
              </w:rPr>
            </w:pPr>
          </w:p>
        </w:tc>
        <w:tc>
          <w:tcPr>
            <w:tcW w:w="4414" w:type="dxa"/>
            <w:tcBorders>
              <w:top w:val="none" w:sz="0" w:space="0" w:color="auto"/>
              <w:bottom w:val="none" w:sz="0" w:space="0" w:color="auto"/>
            </w:tcBorders>
          </w:tcPr>
          <w:p w14:paraId="5879FA3A" w14:textId="77777777" w:rsidR="006E1EE4" w:rsidRDefault="006E1EE4" w:rsidP="00E3792E">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Pr>
                <w:rFonts w:cstheme="minorHAnsi"/>
                <w:b/>
                <w:sz w:val="24"/>
              </w:rPr>
              <w:t>ALEXANDER BERMÚDEZ LASSO</w:t>
            </w:r>
          </w:p>
          <w:p w14:paraId="5A816D2B" w14:textId="77777777" w:rsidR="006E1EE4" w:rsidRPr="006E1EE4" w:rsidRDefault="006E1EE4" w:rsidP="00E3792E">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4"/>
              </w:rPr>
            </w:pPr>
            <w:r w:rsidRPr="006E1EE4">
              <w:rPr>
                <w:rFonts w:cstheme="minorHAnsi"/>
                <w:bCs/>
                <w:sz w:val="24"/>
              </w:rPr>
              <w:t>Representante a la Cámara</w:t>
            </w:r>
          </w:p>
          <w:p w14:paraId="3245EC41" w14:textId="77777777" w:rsidR="006E1EE4" w:rsidRDefault="006E1EE4" w:rsidP="00E3792E">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6E1EE4">
              <w:rPr>
                <w:rFonts w:cstheme="minorHAnsi"/>
                <w:bCs/>
                <w:sz w:val="24"/>
              </w:rPr>
              <w:t>Departamento del Guaviare</w:t>
            </w:r>
          </w:p>
        </w:tc>
      </w:tr>
      <w:tr w:rsidR="006E1EE4" w14:paraId="3CCA3200" w14:textId="77777777" w:rsidTr="008474F2">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77051026" w14:textId="77777777" w:rsidR="006E1EE4" w:rsidRDefault="006E1EE4" w:rsidP="008474F2">
            <w:pPr>
              <w:spacing w:line="276" w:lineRule="auto"/>
              <w:jc w:val="center"/>
              <w:rPr>
                <w:rFonts w:cstheme="minorHAnsi"/>
                <w:b w:val="0"/>
                <w:sz w:val="24"/>
              </w:rPr>
            </w:pPr>
          </w:p>
          <w:p w14:paraId="5566CB69" w14:textId="77777777" w:rsidR="006E1EE4" w:rsidRDefault="006E1EE4" w:rsidP="00E3792E">
            <w:pPr>
              <w:spacing w:line="276" w:lineRule="auto"/>
              <w:rPr>
                <w:rFonts w:cstheme="minorHAnsi"/>
                <w:b w:val="0"/>
                <w:bCs w:val="0"/>
                <w:sz w:val="24"/>
              </w:rPr>
            </w:pPr>
          </w:p>
          <w:p w14:paraId="63964C84" w14:textId="77777777" w:rsidR="006E1EE4" w:rsidRDefault="006E1EE4" w:rsidP="008474F2">
            <w:pPr>
              <w:spacing w:line="276" w:lineRule="auto"/>
              <w:jc w:val="center"/>
              <w:rPr>
                <w:rFonts w:cstheme="minorHAnsi"/>
                <w:b w:val="0"/>
                <w:sz w:val="24"/>
              </w:rPr>
            </w:pPr>
            <w:r>
              <w:rPr>
                <w:rFonts w:cstheme="minorHAnsi"/>
                <w:sz w:val="24"/>
              </w:rPr>
              <w:t>EDGAR ALFONSO GÓMEZ ROMÁN</w:t>
            </w:r>
          </w:p>
          <w:p w14:paraId="180247D6" w14:textId="77777777" w:rsidR="006E1EE4" w:rsidRPr="00C6144F" w:rsidRDefault="006E1EE4" w:rsidP="008474F2">
            <w:pPr>
              <w:spacing w:line="276" w:lineRule="auto"/>
              <w:jc w:val="center"/>
              <w:rPr>
                <w:rFonts w:cstheme="minorHAnsi"/>
                <w:b w:val="0"/>
                <w:bCs w:val="0"/>
                <w:sz w:val="24"/>
              </w:rPr>
            </w:pPr>
            <w:r w:rsidRPr="00C6144F">
              <w:rPr>
                <w:rFonts w:cstheme="minorHAnsi"/>
                <w:b w:val="0"/>
                <w:bCs w:val="0"/>
                <w:sz w:val="24"/>
              </w:rPr>
              <w:t>Representante a la Cámara</w:t>
            </w:r>
          </w:p>
          <w:p w14:paraId="2A8A9517" w14:textId="77777777" w:rsidR="006E1EE4" w:rsidRDefault="006E1EE4" w:rsidP="008474F2">
            <w:pPr>
              <w:spacing w:line="276" w:lineRule="auto"/>
              <w:jc w:val="center"/>
              <w:rPr>
                <w:rFonts w:cstheme="minorHAnsi"/>
                <w:b w:val="0"/>
                <w:sz w:val="24"/>
              </w:rPr>
            </w:pPr>
            <w:r w:rsidRPr="00C6144F">
              <w:rPr>
                <w:rFonts w:cstheme="minorHAnsi"/>
                <w:b w:val="0"/>
                <w:bCs w:val="0"/>
                <w:sz w:val="24"/>
              </w:rPr>
              <w:t>Departamento de Santander</w:t>
            </w:r>
          </w:p>
        </w:tc>
        <w:tc>
          <w:tcPr>
            <w:tcW w:w="4414" w:type="dxa"/>
          </w:tcPr>
          <w:p w14:paraId="401629E0" w14:textId="10974539" w:rsidR="006E1EE4" w:rsidRDefault="006E1EE4" w:rsidP="00E3792E">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4"/>
              </w:rPr>
            </w:pPr>
          </w:p>
          <w:p w14:paraId="16476643" w14:textId="77777777" w:rsidR="00E3792E" w:rsidRDefault="00E3792E" w:rsidP="00E3792E">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4"/>
              </w:rPr>
            </w:pPr>
          </w:p>
          <w:p w14:paraId="2D514367" w14:textId="77777777" w:rsidR="006E1EE4" w:rsidRDefault="006E1EE4"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Pr>
                <w:rFonts w:cstheme="minorHAnsi"/>
                <w:b/>
                <w:sz w:val="24"/>
              </w:rPr>
              <w:t>FABIO FERNANDO ARROYAVE R.</w:t>
            </w:r>
          </w:p>
          <w:p w14:paraId="219395C5" w14:textId="77777777" w:rsidR="006E1EE4" w:rsidRPr="006E1EE4" w:rsidRDefault="006E1EE4"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rPr>
            </w:pPr>
            <w:r w:rsidRPr="006E1EE4">
              <w:rPr>
                <w:rFonts w:cstheme="minorHAnsi"/>
                <w:bCs/>
                <w:sz w:val="24"/>
              </w:rPr>
              <w:t>Representante a la Cámara</w:t>
            </w:r>
          </w:p>
          <w:p w14:paraId="35E567C1" w14:textId="77777777" w:rsidR="006E1EE4" w:rsidRDefault="006E1EE4"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6E1EE4">
              <w:rPr>
                <w:rFonts w:cstheme="minorHAnsi"/>
                <w:bCs/>
                <w:sz w:val="24"/>
              </w:rPr>
              <w:t>Departamento del Valle del Cauca</w:t>
            </w:r>
          </w:p>
        </w:tc>
      </w:tr>
      <w:tr w:rsidR="00012881" w14:paraId="03680D64" w14:textId="77777777" w:rsidTr="000128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Borders>
              <w:top w:val="none" w:sz="0" w:space="0" w:color="auto"/>
              <w:bottom w:val="none" w:sz="0" w:space="0" w:color="auto"/>
            </w:tcBorders>
          </w:tcPr>
          <w:p w14:paraId="5AA25EFC" w14:textId="77777777" w:rsidR="00012881" w:rsidRDefault="00012881" w:rsidP="008474F2">
            <w:pPr>
              <w:spacing w:line="276" w:lineRule="auto"/>
              <w:jc w:val="center"/>
              <w:rPr>
                <w:rFonts w:cstheme="minorHAnsi"/>
                <w:bCs w:val="0"/>
                <w:sz w:val="24"/>
              </w:rPr>
            </w:pPr>
          </w:p>
          <w:p w14:paraId="2EF5AD5D" w14:textId="77777777" w:rsidR="00012881" w:rsidRDefault="00012881" w:rsidP="008474F2">
            <w:pPr>
              <w:spacing w:line="276" w:lineRule="auto"/>
              <w:jc w:val="center"/>
              <w:rPr>
                <w:rFonts w:cstheme="minorHAnsi"/>
                <w:bCs w:val="0"/>
                <w:sz w:val="24"/>
              </w:rPr>
            </w:pPr>
          </w:p>
          <w:p w14:paraId="73BDFFDB" w14:textId="2222DFF0" w:rsidR="00012881" w:rsidRPr="00012881" w:rsidRDefault="00012881" w:rsidP="008474F2">
            <w:pPr>
              <w:spacing w:line="276" w:lineRule="auto"/>
              <w:jc w:val="center"/>
              <w:rPr>
                <w:rFonts w:cstheme="minorHAnsi"/>
                <w:bCs w:val="0"/>
                <w:sz w:val="24"/>
              </w:rPr>
            </w:pPr>
            <w:r w:rsidRPr="00012881">
              <w:rPr>
                <w:rFonts w:cstheme="minorHAnsi"/>
                <w:bCs w:val="0"/>
                <w:sz w:val="24"/>
              </w:rPr>
              <w:t>ADRIANA GÓMEZ MILLÁN</w:t>
            </w:r>
          </w:p>
          <w:p w14:paraId="5B0D74AF" w14:textId="77777777" w:rsidR="00012881" w:rsidRPr="00012881" w:rsidRDefault="00012881" w:rsidP="00012881">
            <w:pPr>
              <w:spacing w:line="276" w:lineRule="auto"/>
              <w:jc w:val="center"/>
              <w:rPr>
                <w:rFonts w:cstheme="minorHAnsi"/>
                <w:b w:val="0"/>
                <w:sz w:val="24"/>
              </w:rPr>
            </w:pPr>
            <w:r w:rsidRPr="00012881">
              <w:rPr>
                <w:rFonts w:cstheme="minorHAnsi"/>
                <w:b w:val="0"/>
                <w:sz w:val="24"/>
              </w:rPr>
              <w:t>Representante a la Cámara</w:t>
            </w:r>
          </w:p>
          <w:p w14:paraId="4A618D5B" w14:textId="2E424ECB" w:rsidR="00012881" w:rsidRDefault="00012881" w:rsidP="00012881">
            <w:pPr>
              <w:spacing w:line="276" w:lineRule="auto"/>
              <w:jc w:val="center"/>
              <w:rPr>
                <w:rFonts w:cstheme="minorHAnsi"/>
                <w:b w:val="0"/>
                <w:sz w:val="24"/>
              </w:rPr>
            </w:pPr>
            <w:r w:rsidRPr="00012881">
              <w:rPr>
                <w:rFonts w:cstheme="minorHAnsi"/>
                <w:b w:val="0"/>
                <w:sz w:val="24"/>
              </w:rPr>
              <w:t>Departamento del Valle del Cauca</w:t>
            </w:r>
          </w:p>
        </w:tc>
        <w:tc>
          <w:tcPr>
            <w:tcW w:w="4414" w:type="dxa"/>
            <w:tcBorders>
              <w:top w:val="none" w:sz="0" w:space="0" w:color="auto"/>
              <w:bottom w:val="none" w:sz="0" w:space="0" w:color="auto"/>
            </w:tcBorders>
          </w:tcPr>
          <w:p w14:paraId="1B78C69C" w14:textId="77777777" w:rsidR="00012881" w:rsidRDefault="00012881"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p>
        </w:tc>
      </w:tr>
    </w:tbl>
    <w:p w14:paraId="7501BDE2" w14:textId="33ED1081" w:rsidR="006E1EE4" w:rsidRDefault="006E1EE4" w:rsidP="00C64647">
      <w:pPr>
        <w:spacing w:line="276" w:lineRule="auto"/>
        <w:rPr>
          <w:rFonts w:cstheme="minorHAnsi"/>
          <w:b/>
          <w:sz w:val="24"/>
        </w:rPr>
      </w:pPr>
    </w:p>
    <w:p w14:paraId="289EEAEC" w14:textId="4C2AE7EA" w:rsidR="006E1EE4" w:rsidRDefault="006E1EE4" w:rsidP="00C64647">
      <w:pPr>
        <w:spacing w:line="276" w:lineRule="auto"/>
        <w:rPr>
          <w:rFonts w:cstheme="minorHAnsi"/>
          <w:b/>
          <w:sz w:val="24"/>
        </w:rPr>
      </w:pPr>
    </w:p>
    <w:p w14:paraId="250FD21A" w14:textId="77777777" w:rsidR="00E3792E" w:rsidRDefault="00E3792E" w:rsidP="00C64647">
      <w:pPr>
        <w:spacing w:line="276" w:lineRule="auto"/>
        <w:rPr>
          <w:rFonts w:cstheme="minorHAnsi"/>
          <w:b/>
          <w:sz w:val="24"/>
        </w:rPr>
      </w:pPr>
    </w:p>
    <w:p w14:paraId="79C53684" w14:textId="4B66DE32" w:rsidR="00A44003" w:rsidRPr="00782E0B" w:rsidRDefault="00782E0B" w:rsidP="00012881">
      <w:pPr>
        <w:spacing w:line="276" w:lineRule="auto"/>
        <w:jc w:val="center"/>
        <w:rPr>
          <w:rFonts w:cstheme="minorHAnsi"/>
          <w:b/>
          <w:bCs/>
          <w:sz w:val="24"/>
        </w:rPr>
      </w:pPr>
      <w:r w:rsidRPr="00782E0B">
        <w:rPr>
          <w:rFonts w:cstheme="minorHAnsi"/>
          <w:b/>
          <w:bCs/>
          <w:sz w:val="24"/>
        </w:rPr>
        <w:lastRenderedPageBreak/>
        <w:t>EXPOSICIÓN DE MOTIVOS</w:t>
      </w:r>
    </w:p>
    <w:p w14:paraId="6B4BB574" w14:textId="0B8B450D" w:rsidR="00782E0B" w:rsidRPr="00067FDA" w:rsidRDefault="00782E0B" w:rsidP="00782E0B">
      <w:pPr>
        <w:spacing w:line="276" w:lineRule="auto"/>
        <w:jc w:val="center"/>
        <w:rPr>
          <w:rFonts w:cstheme="minorHAnsi"/>
          <w:b/>
          <w:sz w:val="24"/>
        </w:rPr>
      </w:pPr>
      <w:r>
        <w:rPr>
          <w:rFonts w:cstheme="minorHAnsi"/>
          <w:b/>
          <w:sz w:val="24"/>
        </w:rPr>
        <w:t>Proyecto de Ley No. _______</w:t>
      </w:r>
      <w:r w:rsidRPr="00067FDA">
        <w:rPr>
          <w:rFonts w:cstheme="minorHAnsi"/>
          <w:b/>
          <w:sz w:val="24"/>
        </w:rPr>
        <w:t xml:space="preserve"> de 20</w:t>
      </w:r>
      <w:r>
        <w:rPr>
          <w:rFonts w:cstheme="minorHAnsi"/>
          <w:b/>
          <w:sz w:val="24"/>
        </w:rPr>
        <w:t>20 Cámara</w:t>
      </w:r>
    </w:p>
    <w:p w14:paraId="2FD6AC50" w14:textId="44249B4E" w:rsidR="00782E0B" w:rsidRPr="00A44003" w:rsidRDefault="00782E0B" w:rsidP="00A44003">
      <w:pPr>
        <w:spacing w:line="276" w:lineRule="auto"/>
        <w:jc w:val="center"/>
        <w:rPr>
          <w:rFonts w:cstheme="minorHAnsi"/>
          <w:b/>
          <w:sz w:val="24"/>
        </w:rPr>
      </w:pPr>
      <w:r w:rsidRPr="00067FDA">
        <w:rPr>
          <w:rFonts w:cstheme="minorHAnsi"/>
          <w:b/>
          <w:sz w:val="24"/>
        </w:rPr>
        <w:t>"</w:t>
      </w:r>
      <w:r>
        <w:rPr>
          <w:rFonts w:cstheme="minorHAnsi"/>
          <w:b/>
          <w:sz w:val="24"/>
        </w:rPr>
        <w:t xml:space="preserve">Por medio de la cual se establece una disminución porcentual en la tarifa del </w:t>
      </w:r>
      <w:r w:rsidRPr="00D56B76">
        <w:rPr>
          <w:rFonts w:cstheme="minorHAnsi"/>
          <w:b/>
          <w:sz w:val="24"/>
        </w:rPr>
        <w:t>Seguro Obligatorio de Accidentes de Tránsito (SOAT)</w:t>
      </w:r>
      <w:r>
        <w:rPr>
          <w:rFonts w:cstheme="minorHAnsi"/>
          <w:b/>
          <w:sz w:val="24"/>
        </w:rPr>
        <w:t>”</w:t>
      </w:r>
    </w:p>
    <w:p w14:paraId="5B08C1F9" w14:textId="48BBF952" w:rsidR="00C72837" w:rsidRPr="00C72837" w:rsidRDefault="00C72837" w:rsidP="00893D32">
      <w:pPr>
        <w:spacing w:line="276" w:lineRule="auto"/>
        <w:ind w:left="708"/>
        <w:jc w:val="both"/>
        <w:rPr>
          <w:rFonts w:cstheme="minorHAnsi"/>
          <w:b/>
          <w:bCs/>
          <w:sz w:val="24"/>
        </w:rPr>
      </w:pPr>
      <w:r w:rsidRPr="00C72837">
        <w:rPr>
          <w:rFonts w:cstheme="minorHAnsi"/>
          <w:b/>
          <w:bCs/>
          <w:sz w:val="24"/>
        </w:rPr>
        <w:t>Sobre el SOAT</w:t>
      </w:r>
    </w:p>
    <w:p w14:paraId="03AA77C9" w14:textId="0599095C" w:rsidR="00782E0B" w:rsidRDefault="00E207B7" w:rsidP="0027204B">
      <w:pPr>
        <w:spacing w:line="276" w:lineRule="auto"/>
        <w:jc w:val="both"/>
        <w:rPr>
          <w:rFonts w:cstheme="minorHAnsi"/>
          <w:sz w:val="24"/>
        </w:rPr>
      </w:pPr>
      <w:r>
        <w:rPr>
          <w:rFonts w:cstheme="minorHAnsi"/>
          <w:sz w:val="24"/>
        </w:rPr>
        <w:t xml:space="preserve">El Seguro Obligatorio de Accidentes de Tránsito (SOAT) </w:t>
      </w:r>
      <w:r w:rsidR="00EE428A">
        <w:rPr>
          <w:rFonts w:cstheme="minorHAnsi"/>
          <w:sz w:val="24"/>
        </w:rPr>
        <w:t xml:space="preserve">está definido en la legislación colombiana, específicamente en el artículo 42 de la Ley 769 de 2002, como un seguro del que deben disponer los vehículos para poder transitar en el territorio nacional y que ampara los daños corporales que se causen a las personas en accidentes de tránsito. Este seguro y sus coberturas hacen parte del sistema general de seguridad social en salud del país y las tarifas máximas que pueden cobrar las entidades aseguradoras para expedirlo están calculadas por la Superintendencia Financiera de Colombia. </w:t>
      </w:r>
    </w:p>
    <w:p w14:paraId="609177FC" w14:textId="52A5264A" w:rsidR="00ED6F1E" w:rsidRPr="00ED6F1E" w:rsidRDefault="00ED6F1E" w:rsidP="00ED6F1E">
      <w:pPr>
        <w:spacing w:line="276" w:lineRule="auto"/>
        <w:jc w:val="both"/>
        <w:rPr>
          <w:rFonts w:cstheme="minorHAnsi"/>
          <w:sz w:val="24"/>
        </w:rPr>
      </w:pPr>
      <w:r>
        <w:rPr>
          <w:rFonts w:cstheme="minorHAnsi"/>
          <w:sz w:val="24"/>
        </w:rPr>
        <w:t xml:space="preserve">De acuerdo con esta misma Superintendencia, </w:t>
      </w:r>
      <w:r w:rsidR="000D5B1A">
        <w:rPr>
          <w:rFonts w:cstheme="minorHAnsi"/>
          <w:sz w:val="24"/>
        </w:rPr>
        <w:t>e</w:t>
      </w:r>
      <w:r w:rsidRPr="00ED6F1E">
        <w:rPr>
          <w:rFonts w:cstheme="minorHAnsi"/>
          <w:sz w:val="24"/>
        </w:rPr>
        <w:t>l SOAT fue creado bajo la filosofía de solidaridad, equidad y sostenibilidad. La equidad y solidaridad se fundamentan en la atención a los lesionados en accidentes de tránsito con el fin de garantizar la atención oportuna y procurando preservar la vida del ser humano afectado sin importar su nivel socio-económico. Para garantizar estos pilares, los recursos del SOAT son administrados por diferentes entes territoriales a nivel nacional, de índole público y privado (aseguradoras, agencia nacional de seguridad vial, etc).</w:t>
      </w:r>
    </w:p>
    <w:p w14:paraId="731E1686" w14:textId="76107F4B" w:rsidR="00ED6F1E" w:rsidRDefault="00ED6F1E" w:rsidP="00ED6F1E">
      <w:pPr>
        <w:spacing w:line="276" w:lineRule="auto"/>
        <w:jc w:val="both"/>
        <w:rPr>
          <w:rFonts w:cstheme="minorHAnsi"/>
          <w:sz w:val="24"/>
        </w:rPr>
      </w:pPr>
      <w:r w:rsidRPr="00ED6F1E">
        <w:rPr>
          <w:rFonts w:cstheme="minorHAnsi"/>
          <w:sz w:val="24"/>
        </w:rPr>
        <w:t>Periódicamente la Superintendencia Nacional de Salud y la Superintendencia Financiera de Colombia revisan la sostenibilidad del sistema.</w:t>
      </w:r>
      <w:r w:rsidR="000D5B1A">
        <w:rPr>
          <w:rFonts w:cstheme="minorHAnsi"/>
          <w:sz w:val="24"/>
        </w:rPr>
        <w:t xml:space="preserve"> Ambas buscan </w:t>
      </w:r>
      <w:r w:rsidR="000D5B1A" w:rsidRPr="00ED6F1E">
        <w:rPr>
          <w:rFonts w:cstheme="minorHAnsi"/>
          <w:sz w:val="24"/>
        </w:rPr>
        <w:t>atención oportuna y eficaz de los lesionados</w:t>
      </w:r>
      <w:r w:rsidR="000D5B1A">
        <w:rPr>
          <w:rFonts w:cstheme="minorHAnsi"/>
          <w:sz w:val="24"/>
        </w:rPr>
        <w:t xml:space="preserve"> y </w:t>
      </w:r>
      <w:r w:rsidR="000D5B1A" w:rsidRPr="00ED6F1E">
        <w:rPr>
          <w:rFonts w:cstheme="minorHAnsi"/>
          <w:sz w:val="24"/>
        </w:rPr>
        <w:t>velar por los derechos de los consumidores ante las aseguradoras por la adquisición de este tipo de seguro y las tarifas que las mismas deben cobrar</w:t>
      </w:r>
      <w:r w:rsidR="000D5B1A">
        <w:rPr>
          <w:rFonts w:cstheme="minorHAnsi"/>
          <w:sz w:val="24"/>
        </w:rPr>
        <w:t>.</w:t>
      </w:r>
    </w:p>
    <w:p w14:paraId="3E3B6AD8" w14:textId="1F78741E" w:rsidR="000F5A3C" w:rsidRPr="000F5A3C" w:rsidRDefault="000F5A3C" w:rsidP="000F5A3C">
      <w:pPr>
        <w:spacing w:line="276" w:lineRule="auto"/>
        <w:jc w:val="both"/>
        <w:rPr>
          <w:rFonts w:cstheme="minorHAnsi"/>
          <w:sz w:val="24"/>
        </w:rPr>
      </w:pPr>
      <w:r>
        <w:rPr>
          <w:rFonts w:cstheme="minorHAnsi"/>
          <w:sz w:val="24"/>
        </w:rPr>
        <w:t>La razón de ser de este seguro se debe al cubrimiento, e</w:t>
      </w:r>
      <w:r w:rsidRPr="000F5A3C">
        <w:rPr>
          <w:rFonts w:cstheme="minorHAnsi"/>
          <w:sz w:val="24"/>
        </w:rPr>
        <w:t>n caso de accidente de tránsito, a tod</w:t>
      </w:r>
      <w:r>
        <w:rPr>
          <w:rFonts w:cstheme="minorHAnsi"/>
          <w:sz w:val="24"/>
        </w:rPr>
        <w:t>o</w:t>
      </w:r>
      <w:r w:rsidRPr="000F5A3C">
        <w:rPr>
          <w:rFonts w:cstheme="minorHAnsi"/>
          <w:sz w:val="24"/>
        </w:rPr>
        <w:t>s los lesionados:</w:t>
      </w:r>
    </w:p>
    <w:p w14:paraId="087EAF26" w14:textId="69031CC6" w:rsidR="000F5A3C" w:rsidRPr="000F5A3C" w:rsidRDefault="000F5A3C" w:rsidP="000F5A3C">
      <w:pPr>
        <w:pStyle w:val="Prrafodelista"/>
        <w:numPr>
          <w:ilvl w:val="0"/>
          <w:numId w:val="26"/>
        </w:numPr>
        <w:spacing w:line="276" w:lineRule="auto"/>
        <w:jc w:val="both"/>
        <w:rPr>
          <w:rFonts w:cstheme="minorHAnsi"/>
          <w:sz w:val="24"/>
        </w:rPr>
      </w:pPr>
      <w:r w:rsidRPr="000F5A3C">
        <w:rPr>
          <w:rFonts w:cstheme="minorHAnsi"/>
          <w:sz w:val="24"/>
        </w:rPr>
        <w:t>Al conductor.</w:t>
      </w:r>
    </w:p>
    <w:p w14:paraId="7F11EDA3" w14:textId="3773C2DA" w:rsidR="000F5A3C" w:rsidRPr="000F5A3C" w:rsidRDefault="000F5A3C" w:rsidP="000F5A3C">
      <w:pPr>
        <w:pStyle w:val="Prrafodelista"/>
        <w:numPr>
          <w:ilvl w:val="0"/>
          <w:numId w:val="26"/>
        </w:numPr>
        <w:spacing w:line="276" w:lineRule="auto"/>
        <w:jc w:val="both"/>
        <w:rPr>
          <w:rFonts w:cstheme="minorHAnsi"/>
          <w:sz w:val="24"/>
        </w:rPr>
      </w:pPr>
      <w:r w:rsidRPr="000F5A3C">
        <w:rPr>
          <w:rFonts w:cstheme="minorHAnsi"/>
          <w:sz w:val="24"/>
        </w:rPr>
        <w:t>A los ocupantes particulares.</w:t>
      </w:r>
    </w:p>
    <w:p w14:paraId="6DD68631" w14:textId="6F0706C0" w:rsidR="000F5A3C" w:rsidRPr="000F5A3C" w:rsidRDefault="000F5A3C" w:rsidP="000F5A3C">
      <w:pPr>
        <w:pStyle w:val="Prrafodelista"/>
        <w:numPr>
          <w:ilvl w:val="0"/>
          <w:numId w:val="26"/>
        </w:numPr>
        <w:spacing w:line="276" w:lineRule="auto"/>
        <w:jc w:val="both"/>
        <w:rPr>
          <w:rFonts w:cstheme="minorHAnsi"/>
          <w:sz w:val="24"/>
        </w:rPr>
      </w:pPr>
      <w:r w:rsidRPr="000F5A3C">
        <w:rPr>
          <w:rFonts w:cstheme="minorHAnsi"/>
          <w:sz w:val="24"/>
        </w:rPr>
        <w:t>A los pasajeros (vehículos de servicio público).</w:t>
      </w:r>
    </w:p>
    <w:p w14:paraId="59E6E8EE" w14:textId="7B9AE09E" w:rsidR="000F5A3C" w:rsidRPr="000F5A3C" w:rsidRDefault="000F5A3C" w:rsidP="000F5A3C">
      <w:pPr>
        <w:pStyle w:val="Prrafodelista"/>
        <w:numPr>
          <w:ilvl w:val="0"/>
          <w:numId w:val="26"/>
        </w:numPr>
        <w:spacing w:line="276" w:lineRule="auto"/>
        <w:jc w:val="both"/>
        <w:rPr>
          <w:rFonts w:cstheme="minorHAnsi"/>
          <w:sz w:val="24"/>
        </w:rPr>
      </w:pPr>
      <w:r w:rsidRPr="000F5A3C">
        <w:rPr>
          <w:rFonts w:cstheme="minorHAnsi"/>
          <w:sz w:val="24"/>
        </w:rPr>
        <w:t>A los peatones.</w:t>
      </w:r>
    </w:p>
    <w:p w14:paraId="7A63D01A" w14:textId="04A7C2F8" w:rsidR="000F5A3C" w:rsidRDefault="000F5A3C" w:rsidP="000F5A3C">
      <w:pPr>
        <w:spacing w:line="276" w:lineRule="auto"/>
        <w:jc w:val="both"/>
        <w:rPr>
          <w:rFonts w:cstheme="minorHAnsi"/>
          <w:sz w:val="24"/>
        </w:rPr>
      </w:pPr>
      <w:r w:rsidRPr="000F5A3C">
        <w:rPr>
          <w:rFonts w:cstheme="minorHAnsi"/>
          <w:sz w:val="24"/>
        </w:rPr>
        <w:t>En los casos en que no existe seguro o el vehículo no es identificado, la Administradora de los Recursos del Sistema General de Seguridad Social en Salud</w:t>
      </w:r>
      <w:r>
        <w:rPr>
          <w:rFonts w:cstheme="minorHAnsi"/>
          <w:sz w:val="24"/>
        </w:rPr>
        <w:t xml:space="preserve"> (</w:t>
      </w:r>
      <w:r w:rsidRPr="000F5A3C">
        <w:rPr>
          <w:rFonts w:cstheme="minorHAnsi"/>
          <w:sz w:val="24"/>
        </w:rPr>
        <w:t>ADRES</w:t>
      </w:r>
      <w:r>
        <w:rPr>
          <w:rFonts w:cstheme="minorHAnsi"/>
          <w:sz w:val="24"/>
        </w:rPr>
        <w:t>)</w:t>
      </w:r>
      <w:r w:rsidRPr="000F5A3C">
        <w:rPr>
          <w:rFonts w:cstheme="minorHAnsi"/>
          <w:sz w:val="24"/>
        </w:rPr>
        <w:t xml:space="preserve">, a través de la subcuenta de Eventos Catastróficos y Accidentes de Tránsito </w:t>
      </w:r>
      <w:r>
        <w:rPr>
          <w:rFonts w:cstheme="minorHAnsi"/>
          <w:sz w:val="24"/>
        </w:rPr>
        <w:t>(</w:t>
      </w:r>
      <w:r w:rsidRPr="000F5A3C">
        <w:rPr>
          <w:rFonts w:cstheme="minorHAnsi"/>
          <w:sz w:val="24"/>
        </w:rPr>
        <w:t>ECAT</w:t>
      </w:r>
      <w:r>
        <w:rPr>
          <w:rFonts w:cstheme="minorHAnsi"/>
          <w:sz w:val="24"/>
        </w:rPr>
        <w:t>)</w:t>
      </w:r>
      <w:r w:rsidRPr="000F5A3C">
        <w:rPr>
          <w:rFonts w:cstheme="minorHAnsi"/>
          <w:sz w:val="24"/>
        </w:rPr>
        <w:t>, cubre a los lesionados.</w:t>
      </w:r>
    </w:p>
    <w:p w14:paraId="32EF56E5" w14:textId="72848EB6" w:rsidR="000F5A3C" w:rsidRDefault="000F5A3C" w:rsidP="000F5A3C">
      <w:pPr>
        <w:spacing w:line="276" w:lineRule="auto"/>
        <w:jc w:val="both"/>
        <w:rPr>
          <w:rFonts w:cstheme="minorHAnsi"/>
          <w:sz w:val="24"/>
        </w:rPr>
      </w:pPr>
      <w:r>
        <w:rPr>
          <w:rFonts w:cstheme="minorHAnsi"/>
          <w:sz w:val="24"/>
        </w:rPr>
        <w:t>Así mismo, se debe también al universo de coberturas que alcanza. Esto es:</w:t>
      </w:r>
    </w:p>
    <w:p w14:paraId="333A14E0" w14:textId="77777777" w:rsidR="000F5A3C" w:rsidRPr="000F5A3C" w:rsidRDefault="000F5A3C" w:rsidP="000F5A3C">
      <w:pPr>
        <w:pStyle w:val="Prrafodelista"/>
        <w:numPr>
          <w:ilvl w:val="0"/>
          <w:numId w:val="27"/>
        </w:numPr>
        <w:spacing w:line="276" w:lineRule="auto"/>
        <w:jc w:val="both"/>
        <w:rPr>
          <w:rFonts w:cstheme="minorHAnsi"/>
          <w:sz w:val="24"/>
        </w:rPr>
      </w:pPr>
      <w:r w:rsidRPr="000F5A3C">
        <w:rPr>
          <w:rFonts w:cstheme="minorHAnsi"/>
          <w:sz w:val="24"/>
        </w:rPr>
        <w:t>Atención inicial de urgencias y atención de urgencias.</w:t>
      </w:r>
    </w:p>
    <w:p w14:paraId="563FA09A" w14:textId="51CACDE9" w:rsidR="000F5A3C" w:rsidRPr="000F5A3C" w:rsidRDefault="000F5A3C" w:rsidP="000F5A3C">
      <w:pPr>
        <w:pStyle w:val="Prrafodelista"/>
        <w:numPr>
          <w:ilvl w:val="0"/>
          <w:numId w:val="27"/>
        </w:numPr>
        <w:spacing w:line="276" w:lineRule="auto"/>
        <w:jc w:val="both"/>
        <w:rPr>
          <w:rFonts w:cstheme="minorHAnsi"/>
          <w:sz w:val="24"/>
        </w:rPr>
      </w:pPr>
      <w:r w:rsidRPr="000F5A3C">
        <w:rPr>
          <w:rFonts w:cstheme="minorHAnsi"/>
          <w:sz w:val="24"/>
        </w:rPr>
        <w:t>Hospitalización.</w:t>
      </w:r>
    </w:p>
    <w:p w14:paraId="5F971160" w14:textId="7A607079" w:rsidR="000F5A3C" w:rsidRPr="000F5A3C" w:rsidRDefault="000F5A3C" w:rsidP="000F5A3C">
      <w:pPr>
        <w:pStyle w:val="Prrafodelista"/>
        <w:numPr>
          <w:ilvl w:val="0"/>
          <w:numId w:val="27"/>
        </w:numPr>
        <w:spacing w:line="276" w:lineRule="auto"/>
        <w:jc w:val="both"/>
        <w:rPr>
          <w:rFonts w:cstheme="minorHAnsi"/>
          <w:sz w:val="24"/>
        </w:rPr>
      </w:pPr>
      <w:r w:rsidRPr="000F5A3C">
        <w:rPr>
          <w:rFonts w:cstheme="minorHAnsi"/>
          <w:sz w:val="24"/>
        </w:rPr>
        <w:t>Suministro de material médico-quirúrgico, osteosíntesis, órtesis y</w:t>
      </w:r>
      <w:r>
        <w:rPr>
          <w:rFonts w:cstheme="minorHAnsi"/>
          <w:sz w:val="24"/>
        </w:rPr>
        <w:t xml:space="preserve"> </w:t>
      </w:r>
      <w:r w:rsidRPr="000F5A3C">
        <w:rPr>
          <w:rFonts w:cstheme="minorHAnsi"/>
          <w:sz w:val="24"/>
        </w:rPr>
        <w:t>prótesis.</w:t>
      </w:r>
    </w:p>
    <w:p w14:paraId="41828823" w14:textId="7A72A9B2" w:rsidR="000F5A3C" w:rsidRPr="000F5A3C" w:rsidRDefault="000F5A3C" w:rsidP="000F5A3C">
      <w:pPr>
        <w:pStyle w:val="Prrafodelista"/>
        <w:numPr>
          <w:ilvl w:val="0"/>
          <w:numId w:val="27"/>
        </w:numPr>
        <w:spacing w:line="276" w:lineRule="auto"/>
        <w:jc w:val="both"/>
        <w:rPr>
          <w:rFonts w:cstheme="minorHAnsi"/>
          <w:sz w:val="24"/>
        </w:rPr>
      </w:pPr>
      <w:r w:rsidRPr="000F5A3C">
        <w:rPr>
          <w:rFonts w:cstheme="minorHAnsi"/>
          <w:sz w:val="24"/>
        </w:rPr>
        <w:t>Suministro de medicamentos.</w:t>
      </w:r>
    </w:p>
    <w:p w14:paraId="47AD6EA5" w14:textId="1BE4FB17" w:rsidR="000F5A3C" w:rsidRPr="000F5A3C" w:rsidRDefault="000F5A3C" w:rsidP="000F5A3C">
      <w:pPr>
        <w:pStyle w:val="Prrafodelista"/>
        <w:numPr>
          <w:ilvl w:val="0"/>
          <w:numId w:val="27"/>
        </w:numPr>
        <w:spacing w:line="276" w:lineRule="auto"/>
        <w:jc w:val="both"/>
        <w:rPr>
          <w:rFonts w:cstheme="minorHAnsi"/>
          <w:sz w:val="24"/>
        </w:rPr>
      </w:pPr>
      <w:r w:rsidRPr="000F5A3C">
        <w:rPr>
          <w:rFonts w:cstheme="minorHAnsi"/>
          <w:sz w:val="24"/>
        </w:rPr>
        <w:t>Tratamientos y procedimientos quirúrgicos.</w:t>
      </w:r>
    </w:p>
    <w:p w14:paraId="637A982A" w14:textId="3A816AB6" w:rsidR="000F5A3C" w:rsidRPr="000F5A3C" w:rsidRDefault="000F5A3C" w:rsidP="000F5A3C">
      <w:pPr>
        <w:pStyle w:val="Prrafodelista"/>
        <w:numPr>
          <w:ilvl w:val="0"/>
          <w:numId w:val="27"/>
        </w:numPr>
        <w:spacing w:line="276" w:lineRule="auto"/>
        <w:jc w:val="both"/>
        <w:rPr>
          <w:rFonts w:cstheme="minorHAnsi"/>
          <w:sz w:val="24"/>
        </w:rPr>
      </w:pPr>
      <w:r w:rsidRPr="000F5A3C">
        <w:rPr>
          <w:rFonts w:cstheme="minorHAnsi"/>
          <w:sz w:val="24"/>
        </w:rPr>
        <w:t>Servicios de diagnóstico.</w:t>
      </w:r>
    </w:p>
    <w:p w14:paraId="7F7764F9" w14:textId="212C8630" w:rsidR="00EE428A" w:rsidRPr="00A44003" w:rsidRDefault="000F5A3C" w:rsidP="0027204B">
      <w:pPr>
        <w:pStyle w:val="Prrafodelista"/>
        <w:numPr>
          <w:ilvl w:val="0"/>
          <w:numId w:val="27"/>
        </w:numPr>
        <w:spacing w:line="276" w:lineRule="auto"/>
        <w:jc w:val="both"/>
        <w:rPr>
          <w:rFonts w:cstheme="minorHAnsi"/>
          <w:sz w:val="24"/>
        </w:rPr>
      </w:pPr>
      <w:r w:rsidRPr="000F5A3C">
        <w:rPr>
          <w:rFonts w:cstheme="minorHAnsi"/>
          <w:sz w:val="24"/>
        </w:rPr>
        <w:t>Rehabilitación.</w:t>
      </w:r>
    </w:p>
    <w:p w14:paraId="5A0091D8" w14:textId="5140B829" w:rsidR="00C72837" w:rsidRDefault="00C72837" w:rsidP="00893D32">
      <w:pPr>
        <w:spacing w:line="276" w:lineRule="auto"/>
        <w:ind w:left="360"/>
        <w:jc w:val="both"/>
        <w:rPr>
          <w:rFonts w:cstheme="minorHAnsi"/>
          <w:b/>
          <w:bCs/>
          <w:sz w:val="24"/>
        </w:rPr>
      </w:pPr>
      <w:r>
        <w:rPr>
          <w:rFonts w:cstheme="minorHAnsi"/>
          <w:b/>
          <w:bCs/>
          <w:sz w:val="24"/>
        </w:rPr>
        <w:t>Sobre la sostenibilidad de los recursos del SOAT</w:t>
      </w:r>
    </w:p>
    <w:p w14:paraId="26FFF44B" w14:textId="78F3BF77" w:rsidR="00C72837" w:rsidRPr="00C72837" w:rsidRDefault="00C72837" w:rsidP="00C72837">
      <w:pPr>
        <w:spacing w:line="276" w:lineRule="auto"/>
        <w:jc w:val="both"/>
        <w:rPr>
          <w:rFonts w:cstheme="minorHAnsi"/>
          <w:sz w:val="24"/>
        </w:rPr>
      </w:pPr>
      <w:r>
        <w:rPr>
          <w:rFonts w:cstheme="minorHAnsi"/>
          <w:sz w:val="24"/>
        </w:rPr>
        <w:t xml:space="preserve">Como ya se ha dicho, la Superintendencia </w:t>
      </w:r>
      <w:r w:rsidR="000B474F">
        <w:rPr>
          <w:rFonts w:cstheme="minorHAnsi"/>
          <w:sz w:val="24"/>
        </w:rPr>
        <w:t>Financiera de Colombia</w:t>
      </w:r>
      <w:r w:rsidR="00893D32">
        <w:rPr>
          <w:rFonts w:cstheme="minorHAnsi"/>
          <w:sz w:val="24"/>
        </w:rPr>
        <w:t xml:space="preserve"> es la entidad encargada de calcular las tarifas del SOAT con el término de cada año. Adicionalmente, también es la encargada de verificar que l</w:t>
      </w:r>
      <w:r w:rsidRPr="00C72837">
        <w:rPr>
          <w:rFonts w:cstheme="minorHAnsi"/>
          <w:sz w:val="24"/>
        </w:rPr>
        <w:t>os recursos del SOAT deb</w:t>
      </w:r>
      <w:r w:rsidR="00893D32">
        <w:rPr>
          <w:rFonts w:cstheme="minorHAnsi"/>
          <w:sz w:val="24"/>
        </w:rPr>
        <w:t>a</w:t>
      </w:r>
      <w:r w:rsidRPr="00C72837">
        <w:rPr>
          <w:rFonts w:cstheme="minorHAnsi"/>
          <w:sz w:val="24"/>
        </w:rPr>
        <w:t>n ser suficientes para garantizar la oportuna y adecuada atención de los lesionados en accidentes de tránsito, para lo cual los ingresos percibidos por los diferentes actores del sistema deben sufragar los costos y gastos que se deriven en dicha atención.</w:t>
      </w:r>
    </w:p>
    <w:p w14:paraId="282FAE59" w14:textId="06485F11" w:rsidR="00C72837" w:rsidRDefault="00C72837" w:rsidP="00893D32">
      <w:pPr>
        <w:spacing w:line="276" w:lineRule="auto"/>
        <w:ind w:left="426"/>
        <w:jc w:val="both"/>
        <w:rPr>
          <w:rFonts w:cstheme="minorHAnsi"/>
          <w:sz w:val="24"/>
        </w:rPr>
      </w:pPr>
      <w:r w:rsidRPr="00C72837">
        <w:rPr>
          <w:rFonts w:cstheme="minorHAnsi"/>
          <w:sz w:val="24"/>
        </w:rPr>
        <w:t xml:space="preserve">Para verificar la suficiencia de los recursos del SOAT, la Superfinanciera analiza periódicamente los factores de frecuencia y severidad de la siniestralidad del parque automotor asegurado. Para ello es necesario conocer el número de accidentes de tránsito y el valor pagado en las diferentes coberturas, así como el número de pólizas SOAT expedidas para los vehículos que circulan por el territorio nacional. </w:t>
      </w:r>
      <w:r w:rsidRPr="00893D32">
        <w:rPr>
          <w:rFonts w:cstheme="minorHAnsi"/>
          <w:b/>
          <w:bCs/>
          <w:sz w:val="24"/>
        </w:rPr>
        <w:t>En consecuencia, el incremento en el número de accidentes de tránsito y los costos asociados a la atención de los lesionados frente a las tarifas que actualmente se cobran pueden llegar a afectar la suficiencia de los recursos del SOAT</w:t>
      </w:r>
      <w:r w:rsidR="00893D32">
        <w:rPr>
          <w:rStyle w:val="Refdenotaalpie"/>
          <w:rFonts w:cstheme="minorHAnsi"/>
          <w:sz w:val="24"/>
        </w:rPr>
        <w:footnoteReference w:id="1"/>
      </w:r>
      <w:r w:rsidRPr="00C72837">
        <w:rPr>
          <w:rFonts w:cstheme="minorHAnsi"/>
          <w:sz w:val="24"/>
        </w:rPr>
        <w:t>.</w:t>
      </w:r>
      <w:r w:rsidR="00893D32">
        <w:rPr>
          <w:rFonts w:cstheme="minorHAnsi"/>
          <w:sz w:val="24"/>
        </w:rPr>
        <w:t xml:space="preserve"> (Resaltado propio).</w:t>
      </w:r>
    </w:p>
    <w:p w14:paraId="0A96FDB0" w14:textId="504CDB88" w:rsidR="00893D32" w:rsidRDefault="00893D32" w:rsidP="0027204B">
      <w:pPr>
        <w:spacing w:line="276" w:lineRule="auto"/>
        <w:jc w:val="both"/>
        <w:rPr>
          <w:rFonts w:cstheme="minorHAnsi"/>
          <w:sz w:val="24"/>
        </w:rPr>
      </w:pPr>
      <w:r>
        <w:rPr>
          <w:rFonts w:cstheme="minorHAnsi"/>
          <w:sz w:val="24"/>
        </w:rPr>
        <w:t>Tomando en consideración dichos elementos</w:t>
      </w:r>
      <w:r w:rsidR="00C72837" w:rsidRPr="00C72837">
        <w:rPr>
          <w:rFonts w:cstheme="minorHAnsi"/>
          <w:sz w:val="24"/>
        </w:rPr>
        <w:t>, la Superintendencia Financiera de Colombia calcula las tarifas máximas que pueden cobrar las entidades aseguradoras para expedir el Seguro Obligatorio de Accidentes de Tránsito – SOAT para cada una de las 36 categorías de vehículos automotores en Salarios Mínimos Diarios Legales Vigentes (SMDLV).</w:t>
      </w:r>
    </w:p>
    <w:p w14:paraId="3770A32F" w14:textId="71A568B8" w:rsidR="00893D32" w:rsidRDefault="00893D32" w:rsidP="00893D32">
      <w:pPr>
        <w:spacing w:line="276" w:lineRule="auto"/>
        <w:ind w:left="708"/>
        <w:jc w:val="both"/>
        <w:rPr>
          <w:rFonts w:cstheme="minorHAnsi"/>
          <w:b/>
          <w:bCs/>
          <w:sz w:val="24"/>
        </w:rPr>
      </w:pPr>
      <w:r w:rsidRPr="00893D32">
        <w:rPr>
          <w:rFonts w:cstheme="minorHAnsi"/>
          <w:b/>
          <w:bCs/>
          <w:sz w:val="24"/>
        </w:rPr>
        <w:t>Sobre el resultado de los tres años anteriores</w:t>
      </w:r>
    </w:p>
    <w:p w14:paraId="71AF59EB" w14:textId="10701092" w:rsidR="00893D32" w:rsidRDefault="00893D32" w:rsidP="00893D32">
      <w:pPr>
        <w:spacing w:line="276" w:lineRule="auto"/>
        <w:jc w:val="both"/>
        <w:rPr>
          <w:rFonts w:cstheme="minorHAnsi"/>
          <w:sz w:val="24"/>
        </w:rPr>
      </w:pPr>
      <w:r>
        <w:rPr>
          <w:rFonts w:cstheme="minorHAnsi"/>
          <w:sz w:val="24"/>
        </w:rPr>
        <w:t>Para la construción de este proyecto de ley, hemos de tener en cuenta los resultados del ejericio de análisis y cálculo derivados d</w:t>
      </w:r>
      <w:r w:rsidRPr="00893D32">
        <w:rPr>
          <w:rFonts w:cstheme="minorHAnsi"/>
          <w:sz w:val="24"/>
        </w:rPr>
        <w:t>el número de accidentes de tránsito y los costos asociados a la atención de los lesionados frente a las tarifas</w:t>
      </w:r>
      <w:r w:rsidR="003828AD">
        <w:rPr>
          <w:rFonts w:cstheme="minorHAnsi"/>
          <w:sz w:val="24"/>
        </w:rPr>
        <w:t>, de los últimos tres años.</w:t>
      </w:r>
    </w:p>
    <w:p w14:paraId="3638657D" w14:textId="394DA169" w:rsidR="003828AD" w:rsidRDefault="003828AD" w:rsidP="00893D32">
      <w:pPr>
        <w:spacing w:line="276" w:lineRule="auto"/>
        <w:jc w:val="both"/>
        <w:rPr>
          <w:rFonts w:cstheme="minorHAnsi"/>
          <w:sz w:val="24"/>
        </w:rPr>
      </w:pPr>
      <w:r>
        <w:rPr>
          <w:rFonts w:cstheme="minorHAnsi"/>
          <w:sz w:val="24"/>
        </w:rPr>
        <w:t>Así, por ejemplo, se tiene que “l</w:t>
      </w:r>
      <w:r w:rsidRPr="003828AD">
        <w:rPr>
          <w:rFonts w:cstheme="minorHAnsi"/>
          <w:sz w:val="24"/>
        </w:rPr>
        <w:t>os resultados de los análisis realizados por la Superintendencia para los años 2010 a 2016, arrojaron suficiencia de los recursos disponibles en el sistema. Sin embargo, el último estudio realizado evidenció un incremento en los accidentes de tránsito y en el valor pagado por estos, lo que pone en riesgo la suficiencia de los recursos</w:t>
      </w:r>
      <w:r>
        <w:rPr>
          <w:rFonts w:cstheme="minorHAnsi"/>
          <w:sz w:val="24"/>
        </w:rPr>
        <w:t>”</w:t>
      </w:r>
      <w:r>
        <w:rPr>
          <w:rStyle w:val="Refdenotaalpie"/>
          <w:rFonts w:cstheme="minorHAnsi"/>
          <w:sz w:val="24"/>
        </w:rPr>
        <w:footnoteReference w:id="2"/>
      </w:r>
      <w:r w:rsidRPr="003828AD">
        <w:rPr>
          <w:rFonts w:cstheme="minorHAnsi"/>
          <w:sz w:val="24"/>
        </w:rPr>
        <w:t>.</w:t>
      </w:r>
    </w:p>
    <w:p w14:paraId="723608DE" w14:textId="677EFF09" w:rsidR="003828AD" w:rsidRDefault="003828AD" w:rsidP="003828AD">
      <w:pPr>
        <w:spacing w:line="276" w:lineRule="auto"/>
        <w:jc w:val="both"/>
        <w:rPr>
          <w:rFonts w:cstheme="minorHAnsi"/>
          <w:sz w:val="24"/>
        </w:rPr>
      </w:pPr>
      <w:r>
        <w:rPr>
          <w:rFonts w:cstheme="minorHAnsi"/>
          <w:sz w:val="24"/>
        </w:rPr>
        <w:t>Por lo tanto, la tarifa establecida para el 2018, como producto de los accidentes y la siniestralidad del 2017 tuvo que ser aumentada. En diciembre de 2017, se llegó a la conlusión que l</w:t>
      </w:r>
      <w:r w:rsidRPr="003828AD">
        <w:rPr>
          <w:rFonts w:cstheme="minorHAnsi"/>
          <w:sz w:val="24"/>
        </w:rPr>
        <w:t>a alta accidentalidad y el costo que esto representa llevaron a la Superintendencia Financiera a realizar un alza en las tarifas del Seguro Obligatorio de Accidentes de Tránsito (Soat) a partir del primero de enero del 2018.</w:t>
      </w:r>
      <w:r>
        <w:rPr>
          <w:rFonts w:cstheme="minorHAnsi"/>
          <w:sz w:val="24"/>
        </w:rPr>
        <w:t xml:space="preserve"> </w:t>
      </w:r>
      <w:r w:rsidRPr="003828AD">
        <w:rPr>
          <w:rFonts w:cstheme="minorHAnsi"/>
          <w:sz w:val="24"/>
        </w:rPr>
        <w:t>"El último estudio realizado evidenció un incremento en los accidentes de tránsito y en el valor pagado por estos, lo que pone en riesgo la suficiencia de los recursos"</w:t>
      </w:r>
      <w:r>
        <w:rPr>
          <w:rStyle w:val="Refdenotaalpie"/>
          <w:rFonts w:cstheme="minorHAnsi"/>
          <w:sz w:val="24"/>
        </w:rPr>
        <w:footnoteReference w:id="3"/>
      </w:r>
      <w:r>
        <w:rPr>
          <w:rFonts w:cstheme="minorHAnsi"/>
          <w:sz w:val="24"/>
        </w:rPr>
        <w:t>.</w:t>
      </w:r>
    </w:p>
    <w:p w14:paraId="0E0AE134" w14:textId="067E3A94" w:rsidR="00696B18" w:rsidRDefault="00696B18" w:rsidP="003828AD">
      <w:pPr>
        <w:spacing w:line="276" w:lineRule="auto"/>
        <w:jc w:val="both"/>
        <w:rPr>
          <w:rFonts w:cstheme="minorHAnsi"/>
          <w:sz w:val="24"/>
        </w:rPr>
      </w:pPr>
      <w:r>
        <w:rPr>
          <w:rFonts w:cstheme="minorHAnsi"/>
          <w:sz w:val="24"/>
        </w:rPr>
        <w:t>El establecimiento de la tarifa máxima definida por la Superintendencia para el año 2018 fue la siguiente:</w:t>
      </w:r>
    </w:p>
    <w:p w14:paraId="48F46F87" w14:textId="77777777" w:rsidR="00696B18" w:rsidRDefault="00696B18" w:rsidP="003828AD">
      <w:pPr>
        <w:spacing w:line="276" w:lineRule="auto"/>
        <w:jc w:val="both"/>
        <w:rPr>
          <w:rFonts w:cstheme="minorHAnsi"/>
          <w:sz w:val="24"/>
        </w:rPr>
      </w:pPr>
    </w:p>
    <w:p w14:paraId="3B1446EA" w14:textId="77777777" w:rsidR="00696B18" w:rsidRDefault="00696B18" w:rsidP="00696B18">
      <w:pPr>
        <w:numPr>
          <w:ilvl w:val="12"/>
          <w:numId w:val="0"/>
        </w:numPr>
        <w:pBdr>
          <w:left w:val="single" w:sz="4" w:space="4" w:color="auto"/>
        </w:pBdr>
        <w:tabs>
          <w:tab w:val="left" w:pos="720"/>
        </w:tabs>
        <w:jc w:val="both"/>
        <w:rPr>
          <w:rFonts w:ascii="Arial" w:hAnsi="Arial" w:cs="Arial"/>
          <w:sz w:val="16"/>
          <w:szCs w:val="16"/>
          <w:lang w:eastAsia="es-CO"/>
        </w:rPr>
      </w:pPr>
      <w:r w:rsidRPr="003E79F0">
        <w:rPr>
          <w:noProof/>
          <w:lang w:eastAsia="es-CO"/>
        </w:rPr>
        <w:drawing>
          <wp:inline distT="0" distB="0" distL="0" distR="0" wp14:anchorId="0C7272CE" wp14:editId="1DAAEED4">
            <wp:extent cx="5972175" cy="27456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175" cy="2745697"/>
                    </a:xfrm>
                    <a:prstGeom prst="rect">
                      <a:avLst/>
                    </a:prstGeom>
                    <a:noFill/>
                    <a:ln>
                      <a:noFill/>
                    </a:ln>
                  </pic:spPr>
                </pic:pic>
              </a:graphicData>
            </a:graphic>
          </wp:inline>
        </w:drawing>
      </w:r>
    </w:p>
    <w:p w14:paraId="13F1587A" w14:textId="77777777" w:rsidR="00696B18" w:rsidRDefault="00696B18" w:rsidP="00696B18">
      <w:pPr>
        <w:numPr>
          <w:ilvl w:val="12"/>
          <w:numId w:val="0"/>
        </w:numPr>
        <w:tabs>
          <w:tab w:val="left" w:pos="720"/>
        </w:tabs>
        <w:jc w:val="both"/>
        <w:rPr>
          <w:rFonts w:ascii="Arial" w:hAnsi="Arial" w:cs="Arial"/>
          <w:sz w:val="16"/>
          <w:szCs w:val="16"/>
          <w:lang w:eastAsia="es-CO"/>
        </w:rPr>
      </w:pPr>
    </w:p>
    <w:p w14:paraId="4859F330" w14:textId="7800C32F" w:rsidR="00696B18" w:rsidRPr="00A44003" w:rsidRDefault="00696B18" w:rsidP="00A44003">
      <w:pPr>
        <w:numPr>
          <w:ilvl w:val="12"/>
          <w:numId w:val="0"/>
        </w:numPr>
        <w:tabs>
          <w:tab w:val="left" w:pos="720"/>
        </w:tabs>
        <w:jc w:val="both"/>
        <w:rPr>
          <w:rFonts w:ascii="Calibri" w:hAnsi="Calibri" w:cs="Calibri"/>
          <w:sz w:val="16"/>
          <w:szCs w:val="16"/>
          <w:lang w:eastAsia="es-CO"/>
        </w:rPr>
      </w:pPr>
      <w:r w:rsidRPr="00613500">
        <w:rPr>
          <w:rFonts w:ascii="Calibri" w:hAnsi="Calibri" w:cs="Calibri"/>
          <w:sz w:val="16"/>
          <w:szCs w:val="16"/>
          <w:lang w:eastAsia="es-CO"/>
        </w:rPr>
        <w:t>Fuente: Superintendencia Financiera de Colombia. Diciembre de 2017.</w:t>
      </w:r>
    </w:p>
    <w:p w14:paraId="11E55409" w14:textId="591D2001" w:rsidR="00893D32" w:rsidRDefault="00696B18" w:rsidP="00893D32">
      <w:pPr>
        <w:spacing w:line="276" w:lineRule="auto"/>
        <w:jc w:val="both"/>
        <w:rPr>
          <w:rFonts w:cstheme="minorHAnsi"/>
          <w:sz w:val="24"/>
        </w:rPr>
      </w:pPr>
      <w:r>
        <w:rPr>
          <w:rFonts w:cstheme="minorHAnsi"/>
          <w:sz w:val="24"/>
        </w:rPr>
        <w:t>Como resultado del mismo ejercicio de análisis registrado en el año 2018, la Superintendencia Financiera concluyó que las tarifas vigentes para el 2019 podrían mantenerse en el mismo nivel, es decir, no iban a sufrir ningún aumento como el del año inmediatamente anterior.</w:t>
      </w:r>
    </w:p>
    <w:p w14:paraId="4D61A3A6" w14:textId="378EE0E5" w:rsidR="00696B18" w:rsidRPr="00893D32" w:rsidRDefault="00696B18" w:rsidP="00893D32">
      <w:pPr>
        <w:spacing w:line="276" w:lineRule="auto"/>
        <w:jc w:val="both"/>
        <w:rPr>
          <w:rFonts w:cstheme="minorHAnsi"/>
          <w:sz w:val="24"/>
        </w:rPr>
      </w:pPr>
      <w:r>
        <w:rPr>
          <w:rFonts w:cstheme="minorHAnsi"/>
          <w:sz w:val="24"/>
        </w:rPr>
        <w:t xml:space="preserve">En diciembre de 2018, la entidad publicó en su informe periódico y tras revisar </w:t>
      </w:r>
      <w:r w:rsidRPr="00696B18">
        <w:rPr>
          <w:rFonts w:cstheme="minorHAnsi"/>
          <w:sz w:val="24"/>
        </w:rPr>
        <w:t xml:space="preserve">las condiciones técnicas y financieras del SOAT  </w:t>
      </w:r>
      <w:r>
        <w:rPr>
          <w:rFonts w:cstheme="minorHAnsi"/>
          <w:sz w:val="24"/>
        </w:rPr>
        <w:t>reveló que “</w:t>
      </w:r>
      <w:r w:rsidRPr="00696B18">
        <w:rPr>
          <w:rFonts w:cstheme="minorHAnsi"/>
          <w:sz w:val="24"/>
        </w:rPr>
        <w:t>la tarifa actual es suficiente para garantizar la sostenibilidad del sistema durante la vigencia 2019, situación que conlleva a mantener la tabla tarifaria que fue modificada mediante la Circular Externa 038 de 2017</w:t>
      </w:r>
      <w:r>
        <w:rPr>
          <w:rFonts w:cstheme="minorHAnsi"/>
          <w:sz w:val="24"/>
        </w:rPr>
        <w:t>”</w:t>
      </w:r>
      <w:r>
        <w:rPr>
          <w:rStyle w:val="Refdenotaalpie"/>
          <w:rFonts w:cstheme="minorHAnsi"/>
          <w:sz w:val="24"/>
        </w:rPr>
        <w:footnoteReference w:id="4"/>
      </w:r>
    </w:p>
    <w:p w14:paraId="53A3E717" w14:textId="4563F023" w:rsidR="00893D32" w:rsidRDefault="00613500" w:rsidP="0027204B">
      <w:pPr>
        <w:spacing w:line="276" w:lineRule="auto"/>
        <w:jc w:val="both"/>
        <w:rPr>
          <w:rFonts w:cstheme="minorHAnsi"/>
          <w:sz w:val="24"/>
        </w:rPr>
      </w:pPr>
      <w:r>
        <w:rPr>
          <w:rFonts w:cstheme="minorHAnsi"/>
          <w:sz w:val="24"/>
        </w:rPr>
        <w:t>En consecuencia, las tarifas definidas para el 2019 fueron las sisguientes:</w:t>
      </w:r>
    </w:p>
    <w:p w14:paraId="26003ED1" w14:textId="72769211" w:rsidR="00613500" w:rsidRDefault="00613500" w:rsidP="0027204B">
      <w:pPr>
        <w:spacing w:line="276" w:lineRule="auto"/>
        <w:jc w:val="both"/>
        <w:rPr>
          <w:rFonts w:cstheme="minorHAnsi"/>
          <w:sz w:val="24"/>
        </w:rPr>
      </w:pPr>
    </w:p>
    <w:p w14:paraId="49CE9494" w14:textId="77777777" w:rsidR="00613500" w:rsidRDefault="00613500" w:rsidP="0027204B">
      <w:pPr>
        <w:spacing w:line="276" w:lineRule="auto"/>
        <w:jc w:val="both"/>
        <w:rPr>
          <w:rFonts w:cstheme="minorHAnsi"/>
          <w:sz w:val="24"/>
        </w:rPr>
      </w:pPr>
    </w:p>
    <w:p w14:paraId="625DC101" w14:textId="333631D1" w:rsidR="00893D32" w:rsidRDefault="00613500" w:rsidP="0027204B">
      <w:pPr>
        <w:spacing w:line="276" w:lineRule="auto"/>
        <w:jc w:val="both"/>
        <w:rPr>
          <w:rFonts w:cstheme="minorHAnsi"/>
          <w:sz w:val="24"/>
        </w:rPr>
      </w:pPr>
      <w:r w:rsidRPr="00613500">
        <w:rPr>
          <w:rFonts w:cstheme="minorHAnsi"/>
          <w:noProof/>
          <w:sz w:val="24"/>
          <w:lang w:eastAsia="es-CO"/>
        </w:rPr>
        <w:drawing>
          <wp:inline distT="0" distB="0" distL="0" distR="0" wp14:anchorId="4121DF4A" wp14:editId="05093942">
            <wp:extent cx="5612130" cy="519938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5199380"/>
                    </a:xfrm>
                    <a:prstGeom prst="rect">
                      <a:avLst/>
                    </a:prstGeom>
                  </pic:spPr>
                </pic:pic>
              </a:graphicData>
            </a:graphic>
          </wp:inline>
        </w:drawing>
      </w:r>
    </w:p>
    <w:p w14:paraId="4A618637" w14:textId="143608EA" w:rsidR="00613500" w:rsidRPr="00A44003" w:rsidRDefault="00613500" w:rsidP="0027204B">
      <w:pPr>
        <w:spacing w:line="276" w:lineRule="auto"/>
        <w:jc w:val="both"/>
        <w:rPr>
          <w:rFonts w:cstheme="minorHAnsi"/>
          <w:sz w:val="16"/>
          <w:szCs w:val="15"/>
        </w:rPr>
      </w:pPr>
      <w:r w:rsidRPr="00613500">
        <w:rPr>
          <w:rFonts w:cstheme="minorHAnsi"/>
          <w:sz w:val="16"/>
          <w:szCs w:val="15"/>
        </w:rPr>
        <w:t>Fuente: Superintendencia Financiera de Colombia. Diciembre de 2018.</w:t>
      </w:r>
    </w:p>
    <w:p w14:paraId="19226FE9" w14:textId="4B78FCC4" w:rsidR="000A0BBF" w:rsidRDefault="000A0BBF" w:rsidP="0027204B">
      <w:pPr>
        <w:spacing w:line="276" w:lineRule="auto"/>
        <w:jc w:val="both"/>
        <w:rPr>
          <w:rFonts w:cstheme="minorHAnsi"/>
          <w:sz w:val="24"/>
        </w:rPr>
      </w:pPr>
      <w:r>
        <w:rPr>
          <w:rFonts w:cstheme="minorHAnsi"/>
          <w:sz w:val="24"/>
        </w:rPr>
        <w:t>Finalmente, conviene revisar lo sucedido en el año 2019, cuando a finales del mes de diciembre, la Superintendencia Financiera publicó nuevamente la tabla de tarifas, esta vez la corespondiente al 2020. En esta oportunidad la Superintendencia encontró que “</w:t>
      </w:r>
      <w:r w:rsidRPr="000A0BBF">
        <w:rPr>
          <w:rFonts w:cstheme="minorHAnsi"/>
          <w:sz w:val="24"/>
        </w:rPr>
        <w:t>como resultado de la revisión anual de las condiciones técnicas y financieras del SOAT se determinó que el sistema tiene una suficiencia de prima del 4,89% aplicable a partir del primero de enero de 2020</w:t>
      </w:r>
      <w:r>
        <w:rPr>
          <w:rFonts w:cstheme="minorHAnsi"/>
          <w:sz w:val="24"/>
        </w:rPr>
        <w:t>”</w:t>
      </w:r>
      <w:r>
        <w:rPr>
          <w:rStyle w:val="Refdenotaalpie"/>
          <w:rFonts w:cstheme="minorHAnsi"/>
          <w:sz w:val="24"/>
        </w:rPr>
        <w:footnoteReference w:id="5"/>
      </w:r>
      <w:r w:rsidRPr="000A0BBF">
        <w:rPr>
          <w:rFonts w:cstheme="minorHAnsi"/>
          <w:sz w:val="24"/>
        </w:rPr>
        <w:t>.</w:t>
      </w:r>
    </w:p>
    <w:p w14:paraId="4E9549FD" w14:textId="4E5E56D5" w:rsidR="00A44003" w:rsidRDefault="00CF1B7C" w:rsidP="0027204B">
      <w:pPr>
        <w:spacing w:line="276" w:lineRule="auto"/>
        <w:jc w:val="both"/>
        <w:rPr>
          <w:rFonts w:cstheme="minorHAnsi"/>
          <w:sz w:val="24"/>
        </w:rPr>
      </w:pPr>
      <w:r>
        <w:rPr>
          <w:rFonts w:cstheme="minorHAnsi"/>
          <w:sz w:val="24"/>
        </w:rPr>
        <w:t>En la comunicación emitida el 26 de diciembre de 2019, cuando se anunció lo anterior, la entidad destacó:</w:t>
      </w:r>
    </w:p>
    <w:p w14:paraId="3167FC57" w14:textId="77777777" w:rsidR="00CF1B7C" w:rsidRDefault="00CF1B7C" w:rsidP="00CF1B7C">
      <w:pPr>
        <w:spacing w:after="0" w:line="240" w:lineRule="auto"/>
        <w:ind w:left="426"/>
        <w:jc w:val="both"/>
        <w:rPr>
          <w:rFonts w:ascii="Calibri" w:eastAsia="Times New Roman" w:hAnsi="Calibri" w:cs="Calibri"/>
          <w:color w:val="000000" w:themeColor="text1"/>
          <w:sz w:val="24"/>
          <w:szCs w:val="24"/>
          <w:lang w:eastAsia="es-ES_tradnl"/>
        </w:rPr>
      </w:pPr>
      <w:r w:rsidRPr="00CF1B7C">
        <w:rPr>
          <w:rFonts w:ascii="Calibri" w:eastAsia="Times New Roman" w:hAnsi="Calibri" w:cs="Calibri"/>
          <w:color w:val="000000" w:themeColor="text1"/>
          <w:sz w:val="24"/>
          <w:szCs w:val="24"/>
          <w:shd w:val="clear" w:color="auto" w:fill="FFFFFF"/>
          <w:lang w:eastAsia="es-ES_tradnl"/>
        </w:rPr>
        <w:t>Esta revisión se hizo con base en la información que las compañías aseguradoras reportan periódicamente a la SFC, la cual fue validada y contrastada con los diferentes sistemas de reporte de acuerdo con lo establecido en el Estatuto Orgánico del Sistema Financiero.</w:t>
      </w:r>
      <w:r w:rsidRPr="00CF1B7C">
        <w:rPr>
          <w:rFonts w:ascii="Calibri" w:eastAsia="Times New Roman" w:hAnsi="Calibri" w:cs="Calibri"/>
          <w:color w:val="000000" w:themeColor="text1"/>
          <w:sz w:val="24"/>
          <w:szCs w:val="24"/>
          <w:lang w:eastAsia="es-ES_tradnl"/>
        </w:rPr>
        <w:br/>
      </w:r>
      <w:r w:rsidRPr="00CF1B7C">
        <w:rPr>
          <w:rFonts w:ascii="Calibri" w:eastAsia="Times New Roman" w:hAnsi="Calibri" w:cs="Calibri"/>
          <w:color w:val="000000" w:themeColor="text1"/>
          <w:sz w:val="24"/>
          <w:szCs w:val="24"/>
          <w:lang w:eastAsia="es-ES_tradnl"/>
        </w:rPr>
        <w:br/>
      </w:r>
      <w:r w:rsidRPr="00CF1B7C">
        <w:rPr>
          <w:rFonts w:ascii="Calibri" w:eastAsia="Times New Roman" w:hAnsi="Calibri" w:cs="Calibri"/>
          <w:color w:val="000000" w:themeColor="text1"/>
          <w:sz w:val="24"/>
          <w:szCs w:val="24"/>
          <w:shd w:val="clear" w:color="auto" w:fill="FFFFFF"/>
          <w:lang w:eastAsia="es-ES_tradnl"/>
        </w:rPr>
        <w:t>Para el análisis correspondiente a 2019 se tuvieron en cuenta 7.817.423 de pólizas expuestas equivalentes a $1.98 billones en primas devengadas y 696.268 siniestros cuyo valor ascendió a $1.54 billones, arrojando una suficiencia de 4,89%.</w:t>
      </w:r>
    </w:p>
    <w:p w14:paraId="00FF166E" w14:textId="77777777" w:rsidR="00CF1B7C" w:rsidRDefault="00CF1B7C" w:rsidP="00CF1B7C">
      <w:pPr>
        <w:spacing w:after="0" w:line="240" w:lineRule="auto"/>
        <w:ind w:left="426"/>
        <w:jc w:val="both"/>
        <w:rPr>
          <w:rFonts w:ascii="Calibri" w:eastAsia="Times New Roman" w:hAnsi="Calibri" w:cs="Calibri"/>
          <w:color w:val="000000" w:themeColor="text1"/>
          <w:sz w:val="24"/>
          <w:szCs w:val="24"/>
          <w:shd w:val="clear" w:color="auto" w:fill="FFFFFF"/>
          <w:lang w:eastAsia="es-ES_tradnl"/>
        </w:rPr>
      </w:pPr>
      <w:r w:rsidRPr="00CF1B7C">
        <w:rPr>
          <w:rFonts w:ascii="Calibri" w:eastAsia="Times New Roman" w:hAnsi="Calibri" w:cs="Calibri"/>
          <w:color w:val="000000" w:themeColor="text1"/>
          <w:sz w:val="24"/>
          <w:szCs w:val="24"/>
          <w:lang w:eastAsia="es-ES_tradnl"/>
        </w:rPr>
        <w:br/>
      </w:r>
      <w:r w:rsidRPr="00CF1B7C">
        <w:rPr>
          <w:rFonts w:ascii="Calibri" w:eastAsia="Times New Roman" w:hAnsi="Calibri" w:cs="Calibri"/>
          <w:color w:val="000000" w:themeColor="text1"/>
          <w:sz w:val="24"/>
          <w:szCs w:val="24"/>
          <w:shd w:val="clear" w:color="auto" w:fill="FFFFFF"/>
          <w:lang w:eastAsia="es-ES_tradnl"/>
        </w:rPr>
        <w:t>En consecuencia, la tarifa máxima del Seguro Obligatorio de Daños Corporales Causados a las Personas en Accidentes de Tránsito (SOAT) para 2020 expresada en Salarios Mínimos Diarios Legales Vigentes (SMDLV) se reduce en 4,89% para las 36 categorías del parque automotor.</w:t>
      </w:r>
    </w:p>
    <w:p w14:paraId="4F910F5A" w14:textId="77777777" w:rsidR="00CF1B7C" w:rsidRDefault="00CF1B7C" w:rsidP="00CF1B7C">
      <w:pPr>
        <w:spacing w:after="0" w:line="240" w:lineRule="auto"/>
        <w:ind w:left="426"/>
        <w:jc w:val="both"/>
        <w:rPr>
          <w:rFonts w:ascii="Calibri" w:eastAsia="Times New Roman" w:hAnsi="Calibri" w:cs="Calibri"/>
          <w:color w:val="000000" w:themeColor="text1"/>
          <w:sz w:val="24"/>
          <w:szCs w:val="24"/>
          <w:shd w:val="clear" w:color="auto" w:fill="FFFFFF"/>
          <w:lang w:eastAsia="es-ES_tradnl"/>
        </w:rPr>
      </w:pPr>
    </w:p>
    <w:p w14:paraId="0FA0833B" w14:textId="77777777" w:rsidR="00CF1B7C" w:rsidRDefault="00CF1B7C" w:rsidP="00CF1B7C">
      <w:pPr>
        <w:spacing w:after="0" w:line="240" w:lineRule="auto"/>
        <w:ind w:left="426"/>
        <w:jc w:val="both"/>
        <w:rPr>
          <w:rFonts w:ascii="Calibri" w:eastAsia="Times New Roman" w:hAnsi="Calibri" w:cs="Calibri"/>
          <w:color w:val="000000" w:themeColor="text1"/>
          <w:sz w:val="24"/>
          <w:szCs w:val="24"/>
          <w:lang w:eastAsia="es-ES_tradnl"/>
        </w:rPr>
      </w:pPr>
      <w:r w:rsidRPr="00CF1B7C">
        <w:rPr>
          <w:rFonts w:ascii="Calibri" w:eastAsia="Times New Roman" w:hAnsi="Calibri" w:cs="Calibri"/>
          <w:color w:val="000000" w:themeColor="text1"/>
          <w:sz w:val="24"/>
          <w:szCs w:val="24"/>
          <w:shd w:val="clear" w:color="auto" w:fill="FFFFFF"/>
          <w:lang w:eastAsia="es-ES_tradnl"/>
        </w:rPr>
        <w:t>De acuerdo con los resultados obtenidos por el equipo técnico de la SFC, los propietarios de un vehículo familiar nuevo de entre 1.500 c.c. y 2.500 c.c. tendrán una tarifa del SOAT de 8.85 SMDLV para 2020, 4,89% menos frente a la tarifa vigente para 2019 que era de 9.31 SMDLV.</w:t>
      </w:r>
    </w:p>
    <w:p w14:paraId="27005C09" w14:textId="77777777" w:rsidR="00CF1B7C" w:rsidRDefault="00CF1B7C" w:rsidP="00CF1B7C">
      <w:pPr>
        <w:spacing w:after="0" w:line="240" w:lineRule="auto"/>
        <w:ind w:left="426"/>
        <w:jc w:val="both"/>
        <w:rPr>
          <w:rFonts w:ascii="Calibri" w:eastAsia="Times New Roman" w:hAnsi="Calibri" w:cs="Calibri"/>
          <w:color w:val="000000" w:themeColor="text1"/>
          <w:sz w:val="24"/>
          <w:szCs w:val="24"/>
          <w:shd w:val="clear" w:color="auto" w:fill="FFFFFF"/>
          <w:lang w:eastAsia="es-ES_tradnl"/>
        </w:rPr>
      </w:pPr>
    </w:p>
    <w:p w14:paraId="0B17DBC4" w14:textId="50445B1B" w:rsidR="00CF1B7C" w:rsidRDefault="00CF1B7C" w:rsidP="00CF1B7C">
      <w:pPr>
        <w:spacing w:after="0" w:line="240" w:lineRule="auto"/>
        <w:ind w:left="426"/>
        <w:jc w:val="both"/>
        <w:rPr>
          <w:rFonts w:ascii="Calibri" w:eastAsia="Times New Roman" w:hAnsi="Calibri" w:cs="Calibri"/>
          <w:color w:val="000000" w:themeColor="text1"/>
          <w:sz w:val="24"/>
          <w:szCs w:val="24"/>
          <w:shd w:val="clear" w:color="auto" w:fill="FFFFFF"/>
          <w:lang w:eastAsia="es-ES_tradnl"/>
        </w:rPr>
      </w:pPr>
      <w:r w:rsidRPr="00CF1B7C">
        <w:rPr>
          <w:rFonts w:ascii="Calibri" w:eastAsia="Times New Roman" w:hAnsi="Calibri" w:cs="Calibri"/>
          <w:color w:val="000000" w:themeColor="text1"/>
          <w:sz w:val="24"/>
          <w:szCs w:val="24"/>
          <w:shd w:val="clear" w:color="auto" w:fill="FFFFFF"/>
          <w:lang w:eastAsia="es-ES_tradnl"/>
        </w:rPr>
        <w:t>Es importante mencionar que la reducción en la tarifa del SOAT que regirá a partir del primero de enero de 2020 no modifica las coberturas ni las cuantías definidas por la Ley para este seguro obligatorio, así:  </w:t>
      </w:r>
    </w:p>
    <w:p w14:paraId="0DA758E5" w14:textId="77777777" w:rsidR="00CF1B7C" w:rsidRPr="00CF1B7C" w:rsidRDefault="00CF1B7C" w:rsidP="00A44003">
      <w:pPr>
        <w:spacing w:after="0" w:line="240" w:lineRule="auto"/>
        <w:jc w:val="both"/>
        <w:rPr>
          <w:rFonts w:ascii="Calibri" w:eastAsia="Times New Roman" w:hAnsi="Calibri" w:cs="Calibri"/>
          <w:color w:val="000000" w:themeColor="text1"/>
          <w:sz w:val="24"/>
          <w:szCs w:val="24"/>
          <w:lang w:eastAsia="es-ES_tradnl"/>
        </w:rPr>
      </w:pP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40" w:type="dxa"/>
          <w:bottom w:w="40" w:type="dxa"/>
          <w:right w:w="40" w:type="dxa"/>
        </w:tblCellMar>
        <w:tblLook w:val="04A0" w:firstRow="1" w:lastRow="0" w:firstColumn="1" w:lastColumn="0" w:noHBand="0" w:noVBand="1"/>
      </w:tblPr>
      <w:tblGrid>
        <w:gridCol w:w="4391"/>
        <w:gridCol w:w="4272"/>
      </w:tblGrid>
      <w:tr w:rsidR="00CF1B7C" w:rsidRPr="00A44003" w14:paraId="1005AD75" w14:textId="77777777" w:rsidTr="00CF1B7C">
        <w:trPr>
          <w:trHeight w:val="165"/>
          <w:jc w:val="center"/>
        </w:trPr>
        <w:tc>
          <w:tcPr>
            <w:tcW w:w="4391" w:type="dxa"/>
            <w:shd w:val="clear" w:color="auto" w:fill="auto"/>
            <w:tcMar>
              <w:top w:w="75" w:type="dxa"/>
              <w:left w:w="75" w:type="dxa"/>
              <w:bottom w:w="75" w:type="dxa"/>
              <w:right w:w="75" w:type="dxa"/>
            </w:tcMar>
            <w:vAlign w:val="center"/>
            <w:hideMark/>
          </w:tcPr>
          <w:p w14:paraId="2D56B2D7" w14:textId="77777777" w:rsidR="00CF1B7C" w:rsidRPr="00A44003" w:rsidRDefault="00CF1B7C" w:rsidP="00CF1B7C">
            <w:pPr>
              <w:spacing w:after="0" w:line="240" w:lineRule="auto"/>
              <w:ind w:left="426"/>
              <w:jc w:val="both"/>
              <w:rPr>
                <w:rFonts w:ascii="Calibri" w:eastAsia="Times New Roman" w:hAnsi="Calibri" w:cs="Calibri"/>
                <w:b/>
                <w:bCs/>
                <w:color w:val="000000" w:themeColor="text1"/>
                <w:lang w:eastAsia="es-ES_tradnl"/>
              </w:rPr>
            </w:pPr>
            <w:r w:rsidRPr="00A44003">
              <w:rPr>
                <w:rFonts w:ascii="Calibri" w:eastAsia="Times New Roman" w:hAnsi="Calibri" w:cs="Calibri"/>
                <w:b/>
                <w:bCs/>
                <w:color w:val="000000" w:themeColor="text1"/>
                <w:lang w:eastAsia="es-ES_tradnl"/>
              </w:rPr>
              <w:t>Coberturas</w:t>
            </w:r>
          </w:p>
        </w:tc>
        <w:tc>
          <w:tcPr>
            <w:tcW w:w="4272" w:type="dxa"/>
            <w:shd w:val="clear" w:color="auto" w:fill="auto"/>
            <w:tcMar>
              <w:top w:w="75" w:type="dxa"/>
              <w:left w:w="75" w:type="dxa"/>
              <w:bottom w:w="75" w:type="dxa"/>
              <w:right w:w="75" w:type="dxa"/>
            </w:tcMar>
            <w:vAlign w:val="center"/>
            <w:hideMark/>
          </w:tcPr>
          <w:p w14:paraId="7217A444" w14:textId="77777777" w:rsidR="00CF1B7C" w:rsidRPr="00A44003" w:rsidRDefault="00CF1B7C" w:rsidP="00CF1B7C">
            <w:pPr>
              <w:spacing w:after="0" w:line="240" w:lineRule="auto"/>
              <w:ind w:left="426"/>
              <w:jc w:val="both"/>
              <w:rPr>
                <w:rFonts w:ascii="Calibri" w:eastAsia="Times New Roman" w:hAnsi="Calibri" w:cs="Calibri"/>
                <w:b/>
                <w:bCs/>
                <w:color w:val="000000" w:themeColor="text1"/>
                <w:lang w:eastAsia="es-ES_tradnl"/>
              </w:rPr>
            </w:pPr>
            <w:r w:rsidRPr="00A44003">
              <w:rPr>
                <w:rFonts w:ascii="Calibri" w:eastAsia="Times New Roman" w:hAnsi="Calibri" w:cs="Calibri"/>
                <w:b/>
                <w:bCs/>
                <w:color w:val="000000" w:themeColor="text1"/>
                <w:lang w:eastAsia="es-ES_tradnl"/>
              </w:rPr>
              <w:t>Cuantías</w:t>
            </w:r>
          </w:p>
        </w:tc>
      </w:tr>
      <w:tr w:rsidR="00CF1B7C" w:rsidRPr="00A44003" w14:paraId="27961873" w14:textId="77777777" w:rsidTr="00CF1B7C">
        <w:trPr>
          <w:trHeight w:val="330"/>
          <w:jc w:val="center"/>
        </w:trPr>
        <w:tc>
          <w:tcPr>
            <w:tcW w:w="4391" w:type="dxa"/>
            <w:shd w:val="clear" w:color="auto" w:fill="auto"/>
            <w:vAlign w:val="center"/>
            <w:hideMark/>
          </w:tcPr>
          <w:p w14:paraId="44DC1295" w14:textId="77777777" w:rsidR="00CF1B7C" w:rsidRPr="00A44003" w:rsidRDefault="00CF1B7C" w:rsidP="00CF1B7C">
            <w:pPr>
              <w:spacing w:after="0" w:line="240" w:lineRule="auto"/>
              <w:ind w:left="426"/>
              <w:jc w:val="both"/>
              <w:rPr>
                <w:rFonts w:ascii="Calibri" w:eastAsia="Times New Roman" w:hAnsi="Calibri" w:cs="Calibri"/>
                <w:color w:val="000000" w:themeColor="text1"/>
                <w:lang w:eastAsia="es-ES_tradnl"/>
              </w:rPr>
            </w:pPr>
            <w:r w:rsidRPr="00A44003">
              <w:rPr>
                <w:rFonts w:ascii="Calibri" w:eastAsia="Times New Roman" w:hAnsi="Calibri" w:cs="Calibri"/>
                <w:color w:val="000000" w:themeColor="text1"/>
                <w:lang w:eastAsia="es-ES_tradnl"/>
              </w:rPr>
              <w:t>Gastos médicos, quirúrgicos, farmacéuticos y hospitalarios</w:t>
            </w:r>
          </w:p>
        </w:tc>
        <w:tc>
          <w:tcPr>
            <w:tcW w:w="4272" w:type="dxa"/>
            <w:shd w:val="clear" w:color="auto" w:fill="auto"/>
            <w:vAlign w:val="center"/>
            <w:hideMark/>
          </w:tcPr>
          <w:p w14:paraId="49C1B6FE" w14:textId="77777777" w:rsidR="00CF1B7C" w:rsidRPr="00A44003" w:rsidRDefault="00CF1B7C" w:rsidP="00CF1B7C">
            <w:pPr>
              <w:spacing w:after="0" w:line="240" w:lineRule="auto"/>
              <w:ind w:left="426"/>
              <w:jc w:val="both"/>
              <w:rPr>
                <w:rFonts w:ascii="Calibri" w:eastAsia="Times New Roman" w:hAnsi="Calibri" w:cs="Calibri"/>
                <w:color w:val="000000" w:themeColor="text1"/>
                <w:lang w:eastAsia="es-ES_tradnl"/>
              </w:rPr>
            </w:pPr>
            <w:r w:rsidRPr="00A44003">
              <w:rPr>
                <w:rFonts w:ascii="Calibri" w:eastAsia="Times New Roman" w:hAnsi="Calibri" w:cs="Calibri"/>
                <w:color w:val="000000" w:themeColor="text1"/>
                <w:lang w:eastAsia="es-ES_tradnl"/>
              </w:rPr>
              <w:t>Hasta 800 SMDLV</w:t>
            </w:r>
          </w:p>
        </w:tc>
      </w:tr>
      <w:tr w:rsidR="00CF1B7C" w:rsidRPr="00A44003" w14:paraId="2D55585F" w14:textId="77777777" w:rsidTr="00CF1B7C">
        <w:trPr>
          <w:trHeight w:val="225"/>
          <w:jc w:val="center"/>
        </w:trPr>
        <w:tc>
          <w:tcPr>
            <w:tcW w:w="4391" w:type="dxa"/>
            <w:shd w:val="clear" w:color="auto" w:fill="auto"/>
            <w:vAlign w:val="center"/>
            <w:hideMark/>
          </w:tcPr>
          <w:p w14:paraId="4434B604" w14:textId="77777777" w:rsidR="00CF1B7C" w:rsidRPr="00A44003" w:rsidRDefault="00CF1B7C" w:rsidP="00CF1B7C">
            <w:pPr>
              <w:spacing w:after="0" w:line="240" w:lineRule="auto"/>
              <w:ind w:left="426"/>
              <w:jc w:val="both"/>
              <w:rPr>
                <w:rFonts w:ascii="Calibri" w:eastAsia="Times New Roman" w:hAnsi="Calibri" w:cs="Calibri"/>
                <w:color w:val="000000" w:themeColor="text1"/>
                <w:lang w:eastAsia="es-ES_tradnl"/>
              </w:rPr>
            </w:pPr>
            <w:r w:rsidRPr="00A44003">
              <w:rPr>
                <w:rFonts w:ascii="Calibri" w:eastAsia="Times New Roman" w:hAnsi="Calibri" w:cs="Calibri"/>
                <w:color w:val="000000" w:themeColor="text1"/>
                <w:lang w:eastAsia="es-ES_tradnl"/>
              </w:rPr>
              <w:t>Incapacidad Permanente</w:t>
            </w:r>
          </w:p>
        </w:tc>
        <w:tc>
          <w:tcPr>
            <w:tcW w:w="4272" w:type="dxa"/>
            <w:shd w:val="clear" w:color="auto" w:fill="auto"/>
            <w:vAlign w:val="center"/>
            <w:hideMark/>
          </w:tcPr>
          <w:p w14:paraId="353780CF" w14:textId="77777777" w:rsidR="00CF1B7C" w:rsidRPr="00A44003" w:rsidRDefault="00CF1B7C" w:rsidP="00CF1B7C">
            <w:pPr>
              <w:spacing w:after="0" w:line="240" w:lineRule="auto"/>
              <w:ind w:left="426"/>
              <w:jc w:val="both"/>
              <w:rPr>
                <w:rFonts w:ascii="Calibri" w:eastAsia="Times New Roman" w:hAnsi="Calibri" w:cs="Calibri"/>
                <w:color w:val="000000" w:themeColor="text1"/>
                <w:lang w:eastAsia="es-ES_tradnl"/>
              </w:rPr>
            </w:pPr>
            <w:r w:rsidRPr="00A44003">
              <w:rPr>
                <w:rFonts w:ascii="Calibri" w:eastAsia="Times New Roman" w:hAnsi="Calibri" w:cs="Calibri"/>
                <w:color w:val="000000" w:themeColor="text1"/>
                <w:lang w:eastAsia="es-ES_tradnl"/>
              </w:rPr>
              <w:t>Hasta 180 SMDLV</w:t>
            </w:r>
          </w:p>
        </w:tc>
      </w:tr>
      <w:tr w:rsidR="00CF1B7C" w:rsidRPr="00A44003" w14:paraId="12CE04C1" w14:textId="77777777" w:rsidTr="00CF1B7C">
        <w:trPr>
          <w:trHeight w:val="165"/>
          <w:jc w:val="center"/>
        </w:trPr>
        <w:tc>
          <w:tcPr>
            <w:tcW w:w="4391" w:type="dxa"/>
            <w:shd w:val="clear" w:color="auto" w:fill="auto"/>
            <w:vAlign w:val="center"/>
            <w:hideMark/>
          </w:tcPr>
          <w:p w14:paraId="3E2BFFD1" w14:textId="77777777" w:rsidR="00CF1B7C" w:rsidRPr="00A44003" w:rsidRDefault="00CF1B7C" w:rsidP="00CF1B7C">
            <w:pPr>
              <w:spacing w:after="0" w:line="240" w:lineRule="auto"/>
              <w:ind w:left="426"/>
              <w:jc w:val="both"/>
              <w:rPr>
                <w:rFonts w:ascii="Calibri" w:eastAsia="Times New Roman" w:hAnsi="Calibri" w:cs="Calibri"/>
                <w:color w:val="000000" w:themeColor="text1"/>
                <w:lang w:eastAsia="es-ES_tradnl"/>
              </w:rPr>
            </w:pPr>
            <w:r w:rsidRPr="00A44003">
              <w:rPr>
                <w:rFonts w:ascii="Calibri" w:eastAsia="Times New Roman" w:hAnsi="Calibri" w:cs="Calibri"/>
                <w:color w:val="000000" w:themeColor="text1"/>
                <w:lang w:eastAsia="es-ES_tradnl"/>
              </w:rPr>
              <w:t>Muerte y Gastos Funerarios</w:t>
            </w:r>
          </w:p>
        </w:tc>
        <w:tc>
          <w:tcPr>
            <w:tcW w:w="4272" w:type="dxa"/>
            <w:shd w:val="clear" w:color="auto" w:fill="auto"/>
            <w:vAlign w:val="center"/>
            <w:hideMark/>
          </w:tcPr>
          <w:p w14:paraId="3901BD75" w14:textId="77777777" w:rsidR="00CF1B7C" w:rsidRPr="00A44003" w:rsidRDefault="00CF1B7C" w:rsidP="00CF1B7C">
            <w:pPr>
              <w:spacing w:after="0" w:line="240" w:lineRule="auto"/>
              <w:ind w:left="426"/>
              <w:jc w:val="both"/>
              <w:rPr>
                <w:rFonts w:ascii="Calibri" w:eastAsia="Times New Roman" w:hAnsi="Calibri" w:cs="Calibri"/>
                <w:color w:val="000000" w:themeColor="text1"/>
                <w:lang w:eastAsia="es-ES_tradnl"/>
              </w:rPr>
            </w:pPr>
            <w:r w:rsidRPr="00A44003">
              <w:rPr>
                <w:rFonts w:ascii="Calibri" w:eastAsia="Times New Roman" w:hAnsi="Calibri" w:cs="Calibri"/>
                <w:color w:val="000000" w:themeColor="text1"/>
                <w:lang w:eastAsia="es-ES_tradnl"/>
              </w:rPr>
              <w:t>750 SMDLV</w:t>
            </w:r>
          </w:p>
        </w:tc>
      </w:tr>
      <w:tr w:rsidR="00CF1B7C" w:rsidRPr="00A44003" w14:paraId="045CA27B" w14:textId="77777777" w:rsidTr="00CF1B7C">
        <w:trPr>
          <w:trHeight w:val="330"/>
          <w:jc w:val="center"/>
        </w:trPr>
        <w:tc>
          <w:tcPr>
            <w:tcW w:w="4391" w:type="dxa"/>
            <w:shd w:val="clear" w:color="auto" w:fill="auto"/>
            <w:vAlign w:val="center"/>
            <w:hideMark/>
          </w:tcPr>
          <w:p w14:paraId="04990C06" w14:textId="77777777" w:rsidR="00CF1B7C" w:rsidRPr="00A44003" w:rsidRDefault="00CF1B7C" w:rsidP="00CF1B7C">
            <w:pPr>
              <w:spacing w:after="0" w:line="240" w:lineRule="auto"/>
              <w:ind w:left="426"/>
              <w:jc w:val="both"/>
              <w:rPr>
                <w:rFonts w:ascii="Calibri" w:eastAsia="Times New Roman" w:hAnsi="Calibri" w:cs="Calibri"/>
                <w:color w:val="000000" w:themeColor="text1"/>
                <w:lang w:eastAsia="es-ES_tradnl"/>
              </w:rPr>
            </w:pPr>
            <w:r w:rsidRPr="00A44003">
              <w:rPr>
                <w:rFonts w:ascii="Calibri" w:eastAsia="Times New Roman" w:hAnsi="Calibri" w:cs="Calibri"/>
                <w:color w:val="000000" w:themeColor="text1"/>
                <w:lang w:eastAsia="es-ES_tradnl"/>
              </w:rPr>
              <w:t>Gastos de transporte y movilización de los lesionados</w:t>
            </w:r>
          </w:p>
        </w:tc>
        <w:tc>
          <w:tcPr>
            <w:tcW w:w="4272" w:type="dxa"/>
            <w:shd w:val="clear" w:color="auto" w:fill="auto"/>
            <w:vAlign w:val="center"/>
            <w:hideMark/>
          </w:tcPr>
          <w:p w14:paraId="7E6F0696" w14:textId="77777777" w:rsidR="00CF1B7C" w:rsidRPr="00A44003" w:rsidRDefault="00CF1B7C" w:rsidP="00CF1B7C">
            <w:pPr>
              <w:spacing w:after="0" w:line="240" w:lineRule="auto"/>
              <w:ind w:left="426"/>
              <w:jc w:val="both"/>
              <w:rPr>
                <w:rFonts w:ascii="Calibri" w:eastAsia="Times New Roman" w:hAnsi="Calibri" w:cs="Calibri"/>
                <w:color w:val="000000" w:themeColor="text1"/>
                <w:lang w:eastAsia="es-ES_tradnl"/>
              </w:rPr>
            </w:pPr>
            <w:r w:rsidRPr="00A44003">
              <w:rPr>
                <w:rFonts w:ascii="Calibri" w:eastAsia="Times New Roman" w:hAnsi="Calibri" w:cs="Calibri"/>
                <w:color w:val="000000" w:themeColor="text1"/>
                <w:lang w:eastAsia="es-ES_tradnl"/>
              </w:rPr>
              <w:t>10 SMDLV</w:t>
            </w:r>
          </w:p>
        </w:tc>
      </w:tr>
      <w:tr w:rsidR="00CF1B7C" w:rsidRPr="00A44003" w14:paraId="411A15B5" w14:textId="77777777" w:rsidTr="00CF1B7C">
        <w:trPr>
          <w:trHeight w:val="240"/>
          <w:jc w:val="center"/>
        </w:trPr>
        <w:tc>
          <w:tcPr>
            <w:tcW w:w="8663" w:type="dxa"/>
            <w:gridSpan w:val="2"/>
            <w:shd w:val="clear" w:color="auto" w:fill="auto"/>
            <w:vAlign w:val="center"/>
            <w:hideMark/>
          </w:tcPr>
          <w:p w14:paraId="70D1F111" w14:textId="77777777" w:rsidR="00CF1B7C" w:rsidRPr="00A44003" w:rsidRDefault="00CF1B7C" w:rsidP="00CF1B7C">
            <w:pPr>
              <w:spacing w:after="0" w:line="240" w:lineRule="auto"/>
              <w:ind w:left="426"/>
              <w:jc w:val="both"/>
              <w:rPr>
                <w:rFonts w:ascii="Calibri" w:eastAsia="Times New Roman" w:hAnsi="Calibri" w:cs="Calibri"/>
                <w:color w:val="000000" w:themeColor="text1"/>
                <w:lang w:eastAsia="es-ES_tradnl"/>
              </w:rPr>
            </w:pPr>
            <w:r w:rsidRPr="00A44003">
              <w:rPr>
                <w:rFonts w:ascii="Calibri" w:eastAsia="Times New Roman" w:hAnsi="Calibri" w:cs="Calibri"/>
                <w:b/>
                <w:bCs/>
                <w:color w:val="000000" w:themeColor="text1"/>
                <w:lang w:eastAsia="es-ES_tradnl"/>
              </w:rPr>
              <w:t>Nota:</w:t>
            </w:r>
            <w:r w:rsidRPr="00A44003">
              <w:rPr>
                <w:rFonts w:ascii="Calibri" w:eastAsia="Times New Roman" w:hAnsi="Calibri" w:cs="Calibri"/>
                <w:color w:val="000000" w:themeColor="text1"/>
                <w:lang w:eastAsia="es-ES_tradnl"/>
              </w:rPr>
              <w:t> </w:t>
            </w:r>
            <w:r w:rsidRPr="00A44003">
              <w:rPr>
                <w:rFonts w:ascii="Calibri" w:eastAsia="Times New Roman" w:hAnsi="Calibri" w:cs="Calibri"/>
                <w:b/>
                <w:bCs/>
                <w:color w:val="000000" w:themeColor="text1"/>
                <w:lang w:eastAsia="es-ES_tradnl"/>
              </w:rPr>
              <w:t>SMDLV </w:t>
            </w:r>
            <w:r w:rsidRPr="00A44003">
              <w:rPr>
                <w:rFonts w:ascii="Calibri" w:eastAsia="Times New Roman" w:hAnsi="Calibri" w:cs="Calibri"/>
                <w:color w:val="000000" w:themeColor="text1"/>
                <w:lang w:eastAsia="es-ES_tradnl"/>
              </w:rPr>
              <w:t>= Salarios Mínimos Diarios Legales Vigentes al momento del accidente. Los amparos son para cada lesionado sin importar su número, con excepción de lo previsto para gastos de transporte que se reconocerá en atención a la capacidad del medio de transporte para movilizar en las debidas condiciones a los lesionados.</w:t>
            </w:r>
          </w:p>
        </w:tc>
      </w:tr>
    </w:tbl>
    <w:p w14:paraId="52E0DD46" w14:textId="77777777" w:rsidR="00CF1B7C" w:rsidRDefault="00CF1B7C" w:rsidP="0027204B">
      <w:pPr>
        <w:spacing w:line="276" w:lineRule="auto"/>
        <w:jc w:val="both"/>
        <w:rPr>
          <w:rFonts w:cstheme="minorHAnsi"/>
          <w:sz w:val="24"/>
        </w:rPr>
      </w:pPr>
    </w:p>
    <w:p w14:paraId="33863400" w14:textId="23779803" w:rsidR="003017BB" w:rsidRDefault="006A044D" w:rsidP="005062FD">
      <w:pPr>
        <w:spacing w:line="276" w:lineRule="auto"/>
        <w:jc w:val="both"/>
        <w:rPr>
          <w:rFonts w:cstheme="minorHAnsi"/>
          <w:sz w:val="24"/>
        </w:rPr>
      </w:pPr>
      <w:r>
        <w:rPr>
          <w:rFonts w:cstheme="minorHAnsi"/>
          <w:sz w:val="24"/>
        </w:rPr>
        <w:t>De todo lo anterior, es viable señalar y concluir que los recursos del SOAT</w:t>
      </w:r>
      <w:r w:rsidR="005062FD">
        <w:rPr>
          <w:rFonts w:cstheme="minorHAnsi"/>
          <w:sz w:val="24"/>
        </w:rPr>
        <w:t xml:space="preserve"> desde el año 2018 se han mantenido con suficiencia. Además, si se tiene en cuenta la situación de pandemia generada por el Covid-19 y</w:t>
      </w:r>
      <w:r w:rsidR="003052C9">
        <w:rPr>
          <w:rFonts w:cstheme="minorHAnsi"/>
          <w:sz w:val="24"/>
        </w:rPr>
        <w:t xml:space="preserve"> que ésta</w:t>
      </w:r>
      <w:r w:rsidR="005062FD">
        <w:rPr>
          <w:rFonts w:cstheme="minorHAnsi"/>
          <w:sz w:val="24"/>
        </w:rPr>
        <w:t xml:space="preserve"> ha </w:t>
      </w:r>
      <w:r w:rsidR="003052C9">
        <w:rPr>
          <w:rFonts w:cstheme="minorHAnsi"/>
          <w:sz w:val="24"/>
        </w:rPr>
        <w:t>frenado</w:t>
      </w:r>
      <w:r w:rsidR="005062FD">
        <w:rPr>
          <w:rFonts w:cstheme="minorHAnsi"/>
          <w:sz w:val="24"/>
        </w:rPr>
        <w:t xml:space="preserve"> la movilidad de vehículos, podría pensarse que la</w:t>
      </w:r>
      <w:r w:rsidR="005062FD" w:rsidRPr="00CD5FF1">
        <w:rPr>
          <w:rFonts w:cstheme="minorHAnsi"/>
          <w:sz w:val="24"/>
        </w:rPr>
        <w:t xml:space="preserve"> frecuencia y severidad de la siniestralidad </w:t>
      </w:r>
      <w:r w:rsidR="005062FD">
        <w:rPr>
          <w:rFonts w:cstheme="minorHAnsi"/>
          <w:sz w:val="24"/>
        </w:rPr>
        <w:t>no ha debido ser relevante. En consecuencia, la suficiencia de los recursos tampoco ha de estar siendo afectad</w:t>
      </w:r>
      <w:r w:rsidR="003052C9">
        <w:rPr>
          <w:rFonts w:cstheme="minorHAnsi"/>
          <w:sz w:val="24"/>
        </w:rPr>
        <w:t>a, sobre todo porque la pandemia no ha servido de justificación para el no cobro de la tarifa del SOAT.</w:t>
      </w:r>
    </w:p>
    <w:p w14:paraId="48BC6EDB" w14:textId="242F1442" w:rsidR="005062FD" w:rsidRDefault="000D5B1A" w:rsidP="005062FD">
      <w:pPr>
        <w:spacing w:line="276" w:lineRule="auto"/>
        <w:jc w:val="both"/>
        <w:rPr>
          <w:rFonts w:cstheme="minorHAnsi"/>
          <w:sz w:val="24"/>
        </w:rPr>
      </w:pPr>
      <w:r>
        <w:rPr>
          <w:rFonts w:cstheme="minorHAnsi"/>
          <w:sz w:val="24"/>
        </w:rPr>
        <w:t xml:space="preserve">En consecuencia, es viable pensar que el proyecto de ley puede significar un beneficio para quienes deben asumir esta responsabilidad económica, sin que, desde luego, el sistema sufra afectaciones negativas. </w:t>
      </w:r>
    </w:p>
    <w:p w14:paraId="3D28ECB0" w14:textId="43B21FB7" w:rsidR="00B76849" w:rsidRPr="002919FE" w:rsidRDefault="00B76849" w:rsidP="005062FD">
      <w:pPr>
        <w:spacing w:line="276" w:lineRule="auto"/>
        <w:jc w:val="both"/>
        <w:rPr>
          <w:rFonts w:cstheme="minorHAnsi"/>
          <w:sz w:val="24"/>
        </w:rPr>
      </w:pPr>
      <w:r>
        <w:rPr>
          <w:rFonts w:cstheme="minorHAnsi"/>
          <w:sz w:val="24"/>
        </w:rPr>
        <w:t>Más importante aún, el proyecto de ley podría considerarse como un</w:t>
      </w:r>
      <w:r w:rsidR="003017BB">
        <w:rPr>
          <w:rFonts w:cstheme="minorHAnsi"/>
          <w:sz w:val="24"/>
        </w:rPr>
        <w:t xml:space="preserve">a herramienta que impacte en mejores y responsables </w:t>
      </w:r>
      <w:r>
        <w:rPr>
          <w:rFonts w:cstheme="minorHAnsi"/>
          <w:sz w:val="24"/>
        </w:rPr>
        <w:t>prácticas de conducción en el paí</w:t>
      </w:r>
      <w:r w:rsidR="003017BB">
        <w:rPr>
          <w:rFonts w:cstheme="minorHAnsi"/>
          <w:sz w:val="24"/>
        </w:rPr>
        <w:t xml:space="preserve">s, </w:t>
      </w:r>
      <w:r>
        <w:rPr>
          <w:rFonts w:cstheme="minorHAnsi"/>
          <w:sz w:val="24"/>
        </w:rPr>
        <w:t>contribuyendo a la seguridad vial</w:t>
      </w:r>
      <w:r w:rsidR="003017BB">
        <w:rPr>
          <w:rFonts w:cstheme="minorHAnsi"/>
          <w:sz w:val="24"/>
        </w:rPr>
        <w:t>. De acuerdo con el Observatorio de Logística, Movilidad y Territorio, en el ámbito de las políticas públicas de transporte, los instrumentos de este tipo se configuran en incentivos para el buen comportamiento en la vía.</w:t>
      </w:r>
    </w:p>
    <w:p w14:paraId="5EA16907" w14:textId="714710D9" w:rsidR="00A44003" w:rsidRDefault="002919FE" w:rsidP="003017BB">
      <w:pPr>
        <w:jc w:val="both"/>
        <w:rPr>
          <w:rFonts w:cstheme="minorHAnsi"/>
          <w:sz w:val="24"/>
        </w:rPr>
      </w:pPr>
      <w:r>
        <w:rPr>
          <w:rFonts w:cstheme="minorHAnsi"/>
          <w:sz w:val="24"/>
        </w:rPr>
        <w:t xml:space="preserve">La discusión y votación del presente proyecto de ley no genera conflictos de interés, de conformidad con la Ley 2003 de 2019. </w:t>
      </w:r>
    </w:p>
    <w:p w14:paraId="6C6C3A5F" w14:textId="260DB662" w:rsidR="002221D2" w:rsidRDefault="002221D2" w:rsidP="0027204B">
      <w:pPr>
        <w:spacing w:line="276" w:lineRule="auto"/>
        <w:jc w:val="both"/>
        <w:rPr>
          <w:rFonts w:cstheme="minorHAnsi"/>
          <w:sz w:val="24"/>
        </w:rPr>
      </w:pPr>
      <w:r>
        <w:rPr>
          <w:rFonts w:cstheme="minorHAnsi"/>
          <w:sz w:val="24"/>
        </w:rPr>
        <w:t>De los honorables Congresistas,</w:t>
      </w:r>
    </w:p>
    <w:p w14:paraId="7E1788B9" w14:textId="0B8572AF" w:rsidR="000F2C49" w:rsidRDefault="000F2C49" w:rsidP="0027204B">
      <w:pPr>
        <w:spacing w:line="276" w:lineRule="auto"/>
        <w:rPr>
          <w:rFonts w:cstheme="minorHAnsi"/>
          <w:sz w:val="24"/>
        </w:rPr>
      </w:pPr>
    </w:p>
    <w:tbl>
      <w:tblPr>
        <w:tblStyle w:val="Tablanormal2"/>
        <w:tblW w:w="0" w:type="auto"/>
        <w:jc w:val="center"/>
        <w:tblBorders>
          <w:top w:val="none" w:sz="0" w:space="0" w:color="auto"/>
          <w:bottom w:val="none" w:sz="0" w:space="0" w:color="auto"/>
        </w:tblBorders>
        <w:tblLook w:val="04A0" w:firstRow="1" w:lastRow="0" w:firstColumn="1" w:lastColumn="0" w:noHBand="0" w:noVBand="1"/>
      </w:tblPr>
      <w:tblGrid>
        <w:gridCol w:w="4414"/>
        <w:gridCol w:w="4414"/>
      </w:tblGrid>
      <w:tr w:rsidR="00012881" w14:paraId="4D5D493B" w14:textId="77777777" w:rsidTr="008474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Borders>
              <w:bottom w:val="none" w:sz="0" w:space="0" w:color="auto"/>
            </w:tcBorders>
          </w:tcPr>
          <w:p w14:paraId="5EC17A59" w14:textId="77777777" w:rsidR="00012881" w:rsidRDefault="00012881" w:rsidP="008474F2">
            <w:pPr>
              <w:spacing w:line="276" w:lineRule="auto"/>
              <w:jc w:val="center"/>
              <w:rPr>
                <w:rFonts w:cstheme="minorHAnsi"/>
                <w:b w:val="0"/>
                <w:sz w:val="24"/>
              </w:rPr>
            </w:pPr>
          </w:p>
          <w:p w14:paraId="3F7FA0D1" w14:textId="77777777" w:rsidR="00012881" w:rsidRDefault="00012881" w:rsidP="008474F2">
            <w:pPr>
              <w:spacing w:line="276" w:lineRule="auto"/>
              <w:rPr>
                <w:rFonts w:cstheme="minorHAnsi"/>
                <w:b w:val="0"/>
                <w:sz w:val="24"/>
              </w:rPr>
            </w:pPr>
          </w:p>
          <w:p w14:paraId="1E494EC4" w14:textId="77777777" w:rsidR="00012881" w:rsidRDefault="00012881" w:rsidP="008474F2">
            <w:pPr>
              <w:spacing w:line="276" w:lineRule="auto"/>
              <w:jc w:val="center"/>
              <w:rPr>
                <w:rFonts w:cstheme="minorHAnsi"/>
                <w:b w:val="0"/>
                <w:sz w:val="24"/>
              </w:rPr>
            </w:pPr>
            <w:r>
              <w:rPr>
                <w:rFonts w:cstheme="minorHAnsi"/>
                <w:sz w:val="24"/>
              </w:rPr>
              <w:t>NUBIA LÓPEZ MORALES</w:t>
            </w:r>
            <w:r>
              <w:rPr>
                <w:rFonts w:cstheme="minorHAnsi"/>
                <w:b w:val="0"/>
                <w:sz w:val="24"/>
              </w:rPr>
              <w:t xml:space="preserve"> </w:t>
            </w:r>
            <w:r>
              <w:rPr>
                <w:rFonts w:cstheme="minorHAnsi"/>
                <w:sz w:val="24"/>
              </w:rPr>
              <w:br/>
            </w:r>
            <w:r w:rsidRPr="00E236E8">
              <w:rPr>
                <w:rFonts w:cstheme="minorHAnsi"/>
                <w:b w:val="0"/>
                <w:bCs w:val="0"/>
                <w:sz w:val="24"/>
              </w:rPr>
              <w:t>Representante a la Cámara</w:t>
            </w:r>
            <w:r w:rsidRPr="00E236E8">
              <w:rPr>
                <w:rFonts w:cstheme="minorHAnsi"/>
                <w:b w:val="0"/>
                <w:bCs w:val="0"/>
                <w:sz w:val="24"/>
              </w:rPr>
              <w:br/>
              <w:t>Departamento de Santander</w:t>
            </w:r>
          </w:p>
          <w:p w14:paraId="7D5F6AB3" w14:textId="77777777" w:rsidR="00012881" w:rsidRDefault="00012881" w:rsidP="008474F2">
            <w:pPr>
              <w:spacing w:line="276" w:lineRule="auto"/>
              <w:jc w:val="center"/>
              <w:rPr>
                <w:rFonts w:cstheme="minorHAnsi"/>
                <w:b w:val="0"/>
                <w:sz w:val="24"/>
              </w:rPr>
            </w:pPr>
          </w:p>
        </w:tc>
        <w:tc>
          <w:tcPr>
            <w:tcW w:w="4414" w:type="dxa"/>
            <w:tcBorders>
              <w:bottom w:val="none" w:sz="0" w:space="0" w:color="auto"/>
            </w:tcBorders>
          </w:tcPr>
          <w:p w14:paraId="508D4964" w14:textId="77777777" w:rsidR="00012881" w:rsidRDefault="00012881"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p w14:paraId="57455E9D" w14:textId="77777777" w:rsidR="00012881" w:rsidRDefault="00012881"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p w14:paraId="1B4B8C59" w14:textId="77777777" w:rsidR="00012881" w:rsidRDefault="00012881"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r>
              <w:rPr>
                <w:rFonts w:cstheme="minorHAnsi"/>
                <w:bCs w:val="0"/>
                <w:sz w:val="24"/>
              </w:rPr>
              <w:t>RODRIGO ARTURO ROJAS LARA</w:t>
            </w:r>
          </w:p>
          <w:p w14:paraId="3C53E79B" w14:textId="77777777" w:rsidR="00012881" w:rsidRPr="00C741BB" w:rsidRDefault="00012881"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rPr>
            </w:pPr>
            <w:r w:rsidRPr="00C741BB">
              <w:rPr>
                <w:rFonts w:cstheme="minorHAnsi"/>
                <w:b w:val="0"/>
                <w:bCs w:val="0"/>
                <w:sz w:val="24"/>
              </w:rPr>
              <w:t>Representante a la Cámara</w:t>
            </w:r>
          </w:p>
          <w:p w14:paraId="79E904C4" w14:textId="77777777" w:rsidR="00012881" w:rsidRPr="00C741BB" w:rsidRDefault="00012881"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4"/>
              </w:rPr>
            </w:pPr>
            <w:r w:rsidRPr="00C741BB">
              <w:rPr>
                <w:rFonts w:cstheme="minorHAnsi"/>
                <w:b w:val="0"/>
                <w:bCs w:val="0"/>
                <w:sz w:val="24"/>
              </w:rPr>
              <w:t>Departamento de Boyacá</w:t>
            </w:r>
          </w:p>
          <w:p w14:paraId="7B68BCC6" w14:textId="77777777" w:rsidR="00012881" w:rsidRDefault="00012881"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p w14:paraId="7C1EF595" w14:textId="77777777" w:rsidR="00012881" w:rsidRDefault="00012881"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p w14:paraId="4AC0467F" w14:textId="77777777" w:rsidR="00012881" w:rsidRDefault="00012881" w:rsidP="008474F2">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b w:val="0"/>
                <w:sz w:val="24"/>
              </w:rPr>
            </w:pPr>
          </w:p>
        </w:tc>
      </w:tr>
      <w:tr w:rsidR="00012881" w14:paraId="5622EEF5" w14:textId="77777777" w:rsidTr="00847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Borders>
              <w:top w:val="none" w:sz="0" w:space="0" w:color="auto"/>
              <w:bottom w:val="none" w:sz="0" w:space="0" w:color="auto"/>
            </w:tcBorders>
          </w:tcPr>
          <w:p w14:paraId="0ECF4723" w14:textId="77777777" w:rsidR="00012881" w:rsidRDefault="00012881" w:rsidP="008474F2">
            <w:pPr>
              <w:spacing w:line="276" w:lineRule="auto"/>
              <w:jc w:val="center"/>
              <w:rPr>
                <w:b w:val="0"/>
                <w:bCs w:val="0"/>
                <w:color w:val="000000"/>
                <w:bdr w:val="none" w:sz="0" w:space="0" w:color="auto" w:frame="1"/>
              </w:rPr>
            </w:pPr>
          </w:p>
          <w:p w14:paraId="40E8B001" w14:textId="77777777" w:rsidR="00012881" w:rsidRPr="00E236E8" w:rsidRDefault="00012881" w:rsidP="008474F2">
            <w:pPr>
              <w:spacing w:line="276" w:lineRule="auto"/>
              <w:jc w:val="center"/>
              <w:rPr>
                <w:rFonts w:cstheme="minorHAnsi"/>
                <w:bCs w:val="0"/>
                <w:sz w:val="24"/>
              </w:rPr>
            </w:pPr>
            <w:r w:rsidRPr="00E236E8">
              <w:rPr>
                <w:rFonts w:cstheme="minorHAnsi"/>
                <w:bCs w:val="0"/>
                <w:sz w:val="24"/>
              </w:rPr>
              <w:t>ELIZABETH JAY-PANG DÍAZ</w:t>
            </w:r>
          </w:p>
          <w:p w14:paraId="39B4E93C" w14:textId="77777777" w:rsidR="00012881" w:rsidRDefault="00012881" w:rsidP="008474F2">
            <w:pPr>
              <w:spacing w:line="276" w:lineRule="auto"/>
              <w:jc w:val="center"/>
              <w:rPr>
                <w:rFonts w:cstheme="minorHAnsi"/>
                <w:b w:val="0"/>
                <w:bCs w:val="0"/>
                <w:sz w:val="24"/>
              </w:rPr>
            </w:pPr>
            <w:r>
              <w:rPr>
                <w:rFonts w:cstheme="minorHAnsi"/>
                <w:b w:val="0"/>
                <w:sz w:val="24"/>
              </w:rPr>
              <w:t>Representante a la Cámara</w:t>
            </w:r>
            <w:r>
              <w:rPr>
                <w:rFonts w:cstheme="minorHAnsi"/>
                <w:b w:val="0"/>
                <w:sz w:val="24"/>
              </w:rPr>
              <w:br/>
              <w:t>Archipiélago San Andrés Islas</w:t>
            </w:r>
          </w:p>
          <w:p w14:paraId="6C647896" w14:textId="77777777" w:rsidR="00012881" w:rsidRDefault="00012881" w:rsidP="008474F2">
            <w:pPr>
              <w:spacing w:line="276" w:lineRule="auto"/>
              <w:jc w:val="center"/>
              <w:rPr>
                <w:rFonts w:cstheme="minorHAnsi"/>
                <w:b w:val="0"/>
                <w:sz w:val="24"/>
              </w:rPr>
            </w:pPr>
          </w:p>
        </w:tc>
        <w:tc>
          <w:tcPr>
            <w:tcW w:w="4414" w:type="dxa"/>
            <w:tcBorders>
              <w:top w:val="none" w:sz="0" w:space="0" w:color="auto"/>
              <w:bottom w:val="none" w:sz="0" w:space="0" w:color="auto"/>
            </w:tcBorders>
          </w:tcPr>
          <w:p w14:paraId="657311DE" w14:textId="77777777" w:rsidR="00012881" w:rsidRDefault="00012881"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p>
          <w:p w14:paraId="0A8169C3" w14:textId="77777777" w:rsidR="00012881" w:rsidRDefault="00012881"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Pr>
                <w:rFonts w:cstheme="minorHAnsi"/>
                <w:b/>
                <w:sz w:val="24"/>
              </w:rPr>
              <w:t>ALEXANDER BERMÚDEZ LASSO</w:t>
            </w:r>
          </w:p>
          <w:p w14:paraId="21C317D6" w14:textId="77777777" w:rsidR="00012881" w:rsidRPr="006E1EE4" w:rsidRDefault="00012881"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Cs/>
                <w:sz w:val="24"/>
              </w:rPr>
            </w:pPr>
            <w:r w:rsidRPr="006E1EE4">
              <w:rPr>
                <w:rFonts w:cstheme="minorHAnsi"/>
                <w:bCs/>
                <w:sz w:val="24"/>
              </w:rPr>
              <w:t>Representante a la Cámara</w:t>
            </w:r>
          </w:p>
          <w:p w14:paraId="547636D8" w14:textId="77777777" w:rsidR="00012881" w:rsidRDefault="00012881"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r w:rsidRPr="006E1EE4">
              <w:rPr>
                <w:rFonts w:cstheme="minorHAnsi"/>
                <w:bCs/>
                <w:sz w:val="24"/>
              </w:rPr>
              <w:t>Departamento del Guaviare</w:t>
            </w:r>
          </w:p>
        </w:tc>
      </w:tr>
      <w:tr w:rsidR="00012881" w14:paraId="78A9132E" w14:textId="77777777" w:rsidTr="008474F2">
        <w:trPr>
          <w:jc w:val="center"/>
        </w:trPr>
        <w:tc>
          <w:tcPr>
            <w:cnfStyle w:val="001000000000" w:firstRow="0" w:lastRow="0" w:firstColumn="1" w:lastColumn="0" w:oddVBand="0" w:evenVBand="0" w:oddHBand="0" w:evenHBand="0" w:firstRowFirstColumn="0" w:firstRowLastColumn="0" w:lastRowFirstColumn="0" w:lastRowLastColumn="0"/>
            <w:tcW w:w="4414" w:type="dxa"/>
          </w:tcPr>
          <w:p w14:paraId="15361BD3" w14:textId="77777777" w:rsidR="00012881" w:rsidRDefault="00012881" w:rsidP="008474F2">
            <w:pPr>
              <w:spacing w:line="276" w:lineRule="auto"/>
              <w:jc w:val="center"/>
              <w:rPr>
                <w:rFonts w:cstheme="minorHAnsi"/>
                <w:b w:val="0"/>
                <w:sz w:val="24"/>
              </w:rPr>
            </w:pPr>
          </w:p>
          <w:p w14:paraId="507935DA" w14:textId="77777777" w:rsidR="00012881" w:rsidRDefault="00012881" w:rsidP="00012881">
            <w:pPr>
              <w:spacing w:line="276" w:lineRule="auto"/>
              <w:rPr>
                <w:rFonts w:cstheme="minorHAnsi"/>
                <w:b w:val="0"/>
                <w:bCs w:val="0"/>
                <w:sz w:val="24"/>
              </w:rPr>
            </w:pPr>
          </w:p>
          <w:p w14:paraId="5513D698" w14:textId="77777777" w:rsidR="00012881" w:rsidRDefault="00012881" w:rsidP="008474F2">
            <w:pPr>
              <w:spacing w:line="276" w:lineRule="auto"/>
              <w:jc w:val="center"/>
              <w:rPr>
                <w:rFonts w:cstheme="minorHAnsi"/>
                <w:b w:val="0"/>
                <w:sz w:val="24"/>
              </w:rPr>
            </w:pPr>
            <w:r>
              <w:rPr>
                <w:rFonts w:cstheme="minorHAnsi"/>
                <w:sz w:val="24"/>
              </w:rPr>
              <w:t>EDGAR ALFONSO GÓMEZ ROMÁN</w:t>
            </w:r>
          </w:p>
          <w:p w14:paraId="751C5C5C" w14:textId="77777777" w:rsidR="00012881" w:rsidRPr="00C6144F" w:rsidRDefault="00012881" w:rsidP="008474F2">
            <w:pPr>
              <w:spacing w:line="276" w:lineRule="auto"/>
              <w:jc w:val="center"/>
              <w:rPr>
                <w:rFonts w:cstheme="minorHAnsi"/>
                <w:b w:val="0"/>
                <w:bCs w:val="0"/>
                <w:sz w:val="24"/>
              </w:rPr>
            </w:pPr>
            <w:r w:rsidRPr="00C6144F">
              <w:rPr>
                <w:rFonts w:cstheme="minorHAnsi"/>
                <w:b w:val="0"/>
                <w:bCs w:val="0"/>
                <w:sz w:val="24"/>
              </w:rPr>
              <w:t>Representante a la Cámara</w:t>
            </w:r>
          </w:p>
          <w:p w14:paraId="5C1018C7" w14:textId="77777777" w:rsidR="00012881" w:rsidRDefault="00012881" w:rsidP="008474F2">
            <w:pPr>
              <w:spacing w:line="276" w:lineRule="auto"/>
              <w:jc w:val="center"/>
              <w:rPr>
                <w:rFonts w:cstheme="minorHAnsi"/>
                <w:b w:val="0"/>
                <w:sz w:val="24"/>
              </w:rPr>
            </w:pPr>
            <w:r w:rsidRPr="00C6144F">
              <w:rPr>
                <w:rFonts w:cstheme="minorHAnsi"/>
                <w:b w:val="0"/>
                <w:bCs w:val="0"/>
                <w:sz w:val="24"/>
              </w:rPr>
              <w:t>Departamento de Santander</w:t>
            </w:r>
          </w:p>
        </w:tc>
        <w:tc>
          <w:tcPr>
            <w:tcW w:w="4414" w:type="dxa"/>
          </w:tcPr>
          <w:p w14:paraId="70935EBC" w14:textId="77777777" w:rsidR="00012881" w:rsidRDefault="00012881"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p>
          <w:p w14:paraId="660B7D97" w14:textId="77777777" w:rsidR="00012881" w:rsidRDefault="00012881" w:rsidP="00012881">
            <w:pPr>
              <w:spacing w:line="276" w:lineRule="auto"/>
              <w:cnfStyle w:val="000000000000" w:firstRow="0" w:lastRow="0" w:firstColumn="0" w:lastColumn="0" w:oddVBand="0" w:evenVBand="0" w:oddHBand="0" w:evenHBand="0" w:firstRowFirstColumn="0" w:firstRowLastColumn="0" w:lastRowFirstColumn="0" w:lastRowLastColumn="0"/>
              <w:rPr>
                <w:rFonts w:cstheme="minorHAnsi"/>
                <w:b/>
                <w:sz w:val="24"/>
              </w:rPr>
            </w:pPr>
          </w:p>
          <w:p w14:paraId="61DDF168" w14:textId="77777777" w:rsidR="00012881" w:rsidRDefault="00012881"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Pr>
                <w:rFonts w:cstheme="minorHAnsi"/>
                <w:b/>
                <w:sz w:val="24"/>
              </w:rPr>
              <w:t>FABIO FERNANDO ARROYAVE R.</w:t>
            </w:r>
          </w:p>
          <w:p w14:paraId="1A82FDAC" w14:textId="77777777" w:rsidR="00012881" w:rsidRPr="006E1EE4" w:rsidRDefault="00012881"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Cs/>
                <w:sz w:val="24"/>
              </w:rPr>
            </w:pPr>
            <w:r w:rsidRPr="006E1EE4">
              <w:rPr>
                <w:rFonts w:cstheme="minorHAnsi"/>
                <w:bCs/>
                <w:sz w:val="24"/>
              </w:rPr>
              <w:t>Representante a la Cámara</w:t>
            </w:r>
          </w:p>
          <w:p w14:paraId="2E4A6FA0" w14:textId="77777777" w:rsidR="00012881" w:rsidRDefault="00012881" w:rsidP="008474F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sz w:val="24"/>
              </w:rPr>
            </w:pPr>
            <w:r w:rsidRPr="006E1EE4">
              <w:rPr>
                <w:rFonts w:cstheme="minorHAnsi"/>
                <w:bCs/>
                <w:sz w:val="24"/>
              </w:rPr>
              <w:t>Departamento del Valle del Cauca</w:t>
            </w:r>
          </w:p>
        </w:tc>
      </w:tr>
      <w:tr w:rsidR="00012881" w14:paraId="25F8CAC8" w14:textId="77777777" w:rsidTr="008474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14" w:type="dxa"/>
            <w:tcBorders>
              <w:top w:val="none" w:sz="0" w:space="0" w:color="auto"/>
              <w:bottom w:val="none" w:sz="0" w:space="0" w:color="auto"/>
            </w:tcBorders>
          </w:tcPr>
          <w:p w14:paraId="0951C58C" w14:textId="77777777" w:rsidR="00012881" w:rsidRDefault="00012881" w:rsidP="008474F2">
            <w:pPr>
              <w:spacing w:line="276" w:lineRule="auto"/>
              <w:jc w:val="center"/>
              <w:rPr>
                <w:rFonts w:cstheme="minorHAnsi"/>
                <w:bCs w:val="0"/>
                <w:sz w:val="24"/>
              </w:rPr>
            </w:pPr>
          </w:p>
          <w:p w14:paraId="21144CD3" w14:textId="77777777" w:rsidR="00012881" w:rsidRDefault="00012881" w:rsidP="008474F2">
            <w:pPr>
              <w:spacing w:line="276" w:lineRule="auto"/>
              <w:jc w:val="center"/>
              <w:rPr>
                <w:rFonts w:cstheme="minorHAnsi"/>
                <w:bCs w:val="0"/>
                <w:sz w:val="24"/>
              </w:rPr>
            </w:pPr>
          </w:p>
          <w:p w14:paraId="082A7F9F" w14:textId="77777777" w:rsidR="00012881" w:rsidRDefault="00012881" w:rsidP="008474F2">
            <w:pPr>
              <w:spacing w:line="276" w:lineRule="auto"/>
              <w:jc w:val="center"/>
              <w:rPr>
                <w:rFonts w:cstheme="minorHAnsi"/>
                <w:b w:val="0"/>
                <w:sz w:val="24"/>
              </w:rPr>
            </w:pPr>
          </w:p>
          <w:p w14:paraId="22D400A3" w14:textId="54883372" w:rsidR="00012881" w:rsidRPr="00012881" w:rsidRDefault="00012881" w:rsidP="008474F2">
            <w:pPr>
              <w:spacing w:line="276" w:lineRule="auto"/>
              <w:jc w:val="center"/>
              <w:rPr>
                <w:rFonts w:cstheme="minorHAnsi"/>
                <w:bCs w:val="0"/>
                <w:sz w:val="24"/>
              </w:rPr>
            </w:pPr>
            <w:r w:rsidRPr="00012881">
              <w:rPr>
                <w:rFonts w:cstheme="minorHAnsi"/>
                <w:bCs w:val="0"/>
                <w:sz w:val="24"/>
              </w:rPr>
              <w:t>ADRIANA GÓMEZ MILLÁN</w:t>
            </w:r>
          </w:p>
          <w:p w14:paraId="3A2939B8" w14:textId="77777777" w:rsidR="00012881" w:rsidRPr="00012881" w:rsidRDefault="00012881" w:rsidP="008474F2">
            <w:pPr>
              <w:spacing w:line="276" w:lineRule="auto"/>
              <w:jc w:val="center"/>
              <w:rPr>
                <w:rFonts w:cstheme="minorHAnsi"/>
                <w:b w:val="0"/>
                <w:sz w:val="24"/>
              </w:rPr>
            </w:pPr>
            <w:r w:rsidRPr="00012881">
              <w:rPr>
                <w:rFonts w:cstheme="minorHAnsi"/>
                <w:b w:val="0"/>
                <w:sz w:val="24"/>
              </w:rPr>
              <w:t>Representante a la Cámara</w:t>
            </w:r>
          </w:p>
          <w:p w14:paraId="5A980CC7" w14:textId="77777777" w:rsidR="00012881" w:rsidRDefault="00012881" w:rsidP="008474F2">
            <w:pPr>
              <w:spacing w:line="276" w:lineRule="auto"/>
              <w:jc w:val="center"/>
              <w:rPr>
                <w:rFonts w:cstheme="minorHAnsi"/>
                <w:b w:val="0"/>
                <w:sz w:val="24"/>
              </w:rPr>
            </w:pPr>
            <w:r w:rsidRPr="00012881">
              <w:rPr>
                <w:rFonts w:cstheme="minorHAnsi"/>
                <w:b w:val="0"/>
                <w:sz w:val="24"/>
              </w:rPr>
              <w:t>Departamento del Valle del Cauca</w:t>
            </w:r>
          </w:p>
        </w:tc>
        <w:tc>
          <w:tcPr>
            <w:tcW w:w="4414" w:type="dxa"/>
            <w:tcBorders>
              <w:top w:val="none" w:sz="0" w:space="0" w:color="auto"/>
              <w:bottom w:val="none" w:sz="0" w:space="0" w:color="auto"/>
            </w:tcBorders>
          </w:tcPr>
          <w:p w14:paraId="162F0C55" w14:textId="77777777" w:rsidR="00012881" w:rsidRDefault="00012881" w:rsidP="008474F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sz w:val="24"/>
              </w:rPr>
            </w:pPr>
          </w:p>
        </w:tc>
      </w:tr>
    </w:tbl>
    <w:p w14:paraId="198D59FA" w14:textId="77777777" w:rsidR="00012881" w:rsidRPr="002221D2" w:rsidRDefault="00012881" w:rsidP="0027204B">
      <w:pPr>
        <w:spacing w:line="276" w:lineRule="auto"/>
        <w:rPr>
          <w:rFonts w:cstheme="minorHAnsi"/>
          <w:sz w:val="24"/>
        </w:rPr>
      </w:pPr>
    </w:p>
    <w:sectPr w:rsidR="00012881" w:rsidRPr="002221D2">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5DBA0" w14:textId="77777777" w:rsidR="001A524D" w:rsidRDefault="001A524D" w:rsidP="00067FDA">
      <w:pPr>
        <w:spacing w:after="0" w:line="240" w:lineRule="auto"/>
      </w:pPr>
      <w:r>
        <w:separator/>
      </w:r>
    </w:p>
  </w:endnote>
  <w:endnote w:type="continuationSeparator" w:id="0">
    <w:p w14:paraId="1E6C0394" w14:textId="77777777" w:rsidR="001A524D" w:rsidRDefault="001A524D" w:rsidP="0006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H SarabunPSK">
    <w:altName w:val="Microsoft Sans Serif"/>
    <w:charset w:val="DE"/>
    <w:family w:val="swiss"/>
    <w:pitch w:val="variable"/>
    <w:sig w:usb0="00000000" w:usb1="00000000" w:usb2="00000000" w:usb3="00000000" w:csb0="0001011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C3DE8" w14:textId="77777777" w:rsidR="00C90DE4" w:rsidRDefault="00C90DE4" w:rsidP="00C90DE4">
    <w:pPr>
      <w:spacing w:after="0" w:line="240" w:lineRule="auto"/>
      <w:jc w:val="center"/>
    </w:pPr>
    <w:r>
      <w:rPr>
        <w:noProof/>
        <w:lang w:eastAsia="es-CO"/>
      </w:rPr>
      <w:drawing>
        <wp:inline distT="0" distB="0" distL="0" distR="0" wp14:anchorId="569B1E7B" wp14:editId="17ED2C47">
          <wp:extent cx="2788920" cy="243840"/>
          <wp:effectExtent l="0" t="0" r="0" b="3810"/>
          <wp:docPr id="1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789549" cy="243895"/>
                  </a:xfrm>
                  <a:prstGeom prst="rect">
                    <a:avLst/>
                  </a:prstGeom>
                  <a:ln/>
                </pic:spPr>
              </pic:pic>
            </a:graphicData>
          </a:graphic>
        </wp:inline>
      </w:drawing>
    </w:r>
  </w:p>
  <w:p w14:paraId="1B6FC8FF" w14:textId="77777777" w:rsidR="00C90DE4" w:rsidRPr="004469FB" w:rsidRDefault="00C90DE4" w:rsidP="00C90DE4">
    <w:pPr>
      <w:spacing w:after="0" w:line="240" w:lineRule="auto"/>
      <w:jc w:val="center"/>
      <w:rPr>
        <w:rFonts w:cstheme="minorHAnsi"/>
        <w:sz w:val="20"/>
        <w:szCs w:val="20"/>
      </w:rPr>
    </w:pPr>
    <w:r w:rsidRPr="00C90DE4">
      <w:rPr>
        <w:rFonts w:ascii="TH SarabunPSK" w:eastAsia="Verdana" w:hAnsi="TH SarabunPSK" w:cs="TH SarabunPSK" w:hint="cs"/>
        <w:b/>
        <w:sz w:val="32"/>
        <w:szCs w:val="32"/>
      </w:rPr>
      <w:t>H. REPRESENTANTE A LA CÁMARA NUBIA LÓPEZ MORALES</w:t>
    </w:r>
    <w:r w:rsidRPr="00C90DE4">
      <w:rPr>
        <w:rFonts w:ascii="TH SarabunPSK" w:eastAsia="Verdana" w:hAnsi="TH SarabunPSK" w:cs="TH SarabunPSK" w:hint="cs"/>
        <w:b/>
        <w:i/>
        <w:sz w:val="32"/>
        <w:szCs w:val="32"/>
      </w:rPr>
      <w:br/>
    </w:r>
    <w:r w:rsidRPr="004469FB">
      <w:rPr>
        <w:rFonts w:eastAsia="Verdana" w:cstheme="minorHAnsi"/>
        <w:sz w:val="20"/>
        <w:szCs w:val="20"/>
      </w:rPr>
      <w:t>Edificio Nuevo del Congreso de la República. Oficina 605B – 606B</w:t>
    </w:r>
  </w:p>
  <w:p w14:paraId="03E6C205" w14:textId="0B593901" w:rsidR="00C90DE4" w:rsidRPr="005D5145" w:rsidRDefault="00BC05F9" w:rsidP="005D5145">
    <w:pPr>
      <w:spacing w:after="0" w:line="240" w:lineRule="auto"/>
      <w:jc w:val="center"/>
      <w:rPr>
        <w:rFonts w:eastAsia="Verdana" w:cstheme="minorHAnsi"/>
        <w:sz w:val="20"/>
        <w:szCs w:val="20"/>
      </w:rPr>
    </w:pPr>
    <w:hyperlink r:id="rId2" w:history="1">
      <w:r w:rsidR="005D5145" w:rsidRPr="00F92F84">
        <w:rPr>
          <w:rStyle w:val="Hipervnculo"/>
          <w:rFonts w:eastAsia="Verdana" w:cstheme="minorHAnsi"/>
          <w:sz w:val="20"/>
          <w:szCs w:val="20"/>
        </w:rPr>
        <w:t>Nubia.lopez@camara.gov.co</w:t>
      </w:r>
    </w:hyperlink>
    <w:r w:rsidR="005D5145">
      <w:rPr>
        <w:rFonts w:eastAsia="Verdana" w:cstheme="minorHAnsi"/>
        <w:sz w:val="20"/>
        <w:szCs w:val="20"/>
      </w:rPr>
      <w:t xml:space="preserve"> </w:t>
    </w:r>
    <w:r w:rsidR="00C90DE4">
      <w:rPr>
        <w:rFonts w:eastAsia="Verdana" w:cstheme="minorHAnsi"/>
        <w:sz w:val="20"/>
        <w:szCs w:val="20"/>
      </w:rPr>
      <w:t>Tel. 4325100 Ext.3575 - 3576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824CE" w14:textId="77777777" w:rsidR="001A524D" w:rsidRDefault="001A524D" w:rsidP="00067FDA">
      <w:pPr>
        <w:spacing w:after="0" w:line="240" w:lineRule="auto"/>
      </w:pPr>
      <w:r>
        <w:separator/>
      </w:r>
    </w:p>
  </w:footnote>
  <w:footnote w:type="continuationSeparator" w:id="0">
    <w:p w14:paraId="59A01DD3" w14:textId="77777777" w:rsidR="001A524D" w:rsidRDefault="001A524D" w:rsidP="00067FDA">
      <w:pPr>
        <w:spacing w:after="0" w:line="240" w:lineRule="auto"/>
      </w:pPr>
      <w:r>
        <w:continuationSeparator/>
      </w:r>
    </w:p>
  </w:footnote>
  <w:footnote w:id="1">
    <w:p w14:paraId="76ABBC8D" w14:textId="150B13E3" w:rsidR="00893D32" w:rsidRPr="00893D32" w:rsidRDefault="00893D32">
      <w:pPr>
        <w:pStyle w:val="Textonotapie"/>
        <w:rPr>
          <w:lang w:val="es-ES"/>
        </w:rPr>
      </w:pPr>
      <w:r>
        <w:rPr>
          <w:rStyle w:val="Refdenotaalpie"/>
        </w:rPr>
        <w:footnoteRef/>
      </w:r>
      <w:r>
        <w:t xml:space="preserve"> </w:t>
      </w:r>
      <w:r>
        <w:rPr>
          <w:lang w:val="es-ES"/>
        </w:rPr>
        <w:t>Superintendencia Financiera de Colombia, 2017. Seguro Obligatorio de Accidentes de Tránsito.</w:t>
      </w:r>
    </w:p>
  </w:footnote>
  <w:footnote w:id="2">
    <w:p w14:paraId="774AD09A" w14:textId="0B579075" w:rsidR="003828AD" w:rsidRPr="003828AD" w:rsidRDefault="003828AD">
      <w:pPr>
        <w:pStyle w:val="Textonotapie"/>
        <w:rPr>
          <w:lang w:val="es-ES"/>
        </w:rPr>
      </w:pPr>
      <w:r>
        <w:rPr>
          <w:rStyle w:val="Refdenotaalpie"/>
        </w:rPr>
        <w:footnoteRef/>
      </w:r>
      <w:r>
        <w:t xml:space="preserve"> </w:t>
      </w:r>
      <w:r>
        <w:rPr>
          <w:lang w:val="es-ES"/>
        </w:rPr>
        <w:t>Superintendencia Financiera de Colombia, 2017. Seguro Obligatorio de Accidentes de Tránsito.</w:t>
      </w:r>
    </w:p>
  </w:footnote>
  <w:footnote w:id="3">
    <w:p w14:paraId="12A874FC" w14:textId="61D8DCE9" w:rsidR="003828AD" w:rsidRPr="003828AD" w:rsidRDefault="003828AD">
      <w:pPr>
        <w:pStyle w:val="Textonotapie"/>
        <w:rPr>
          <w:lang w:val="es-ES"/>
        </w:rPr>
      </w:pPr>
      <w:r>
        <w:rPr>
          <w:rStyle w:val="Refdenotaalpie"/>
        </w:rPr>
        <w:footnoteRef/>
      </w:r>
      <w:r>
        <w:t xml:space="preserve"> </w:t>
      </w:r>
      <w:r>
        <w:rPr>
          <w:lang w:val="es-ES"/>
        </w:rPr>
        <w:t>Superintendencia Financiera de Colombia, 2017. Seguro Obligatorio de Accidentes de Tránsito.</w:t>
      </w:r>
    </w:p>
  </w:footnote>
  <w:footnote w:id="4">
    <w:p w14:paraId="7F56858F" w14:textId="1C256A7A" w:rsidR="00696B18" w:rsidRPr="00696B18" w:rsidRDefault="00696B18">
      <w:pPr>
        <w:pStyle w:val="Textonotapie"/>
        <w:rPr>
          <w:lang w:val="es-ES"/>
        </w:rPr>
      </w:pPr>
      <w:r>
        <w:rPr>
          <w:rStyle w:val="Refdenotaalpie"/>
        </w:rPr>
        <w:footnoteRef/>
      </w:r>
      <w:r>
        <w:t xml:space="preserve"> </w:t>
      </w:r>
      <w:r>
        <w:rPr>
          <w:lang w:val="es-ES"/>
        </w:rPr>
        <w:t>Superintendencia Financiera de Colombia, 2018. Seguro Obligatorio de Accidentes de Tránsito.</w:t>
      </w:r>
    </w:p>
  </w:footnote>
  <w:footnote w:id="5">
    <w:p w14:paraId="7B85D719" w14:textId="73DCF2E9" w:rsidR="000A0BBF" w:rsidRPr="000A0BBF" w:rsidRDefault="000A0BBF">
      <w:pPr>
        <w:pStyle w:val="Textonotapie"/>
        <w:rPr>
          <w:lang w:val="es-ES"/>
        </w:rPr>
      </w:pPr>
      <w:r>
        <w:rPr>
          <w:rStyle w:val="Refdenotaalpie"/>
        </w:rPr>
        <w:footnoteRef/>
      </w:r>
      <w:r>
        <w:t xml:space="preserve"> </w:t>
      </w:r>
      <w:r>
        <w:rPr>
          <w:lang w:val="es-ES"/>
        </w:rPr>
        <w:t>Superintendencia Financiera de Colombia, 2019. Seguro Obligatorio de Accidentes de Tránsito.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05EE" w14:textId="1B973369" w:rsidR="00EB1B0C" w:rsidRPr="00C90DE4" w:rsidRDefault="00C90DE4" w:rsidP="00C90DE4">
    <w:pPr>
      <w:spacing w:after="0" w:line="240" w:lineRule="auto"/>
      <w:jc w:val="center"/>
      <w:rPr>
        <w:rFonts w:ascii="Times New Roman" w:eastAsia="Times New Roman" w:hAnsi="Times New Roman" w:cs="Times New Roman"/>
        <w:sz w:val="24"/>
        <w:szCs w:val="24"/>
        <w:lang w:eastAsia="es-ES_tradnl"/>
      </w:rPr>
    </w:pPr>
    <w:r w:rsidRPr="00C90DE4">
      <w:rPr>
        <w:rFonts w:ascii="Times New Roman" w:eastAsia="Times New Roman" w:hAnsi="Times New Roman" w:cs="Times New Roman"/>
        <w:sz w:val="24"/>
        <w:szCs w:val="24"/>
        <w:lang w:eastAsia="es-ES_tradnl"/>
      </w:rPr>
      <w:fldChar w:fldCharType="begin"/>
    </w:r>
    <w:r w:rsidR="00BC05F9">
      <w:rPr>
        <w:rFonts w:ascii="Times New Roman" w:eastAsia="Times New Roman" w:hAnsi="Times New Roman" w:cs="Times New Roman"/>
        <w:sz w:val="24"/>
        <w:szCs w:val="24"/>
        <w:lang w:eastAsia="es-ES_tradnl"/>
      </w:rPr>
      <w:instrText xml:space="preserve"> INCLUDEPICTURE "D:\\var\\folders\\xy\\hzhdf7md7412rc0h12c8s4n80000gn\\T\\com.microsoft.Word\\WebArchiveCopyPasteTempFiles\\logo_camara_1.png" \* MERGEFORMAT </w:instrText>
    </w:r>
    <w:r w:rsidRPr="00C90DE4">
      <w:rPr>
        <w:rFonts w:ascii="Times New Roman" w:eastAsia="Times New Roman" w:hAnsi="Times New Roman" w:cs="Times New Roman"/>
        <w:sz w:val="24"/>
        <w:szCs w:val="24"/>
        <w:lang w:eastAsia="es-ES_tradnl"/>
      </w:rPr>
      <w:fldChar w:fldCharType="separate"/>
    </w:r>
    <w:r w:rsidRPr="00C90DE4">
      <w:rPr>
        <w:rFonts w:ascii="Times New Roman" w:eastAsia="Times New Roman" w:hAnsi="Times New Roman" w:cs="Times New Roman"/>
        <w:noProof/>
        <w:sz w:val="24"/>
        <w:szCs w:val="24"/>
        <w:lang w:eastAsia="es-CO"/>
      </w:rPr>
      <w:drawing>
        <wp:inline distT="0" distB="0" distL="0" distR="0" wp14:anchorId="17E885C0" wp14:editId="25A9CFFC">
          <wp:extent cx="2535221" cy="746104"/>
          <wp:effectExtent l="0" t="0" r="0" b="3810"/>
          <wp:docPr id="1" name="Imagen 1" descr="Resultado de imagen para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7790" cy="755689"/>
                  </a:xfrm>
                  <a:prstGeom prst="rect">
                    <a:avLst/>
                  </a:prstGeom>
                  <a:noFill/>
                  <a:ln>
                    <a:noFill/>
                  </a:ln>
                </pic:spPr>
              </pic:pic>
            </a:graphicData>
          </a:graphic>
        </wp:inline>
      </w:drawing>
    </w:r>
    <w:r w:rsidRPr="00C90DE4">
      <w:rPr>
        <w:rFonts w:ascii="Times New Roman" w:eastAsia="Times New Roman" w:hAnsi="Times New Roman" w:cs="Times New Roman"/>
        <w:sz w:val="24"/>
        <w:szCs w:val="24"/>
        <w:lang w:eastAsia="es-ES_tradnl"/>
      </w:rPr>
      <w:fldChar w:fldCharType="end"/>
    </w:r>
  </w:p>
  <w:p w14:paraId="0258B20E" w14:textId="77777777" w:rsidR="00067FDA" w:rsidRDefault="00067FDA" w:rsidP="00067FDA">
    <w:pPr>
      <w:pStyle w:val="Encabezado"/>
      <w:jc w:val="center"/>
    </w:pPr>
  </w:p>
  <w:p w14:paraId="1FB37AD6" w14:textId="77777777" w:rsidR="00067FDA" w:rsidRDefault="00067FDA" w:rsidP="00067FDA">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5AE8"/>
    <w:multiLevelType w:val="hybridMultilevel"/>
    <w:tmpl w:val="09204ECA"/>
    <w:lvl w:ilvl="0" w:tplc="98A44DDA">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1" w15:restartNumberingAfterBreak="0">
    <w:nsid w:val="0ECF5E52"/>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4491D"/>
    <w:multiLevelType w:val="hybridMultilevel"/>
    <w:tmpl w:val="C6A8C9D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9BA202E"/>
    <w:multiLevelType w:val="hybridMultilevel"/>
    <w:tmpl w:val="8B56CE6A"/>
    <w:lvl w:ilvl="0" w:tplc="6BE0D1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35B1B"/>
    <w:multiLevelType w:val="hybridMultilevel"/>
    <w:tmpl w:val="F57642C6"/>
    <w:lvl w:ilvl="0" w:tplc="119C0B7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95D0E"/>
    <w:multiLevelType w:val="hybridMultilevel"/>
    <w:tmpl w:val="E5964A8A"/>
    <w:lvl w:ilvl="0" w:tplc="15CECFF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15:restartNumberingAfterBreak="0">
    <w:nsid w:val="26BA6495"/>
    <w:multiLevelType w:val="hybridMultilevel"/>
    <w:tmpl w:val="D63AF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86A28"/>
    <w:multiLevelType w:val="hybridMultilevel"/>
    <w:tmpl w:val="6FD477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31D92"/>
    <w:multiLevelType w:val="hybridMultilevel"/>
    <w:tmpl w:val="D63AF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D4EB5"/>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852D3"/>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FC3B02"/>
    <w:multiLevelType w:val="hybridMultilevel"/>
    <w:tmpl w:val="85B62CB4"/>
    <w:lvl w:ilvl="0" w:tplc="CF3CC45C">
      <w:start w:val="12"/>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51B0994"/>
    <w:multiLevelType w:val="hybridMultilevel"/>
    <w:tmpl w:val="3FA6317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B6AED"/>
    <w:multiLevelType w:val="hybridMultilevel"/>
    <w:tmpl w:val="513CFC76"/>
    <w:lvl w:ilvl="0" w:tplc="CFCC5C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82806"/>
    <w:multiLevelType w:val="hybridMultilevel"/>
    <w:tmpl w:val="3B7C7372"/>
    <w:lvl w:ilvl="0" w:tplc="4C5A90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A006E1"/>
    <w:multiLevelType w:val="hybridMultilevel"/>
    <w:tmpl w:val="D63AF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B602E2"/>
    <w:multiLevelType w:val="hybridMultilevel"/>
    <w:tmpl w:val="8578BAB0"/>
    <w:lvl w:ilvl="0" w:tplc="A3629706">
      <w:start w:val="1"/>
      <w:numFmt w:val="bullet"/>
      <w:lvlText w:val=""/>
      <w:lvlJc w:val="left"/>
      <w:pPr>
        <w:tabs>
          <w:tab w:val="num" w:pos="720"/>
        </w:tabs>
        <w:ind w:left="720" w:hanging="360"/>
      </w:pPr>
      <w:rPr>
        <w:rFonts w:ascii="Wingdings" w:hAnsi="Wingdings" w:hint="default"/>
      </w:rPr>
    </w:lvl>
    <w:lvl w:ilvl="1" w:tplc="68365BD0" w:tentative="1">
      <w:start w:val="1"/>
      <w:numFmt w:val="bullet"/>
      <w:lvlText w:val=""/>
      <w:lvlJc w:val="left"/>
      <w:pPr>
        <w:tabs>
          <w:tab w:val="num" w:pos="1440"/>
        </w:tabs>
        <w:ind w:left="1440" w:hanging="360"/>
      </w:pPr>
      <w:rPr>
        <w:rFonts w:ascii="Wingdings" w:hAnsi="Wingdings" w:hint="default"/>
      </w:rPr>
    </w:lvl>
    <w:lvl w:ilvl="2" w:tplc="C8C849E0" w:tentative="1">
      <w:start w:val="1"/>
      <w:numFmt w:val="bullet"/>
      <w:lvlText w:val=""/>
      <w:lvlJc w:val="left"/>
      <w:pPr>
        <w:tabs>
          <w:tab w:val="num" w:pos="2160"/>
        </w:tabs>
        <w:ind w:left="2160" w:hanging="360"/>
      </w:pPr>
      <w:rPr>
        <w:rFonts w:ascii="Wingdings" w:hAnsi="Wingdings" w:hint="default"/>
      </w:rPr>
    </w:lvl>
    <w:lvl w:ilvl="3" w:tplc="7E1C8ABC" w:tentative="1">
      <w:start w:val="1"/>
      <w:numFmt w:val="bullet"/>
      <w:lvlText w:val=""/>
      <w:lvlJc w:val="left"/>
      <w:pPr>
        <w:tabs>
          <w:tab w:val="num" w:pos="2880"/>
        </w:tabs>
        <w:ind w:left="2880" w:hanging="360"/>
      </w:pPr>
      <w:rPr>
        <w:rFonts w:ascii="Wingdings" w:hAnsi="Wingdings" w:hint="default"/>
      </w:rPr>
    </w:lvl>
    <w:lvl w:ilvl="4" w:tplc="DD5A6B96" w:tentative="1">
      <w:start w:val="1"/>
      <w:numFmt w:val="bullet"/>
      <w:lvlText w:val=""/>
      <w:lvlJc w:val="left"/>
      <w:pPr>
        <w:tabs>
          <w:tab w:val="num" w:pos="3600"/>
        </w:tabs>
        <w:ind w:left="3600" w:hanging="360"/>
      </w:pPr>
      <w:rPr>
        <w:rFonts w:ascii="Wingdings" w:hAnsi="Wingdings" w:hint="default"/>
      </w:rPr>
    </w:lvl>
    <w:lvl w:ilvl="5" w:tplc="B90C90BA" w:tentative="1">
      <w:start w:val="1"/>
      <w:numFmt w:val="bullet"/>
      <w:lvlText w:val=""/>
      <w:lvlJc w:val="left"/>
      <w:pPr>
        <w:tabs>
          <w:tab w:val="num" w:pos="4320"/>
        </w:tabs>
        <w:ind w:left="4320" w:hanging="360"/>
      </w:pPr>
      <w:rPr>
        <w:rFonts w:ascii="Wingdings" w:hAnsi="Wingdings" w:hint="default"/>
      </w:rPr>
    </w:lvl>
    <w:lvl w:ilvl="6" w:tplc="9D2E71CE" w:tentative="1">
      <w:start w:val="1"/>
      <w:numFmt w:val="bullet"/>
      <w:lvlText w:val=""/>
      <w:lvlJc w:val="left"/>
      <w:pPr>
        <w:tabs>
          <w:tab w:val="num" w:pos="5040"/>
        </w:tabs>
        <w:ind w:left="5040" w:hanging="360"/>
      </w:pPr>
      <w:rPr>
        <w:rFonts w:ascii="Wingdings" w:hAnsi="Wingdings" w:hint="default"/>
      </w:rPr>
    </w:lvl>
    <w:lvl w:ilvl="7" w:tplc="54B28BF4" w:tentative="1">
      <w:start w:val="1"/>
      <w:numFmt w:val="bullet"/>
      <w:lvlText w:val=""/>
      <w:lvlJc w:val="left"/>
      <w:pPr>
        <w:tabs>
          <w:tab w:val="num" w:pos="5760"/>
        </w:tabs>
        <w:ind w:left="5760" w:hanging="360"/>
      </w:pPr>
      <w:rPr>
        <w:rFonts w:ascii="Wingdings" w:hAnsi="Wingdings" w:hint="default"/>
      </w:rPr>
    </w:lvl>
    <w:lvl w:ilvl="8" w:tplc="7E1A2CE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2C08BF"/>
    <w:multiLevelType w:val="hybridMultilevel"/>
    <w:tmpl w:val="59AE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62FB7"/>
    <w:multiLevelType w:val="hybridMultilevel"/>
    <w:tmpl w:val="5B30B05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60D513E9"/>
    <w:multiLevelType w:val="hybridMultilevel"/>
    <w:tmpl w:val="F544BC62"/>
    <w:lvl w:ilvl="0" w:tplc="9D600DA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7F60C24"/>
    <w:multiLevelType w:val="hybridMultilevel"/>
    <w:tmpl w:val="513CFC76"/>
    <w:lvl w:ilvl="0" w:tplc="CFCC5C6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058EF"/>
    <w:multiLevelType w:val="hybridMultilevel"/>
    <w:tmpl w:val="745A1F3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94148"/>
    <w:multiLevelType w:val="hybridMultilevel"/>
    <w:tmpl w:val="E294C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0D3B3A"/>
    <w:multiLevelType w:val="hybridMultilevel"/>
    <w:tmpl w:val="3B7C7372"/>
    <w:lvl w:ilvl="0" w:tplc="4C5A90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9853D8"/>
    <w:multiLevelType w:val="hybridMultilevel"/>
    <w:tmpl w:val="70840112"/>
    <w:lvl w:ilvl="0" w:tplc="240A0017">
      <w:start w:val="1"/>
      <w:numFmt w:val="lowerLetter"/>
      <w:lvlText w:val="%1)"/>
      <w:lvlJc w:val="left"/>
      <w:pPr>
        <w:ind w:left="720" w:hanging="360"/>
      </w:pPr>
      <w:rPr>
        <w:rFonts w:hint="default"/>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D3C2F94"/>
    <w:multiLevelType w:val="hybridMultilevel"/>
    <w:tmpl w:val="F340A79A"/>
    <w:lvl w:ilvl="0" w:tplc="CF3CC45C">
      <w:start w:val="12"/>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7FA76CB0"/>
    <w:multiLevelType w:val="hybridMultilevel"/>
    <w:tmpl w:val="D88CFBF0"/>
    <w:lvl w:ilvl="0" w:tplc="CF3CC45C">
      <w:start w:val="12"/>
      <w:numFmt w:val="bullet"/>
      <w:lvlText w:val="-"/>
      <w:lvlJc w:val="left"/>
      <w:pPr>
        <w:ind w:left="720" w:hanging="360"/>
      </w:pPr>
      <w:rPr>
        <w:rFonts w:ascii="Calibri" w:eastAsia="Times New Roman"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6"/>
  </w:num>
  <w:num w:numId="4">
    <w:abstractNumId w:val="21"/>
  </w:num>
  <w:num w:numId="5">
    <w:abstractNumId w:val="12"/>
  </w:num>
  <w:num w:numId="6">
    <w:abstractNumId w:val="22"/>
  </w:num>
  <w:num w:numId="7">
    <w:abstractNumId w:val="3"/>
  </w:num>
  <w:num w:numId="8">
    <w:abstractNumId w:val="17"/>
  </w:num>
  <w:num w:numId="9">
    <w:abstractNumId w:val="7"/>
  </w:num>
  <w:num w:numId="10">
    <w:abstractNumId w:val="15"/>
  </w:num>
  <w:num w:numId="11">
    <w:abstractNumId w:val="13"/>
  </w:num>
  <w:num w:numId="12">
    <w:abstractNumId w:val="4"/>
  </w:num>
  <w:num w:numId="13">
    <w:abstractNumId w:val="9"/>
  </w:num>
  <w:num w:numId="14">
    <w:abstractNumId w:val="16"/>
  </w:num>
  <w:num w:numId="15">
    <w:abstractNumId w:val="8"/>
  </w:num>
  <w:num w:numId="16">
    <w:abstractNumId w:val="20"/>
  </w:num>
  <w:num w:numId="17">
    <w:abstractNumId w:val="1"/>
  </w:num>
  <w:num w:numId="18">
    <w:abstractNumId w:val="24"/>
  </w:num>
  <w:num w:numId="19">
    <w:abstractNumId w:val="10"/>
  </w:num>
  <w:num w:numId="20">
    <w:abstractNumId w:val="14"/>
  </w:num>
  <w:num w:numId="21">
    <w:abstractNumId w:val="2"/>
  </w:num>
  <w:num w:numId="22">
    <w:abstractNumId w:val="0"/>
  </w:num>
  <w:num w:numId="23">
    <w:abstractNumId w:val="5"/>
  </w:num>
  <w:num w:numId="24">
    <w:abstractNumId w:val="11"/>
  </w:num>
  <w:num w:numId="25">
    <w:abstractNumId w:val="18"/>
  </w:num>
  <w:num w:numId="26">
    <w:abstractNumId w:val="26"/>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FF"/>
    <w:rsid w:val="00012881"/>
    <w:rsid w:val="00036555"/>
    <w:rsid w:val="00043F6F"/>
    <w:rsid w:val="00044599"/>
    <w:rsid w:val="00044773"/>
    <w:rsid w:val="000463E7"/>
    <w:rsid w:val="000465C3"/>
    <w:rsid w:val="00062F92"/>
    <w:rsid w:val="00067FDA"/>
    <w:rsid w:val="0008585B"/>
    <w:rsid w:val="00086BEE"/>
    <w:rsid w:val="000928B9"/>
    <w:rsid w:val="000943F9"/>
    <w:rsid w:val="000A0BBF"/>
    <w:rsid w:val="000B474F"/>
    <w:rsid w:val="000D5B1A"/>
    <w:rsid w:val="000D7A01"/>
    <w:rsid w:val="000F2C49"/>
    <w:rsid w:val="000F5A3C"/>
    <w:rsid w:val="0010334D"/>
    <w:rsid w:val="00143245"/>
    <w:rsid w:val="001504B4"/>
    <w:rsid w:val="00156A21"/>
    <w:rsid w:val="00194F1C"/>
    <w:rsid w:val="001A524D"/>
    <w:rsid w:val="001D0B7D"/>
    <w:rsid w:val="001D2BEA"/>
    <w:rsid w:val="001D7B82"/>
    <w:rsid w:val="001D7E39"/>
    <w:rsid w:val="001F4B45"/>
    <w:rsid w:val="0020081B"/>
    <w:rsid w:val="002150D4"/>
    <w:rsid w:val="002221D2"/>
    <w:rsid w:val="00240502"/>
    <w:rsid w:val="0026776C"/>
    <w:rsid w:val="0027204B"/>
    <w:rsid w:val="002919FE"/>
    <w:rsid w:val="002B69E3"/>
    <w:rsid w:val="002D3105"/>
    <w:rsid w:val="003017BB"/>
    <w:rsid w:val="0030191D"/>
    <w:rsid w:val="0030237A"/>
    <w:rsid w:val="003052C9"/>
    <w:rsid w:val="0032264E"/>
    <w:rsid w:val="003320FF"/>
    <w:rsid w:val="003327E3"/>
    <w:rsid w:val="003468B1"/>
    <w:rsid w:val="00367B71"/>
    <w:rsid w:val="003828AD"/>
    <w:rsid w:val="00386B49"/>
    <w:rsid w:val="003C754B"/>
    <w:rsid w:val="003C776B"/>
    <w:rsid w:val="003E11D1"/>
    <w:rsid w:val="003F11CA"/>
    <w:rsid w:val="003F7521"/>
    <w:rsid w:val="004079AF"/>
    <w:rsid w:val="00420BF7"/>
    <w:rsid w:val="0043412F"/>
    <w:rsid w:val="004476EF"/>
    <w:rsid w:val="004519D9"/>
    <w:rsid w:val="0046308A"/>
    <w:rsid w:val="00467787"/>
    <w:rsid w:val="004831C0"/>
    <w:rsid w:val="00487A0E"/>
    <w:rsid w:val="004A1C88"/>
    <w:rsid w:val="004B559A"/>
    <w:rsid w:val="004C40AD"/>
    <w:rsid w:val="004D0FD5"/>
    <w:rsid w:val="004D7523"/>
    <w:rsid w:val="00504D3D"/>
    <w:rsid w:val="005062FD"/>
    <w:rsid w:val="00585D87"/>
    <w:rsid w:val="005A15F8"/>
    <w:rsid w:val="005B37CF"/>
    <w:rsid w:val="005C3191"/>
    <w:rsid w:val="005D4A7D"/>
    <w:rsid w:val="005D5145"/>
    <w:rsid w:val="005F0217"/>
    <w:rsid w:val="005F3EC6"/>
    <w:rsid w:val="00602BDD"/>
    <w:rsid w:val="00613500"/>
    <w:rsid w:val="00622244"/>
    <w:rsid w:val="00640B87"/>
    <w:rsid w:val="00652ACB"/>
    <w:rsid w:val="00687FC6"/>
    <w:rsid w:val="0069066F"/>
    <w:rsid w:val="00696B18"/>
    <w:rsid w:val="006975B9"/>
    <w:rsid w:val="006A044D"/>
    <w:rsid w:val="006B6BAB"/>
    <w:rsid w:val="006C628B"/>
    <w:rsid w:val="006E1EE4"/>
    <w:rsid w:val="00703130"/>
    <w:rsid w:val="00734178"/>
    <w:rsid w:val="00754D36"/>
    <w:rsid w:val="0075676B"/>
    <w:rsid w:val="00777F37"/>
    <w:rsid w:val="00780EC6"/>
    <w:rsid w:val="00782E0B"/>
    <w:rsid w:val="007A28E2"/>
    <w:rsid w:val="007A5A20"/>
    <w:rsid w:val="007A5E11"/>
    <w:rsid w:val="007D538D"/>
    <w:rsid w:val="007E20D3"/>
    <w:rsid w:val="007E463A"/>
    <w:rsid w:val="007F1F29"/>
    <w:rsid w:val="007F4349"/>
    <w:rsid w:val="008265C8"/>
    <w:rsid w:val="00833256"/>
    <w:rsid w:val="008345B4"/>
    <w:rsid w:val="008533EC"/>
    <w:rsid w:val="00854B4E"/>
    <w:rsid w:val="008665CB"/>
    <w:rsid w:val="008731AE"/>
    <w:rsid w:val="0087439C"/>
    <w:rsid w:val="00893D32"/>
    <w:rsid w:val="008D6E7C"/>
    <w:rsid w:val="008F15C7"/>
    <w:rsid w:val="008F175F"/>
    <w:rsid w:val="00904BBD"/>
    <w:rsid w:val="009058C2"/>
    <w:rsid w:val="009528E8"/>
    <w:rsid w:val="009608A9"/>
    <w:rsid w:val="009736B8"/>
    <w:rsid w:val="0099244E"/>
    <w:rsid w:val="009D3757"/>
    <w:rsid w:val="00A23B3A"/>
    <w:rsid w:val="00A36EC6"/>
    <w:rsid w:val="00A407F2"/>
    <w:rsid w:val="00A44003"/>
    <w:rsid w:val="00A62FC8"/>
    <w:rsid w:val="00A67869"/>
    <w:rsid w:val="00A802CC"/>
    <w:rsid w:val="00A906A6"/>
    <w:rsid w:val="00AB2B1B"/>
    <w:rsid w:val="00AF245B"/>
    <w:rsid w:val="00AF4337"/>
    <w:rsid w:val="00B01AC5"/>
    <w:rsid w:val="00B17468"/>
    <w:rsid w:val="00B3703B"/>
    <w:rsid w:val="00B43662"/>
    <w:rsid w:val="00B60DDB"/>
    <w:rsid w:val="00B76849"/>
    <w:rsid w:val="00B85076"/>
    <w:rsid w:val="00B92B22"/>
    <w:rsid w:val="00BA3A86"/>
    <w:rsid w:val="00BB7A66"/>
    <w:rsid w:val="00BC05F9"/>
    <w:rsid w:val="00BD40CD"/>
    <w:rsid w:val="00BF1FCC"/>
    <w:rsid w:val="00C2637E"/>
    <w:rsid w:val="00C533C0"/>
    <w:rsid w:val="00C64647"/>
    <w:rsid w:val="00C64CE8"/>
    <w:rsid w:val="00C72837"/>
    <w:rsid w:val="00C72C8B"/>
    <w:rsid w:val="00C741BB"/>
    <w:rsid w:val="00C90DE4"/>
    <w:rsid w:val="00C970FB"/>
    <w:rsid w:val="00C977DF"/>
    <w:rsid w:val="00CD5FF1"/>
    <w:rsid w:val="00CE6634"/>
    <w:rsid w:val="00CF1B7C"/>
    <w:rsid w:val="00D26BDB"/>
    <w:rsid w:val="00D4648F"/>
    <w:rsid w:val="00D56B76"/>
    <w:rsid w:val="00D86170"/>
    <w:rsid w:val="00D87C74"/>
    <w:rsid w:val="00DB0FCB"/>
    <w:rsid w:val="00DC4347"/>
    <w:rsid w:val="00DE717A"/>
    <w:rsid w:val="00E05E6A"/>
    <w:rsid w:val="00E11966"/>
    <w:rsid w:val="00E12832"/>
    <w:rsid w:val="00E207B7"/>
    <w:rsid w:val="00E3792E"/>
    <w:rsid w:val="00E7629C"/>
    <w:rsid w:val="00E8531C"/>
    <w:rsid w:val="00EB1B0C"/>
    <w:rsid w:val="00ED6F1E"/>
    <w:rsid w:val="00EE1484"/>
    <w:rsid w:val="00EE2133"/>
    <w:rsid w:val="00EE428A"/>
    <w:rsid w:val="00EF172F"/>
    <w:rsid w:val="00F05D44"/>
    <w:rsid w:val="00F13599"/>
    <w:rsid w:val="00F30127"/>
    <w:rsid w:val="00F431AF"/>
    <w:rsid w:val="00F566CC"/>
    <w:rsid w:val="00F64B87"/>
    <w:rsid w:val="00F73416"/>
    <w:rsid w:val="00FD403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4962"/>
  <w15:chartTrackingRefBased/>
  <w15:docId w15:val="{87C6D3C0-569B-411B-9B3D-1AD6348F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69E3"/>
    <w:pPr>
      <w:ind w:left="720"/>
      <w:contextualSpacing/>
    </w:pPr>
  </w:style>
  <w:style w:type="paragraph" w:styleId="Encabezado">
    <w:name w:val="header"/>
    <w:basedOn w:val="Normal"/>
    <w:link w:val="EncabezadoCar"/>
    <w:uiPriority w:val="99"/>
    <w:unhideWhenUsed/>
    <w:rsid w:val="00067F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7FDA"/>
  </w:style>
  <w:style w:type="paragraph" w:styleId="Piedepgina">
    <w:name w:val="footer"/>
    <w:basedOn w:val="Normal"/>
    <w:link w:val="PiedepginaCar"/>
    <w:uiPriority w:val="99"/>
    <w:unhideWhenUsed/>
    <w:rsid w:val="00067F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7FDA"/>
  </w:style>
  <w:style w:type="paragraph" w:styleId="NormalWeb">
    <w:name w:val="Normal (Web)"/>
    <w:basedOn w:val="Normal"/>
    <w:uiPriority w:val="99"/>
    <w:unhideWhenUsed/>
    <w:rsid w:val="006B6B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6B6BAB"/>
    <w:rPr>
      <w:color w:val="0000FF"/>
      <w:u w:val="single"/>
    </w:rPr>
  </w:style>
  <w:style w:type="paragraph" w:styleId="Textonotapie">
    <w:name w:val="footnote text"/>
    <w:basedOn w:val="Normal"/>
    <w:link w:val="TextonotapieCar"/>
    <w:uiPriority w:val="99"/>
    <w:semiHidden/>
    <w:unhideWhenUsed/>
    <w:rsid w:val="0030191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191D"/>
    <w:rPr>
      <w:sz w:val="20"/>
      <w:szCs w:val="20"/>
    </w:rPr>
  </w:style>
  <w:style w:type="character" w:styleId="Refdenotaalpie">
    <w:name w:val="footnote reference"/>
    <w:basedOn w:val="Fuentedeprrafopredeter"/>
    <w:uiPriority w:val="99"/>
    <w:semiHidden/>
    <w:unhideWhenUsed/>
    <w:rsid w:val="0030191D"/>
    <w:rPr>
      <w:vertAlign w:val="superscript"/>
    </w:rPr>
  </w:style>
  <w:style w:type="table" w:styleId="Tablaconcuadrcula">
    <w:name w:val="Table Grid"/>
    <w:basedOn w:val="Tablanormal"/>
    <w:uiPriority w:val="39"/>
    <w:rsid w:val="00CE6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0B87"/>
    <w:rPr>
      <w:sz w:val="16"/>
      <w:szCs w:val="16"/>
    </w:rPr>
  </w:style>
  <w:style w:type="paragraph" w:styleId="Textocomentario">
    <w:name w:val="annotation text"/>
    <w:basedOn w:val="Normal"/>
    <w:link w:val="TextocomentarioCar"/>
    <w:uiPriority w:val="99"/>
    <w:unhideWhenUsed/>
    <w:rsid w:val="00640B87"/>
    <w:pPr>
      <w:spacing w:line="240" w:lineRule="auto"/>
    </w:pPr>
    <w:rPr>
      <w:sz w:val="20"/>
      <w:szCs w:val="20"/>
    </w:rPr>
  </w:style>
  <w:style w:type="character" w:customStyle="1" w:styleId="TextocomentarioCar">
    <w:name w:val="Texto comentario Car"/>
    <w:basedOn w:val="Fuentedeprrafopredeter"/>
    <w:link w:val="Textocomentario"/>
    <w:uiPriority w:val="99"/>
    <w:rsid w:val="00640B87"/>
    <w:rPr>
      <w:sz w:val="20"/>
      <w:szCs w:val="20"/>
    </w:rPr>
  </w:style>
  <w:style w:type="paragraph" w:styleId="Asuntodelcomentario">
    <w:name w:val="annotation subject"/>
    <w:basedOn w:val="Textocomentario"/>
    <w:next w:val="Textocomentario"/>
    <w:link w:val="AsuntodelcomentarioCar"/>
    <w:uiPriority w:val="99"/>
    <w:semiHidden/>
    <w:unhideWhenUsed/>
    <w:rsid w:val="00640B87"/>
    <w:rPr>
      <w:b/>
      <w:bCs/>
    </w:rPr>
  </w:style>
  <w:style w:type="character" w:customStyle="1" w:styleId="AsuntodelcomentarioCar">
    <w:name w:val="Asunto del comentario Car"/>
    <w:basedOn w:val="TextocomentarioCar"/>
    <w:link w:val="Asuntodelcomentario"/>
    <w:uiPriority w:val="99"/>
    <w:semiHidden/>
    <w:rsid w:val="00640B87"/>
    <w:rPr>
      <w:b/>
      <w:bCs/>
      <w:sz w:val="20"/>
      <w:szCs w:val="20"/>
    </w:rPr>
  </w:style>
  <w:style w:type="paragraph" w:styleId="Textodeglobo">
    <w:name w:val="Balloon Text"/>
    <w:basedOn w:val="Normal"/>
    <w:link w:val="TextodegloboCar"/>
    <w:uiPriority w:val="99"/>
    <w:semiHidden/>
    <w:unhideWhenUsed/>
    <w:rsid w:val="00640B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0B87"/>
    <w:rPr>
      <w:rFonts w:ascii="Segoe UI" w:hAnsi="Segoe UI" w:cs="Segoe UI"/>
      <w:sz w:val="18"/>
      <w:szCs w:val="18"/>
    </w:rPr>
  </w:style>
  <w:style w:type="paragraph" w:customStyle="1" w:styleId="unico">
    <w:name w:val="unico"/>
    <w:basedOn w:val="Normal"/>
    <w:rsid w:val="005D4A7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apple-converted-space">
    <w:name w:val="apple-converted-space"/>
    <w:basedOn w:val="Fuentedeprrafopredeter"/>
    <w:rsid w:val="005D4A7D"/>
  </w:style>
  <w:style w:type="paragraph" w:styleId="Textosinformato">
    <w:name w:val="Plain Text"/>
    <w:basedOn w:val="Normal"/>
    <w:link w:val="TextosinformatoCar"/>
    <w:uiPriority w:val="99"/>
    <w:rsid w:val="00696B18"/>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96B18"/>
    <w:rPr>
      <w:rFonts w:ascii="Courier New" w:eastAsia="Times New Roman" w:hAnsi="Courier New" w:cs="Courier New"/>
      <w:sz w:val="20"/>
      <w:szCs w:val="20"/>
      <w:lang w:val="es-ES" w:eastAsia="es-ES"/>
    </w:rPr>
  </w:style>
  <w:style w:type="paragraph" w:styleId="Textoindependiente">
    <w:name w:val="Body Text"/>
    <w:basedOn w:val="Normal"/>
    <w:link w:val="TextoindependienteCar"/>
    <w:uiPriority w:val="99"/>
    <w:rsid w:val="00696B18"/>
    <w:pPr>
      <w:spacing w:after="0" w:line="240" w:lineRule="auto"/>
      <w:jc w:val="center"/>
    </w:pPr>
    <w:rPr>
      <w:rFonts w:ascii="Arial" w:eastAsia="Times New Roman" w:hAnsi="Arial" w:cs="Times New Roman"/>
      <w:b/>
      <w:bCs/>
      <w:sz w:val="36"/>
      <w:szCs w:val="20"/>
      <w:lang w:val="es-ES_tradnl" w:eastAsia="es-ES"/>
    </w:rPr>
  </w:style>
  <w:style w:type="character" w:customStyle="1" w:styleId="TextoindependienteCar">
    <w:name w:val="Texto independiente Car"/>
    <w:basedOn w:val="Fuentedeprrafopredeter"/>
    <w:link w:val="Textoindependiente"/>
    <w:uiPriority w:val="99"/>
    <w:rsid w:val="00696B18"/>
    <w:rPr>
      <w:rFonts w:ascii="Arial" w:eastAsia="Times New Roman" w:hAnsi="Arial" w:cs="Times New Roman"/>
      <w:b/>
      <w:bCs/>
      <w:sz w:val="36"/>
      <w:szCs w:val="20"/>
      <w:lang w:val="es-ES_tradnl" w:eastAsia="es-ES"/>
    </w:rPr>
  </w:style>
  <w:style w:type="character" w:styleId="Textoennegrita">
    <w:name w:val="Strong"/>
    <w:basedOn w:val="Fuentedeprrafopredeter"/>
    <w:uiPriority w:val="22"/>
    <w:qFormat/>
    <w:rsid w:val="00CF1B7C"/>
    <w:rPr>
      <w:b/>
      <w:bCs/>
    </w:rPr>
  </w:style>
  <w:style w:type="character" w:customStyle="1" w:styleId="UnresolvedMention">
    <w:name w:val="Unresolved Mention"/>
    <w:basedOn w:val="Fuentedeprrafopredeter"/>
    <w:uiPriority w:val="99"/>
    <w:semiHidden/>
    <w:unhideWhenUsed/>
    <w:rsid w:val="005D5145"/>
    <w:rPr>
      <w:color w:val="605E5C"/>
      <w:shd w:val="clear" w:color="auto" w:fill="E1DFDD"/>
    </w:rPr>
  </w:style>
  <w:style w:type="table" w:styleId="Tablanormal2">
    <w:name w:val="Plain Table 2"/>
    <w:basedOn w:val="Tablanormal"/>
    <w:uiPriority w:val="42"/>
    <w:rsid w:val="00C741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5363">
      <w:bodyDiv w:val="1"/>
      <w:marLeft w:val="0"/>
      <w:marRight w:val="0"/>
      <w:marTop w:val="0"/>
      <w:marBottom w:val="0"/>
      <w:divBdr>
        <w:top w:val="none" w:sz="0" w:space="0" w:color="auto"/>
        <w:left w:val="none" w:sz="0" w:space="0" w:color="auto"/>
        <w:bottom w:val="none" w:sz="0" w:space="0" w:color="auto"/>
        <w:right w:val="none" w:sz="0" w:space="0" w:color="auto"/>
      </w:divBdr>
      <w:divsChild>
        <w:div w:id="1648195476">
          <w:marLeft w:val="0"/>
          <w:marRight w:val="0"/>
          <w:marTop w:val="0"/>
          <w:marBottom w:val="0"/>
          <w:divBdr>
            <w:top w:val="none" w:sz="0" w:space="0" w:color="auto"/>
            <w:left w:val="none" w:sz="0" w:space="0" w:color="auto"/>
            <w:bottom w:val="none" w:sz="0" w:space="0" w:color="auto"/>
            <w:right w:val="none" w:sz="0" w:space="0" w:color="auto"/>
          </w:divBdr>
          <w:divsChild>
            <w:div w:id="981884246">
              <w:marLeft w:val="0"/>
              <w:marRight w:val="0"/>
              <w:marTop w:val="0"/>
              <w:marBottom w:val="0"/>
              <w:divBdr>
                <w:top w:val="none" w:sz="0" w:space="0" w:color="auto"/>
                <w:left w:val="none" w:sz="0" w:space="0" w:color="auto"/>
                <w:bottom w:val="none" w:sz="0" w:space="0" w:color="auto"/>
                <w:right w:val="none" w:sz="0" w:space="0" w:color="auto"/>
              </w:divBdr>
              <w:divsChild>
                <w:div w:id="15699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1142">
      <w:bodyDiv w:val="1"/>
      <w:marLeft w:val="0"/>
      <w:marRight w:val="0"/>
      <w:marTop w:val="0"/>
      <w:marBottom w:val="0"/>
      <w:divBdr>
        <w:top w:val="none" w:sz="0" w:space="0" w:color="auto"/>
        <w:left w:val="none" w:sz="0" w:space="0" w:color="auto"/>
        <w:bottom w:val="none" w:sz="0" w:space="0" w:color="auto"/>
        <w:right w:val="none" w:sz="0" w:space="0" w:color="auto"/>
      </w:divBdr>
      <w:divsChild>
        <w:div w:id="1035498704">
          <w:marLeft w:val="0"/>
          <w:marRight w:val="0"/>
          <w:marTop w:val="0"/>
          <w:marBottom w:val="0"/>
          <w:divBdr>
            <w:top w:val="none" w:sz="0" w:space="0" w:color="auto"/>
            <w:left w:val="none" w:sz="0" w:space="0" w:color="auto"/>
            <w:bottom w:val="none" w:sz="0" w:space="0" w:color="auto"/>
            <w:right w:val="none" w:sz="0" w:space="0" w:color="auto"/>
          </w:divBdr>
          <w:divsChild>
            <w:div w:id="328557606">
              <w:marLeft w:val="0"/>
              <w:marRight w:val="0"/>
              <w:marTop w:val="0"/>
              <w:marBottom w:val="0"/>
              <w:divBdr>
                <w:top w:val="none" w:sz="0" w:space="0" w:color="auto"/>
                <w:left w:val="none" w:sz="0" w:space="0" w:color="auto"/>
                <w:bottom w:val="none" w:sz="0" w:space="0" w:color="auto"/>
                <w:right w:val="none" w:sz="0" w:space="0" w:color="auto"/>
              </w:divBdr>
              <w:divsChild>
                <w:div w:id="18240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90178">
      <w:bodyDiv w:val="1"/>
      <w:marLeft w:val="0"/>
      <w:marRight w:val="0"/>
      <w:marTop w:val="0"/>
      <w:marBottom w:val="0"/>
      <w:divBdr>
        <w:top w:val="none" w:sz="0" w:space="0" w:color="auto"/>
        <w:left w:val="none" w:sz="0" w:space="0" w:color="auto"/>
        <w:bottom w:val="none" w:sz="0" w:space="0" w:color="auto"/>
        <w:right w:val="none" w:sz="0" w:space="0" w:color="auto"/>
      </w:divBdr>
    </w:div>
    <w:div w:id="137384416">
      <w:bodyDiv w:val="1"/>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962275925">
              <w:marLeft w:val="0"/>
              <w:marRight w:val="0"/>
              <w:marTop w:val="0"/>
              <w:marBottom w:val="0"/>
              <w:divBdr>
                <w:top w:val="none" w:sz="0" w:space="0" w:color="auto"/>
                <w:left w:val="none" w:sz="0" w:space="0" w:color="auto"/>
                <w:bottom w:val="none" w:sz="0" w:space="0" w:color="auto"/>
                <w:right w:val="none" w:sz="0" w:space="0" w:color="auto"/>
              </w:divBdr>
              <w:divsChild>
                <w:div w:id="21082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963">
      <w:bodyDiv w:val="1"/>
      <w:marLeft w:val="0"/>
      <w:marRight w:val="0"/>
      <w:marTop w:val="0"/>
      <w:marBottom w:val="0"/>
      <w:divBdr>
        <w:top w:val="none" w:sz="0" w:space="0" w:color="auto"/>
        <w:left w:val="none" w:sz="0" w:space="0" w:color="auto"/>
        <w:bottom w:val="none" w:sz="0" w:space="0" w:color="auto"/>
        <w:right w:val="none" w:sz="0" w:space="0" w:color="auto"/>
      </w:divBdr>
    </w:div>
    <w:div w:id="240257516">
      <w:bodyDiv w:val="1"/>
      <w:marLeft w:val="0"/>
      <w:marRight w:val="0"/>
      <w:marTop w:val="0"/>
      <w:marBottom w:val="0"/>
      <w:divBdr>
        <w:top w:val="none" w:sz="0" w:space="0" w:color="auto"/>
        <w:left w:val="none" w:sz="0" w:space="0" w:color="auto"/>
        <w:bottom w:val="none" w:sz="0" w:space="0" w:color="auto"/>
        <w:right w:val="none" w:sz="0" w:space="0" w:color="auto"/>
      </w:divBdr>
    </w:div>
    <w:div w:id="240867689">
      <w:bodyDiv w:val="1"/>
      <w:marLeft w:val="0"/>
      <w:marRight w:val="0"/>
      <w:marTop w:val="0"/>
      <w:marBottom w:val="0"/>
      <w:divBdr>
        <w:top w:val="none" w:sz="0" w:space="0" w:color="auto"/>
        <w:left w:val="none" w:sz="0" w:space="0" w:color="auto"/>
        <w:bottom w:val="none" w:sz="0" w:space="0" w:color="auto"/>
        <w:right w:val="none" w:sz="0" w:space="0" w:color="auto"/>
      </w:divBdr>
    </w:div>
    <w:div w:id="279453769">
      <w:bodyDiv w:val="1"/>
      <w:marLeft w:val="0"/>
      <w:marRight w:val="0"/>
      <w:marTop w:val="0"/>
      <w:marBottom w:val="0"/>
      <w:divBdr>
        <w:top w:val="none" w:sz="0" w:space="0" w:color="auto"/>
        <w:left w:val="none" w:sz="0" w:space="0" w:color="auto"/>
        <w:bottom w:val="none" w:sz="0" w:space="0" w:color="auto"/>
        <w:right w:val="none" w:sz="0" w:space="0" w:color="auto"/>
      </w:divBdr>
      <w:divsChild>
        <w:div w:id="1682513679">
          <w:marLeft w:val="0"/>
          <w:marRight w:val="0"/>
          <w:marTop w:val="0"/>
          <w:marBottom w:val="0"/>
          <w:divBdr>
            <w:top w:val="none" w:sz="0" w:space="0" w:color="auto"/>
            <w:left w:val="none" w:sz="0" w:space="0" w:color="auto"/>
            <w:bottom w:val="none" w:sz="0" w:space="0" w:color="auto"/>
            <w:right w:val="none" w:sz="0" w:space="0" w:color="auto"/>
          </w:divBdr>
          <w:divsChild>
            <w:div w:id="198325204">
              <w:marLeft w:val="0"/>
              <w:marRight w:val="0"/>
              <w:marTop w:val="0"/>
              <w:marBottom w:val="0"/>
              <w:divBdr>
                <w:top w:val="none" w:sz="0" w:space="0" w:color="auto"/>
                <w:left w:val="none" w:sz="0" w:space="0" w:color="auto"/>
                <w:bottom w:val="none" w:sz="0" w:space="0" w:color="auto"/>
                <w:right w:val="none" w:sz="0" w:space="0" w:color="auto"/>
              </w:divBdr>
              <w:divsChild>
                <w:div w:id="240457670">
                  <w:marLeft w:val="0"/>
                  <w:marRight w:val="0"/>
                  <w:marTop w:val="0"/>
                  <w:marBottom w:val="0"/>
                  <w:divBdr>
                    <w:top w:val="none" w:sz="0" w:space="0" w:color="auto"/>
                    <w:left w:val="none" w:sz="0" w:space="0" w:color="auto"/>
                    <w:bottom w:val="none" w:sz="0" w:space="0" w:color="auto"/>
                    <w:right w:val="none" w:sz="0" w:space="0" w:color="auto"/>
                  </w:divBdr>
                  <w:divsChild>
                    <w:div w:id="4070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702042">
      <w:bodyDiv w:val="1"/>
      <w:marLeft w:val="0"/>
      <w:marRight w:val="0"/>
      <w:marTop w:val="0"/>
      <w:marBottom w:val="0"/>
      <w:divBdr>
        <w:top w:val="none" w:sz="0" w:space="0" w:color="auto"/>
        <w:left w:val="none" w:sz="0" w:space="0" w:color="auto"/>
        <w:bottom w:val="none" w:sz="0" w:space="0" w:color="auto"/>
        <w:right w:val="none" w:sz="0" w:space="0" w:color="auto"/>
      </w:divBdr>
    </w:div>
    <w:div w:id="329337138">
      <w:bodyDiv w:val="1"/>
      <w:marLeft w:val="0"/>
      <w:marRight w:val="0"/>
      <w:marTop w:val="0"/>
      <w:marBottom w:val="0"/>
      <w:divBdr>
        <w:top w:val="none" w:sz="0" w:space="0" w:color="auto"/>
        <w:left w:val="none" w:sz="0" w:space="0" w:color="auto"/>
        <w:bottom w:val="none" w:sz="0" w:space="0" w:color="auto"/>
        <w:right w:val="none" w:sz="0" w:space="0" w:color="auto"/>
      </w:divBdr>
    </w:div>
    <w:div w:id="343629657">
      <w:bodyDiv w:val="1"/>
      <w:marLeft w:val="0"/>
      <w:marRight w:val="0"/>
      <w:marTop w:val="0"/>
      <w:marBottom w:val="0"/>
      <w:divBdr>
        <w:top w:val="none" w:sz="0" w:space="0" w:color="auto"/>
        <w:left w:val="none" w:sz="0" w:space="0" w:color="auto"/>
        <w:bottom w:val="none" w:sz="0" w:space="0" w:color="auto"/>
        <w:right w:val="none" w:sz="0" w:space="0" w:color="auto"/>
      </w:divBdr>
    </w:div>
    <w:div w:id="350645904">
      <w:bodyDiv w:val="1"/>
      <w:marLeft w:val="0"/>
      <w:marRight w:val="0"/>
      <w:marTop w:val="0"/>
      <w:marBottom w:val="0"/>
      <w:divBdr>
        <w:top w:val="none" w:sz="0" w:space="0" w:color="auto"/>
        <w:left w:val="none" w:sz="0" w:space="0" w:color="auto"/>
        <w:bottom w:val="none" w:sz="0" w:space="0" w:color="auto"/>
        <w:right w:val="none" w:sz="0" w:space="0" w:color="auto"/>
      </w:divBdr>
      <w:divsChild>
        <w:div w:id="2066906124">
          <w:marLeft w:val="0"/>
          <w:marRight w:val="0"/>
          <w:marTop w:val="0"/>
          <w:marBottom w:val="0"/>
          <w:divBdr>
            <w:top w:val="none" w:sz="0" w:space="0" w:color="auto"/>
            <w:left w:val="none" w:sz="0" w:space="0" w:color="auto"/>
            <w:bottom w:val="none" w:sz="0" w:space="0" w:color="auto"/>
            <w:right w:val="none" w:sz="0" w:space="0" w:color="auto"/>
          </w:divBdr>
          <w:divsChild>
            <w:div w:id="1745178439">
              <w:marLeft w:val="0"/>
              <w:marRight w:val="0"/>
              <w:marTop w:val="0"/>
              <w:marBottom w:val="0"/>
              <w:divBdr>
                <w:top w:val="none" w:sz="0" w:space="0" w:color="auto"/>
                <w:left w:val="none" w:sz="0" w:space="0" w:color="auto"/>
                <w:bottom w:val="none" w:sz="0" w:space="0" w:color="auto"/>
                <w:right w:val="none" w:sz="0" w:space="0" w:color="auto"/>
              </w:divBdr>
              <w:divsChild>
                <w:div w:id="7248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92149">
      <w:bodyDiv w:val="1"/>
      <w:marLeft w:val="0"/>
      <w:marRight w:val="0"/>
      <w:marTop w:val="0"/>
      <w:marBottom w:val="0"/>
      <w:divBdr>
        <w:top w:val="none" w:sz="0" w:space="0" w:color="auto"/>
        <w:left w:val="none" w:sz="0" w:space="0" w:color="auto"/>
        <w:bottom w:val="none" w:sz="0" w:space="0" w:color="auto"/>
        <w:right w:val="none" w:sz="0" w:space="0" w:color="auto"/>
      </w:divBdr>
    </w:div>
    <w:div w:id="426997417">
      <w:bodyDiv w:val="1"/>
      <w:marLeft w:val="0"/>
      <w:marRight w:val="0"/>
      <w:marTop w:val="0"/>
      <w:marBottom w:val="0"/>
      <w:divBdr>
        <w:top w:val="none" w:sz="0" w:space="0" w:color="auto"/>
        <w:left w:val="none" w:sz="0" w:space="0" w:color="auto"/>
        <w:bottom w:val="none" w:sz="0" w:space="0" w:color="auto"/>
        <w:right w:val="none" w:sz="0" w:space="0" w:color="auto"/>
      </w:divBdr>
      <w:divsChild>
        <w:div w:id="1541287216">
          <w:marLeft w:val="0"/>
          <w:marRight w:val="0"/>
          <w:marTop w:val="0"/>
          <w:marBottom w:val="0"/>
          <w:divBdr>
            <w:top w:val="none" w:sz="0" w:space="0" w:color="auto"/>
            <w:left w:val="none" w:sz="0" w:space="0" w:color="auto"/>
            <w:bottom w:val="none" w:sz="0" w:space="0" w:color="auto"/>
            <w:right w:val="none" w:sz="0" w:space="0" w:color="auto"/>
          </w:divBdr>
          <w:divsChild>
            <w:div w:id="901405705">
              <w:marLeft w:val="0"/>
              <w:marRight w:val="0"/>
              <w:marTop w:val="0"/>
              <w:marBottom w:val="0"/>
              <w:divBdr>
                <w:top w:val="none" w:sz="0" w:space="0" w:color="auto"/>
                <w:left w:val="none" w:sz="0" w:space="0" w:color="auto"/>
                <w:bottom w:val="none" w:sz="0" w:space="0" w:color="auto"/>
                <w:right w:val="none" w:sz="0" w:space="0" w:color="auto"/>
              </w:divBdr>
              <w:divsChild>
                <w:div w:id="18856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12749">
      <w:bodyDiv w:val="1"/>
      <w:marLeft w:val="0"/>
      <w:marRight w:val="0"/>
      <w:marTop w:val="0"/>
      <w:marBottom w:val="0"/>
      <w:divBdr>
        <w:top w:val="none" w:sz="0" w:space="0" w:color="auto"/>
        <w:left w:val="none" w:sz="0" w:space="0" w:color="auto"/>
        <w:bottom w:val="none" w:sz="0" w:space="0" w:color="auto"/>
        <w:right w:val="none" w:sz="0" w:space="0" w:color="auto"/>
      </w:divBdr>
    </w:div>
    <w:div w:id="508956099">
      <w:bodyDiv w:val="1"/>
      <w:marLeft w:val="0"/>
      <w:marRight w:val="0"/>
      <w:marTop w:val="0"/>
      <w:marBottom w:val="0"/>
      <w:divBdr>
        <w:top w:val="none" w:sz="0" w:space="0" w:color="auto"/>
        <w:left w:val="none" w:sz="0" w:space="0" w:color="auto"/>
        <w:bottom w:val="none" w:sz="0" w:space="0" w:color="auto"/>
        <w:right w:val="none" w:sz="0" w:space="0" w:color="auto"/>
      </w:divBdr>
    </w:div>
    <w:div w:id="554708235">
      <w:bodyDiv w:val="1"/>
      <w:marLeft w:val="0"/>
      <w:marRight w:val="0"/>
      <w:marTop w:val="0"/>
      <w:marBottom w:val="0"/>
      <w:divBdr>
        <w:top w:val="none" w:sz="0" w:space="0" w:color="auto"/>
        <w:left w:val="none" w:sz="0" w:space="0" w:color="auto"/>
        <w:bottom w:val="none" w:sz="0" w:space="0" w:color="auto"/>
        <w:right w:val="none" w:sz="0" w:space="0" w:color="auto"/>
      </w:divBdr>
    </w:div>
    <w:div w:id="575744118">
      <w:bodyDiv w:val="1"/>
      <w:marLeft w:val="0"/>
      <w:marRight w:val="0"/>
      <w:marTop w:val="0"/>
      <w:marBottom w:val="0"/>
      <w:divBdr>
        <w:top w:val="none" w:sz="0" w:space="0" w:color="auto"/>
        <w:left w:val="none" w:sz="0" w:space="0" w:color="auto"/>
        <w:bottom w:val="none" w:sz="0" w:space="0" w:color="auto"/>
        <w:right w:val="none" w:sz="0" w:space="0" w:color="auto"/>
      </w:divBdr>
    </w:div>
    <w:div w:id="594245863">
      <w:bodyDiv w:val="1"/>
      <w:marLeft w:val="0"/>
      <w:marRight w:val="0"/>
      <w:marTop w:val="0"/>
      <w:marBottom w:val="0"/>
      <w:divBdr>
        <w:top w:val="none" w:sz="0" w:space="0" w:color="auto"/>
        <w:left w:val="none" w:sz="0" w:space="0" w:color="auto"/>
        <w:bottom w:val="none" w:sz="0" w:space="0" w:color="auto"/>
        <w:right w:val="none" w:sz="0" w:space="0" w:color="auto"/>
      </w:divBdr>
    </w:div>
    <w:div w:id="603612980">
      <w:bodyDiv w:val="1"/>
      <w:marLeft w:val="0"/>
      <w:marRight w:val="0"/>
      <w:marTop w:val="0"/>
      <w:marBottom w:val="0"/>
      <w:divBdr>
        <w:top w:val="none" w:sz="0" w:space="0" w:color="auto"/>
        <w:left w:val="none" w:sz="0" w:space="0" w:color="auto"/>
        <w:bottom w:val="none" w:sz="0" w:space="0" w:color="auto"/>
        <w:right w:val="none" w:sz="0" w:space="0" w:color="auto"/>
      </w:divBdr>
    </w:div>
    <w:div w:id="612173053">
      <w:bodyDiv w:val="1"/>
      <w:marLeft w:val="0"/>
      <w:marRight w:val="0"/>
      <w:marTop w:val="0"/>
      <w:marBottom w:val="0"/>
      <w:divBdr>
        <w:top w:val="none" w:sz="0" w:space="0" w:color="auto"/>
        <w:left w:val="none" w:sz="0" w:space="0" w:color="auto"/>
        <w:bottom w:val="none" w:sz="0" w:space="0" w:color="auto"/>
        <w:right w:val="none" w:sz="0" w:space="0" w:color="auto"/>
      </w:divBdr>
    </w:div>
    <w:div w:id="627011396">
      <w:bodyDiv w:val="1"/>
      <w:marLeft w:val="0"/>
      <w:marRight w:val="0"/>
      <w:marTop w:val="0"/>
      <w:marBottom w:val="0"/>
      <w:divBdr>
        <w:top w:val="none" w:sz="0" w:space="0" w:color="auto"/>
        <w:left w:val="none" w:sz="0" w:space="0" w:color="auto"/>
        <w:bottom w:val="none" w:sz="0" w:space="0" w:color="auto"/>
        <w:right w:val="none" w:sz="0" w:space="0" w:color="auto"/>
      </w:divBdr>
      <w:divsChild>
        <w:div w:id="1978879056">
          <w:marLeft w:val="446"/>
          <w:marRight w:val="0"/>
          <w:marTop w:val="0"/>
          <w:marBottom w:val="0"/>
          <w:divBdr>
            <w:top w:val="none" w:sz="0" w:space="0" w:color="auto"/>
            <w:left w:val="none" w:sz="0" w:space="0" w:color="auto"/>
            <w:bottom w:val="none" w:sz="0" w:space="0" w:color="auto"/>
            <w:right w:val="none" w:sz="0" w:space="0" w:color="auto"/>
          </w:divBdr>
        </w:div>
        <w:div w:id="1534536485">
          <w:marLeft w:val="446"/>
          <w:marRight w:val="0"/>
          <w:marTop w:val="0"/>
          <w:marBottom w:val="0"/>
          <w:divBdr>
            <w:top w:val="none" w:sz="0" w:space="0" w:color="auto"/>
            <w:left w:val="none" w:sz="0" w:space="0" w:color="auto"/>
            <w:bottom w:val="none" w:sz="0" w:space="0" w:color="auto"/>
            <w:right w:val="none" w:sz="0" w:space="0" w:color="auto"/>
          </w:divBdr>
        </w:div>
        <w:div w:id="1656371237">
          <w:marLeft w:val="446"/>
          <w:marRight w:val="0"/>
          <w:marTop w:val="0"/>
          <w:marBottom w:val="0"/>
          <w:divBdr>
            <w:top w:val="none" w:sz="0" w:space="0" w:color="auto"/>
            <w:left w:val="none" w:sz="0" w:space="0" w:color="auto"/>
            <w:bottom w:val="none" w:sz="0" w:space="0" w:color="auto"/>
            <w:right w:val="none" w:sz="0" w:space="0" w:color="auto"/>
          </w:divBdr>
        </w:div>
        <w:div w:id="1191408021">
          <w:marLeft w:val="446"/>
          <w:marRight w:val="0"/>
          <w:marTop w:val="0"/>
          <w:marBottom w:val="0"/>
          <w:divBdr>
            <w:top w:val="none" w:sz="0" w:space="0" w:color="auto"/>
            <w:left w:val="none" w:sz="0" w:space="0" w:color="auto"/>
            <w:bottom w:val="none" w:sz="0" w:space="0" w:color="auto"/>
            <w:right w:val="none" w:sz="0" w:space="0" w:color="auto"/>
          </w:divBdr>
        </w:div>
        <w:div w:id="196820149">
          <w:marLeft w:val="446"/>
          <w:marRight w:val="0"/>
          <w:marTop w:val="0"/>
          <w:marBottom w:val="0"/>
          <w:divBdr>
            <w:top w:val="none" w:sz="0" w:space="0" w:color="auto"/>
            <w:left w:val="none" w:sz="0" w:space="0" w:color="auto"/>
            <w:bottom w:val="none" w:sz="0" w:space="0" w:color="auto"/>
            <w:right w:val="none" w:sz="0" w:space="0" w:color="auto"/>
          </w:divBdr>
        </w:div>
        <w:div w:id="381171078">
          <w:marLeft w:val="446"/>
          <w:marRight w:val="0"/>
          <w:marTop w:val="0"/>
          <w:marBottom w:val="0"/>
          <w:divBdr>
            <w:top w:val="none" w:sz="0" w:space="0" w:color="auto"/>
            <w:left w:val="none" w:sz="0" w:space="0" w:color="auto"/>
            <w:bottom w:val="none" w:sz="0" w:space="0" w:color="auto"/>
            <w:right w:val="none" w:sz="0" w:space="0" w:color="auto"/>
          </w:divBdr>
        </w:div>
        <w:div w:id="969827679">
          <w:marLeft w:val="446"/>
          <w:marRight w:val="0"/>
          <w:marTop w:val="0"/>
          <w:marBottom w:val="0"/>
          <w:divBdr>
            <w:top w:val="none" w:sz="0" w:space="0" w:color="auto"/>
            <w:left w:val="none" w:sz="0" w:space="0" w:color="auto"/>
            <w:bottom w:val="none" w:sz="0" w:space="0" w:color="auto"/>
            <w:right w:val="none" w:sz="0" w:space="0" w:color="auto"/>
          </w:divBdr>
        </w:div>
      </w:divsChild>
    </w:div>
    <w:div w:id="643195717">
      <w:bodyDiv w:val="1"/>
      <w:marLeft w:val="0"/>
      <w:marRight w:val="0"/>
      <w:marTop w:val="0"/>
      <w:marBottom w:val="0"/>
      <w:divBdr>
        <w:top w:val="none" w:sz="0" w:space="0" w:color="auto"/>
        <w:left w:val="none" w:sz="0" w:space="0" w:color="auto"/>
        <w:bottom w:val="none" w:sz="0" w:space="0" w:color="auto"/>
        <w:right w:val="none" w:sz="0" w:space="0" w:color="auto"/>
      </w:divBdr>
    </w:div>
    <w:div w:id="767581822">
      <w:bodyDiv w:val="1"/>
      <w:marLeft w:val="0"/>
      <w:marRight w:val="0"/>
      <w:marTop w:val="0"/>
      <w:marBottom w:val="0"/>
      <w:divBdr>
        <w:top w:val="none" w:sz="0" w:space="0" w:color="auto"/>
        <w:left w:val="none" w:sz="0" w:space="0" w:color="auto"/>
        <w:bottom w:val="none" w:sz="0" w:space="0" w:color="auto"/>
        <w:right w:val="none" w:sz="0" w:space="0" w:color="auto"/>
      </w:divBdr>
    </w:div>
    <w:div w:id="792287005">
      <w:bodyDiv w:val="1"/>
      <w:marLeft w:val="0"/>
      <w:marRight w:val="0"/>
      <w:marTop w:val="0"/>
      <w:marBottom w:val="0"/>
      <w:divBdr>
        <w:top w:val="none" w:sz="0" w:space="0" w:color="auto"/>
        <w:left w:val="none" w:sz="0" w:space="0" w:color="auto"/>
        <w:bottom w:val="none" w:sz="0" w:space="0" w:color="auto"/>
        <w:right w:val="none" w:sz="0" w:space="0" w:color="auto"/>
      </w:divBdr>
    </w:div>
    <w:div w:id="827403986">
      <w:bodyDiv w:val="1"/>
      <w:marLeft w:val="0"/>
      <w:marRight w:val="0"/>
      <w:marTop w:val="0"/>
      <w:marBottom w:val="0"/>
      <w:divBdr>
        <w:top w:val="none" w:sz="0" w:space="0" w:color="auto"/>
        <w:left w:val="none" w:sz="0" w:space="0" w:color="auto"/>
        <w:bottom w:val="none" w:sz="0" w:space="0" w:color="auto"/>
        <w:right w:val="none" w:sz="0" w:space="0" w:color="auto"/>
      </w:divBdr>
    </w:div>
    <w:div w:id="848564124">
      <w:bodyDiv w:val="1"/>
      <w:marLeft w:val="0"/>
      <w:marRight w:val="0"/>
      <w:marTop w:val="0"/>
      <w:marBottom w:val="0"/>
      <w:divBdr>
        <w:top w:val="none" w:sz="0" w:space="0" w:color="auto"/>
        <w:left w:val="none" w:sz="0" w:space="0" w:color="auto"/>
        <w:bottom w:val="none" w:sz="0" w:space="0" w:color="auto"/>
        <w:right w:val="none" w:sz="0" w:space="0" w:color="auto"/>
      </w:divBdr>
    </w:div>
    <w:div w:id="848980151">
      <w:bodyDiv w:val="1"/>
      <w:marLeft w:val="0"/>
      <w:marRight w:val="0"/>
      <w:marTop w:val="0"/>
      <w:marBottom w:val="0"/>
      <w:divBdr>
        <w:top w:val="none" w:sz="0" w:space="0" w:color="auto"/>
        <w:left w:val="none" w:sz="0" w:space="0" w:color="auto"/>
        <w:bottom w:val="none" w:sz="0" w:space="0" w:color="auto"/>
        <w:right w:val="none" w:sz="0" w:space="0" w:color="auto"/>
      </w:divBdr>
    </w:div>
    <w:div w:id="856848070">
      <w:bodyDiv w:val="1"/>
      <w:marLeft w:val="0"/>
      <w:marRight w:val="0"/>
      <w:marTop w:val="0"/>
      <w:marBottom w:val="0"/>
      <w:divBdr>
        <w:top w:val="none" w:sz="0" w:space="0" w:color="auto"/>
        <w:left w:val="none" w:sz="0" w:space="0" w:color="auto"/>
        <w:bottom w:val="none" w:sz="0" w:space="0" w:color="auto"/>
        <w:right w:val="none" w:sz="0" w:space="0" w:color="auto"/>
      </w:divBdr>
    </w:div>
    <w:div w:id="861823164">
      <w:bodyDiv w:val="1"/>
      <w:marLeft w:val="0"/>
      <w:marRight w:val="0"/>
      <w:marTop w:val="0"/>
      <w:marBottom w:val="0"/>
      <w:divBdr>
        <w:top w:val="none" w:sz="0" w:space="0" w:color="auto"/>
        <w:left w:val="none" w:sz="0" w:space="0" w:color="auto"/>
        <w:bottom w:val="none" w:sz="0" w:space="0" w:color="auto"/>
        <w:right w:val="none" w:sz="0" w:space="0" w:color="auto"/>
      </w:divBdr>
      <w:divsChild>
        <w:div w:id="439645233">
          <w:marLeft w:val="0"/>
          <w:marRight w:val="0"/>
          <w:marTop w:val="0"/>
          <w:marBottom w:val="0"/>
          <w:divBdr>
            <w:top w:val="none" w:sz="0" w:space="0" w:color="auto"/>
            <w:left w:val="none" w:sz="0" w:space="0" w:color="auto"/>
            <w:bottom w:val="none" w:sz="0" w:space="0" w:color="auto"/>
            <w:right w:val="none" w:sz="0" w:space="0" w:color="auto"/>
          </w:divBdr>
          <w:divsChild>
            <w:div w:id="915287734">
              <w:marLeft w:val="0"/>
              <w:marRight w:val="0"/>
              <w:marTop w:val="0"/>
              <w:marBottom w:val="0"/>
              <w:divBdr>
                <w:top w:val="none" w:sz="0" w:space="0" w:color="auto"/>
                <w:left w:val="none" w:sz="0" w:space="0" w:color="auto"/>
                <w:bottom w:val="none" w:sz="0" w:space="0" w:color="auto"/>
                <w:right w:val="none" w:sz="0" w:space="0" w:color="auto"/>
              </w:divBdr>
              <w:divsChild>
                <w:div w:id="16612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4518">
      <w:bodyDiv w:val="1"/>
      <w:marLeft w:val="0"/>
      <w:marRight w:val="0"/>
      <w:marTop w:val="0"/>
      <w:marBottom w:val="0"/>
      <w:divBdr>
        <w:top w:val="none" w:sz="0" w:space="0" w:color="auto"/>
        <w:left w:val="none" w:sz="0" w:space="0" w:color="auto"/>
        <w:bottom w:val="none" w:sz="0" w:space="0" w:color="auto"/>
        <w:right w:val="none" w:sz="0" w:space="0" w:color="auto"/>
      </w:divBdr>
    </w:div>
    <w:div w:id="937568260">
      <w:bodyDiv w:val="1"/>
      <w:marLeft w:val="0"/>
      <w:marRight w:val="0"/>
      <w:marTop w:val="0"/>
      <w:marBottom w:val="0"/>
      <w:divBdr>
        <w:top w:val="none" w:sz="0" w:space="0" w:color="auto"/>
        <w:left w:val="none" w:sz="0" w:space="0" w:color="auto"/>
        <w:bottom w:val="none" w:sz="0" w:space="0" w:color="auto"/>
        <w:right w:val="none" w:sz="0" w:space="0" w:color="auto"/>
      </w:divBdr>
      <w:divsChild>
        <w:div w:id="1095827564">
          <w:marLeft w:val="0"/>
          <w:marRight w:val="0"/>
          <w:marTop w:val="0"/>
          <w:marBottom w:val="0"/>
          <w:divBdr>
            <w:top w:val="none" w:sz="0" w:space="0" w:color="auto"/>
            <w:left w:val="none" w:sz="0" w:space="0" w:color="auto"/>
            <w:bottom w:val="none" w:sz="0" w:space="0" w:color="auto"/>
            <w:right w:val="none" w:sz="0" w:space="0" w:color="auto"/>
          </w:divBdr>
          <w:divsChild>
            <w:div w:id="321859736">
              <w:marLeft w:val="0"/>
              <w:marRight w:val="0"/>
              <w:marTop w:val="0"/>
              <w:marBottom w:val="0"/>
              <w:divBdr>
                <w:top w:val="none" w:sz="0" w:space="0" w:color="auto"/>
                <w:left w:val="none" w:sz="0" w:space="0" w:color="auto"/>
                <w:bottom w:val="none" w:sz="0" w:space="0" w:color="auto"/>
                <w:right w:val="none" w:sz="0" w:space="0" w:color="auto"/>
              </w:divBdr>
              <w:divsChild>
                <w:div w:id="20605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92889">
      <w:bodyDiv w:val="1"/>
      <w:marLeft w:val="0"/>
      <w:marRight w:val="0"/>
      <w:marTop w:val="0"/>
      <w:marBottom w:val="0"/>
      <w:divBdr>
        <w:top w:val="none" w:sz="0" w:space="0" w:color="auto"/>
        <w:left w:val="none" w:sz="0" w:space="0" w:color="auto"/>
        <w:bottom w:val="none" w:sz="0" w:space="0" w:color="auto"/>
        <w:right w:val="none" w:sz="0" w:space="0" w:color="auto"/>
      </w:divBdr>
      <w:divsChild>
        <w:div w:id="1549956312">
          <w:marLeft w:val="0"/>
          <w:marRight w:val="0"/>
          <w:marTop w:val="0"/>
          <w:marBottom w:val="0"/>
          <w:divBdr>
            <w:top w:val="none" w:sz="0" w:space="0" w:color="auto"/>
            <w:left w:val="none" w:sz="0" w:space="0" w:color="auto"/>
            <w:bottom w:val="none" w:sz="0" w:space="0" w:color="auto"/>
            <w:right w:val="none" w:sz="0" w:space="0" w:color="auto"/>
          </w:divBdr>
          <w:divsChild>
            <w:div w:id="2052997050">
              <w:marLeft w:val="0"/>
              <w:marRight w:val="0"/>
              <w:marTop w:val="0"/>
              <w:marBottom w:val="0"/>
              <w:divBdr>
                <w:top w:val="none" w:sz="0" w:space="0" w:color="auto"/>
                <w:left w:val="none" w:sz="0" w:space="0" w:color="auto"/>
                <w:bottom w:val="none" w:sz="0" w:space="0" w:color="auto"/>
                <w:right w:val="none" w:sz="0" w:space="0" w:color="auto"/>
              </w:divBdr>
              <w:divsChild>
                <w:div w:id="7727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24194">
      <w:bodyDiv w:val="1"/>
      <w:marLeft w:val="0"/>
      <w:marRight w:val="0"/>
      <w:marTop w:val="0"/>
      <w:marBottom w:val="0"/>
      <w:divBdr>
        <w:top w:val="none" w:sz="0" w:space="0" w:color="auto"/>
        <w:left w:val="none" w:sz="0" w:space="0" w:color="auto"/>
        <w:bottom w:val="none" w:sz="0" w:space="0" w:color="auto"/>
        <w:right w:val="none" w:sz="0" w:space="0" w:color="auto"/>
      </w:divBdr>
    </w:div>
    <w:div w:id="996886231">
      <w:bodyDiv w:val="1"/>
      <w:marLeft w:val="0"/>
      <w:marRight w:val="0"/>
      <w:marTop w:val="0"/>
      <w:marBottom w:val="0"/>
      <w:divBdr>
        <w:top w:val="none" w:sz="0" w:space="0" w:color="auto"/>
        <w:left w:val="none" w:sz="0" w:space="0" w:color="auto"/>
        <w:bottom w:val="none" w:sz="0" w:space="0" w:color="auto"/>
        <w:right w:val="none" w:sz="0" w:space="0" w:color="auto"/>
      </w:divBdr>
    </w:div>
    <w:div w:id="999965401">
      <w:bodyDiv w:val="1"/>
      <w:marLeft w:val="0"/>
      <w:marRight w:val="0"/>
      <w:marTop w:val="0"/>
      <w:marBottom w:val="0"/>
      <w:divBdr>
        <w:top w:val="none" w:sz="0" w:space="0" w:color="auto"/>
        <w:left w:val="none" w:sz="0" w:space="0" w:color="auto"/>
        <w:bottom w:val="none" w:sz="0" w:space="0" w:color="auto"/>
        <w:right w:val="none" w:sz="0" w:space="0" w:color="auto"/>
      </w:divBdr>
      <w:divsChild>
        <w:div w:id="98985579">
          <w:marLeft w:val="0"/>
          <w:marRight w:val="0"/>
          <w:marTop w:val="0"/>
          <w:marBottom w:val="0"/>
          <w:divBdr>
            <w:top w:val="none" w:sz="0" w:space="0" w:color="auto"/>
            <w:left w:val="none" w:sz="0" w:space="0" w:color="auto"/>
            <w:bottom w:val="none" w:sz="0" w:space="0" w:color="auto"/>
            <w:right w:val="none" w:sz="0" w:space="0" w:color="auto"/>
          </w:divBdr>
          <w:divsChild>
            <w:div w:id="619075270">
              <w:marLeft w:val="0"/>
              <w:marRight w:val="0"/>
              <w:marTop w:val="0"/>
              <w:marBottom w:val="0"/>
              <w:divBdr>
                <w:top w:val="none" w:sz="0" w:space="0" w:color="auto"/>
                <w:left w:val="none" w:sz="0" w:space="0" w:color="auto"/>
                <w:bottom w:val="none" w:sz="0" w:space="0" w:color="auto"/>
                <w:right w:val="none" w:sz="0" w:space="0" w:color="auto"/>
              </w:divBdr>
              <w:divsChild>
                <w:div w:id="7938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5153">
      <w:bodyDiv w:val="1"/>
      <w:marLeft w:val="0"/>
      <w:marRight w:val="0"/>
      <w:marTop w:val="0"/>
      <w:marBottom w:val="0"/>
      <w:divBdr>
        <w:top w:val="none" w:sz="0" w:space="0" w:color="auto"/>
        <w:left w:val="none" w:sz="0" w:space="0" w:color="auto"/>
        <w:bottom w:val="none" w:sz="0" w:space="0" w:color="auto"/>
        <w:right w:val="none" w:sz="0" w:space="0" w:color="auto"/>
      </w:divBdr>
    </w:div>
    <w:div w:id="1019815867">
      <w:bodyDiv w:val="1"/>
      <w:marLeft w:val="0"/>
      <w:marRight w:val="0"/>
      <w:marTop w:val="0"/>
      <w:marBottom w:val="0"/>
      <w:divBdr>
        <w:top w:val="none" w:sz="0" w:space="0" w:color="auto"/>
        <w:left w:val="none" w:sz="0" w:space="0" w:color="auto"/>
        <w:bottom w:val="none" w:sz="0" w:space="0" w:color="auto"/>
        <w:right w:val="none" w:sz="0" w:space="0" w:color="auto"/>
      </w:divBdr>
      <w:divsChild>
        <w:div w:id="2105638689">
          <w:marLeft w:val="0"/>
          <w:marRight w:val="0"/>
          <w:marTop w:val="0"/>
          <w:marBottom w:val="0"/>
          <w:divBdr>
            <w:top w:val="none" w:sz="0" w:space="0" w:color="auto"/>
            <w:left w:val="none" w:sz="0" w:space="0" w:color="auto"/>
            <w:bottom w:val="none" w:sz="0" w:space="0" w:color="auto"/>
            <w:right w:val="none" w:sz="0" w:space="0" w:color="auto"/>
          </w:divBdr>
          <w:divsChild>
            <w:div w:id="1409495784">
              <w:marLeft w:val="0"/>
              <w:marRight w:val="0"/>
              <w:marTop w:val="0"/>
              <w:marBottom w:val="0"/>
              <w:divBdr>
                <w:top w:val="none" w:sz="0" w:space="0" w:color="auto"/>
                <w:left w:val="none" w:sz="0" w:space="0" w:color="auto"/>
                <w:bottom w:val="none" w:sz="0" w:space="0" w:color="auto"/>
                <w:right w:val="none" w:sz="0" w:space="0" w:color="auto"/>
              </w:divBdr>
              <w:divsChild>
                <w:div w:id="439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5879">
      <w:bodyDiv w:val="1"/>
      <w:marLeft w:val="0"/>
      <w:marRight w:val="0"/>
      <w:marTop w:val="0"/>
      <w:marBottom w:val="0"/>
      <w:divBdr>
        <w:top w:val="none" w:sz="0" w:space="0" w:color="auto"/>
        <w:left w:val="none" w:sz="0" w:space="0" w:color="auto"/>
        <w:bottom w:val="none" w:sz="0" w:space="0" w:color="auto"/>
        <w:right w:val="none" w:sz="0" w:space="0" w:color="auto"/>
      </w:divBdr>
      <w:divsChild>
        <w:div w:id="379591360">
          <w:marLeft w:val="0"/>
          <w:marRight w:val="0"/>
          <w:marTop w:val="0"/>
          <w:marBottom w:val="0"/>
          <w:divBdr>
            <w:top w:val="none" w:sz="0" w:space="0" w:color="auto"/>
            <w:left w:val="none" w:sz="0" w:space="0" w:color="auto"/>
            <w:bottom w:val="none" w:sz="0" w:space="0" w:color="auto"/>
            <w:right w:val="none" w:sz="0" w:space="0" w:color="auto"/>
          </w:divBdr>
          <w:divsChild>
            <w:div w:id="1552306002">
              <w:marLeft w:val="0"/>
              <w:marRight w:val="0"/>
              <w:marTop w:val="0"/>
              <w:marBottom w:val="0"/>
              <w:divBdr>
                <w:top w:val="none" w:sz="0" w:space="0" w:color="auto"/>
                <w:left w:val="none" w:sz="0" w:space="0" w:color="auto"/>
                <w:bottom w:val="none" w:sz="0" w:space="0" w:color="auto"/>
                <w:right w:val="none" w:sz="0" w:space="0" w:color="auto"/>
              </w:divBdr>
              <w:divsChild>
                <w:div w:id="5237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2321">
      <w:bodyDiv w:val="1"/>
      <w:marLeft w:val="0"/>
      <w:marRight w:val="0"/>
      <w:marTop w:val="0"/>
      <w:marBottom w:val="0"/>
      <w:divBdr>
        <w:top w:val="none" w:sz="0" w:space="0" w:color="auto"/>
        <w:left w:val="none" w:sz="0" w:space="0" w:color="auto"/>
        <w:bottom w:val="none" w:sz="0" w:space="0" w:color="auto"/>
        <w:right w:val="none" w:sz="0" w:space="0" w:color="auto"/>
      </w:divBdr>
    </w:div>
    <w:div w:id="1044788218">
      <w:bodyDiv w:val="1"/>
      <w:marLeft w:val="0"/>
      <w:marRight w:val="0"/>
      <w:marTop w:val="0"/>
      <w:marBottom w:val="0"/>
      <w:divBdr>
        <w:top w:val="none" w:sz="0" w:space="0" w:color="auto"/>
        <w:left w:val="none" w:sz="0" w:space="0" w:color="auto"/>
        <w:bottom w:val="none" w:sz="0" w:space="0" w:color="auto"/>
        <w:right w:val="none" w:sz="0" w:space="0" w:color="auto"/>
      </w:divBdr>
    </w:div>
    <w:div w:id="1066804970">
      <w:bodyDiv w:val="1"/>
      <w:marLeft w:val="0"/>
      <w:marRight w:val="0"/>
      <w:marTop w:val="0"/>
      <w:marBottom w:val="0"/>
      <w:divBdr>
        <w:top w:val="none" w:sz="0" w:space="0" w:color="auto"/>
        <w:left w:val="none" w:sz="0" w:space="0" w:color="auto"/>
        <w:bottom w:val="none" w:sz="0" w:space="0" w:color="auto"/>
        <w:right w:val="none" w:sz="0" w:space="0" w:color="auto"/>
      </w:divBdr>
    </w:div>
    <w:div w:id="1083602126">
      <w:bodyDiv w:val="1"/>
      <w:marLeft w:val="0"/>
      <w:marRight w:val="0"/>
      <w:marTop w:val="0"/>
      <w:marBottom w:val="0"/>
      <w:divBdr>
        <w:top w:val="none" w:sz="0" w:space="0" w:color="auto"/>
        <w:left w:val="none" w:sz="0" w:space="0" w:color="auto"/>
        <w:bottom w:val="none" w:sz="0" w:space="0" w:color="auto"/>
        <w:right w:val="none" w:sz="0" w:space="0" w:color="auto"/>
      </w:divBdr>
      <w:divsChild>
        <w:div w:id="1342316771">
          <w:marLeft w:val="0"/>
          <w:marRight w:val="0"/>
          <w:marTop w:val="0"/>
          <w:marBottom w:val="0"/>
          <w:divBdr>
            <w:top w:val="none" w:sz="0" w:space="0" w:color="auto"/>
            <w:left w:val="none" w:sz="0" w:space="0" w:color="auto"/>
            <w:bottom w:val="none" w:sz="0" w:space="0" w:color="auto"/>
            <w:right w:val="none" w:sz="0" w:space="0" w:color="auto"/>
          </w:divBdr>
          <w:divsChild>
            <w:div w:id="1804689700">
              <w:marLeft w:val="0"/>
              <w:marRight w:val="0"/>
              <w:marTop w:val="0"/>
              <w:marBottom w:val="0"/>
              <w:divBdr>
                <w:top w:val="none" w:sz="0" w:space="0" w:color="auto"/>
                <w:left w:val="none" w:sz="0" w:space="0" w:color="auto"/>
                <w:bottom w:val="none" w:sz="0" w:space="0" w:color="auto"/>
                <w:right w:val="none" w:sz="0" w:space="0" w:color="auto"/>
              </w:divBdr>
              <w:divsChild>
                <w:div w:id="98882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80116">
      <w:bodyDiv w:val="1"/>
      <w:marLeft w:val="0"/>
      <w:marRight w:val="0"/>
      <w:marTop w:val="0"/>
      <w:marBottom w:val="0"/>
      <w:divBdr>
        <w:top w:val="none" w:sz="0" w:space="0" w:color="auto"/>
        <w:left w:val="none" w:sz="0" w:space="0" w:color="auto"/>
        <w:bottom w:val="none" w:sz="0" w:space="0" w:color="auto"/>
        <w:right w:val="none" w:sz="0" w:space="0" w:color="auto"/>
      </w:divBdr>
      <w:divsChild>
        <w:div w:id="169490851">
          <w:marLeft w:val="0"/>
          <w:marRight w:val="0"/>
          <w:marTop w:val="0"/>
          <w:marBottom w:val="0"/>
          <w:divBdr>
            <w:top w:val="none" w:sz="0" w:space="0" w:color="auto"/>
            <w:left w:val="none" w:sz="0" w:space="0" w:color="auto"/>
            <w:bottom w:val="none" w:sz="0" w:space="0" w:color="auto"/>
            <w:right w:val="none" w:sz="0" w:space="0" w:color="auto"/>
          </w:divBdr>
          <w:divsChild>
            <w:div w:id="1260678742">
              <w:marLeft w:val="0"/>
              <w:marRight w:val="0"/>
              <w:marTop w:val="0"/>
              <w:marBottom w:val="0"/>
              <w:divBdr>
                <w:top w:val="none" w:sz="0" w:space="0" w:color="auto"/>
                <w:left w:val="none" w:sz="0" w:space="0" w:color="auto"/>
                <w:bottom w:val="none" w:sz="0" w:space="0" w:color="auto"/>
                <w:right w:val="none" w:sz="0" w:space="0" w:color="auto"/>
              </w:divBdr>
              <w:divsChild>
                <w:div w:id="42253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15849">
      <w:bodyDiv w:val="1"/>
      <w:marLeft w:val="0"/>
      <w:marRight w:val="0"/>
      <w:marTop w:val="0"/>
      <w:marBottom w:val="0"/>
      <w:divBdr>
        <w:top w:val="none" w:sz="0" w:space="0" w:color="auto"/>
        <w:left w:val="none" w:sz="0" w:space="0" w:color="auto"/>
        <w:bottom w:val="none" w:sz="0" w:space="0" w:color="auto"/>
        <w:right w:val="none" w:sz="0" w:space="0" w:color="auto"/>
      </w:divBdr>
    </w:div>
    <w:div w:id="1149980603">
      <w:bodyDiv w:val="1"/>
      <w:marLeft w:val="0"/>
      <w:marRight w:val="0"/>
      <w:marTop w:val="0"/>
      <w:marBottom w:val="0"/>
      <w:divBdr>
        <w:top w:val="none" w:sz="0" w:space="0" w:color="auto"/>
        <w:left w:val="none" w:sz="0" w:space="0" w:color="auto"/>
        <w:bottom w:val="none" w:sz="0" w:space="0" w:color="auto"/>
        <w:right w:val="none" w:sz="0" w:space="0" w:color="auto"/>
      </w:divBdr>
    </w:div>
    <w:div w:id="1156649999">
      <w:bodyDiv w:val="1"/>
      <w:marLeft w:val="0"/>
      <w:marRight w:val="0"/>
      <w:marTop w:val="0"/>
      <w:marBottom w:val="0"/>
      <w:divBdr>
        <w:top w:val="none" w:sz="0" w:space="0" w:color="auto"/>
        <w:left w:val="none" w:sz="0" w:space="0" w:color="auto"/>
        <w:bottom w:val="none" w:sz="0" w:space="0" w:color="auto"/>
        <w:right w:val="none" w:sz="0" w:space="0" w:color="auto"/>
      </w:divBdr>
    </w:div>
    <w:div w:id="1189562685">
      <w:bodyDiv w:val="1"/>
      <w:marLeft w:val="0"/>
      <w:marRight w:val="0"/>
      <w:marTop w:val="0"/>
      <w:marBottom w:val="0"/>
      <w:divBdr>
        <w:top w:val="none" w:sz="0" w:space="0" w:color="auto"/>
        <w:left w:val="none" w:sz="0" w:space="0" w:color="auto"/>
        <w:bottom w:val="none" w:sz="0" w:space="0" w:color="auto"/>
        <w:right w:val="none" w:sz="0" w:space="0" w:color="auto"/>
      </w:divBdr>
    </w:div>
    <w:div w:id="1234853866">
      <w:bodyDiv w:val="1"/>
      <w:marLeft w:val="0"/>
      <w:marRight w:val="0"/>
      <w:marTop w:val="0"/>
      <w:marBottom w:val="0"/>
      <w:divBdr>
        <w:top w:val="none" w:sz="0" w:space="0" w:color="auto"/>
        <w:left w:val="none" w:sz="0" w:space="0" w:color="auto"/>
        <w:bottom w:val="none" w:sz="0" w:space="0" w:color="auto"/>
        <w:right w:val="none" w:sz="0" w:space="0" w:color="auto"/>
      </w:divBdr>
    </w:div>
    <w:div w:id="1250195903">
      <w:bodyDiv w:val="1"/>
      <w:marLeft w:val="0"/>
      <w:marRight w:val="0"/>
      <w:marTop w:val="0"/>
      <w:marBottom w:val="0"/>
      <w:divBdr>
        <w:top w:val="none" w:sz="0" w:space="0" w:color="auto"/>
        <w:left w:val="none" w:sz="0" w:space="0" w:color="auto"/>
        <w:bottom w:val="none" w:sz="0" w:space="0" w:color="auto"/>
        <w:right w:val="none" w:sz="0" w:space="0" w:color="auto"/>
      </w:divBdr>
      <w:divsChild>
        <w:div w:id="1474299186">
          <w:marLeft w:val="0"/>
          <w:marRight w:val="0"/>
          <w:marTop w:val="0"/>
          <w:marBottom w:val="0"/>
          <w:divBdr>
            <w:top w:val="none" w:sz="0" w:space="0" w:color="auto"/>
            <w:left w:val="none" w:sz="0" w:space="0" w:color="auto"/>
            <w:bottom w:val="none" w:sz="0" w:space="0" w:color="auto"/>
            <w:right w:val="none" w:sz="0" w:space="0" w:color="auto"/>
          </w:divBdr>
          <w:divsChild>
            <w:div w:id="343745551">
              <w:marLeft w:val="0"/>
              <w:marRight w:val="0"/>
              <w:marTop w:val="0"/>
              <w:marBottom w:val="0"/>
              <w:divBdr>
                <w:top w:val="none" w:sz="0" w:space="0" w:color="auto"/>
                <w:left w:val="none" w:sz="0" w:space="0" w:color="auto"/>
                <w:bottom w:val="none" w:sz="0" w:space="0" w:color="auto"/>
                <w:right w:val="none" w:sz="0" w:space="0" w:color="auto"/>
              </w:divBdr>
              <w:divsChild>
                <w:div w:id="8762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31540">
      <w:bodyDiv w:val="1"/>
      <w:marLeft w:val="0"/>
      <w:marRight w:val="0"/>
      <w:marTop w:val="0"/>
      <w:marBottom w:val="0"/>
      <w:divBdr>
        <w:top w:val="none" w:sz="0" w:space="0" w:color="auto"/>
        <w:left w:val="none" w:sz="0" w:space="0" w:color="auto"/>
        <w:bottom w:val="none" w:sz="0" w:space="0" w:color="auto"/>
        <w:right w:val="none" w:sz="0" w:space="0" w:color="auto"/>
      </w:divBdr>
    </w:div>
    <w:div w:id="1294797658">
      <w:bodyDiv w:val="1"/>
      <w:marLeft w:val="0"/>
      <w:marRight w:val="0"/>
      <w:marTop w:val="0"/>
      <w:marBottom w:val="0"/>
      <w:divBdr>
        <w:top w:val="none" w:sz="0" w:space="0" w:color="auto"/>
        <w:left w:val="none" w:sz="0" w:space="0" w:color="auto"/>
        <w:bottom w:val="none" w:sz="0" w:space="0" w:color="auto"/>
        <w:right w:val="none" w:sz="0" w:space="0" w:color="auto"/>
      </w:divBdr>
    </w:div>
    <w:div w:id="1313481904">
      <w:bodyDiv w:val="1"/>
      <w:marLeft w:val="0"/>
      <w:marRight w:val="0"/>
      <w:marTop w:val="0"/>
      <w:marBottom w:val="0"/>
      <w:divBdr>
        <w:top w:val="none" w:sz="0" w:space="0" w:color="auto"/>
        <w:left w:val="none" w:sz="0" w:space="0" w:color="auto"/>
        <w:bottom w:val="none" w:sz="0" w:space="0" w:color="auto"/>
        <w:right w:val="none" w:sz="0" w:space="0" w:color="auto"/>
      </w:divBdr>
    </w:div>
    <w:div w:id="1331257622">
      <w:bodyDiv w:val="1"/>
      <w:marLeft w:val="0"/>
      <w:marRight w:val="0"/>
      <w:marTop w:val="0"/>
      <w:marBottom w:val="0"/>
      <w:divBdr>
        <w:top w:val="none" w:sz="0" w:space="0" w:color="auto"/>
        <w:left w:val="none" w:sz="0" w:space="0" w:color="auto"/>
        <w:bottom w:val="none" w:sz="0" w:space="0" w:color="auto"/>
        <w:right w:val="none" w:sz="0" w:space="0" w:color="auto"/>
      </w:divBdr>
      <w:divsChild>
        <w:div w:id="1372922664">
          <w:marLeft w:val="0"/>
          <w:marRight w:val="0"/>
          <w:marTop w:val="0"/>
          <w:marBottom w:val="0"/>
          <w:divBdr>
            <w:top w:val="none" w:sz="0" w:space="0" w:color="auto"/>
            <w:left w:val="none" w:sz="0" w:space="0" w:color="auto"/>
            <w:bottom w:val="none" w:sz="0" w:space="0" w:color="auto"/>
            <w:right w:val="none" w:sz="0" w:space="0" w:color="auto"/>
          </w:divBdr>
          <w:divsChild>
            <w:div w:id="1976636132">
              <w:marLeft w:val="0"/>
              <w:marRight w:val="0"/>
              <w:marTop w:val="0"/>
              <w:marBottom w:val="0"/>
              <w:divBdr>
                <w:top w:val="none" w:sz="0" w:space="0" w:color="auto"/>
                <w:left w:val="none" w:sz="0" w:space="0" w:color="auto"/>
                <w:bottom w:val="none" w:sz="0" w:space="0" w:color="auto"/>
                <w:right w:val="none" w:sz="0" w:space="0" w:color="auto"/>
              </w:divBdr>
              <w:divsChild>
                <w:div w:id="2086603286">
                  <w:marLeft w:val="0"/>
                  <w:marRight w:val="0"/>
                  <w:marTop w:val="0"/>
                  <w:marBottom w:val="0"/>
                  <w:divBdr>
                    <w:top w:val="none" w:sz="0" w:space="0" w:color="auto"/>
                    <w:left w:val="none" w:sz="0" w:space="0" w:color="auto"/>
                    <w:bottom w:val="none" w:sz="0" w:space="0" w:color="auto"/>
                    <w:right w:val="none" w:sz="0" w:space="0" w:color="auto"/>
                  </w:divBdr>
                  <w:divsChild>
                    <w:div w:id="164523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499075">
      <w:bodyDiv w:val="1"/>
      <w:marLeft w:val="0"/>
      <w:marRight w:val="0"/>
      <w:marTop w:val="0"/>
      <w:marBottom w:val="0"/>
      <w:divBdr>
        <w:top w:val="none" w:sz="0" w:space="0" w:color="auto"/>
        <w:left w:val="none" w:sz="0" w:space="0" w:color="auto"/>
        <w:bottom w:val="none" w:sz="0" w:space="0" w:color="auto"/>
        <w:right w:val="none" w:sz="0" w:space="0" w:color="auto"/>
      </w:divBdr>
      <w:divsChild>
        <w:div w:id="494493214">
          <w:marLeft w:val="0"/>
          <w:marRight w:val="0"/>
          <w:marTop w:val="0"/>
          <w:marBottom w:val="0"/>
          <w:divBdr>
            <w:top w:val="none" w:sz="0" w:space="0" w:color="auto"/>
            <w:left w:val="none" w:sz="0" w:space="0" w:color="auto"/>
            <w:bottom w:val="none" w:sz="0" w:space="0" w:color="auto"/>
            <w:right w:val="none" w:sz="0" w:space="0" w:color="auto"/>
          </w:divBdr>
          <w:divsChild>
            <w:div w:id="1687558760">
              <w:marLeft w:val="0"/>
              <w:marRight w:val="0"/>
              <w:marTop w:val="0"/>
              <w:marBottom w:val="0"/>
              <w:divBdr>
                <w:top w:val="none" w:sz="0" w:space="0" w:color="auto"/>
                <w:left w:val="none" w:sz="0" w:space="0" w:color="auto"/>
                <w:bottom w:val="none" w:sz="0" w:space="0" w:color="auto"/>
                <w:right w:val="none" w:sz="0" w:space="0" w:color="auto"/>
              </w:divBdr>
              <w:divsChild>
                <w:div w:id="5668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94399">
      <w:bodyDiv w:val="1"/>
      <w:marLeft w:val="0"/>
      <w:marRight w:val="0"/>
      <w:marTop w:val="0"/>
      <w:marBottom w:val="0"/>
      <w:divBdr>
        <w:top w:val="none" w:sz="0" w:space="0" w:color="auto"/>
        <w:left w:val="none" w:sz="0" w:space="0" w:color="auto"/>
        <w:bottom w:val="none" w:sz="0" w:space="0" w:color="auto"/>
        <w:right w:val="none" w:sz="0" w:space="0" w:color="auto"/>
      </w:divBdr>
    </w:div>
    <w:div w:id="1421876036">
      <w:bodyDiv w:val="1"/>
      <w:marLeft w:val="0"/>
      <w:marRight w:val="0"/>
      <w:marTop w:val="0"/>
      <w:marBottom w:val="0"/>
      <w:divBdr>
        <w:top w:val="none" w:sz="0" w:space="0" w:color="auto"/>
        <w:left w:val="none" w:sz="0" w:space="0" w:color="auto"/>
        <w:bottom w:val="none" w:sz="0" w:space="0" w:color="auto"/>
        <w:right w:val="none" w:sz="0" w:space="0" w:color="auto"/>
      </w:divBdr>
      <w:divsChild>
        <w:div w:id="2023893130">
          <w:marLeft w:val="0"/>
          <w:marRight w:val="0"/>
          <w:marTop w:val="0"/>
          <w:marBottom w:val="0"/>
          <w:divBdr>
            <w:top w:val="none" w:sz="0" w:space="0" w:color="auto"/>
            <w:left w:val="none" w:sz="0" w:space="0" w:color="auto"/>
            <w:bottom w:val="none" w:sz="0" w:space="0" w:color="auto"/>
            <w:right w:val="none" w:sz="0" w:space="0" w:color="auto"/>
          </w:divBdr>
          <w:divsChild>
            <w:div w:id="216087993">
              <w:marLeft w:val="0"/>
              <w:marRight w:val="0"/>
              <w:marTop w:val="0"/>
              <w:marBottom w:val="0"/>
              <w:divBdr>
                <w:top w:val="none" w:sz="0" w:space="0" w:color="auto"/>
                <w:left w:val="none" w:sz="0" w:space="0" w:color="auto"/>
                <w:bottom w:val="none" w:sz="0" w:space="0" w:color="auto"/>
                <w:right w:val="none" w:sz="0" w:space="0" w:color="auto"/>
              </w:divBdr>
              <w:divsChild>
                <w:div w:id="17903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55281">
      <w:bodyDiv w:val="1"/>
      <w:marLeft w:val="0"/>
      <w:marRight w:val="0"/>
      <w:marTop w:val="0"/>
      <w:marBottom w:val="0"/>
      <w:divBdr>
        <w:top w:val="none" w:sz="0" w:space="0" w:color="auto"/>
        <w:left w:val="none" w:sz="0" w:space="0" w:color="auto"/>
        <w:bottom w:val="none" w:sz="0" w:space="0" w:color="auto"/>
        <w:right w:val="none" w:sz="0" w:space="0" w:color="auto"/>
      </w:divBdr>
      <w:divsChild>
        <w:div w:id="1055809828">
          <w:marLeft w:val="0"/>
          <w:marRight w:val="0"/>
          <w:marTop w:val="0"/>
          <w:marBottom w:val="0"/>
          <w:divBdr>
            <w:top w:val="none" w:sz="0" w:space="0" w:color="auto"/>
            <w:left w:val="none" w:sz="0" w:space="0" w:color="auto"/>
            <w:bottom w:val="none" w:sz="0" w:space="0" w:color="auto"/>
            <w:right w:val="none" w:sz="0" w:space="0" w:color="auto"/>
          </w:divBdr>
          <w:divsChild>
            <w:div w:id="1090471509">
              <w:marLeft w:val="0"/>
              <w:marRight w:val="0"/>
              <w:marTop w:val="0"/>
              <w:marBottom w:val="0"/>
              <w:divBdr>
                <w:top w:val="none" w:sz="0" w:space="0" w:color="auto"/>
                <w:left w:val="none" w:sz="0" w:space="0" w:color="auto"/>
                <w:bottom w:val="none" w:sz="0" w:space="0" w:color="auto"/>
                <w:right w:val="none" w:sz="0" w:space="0" w:color="auto"/>
              </w:divBdr>
              <w:divsChild>
                <w:div w:id="3428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7104">
      <w:bodyDiv w:val="1"/>
      <w:marLeft w:val="0"/>
      <w:marRight w:val="0"/>
      <w:marTop w:val="0"/>
      <w:marBottom w:val="0"/>
      <w:divBdr>
        <w:top w:val="none" w:sz="0" w:space="0" w:color="auto"/>
        <w:left w:val="none" w:sz="0" w:space="0" w:color="auto"/>
        <w:bottom w:val="none" w:sz="0" w:space="0" w:color="auto"/>
        <w:right w:val="none" w:sz="0" w:space="0" w:color="auto"/>
      </w:divBdr>
      <w:divsChild>
        <w:div w:id="338587161">
          <w:marLeft w:val="0"/>
          <w:marRight w:val="0"/>
          <w:marTop w:val="0"/>
          <w:marBottom w:val="0"/>
          <w:divBdr>
            <w:top w:val="none" w:sz="0" w:space="0" w:color="auto"/>
            <w:left w:val="none" w:sz="0" w:space="0" w:color="auto"/>
            <w:bottom w:val="none" w:sz="0" w:space="0" w:color="auto"/>
            <w:right w:val="none" w:sz="0" w:space="0" w:color="auto"/>
          </w:divBdr>
          <w:divsChild>
            <w:div w:id="727998838">
              <w:marLeft w:val="0"/>
              <w:marRight w:val="0"/>
              <w:marTop w:val="0"/>
              <w:marBottom w:val="0"/>
              <w:divBdr>
                <w:top w:val="none" w:sz="0" w:space="0" w:color="auto"/>
                <w:left w:val="none" w:sz="0" w:space="0" w:color="auto"/>
                <w:bottom w:val="none" w:sz="0" w:space="0" w:color="auto"/>
                <w:right w:val="none" w:sz="0" w:space="0" w:color="auto"/>
              </w:divBdr>
              <w:divsChild>
                <w:div w:id="917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3103">
      <w:bodyDiv w:val="1"/>
      <w:marLeft w:val="0"/>
      <w:marRight w:val="0"/>
      <w:marTop w:val="0"/>
      <w:marBottom w:val="0"/>
      <w:divBdr>
        <w:top w:val="none" w:sz="0" w:space="0" w:color="auto"/>
        <w:left w:val="none" w:sz="0" w:space="0" w:color="auto"/>
        <w:bottom w:val="none" w:sz="0" w:space="0" w:color="auto"/>
        <w:right w:val="none" w:sz="0" w:space="0" w:color="auto"/>
      </w:divBdr>
      <w:divsChild>
        <w:div w:id="1064449660">
          <w:marLeft w:val="0"/>
          <w:marRight w:val="0"/>
          <w:marTop w:val="0"/>
          <w:marBottom w:val="0"/>
          <w:divBdr>
            <w:top w:val="none" w:sz="0" w:space="0" w:color="auto"/>
            <w:left w:val="none" w:sz="0" w:space="0" w:color="auto"/>
            <w:bottom w:val="none" w:sz="0" w:space="0" w:color="auto"/>
            <w:right w:val="none" w:sz="0" w:space="0" w:color="auto"/>
          </w:divBdr>
          <w:divsChild>
            <w:div w:id="1442215539">
              <w:marLeft w:val="0"/>
              <w:marRight w:val="0"/>
              <w:marTop w:val="0"/>
              <w:marBottom w:val="0"/>
              <w:divBdr>
                <w:top w:val="none" w:sz="0" w:space="0" w:color="auto"/>
                <w:left w:val="none" w:sz="0" w:space="0" w:color="auto"/>
                <w:bottom w:val="none" w:sz="0" w:space="0" w:color="auto"/>
                <w:right w:val="none" w:sz="0" w:space="0" w:color="auto"/>
              </w:divBdr>
              <w:divsChild>
                <w:div w:id="822238290">
                  <w:marLeft w:val="0"/>
                  <w:marRight w:val="0"/>
                  <w:marTop w:val="0"/>
                  <w:marBottom w:val="0"/>
                  <w:divBdr>
                    <w:top w:val="none" w:sz="0" w:space="0" w:color="auto"/>
                    <w:left w:val="none" w:sz="0" w:space="0" w:color="auto"/>
                    <w:bottom w:val="none" w:sz="0" w:space="0" w:color="auto"/>
                    <w:right w:val="none" w:sz="0" w:space="0" w:color="auto"/>
                  </w:divBdr>
                  <w:divsChild>
                    <w:div w:id="55201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60019">
      <w:bodyDiv w:val="1"/>
      <w:marLeft w:val="0"/>
      <w:marRight w:val="0"/>
      <w:marTop w:val="0"/>
      <w:marBottom w:val="0"/>
      <w:divBdr>
        <w:top w:val="none" w:sz="0" w:space="0" w:color="auto"/>
        <w:left w:val="none" w:sz="0" w:space="0" w:color="auto"/>
        <w:bottom w:val="none" w:sz="0" w:space="0" w:color="auto"/>
        <w:right w:val="none" w:sz="0" w:space="0" w:color="auto"/>
      </w:divBdr>
      <w:divsChild>
        <w:div w:id="1361515133">
          <w:marLeft w:val="0"/>
          <w:marRight w:val="0"/>
          <w:marTop w:val="0"/>
          <w:marBottom w:val="0"/>
          <w:divBdr>
            <w:top w:val="none" w:sz="0" w:space="0" w:color="auto"/>
            <w:left w:val="none" w:sz="0" w:space="0" w:color="auto"/>
            <w:bottom w:val="none" w:sz="0" w:space="0" w:color="auto"/>
            <w:right w:val="none" w:sz="0" w:space="0" w:color="auto"/>
          </w:divBdr>
          <w:divsChild>
            <w:div w:id="757675904">
              <w:marLeft w:val="0"/>
              <w:marRight w:val="0"/>
              <w:marTop w:val="0"/>
              <w:marBottom w:val="0"/>
              <w:divBdr>
                <w:top w:val="none" w:sz="0" w:space="0" w:color="auto"/>
                <w:left w:val="none" w:sz="0" w:space="0" w:color="auto"/>
                <w:bottom w:val="none" w:sz="0" w:space="0" w:color="auto"/>
                <w:right w:val="none" w:sz="0" w:space="0" w:color="auto"/>
              </w:divBdr>
              <w:divsChild>
                <w:div w:id="13726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5714">
      <w:bodyDiv w:val="1"/>
      <w:marLeft w:val="0"/>
      <w:marRight w:val="0"/>
      <w:marTop w:val="0"/>
      <w:marBottom w:val="0"/>
      <w:divBdr>
        <w:top w:val="none" w:sz="0" w:space="0" w:color="auto"/>
        <w:left w:val="none" w:sz="0" w:space="0" w:color="auto"/>
        <w:bottom w:val="none" w:sz="0" w:space="0" w:color="auto"/>
        <w:right w:val="none" w:sz="0" w:space="0" w:color="auto"/>
      </w:divBdr>
      <w:divsChild>
        <w:div w:id="1717461645">
          <w:marLeft w:val="0"/>
          <w:marRight w:val="0"/>
          <w:marTop w:val="0"/>
          <w:marBottom w:val="0"/>
          <w:divBdr>
            <w:top w:val="none" w:sz="0" w:space="0" w:color="auto"/>
            <w:left w:val="none" w:sz="0" w:space="0" w:color="auto"/>
            <w:bottom w:val="none" w:sz="0" w:space="0" w:color="auto"/>
            <w:right w:val="none" w:sz="0" w:space="0" w:color="auto"/>
          </w:divBdr>
          <w:divsChild>
            <w:div w:id="877621919">
              <w:marLeft w:val="0"/>
              <w:marRight w:val="0"/>
              <w:marTop w:val="0"/>
              <w:marBottom w:val="0"/>
              <w:divBdr>
                <w:top w:val="none" w:sz="0" w:space="0" w:color="auto"/>
                <w:left w:val="none" w:sz="0" w:space="0" w:color="auto"/>
                <w:bottom w:val="none" w:sz="0" w:space="0" w:color="auto"/>
                <w:right w:val="none" w:sz="0" w:space="0" w:color="auto"/>
              </w:divBdr>
              <w:divsChild>
                <w:div w:id="17555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0948">
      <w:bodyDiv w:val="1"/>
      <w:marLeft w:val="0"/>
      <w:marRight w:val="0"/>
      <w:marTop w:val="0"/>
      <w:marBottom w:val="0"/>
      <w:divBdr>
        <w:top w:val="none" w:sz="0" w:space="0" w:color="auto"/>
        <w:left w:val="none" w:sz="0" w:space="0" w:color="auto"/>
        <w:bottom w:val="none" w:sz="0" w:space="0" w:color="auto"/>
        <w:right w:val="none" w:sz="0" w:space="0" w:color="auto"/>
      </w:divBdr>
      <w:divsChild>
        <w:div w:id="1385254309">
          <w:marLeft w:val="0"/>
          <w:marRight w:val="0"/>
          <w:marTop w:val="0"/>
          <w:marBottom w:val="0"/>
          <w:divBdr>
            <w:top w:val="none" w:sz="0" w:space="0" w:color="auto"/>
            <w:left w:val="none" w:sz="0" w:space="0" w:color="auto"/>
            <w:bottom w:val="none" w:sz="0" w:space="0" w:color="auto"/>
            <w:right w:val="none" w:sz="0" w:space="0" w:color="auto"/>
          </w:divBdr>
          <w:divsChild>
            <w:div w:id="920061848">
              <w:marLeft w:val="0"/>
              <w:marRight w:val="0"/>
              <w:marTop w:val="0"/>
              <w:marBottom w:val="0"/>
              <w:divBdr>
                <w:top w:val="none" w:sz="0" w:space="0" w:color="auto"/>
                <w:left w:val="none" w:sz="0" w:space="0" w:color="auto"/>
                <w:bottom w:val="none" w:sz="0" w:space="0" w:color="auto"/>
                <w:right w:val="none" w:sz="0" w:space="0" w:color="auto"/>
              </w:divBdr>
              <w:divsChild>
                <w:div w:id="19643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860718">
      <w:bodyDiv w:val="1"/>
      <w:marLeft w:val="0"/>
      <w:marRight w:val="0"/>
      <w:marTop w:val="0"/>
      <w:marBottom w:val="0"/>
      <w:divBdr>
        <w:top w:val="none" w:sz="0" w:space="0" w:color="auto"/>
        <w:left w:val="none" w:sz="0" w:space="0" w:color="auto"/>
        <w:bottom w:val="none" w:sz="0" w:space="0" w:color="auto"/>
        <w:right w:val="none" w:sz="0" w:space="0" w:color="auto"/>
      </w:divBdr>
    </w:div>
    <w:div w:id="1733651983">
      <w:bodyDiv w:val="1"/>
      <w:marLeft w:val="0"/>
      <w:marRight w:val="0"/>
      <w:marTop w:val="0"/>
      <w:marBottom w:val="0"/>
      <w:divBdr>
        <w:top w:val="none" w:sz="0" w:space="0" w:color="auto"/>
        <w:left w:val="none" w:sz="0" w:space="0" w:color="auto"/>
        <w:bottom w:val="none" w:sz="0" w:space="0" w:color="auto"/>
        <w:right w:val="none" w:sz="0" w:space="0" w:color="auto"/>
      </w:divBdr>
    </w:div>
    <w:div w:id="1751611840">
      <w:bodyDiv w:val="1"/>
      <w:marLeft w:val="0"/>
      <w:marRight w:val="0"/>
      <w:marTop w:val="0"/>
      <w:marBottom w:val="0"/>
      <w:divBdr>
        <w:top w:val="none" w:sz="0" w:space="0" w:color="auto"/>
        <w:left w:val="none" w:sz="0" w:space="0" w:color="auto"/>
        <w:bottom w:val="none" w:sz="0" w:space="0" w:color="auto"/>
        <w:right w:val="none" w:sz="0" w:space="0" w:color="auto"/>
      </w:divBdr>
      <w:divsChild>
        <w:div w:id="2108772290">
          <w:marLeft w:val="0"/>
          <w:marRight w:val="0"/>
          <w:marTop w:val="0"/>
          <w:marBottom w:val="0"/>
          <w:divBdr>
            <w:top w:val="none" w:sz="0" w:space="0" w:color="auto"/>
            <w:left w:val="none" w:sz="0" w:space="0" w:color="auto"/>
            <w:bottom w:val="none" w:sz="0" w:space="0" w:color="auto"/>
            <w:right w:val="none" w:sz="0" w:space="0" w:color="auto"/>
          </w:divBdr>
          <w:divsChild>
            <w:div w:id="446697923">
              <w:marLeft w:val="0"/>
              <w:marRight w:val="0"/>
              <w:marTop w:val="0"/>
              <w:marBottom w:val="0"/>
              <w:divBdr>
                <w:top w:val="none" w:sz="0" w:space="0" w:color="auto"/>
                <w:left w:val="none" w:sz="0" w:space="0" w:color="auto"/>
                <w:bottom w:val="none" w:sz="0" w:space="0" w:color="auto"/>
                <w:right w:val="none" w:sz="0" w:space="0" w:color="auto"/>
              </w:divBdr>
              <w:divsChild>
                <w:div w:id="10914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969745">
      <w:bodyDiv w:val="1"/>
      <w:marLeft w:val="0"/>
      <w:marRight w:val="0"/>
      <w:marTop w:val="0"/>
      <w:marBottom w:val="0"/>
      <w:divBdr>
        <w:top w:val="none" w:sz="0" w:space="0" w:color="auto"/>
        <w:left w:val="none" w:sz="0" w:space="0" w:color="auto"/>
        <w:bottom w:val="none" w:sz="0" w:space="0" w:color="auto"/>
        <w:right w:val="none" w:sz="0" w:space="0" w:color="auto"/>
      </w:divBdr>
    </w:div>
    <w:div w:id="1894077275">
      <w:bodyDiv w:val="1"/>
      <w:marLeft w:val="0"/>
      <w:marRight w:val="0"/>
      <w:marTop w:val="0"/>
      <w:marBottom w:val="0"/>
      <w:divBdr>
        <w:top w:val="none" w:sz="0" w:space="0" w:color="auto"/>
        <w:left w:val="none" w:sz="0" w:space="0" w:color="auto"/>
        <w:bottom w:val="none" w:sz="0" w:space="0" w:color="auto"/>
        <w:right w:val="none" w:sz="0" w:space="0" w:color="auto"/>
      </w:divBdr>
    </w:div>
    <w:div w:id="1899970701">
      <w:bodyDiv w:val="1"/>
      <w:marLeft w:val="0"/>
      <w:marRight w:val="0"/>
      <w:marTop w:val="0"/>
      <w:marBottom w:val="0"/>
      <w:divBdr>
        <w:top w:val="none" w:sz="0" w:space="0" w:color="auto"/>
        <w:left w:val="none" w:sz="0" w:space="0" w:color="auto"/>
        <w:bottom w:val="none" w:sz="0" w:space="0" w:color="auto"/>
        <w:right w:val="none" w:sz="0" w:space="0" w:color="auto"/>
      </w:divBdr>
    </w:div>
    <w:div w:id="1930044366">
      <w:bodyDiv w:val="1"/>
      <w:marLeft w:val="0"/>
      <w:marRight w:val="0"/>
      <w:marTop w:val="0"/>
      <w:marBottom w:val="0"/>
      <w:divBdr>
        <w:top w:val="none" w:sz="0" w:space="0" w:color="auto"/>
        <w:left w:val="none" w:sz="0" w:space="0" w:color="auto"/>
        <w:bottom w:val="none" w:sz="0" w:space="0" w:color="auto"/>
        <w:right w:val="none" w:sz="0" w:space="0" w:color="auto"/>
      </w:divBdr>
    </w:div>
    <w:div w:id="1952400018">
      <w:bodyDiv w:val="1"/>
      <w:marLeft w:val="0"/>
      <w:marRight w:val="0"/>
      <w:marTop w:val="0"/>
      <w:marBottom w:val="0"/>
      <w:divBdr>
        <w:top w:val="none" w:sz="0" w:space="0" w:color="auto"/>
        <w:left w:val="none" w:sz="0" w:space="0" w:color="auto"/>
        <w:bottom w:val="none" w:sz="0" w:space="0" w:color="auto"/>
        <w:right w:val="none" w:sz="0" w:space="0" w:color="auto"/>
      </w:divBdr>
    </w:div>
    <w:div w:id="1976981717">
      <w:bodyDiv w:val="1"/>
      <w:marLeft w:val="0"/>
      <w:marRight w:val="0"/>
      <w:marTop w:val="0"/>
      <w:marBottom w:val="0"/>
      <w:divBdr>
        <w:top w:val="none" w:sz="0" w:space="0" w:color="auto"/>
        <w:left w:val="none" w:sz="0" w:space="0" w:color="auto"/>
        <w:bottom w:val="none" w:sz="0" w:space="0" w:color="auto"/>
        <w:right w:val="none" w:sz="0" w:space="0" w:color="auto"/>
      </w:divBdr>
    </w:div>
    <w:div w:id="2039969479">
      <w:bodyDiv w:val="1"/>
      <w:marLeft w:val="0"/>
      <w:marRight w:val="0"/>
      <w:marTop w:val="0"/>
      <w:marBottom w:val="0"/>
      <w:divBdr>
        <w:top w:val="none" w:sz="0" w:space="0" w:color="auto"/>
        <w:left w:val="none" w:sz="0" w:space="0" w:color="auto"/>
        <w:bottom w:val="none" w:sz="0" w:space="0" w:color="auto"/>
        <w:right w:val="none" w:sz="0" w:space="0" w:color="auto"/>
      </w:divBdr>
      <w:divsChild>
        <w:div w:id="773478002">
          <w:marLeft w:val="0"/>
          <w:marRight w:val="0"/>
          <w:marTop w:val="0"/>
          <w:marBottom w:val="0"/>
          <w:divBdr>
            <w:top w:val="none" w:sz="0" w:space="0" w:color="auto"/>
            <w:left w:val="none" w:sz="0" w:space="0" w:color="auto"/>
            <w:bottom w:val="none" w:sz="0" w:space="0" w:color="auto"/>
            <w:right w:val="none" w:sz="0" w:space="0" w:color="auto"/>
          </w:divBdr>
          <w:divsChild>
            <w:div w:id="1968966114">
              <w:marLeft w:val="0"/>
              <w:marRight w:val="0"/>
              <w:marTop w:val="0"/>
              <w:marBottom w:val="0"/>
              <w:divBdr>
                <w:top w:val="none" w:sz="0" w:space="0" w:color="auto"/>
                <w:left w:val="none" w:sz="0" w:space="0" w:color="auto"/>
                <w:bottom w:val="none" w:sz="0" w:space="0" w:color="auto"/>
                <w:right w:val="none" w:sz="0" w:space="0" w:color="auto"/>
              </w:divBdr>
              <w:divsChild>
                <w:div w:id="491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96793">
      <w:bodyDiv w:val="1"/>
      <w:marLeft w:val="0"/>
      <w:marRight w:val="0"/>
      <w:marTop w:val="0"/>
      <w:marBottom w:val="0"/>
      <w:divBdr>
        <w:top w:val="none" w:sz="0" w:space="0" w:color="auto"/>
        <w:left w:val="none" w:sz="0" w:space="0" w:color="auto"/>
        <w:bottom w:val="none" w:sz="0" w:space="0" w:color="auto"/>
        <w:right w:val="none" w:sz="0" w:space="0" w:color="auto"/>
      </w:divBdr>
      <w:divsChild>
        <w:div w:id="1568345399">
          <w:marLeft w:val="0"/>
          <w:marRight w:val="0"/>
          <w:marTop w:val="0"/>
          <w:marBottom w:val="0"/>
          <w:divBdr>
            <w:top w:val="none" w:sz="0" w:space="0" w:color="auto"/>
            <w:left w:val="none" w:sz="0" w:space="0" w:color="auto"/>
            <w:bottom w:val="none" w:sz="0" w:space="0" w:color="auto"/>
            <w:right w:val="none" w:sz="0" w:space="0" w:color="auto"/>
          </w:divBdr>
          <w:divsChild>
            <w:div w:id="604966038">
              <w:marLeft w:val="0"/>
              <w:marRight w:val="0"/>
              <w:marTop w:val="0"/>
              <w:marBottom w:val="0"/>
              <w:divBdr>
                <w:top w:val="none" w:sz="0" w:space="0" w:color="auto"/>
                <w:left w:val="none" w:sz="0" w:space="0" w:color="auto"/>
                <w:bottom w:val="none" w:sz="0" w:space="0" w:color="auto"/>
                <w:right w:val="none" w:sz="0" w:space="0" w:color="auto"/>
              </w:divBdr>
              <w:divsChild>
                <w:div w:id="15553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hyperlink" Target="mailto:Nubia.lopez@camara.gov.co"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5E72B-E75F-413A-82C5-4CF34A9B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1950</Words>
  <Characters>10728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camilo acuna</cp:lastModifiedBy>
  <cp:revision>2</cp:revision>
  <dcterms:created xsi:type="dcterms:W3CDTF">2020-07-20T22:09:00Z</dcterms:created>
  <dcterms:modified xsi:type="dcterms:W3CDTF">2020-07-20T22:09:00Z</dcterms:modified>
</cp:coreProperties>
</file>