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C90" w:rsidRDefault="00F14C90">
      <w:pPr>
        <w:pBdr>
          <w:top w:val="nil"/>
          <w:left w:val="nil"/>
          <w:bottom w:val="nil"/>
          <w:right w:val="nil"/>
          <w:between w:val="nil"/>
        </w:pBdr>
        <w:spacing w:line="276" w:lineRule="auto"/>
        <w:jc w:val="both"/>
        <w:rPr>
          <w:rFonts w:ascii="Book Antiqua" w:eastAsia="Book Antiqua" w:hAnsi="Book Antiqua" w:cs="Book Antiqua"/>
          <w:b/>
          <w:color w:val="000000"/>
          <w:sz w:val="22"/>
          <w:szCs w:val="22"/>
        </w:rPr>
      </w:pPr>
      <w:bookmarkStart w:id="0" w:name="_GoBack"/>
      <w:bookmarkEnd w:id="0"/>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jc w:val="center"/>
        <w:rPr>
          <w:rFonts w:ascii="Book Antiqua" w:eastAsia="Book Antiqua" w:hAnsi="Book Antiqua" w:cs="Book Antiqua"/>
          <w:sz w:val="22"/>
          <w:szCs w:val="22"/>
        </w:rPr>
      </w:pPr>
    </w:p>
    <w:p w:rsidR="00F14C90" w:rsidRDefault="007869F2">
      <w:pPr>
        <w:jc w:val="center"/>
        <w:rPr>
          <w:rFonts w:ascii="Book Antiqua" w:eastAsia="Book Antiqua" w:hAnsi="Book Antiqua" w:cs="Book Antiqua"/>
          <w:b/>
          <w:sz w:val="22"/>
          <w:szCs w:val="22"/>
        </w:rPr>
      </w:pPr>
      <w:r>
        <w:rPr>
          <w:rFonts w:ascii="Book Antiqua" w:eastAsia="Book Antiqua" w:hAnsi="Book Antiqua" w:cs="Book Antiqua"/>
          <w:b/>
          <w:sz w:val="22"/>
          <w:szCs w:val="22"/>
        </w:rPr>
        <w:t>“Por el cual se adicionan al artículo 310 de la Constitución Política Colombiana, normas especiales para la organización, funcionamiento, protección ambiental, cultural y étnica de los departamentos de Amazonas, Caquetá, Guainía, Guaviare, Putumayo y Vaupé</w:t>
      </w:r>
      <w:r>
        <w:rPr>
          <w:rFonts w:ascii="Book Antiqua" w:eastAsia="Book Antiqua" w:hAnsi="Book Antiqua" w:cs="Book Antiqua"/>
          <w:b/>
          <w:sz w:val="22"/>
          <w:szCs w:val="22"/>
        </w:rPr>
        <w:t>s”.</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ind w:left="720"/>
        <w:jc w:val="center"/>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tabs>
          <w:tab w:val="left" w:pos="5397"/>
        </w:tabs>
        <w:spacing w:line="276" w:lineRule="auto"/>
        <w:rPr>
          <w:rFonts w:ascii="Book Antiqua" w:eastAsia="Book Antiqua" w:hAnsi="Book Antiqua" w:cs="Book Antiqua"/>
          <w:b/>
          <w:color w:val="000000"/>
          <w:sz w:val="22"/>
          <w:szCs w:val="22"/>
        </w:rPr>
      </w:pPr>
    </w:p>
    <w:p w:rsidR="00F14C90" w:rsidRDefault="007869F2">
      <w:pPr>
        <w:pBdr>
          <w:top w:val="nil"/>
          <w:left w:val="nil"/>
          <w:bottom w:val="nil"/>
          <w:right w:val="nil"/>
          <w:between w:val="nil"/>
        </w:pBdr>
        <w:jc w:val="center"/>
        <w:rPr>
          <w:rFonts w:ascii="Book Antiqua" w:eastAsia="Book Antiqua" w:hAnsi="Book Antiqua" w:cs="Book Antiqua"/>
          <w:b/>
          <w:color w:val="000000"/>
          <w:sz w:val="22"/>
          <w:szCs w:val="22"/>
        </w:rPr>
      </w:pPr>
      <w:r>
        <w:rPr>
          <w:rFonts w:ascii="Book Antiqua" w:eastAsia="Book Antiqua" w:hAnsi="Book Antiqua" w:cs="Book Antiqua"/>
          <w:b/>
          <w:sz w:val="22"/>
          <w:szCs w:val="22"/>
        </w:rPr>
        <w:t xml:space="preserve">      </w:t>
      </w:r>
      <w:r>
        <w:rPr>
          <w:rFonts w:ascii="Book Antiqua" w:eastAsia="Book Antiqua" w:hAnsi="Book Antiqua" w:cs="Book Antiqua"/>
          <w:b/>
          <w:color w:val="000000"/>
          <w:sz w:val="22"/>
          <w:szCs w:val="22"/>
        </w:rPr>
        <w:t>Yenica Sugein Acosta Infante                                         Paloma Valencia Laserna</w:t>
      </w:r>
    </w:p>
    <w:p w:rsidR="00F14C90" w:rsidRDefault="007869F2">
      <w:pPr>
        <w:pBdr>
          <w:top w:val="nil"/>
          <w:left w:val="nil"/>
          <w:bottom w:val="nil"/>
          <w:right w:val="nil"/>
          <w:between w:val="nil"/>
        </w:pBdr>
        <w:jc w:val="center"/>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Representante a la Cámara</w:t>
      </w:r>
      <w:r>
        <w:rPr>
          <w:rFonts w:ascii="Book Antiqua" w:eastAsia="Book Antiqua" w:hAnsi="Book Antiqua" w:cs="Book Antiqua"/>
          <w:b/>
          <w:sz w:val="22"/>
          <w:szCs w:val="22"/>
        </w:rPr>
        <w:t>, Amazonas</w:t>
      </w:r>
      <w:r>
        <w:rPr>
          <w:rFonts w:ascii="Book Antiqua" w:eastAsia="Book Antiqua" w:hAnsi="Book Antiqua" w:cs="Book Antiqua"/>
          <w:b/>
          <w:color w:val="000000"/>
          <w:sz w:val="22"/>
          <w:szCs w:val="22"/>
        </w:rPr>
        <w:t xml:space="preserve">                               Senadora de la República</w:t>
      </w:r>
    </w:p>
    <w:p w:rsidR="00F14C90" w:rsidRDefault="00F14C90">
      <w:pPr>
        <w:pBdr>
          <w:top w:val="nil"/>
          <w:left w:val="nil"/>
          <w:bottom w:val="nil"/>
          <w:right w:val="nil"/>
          <w:between w:val="nil"/>
        </w:pBdr>
        <w:tabs>
          <w:tab w:val="left" w:pos="3338"/>
        </w:tabs>
        <w:spacing w:line="276" w:lineRule="auto"/>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F14C90">
      <w:pPr>
        <w:pBdr>
          <w:top w:val="nil"/>
          <w:left w:val="nil"/>
          <w:bottom w:val="nil"/>
          <w:right w:val="nil"/>
          <w:between w:val="nil"/>
        </w:pBdr>
        <w:jc w:val="center"/>
        <w:rPr>
          <w:rFonts w:ascii="Book Antiqua" w:eastAsia="Book Antiqua" w:hAnsi="Book Antiqua" w:cs="Book Antiqua"/>
          <w:b/>
          <w:color w:val="000000"/>
          <w:sz w:val="22"/>
          <w:szCs w:val="22"/>
        </w:rPr>
      </w:pPr>
    </w:p>
    <w:p w:rsidR="00F14C90" w:rsidRDefault="00F14C90">
      <w:pPr>
        <w:keepNext/>
        <w:keepLines/>
        <w:pBdr>
          <w:top w:val="nil"/>
          <w:left w:val="nil"/>
          <w:bottom w:val="nil"/>
          <w:right w:val="nil"/>
          <w:between w:val="nil"/>
        </w:pBdr>
        <w:spacing w:before="480" w:line="276" w:lineRule="auto"/>
        <w:rPr>
          <w:rFonts w:ascii="Calibri" w:eastAsia="Calibri" w:hAnsi="Calibri" w:cs="Calibri"/>
          <w:b/>
          <w:sz w:val="28"/>
          <w:szCs w:val="28"/>
        </w:rPr>
      </w:pPr>
    </w:p>
    <w:p w:rsidR="00F14C90" w:rsidRDefault="00F14C90">
      <w:pPr>
        <w:keepNext/>
        <w:keepLines/>
        <w:pBdr>
          <w:top w:val="nil"/>
          <w:left w:val="nil"/>
          <w:bottom w:val="nil"/>
          <w:right w:val="nil"/>
          <w:between w:val="nil"/>
        </w:pBdr>
        <w:spacing w:before="480" w:line="276" w:lineRule="auto"/>
        <w:rPr>
          <w:rFonts w:ascii="Calibri" w:eastAsia="Calibri" w:hAnsi="Calibri" w:cs="Calibri"/>
          <w:b/>
          <w:sz w:val="28"/>
          <w:szCs w:val="28"/>
        </w:rPr>
      </w:pPr>
    </w:p>
    <w:p w:rsidR="00F14C90" w:rsidRDefault="007869F2">
      <w:pPr>
        <w:keepNext/>
        <w:keepLines/>
        <w:pBdr>
          <w:top w:val="nil"/>
          <w:left w:val="nil"/>
          <w:bottom w:val="nil"/>
          <w:right w:val="nil"/>
          <w:between w:val="nil"/>
        </w:pBdr>
        <w:spacing w:before="480" w:line="276" w:lineRule="auto"/>
        <w:jc w:val="center"/>
        <w:rPr>
          <w:rFonts w:ascii="Book Antiqua" w:eastAsia="Book Antiqua" w:hAnsi="Book Antiqua" w:cs="Book Antiqua"/>
          <w:b/>
          <w:color w:val="000000"/>
          <w:sz w:val="22"/>
          <w:szCs w:val="22"/>
        </w:rPr>
      </w:pPr>
      <w:r>
        <w:rPr>
          <w:rFonts w:ascii="Book Antiqua" w:eastAsia="Book Antiqua" w:hAnsi="Book Antiqua" w:cs="Book Antiqua"/>
          <w:b/>
          <w:sz w:val="22"/>
          <w:szCs w:val="22"/>
        </w:rPr>
        <w:t>TABLA DE CONTENIDO</w:t>
      </w:r>
    </w:p>
    <w:sdt>
      <w:sdtPr>
        <w:id w:val="612795597"/>
        <w:docPartObj>
          <w:docPartGallery w:val="Table of Contents"/>
          <w:docPartUnique/>
        </w:docPartObj>
      </w:sdtPr>
      <w:sdtEndPr/>
      <w:sdtContent>
        <w:p w:rsidR="00F14C90" w:rsidRDefault="007869F2">
          <w:pPr>
            <w:pBdr>
              <w:top w:val="nil"/>
              <w:left w:val="nil"/>
              <w:bottom w:val="nil"/>
              <w:right w:val="nil"/>
              <w:between w:val="nil"/>
            </w:pBdr>
            <w:tabs>
              <w:tab w:val="right" w:pos="8828"/>
            </w:tabs>
            <w:spacing w:before="120"/>
            <w:rPr>
              <w:rFonts w:ascii="Book Antiqua" w:eastAsia="Book Antiqua" w:hAnsi="Book Antiqua" w:cs="Book Antiqua"/>
              <w:b/>
              <w:sz w:val="22"/>
              <w:szCs w:val="22"/>
            </w:rPr>
          </w:pPr>
          <w:r>
            <w:fldChar w:fldCharType="begin"/>
          </w:r>
          <w:r>
            <w:instrText xml:space="preserve"> TOC \h \u \z </w:instrText>
          </w:r>
          <w:r>
            <w:fldChar w:fldCharType="separate"/>
          </w:r>
        </w:p>
        <w:p w:rsidR="00F14C90" w:rsidRDefault="007869F2">
          <w:pPr>
            <w:pBdr>
              <w:top w:val="nil"/>
              <w:left w:val="nil"/>
              <w:bottom w:val="nil"/>
              <w:right w:val="nil"/>
              <w:between w:val="nil"/>
            </w:pBdr>
            <w:tabs>
              <w:tab w:val="right" w:pos="8828"/>
            </w:tabs>
            <w:spacing w:before="120" w:line="360" w:lineRule="auto"/>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1. EXPOSICIÓN DE MOTIVOS</w:t>
          </w:r>
          <w:r>
            <w:rPr>
              <w:rFonts w:ascii="Book Antiqua" w:eastAsia="Book Antiqua" w:hAnsi="Book Antiqua" w:cs="Book Antiqua"/>
              <w:b/>
              <w:color w:val="548DD4"/>
              <w:sz w:val="22"/>
              <w:szCs w:val="22"/>
            </w:rPr>
            <w:tab/>
          </w:r>
          <w:r>
            <w:fldChar w:fldCharType="begin"/>
          </w:r>
          <w:r>
            <w:instrText xml:space="preserve"> PAGEREF _3znysh7 \h </w:instrText>
          </w:r>
          <w:r>
            <w:fldChar w:fldCharType="separate"/>
          </w:r>
          <w:r>
            <w:rPr>
              <w:rFonts w:ascii="Book Antiqua" w:eastAsia="Book Antiqua" w:hAnsi="Book Antiqua" w:cs="Book Antiqua"/>
              <w:b/>
              <w:color w:val="548DD4"/>
              <w:sz w:val="22"/>
              <w:szCs w:val="22"/>
            </w:rPr>
            <w:t>3</w:t>
          </w:r>
          <w:hyperlink w:anchor="_3znysh7" w:history="1"/>
        </w:p>
        <w:p w:rsidR="00F14C90" w:rsidRDefault="007869F2">
          <w:pPr>
            <w:pBdr>
              <w:top w:val="nil"/>
              <w:left w:val="nil"/>
              <w:bottom w:val="nil"/>
              <w:right w:val="nil"/>
              <w:between w:val="nil"/>
            </w:pBdr>
            <w:tabs>
              <w:tab w:val="right" w:pos="8828"/>
            </w:tabs>
            <w:spacing w:line="360" w:lineRule="auto"/>
            <w:rPr>
              <w:rFonts w:ascii="Book Antiqua" w:eastAsia="Book Antiqua" w:hAnsi="Book Antiqua" w:cs="Book Antiqua"/>
              <w:color w:val="000000"/>
              <w:sz w:val="22"/>
              <w:szCs w:val="22"/>
            </w:rPr>
          </w:pPr>
          <w:r>
            <w:fldChar w:fldCharType="end"/>
          </w:r>
          <w:r>
            <w:rPr>
              <w:rFonts w:ascii="Book Antiqua" w:eastAsia="Book Antiqua" w:hAnsi="Book Antiqua" w:cs="Book Antiqua"/>
              <w:color w:val="000000"/>
              <w:sz w:val="22"/>
              <w:szCs w:val="22"/>
            </w:rPr>
            <w:t>1.1. OBJETO DEL PROYECTO</w:t>
          </w:r>
          <w:r>
            <w:rPr>
              <w:rFonts w:ascii="Book Antiqua" w:eastAsia="Book Antiqua" w:hAnsi="Book Antiqua" w:cs="Book Antiqua"/>
              <w:color w:val="000000"/>
              <w:sz w:val="22"/>
              <w:szCs w:val="22"/>
            </w:rPr>
            <w:tab/>
          </w:r>
          <w:r>
            <w:fldChar w:fldCharType="begin"/>
          </w:r>
          <w:r>
            <w:instrText xml:space="preserve"> HYPERLINK \l "_30j0zll" </w:instrText>
          </w:r>
          <w:r>
            <w:fldChar w:fldCharType="separate"/>
          </w:r>
          <w:r>
            <w:rPr>
              <w:rFonts w:ascii="Book Antiqua" w:eastAsia="Book Antiqua" w:hAnsi="Book Antiqua" w:cs="Book Antiqua"/>
              <w:color w:val="000000"/>
              <w:sz w:val="22"/>
              <w:szCs w:val="22"/>
            </w:rPr>
            <w:t>3</w:t>
          </w:r>
        </w:p>
        <w:p w:rsidR="00F14C90" w:rsidRDefault="007869F2">
          <w:pPr>
            <w:pBdr>
              <w:top w:val="nil"/>
              <w:left w:val="nil"/>
              <w:bottom w:val="nil"/>
              <w:right w:val="nil"/>
              <w:between w:val="nil"/>
            </w:pBdr>
            <w:tabs>
              <w:tab w:val="right" w:pos="8828"/>
            </w:tabs>
            <w:spacing w:line="360" w:lineRule="auto"/>
            <w:rPr>
              <w:rFonts w:ascii="Book Antiqua" w:eastAsia="Book Antiqua" w:hAnsi="Book Antiqua" w:cs="Book Antiqua"/>
              <w:color w:val="000000"/>
              <w:sz w:val="22"/>
              <w:szCs w:val="22"/>
            </w:rPr>
          </w:pPr>
          <w:r>
            <w:fldChar w:fldCharType="end"/>
          </w:r>
          <w:r>
            <w:rPr>
              <w:rFonts w:ascii="Book Antiqua" w:eastAsia="Book Antiqua" w:hAnsi="Book Antiqua" w:cs="Book Antiqua"/>
              <w:color w:val="000000"/>
              <w:sz w:val="22"/>
              <w:szCs w:val="22"/>
            </w:rPr>
            <w:t>1.2. ANTECEDENTES</w:t>
          </w:r>
          <w:r>
            <w:rPr>
              <w:rFonts w:ascii="Book Antiqua" w:eastAsia="Book Antiqua" w:hAnsi="Book Antiqua" w:cs="Book Antiqua"/>
              <w:color w:val="000000"/>
              <w:sz w:val="22"/>
              <w:szCs w:val="22"/>
            </w:rPr>
            <w:tab/>
          </w:r>
          <w:r>
            <w:fldChar w:fldCharType="begin"/>
          </w:r>
          <w:r>
            <w:instrText xml:space="preserve"> HYPERLINK \l "_1fob9te" </w:instrText>
          </w:r>
          <w:r>
            <w:fldChar w:fldCharType="separate"/>
          </w:r>
          <w:r>
            <w:rPr>
              <w:rFonts w:ascii="Book Antiqua" w:eastAsia="Book Antiqua" w:hAnsi="Book Antiqua" w:cs="Book Antiqua"/>
              <w:color w:val="000000"/>
              <w:sz w:val="22"/>
              <w:szCs w:val="22"/>
            </w:rPr>
            <w:t>3</w:t>
          </w:r>
        </w:p>
        <w:p w:rsidR="00F14C90" w:rsidRDefault="007869F2">
          <w:pPr>
            <w:pBdr>
              <w:top w:val="nil"/>
              <w:left w:val="nil"/>
              <w:bottom w:val="nil"/>
              <w:right w:val="nil"/>
              <w:between w:val="nil"/>
            </w:pBdr>
            <w:tabs>
              <w:tab w:val="right" w:pos="8828"/>
            </w:tabs>
            <w:spacing w:line="360" w:lineRule="auto"/>
            <w:rPr>
              <w:rFonts w:ascii="Book Antiqua" w:eastAsia="Book Antiqua" w:hAnsi="Book Antiqua" w:cs="Book Antiqua"/>
              <w:color w:val="000000"/>
              <w:sz w:val="22"/>
              <w:szCs w:val="22"/>
            </w:rPr>
          </w:pPr>
          <w:r>
            <w:fldChar w:fldCharType="end"/>
          </w:r>
          <w:r>
            <w:rPr>
              <w:rFonts w:ascii="Book Antiqua" w:eastAsia="Book Antiqua" w:hAnsi="Book Antiqua" w:cs="Book Antiqua"/>
              <w:color w:val="000000"/>
              <w:sz w:val="22"/>
              <w:szCs w:val="22"/>
            </w:rPr>
            <w:t>1.3. MARCO NORMATIVO</w:t>
          </w:r>
          <w:r>
            <w:rPr>
              <w:rFonts w:ascii="Book Antiqua" w:eastAsia="Book Antiqua" w:hAnsi="Book Antiqua" w:cs="Book Antiqua"/>
              <w:color w:val="000000"/>
              <w:sz w:val="22"/>
              <w:szCs w:val="22"/>
            </w:rPr>
            <w:tab/>
          </w:r>
          <w:r>
            <w:fldChar w:fldCharType="begin"/>
          </w:r>
          <w:r>
            <w:instrText xml:space="preserve"> HYPERLINK \l "_2et92p0" </w:instrText>
          </w:r>
          <w:r>
            <w:fldChar w:fldCharType="separate"/>
          </w:r>
          <w:r>
            <w:rPr>
              <w:rFonts w:ascii="Book Antiqua" w:eastAsia="Book Antiqua" w:hAnsi="Book Antiqua" w:cs="Book Antiqua"/>
              <w:color w:val="000000"/>
              <w:sz w:val="22"/>
              <w:szCs w:val="22"/>
            </w:rPr>
            <w:t>4</w:t>
          </w:r>
        </w:p>
        <w:p w:rsidR="00F14C90" w:rsidRDefault="007869F2">
          <w:pPr>
            <w:pBdr>
              <w:top w:val="nil"/>
              <w:left w:val="nil"/>
              <w:bottom w:val="nil"/>
              <w:right w:val="nil"/>
              <w:between w:val="nil"/>
            </w:pBdr>
            <w:tabs>
              <w:tab w:val="right" w:pos="8828"/>
            </w:tabs>
            <w:spacing w:line="360" w:lineRule="auto"/>
            <w:rPr>
              <w:rFonts w:ascii="Book Antiqua" w:eastAsia="Book Antiqua" w:hAnsi="Book Antiqua" w:cs="Book Antiqua"/>
              <w:color w:val="000000"/>
              <w:sz w:val="22"/>
              <w:szCs w:val="22"/>
            </w:rPr>
          </w:pPr>
          <w:r>
            <w:fldChar w:fldCharType="end"/>
          </w:r>
          <w:r>
            <w:rPr>
              <w:rFonts w:ascii="Book Antiqua" w:eastAsia="Book Antiqua" w:hAnsi="Book Antiqua" w:cs="Book Antiqua"/>
              <w:color w:val="000000"/>
              <w:sz w:val="22"/>
              <w:szCs w:val="22"/>
            </w:rPr>
            <w:t>1.4. JUSTIFICACIÓN</w:t>
          </w:r>
          <w:r>
            <w:rPr>
              <w:rFonts w:ascii="Book Antiqua" w:eastAsia="Book Antiqua" w:hAnsi="Book Antiqua" w:cs="Book Antiqua"/>
              <w:color w:val="000000"/>
              <w:sz w:val="22"/>
              <w:szCs w:val="22"/>
            </w:rPr>
            <w:tab/>
          </w:r>
          <w:r>
            <w:fldChar w:fldCharType="begin"/>
          </w:r>
          <w:r>
            <w:instrText xml:space="preserve"> HYPERLINK \l "_tyjcwt" </w:instrText>
          </w:r>
          <w:r>
            <w:fldChar w:fldCharType="separate"/>
          </w:r>
          <w:r>
            <w:rPr>
              <w:rFonts w:ascii="Book Antiqua" w:eastAsia="Book Antiqua" w:hAnsi="Book Antiqua" w:cs="Book Antiqua"/>
              <w:color w:val="000000"/>
              <w:sz w:val="22"/>
              <w:szCs w:val="22"/>
            </w:rPr>
            <w:t>8</w:t>
          </w:r>
        </w:p>
        <w:p w:rsidR="00F14C90" w:rsidRDefault="007869F2">
          <w:pPr>
            <w:pBdr>
              <w:top w:val="nil"/>
              <w:left w:val="nil"/>
              <w:bottom w:val="nil"/>
              <w:right w:val="nil"/>
              <w:between w:val="nil"/>
            </w:pBdr>
            <w:tabs>
              <w:tab w:val="right" w:pos="8828"/>
            </w:tabs>
            <w:spacing w:line="360" w:lineRule="auto"/>
            <w:rPr>
              <w:rFonts w:ascii="Book Antiqua" w:eastAsia="Book Antiqua" w:hAnsi="Book Antiqua" w:cs="Book Antiqua"/>
              <w:color w:val="000000"/>
              <w:sz w:val="22"/>
              <w:szCs w:val="22"/>
            </w:rPr>
          </w:pPr>
          <w:r>
            <w:fldChar w:fldCharType="end"/>
          </w:r>
          <w:r>
            <w:rPr>
              <w:rFonts w:ascii="Book Antiqua" w:eastAsia="Book Antiqua" w:hAnsi="Book Antiqua" w:cs="Book Antiqua"/>
              <w:color w:val="000000"/>
              <w:sz w:val="22"/>
              <w:szCs w:val="22"/>
            </w:rPr>
            <w:t>1.5. ALCANCE</w:t>
          </w:r>
          <w:r>
            <w:rPr>
              <w:rFonts w:ascii="Book Antiqua" w:eastAsia="Book Antiqua" w:hAnsi="Book Antiqua" w:cs="Book Antiqua"/>
              <w:color w:val="000000"/>
              <w:sz w:val="22"/>
              <w:szCs w:val="22"/>
            </w:rPr>
            <w:tab/>
          </w:r>
          <w:r>
            <w:fldChar w:fldCharType="begin"/>
          </w:r>
          <w:r>
            <w:instrText xml:space="preserve"> PAGEREF _3dy6vkm \h </w:instrText>
          </w:r>
          <w:r>
            <w:fldChar w:fldCharType="separate"/>
          </w:r>
          <w:r>
            <w:rPr>
              <w:rFonts w:ascii="Book Antiqua" w:eastAsia="Book Antiqua" w:hAnsi="Book Antiqua" w:cs="Book Antiqua"/>
              <w:color w:val="000000"/>
              <w:sz w:val="22"/>
              <w:szCs w:val="22"/>
            </w:rPr>
            <w:t>1</w:t>
          </w:r>
          <w:r>
            <w:rPr>
              <w:rFonts w:ascii="Book Antiqua" w:eastAsia="Book Antiqua" w:hAnsi="Book Antiqua" w:cs="Book Antiqua"/>
              <w:sz w:val="22"/>
              <w:szCs w:val="22"/>
            </w:rPr>
            <w:t>7</w:t>
          </w:r>
          <w:hyperlink w:anchor="_3dy6vkm" w:history="1"/>
        </w:p>
        <w:p w:rsidR="00F14C90" w:rsidRDefault="007869F2">
          <w:pPr>
            <w:pBdr>
              <w:top w:val="nil"/>
              <w:left w:val="nil"/>
              <w:bottom w:val="nil"/>
              <w:right w:val="nil"/>
              <w:between w:val="nil"/>
            </w:pBdr>
            <w:tabs>
              <w:tab w:val="right" w:pos="8828"/>
            </w:tabs>
            <w:spacing w:line="360" w:lineRule="auto"/>
            <w:rPr>
              <w:rFonts w:ascii="Book Antiqua" w:eastAsia="Book Antiqua" w:hAnsi="Book Antiqua" w:cs="Book Antiqua"/>
              <w:b/>
              <w:color w:val="000000"/>
              <w:sz w:val="22"/>
              <w:szCs w:val="22"/>
            </w:rPr>
          </w:pPr>
          <w:r>
            <w:fldChar w:fldCharType="end"/>
          </w:r>
          <w:r>
            <w:rPr>
              <w:rFonts w:ascii="Book Antiqua" w:eastAsia="Book Antiqua" w:hAnsi="Book Antiqua" w:cs="Book Antiqua"/>
              <w:b/>
              <w:color w:val="000000"/>
              <w:sz w:val="22"/>
              <w:szCs w:val="22"/>
            </w:rPr>
            <w:t>2. BIBLIOGRAFÍA</w:t>
          </w:r>
          <w:r>
            <w:rPr>
              <w:rFonts w:ascii="Book Antiqua" w:eastAsia="Book Antiqua" w:hAnsi="Book Antiqua" w:cs="Book Antiqua"/>
              <w:b/>
              <w:color w:val="000000"/>
              <w:sz w:val="22"/>
              <w:szCs w:val="22"/>
            </w:rPr>
            <w:tab/>
            <w:t>XX</w:t>
          </w:r>
          <w:r>
            <w:fldChar w:fldCharType="begin"/>
          </w:r>
          <w:r>
            <w:instrText xml:space="preserve"> HYPERLINK \l</w:instrText>
          </w:r>
          <w:r>
            <w:instrText xml:space="preserve"> "_1t3h5sf" </w:instrText>
          </w:r>
          <w:r>
            <w:fldChar w:fldCharType="separate"/>
          </w:r>
        </w:p>
        <w:p w:rsidR="00F14C90" w:rsidRDefault="007869F2">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r>
            <w:fldChar w:fldCharType="end"/>
          </w:r>
          <w:r>
            <w:rPr>
              <w:rFonts w:ascii="Book Antiqua" w:eastAsia="Book Antiqua" w:hAnsi="Book Antiqua" w:cs="Book Antiqua"/>
              <w:b/>
              <w:color w:val="000000"/>
              <w:sz w:val="22"/>
              <w:szCs w:val="22"/>
            </w:rPr>
            <w:t>3. ARTICULADO</w:t>
          </w:r>
          <w:r>
            <w:rPr>
              <w:rFonts w:ascii="Book Antiqua" w:eastAsia="Book Antiqua" w:hAnsi="Book Antiqua" w:cs="Book Antiqua"/>
              <w:b/>
              <w:color w:val="548DD4"/>
              <w:sz w:val="22"/>
              <w:szCs w:val="22"/>
            </w:rPr>
            <w:tab/>
          </w:r>
          <w:r>
            <w:rPr>
              <w:rFonts w:ascii="Book Antiqua" w:eastAsia="Book Antiqua" w:hAnsi="Book Antiqua" w:cs="Book Antiqua"/>
              <w:b/>
              <w:sz w:val="22"/>
              <w:szCs w:val="22"/>
            </w:rPr>
            <w:t>XX</w:t>
          </w: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F14C90">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p>
        <w:p w:rsidR="00F14C90" w:rsidRDefault="007869F2">
          <w:pPr>
            <w:pBdr>
              <w:top w:val="nil"/>
              <w:left w:val="nil"/>
              <w:bottom w:val="nil"/>
              <w:right w:val="nil"/>
              <w:between w:val="nil"/>
            </w:pBdr>
            <w:tabs>
              <w:tab w:val="right" w:pos="8828"/>
            </w:tabs>
            <w:spacing w:before="120" w:line="360" w:lineRule="auto"/>
            <w:rPr>
              <w:rFonts w:ascii="Book Antiqua" w:eastAsia="Book Antiqua" w:hAnsi="Book Antiqua" w:cs="Book Antiqua"/>
              <w:sz w:val="22"/>
              <w:szCs w:val="22"/>
            </w:rPr>
          </w:pPr>
          <w:r>
            <w:fldChar w:fldCharType="end"/>
          </w:r>
        </w:p>
      </w:sdtContent>
    </w:sdt>
    <w:p w:rsidR="00F14C90" w:rsidRDefault="007869F2">
      <w:pPr>
        <w:pStyle w:val="Ttulo1"/>
        <w:rPr>
          <w:rFonts w:ascii="Book Antiqua" w:eastAsia="Book Antiqua" w:hAnsi="Book Antiqua" w:cs="Book Antiqua"/>
          <w:b/>
          <w:color w:val="000000"/>
          <w:sz w:val="24"/>
          <w:szCs w:val="24"/>
          <w:u w:val="single"/>
        </w:rPr>
      </w:pPr>
      <w:bookmarkStart w:id="1" w:name="_gjdgxs" w:colFirst="0" w:colLast="0"/>
      <w:bookmarkEnd w:id="1"/>
      <w:r>
        <w:rPr>
          <w:rFonts w:ascii="Book Antiqua" w:eastAsia="Book Antiqua" w:hAnsi="Book Antiqua" w:cs="Book Antiqua"/>
          <w:b/>
          <w:color w:val="000000"/>
          <w:sz w:val="24"/>
          <w:szCs w:val="24"/>
          <w:u w:val="single"/>
        </w:rPr>
        <w:lastRenderedPageBreak/>
        <w:t>1. EXPOSICIÓN DE MOTIVOS</w:t>
      </w:r>
    </w:p>
    <w:p w:rsidR="00F14C90" w:rsidRDefault="00F14C90">
      <w:pPr>
        <w:pBdr>
          <w:top w:val="nil"/>
          <w:left w:val="nil"/>
          <w:bottom w:val="nil"/>
          <w:right w:val="nil"/>
          <w:between w:val="nil"/>
        </w:pBdr>
        <w:spacing w:line="276" w:lineRule="auto"/>
        <w:jc w:val="both"/>
        <w:rPr>
          <w:rFonts w:ascii="Book Antiqua" w:eastAsia="Book Antiqua" w:hAnsi="Book Antiqua" w:cs="Book Antiqua"/>
          <w:b/>
          <w:sz w:val="18"/>
          <w:szCs w:val="18"/>
        </w:rPr>
      </w:pPr>
    </w:p>
    <w:p w:rsidR="00F14C90" w:rsidRDefault="007869F2">
      <w:pPr>
        <w:pStyle w:val="Ttulo2"/>
        <w:rPr>
          <w:rFonts w:ascii="Book Antiqua" w:eastAsia="Book Antiqua" w:hAnsi="Book Antiqua" w:cs="Book Antiqua"/>
          <w:color w:val="000000"/>
          <w:sz w:val="22"/>
          <w:szCs w:val="22"/>
        </w:rPr>
      </w:pPr>
      <w:bookmarkStart w:id="2" w:name="_30j0zll" w:colFirst="0" w:colLast="0"/>
      <w:bookmarkEnd w:id="2"/>
      <w:r>
        <w:rPr>
          <w:rFonts w:ascii="Book Antiqua" w:eastAsia="Book Antiqua" w:hAnsi="Book Antiqua" w:cs="Book Antiqua"/>
          <w:color w:val="000000"/>
          <w:sz w:val="22"/>
          <w:szCs w:val="22"/>
        </w:rPr>
        <w:t xml:space="preserve">1.1. OBJETO DEL PROYECTO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El proyecto de Acto Legislativo presentado a consideración del Honorable Congreso de la República, pretende garantizar la efectiva protección</w:t>
      </w:r>
      <w:r>
        <w:rPr>
          <w:rFonts w:ascii="Book Antiqua" w:eastAsia="Book Antiqua" w:hAnsi="Book Antiqua" w:cs="Book Antiqua"/>
          <w:sz w:val="22"/>
          <w:szCs w:val="22"/>
        </w:rPr>
        <w:t>, preservación</w:t>
      </w:r>
      <w:r>
        <w:rPr>
          <w:rFonts w:ascii="Book Antiqua" w:eastAsia="Book Antiqua" w:hAnsi="Book Antiqua" w:cs="Book Antiqua"/>
          <w:color w:val="000000"/>
          <w:sz w:val="22"/>
          <w:szCs w:val="22"/>
        </w:rPr>
        <w:t xml:space="preserve"> de la biodiversidad </w:t>
      </w:r>
      <w:r>
        <w:rPr>
          <w:rFonts w:ascii="Book Antiqua" w:eastAsia="Book Antiqua" w:hAnsi="Book Antiqua" w:cs="Book Antiqua"/>
          <w:sz w:val="22"/>
          <w:szCs w:val="22"/>
        </w:rPr>
        <w:t xml:space="preserve">y </w:t>
      </w:r>
      <w:r>
        <w:rPr>
          <w:rFonts w:ascii="Book Antiqua" w:eastAsia="Book Antiqua" w:hAnsi="Book Antiqua" w:cs="Book Antiqua"/>
          <w:color w:val="000000"/>
          <w:sz w:val="22"/>
          <w:szCs w:val="22"/>
        </w:rPr>
        <w:t>riqueza ambiental de la Amazonía Colombiana</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así como</w:t>
      </w:r>
      <w:r>
        <w:rPr>
          <w:rFonts w:ascii="Book Antiqua" w:eastAsia="Book Antiqua" w:hAnsi="Book Antiqua" w:cs="Book Antiqua"/>
          <w:sz w:val="22"/>
          <w:szCs w:val="22"/>
        </w:rPr>
        <w:t>, la</w:t>
      </w:r>
      <w:r>
        <w:rPr>
          <w:rFonts w:ascii="Book Antiqua" w:eastAsia="Book Antiqua" w:hAnsi="Book Antiqua" w:cs="Book Antiqua"/>
          <w:color w:val="000000"/>
          <w:sz w:val="22"/>
          <w:szCs w:val="22"/>
        </w:rPr>
        <w:t xml:space="preserve"> cultura de las comunidades indígenas ancestrales que la habitan, para lo cual se propone el establecimiento de un régimen especia</w:t>
      </w:r>
      <w:r>
        <w:rPr>
          <w:rFonts w:ascii="Book Antiqua" w:eastAsia="Book Antiqua" w:hAnsi="Book Antiqua" w:cs="Book Antiqua"/>
          <w:sz w:val="22"/>
          <w:szCs w:val="22"/>
        </w:rPr>
        <w:t>l,</w:t>
      </w:r>
      <w:r>
        <w:rPr>
          <w:rFonts w:ascii="Book Antiqua" w:eastAsia="Book Antiqua" w:hAnsi="Book Antiqua" w:cs="Book Antiqua"/>
          <w:color w:val="000000"/>
          <w:sz w:val="22"/>
          <w:szCs w:val="22"/>
        </w:rPr>
        <w:t xml:space="preserve"> en consideración a las caract</w:t>
      </w:r>
      <w:r>
        <w:rPr>
          <w:rFonts w:ascii="Book Antiqua" w:eastAsia="Book Antiqua" w:hAnsi="Book Antiqua" w:cs="Book Antiqua"/>
          <w:color w:val="000000"/>
          <w:sz w:val="22"/>
          <w:szCs w:val="22"/>
        </w:rPr>
        <w:t>erísticas del territorio que posee dificultades de acceso</w:t>
      </w:r>
      <w:r>
        <w:rPr>
          <w:rFonts w:ascii="Book Antiqua" w:eastAsia="Book Antiqua" w:hAnsi="Book Antiqua" w:cs="Book Antiqua"/>
          <w:sz w:val="22"/>
          <w:szCs w:val="22"/>
        </w:rPr>
        <w:t>; zonas</w:t>
      </w:r>
      <w:r>
        <w:rPr>
          <w:rFonts w:ascii="Book Antiqua" w:eastAsia="Book Antiqua" w:hAnsi="Book Antiqua" w:cs="Book Antiqua"/>
          <w:color w:val="000000"/>
          <w:sz w:val="22"/>
          <w:szCs w:val="22"/>
        </w:rPr>
        <w:t xml:space="preserve"> no carreteables</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baja densidad poblacional</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corredores fronterizos y</w:t>
      </w:r>
      <w:r>
        <w:rPr>
          <w:rFonts w:ascii="Book Antiqua" w:eastAsia="Book Antiqua" w:hAnsi="Book Antiqua" w:cs="Book Antiqua"/>
          <w:sz w:val="22"/>
          <w:szCs w:val="22"/>
        </w:rPr>
        <w:t>, unas</w:t>
      </w:r>
      <w:r>
        <w:rPr>
          <w:rFonts w:ascii="Book Antiqua" w:eastAsia="Book Antiqua" w:hAnsi="Book Antiqua" w:cs="Book Antiqua"/>
          <w:color w:val="000000"/>
          <w:sz w:val="22"/>
          <w:szCs w:val="22"/>
        </w:rPr>
        <w:t xml:space="preserve"> circunstancias socio-económicas particulares.</w:t>
      </w:r>
    </w:p>
    <w:p w:rsidR="00F14C90" w:rsidRDefault="007869F2">
      <w:pPr>
        <w:pStyle w:val="Ttulo2"/>
        <w:rPr>
          <w:rFonts w:ascii="Book Antiqua" w:eastAsia="Book Antiqua" w:hAnsi="Book Antiqua" w:cs="Book Antiqua"/>
          <w:color w:val="000000"/>
          <w:sz w:val="22"/>
          <w:szCs w:val="22"/>
        </w:rPr>
      </w:pPr>
      <w:bookmarkStart w:id="3" w:name="_1fob9te" w:colFirst="0" w:colLast="0"/>
      <w:bookmarkEnd w:id="3"/>
      <w:r>
        <w:rPr>
          <w:rFonts w:ascii="Book Antiqua" w:eastAsia="Book Antiqua" w:hAnsi="Book Antiqua" w:cs="Book Antiqua"/>
          <w:color w:val="000000"/>
          <w:sz w:val="22"/>
          <w:szCs w:val="22"/>
        </w:rPr>
        <w:t>1.2. ANTECEDENTES</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961"/>
        <w:gridCol w:w="1701"/>
      </w:tblGrid>
      <w:tr w:rsidR="00F14C90">
        <w:trPr>
          <w:trHeight w:val="398"/>
        </w:trPr>
        <w:tc>
          <w:tcPr>
            <w:tcW w:w="2122" w:type="dxa"/>
            <w:shd w:val="clear" w:color="auto" w:fill="C5E0B3"/>
            <w:vAlign w:val="bottom"/>
          </w:tcPr>
          <w:p w:rsidR="00F14C90" w:rsidRDefault="007869F2">
            <w:pPr>
              <w:spacing w:after="279"/>
              <w:ind w:right="183"/>
              <w:jc w:val="center"/>
              <w:rPr>
                <w:rFonts w:ascii="Book Antiqua" w:eastAsia="Book Antiqua" w:hAnsi="Book Antiqua" w:cs="Book Antiqua"/>
                <w:b/>
                <w:sz w:val="22"/>
                <w:szCs w:val="22"/>
              </w:rPr>
            </w:pPr>
            <w:r>
              <w:rPr>
                <w:rFonts w:ascii="Book Antiqua" w:eastAsia="Book Antiqua" w:hAnsi="Book Antiqua" w:cs="Book Antiqua"/>
                <w:b/>
                <w:sz w:val="22"/>
                <w:szCs w:val="22"/>
              </w:rPr>
              <w:t>Proyecto</w:t>
            </w:r>
          </w:p>
        </w:tc>
        <w:tc>
          <w:tcPr>
            <w:tcW w:w="4961" w:type="dxa"/>
            <w:shd w:val="clear" w:color="auto" w:fill="C5E0B3"/>
            <w:vAlign w:val="bottom"/>
          </w:tcPr>
          <w:p w:rsidR="00F14C90" w:rsidRDefault="007869F2">
            <w:pPr>
              <w:spacing w:after="279"/>
              <w:ind w:right="183"/>
              <w:jc w:val="center"/>
              <w:rPr>
                <w:rFonts w:ascii="Book Antiqua" w:eastAsia="Book Antiqua" w:hAnsi="Book Antiqua" w:cs="Book Antiqua"/>
                <w:b/>
                <w:sz w:val="22"/>
                <w:szCs w:val="22"/>
              </w:rPr>
            </w:pPr>
            <w:r>
              <w:rPr>
                <w:rFonts w:ascii="Book Antiqua" w:eastAsia="Book Antiqua" w:hAnsi="Book Antiqua" w:cs="Book Antiqua"/>
                <w:b/>
                <w:sz w:val="22"/>
                <w:szCs w:val="22"/>
              </w:rPr>
              <w:t>Síntesis</w:t>
            </w:r>
          </w:p>
        </w:tc>
        <w:tc>
          <w:tcPr>
            <w:tcW w:w="1701" w:type="dxa"/>
            <w:shd w:val="clear" w:color="auto" w:fill="C5E0B3"/>
            <w:vAlign w:val="bottom"/>
          </w:tcPr>
          <w:p w:rsidR="00F14C90" w:rsidRDefault="007869F2">
            <w:pPr>
              <w:spacing w:after="279"/>
              <w:ind w:right="183"/>
              <w:jc w:val="center"/>
              <w:rPr>
                <w:rFonts w:ascii="Book Antiqua" w:eastAsia="Book Antiqua" w:hAnsi="Book Antiqua" w:cs="Book Antiqua"/>
                <w:b/>
                <w:sz w:val="22"/>
                <w:szCs w:val="22"/>
              </w:rPr>
            </w:pPr>
            <w:r>
              <w:rPr>
                <w:rFonts w:ascii="Book Antiqua" w:eastAsia="Book Antiqua" w:hAnsi="Book Antiqua" w:cs="Book Antiqua"/>
                <w:b/>
                <w:sz w:val="22"/>
                <w:szCs w:val="22"/>
              </w:rPr>
              <w:t>Resultado</w:t>
            </w:r>
          </w:p>
        </w:tc>
      </w:tr>
      <w:tr w:rsidR="00F14C90">
        <w:tc>
          <w:tcPr>
            <w:tcW w:w="2122"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004 de 2005 Cámara.</w:t>
            </w:r>
          </w:p>
        </w:tc>
        <w:tc>
          <w:tcPr>
            <w:tcW w:w="496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Adicionar un parágrafo al artículo 310 de la Constitución Política de Colombia.</w:t>
            </w:r>
          </w:p>
        </w:tc>
        <w:tc>
          <w:tcPr>
            <w:tcW w:w="170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w:t>
            </w:r>
          </w:p>
        </w:tc>
      </w:tr>
      <w:tr w:rsidR="00F14C90">
        <w:tc>
          <w:tcPr>
            <w:tcW w:w="2122"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Ley 172 de 2012 Cámara.</w:t>
            </w:r>
          </w:p>
        </w:tc>
        <w:tc>
          <w:tcPr>
            <w:tcW w:w="496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El proyecto de Ley se propuso modificar el artículo 310 de la Constitución Política de Colombia.</w:t>
            </w:r>
          </w:p>
        </w:tc>
        <w:tc>
          <w:tcPr>
            <w:tcW w:w="170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Retirado por el autor</w:t>
            </w:r>
          </w:p>
        </w:tc>
      </w:tr>
      <w:tr w:rsidR="00F14C90">
        <w:trPr>
          <w:trHeight w:val="827"/>
        </w:trPr>
        <w:tc>
          <w:tcPr>
            <w:tcW w:w="2122"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Ley 188 de 2012 Cámara.</w:t>
            </w:r>
          </w:p>
        </w:tc>
        <w:tc>
          <w:tcPr>
            <w:tcW w:w="496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El proyecto tenía como objetivo autorizar la emisión de la estampilla Pro Medio Ambiente en el depar</w:t>
            </w:r>
            <w:r>
              <w:rPr>
                <w:rFonts w:ascii="Book Antiqua" w:eastAsia="Book Antiqua" w:hAnsi="Book Antiqua" w:cs="Book Antiqua"/>
                <w:sz w:val="22"/>
                <w:szCs w:val="22"/>
              </w:rPr>
              <w:t>tamento del Amazonas.</w:t>
            </w:r>
          </w:p>
        </w:tc>
        <w:tc>
          <w:tcPr>
            <w:tcW w:w="170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Retirado por el autor</w:t>
            </w:r>
          </w:p>
        </w:tc>
      </w:tr>
      <w:tr w:rsidR="00F14C90">
        <w:tc>
          <w:tcPr>
            <w:tcW w:w="2122"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Ley 218 de 2014 Cámara.</w:t>
            </w:r>
          </w:p>
        </w:tc>
        <w:tc>
          <w:tcPr>
            <w:tcW w:w="496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El proyecto tenía como propósito crear régimen especial para la municipios, departamentos y regiones de frontera en Colombia, en concordancia con el artículo 337 de la Constit</w:t>
            </w:r>
            <w:r>
              <w:rPr>
                <w:rFonts w:ascii="Book Antiqua" w:eastAsia="Book Antiqua" w:hAnsi="Book Antiqua" w:cs="Book Antiqua"/>
                <w:sz w:val="22"/>
                <w:szCs w:val="22"/>
              </w:rPr>
              <w:t>ución Política de Colombia.</w:t>
            </w:r>
          </w:p>
        </w:tc>
        <w:tc>
          <w:tcPr>
            <w:tcW w:w="170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w:t>
            </w:r>
          </w:p>
        </w:tc>
      </w:tr>
      <w:tr w:rsidR="00F14C90">
        <w:tc>
          <w:tcPr>
            <w:tcW w:w="2122"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041 de 2017 Cámara.</w:t>
            </w:r>
          </w:p>
        </w:tc>
        <w:tc>
          <w:tcPr>
            <w:tcW w:w="496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que tenía como propósito dictar normas especiales para los departamentos de Amazonas, Guainía y Vaupés.</w:t>
            </w:r>
          </w:p>
        </w:tc>
        <w:tc>
          <w:tcPr>
            <w:tcW w:w="170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w:t>
            </w:r>
          </w:p>
        </w:tc>
      </w:tr>
      <w:tr w:rsidR="00F14C90">
        <w:trPr>
          <w:trHeight w:val="1828"/>
        </w:trPr>
        <w:tc>
          <w:tcPr>
            <w:tcW w:w="2122"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lastRenderedPageBreak/>
              <w:t>Proyecto de Acto Legislativo 002 Cámara, 024 Senado de 2019.</w:t>
            </w:r>
          </w:p>
        </w:tc>
        <w:tc>
          <w:tcPr>
            <w:tcW w:w="496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que proponía “adicionar al artículo 310 de la Constitución Policía de Colombia normas especiales para la organización, funcionamiento, protección cultural, étnica y a</w:t>
            </w:r>
            <w:r>
              <w:rPr>
                <w:rFonts w:ascii="Book Antiqua" w:eastAsia="Book Antiqua" w:hAnsi="Book Antiqua" w:cs="Book Antiqua"/>
                <w:sz w:val="22"/>
                <w:szCs w:val="22"/>
              </w:rPr>
              <w:t>mbiental de los departamentos de Amazonas, Caquetá, Guaviare, Guainía, Putumayo y Vaupés”</w:t>
            </w:r>
          </w:p>
        </w:tc>
        <w:tc>
          <w:tcPr>
            <w:tcW w:w="1701" w:type="dxa"/>
          </w:tcPr>
          <w:p w:rsidR="00F14C90" w:rsidRDefault="007869F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 en segunda vuelta Cámara.</w:t>
            </w:r>
          </w:p>
        </w:tc>
      </w:tr>
    </w:tbl>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Style w:val="Ttulo2"/>
        <w:rPr>
          <w:rFonts w:ascii="Book Antiqua" w:eastAsia="Book Antiqua" w:hAnsi="Book Antiqua" w:cs="Book Antiqua"/>
          <w:color w:val="000000"/>
          <w:sz w:val="22"/>
          <w:szCs w:val="22"/>
        </w:rPr>
      </w:pPr>
      <w:bookmarkStart w:id="4" w:name="_2et92p0" w:colFirst="0" w:colLast="0"/>
      <w:bookmarkEnd w:id="4"/>
      <w:r>
        <w:rPr>
          <w:rFonts w:ascii="Book Antiqua" w:eastAsia="Book Antiqua" w:hAnsi="Book Antiqua" w:cs="Book Antiqua"/>
          <w:color w:val="000000"/>
          <w:sz w:val="22"/>
          <w:szCs w:val="22"/>
        </w:rPr>
        <w:t xml:space="preserve">1.3. MARCO NORMATIVO </w:t>
      </w:r>
    </w:p>
    <w:p w:rsidR="00F14C90" w:rsidRDefault="00F14C90"/>
    <w:p w:rsidR="00F14C90" w:rsidRDefault="007869F2">
      <w:pPr>
        <w:numPr>
          <w:ilvl w:val="0"/>
          <w:numId w:val="2"/>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Constitucional</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i/>
          <w:sz w:val="22"/>
          <w:szCs w:val="22"/>
        </w:rPr>
      </w:pPr>
      <w:r>
        <w:rPr>
          <w:rFonts w:ascii="Book Antiqua" w:eastAsia="Book Antiqua" w:hAnsi="Book Antiqua" w:cs="Book Antiqua"/>
          <w:color w:val="000000"/>
          <w:sz w:val="22"/>
          <w:szCs w:val="22"/>
        </w:rPr>
        <w:t xml:space="preserve">De conformidad con lo previsto en el artículo 2° de la Constitución Política, </w:t>
      </w:r>
      <w:r>
        <w:rPr>
          <w:rFonts w:ascii="Book Antiqua" w:eastAsia="Book Antiqua" w:hAnsi="Book Antiqua" w:cs="Book Antiqua"/>
          <w:i/>
          <w:color w:val="000000"/>
          <w:sz w:val="22"/>
          <w:szCs w:val="22"/>
        </w:rPr>
        <w:t>"son fines esenciales del Estado</w:t>
      </w:r>
      <w:r>
        <w:rPr>
          <w:rFonts w:ascii="Book Antiqua" w:eastAsia="Book Antiqua" w:hAnsi="Book Antiqua" w:cs="Book Antiqua"/>
          <w:i/>
          <w:sz w:val="22"/>
          <w:szCs w:val="22"/>
        </w:rPr>
        <w:t>:</w:t>
      </w:r>
      <w:r>
        <w:rPr>
          <w:rFonts w:ascii="Book Antiqua" w:eastAsia="Book Antiqua" w:hAnsi="Book Antiqua" w:cs="Book Antiqua"/>
          <w:i/>
          <w:color w:val="000000"/>
          <w:sz w:val="22"/>
          <w:szCs w:val="22"/>
        </w:rPr>
        <w:t xml:space="preserve"> servir a la comunidad, promover la prosperidad general y garantizar la efectividad de los principios, derechos y deberes consagrados en la Constitución</w:t>
      </w:r>
      <w:r>
        <w:rPr>
          <w:rFonts w:ascii="Book Antiqua" w:eastAsia="Book Antiqua" w:hAnsi="Book Antiqua" w:cs="Book Antiqua"/>
          <w:i/>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i/>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 su turno, mediante el artículo 7° constitucional</w:t>
      </w:r>
      <w:r>
        <w:rPr>
          <w:rFonts w:ascii="Book Antiqua" w:eastAsia="Book Antiqua" w:hAnsi="Book Antiqua" w:cs="Book Antiqua"/>
          <w:sz w:val="22"/>
          <w:szCs w:val="22"/>
        </w:rPr>
        <w:t>, se</w:t>
      </w:r>
      <w:r>
        <w:rPr>
          <w:rFonts w:ascii="Book Antiqua" w:eastAsia="Book Antiqua" w:hAnsi="Book Antiqua" w:cs="Book Antiqua"/>
          <w:color w:val="000000"/>
          <w:sz w:val="22"/>
          <w:szCs w:val="22"/>
        </w:rPr>
        <w:t xml:space="preserve"> estableció q</w:t>
      </w:r>
      <w:r>
        <w:rPr>
          <w:rFonts w:ascii="Book Antiqua" w:eastAsia="Book Antiqua" w:hAnsi="Book Antiqua" w:cs="Book Antiqua"/>
          <w:color w:val="000000"/>
          <w:sz w:val="22"/>
          <w:szCs w:val="22"/>
        </w:rPr>
        <w:t xml:space="preserve">ue </w:t>
      </w:r>
      <w:r>
        <w:rPr>
          <w:rFonts w:ascii="Book Antiqua" w:eastAsia="Book Antiqua" w:hAnsi="Book Antiqua" w:cs="Book Antiqua"/>
          <w:i/>
          <w:color w:val="000000"/>
          <w:sz w:val="22"/>
          <w:szCs w:val="22"/>
        </w:rPr>
        <w:t>"el Estado reconoce y protege la diversidad étnica y cultural de la Nación Colombiana"</w:t>
      </w:r>
      <w:r>
        <w:rPr>
          <w:rFonts w:ascii="Book Antiqua" w:eastAsia="Book Antiqua" w:hAnsi="Book Antiqua" w:cs="Book Antiqua"/>
          <w:color w:val="000000"/>
          <w:sz w:val="22"/>
          <w:szCs w:val="22"/>
        </w:rPr>
        <w:t xml:space="preserve"> y</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en el artículo siguiente, se impuso la obligación al Estado Colombiano y sus habitantes a proteger las riquezas culturales y naturales de la Nación.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Adicionalmen</w:t>
      </w:r>
      <w:r>
        <w:rPr>
          <w:rFonts w:ascii="Book Antiqua" w:eastAsia="Book Antiqua" w:hAnsi="Book Antiqua" w:cs="Book Antiqua"/>
          <w:color w:val="000000"/>
          <w:sz w:val="22"/>
          <w:szCs w:val="22"/>
        </w:rPr>
        <w:t xml:space="preserve">te, en el Capítulo III del Título II de la Constitución, por el cual se establecen los </w:t>
      </w:r>
      <w:r>
        <w:rPr>
          <w:rFonts w:ascii="Book Antiqua" w:eastAsia="Book Antiqua" w:hAnsi="Book Antiqua" w:cs="Book Antiqua"/>
          <w:i/>
          <w:sz w:val="22"/>
          <w:szCs w:val="22"/>
        </w:rPr>
        <w:t>Derechos Colectivos y del Ambiente</w:t>
      </w:r>
      <w:r>
        <w:rPr>
          <w:rFonts w:ascii="Book Antiqua" w:eastAsia="Book Antiqua" w:hAnsi="Book Antiqua" w:cs="Book Antiqua"/>
          <w:color w:val="000000"/>
          <w:sz w:val="22"/>
          <w:szCs w:val="22"/>
        </w:rPr>
        <w:t xml:space="preserve">, el constituyente consagró como derecho el goce de un ambiente sano </w:t>
      </w:r>
      <w:r>
        <w:rPr>
          <w:rFonts w:ascii="Book Antiqua" w:eastAsia="Book Antiqua" w:hAnsi="Book Antiqua" w:cs="Book Antiqua"/>
          <w:sz w:val="22"/>
          <w:szCs w:val="22"/>
        </w:rPr>
        <w:t>y,</w:t>
      </w:r>
      <w:r>
        <w:rPr>
          <w:rFonts w:ascii="Book Antiqua" w:eastAsia="Book Antiqua" w:hAnsi="Book Antiqua" w:cs="Book Antiqua"/>
          <w:color w:val="000000"/>
          <w:sz w:val="22"/>
          <w:szCs w:val="22"/>
        </w:rPr>
        <w:t xml:space="preserve"> estableció a nivel constitucional el deber del Estado de proteg</w:t>
      </w:r>
      <w:r>
        <w:rPr>
          <w:rFonts w:ascii="Book Antiqua" w:eastAsia="Book Antiqua" w:hAnsi="Book Antiqua" w:cs="Book Antiqua"/>
          <w:color w:val="000000"/>
          <w:sz w:val="22"/>
          <w:szCs w:val="22"/>
        </w:rPr>
        <w:t>er la diversidad e integridad del ambiente, así como</w:t>
      </w:r>
      <w:r>
        <w:rPr>
          <w:rFonts w:ascii="Book Antiqua" w:eastAsia="Book Antiqua" w:hAnsi="Book Antiqua" w:cs="Book Antiqua"/>
          <w:sz w:val="22"/>
          <w:szCs w:val="22"/>
        </w:rPr>
        <w:t xml:space="preserve">, </w:t>
      </w:r>
      <w:r>
        <w:rPr>
          <w:rFonts w:ascii="Book Antiqua" w:eastAsia="Book Antiqua" w:hAnsi="Book Antiqua" w:cs="Book Antiqua"/>
          <w:i/>
          <w:sz w:val="22"/>
          <w:szCs w:val="22"/>
        </w:rPr>
        <w:t>"conservar</w:t>
      </w:r>
      <w:r>
        <w:rPr>
          <w:rFonts w:ascii="Book Antiqua" w:eastAsia="Book Antiqua" w:hAnsi="Book Antiqua" w:cs="Book Antiqua"/>
          <w:i/>
          <w:color w:val="000000"/>
          <w:sz w:val="22"/>
          <w:szCs w:val="22"/>
        </w:rPr>
        <w:t xml:space="preserve"> las áreas de especial importancia ecológica</w:t>
      </w:r>
      <w:r>
        <w:rPr>
          <w:rFonts w:ascii="Book Antiqua" w:eastAsia="Book Antiqua" w:hAnsi="Book Antiqua" w:cs="Book Antiqua"/>
          <w:i/>
          <w:sz w:val="22"/>
          <w:szCs w:val="22"/>
        </w:rPr>
        <w:t xml:space="preserve"> y fomentar la educación para el logro de estos fines"</w:t>
      </w:r>
      <w:r>
        <w:rPr>
          <w:rFonts w:ascii="Book Antiqua" w:eastAsia="Book Antiqua" w:hAnsi="Book Antiqua" w:cs="Book Antiqua"/>
          <w:sz w:val="22"/>
          <w:szCs w:val="22"/>
        </w:rPr>
        <w:t xml:space="preserve"> (artículo 79).</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Por último, mediante el artículo 337 la Constitución previó la posibilidad de que el legislador establezca regímenes y normas especiales para promover el desarrollo en las zonas de frontera.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2"/>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Tratados y </w:t>
      </w:r>
      <w:r>
        <w:rPr>
          <w:rFonts w:ascii="Book Antiqua" w:eastAsia="Book Antiqua" w:hAnsi="Book Antiqua" w:cs="Book Antiqua"/>
          <w:b/>
          <w:sz w:val="22"/>
          <w:szCs w:val="22"/>
        </w:rPr>
        <w:t>C</w:t>
      </w:r>
      <w:r>
        <w:rPr>
          <w:rFonts w:ascii="Book Antiqua" w:eastAsia="Book Antiqua" w:hAnsi="Book Antiqua" w:cs="Book Antiqua"/>
          <w:b/>
          <w:color w:val="000000"/>
          <w:sz w:val="22"/>
          <w:szCs w:val="22"/>
        </w:rPr>
        <w:t xml:space="preserve">onvenciones </w:t>
      </w:r>
      <w:r>
        <w:rPr>
          <w:rFonts w:ascii="Book Antiqua" w:eastAsia="Book Antiqua" w:hAnsi="Book Antiqua" w:cs="Book Antiqua"/>
          <w:b/>
          <w:sz w:val="22"/>
          <w:szCs w:val="22"/>
        </w:rPr>
        <w:t>I</w:t>
      </w:r>
      <w:r>
        <w:rPr>
          <w:rFonts w:ascii="Book Antiqua" w:eastAsia="Book Antiqua" w:hAnsi="Book Antiqua" w:cs="Book Antiqua"/>
          <w:b/>
          <w:color w:val="000000"/>
          <w:sz w:val="22"/>
          <w:szCs w:val="22"/>
        </w:rPr>
        <w:t xml:space="preserve">nternacionales sobre la protección al </w:t>
      </w:r>
      <w:r>
        <w:rPr>
          <w:rFonts w:ascii="Book Antiqua" w:eastAsia="Book Antiqua" w:hAnsi="Book Antiqua" w:cs="Book Antiqua"/>
          <w:b/>
          <w:color w:val="000000"/>
          <w:sz w:val="22"/>
          <w:szCs w:val="22"/>
        </w:rPr>
        <w:t>medio ambiente</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Para el análisis del proyecto de Acto Legislativo debe tenerse en consideración los convenios ratificados por el Estado Colombiano, por los cuales se establecen obligaciones para la preservación del medio ambiente y la Amazonía</w:t>
      </w:r>
      <w:r>
        <w:rPr>
          <w:rFonts w:ascii="Book Antiqua" w:eastAsia="Book Antiqua" w:hAnsi="Book Antiqua" w:cs="Book Antiqua"/>
          <w:sz w:val="22"/>
          <w:szCs w:val="22"/>
        </w:rPr>
        <w:t>, tales como</w:t>
      </w:r>
      <w:r>
        <w:rPr>
          <w:rFonts w:ascii="Book Antiqua" w:eastAsia="Book Antiqua" w:hAnsi="Book Antiqua" w:cs="Book Antiqua"/>
          <w:color w:val="000000"/>
          <w:sz w:val="22"/>
          <w:szCs w:val="22"/>
        </w:rPr>
        <w:t>:</w:t>
      </w: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4"/>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Tratado de Cooperación Amazónica – TCA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lastRenderedPageBreak/>
        <w:t>Suscrito el 3 de julio de 1978 y ratificado por los ocho países que comparten la Amazonía: Bolivia, Brasil, Colombia, Ecuador, Guyana, Perú, Surinam y Venezuela; reconoce la naturaleza transfronteriza de la Amazonía. Fue aprobado en Colombia mediante la Le</w:t>
      </w:r>
      <w:r>
        <w:rPr>
          <w:rFonts w:ascii="Book Antiqua" w:eastAsia="Book Antiqua" w:hAnsi="Book Antiqua" w:cs="Book Antiqua"/>
          <w:color w:val="000000"/>
          <w:sz w:val="22"/>
          <w:szCs w:val="22"/>
        </w:rPr>
        <w:t>y 74 de 1979, ratificada el 2 de agosto de 1980</w:t>
      </w:r>
      <w:r>
        <w:rPr>
          <w:rFonts w:ascii="Book Antiqua" w:eastAsia="Book Antiqua" w:hAnsi="Book Antiqua" w:cs="Book Antiqua"/>
          <w:color w:val="000000"/>
          <w:sz w:val="22"/>
          <w:szCs w:val="22"/>
          <w:vertAlign w:val="superscript"/>
        </w:rPr>
        <w:t>1</w:t>
      </w:r>
      <w:r>
        <w:rPr>
          <w:rFonts w:ascii="Book Antiqua" w:eastAsia="Book Antiqua" w:hAnsi="Book Antiqua" w:cs="Book Antiqua"/>
          <w:color w:val="000000"/>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Convenio de Diversidad Biológica</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sz w:val="22"/>
          <w:szCs w:val="22"/>
        </w:rPr>
        <w:t>Suscrito</w:t>
      </w:r>
      <w:r>
        <w:rPr>
          <w:rFonts w:ascii="Book Antiqua" w:eastAsia="Book Antiqua" w:hAnsi="Book Antiqua" w:cs="Book Antiqua"/>
          <w:color w:val="000000"/>
          <w:sz w:val="22"/>
          <w:szCs w:val="22"/>
        </w:rPr>
        <w:t xml:space="preserve"> el 5 de junio de 1992 en Río de Janeiro</w:t>
      </w:r>
      <w:r>
        <w:rPr>
          <w:rFonts w:ascii="Book Antiqua" w:eastAsia="Book Antiqua" w:hAnsi="Book Antiqua" w:cs="Book Antiqua"/>
          <w:sz w:val="22"/>
          <w:szCs w:val="22"/>
        </w:rPr>
        <w:t xml:space="preserve"> (Brasil</w:t>
      </w:r>
      <w:r>
        <w:rPr>
          <w:rFonts w:ascii="Book Antiqua" w:eastAsia="Book Antiqua" w:hAnsi="Book Antiqua" w:cs="Book Antiqua"/>
          <w:color w:val="000000"/>
          <w:sz w:val="22"/>
          <w:szCs w:val="22"/>
        </w:rPr>
        <w:t xml:space="preserve">); este </w:t>
      </w:r>
      <w:r>
        <w:rPr>
          <w:rFonts w:ascii="Book Antiqua" w:eastAsia="Book Antiqua" w:hAnsi="Book Antiqua" w:cs="Book Antiqua"/>
          <w:sz w:val="22"/>
          <w:szCs w:val="22"/>
        </w:rPr>
        <w:t>T</w:t>
      </w:r>
      <w:r>
        <w:rPr>
          <w:rFonts w:ascii="Book Antiqua" w:eastAsia="Book Antiqua" w:hAnsi="Book Antiqua" w:cs="Book Antiqua"/>
          <w:color w:val="000000"/>
          <w:sz w:val="22"/>
          <w:szCs w:val="22"/>
        </w:rPr>
        <w:t xml:space="preserve">ratado </w:t>
      </w:r>
      <w:r>
        <w:rPr>
          <w:rFonts w:ascii="Book Antiqua" w:eastAsia="Book Antiqua" w:hAnsi="Book Antiqua" w:cs="Book Antiqua"/>
          <w:sz w:val="22"/>
          <w:szCs w:val="22"/>
        </w:rPr>
        <w:t>I</w:t>
      </w:r>
      <w:r>
        <w:rPr>
          <w:rFonts w:ascii="Book Antiqua" w:eastAsia="Book Antiqua" w:hAnsi="Book Antiqua" w:cs="Book Antiqua"/>
          <w:color w:val="000000"/>
          <w:sz w:val="22"/>
          <w:szCs w:val="22"/>
        </w:rPr>
        <w:t>nternacional, jurídicamente vinculante, tiene tres objetivos fundamentales: (1</w:t>
      </w:r>
      <w:r>
        <w:rPr>
          <w:rFonts w:ascii="Book Antiqua" w:eastAsia="Book Antiqua" w:hAnsi="Book Antiqua" w:cs="Book Antiqua"/>
          <w:sz w:val="22"/>
          <w:szCs w:val="22"/>
        </w:rPr>
        <w:t>) la</w:t>
      </w:r>
      <w:r>
        <w:rPr>
          <w:rFonts w:ascii="Book Antiqua" w:eastAsia="Book Antiqua" w:hAnsi="Book Antiqua" w:cs="Book Antiqua"/>
          <w:color w:val="000000"/>
          <w:sz w:val="22"/>
          <w:szCs w:val="22"/>
        </w:rPr>
        <w:t xml:space="preserve"> conservación de</w:t>
      </w:r>
      <w:r>
        <w:rPr>
          <w:rFonts w:ascii="Book Antiqua" w:eastAsia="Book Antiqua" w:hAnsi="Book Antiqua" w:cs="Book Antiqua"/>
          <w:color w:val="000000"/>
          <w:sz w:val="22"/>
          <w:szCs w:val="22"/>
        </w:rPr>
        <w:t xml:space="preserve"> la diversidad biológica</w:t>
      </w:r>
      <w:r>
        <w:rPr>
          <w:rFonts w:ascii="Book Antiqua" w:eastAsia="Book Antiqua" w:hAnsi="Book Antiqua" w:cs="Book Antiqua"/>
          <w:sz w:val="22"/>
          <w:szCs w:val="22"/>
        </w:rPr>
        <w:t>; (2) la</w:t>
      </w:r>
      <w:r>
        <w:rPr>
          <w:rFonts w:ascii="Book Antiqua" w:eastAsia="Book Antiqua" w:hAnsi="Book Antiqua" w:cs="Book Antiqua"/>
          <w:color w:val="000000"/>
          <w:sz w:val="22"/>
          <w:szCs w:val="22"/>
        </w:rPr>
        <w:t xml:space="preserve"> utilización sostenible de sus componentes y, (3) la participación justa y equitativa en los beneficios que se deriven de la utilización de los recursos genéticos</w:t>
      </w:r>
      <w:r>
        <w:rPr>
          <w:rFonts w:ascii="Book Antiqua" w:eastAsia="Book Antiqua" w:hAnsi="Book Antiqua" w:cs="Book Antiqua"/>
          <w:color w:val="000000"/>
          <w:sz w:val="22"/>
          <w:szCs w:val="22"/>
          <w:vertAlign w:val="superscript"/>
        </w:rPr>
        <w:t>2</w:t>
      </w:r>
      <w:r>
        <w:rPr>
          <w:rFonts w:ascii="Book Antiqua" w:eastAsia="Book Antiqua" w:hAnsi="Book Antiqua" w:cs="Book Antiqua"/>
          <w:color w:val="000000"/>
          <w:sz w:val="22"/>
          <w:szCs w:val="22"/>
        </w:rPr>
        <w:t>.  El marco de acción de este convenio es el enfoque por ecos</w:t>
      </w:r>
      <w:r>
        <w:rPr>
          <w:rFonts w:ascii="Book Antiqua" w:eastAsia="Book Antiqua" w:hAnsi="Book Antiqua" w:cs="Book Antiqua"/>
          <w:color w:val="000000"/>
          <w:sz w:val="22"/>
          <w:szCs w:val="22"/>
        </w:rPr>
        <w:t>istemas y es considerado como el principal instrumento internacional para el desarrollo sostenible</w:t>
      </w:r>
      <w:r>
        <w:rPr>
          <w:rFonts w:ascii="Book Antiqua" w:eastAsia="Book Antiqua" w:hAnsi="Book Antiqua" w:cs="Book Antiqua"/>
          <w:color w:val="000000"/>
          <w:sz w:val="22"/>
          <w:szCs w:val="22"/>
          <w:vertAlign w:val="superscript"/>
        </w:rPr>
        <w:t>3</w:t>
      </w:r>
      <w:r>
        <w:rPr>
          <w:rFonts w:ascii="Book Antiqua" w:eastAsia="Book Antiqua" w:hAnsi="Book Antiqua" w:cs="Book Antiqua"/>
          <w:color w:val="000000"/>
          <w:sz w:val="22"/>
          <w:szCs w:val="22"/>
        </w:rPr>
        <w:t xml:space="preserve">. Fue ratificado por el Estado Colombiano mediante la Ley 165 de 1994.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Convención de las Naciones Unidas de Lucha Contra la Desertificación y la Sequía - U</w:t>
      </w:r>
      <w:r>
        <w:rPr>
          <w:rFonts w:ascii="Book Antiqua" w:eastAsia="Book Antiqua" w:hAnsi="Book Antiqua" w:cs="Book Antiqua"/>
          <w:b/>
          <w:color w:val="000000"/>
          <w:sz w:val="22"/>
          <w:szCs w:val="22"/>
        </w:rPr>
        <w:t xml:space="preserve">NCCD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Aprobada en París (Francia), el 17 de junio de 1994 y ratificada en Colombia mediante la Ley 461 de agosto de 1998</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tiene como objetivo preparar y ejecutar programas de acción destinados a prevenir la degradación de las tierras, luchar contra la de</w:t>
      </w:r>
      <w:r>
        <w:rPr>
          <w:rFonts w:ascii="Book Antiqua" w:eastAsia="Book Antiqua" w:hAnsi="Book Antiqua" w:cs="Book Antiqua"/>
          <w:color w:val="000000"/>
          <w:sz w:val="22"/>
          <w:szCs w:val="22"/>
        </w:rPr>
        <w:t>sertificación y mitigar los efectos de la sequía</w:t>
      </w:r>
      <w:r>
        <w:rPr>
          <w:rFonts w:ascii="Book Antiqua" w:eastAsia="Book Antiqua" w:hAnsi="Book Antiqua" w:cs="Book Antiqua"/>
          <w:color w:val="000000"/>
          <w:sz w:val="22"/>
          <w:szCs w:val="22"/>
          <w:vertAlign w:val="superscript"/>
        </w:rPr>
        <w:t>4</w:t>
      </w:r>
      <w:r>
        <w:rPr>
          <w:rFonts w:ascii="Book Antiqua" w:eastAsia="Book Antiqua" w:hAnsi="Book Antiqua" w:cs="Book Antiqua"/>
          <w:color w:val="000000"/>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Unión Internacional para la Protección de las Obtenciones Vegetales - UPOV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Organización </w:t>
      </w:r>
      <w:r>
        <w:rPr>
          <w:rFonts w:ascii="Book Antiqua" w:eastAsia="Book Antiqua" w:hAnsi="Book Antiqua" w:cs="Book Antiqua"/>
          <w:sz w:val="22"/>
          <w:szCs w:val="22"/>
        </w:rPr>
        <w:t>I</w:t>
      </w:r>
      <w:r>
        <w:rPr>
          <w:rFonts w:ascii="Book Antiqua" w:eastAsia="Book Antiqua" w:hAnsi="Book Antiqua" w:cs="Book Antiqua"/>
          <w:color w:val="000000"/>
          <w:sz w:val="22"/>
          <w:szCs w:val="22"/>
        </w:rPr>
        <w:t>ntergubernamental con sede en Ginebra (Suiza), constituida en diciembre de 1961; a través del Convenio Internacional para la Protección de las Obtenciones Vegetales “Convenio de la UPOV”, cuya misión es proporcionar y fomentar un sistema eficaz para la pro</w:t>
      </w:r>
      <w:r>
        <w:rPr>
          <w:rFonts w:ascii="Book Antiqua" w:eastAsia="Book Antiqua" w:hAnsi="Book Antiqua" w:cs="Book Antiqua"/>
          <w:color w:val="000000"/>
          <w:sz w:val="22"/>
          <w:szCs w:val="22"/>
        </w:rPr>
        <w:t>tección de las variedades vegetales con miras al desarrollo de obtenciones vegetales en beneficio de la sociedad</w:t>
      </w:r>
      <w:r>
        <w:rPr>
          <w:rFonts w:ascii="Book Antiqua" w:eastAsia="Book Antiqua" w:hAnsi="Book Antiqua" w:cs="Book Antiqua"/>
          <w:color w:val="000000"/>
          <w:sz w:val="22"/>
          <w:szCs w:val="22"/>
          <w:vertAlign w:val="superscript"/>
        </w:rPr>
        <w:t>5</w:t>
      </w:r>
      <w:r>
        <w:rPr>
          <w:rFonts w:ascii="Book Antiqua" w:eastAsia="Book Antiqua" w:hAnsi="Book Antiqua" w:cs="Book Antiqua"/>
          <w:color w:val="000000"/>
          <w:sz w:val="22"/>
          <w:szCs w:val="22"/>
        </w:rPr>
        <w:t>. Fue suscrito por Colombia y aprobado por el Congreso de la República mediante la Ley 243 de</w:t>
      </w:r>
      <w:r>
        <w:rPr>
          <w:rFonts w:ascii="Book Antiqua" w:eastAsia="Book Antiqua" w:hAnsi="Book Antiqua" w:cs="Book Antiqua"/>
          <w:sz w:val="22"/>
          <w:szCs w:val="22"/>
        </w:rPr>
        <w:t xml:space="preserve"> diciembre</w:t>
      </w:r>
      <w:r>
        <w:rPr>
          <w:rFonts w:ascii="Book Antiqua" w:eastAsia="Book Antiqua" w:hAnsi="Book Antiqua" w:cs="Book Antiqua"/>
          <w:color w:val="000000"/>
          <w:sz w:val="22"/>
          <w:szCs w:val="22"/>
        </w:rPr>
        <w:t xml:space="preserve"> de 1995.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Convenio de Viena para la Protección de la Capa de Ozono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Primera iniciativa global para reparar el daño causado a la capa de ozono</w:t>
      </w:r>
      <w:r>
        <w:rPr>
          <w:rFonts w:ascii="Book Antiqua" w:eastAsia="Book Antiqua" w:hAnsi="Book Antiqua" w:cs="Book Antiqua"/>
          <w:color w:val="000000"/>
          <w:sz w:val="22"/>
          <w:szCs w:val="22"/>
          <w:vertAlign w:val="superscript"/>
        </w:rPr>
        <w:t>6</w:t>
      </w:r>
      <w:r>
        <w:rPr>
          <w:rFonts w:ascii="Book Antiqua" w:eastAsia="Book Antiqua" w:hAnsi="Book Antiqua" w:cs="Book Antiqua"/>
          <w:sz w:val="22"/>
          <w:szCs w:val="22"/>
        </w:rPr>
        <w:t>. Fue</w:t>
      </w:r>
      <w:r>
        <w:rPr>
          <w:rFonts w:ascii="Book Antiqua" w:eastAsia="Book Antiqua" w:hAnsi="Book Antiqua" w:cs="Book Antiqua"/>
          <w:color w:val="000000"/>
          <w:sz w:val="22"/>
          <w:szCs w:val="22"/>
        </w:rPr>
        <w:t xml:space="preserve"> adoptado el 22 de marzo de 1985 y ratificado por Colombia mediante la Ley 30 de 1990. De conformidad con lo previsto</w:t>
      </w:r>
      <w:r>
        <w:rPr>
          <w:rFonts w:ascii="Book Antiqua" w:eastAsia="Book Antiqua" w:hAnsi="Book Antiqua" w:cs="Book Antiqua"/>
          <w:color w:val="000000"/>
          <w:sz w:val="22"/>
          <w:szCs w:val="22"/>
        </w:rPr>
        <w:t xml:space="preserve"> en este Convenio, los Estados Partes se obligan, en la medida de sus posibilidades, a cooperar en la investigación e intercambiar información para mejorar la comprensión de los efectos de las actividades humanas sobre la capa de ozono y de los efectos de </w:t>
      </w:r>
      <w:r>
        <w:rPr>
          <w:rFonts w:ascii="Book Antiqua" w:eastAsia="Book Antiqua" w:hAnsi="Book Antiqua" w:cs="Book Antiqua"/>
          <w:color w:val="000000"/>
          <w:sz w:val="22"/>
          <w:szCs w:val="22"/>
        </w:rPr>
        <w:t xml:space="preserve">la modificación de ésta sobre la salud humana y el medio ambiente. Igualmente, </w:t>
      </w:r>
      <w:r>
        <w:rPr>
          <w:rFonts w:ascii="Book Antiqua" w:eastAsia="Book Antiqua" w:hAnsi="Book Antiqua" w:cs="Book Antiqua"/>
          <w:color w:val="000000"/>
          <w:sz w:val="22"/>
          <w:szCs w:val="22"/>
        </w:rPr>
        <w:lastRenderedPageBreak/>
        <w:t>se comprometieron a adoptar medidas para controlar, limitar, reducir o prevenir las actividades humanas, cuando se compruebe que tienen o pueden tener efectos adversos como resu</w:t>
      </w:r>
      <w:r>
        <w:rPr>
          <w:rFonts w:ascii="Book Antiqua" w:eastAsia="Book Antiqua" w:hAnsi="Book Antiqua" w:cs="Book Antiqua"/>
          <w:color w:val="000000"/>
          <w:sz w:val="22"/>
          <w:szCs w:val="22"/>
        </w:rPr>
        <w:t>ltado de la modificación de la capa de ozono</w:t>
      </w:r>
      <w:r>
        <w:rPr>
          <w:rFonts w:ascii="Book Antiqua" w:eastAsia="Book Antiqua" w:hAnsi="Book Antiqua" w:cs="Book Antiqua"/>
          <w:color w:val="000000"/>
          <w:sz w:val="22"/>
          <w:szCs w:val="22"/>
          <w:vertAlign w:val="superscript"/>
        </w:rPr>
        <w:t>7</w:t>
      </w:r>
      <w:r>
        <w:rPr>
          <w:rFonts w:ascii="Book Antiqua" w:eastAsia="Book Antiqua" w:hAnsi="Book Antiqua" w:cs="Book Antiqua"/>
          <w:color w:val="000000"/>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Convenio Marco Cambio Climático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Resultado de la Convención Marco de las Naciones Unidas sobre el Cambio Climático (CMNUCC)</w:t>
      </w:r>
      <w:r>
        <w:rPr>
          <w:rFonts w:ascii="Book Antiqua" w:eastAsia="Book Antiqua" w:hAnsi="Book Antiqua" w:cs="Book Antiqua"/>
          <w:sz w:val="22"/>
          <w:szCs w:val="22"/>
        </w:rPr>
        <w:t>. Mediante</w:t>
      </w:r>
      <w:r>
        <w:rPr>
          <w:rFonts w:ascii="Book Antiqua" w:eastAsia="Book Antiqua" w:hAnsi="Book Antiqua" w:cs="Book Antiqua"/>
          <w:color w:val="000000"/>
          <w:sz w:val="22"/>
          <w:szCs w:val="22"/>
        </w:rPr>
        <w:t xml:space="preserve"> este instrumento se reconoció que el problema del cambio climático es re</w:t>
      </w:r>
      <w:r>
        <w:rPr>
          <w:rFonts w:ascii="Book Antiqua" w:eastAsia="Book Antiqua" w:hAnsi="Book Antiqua" w:cs="Book Antiqua"/>
          <w:color w:val="000000"/>
          <w:sz w:val="22"/>
          <w:szCs w:val="22"/>
        </w:rPr>
        <w:t>al</w:t>
      </w:r>
      <w:r>
        <w:rPr>
          <w:rFonts w:ascii="Book Antiqua" w:eastAsia="Book Antiqua" w:hAnsi="Book Antiqua" w:cs="Book Antiqua"/>
          <w:color w:val="000000"/>
          <w:sz w:val="22"/>
          <w:szCs w:val="22"/>
          <w:vertAlign w:val="superscript"/>
        </w:rPr>
        <w:t>8</w:t>
      </w:r>
      <w:r>
        <w:rPr>
          <w:rFonts w:ascii="Book Antiqua" w:eastAsia="Book Antiqua" w:hAnsi="Book Antiqua" w:cs="Book Antiqua"/>
          <w:sz w:val="22"/>
          <w:szCs w:val="22"/>
        </w:rPr>
        <w:t>. Establece</w:t>
      </w:r>
      <w:r>
        <w:rPr>
          <w:rFonts w:ascii="Book Antiqua" w:eastAsia="Book Antiqua" w:hAnsi="Book Antiqua" w:cs="Book Antiqua"/>
          <w:color w:val="000000"/>
          <w:sz w:val="22"/>
          <w:szCs w:val="22"/>
        </w:rPr>
        <w:t xml:space="preserve"> un marco general para los esfuerzos intergubernamentales para hacer frente a los desafíos provocados por el cambio climático</w:t>
      </w:r>
      <w:r>
        <w:rPr>
          <w:rFonts w:ascii="Book Antiqua" w:eastAsia="Book Antiqua" w:hAnsi="Book Antiqua" w:cs="Book Antiqua"/>
          <w:color w:val="000000"/>
          <w:sz w:val="22"/>
          <w:szCs w:val="22"/>
          <w:vertAlign w:val="superscript"/>
        </w:rPr>
        <w:t>9</w:t>
      </w:r>
      <w:r>
        <w:rPr>
          <w:rFonts w:ascii="Book Antiqua" w:eastAsia="Book Antiqua" w:hAnsi="Book Antiqua" w:cs="Book Antiqua"/>
          <w:color w:val="000000"/>
          <w:sz w:val="22"/>
          <w:szCs w:val="22"/>
        </w:rPr>
        <w:t>. Suscrito el 9 de mayo de 1992, fue aprobado en Colombia</w:t>
      </w:r>
      <w:r>
        <w:rPr>
          <w:rFonts w:ascii="Book Antiqua" w:eastAsia="Book Antiqua" w:hAnsi="Book Antiqua" w:cs="Book Antiqua"/>
          <w:sz w:val="22"/>
          <w:szCs w:val="22"/>
        </w:rPr>
        <w:t>, mediante</w:t>
      </w:r>
      <w:r>
        <w:rPr>
          <w:rFonts w:ascii="Book Antiqua" w:eastAsia="Book Antiqua" w:hAnsi="Book Antiqua" w:cs="Book Antiqua"/>
          <w:color w:val="000000"/>
          <w:sz w:val="22"/>
          <w:szCs w:val="22"/>
        </w:rPr>
        <w:t xml:space="preserve"> la Ley 164 de 1995.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Protocolo de Kioto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Rat</w:t>
      </w:r>
      <w:r>
        <w:rPr>
          <w:rFonts w:ascii="Book Antiqua" w:eastAsia="Book Antiqua" w:hAnsi="Book Antiqua" w:cs="Book Antiqua"/>
          <w:color w:val="000000"/>
          <w:sz w:val="22"/>
          <w:szCs w:val="22"/>
        </w:rPr>
        <w:t>ificado por el Congreso de la República de Colombia mediante la Ley 629 del 27 de diciembre de 2000. Estableció metas vinculantes de reducción de las emisiones para 37 países industrializados y la Unión Europea, reconociéndolos como los principales respons</w:t>
      </w:r>
      <w:r>
        <w:rPr>
          <w:rFonts w:ascii="Book Antiqua" w:eastAsia="Book Antiqua" w:hAnsi="Book Antiqua" w:cs="Book Antiqua"/>
          <w:color w:val="000000"/>
          <w:sz w:val="22"/>
          <w:szCs w:val="22"/>
        </w:rPr>
        <w:t>ables de los elevados niveles de emisiones de Gases Efecto Invernadero –GEI- y</w:t>
      </w:r>
      <w:r>
        <w:rPr>
          <w:rFonts w:ascii="Book Antiqua" w:eastAsia="Book Antiqua" w:hAnsi="Book Antiqua" w:cs="Book Antiqua"/>
          <w:sz w:val="22"/>
          <w:szCs w:val="22"/>
        </w:rPr>
        <w:t>, tiene</w:t>
      </w:r>
      <w:r>
        <w:rPr>
          <w:rFonts w:ascii="Book Antiqua" w:eastAsia="Book Antiqua" w:hAnsi="Book Antiqua" w:cs="Book Antiqua"/>
          <w:color w:val="000000"/>
          <w:sz w:val="22"/>
          <w:szCs w:val="22"/>
        </w:rPr>
        <w:t xml:space="preserve"> como principio central el de la “</w:t>
      </w:r>
      <w:r>
        <w:rPr>
          <w:rFonts w:ascii="Book Antiqua" w:eastAsia="Book Antiqua" w:hAnsi="Book Antiqua" w:cs="Book Antiqua"/>
          <w:i/>
          <w:color w:val="000000"/>
          <w:sz w:val="22"/>
          <w:szCs w:val="22"/>
        </w:rPr>
        <w:t>responsabilidad común pero diferenciada</w:t>
      </w:r>
      <w:r>
        <w:rPr>
          <w:rFonts w:ascii="Book Antiqua" w:eastAsia="Book Antiqua" w:hAnsi="Book Antiqua" w:cs="Book Antiqua"/>
          <w:color w:val="000000"/>
          <w:sz w:val="22"/>
          <w:szCs w:val="22"/>
        </w:rPr>
        <w:t>”. Fue considerado como un primer paso importante hacia un régimen verdaderamente mundial de reduc</w:t>
      </w:r>
      <w:r>
        <w:rPr>
          <w:rFonts w:ascii="Book Antiqua" w:eastAsia="Book Antiqua" w:hAnsi="Book Antiqua" w:cs="Book Antiqua"/>
          <w:color w:val="000000"/>
          <w:sz w:val="22"/>
          <w:szCs w:val="22"/>
        </w:rPr>
        <w:t>ción y estabilización de las emisiones de GEI</w:t>
      </w:r>
      <w:r>
        <w:rPr>
          <w:rFonts w:ascii="Book Antiqua" w:eastAsia="Book Antiqua" w:hAnsi="Book Antiqua" w:cs="Book Antiqua"/>
          <w:color w:val="000000"/>
          <w:sz w:val="22"/>
          <w:szCs w:val="22"/>
          <w:vertAlign w:val="superscript"/>
        </w:rPr>
        <w:t>10</w:t>
      </w: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Convenio de Basilea Sobre el Movimiento Transfronterizo de Desechos Peligrosos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Adoptado el 22 de marzo de 1989 por la Conferencia de Plenipotenciarios en Basilea (Suiza), en respuesta a protestas públicas en los años 80, tras el descubrimiento de depósitos de desechos tóxicos en países en vía de desarrollo provenientes del extranjero</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busca proteger la salud de las personas y el medio ambiente frente a los efectos perjudiciales de los desechos peligrosos. Establece la restricción de los movimientos transfronterizos de desechos peligrosos, y la aplicación de un sistema regulatorio para</w:t>
      </w:r>
      <w:r>
        <w:rPr>
          <w:rFonts w:ascii="Book Antiqua" w:eastAsia="Book Antiqua" w:hAnsi="Book Antiqua" w:cs="Book Antiqua"/>
          <w:color w:val="000000"/>
          <w:sz w:val="22"/>
          <w:szCs w:val="22"/>
        </w:rPr>
        <w:t xml:space="preserve"> los movimientos permisibles de desechos peligrosos</w:t>
      </w:r>
      <w:r>
        <w:rPr>
          <w:rFonts w:ascii="Book Antiqua" w:eastAsia="Book Antiqua" w:hAnsi="Book Antiqua" w:cs="Book Antiqua"/>
          <w:color w:val="000000"/>
          <w:sz w:val="22"/>
          <w:szCs w:val="22"/>
          <w:vertAlign w:val="superscript"/>
        </w:rPr>
        <w:t>11</w:t>
      </w:r>
      <w:r>
        <w:rPr>
          <w:rFonts w:ascii="Book Antiqua" w:eastAsia="Book Antiqua" w:hAnsi="Book Antiqua" w:cs="Book Antiqua"/>
          <w:color w:val="000000"/>
          <w:sz w:val="22"/>
          <w:szCs w:val="22"/>
        </w:rPr>
        <w:t xml:space="preserve">. El Congreso Colombiano aprobó la firma de este Convenio mediante la Ley 253 de 1996.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Acuerdo de París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Adoptado en 2015, es un acuerdo universal y vinculante que busca mejorar la aplicación de la </w:t>
      </w:r>
      <w:r>
        <w:rPr>
          <w:rFonts w:ascii="Book Antiqua" w:eastAsia="Book Antiqua" w:hAnsi="Book Antiqua" w:cs="Book Antiqua"/>
          <w:color w:val="000000"/>
          <w:sz w:val="22"/>
          <w:szCs w:val="22"/>
        </w:rPr>
        <w:t>Convención Marco de las Naciones Unidas sobre el Cambio Climático</w:t>
      </w:r>
      <w:r>
        <w:rPr>
          <w:rFonts w:ascii="Book Antiqua" w:eastAsia="Book Antiqua" w:hAnsi="Book Antiqua" w:cs="Book Antiqua"/>
          <w:sz w:val="22"/>
          <w:szCs w:val="22"/>
        </w:rPr>
        <w:t>, con</w:t>
      </w:r>
      <w:r>
        <w:rPr>
          <w:rFonts w:ascii="Book Antiqua" w:eastAsia="Book Antiqua" w:hAnsi="Book Antiqua" w:cs="Book Antiqua"/>
          <w:color w:val="000000"/>
          <w:sz w:val="22"/>
          <w:szCs w:val="22"/>
        </w:rPr>
        <w:t xml:space="preserve"> el objetivo de reforzar la respuesta mundial a la amenaza del cambio climático, en el contexto del </w:t>
      </w:r>
      <w:r>
        <w:rPr>
          <w:rFonts w:ascii="Book Antiqua" w:eastAsia="Book Antiqua" w:hAnsi="Book Antiqua" w:cs="Book Antiqua"/>
          <w:color w:val="000000"/>
          <w:sz w:val="22"/>
          <w:szCs w:val="22"/>
        </w:rPr>
        <w:lastRenderedPageBreak/>
        <w:t>desarrollo sostenible y de los esfuerzos por erradicar la pobreza</w:t>
      </w:r>
      <w:r>
        <w:rPr>
          <w:rFonts w:ascii="Book Antiqua" w:eastAsia="Book Antiqua" w:hAnsi="Book Antiqua" w:cs="Book Antiqua"/>
          <w:color w:val="000000"/>
          <w:sz w:val="22"/>
          <w:szCs w:val="22"/>
          <w:vertAlign w:val="superscript"/>
        </w:rPr>
        <w:t>12</w:t>
      </w:r>
      <w:r>
        <w:rPr>
          <w:rFonts w:ascii="Book Antiqua" w:eastAsia="Book Antiqua" w:hAnsi="Book Antiqua" w:cs="Book Antiqua"/>
          <w:color w:val="000000"/>
          <w:sz w:val="22"/>
          <w:szCs w:val="22"/>
        </w:rPr>
        <w:t>. Fue ratificado po</w:t>
      </w:r>
      <w:r>
        <w:rPr>
          <w:rFonts w:ascii="Book Antiqua" w:eastAsia="Book Antiqua" w:hAnsi="Book Antiqua" w:cs="Book Antiqua"/>
          <w:color w:val="000000"/>
          <w:sz w:val="22"/>
          <w:szCs w:val="22"/>
        </w:rPr>
        <w:t xml:space="preserve">r el Estado Colombiano mediante la Ley 1844 del 14 de julio de 2017.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1"/>
        </w:numPr>
        <w:pBdr>
          <w:top w:val="nil"/>
          <w:left w:val="nil"/>
          <w:bottom w:val="nil"/>
          <w:right w:val="nil"/>
          <w:between w:val="nil"/>
        </w:pBdr>
        <w:tabs>
          <w:tab w:val="center" w:pos="512"/>
          <w:tab w:val="center" w:pos="5029"/>
        </w:tabs>
        <w:spacing w:after="250"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Tratados y convenciones internacionales sobre la protección de los pueblos indígenas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Por último, en relación con el marco normativo a considerar para efectos de este proyecto de Acto L</w:t>
      </w:r>
      <w:r>
        <w:rPr>
          <w:rFonts w:ascii="Book Antiqua" w:eastAsia="Book Antiqua" w:hAnsi="Book Antiqua" w:cs="Book Antiqua"/>
          <w:color w:val="000000"/>
          <w:sz w:val="22"/>
          <w:szCs w:val="22"/>
        </w:rPr>
        <w:t>egislativo, se llama la atención sobre los siguientes convenios y tratados internacionales suscritos y ratificados por el Estado Colombiano que le imponen obligaciones de protección de los pueblos indígenas y comunidades ancestrales</w:t>
      </w:r>
      <w:r>
        <w:rPr>
          <w:rFonts w:ascii="Book Antiqua" w:eastAsia="Book Antiqua" w:hAnsi="Book Antiqua" w:cs="Book Antiqua"/>
          <w:color w:val="000000"/>
          <w:sz w:val="22"/>
          <w:szCs w:val="22"/>
          <w:vertAlign w:val="superscript"/>
        </w:rPr>
        <w:t>13</w:t>
      </w:r>
      <w:r>
        <w:rPr>
          <w:rFonts w:ascii="Book Antiqua" w:eastAsia="Book Antiqua" w:hAnsi="Book Antiqua" w:cs="Book Antiqua"/>
          <w:color w:val="000000"/>
          <w:sz w:val="22"/>
          <w:szCs w:val="22"/>
        </w:rPr>
        <w:t xml:space="preserve">: </w:t>
      </w:r>
    </w:p>
    <w:p w:rsidR="00F14C90" w:rsidRDefault="007869F2">
      <w:pPr>
        <w:spacing w:after="47" w:line="276" w:lineRule="auto"/>
        <w:ind w:left="425"/>
        <w:jc w:val="both"/>
        <w:rPr>
          <w:rFonts w:ascii="Book Antiqua" w:eastAsia="Book Antiqua" w:hAnsi="Book Antiqua" w:cs="Book Antiqua"/>
          <w:sz w:val="22"/>
          <w:szCs w:val="22"/>
        </w:rPr>
      </w:pPr>
      <w:r>
        <w:rPr>
          <w:rFonts w:ascii="Book Antiqua" w:eastAsia="Book Antiqua" w:hAnsi="Book Antiqua" w:cs="Book Antiqua"/>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Convenio 107 de la OIT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Convenio sobre poblaciones indígenas y tribunales, ratificado por Colombia mediante la Ley 31 de 1967</w:t>
      </w:r>
      <w:r>
        <w:rPr>
          <w:rFonts w:ascii="Book Antiqua" w:eastAsia="Book Antiqua" w:hAnsi="Book Antiqua" w:cs="Book Antiqua"/>
          <w:sz w:val="22"/>
          <w:szCs w:val="22"/>
        </w:rPr>
        <w:t>; establecen</w:t>
      </w:r>
      <w:r>
        <w:rPr>
          <w:rFonts w:ascii="Book Antiqua" w:eastAsia="Book Antiqua" w:hAnsi="Book Antiqua" w:cs="Book Antiqua"/>
          <w:color w:val="000000"/>
          <w:sz w:val="22"/>
          <w:szCs w:val="22"/>
        </w:rPr>
        <w:t xml:space="preserve"> normas mínimas relacionadas con los derechos civiles, políticos, sociales y económicos de los pueblos indígenas y tr</w:t>
      </w:r>
      <w:r>
        <w:rPr>
          <w:rFonts w:ascii="Book Antiqua" w:eastAsia="Book Antiqua" w:hAnsi="Book Antiqua" w:cs="Book Antiqua"/>
          <w:color w:val="000000"/>
          <w:sz w:val="22"/>
          <w:szCs w:val="22"/>
        </w:rPr>
        <w:t xml:space="preserve">ibales. </w:t>
      </w:r>
    </w:p>
    <w:p w:rsidR="00F14C90" w:rsidRDefault="007869F2">
      <w:pPr>
        <w:pBdr>
          <w:top w:val="nil"/>
          <w:left w:val="nil"/>
          <w:bottom w:val="nil"/>
          <w:right w:val="nil"/>
          <w:between w:val="nil"/>
        </w:pBdr>
        <w:spacing w:line="276" w:lineRule="auto"/>
        <w:jc w:val="both"/>
        <w:rPr>
          <w:rFonts w:ascii="Book Antiqua" w:eastAsia="Book Antiqua" w:hAnsi="Book Antiqua" w:cs="Book Antiqua"/>
          <w:b/>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Convenio 169 de la OIT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Versión revisada del Convenio 107 de la misma Organización</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tiene como propósito asegurar los derechos de los pueblos indígenas y tribales a su territorio y la protección de sus valores culturales, sociales y económicos</w:t>
      </w:r>
      <w:r>
        <w:rPr>
          <w:rFonts w:ascii="Book Antiqua" w:eastAsia="Book Antiqua" w:hAnsi="Book Antiqua" w:cs="Book Antiqua"/>
          <w:color w:val="000000"/>
          <w:sz w:val="22"/>
          <w:szCs w:val="22"/>
        </w:rPr>
        <w:t xml:space="preserve">. Fue aprobado por el Congreso de la República de Colombia mediante la Ley 21 de 1991.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Convenio Fondo para el Desarrollo de los Pueblos Indígenas </w:t>
      </w:r>
    </w:p>
    <w:p w:rsidR="00F14C90" w:rsidRDefault="007869F2">
      <w:pPr>
        <w:pBdr>
          <w:top w:val="nil"/>
          <w:left w:val="nil"/>
          <w:bottom w:val="nil"/>
          <w:right w:val="nil"/>
          <w:between w:val="nil"/>
        </w:pBdr>
        <w:spacing w:line="276" w:lineRule="auto"/>
        <w:jc w:val="both"/>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Suscrito en Madrid el 24 de julio de 1992 y aprobado en Colombia a través de la Ley 145 de 1994, el Convenio Constitutivo para el Desarrollo de los Pueblos Indígenas de América Latina y el Caribe ha tenido un destacado rol en la promoción del desarrollo co</w:t>
      </w:r>
      <w:r>
        <w:rPr>
          <w:rFonts w:ascii="Book Antiqua" w:eastAsia="Book Antiqua" w:hAnsi="Book Antiqua" w:cs="Book Antiqua"/>
          <w:color w:val="000000"/>
          <w:sz w:val="22"/>
          <w:szCs w:val="22"/>
        </w:rPr>
        <w:t>n identidad y los derechos de los Pueblos Indígenas, y fue declarado “</w:t>
      </w:r>
      <w:r>
        <w:rPr>
          <w:rFonts w:ascii="Book Antiqua" w:eastAsia="Book Antiqua" w:hAnsi="Book Antiqua" w:cs="Book Antiqua"/>
          <w:i/>
          <w:color w:val="000000"/>
          <w:sz w:val="22"/>
          <w:szCs w:val="22"/>
        </w:rPr>
        <w:t>Patrimonio de los Pueblos y los Estados</w:t>
      </w:r>
      <w:r>
        <w:rPr>
          <w:rFonts w:ascii="Book Antiqua" w:eastAsia="Book Antiqua" w:hAnsi="Book Antiqua" w:cs="Book Antiqua"/>
          <w:color w:val="000000"/>
          <w:sz w:val="22"/>
          <w:szCs w:val="22"/>
        </w:rPr>
        <w:t>” por la X Asamblea General del Fondo Indígena, al reconocerlo como un modelo organizativo a ser simulado en los diversos espacios nacionales e int</w:t>
      </w:r>
      <w:r>
        <w:rPr>
          <w:rFonts w:ascii="Book Antiqua" w:eastAsia="Book Antiqua" w:hAnsi="Book Antiqua" w:cs="Book Antiqua"/>
          <w:color w:val="000000"/>
          <w:sz w:val="22"/>
          <w:szCs w:val="22"/>
        </w:rPr>
        <w:t>ernacionales</w:t>
      </w:r>
      <w:r>
        <w:rPr>
          <w:rFonts w:ascii="Book Antiqua" w:eastAsia="Book Antiqua" w:hAnsi="Book Antiqua" w:cs="Book Antiqua"/>
          <w:color w:val="000000"/>
          <w:sz w:val="22"/>
          <w:szCs w:val="22"/>
          <w:vertAlign w:val="superscript"/>
        </w:rPr>
        <w:t>14</w:t>
      </w:r>
      <w:r>
        <w:rPr>
          <w:rFonts w:ascii="Book Antiqua" w:eastAsia="Book Antiqua" w:hAnsi="Book Antiqua" w:cs="Book Antiqua"/>
          <w:color w:val="000000"/>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Pacto Internacional de Derechos Económicos, Sociales y Culturales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Aprobado por la Asamblea General de las Naciones Unidas en votación unánime, en Nueva York, el 16 de diciembre de 1966. Por medio de este pacto el Estado Colombiano se comprometió a asegurar a hombres y mujeres igual título y a gozar de todos los derechos </w:t>
      </w:r>
      <w:r>
        <w:rPr>
          <w:rFonts w:ascii="Book Antiqua" w:eastAsia="Book Antiqua" w:hAnsi="Book Antiqua" w:cs="Book Antiqua"/>
          <w:color w:val="000000"/>
          <w:sz w:val="22"/>
          <w:szCs w:val="22"/>
        </w:rPr>
        <w:t xml:space="preserve">económicos, sociales y culturales, sin discriminación alguna por motivos de raza, color, sexo, idioma, religión, opinión política o de otra índole, origen nacional o social, posición </w:t>
      </w:r>
      <w:r>
        <w:rPr>
          <w:rFonts w:ascii="Book Antiqua" w:eastAsia="Book Antiqua" w:hAnsi="Book Antiqua" w:cs="Book Antiqua"/>
          <w:color w:val="000000"/>
          <w:sz w:val="22"/>
          <w:szCs w:val="22"/>
        </w:rPr>
        <w:lastRenderedPageBreak/>
        <w:t>económica, nacimiento o cualquier otra condición social</w:t>
      </w:r>
      <w:r>
        <w:rPr>
          <w:rFonts w:ascii="Book Antiqua" w:eastAsia="Book Antiqua" w:hAnsi="Book Antiqua" w:cs="Book Antiqua"/>
          <w:color w:val="000000"/>
          <w:sz w:val="22"/>
          <w:szCs w:val="22"/>
          <w:vertAlign w:val="superscript"/>
        </w:rPr>
        <w:t>15</w:t>
      </w:r>
      <w:r>
        <w:rPr>
          <w:rFonts w:ascii="Book Antiqua" w:eastAsia="Book Antiqua" w:hAnsi="Book Antiqua" w:cs="Book Antiqua"/>
          <w:color w:val="000000"/>
          <w:sz w:val="22"/>
          <w:szCs w:val="22"/>
        </w:rPr>
        <w:t>. Fue ratificado</w:t>
      </w:r>
      <w:r>
        <w:rPr>
          <w:rFonts w:ascii="Book Antiqua" w:eastAsia="Book Antiqua" w:hAnsi="Book Antiqua" w:cs="Book Antiqua"/>
          <w:color w:val="000000"/>
          <w:sz w:val="22"/>
          <w:szCs w:val="22"/>
        </w:rPr>
        <w:t xml:space="preserve"> por el Congreso de la República mediante la Ley 74 de 1968.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Pacto Internacional de Derechos Civiles y Políticos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Adoptado por la Asamblea General de las Naciones Unidas el 16 de diciembre de 1966, y ratificado por Colombia en la Ley 74 de 1968. Los E</w:t>
      </w:r>
      <w:r>
        <w:rPr>
          <w:rFonts w:ascii="Book Antiqua" w:eastAsia="Book Antiqua" w:hAnsi="Book Antiqua" w:cs="Book Antiqua"/>
          <w:color w:val="000000"/>
          <w:sz w:val="22"/>
          <w:szCs w:val="22"/>
        </w:rPr>
        <w:t xml:space="preserve">stados parte se comprometieron a promover y respetar el derecho a la autodeterminación. Reconoce igualmente los derechos de los pueblos a disponer, comerciar y poseer libremente sus recursos y riquezas naturales.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numPr>
          <w:ilvl w:val="0"/>
          <w:numId w:val="5"/>
        </w:numPr>
        <w:pBdr>
          <w:top w:val="nil"/>
          <w:left w:val="nil"/>
          <w:bottom w:val="nil"/>
          <w:right w:val="nil"/>
          <w:between w:val="nil"/>
        </w:pBdr>
        <w:spacing w:line="276" w:lineRule="auto"/>
        <w:jc w:val="both"/>
        <w:rPr>
          <w:sz w:val="22"/>
          <w:szCs w:val="22"/>
        </w:rPr>
      </w:pPr>
      <w:r>
        <w:rPr>
          <w:rFonts w:ascii="Book Antiqua" w:eastAsia="Book Antiqua" w:hAnsi="Book Antiqua" w:cs="Book Antiqua"/>
          <w:b/>
          <w:color w:val="000000"/>
          <w:sz w:val="22"/>
          <w:szCs w:val="22"/>
        </w:rPr>
        <w:t xml:space="preserve">Convención Internacional sobre la </w:t>
      </w:r>
      <w:r>
        <w:rPr>
          <w:rFonts w:ascii="Book Antiqua" w:eastAsia="Book Antiqua" w:hAnsi="Book Antiqua" w:cs="Book Antiqua"/>
          <w:b/>
          <w:sz w:val="22"/>
          <w:szCs w:val="22"/>
        </w:rPr>
        <w:t>E</w:t>
      </w:r>
      <w:r>
        <w:rPr>
          <w:rFonts w:ascii="Book Antiqua" w:eastAsia="Book Antiqua" w:hAnsi="Book Antiqua" w:cs="Book Antiqua"/>
          <w:b/>
          <w:color w:val="000000"/>
          <w:sz w:val="22"/>
          <w:szCs w:val="22"/>
        </w:rPr>
        <w:t>limin</w:t>
      </w:r>
      <w:r>
        <w:rPr>
          <w:rFonts w:ascii="Book Antiqua" w:eastAsia="Book Antiqua" w:hAnsi="Book Antiqua" w:cs="Book Antiqua"/>
          <w:b/>
          <w:color w:val="000000"/>
          <w:sz w:val="22"/>
          <w:szCs w:val="22"/>
        </w:rPr>
        <w:t xml:space="preserve">ación de </w:t>
      </w:r>
      <w:r>
        <w:rPr>
          <w:rFonts w:ascii="Book Antiqua" w:eastAsia="Book Antiqua" w:hAnsi="Book Antiqua" w:cs="Book Antiqua"/>
          <w:b/>
          <w:sz w:val="22"/>
          <w:szCs w:val="22"/>
        </w:rPr>
        <w:t>T</w:t>
      </w:r>
      <w:r>
        <w:rPr>
          <w:rFonts w:ascii="Book Antiqua" w:eastAsia="Book Antiqua" w:hAnsi="Book Antiqua" w:cs="Book Antiqua"/>
          <w:b/>
          <w:color w:val="000000"/>
          <w:sz w:val="22"/>
          <w:szCs w:val="22"/>
        </w:rPr>
        <w:t xml:space="preserve">odas las </w:t>
      </w:r>
      <w:r>
        <w:rPr>
          <w:rFonts w:ascii="Book Antiqua" w:eastAsia="Book Antiqua" w:hAnsi="Book Antiqua" w:cs="Book Antiqua"/>
          <w:b/>
          <w:sz w:val="22"/>
          <w:szCs w:val="22"/>
        </w:rPr>
        <w:t>F</w:t>
      </w:r>
      <w:r>
        <w:rPr>
          <w:rFonts w:ascii="Book Antiqua" w:eastAsia="Book Antiqua" w:hAnsi="Book Antiqua" w:cs="Book Antiqua"/>
          <w:b/>
          <w:color w:val="000000"/>
          <w:sz w:val="22"/>
          <w:szCs w:val="22"/>
        </w:rPr>
        <w:t xml:space="preserve">ormas de </w:t>
      </w:r>
      <w:r>
        <w:rPr>
          <w:rFonts w:ascii="Book Antiqua" w:eastAsia="Book Antiqua" w:hAnsi="Book Antiqua" w:cs="Book Antiqua"/>
          <w:b/>
          <w:sz w:val="22"/>
          <w:szCs w:val="22"/>
        </w:rPr>
        <w:t>Di</w:t>
      </w:r>
      <w:r>
        <w:rPr>
          <w:rFonts w:ascii="Book Antiqua" w:eastAsia="Book Antiqua" w:hAnsi="Book Antiqua" w:cs="Book Antiqua"/>
          <w:b/>
          <w:color w:val="000000"/>
          <w:sz w:val="22"/>
          <w:szCs w:val="22"/>
        </w:rPr>
        <w:t xml:space="preserve">scriminación </w:t>
      </w:r>
      <w:r>
        <w:rPr>
          <w:rFonts w:ascii="Book Antiqua" w:eastAsia="Book Antiqua" w:hAnsi="Book Antiqua" w:cs="Book Antiqua"/>
          <w:b/>
          <w:sz w:val="22"/>
          <w:szCs w:val="22"/>
        </w:rPr>
        <w:t>R</w:t>
      </w:r>
      <w:r>
        <w:rPr>
          <w:rFonts w:ascii="Book Antiqua" w:eastAsia="Book Antiqua" w:hAnsi="Book Antiqua" w:cs="Book Antiqua"/>
          <w:b/>
          <w:color w:val="000000"/>
          <w:sz w:val="22"/>
          <w:szCs w:val="22"/>
        </w:rPr>
        <w:t>acial</w:t>
      </w:r>
    </w:p>
    <w:p w:rsidR="00F14C90" w:rsidRDefault="00F14C90">
      <w:pPr>
        <w:pBdr>
          <w:top w:val="nil"/>
          <w:left w:val="nil"/>
          <w:bottom w:val="nil"/>
          <w:right w:val="nil"/>
          <w:between w:val="nil"/>
        </w:pBdr>
        <w:spacing w:line="276" w:lineRule="auto"/>
        <w:jc w:val="both"/>
        <w:rPr>
          <w:rFonts w:ascii="Book Antiqua" w:eastAsia="Book Antiqua" w:hAnsi="Book Antiqua" w:cs="Book Antiqua"/>
          <w:b/>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Aprobada por la Asamblea General de las Naciones Unidas en 1965, su suscripción fue ratificada por Colombia mediante la Ley 22 de 1981. A través de esta Convención, los Estados partes condenaron la segregación racial, incluída la segregación o discriminaci</w:t>
      </w:r>
      <w:r>
        <w:rPr>
          <w:rFonts w:ascii="Book Antiqua" w:eastAsia="Book Antiqua" w:hAnsi="Book Antiqua" w:cs="Book Antiqua"/>
          <w:color w:val="000000"/>
          <w:sz w:val="22"/>
          <w:szCs w:val="22"/>
        </w:rPr>
        <w:t>ón étnica, y se comprometieron a prevenir, prohibir y eliminar todas las prácticas de esta naturaleza.</w:t>
      </w:r>
    </w:p>
    <w:p w:rsidR="00F14C90" w:rsidRDefault="007869F2">
      <w:pPr>
        <w:pStyle w:val="Ttulo2"/>
        <w:rPr>
          <w:rFonts w:ascii="Book Antiqua" w:eastAsia="Book Antiqua" w:hAnsi="Book Antiqua" w:cs="Book Antiqua"/>
          <w:color w:val="000000"/>
          <w:sz w:val="22"/>
          <w:szCs w:val="22"/>
          <w:u w:val="single"/>
        </w:rPr>
      </w:pPr>
      <w:bookmarkStart w:id="5" w:name="_tyjcwt" w:colFirst="0" w:colLast="0"/>
      <w:bookmarkEnd w:id="5"/>
      <w:r>
        <w:rPr>
          <w:rFonts w:ascii="Book Antiqua" w:eastAsia="Book Antiqua" w:hAnsi="Book Antiqua" w:cs="Book Antiqua"/>
          <w:color w:val="000000"/>
          <w:sz w:val="22"/>
          <w:szCs w:val="22"/>
          <w:u w:val="single"/>
        </w:rPr>
        <w:t>1.4. JUSTIFICACIÓN</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Tomando como referencia el informe de ponencia de la segunda vuelta del Proyecto Acto Legislativo 002</w:t>
      </w:r>
      <w:r>
        <w:rPr>
          <w:rFonts w:ascii="Book Antiqua" w:eastAsia="Book Antiqua" w:hAnsi="Book Antiqua" w:cs="Book Antiqua"/>
          <w:sz w:val="22"/>
          <w:szCs w:val="22"/>
        </w:rPr>
        <w:t xml:space="preserve"> de</w:t>
      </w:r>
      <w:r>
        <w:rPr>
          <w:rFonts w:ascii="Book Antiqua" w:eastAsia="Book Antiqua" w:hAnsi="Book Antiqua" w:cs="Book Antiqua"/>
          <w:color w:val="000000"/>
          <w:sz w:val="22"/>
          <w:szCs w:val="22"/>
        </w:rPr>
        <w:t xml:space="preserve"> 2019 Cámara, coordinada</w:t>
      </w:r>
      <w:r>
        <w:rPr>
          <w:rFonts w:ascii="Book Antiqua" w:eastAsia="Book Antiqua" w:hAnsi="Book Antiqua" w:cs="Book Antiqua"/>
          <w:sz w:val="22"/>
          <w:szCs w:val="22"/>
        </w:rPr>
        <w:t xml:space="preserve"> por</w:t>
      </w:r>
      <w:r>
        <w:rPr>
          <w:rFonts w:ascii="Book Antiqua" w:eastAsia="Book Antiqua" w:hAnsi="Book Antiqua" w:cs="Book Antiqua"/>
          <w:color w:val="000000"/>
          <w:sz w:val="22"/>
          <w:szCs w:val="22"/>
        </w:rPr>
        <w:t xml:space="preserve"> el Representante Alejandro Vega</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la Audiencia </w:t>
      </w:r>
      <w:r>
        <w:rPr>
          <w:rFonts w:ascii="Book Antiqua" w:eastAsia="Book Antiqua" w:hAnsi="Book Antiqua" w:cs="Book Antiqua"/>
          <w:sz w:val="22"/>
          <w:szCs w:val="22"/>
        </w:rPr>
        <w:t>P</w:t>
      </w:r>
      <w:r>
        <w:rPr>
          <w:rFonts w:ascii="Book Antiqua" w:eastAsia="Book Antiqua" w:hAnsi="Book Antiqua" w:cs="Book Antiqua"/>
          <w:color w:val="000000"/>
          <w:sz w:val="22"/>
          <w:szCs w:val="22"/>
        </w:rPr>
        <w:t>ública realizada en el trámite de dicho proyecto, y los diferentes indicadores y características de los departamentos; y, a fin de garantizar el cumplimiento de los objetivos de preservación y conservación, e</w:t>
      </w:r>
      <w:r>
        <w:rPr>
          <w:rFonts w:ascii="Book Antiqua" w:eastAsia="Book Antiqua" w:hAnsi="Book Antiqua" w:cs="Book Antiqua"/>
          <w:color w:val="000000"/>
          <w:sz w:val="22"/>
          <w:szCs w:val="22"/>
        </w:rPr>
        <w:t>l cumplimiento de los tratados y convenios internacionales suscritos y ratificados por Colombia en materia ambiental y, a favor de los pueblos indígenas y comunidades ancestrales</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el presente Proyecto de Acto Legislativo se fundamenta en las siguientes raz</w:t>
      </w:r>
      <w:r>
        <w:rPr>
          <w:rFonts w:ascii="Book Antiqua" w:eastAsia="Book Antiqua" w:hAnsi="Book Antiqua" w:cs="Book Antiqua"/>
          <w:color w:val="000000"/>
          <w:sz w:val="22"/>
          <w:szCs w:val="22"/>
        </w:rPr>
        <w:t>ones que se exponen, a continuación</w:t>
      </w:r>
      <w:r>
        <w:rPr>
          <w:rFonts w:ascii="Book Antiqua" w:eastAsia="Book Antiqua" w:hAnsi="Book Antiqua" w:cs="Book Antiqua"/>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3"/>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El Bioma Amazónico</w:t>
      </w:r>
      <w:r>
        <w:rPr>
          <w:rFonts w:ascii="Book Antiqua" w:eastAsia="Book Antiqua" w:hAnsi="Book Antiqua" w:cs="Book Antiqua"/>
          <w:color w:val="000000"/>
          <w:sz w:val="22"/>
          <w:szCs w:val="22"/>
        </w:rPr>
        <w:t xml:space="preserve"> </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La necesidad de proteger y conservar la Amazonía no se restringe a los límites del departamento del Amazonas. Incluso, como es conocido, ni siquiera se restringe al ámbito territorial colombiano y es competencia de cinco (5) países que comparten este ecosi</w:t>
      </w:r>
      <w:r>
        <w:rPr>
          <w:rFonts w:ascii="Book Antiqua" w:eastAsia="Book Antiqua" w:hAnsi="Book Antiqua" w:cs="Book Antiqua"/>
          <w:color w:val="000000"/>
          <w:sz w:val="22"/>
          <w:szCs w:val="22"/>
        </w:rPr>
        <w:t>stema. No obstante, en lo que es competencia de este Congreso, es decir, en lo que corresponde al territorio colombiano, la región Amazonía, representa el 6,4% del total del bioma amazónico y el 41,8% del territorio nacional</w:t>
      </w:r>
      <w:r>
        <w:rPr>
          <w:rFonts w:ascii="Book Antiqua" w:eastAsia="Book Antiqua" w:hAnsi="Book Antiqua" w:cs="Book Antiqua"/>
          <w:color w:val="000000"/>
          <w:sz w:val="22"/>
          <w:szCs w:val="22"/>
          <w:vertAlign w:val="superscript"/>
        </w:rPr>
        <w:t>16</w:t>
      </w:r>
      <w:r>
        <w:rPr>
          <w:rFonts w:ascii="Book Antiqua" w:eastAsia="Book Antiqua" w:hAnsi="Book Antiqua" w:cs="Book Antiqua"/>
          <w:color w:val="000000"/>
          <w:sz w:val="22"/>
          <w:szCs w:val="22"/>
        </w:rPr>
        <w:t>, tal como se puede apreciar en la siguiente imagen</w:t>
      </w:r>
      <w:r>
        <w:rPr>
          <w:rFonts w:ascii="Book Antiqua" w:eastAsia="Book Antiqua" w:hAnsi="Book Antiqua" w:cs="Book Antiqua"/>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spacing w:line="276" w:lineRule="auto"/>
        <w:ind w:left="425"/>
        <w:jc w:val="center"/>
        <w:rPr>
          <w:rFonts w:ascii="Book Antiqua" w:eastAsia="Book Antiqua" w:hAnsi="Book Antiqua" w:cs="Book Antiqua"/>
          <w:sz w:val="22"/>
          <w:szCs w:val="22"/>
        </w:rPr>
      </w:pPr>
      <w:r>
        <w:rPr>
          <w:rFonts w:ascii="Book Antiqua" w:eastAsia="Book Antiqua" w:hAnsi="Book Antiqua" w:cs="Book Antiqua"/>
          <w:noProof/>
          <w:sz w:val="22"/>
          <w:szCs w:val="22"/>
        </w:rPr>
        <w:lastRenderedPageBreak/>
        <w:drawing>
          <wp:inline distT="0" distB="0" distL="0" distR="0">
            <wp:extent cx="2652763" cy="238019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b="18582"/>
                    <a:stretch>
                      <a:fillRect/>
                    </a:stretch>
                  </pic:blipFill>
                  <pic:spPr>
                    <a:xfrm>
                      <a:off x="0" y="0"/>
                      <a:ext cx="2652763" cy="2380194"/>
                    </a:xfrm>
                    <a:prstGeom prst="rect">
                      <a:avLst/>
                    </a:prstGeom>
                    <a:ln/>
                  </pic:spPr>
                </pic:pic>
              </a:graphicData>
            </a:graphic>
          </wp:inline>
        </w:drawing>
      </w:r>
    </w:p>
    <w:p w:rsidR="00F14C90" w:rsidRDefault="007869F2">
      <w:pPr>
        <w:spacing w:after="11" w:line="266" w:lineRule="auto"/>
        <w:ind w:left="1859" w:right="1609"/>
        <w:jc w:val="center"/>
        <w:rPr>
          <w:rFonts w:ascii="Book Antiqua" w:eastAsia="Book Antiqua" w:hAnsi="Book Antiqua" w:cs="Book Antiqua"/>
          <w:sz w:val="14"/>
          <w:szCs w:val="14"/>
        </w:rPr>
      </w:pPr>
      <w:r>
        <w:rPr>
          <w:rFonts w:ascii="Book Antiqua" w:eastAsia="Book Antiqua" w:hAnsi="Book Antiqua" w:cs="Book Antiqua"/>
          <w:sz w:val="14"/>
          <w:szCs w:val="14"/>
        </w:rPr>
        <w:t xml:space="preserve">Mapa Región Amazónica Colombiana </w:t>
      </w:r>
    </w:p>
    <w:p w:rsidR="00F14C90" w:rsidRDefault="007869F2">
      <w:pPr>
        <w:spacing w:after="11" w:line="266" w:lineRule="auto"/>
        <w:ind w:left="1859" w:right="1615"/>
        <w:jc w:val="center"/>
        <w:rPr>
          <w:rFonts w:ascii="Book Antiqua" w:eastAsia="Book Antiqua" w:hAnsi="Book Antiqua" w:cs="Book Antiqua"/>
          <w:sz w:val="14"/>
          <w:szCs w:val="14"/>
        </w:rPr>
      </w:pPr>
      <w:r>
        <w:rPr>
          <w:rFonts w:ascii="Book Antiqua" w:eastAsia="Book Antiqua" w:hAnsi="Book Antiqua" w:cs="Book Antiqua"/>
          <w:sz w:val="14"/>
          <w:szCs w:val="14"/>
        </w:rPr>
        <w:t>Fuente: Instituto Científico SINCHI</w:t>
      </w:r>
    </w:p>
    <w:p w:rsidR="00F14C90" w:rsidRDefault="00F14C90">
      <w:pPr>
        <w:spacing w:after="11" w:line="266" w:lineRule="auto"/>
        <w:ind w:left="1859" w:right="1615"/>
        <w:jc w:val="center"/>
        <w:rPr>
          <w:rFonts w:ascii="Book Antiqua" w:eastAsia="Book Antiqua" w:hAnsi="Book Antiqua" w:cs="Book Antiqua"/>
          <w:sz w:val="14"/>
          <w:szCs w:val="14"/>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De acuerdo con el Instituto Científico SINCHI, institución creada por la Ley 99 de 1993</w:t>
      </w:r>
      <w:r>
        <w:rPr>
          <w:rFonts w:ascii="Book Antiqua" w:eastAsia="Book Antiqua" w:hAnsi="Book Antiqua" w:cs="Book Antiqua"/>
          <w:sz w:val="22"/>
          <w:szCs w:val="22"/>
        </w:rPr>
        <w:t>; vinculada</w:t>
      </w:r>
      <w:r>
        <w:rPr>
          <w:rFonts w:ascii="Book Antiqua" w:eastAsia="Book Antiqua" w:hAnsi="Book Antiqua" w:cs="Book Antiqua"/>
          <w:color w:val="000000"/>
          <w:sz w:val="22"/>
          <w:szCs w:val="22"/>
        </w:rPr>
        <w:t xml:space="preserve"> al Ministerio de Ambiente y Desarrollo Sostenible</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cuyo objetivo es la generación de conocimiento, la innovación y transferencia tecnológica y la difusión de información sobre la realidad biológica, social y ecológica de la región Amaz</w:t>
      </w:r>
      <w:r>
        <w:rPr>
          <w:rFonts w:ascii="Book Antiqua" w:eastAsia="Book Antiqua" w:hAnsi="Book Antiqua" w:cs="Book Antiqua"/>
          <w:sz w:val="22"/>
          <w:szCs w:val="22"/>
        </w:rPr>
        <w:t>oní</w:t>
      </w:r>
      <w:r>
        <w:rPr>
          <w:rFonts w:ascii="Book Antiqua" w:eastAsia="Book Antiqua" w:hAnsi="Book Antiqua" w:cs="Book Antiqua"/>
          <w:color w:val="000000"/>
          <w:sz w:val="22"/>
          <w:szCs w:val="22"/>
        </w:rPr>
        <w:t>a</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el área total </w:t>
      </w:r>
      <w:r>
        <w:rPr>
          <w:rFonts w:ascii="Book Antiqua" w:eastAsia="Book Antiqua" w:hAnsi="Book Antiqua" w:cs="Book Antiqua"/>
          <w:color w:val="000000"/>
          <w:sz w:val="22"/>
          <w:szCs w:val="22"/>
        </w:rPr>
        <w:t>de esta región en Colombia es de 483.163 km</w:t>
      </w:r>
      <w:r>
        <w:rPr>
          <w:rFonts w:ascii="Book Antiqua" w:eastAsia="Book Antiqua" w:hAnsi="Book Antiqua" w:cs="Book Antiqua"/>
          <w:color w:val="000000"/>
          <w:sz w:val="22"/>
          <w:szCs w:val="22"/>
          <w:vertAlign w:val="superscript"/>
        </w:rPr>
        <w:t>2</w:t>
      </w:r>
      <w:r>
        <w:rPr>
          <w:rFonts w:ascii="Book Antiqua" w:eastAsia="Book Antiqua" w:hAnsi="Book Antiqua" w:cs="Book Antiqua"/>
          <w:color w:val="000000"/>
          <w:sz w:val="22"/>
          <w:szCs w:val="22"/>
        </w:rPr>
        <w:t xml:space="preserve">.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De conformidad con el mismo Instituto, la región Amazonía ocupa los territorios completos de seis departamentos: Amazonas, Caquetá, Guainía, Guaviare, Putumayo y Vaupés</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así como una fracción de los siguiente</w:t>
      </w:r>
      <w:r>
        <w:rPr>
          <w:rFonts w:ascii="Book Antiqua" w:eastAsia="Book Antiqua" w:hAnsi="Book Antiqua" w:cs="Book Antiqua"/>
          <w:color w:val="000000"/>
          <w:sz w:val="22"/>
          <w:szCs w:val="22"/>
        </w:rPr>
        <w:t>s cuatro: Vichada (sur del municipio de Cumaribo); Meta (territorio completo de La Macarena y fracción de los municipios de Mapiripán, Mesetas, La Uribe, Puerto Concordia, Puerto Gaitán, Puerto Rico, San Juan de Arama y Vistahermosa); Cauca (fracción del m</w:t>
      </w:r>
      <w:r>
        <w:rPr>
          <w:rFonts w:ascii="Book Antiqua" w:eastAsia="Book Antiqua" w:hAnsi="Book Antiqua" w:cs="Book Antiqua"/>
          <w:color w:val="000000"/>
          <w:sz w:val="22"/>
          <w:szCs w:val="22"/>
        </w:rPr>
        <w:t>unicipio de San Sebastián y el territorio completo de Piamonte y Santa Rosa); y Nariño (fracción de los municipios de Córdoba, Funes, Ipiales, Pasto, Potosí y Puerres)</w:t>
      </w:r>
      <w:r>
        <w:rPr>
          <w:rFonts w:ascii="Book Antiqua" w:eastAsia="Book Antiqua" w:hAnsi="Book Antiqua" w:cs="Book Antiqua"/>
          <w:color w:val="000000"/>
          <w:sz w:val="22"/>
          <w:szCs w:val="22"/>
          <w:vertAlign w:val="superscript"/>
        </w:rPr>
        <w:t>17</w:t>
      </w:r>
      <w:r>
        <w:rPr>
          <w:rFonts w:ascii="Book Antiqua" w:eastAsia="Book Antiqua" w:hAnsi="Book Antiqua" w:cs="Book Antiqua"/>
          <w:color w:val="000000"/>
          <w:sz w:val="22"/>
          <w:szCs w:val="22"/>
        </w:rPr>
        <w:t xml:space="preserve">.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Lo que se pretende con esta iniciativa es generar instrumentos jurídicos que permi</w:t>
      </w:r>
      <w:r>
        <w:rPr>
          <w:rFonts w:ascii="Book Antiqua" w:eastAsia="Book Antiqua" w:hAnsi="Book Antiqua" w:cs="Book Antiqua"/>
          <w:color w:val="000000"/>
          <w:sz w:val="22"/>
          <w:szCs w:val="22"/>
        </w:rPr>
        <w:t>tan la protección del medio ambiente y, en especial, de la riqueza de la Amazonía, garantizando la preservación de la cultura y la biodiversidad allí existente y, velar por el desarrollo sostenible que permita a sus habitantes tener condiciones de vida dig</w:t>
      </w:r>
      <w:r>
        <w:rPr>
          <w:rFonts w:ascii="Book Antiqua" w:eastAsia="Book Antiqua" w:hAnsi="Book Antiqua" w:cs="Book Antiqua"/>
          <w:color w:val="000000"/>
          <w:sz w:val="22"/>
          <w:szCs w:val="22"/>
        </w:rPr>
        <w:t>nas. En consecuencia, es necesario tener una mirada integral del territorio que</w:t>
      </w:r>
      <w:r>
        <w:rPr>
          <w:rFonts w:ascii="Book Antiqua" w:eastAsia="Book Antiqua" w:hAnsi="Book Antiqua" w:cs="Book Antiqua"/>
          <w:sz w:val="22"/>
          <w:szCs w:val="22"/>
        </w:rPr>
        <w:t>, incluya</w:t>
      </w:r>
      <w:r>
        <w:rPr>
          <w:rFonts w:ascii="Book Antiqua" w:eastAsia="Book Antiqua" w:hAnsi="Book Antiqua" w:cs="Book Antiqua"/>
          <w:color w:val="000000"/>
          <w:sz w:val="22"/>
          <w:szCs w:val="22"/>
        </w:rPr>
        <w:t xml:space="preserve"> en el ámbito de aplicación de las normas especiales</w:t>
      </w:r>
      <w:r>
        <w:rPr>
          <w:rFonts w:ascii="Book Antiqua" w:eastAsia="Book Antiqua" w:hAnsi="Book Antiqua" w:cs="Book Antiqua"/>
          <w:sz w:val="22"/>
          <w:szCs w:val="22"/>
        </w:rPr>
        <w:t>, a</w:t>
      </w:r>
      <w:r>
        <w:rPr>
          <w:rFonts w:ascii="Book Antiqua" w:eastAsia="Book Antiqua" w:hAnsi="Book Antiqua" w:cs="Book Antiqua"/>
          <w:color w:val="000000"/>
          <w:sz w:val="22"/>
          <w:szCs w:val="22"/>
        </w:rPr>
        <w:t xml:space="preserve"> todos aquellos territorios que conforman la Amazonía, de manera que</w:t>
      </w:r>
      <w:r>
        <w:rPr>
          <w:rFonts w:ascii="Book Antiqua" w:eastAsia="Book Antiqua" w:hAnsi="Book Antiqua" w:cs="Book Antiqua"/>
          <w:sz w:val="22"/>
          <w:szCs w:val="22"/>
        </w:rPr>
        <w:t>, g</w:t>
      </w:r>
      <w:r>
        <w:rPr>
          <w:rFonts w:ascii="Book Antiqua" w:eastAsia="Book Antiqua" w:hAnsi="Book Antiqua" w:cs="Book Antiqua"/>
          <w:color w:val="000000"/>
          <w:sz w:val="22"/>
          <w:szCs w:val="22"/>
        </w:rPr>
        <w:t>arantice que el Estado pued</w:t>
      </w:r>
      <w:r>
        <w:rPr>
          <w:rFonts w:ascii="Book Antiqua" w:eastAsia="Book Antiqua" w:hAnsi="Book Antiqua" w:cs="Book Antiqua"/>
          <w:sz w:val="22"/>
          <w:szCs w:val="22"/>
        </w:rPr>
        <w:t>a</w:t>
      </w:r>
      <w:r>
        <w:rPr>
          <w:rFonts w:ascii="Book Antiqua" w:eastAsia="Book Antiqua" w:hAnsi="Book Antiqua" w:cs="Book Antiqua"/>
          <w:color w:val="000000"/>
          <w:sz w:val="22"/>
          <w:szCs w:val="22"/>
        </w:rPr>
        <w:t xml:space="preserve"> diseñar e imp</w:t>
      </w:r>
      <w:r>
        <w:rPr>
          <w:rFonts w:ascii="Book Antiqua" w:eastAsia="Book Antiqua" w:hAnsi="Book Antiqua" w:cs="Book Antiqua"/>
          <w:color w:val="000000"/>
          <w:sz w:val="22"/>
          <w:szCs w:val="22"/>
        </w:rPr>
        <w:t xml:space="preserve">lementar políticas públicas que tengan en consideración y beneficien a la región Amazonía en su integridad.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Por último, es necesario considerar para esta iniciativa que, se tomará los seis (6) departamentos (Amazonas, Caquetá, Guaviare, Guainía, Putumayo</w:t>
      </w:r>
      <w:r>
        <w:rPr>
          <w:rFonts w:ascii="Book Antiqua" w:eastAsia="Book Antiqua" w:hAnsi="Book Antiqua" w:cs="Book Antiqua"/>
          <w:color w:val="000000"/>
          <w:sz w:val="22"/>
          <w:szCs w:val="22"/>
        </w:rPr>
        <w:t xml:space="preserve"> y Vaupés) que por </w:t>
      </w:r>
      <w:r>
        <w:rPr>
          <w:rFonts w:ascii="Book Antiqua" w:eastAsia="Book Antiqua" w:hAnsi="Book Antiqua" w:cs="Book Antiqua"/>
          <w:color w:val="000000"/>
          <w:sz w:val="22"/>
          <w:szCs w:val="22"/>
        </w:rPr>
        <w:lastRenderedPageBreak/>
        <w:t>carencias de normas específicas (especiales) generan brechas altas de desigualdad, para así garantizar el derecho fundamental a la igualdad que, de acuerdo con la jurisprudencia de la Corte Constitucional, implica igualdad entre iguales</w:t>
      </w:r>
      <w:r>
        <w:rPr>
          <w:rFonts w:ascii="Book Antiqua" w:eastAsia="Book Antiqua" w:hAnsi="Book Antiqua" w:cs="Book Antiqua"/>
          <w:color w:val="000000"/>
          <w:sz w:val="22"/>
          <w:szCs w:val="22"/>
          <w:vertAlign w:val="superscript"/>
        </w:rPr>
        <w:t>2</w:t>
      </w:r>
      <w:r>
        <w:rPr>
          <w:rFonts w:ascii="Book Antiqua" w:eastAsia="Book Antiqua" w:hAnsi="Book Antiqua" w:cs="Book Antiqua"/>
          <w:color w:val="000000"/>
          <w:sz w:val="22"/>
          <w:szCs w:val="22"/>
          <w:vertAlign w:val="superscript"/>
        </w:rPr>
        <w:t>0</w:t>
      </w:r>
      <w:r>
        <w:rPr>
          <w:rFonts w:ascii="Book Antiqua" w:eastAsia="Book Antiqua" w:hAnsi="Book Antiqua" w:cs="Book Antiqua"/>
          <w:color w:val="000000"/>
          <w:sz w:val="22"/>
          <w:szCs w:val="22"/>
        </w:rPr>
        <w:t>. Es decir, en el caso particular de los territorios que conforman la región de la Amazonía, el legislador debe ser consciente de los ecosistemas, condiciones sociales y riesgos compartidos entre los territorios que conforman esta región y, mal haría en e</w:t>
      </w:r>
      <w:r>
        <w:rPr>
          <w:rFonts w:ascii="Book Antiqua" w:eastAsia="Book Antiqua" w:hAnsi="Book Antiqua" w:cs="Book Antiqua"/>
          <w:color w:val="000000"/>
          <w:sz w:val="22"/>
          <w:szCs w:val="22"/>
        </w:rPr>
        <w:t xml:space="preserve">xpedir normas que beneficiaran sólo a uno de estos, pues ello constituiría un trato desigual.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3"/>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Poblaciones indígenas y comunidades ancestrales </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De acuerdo con información del Instituto Científico</w:t>
      </w:r>
      <w:r>
        <w:rPr>
          <w:rFonts w:ascii="Book Antiqua" w:eastAsia="Book Antiqua" w:hAnsi="Book Antiqua" w:cs="Book Antiqua"/>
          <w:sz w:val="22"/>
          <w:szCs w:val="22"/>
        </w:rPr>
        <w:t xml:space="preserve"> SINCHI</w:t>
      </w:r>
      <w:r>
        <w:rPr>
          <w:rFonts w:ascii="Book Antiqua" w:eastAsia="Book Antiqua" w:hAnsi="Book Antiqua" w:cs="Book Antiqua"/>
          <w:color w:val="000000"/>
          <w:sz w:val="22"/>
          <w:szCs w:val="22"/>
        </w:rPr>
        <w:t>, la Amazonia Colombiana cuenta con 185 resguardos indígenas que ocupan una superficie de 26’217.159 de hectáreas, las cuales equivalen al 54,18% del total del territorio amazónico</w:t>
      </w:r>
      <w:r>
        <w:rPr>
          <w:rFonts w:ascii="Book Antiqua" w:eastAsia="Book Antiqua" w:hAnsi="Book Antiqua" w:cs="Book Antiqua"/>
          <w:color w:val="000000"/>
          <w:sz w:val="22"/>
          <w:szCs w:val="22"/>
          <w:vertAlign w:val="superscript"/>
        </w:rPr>
        <w:t>21</w:t>
      </w:r>
      <w:r>
        <w:rPr>
          <w:rFonts w:ascii="Book Antiqua" w:eastAsia="Book Antiqua" w:hAnsi="Book Antiqua" w:cs="Book Antiqua"/>
          <w:color w:val="000000"/>
          <w:sz w:val="22"/>
          <w:szCs w:val="22"/>
        </w:rPr>
        <w:t>. Como se muestra en el siguiente mapa, las comunidades indígenas de la re</w:t>
      </w:r>
      <w:r>
        <w:rPr>
          <w:rFonts w:ascii="Book Antiqua" w:eastAsia="Book Antiqua" w:hAnsi="Book Antiqua" w:cs="Book Antiqua"/>
          <w:color w:val="000000"/>
          <w:sz w:val="22"/>
          <w:szCs w:val="22"/>
        </w:rPr>
        <w:t>gión se encuentran en su mayoría concentrada en los departamentos definidos en la iniciativa</w:t>
      </w:r>
      <w:r>
        <w:rPr>
          <w:rFonts w:ascii="Book Antiqua" w:eastAsia="Book Antiqua" w:hAnsi="Book Antiqua" w:cs="Book Antiqua"/>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22"/>
          <w:szCs w:val="22"/>
        </w:rPr>
      </w:pPr>
      <w:r>
        <w:rPr>
          <w:rFonts w:ascii="Book Antiqua" w:eastAsia="Book Antiqua" w:hAnsi="Book Antiqua" w:cs="Book Antiqua"/>
          <w:noProof/>
          <w:color w:val="000000"/>
          <w:sz w:val="22"/>
          <w:szCs w:val="22"/>
        </w:rPr>
        <w:drawing>
          <wp:inline distT="0" distB="0" distL="0" distR="0">
            <wp:extent cx="2871470" cy="221589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871470" cy="2215896"/>
                    </a:xfrm>
                    <a:prstGeom prst="rect">
                      <a:avLst/>
                    </a:prstGeom>
                    <a:ln/>
                  </pic:spPr>
                </pic:pic>
              </a:graphicData>
            </a:graphic>
          </wp:inline>
        </w:drawing>
      </w:r>
    </w:p>
    <w:p w:rsidR="00F14C90" w:rsidRDefault="007869F2">
      <w:pPr>
        <w:pBdr>
          <w:top w:val="nil"/>
          <w:left w:val="nil"/>
          <w:bottom w:val="nil"/>
          <w:right w:val="nil"/>
          <w:between w:val="nil"/>
        </w:pBdr>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Mapa resguardos Indígenas en la región Amazónica colombiana</w:t>
      </w:r>
    </w:p>
    <w:p w:rsidR="00F14C90" w:rsidRDefault="007869F2">
      <w:pPr>
        <w:pBdr>
          <w:top w:val="nil"/>
          <w:left w:val="nil"/>
          <w:bottom w:val="nil"/>
          <w:right w:val="nil"/>
          <w:between w:val="nil"/>
        </w:pBdr>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Fuente: Instituto Científico SINCHI</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 xml:space="preserve">En la región Amazonía habitan 62 de los 102 pueblos indígenas sobrevivientes en el país con 17 estirpes lingüísticas diferentes. Sin embargo, de acuerdo con la Organización Nacional Indígena de Colombia –ONIC- de los 32 pueblos con menos de 500 miembros y </w:t>
      </w:r>
      <w:r>
        <w:rPr>
          <w:rFonts w:ascii="Book Antiqua" w:eastAsia="Book Antiqua" w:hAnsi="Book Antiqua" w:cs="Book Antiqua"/>
          <w:color w:val="000000"/>
          <w:sz w:val="22"/>
          <w:szCs w:val="22"/>
        </w:rPr>
        <w:t>en peligro de desaparición, 26 se encuentran en la Amazonía</w:t>
      </w:r>
      <w:r>
        <w:rPr>
          <w:rFonts w:ascii="Book Antiqua" w:eastAsia="Book Antiqua" w:hAnsi="Book Antiqua" w:cs="Book Antiqua"/>
          <w:color w:val="000000"/>
          <w:sz w:val="22"/>
          <w:szCs w:val="22"/>
          <w:vertAlign w:val="superscript"/>
        </w:rPr>
        <w:t>22</w:t>
      </w:r>
      <w:r>
        <w:rPr>
          <w:rFonts w:ascii="Book Antiqua" w:eastAsia="Book Antiqua" w:hAnsi="Book Antiqua" w:cs="Book Antiqua"/>
          <w:sz w:val="22"/>
          <w:szCs w:val="22"/>
        </w:rPr>
        <w:t>; lo</w:t>
      </w:r>
      <w:r>
        <w:rPr>
          <w:rFonts w:ascii="Book Antiqua" w:eastAsia="Book Antiqua" w:hAnsi="Book Antiqua" w:cs="Book Antiqua"/>
          <w:color w:val="000000"/>
          <w:sz w:val="22"/>
          <w:szCs w:val="22"/>
        </w:rPr>
        <w:t xml:space="preserve"> que pone en evidencia los retos en conservación y preservación de estas culturas ancestrales que deben ser afrontados por el Estado en su conjunto, máxime si se considera no sólo su papel en</w:t>
      </w:r>
      <w:r>
        <w:rPr>
          <w:rFonts w:ascii="Book Antiqua" w:eastAsia="Book Antiqua" w:hAnsi="Book Antiqua" w:cs="Book Antiqua"/>
          <w:color w:val="000000"/>
          <w:sz w:val="22"/>
          <w:szCs w:val="22"/>
        </w:rPr>
        <w:t xml:space="preserve"> la cultura e historia del país, sino, su rol como protectores de estos ecosistemas.</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highlight w:val="white"/>
        </w:rPr>
      </w:pPr>
      <w:r>
        <w:rPr>
          <w:rFonts w:ascii="Book Antiqua" w:eastAsia="Book Antiqua" w:hAnsi="Book Antiqua" w:cs="Book Antiqua"/>
          <w:color w:val="000000"/>
          <w:sz w:val="22"/>
          <w:szCs w:val="22"/>
          <w:highlight w:val="white"/>
        </w:rPr>
        <w:t>En la Amazonía Colombiana residen 960.239 habitantes que corresponden al 2.3% del total de la población Nacional, el cual asciende a 42.090.502 habitantes, censo general 2005 (DANE, 2007); con los datos reportados por el DANE se han consolidado las estadís</w:t>
      </w:r>
      <w:r>
        <w:rPr>
          <w:rFonts w:ascii="Book Antiqua" w:eastAsia="Book Antiqua" w:hAnsi="Book Antiqua" w:cs="Book Antiqua"/>
          <w:color w:val="000000"/>
          <w:sz w:val="22"/>
          <w:szCs w:val="22"/>
          <w:highlight w:val="white"/>
        </w:rPr>
        <w:t xml:space="preserve">ticas de </w:t>
      </w:r>
      <w:r>
        <w:rPr>
          <w:rFonts w:ascii="Book Antiqua" w:eastAsia="Book Antiqua" w:hAnsi="Book Antiqua" w:cs="Book Antiqua"/>
          <w:color w:val="000000"/>
          <w:sz w:val="22"/>
          <w:szCs w:val="22"/>
          <w:highlight w:val="white"/>
        </w:rPr>
        <w:lastRenderedPageBreak/>
        <w:t>población para la región, para los departamentos de Amazonas, Caquetá, Guainía, Guaviare, Putumayo y Vaupés se incluye toda su jurisdicción.</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highlight w:val="white"/>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Hay que señalar que el porcentaje de población indígena que habita la región Amazonía asciende al 9% del </w:t>
      </w:r>
      <w:r>
        <w:rPr>
          <w:rFonts w:ascii="Book Antiqua" w:eastAsia="Book Antiqua" w:hAnsi="Book Antiqua" w:cs="Book Antiqua"/>
          <w:color w:val="000000"/>
          <w:sz w:val="22"/>
          <w:szCs w:val="22"/>
        </w:rPr>
        <w:t>total de la región y se concentra en los departamentos de Putumayo (44% de la población indígena) y Amazonas (22% de la población indígena)</w:t>
      </w:r>
      <w:r>
        <w:rPr>
          <w:rFonts w:ascii="Book Antiqua" w:eastAsia="Book Antiqua" w:hAnsi="Book Antiqua" w:cs="Book Antiqua"/>
          <w:color w:val="000000"/>
          <w:sz w:val="22"/>
          <w:szCs w:val="22"/>
          <w:vertAlign w:val="superscript"/>
        </w:rPr>
        <w:t>23</w:t>
      </w:r>
      <w:r>
        <w:rPr>
          <w:rFonts w:ascii="Book Antiqua" w:eastAsia="Book Antiqua" w:hAnsi="Book Antiqua" w:cs="Book Antiqua"/>
          <w:color w:val="000000"/>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Además, de la población indígena, los otros sectores sociales que habitan la región son los asentamientos rurale</w:t>
      </w:r>
      <w:r>
        <w:rPr>
          <w:rFonts w:ascii="Book Antiqua" w:eastAsia="Book Antiqua" w:hAnsi="Book Antiqua" w:cs="Book Antiqua"/>
          <w:color w:val="000000"/>
          <w:sz w:val="22"/>
          <w:szCs w:val="22"/>
        </w:rPr>
        <w:t>s o dispersos de colonos y campesinos, ubicados principalmente a lo largo del piedemonte del Caquetá, Putumayo, sur del Meta y norte del departamento del Guaviare</w:t>
      </w:r>
      <w:r>
        <w:rPr>
          <w:rFonts w:ascii="Book Antiqua" w:eastAsia="Book Antiqua" w:hAnsi="Book Antiqua" w:cs="Book Antiqua"/>
          <w:sz w:val="22"/>
          <w:szCs w:val="22"/>
        </w:rPr>
        <w:t>; y</w:t>
      </w:r>
      <w:r>
        <w:rPr>
          <w:rFonts w:ascii="Book Antiqua" w:eastAsia="Book Antiqua" w:hAnsi="Book Antiqua" w:cs="Book Antiqua"/>
          <w:color w:val="000000"/>
          <w:sz w:val="22"/>
          <w:szCs w:val="22"/>
        </w:rPr>
        <w:t xml:space="preserve"> los habitantes de los centros urbanos que en su expansión reúnen a la mayoría de la poblac</w:t>
      </w:r>
      <w:r>
        <w:rPr>
          <w:rFonts w:ascii="Book Antiqua" w:eastAsia="Book Antiqua" w:hAnsi="Book Antiqua" w:cs="Book Antiqua"/>
          <w:color w:val="000000"/>
          <w:sz w:val="22"/>
          <w:szCs w:val="22"/>
        </w:rPr>
        <w:t>ión en los departamentos de Caquetá y Guaviare</w:t>
      </w:r>
      <w:r>
        <w:rPr>
          <w:rFonts w:ascii="Book Antiqua" w:eastAsia="Book Antiqua" w:hAnsi="Book Antiqua" w:cs="Book Antiqua"/>
          <w:color w:val="000000"/>
          <w:sz w:val="22"/>
          <w:szCs w:val="22"/>
          <w:vertAlign w:val="superscript"/>
        </w:rPr>
        <w:t>24</w:t>
      </w:r>
      <w:r>
        <w:rPr>
          <w:rFonts w:ascii="Book Antiqua" w:eastAsia="Book Antiqua" w:hAnsi="Book Antiqua" w:cs="Book Antiqua"/>
          <w:color w:val="000000"/>
          <w:sz w:val="22"/>
          <w:szCs w:val="22"/>
        </w:rPr>
        <w:t>. Igualmente, hay una importante presencia de población afrodescendiente colombiana en esta región, que representa el 3% del total regional y se encuentra principalmente asentada en los departamentos de Putum</w:t>
      </w:r>
      <w:r>
        <w:rPr>
          <w:rFonts w:ascii="Book Antiqua" w:eastAsia="Book Antiqua" w:hAnsi="Book Antiqua" w:cs="Book Antiqua"/>
          <w:color w:val="000000"/>
          <w:sz w:val="22"/>
          <w:szCs w:val="22"/>
        </w:rPr>
        <w:t>ayo (43%) y Caquetá (42%)</w:t>
      </w:r>
      <w:r>
        <w:rPr>
          <w:rFonts w:ascii="Book Antiqua" w:eastAsia="Book Antiqua" w:hAnsi="Book Antiqua" w:cs="Book Antiqua"/>
          <w:color w:val="000000"/>
          <w:sz w:val="22"/>
          <w:szCs w:val="22"/>
          <w:vertAlign w:val="superscript"/>
        </w:rPr>
        <w:t>25</w:t>
      </w:r>
      <w:r>
        <w:rPr>
          <w:rFonts w:ascii="Book Antiqua" w:eastAsia="Book Antiqua" w:hAnsi="Book Antiqua" w:cs="Book Antiqua"/>
          <w:color w:val="000000"/>
          <w:sz w:val="22"/>
          <w:szCs w:val="22"/>
        </w:rPr>
        <w:t xml:space="preserve">.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Según datos del Censo General de 2005, la población de la Amazonía Colombiana correspondía al 2.3% del total de la población Nacional. No obstante, se ha evidenciado un incremento en la población que habita en estos departame</w:t>
      </w:r>
      <w:r>
        <w:rPr>
          <w:rFonts w:ascii="Book Antiqua" w:eastAsia="Book Antiqua" w:hAnsi="Book Antiqua" w:cs="Book Antiqua"/>
          <w:color w:val="000000"/>
          <w:sz w:val="22"/>
          <w:szCs w:val="22"/>
        </w:rPr>
        <w:t>ntos y, hay que agregar, en general la región Amaz</w:t>
      </w:r>
      <w:r>
        <w:rPr>
          <w:rFonts w:ascii="Book Antiqua" w:eastAsia="Book Antiqua" w:hAnsi="Book Antiqua" w:cs="Book Antiqua"/>
          <w:sz w:val="22"/>
          <w:szCs w:val="22"/>
        </w:rPr>
        <w:t>oní</w:t>
      </w:r>
      <w:r>
        <w:rPr>
          <w:rFonts w:ascii="Book Antiqua" w:eastAsia="Book Antiqua" w:hAnsi="Book Antiqua" w:cs="Book Antiqua"/>
          <w:color w:val="000000"/>
          <w:sz w:val="22"/>
          <w:szCs w:val="22"/>
        </w:rPr>
        <w:t>a, en parte, como consecuencia de procesos de colonización, lo cual plantea igualmente un desafío para el Estado quien debe estar vigilante a que dichos nuevos pobladores no atenten contra las condicione</w:t>
      </w:r>
      <w:r>
        <w:rPr>
          <w:rFonts w:ascii="Book Antiqua" w:eastAsia="Book Antiqua" w:hAnsi="Book Antiqua" w:cs="Book Antiqua"/>
          <w:color w:val="000000"/>
          <w:sz w:val="22"/>
          <w:szCs w:val="22"/>
        </w:rPr>
        <w:t xml:space="preserve">s propias del territorio que llegan a ocupar.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Teniendo en cuenta la condiciones de la población que ocupa este territorio se justifica que, el Estado disponga de herramientas jurídicas que le permitan la implementación de políticas públicas especiales y </w:t>
      </w:r>
      <w:r>
        <w:rPr>
          <w:rFonts w:ascii="Book Antiqua" w:eastAsia="Book Antiqua" w:hAnsi="Book Antiqua" w:cs="Book Antiqua"/>
          <w:color w:val="000000"/>
          <w:sz w:val="22"/>
          <w:szCs w:val="22"/>
        </w:rPr>
        <w:t>diferenciales que consideren las particularidades de las comunidades indígenas, así como las necesidades del resto de la población que habita en estas mismas áreas, garantizando en todo caso la preservación de los saberes ancestrales y haciendo de la conse</w:t>
      </w:r>
      <w:r>
        <w:rPr>
          <w:rFonts w:ascii="Book Antiqua" w:eastAsia="Book Antiqua" w:hAnsi="Book Antiqua" w:cs="Book Antiqua"/>
          <w:color w:val="000000"/>
          <w:sz w:val="22"/>
          <w:szCs w:val="22"/>
        </w:rPr>
        <w:t>rvación de los recursos naturales una opción viable y sostenible de desarrollo y bienestar para todos los habitantes de esta Región</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respetando el principio de autonomía y gobernanza de los pueblos indígenas reconocido en la Constitución</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coadyuvando en la</w:t>
      </w:r>
      <w:r>
        <w:rPr>
          <w:rFonts w:ascii="Book Antiqua" w:eastAsia="Book Antiqua" w:hAnsi="Book Antiqua" w:cs="Book Antiqua"/>
          <w:color w:val="000000"/>
          <w:sz w:val="22"/>
          <w:szCs w:val="22"/>
        </w:rPr>
        <w:t xml:space="preserve"> organización de las diferentes autoridades que se sobreponen sobre el mismo territorio para garantizar el desarrollo armónico y coordinado, necesidad ésta que ya ha sido señalada por la CEPAL, y para lo cual se requiere la posibilidad de poder establecer </w:t>
      </w:r>
      <w:r>
        <w:rPr>
          <w:rFonts w:ascii="Book Antiqua" w:eastAsia="Book Antiqua" w:hAnsi="Book Antiqua" w:cs="Book Antiqua"/>
          <w:color w:val="000000"/>
          <w:sz w:val="22"/>
          <w:szCs w:val="22"/>
        </w:rPr>
        <w:t xml:space="preserve">regímenes y normas especiales que tengan en consideración estas características.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 xml:space="preserve">Por último, en relación con la población, se llama la atención sobre el hecho que, en el más reciente informe entregado por el DANE del Censo realizado en 2018, 4 de los 6 </w:t>
      </w:r>
      <w:r>
        <w:rPr>
          <w:rFonts w:ascii="Book Antiqua" w:eastAsia="Book Antiqua" w:hAnsi="Book Antiqua" w:cs="Book Antiqua"/>
          <w:color w:val="000000"/>
          <w:sz w:val="22"/>
          <w:szCs w:val="22"/>
        </w:rPr>
        <w:t>departamentos con mayor población en edades entre los 15 a los 29 años, hacen parte de la región Amazonía: Amazonas, Putumayo, Guainía y Guaviare; situación que debe motivar al Congreso a tomar medidas en pro de esta población joven</w:t>
      </w:r>
      <w:r>
        <w:rPr>
          <w:rFonts w:ascii="Book Antiqua" w:eastAsia="Book Antiqua" w:hAnsi="Book Antiqua" w:cs="Book Antiqua"/>
          <w:sz w:val="22"/>
          <w:szCs w:val="22"/>
        </w:rPr>
        <w:t xml:space="preserve"> (archivo anexo):</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noProof/>
          <w:color w:val="000000"/>
          <w:sz w:val="22"/>
          <w:szCs w:val="22"/>
        </w:rPr>
        <mc:AlternateContent>
          <mc:Choice Requires="wps">
            <w:drawing>
              <wp:inline distT="0" distB="0" distL="0" distR="0">
                <wp:extent cx="5230981" cy="2390722"/>
                <wp:effectExtent l="0" t="0" r="8255" b="0"/>
                <wp:docPr id="1" name=""/>
                <wp:cNvGraphicFramePr/>
                <a:graphic xmlns:a="http://schemas.openxmlformats.org/drawingml/2006/main">
                  <a:graphicData uri="http://schemas.microsoft.com/office/word/2010/wordprocessingGroup">
                    <wpg:wgp>
                      <wpg:cNvGrpSpPr/>
                      <wpg:grpSpPr>
                        <a:xfrm>
                          <a:off x="0" y="0"/>
                          <a:ext cx="5230981" cy="2390722"/>
                          <a:chOff x="0" y="0"/>
                          <a:chExt cx="5648325" cy="2685848"/>
                        </a:xfrm>
                      </wpg:grpSpPr>
                      <pic:pic xmlns:pic="http://schemas.openxmlformats.org/drawingml/2006/picture">
                        <pic:nvPicPr>
                          <pic:cNvPr id="1656" name="Picture 1656"/>
                          <pic:cNvPicPr/>
                        </pic:nvPicPr>
                        <pic:blipFill>
                          <a:blip r:embed="rId9"/>
                          <a:stretch>
                            <a:fillRect/>
                          </a:stretch>
                        </pic:blipFill>
                        <pic:spPr>
                          <a:xfrm>
                            <a:off x="2906395" y="712470"/>
                            <a:ext cx="2741930" cy="1610233"/>
                          </a:xfrm>
                          <a:prstGeom prst="rect">
                            <a:avLst/>
                          </a:prstGeom>
                        </pic:spPr>
                      </pic:pic>
                      <wps:wsp>
                        <wps:cNvPr id="2" name="Rectángulo 2"/>
                        <wps:cNvSpPr/>
                        <wps:spPr>
                          <a:xfrm>
                            <a:off x="3033141" y="2543556"/>
                            <a:ext cx="41991" cy="189248"/>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wps:wsp>
                        <wps:cNvPr id="5" name="Rectángulo 5"/>
                        <wps:cNvSpPr/>
                        <wps:spPr>
                          <a:xfrm>
                            <a:off x="4560951" y="2543556"/>
                            <a:ext cx="41991" cy="189248"/>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pic:pic xmlns:pic="http://schemas.openxmlformats.org/drawingml/2006/picture">
                        <pic:nvPicPr>
                          <pic:cNvPr id="1723" name="Picture 1723"/>
                          <pic:cNvPicPr/>
                        </pic:nvPicPr>
                        <pic:blipFill>
                          <a:blip r:embed="rId10"/>
                          <a:stretch>
                            <a:fillRect/>
                          </a:stretch>
                        </pic:blipFill>
                        <pic:spPr>
                          <a:xfrm>
                            <a:off x="0" y="0"/>
                            <a:ext cx="3034030" cy="2640330"/>
                          </a:xfrm>
                          <a:prstGeom prst="rect">
                            <a:avLst/>
                          </a:prstGeom>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239236" cy="2390722"/>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239236" cy="2390722"/>
                        </a:xfrm>
                        <a:prstGeom prst="rect"/>
                        <a:ln/>
                      </pic:spPr>
                    </pic:pic>
                  </a:graphicData>
                </a:graphic>
              </wp:inline>
            </w:drawing>
          </mc:Fallback>
        </mc:AlternateContent>
      </w:r>
    </w:p>
    <w:p w:rsidR="00F14C90" w:rsidRDefault="007869F2">
      <w:pPr>
        <w:spacing w:after="11" w:line="266" w:lineRule="auto"/>
        <w:ind w:left="1859" w:right="1609"/>
        <w:jc w:val="center"/>
        <w:rPr>
          <w:rFonts w:ascii="Book Antiqua" w:eastAsia="Book Antiqua" w:hAnsi="Book Antiqua" w:cs="Book Antiqua"/>
          <w:sz w:val="14"/>
          <w:szCs w:val="14"/>
        </w:rPr>
      </w:pPr>
      <w:r>
        <w:rPr>
          <w:rFonts w:ascii="Book Antiqua" w:eastAsia="Book Antiqua" w:hAnsi="Book Antiqua" w:cs="Book Antiqua"/>
          <w:sz w:val="14"/>
          <w:szCs w:val="14"/>
        </w:rPr>
        <w:t xml:space="preserve">Índice de Juventud en Colombia. Fuente: DANE </w:t>
      </w:r>
    </w:p>
    <w:p w:rsidR="00F14C90" w:rsidRDefault="00F14C90">
      <w:pPr>
        <w:spacing w:after="11" w:line="266" w:lineRule="auto"/>
        <w:ind w:right="1609"/>
        <w:rPr>
          <w:rFonts w:ascii="Book Antiqua" w:eastAsia="Book Antiqua" w:hAnsi="Book Antiqua" w:cs="Book Antiqua"/>
          <w:sz w:val="22"/>
          <w:szCs w:val="22"/>
        </w:rPr>
      </w:pPr>
    </w:p>
    <w:p w:rsidR="00F14C90" w:rsidRDefault="007869F2">
      <w:pPr>
        <w:numPr>
          <w:ilvl w:val="0"/>
          <w:numId w:val="3"/>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Deforestación </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Uno de los mayores desafíos que enfrenta la Amazonía en su conjunto, no sólo la colombiana, es parar los procesos de deforestación que están destruyendo sus bosques y amenaza con disminuir considerablemente su biodiversidad y el potencial de la región para</w:t>
      </w:r>
      <w:r>
        <w:rPr>
          <w:rFonts w:ascii="Book Antiqua" w:eastAsia="Book Antiqua" w:hAnsi="Book Antiqua" w:cs="Book Antiqua"/>
          <w:color w:val="000000"/>
          <w:sz w:val="22"/>
          <w:szCs w:val="22"/>
        </w:rPr>
        <w:t xml:space="preserve"> contrarrestar los efectos del cambio climático.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Como ya es reconocido, la ampliación de la frontera agrícola, la ganadería extensiva, los incendios forestales y la tala para la venta de madera constituyen los principales motores de deforestación. En Col</w:t>
      </w:r>
      <w:r>
        <w:rPr>
          <w:rFonts w:ascii="Book Antiqua" w:eastAsia="Book Antiqua" w:hAnsi="Book Antiqua" w:cs="Book Antiqua"/>
          <w:color w:val="000000"/>
          <w:sz w:val="22"/>
          <w:szCs w:val="22"/>
        </w:rPr>
        <w:t>ombia, a estas causas deben sumarse la colonización y el desplazamiento de poblaciones, la minería y la siembra de cultivos ilícitos</w:t>
      </w:r>
      <w:r>
        <w:rPr>
          <w:rFonts w:ascii="Book Antiqua" w:eastAsia="Book Antiqua" w:hAnsi="Book Antiqua" w:cs="Book Antiqua"/>
          <w:color w:val="000000"/>
          <w:sz w:val="22"/>
          <w:szCs w:val="22"/>
          <w:vertAlign w:val="superscript"/>
        </w:rPr>
        <w:t>26</w:t>
      </w:r>
      <w:r>
        <w:rPr>
          <w:rFonts w:ascii="Book Antiqua" w:eastAsia="Book Antiqua" w:hAnsi="Book Antiqua" w:cs="Book Antiqua"/>
          <w:color w:val="000000"/>
          <w:sz w:val="22"/>
          <w:szCs w:val="22"/>
        </w:rPr>
        <w:t>. Según la Oficina de la ONU contra las Drogas y el Delito, el 34% de cultivos de coca en el país estarían ubicados en zon</w:t>
      </w:r>
      <w:r>
        <w:rPr>
          <w:rFonts w:ascii="Book Antiqua" w:eastAsia="Book Antiqua" w:hAnsi="Book Antiqua" w:cs="Book Antiqua"/>
          <w:color w:val="000000"/>
          <w:sz w:val="22"/>
          <w:szCs w:val="22"/>
        </w:rPr>
        <w:t xml:space="preserve">as que hasta hace 4 años eran bosques, situación que demuestra que se requiere adoptar medidas que permitan al Estado actuar frente a esta crisis.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De acuerdo con datos del IDEAM</w:t>
      </w:r>
      <w:r>
        <w:rPr>
          <w:rFonts w:ascii="Book Antiqua" w:eastAsia="Book Antiqua" w:hAnsi="Book Antiqua" w:cs="Book Antiqua"/>
          <w:color w:val="000000"/>
          <w:sz w:val="22"/>
          <w:szCs w:val="22"/>
          <w:vertAlign w:val="superscript"/>
        </w:rPr>
        <w:t>27</w:t>
      </w:r>
      <w:r>
        <w:rPr>
          <w:rFonts w:ascii="Book Antiqua" w:eastAsia="Book Antiqua" w:hAnsi="Book Antiqua" w:cs="Book Antiqua"/>
          <w:color w:val="000000"/>
          <w:sz w:val="22"/>
          <w:szCs w:val="22"/>
        </w:rPr>
        <w:t>, en el último trimestre de 2018, las tres Corporaciones Autónomas Regionales con competencia en la Región Amazonía, Corpoamazonia, Cormacarena y la Corporación para el Desarrollo Sostenible del Norte y del Oriente Amazónico (CDA), reportaron cerca de 43.0</w:t>
      </w:r>
      <w:r>
        <w:rPr>
          <w:rFonts w:ascii="Book Antiqua" w:eastAsia="Book Antiqua" w:hAnsi="Book Antiqua" w:cs="Book Antiqua"/>
          <w:color w:val="000000"/>
          <w:sz w:val="22"/>
          <w:szCs w:val="22"/>
        </w:rPr>
        <w:t xml:space="preserve">00 hectáreas deforestadas, siendo esta región la más afectada por la deforestación en el país, con un 75% del total nacional de hectáreas deforestadas.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De acuerdo con el Instituto Humboldt, si continúa la tendencia de deforestación en la región </w:t>
      </w:r>
      <w:r>
        <w:rPr>
          <w:rFonts w:ascii="Book Antiqua" w:eastAsia="Book Antiqua" w:hAnsi="Book Antiqua" w:cs="Book Antiqua"/>
          <w:sz w:val="22"/>
          <w:szCs w:val="22"/>
        </w:rPr>
        <w:t>A</w:t>
      </w:r>
      <w:r>
        <w:rPr>
          <w:rFonts w:ascii="Book Antiqua" w:eastAsia="Book Antiqua" w:hAnsi="Book Antiqua" w:cs="Book Antiqua"/>
          <w:color w:val="000000"/>
          <w:sz w:val="22"/>
          <w:szCs w:val="22"/>
        </w:rPr>
        <w:t>mazónica</w:t>
      </w:r>
      <w:r>
        <w:rPr>
          <w:rFonts w:ascii="Book Antiqua" w:eastAsia="Book Antiqua" w:hAnsi="Book Antiqua" w:cs="Book Antiqua"/>
          <w:color w:val="000000"/>
          <w:sz w:val="22"/>
          <w:szCs w:val="22"/>
        </w:rPr>
        <w:t xml:space="preserve"> Colombiana, para el año 2030 más de 4.300 especies animales y vegetales podrían desaparecer. Adicionalmente, de acuerdo con la misma entidad, aunque los cálculos realizados apuntan a que la mayor afectación se daría en la zona de transición de los Andes c</w:t>
      </w:r>
      <w:r>
        <w:rPr>
          <w:rFonts w:ascii="Book Antiqua" w:eastAsia="Book Antiqua" w:hAnsi="Book Antiqua" w:cs="Book Antiqua"/>
          <w:color w:val="000000"/>
          <w:sz w:val="22"/>
          <w:szCs w:val="22"/>
        </w:rPr>
        <w:t>on la Amazonia, los puntos más críticos serían el piedemonte de Caquetá y Putumayo, el sur del Meta y Vichada y gran parte del Guaviare, lo que cambiaría el flujo de las fuentes hídricas de la región</w:t>
      </w:r>
      <w:r>
        <w:rPr>
          <w:rFonts w:ascii="Book Antiqua" w:eastAsia="Book Antiqua" w:hAnsi="Book Antiqua" w:cs="Book Antiqua"/>
          <w:color w:val="000000"/>
          <w:sz w:val="22"/>
          <w:szCs w:val="22"/>
          <w:vertAlign w:val="superscript"/>
        </w:rPr>
        <w:t>28</w:t>
      </w:r>
      <w:r>
        <w:rPr>
          <w:rFonts w:ascii="Book Antiqua" w:eastAsia="Book Antiqua" w:hAnsi="Book Antiqua" w:cs="Book Antiqua"/>
          <w:color w:val="000000"/>
          <w:sz w:val="22"/>
          <w:szCs w:val="22"/>
        </w:rPr>
        <w:t xml:space="preserve">.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Vale la pena señalar que los puntos más fuertes de </w:t>
      </w:r>
      <w:r>
        <w:rPr>
          <w:rFonts w:ascii="Book Antiqua" w:eastAsia="Book Antiqua" w:hAnsi="Book Antiqua" w:cs="Book Antiqua"/>
          <w:color w:val="000000"/>
          <w:sz w:val="22"/>
          <w:szCs w:val="22"/>
        </w:rPr>
        <w:t>deforestación se han presentado muy cerca de la frontera norte de la región Amazonía, lo que demuestra la relación con la extensión de la frontera agrícola y ganadera</w:t>
      </w:r>
      <w:r>
        <w:rPr>
          <w:rFonts w:ascii="Book Antiqua" w:eastAsia="Book Antiqua" w:hAnsi="Book Antiqua" w:cs="Book Antiqua"/>
          <w:color w:val="000000"/>
          <w:sz w:val="22"/>
          <w:szCs w:val="22"/>
          <w:vertAlign w:val="superscript"/>
        </w:rPr>
        <w:t>29</w:t>
      </w:r>
      <w:r>
        <w:rPr>
          <w:rFonts w:ascii="Book Antiqua" w:eastAsia="Book Antiqua" w:hAnsi="Book Antiqua" w:cs="Book Antiqua"/>
          <w:color w:val="000000"/>
          <w:sz w:val="22"/>
          <w:szCs w:val="22"/>
        </w:rPr>
        <w:t xml:space="preserve">, como se ve en las siguientes imágenes: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22"/>
          <w:szCs w:val="22"/>
        </w:rPr>
      </w:pPr>
      <w:r>
        <w:rPr>
          <w:rFonts w:ascii="Book Antiqua" w:eastAsia="Book Antiqua" w:hAnsi="Book Antiqua" w:cs="Book Antiqua"/>
          <w:noProof/>
          <w:color w:val="000000"/>
          <w:sz w:val="22"/>
          <w:szCs w:val="22"/>
        </w:rPr>
        <w:drawing>
          <wp:inline distT="0" distB="0" distL="0" distR="0">
            <wp:extent cx="4273550" cy="2403221"/>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73550" cy="2403221"/>
                    </a:xfrm>
                    <a:prstGeom prst="rect">
                      <a:avLst/>
                    </a:prstGeom>
                    <a:ln/>
                  </pic:spPr>
                </pic:pic>
              </a:graphicData>
            </a:graphic>
          </wp:inline>
        </w:drawing>
      </w:r>
    </w:p>
    <w:p w:rsidR="00F14C90" w:rsidRDefault="007869F2">
      <w:pPr>
        <w:spacing w:after="11" w:line="266" w:lineRule="auto"/>
        <w:ind w:right="1609"/>
        <w:jc w:val="center"/>
        <w:rPr>
          <w:rFonts w:ascii="Book Antiqua" w:eastAsia="Book Antiqua" w:hAnsi="Book Antiqua" w:cs="Book Antiqua"/>
          <w:sz w:val="18"/>
          <w:szCs w:val="18"/>
        </w:rPr>
      </w:pPr>
      <w:r>
        <w:rPr>
          <w:rFonts w:ascii="Book Antiqua" w:eastAsia="Book Antiqua" w:hAnsi="Book Antiqua" w:cs="Book Antiqua"/>
          <w:sz w:val="22"/>
          <w:szCs w:val="22"/>
        </w:rPr>
        <w:t xml:space="preserve">                            </w:t>
      </w:r>
      <w:r>
        <w:rPr>
          <w:rFonts w:ascii="Book Antiqua" w:eastAsia="Book Antiqua" w:hAnsi="Book Antiqua" w:cs="Book Antiqua"/>
          <w:sz w:val="18"/>
          <w:szCs w:val="18"/>
        </w:rPr>
        <w:t>Imagen: Intensidad de deforestación en la Amazonía</w:t>
      </w:r>
    </w:p>
    <w:p w:rsidR="00F14C90" w:rsidRDefault="007869F2">
      <w:pPr>
        <w:spacing w:after="11" w:line="266" w:lineRule="auto"/>
        <w:ind w:left="1859" w:right="1609"/>
        <w:jc w:val="center"/>
        <w:rPr>
          <w:rFonts w:ascii="Book Antiqua" w:eastAsia="Book Antiqua" w:hAnsi="Book Antiqua" w:cs="Book Antiqua"/>
          <w:sz w:val="18"/>
          <w:szCs w:val="18"/>
        </w:rPr>
      </w:pPr>
      <w:r>
        <w:rPr>
          <w:rFonts w:ascii="Book Antiqua" w:eastAsia="Book Antiqua" w:hAnsi="Book Antiqua" w:cs="Book Antiqua"/>
          <w:sz w:val="18"/>
          <w:szCs w:val="18"/>
        </w:rPr>
        <w:t xml:space="preserve">Fuente: Monitoring the Andean Amazon Project –MAPP- </w:t>
      </w:r>
      <w:r>
        <w:rPr>
          <w:rFonts w:ascii="Book Antiqua" w:eastAsia="Book Antiqua" w:hAnsi="Book Antiqua" w:cs="Book Antiqua"/>
          <w:sz w:val="18"/>
          <w:szCs w:val="18"/>
        </w:rPr>
        <w:tab/>
      </w:r>
    </w:p>
    <w:p w:rsidR="00F14C90" w:rsidRDefault="00F14C90">
      <w:pPr>
        <w:tabs>
          <w:tab w:val="center" w:pos="4540"/>
          <w:tab w:val="right" w:pos="7222"/>
        </w:tabs>
        <w:spacing w:after="11" w:line="266" w:lineRule="auto"/>
        <w:ind w:right="1616"/>
        <w:rPr>
          <w:rFonts w:ascii="Book Antiqua" w:eastAsia="Book Antiqua" w:hAnsi="Book Antiqua" w:cs="Book Antiqua"/>
          <w:sz w:val="22"/>
          <w:szCs w:val="22"/>
        </w:rPr>
      </w:pPr>
    </w:p>
    <w:p w:rsidR="00F14C90" w:rsidRDefault="007869F2">
      <w:pPr>
        <w:ind w:right="181"/>
        <w:jc w:val="center"/>
        <w:rPr>
          <w:rFonts w:ascii="Book Antiqua" w:eastAsia="Book Antiqua" w:hAnsi="Book Antiqua" w:cs="Book Antiqua"/>
          <w:sz w:val="18"/>
          <w:szCs w:val="18"/>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27</wp:posOffset>
                </wp:positionH>
                <wp:positionV relativeFrom="paragraph">
                  <wp:posOffset>0</wp:posOffset>
                </wp:positionV>
                <wp:extent cx="5501640" cy="2773680"/>
                <wp:effectExtent l="0" t="0" r="3810" b="0"/>
                <wp:wrapSquare wrapText="bothSides" distT="0" distB="0" distL="114300" distR="114300"/>
                <wp:docPr id="2" name=""/>
                <wp:cNvGraphicFramePr/>
                <a:graphic xmlns:a="http://schemas.openxmlformats.org/drawingml/2006/main">
                  <a:graphicData uri="http://schemas.microsoft.com/office/word/2010/wordprocessingGroup">
                    <wpg:wgp>
                      <wpg:cNvGrpSpPr/>
                      <wpg:grpSpPr>
                        <a:xfrm>
                          <a:off x="0" y="0"/>
                          <a:ext cx="5501640" cy="2773680"/>
                          <a:chOff x="0" y="0"/>
                          <a:chExt cx="5861289" cy="2914182"/>
                        </a:xfrm>
                      </wpg:grpSpPr>
                      <pic:pic xmlns:pic="http://schemas.openxmlformats.org/drawingml/2006/picture">
                        <pic:nvPicPr>
                          <pic:cNvPr id="7" name="Picture 1863"/>
                          <pic:cNvPicPr/>
                        </pic:nvPicPr>
                        <pic:blipFill>
                          <a:blip r:embed="rId14"/>
                          <a:stretch>
                            <a:fillRect/>
                          </a:stretch>
                        </pic:blipFill>
                        <pic:spPr>
                          <a:xfrm>
                            <a:off x="2179178" y="32382"/>
                            <a:ext cx="3682111" cy="2710817"/>
                          </a:xfrm>
                          <a:prstGeom prst="rect">
                            <a:avLst/>
                          </a:prstGeom>
                        </pic:spPr>
                      </pic:pic>
                      <wps:wsp>
                        <wps:cNvPr id="8" name="Rectángulo 8"/>
                        <wps:cNvSpPr/>
                        <wps:spPr>
                          <a:xfrm>
                            <a:off x="5091431" y="2395855"/>
                            <a:ext cx="41991" cy="189248"/>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wps:wsp>
                        <wps:cNvPr id="9" name="Rectángulo 9"/>
                        <wps:cNvSpPr/>
                        <wps:spPr>
                          <a:xfrm>
                            <a:off x="4885056" y="2564130"/>
                            <a:ext cx="41991" cy="189248"/>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wps:wsp>
                        <wps:cNvPr id="10" name="Rectángulo 10"/>
                        <wps:cNvSpPr/>
                        <wps:spPr>
                          <a:xfrm>
                            <a:off x="4783456" y="2727198"/>
                            <a:ext cx="42228" cy="186984"/>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wps:wsp>
                        <wps:cNvPr id="11" name="Rectángulo 11"/>
                        <wps:cNvSpPr/>
                        <wps:spPr>
                          <a:xfrm>
                            <a:off x="2185035" y="2597023"/>
                            <a:ext cx="42228" cy="186984"/>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wps:wsp>
                        <wps:cNvPr id="12" name="Rectángulo 12"/>
                        <wps:cNvSpPr/>
                        <wps:spPr>
                          <a:xfrm>
                            <a:off x="2216785" y="2597023"/>
                            <a:ext cx="42228" cy="186984"/>
                          </a:xfrm>
                          <a:prstGeom prst="rect">
                            <a:avLst/>
                          </a:prstGeom>
                          <a:ln>
                            <a:noFill/>
                          </a:ln>
                        </wps:spPr>
                        <wps:txbx>
                          <w:txbxContent>
                            <w:p w:rsidR="009C29EE" w:rsidRDefault="007869F2" w:rsidP="000508A6">
                              <w:r>
                                <w:t xml:space="preserve"> </w:t>
                              </w:r>
                            </w:p>
                          </w:txbxContent>
                        </wps:txbx>
                        <wps:bodyPr horzOverflow="overflow" vert="horz" lIns="0" tIns="0" rIns="0" bIns="0" rtlCol="0">
                          <a:noAutofit/>
                        </wps:bodyPr>
                      </wps:wsp>
                      <pic:pic xmlns:pic="http://schemas.openxmlformats.org/drawingml/2006/picture">
                        <pic:nvPicPr>
                          <pic:cNvPr id="13" name="Picture 1963"/>
                          <pic:cNvPicPr/>
                        </pic:nvPicPr>
                        <pic:blipFill>
                          <a:blip r:embed="rId15"/>
                          <a:stretch>
                            <a:fillRect/>
                          </a:stretch>
                        </pic:blipFill>
                        <pic:spPr>
                          <a:xfrm>
                            <a:off x="0" y="0"/>
                            <a:ext cx="2181860" cy="2743042"/>
                          </a:xfrm>
                          <a:prstGeom prst="rect">
                            <a:avLst/>
                          </a:prstGeom>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wp:posOffset>
                </wp:positionH>
                <wp:positionV relativeFrom="paragraph">
                  <wp:posOffset>0</wp:posOffset>
                </wp:positionV>
                <wp:extent cx="5505450" cy="2773680"/>
                <wp:effectExtent b="0" l="0" r="0" t="0"/>
                <wp:wrapSquare wrapText="bothSides" distB="0" distT="0" distL="114300" distR="114300"/>
                <wp:docPr id="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505450" cy="2773680"/>
                        </a:xfrm>
                        <a:prstGeom prst="rect"/>
                        <a:ln/>
                      </pic:spPr>
                    </pic:pic>
                  </a:graphicData>
                </a:graphic>
              </wp:anchor>
            </w:drawing>
          </mc:Fallback>
        </mc:AlternateContent>
      </w:r>
    </w:p>
    <w:p w:rsidR="00F14C90" w:rsidRDefault="00F14C90">
      <w:pPr>
        <w:ind w:right="181"/>
        <w:jc w:val="center"/>
        <w:rPr>
          <w:rFonts w:ascii="Book Antiqua" w:eastAsia="Book Antiqua" w:hAnsi="Book Antiqua" w:cs="Book Antiqua"/>
          <w:sz w:val="18"/>
          <w:szCs w:val="18"/>
        </w:rPr>
      </w:pPr>
    </w:p>
    <w:p w:rsidR="00F14C90" w:rsidRDefault="007869F2">
      <w:pPr>
        <w:ind w:right="181"/>
        <w:jc w:val="center"/>
        <w:rPr>
          <w:rFonts w:ascii="Book Antiqua" w:eastAsia="Book Antiqua" w:hAnsi="Book Antiqua" w:cs="Book Antiqua"/>
          <w:sz w:val="18"/>
          <w:szCs w:val="18"/>
        </w:rPr>
      </w:pPr>
      <w:r>
        <w:rPr>
          <w:rFonts w:ascii="Book Antiqua" w:eastAsia="Book Antiqua" w:hAnsi="Book Antiqua" w:cs="Book Antiqua"/>
          <w:sz w:val="18"/>
          <w:szCs w:val="18"/>
        </w:rPr>
        <w:t>Mapa Núcleos de Deforestación en Colombia</w:t>
      </w:r>
      <w:r>
        <w:rPr>
          <w:rFonts w:ascii="Book Antiqua" w:eastAsia="Book Antiqua" w:hAnsi="Book Antiqua" w:cs="Book Antiqua"/>
          <w:sz w:val="18"/>
          <w:szCs w:val="18"/>
        </w:rPr>
        <w:tab/>
        <w:t xml:space="preserve">        Mapa Presiones Socioambientales Amazonía Colombia Fuente: IDEAM - Boletín 21 </w:t>
      </w:r>
      <w:r>
        <w:rPr>
          <w:rFonts w:ascii="Book Antiqua" w:eastAsia="Book Antiqua" w:hAnsi="Book Antiqua" w:cs="Book Antiqua"/>
          <w:sz w:val="18"/>
          <w:szCs w:val="18"/>
        </w:rPr>
        <w:tab/>
      </w:r>
      <w:r>
        <w:rPr>
          <w:rFonts w:ascii="Book Antiqua" w:eastAsia="Book Antiqua" w:hAnsi="Book Antiqua" w:cs="Book Antiqua"/>
          <w:sz w:val="18"/>
          <w:szCs w:val="18"/>
        </w:rPr>
        <w:tab/>
        <w:t xml:space="preserve">                    Fuente: Instituto SINCHI</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Como se ve en las anteriores imágenes, las principales presiones socioambientales y núcleos de deforestación se encuentran cerca al límite de la Amazonía que colinda hacia el centro del país y, del mapa del I</w:t>
      </w:r>
      <w:r>
        <w:rPr>
          <w:rFonts w:ascii="Book Antiqua" w:eastAsia="Book Antiqua" w:hAnsi="Book Antiqua" w:cs="Book Antiqua"/>
          <w:color w:val="000000"/>
          <w:sz w:val="22"/>
          <w:szCs w:val="22"/>
        </w:rPr>
        <w:t>DEAM, se ve como de los seis (6) focos más fuertes de deforestación en el país</w:t>
      </w:r>
      <w:r>
        <w:rPr>
          <w:rFonts w:ascii="Book Antiqua" w:eastAsia="Book Antiqua" w:hAnsi="Book Antiqua" w:cs="Book Antiqua"/>
          <w:sz w:val="22"/>
          <w:szCs w:val="22"/>
        </w:rPr>
        <w:t>, cinco (</w:t>
      </w:r>
      <w:r>
        <w:rPr>
          <w:rFonts w:ascii="Book Antiqua" w:eastAsia="Book Antiqua" w:hAnsi="Book Antiqua" w:cs="Book Antiqua"/>
          <w:color w:val="000000"/>
          <w:sz w:val="22"/>
          <w:szCs w:val="22"/>
        </w:rPr>
        <w:t xml:space="preserve">5) se encuentran en la </w:t>
      </w:r>
      <w:r>
        <w:rPr>
          <w:rFonts w:ascii="Book Antiqua" w:eastAsia="Book Antiqua" w:hAnsi="Book Antiqua" w:cs="Book Antiqua"/>
          <w:sz w:val="22"/>
          <w:szCs w:val="22"/>
        </w:rPr>
        <w:t>R</w:t>
      </w:r>
      <w:r>
        <w:rPr>
          <w:rFonts w:ascii="Book Antiqua" w:eastAsia="Book Antiqua" w:hAnsi="Book Antiqua" w:cs="Book Antiqua"/>
          <w:color w:val="000000"/>
          <w:sz w:val="22"/>
          <w:szCs w:val="22"/>
        </w:rPr>
        <w:t xml:space="preserve">egión </w:t>
      </w:r>
      <w:r>
        <w:rPr>
          <w:rFonts w:ascii="Book Antiqua" w:eastAsia="Book Antiqua" w:hAnsi="Book Antiqua" w:cs="Book Antiqua"/>
          <w:sz w:val="22"/>
          <w:szCs w:val="22"/>
        </w:rPr>
        <w:t>A</w:t>
      </w:r>
      <w:r>
        <w:rPr>
          <w:rFonts w:ascii="Book Antiqua" w:eastAsia="Book Antiqua" w:hAnsi="Book Antiqua" w:cs="Book Antiqua"/>
          <w:color w:val="000000"/>
          <w:sz w:val="22"/>
          <w:szCs w:val="22"/>
        </w:rPr>
        <w:t xml:space="preserve">mazonía, situación que pone de presente la existencia de fenómenos que buscan mover la frontera agrícola e incrementar la praderización. </w:t>
      </w: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Por lo anterior, es clara que hay una inminente necesidad por parte del Estado de contar con recursos y herramientas jurídicas que le permitan activar mecanismos que detengan la deforestación y procuren por un desarrollo regional sostenible que, aprovechan</w:t>
      </w:r>
      <w:r>
        <w:rPr>
          <w:rFonts w:ascii="Book Antiqua" w:eastAsia="Book Antiqua" w:hAnsi="Book Antiqua" w:cs="Book Antiqua"/>
          <w:color w:val="000000"/>
          <w:sz w:val="22"/>
          <w:szCs w:val="22"/>
        </w:rPr>
        <w:t xml:space="preserve">do los recursos existentes, garantice la conservación de la biodiversidad y la calidad de vida de todos los habitantes de la </w:t>
      </w:r>
      <w:r>
        <w:rPr>
          <w:rFonts w:ascii="Book Antiqua" w:eastAsia="Book Antiqua" w:hAnsi="Book Antiqua" w:cs="Book Antiqua"/>
          <w:sz w:val="22"/>
          <w:szCs w:val="22"/>
        </w:rPr>
        <w:t>A</w:t>
      </w:r>
      <w:r>
        <w:rPr>
          <w:rFonts w:ascii="Book Antiqua" w:eastAsia="Book Antiqua" w:hAnsi="Book Antiqua" w:cs="Book Antiqua"/>
          <w:color w:val="000000"/>
          <w:sz w:val="22"/>
          <w:szCs w:val="22"/>
        </w:rPr>
        <w:t xml:space="preserve">mazonía Colombiana.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3"/>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Rezago en infraestructura y el Régimen Especial </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De conformidad con lo señalado por el DANE en 2018, Las cinco (5) dimensiones que componen el Índice de Pobreza Multidimensional –IPM-, involucran quince (15) indicadores. Para que una persona sea considerada en situación de pobreza multidimensional, se re</w:t>
      </w:r>
      <w:r>
        <w:rPr>
          <w:rFonts w:ascii="Book Antiqua" w:eastAsia="Book Antiqua" w:hAnsi="Book Antiqua" w:cs="Book Antiqua"/>
          <w:color w:val="000000"/>
          <w:sz w:val="22"/>
          <w:szCs w:val="22"/>
        </w:rPr>
        <w:t>quiere que su hogar e</w:t>
      </w:r>
      <w:r>
        <w:rPr>
          <w:rFonts w:ascii="Book Antiqua" w:eastAsia="Book Antiqua" w:hAnsi="Book Antiqua" w:cs="Book Antiqua"/>
          <w:sz w:val="22"/>
          <w:szCs w:val="22"/>
        </w:rPr>
        <w:t>sté privado</w:t>
      </w:r>
      <w:r>
        <w:rPr>
          <w:rFonts w:ascii="Book Antiqua" w:eastAsia="Book Antiqua" w:hAnsi="Book Antiqua" w:cs="Book Antiqua"/>
          <w:color w:val="000000"/>
          <w:sz w:val="22"/>
          <w:szCs w:val="22"/>
        </w:rPr>
        <w:t xml:space="preserve"> en una tercera parte de dichos indicadores, equivalente al 33%. </w:t>
      </w:r>
      <w:r>
        <w:rPr>
          <w:rFonts w:ascii="Book Antiqua" w:eastAsia="Book Antiqua" w:hAnsi="Book Antiqua" w:cs="Book Antiqua"/>
          <w:color w:val="000000"/>
          <w:sz w:val="22"/>
          <w:szCs w:val="22"/>
          <w:vertAlign w:val="superscript"/>
        </w:rPr>
        <w:t>30</w:t>
      </w:r>
      <w:r>
        <w:rPr>
          <w:rFonts w:ascii="Book Antiqua" w:eastAsia="Book Antiqua" w:hAnsi="Book Antiqua" w:cs="Book Antiqua"/>
          <w:color w:val="000000"/>
          <w:sz w:val="22"/>
          <w:szCs w:val="22"/>
        </w:rPr>
        <w:t xml:space="preserve">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Entre los indicadores tenidos en cuenta por el DANE para efectos de la medición de la pobreza multidimensional se encuentran: bajo logro educativo, desem</w:t>
      </w:r>
      <w:r>
        <w:rPr>
          <w:rFonts w:ascii="Book Antiqua" w:eastAsia="Book Antiqua" w:hAnsi="Book Antiqua" w:cs="Book Antiqua"/>
          <w:color w:val="000000"/>
          <w:sz w:val="22"/>
          <w:szCs w:val="22"/>
        </w:rPr>
        <w:t>pleo de larga duración, no aseguramiento en salud, trabajo infantil, inasistencia escolar, analfabetismo, no acceso a fuentes de agua mejorada, barreras de acceso a servicios en salud, inadecuada eliminación de excretas, material inadecuado de pisos y pare</w:t>
      </w:r>
      <w:r>
        <w:rPr>
          <w:rFonts w:ascii="Book Antiqua" w:eastAsia="Book Antiqua" w:hAnsi="Book Antiqua" w:cs="Book Antiqua"/>
          <w:color w:val="000000"/>
          <w:sz w:val="22"/>
          <w:szCs w:val="22"/>
        </w:rPr>
        <w:t xml:space="preserve">des de las viviendas; indicadores éstos que, en general, miden las condiciones más básicas de la calidad de vida de los habitantes del territorio Nacional.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De acuerdo con el DANE en 2018 el porcentaje de pobreza multidimensional promedio del país fue 19,</w:t>
      </w:r>
      <w:r>
        <w:rPr>
          <w:rFonts w:ascii="Book Antiqua" w:eastAsia="Book Antiqua" w:hAnsi="Book Antiqua" w:cs="Book Antiqua"/>
          <w:color w:val="000000"/>
          <w:sz w:val="22"/>
          <w:szCs w:val="22"/>
        </w:rPr>
        <w:t>6%. En contraste, en el mismo período en la región Orinoquía-Amazonía el porcentaje de personas en situación de pobreza multidimensional para el total regional, cabeceras, centros poblados y rural disperso fue 30,1%, 22,3% y 41,1% respectivamente, es decir</w:t>
      </w:r>
      <w:r>
        <w:rPr>
          <w:rFonts w:ascii="Book Antiqua" w:eastAsia="Book Antiqua" w:hAnsi="Book Antiqua" w:cs="Book Antiqua"/>
          <w:color w:val="000000"/>
          <w:sz w:val="22"/>
          <w:szCs w:val="22"/>
        </w:rPr>
        <w:t xml:space="preserve">, más de 10 puntos porcentuales por encima del promedio nacional en cabeceras y áreas rurales de la región.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Como se ve en el siguiente gráfico elaborado por el DANE, todos los departamentos cuyo territorio se encuentran completamente dentro de la región </w:t>
      </w:r>
      <w:r>
        <w:rPr>
          <w:rFonts w:ascii="Book Antiqua" w:eastAsia="Book Antiqua" w:hAnsi="Book Antiqua" w:cs="Book Antiqua"/>
          <w:sz w:val="22"/>
          <w:szCs w:val="22"/>
        </w:rPr>
        <w:t>A</w:t>
      </w:r>
      <w:r>
        <w:rPr>
          <w:rFonts w:ascii="Book Antiqua" w:eastAsia="Book Antiqua" w:hAnsi="Book Antiqua" w:cs="Book Antiqua"/>
          <w:color w:val="000000"/>
          <w:sz w:val="22"/>
          <w:szCs w:val="22"/>
        </w:rPr>
        <w:t>mazonía tienen los porcentajes más altos de personas en situación de pobreza multidimensional, situación que evidencia, por una parte, una carencia sustancial de la infraestructura necesaria para prestar servicios públicos básicos y, por la otra, menor im</w:t>
      </w:r>
      <w:r>
        <w:rPr>
          <w:rFonts w:ascii="Book Antiqua" w:eastAsia="Book Antiqua" w:hAnsi="Book Antiqua" w:cs="Book Antiqua"/>
          <w:color w:val="000000"/>
          <w:sz w:val="22"/>
          <w:szCs w:val="22"/>
        </w:rPr>
        <w:t>pacto de los programas de asistencia social ofrecidos por el Gobierno Nacional, a través de entidades del mismo orden y territoriales</w:t>
      </w:r>
      <w:r>
        <w:rPr>
          <w:rFonts w:ascii="Book Antiqua" w:eastAsia="Book Antiqua" w:hAnsi="Book Antiqua" w:cs="Book Antiqua"/>
          <w:sz w:val="22"/>
          <w:szCs w:val="22"/>
        </w:rPr>
        <w:t>:</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noProof/>
          <w:color w:val="000000"/>
          <w:sz w:val="22"/>
          <w:szCs w:val="22"/>
        </w:rPr>
        <w:drawing>
          <wp:inline distT="0" distB="0" distL="0" distR="0">
            <wp:extent cx="5705475" cy="2297981"/>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05475" cy="2297981"/>
                    </a:xfrm>
                    <a:prstGeom prst="rect">
                      <a:avLst/>
                    </a:prstGeom>
                    <a:ln/>
                  </pic:spPr>
                </pic:pic>
              </a:graphicData>
            </a:graphic>
          </wp:inline>
        </w:drawing>
      </w:r>
      <w:r>
        <w:rPr>
          <w:rFonts w:ascii="Book Antiqua" w:eastAsia="Book Antiqua" w:hAnsi="Book Antiqua" w:cs="Book Antiqua"/>
          <w:color w:val="000000"/>
          <w:sz w:val="22"/>
          <w:szCs w:val="22"/>
        </w:rPr>
        <w:t xml:space="preserve"> </w:t>
      </w: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Pobreza multidimensional (porcentaje) Región Orinoquía-Amazonía y total departamental Año 2018. Fuente: DANE</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18"/>
          <w:szCs w:val="18"/>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Además de lo hallado por el DANE, vale la pena destacar la evidencia presentada por la Superintendencia de Servicios Públicos Domiciliarios, de acuerdo con la cual la </w:t>
      </w:r>
      <w:r>
        <w:rPr>
          <w:rFonts w:ascii="Book Antiqua" w:eastAsia="Book Antiqua" w:hAnsi="Book Antiqua" w:cs="Book Antiqua"/>
          <w:sz w:val="22"/>
          <w:szCs w:val="22"/>
        </w:rPr>
        <w:t>R</w:t>
      </w:r>
      <w:r>
        <w:rPr>
          <w:rFonts w:ascii="Book Antiqua" w:eastAsia="Book Antiqua" w:hAnsi="Book Antiqua" w:cs="Book Antiqua"/>
          <w:color w:val="000000"/>
          <w:sz w:val="22"/>
          <w:szCs w:val="22"/>
        </w:rPr>
        <w:t xml:space="preserve">egión </w:t>
      </w:r>
      <w:r>
        <w:rPr>
          <w:rFonts w:ascii="Book Antiqua" w:eastAsia="Book Antiqua" w:hAnsi="Book Antiqua" w:cs="Book Antiqua"/>
          <w:sz w:val="22"/>
          <w:szCs w:val="22"/>
        </w:rPr>
        <w:t>A</w:t>
      </w:r>
      <w:r>
        <w:rPr>
          <w:rFonts w:ascii="Book Antiqua" w:eastAsia="Book Antiqua" w:hAnsi="Book Antiqua" w:cs="Book Antiqua"/>
          <w:color w:val="000000"/>
          <w:sz w:val="22"/>
          <w:szCs w:val="22"/>
        </w:rPr>
        <w:t>mazonía, presenta bajos índices en cuanto a la prestación de servicios públicos d</w:t>
      </w:r>
      <w:r>
        <w:rPr>
          <w:rFonts w:ascii="Book Antiqua" w:eastAsia="Book Antiqua" w:hAnsi="Book Antiqua" w:cs="Book Antiqua"/>
          <w:color w:val="000000"/>
          <w:sz w:val="22"/>
          <w:szCs w:val="22"/>
        </w:rPr>
        <w:t>omiciliarios. Por ejemplo, revisado el Índice de Riesgo de la Calidad del Agua para Consumo Humano –IRCA-, por el cual se analiza si el agua es o no apta para el consumo humano, según el cual cuando los valores de dicho índice superan el 5% el agua se cons</w:t>
      </w:r>
      <w:r>
        <w:rPr>
          <w:rFonts w:ascii="Book Antiqua" w:eastAsia="Book Antiqua" w:hAnsi="Book Antiqua" w:cs="Book Antiqua"/>
          <w:color w:val="000000"/>
          <w:sz w:val="22"/>
          <w:szCs w:val="22"/>
        </w:rPr>
        <w:t>idera como no apta para consumo humano</w:t>
      </w:r>
      <w:r>
        <w:rPr>
          <w:rFonts w:ascii="Book Antiqua" w:eastAsia="Book Antiqua" w:hAnsi="Book Antiqua" w:cs="Book Antiqua"/>
          <w:color w:val="000000"/>
          <w:sz w:val="22"/>
          <w:szCs w:val="22"/>
          <w:vertAlign w:val="superscript"/>
        </w:rPr>
        <w:t>31</w:t>
      </w:r>
      <w:r>
        <w:rPr>
          <w:rFonts w:ascii="Book Antiqua" w:eastAsia="Book Antiqua" w:hAnsi="Book Antiqua" w:cs="Book Antiqua"/>
          <w:color w:val="000000"/>
          <w:sz w:val="22"/>
          <w:szCs w:val="22"/>
        </w:rPr>
        <w:t xml:space="preserve">, se tiene que los valores registrados en los departamentos de la </w:t>
      </w:r>
      <w:r>
        <w:rPr>
          <w:rFonts w:ascii="Book Antiqua" w:eastAsia="Book Antiqua" w:hAnsi="Book Antiqua" w:cs="Book Antiqua"/>
          <w:sz w:val="22"/>
          <w:szCs w:val="22"/>
        </w:rPr>
        <w:t>Re</w:t>
      </w:r>
      <w:r>
        <w:rPr>
          <w:rFonts w:ascii="Book Antiqua" w:eastAsia="Book Antiqua" w:hAnsi="Book Antiqua" w:cs="Book Antiqua"/>
          <w:color w:val="000000"/>
          <w:sz w:val="22"/>
          <w:szCs w:val="22"/>
        </w:rPr>
        <w:t xml:space="preserve">gión Amazonía son los siguientes: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22"/>
          <w:szCs w:val="22"/>
        </w:rPr>
      </w:pPr>
      <w:r>
        <w:rPr>
          <w:rFonts w:ascii="Book Antiqua" w:eastAsia="Book Antiqua" w:hAnsi="Book Antiqua" w:cs="Book Antiqua"/>
          <w:noProof/>
          <w:color w:val="000000"/>
          <w:sz w:val="22"/>
          <w:szCs w:val="22"/>
        </w:rPr>
        <w:drawing>
          <wp:inline distT="0" distB="0" distL="0" distR="0">
            <wp:extent cx="4170680" cy="233453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b="9679"/>
                    <a:stretch>
                      <a:fillRect/>
                    </a:stretch>
                  </pic:blipFill>
                  <pic:spPr>
                    <a:xfrm>
                      <a:off x="0" y="0"/>
                      <a:ext cx="4170680" cy="2334530"/>
                    </a:xfrm>
                    <a:prstGeom prst="rect">
                      <a:avLst/>
                    </a:prstGeom>
                    <a:ln/>
                  </pic:spPr>
                </pic:pic>
              </a:graphicData>
            </a:graphic>
          </wp:inline>
        </w:drawing>
      </w: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IRCA por departamento - 2017</w:t>
      </w: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Fuente: Superintendencia de Servicios Públicos Domiciliarios</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De acuerdo con lo a</w:t>
      </w:r>
      <w:r>
        <w:rPr>
          <w:rFonts w:ascii="Book Antiqua" w:eastAsia="Book Antiqua" w:hAnsi="Book Antiqua" w:cs="Book Antiqua"/>
          <w:color w:val="000000"/>
          <w:sz w:val="22"/>
          <w:szCs w:val="22"/>
        </w:rPr>
        <w:t xml:space="preserve">nterior, es claro que, a excepción de Guaviare, los departamentos de la </w:t>
      </w:r>
      <w:r>
        <w:rPr>
          <w:rFonts w:ascii="Book Antiqua" w:eastAsia="Book Antiqua" w:hAnsi="Book Antiqua" w:cs="Book Antiqua"/>
          <w:sz w:val="22"/>
          <w:szCs w:val="22"/>
        </w:rPr>
        <w:t>R</w:t>
      </w:r>
      <w:r>
        <w:rPr>
          <w:rFonts w:ascii="Book Antiqua" w:eastAsia="Book Antiqua" w:hAnsi="Book Antiqua" w:cs="Book Antiqua"/>
          <w:color w:val="000000"/>
          <w:sz w:val="22"/>
          <w:szCs w:val="22"/>
        </w:rPr>
        <w:t>egión Amazonía requieren una intervención por parte del Estado para garantizar que sus habitantes cuenten con agua que se considere apta para el consumo humano</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hecho este que muestra</w:t>
      </w:r>
      <w:r>
        <w:rPr>
          <w:rFonts w:ascii="Book Antiqua" w:eastAsia="Book Antiqua" w:hAnsi="Book Antiqua" w:cs="Book Antiqua"/>
          <w:color w:val="000000"/>
          <w:sz w:val="22"/>
          <w:szCs w:val="22"/>
        </w:rPr>
        <w:t>, sin lugar a dudas, la cruda realidad sobre la infraestructura para la prestación de los servicios más básicos a los que tienen derecho todos los colombianos, pero que, evidentemente, no se garantiza en todo el territorio y que muestra nuevamente la neces</w:t>
      </w:r>
      <w:r>
        <w:rPr>
          <w:rFonts w:ascii="Book Antiqua" w:eastAsia="Book Antiqua" w:hAnsi="Book Antiqua" w:cs="Book Antiqua"/>
          <w:color w:val="000000"/>
          <w:sz w:val="22"/>
          <w:szCs w:val="22"/>
        </w:rPr>
        <w:t xml:space="preserve">idad de la consagración constitucional de la posibilidad de establecer medidas especiales y diferenciales para esta región del país.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 xml:space="preserve">Por otra parte, la </w:t>
      </w:r>
      <w:r>
        <w:rPr>
          <w:rFonts w:ascii="Book Antiqua" w:eastAsia="Book Antiqua" w:hAnsi="Book Antiqua" w:cs="Book Antiqua"/>
          <w:sz w:val="22"/>
          <w:szCs w:val="22"/>
        </w:rPr>
        <w:t>R</w:t>
      </w:r>
      <w:r>
        <w:rPr>
          <w:rFonts w:ascii="Book Antiqua" w:eastAsia="Book Antiqua" w:hAnsi="Book Antiqua" w:cs="Book Antiqua"/>
          <w:color w:val="000000"/>
          <w:sz w:val="22"/>
          <w:szCs w:val="22"/>
        </w:rPr>
        <w:t xml:space="preserve">egión de la Amazonía Colombiana en general, presenta un atraso muy importante en materia de </w:t>
      </w:r>
      <w:r>
        <w:rPr>
          <w:rFonts w:ascii="Book Antiqua" w:eastAsia="Book Antiqua" w:hAnsi="Book Antiqua" w:cs="Book Antiqua"/>
          <w:sz w:val="22"/>
          <w:szCs w:val="22"/>
        </w:rPr>
        <w:t>i</w:t>
      </w:r>
      <w:r>
        <w:rPr>
          <w:rFonts w:ascii="Book Antiqua" w:eastAsia="Book Antiqua" w:hAnsi="Book Antiqua" w:cs="Book Antiqua"/>
          <w:color w:val="000000"/>
          <w:sz w:val="22"/>
          <w:szCs w:val="22"/>
        </w:rPr>
        <w:t>nfraestr</w:t>
      </w:r>
      <w:r>
        <w:rPr>
          <w:rFonts w:ascii="Book Antiqua" w:eastAsia="Book Antiqua" w:hAnsi="Book Antiqua" w:cs="Book Antiqua"/>
          <w:color w:val="000000"/>
          <w:sz w:val="22"/>
          <w:szCs w:val="22"/>
        </w:rPr>
        <w:t>uctura vial. Como se verá en el siguiente mapa, la conexión intermunicipal es prácticamente inexistente lo que deriva en la necesidad de hacer desplazamientos vía aérea o por rutas peligrosas (trochas) en varias horas o días que bien podrían mejorarse a tr</w:t>
      </w:r>
      <w:r>
        <w:rPr>
          <w:rFonts w:ascii="Book Antiqua" w:eastAsia="Book Antiqua" w:hAnsi="Book Antiqua" w:cs="Book Antiqua"/>
          <w:color w:val="000000"/>
          <w:sz w:val="22"/>
          <w:szCs w:val="22"/>
        </w:rPr>
        <w:t xml:space="preserve">avés de la inversión de recursos públicos. </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22"/>
          <w:szCs w:val="22"/>
        </w:rPr>
      </w:pPr>
      <w:r>
        <w:rPr>
          <w:rFonts w:ascii="Book Antiqua" w:eastAsia="Book Antiqua" w:hAnsi="Book Antiqua" w:cs="Book Antiqua"/>
          <w:noProof/>
          <w:color w:val="000000"/>
          <w:sz w:val="22"/>
          <w:szCs w:val="22"/>
        </w:rPr>
        <w:drawing>
          <wp:inline distT="0" distB="0" distL="0" distR="0">
            <wp:extent cx="3409950" cy="360603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409950" cy="3606030"/>
                    </a:xfrm>
                    <a:prstGeom prst="rect">
                      <a:avLst/>
                    </a:prstGeom>
                    <a:ln/>
                  </pic:spPr>
                </pic:pic>
              </a:graphicData>
            </a:graphic>
          </wp:inline>
        </w:drawing>
      </w: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Red Carretera de Colombia - 2014</w:t>
      </w:r>
    </w:p>
    <w:p w:rsidR="00F14C90" w:rsidRDefault="007869F2">
      <w:pPr>
        <w:pBdr>
          <w:top w:val="nil"/>
          <w:left w:val="nil"/>
          <w:bottom w:val="nil"/>
          <w:right w:val="nil"/>
          <w:between w:val="nil"/>
        </w:pBdr>
        <w:spacing w:line="276" w:lineRule="auto"/>
        <w:jc w:val="center"/>
        <w:rPr>
          <w:rFonts w:ascii="Book Antiqua" w:eastAsia="Book Antiqua" w:hAnsi="Book Antiqua" w:cs="Book Antiqua"/>
          <w:color w:val="000000"/>
          <w:sz w:val="14"/>
          <w:szCs w:val="14"/>
        </w:rPr>
      </w:pPr>
      <w:r>
        <w:rPr>
          <w:rFonts w:ascii="Book Antiqua" w:eastAsia="Book Antiqua" w:hAnsi="Book Antiqua" w:cs="Book Antiqua"/>
          <w:color w:val="000000"/>
          <w:sz w:val="14"/>
          <w:szCs w:val="14"/>
        </w:rPr>
        <w:t>Fuente: Ministerio de Transporte</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numPr>
          <w:ilvl w:val="0"/>
          <w:numId w:val="3"/>
        </w:num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 xml:space="preserve">División </w:t>
      </w:r>
      <w:r>
        <w:rPr>
          <w:rFonts w:ascii="Book Antiqua" w:eastAsia="Book Antiqua" w:hAnsi="Book Antiqua" w:cs="Book Antiqua"/>
          <w:b/>
          <w:sz w:val="22"/>
          <w:szCs w:val="22"/>
        </w:rPr>
        <w:t>P</w:t>
      </w:r>
      <w:r>
        <w:rPr>
          <w:rFonts w:ascii="Book Antiqua" w:eastAsia="Book Antiqua" w:hAnsi="Book Antiqua" w:cs="Book Antiqua"/>
          <w:b/>
          <w:color w:val="000000"/>
          <w:sz w:val="22"/>
          <w:szCs w:val="22"/>
        </w:rPr>
        <w:t xml:space="preserve">olítico </w:t>
      </w:r>
      <w:r>
        <w:rPr>
          <w:rFonts w:ascii="Book Antiqua" w:eastAsia="Book Antiqua" w:hAnsi="Book Antiqua" w:cs="Book Antiqua"/>
          <w:b/>
          <w:sz w:val="22"/>
          <w:szCs w:val="22"/>
        </w:rPr>
        <w:t>A</w:t>
      </w:r>
      <w:r>
        <w:rPr>
          <w:rFonts w:ascii="Book Antiqua" w:eastAsia="Book Antiqua" w:hAnsi="Book Antiqua" w:cs="Book Antiqua"/>
          <w:b/>
          <w:color w:val="000000"/>
          <w:sz w:val="22"/>
          <w:szCs w:val="22"/>
        </w:rPr>
        <w:t xml:space="preserve">dministrativa de la </w:t>
      </w:r>
      <w:r>
        <w:rPr>
          <w:rFonts w:ascii="Book Antiqua" w:eastAsia="Book Antiqua" w:hAnsi="Book Antiqua" w:cs="Book Antiqua"/>
          <w:b/>
          <w:sz w:val="22"/>
          <w:szCs w:val="22"/>
        </w:rPr>
        <w:t>R</w:t>
      </w:r>
      <w:r>
        <w:rPr>
          <w:rFonts w:ascii="Book Antiqua" w:eastAsia="Book Antiqua" w:hAnsi="Book Antiqua" w:cs="Book Antiqua"/>
          <w:b/>
          <w:color w:val="000000"/>
          <w:sz w:val="22"/>
          <w:szCs w:val="22"/>
        </w:rPr>
        <w:t xml:space="preserve">egión </w:t>
      </w:r>
    </w:p>
    <w:p w:rsidR="00F14C90" w:rsidRDefault="00F14C90">
      <w:pPr>
        <w:pBdr>
          <w:top w:val="nil"/>
          <w:left w:val="nil"/>
          <w:bottom w:val="nil"/>
          <w:right w:val="nil"/>
          <w:between w:val="nil"/>
        </w:pBdr>
        <w:spacing w:line="276" w:lineRule="auto"/>
        <w:ind w:left="72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 xml:space="preserve">La incorporación de la </w:t>
      </w:r>
      <w:r>
        <w:rPr>
          <w:rFonts w:ascii="Book Antiqua" w:eastAsia="Book Antiqua" w:hAnsi="Book Antiqua" w:cs="Book Antiqua"/>
          <w:sz w:val="22"/>
          <w:szCs w:val="22"/>
        </w:rPr>
        <w:t>R</w:t>
      </w:r>
      <w:r>
        <w:rPr>
          <w:rFonts w:ascii="Book Antiqua" w:eastAsia="Book Antiqua" w:hAnsi="Book Antiqua" w:cs="Book Antiqua"/>
          <w:color w:val="000000"/>
          <w:sz w:val="22"/>
          <w:szCs w:val="22"/>
        </w:rPr>
        <w:t xml:space="preserve">egión </w:t>
      </w:r>
      <w:r>
        <w:rPr>
          <w:rFonts w:ascii="Book Antiqua" w:eastAsia="Book Antiqua" w:hAnsi="Book Antiqua" w:cs="Book Antiqua"/>
          <w:sz w:val="22"/>
          <w:szCs w:val="22"/>
        </w:rPr>
        <w:t>Amazonía</w:t>
      </w:r>
      <w:r>
        <w:rPr>
          <w:rFonts w:ascii="Book Antiqua" w:eastAsia="Book Antiqua" w:hAnsi="Book Antiqua" w:cs="Book Antiqua"/>
          <w:color w:val="000000"/>
          <w:sz w:val="22"/>
          <w:szCs w:val="22"/>
        </w:rPr>
        <w:t xml:space="preserve"> a las reglas especiales contenidas en el artículo 310 Constitucional, no implica la creación de una nueva entidad territorial. Por el contrario, lo que se pretende con este proyecto de Acto Legislativo es la consolidación de las entidades territoriales qu</w:t>
      </w:r>
      <w:r>
        <w:rPr>
          <w:rFonts w:ascii="Book Antiqua" w:eastAsia="Book Antiqua" w:hAnsi="Book Antiqua" w:cs="Book Antiqua"/>
          <w:color w:val="000000"/>
          <w:sz w:val="22"/>
          <w:szCs w:val="22"/>
        </w:rPr>
        <w:t>e hacen parte de esta región, incluidos los resguardos indígenas, e incrementar la presencia del Estado, a fin de mejorar las condiciones de vida de quienes habitan allí, garantizar la protección y conservación de este patrimonio de la humanidad y, por últ</w:t>
      </w:r>
      <w:r>
        <w:rPr>
          <w:rFonts w:ascii="Book Antiqua" w:eastAsia="Book Antiqua" w:hAnsi="Book Antiqua" w:cs="Book Antiqua"/>
          <w:color w:val="000000"/>
          <w:sz w:val="22"/>
          <w:szCs w:val="22"/>
        </w:rPr>
        <w:t>imo, incrementar los procesos de investigación que permitan conocer más profundamente las riquezas de este territorio para aprovecharlas de manera sostenible y, con ello, asegurar su preservación para las futuras generaciones.</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Como se mostró al inicio</w:t>
      </w:r>
      <w:r>
        <w:rPr>
          <w:rFonts w:ascii="Book Antiqua" w:eastAsia="Book Antiqua" w:hAnsi="Book Antiqua" w:cs="Book Antiqua"/>
          <w:sz w:val="22"/>
          <w:szCs w:val="22"/>
        </w:rPr>
        <w:t>, la</w:t>
      </w:r>
      <w:r>
        <w:rPr>
          <w:rFonts w:ascii="Book Antiqua" w:eastAsia="Book Antiqua" w:hAnsi="Book Antiqua" w:cs="Book Antiqua"/>
          <w:color w:val="000000"/>
          <w:sz w:val="22"/>
          <w:szCs w:val="22"/>
        </w:rPr>
        <w:t xml:space="preserve"> </w:t>
      </w:r>
      <w:r>
        <w:rPr>
          <w:rFonts w:ascii="Book Antiqua" w:eastAsia="Book Antiqua" w:hAnsi="Book Antiqua" w:cs="Book Antiqua"/>
          <w:sz w:val="22"/>
          <w:szCs w:val="22"/>
        </w:rPr>
        <w:t>Re</w:t>
      </w:r>
      <w:r>
        <w:rPr>
          <w:rFonts w:ascii="Book Antiqua" w:eastAsia="Book Antiqua" w:hAnsi="Book Antiqua" w:cs="Book Antiqua"/>
          <w:color w:val="000000"/>
          <w:sz w:val="22"/>
          <w:szCs w:val="22"/>
        </w:rPr>
        <w:t xml:space="preserve">gión </w:t>
      </w:r>
      <w:r>
        <w:rPr>
          <w:rFonts w:ascii="Book Antiqua" w:eastAsia="Book Antiqua" w:hAnsi="Book Antiqua" w:cs="Book Antiqua"/>
          <w:sz w:val="22"/>
          <w:szCs w:val="22"/>
        </w:rPr>
        <w:t>A</w:t>
      </w:r>
      <w:r>
        <w:rPr>
          <w:rFonts w:ascii="Book Antiqua" w:eastAsia="Book Antiqua" w:hAnsi="Book Antiqua" w:cs="Book Antiqua"/>
          <w:color w:val="000000"/>
          <w:sz w:val="22"/>
          <w:szCs w:val="22"/>
        </w:rPr>
        <w:t>mazonía ocupa no sólo los territorios completos de seis (6</w:t>
      </w:r>
      <w:r>
        <w:rPr>
          <w:rFonts w:ascii="Book Antiqua" w:eastAsia="Book Antiqua" w:hAnsi="Book Antiqua" w:cs="Book Antiqua"/>
          <w:sz w:val="22"/>
          <w:szCs w:val="22"/>
        </w:rPr>
        <w:t>) departamentos</w:t>
      </w:r>
      <w:r>
        <w:rPr>
          <w:rFonts w:ascii="Book Antiqua" w:eastAsia="Book Antiqua" w:hAnsi="Book Antiqua" w:cs="Book Antiqua"/>
          <w:color w:val="000000"/>
          <w:sz w:val="22"/>
          <w:szCs w:val="22"/>
        </w:rPr>
        <w:t xml:space="preserve">, sino, también, fracciones de otros cuatro (4), situación que </w:t>
      </w:r>
      <w:r>
        <w:rPr>
          <w:rFonts w:ascii="Book Antiqua" w:eastAsia="Book Antiqua" w:hAnsi="Book Antiqua" w:cs="Book Antiqua"/>
          <w:sz w:val="22"/>
          <w:szCs w:val="22"/>
        </w:rPr>
        <w:t>e</w:t>
      </w:r>
      <w:r>
        <w:rPr>
          <w:rFonts w:ascii="Book Antiqua" w:eastAsia="Book Antiqua" w:hAnsi="Book Antiqua" w:cs="Book Antiqua"/>
          <w:color w:val="000000"/>
          <w:sz w:val="22"/>
          <w:szCs w:val="22"/>
        </w:rPr>
        <w:t>stá plenamente reconocida por las instituciones estatales de diferente índole que tienen competencias en estas</w:t>
      </w:r>
      <w:r>
        <w:rPr>
          <w:rFonts w:ascii="Book Antiqua" w:eastAsia="Book Antiqua" w:hAnsi="Book Antiqua" w:cs="Book Antiqua"/>
          <w:color w:val="000000"/>
          <w:sz w:val="22"/>
          <w:szCs w:val="22"/>
        </w:rPr>
        <w:t xml:space="preserve"> áreas</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fracciones que en su mayoría son </w:t>
      </w:r>
      <w:r>
        <w:rPr>
          <w:rFonts w:ascii="Book Antiqua" w:eastAsia="Book Antiqua" w:hAnsi="Book Antiqua" w:cs="Book Antiqua"/>
          <w:sz w:val="22"/>
          <w:szCs w:val="22"/>
        </w:rPr>
        <w:t>P</w:t>
      </w:r>
      <w:r>
        <w:rPr>
          <w:rFonts w:ascii="Book Antiqua" w:eastAsia="Book Antiqua" w:hAnsi="Book Antiqua" w:cs="Book Antiqua"/>
          <w:color w:val="000000"/>
          <w:sz w:val="22"/>
          <w:szCs w:val="22"/>
        </w:rPr>
        <w:t>arques Natural</w:t>
      </w:r>
      <w:r>
        <w:rPr>
          <w:rFonts w:ascii="Book Antiqua" w:eastAsia="Book Antiqua" w:hAnsi="Book Antiqua" w:cs="Book Antiqua"/>
          <w:sz w:val="22"/>
          <w:szCs w:val="22"/>
        </w:rPr>
        <w:t>es</w:t>
      </w:r>
      <w:r>
        <w:rPr>
          <w:rFonts w:ascii="Book Antiqua" w:eastAsia="Book Antiqua" w:hAnsi="Book Antiqua" w:cs="Book Antiqua"/>
          <w:color w:val="000000"/>
          <w:sz w:val="22"/>
          <w:szCs w:val="22"/>
        </w:rPr>
        <w:t xml:space="preserve"> Nacionales</w:t>
      </w:r>
      <w:r>
        <w:rPr>
          <w:rFonts w:ascii="Book Antiqua" w:eastAsia="Book Antiqua" w:hAnsi="Book Antiqua" w:cs="Book Antiqua"/>
          <w:sz w:val="22"/>
          <w:szCs w:val="22"/>
        </w:rPr>
        <w:t>, que</w:t>
      </w:r>
      <w:r>
        <w:rPr>
          <w:rFonts w:ascii="Book Antiqua" w:eastAsia="Book Antiqua" w:hAnsi="Book Antiqua" w:cs="Book Antiqua"/>
          <w:color w:val="000000"/>
          <w:sz w:val="22"/>
          <w:szCs w:val="22"/>
        </w:rPr>
        <w:t xml:space="preserve"> ya cuentan con directrices y normas especiales de protección. </w:t>
      </w: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F14C90">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rsidR="00F14C90" w:rsidRDefault="007869F2">
      <w:pPr>
        <w:pStyle w:val="Ttulo2"/>
        <w:rPr>
          <w:rFonts w:ascii="Book Antiqua" w:eastAsia="Book Antiqua" w:hAnsi="Book Antiqua" w:cs="Book Antiqua"/>
          <w:color w:val="000000"/>
          <w:sz w:val="22"/>
          <w:szCs w:val="22"/>
          <w:u w:val="single"/>
        </w:rPr>
      </w:pPr>
      <w:bookmarkStart w:id="6" w:name="_3dy6vkm" w:colFirst="0" w:colLast="0"/>
      <w:bookmarkEnd w:id="6"/>
      <w:r>
        <w:rPr>
          <w:rFonts w:ascii="Book Antiqua" w:eastAsia="Book Antiqua" w:hAnsi="Book Antiqua" w:cs="Book Antiqua"/>
          <w:color w:val="000000"/>
          <w:sz w:val="22"/>
          <w:szCs w:val="22"/>
          <w:u w:val="single"/>
        </w:rPr>
        <w:t>1.5. ALCANCE</w:t>
      </w:r>
    </w:p>
    <w:p w:rsidR="00F14C90" w:rsidRDefault="00F14C90">
      <w:pPr>
        <w:pBdr>
          <w:top w:val="nil"/>
          <w:left w:val="nil"/>
          <w:bottom w:val="nil"/>
          <w:right w:val="nil"/>
          <w:between w:val="nil"/>
        </w:pBdr>
        <w:spacing w:line="276" w:lineRule="auto"/>
        <w:ind w:left="1080"/>
        <w:jc w:val="both"/>
        <w:rPr>
          <w:rFonts w:ascii="Book Antiqua" w:eastAsia="Book Antiqua" w:hAnsi="Book Antiqua" w:cs="Book Antiqua"/>
          <w:b/>
          <w:color w:val="000000"/>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 xml:space="preserve">Todo lo expuesto, constituye evidencia plena de que existe un rezago muy importante en la capacidad estatal para proveer los servicios básicos a los habitantes de la </w:t>
      </w:r>
      <w:r>
        <w:rPr>
          <w:rFonts w:ascii="Book Antiqua" w:eastAsia="Book Antiqua" w:hAnsi="Book Antiqua" w:cs="Book Antiqua"/>
          <w:sz w:val="22"/>
          <w:szCs w:val="22"/>
        </w:rPr>
        <w:t>Re</w:t>
      </w:r>
      <w:r>
        <w:rPr>
          <w:rFonts w:ascii="Book Antiqua" w:eastAsia="Book Antiqua" w:hAnsi="Book Antiqua" w:cs="Book Antiqua"/>
          <w:color w:val="000000"/>
          <w:sz w:val="22"/>
          <w:szCs w:val="22"/>
        </w:rPr>
        <w:t>gión Amazonía en sus seis (6) departamentos (Amazonas, Caquetá, Guainía, Guaviare, Putum</w:t>
      </w:r>
      <w:r>
        <w:rPr>
          <w:rFonts w:ascii="Book Antiqua" w:eastAsia="Book Antiqua" w:hAnsi="Book Antiqua" w:cs="Book Antiqua"/>
          <w:color w:val="000000"/>
          <w:sz w:val="22"/>
          <w:szCs w:val="22"/>
        </w:rPr>
        <w:t>ayo y Vaupés), por lo que es evidente que se requiere garantizar, desde el orden constitucional, los derechos de la población que habita en esta región</w:t>
      </w:r>
      <w:r>
        <w:rPr>
          <w:rFonts w:ascii="Book Antiqua" w:eastAsia="Book Antiqua" w:hAnsi="Book Antiqua" w:cs="Book Antiqua"/>
          <w:sz w:val="22"/>
          <w:szCs w:val="22"/>
        </w:rPr>
        <w:t>, de</w:t>
      </w:r>
      <w:r>
        <w:rPr>
          <w:rFonts w:ascii="Book Antiqua" w:eastAsia="Book Antiqua" w:hAnsi="Book Antiqua" w:cs="Book Antiqua"/>
          <w:color w:val="000000"/>
          <w:sz w:val="22"/>
          <w:szCs w:val="22"/>
        </w:rPr>
        <w:t xml:space="preserve"> manera que el Estado cuente con las herramientas para establecer medidas de rango legal de tipo trib</w:t>
      </w:r>
      <w:r>
        <w:rPr>
          <w:rFonts w:ascii="Book Antiqua" w:eastAsia="Book Antiqua" w:hAnsi="Book Antiqua" w:cs="Book Antiqua"/>
          <w:color w:val="000000"/>
          <w:sz w:val="22"/>
          <w:szCs w:val="22"/>
        </w:rPr>
        <w:t>utario, administrativo, ambiental, entre otras</w:t>
      </w:r>
      <w:r>
        <w:rPr>
          <w:rFonts w:ascii="Book Antiqua" w:eastAsia="Book Antiqua" w:hAnsi="Book Antiqua" w:cs="Book Antiqua"/>
          <w:sz w:val="22"/>
          <w:szCs w:val="22"/>
        </w:rPr>
        <w:t>; cuyo</w:t>
      </w:r>
      <w:r>
        <w:rPr>
          <w:rFonts w:ascii="Book Antiqua" w:eastAsia="Book Antiqua" w:hAnsi="Book Antiqua" w:cs="Book Antiqua"/>
          <w:color w:val="000000"/>
          <w:sz w:val="22"/>
          <w:szCs w:val="22"/>
        </w:rPr>
        <w:t xml:space="preserve"> objetivo sea asegurar la protección de la riqueza natural de la región y, a su vez, el cumplimiento de los mandatos constitucionales y de los derechos fundamentales de los habitantes de este territorio.</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Como en el caso del departamento de San Andrés, Providencia y Santa Catalina, cuyas condiciones particulares ameritaron que el constituyente de</w:t>
      </w:r>
      <w:r>
        <w:rPr>
          <w:rFonts w:ascii="Book Antiqua" w:eastAsia="Book Antiqua" w:hAnsi="Book Antiqua" w:cs="Book Antiqua"/>
          <w:sz w:val="22"/>
          <w:szCs w:val="22"/>
        </w:rPr>
        <w:t xml:space="preserve"> 19</w:t>
      </w:r>
      <w:r>
        <w:rPr>
          <w:rFonts w:ascii="Book Antiqua" w:eastAsia="Book Antiqua" w:hAnsi="Book Antiqua" w:cs="Book Antiqua"/>
          <w:color w:val="000000"/>
          <w:sz w:val="22"/>
          <w:szCs w:val="22"/>
        </w:rPr>
        <w:t xml:space="preserve">91 estableciera el </w:t>
      </w:r>
      <w:r>
        <w:rPr>
          <w:rFonts w:ascii="Book Antiqua" w:eastAsia="Book Antiqua" w:hAnsi="Book Antiqua" w:cs="Book Antiqua"/>
          <w:sz w:val="22"/>
          <w:szCs w:val="22"/>
        </w:rPr>
        <w:t>Ré</w:t>
      </w:r>
      <w:r>
        <w:rPr>
          <w:rFonts w:ascii="Book Antiqua" w:eastAsia="Book Antiqua" w:hAnsi="Book Antiqua" w:cs="Book Antiqua"/>
          <w:color w:val="000000"/>
          <w:sz w:val="22"/>
          <w:szCs w:val="22"/>
        </w:rPr>
        <w:t xml:space="preserve">gimen Especial hoy previsto en el artículo 310 Constitucional, la </w:t>
      </w:r>
      <w:r>
        <w:rPr>
          <w:rFonts w:ascii="Book Antiqua" w:eastAsia="Book Antiqua" w:hAnsi="Book Antiqua" w:cs="Book Antiqua"/>
          <w:sz w:val="22"/>
          <w:szCs w:val="22"/>
        </w:rPr>
        <w:t>R</w:t>
      </w:r>
      <w:r>
        <w:rPr>
          <w:rFonts w:ascii="Book Antiqua" w:eastAsia="Book Antiqua" w:hAnsi="Book Antiqua" w:cs="Book Antiqua"/>
          <w:color w:val="000000"/>
          <w:sz w:val="22"/>
          <w:szCs w:val="22"/>
        </w:rPr>
        <w:t xml:space="preserve">egión Amazonía tiene </w:t>
      </w:r>
      <w:r>
        <w:rPr>
          <w:rFonts w:ascii="Book Antiqua" w:eastAsia="Book Antiqua" w:hAnsi="Book Antiqua" w:cs="Book Antiqua"/>
          <w:color w:val="000000"/>
          <w:sz w:val="22"/>
          <w:szCs w:val="22"/>
        </w:rPr>
        <w:t>características que la hacen diferente a las demás regiones del país, por lo que, al igual que para el caso de San Andrés, es necesario contar con la facultad de establecer normas especiales en materia administrativa, de inmigración, fiscal, de comercio ex</w:t>
      </w:r>
      <w:r>
        <w:rPr>
          <w:rFonts w:ascii="Book Antiqua" w:eastAsia="Book Antiqua" w:hAnsi="Book Antiqua" w:cs="Book Antiqua"/>
          <w:color w:val="000000"/>
          <w:sz w:val="22"/>
          <w:szCs w:val="22"/>
        </w:rPr>
        <w:t>terior, de cambios, financiera y de fomento económico que ayuden al desarrollo sostenible de la región y a mejorar la vida de sus habitantes.</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pBdr>
          <w:top w:val="nil"/>
          <w:left w:val="nil"/>
          <w:bottom w:val="nil"/>
          <w:right w:val="nil"/>
          <w:between w:val="nil"/>
        </w:pBdr>
        <w:spacing w:line="276" w:lineRule="auto"/>
        <w:jc w:val="both"/>
        <w:rPr>
          <w:rFonts w:ascii="Book Antiqua" w:eastAsia="Book Antiqua" w:hAnsi="Book Antiqua" w:cs="Book Antiqua"/>
          <w:sz w:val="22"/>
          <w:szCs w:val="22"/>
        </w:rPr>
      </w:pPr>
      <w:r>
        <w:rPr>
          <w:rFonts w:ascii="Book Antiqua" w:eastAsia="Book Antiqua" w:hAnsi="Book Antiqua" w:cs="Book Antiqua"/>
          <w:color w:val="000000"/>
          <w:sz w:val="22"/>
          <w:szCs w:val="22"/>
        </w:rPr>
        <w:t>Con la a</w:t>
      </w:r>
      <w:r>
        <w:rPr>
          <w:rFonts w:ascii="Book Antiqua" w:eastAsia="Book Antiqua" w:hAnsi="Book Antiqua" w:cs="Book Antiqua"/>
          <w:sz w:val="22"/>
          <w:szCs w:val="22"/>
        </w:rPr>
        <w:t>prob</w:t>
      </w:r>
      <w:r>
        <w:rPr>
          <w:rFonts w:ascii="Book Antiqua" w:eastAsia="Book Antiqua" w:hAnsi="Book Antiqua" w:cs="Book Antiqua"/>
          <w:color w:val="000000"/>
          <w:sz w:val="22"/>
          <w:szCs w:val="22"/>
        </w:rPr>
        <w:t>ación de este proyecto de Acto Legislativo, se lograría avanzar en la consolidación de un país más eq</w:t>
      </w:r>
      <w:r>
        <w:rPr>
          <w:rFonts w:ascii="Book Antiqua" w:eastAsia="Book Antiqua" w:hAnsi="Book Antiqua" w:cs="Book Antiqua"/>
          <w:color w:val="000000"/>
          <w:sz w:val="22"/>
          <w:szCs w:val="22"/>
        </w:rPr>
        <w:t>uitativo y una región con mayores posibilidades de cumplir con los fines esenciales de la población y el Estado.</w:t>
      </w:r>
    </w:p>
    <w:p w:rsidR="00F14C90" w:rsidRDefault="00F14C90">
      <w:pPr>
        <w:pBdr>
          <w:top w:val="nil"/>
          <w:left w:val="nil"/>
          <w:bottom w:val="nil"/>
          <w:right w:val="nil"/>
          <w:between w:val="nil"/>
        </w:pBdr>
        <w:spacing w:line="276" w:lineRule="auto"/>
        <w:jc w:val="both"/>
        <w:rPr>
          <w:rFonts w:ascii="Book Antiqua" w:eastAsia="Book Antiqua" w:hAnsi="Book Antiqua" w:cs="Book Antiqua"/>
          <w:sz w:val="22"/>
          <w:szCs w:val="22"/>
        </w:rPr>
      </w:pPr>
    </w:p>
    <w:p w:rsidR="00F14C90" w:rsidRDefault="007869F2">
      <w:pPr>
        <w:tabs>
          <w:tab w:val="left" w:pos="8505"/>
          <w:tab w:val="left" w:pos="8789"/>
        </w:tabs>
        <w:rPr>
          <w:rFonts w:ascii="Book Antiqua" w:eastAsia="Book Antiqua" w:hAnsi="Book Antiqua" w:cs="Book Antiqua"/>
          <w:sz w:val="22"/>
          <w:szCs w:val="22"/>
        </w:rPr>
      </w:pPr>
      <w:r>
        <w:rPr>
          <w:rFonts w:ascii="Book Antiqua" w:eastAsia="Book Antiqua" w:hAnsi="Book Antiqua" w:cs="Book Antiqua"/>
          <w:sz w:val="22"/>
          <w:szCs w:val="22"/>
          <w:highlight w:val="white"/>
        </w:rPr>
        <w:t>De los honorables congresistas,</w:t>
      </w:r>
    </w:p>
    <w:p w:rsidR="00F14C90" w:rsidRDefault="00F14C90">
      <w:pPr>
        <w:tabs>
          <w:tab w:val="left" w:pos="8505"/>
          <w:tab w:val="left" w:pos="8789"/>
        </w:tabs>
        <w:rPr>
          <w:rFonts w:ascii="Book Antiqua" w:eastAsia="Book Antiqua" w:hAnsi="Book Antiqua" w:cs="Book Antiqua"/>
          <w:sz w:val="22"/>
          <w:szCs w:val="22"/>
        </w:rPr>
      </w:pPr>
    </w:p>
    <w:p w:rsidR="00F14C90" w:rsidRDefault="00F14C90">
      <w:pPr>
        <w:tabs>
          <w:tab w:val="left" w:pos="8505"/>
          <w:tab w:val="left" w:pos="8789"/>
        </w:tabs>
        <w:rPr>
          <w:rFonts w:ascii="Arial" w:eastAsia="Arial" w:hAnsi="Arial" w:cs="Arial"/>
          <w:sz w:val="24"/>
          <w:szCs w:val="24"/>
        </w:rPr>
      </w:pPr>
    </w:p>
    <w:p w:rsidR="00F14C90" w:rsidRDefault="00F14C90">
      <w:pPr>
        <w:spacing w:line="276" w:lineRule="auto"/>
        <w:jc w:val="both"/>
        <w:rPr>
          <w:rFonts w:ascii="Arial" w:eastAsia="Arial" w:hAnsi="Arial" w:cs="Arial"/>
          <w:sz w:val="24"/>
          <w:szCs w:val="24"/>
        </w:rPr>
      </w:pPr>
    </w:p>
    <w:p w:rsidR="00F14C90" w:rsidRDefault="00F14C90">
      <w:pPr>
        <w:spacing w:line="276" w:lineRule="auto"/>
        <w:jc w:val="both"/>
        <w:rPr>
          <w:rFonts w:ascii="Arial" w:eastAsia="Arial" w:hAnsi="Arial" w:cs="Arial"/>
          <w:sz w:val="24"/>
          <w:szCs w:val="24"/>
        </w:rPr>
      </w:pPr>
    </w:p>
    <w:p w:rsidR="00F14C90" w:rsidRDefault="00F14C90">
      <w:pPr>
        <w:spacing w:after="160" w:line="259" w:lineRule="auto"/>
        <w:rPr>
          <w:rFonts w:ascii="Arial" w:eastAsia="Arial" w:hAnsi="Arial" w:cs="Arial"/>
          <w:sz w:val="24"/>
          <w:szCs w:val="24"/>
        </w:rPr>
      </w:pPr>
    </w:p>
    <w:p w:rsidR="00F14C90" w:rsidRDefault="007869F2">
      <w:pPr>
        <w:jc w:val="both"/>
        <w:rPr>
          <w:rFonts w:ascii="Arial" w:eastAsia="Arial" w:hAnsi="Arial" w:cs="Arial"/>
          <w:b/>
          <w:sz w:val="24"/>
          <w:szCs w:val="24"/>
        </w:rPr>
      </w:pPr>
      <w:r>
        <w:rPr>
          <w:rFonts w:ascii="Arial" w:eastAsia="Arial" w:hAnsi="Arial" w:cs="Arial"/>
          <w:b/>
          <w:sz w:val="24"/>
          <w:szCs w:val="24"/>
        </w:rPr>
        <w:t xml:space="preserve">YENICA SUGEIN ACOSTA INFANTE      </w:t>
      </w:r>
      <w:r>
        <w:rPr>
          <w:rFonts w:ascii="Arial" w:eastAsia="Arial" w:hAnsi="Arial" w:cs="Arial"/>
          <w:b/>
          <w:sz w:val="24"/>
          <w:szCs w:val="24"/>
        </w:rPr>
        <w:tab/>
        <w:t xml:space="preserve">PALOMA VALENCIA LASERNA </w:t>
      </w:r>
    </w:p>
    <w:p w:rsidR="00F14C90" w:rsidRDefault="007869F2">
      <w:pPr>
        <w:jc w:val="both"/>
        <w:rPr>
          <w:rFonts w:ascii="Arial" w:eastAsia="Arial" w:hAnsi="Arial" w:cs="Arial"/>
          <w:sz w:val="24"/>
          <w:szCs w:val="24"/>
        </w:rPr>
      </w:pPr>
      <w:r>
        <w:rPr>
          <w:rFonts w:ascii="Arial" w:eastAsia="Arial" w:hAnsi="Arial" w:cs="Arial"/>
          <w:sz w:val="24"/>
          <w:szCs w:val="24"/>
        </w:rPr>
        <w:t xml:space="preserve">        Representante a la Cámara</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 xml:space="preserve">      Senadora de la Republica </w:t>
      </w:r>
    </w:p>
    <w:p w:rsidR="00F14C90" w:rsidRDefault="007869F2">
      <w:pPr>
        <w:jc w:val="both"/>
        <w:rPr>
          <w:rFonts w:ascii="Arial" w:eastAsia="Arial" w:hAnsi="Arial" w:cs="Arial"/>
          <w:sz w:val="24"/>
          <w:szCs w:val="24"/>
        </w:rPr>
      </w:pPr>
      <w:r>
        <w:rPr>
          <w:rFonts w:ascii="Arial" w:eastAsia="Arial" w:hAnsi="Arial" w:cs="Arial"/>
          <w:sz w:val="24"/>
          <w:szCs w:val="24"/>
        </w:rPr>
        <w:t xml:space="preserve">       Departamento del Amazonas                         </w:t>
      </w: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rPr>
          <w:rFonts w:ascii="Arial" w:eastAsia="Arial" w:hAnsi="Arial" w:cs="Arial"/>
          <w:b/>
          <w:sz w:val="24"/>
          <w:szCs w:val="24"/>
        </w:rPr>
      </w:pPr>
    </w:p>
    <w:p w:rsidR="00F14C90" w:rsidRDefault="00F14C90">
      <w:pPr>
        <w:rPr>
          <w:rFonts w:ascii="Arial" w:eastAsia="Arial" w:hAnsi="Arial" w:cs="Arial"/>
          <w:b/>
          <w:sz w:val="24"/>
          <w:szCs w:val="24"/>
        </w:rPr>
      </w:pPr>
    </w:p>
    <w:p w:rsidR="00F14C90" w:rsidRDefault="007869F2">
      <w:pPr>
        <w:rPr>
          <w:rFonts w:ascii="Arial" w:eastAsia="Arial" w:hAnsi="Arial" w:cs="Arial"/>
          <w:sz w:val="24"/>
          <w:szCs w:val="24"/>
        </w:rPr>
      </w:pPr>
      <w:r>
        <w:rPr>
          <w:rFonts w:ascii="Arial" w:eastAsia="Arial" w:hAnsi="Arial" w:cs="Arial"/>
          <w:b/>
          <w:sz w:val="24"/>
          <w:szCs w:val="24"/>
        </w:rPr>
        <w:t xml:space="preserve"> ANATOLIO HERNÁNDEZ LOZANO           </w:t>
      </w:r>
      <w:r>
        <w:rPr>
          <w:rFonts w:ascii="Arial" w:eastAsia="Arial" w:hAnsi="Arial" w:cs="Arial"/>
          <w:b/>
        </w:rPr>
        <w:t>MÓNICA LILIANA VALENCIA MONTAÑA</w:t>
      </w:r>
    </w:p>
    <w:p w:rsidR="00F14C90" w:rsidRDefault="007869F2">
      <w:pPr>
        <w:jc w:val="both"/>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jc w:val="both"/>
        <w:rPr>
          <w:rFonts w:ascii="Arial" w:eastAsia="Arial" w:hAnsi="Arial" w:cs="Arial"/>
          <w:sz w:val="24"/>
          <w:szCs w:val="24"/>
        </w:rPr>
      </w:pPr>
      <w:r>
        <w:rPr>
          <w:rFonts w:ascii="Arial" w:eastAsia="Arial" w:hAnsi="Arial" w:cs="Arial"/>
          <w:sz w:val="24"/>
          <w:szCs w:val="24"/>
        </w:rPr>
        <w:t xml:space="preserve">          Departamento del Guainía                          Departamento del Vaupés</w:t>
      </w: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7869F2">
      <w:pPr>
        <w:rPr>
          <w:rFonts w:ascii="Arial" w:eastAsia="Arial" w:hAnsi="Arial" w:cs="Arial"/>
          <w:b/>
        </w:rPr>
      </w:pPr>
      <w:r>
        <w:rPr>
          <w:rFonts w:ascii="Arial" w:eastAsia="Arial" w:hAnsi="Arial" w:cs="Arial"/>
          <w:b/>
          <w:sz w:val="22"/>
          <w:szCs w:val="22"/>
        </w:rPr>
        <w:t xml:space="preserve">EDWIN ALBERTO VALDÉS RODRÍGUEZ        </w:t>
      </w:r>
      <w:r>
        <w:rPr>
          <w:rFonts w:ascii="Arial" w:eastAsia="Arial" w:hAnsi="Arial" w:cs="Arial"/>
          <w:b/>
        </w:rPr>
        <w:t>HENRY FERNANDO CORREAL HERRERA</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w:t>
      </w:r>
      <w:r>
        <w:rPr>
          <w:rFonts w:ascii="Arial" w:eastAsia="Arial" w:hAnsi="Arial" w:cs="Arial"/>
          <w:sz w:val="24"/>
          <w:szCs w:val="24"/>
        </w:rPr>
        <w:t>epartamento del Caquetá                         Departamento del Vaupés</w:t>
      </w:r>
    </w:p>
    <w:p w:rsidR="00F14C90" w:rsidRDefault="00F14C90">
      <w:pPr>
        <w:jc w:val="both"/>
        <w:rPr>
          <w:rFonts w:ascii="Arial" w:eastAsia="Arial" w:hAnsi="Arial" w:cs="Arial"/>
          <w:sz w:val="24"/>
          <w:szCs w:val="24"/>
        </w:rPr>
      </w:pPr>
    </w:p>
    <w:p w:rsidR="00F14C90" w:rsidRDefault="007869F2">
      <w:pPr>
        <w:spacing w:after="160"/>
        <w:rPr>
          <w:rFonts w:ascii="Arial" w:eastAsia="Arial" w:hAnsi="Arial" w:cs="Arial"/>
          <w:sz w:val="24"/>
          <w:szCs w:val="24"/>
        </w:rPr>
      </w:pPr>
      <w:r>
        <w:rPr>
          <w:rFonts w:ascii="Arial" w:eastAsia="Arial" w:hAnsi="Arial" w:cs="Arial"/>
          <w:sz w:val="24"/>
          <w:szCs w:val="24"/>
        </w:rPr>
        <w:t xml:space="preserve"> </w:t>
      </w:r>
    </w:p>
    <w:p w:rsidR="00F14C90" w:rsidRDefault="00F14C90">
      <w:pPr>
        <w:spacing w:after="160"/>
        <w:rPr>
          <w:rFonts w:ascii="Arial" w:eastAsia="Arial" w:hAnsi="Arial" w:cs="Arial"/>
          <w:sz w:val="24"/>
          <w:szCs w:val="24"/>
        </w:rPr>
      </w:pPr>
    </w:p>
    <w:p w:rsidR="00F14C90" w:rsidRDefault="00F14C90">
      <w:pPr>
        <w:spacing w:after="160"/>
        <w:rPr>
          <w:rFonts w:ascii="Arial" w:eastAsia="Arial" w:hAnsi="Arial" w:cs="Arial"/>
          <w:sz w:val="24"/>
          <w:szCs w:val="24"/>
        </w:rPr>
      </w:pPr>
    </w:p>
    <w:p w:rsidR="00F14C90" w:rsidRDefault="00F14C90">
      <w:pPr>
        <w:tabs>
          <w:tab w:val="left" w:pos="6255"/>
        </w:tabs>
        <w:rPr>
          <w:rFonts w:ascii="Arial" w:eastAsia="Arial" w:hAnsi="Arial" w:cs="Arial"/>
          <w:b/>
          <w:sz w:val="24"/>
          <w:szCs w:val="24"/>
        </w:rPr>
      </w:pPr>
    </w:p>
    <w:p w:rsidR="00F14C90" w:rsidRDefault="00F14C90">
      <w:pPr>
        <w:tabs>
          <w:tab w:val="left" w:pos="6255"/>
        </w:tabs>
        <w:rPr>
          <w:rFonts w:ascii="Arial" w:eastAsia="Arial" w:hAnsi="Arial" w:cs="Arial"/>
          <w:b/>
          <w:sz w:val="24"/>
          <w:szCs w:val="24"/>
        </w:rPr>
      </w:pPr>
    </w:p>
    <w:p w:rsidR="00F14C90" w:rsidRDefault="007869F2">
      <w:pPr>
        <w:tabs>
          <w:tab w:val="left" w:pos="6255"/>
        </w:tabs>
        <w:rPr>
          <w:rFonts w:ascii="Arial" w:eastAsia="Arial" w:hAnsi="Arial" w:cs="Arial"/>
          <w:b/>
          <w:sz w:val="24"/>
          <w:szCs w:val="24"/>
        </w:rPr>
      </w:pPr>
      <w:r>
        <w:rPr>
          <w:rFonts w:ascii="Arial" w:eastAsia="Arial" w:hAnsi="Arial" w:cs="Arial"/>
          <w:b/>
          <w:sz w:val="24"/>
          <w:szCs w:val="24"/>
        </w:rPr>
        <w:t xml:space="preserve">     CHRISTIAN GARCÉS ALJURE                             JUAN DAVID VÉLEZ</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del Valle del Cauca                        Colombianos en el Exterior</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b/>
          <w:sz w:val="24"/>
          <w:szCs w:val="24"/>
        </w:rPr>
      </w:pPr>
    </w:p>
    <w:p w:rsidR="00F14C90" w:rsidRDefault="007869F2">
      <w:pPr>
        <w:rPr>
          <w:rFonts w:ascii="Arial" w:eastAsia="Arial" w:hAnsi="Arial" w:cs="Arial"/>
          <w:sz w:val="24"/>
          <w:szCs w:val="24"/>
        </w:rPr>
      </w:pPr>
      <w:r>
        <w:rPr>
          <w:rFonts w:ascii="Arial" w:eastAsia="Arial" w:hAnsi="Arial" w:cs="Arial"/>
          <w:b/>
          <w:sz w:val="22"/>
          <w:szCs w:val="22"/>
        </w:rPr>
        <w:t xml:space="preserve">     EDWIN GILBERTO BALLESTEROS</w:t>
      </w:r>
      <w:r>
        <w:rPr>
          <w:rFonts w:ascii="Arial" w:eastAsia="Arial" w:hAnsi="Arial" w:cs="Arial"/>
          <w:b/>
          <w:sz w:val="22"/>
          <w:szCs w:val="22"/>
        </w:rPr>
        <w:tab/>
        <w:t xml:space="preserve">        GABRIEL JAIME VELASCO OCAMPO</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t xml:space="preserve">   Senador (a)                          </w:t>
      </w:r>
    </w:p>
    <w:p w:rsidR="00F14C90" w:rsidRDefault="007869F2">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 xml:space="preserve">  Departamento de Santander                  </w:t>
      </w:r>
      <w:r>
        <w:rPr>
          <w:rFonts w:ascii="Arial" w:eastAsia="Arial" w:hAnsi="Arial" w:cs="Arial"/>
          <w:sz w:val="24"/>
          <w:szCs w:val="24"/>
        </w:rPr>
        <w:tab/>
      </w:r>
      <w:r>
        <w:rPr>
          <w:rFonts w:ascii="Arial" w:eastAsia="Arial" w:hAnsi="Arial" w:cs="Arial"/>
          <w:sz w:val="24"/>
          <w:szCs w:val="24"/>
        </w:rPr>
        <w:tab/>
        <w:t>de la Republica</w:t>
      </w:r>
    </w:p>
    <w:p w:rsidR="00F14C90" w:rsidRDefault="00F14C90">
      <w:pPr>
        <w:spacing w:after="160"/>
      </w:pPr>
    </w:p>
    <w:p w:rsidR="00F14C90" w:rsidRDefault="007869F2">
      <w:pPr>
        <w:tabs>
          <w:tab w:val="left" w:pos="6765"/>
        </w:tabs>
        <w:spacing w:after="160"/>
        <w:rPr>
          <w:rFonts w:ascii="Arial" w:eastAsia="Arial" w:hAnsi="Arial" w:cs="Arial"/>
          <w:sz w:val="24"/>
          <w:szCs w:val="24"/>
        </w:rPr>
      </w:pPr>
      <w:r>
        <w:rPr>
          <w:rFonts w:ascii="Arial" w:eastAsia="Arial" w:hAnsi="Arial" w:cs="Arial"/>
          <w:sz w:val="24"/>
          <w:szCs w:val="24"/>
        </w:rPr>
        <w:tab/>
      </w:r>
    </w:p>
    <w:p w:rsidR="00F14C90" w:rsidRDefault="00F14C90">
      <w:pPr>
        <w:tabs>
          <w:tab w:val="left" w:pos="6255"/>
        </w:tabs>
        <w:rPr>
          <w:rFonts w:ascii="Arial" w:eastAsia="Arial" w:hAnsi="Arial" w:cs="Arial"/>
          <w:b/>
          <w:sz w:val="24"/>
          <w:szCs w:val="24"/>
        </w:rPr>
      </w:pPr>
    </w:p>
    <w:p w:rsidR="00F14C90" w:rsidRDefault="00F14C90">
      <w:pPr>
        <w:tabs>
          <w:tab w:val="left" w:pos="6255"/>
        </w:tabs>
        <w:rPr>
          <w:rFonts w:ascii="Arial" w:eastAsia="Arial" w:hAnsi="Arial" w:cs="Arial"/>
          <w:b/>
          <w:sz w:val="24"/>
          <w:szCs w:val="24"/>
        </w:rPr>
      </w:pPr>
    </w:p>
    <w:p w:rsidR="00F14C90" w:rsidRDefault="007869F2">
      <w:pPr>
        <w:tabs>
          <w:tab w:val="left" w:pos="6255"/>
        </w:tabs>
        <w:rPr>
          <w:rFonts w:ascii="Arial" w:eastAsia="Arial" w:hAnsi="Arial" w:cs="Arial"/>
          <w:b/>
          <w:sz w:val="24"/>
          <w:szCs w:val="24"/>
        </w:rPr>
      </w:pPr>
      <w:r>
        <w:rPr>
          <w:rFonts w:ascii="Arial" w:eastAsia="Arial" w:hAnsi="Arial" w:cs="Arial"/>
          <w:b/>
          <w:sz w:val="24"/>
          <w:szCs w:val="24"/>
        </w:rPr>
        <w:t xml:space="preserve">    JAIRO CRISTANCHO TARACHE             JOHN JAIRO BERMÚDEZ GARCÉS</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del Casanare  </w:t>
      </w:r>
      <w:r>
        <w:rPr>
          <w:rFonts w:ascii="Arial" w:eastAsia="Arial" w:hAnsi="Arial" w:cs="Arial"/>
          <w:sz w:val="24"/>
          <w:szCs w:val="24"/>
        </w:rPr>
        <w:t xml:space="preserve">                      Departamento de Antioquia</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bookmarkStart w:id="7" w:name="_4d34og8" w:colFirst="0" w:colLast="0"/>
      <w:bookmarkEnd w:id="7"/>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7869F2">
      <w:pPr>
        <w:rPr>
          <w:rFonts w:ascii="Arial" w:eastAsia="Arial" w:hAnsi="Arial" w:cs="Arial"/>
          <w:b/>
          <w:sz w:val="22"/>
          <w:szCs w:val="22"/>
        </w:rPr>
      </w:pPr>
      <w:r>
        <w:rPr>
          <w:rFonts w:ascii="Arial" w:eastAsia="Arial" w:hAnsi="Arial" w:cs="Arial"/>
          <w:b/>
          <w:sz w:val="22"/>
          <w:szCs w:val="22"/>
        </w:rPr>
        <w:t xml:space="preserve">       ESTEBAN QUINTERO CARDONA        ÁLVARO HERNÁN PRADAARTUNDUAGA</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 Antioquia                          Departamento del Huila</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7869F2">
      <w:pPr>
        <w:rPr>
          <w:rFonts w:ascii="Arial" w:eastAsia="Arial" w:hAnsi="Arial" w:cs="Arial"/>
          <w:b/>
          <w:sz w:val="24"/>
          <w:szCs w:val="24"/>
        </w:rPr>
      </w:pPr>
      <w:r>
        <w:rPr>
          <w:rFonts w:ascii="Arial" w:eastAsia="Arial" w:hAnsi="Arial" w:cs="Arial"/>
          <w:b/>
          <w:sz w:val="24"/>
          <w:szCs w:val="24"/>
        </w:rPr>
        <w:t>ALEJANDRO CORRALES ESCOBAR</w:t>
      </w:r>
      <w:r>
        <w:rPr>
          <w:rFonts w:ascii="Arial" w:eastAsia="Arial" w:hAnsi="Arial" w:cs="Arial"/>
          <w:b/>
          <w:sz w:val="24"/>
          <w:szCs w:val="24"/>
        </w:rPr>
        <w:tab/>
        <w:t xml:space="preserve">       GABRIEL JAIME VALLEJO CHUJFI </w:t>
      </w:r>
    </w:p>
    <w:p w:rsidR="00F14C90" w:rsidRDefault="007869F2">
      <w:pPr>
        <w:rPr>
          <w:rFonts w:ascii="Arial" w:eastAsia="Arial" w:hAnsi="Arial" w:cs="Arial"/>
          <w:sz w:val="24"/>
          <w:szCs w:val="24"/>
        </w:rPr>
      </w:pPr>
      <w:r>
        <w:rPr>
          <w:rFonts w:ascii="Arial" w:eastAsia="Arial" w:hAnsi="Arial" w:cs="Arial"/>
          <w:sz w:val="24"/>
          <w:szCs w:val="24"/>
        </w:rPr>
        <w:t xml:space="preserve">         Senador de la Republica</w:t>
      </w:r>
      <w:r>
        <w:rPr>
          <w:rFonts w:ascii="Arial" w:eastAsia="Arial" w:hAnsi="Arial" w:cs="Arial"/>
          <w:sz w:val="24"/>
          <w:szCs w:val="24"/>
        </w:rPr>
        <w:tab/>
      </w:r>
      <w:r>
        <w:rPr>
          <w:rFonts w:ascii="Arial" w:eastAsia="Arial" w:hAnsi="Arial" w:cs="Arial"/>
          <w:sz w:val="24"/>
          <w:szCs w:val="24"/>
        </w:rPr>
        <w:tab/>
        <w:t xml:space="preserve">              Representante a la Cámara</w:t>
      </w:r>
    </w:p>
    <w:p w:rsidR="00F14C90" w:rsidRDefault="007869F2">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 xml:space="preserve">   Departamento de Risaralda</w:t>
      </w:r>
    </w:p>
    <w:p w:rsidR="00F14C90" w:rsidRDefault="00F14C90">
      <w:pPr>
        <w:rPr>
          <w:rFonts w:ascii="Book Antiqua" w:eastAsia="Book Antiqua" w:hAnsi="Book Antiqua" w:cs="Book Antiqua"/>
          <w:sz w:val="22"/>
          <w:szCs w:val="22"/>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7869F2">
      <w:pPr>
        <w:jc w:val="center"/>
        <w:rPr>
          <w:rFonts w:ascii="Arial" w:eastAsia="Arial" w:hAnsi="Arial" w:cs="Arial"/>
          <w:b/>
          <w:sz w:val="24"/>
          <w:szCs w:val="24"/>
        </w:rPr>
      </w:pPr>
      <w:r>
        <w:rPr>
          <w:rFonts w:ascii="Arial" w:eastAsia="Arial" w:hAnsi="Arial" w:cs="Arial"/>
          <w:b/>
          <w:sz w:val="24"/>
          <w:szCs w:val="24"/>
        </w:rPr>
        <w:t>HARRY GIOVANNY GONZÁLEZ GARCIA</w:t>
      </w:r>
    </w:p>
    <w:p w:rsidR="00F14C90" w:rsidRDefault="007869F2">
      <w:pPr>
        <w:jc w:val="center"/>
        <w:rPr>
          <w:rFonts w:ascii="Arial" w:eastAsia="Arial" w:hAnsi="Arial" w:cs="Arial"/>
          <w:sz w:val="24"/>
          <w:szCs w:val="24"/>
        </w:rPr>
      </w:pPr>
      <w:r>
        <w:rPr>
          <w:rFonts w:ascii="Arial" w:eastAsia="Arial" w:hAnsi="Arial" w:cs="Arial"/>
          <w:sz w:val="24"/>
          <w:szCs w:val="24"/>
        </w:rPr>
        <w:t>Representante a la Cámara</w:t>
      </w:r>
    </w:p>
    <w:p w:rsidR="00F14C90" w:rsidRDefault="007869F2">
      <w:pPr>
        <w:jc w:val="center"/>
        <w:rPr>
          <w:rFonts w:ascii="Arial" w:eastAsia="Arial" w:hAnsi="Arial" w:cs="Arial"/>
          <w:sz w:val="24"/>
          <w:szCs w:val="24"/>
        </w:rPr>
      </w:pPr>
      <w:r>
        <w:rPr>
          <w:rFonts w:ascii="Arial" w:eastAsia="Arial" w:hAnsi="Arial" w:cs="Arial"/>
          <w:sz w:val="24"/>
          <w:szCs w:val="24"/>
        </w:rPr>
        <w:t>Departamento del Caquetá</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 w:rsidR="00F14C90" w:rsidRDefault="007869F2">
      <w:pPr>
        <w:pStyle w:val="Ttulo2"/>
        <w:rPr>
          <w:rFonts w:ascii="Book Antiqua" w:eastAsia="Book Antiqua" w:hAnsi="Book Antiqua" w:cs="Book Antiqua"/>
          <w:color w:val="000000"/>
          <w:sz w:val="24"/>
          <w:szCs w:val="24"/>
          <w:u w:val="single"/>
        </w:rPr>
      </w:pPr>
      <w:bookmarkStart w:id="8" w:name="_2s8eyo1" w:colFirst="0" w:colLast="0"/>
      <w:bookmarkEnd w:id="8"/>
      <w:r>
        <w:rPr>
          <w:rFonts w:ascii="Book Antiqua" w:eastAsia="Book Antiqua" w:hAnsi="Book Antiqua" w:cs="Book Antiqua"/>
          <w:color w:val="000000"/>
          <w:sz w:val="24"/>
          <w:szCs w:val="24"/>
          <w:u w:val="single"/>
        </w:rPr>
        <w:t xml:space="preserve">2. BIBLIOGRAFÍA </w:t>
      </w:r>
    </w:p>
    <w:p w:rsidR="00F14C90" w:rsidRDefault="007869F2">
      <w:pPr>
        <w:spacing w:after="60"/>
        <w:ind w:left="425"/>
        <w:rPr>
          <w:rFonts w:ascii="Book Antiqua" w:eastAsia="Book Antiqua" w:hAnsi="Book Antiqua" w:cs="Book Antiqua"/>
          <w:sz w:val="22"/>
          <w:szCs w:val="22"/>
        </w:rPr>
      </w:pPr>
      <w:r>
        <w:rPr>
          <w:rFonts w:ascii="Book Antiqua" w:eastAsia="Book Antiqua" w:hAnsi="Book Antiqua" w:cs="Book Antiqua"/>
          <w:sz w:val="22"/>
          <w:szCs w:val="22"/>
        </w:rPr>
        <w:t xml:space="preserve"> </w:t>
      </w:r>
    </w:p>
    <w:p w:rsidR="00F14C90" w:rsidRDefault="007869F2">
      <w:pPr>
        <w:numPr>
          <w:ilvl w:val="0"/>
          <w:numId w:val="6"/>
        </w:numPr>
        <w:spacing w:after="147" w:line="285" w:lineRule="auto"/>
        <w:ind w:right="183" w:hanging="246"/>
        <w:jc w:val="both"/>
      </w:pPr>
      <w:r>
        <w:rPr>
          <w:rFonts w:ascii="Book Antiqua" w:eastAsia="Book Antiqua" w:hAnsi="Book Antiqua" w:cs="Book Antiqua"/>
          <w:sz w:val="22"/>
          <w:szCs w:val="22"/>
        </w:rPr>
        <w:t xml:space="preserve">Cancillería de Colombia, 2019. Disponible en </w:t>
      </w:r>
      <w:hyperlink r:id="rId20">
        <w:r>
          <w:rPr>
            <w:rFonts w:ascii="Book Antiqua" w:eastAsia="Book Antiqua" w:hAnsi="Book Antiqua" w:cs="Book Antiqua"/>
            <w:color w:val="0000FF"/>
            <w:sz w:val="22"/>
            <w:szCs w:val="22"/>
            <w:u w:val="single"/>
          </w:rPr>
          <w:t>https://www.cancilleria.gov.co/organizacion-deltratado-cooperacion-amazonica-otca</w:t>
        </w:r>
      </w:hyperlink>
      <w:hyperlink r:id="rId21">
        <w:r>
          <w:rPr>
            <w:rFonts w:ascii="Book Antiqua" w:eastAsia="Book Antiqua" w:hAnsi="Book Antiqua" w:cs="Book Antiqua"/>
            <w:sz w:val="22"/>
            <w:szCs w:val="22"/>
          </w:rPr>
          <w:t xml:space="preserve"> </w:t>
        </w:r>
      </w:hyperlink>
    </w:p>
    <w:p w:rsidR="00F14C90" w:rsidRDefault="007869F2">
      <w:pPr>
        <w:numPr>
          <w:ilvl w:val="0"/>
          <w:numId w:val="6"/>
        </w:numPr>
        <w:spacing w:after="156" w:line="271" w:lineRule="auto"/>
        <w:ind w:right="183" w:hanging="246"/>
        <w:jc w:val="both"/>
      </w:pPr>
      <w:r>
        <w:rPr>
          <w:rFonts w:ascii="Book Antiqua" w:eastAsia="Book Antiqua" w:hAnsi="Book Antiqua" w:cs="Book Antiqua"/>
          <w:sz w:val="22"/>
          <w:szCs w:val="22"/>
        </w:rPr>
        <w:t xml:space="preserve">y Secretaría del Convenio sobre la Diversidad Biológica. Disponible en </w:t>
      </w:r>
      <w:hyperlink r:id="rId22">
        <w:r>
          <w:rPr>
            <w:rFonts w:ascii="Book Antiqua" w:eastAsia="Book Antiqua" w:hAnsi="Book Antiqua" w:cs="Book Antiqua"/>
            <w:color w:val="0000FF"/>
            <w:sz w:val="22"/>
            <w:szCs w:val="22"/>
            <w:u w:val="single"/>
          </w:rPr>
          <w:t>https://www.cbd.int/</w:t>
        </w:r>
      </w:hyperlink>
      <w:hyperlink r:id="rId23">
        <w:r>
          <w:rPr>
            <w:rFonts w:ascii="Book Antiqua" w:eastAsia="Book Antiqua" w:hAnsi="Book Antiqua" w:cs="Book Antiqua"/>
            <w:color w:val="0000FF"/>
            <w:sz w:val="22"/>
            <w:szCs w:val="22"/>
          </w:rPr>
          <w:t xml:space="preserve"> </w:t>
        </w:r>
      </w:hyperlink>
      <w:hyperlink r:id="rId24">
        <w:r>
          <w:rPr>
            <w:rFonts w:ascii="Book Antiqua" w:eastAsia="Book Antiqua" w:hAnsi="Book Antiqua" w:cs="Book Antiqua"/>
            <w:color w:val="0000FF"/>
            <w:sz w:val="22"/>
            <w:szCs w:val="22"/>
            <w:u w:val="single"/>
          </w:rPr>
          <w:t>undb/media/factsheets/undb-factsheets-es-web.pdf</w:t>
        </w:r>
      </w:hyperlink>
      <w:hyperlink r:id="rId25">
        <w:r>
          <w:rPr>
            <w:rFonts w:ascii="Book Antiqua" w:eastAsia="Book Antiqua" w:hAnsi="Book Antiqua" w:cs="Book Antiqua"/>
            <w:sz w:val="22"/>
            <w:szCs w:val="22"/>
          </w:rPr>
          <w:t xml:space="preserve"> </w:t>
        </w:r>
      </w:hyperlink>
    </w:p>
    <w:p w:rsidR="00F14C90" w:rsidRDefault="007869F2">
      <w:pPr>
        <w:numPr>
          <w:ilvl w:val="0"/>
          <w:numId w:val="6"/>
        </w:numPr>
        <w:spacing w:after="187" w:line="271" w:lineRule="auto"/>
        <w:ind w:right="183" w:hanging="246"/>
        <w:jc w:val="both"/>
      </w:pPr>
      <w:r>
        <w:rPr>
          <w:rFonts w:ascii="Book Antiqua" w:eastAsia="Book Antiqua" w:hAnsi="Book Antiqua" w:cs="Book Antiqua"/>
          <w:sz w:val="22"/>
          <w:szCs w:val="22"/>
        </w:rPr>
        <w:t xml:space="preserve">Ibídem. </w:t>
      </w:r>
    </w:p>
    <w:p w:rsidR="00F14C90" w:rsidRDefault="007869F2">
      <w:pPr>
        <w:numPr>
          <w:ilvl w:val="0"/>
          <w:numId w:val="6"/>
        </w:numPr>
        <w:spacing w:after="187" w:line="271" w:lineRule="auto"/>
        <w:ind w:right="183" w:hanging="246"/>
        <w:jc w:val="both"/>
      </w:pPr>
      <w:r>
        <w:rPr>
          <w:rFonts w:ascii="Book Antiqua" w:eastAsia="Book Antiqua" w:hAnsi="Book Antiqua" w:cs="Book Antiqua"/>
          <w:sz w:val="22"/>
          <w:szCs w:val="22"/>
        </w:rPr>
        <w:t>Colombia. Ministerio de Ambiente, Vivienda y Desarrollo Territorial, Dirección de Ecosistemas. Tercer Informe Nacional de Implementación de la Convención de la</w:t>
      </w:r>
      <w:r>
        <w:rPr>
          <w:rFonts w:ascii="Book Antiqua" w:eastAsia="Book Antiqua" w:hAnsi="Book Antiqua" w:cs="Book Antiqua"/>
          <w:sz w:val="22"/>
          <w:szCs w:val="22"/>
        </w:rPr>
        <w:t xml:space="preserve">s Naciones Unidas de Lucha contra la Desertificación y la Sequía. Bogotá, D.C. Colombia, Ministerio de Ambiente, Vivienda y Desarrollo Territorial / Secretaría UNCCD, 2007. Disponible en </w:t>
      </w:r>
      <w:hyperlink r:id="rId26">
        <w:r>
          <w:rPr>
            <w:rFonts w:ascii="Book Antiqua" w:eastAsia="Book Antiqua" w:hAnsi="Book Antiqua" w:cs="Book Antiqua"/>
            <w:color w:val="0000FF"/>
            <w:sz w:val="22"/>
            <w:szCs w:val="22"/>
            <w:u w:val="single"/>
          </w:rPr>
          <w:t>http://www.minambiente.gov.co/images/BosquesBiodiversidadyServiciosEcosistemicos/pdf/Zonas-Secas/5638_010610_tercer_informe_desertificacion.pdf</w:t>
        </w:r>
      </w:hyperlink>
      <w:hyperlink r:id="rId27">
        <w:r>
          <w:rPr>
            <w:rFonts w:ascii="Book Antiqua" w:eastAsia="Book Antiqua" w:hAnsi="Book Antiqua" w:cs="Book Antiqua"/>
            <w:sz w:val="22"/>
            <w:szCs w:val="22"/>
          </w:rPr>
          <w:t xml:space="preserve"> </w:t>
        </w:r>
      </w:hyperlink>
    </w:p>
    <w:p w:rsidR="00F14C90" w:rsidRDefault="007869F2">
      <w:pPr>
        <w:numPr>
          <w:ilvl w:val="0"/>
          <w:numId w:val="6"/>
        </w:numPr>
        <w:spacing w:after="154" w:line="271" w:lineRule="auto"/>
        <w:ind w:right="183" w:hanging="246"/>
        <w:jc w:val="both"/>
      </w:pPr>
      <w:r>
        <w:rPr>
          <w:rFonts w:ascii="Book Antiqua" w:eastAsia="Book Antiqua" w:hAnsi="Book Antiqua" w:cs="Book Antiqua"/>
          <w:sz w:val="22"/>
          <w:szCs w:val="22"/>
        </w:rPr>
        <w:t xml:space="preserve">Unión Internacional para la Protección de las Obtenciones Vegetales (UPOV). Disponible en </w:t>
      </w:r>
      <w:hyperlink r:id="rId28">
        <w:r>
          <w:rPr>
            <w:rFonts w:ascii="Book Antiqua" w:eastAsia="Book Antiqua" w:hAnsi="Book Antiqua" w:cs="Book Antiqua"/>
            <w:color w:val="0000FF"/>
            <w:sz w:val="22"/>
            <w:szCs w:val="22"/>
            <w:u w:val="single"/>
          </w:rPr>
          <w:t>https://www.upov.int/overview/es/upov.html</w:t>
        </w:r>
      </w:hyperlink>
      <w:hyperlink r:id="rId29">
        <w:r>
          <w:rPr>
            <w:rFonts w:ascii="Book Antiqua" w:eastAsia="Book Antiqua" w:hAnsi="Book Antiqua" w:cs="Book Antiqua"/>
            <w:sz w:val="22"/>
            <w:szCs w:val="22"/>
          </w:rPr>
          <w:t xml:space="preserve"> </w:t>
        </w:r>
      </w:hyperlink>
    </w:p>
    <w:p w:rsidR="00F14C90" w:rsidRDefault="007869F2">
      <w:pPr>
        <w:numPr>
          <w:ilvl w:val="0"/>
          <w:numId w:val="6"/>
        </w:numPr>
        <w:spacing w:after="154" w:line="271" w:lineRule="auto"/>
        <w:ind w:right="183" w:hanging="246"/>
        <w:jc w:val="both"/>
      </w:pPr>
      <w:r>
        <w:rPr>
          <w:rFonts w:ascii="Book Antiqua" w:eastAsia="Book Antiqua" w:hAnsi="Book Antiqua" w:cs="Book Antiqua"/>
          <w:sz w:val="22"/>
          <w:szCs w:val="22"/>
        </w:rPr>
        <w:t>Colombia. Ministerio de Ambiente, Vivienda y Desarrollo Territorial. Convención de Viena y Protocolo de Mont</w:t>
      </w:r>
      <w:r>
        <w:rPr>
          <w:rFonts w:ascii="Book Antiqua" w:eastAsia="Book Antiqua" w:hAnsi="Book Antiqua" w:cs="Book Antiqua"/>
          <w:sz w:val="22"/>
          <w:szCs w:val="22"/>
        </w:rPr>
        <w:t xml:space="preserve">real. Disponible en </w:t>
      </w:r>
      <w:hyperlink r:id="rId30">
        <w:r>
          <w:rPr>
            <w:rFonts w:ascii="Book Antiqua" w:eastAsia="Book Antiqua" w:hAnsi="Book Antiqua" w:cs="Book Antiqua"/>
            <w:color w:val="0000FF"/>
            <w:sz w:val="22"/>
            <w:szCs w:val="22"/>
            <w:u w:val="single"/>
          </w:rPr>
          <w:t>http://www.minambiente.gov.co/index.php/component/content/article/1705-plantilla</w:t>
        </w:r>
        <w:r>
          <w:rPr>
            <w:rFonts w:ascii="Book Antiqua" w:eastAsia="Book Antiqua" w:hAnsi="Book Antiqua" w:cs="Book Antiqua"/>
            <w:color w:val="0000FF"/>
            <w:sz w:val="22"/>
            <w:szCs w:val="22"/>
            <w:u w:val="single"/>
          </w:rPr>
          <w:t>-asuntos-ambientales-y-sectorial-y-urbana-sin-galeria-69</w:t>
        </w:r>
      </w:hyperlink>
      <w:hyperlink r:id="rId31">
        <w:r>
          <w:rPr>
            <w:rFonts w:ascii="Book Antiqua" w:eastAsia="Book Antiqua" w:hAnsi="Book Antiqua" w:cs="Book Antiqua"/>
            <w:sz w:val="22"/>
            <w:szCs w:val="22"/>
          </w:rPr>
          <w:t xml:space="preserve"> </w:t>
        </w:r>
      </w:hyperlink>
    </w:p>
    <w:p w:rsidR="00F14C90" w:rsidRDefault="007869F2">
      <w:pPr>
        <w:numPr>
          <w:ilvl w:val="0"/>
          <w:numId w:val="6"/>
        </w:numPr>
        <w:spacing w:after="147" w:line="285" w:lineRule="auto"/>
        <w:ind w:right="183" w:hanging="246"/>
        <w:jc w:val="both"/>
      </w:pPr>
      <w:r>
        <w:rPr>
          <w:rFonts w:ascii="Book Antiqua" w:eastAsia="Book Antiqua" w:hAnsi="Book Antiqua" w:cs="Book Antiqua"/>
          <w:sz w:val="22"/>
          <w:szCs w:val="22"/>
        </w:rPr>
        <w:t>Colombia. Ministerio de Ambiente, Vivienda</w:t>
      </w:r>
      <w:r>
        <w:rPr>
          <w:rFonts w:ascii="Book Antiqua" w:eastAsia="Book Antiqua" w:hAnsi="Book Antiqua" w:cs="Book Antiqua"/>
          <w:sz w:val="22"/>
          <w:szCs w:val="22"/>
        </w:rPr>
        <w:t xml:space="preserve"> y Desarrollo Territorial. Convención de Viena. </w:t>
      </w:r>
      <w:hyperlink r:id="rId32">
        <w:r>
          <w:rPr>
            <w:rFonts w:ascii="Book Antiqua" w:eastAsia="Book Antiqua" w:hAnsi="Book Antiqua" w:cs="Book Antiqua"/>
            <w:color w:val="0000FF"/>
            <w:sz w:val="22"/>
            <w:szCs w:val="22"/>
            <w:u w:val="single"/>
          </w:rPr>
          <w:t>http://www.minambiente.gov.co/index.php/component/c</w:t>
        </w:r>
        <w:r>
          <w:rPr>
            <w:rFonts w:ascii="Book Antiqua" w:eastAsia="Book Antiqua" w:hAnsi="Book Antiqua" w:cs="Book Antiqua"/>
            <w:color w:val="0000FF"/>
            <w:sz w:val="22"/>
            <w:szCs w:val="22"/>
            <w:u w:val="single"/>
          </w:rPr>
          <w:t>ontent/article?id=193:plantilla-asuntosambientales-y-sectorial-y-urbana-sin-galeria-9</w:t>
        </w:r>
      </w:hyperlink>
      <w:hyperlink r:id="rId33">
        <w:r>
          <w:rPr>
            <w:rFonts w:ascii="Book Antiqua" w:eastAsia="Book Antiqua" w:hAnsi="Book Antiqua" w:cs="Book Antiqua"/>
            <w:sz w:val="22"/>
            <w:szCs w:val="22"/>
          </w:rPr>
          <w:t xml:space="preserve"> </w:t>
        </w:r>
      </w:hyperlink>
    </w:p>
    <w:p w:rsidR="00F14C90" w:rsidRDefault="007869F2">
      <w:pPr>
        <w:numPr>
          <w:ilvl w:val="0"/>
          <w:numId w:val="6"/>
        </w:numPr>
        <w:spacing w:after="157" w:line="271" w:lineRule="auto"/>
        <w:ind w:right="183" w:hanging="246"/>
        <w:jc w:val="both"/>
      </w:pPr>
      <w:r>
        <w:rPr>
          <w:rFonts w:ascii="Book Antiqua" w:eastAsia="Book Antiqua" w:hAnsi="Book Antiqua" w:cs="Book Antiqua"/>
          <w:sz w:val="22"/>
          <w:szCs w:val="22"/>
        </w:rPr>
        <w:t xml:space="preserve">Colombia. Ministerio de Ambiente, Vivienda y Desarrollo Territorial. Convención marco de naciones Unidas para el cambio climático. Disponible en </w:t>
      </w:r>
      <w:r>
        <w:rPr>
          <w:rFonts w:ascii="Book Antiqua" w:eastAsia="Book Antiqua" w:hAnsi="Book Antiqua" w:cs="Book Antiqua"/>
          <w:color w:val="0000FF"/>
          <w:sz w:val="22"/>
          <w:szCs w:val="22"/>
          <w:u w:val="single"/>
        </w:rPr>
        <w:t>http://www.minambiente.gov.co/index.</w:t>
      </w:r>
      <w:hyperlink r:id="rId34">
        <w:r>
          <w:rPr>
            <w:rFonts w:ascii="Book Antiqua" w:eastAsia="Book Antiqua" w:hAnsi="Book Antiqua" w:cs="Book Antiqua"/>
            <w:color w:val="0000FF"/>
            <w:sz w:val="22"/>
            <w:szCs w:val="22"/>
            <w:u w:val="single"/>
          </w:rPr>
          <w:t>php/convencion-marco-de-naciones-</w:t>
        </w:r>
      </w:hyperlink>
      <w:r>
        <w:rPr>
          <w:rFonts w:ascii="Book Antiqua" w:eastAsia="Book Antiqua" w:hAnsi="Book Antiqua" w:cs="Book Antiqua"/>
          <w:color w:val="0000FF"/>
          <w:sz w:val="22"/>
          <w:szCs w:val="22"/>
          <w:u w:val="single"/>
        </w:rPr>
        <w:t>unidas</w:t>
      </w:r>
      <w:hyperlink r:id="rId35">
        <w:r>
          <w:rPr>
            <w:rFonts w:ascii="Book Antiqua" w:eastAsia="Book Antiqua" w:hAnsi="Book Antiqua" w:cs="Book Antiqua"/>
            <w:color w:val="0000FF"/>
            <w:sz w:val="22"/>
            <w:szCs w:val="22"/>
            <w:u w:val="single"/>
          </w:rPr>
          <w:t>para-el-cambio-climatico-cmnucc/convencion-marcode-naciones-unidas</w:t>
        </w:r>
      </w:hyperlink>
      <w:hyperlink r:id="rId36">
        <w:r>
          <w:rPr>
            <w:rFonts w:ascii="Book Antiqua" w:eastAsia="Book Antiqua" w:hAnsi="Book Antiqua" w:cs="Book Antiqua"/>
            <w:sz w:val="22"/>
            <w:szCs w:val="22"/>
          </w:rPr>
          <w:t xml:space="preserve"> </w:t>
        </w:r>
      </w:hyperlink>
    </w:p>
    <w:p w:rsidR="00F14C90" w:rsidRDefault="007869F2">
      <w:pPr>
        <w:numPr>
          <w:ilvl w:val="0"/>
          <w:numId w:val="6"/>
        </w:numPr>
        <w:spacing w:after="157" w:line="271" w:lineRule="auto"/>
        <w:ind w:right="183" w:hanging="246"/>
        <w:jc w:val="both"/>
      </w:pPr>
      <w:r>
        <w:rPr>
          <w:rFonts w:ascii="Book Antiqua" w:eastAsia="Book Antiqua" w:hAnsi="Book Antiqua" w:cs="Book Antiqua"/>
          <w:sz w:val="22"/>
          <w:szCs w:val="22"/>
        </w:rPr>
        <w:t xml:space="preserve">CEPAL. Observatorio del Principio 10 en América Latina y el Caribe. Convención Marco De Las Naciones Unidas Sobre el Cambio Climático. Disponible en </w:t>
      </w:r>
      <w:hyperlink r:id="rId37">
        <w:r>
          <w:rPr>
            <w:rFonts w:ascii="Book Antiqua" w:eastAsia="Book Antiqua" w:hAnsi="Book Antiqua" w:cs="Book Antiqua"/>
            <w:color w:val="0000FF"/>
            <w:sz w:val="22"/>
            <w:szCs w:val="22"/>
            <w:u w:val="single"/>
          </w:rPr>
          <w:t>https://observatoriop10.cepal.org/es/tratados/convencion-marco-naciones-unidas-cambio-climatico</w:t>
        </w:r>
      </w:hyperlink>
      <w:hyperlink r:id="rId38">
        <w:r>
          <w:rPr>
            <w:rFonts w:ascii="Book Antiqua" w:eastAsia="Book Antiqua" w:hAnsi="Book Antiqua" w:cs="Book Antiqua"/>
            <w:sz w:val="22"/>
            <w:szCs w:val="22"/>
          </w:rPr>
          <w:t xml:space="preserve"> </w:t>
        </w:r>
      </w:hyperlink>
    </w:p>
    <w:p w:rsidR="00F14C90" w:rsidRDefault="007869F2">
      <w:pPr>
        <w:numPr>
          <w:ilvl w:val="0"/>
          <w:numId w:val="6"/>
        </w:numPr>
        <w:spacing w:after="141" w:line="284" w:lineRule="auto"/>
        <w:ind w:right="183" w:hanging="246"/>
        <w:jc w:val="both"/>
      </w:pPr>
      <w:r>
        <w:rPr>
          <w:rFonts w:ascii="Book Antiqua" w:eastAsia="Book Antiqua" w:hAnsi="Book Antiqua" w:cs="Book Antiqua"/>
          <w:sz w:val="22"/>
          <w:szCs w:val="22"/>
        </w:rPr>
        <w:t xml:space="preserve">Colombia. Ministerio de Ambiente, Vivienda y Desarrollo Territorial. Protocolo de Kioto. Disponible en </w:t>
      </w:r>
      <w:hyperlink r:id="rId39">
        <w:r>
          <w:rPr>
            <w:rFonts w:ascii="Book Antiqua" w:eastAsia="Book Antiqua" w:hAnsi="Book Antiqua" w:cs="Book Antiqua"/>
            <w:color w:val="0000FF"/>
            <w:sz w:val="22"/>
            <w:szCs w:val="22"/>
            <w:u w:val="single"/>
          </w:rPr>
          <w:t>http://</w:t>
        </w:r>
        <w:r>
          <w:rPr>
            <w:rFonts w:ascii="Book Antiqua" w:eastAsia="Book Antiqua" w:hAnsi="Book Antiqua" w:cs="Book Antiqua"/>
            <w:color w:val="0000FF"/>
            <w:sz w:val="22"/>
            <w:szCs w:val="22"/>
            <w:u w:val="single"/>
          </w:rPr>
          <w:t>www.minambiente.gov.co/index.php/convencion-marco-de-naciones-unidaspara-el-cambio-climatico-cmnucc/protocolo-de-kioto</w:t>
        </w:r>
      </w:hyperlink>
    </w:p>
    <w:p w:rsidR="00F14C90" w:rsidRDefault="007869F2">
      <w:pPr>
        <w:numPr>
          <w:ilvl w:val="0"/>
          <w:numId w:val="6"/>
        </w:numPr>
        <w:spacing w:after="157" w:line="271" w:lineRule="auto"/>
        <w:ind w:right="183" w:hanging="246"/>
        <w:jc w:val="both"/>
      </w:pPr>
      <w:r>
        <w:rPr>
          <w:rFonts w:ascii="Book Antiqua" w:eastAsia="Book Antiqua" w:hAnsi="Book Antiqua" w:cs="Book Antiqua"/>
          <w:sz w:val="22"/>
          <w:szCs w:val="22"/>
        </w:rPr>
        <w:t>CEPAL. Observatorio del Principio 10 en América Latina y el Caribe. Convenio de Basilea sobre el Control de los Movimientos Transfronteri</w:t>
      </w:r>
      <w:r>
        <w:rPr>
          <w:rFonts w:ascii="Book Antiqua" w:eastAsia="Book Antiqua" w:hAnsi="Book Antiqua" w:cs="Book Antiqua"/>
          <w:sz w:val="22"/>
          <w:szCs w:val="22"/>
        </w:rPr>
        <w:t xml:space="preserve">zos de los Deshechos Peligrosos y su Eliminación. Disponible </w:t>
      </w:r>
      <w:r>
        <w:rPr>
          <w:rFonts w:ascii="Book Antiqua" w:eastAsia="Book Antiqua" w:hAnsi="Book Antiqua" w:cs="Book Antiqua"/>
          <w:sz w:val="22"/>
          <w:szCs w:val="22"/>
        </w:rPr>
        <w:tab/>
        <w:t xml:space="preserve">en </w:t>
      </w:r>
      <w:hyperlink r:id="rId40">
        <w:r>
          <w:rPr>
            <w:rFonts w:ascii="Book Antiqua" w:eastAsia="Book Antiqua" w:hAnsi="Book Antiqua" w:cs="Book Antiqua"/>
            <w:color w:val="0000FF"/>
            <w:sz w:val="22"/>
            <w:szCs w:val="22"/>
            <w:u w:val="single"/>
          </w:rPr>
          <w:t>https://observatoriop10.cepal.org/es</w:t>
        </w:r>
        <w:r>
          <w:rPr>
            <w:rFonts w:ascii="Book Antiqua" w:eastAsia="Book Antiqua" w:hAnsi="Book Antiqua" w:cs="Book Antiqua"/>
            <w:color w:val="0000FF"/>
            <w:sz w:val="22"/>
            <w:szCs w:val="22"/>
            <w:u w:val="single"/>
          </w:rPr>
          <w:t>/tratados/convenio-basilea-controlmovimientos-transfronterizos-deshechos-peligrosos-su-eliminacion</w:t>
        </w:r>
      </w:hyperlink>
      <w:hyperlink r:id="rId41">
        <w:r>
          <w:rPr>
            <w:rFonts w:ascii="Book Antiqua" w:eastAsia="Book Antiqua" w:hAnsi="Book Antiqua" w:cs="Book Antiqua"/>
            <w:sz w:val="22"/>
            <w:szCs w:val="22"/>
          </w:rPr>
          <w:t xml:space="preserve"> </w:t>
        </w:r>
      </w:hyperlink>
    </w:p>
    <w:p w:rsidR="00F14C90" w:rsidRDefault="007869F2">
      <w:pPr>
        <w:numPr>
          <w:ilvl w:val="0"/>
          <w:numId w:val="6"/>
        </w:numPr>
        <w:spacing w:after="157" w:line="271" w:lineRule="auto"/>
        <w:ind w:right="183" w:hanging="246"/>
        <w:jc w:val="both"/>
      </w:pPr>
      <w:r>
        <w:rPr>
          <w:rFonts w:ascii="Book Antiqua" w:eastAsia="Book Antiqua" w:hAnsi="Book Antiqua" w:cs="Book Antiqua"/>
          <w:sz w:val="22"/>
          <w:szCs w:val="22"/>
        </w:rPr>
        <w:t>G</w:t>
      </w:r>
      <w:r>
        <w:rPr>
          <w:rFonts w:ascii="Book Antiqua" w:eastAsia="Book Antiqua" w:hAnsi="Book Antiqua" w:cs="Book Antiqua"/>
          <w:sz w:val="22"/>
          <w:szCs w:val="22"/>
        </w:rPr>
        <w:t xml:space="preserve">arcía Arbeláez, C., G. Vallejo, M. L. Higgings y E. M. Escobar. 2016. El Acuerdo de París. Así actuará Colombia frente al cambio climático. 1 ed. WWF-Colombia. Cali, Colombia. Disponible en </w:t>
      </w:r>
      <w:hyperlink r:id="rId42">
        <w:r>
          <w:rPr>
            <w:rFonts w:ascii="Book Antiqua" w:eastAsia="Book Antiqua" w:hAnsi="Book Antiqua" w:cs="Book Antiqua"/>
            <w:color w:val="0000FF"/>
            <w:sz w:val="22"/>
            <w:szCs w:val="22"/>
            <w:u w:val="single"/>
          </w:rPr>
          <w:t>http://www.minambiente.gov.co/images/cambioclimatico/pdf/colombia_hacia_la_COP21/el_acu erdo_de_paris_frente_a_cambio_climatico.pdf</w:t>
        </w:r>
      </w:hyperlink>
      <w:hyperlink r:id="rId43">
        <w:r>
          <w:rPr>
            <w:rFonts w:ascii="Book Antiqua" w:eastAsia="Book Antiqua" w:hAnsi="Book Antiqua" w:cs="Book Antiqua"/>
            <w:sz w:val="22"/>
            <w:szCs w:val="22"/>
          </w:rPr>
          <w:t xml:space="preserve"> </w:t>
        </w:r>
      </w:hyperlink>
    </w:p>
    <w:p w:rsidR="00F14C90" w:rsidRDefault="007869F2">
      <w:pPr>
        <w:numPr>
          <w:ilvl w:val="0"/>
          <w:numId w:val="6"/>
        </w:numPr>
        <w:spacing w:after="131" w:line="285" w:lineRule="auto"/>
        <w:ind w:right="183" w:hanging="246"/>
        <w:jc w:val="both"/>
      </w:pPr>
      <w:r>
        <w:rPr>
          <w:rFonts w:ascii="Book Antiqua" w:eastAsia="Book Antiqua" w:hAnsi="Book Antiqua" w:cs="Book Antiqua"/>
          <w:sz w:val="22"/>
          <w:szCs w:val="22"/>
        </w:rPr>
        <w:t xml:space="preserve">Con información del grupo de investigación en derecho ambiental de la Universidad del Rosario, disponible en </w:t>
      </w:r>
      <w:hyperlink r:id="rId44">
        <w:r>
          <w:rPr>
            <w:rFonts w:ascii="Book Antiqua" w:eastAsia="Book Antiqua" w:hAnsi="Book Antiqua" w:cs="Book Antiqua"/>
            <w:color w:val="0000FF"/>
            <w:sz w:val="22"/>
            <w:szCs w:val="22"/>
            <w:u w:val="single"/>
          </w:rPr>
          <w:t>https://www.urosario.edu.co/jurisprudencia/catedra-viva-intercultural/ur/Legislacion-</w:t>
        </w:r>
      </w:hyperlink>
      <w:r>
        <w:rPr>
          <w:rFonts w:ascii="Book Antiqua" w:eastAsia="Book Antiqua" w:hAnsi="Book Antiqua" w:cs="Book Antiqua"/>
          <w:color w:val="0000FF"/>
          <w:sz w:val="22"/>
          <w:szCs w:val="22"/>
          <w:u w:val="single"/>
        </w:rPr>
        <w:t>Internacional/</w:t>
      </w:r>
    </w:p>
    <w:p w:rsidR="00F14C90" w:rsidRDefault="007869F2">
      <w:pPr>
        <w:numPr>
          <w:ilvl w:val="0"/>
          <w:numId w:val="6"/>
        </w:numPr>
        <w:spacing w:after="153" w:line="271" w:lineRule="auto"/>
        <w:ind w:right="183" w:hanging="246"/>
        <w:jc w:val="both"/>
      </w:pPr>
      <w:r>
        <w:rPr>
          <w:rFonts w:ascii="Book Antiqua" w:eastAsia="Book Antiqua" w:hAnsi="Book Antiqua" w:cs="Book Antiqua"/>
          <w:sz w:val="22"/>
          <w:szCs w:val="22"/>
        </w:rPr>
        <w:t xml:space="preserve">Fondo para el Desarrollo de los Pueblos Indígenas de América Latina y El </w:t>
      </w:r>
      <w:r>
        <w:rPr>
          <w:rFonts w:ascii="Book Antiqua" w:eastAsia="Book Antiqua" w:hAnsi="Book Antiqua" w:cs="Book Antiqua"/>
          <w:sz w:val="22"/>
          <w:szCs w:val="22"/>
        </w:rPr>
        <w:t xml:space="preserve">Caribe. 2014. Disponible en </w:t>
      </w:r>
      <w:hyperlink r:id="rId45">
        <w:r>
          <w:rPr>
            <w:rFonts w:ascii="Book Antiqua" w:eastAsia="Book Antiqua" w:hAnsi="Book Antiqua" w:cs="Book Antiqua"/>
            <w:color w:val="0000FF"/>
            <w:sz w:val="22"/>
            <w:szCs w:val="22"/>
            <w:u w:val="single"/>
          </w:rPr>
          <w:t>http://www.fondoindigena.org/drupal/es/node/168</w:t>
        </w:r>
      </w:hyperlink>
      <w:hyperlink r:id="rId46">
        <w:r>
          <w:rPr>
            <w:rFonts w:ascii="Book Antiqua" w:eastAsia="Book Antiqua" w:hAnsi="Book Antiqua" w:cs="Book Antiqua"/>
            <w:sz w:val="22"/>
            <w:szCs w:val="22"/>
          </w:rPr>
          <w:t xml:space="preserve"> </w:t>
        </w:r>
      </w:hyperlink>
    </w:p>
    <w:p w:rsidR="00F14C90" w:rsidRDefault="007869F2">
      <w:pPr>
        <w:numPr>
          <w:ilvl w:val="0"/>
          <w:numId w:val="6"/>
        </w:numPr>
        <w:spacing w:after="153" w:line="271" w:lineRule="auto"/>
        <w:ind w:right="183" w:hanging="246"/>
        <w:jc w:val="both"/>
      </w:pPr>
      <w:r>
        <w:rPr>
          <w:rFonts w:ascii="Book Antiqua" w:eastAsia="Book Antiqua" w:hAnsi="Book Antiqua" w:cs="Book Antiqua"/>
          <w:sz w:val="22"/>
          <w:szCs w:val="22"/>
        </w:rPr>
        <w:t>Consejo Europeo. COMPASS: Manual de Educación</w:t>
      </w:r>
      <w:r>
        <w:rPr>
          <w:rFonts w:ascii="Book Antiqua" w:eastAsia="Book Antiqua" w:hAnsi="Book Antiqua" w:cs="Book Antiqua"/>
          <w:sz w:val="22"/>
          <w:szCs w:val="22"/>
        </w:rPr>
        <w:t xml:space="preserve"> en los Derechos Humanos con jóvenes. Pacto Internacional de Derechos Civiles </w:t>
      </w:r>
      <w:r>
        <w:rPr>
          <w:rFonts w:ascii="Book Antiqua" w:eastAsia="Book Antiqua" w:hAnsi="Book Antiqua" w:cs="Book Antiqua"/>
          <w:sz w:val="22"/>
          <w:szCs w:val="22"/>
        </w:rPr>
        <w:tab/>
        <w:t xml:space="preserve">y Políticos (ICCPR) Disponible en </w:t>
      </w:r>
      <w:hyperlink r:id="rId47" w:anchor="targetText=Pacto%20internacional%20de%20Derechos%20Civiles%20y%20Pol%C3%ADticos%20(ICCPR)&amp;targetText=Este%20pacto%20fue%20adoptado%20por,23%20de%20marzo%20de%201976.">
        <w:r>
          <w:rPr>
            <w:rFonts w:ascii="Book Antiqua" w:eastAsia="Book Antiqua" w:hAnsi="Book Antiqua" w:cs="Book Antiqua"/>
            <w:color w:val="0000FF"/>
            <w:sz w:val="22"/>
            <w:szCs w:val="22"/>
            <w:u w:val="single"/>
          </w:rPr>
          <w:t>https://www.coe.int/es/web/compass/the-international-covenant-on-civil-and</w:t>
        </w:r>
      </w:hyperlink>
      <w:r>
        <w:rPr>
          <w:rFonts w:ascii="Book Antiqua" w:eastAsia="Book Antiqua" w:hAnsi="Book Antiqua" w:cs="Book Antiqua"/>
          <w:color w:val="0000FF"/>
          <w:sz w:val="22"/>
          <w:szCs w:val="22"/>
          <w:u w:val="single"/>
        </w:rPr>
        <w:t>-</w:t>
      </w:r>
      <w:hyperlink r:id="rId48" w:anchor="targetText=Pacto%20internacional%20de%20Derechos%20Civiles%20y%20Pol%C3%ADticos%20(ICCPR)&amp;targetText=Este%20pacto%20fue%20adoptado%20por,23%20de%20marzo%20de%201976.">
        <w:r>
          <w:rPr>
            <w:rFonts w:ascii="Book Antiqua" w:eastAsia="Book Antiqua" w:hAnsi="Book Antiqua" w:cs="Book Antiqua"/>
            <w:color w:val="0000FF"/>
            <w:sz w:val="22"/>
            <w:szCs w:val="22"/>
            <w:u w:val="single"/>
          </w:rPr>
          <w:t>political</w:t>
        </w:r>
      </w:hyperlink>
      <w:r>
        <w:rPr>
          <w:rFonts w:ascii="Book Antiqua" w:eastAsia="Book Antiqua" w:hAnsi="Book Antiqua" w:cs="Book Antiqua"/>
          <w:color w:val="0000FF"/>
          <w:sz w:val="22"/>
          <w:szCs w:val="22"/>
          <w:u w:val="single"/>
        </w:rPr>
        <w:t>rights#</w:t>
      </w:r>
      <w:r>
        <w:rPr>
          <w:rFonts w:ascii="Book Antiqua" w:eastAsia="Book Antiqua" w:hAnsi="Book Antiqua" w:cs="Book Antiqua"/>
          <w:color w:val="0000FF"/>
          <w:sz w:val="22"/>
          <w:szCs w:val="22"/>
          <w:u w:val="single"/>
        </w:rPr>
        <w:t>targetText=Pacto%20internacional%20de%20Derechos%20Civiles%20y%20Pol%C3%ADtico</w:t>
      </w:r>
      <w:hyperlink r:id="rId49" w:anchor="targetText=Pacto%20internacional%20de%20Derechos%20Civiles%20y%20Pol%C3%ADticos%20(ICCPR)&amp;targetText=Este%20pacto%20fue%20adoptado%20por,23%20de%20marzo%20de%201976.">
        <w:r>
          <w:rPr>
            <w:rFonts w:ascii="Book Antiqua" w:eastAsia="Book Antiqua" w:hAnsi="Book Antiqua" w:cs="Book Antiqua"/>
            <w:color w:val="0000FF"/>
            <w:sz w:val="22"/>
            <w:szCs w:val="22"/>
            <w:u w:val="single"/>
          </w:rPr>
          <w:t>s%20(ICCPR)&amp;targetText=Este%20pacto%20fue%20adoptado%20por,23%20de%20marzo%20de% 201976.</w:t>
        </w:r>
      </w:hyperlink>
      <w:hyperlink r:id="rId50" w:anchor="targetText=Pacto%20internacional%20de%20Derechos%20Civiles%20y%20Pol%C3%ADticos%20(ICCPR)&amp;targetText=Este%20pacto%20fue%20adoptado%20por,23%20de%20marzo%20de%201976.">
        <w:r>
          <w:rPr>
            <w:rFonts w:ascii="Book Antiqua" w:eastAsia="Book Antiqua" w:hAnsi="Book Antiqua" w:cs="Book Antiqua"/>
            <w:sz w:val="22"/>
            <w:szCs w:val="22"/>
          </w:rPr>
          <w:t xml:space="preserve"> </w:t>
        </w:r>
      </w:hyperlink>
    </w:p>
    <w:p w:rsidR="00F14C90" w:rsidRDefault="007869F2">
      <w:pPr>
        <w:numPr>
          <w:ilvl w:val="0"/>
          <w:numId w:val="6"/>
        </w:numPr>
        <w:spacing w:after="141" w:line="284" w:lineRule="auto"/>
        <w:ind w:right="183" w:hanging="246"/>
        <w:jc w:val="both"/>
      </w:pPr>
      <w:r>
        <w:rPr>
          <w:rFonts w:ascii="Book Antiqua" w:eastAsia="Book Antiqua" w:hAnsi="Book Antiqua" w:cs="Book Antiqua"/>
          <w:sz w:val="22"/>
          <w:szCs w:val="22"/>
        </w:rPr>
        <w:t>Giraldo, M. (2012). Amazonía Posible</w:t>
      </w:r>
      <w:r>
        <w:rPr>
          <w:rFonts w:ascii="Book Antiqua" w:eastAsia="Book Antiqua" w:hAnsi="Book Antiqua" w:cs="Book Antiqua"/>
          <w:sz w:val="22"/>
          <w:szCs w:val="22"/>
        </w:rPr>
        <w:t xml:space="preserve"> y Sostenible. </w:t>
      </w:r>
      <w:r>
        <w:rPr>
          <w:rFonts w:ascii="Book Antiqua" w:eastAsia="Book Antiqua" w:hAnsi="Book Antiqua" w:cs="Book Antiqua"/>
          <w:i/>
          <w:sz w:val="22"/>
          <w:szCs w:val="22"/>
        </w:rPr>
        <w:t>Comisión Económica para América LatinaCEPAL, Bogotá</w:t>
      </w:r>
      <w:r>
        <w:rPr>
          <w:rFonts w:ascii="Book Antiqua" w:eastAsia="Book Antiqua" w:hAnsi="Book Antiqua" w:cs="Book Antiqua"/>
          <w:sz w:val="22"/>
          <w:szCs w:val="22"/>
        </w:rPr>
        <w:t xml:space="preserve">. Disponible en </w:t>
      </w:r>
      <w:hyperlink r:id="rId51">
        <w:r>
          <w:rPr>
            <w:rFonts w:ascii="Book Antiqua" w:eastAsia="Book Antiqua" w:hAnsi="Book Antiqua" w:cs="Book Antiqua"/>
            <w:color w:val="0000FF"/>
            <w:sz w:val="22"/>
            <w:szCs w:val="22"/>
            <w:u w:val="single"/>
          </w:rPr>
          <w:t>https://www.cepal.org/sites/default/files/news/files/</w:t>
        </w:r>
      </w:hyperlink>
      <w:hyperlink r:id="rId52">
        <w:r>
          <w:rPr>
            <w:rFonts w:ascii="Book Antiqua" w:eastAsia="Book Antiqua" w:hAnsi="Book Antiqua" w:cs="Book Antiqua"/>
            <w:color w:val="0000FF"/>
            <w:sz w:val="22"/>
            <w:szCs w:val="22"/>
          </w:rPr>
          <w:t xml:space="preserve"> </w:t>
        </w:r>
      </w:hyperlink>
      <w:hyperlink r:id="rId53">
        <w:r>
          <w:rPr>
            <w:rFonts w:ascii="Book Antiqua" w:eastAsia="Book Antiqua" w:hAnsi="Book Antiqua" w:cs="Book Antiqua"/>
            <w:color w:val="0000FF"/>
            <w:sz w:val="22"/>
            <w:szCs w:val="22"/>
            <w:u w:val="single"/>
          </w:rPr>
          <w:t>folleto_amazonia_posible_y_sostenible.pdf</w:t>
        </w:r>
      </w:hyperlink>
      <w:hyperlink r:id="rId54">
        <w:r>
          <w:rPr>
            <w:rFonts w:ascii="Book Antiqua" w:eastAsia="Book Antiqua" w:hAnsi="Book Antiqua" w:cs="Book Antiqua"/>
            <w:sz w:val="22"/>
            <w:szCs w:val="22"/>
          </w:rPr>
          <w:t xml:space="preserve"> </w:t>
        </w:r>
      </w:hyperlink>
    </w:p>
    <w:p w:rsidR="00F14C90" w:rsidRDefault="007869F2">
      <w:pPr>
        <w:numPr>
          <w:ilvl w:val="0"/>
          <w:numId w:val="6"/>
        </w:numPr>
        <w:spacing w:after="157" w:line="271" w:lineRule="auto"/>
        <w:ind w:right="183" w:hanging="246"/>
        <w:jc w:val="both"/>
      </w:pPr>
      <w:r>
        <w:rPr>
          <w:rFonts w:ascii="Book Antiqua" w:eastAsia="Book Antiqua" w:hAnsi="Book Antiqua" w:cs="Book Antiqua"/>
          <w:sz w:val="22"/>
          <w:szCs w:val="22"/>
        </w:rPr>
        <w:t xml:space="preserve">Instituto SINCHI. Amazonia Político Administrativa. Disponible en </w:t>
      </w:r>
      <w:hyperlink r:id="rId55">
        <w:r>
          <w:rPr>
            <w:rFonts w:ascii="Book Antiqua" w:eastAsia="Book Antiqua" w:hAnsi="Book Antiqua" w:cs="Book Antiqua"/>
            <w:color w:val="0000FF"/>
            <w:sz w:val="22"/>
            <w:szCs w:val="22"/>
            <w:u w:val="single"/>
          </w:rPr>
          <w:t>https://www.sinchi.org.co/division-politico</w:t>
        </w:r>
      </w:hyperlink>
      <w:hyperlink r:id="rId56">
        <w:r>
          <w:rPr>
            <w:rFonts w:ascii="Book Antiqua" w:eastAsia="Book Antiqua" w:hAnsi="Book Antiqua" w:cs="Book Antiqua"/>
            <w:sz w:val="22"/>
            <w:szCs w:val="22"/>
          </w:rPr>
          <w:t xml:space="preserve"> </w:t>
        </w:r>
      </w:hyperlink>
    </w:p>
    <w:p w:rsidR="00F14C90" w:rsidRDefault="007869F2">
      <w:pPr>
        <w:numPr>
          <w:ilvl w:val="0"/>
          <w:numId w:val="6"/>
        </w:numPr>
        <w:spacing w:after="155" w:line="271" w:lineRule="auto"/>
        <w:ind w:right="183" w:hanging="246"/>
        <w:jc w:val="both"/>
      </w:pPr>
      <w:r>
        <w:rPr>
          <w:rFonts w:ascii="Book Antiqua" w:eastAsia="Book Antiqua" w:hAnsi="Book Antiqua" w:cs="Book Antiqua"/>
          <w:sz w:val="22"/>
          <w:szCs w:val="22"/>
        </w:rPr>
        <w:t xml:space="preserve">Giraldo, M. (2012). Amazonía Posible y Sostenible. </w:t>
      </w:r>
      <w:r>
        <w:rPr>
          <w:rFonts w:ascii="Book Antiqua" w:eastAsia="Book Antiqua" w:hAnsi="Book Antiqua" w:cs="Book Antiqua"/>
          <w:i/>
          <w:sz w:val="22"/>
          <w:szCs w:val="22"/>
        </w:rPr>
        <w:t>Comisión Económica para América LatinaCEPAL, Bogotá</w:t>
      </w:r>
      <w:r>
        <w:rPr>
          <w:rFonts w:ascii="Book Antiqua" w:eastAsia="Book Antiqua" w:hAnsi="Book Antiqua" w:cs="Book Antiqua"/>
          <w:sz w:val="22"/>
          <w:szCs w:val="22"/>
        </w:rPr>
        <w:t xml:space="preserve">. </w:t>
      </w:r>
    </w:p>
    <w:p w:rsidR="00F14C90" w:rsidRDefault="007869F2">
      <w:pPr>
        <w:numPr>
          <w:ilvl w:val="0"/>
          <w:numId w:val="6"/>
        </w:numPr>
        <w:spacing w:after="167" w:line="271" w:lineRule="auto"/>
        <w:ind w:right="183" w:hanging="246"/>
        <w:jc w:val="both"/>
      </w:pPr>
      <w:r>
        <w:rPr>
          <w:rFonts w:ascii="Book Antiqua" w:eastAsia="Book Antiqua" w:hAnsi="Book Antiqua" w:cs="Book Antiqua"/>
          <w:sz w:val="22"/>
          <w:szCs w:val="22"/>
        </w:rPr>
        <w:t>UNESCO. World</w:t>
      </w:r>
      <w:r>
        <w:rPr>
          <w:rFonts w:ascii="Book Antiqua" w:eastAsia="Book Antiqua" w:hAnsi="Book Antiqua" w:cs="Book Antiqua"/>
          <w:sz w:val="22"/>
          <w:szCs w:val="22"/>
        </w:rPr>
        <w:t xml:space="preserve"> Heritage Committee. (2018) Decisions adopted during the 42nd session of the World Heritage Committee. Manama. Disponible en </w:t>
      </w:r>
      <w:hyperlink r:id="rId57">
        <w:r>
          <w:rPr>
            <w:rFonts w:ascii="Book Antiqua" w:eastAsia="Book Antiqua" w:hAnsi="Book Antiqua" w:cs="Book Antiqua"/>
            <w:color w:val="0000FF"/>
            <w:sz w:val="22"/>
            <w:szCs w:val="22"/>
            <w:u w:val="single"/>
          </w:rPr>
          <w:t>https://whc.unesco.org/archive/2018/whc1842com-18-en.p</w:t>
        </w:r>
        <w:r>
          <w:rPr>
            <w:rFonts w:ascii="Book Antiqua" w:eastAsia="Book Antiqua" w:hAnsi="Book Antiqua" w:cs="Book Antiqua"/>
            <w:color w:val="0000FF"/>
            <w:sz w:val="22"/>
            <w:szCs w:val="22"/>
            <w:u w:val="single"/>
          </w:rPr>
          <w:t>df</w:t>
        </w:r>
      </w:hyperlink>
    </w:p>
    <w:p w:rsidR="00F14C90" w:rsidRDefault="007869F2">
      <w:pPr>
        <w:numPr>
          <w:ilvl w:val="0"/>
          <w:numId w:val="6"/>
        </w:numPr>
        <w:spacing w:after="167" w:line="271" w:lineRule="auto"/>
        <w:ind w:right="183" w:hanging="246"/>
        <w:jc w:val="both"/>
      </w:pPr>
      <w:r>
        <w:rPr>
          <w:rFonts w:ascii="Book Antiqua" w:eastAsia="Book Antiqua" w:hAnsi="Book Antiqua" w:cs="Book Antiqua"/>
          <w:sz w:val="22"/>
          <w:szCs w:val="22"/>
        </w:rPr>
        <w:t xml:space="preserve">Colombia. Corte Constitucional [M.P. Marco Gerardo Monroy Cabra] (2008). Sentencia C-862/08. Bogotá. </w:t>
      </w:r>
    </w:p>
    <w:p w:rsidR="00F14C90" w:rsidRDefault="007869F2">
      <w:pPr>
        <w:numPr>
          <w:ilvl w:val="0"/>
          <w:numId w:val="6"/>
        </w:numPr>
        <w:spacing w:after="167" w:line="271" w:lineRule="auto"/>
        <w:ind w:right="183" w:hanging="246"/>
        <w:jc w:val="both"/>
      </w:pPr>
      <w:r>
        <w:rPr>
          <w:rFonts w:ascii="Book Antiqua" w:eastAsia="Book Antiqua" w:hAnsi="Book Antiqua" w:cs="Book Antiqua"/>
          <w:sz w:val="22"/>
          <w:szCs w:val="22"/>
        </w:rPr>
        <w:t>Instituto SINCHI. Resguardos Indígenas.</w:t>
      </w:r>
      <w:r>
        <w:rPr>
          <w:rFonts w:ascii="Book Antiqua" w:eastAsia="Book Antiqua" w:hAnsi="Book Antiqua" w:cs="Book Antiqua"/>
          <w:b/>
          <w:sz w:val="22"/>
          <w:szCs w:val="22"/>
        </w:rPr>
        <w:t xml:space="preserve"> </w:t>
      </w:r>
      <w:r>
        <w:rPr>
          <w:rFonts w:ascii="Book Antiqua" w:eastAsia="Book Antiqua" w:hAnsi="Book Antiqua" w:cs="Book Antiqua"/>
          <w:sz w:val="22"/>
          <w:szCs w:val="22"/>
        </w:rPr>
        <w:t xml:space="preserve">Disponible en </w:t>
      </w:r>
      <w:hyperlink r:id="rId58">
        <w:r>
          <w:rPr>
            <w:rFonts w:ascii="Book Antiqua" w:eastAsia="Book Antiqua" w:hAnsi="Book Antiqua" w:cs="Book Antiqua"/>
            <w:color w:val="0563C1"/>
            <w:sz w:val="22"/>
            <w:szCs w:val="22"/>
          </w:rPr>
          <w:t>http://siatac.co/web/guest/productos</w:t>
        </w:r>
      </w:hyperlink>
      <w:hyperlink r:id="rId59">
        <w:r>
          <w:rPr>
            <w:rFonts w:ascii="Book Antiqua" w:eastAsia="Book Antiqua" w:hAnsi="Book Antiqua" w:cs="Book Antiqua"/>
            <w:color w:val="0000FF"/>
            <w:sz w:val="22"/>
            <w:szCs w:val="22"/>
            <w:u w:val="single"/>
          </w:rPr>
          <w:t>/territorios-ancestrales/resguardos-indigenas</w:t>
        </w:r>
      </w:hyperlink>
      <w:hyperlink r:id="rId60">
        <w:r>
          <w:rPr>
            <w:rFonts w:ascii="Book Antiqua" w:eastAsia="Book Antiqua" w:hAnsi="Book Antiqua" w:cs="Book Antiqua"/>
            <w:sz w:val="22"/>
            <w:szCs w:val="22"/>
          </w:rPr>
          <w:t xml:space="preserve"> </w:t>
        </w:r>
      </w:hyperlink>
      <w:r>
        <w:rPr>
          <w:rFonts w:ascii="Book Antiqua" w:eastAsia="Book Antiqua" w:hAnsi="Book Antiqua" w:cs="Book Antiqua"/>
          <w:sz w:val="22"/>
          <w:szCs w:val="22"/>
        </w:rPr>
        <w:t xml:space="preserve"> </w:t>
      </w:r>
    </w:p>
    <w:p w:rsidR="00F14C90" w:rsidRDefault="007869F2">
      <w:pPr>
        <w:numPr>
          <w:ilvl w:val="0"/>
          <w:numId w:val="6"/>
        </w:numPr>
        <w:spacing w:after="147" w:line="285" w:lineRule="auto"/>
        <w:ind w:right="183" w:hanging="246"/>
        <w:jc w:val="both"/>
      </w:pPr>
      <w:r>
        <w:rPr>
          <w:rFonts w:ascii="Book Antiqua" w:eastAsia="Book Antiqua" w:hAnsi="Book Antiqua" w:cs="Book Antiqua"/>
          <w:sz w:val="22"/>
          <w:szCs w:val="22"/>
        </w:rPr>
        <w:t xml:space="preserve">Universidad Nacional. La Amazonía. Disponible en </w:t>
      </w:r>
      <w:hyperlink r:id="rId61">
        <w:r>
          <w:rPr>
            <w:rFonts w:ascii="Book Antiqua" w:eastAsia="Book Antiqua" w:hAnsi="Book Antiqua" w:cs="Book Antiqua"/>
            <w:color w:val="0000FF"/>
            <w:sz w:val="22"/>
            <w:szCs w:val="22"/>
            <w:u w:val="single"/>
          </w:rPr>
          <w:t>http://amazonia.unal.edu.co/index.php</w:t>
        </w:r>
      </w:hyperlink>
      <w:hyperlink r:id="rId62">
        <w:r>
          <w:rPr>
            <w:rFonts w:ascii="Book Antiqua" w:eastAsia="Book Antiqua" w:hAnsi="Book Antiqua" w:cs="Book Antiqua"/>
            <w:color w:val="0000FF"/>
            <w:sz w:val="22"/>
            <w:szCs w:val="22"/>
          </w:rPr>
          <w:t xml:space="preserve"> </w:t>
        </w:r>
      </w:hyperlink>
      <w:hyperlink r:id="rId63">
        <w:r>
          <w:rPr>
            <w:rFonts w:ascii="Book Antiqua" w:eastAsia="Book Antiqua" w:hAnsi="Book Antiqua" w:cs="Book Antiqua"/>
            <w:color w:val="0000FF"/>
            <w:sz w:val="22"/>
            <w:szCs w:val="22"/>
            <w:u w:val="single"/>
          </w:rPr>
          <w:t>/homepage/historia/la-amazonia</w:t>
        </w:r>
      </w:hyperlink>
      <w:hyperlink r:id="rId64">
        <w:r>
          <w:rPr>
            <w:rFonts w:ascii="Book Antiqua" w:eastAsia="Book Antiqua" w:hAnsi="Book Antiqua" w:cs="Book Antiqua"/>
            <w:sz w:val="22"/>
            <w:szCs w:val="22"/>
          </w:rPr>
          <w:t xml:space="preserve"> </w:t>
        </w:r>
      </w:hyperlink>
    </w:p>
    <w:p w:rsidR="00F14C90" w:rsidRDefault="007869F2">
      <w:pPr>
        <w:numPr>
          <w:ilvl w:val="0"/>
          <w:numId w:val="6"/>
        </w:numPr>
        <w:spacing w:after="183" w:line="271" w:lineRule="auto"/>
        <w:ind w:right="183" w:hanging="246"/>
        <w:jc w:val="both"/>
      </w:pPr>
      <w:r>
        <w:rPr>
          <w:rFonts w:ascii="Book Antiqua" w:eastAsia="Book Antiqua" w:hAnsi="Book Antiqua" w:cs="Book Antiqua"/>
          <w:sz w:val="22"/>
          <w:szCs w:val="22"/>
        </w:rPr>
        <w:t>Instituto SINCHI. Población.</w:t>
      </w:r>
      <w:r>
        <w:rPr>
          <w:rFonts w:ascii="Book Antiqua" w:eastAsia="Book Antiqua" w:hAnsi="Book Antiqua" w:cs="Book Antiqua"/>
          <w:b/>
          <w:sz w:val="22"/>
          <w:szCs w:val="22"/>
        </w:rPr>
        <w:t xml:space="preserve"> </w:t>
      </w:r>
      <w:r>
        <w:rPr>
          <w:rFonts w:ascii="Book Antiqua" w:eastAsia="Book Antiqua" w:hAnsi="Book Antiqua" w:cs="Book Antiqua"/>
          <w:sz w:val="22"/>
          <w:szCs w:val="22"/>
        </w:rPr>
        <w:t xml:space="preserve">Disponible en </w:t>
      </w:r>
      <w:hyperlink r:id="rId65">
        <w:r>
          <w:rPr>
            <w:rFonts w:ascii="Book Antiqua" w:eastAsia="Book Antiqua" w:hAnsi="Book Antiqua" w:cs="Book Antiqua"/>
            <w:color w:val="0000FF"/>
            <w:sz w:val="22"/>
            <w:szCs w:val="22"/>
            <w:u w:val="single"/>
          </w:rPr>
          <w:t>http://siatac.co/web/guest/poblacion</w:t>
        </w:r>
      </w:hyperlink>
      <w:hyperlink r:id="rId66">
        <w:r>
          <w:rPr>
            <w:rFonts w:ascii="Book Antiqua" w:eastAsia="Book Antiqua" w:hAnsi="Book Antiqua" w:cs="Book Antiqua"/>
            <w:sz w:val="22"/>
            <w:szCs w:val="22"/>
          </w:rPr>
          <w:t xml:space="preserve"> </w:t>
        </w:r>
      </w:hyperlink>
    </w:p>
    <w:p w:rsidR="00F14C90" w:rsidRDefault="007869F2">
      <w:pPr>
        <w:numPr>
          <w:ilvl w:val="0"/>
          <w:numId w:val="6"/>
        </w:numPr>
        <w:spacing w:after="147" w:line="285" w:lineRule="auto"/>
        <w:ind w:right="183" w:hanging="246"/>
        <w:jc w:val="both"/>
      </w:pPr>
      <w:r>
        <w:rPr>
          <w:rFonts w:ascii="Book Antiqua" w:eastAsia="Book Antiqua" w:hAnsi="Book Antiqua" w:cs="Book Antiqua"/>
          <w:sz w:val="22"/>
          <w:szCs w:val="22"/>
        </w:rPr>
        <w:t xml:space="preserve">Universidad Nacional. La Amazonía. Disponible en </w:t>
      </w:r>
      <w:hyperlink r:id="rId67">
        <w:r>
          <w:rPr>
            <w:rFonts w:ascii="Book Antiqua" w:eastAsia="Book Antiqua" w:hAnsi="Book Antiqua" w:cs="Book Antiqua"/>
            <w:color w:val="0000FF"/>
            <w:sz w:val="22"/>
            <w:szCs w:val="22"/>
            <w:u w:val="single"/>
          </w:rPr>
          <w:t>http://amazonia.unal.edu.co/index.php</w:t>
        </w:r>
      </w:hyperlink>
      <w:hyperlink r:id="rId68">
        <w:r>
          <w:rPr>
            <w:rFonts w:ascii="Book Antiqua" w:eastAsia="Book Antiqua" w:hAnsi="Book Antiqua" w:cs="Book Antiqua"/>
            <w:color w:val="0000FF"/>
            <w:sz w:val="22"/>
            <w:szCs w:val="22"/>
          </w:rPr>
          <w:t xml:space="preserve"> </w:t>
        </w:r>
      </w:hyperlink>
      <w:hyperlink r:id="rId69">
        <w:r>
          <w:rPr>
            <w:rFonts w:ascii="Book Antiqua" w:eastAsia="Book Antiqua" w:hAnsi="Book Antiqua" w:cs="Book Antiqua"/>
            <w:color w:val="0000FF"/>
            <w:sz w:val="22"/>
            <w:szCs w:val="22"/>
            <w:u w:val="single"/>
          </w:rPr>
          <w:t>/homepage/histor</w:t>
        </w:r>
        <w:r>
          <w:rPr>
            <w:rFonts w:ascii="Book Antiqua" w:eastAsia="Book Antiqua" w:hAnsi="Book Antiqua" w:cs="Book Antiqua"/>
            <w:color w:val="0000FF"/>
            <w:sz w:val="22"/>
            <w:szCs w:val="22"/>
            <w:u w:val="single"/>
          </w:rPr>
          <w:t>ia/la-amazonia</w:t>
        </w:r>
      </w:hyperlink>
      <w:hyperlink r:id="rId70">
        <w:r>
          <w:rPr>
            <w:rFonts w:ascii="Book Antiqua" w:eastAsia="Book Antiqua" w:hAnsi="Book Antiqua" w:cs="Book Antiqua"/>
            <w:sz w:val="22"/>
            <w:szCs w:val="22"/>
          </w:rPr>
          <w:t xml:space="preserve"> </w:t>
        </w:r>
      </w:hyperlink>
    </w:p>
    <w:p w:rsidR="00F14C90" w:rsidRDefault="007869F2">
      <w:pPr>
        <w:numPr>
          <w:ilvl w:val="0"/>
          <w:numId w:val="6"/>
        </w:numPr>
        <w:spacing w:after="176" w:line="271" w:lineRule="auto"/>
        <w:ind w:right="183" w:hanging="246"/>
        <w:jc w:val="both"/>
      </w:pPr>
      <w:r>
        <w:rPr>
          <w:rFonts w:ascii="Book Antiqua" w:eastAsia="Book Antiqua" w:hAnsi="Book Antiqua" w:cs="Book Antiqua"/>
          <w:sz w:val="22"/>
          <w:szCs w:val="22"/>
        </w:rPr>
        <w:t>Instituto SINCHI. Población.</w:t>
      </w:r>
      <w:r>
        <w:rPr>
          <w:rFonts w:ascii="Book Antiqua" w:eastAsia="Book Antiqua" w:hAnsi="Book Antiqua" w:cs="Book Antiqua"/>
          <w:b/>
          <w:sz w:val="22"/>
          <w:szCs w:val="22"/>
        </w:rPr>
        <w:t xml:space="preserve"> </w:t>
      </w:r>
      <w:r>
        <w:rPr>
          <w:rFonts w:ascii="Book Antiqua" w:eastAsia="Book Antiqua" w:hAnsi="Book Antiqua" w:cs="Book Antiqua"/>
          <w:sz w:val="22"/>
          <w:szCs w:val="22"/>
        </w:rPr>
        <w:t xml:space="preserve">Disponible en </w:t>
      </w:r>
      <w:hyperlink r:id="rId71">
        <w:r>
          <w:rPr>
            <w:rFonts w:ascii="Book Antiqua" w:eastAsia="Book Antiqua" w:hAnsi="Book Antiqua" w:cs="Book Antiqua"/>
            <w:color w:val="0000FF"/>
            <w:sz w:val="22"/>
            <w:szCs w:val="22"/>
            <w:u w:val="single"/>
          </w:rPr>
          <w:t>http://siatac.co/web/guest/poblacion</w:t>
        </w:r>
      </w:hyperlink>
      <w:hyperlink r:id="rId72">
        <w:r>
          <w:rPr>
            <w:rFonts w:ascii="Book Antiqua" w:eastAsia="Book Antiqua" w:hAnsi="Book Antiqua" w:cs="Book Antiqua"/>
            <w:sz w:val="22"/>
            <w:szCs w:val="22"/>
          </w:rPr>
          <w:t xml:space="preserve"> </w:t>
        </w:r>
      </w:hyperlink>
    </w:p>
    <w:p w:rsidR="00F14C90" w:rsidRDefault="007869F2">
      <w:pPr>
        <w:numPr>
          <w:ilvl w:val="0"/>
          <w:numId w:val="6"/>
        </w:numPr>
        <w:spacing w:after="145" w:line="284" w:lineRule="auto"/>
        <w:ind w:right="183" w:hanging="246"/>
        <w:jc w:val="both"/>
      </w:pPr>
      <w:r>
        <w:rPr>
          <w:rFonts w:ascii="Book Antiqua" w:eastAsia="Book Antiqua" w:hAnsi="Book Antiqua" w:cs="Book Antiqua"/>
          <w:sz w:val="22"/>
          <w:szCs w:val="22"/>
        </w:rPr>
        <w:t xml:space="preserve">Giraldo, M. (2012). Amazonía Posible y Sostenible. </w:t>
      </w:r>
      <w:r>
        <w:rPr>
          <w:rFonts w:ascii="Book Antiqua" w:eastAsia="Book Antiqua" w:hAnsi="Book Antiqua" w:cs="Book Antiqua"/>
          <w:i/>
          <w:sz w:val="22"/>
          <w:szCs w:val="22"/>
        </w:rPr>
        <w:t>Comisión Económica para América LatinaCEPAL, Bogotá</w:t>
      </w:r>
      <w:r>
        <w:rPr>
          <w:rFonts w:ascii="Book Antiqua" w:eastAsia="Book Antiqua" w:hAnsi="Book Antiqua" w:cs="Book Antiqua"/>
          <w:sz w:val="22"/>
          <w:szCs w:val="22"/>
        </w:rPr>
        <w:t xml:space="preserve">. </w:t>
      </w:r>
    </w:p>
    <w:p w:rsidR="00F14C90" w:rsidRDefault="007869F2">
      <w:pPr>
        <w:numPr>
          <w:ilvl w:val="0"/>
          <w:numId w:val="6"/>
        </w:numPr>
        <w:spacing w:after="152" w:line="271" w:lineRule="auto"/>
        <w:ind w:right="183" w:hanging="246"/>
        <w:jc w:val="both"/>
      </w:pPr>
      <w:r>
        <w:rPr>
          <w:rFonts w:ascii="Book Antiqua" w:eastAsia="Book Antiqua" w:hAnsi="Book Antiqua" w:cs="Book Antiqua"/>
          <w:sz w:val="22"/>
          <w:szCs w:val="22"/>
        </w:rPr>
        <w:t>Instituto de Hidrología, Meteorología y Estudios Ambientales (IDEAM). Subdirección de Ecosistemas e Información</w:t>
      </w:r>
      <w:r>
        <w:rPr>
          <w:rFonts w:ascii="Book Antiqua" w:eastAsia="Book Antiqua" w:hAnsi="Book Antiqua" w:cs="Book Antiqua"/>
          <w:sz w:val="22"/>
          <w:szCs w:val="22"/>
        </w:rPr>
        <w:t xml:space="preserve"> Ambiental. Sistema de Monitoreo de Bosques y Carbono (SMBYC) (2018). Boletín de detección temprana de deforestación. No. 17. Disponible en</w:t>
      </w:r>
      <w:r>
        <w:rPr>
          <w:rFonts w:ascii="Book Antiqua" w:eastAsia="Book Antiqua" w:hAnsi="Book Antiqua" w:cs="Book Antiqua"/>
          <w:b/>
          <w:sz w:val="22"/>
          <w:szCs w:val="22"/>
        </w:rPr>
        <w:t xml:space="preserve"> </w:t>
      </w:r>
      <w:hyperlink r:id="rId73">
        <w:r>
          <w:rPr>
            <w:rFonts w:ascii="Book Antiqua" w:eastAsia="Book Antiqua" w:hAnsi="Book Antiqua" w:cs="Book Antiqua"/>
            <w:color w:val="0000FF"/>
            <w:sz w:val="22"/>
            <w:szCs w:val="22"/>
            <w:u w:val="single"/>
          </w:rPr>
          <w:t>http://documentacion.ide</w:t>
        </w:r>
        <w:r>
          <w:rPr>
            <w:rFonts w:ascii="Book Antiqua" w:eastAsia="Book Antiqua" w:hAnsi="Book Antiqua" w:cs="Book Antiqua"/>
            <w:color w:val="0000FF"/>
            <w:sz w:val="22"/>
            <w:szCs w:val="22"/>
            <w:u w:val="single"/>
          </w:rPr>
          <w:t>am.gov.co/openbiblio/bvirtual/023856/023856.html</w:t>
        </w:r>
      </w:hyperlink>
      <w:hyperlink r:id="rId74">
        <w:r>
          <w:rPr>
            <w:rFonts w:ascii="Book Antiqua" w:eastAsia="Book Antiqua" w:hAnsi="Book Antiqua" w:cs="Book Antiqua"/>
            <w:sz w:val="22"/>
            <w:szCs w:val="22"/>
          </w:rPr>
          <w:t xml:space="preserve"> </w:t>
        </w:r>
      </w:hyperlink>
    </w:p>
    <w:p w:rsidR="00F14C90" w:rsidRDefault="007869F2">
      <w:pPr>
        <w:numPr>
          <w:ilvl w:val="0"/>
          <w:numId w:val="6"/>
        </w:numPr>
        <w:spacing w:after="147" w:line="285" w:lineRule="auto"/>
        <w:ind w:right="183" w:hanging="246"/>
        <w:jc w:val="both"/>
      </w:pPr>
      <w:r>
        <w:rPr>
          <w:rFonts w:ascii="Book Antiqua" w:eastAsia="Book Antiqua" w:hAnsi="Book Antiqua" w:cs="Book Antiqua"/>
          <w:sz w:val="22"/>
          <w:szCs w:val="22"/>
        </w:rPr>
        <w:t xml:space="preserve">Más de 4.300 especies amazónicas peligran por la deforestación. En Revista Semana Sostenible. Disponible en </w:t>
      </w:r>
      <w:hyperlink r:id="rId75">
        <w:r>
          <w:rPr>
            <w:rFonts w:ascii="Book Antiqua" w:eastAsia="Book Antiqua" w:hAnsi="Book Antiqua" w:cs="Book Antiqua"/>
            <w:color w:val="0000FF"/>
            <w:sz w:val="22"/>
            <w:szCs w:val="22"/>
            <w:u w:val="single"/>
          </w:rPr>
          <w:t>https://sostenibilidad.semana.com/medio-ambiente/articulo/mas-de-4300especies-amazonicas-peligran-por-la</w:t>
        </w:r>
      </w:hyperlink>
      <w:r>
        <w:rPr>
          <w:rFonts w:ascii="Book Antiqua" w:eastAsia="Book Antiqua" w:hAnsi="Book Antiqua" w:cs="Book Antiqua"/>
          <w:color w:val="0000FF"/>
          <w:sz w:val="22"/>
          <w:szCs w:val="22"/>
          <w:u w:val="single"/>
        </w:rPr>
        <w:t>-</w:t>
      </w:r>
      <w:hyperlink r:id="rId76">
        <w:r>
          <w:rPr>
            <w:rFonts w:ascii="Book Antiqua" w:eastAsia="Book Antiqua" w:hAnsi="Book Antiqua" w:cs="Book Antiqua"/>
            <w:color w:val="0000FF"/>
            <w:sz w:val="22"/>
            <w:szCs w:val="22"/>
            <w:u w:val="single"/>
          </w:rPr>
          <w:t>deforestacion/42447</w:t>
        </w:r>
      </w:hyperlink>
      <w:hyperlink r:id="rId77">
        <w:r>
          <w:rPr>
            <w:rFonts w:ascii="Book Antiqua" w:eastAsia="Book Antiqua" w:hAnsi="Book Antiqua" w:cs="Book Antiqua"/>
            <w:sz w:val="22"/>
            <w:szCs w:val="22"/>
          </w:rPr>
          <w:t xml:space="preserve"> </w:t>
        </w:r>
      </w:hyperlink>
    </w:p>
    <w:p w:rsidR="00F14C90" w:rsidRDefault="007869F2">
      <w:pPr>
        <w:numPr>
          <w:ilvl w:val="0"/>
          <w:numId w:val="6"/>
        </w:numPr>
        <w:spacing w:after="159" w:line="271" w:lineRule="auto"/>
        <w:ind w:right="183" w:hanging="246"/>
        <w:jc w:val="both"/>
      </w:pPr>
      <w:r>
        <w:rPr>
          <w:rFonts w:ascii="Book Antiqua" w:eastAsia="Book Antiqua" w:hAnsi="Book Antiqua" w:cs="Book Antiqua"/>
          <w:sz w:val="22"/>
          <w:szCs w:val="22"/>
        </w:rPr>
        <w:t>Hettler B, Thieme A, Finer M (2018) Auge de Deforestación en la Amazonía Colombiana: 2017-18. MAAP: #97. Disponible en</w:t>
      </w:r>
      <w:hyperlink r:id="rId78">
        <w:r>
          <w:rPr>
            <w:rFonts w:ascii="Book Antiqua" w:eastAsia="Book Antiqua" w:hAnsi="Book Antiqua" w:cs="Book Antiqua"/>
            <w:sz w:val="22"/>
            <w:szCs w:val="22"/>
          </w:rPr>
          <w:t xml:space="preserve"> </w:t>
        </w:r>
      </w:hyperlink>
      <w:hyperlink r:id="rId79">
        <w:r>
          <w:rPr>
            <w:rFonts w:ascii="Book Antiqua" w:eastAsia="Book Antiqua" w:hAnsi="Book Antiqua" w:cs="Book Antiqua"/>
            <w:color w:val="0000FF"/>
            <w:sz w:val="22"/>
            <w:szCs w:val="22"/>
            <w:u w:val="single"/>
          </w:rPr>
          <w:t>https://maaproject.org/2019/colombia-2018-esp/</w:t>
        </w:r>
      </w:hyperlink>
      <w:hyperlink r:id="rId80">
        <w:r>
          <w:rPr>
            <w:rFonts w:ascii="Book Antiqua" w:eastAsia="Book Antiqua" w:hAnsi="Book Antiqua" w:cs="Book Antiqua"/>
            <w:sz w:val="22"/>
            <w:szCs w:val="22"/>
          </w:rPr>
          <w:t xml:space="preserve"> </w:t>
        </w:r>
      </w:hyperlink>
    </w:p>
    <w:p w:rsidR="00F14C90" w:rsidRDefault="007869F2">
      <w:pPr>
        <w:numPr>
          <w:ilvl w:val="0"/>
          <w:numId w:val="6"/>
        </w:numPr>
        <w:spacing w:after="147" w:line="285" w:lineRule="auto"/>
        <w:ind w:right="183" w:hanging="246"/>
        <w:jc w:val="both"/>
      </w:pPr>
      <w:r>
        <w:rPr>
          <w:rFonts w:ascii="Book Antiqua" w:eastAsia="Book Antiqua" w:hAnsi="Book Antiqua" w:cs="Book Antiqua"/>
          <w:sz w:val="22"/>
          <w:szCs w:val="22"/>
        </w:rPr>
        <w:t xml:space="preserve">DANE (2018). Boletín Técnico Pobreza Multidimensional Departamental Disponible en </w:t>
      </w:r>
      <w:hyperlink r:id="rId81">
        <w:r>
          <w:rPr>
            <w:rFonts w:ascii="Book Antiqua" w:eastAsia="Book Antiqua" w:hAnsi="Book Antiqua" w:cs="Book Antiqua"/>
            <w:color w:val="0000FF"/>
            <w:sz w:val="22"/>
            <w:szCs w:val="22"/>
            <w:u w:val="single"/>
          </w:rPr>
          <w:t>https://www.dane.gov.co/files/investigaciones/condiciones_vida/pobreza/2018/Region_bt_pobre za_multidimensional_18_ama</w:t>
        </w:r>
        <w:r>
          <w:rPr>
            <w:rFonts w:ascii="Book Antiqua" w:eastAsia="Book Antiqua" w:hAnsi="Book Antiqua" w:cs="Book Antiqua"/>
            <w:color w:val="0000FF"/>
            <w:sz w:val="22"/>
            <w:szCs w:val="22"/>
            <w:u w:val="single"/>
          </w:rPr>
          <w:t>zonia-orinoquia.pdf</w:t>
        </w:r>
      </w:hyperlink>
      <w:hyperlink r:id="rId82">
        <w:r>
          <w:rPr>
            <w:rFonts w:ascii="Book Antiqua" w:eastAsia="Book Antiqua" w:hAnsi="Book Antiqua" w:cs="Book Antiqua"/>
            <w:sz w:val="22"/>
            <w:szCs w:val="22"/>
          </w:rPr>
          <w:t xml:space="preserve"> </w:t>
        </w:r>
      </w:hyperlink>
    </w:p>
    <w:p w:rsidR="00F14C90" w:rsidRDefault="007869F2">
      <w:pPr>
        <w:numPr>
          <w:ilvl w:val="0"/>
          <w:numId w:val="6"/>
        </w:numPr>
        <w:spacing w:after="9" w:line="271" w:lineRule="auto"/>
        <w:ind w:right="183" w:hanging="246"/>
        <w:jc w:val="both"/>
      </w:pPr>
      <w:r>
        <w:rPr>
          <w:rFonts w:ascii="Book Antiqua" w:eastAsia="Book Antiqua" w:hAnsi="Book Antiqua" w:cs="Book Antiqua"/>
          <w:sz w:val="22"/>
          <w:szCs w:val="22"/>
        </w:rPr>
        <w:t xml:space="preserve">Ministerio de Transporte. (2014). PLAN VÍAS-CC: vías compatibles con el clima. </w:t>
      </w:r>
      <w:r>
        <w:rPr>
          <w:rFonts w:ascii="Book Antiqua" w:eastAsia="Book Antiqua" w:hAnsi="Book Antiqua" w:cs="Book Antiqua"/>
          <w:sz w:val="22"/>
          <w:szCs w:val="22"/>
        </w:rPr>
        <w:t>Plan de Adaptación de la Red Vial Primaria de Colombia. Disponible en</w:t>
      </w:r>
      <w:hyperlink r:id="rId83">
        <w:r>
          <w:rPr>
            <w:rFonts w:ascii="Book Antiqua" w:eastAsia="Book Antiqua" w:hAnsi="Book Antiqua" w:cs="Book Antiqua"/>
            <w:sz w:val="22"/>
            <w:szCs w:val="22"/>
          </w:rPr>
          <w:t xml:space="preserve"> </w:t>
        </w:r>
      </w:hyperlink>
      <w:hyperlink r:id="rId84">
        <w:r>
          <w:rPr>
            <w:rFonts w:ascii="Book Antiqua" w:eastAsia="Book Antiqua" w:hAnsi="Book Antiqua" w:cs="Book Antiqua"/>
            <w:color w:val="0000FF"/>
            <w:sz w:val="22"/>
            <w:szCs w:val="22"/>
            <w:u w:val="single"/>
          </w:rPr>
          <w:t>https://www.superservicios.gov.co/sites/default/archivos/Publicaciones/Publicaciones/2019/Ene/informe_sectorial-cuatrienio_2014-</w:t>
        </w:r>
        <w:r>
          <w:rPr>
            <w:rFonts w:ascii="Book Antiqua" w:eastAsia="Book Antiqua" w:hAnsi="Book Antiqua" w:cs="Book Antiqua"/>
            <w:color w:val="0000FF"/>
            <w:sz w:val="22"/>
            <w:szCs w:val="22"/>
            <w:u w:val="single"/>
          </w:rPr>
          <w:t>2017_.pdf</w:t>
        </w:r>
      </w:hyperlink>
    </w:p>
    <w:p w:rsidR="00F14C90" w:rsidRDefault="00F14C90">
      <w:pPr>
        <w:spacing w:after="9" w:line="271" w:lineRule="auto"/>
        <w:ind w:right="183"/>
        <w:jc w:val="both"/>
      </w:pPr>
    </w:p>
    <w:p w:rsidR="00F14C90" w:rsidRDefault="00F14C90">
      <w:pPr>
        <w:spacing w:after="9" w:line="271" w:lineRule="auto"/>
        <w:ind w:right="183"/>
        <w:jc w:val="both"/>
      </w:pPr>
    </w:p>
    <w:p w:rsidR="00F14C90" w:rsidRDefault="007869F2">
      <w:pPr>
        <w:pStyle w:val="Ttulo1"/>
        <w:rPr>
          <w:rFonts w:ascii="Book Antiqua" w:eastAsia="Book Antiqua" w:hAnsi="Book Antiqua" w:cs="Book Antiqua"/>
          <w:b/>
          <w:color w:val="000000"/>
          <w:sz w:val="22"/>
          <w:szCs w:val="22"/>
          <w:u w:val="single"/>
        </w:rPr>
      </w:pPr>
      <w:bookmarkStart w:id="9" w:name="_17dp8vu" w:colFirst="0" w:colLast="0"/>
      <w:bookmarkEnd w:id="9"/>
      <w:r>
        <w:rPr>
          <w:rFonts w:ascii="Book Antiqua" w:eastAsia="Book Antiqua" w:hAnsi="Book Antiqua" w:cs="Book Antiqua"/>
          <w:b/>
          <w:color w:val="000000"/>
          <w:sz w:val="22"/>
          <w:szCs w:val="22"/>
          <w:u w:val="single"/>
        </w:rPr>
        <w:t>3. ARTICULADO</w:t>
      </w:r>
    </w:p>
    <w:p w:rsidR="00F14C90" w:rsidRDefault="00F14C90"/>
    <w:p w:rsidR="00F14C90" w:rsidRDefault="00F14C90"/>
    <w:p w:rsidR="00F14C90" w:rsidRDefault="00F14C90">
      <w:pPr>
        <w:jc w:val="center"/>
        <w:rPr>
          <w:rFonts w:ascii="Book Antiqua" w:eastAsia="Book Antiqua" w:hAnsi="Book Antiqua" w:cs="Book Antiqua"/>
          <w:b/>
          <w:sz w:val="22"/>
          <w:szCs w:val="22"/>
        </w:rPr>
      </w:pPr>
    </w:p>
    <w:p w:rsidR="00F14C90" w:rsidRDefault="007869F2">
      <w:pPr>
        <w:jc w:val="center"/>
        <w:rPr>
          <w:rFonts w:ascii="Book Antiqua" w:eastAsia="Book Antiqua" w:hAnsi="Book Antiqua" w:cs="Book Antiqua"/>
          <w:b/>
          <w:sz w:val="22"/>
          <w:szCs w:val="22"/>
        </w:rPr>
      </w:pPr>
      <w:r>
        <w:rPr>
          <w:rFonts w:ascii="Book Antiqua" w:eastAsia="Book Antiqua" w:hAnsi="Book Antiqua" w:cs="Book Antiqua"/>
          <w:b/>
          <w:sz w:val="22"/>
          <w:szCs w:val="22"/>
        </w:rPr>
        <w:t>PROYECTO DE ACTO LEGISLATIVO NÚMERO_____DE 2020</w:t>
      </w:r>
    </w:p>
    <w:p w:rsidR="00F14C90" w:rsidRDefault="00F14C90">
      <w:pPr>
        <w:jc w:val="center"/>
        <w:rPr>
          <w:rFonts w:ascii="Book Antiqua" w:eastAsia="Book Antiqua" w:hAnsi="Book Antiqua" w:cs="Book Antiqua"/>
          <w:sz w:val="22"/>
          <w:szCs w:val="22"/>
        </w:rPr>
      </w:pPr>
    </w:p>
    <w:p w:rsidR="00F14C90" w:rsidRDefault="007869F2">
      <w:pPr>
        <w:jc w:val="center"/>
        <w:rPr>
          <w:rFonts w:ascii="Book Antiqua" w:eastAsia="Book Antiqua" w:hAnsi="Book Antiqua" w:cs="Book Antiqua"/>
          <w:i/>
          <w:sz w:val="22"/>
          <w:szCs w:val="22"/>
        </w:rPr>
      </w:pPr>
      <w:r>
        <w:rPr>
          <w:rFonts w:ascii="Book Antiqua" w:eastAsia="Book Antiqua" w:hAnsi="Book Antiqua" w:cs="Book Antiqua"/>
          <w:b/>
          <w:sz w:val="22"/>
          <w:szCs w:val="22"/>
        </w:rPr>
        <w:t>“Por el cual se adicionan al artículo 310 de la Constitución Política Colombiana, normas especiales para la organización, funcionamiento, protección ambiental, cultural y étnica de los departamentos de Amazonas, Caquetá, Guainía, Guaviare, Putumayo y Vaupé</w:t>
      </w:r>
      <w:r>
        <w:rPr>
          <w:rFonts w:ascii="Book Antiqua" w:eastAsia="Book Antiqua" w:hAnsi="Book Antiqua" w:cs="Book Antiqua"/>
          <w:b/>
          <w:sz w:val="22"/>
          <w:szCs w:val="22"/>
        </w:rPr>
        <w:t>s”.</w:t>
      </w:r>
    </w:p>
    <w:p w:rsidR="00F14C90" w:rsidRDefault="00F14C90">
      <w:pPr>
        <w:jc w:val="center"/>
        <w:rPr>
          <w:rFonts w:ascii="Book Antiqua" w:eastAsia="Book Antiqua" w:hAnsi="Book Antiqua" w:cs="Book Antiqua"/>
          <w:sz w:val="22"/>
          <w:szCs w:val="22"/>
        </w:rPr>
      </w:pPr>
    </w:p>
    <w:p w:rsidR="00F14C90" w:rsidRDefault="007869F2">
      <w:pPr>
        <w:jc w:val="center"/>
        <w:rPr>
          <w:rFonts w:ascii="Book Antiqua" w:eastAsia="Book Antiqua" w:hAnsi="Book Antiqua" w:cs="Book Antiqua"/>
          <w:sz w:val="22"/>
          <w:szCs w:val="22"/>
        </w:rPr>
      </w:pPr>
      <w:r>
        <w:rPr>
          <w:rFonts w:ascii="Book Antiqua" w:eastAsia="Book Antiqua" w:hAnsi="Book Antiqua" w:cs="Book Antiqua"/>
          <w:b/>
          <w:sz w:val="22"/>
          <w:szCs w:val="22"/>
        </w:rPr>
        <w:t>El Congreso de Colombia</w:t>
      </w:r>
    </w:p>
    <w:p w:rsidR="00F14C90" w:rsidRDefault="00F14C90">
      <w:pPr>
        <w:jc w:val="center"/>
        <w:rPr>
          <w:rFonts w:ascii="Book Antiqua" w:eastAsia="Book Antiqua" w:hAnsi="Book Antiqua" w:cs="Book Antiqua"/>
          <w:b/>
          <w:sz w:val="22"/>
          <w:szCs w:val="22"/>
        </w:rPr>
      </w:pPr>
    </w:p>
    <w:p w:rsidR="00F14C90" w:rsidRDefault="007869F2">
      <w:pPr>
        <w:jc w:val="center"/>
        <w:rPr>
          <w:rFonts w:ascii="Book Antiqua" w:eastAsia="Book Antiqua" w:hAnsi="Book Antiqua" w:cs="Book Antiqua"/>
          <w:b/>
          <w:sz w:val="22"/>
          <w:szCs w:val="22"/>
        </w:rPr>
      </w:pPr>
      <w:r>
        <w:rPr>
          <w:rFonts w:ascii="Book Antiqua" w:eastAsia="Book Antiqua" w:hAnsi="Book Antiqua" w:cs="Book Antiqua"/>
          <w:b/>
          <w:sz w:val="22"/>
          <w:szCs w:val="22"/>
        </w:rPr>
        <w:t>DECRETA:</w:t>
      </w:r>
    </w:p>
    <w:p w:rsidR="00F14C90" w:rsidRDefault="00F14C90">
      <w:pPr>
        <w:pBdr>
          <w:top w:val="nil"/>
          <w:left w:val="nil"/>
          <w:bottom w:val="nil"/>
          <w:right w:val="nil"/>
          <w:between w:val="nil"/>
        </w:pBdr>
        <w:shd w:val="clear" w:color="auto" w:fill="FFFFFF"/>
        <w:spacing w:before="45" w:after="15"/>
        <w:ind w:left="720" w:right="30"/>
        <w:jc w:val="center"/>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Artículo 1.</w:t>
      </w:r>
      <w:r>
        <w:rPr>
          <w:rFonts w:ascii="Book Antiqua" w:eastAsia="Book Antiqua" w:hAnsi="Book Antiqua" w:cs="Book Antiqua"/>
          <w:color w:val="000000"/>
          <w:sz w:val="22"/>
          <w:szCs w:val="22"/>
        </w:rPr>
        <w:t xml:space="preserve"> Modifíquese el artículo 310 de la Constitución Política de Colombia, el cual quedará así:</w:t>
      </w:r>
    </w:p>
    <w:p w:rsidR="00F14C90" w:rsidRDefault="00F14C90">
      <w:pPr>
        <w:pBdr>
          <w:top w:val="nil"/>
          <w:left w:val="nil"/>
          <w:bottom w:val="nil"/>
          <w:right w:val="nil"/>
          <w:between w:val="nil"/>
        </w:pBdr>
        <w:shd w:val="clear" w:color="auto" w:fill="FFFFFF"/>
        <w:spacing w:before="45" w:after="15"/>
        <w:ind w:right="30"/>
        <w:jc w:val="both"/>
        <w:rPr>
          <w:rFonts w:ascii="Book Antiqua" w:eastAsia="Book Antiqua" w:hAnsi="Book Antiqua" w:cs="Book Antiqua"/>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Artículo 310.</w:t>
      </w:r>
      <w:r>
        <w:rPr>
          <w:rFonts w:ascii="Book Antiqua" w:eastAsia="Book Antiqua" w:hAnsi="Book Antiqua" w:cs="Book Antiqua"/>
          <w:color w:val="000000"/>
          <w:sz w:val="22"/>
          <w:szCs w:val="22"/>
        </w:rPr>
        <w:t xml:space="preserve"> El departamento Archipiélago de San Andrés, Providencia y Santa Catalina y la región Amazonía, conformada por los departamentos de Amazonas, Caquetá, Guainía, Guaviare, Putumayo y Vaupés</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se regirán por normas especiales, de acuerdo con lo establecido en </w:t>
      </w:r>
      <w:r>
        <w:rPr>
          <w:rFonts w:ascii="Book Antiqua" w:eastAsia="Book Antiqua" w:hAnsi="Book Antiqua" w:cs="Book Antiqua"/>
          <w:color w:val="000000"/>
          <w:sz w:val="22"/>
          <w:szCs w:val="22"/>
        </w:rPr>
        <w:t>este artículo, además, de las normas previstas en la Constitución y las leyes para los otros departamentos.</w:t>
      </w:r>
    </w:p>
    <w:p w:rsidR="00F14C90" w:rsidRDefault="00F14C90">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El departamento Archipiélago de San Andrés, Providencia y Santa Catalina</w:t>
      </w:r>
      <w:r>
        <w:rPr>
          <w:rFonts w:ascii="Book Antiqua" w:eastAsia="Book Antiqua" w:hAnsi="Book Antiqua" w:cs="Book Antiqua"/>
          <w:sz w:val="22"/>
          <w:szCs w:val="22"/>
        </w:rPr>
        <w:t>, se</w:t>
      </w:r>
      <w:r>
        <w:rPr>
          <w:rFonts w:ascii="Book Antiqua" w:eastAsia="Book Antiqua" w:hAnsi="Book Antiqua" w:cs="Book Antiqua"/>
          <w:color w:val="000000"/>
          <w:sz w:val="22"/>
          <w:szCs w:val="22"/>
        </w:rPr>
        <w:t xml:space="preserve"> regirá por las normas especiales que, en materia administrativa, de in</w:t>
      </w:r>
      <w:r>
        <w:rPr>
          <w:rFonts w:ascii="Book Antiqua" w:eastAsia="Book Antiqua" w:hAnsi="Book Antiqua" w:cs="Book Antiqua"/>
          <w:color w:val="000000"/>
          <w:sz w:val="22"/>
          <w:szCs w:val="22"/>
        </w:rPr>
        <w:t>migración, fiscal, de comercio exterior, de cambios, financiera y de fomento económico, establezca el legislador.</w:t>
      </w:r>
    </w:p>
    <w:p w:rsidR="00F14C90" w:rsidRDefault="00F14C90">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Mediante ley aprobada por la mayoría de los miembros de cada Cámara se podrá limitar el ejercicio de los derechos de circulación y residencia</w:t>
      </w:r>
      <w:r>
        <w:rPr>
          <w:rFonts w:ascii="Book Antiqua" w:eastAsia="Book Antiqua" w:hAnsi="Book Antiqua" w:cs="Book Antiqua"/>
          <w:color w:val="000000"/>
          <w:sz w:val="22"/>
          <w:szCs w:val="22"/>
        </w:rPr>
        <w:t>, establecer controles a la densidad de la población, regular el uso del suelo y someter a condiciones especiales la enajenación de bienes inmuebles con el fin de proteger la identidad cultural de las comunidades nativas y preservar el ambiente y los recur</w:t>
      </w:r>
      <w:r>
        <w:rPr>
          <w:rFonts w:ascii="Book Antiqua" w:eastAsia="Book Antiqua" w:hAnsi="Book Antiqua" w:cs="Book Antiqua"/>
          <w:color w:val="000000"/>
          <w:sz w:val="22"/>
          <w:szCs w:val="22"/>
        </w:rPr>
        <w:t>sos naturales del Archipiélago.</w:t>
      </w:r>
    </w:p>
    <w:p w:rsidR="00F14C90" w:rsidRDefault="00F14C90">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Mediante la creación de los municipios a que hubiere lugar, la Asamblea Departamental garantizará la expresión institucional de las comunidades raizales de San Andrés. El municipio de Providencia tendrá en las rentas depart</w:t>
      </w:r>
      <w:r>
        <w:rPr>
          <w:rFonts w:ascii="Book Antiqua" w:eastAsia="Book Antiqua" w:hAnsi="Book Antiqua" w:cs="Book Antiqua"/>
          <w:color w:val="000000"/>
          <w:sz w:val="22"/>
          <w:szCs w:val="22"/>
        </w:rPr>
        <w:t>amentales una participación no inferior del 20% del valor total de dichas rentas.</w:t>
      </w:r>
    </w:p>
    <w:p w:rsidR="00F14C90" w:rsidRDefault="00F14C90">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Los departamentos </w:t>
      </w:r>
      <w:r>
        <w:rPr>
          <w:rFonts w:ascii="Book Antiqua" w:eastAsia="Book Antiqua" w:hAnsi="Book Antiqua" w:cs="Book Antiqua"/>
          <w:sz w:val="22"/>
          <w:szCs w:val="22"/>
        </w:rPr>
        <w:t>de la Amazonía, se regirán</w:t>
      </w:r>
      <w:r>
        <w:rPr>
          <w:rFonts w:ascii="Book Antiqua" w:eastAsia="Book Antiqua" w:hAnsi="Book Antiqua" w:cs="Book Antiqua"/>
          <w:color w:val="000000"/>
          <w:sz w:val="22"/>
          <w:szCs w:val="22"/>
        </w:rPr>
        <w:t xml:space="preserve"> por normas especiales para garantizar la efectiva protección y conservación de la biodiversidad, de la riqueza ambiental y cultu</w:t>
      </w:r>
      <w:r>
        <w:rPr>
          <w:rFonts w:ascii="Book Antiqua" w:eastAsia="Book Antiqua" w:hAnsi="Book Antiqua" w:cs="Book Antiqua"/>
          <w:color w:val="000000"/>
          <w:sz w:val="22"/>
          <w:szCs w:val="22"/>
        </w:rPr>
        <w:t>ral de las comunidades indígenas moradoras y contribuir con el mejoramiento de la calidad de vida de sus habitantes.</w:t>
      </w:r>
    </w:p>
    <w:p w:rsidR="00F14C90" w:rsidRDefault="00F14C90">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Para este fin, se expedirán normas especiales en materia ambiental, administrativa, fiscal y </w:t>
      </w:r>
      <w:r>
        <w:rPr>
          <w:rFonts w:ascii="Book Antiqua" w:eastAsia="Book Antiqua" w:hAnsi="Book Antiqua" w:cs="Book Antiqua"/>
          <w:sz w:val="22"/>
          <w:szCs w:val="22"/>
        </w:rPr>
        <w:t>de inmigración, circulación y residencia</w:t>
      </w:r>
      <w:r>
        <w:rPr>
          <w:rFonts w:ascii="Book Antiqua" w:eastAsia="Book Antiqua" w:hAnsi="Book Antiqua" w:cs="Book Antiqua"/>
          <w:color w:val="000000"/>
          <w:sz w:val="22"/>
          <w:szCs w:val="22"/>
        </w:rPr>
        <w:t xml:space="preserve"> que,</w:t>
      </w:r>
      <w:r>
        <w:rPr>
          <w:rFonts w:ascii="Book Antiqua" w:eastAsia="Book Antiqua" w:hAnsi="Book Antiqua" w:cs="Book Antiqua"/>
          <w:color w:val="000000"/>
          <w:sz w:val="22"/>
          <w:szCs w:val="22"/>
        </w:rPr>
        <w:t xml:space="preserve"> garanticen el bienestar y el ejercicio y protección de los derechos fundamentales de sus habitantes y la preservación de los ecosistemas hacia el futuro, tales como la investigación científica, el turismo, y el aprovechamiento sostenible de los recursos n</w:t>
      </w:r>
      <w:r>
        <w:rPr>
          <w:rFonts w:ascii="Book Antiqua" w:eastAsia="Book Antiqua" w:hAnsi="Book Antiqua" w:cs="Book Antiqua"/>
          <w:color w:val="000000"/>
          <w:sz w:val="22"/>
          <w:szCs w:val="22"/>
        </w:rPr>
        <w:t>aturales. En dichas normas se establecerán mecanismos de compensación y pago de servicios ambientales que permitan que otras entidades territoriales, el gobierno nacional y los colombianos, en general, contribuyan con recursos para la preservación de la ri</w:t>
      </w:r>
      <w:r>
        <w:rPr>
          <w:rFonts w:ascii="Book Antiqua" w:eastAsia="Book Antiqua" w:hAnsi="Book Antiqua" w:cs="Book Antiqua"/>
          <w:color w:val="000000"/>
          <w:sz w:val="22"/>
          <w:szCs w:val="22"/>
        </w:rPr>
        <w:t>queza ambiental y el bienestar de los habitantes de la región Amazonía, toda vez que su preservación e</w:t>
      </w:r>
      <w:r>
        <w:rPr>
          <w:rFonts w:ascii="Book Antiqua" w:eastAsia="Book Antiqua" w:hAnsi="Book Antiqua" w:cs="Book Antiqua"/>
          <w:sz w:val="22"/>
          <w:szCs w:val="22"/>
        </w:rPr>
        <w:t>s obligación</w:t>
      </w:r>
      <w:r>
        <w:rPr>
          <w:rFonts w:ascii="Book Antiqua" w:eastAsia="Book Antiqua" w:hAnsi="Book Antiqua" w:cs="Book Antiqua"/>
          <w:color w:val="000000"/>
          <w:sz w:val="22"/>
          <w:szCs w:val="22"/>
        </w:rPr>
        <w:t xml:space="preserve"> de todos. </w:t>
      </w:r>
    </w:p>
    <w:p w:rsidR="00F14C90" w:rsidRDefault="00F14C90">
      <w:pPr>
        <w:pBdr>
          <w:top w:val="nil"/>
          <w:left w:val="nil"/>
          <w:bottom w:val="nil"/>
          <w:right w:val="nil"/>
          <w:between w:val="nil"/>
        </w:pBdr>
        <w:shd w:val="clear" w:color="auto" w:fill="FFFFFF"/>
        <w:spacing w:before="45" w:after="15"/>
        <w:ind w:left="720" w:right="30"/>
        <w:jc w:val="both"/>
        <w:rPr>
          <w:rFonts w:ascii="Book Antiqua" w:eastAsia="Book Antiqua" w:hAnsi="Book Antiqua" w:cs="Book Antiqua"/>
          <w:color w:val="000000"/>
          <w:sz w:val="22"/>
          <w:szCs w:val="22"/>
        </w:rPr>
      </w:pPr>
    </w:p>
    <w:p w:rsidR="00F14C90" w:rsidRDefault="007869F2">
      <w:pPr>
        <w:pBdr>
          <w:top w:val="nil"/>
          <w:left w:val="nil"/>
          <w:bottom w:val="nil"/>
          <w:right w:val="nil"/>
          <w:between w:val="nil"/>
        </w:pBdr>
        <w:shd w:val="clear" w:color="auto" w:fill="FFFFFF"/>
        <w:spacing w:before="45" w:after="15"/>
        <w:ind w:right="30"/>
        <w:jc w:val="both"/>
        <w:rPr>
          <w:rFonts w:ascii="Book Antiqua" w:eastAsia="Book Antiqua" w:hAnsi="Book Antiqua" w:cs="Book Antiqua"/>
          <w:color w:val="000000"/>
          <w:sz w:val="22"/>
          <w:szCs w:val="22"/>
        </w:rPr>
      </w:pPr>
      <w:r>
        <w:rPr>
          <w:rFonts w:ascii="Book Antiqua" w:eastAsia="Book Antiqua" w:hAnsi="Book Antiqua" w:cs="Book Antiqua"/>
          <w:b/>
          <w:color w:val="000000"/>
          <w:sz w:val="22"/>
          <w:szCs w:val="22"/>
        </w:rPr>
        <w:t>Parágrafo transitorio. </w:t>
      </w:r>
      <w:r>
        <w:rPr>
          <w:rFonts w:ascii="Book Antiqua" w:eastAsia="Book Antiqua" w:hAnsi="Book Antiqua" w:cs="Book Antiqua"/>
          <w:color w:val="000000"/>
          <w:sz w:val="22"/>
          <w:szCs w:val="22"/>
        </w:rPr>
        <w:t>El Gobierno nacional presentará el proyecto de ley para el desarrollo de este artículo dentro de los seis (6) meses siguientes a la promulgación de este Acto Legislativo</w:t>
      </w:r>
      <w:r>
        <w:rPr>
          <w:rFonts w:ascii="Book Antiqua" w:eastAsia="Book Antiqua" w:hAnsi="Book Antiqua" w:cs="Book Antiqua"/>
          <w:sz w:val="22"/>
          <w:szCs w:val="22"/>
        </w:rPr>
        <w:t>; además de</w:t>
      </w:r>
      <w:r>
        <w:rPr>
          <w:rFonts w:ascii="Book Antiqua" w:eastAsia="Book Antiqua" w:hAnsi="Book Antiqua" w:cs="Book Antiqua"/>
          <w:color w:val="000000"/>
          <w:sz w:val="22"/>
          <w:szCs w:val="22"/>
        </w:rPr>
        <w:t xml:space="preserve"> lo establecido</w:t>
      </w:r>
      <w:r>
        <w:rPr>
          <w:rFonts w:ascii="Book Antiqua" w:eastAsia="Book Antiqua" w:hAnsi="Book Antiqua" w:cs="Book Antiqua"/>
          <w:sz w:val="22"/>
          <w:szCs w:val="22"/>
        </w:rPr>
        <w:t>,</w:t>
      </w:r>
      <w:r>
        <w:rPr>
          <w:rFonts w:ascii="Book Antiqua" w:eastAsia="Book Antiqua" w:hAnsi="Book Antiqua" w:cs="Book Antiqua"/>
          <w:color w:val="000000"/>
          <w:sz w:val="22"/>
          <w:szCs w:val="22"/>
        </w:rPr>
        <w:t xml:space="preserve"> deberá trazar una estrategia para detener la deforestación </w:t>
      </w:r>
      <w:r>
        <w:rPr>
          <w:rFonts w:ascii="Book Antiqua" w:eastAsia="Book Antiqua" w:hAnsi="Book Antiqua" w:cs="Book Antiqua"/>
          <w:color w:val="000000"/>
          <w:sz w:val="22"/>
          <w:szCs w:val="22"/>
        </w:rPr>
        <w:t>de los bosques amazónicos, así como todas las actividades criminales que la afectan.</w:t>
      </w:r>
    </w:p>
    <w:p w:rsidR="00F14C90" w:rsidRDefault="00F14C90">
      <w:pPr>
        <w:spacing w:line="360" w:lineRule="auto"/>
        <w:rPr>
          <w:rFonts w:ascii="Book Antiqua" w:eastAsia="Book Antiqua" w:hAnsi="Book Antiqua" w:cs="Book Antiqua"/>
          <w:color w:val="000000"/>
          <w:sz w:val="22"/>
          <w:szCs w:val="22"/>
        </w:rPr>
      </w:pPr>
    </w:p>
    <w:p w:rsidR="00F14C90" w:rsidRDefault="007869F2">
      <w:pPr>
        <w:tabs>
          <w:tab w:val="left" w:pos="8505"/>
          <w:tab w:val="left" w:pos="8789"/>
        </w:tabs>
        <w:jc w:val="both"/>
        <w:rPr>
          <w:rFonts w:ascii="Book Antiqua" w:eastAsia="Book Antiqua" w:hAnsi="Book Antiqua" w:cs="Book Antiqua"/>
          <w:sz w:val="22"/>
          <w:szCs w:val="22"/>
          <w:highlight w:val="white"/>
        </w:rPr>
      </w:pPr>
      <w:r>
        <w:rPr>
          <w:rFonts w:ascii="Book Antiqua" w:eastAsia="Book Antiqua" w:hAnsi="Book Antiqua" w:cs="Book Antiqua"/>
          <w:b/>
          <w:sz w:val="22"/>
          <w:szCs w:val="22"/>
          <w:highlight w:val="white"/>
        </w:rPr>
        <w:t>Artículo 2°. </w:t>
      </w:r>
      <w:r>
        <w:rPr>
          <w:rFonts w:ascii="Book Antiqua" w:eastAsia="Book Antiqua" w:hAnsi="Book Antiqua" w:cs="Book Antiqua"/>
          <w:b/>
          <w:i/>
          <w:sz w:val="22"/>
          <w:szCs w:val="22"/>
          <w:highlight w:val="white"/>
        </w:rPr>
        <w:t>Vigencia. </w:t>
      </w:r>
      <w:r>
        <w:rPr>
          <w:rFonts w:ascii="Book Antiqua" w:eastAsia="Book Antiqua" w:hAnsi="Book Antiqua" w:cs="Book Antiqua"/>
          <w:sz w:val="22"/>
          <w:szCs w:val="22"/>
          <w:highlight w:val="white"/>
        </w:rPr>
        <w:t>El presente Acto Legislativo entrará a regir a partir de su promulgación.</w:t>
      </w:r>
    </w:p>
    <w:p w:rsidR="00F14C90" w:rsidRDefault="00F14C90">
      <w:pPr>
        <w:tabs>
          <w:tab w:val="left" w:pos="8505"/>
          <w:tab w:val="left" w:pos="8789"/>
        </w:tabs>
        <w:rPr>
          <w:rFonts w:ascii="Book Antiqua" w:eastAsia="Book Antiqua" w:hAnsi="Book Antiqua" w:cs="Book Antiqua"/>
          <w:sz w:val="22"/>
          <w:szCs w:val="22"/>
          <w:highlight w:val="white"/>
        </w:rPr>
      </w:pPr>
    </w:p>
    <w:p w:rsidR="00F14C90" w:rsidRDefault="00F14C90">
      <w:pPr>
        <w:tabs>
          <w:tab w:val="left" w:pos="8505"/>
          <w:tab w:val="left" w:pos="8789"/>
        </w:tabs>
        <w:rPr>
          <w:rFonts w:ascii="Book Antiqua" w:eastAsia="Book Antiqua" w:hAnsi="Book Antiqua" w:cs="Book Antiqua"/>
          <w:sz w:val="22"/>
          <w:szCs w:val="22"/>
          <w:highlight w:val="white"/>
        </w:rPr>
      </w:pPr>
    </w:p>
    <w:p w:rsidR="00F14C90" w:rsidRDefault="00F14C90">
      <w:pPr>
        <w:tabs>
          <w:tab w:val="left" w:pos="8505"/>
          <w:tab w:val="left" w:pos="8789"/>
        </w:tabs>
        <w:rPr>
          <w:rFonts w:ascii="Book Antiqua" w:eastAsia="Book Antiqua" w:hAnsi="Book Antiqua" w:cs="Book Antiqua"/>
          <w:sz w:val="22"/>
          <w:szCs w:val="22"/>
          <w:highlight w:val="white"/>
        </w:rPr>
      </w:pPr>
    </w:p>
    <w:p w:rsidR="00F14C90" w:rsidRDefault="007869F2">
      <w:pPr>
        <w:tabs>
          <w:tab w:val="left" w:pos="8505"/>
          <w:tab w:val="left" w:pos="8789"/>
        </w:tabs>
        <w:rPr>
          <w:rFonts w:ascii="Arial" w:eastAsia="Arial" w:hAnsi="Arial" w:cs="Arial"/>
          <w:sz w:val="24"/>
          <w:szCs w:val="24"/>
        </w:rPr>
      </w:pPr>
      <w:r>
        <w:rPr>
          <w:rFonts w:ascii="Book Antiqua" w:eastAsia="Book Antiqua" w:hAnsi="Book Antiqua" w:cs="Book Antiqua"/>
          <w:sz w:val="22"/>
          <w:szCs w:val="22"/>
          <w:highlight w:val="white"/>
        </w:rPr>
        <w:t>De los honorables congresistas,</w:t>
      </w:r>
    </w:p>
    <w:p w:rsidR="00F14C90" w:rsidRDefault="00F14C90">
      <w:pPr>
        <w:spacing w:line="276" w:lineRule="auto"/>
        <w:jc w:val="both"/>
        <w:rPr>
          <w:rFonts w:ascii="Arial" w:eastAsia="Arial" w:hAnsi="Arial" w:cs="Arial"/>
          <w:sz w:val="24"/>
          <w:szCs w:val="24"/>
        </w:rPr>
      </w:pPr>
    </w:p>
    <w:p w:rsidR="00F14C90" w:rsidRDefault="007869F2">
      <w:pPr>
        <w:spacing w:line="276" w:lineRule="auto"/>
        <w:jc w:val="both"/>
        <w:rPr>
          <w:rFonts w:ascii="Arial" w:eastAsia="Arial" w:hAnsi="Arial" w:cs="Arial"/>
          <w:sz w:val="24"/>
          <w:szCs w:val="24"/>
        </w:rPr>
      </w:pPr>
      <w:r>
        <w:t xml:space="preserve"> </w:t>
      </w:r>
    </w:p>
    <w:p w:rsidR="00F14C90" w:rsidRDefault="00F14C90">
      <w:pPr>
        <w:spacing w:line="276" w:lineRule="auto"/>
        <w:jc w:val="both"/>
        <w:rPr>
          <w:rFonts w:ascii="Arial" w:eastAsia="Arial" w:hAnsi="Arial" w:cs="Arial"/>
          <w:sz w:val="24"/>
          <w:szCs w:val="24"/>
        </w:rPr>
      </w:pPr>
    </w:p>
    <w:p w:rsidR="00F14C90" w:rsidRDefault="00F14C90">
      <w:pPr>
        <w:spacing w:line="276" w:lineRule="auto"/>
        <w:jc w:val="both"/>
        <w:rPr>
          <w:rFonts w:ascii="Arial" w:eastAsia="Arial" w:hAnsi="Arial" w:cs="Arial"/>
          <w:sz w:val="24"/>
          <w:szCs w:val="24"/>
        </w:rPr>
      </w:pPr>
    </w:p>
    <w:p w:rsidR="00F14C90" w:rsidRDefault="00F14C90">
      <w:pPr>
        <w:spacing w:after="160" w:line="259" w:lineRule="auto"/>
        <w:rPr>
          <w:rFonts w:ascii="Arial" w:eastAsia="Arial" w:hAnsi="Arial" w:cs="Arial"/>
          <w:sz w:val="24"/>
          <w:szCs w:val="24"/>
        </w:rPr>
      </w:pPr>
    </w:p>
    <w:p w:rsidR="00F14C90" w:rsidRDefault="007869F2">
      <w:pPr>
        <w:jc w:val="both"/>
        <w:rPr>
          <w:rFonts w:ascii="Arial" w:eastAsia="Arial" w:hAnsi="Arial" w:cs="Arial"/>
          <w:b/>
          <w:sz w:val="24"/>
          <w:szCs w:val="24"/>
        </w:rPr>
      </w:pPr>
      <w:r>
        <w:rPr>
          <w:rFonts w:ascii="Arial" w:eastAsia="Arial" w:hAnsi="Arial" w:cs="Arial"/>
          <w:b/>
          <w:sz w:val="24"/>
          <w:szCs w:val="24"/>
        </w:rPr>
        <w:t xml:space="preserve">YENICA SUGEIN ACOSTA INFANTE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 xml:space="preserve">PALOMA VALENCIA LASERNA     </w:t>
      </w:r>
    </w:p>
    <w:p w:rsidR="00F14C90" w:rsidRDefault="007869F2">
      <w:pPr>
        <w:jc w:val="both"/>
        <w:rPr>
          <w:rFonts w:ascii="Arial" w:eastAsia="Arial" w:hAnsi="Arial" w:cs="Arial"/>
          <w:sz w:val="24"/>
          <w:szCs w:val="24"/>
        </w:rPr>
      </w:pPr>
      <w:r>
        <w:rPr>
          <w:rFonts w:ascii="Arial" w:eastAsia="Arial" w:hAnsi="Arial" w:cs="Arial"/>
          <w:sz w:val="24"/>
          <w:szCs w:val="24"/>
        </w:rPr>
        <w:t xml:space="preserve">        Representante a la Cámara                   </w:t>
      </w:r>
      <w:r>
        <w:rPr>
          <w:rFonts w:ascii="Arial" w:eastAsia="Arial" w:hAnsi="Arial" w:cs="Arial"/>
          <w:sz w:val="24"/>
          <w:szCs w:val="24"/>
        </w:rPr>
        <w:tab/>
        <w:t xml:space="preserve">     Senadora de la Republica            </w:t>
      </w:r>
    </w:p>
    <w:p w:rsidR="00F14C90" w:rsidRDefault="007869F2">
      <w:pPr>
        <w:jc w:val="both"/>
        <w:rPr>
          <w:rFonts w:ascii="Arial" w:eastAsia="Arial" w:hAnsi="Arial" w:cs="Arial"/>
          <w:sz w:val="24"/>
          <w:szCs w:val="24"/>
        </w:rPr>
      </w:pPr>
      <w:r>
        <w:rPr>
          <w:rFonts w:ascii="Arial" w:eastAsia="Arial" w:hAnsi="Arial" w:cs="Arial"/>
          <w:sz w:val="24"/>
          <w:szCs w:val="24"/>
        </w:rPr>
        <w:t xml:space="preserve">       Departamento del Amazonas                         </w:t>
      </w: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rPr>
          <w:rFonts w:ascii="Arial" w:eastAsia="Arial" w:hAnsi="Arial" w:cs="Arial"/>
          <w:b/>
          <w:sz w:val="24"/>
          <w:szCs w:val="24"/>
        </w:rPr>
      </w:pPr>
    </w:p>
    <w:p w:rsidR="00F14C90" w:rsidRDefault="00F14C90">
      <w:pPr>
        <w:rPr>
          <w:rFonts w:ascii="Arial" w:eastAsia="Arial" w:hAnsi="Arial" w:cs="Arial"/>
          <w:b/>
          <w:sz w:val="24"/>
          <w:szCs w:val="24"/>
        </w:rPr>
      </w:pPr>
    </w:p>
    <w:p w:rsidR="00F14C90" w:rsidRDefault="007869F2">
      <w:pPr>
        <w:rPr>
          <w:rFonts w:ascii="Arial" w:eastAsia="Arial" w:hAnsi="Arial" w:cs="Arial"/>
          <w:sz w:val="24"/>
          <w:szCs w:val="24"/>
        </w:rPr>
      </w:pPr>
      <w:r>
        <w:rPr>
          <w:rFonts w:ascii="Arial" w:eastAsia="Arial" w:hAnsi="Arial" w:cs="Arial"/>
          <w:b/>
          <w:sz w:val="24"/>
          <w:szCs w:val="24"/>
        </w:rPr>
        <w:t xml:space="preserve"> ANATOLIO HERNÁNDEZ LOZANO          </w:t>
      </w:r>
      <w:r>
        <w:rPr>
          <w:rFonts w:ascii="Arial" w:eastAsia="Arial" w:hAnsi="Arial" w:cs="Arial"/>
          <w:b/>
          <w:sz w:val="22"/>
          <w:szCs w:val="22"/>
        </w:rPr>
        <w:t>MÓNICA LILIANA VALENCIA MONTAÑA</w:t>
      </w:r>
    </w:p>
    <w:p w:rsidR="00F14C90" w:rsidRDefault="007869F2">
      <w:pPr>
        <w:jc w:val="both"/>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jc w:val="both"/>
        <w:rPr>
          <w:rFonts w:ascii="Arial" w:eastAsia="Arial" w:hAnsi="Arial" w:cs="Arial"/>
          <w:sz w:val="24"/>
          <w:szCs w:val="24"/>
        </w:rPr>
      </w:pPr>
      <w:r>
        <w:rPr>
          <w:rFonts w:ascii="Arial" w:eastAsia="Arial" w:hAnsi="Arial" w:cs="Arial"/>
          <w:sz w:val="24"/>
          <w:szCs w:val="24"/>
        </w:rPr>
        <w:t xml:space="preserve">          Departamento del Guainía                          Departamento del Vaupés</w:t>
      </w: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F14C90">
      <w:pPr>
        <w:jc w:val="both"/>
        <w:rPr>
          <w:rFonts w:ascii="Arial" w:eastAsia="Arial" w:hAnsi="Arial" w:cs="Arial"/>
          <w:sz w:val="24"/>
          <w:szCs w:val="24"/>
        </w:rPr>
      </w:pPr>
    </w:p>
    <w:p w:rsidR="00F14C90" w:rsidRDefault="007869F2">
      <w:pPr>
        <w:rPr>
          <w:rFonts w:ascii="Arial" w:eastAsia="Arial" w:hAnsi="Arial" w:cs="Arial"/>
          <w:b/>
        </w:rPr>
      </w:pPr>
      <w:r>
        <w:rPr>
          <w:rFonts w:ascii="Arial" w:eastAsia="Arial" w:hAnsi="Arial" w:cs="Arial"/>
          <w:b/>
          <w:sz w:val="22"/>
          <w:szCs w:val="22"/>
        </w:rPr>
        <w:t xml:space="preserve">EDWIN ALBERTO VALDÉS RODRÍGUEZ        </w:t>
      </w:r>
      <w:r>
        <w:rPr>
          <w:rFonts w:ascii="Arial" w:eastAsia="Arial" w:hAnsi="Arial" w:cs="Arial"/>
          <w:b/>
        </w:rPr>
        <w:t>HENRY FERNA</w:t>
      </w:r>
      <w:r>
        <w:rPr>
          <w:rFonts w:ascii="Arial" w:eastAsia="Arial" w:hAnsi="Arial" w:cs="Arial"/>
          <w:b/>
        </w:rPr>
        <w:t>NDO CORREAL HERRERA</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del Caquetá                         Departamento de Vaupés</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tabs>
          <w:tab w:val="left" w:pos="6255"/>
        </w:tabs>
        <w:rPr>
          <w:rFonts w:ascii="Arial" w:eastAsia="Arial" w:hAnsi="Arial" w:cs="Arial"/>
          <w:sz w:val="24"/>
          <w:szCs w:val="24"/>
        </w:rPr>
      </w:pPr>
    </w:p>
    <w:p w:rsidR="00F14C90" w:rsidRDefault="00F14C90">
      <w:pPr>
        <w:spacing w:after="160"/>
        <w:rPr>
          <w:rFonts w:ascii="Arial" w:eastAsia="Arial" w:hAnsi="Arial" w:cs="Arial"/>
          <w:sz w:val="24"/>
          <w:szCs w:val="24"/>
        </w:rPr>
      </w:pPr>
    </w:p>
    <w:p w:rsidR="00F14C90" w:rsidRDefault="00F14C90">
      <w:pPr>
        <w:tabs>
          <w:tab w:val="left" w:pos="6255"/>
        </w:tabs>
        <w:rPr>
          <w:rFonts w:ascii="Arial" w:eastAsia="Arial" w:hAnsi="Arial" w:cs="Arial"/>
          <w:b/>
          <w:sz w:val="24"/>
          <w:szCs w:val="24"/>
        </w:rPr>
      </w:pPr>
    </w:p>
    <w:p w:rsidR="00F14C90" w:rsidRDefault="00F14C90">
      <w:pPr>
        <w:tabs>
          <w:tab w:val="left" w:pos="6255"/>
        </w:tabs>
        <w:rPr>
          <w:rFonts w:ascii="Arial" w:eastAsia="Arial" w:hAnsi="Arial" w:cs="Arial"/>
          <w:b/>
          <w:sz w:val="24"/>
          <w:szCs w:val="24"/>
        </w:rPr>
      </w:pPr>
    </w:p>
    <w:p w:rsidR="00F14C90" w:rsidRDefault="007869F2">
      <w:pPr>
        <w:tabs>
          <w:tab w:val="left" w:pos="6255"/>
        </w:tabs>
        <w:rPr>
          <w:rFonts w:ascii="Arial" w:eastAsia="Arial" w:hAnsi="Arial" w:cs="Arial"/>
          <w:b/>
          <w:sz w:val="24"/>
          <w:szCs w:val="24"/>
        </w:rPr>
      </w:pPr>
      <w:r>
        <w:rPr>
          <w:rFonts w:ascii="Arial" w:eastAsia="Arial" w:hAnsi="Arial" w:cs="Arial"/>
          <w:b/>
          <w:sz w:val="24"/>
          <w:szCs w:val="24"/>
        </w:rPr>
        <w:t xml:space="preserve">     CHRISTIAN GARCÉS ALJURE                             JUAN DAVID VÉLEZ</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del Valle del Cauca                        Colombianos en el Exterior</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b/>
          <w:sz w:val="24"/>
          <w:szCs w:val="24"/>
        </w:rPr>
      </w:pPr>
    </w:p>
    <w:p w:rsidR="00F14C90" w:rsidRDefault="00F14C90">
      <w:pPr>
        <w:rPr>
          <w:rFonts w:ascii="Arial" w:eastAsia="Arial" w:hAnsi="Arial" w:cs="Arial"/>
          <w:b/>
          <w:sz w:val="24"/>
          <w:szCs w:val="24"/>
        </w:rPr>
      </w:pPr>
    </w:p>
    <w:p w:rsidR="00F14C90" w:rsidRDefault="00F14C90">
      <w:pPr>
        <w:rPr>
          <w:rFonts w:ascii="Arial" w:eastAsia="Arial" w:hAnsi="Arial" w:cs="Arial"/>
          <w:b/>
          <w:sz w:val="24"/>
          <w:szCs w:val="24"/>
        </w:rPr>
      </w:pPr>
    </w:p>
    <w:p w:rsidR="00F14C90" w:rsidRDefault="007869F2">
      <w:pPr>
        <w:rPr>
          <w:rFonts w:ascii="Arial" w:eastAsia="Arial" w:hAnsi="Arial" w:cs="Arial"/>
          <w:sz w:val="24"/>
          <w:szCs w:val="24"/>
        </w:rPr>
      </w:pPr>
      <w:r>
        <w:rPr>
          <w:rFonts w:ascii="Arial" w:eastAsia="Arial" w:hAnsi="Arial" w:cs="Arial"/>
          <w:b/>
          <w:sz w:val="22"/>
          <w:szCs w:val="22"/>
        </w:rPr>
        <w:t xml:space="preserve">     EDWIN GILBERTO BALLESTEROS</w:t>
      </w:r>
      <w:r>
        <w:rPr>
          <w:rFonts w:ascii="Arial" w:eastAsia="Arial" w:hAnsi="Arial" w:cs="Arial"/>
          <w:b/>
          <w:sz w:val="22"/>
          <w:szCs w:val="22"/>
        </w:rPr>
        <w:tab/>
        <w:t xml:space="preserve">          GABRIEL JAIME VELASCO OCAMPO</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w:t>
      </w:r>
      <w:r>
        <w:rPr>
          <w:rFonts w:ascii="Arial" w:eastAsia="Arial" w:hAnsi="Arial" w:cs="Arial"/>
          <w:sz w:val="24"/>
          <w:szCs w:val="24"/>
        </w:rPr>
        <w:tab/>
        <w:t xml:space="preserve">                            Senador (a)                        </w:t>
      </w:r>
    </w:p>
    <w:p w:rsidR="00F14C90" w:rsidRDefault="007869F2">
      <w:pPr>
        <w:rPr>
          <w:rFonts w:ascii="Arial" w:eastAsia="Arial" w:hAnsi="Arial" w:cs="Arial"/>
          <w:sz w:val="24"/>
          <w:szCs w:val="24"/>
        </w:rPr>
      </w:pPr>
      <w:r>
        <w:rPr>
          <w:rFonts w:ascii="Arial" w:eastAsia="Arial" w:hAnsi="Arial" w:cs="Arial"/>
          <w:sz w:val="24"/>
          <w:szCs w:val="24"/>
        </w:rPr>
        <w:t xml:space="preserve">        Departamento de Santander                                    de la Republica</w:t>
      </w:r>
    </w:p>
    <w:p w:rsidR="00F14C90" w:rsidRDefault="007869F2">
      <w:pPr>
        <w:tabs>
          <w:tab w:val="left" w:pos="6765"/>
        </w:tabs>
        <w:spacing w:after="160"/>
        <w:rPr>
          <w:rFonts w:ascii="Arial" w:eastAsia="Arial" w:hAnsi="Arial" w:cs="Arial"/>
          <w:sz w:val="24"/>
          <w:szCs w:val="24"/>
        </w:rPr>
      </w:pPr>
      <w:r>
        <w:rPr>
          <w:rFonts w:ascii="Arial" w:eastAsia="Arial" w:hAnsi="Arial" w:cs="Arial"/>
          <w:sz w:val="24"/>
          <w:szCs w:val="24"/>
        </w:rPr>
        <w:tab/>
      </w:r>
    </w:p>
    <w:p w:rsidR="00F14C90" w:rsidRDefault="00F14C90">
      <w:pPr>
        <w:tabs>
          <w:tab w:val="left" w:pos="6255"/>
        </w:tabs>
        <w:rPr>
          <w:rFonts w:ascii="Arial" w:eastAsia="Arial" w:hAnsi="Arial" w:cs="Arial"/>
          <w:b/>
          <w:sz w:val="24"/>
          <w:szCs w:val="24"/>
        </w:rPr>
      </w:pPr>
    </w:p>
    <w:p w:rsidR="00F14C90" w:rsidRDefault="00F14C90">
      <w:pPr>
        <w:tabs>
          <w:tab w:val="left" w:pos="6255"/>
        </w:tabs>
        <w:rPr>
          <w:rFonts w:ascii="Arial" w:eastAsia="Arial" w:hAnsi="Arial" w:cs="Arial"/>
          <w:b/>
          <w:sz w:val="24"/>
          <w:szCs w:val="24"/>
        </w:rPr>
      </w:pPr>
    </w:p>
    <w:p w:rsidR="00F14C90" w:rsidRDefault="007869F2">
      <w:pPr>
        <w:tabs>
          <w:tab w:val="left" w:pos="6255"/>
        </w:tabs>
        <w:rPr>
          <w:rFonts w:ascii="Arial" w:eastAsia="Arial" w:hAnsi="Arial" w:cs="Arial"/>
          <w:b/>
          <w:sz w:val="24"/>
          <w:szCs w:val="24"/>
        </w:rPr>
      </w:pPr>
      <w:r>
        <w:rPr>
          <w:rFonts w:ascii="Arial" w:eastAsia="Arial" w:hAnsi="Arial" w:cs="Arial"/>
          <w:b/>
          <w:sz w:val="24"/>
          <w:szCs w:val="24"/>
        </w:rPr>
        <w:t xml:space="preserve">    JAIRO CRISTANCHO TARACHE             JOHN JAIRO BERMÚDEZ GARCÉS</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del Casanare                        Departamento de Antioquia</w:t>
      </w: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F14C90">
      <w:pPr>
        <w:rPr>
          <w:rFonts w:ascii="Arial" w:eastAsia="Arial" w:hAnsi="Arial" w:cs="Arial"/>
          <w:sz w:val="24"/>
          <w:szCs w:val="24"/>
        </w:rPr>
      </w:pPr>
    </w:p>
    <w:p w:rsidR="00F14C90" w:rsidRDefault="007869F2">
      <w:pPr>
        <w:rPr>
          <w:rFonts w:ascii="Arial" w:eastAsia="Arial" w:hAnsi="Arial" w:cs="Arial"/>
          <w:b/>
          <w:sz w:val="22"/>
          <w:szCs w:val="22"/>
        </w:rPr>
      </w:pPr>
      <w:r>
        <w:rPr>
          <w:rFonts w:ascii="Arial" w:eastAsia="Arial" w:hAnsi="Arial" w:cs="Arial"/>
          <w:b/>
          <w:sz w:val="22"/>
          <w:szCs w:val="22"/>
        </w:rPr>
        <w:t xml:space="preserve">     ESTEBAN QUINTERO CARDONA          ÁLVARO HERNÁN PRADA ARTUNDUAGA</w:t>
      </w:r>
    </w:p>
    <w:p w:rsidR="00F14C90" w:rsidRDefault="007869F2">
      <w:pPr>
        <w:rPr>
          <w:rFonts w:ascii="Arial" w:eastAsia="Arial" w:hAnsi="Arial" w:cs="Arial"/>
          <w:sz w:val="24"/>
          <w:szCs w:val="24"/>
        </w:rPr>
      </w:pPr>
      <w:r>
        <w:rPr>
          <w:rFonts w:ascii="Arial" w:eastAsia="Arial" w:hAnsi="Arial" w:cs="Arial"/>
          <w:sz w:val="24"/>
          <w:szCs w:val="24"/>
        </w:rPr>
        <w:t xml:space="preserve">          Representante a la Cámara                      Representante a la Cámara</w:t>
      </w:r>
    </w:p>
    <w:p w:rsidR="00F14C90" w:rsidRDefault="007869F2">
      <w:pPr>
        <w:rPr>
          <w:rFonts w:ascii="Arial" w:eastAsia="Arial" w:hAnsi="Arial" w:cs="Arial"/>
          <w:sz w:val="24"/>
          <w:szCs w:val="24"/>
        </w:rPr>
      </w:pPr>
      <w:r>
        <w:rPr>
          <w:rFonts w:ascii="Arial" w:eastAsia="Arial" w:hAnsi="Arial" w:cs="Arial"/>
          <w:sz w:val="24"/>
          <w:szCs w:val="24"/>
        </w:rPr>
        <w:t xml:space="preserve">          Departamento de Antioquia                          Departamento del Huila</w:t>
      </w: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bookmarkStart w:id="10" w:name="_3rdcrjn" w:colFirst="0" w:colLast="0"/>
      <w:bookmarkEnd w:id="10"/>
    </w:p>
    <w:p w:rsidR="00F14C90" w:rsidRDefault="00F14C90">
      <w:pPr>
        <w:rPr>
          <w:rFonts w:ascii="Book Antiqua" w:eastAsia="Book Antiqua" w:hAnsi="Book Antiqua" w:cs="Book Antiqua"/>
          <w:sz w:val="22"/>
          <w:szCs w:val="22"/>
        </w:rPr>
      </w:pPr>
    </w:p>
    <w:p w:rsidR="00F14C90" w:rsidRDefault="007869F2">
      <w:pPr>
        <w:rPr>
          <w:rFonts w:ascii="Arial" w:eastAsia="Arial" w:hAnsi="Arial" w:cs="Arial"/>
          <w:b/>
          <w:sz w:val="24"/>
          <w:szCs w:val="24"/>
        </w:rPr>
      </w:pPr>
      <w:r>
        <w:rPr>
          <w:rFonts w:ascii="Arial" w:eastAsia="Arial" w:hAnsi="Arial" w:cs="Arial"/>
          <w:b/>
          <w:sz w:val="24"/>
          <w:szCs w:val="24"/>
        </w:rPr>
        <w:t>ALEJANDRO CO</w:t>
      </w:r>
      <w:r>
        <w:rPr>
          <w:rFonts w:ascii="Arial" w:eastAsia="Arial" w:hAnsi="Arial" w:cs="Arial"/>
          <w:b/>
          <w:sz w:val="24"/>
          <w:szCs w:val="24"/>
        </w:rPr>
        <w:t>RRALES ESCOBAR</w:t>
      </w:r>
      <w:r>
        <w:rPr>
          <w:rFonts w:ascii="Arial" w:eastAsia="Arial" w:hAnsi="Arial" w:cs="Arial"/>
          <w:b/>
          <w:sz w:val="24"/>
          <w:szCs w:val="24"/>
        </w:rPr>
        <w:tab/>
        <w:t xml:space="preserve">       GABRIEL JAIME VALLEJO CHUJFI </w:t>
      </w:r>
    </w:p>
    <w:p w:rsidR="00F14C90" w:rsidRDefault="007869F2">
      <w:pPr>
        <w:rPr>
          <w:rFonts w:ascii="Arial" w:eastAsia="Arial" w:hAnsi="Arial" w:cs="Arial"/>
          <w:sz w:val="24"/>
          <w:szCs w:val="24"/>
        </w:rPr>
      </w:pPr>
      <w:r>
        <w:rPr>
          <w:rFonts w:ascii="Arial" w:eastAsia="Arial" w:hAnsi="Arial" w:cs="Arial"/>
          <w:sz w:val="24"/>
          <w:szCs w:val="24"/>
        </w:rPr>
        <w:t xml:space="preserve">         Senador de la Republica</w:t>
      </w:r>
      <w:r>
        <w:rPr>
          <w:rFonts w:ascii="Arial" w:eastAsia="Arial" w:hAnsi="Arial" w:cs="Arial"/>
          <w:sz w:val="24"/>
          <w:szCs w:val="24"/>
        </w:rPr>
        <w:tab/>
      </w:r>
      <w:r>
        <w:rPr>
          <w:rFonts w:ascii="Arial" w:eastAsia="Arial" w:hAnsi="Arial" w:cs="Arial"/>
          <w:sz w:val="24"/>
          <w:szCs w:val="24"/>
        </w:rPr>
        <w:tab/>
        <w:t xml:space="preserve">              Representante a la Cámara</w:t>
      </w:r>
    </w:p>
    <w:p w:rsidR="00F14C90" w:rsidRDefault="007869F2">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Departamento de Risaralda</w:t>
      </w: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F14C90">
      <w:pPr>
        <w:rPr>
          <w:rFonts w:ascii="Book Antiqua" w:eastAsia="Book Antiqua" w:hAnsi="Book Antiqua" w:cs="Book Antiqua"/>
          <w:sz w:val="22"/>
          <w:szCs w:val="22"/>
        </w:rPr>
      </w:pPr>
    </w:p>
    <w:p w:rsidR="00F14C90" w:rsidRDefault="007869F2">
      <w:pPr>
        <w:jc w:val="center"/>
        <w:rPr>
          <w:rFonts w:ascii="Arial" w:eastAsia="Arial" w:hAnsi="Arial" w:cs="Arial"/>
          <w:b/>
          <w:sz w:val="24"/>
          <w:szCs w:val="24"/>
        </w:rPr>
      </w:pPr>
      <w:r>
        <w:rPr>
          <w:rFonts w:ascii="Arial" w:eastAsia="Arial" w:hAnsi="Arial" w:cs="Arial"/>
          <w:b/>
          <w:sz w:val="24"/>
          <w:szCs w:val="24"/>
        </w:rPr>
        <w:t>HARRY GIOVANNY GONZÁLEZ GARCIA</w:t>
      </w:r>
    </w:p>
    <w:p w:rsidR="00F14C90" w:rsidRDefault="007869F2">
      <w:pPr>
        <w:jc w:val="center"/>
        <w:rPr>
          <w:rFonts w:ascii="Arial" w:eastAsia="Arial" w:hAnsi="Arial" w:cs="Arial"/>
          <w:sz w:val="24"/>
          <w:szCs w:val="24"/>
        </w:rPr>
      </w:pPr>
      <w:r>
        <w:rPr>
          <w:rFonts w:ascii="Arial" w:eastAsia="Arial" w:hAnsi="Arial" w:cs="Arial"/>
          <w:sz w:val="24"/>
          <w:szCs w:val="24"/>
        </w:rPr>
        <w:t>Representante a la Cámara</w:t>
      </w:r>
    </w:p>
    <w:p w:rsidR="00F14C90" w:rsidRDefault="007869F2">
      <w:pPr>
        <w:jc w:val="center"/>
        <w:rPr>
          <w:rFonts w:ascii="Arial" w:eastAsia="Arial" w:hAnsi="Arial" w:cs="Arial"/>
          <w:sz w:val="24"/>
          <w:szCs w:val="24"/>
        </w:rPr>
      </w:pPr>
      <w:r>
        <w:rPr>
          <w:rFonts w:ascii="Arial" w:eastAsia="Arial" w:hAnsi="Arial" w:cs="Arial"/>
          <w:sz w:val="24"/>
          <w:szCs w:val="24"/>
        </w:rPr>
        <w:t>Departamento del Caquetá</w:t>
      </w:r>
    </w:p>
    <w:p w:rsidR="00F14C90" w:rsidRDefault="00F14C90">
      <w:pPr>
        <w:jc w:val="center"/>
        <w:rPr>
          <w:rFonts w:ascii="Book Antiqua" w:eastAsia="Book Antiqua" w:hAnsi="Book Antiqua" w:cs="Book Antiqua"/>
          <w:sz w:val="22"/>
          <w:szCs w:val="22"/>
        </w:rPr>
      </w:pPr>
    </w:p>
    <w:sectPr w:rsidR="00F14C90">
      <w:headerReference w:type="default" r:id="rId85"/>
      <w:footerReference w:type="even" r:id="rId86"/>
      <w:footerReference w:type="default" r:id="rId8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869F2">
      <w:r>
        <w:separator/>
      </w:r>
    </w:p>
  </w:endnote>
  <w:endnote w:type="continuationSeparator" w:id="0">
    <w:p w:rsidR="00000000" w:rsidRDefault="00786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C90" w:rsidRDefault="00F14C90">
    <w:pPr>
      <w:pBdr>
        <w:top w:val="nil"/>
        <w:left w:val="nil"/>
        <w:bottom w:val="nil"/>
        <w:right w:val="nil"/>
        <w:between w:val="nil"/>
      </w:pBdr>
      <w:tabs>
        <w:tab w:val="center" w:pos="4252"/>
        <w:tab w:val="right" w:pos="8504"/>
      </w:tabs>
      <w:jc w:val="right"/>
      <w:rPr>
        <w:color w:val="000000"/>
      </w:rPr>
    </w:pPr>
  </w:p>
  <w:p w:rsidR="00F14C90" w:rsidRDefault="00F14C90">
    <w:pPr>
      <w:pBdr>
        <w:top w:val="nil"/>
        <w:left w:val="nil"/>
        <w:bottom w:val="nil"/>
        <w:right w:val="nil"/>
        <w:between w:val="nil"/>
      </w:pBdr>
      <w:tabs>
        <w:tab w:val="center" w:pos="4252"/>
        <w:tab w:val="right" w:pos="8504"/>
      </w:tabs>
      <w:ind w:right="360"/>
      <w:rPr>
        <w:color w:val="000000"/>
      </w:rPr>
    </w:pPr>
  </w:p>
  <w:p w:rsidR="00F14C90" w:rsidRDefault="007869F2">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C90" w:rsidRDefault="007869F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F14C90" w:rsidRDefault="00F14C90">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869F2">
      <w:r>
        <w:separator/>
      </w:r>
    </w:p>
  </w:footnote>
  <w:footnote w:type="continuationSeparator" w:id="0">
    <w:p w:rsidR="00000000" w:rsidRDefault="007869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C90" w:rsidRDefault="007869F2">
    <w:pPr>
      <w:pBdr>
        <w:top w:val="nil"/>
        <w:left w:val="nil"/>
        <w:bottom w:val="nil"/>
        <w:right w:val="nil"/>
        <w:between w:val="nil"/>
      </w:pBdr>
      <w:tabs>
        <w:tab w:val="center" w:pos="4252"/>
        <w:tab w:val="right" w:pos="8504"/>
      </w:tabs>
      <w:jc w:val="right"/>
    </w:pPr>
    <w:r>
      <w:rPr>
        <w:noProof/>
      </w:rPr>
      <w:drawing>
        <wp:anchor distT="0" distB="0" distL="0" distR="0" simplePos="0" relativeHeight="251658240" behindDoc="0" locked="0" layoutInCell="1" hidden="0" allowOverlap="1">
          <wp:simplePos x="0" y="0"/>
          <wp:positionH relativeFrom="column">
            <wp:posOffset>4570830</wp:posOffset>
          </wp:positionH>
          <wp:positionV relativeFrom="paragraph">
            <wp:posOffset>-449554</wp:posOffset>
          </wp:positionV>
          <wp:extent cx="962108" cy="945079"/>
          <wp:effectExtent l="0" t="0" r="0" b="0"/>
          <wp:wrapSquare wrapText="bothSides" distT="0" distB="0" distL="0" distR="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962108" cy="945079"/>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171251</wp:posOffset>
          </wp:positionH>
          <wp:positionV relativeFrom="paragraph">
            <wp:posOffset>-39772</wp:posOffset>
          </wp:positionV>
          <wp:extent cx="1943100" cy="457200"/>
          <wp:effectExtent l="0" t="0" r="0" b="0"/>
          <wp:wrapSquare wrapText="bothSides" distT="0" distB="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943100" cy="457200"/>
                  </a:xfrm>
                  <a:prstGeom prst="rect">
                    <a:avLst/>
                  </a:prstGeom>
                  <a:ln/>
                </pic:spPr>
              </pic:pic>
            </a:graphicData>
          </a:graphic>
        </wp:anchor>
      </w:drawing>
    </w:r>
  </w:p>
  <w:p w:rsidR="00F14C90" w:rsidRDefault="00F14C90">
    <w:pPr>
      <w:pBdr>
        <w:top w:val="nil"/>
        <w:left w:val="nil"/>
        <w:bottom w:val="nil"/>
        <w:right w:val="nil"/>
        <w:between w:val="nil"/>
      </w:pBdr>
      <w:tabs>
        <w:tab w:val="center" w:pos="4252"/>
        <w:tab w:val="right" w:pos="8504"/>
      </w:tabs>
      <w:jc w:val="right"/>
    </w:pPr>
  </w:p>
  <w:p w:rsidR="00F14C90" w:rsidRDefault="00F14C90">
    <w:pPr>
      <w:pBdr>
        <w:top w:val="nil"/>
        <w:left w:val="nil"/>
        <w:bottom w:val="nil"/>
        <w:right w:val="nil"/>
        <w:between w:val="nil"/>
      </w:pBdr>
      <w:tabs>
        <w:tab w:val="center" w:pos="4252"/>
        <w:tab w:val="right" w:pos="8504"/>
      </w:tabs>
      <w:jc w:val="right"/>
    </w:pPr>
  </w:p>
  <w:p w:rsidR="00F14C90" w:rsidRDefault="00F14C90">
    <w:pPr>
      <w:pBdr>
        <w:top w:val="nil"/>
        <w:left w:val="nil"/>
        <w:bottom w:val="nil"/>
        <w:right w:val="nil"/>
        <w:between w:val="nil"/>
      </w:pBdr>
      <w:tabs>
        <w:tab w:val="center" w:pos="4252"/>
        <w:tab w:val="right" w:pos="8504"/>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07C"/>
    <w:multiLevelType w:val="multilevel"/>
    <w:tmpl w:val="3D3ECB44"/>
    <w:lvl w:ilvl="0">
      <w:start w:val="1"/>
      <w:numFmt w:val="decimal"/>
      <w:lvlText w:val="%1"/>
      <w:lvlJc w:val="left"/>
      <w:pPr>
        <w:ind w:left="671" w:hanging="671"/>
      </w:pPr>
      <w:rPr>
        <w:rFonts w:ascii="Calibri" w:eastAsia="Calibri" w:hAnsi="Calibri" w:cs="Calibri"/>
        <w:b w:val="0"/>
        <w:i w:val="0"/>
        <w:strike w:val="0"/>
        <w:color w:val="000000"/>
        <w:sz w:val="22"/>
        <w:szCs w:val="22"/>
        <w:u w:val="none"/>
        <w:shd w:val="clear" w:color="auto" w:fill="auto"/>
        <w:vertAlign w:val="superscript"/>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superscript"/>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superscript"/>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superscript"/>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superscript"/>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superscript"/>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superscript"/>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superscript"/>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superscript"/>
      </w:rPr>
    </w:lvl>
  </w:abstractNum>
  <w:abstractNum w:abstractNumId="1" w15:restartNumberingAfterBreak="0">
    <w:nsid w:val="1D602608"/>
    <w:multiLevelType w:val="multilevel"/>
    <w:tmpl w:val="74E63C4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E500A9"/>
    <w:multiLevelType w:val="multilevel"/>
    <w:tmpl w:val="17F699F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152ADA"/>
    <w:multiLevelType w:val="multilevel"/>
    <w:tmpl w:val="2D80F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7F43EE"/>
    <w:multiLevelType w:val="multilevel"/>
    <w:tmpl w:val="AADC2EA0"/>
    <w:lvl w:ilvl="0">
      <w:start w:val="3"/>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65389B"/>
    <w:multiLevelType w:val="multilevel"/>
    <w:tmpl w:val="85D4BF1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C90"/>
    <w:rsid w:val="007869F2"/>
    <w:rsid w:val="00F14C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29A91-4A4B-4CAD-A901-12EED547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keepNext/>
      <w:keepLines/>
      <w:spacing w:before="200"/>
      <w:outlineLvl w:val="2"/>
    </w:pPr>
    <w:rPr>
      <w:rFonts w:ascii="Calibri" w:eastAsia="Calibri" w:hAnsi="Calibri" w:cs="Calibri"/>
      <w:b/>
      <w:color w:val="4F81BD"/>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minambiente.gov.co/images/BosquesBiodiversidadyServiciosEcosistemicos/pdf/Zonas-Secas/5638_010610_tercer_informe_desertificacion.pdf" TargetMode="External"/><Relationship Id="rId21" Type="http://schemas.openxmlformats.org/officeDocument/2006/relationships/hyperlink" Target="https://www.cancilleria.gov.co/organizacion-del-tratado-cooperacion-amazonica-otca" TargetMode="External"/><Relationship Id="rId42" Type="http://schemas.openxmlformats.org/officeDocument/2006/relationships/hyperlink" Target="http://www.minambiente.gov.co/images/cambioclimatico/pdf/colombia_hacia_la_COP21/el_acuerdo_de_paris_frente_a_cambio_climatico.pdf" TargetMode="External"/><Relationship Id="rId47" Type="http://schemas.openxmlformats.org/officeDocument/2006/relationships/hyperlink" Target="https://www.coe.int/es/web/compass/the-international-covenant-on-civil-and-political-rights" TargetMode="External"/><Relationship Id="rId63" Type="http://schemas.openxmlformats.org/officeDocument/2006/relationships/hyperlink" Target="http://amazonia.unal.edu.co/index.php/homepage/historia/la-amazonia" TargetMode="External"/><Relationship Id="rId68" Type="http://schemas.openxmlformats.org/officeDocument/2006/relationships/hyperlink" Target="http://amazonia.unal.edu.co/index.php/homepage/historia/la-amazonia" TargetMode="External"/><Relationship Id="rId84" Type="http://schemas.openxmlformats.org/officeDocument/2006/relationships/hyperlink" Target="https://www.superservicios.gov.co/sites/default/archivos/Publicaciones/Publicaciones/2019/Ene/informe_sectorial-cuatrienio_2014-2017_.pdf" TargetMode="External"/><Relationship Id="rId89" Type="http://schemas.openxmlformats.org/officeDocument/2006/relationships/theme" Target="theme/theme1.xml"/><Relationship Id="rId16" Type="http://schemas.openxmlformats.org/officeDocument/2006/relationships/image" Target="media/image12.png"/><Relationship Id="rId32" Type="http://schemas.openxmlformats.org/officeDocument/2006/relationships/hyperlink" Target="http://www.minambiente.gov.co/index.php/component/content/article?id=193:plantilla-asuntos-ambientales-y-sectorial-y-urbana-sin-galeria-9" TargetMode="External"/><Relationship Id="rId37" Type="http://schemas.openxmlformats.org/officeDocument/2006/relationships/hyperlink" Target="https://observatoriop10.cepal.org/es/tratados/convencion-marco-naciones-unidas-cambio-climatico" TargetMode="External"/><Relationship Id="rId53" Type="http://schemas.openxmlformats.org/officeDocument/2006/relationships/hyperlink" Target="https://www.cepal.org/sites/default/files/news/files/folleto_amazonia_posible_y_sostenible.pdf" TargetMode="External"/><Relationship Id="rId58" Type="http://schemas.openxmlformats.org/officeDocument/2006/relationships/hyperlink" Target="http://siatac.co/web/guest/productos" TargetMode="External"/><Relationship Id="rId74" Type="http://schemas.openxmlformats.org/officeDocument/2006/relationships/hyperlink" Target="http://documentacion.ideam.gov.co/openbiblio/bvirtual/023856/023856.html" TargetMode="External"/><Relationship Id="rId79" Type="http://schemas.openxmlformats.org/officeDocument/2006/relationships/hyperlink" Target="https://maaproject.org/2019/colombia-2018-esp/" TargetMode="External"/><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hyperlink" Target="https://www.cbd.int/undb/media/factsheets/undb-factsheets-es-web.pdf" TargetMode="External"/><Relationship Id="rId27" Type="http://schemas.openxmlformats.org/officeDocument/2006/relationships/hyperlink" Target="http://www.minambiente.gov.co/images/BosquesBiodiversidadyServiciosEcosistemicos/pdf/Zonas-Secas/5638_010610_tercer_informe_desertificacion.pdf" TargetMode="External"/><Relationship Id="rId30" Type="http://schemas.openxmlformats.org/officeDocument/2006/relationships/hyperlink" Target="http://www.minambiente.gov.co/index.php/component/content/article/1705-plantilla-asuntos-ambientales-y-sectorial-y-urbana-sin-galeria-69" TargetMode="External"/><Relationship Id="rId35" Type="http://schemas.openxmlformats.org/officeDocument/2006/relationships/hyperlink" Target="http://www.minambiente.gov.co/index.php/convencion-marco-de-naciones-unidas-para-el-cambio-climatico-cmnucc/convencion-marco-de-naciones-unidas" TargetMode="External"/><Relationship Id="rId43" Type="http://schemas.openxmlformats.org/officeDocument/2006/relationships/hyperlink" Target="http://www.minambiente.gov.co/images/cambioclimatico/pdf/colombia_hacia_la_COP21/el_acuerdo_de_paris_frente_a_cambio_climatico.pdf" TargetMode="External"/><Relationship Id="rId48" Type="http://schemas.openxmlformats.org/officeDocument/2006/relationships/hyperlink" Target="https://www.coe.int/es/web/compass/the-international-covenant-on-civil-and-political-rights" TargetMode="External"/><Relationship Id="rId56" Type="http://schemas.openxmlformats.org/officeDocument/2006/relationships/hyperlink" Target="https://www.sinchi.org.co/division-politico" TargetMode="External"/><Relationship Id="rId64" Type="http://schemas.openxmlformats.org/officeDocument/2006/relationships/hyperlink" Target="http://amazonia.unal.edu.co/index.php/homepage/historia/la-amazonia" TargetMode="External"/><Relationship Id="rId69" Type="http://schemas.openxmlformats.org/officeDocument/2006/relationships/hyperlink" Target="http://amazonia.unal.edu.co/index.php/homepage/historia/la-amazonia" TargetMode="External"/><Relationship Id="rId77" Type="http://schemas.openxmlformats.org/officeDocument/2006/relationships/hyperlink" Target="https://sostenibilidad.semana.com/medio-ambiente/articulo/mas-de-4300-especies-amazonicas-peligran-por-la-deforestacion/42447" TargetMode="External"/><Relationship Id="rId8" Type="http://schemas.openxmlformats.org/officeDocument/2006/relationships/image" Target="media/image2.png"/><Relationship Id="rId51" Type="http://schemas.openxmlformats.org/officeDocument/2006/relationships/hyperlink" Target="https://www.cepal.org/sites/default/files/news/files/folleto_amazonia_posible_y_sostenible.pdf" TargetMode="External"/><Relationship Id="rId72" Type="http://schemas.openxmlformats.org/officeDocument/2006/relationships/hyperlink" Target="http://siatac.co/web/guest/poblacion" TargetMode="External"/><Relationship Id="rId80" Type="http://schemas.openxmlformats.org/officeDocument/2006/relationships/hyperlink" Target="https://maaproject.org/2019/colombia-2018-esp/"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www.cbd.int/undb/media/factsheets/undb-factsheets-es-web.pdf" TargetMode="External"/><Relationship Id="rId33" Type="http://schemas.openxmlformats.org/officeDocument/2006/relationships/hyperlink" Target="http://www.minambiente.gov.co/index.php/component/content/article?id=193:plantilla-asuntos-ambientales-y-sectorial-y-urbana-sin-galeria-9" TargetMode="External"/><Relationship Id="rId38" Type="http://schemas.openxmlformats.org/officeDocument/2006/relationships/hyperlink" Target="https://observatoriop10.cepal.org/es/tratados/convencion-marco-naciones-unidas-cambio-climatico" TargetMode="External"/><Relationship Id="rId46" Type="http://schemas.openxmlformats.org/officeDocument/2006/relationships/hyperlink" Target="http://www.fondoindigena.org/drupal/es/node/168" TargetMode="External"/><Relationship Id="rId59" Type="http://schemas.openxmlformats.org/officeDocument/2006/relationships/hyperlink" Target="http://siatac.co/web/guest/productos/territorios-ancestrales/resguardos-indigenas" TargetMode="External"/><Relationship Id="rId67" Type="http://schemas.openxmlformats.org/officeDocument/2006/relationships/hyperlink" Target="http://amazonia.unal.edu.co/index.php/homepage/historia/la-amazonia" TargetMode="External"/><Relationship Id="rId20" Type="http://schemas.openxmlformats.org/officeDocument/2006/relationships/hyperlink" Target="https://www.cancilleria.gov.co/organizacion-del-tratado-cooperacion-amazonica-otca" TargetMode="External"/><Relationship Id="rId41" Type="http://schemas.openxmlformats.org/officeDocument/2006/relationships/hyperlink" Target="https://observatoriop10.cepal.org/es/tratados/convenio-basilea-control-movimientos-transfronterizos-deshechos-peligrosos-su-eliminacion" TargetMode="External"/><Relationship Id="rId54" Type="http://schemas.openxmlformats.org/officeDocument/2006/relationships/hyperlink" Target="https://www.cepal.org/sites/default/files/news/files/folleto_amazonia_posible_y_sostenible.pdf" TargetMode="External"/><Relationship Id="rId62" Type="http://schemas.openxmlformats.org/officeDocument/2006/relationships/hyperlink" Target="http://amazonia.unal.edu.co/index.php/homepage/historia/la-amazonia" TargetMode="External"/><Relationship Id="rId70" Type="http://schemas.openxmlformats.org/officeDocument/2006/relationships/hyperlink" Target="http://amazonia.unal.edu.co/index.php/homepage/historia/la-amazonia" TargetMode="External"/><Relationship Id="rId75" Type="http://schemas.openxmlformats.org/officeDocument/2006/relationships/hyperlink" Target="https://sostenibilidad.semana.com/medio-ambiente/articulo/mas-de-4300-especies-amazonicas-peligran-por-la-deforestacion/42447" TargetMode="External"/><Relationship Id="rId83" Type="http://schemas.openxmlformats.org/officeDocument/2006/relationships/hyperlink" Target="https://www.superservicios.gov.co/sites/default/archivos/Publicaciones/Publicaciones/2019/Ene/informe_sectorial-cuatrienio_2014-2017_.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yperlink" Target="https://www.cbd.int/undb/media/factsheets/undb-factsheets-es-web.pdf" TargetMode="External"/><Relationship Id="rId28" Type="http://schemas.openxmlformats.org/officeDocument/2006/relationships/hyperlink" Target="https://www.upov.int/overview/es/upov.html" TargetMode="External"/><Relationship Id="rId36" Type="http://schemas.openxmlformats.org/officeDocument/2006/relationships/hyperlink" Target="http://www.minambiente.gov.co/index.php/convencion-marco-de-naciones-unidas-para-el-cambio-climatico-cmnucc/convencion-marco-de-naciones-unidas" TargetMode="External"/><Relationship Id="rId49" Type="http://schemas.openxmlformats.org/officeDocument/2006/relationships/hyperlink" Target="https://www.coe.int/es/web/compass/the-international-covenant-on-civil-and-political-rights" TargetMode="External"/><Relationship Id="rId57" Type="http://schemas.openxmlformats.org/officeDocument/2006/relationships/hyperlink" Target="https://whc.unesco.org/archive/2018/whc18-42com-18-en.pdf" TargetMode="External"/><Relationship Id="rId10" Type="http://schemas.openxmlformats.org/officeDocument/2006/relationships/image" Target="media/image4.jpg"/><Relationship Id="rId31" Type="http://schemas.openxmlformats.org/officeDocument/2006/relationships/hyperlink" Target="http://www.minambiente.gov.co/index.php/component/content/article/1705-plantilla-asuntos-ambientales-y-sectorial-y-urbana-sin-galeria-69" TargetMode="External"/><Relationship Id="rId44" Type="http://schemas.openxmlformats.org/officeDocument/2006/relationships/hyperlink" Target="https://www.urosario.edu.co/jurisprudencia/catedra-viva-intercultural/ur/Legislacion-Internacional/" TargetMode="External"/><Relationship Id="rId52" Type="http://schemas.openxmlformats.org/officeDocument/2006/relationships/hyperlink" Target="https://www.cepal.org/sites/default/files/news/files/folleto_amazonia_posible_y_sostenible.pdf" TargetMode="External"/><Relationship Id="rId60" Type="http://schemas.openxmlformats.org/officeDocument/2006/relationships/hyperlink" Target="http://siatac.co/web/guest/productos/territorios-ancestrales/resguardos-indigenas" TargetMode="External"/><Relationship Id="rId65" Type="http://schemas.openxmlformats.org/officeDocument/2006/relationships/hyperlink" Target="http://siatac.co/web/guest/poblacion" TargetMode="External"/><Relationship Id="rId73" Type="http://schemas.openxmlformats.org/officeDocument/2006/relationships/hyperlink" Target="http://documentacion.ideam.gov.co/openbiblio/bvirtual/023856/023856.html" TargetMode="External"/><Relationship Id="rId78" Type="http://schemas.openxmlformats.org/officeDocument/2006/relationships/hyperlink" Target="https://maaproject.org/2019/colombia-2018-esp/" TargetMode="External"/><Relationship Id="rId81" Type="http://schemas.openxmlformats.org/officeDocument/2006/relationships/hyperlink" Target="https://www.dane.gov.co/files/investigaciones/condiciones_vida/pobreza/2018/Region_bt_pobreza_multidimensional_18_amazonia-orinoquia.pdf"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www.minambiente.gov.co/index.php/convencion-marco-de-naciones-unidas-para-el-cambio-climatico-cmnucc/protocolo-de-kioto" TargetMode="External"/><Relationship Id="rId34" Type="http://schemas.openxmlformats.org/officeDocument/2006/relationships/hyperlink" Target="http://www.minambiente.gov.co/index.php/convencion-marco-de-naciones-unidas-para-el-cambio-climatico-cmnucc/convencion-marco-de-naciones-unidas" TargetMode="External"/><Relationship Id="rId50" Type="http://schemas.openxmlformats.org/officeDocument/2006/relationships/hyperlink" Target="https://www.coe.int/es/web/compass/the-international-covenant-on-civil-and-political-rights" TargetMode="External"/><Relationship Id="rId55" Type="http://schemas.openxmlformats.org/officeDocument/2006/relationships/hyperlink" Target="https://www.sinchi.org.co/division-politico" TargetMode="External"/><Relationship Id="rId76" Type="http://schemas.openxmlformats.org/officeDocument/2006/relationships/hyperlink" Target="https://sostenibilidad.semana.com/medio-ambiente/articulo/mas-de-4300-especies-amazonicas-peligran-por-la-deforestacion/42447" TargetMode="External"/><Relationship Id="rId7" Type="http://schemas.openxmlformats.org/officeDocument/2006/relationships/image" Target="media/image1.png"/><Relationship Id="rId71" Type="http://schemas.openxmlformats.org/officeDocument/2006/relationships/hyperlink" Target="http://siatac.co/web/guest/poblacion" TargetMode="External"/><Relationship Id="rId2" Type="http://schemas.openxmlformats.org/officeDocument/2006/relationships/styles" Target="styles.xml"/><Relationship Id="rId29" Type="http://schemas.openxmlformats.org/officeDocument/2006/relationships/hyperlink" Target="https://www.upov.int/overview/es/upov.html" TargetMode="External"/><Relationship Id="rId24" Type="http://schemas.openxmlformats.org/officeDocument/2006/relationships/hyperlink" Target="https://www.cbd.int/undb/media/factsheets/undb-factsheets-es-web.pdf" TargetMode="External"/><Relationship Id="rId40" Type="http://schemas.openxmlformats.org/officeDocument/2006/relationships/hyperlink" Target="https://observatoriop10.cepal.org/es/tratados/convenio-basilea-control-movimientos-transfronterizos-deshechos-peligrosos-su-eliminacion" TargetMode="External"/><Relationship Id="rId45" Type="http://schemas.openxmlformats.org/officeDocument/2006/relationships/hyperlink" Target="http://www.fondoindigena.org/drupal/es/node/168" TargetMode="External"/><Relationship Id="rId66" Type="http://schemas.openxmlformats.org/officeDocument/2006/relationships/hyperlink" Target="http://siatac.co/web/guest/poblacion" TargetMode="External"/><Relationship Id="rId87" Type="http://schemas.openxmlformats.org/officeDocument/2006/relationships/footer" Target="footer2.xml"/><Relationship Id="rId61" Type="http://schemas.openxmlformats.org/officeDocument/2006/relationships/hyperlink" Target="http://amazonia.unal.edu.co/index.php/homepage/historia/la-amazonia" TargetMode="External"/><Relationship Id="rId82" Type="http://schemas.openxmlformats.org/officeDocument/2006/relationships/hyperlink" Target="https://www.dane.gov.co/files/investigaciones/condiciones_vida/pobreza/2018/Region_bt_pobreza_multidimensional_18_amazonia-orinoqui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8094</Words>
  <Characters>44519</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acuna</dc:creator>
  <cp:lastModifiedBy>camilo acuna</cp:lastModifiedBy>
  <cp:revision>2</cp:revision>
  <dcterms:created xsi:type="dcterms:W3CDTF">2020-07-20T16:31:00Z</dcterms:created>
  <dcterms:modified xsi:type="dcterms:W3CDTF">2020-07-20T16:31:00Z</dcterms:modified>
</cp:coreProperties>
</file>