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8DCBF" w14:textId="77777777" w:rsidR="00B4728D" w:rsidRPr="00551F9C" w:rsidRDefault="00B4728D" w:rsidP="00B4728D">
      <w:pPr>
        <w:jc w:val="both"/>
        <w:rPr>
          <w:rFonts w:ascii="Arial" w:hAnsi="Arial" w:cs="Arial"/>
        </w:rPr>
      </w:pPr>
    </w:p>
    <w:p w14:paraId="54F1BA69" w14:textId="77777777" w:rsidR="00B4728D" w:rsidRPr="007026B1" w:rsidRDefault="00B4728D" w:rsidP="00B4728D">
      <w:pPr>
        <w:jc w:val="both"/>
        <w:rPr>
          <w:rFonts w:ascii="Arial" w:hAnsi="Arial" w:cs="Arial"/>
        </w:rPr>
      </w:pPr>
    </w:p>
    <w:p w14:paraId="58892C1A" w14:textId="77777777" w:rsidR="00B4728D" w:rsidRPr="007026B1" w:rsidRDefault="00B4728D" w:rsidP="006A135E">
      <w:pPr>
        <w:tabs>
          <w:tab w:val="left" w:pos="1985"/>
        </w:tabs>
        <w:spacing w:line="240" w:lineRule="auto"/>
        <w:contextualSpacing/>
        <w:jc w:val="both"/>
        <w:rPr>
          <w:rFonts w:ascii="Arial" w:hAnsi="Arial" w:cs="Arial"/>
        </w:rPr>
      </w:pPr>
    </w:p>
    <w:p w14:paraId="2BFC2A9B" w14:textId="77777777" w:rsidR="006A135E" w:rsidRDefault="006A135E" w:rsidP="006A135E">
      <w:pPr>
        <w:spacing w:line="240" w:lineRule="auto"/>
        <w:contextualSpacing/>
        <w:rPr>
          <w:rFonts w:ascii="Arial" w:eastAsia="Times New Roman" w:hAnsi="Arial" w:cs="Arial"/>
          <w:lang w:val="es-CO" w:eastAsia="es-CO"/>
        </w:rPr>
      </w:pPr>
      <w:r>
        <w:rPr>
          <w:rFonts w:ascii="Arial" w:eastAsia="Times New Roman" w:hAnsi="Arial" w:cs="Arial"/>
          <w:lang w:val="es-CO" w:eastAsia="es-CO"/>
        </w:rPr>
        <w:t>Doctora</w:t>
      </w:r>
    </w:p>
    <w:p w14:paraId="4805DAF1" w14:textId="77777777" w:rsidR="006A135E" w:rsidRDefault="006A135E" w:rsidP="006A135E">
      <w:pPr>
        <w:spacing w:line="240" w:lineRule="auto"/>
        <w:contextualSpacing/>
        <w:rPr>
          <w:rFonts w:ascii="Arial" w:eastAsia="Times New Roman" w:hAnsi="Arial" w:cs="Arial"/>
          <w:b/>
          <w:lang w:val="es-CO" w:eastAsia="es-CO"/>
        </w:rPr>
      </w:pPr>
      <w:r>
        <w:rPr>
          <w:rFonts w:ascii="Arial" w:eastAsia="Times New Roman" w:hAnsi="Arial" w:cs="Arial"/>
          <w:b/>
          <w:lang w:val="es-CO" w:eastAsia="es-CO"/>
        </w:rPr>
        <w:t xml:space="preserve">OLGA LUCIA GRAJALES </w:t>
      </w:r>
    </w:p>
    <w:p w14:paraId="13BD9B32" w14:textId="77777777" w:rsidR="006A135E" w:rsidRPr="006A135E" w:rsidRDefault="006A135E" w:rsidP="006A135E">
      <w:pPr>
        <w:spacing w:line="240" w:lineRule="auto"/>
        <w:contextualSpacing/>
        <w:rPr>
          <w:rFonts w:ascii="Arial" w:eastAsia="Times New Roman" w:hAnsi="Arial" w:cs="Arial"/>
          <w:bCs/>
          <w:lang w:val="es-CO" w:eastAsia="es-CO"/>
        </w:rPr>
      </w:pPr>
      <w:r w:rsidRPr="006A135E">
        <w:rPr>
          <w:rFonts w:ascii="Arial" w:eastAsia="Times New Roman" w:hAnsi="Arial" w:cs="Arial"/>
          <w:bCs/>
          <w:lang w:val="es-CO" w:eastAsia="es-CO"/>
        </w:rPr>
        <w:t xml:space="preserve">Secretaria general </w:t>
      </w:r>
    </w:p>
    <w:p w14:paraId="56C9C441" w14:textId="77777777" w:rsidR="006A135E" w:rsidRPr="006A135E" w:rsidRDefault="006A135E" w:rsidP="006A135E">
      <w:pPr>
        <w:spacing w:line="240" w:lineRule="auto"/>
        <w:contextualSpacing/>
        <w:rPr>
          <w:rFonts w:ascii="Arial" w:eastAsia="Times New Roman" w:hAnsi="Arial" w:cs="Arial"/>
          <w:bCs/>
          <w:lang w:val="es-CO" w:eastAsia="es-CO"/>
        </w:rPr>
      </w:pPr>
      <w:r w:rsidRPr="006A135E">
        <w:rPr>
          <w:rFonts w:ascii="Arial" w:eastAsia="Times New Roman" w:hAnsi="Arial" w:cs="Arial"/>
          <w:bCs/>
          <w:lang w:val="es-CO" w:eastAsia="es-CO"/>
        </w:rPr>
        <w:t xml:space="preserve">Comsión Segunda Constitucional </w:t>
      </w:r>
    </w:p>
    <w:p w14:paraId="32311EAD" w14:textId="73D87EA6" w:rsidR="00B4728D" w:rsidRPr="006A135E" w:rsidRDefault="006A135E" w:rsidP="006A135E">
      <w:pPr>
        <w:spacing w:line="240" w:lineRule="auto"/>
        <w:contextualSpacing/>
        <w:rPr>
          <w:rFonts w:ascii="Arial" w:eastAsia="Times New Roman" w:hAnsi="Arial" w:cs="Arial"/>
          <w:bCs/>
          <w:lang w:val="es-CO" w:eastAsia="es-CO"/>
        </w:rPr>
      </w:pPr>
      <w:r w:rsidRPr="006A135E">
        <w:rPr>
          <w:rFonts w:ascii="Arial" w:eastAsia="Times New Roman" w:hAnsi="Arial" w:cs="Arial"/>
          <w:bCs/>
          <w:lang w:val="es-CO" w:eastAsia="es-CO"/>
        </w:rPr>
        <w:t>Cámara de Representantes</w:t>
      </w:r>
      <w:r w:rsidR="00B4728D" w:rsidRPr="006A135E">
        <w:rPr>
          <w:rFonts w:ascii="Arial" w:eastAsia="Times New Roman" w:hAnsi="Arial" w:cs="Arial"/>
          <w:bCs/>
          <w:lang w:val="es-CO" w:eastAsia="es-CO"/>
        </w:rPr>
        <w:t xml:space="preserve"> </w:t>
      </w:r>
    </w:p>
    <w:p w14:paraId="21729CBB" w14:textId="3829A3DE" w:rsidR="00B4728D" w:rsidRPr="007026B1" w:rsidRDefault="00B4728D" w:rsidP="006A135E">
      <w:pPr>
        <w:tabs>
          <w:tab w:val="left" w:pos="1985"/>
        </w:tabs>
        <w:spacing w:line="240" w:lineRule="auto"/>
        <w:contextualSpacing/>
        <w:jc w:val="both"/>
        <w:rPr>
          <w:rFonts w:ascii="Arial" w:eastAsia="Times New Roman" w:hAnsi="Arial" w:cs="Arial"/>
          <w:bCs/>
          <w:lang w:eastAsia="es-CO"/>
        </w:rPr>
      </w:pPr>
      <w:r w:rsidRPr="007026B1">
        <w:rPr>
          <w:rFonts w:ascii="Arial" w:eastAsia="Times New Roman" w:hAnsi="Arial" w:cs="Arial"/>
          <w:bCs/>
          <w:lang w:eastAsia="es-CO"/>
        </w:rPr>
        <w:t>comision.</w:t>
      </w:r>
      <w:r w:rsidR="006A135E">
        <w:rPr>
          <w:rFonts w:ascii="Arial" w:eastAsia="Times New Roman" w:hAnsi="Arial" w:cs="Arial"/>
          <w:bCs/>
          <w:lang w:eastAsia="es-CO"/>
        </w:rPr>
        <w:t>segunda</w:t>
      </w:r>
      <w:r w:rsidRPr="007026B1">
        <w:rPr>
          <w:rFonts w:ascii="Arial" w:eastAsia="Times New Roman" w:hAnsi="Arial" w:cs="Arial"/>
          <w:bCs/>
          <w:lang w:eastAsia="es-CO"/>
        </w:rPr>
        <w:t>@</w:t>
      </w:r>
      <w:r w:rsidR="006A135E">
        <w:rPr>
          <w:rFonts w:ascii="Arial" w:eastAsia="Times New Roman" w:hAnsi="Arial" w:cs="Arial"/>
          <w:bCs/>
          <w:lang w:eastAsia="es-CO"/>
        </w:rPr>
        <w:t>cámara</w:t>
      </w:r>
      <w:r w:rsidRPr="007026B1">
        <w:rPr>
          <w:rFonts w:ascii="Arial" w:eastAsia="Times New Roman" w:hAnsi="Arial" w:cs="Arial"/>
          <w:bCs/>
          <w:lang w:eastAsia="es-CO"/>
        </w:rPr>
        <w:t xml:space="preserve">.gov.co </w:t>
      </w:r>
    </w:p>
    <w:p w14:paraId="6AE55FD9" w14:textId="77777777" w:rsidR="00B4728D" w:rsidRPr="007026B1" w:rsidRDefault="00B4728D" w:rsidP="006A135E">
      <w:pPr>
        <w:tabs>
          <w:tab w:val="left" w:pos="1985"/>
        </w:tabs>
        <w:spacing w:line="240" w:lineRule="auto"/>
        <w:contextualSpacing/>
        <w:jc w:val="both"/>
        <w:rPr>
          <w:rFonts w:ascii="Arial" w:hAnsi="Arial" w:cs="Arial"/>
        </w:rPr>
      </w:pPr>
      <w:r w:rsidRPr="007026B1">
        <w:rPr>
          <w:rFonts w:ascii="Arial" w:hAnsi="Arial" w:cs="Arial"/>
        </w:rPr>
        <w:t>Bogotá D.C.</w:t>
      </w:r>
    </w:p>
    <w:p w14:paraId="7C9AE8C9" w14:textId="77777777" w:rsidR="00B4728D" w:rsidRPr="007026B1" w:rsidRDefault="00B4728D" w:rsidP="006A135E">
      <w:pPr>
        <w:spacing w:line="240" w:lineRule="auto"/>
        <w:contextualSpacing/>
        <w:jc w:val="both"/>
        <w:rPr>
          <w:rFonts w:ascii="Arial" w:hAnsi="Arial" w:cs="Arial"/>
        </w:rPr>
      </w:pPr>
    </w:p>
    <w:p w14:paraId="5DE16905" w14:textId="4E2CAFBE" w:rsidR="00B4728D" w:rsidRPr="007026B1" w:rsidRDefault="00B4728D" w:rsidP="006A135E">
      <w:pPr>
        <w:spacing w:line="240" w:lineRule="auto"/>
        <w:ind w:left="1418"/>
        <w:contextualSpacing/>
        <w:jc w:val="both"/>
        <w:rPr>
          <w:rFonts w:ascii="Arial" w:hAnsi="Arial" w:cs="Arial"/>
        </w:rPr>
      </w:pPr>
      <w:r w:rsidRPr="007026B1">
        <w:rPr>
          <w:rFonts w:ascii="Arial" w:hAnsi="Arial" w:cs="Arial"/>
        </w:rPr>
        <w:t xml:space="preserve">Referencia:    </w:t>
      </w:r>
      <w:r w:rsidR="006A135E">
        <w:rPr>
          <w:rFonts w:ascii="Arial" w:hAnsi="Arial" w:cs="Arial"/>
        </w:rPr>
        <w:t>2020104041</w:t>
      </w:r>
    </w:p>
    <w:p w14:paraId="2B86C45A" w14:textId="77777777" w:rsidR="00B4728D" w:rsidRPr="007026B1" w:rsidRDefault="00B4728D" w:rsidP="006A135E">
      <w:pPr>
        <w:spacing w:line="240" w:lineRule="auto"/>
        <w:ind w:left="2834"/>
        <w:contextualSpacing/>
        <w:jc w:val="both"/>
        <w:rPr>
          <w:rFonts w:ascii="Arial" w:hAnsi="Arial" w:cs="Arial"/>
        </w:rPr>
      </w:pPr>
      <w:r w:rsidRPr="007026B1">
        <w:rPr>
          <w:rFonts w:ascii="Arial" w:hAnsi="Arial" w:cs="Arial"/>
        </w:rPr>
        <w:t>114 Solicitud de Información Congresistas</w:t>
      </w:r>
    </w:p>
    <w:p w14:paraId="6C277ADF" w14:textId="77777777" w:rsidR="00B4728D" w:rsidRPr="007026B1" w:rsidRDefault="00B4728D" w:rsidP="006A135E">
      <w:pPr>
        <w:spacing w:line="240" w:lineRule="auto"/>
        <w:ind w:left="2834"/>
        <w:contextualSpacing/>
        <w:jc w:val="both"/>
        <w:rPr>
          <w:rFonts w:ascii="Arial" w:hAnsi="Arial" w:cs="Arial"/>
        </w:rPr>
      </w:pPr>
      <w:r w:rsidRPr="007026B1">
        <w:rPr>
          <w:rFonts w:ascii="Arial" w:hAnsi="Arial" w:cs="Arial"/>
        </w:rPr>
        <w:t xml:space="preserve"> 39 Respuesta final</w:t>
      </w:r>
    </w:p>
    <w:p w14:paraId="41A1B679" w14:textId="6742654A" w:rsidR="00B4728D" w:rsidRPr="00551F9C" w:rsidRDefault="00B4728D" w:rsidP="006A135E">
      <w:pPr>
        <w:spacing w:line="240" w:lineRule="auto"/>
        <w:ind w:left="2828"/>
        <w:contextualSpacing/>
        <w:jc w:val="both"/>
        <w:rPr>
          <w:rFonts w:ascii="Arial" w:hAnsi="Arial" w:cs="Arial"/>
        </w:rPr>
      </w:pPr>
      <w:r w:rsidRPr="007026B1">
        <w:rPr>
          <w:rFonts w:ascii="Arial" w:hAnsi="Arial" w:cs="Arial"/>
        </w:rPr>
        <w:t xml:space="preserve"> </w:t>
      </w:r>
      <w:r w:rsidR="00A6394A">
        <w:rPr>
          <w:rFonts w:ascii="Arial" w:hAnsi="Arial" w:cs="Arial"/>
        </w:rPr>
        <w:t>Co</w:t>
      </w:r>
      <w:r w:rsidRPr="007026B1">
        <w:rPr>
          <w:rFonts w:ascii="Arial" w:hAnsi="Arial" w:cs="Arial"/>
        </w:rPr>
        <w:t>n anexos</w:t>
      </w:r>
    </w:p>
    <w:p w14:paraId="73E2045D" w14:textId="77777777" w:rsidR="00B4728D" w:rsidRPr="00551F9C" w:rsidRDefault="00B4728D" w:rsidP="006A135E">
      <w:pPr>
        <w:spacing w:line="240" w:lineRule="auto"/>
        <w:contextualSpacing/>
        <w:jc w:val="both"/>
        <w:rPr>
          <w:rFonts w:ascii="Arial" w:hAnsi="Arial" w:cs="Arial"/>
        </w:rPr>
      </w:pPr>
    </w:p>
    <w:p w14:paraId="40CE5DC5" w14:textId="77777777" w:rsidR="00B4728D" w:rsidRPr="00551F9C" w:rsidRDefault="00B4728D" w:rsidP="006A135E">
      <w:pPr>
        <w:pStyle w:val="Textoindependiente3"/>
        <w:contextualSpacing/>
        <w:rPr>
          <w:rFonts w:cs="Arial"/>
          <w:b w:val="0"/>
          <w:szCs w:val="22"/>
          <w:lang w:val="es-ES_tradnl"/>
        </w:rPr>
      </w:pPr>
    </w:p>
    <w:p w14:paraId="47F01D51" w14:textId="77777777" w:rsidR="00B4728D" w:rsidRPr="00551F9C" w:rsidRDefault="00B4728D" w:rsidP="006A135E">
      <w:pPr>
        <w:pStyle w:val="Textoindependiente3"/>
        <w:contextualSpacing/>
        <w:rPr>
          <w:rFonts w:cs="Arial"/>
          <w:b w:val="0"/>
          <w:szCs w:val="22"/>
          <w:lang w:val="es-ES_tradnl"/>
        </w:rPr>
      </w:pPr>
    </w:p>
    <w:p w14:paraId="61A18297" w14:textId="7EC532BF" w:rsidR="00B4728D" w:rsidRPr="00D87522" w:rsidRDefault="00B4728D" w:rsidP="006A135E">
      <w:pPr>
        <w:pStyle w:val="Sinespaciado"/>
        <w:contextualSpacing/>
        <w:jc w:val="both"/>
        <w:rPr>
          <w:rFonts w:ascii="Arial" w:hAnsi="Arial" w:cs="Arial"/>
          <w:sz w:val="22"/>
          <w:szCs w:val="22"/>
          <w:lang w:val="es-MX" w:eastAsia="es-CO"/>
        </w:rPr>
      </w:pPr>
      <w:r w:rsidRPr="00D87522">
        <w:rPr>
          <w:rFonts w:ascii="Arial" w:hAnsi="Arial" w:cs="Arial"/>
          <w:sz w:val="22"/>
          <w:szCs w:val="22"/>
          <w:lang w:val="es-MX" w:eastAsia="es-CO"/>
        </w:rPr>
        <w:t>Respetad</w:t>
      </w:r>
      <w:r w:rsidR="006A135E">
        <w:rPr>
          <w:rFonts w:ascii="Arial" w:hAnsi="Arial" w:cs="Arial"/>
          <w:sz w:val="22"/>
          <w:szCs w:val="22"/>
          <w:lang w:val="es-MX" w:eastAsia="es-CO"/>
        </w:rPr>
        <w:t>a</w:t>
      </w:r>
      <w:r w:rsidRPr="00D87522">
        <w:rPr>
          <w:rFonts w:ascii="Arial" w:hAnsi="Arial" w:cs="Arial"/>
          <w:sz w:val="22"/>
          <w:szCs w:val="22"/>
          <w:lang w:val="es-MX" w:eastAsia="es-CO"/>
        </w:rPr>
        <w:t xml:space="preserve"> secretari</w:t>
      </w:r>
      <w:r w:rsidR="006A135E">
        <w:rPr>
          <w:rFonts w:ascii="Arial" w:hAnsi="Arial" w:cs="Arial"/>
          <w:sz w:val="22"/>
          <w:szCs w:val="22"/>
          <w:lang w:val="es-MX" w:eastAsia="es-CO"/>
        </w:rPr>
        <w:t>a Grajales</w:t>
      </w:r>
      <w:r w:rsidR="004B27C2">
        <w:rPr>
          <w:rFonts w:ascii="Arial" w:hAnsi="Arial" w:cs="Arial"/>
          <w:sz w:val="22"/>
          <w:szCs w:val="22"/>
          <w:lang w:val="es-MX" w:eastAsia="es-CO"/>
        </w:rPr>
        <w:t>,</w:t>
      </w:r>
    </w:p>
    <w:p w14:paraId="0C1BD6B7" w14:textId="77777777" w:rsidR="00B4728D" w:rsidRPr="00D87522" w:rsidRDefault="00B4728D" w:rsidP="006A135E">
      <w:pPr>
        <w:pStyle w:val="Sinespaciado"/>
        <w:contextualSpacing/>
        <w:jc w:val="both"/>
        <w:rPr>
          <w:rFonts w:ascii="Arial" w:hAnsi="Arial" w:cs="Arial"/>
          <w:sz w:val="22"/>
          <w:szCs w:val="22"/>
          <w:lang w:val="es-MX" w:eastAsia="es-CO"/>
        </w:rPr>
      </w:pPr>
    </w:p>
    <w:p w14:paraId="2308E7A0" w14:textId="37C0C14C" w:rsidR="00B4728D" w:rsidRPr="00D87522" w:rsidRDefault="00B4728D" w:rsidP="006A135E">
      <w:pPr>
        <w:spacing w:line="240" w:lineRule="auto"/>
        <w:contextualSpacing/>
        <w:jc w:val="both"/>
        <w:rPr>
          <w:rFonts w:ascii="Arial" w:hAnsi="Arial" w:cs="Arial"/>
          <w:lang w:eastAsia="es-CO"/>
        </w:rPr>
      </w:pPr>
      <w:r w:rsidRPr="00D87522">
        <w:rPr>
          <w:rFonts w:ascii="Arial" w:hAnsi="Arial" w:cs="Arial"/>
          <w:lang w:eastAsia="es-CO"/>
        </w:rPr>
        <w:t xml:space="preserve">En atención a su solicitud, radicada </w:t>
      </w:r>
      <w:r w:rsidR="006A135E">
        <w:rPr>
          <w:rFonts w:ascii="Arial" w:hAnsi="Arial" w:cs="Arial"/>
          <w:lang w:eastAsia="es-CO"/>
        </w:rPr>
        <w:t xml:space="preserve">en esta Superintendencia </w:t>
      </w:r>
      <w:r w:rsidRPr="00D87522">
        <w:rPr>
          <w:rFonts w:ascii="Arial" w:hAnsi="Arial" w:cs="Arial"/>
          <w:lang w:eastAsia="es-CO"/>
        </w:rPr>
        <w:t xml:space="preserve">el día </w:t>
      </w:r>
      <w:r w:rsidR="006A135E">
        <w:rPr>
          <w:rFonts w:ascii="Arial" w:hAnsi="Arial" w:cs="Arial"/>
          <w:lang w:eastAsia="es-CO"/>
        </w:rPr>
        <w:t>viernes</w:t>
      </w:r>
      <w:r w:rsidRPr="00D87522">
        <w:rPr>
          <w:rFonts w:ascii="Arial" w:hAnsi="Arial" w:cs="Arial"/>
          <w:lang w:eastAsia="es-CO"/>
        </w:rPr>
        <w:t xml:space="preserve"> 1</w:t>
      </w:r>
      <w:r w:rsidR="006A135E">
        <w:rPr>
          <w:rFonts w:ascii="Arial" w:hAnsi="Arial" w:cs="Arial"/>
          <w:lang w:eastAsia="es-CO"/>
        </w:rPr>
        <w:t xml:space="preserve">5 </w:t>
      </w:r>
      <w:r w:rsidRPr="00D87522">
        <w:rPr>
          <w:rFonts w:ascii="Arial" w:hAnsi="Arial" w:cs="Arial"/>
          <w:lang w:eastAsia="es-CO"/>
        </w:rPr>
        <w:t xml:space="preserve">de </w:t>
      </w:r>
      <w:r w:rsidR="006A135E">
        <w:rPr>
          <w:rFonts w:ascii="Arial" w:hAnsi="Arial" w:cs="Arial"/>
          <w:lang w:eastAsia="es-CO"/>
        </w:rPr>
        <w:t>mayo</w:t>
      </w:r>
      <w:r w:rsidRPr="00D87522">
        <w:rPr>
          <w:rFonts w:ascii="Arial" w:hAnsi="Arial" w:cs="Arial"/>
          <w:lang w:eastAsia="es-CO"/>
        </w:rPr>
        <w:t xml:space="preserve"> de 2020 con el número del asunto, de manera atenta damos </w:t>
      </w:r>
      <w:r>
        <w:rPr>
          <w:rFonts w:ascii="Arial" w:hAnsi="Arial" w:cs="Arial"/>
          <w:lang w:eastAsia="es-CO"/>
        </w:rPr>
        <w:t>r</w:t>
      </w:r>
      <w:r w:rsidRPr="00D87522">
        <w:rPr>
          <w:rFonts w:ascii="Arial" w:hAnsi="Arial" w:cs="Arial"/>
          <w:lang w:eastAsia="es-CO"/>
        </w:rPr>
        <w:t xml:space="preserve">espuesta al cuestionario remitido, para la sesión virtual que se desarrollará el día </w:t>
      </w:r>
      <w:r w:rsidR="006A135E">
        <w:rPr>
          <w:rFonts w:ascii="Arial" w:hAnsi="Arial" w:cs="Arial"/>
          <w:lang w:eastAsia="es-CO"/>
        </w:rPr>
        <w:t>miércoles 27</w:t>
      </w:r>
      <w:r w:rsidRPr="00D87522">
        <w:rPr>
          <w:rFonts w:ascii="Arial" w:hAnsi="Arial" w:cs="Arial"/>
          <w:lang w:eastAsia="es-CO"/>
        </w:rPr>
        <w:t xml:space="preserve"> de </w:t>
      </w:r>
      <w:r w:rsidR="006A135E">
        <w:rPr>
          <w:rFonts w:ascii="Arial" w:hAnsi="Arial" w:cs="Arial"/>
          <w:lang w:eastAsia="es-CO"/>
        </w:rPr>
        <w:t>mayo</w:t>
      </w:r>
      <w:r w:rsidRPr="00D87522">
        <w:rPr>
          <w:rFonts w:ascii="Arial" w:hAnsi="Arial" w:cs="Arial"/>
          <w:lang w:eastAsia="es-CO"/>
        </w:rPr>
        <w:t xml:space="preserve"> </w:t>
      </w:r>
      <w:r>
        <w:rPr>
          <w:rFonts w:ascii="Arial" w:hAnsi="Arial" w:cs="Arial"/>
          <w:lang w:eastAsia="es-CO"/>
        </w:rPr>
        <w:t xml:space="preserve">en </w:t>
      </w:r>
      <w:r w:rsidRPr="00D87522">
        <w:rPr>
          <w:rFonts w:ascii="Arial" w:hAnsi="Arial" w:cs="Arial"/>
          <w:lang w:eastAsia="es-CO"/>
        </w:rPr>
        <w:t xml:space="preserve">la Comisión </w:t>
      </w:r>
      <w:r w:rsidR="006A135E">
        <w:rPr>
          <w:rFonts w:ascii="Arial" w:hAnsi="Arial" w:cs="Arial"/>
          <w:lang w:eastAsia="es-CO"/>
        </w:rPr>
        <w:t>Segunda</w:t>
      </w:r>
      <w:r w:rsidRPr="00D87522">
        <w:rPr>
          <w:rFonts w:ascii="Arial" w:hAnsi="Arial" w:cs="Arial"/>
          <w:lang w:eastAsia="es-CO"/>
        </w:rPr>
        <w:t xml:space="preserve"> de</w:t>
      </w:r>
      <w:r w:rsidR="006A135E">
        <w:rPr>
          <w:rFonts w:ascii="Arial" w:hAnsi="Arial" w:cs="Arial"/>
          <w:lang w:eastAsia="es-CO"/>
        </w:rPr>
        <w:t xml:space="preserve"> la Cámara de Representantes. </w:t>
      </w:r>
      <w:r w:rsidRPr="00D87522">
        <w:rPr>
          <w:rFonts w:ascii="Arial" w:hAnsi="Arial" w:cs="Arial"/>
          <w:lang w:eastAsia="es-CO"/>
        </w:rPr>
        <w:t xml:space="preserve"> Para el efecto hemos dispuesto el documento en dos secciones</w:t>
      </w:r>
      <w:r>
        <w:rPr>
          <w:rFonts w:ascii="Arial" w:hAnsi="Arial" w:cs="Arial"/>
          <w:lang w:eastAsia="es-CO"/>
        </w:rPr>
        <w:t xml:space="preserve">: </w:t>
      </w:r>
      <w:r w:rsidRPr="00D87522">
        <w:rPr>
          <w:rFonts w:ascii="Arial" w:hAnsi="Arial" w:cs="Arial"/>
          <w:lang w:eastAsia="es-CO"/>
        </w:rPr>
        <w:t>la primera</w:t>
      </w:r>
      <w:r>
        <w:rPr>
          <w:rFonts w:ascii="Arial" w:hAnsi="Arial" w:cs="Arial"/>
          <w:lang w:eastAsia="es-CO"/>
        </w:rPr>
        <w:t>,</w:t>
      </w:r>
      <w:r w:rsidRPr="00D87522">
        <w:rPr>
          <w:rFonts w:ascii="Arial" w:hAnsi="Arial" w:cs="Arial"/>
          <w:lang w:eastAsia="es-CO"/>
        </w:rPr>
        <w:t xml:space="preserve"> </w:t>
      </w:r>
      <w:r>
        <w:rPr>
          <w:rFonts w:ascii="Arial" w:hAnsi="Arial" w:cs="Arial"/>
          <w:lang w:eastAsia="es-CO"/>
        </w:rPr>
        <w:t>donde se presenta el</w:t>
      </w:r>
      <w:r w:rsidRPr="00D87522">
        <w:rPr>
          <w:rFonts w:ascii="Arial" w:hAnsi="Arial" w:cs="Arial"/>
          <w:lang w:eastAsia="es-CO"/>
        </w:rPr>
        <w:t xml:space="preserve"> contexto general respecto de l</w:t>
      </w:r>
      <w:r>
        <w:rPr>
          <w:rFonts w:ascii="Arial" w:hAnsi="Arial" w:cs="Arial"/>
          <w:lang w:eastAsia="es-CO"/>
        </w:rPr>
        <w:t xml:space="preserve">os objetivos y facultades </w:t>
      </w:r>
      <w:r w:rsidRPr="00D87522">
        <w:rPr>
          <w:rFonts w:ascii="Arial" w:hAnsi="Arial" w:cs="Arial"/>
          <w:lang w:eastAsia="es-CO"/>
        </w:rPr>
        <w:t xml:space="preserve">de la Superintendencia Financiera y </w:t>
      </w:r>
      <w:r>
        <w:rPr>
          <w:rFonts w:ascii="Arial" w:hAnsi="Arial" w:cs="Arial"/>
          <w:lang w:eastAsia="es-CO"/>
        </w:rPr>
        <w:t>s</w:t>
      </w:r>
      <w:r w:rsidRPr="00D87522">
        <w:rPr>
          <w:rFonts w:ascii="Arial" w:hAnsi="Arial" w:cs="Arial"/>
          <w:lang w:eastAsia="es-CO"/>
        </w:rPr>
        <w:t xml:space="preserve">u objetivo </w:t>
      </w:r>
      <w:r>
        <w:rPr>
          <w:rFonts w:ascii="Arial" w:hAnsi="Arial" w:cs="Arial"/>
          <w:lang w:eastAsia="es-CO"/>
        </w:rPr>
        <w:t xml:space="preserve">constitucional y legal </w:t>
      </w:r>
      <w:r w:rsidRPr="00D87522">
        <w:rPr>
          <w:rFonts w:ascii="Arial" w:hAnsi="Arial" w:cs="Arial"/>
          <w:lang w:eastAsia="es-CO"/>
        </w:rPr>
        <w:t>de velar por la estabilidad del sistema financiero y la protección de los ahorradores e inversionistas, y una segunda sección</w:t>
      </w:r>
      <w:r>
        <w:rPr>
          <w:rFonts w:ascii="Arial" w:hAnsi="Arial" w:cs="Arial"/>
          <w:lang w:eastAsia="es-CO"/>
        </w:rPr>
        <w:t>,</w:t>
      </w:r>
      <w:r w:rsidRPr="00D87522">
        <w:rPr>
          <w:rFonts w:ascii="Arial" w:hAnsi="Arial" w:cs="Arial"/>
          <w:lang w:eastAsia="es-CO"/>
        </w:rPr>
        <w:t xml:space="preserve"> en la que </w:t>
      </w:r>
      <w:r>
        <w:rPr>
          <w:rFonts w:ascii="Arial" w:hAnsi="Arial" w:cs="Arial"/>
          <w:lang w:eastAsia="es-CO"/>
        </w:rPr>
        <w:t xml:space="preserve">se da </w:t>
      </w:r>
      <w:r w:rsidRPr="00D87522">
        <w:rPr>
          <w:rFonts w:ascii="Arial" w:hAnsi="Arial" w:cs="Arial"/>
          <w:lang w:eastAsia="es-CO"/>
        </w:rPr>
        <w:t>respuesta a las preguntas remitidas</w:t>
      </w:r>
      <w:r>
        <w:rPr>
          <w:rFonts w:ascii="Arial" w:hAnsi="Arial" w:cs="Arial"/>
          <w:lang w:eastAsia="es-CO"/>
        </w:rPr>
        <w:t xml:space="preserve"> por l</w:t>
      </w:r>
      <w:r w:rsidR="006A135E">
        <w:rPr>
          <w:rFonts w:ascii="Arial" w:hAnsi="Arial" w:cs="Arial"/>
          <w:lang w:eastAsia="es-CO"/>
        </w:rPr>
        <w:t>a</w:t>
      </w:r>
      <w:r>
        <w:rPr>
          <w:rFonts w:ascii="Arial" w:hAnsi="Arial" w:cs="Arial"/>
          <w:lang w:eastAsia="es-CO"/>
        </w:rPr>
        <w:t xml:space="preserve"> </w:t>
      </w:r>
      <w:r w:rsidR="006A135E">
        <w:rPr>
          <w:rFonts w:ascii="Arial" w:hAnsi="Arial" w:cs="Arial"/>
          <w:lang w:eastAsia="es-CO"/>
        </w:rPr>
        <w:t>Honorable Representante</w:t>
      </w:r>
      <w:r w:rsidR="004B27C2">
        <w:rPr>
          <w:rFonts w:ascii="Arial" w:hAnsi="Arial" w:cs="Arial"/>
          <w:lang w:eastAsia="es-CO"/>
        </w:rPr>
        <w:t xml:space="preserve"> </w:t>
      </w:r>
    </w:p>
    <w:p w14:paraId="27AAA0FF" w14:textId="77777777" w:rsidR="00B4728D" w:rsidRPr="00D87522" w:rsidRDefault="00B4728D" w:rsidP="006A135E">
      <w:pPr>
        <w:spacing w:line="240" w:lineRule="auto"/>
        <w:contextualSpacing/>
        <w:jc w:val="both"/>
        <w:rPr>
          <w:rFonts w:ascii="Arial" w:hAnsi="Arial" w:cs="Arial"/>
          <w:lang w:eastAsia="es-CO"/>
        </w:rPr>
      </w:pPr>
    </w:p>
    <w:p w14:paraId="5E0FF68E" w14:textId="77777777" w:rsidR="00D91658" w:rsidRPr="00AB5C3D" w:rsidRDefault="00D91658" w:rsidP="00D91658">
      <w:pPr>
        <w:jc w:val="both"/>
        <w:rPr>
          <w:rFonts w:ascii="Arial" w:hAnsi="Arial" w:cs="Arial"/>
          <w:b/>
          <w:bCs/>
          <w:i/>
        </w:rPr>
      </w:pPr>
      <w:r w:rsidRPr="00AB5C3D">
        <w:rPr>
          <w:rFonts w:ascii="Arial" w:hAnsi="Arial" w:cs="Arial"/>
          <w:b/>
          <w:bCs/>
          <w:i/>
        </w:rPr>
        <w:t xml:space="preserve">“2. Qué medidas ha tomado su despacho, posterior a la declaratoria de la Emergencia Económica, Social y Ecológica; para que las entidades bancarias no se extralimiten (abusen) en su posición dominante frente a las personas naturales y jurídicas, ¿que han solicitado créditos ajustados a las actuales directrices del gobierno nacional? </w:t>
      </w:r>
    </w:p>
    <w:p w14:paraId="25729934" w14:textId="540BCE99" w:rsidR="00D91658" w:rsidRDefault="00D91658" w:rsidP="00D91658">
      <w:pPr>
        <w:jc w:val="both"/>
        <w:rPr>
          <w:rFonts w:ascii="Arial" w:hAnsi="Arial" w:cs="Arial"/>
          <w:b/>
        </w:rPr>
      </w:pPr>
      <w:r w:rsidRPr="00AB5C3D">
        <w:rPr>
          <w:rFonts w:ascii="Arial" w:hAnsi="Arial" w:cs="Arial"/>
          <w:i/>
        </w:rPr>
        <w:t xml:space="preserve"> </w:t>
      </w:r>
      <w:r w:rsidRPr="00AB5C3D">
        <w:rPr>
          <w:rFonts w:ascii="Arial" w:hAnsi="Arial" w:cs="Arial"/>
          <w:b/>
        </w:rPr>
        <w:t xml:space="preserve">Respuesta: </w:t>
      </w:r>
    </w:p>
    <w:p w14:paraId="526E55FD" w14:textId="173A1864" w:rsidR="00C77CDA" w:rsidRPr="00A80A7D" w:rsidRDefault="00876FAE" w:rsidP="00116806">
      <w:pPr>
        <w:pStyle w:val="Descripcin"/>
        <w:keepNext/>
        <w:spacing w:after="0"/>
        <w:jc w:val="both"/>
        <w:rPr>
          <w:rFonts w:ascii="Arial" w:hAnsi="Arial" w:cs="Arial"/>
          <w:i w:val="0"/>
          <w:iCs w:val="0"/>
          <w:color w:val="000000" w:themeColor="text1"/>
          <w:sz w:val="22"/>
          <w:szCs w:val="22"/>
          <w:lang w:val="es-MX"/>
        </w:rPr>
      </w:pPr>
      <w:r w:rsidRPr="00A80A7D">
        <w:rPr>
          <w:rFonts w:ascii="Arial" w:hAnsi="Arial" w:cs="Arial"/>
          <w:i w:val="0"/>
          <w:iCs w:val="0"/>
          <w:color w:val="000000" w:themeColor="text1"/>
          <w:sz w:val="22"/>
          <w:szCs w:val="22"/>
          <w:lang w:val="es-MX"/>
        </w:rPr>
        <w:t>Dentro del conjunto de medidas que e</w:t>
      </w:r>
      <w:r w:rsidR="00C77CDA" w:rsidRPr="00A80A7D">
        <w:rPr>
          <w:rFonts w:ascii="Arial" w:hAnsi="Arial" w:cs="Arial"/>
          <w:i w:val="0"/>
          <w:iCs w:val="0"/>
          <w:color w:val="000000" w:themeColor="text1"/>
          <w:sz w:val="22"/>
          <w:szCs w:val="22"/>
          <w:lang w:val="es-MX"/>
        </w:rPr>
        <w:t xml:space="preserve">l Gobierno Nacional ha adoptado </w:t>
      </w:r>
      <w:r w:rsidRPr="00A80A7D">
        <w:rPr>
          <w:rFonts w:ascii="Arial" w:hAnsi="Arial" w:cs="Arial"/>
          <w:i w:val="0"/>
          <w:iCs w:val="0"/>
          <w:color w:val="000000" w:themeColor="text1"/>
          <w:sz w:val="22"/>
          <w:szCs w:val="22"/>
          <w:lang w:val="es-MX"/>
        </w:rPr>
        <w:t xml:space="preserve">para enfrentar la coyuntura del COVID-19 existen </w:t>
      </w:r>
      <w:r w:rsidR="00C77CDA" w:rsidRPr="00A80A7D">
        <w:rPr>
          <w:rFonts w:ascii="Arial" w:hAnsi="Arial" w:cs="Arial"/>
          <w:i w:val="0"/>
          <w:iCs w:val="0"/>
          <w:color w:val="000000" w:themeColor="text1"/>
          <w:sz w:val="22"/>
          <w:szCs w:val="22"/>
          <w:lang w:val="es-MX"/>
        </w:rPr>
        <w:t xml:space="preserve">dos mecanismos </w:t>
      </w:r>
      <w:r w:rsidRPr="00A80A7D">
        <w:rPr>
          <w:rFonts w:ascii="Arial" w:hAnsi="Arial" w:cs="Arial"/>
          <w:i w:val="0"/>
          <w:iCs w:val="0"/>
          <w:color w:val="000000" w:themeColor="text1"/>
          <w:sz w:val="22"/>
          <w:szCs w:val="22"/>
          <w:lang w:val="es-MX"/>
        </w:rPr>
        <w:t xml:space="preserve">particulares que buscan la promoción y el acceso a créditos en </w:t>
      </w:r>
      <w:r w:rsidR="00C77CDA" w:rsidRPr="00A80A7D">
        <w:rPr>
          <w:rFonts w:ascii="Arial" w:hAnsi="Arial" w:cs="Arial"/>
          <w:i w:val="0"/>
          <w:iCs w:val="0"/>
          <w:color w:val="000000" w:themeColor="text1"/>
          <w:sz w:val="22"/>
          <w:szCs w:val="22"/>
          <w:lang w:val="es-MX"/>
        </w:rPr>
        <w:t>sectores específicos</w:t>
      </w:r>
      <w:r w:rsidRPr="00A80A7D">
        <w:rPr>
          <w:rFonts w:ascii="Arial" w:hAnsi="Arial" w:cs="Arial"/>
          <w:i w:val="0"/>
          <w:iCs w:val="0"/>
          <w:color w:val="000000" w:themeColor="text1"/>
          <w:sz w:val="22"/>
          <w:szCs w:val="22"/>
          <w:lang w:val="es-MX"/>
        </w:rPr>
        <w:t>,</w:t>
      </w:r>
      <w:r w:rsidR="00C77CDA" w:rsidRPr="00A80A7D">
        <w:rPr>
          <w:rFonts w:ascii="Arial" w:hAnsi="Arial" w:cs="Arial"/>
          <w:i w:val="0"/>
          <w:iCs w:val="0"/>
          <w:color w:val="000000" w:themeColor="text1"/>
          <w:sz w:val="22"/>
          <w:szCs w:val="22"/>
          <w:lang w:val="es-MX"/>
        </w:rPr>
        <w:t xml:space="preserve"> </w:t>
      </w:r>
      <w:r w:rsidRPr="00A80A7D">
        <w:rPr>
          <w:rFonts w:ascii="Arial" w:hAnsi="Arial" w:cs="Arial"/>
          <w:i w:val="0"/>
          <w:iCs w:val="0"/>
          <w:color w:val="000000" w:themeColor="text1"/>
          <w:sz w:val="22"/>
          <w:szCs w:val="22"/>
          <w:lang w:val="es-MX"/>
        </w:rPr>
        <w:t xml:space="preserve">mediante dos estrategias. La primera, utilizando la figura de los </w:t>
      </w:r>
      <w:r w:rsidR="00C77CDA" w:rsidRPr="00A80A7D">
        <w:rPr>
          <w:rFonts w:ascii="Arial" w:hAnsi="Arial" w:cs="Arial"/>
          <w:i w:val="0"/>
          <w:iCs w:val="0"/>
          <w:color w:val="000000" w:themeColor="text1"/>
          <w:sz w:val="22"/>
          <w:szCs w:val="22"/>
          <w:lang w:val="es-MX"/>
        </w:rPr>
        <w:t>crédito</w:t>
      </w:r>
      <w:r w:rsidRPr="00A80A7D">
        <w:rPr>
          <w:rFonts w:ascii="Arial" w:hAnsi="Arial" w:cs="Arial"/>
          <w:i w:val="0"/>
          <w:iCs w:val="0"/>
          <w:color w:val="000000" w:themeColor="text1"/>
          <w:sz w:val="22"/>
          <w:szCs w:val="22"/>
          <w:lang w:val="es-MX"/>
        </w:rPr>
        <w:t>s</w:t>
      </w:r>
      <w:r w:rsidR="00C77CDA" w:rsidRPr="00A80A7D">
        <w:rPr>
          <w:rFonts w:ascii="Arial" w:hAnsi="Arial" w:cs="Arial"/>
          <w:i w:val="0"/>
          <w:iCs w:val="0"/>
          <w:color w:val="000000" w:themeColor="text1"/>
          <w:sz w:val="22"/>
          <w:szCs w:val="22"/>
          <w:lang w:val="es-MX"/>
        </w:rPr>
        <w:t xml:space="preserve"> de redescuento </w:t>
      </w:r>
      <w:r w:rsidRPr="00A80A7D">
        <w:rPr>
          <w:rFonts w:ascii="Arial" w:hAnsi="Arial" w:cs="Arial"/>
          <w:i w:val="0"/>
          <w:iCs w:val="0"/>
          <w:color w:val="000000" w:themeColor="text1"/>
          <w:sz w:val="22"/>
          <w:szCs w:val="22"/>
          <w:lang w:val="es-MX"/>
        </w:rPr>
        <w:t xml:space="preserve">a través de Bancoldex, Finagro y Findeter, </w:t>
      </w:r>
      <w:r w:rsidR="00C77CDA" w:rsidRPr="00A80A7D">
        <w:rPr>
          <w:rFonts w:ascii="Arial" w:hAnsi="Arial" w:cs="Arial"/>
          <w:i w:val="0"/>
          <w:iCs w:val="0"/>
          <w:color w:val="000000" w:themeColor="text1"/>
          <w:sz w:val="22"/>
          <w:szCs w:val="22"/>
          <w:lang w:val="es-MX"/>
        </w:rPr>
        <w:t>y</w:t>
      </w:r>
      <w:r w:rsidR="00D36DE1" w:rsidRPr="00A80A7D">
        <w:rPr>
          <w:rFonts w:ascii="Arial" w:hAnsi="Arial" w:cs="Arial"/>
          <w:i w:val="0"/>
          <w:iCs w:val="0"/>
          <w:color w:val="000000" w:themeColor="text1"/>
          <w:sz w:val="22"/>
          <w:szCs w:val="22"/>
          <w:lang w:val="es-MX"/>
        </w:rPr>
        <w:t xml:space="preserve"> el segundo, </w:t>
      </w:r>
      <w:r w:rsidRPr="00A80A7D">
        <w:rPr>
          <w:rFonts w:ascii="Arial" w:hAnsi="Arial" w:cs="Arial"/>
          <w:i w:val="0"/>
          <w:iCs w:val="0"/>
          <w:color w:val="000000" w:themeColor="text1"/>
          <w:sz w:val="22"/>
          <w:szCs w:val="22"/>
          <w:lang w:val="es-MX"/>
        </w:rPr>
        <w:t xml:space="preserve">mediante la creación de </w:t>
      </w:r>
      <w:r w:rsidR="00C77CDA" w:rsidRPr="00A80A7D">
        <w:rPr>
          <w:rFonts w:ascii="Arial" w:hAnsi="Arial" w:cs="Arial"/>
          <w:i w:val="0"/>
          <w:iCs w:val="0"/>
          <w:color w:val="000000" w:themeColor="text1"/>
          <w:sz w:val="22"/>
          <w:szCs w:val="22"/>
          <w:lang w:val="es-MX"/>
        </w:rPr>
        <w:t>l</w:t>
      </w:r>
      <w:r w:rsidRPr="00A80A7D">
        <w:rPr>
          <w:rFonts w:ascii="Arial" w:hAnsi="Arial" w:cs="Arial"/>
          <w:i w:val="0"/>
          <w:iCs w:val="0"/>
          <w:color w:val="000000" w:themeColor="text1"/>
          <w:sz w:val="22"/>
          <w:szCs w:val="22"/>
          <w:lang w:val="es-MX"/>
        </w:rPr>
        <w:t xml:space="preserve">íneas de garantías para créditos a través del Fondo Nacional de Garantías. En ambos casos, se utiliza </w:t>
      </w:r>
      <w:r w:rsidR="006B6E34">
        <w:rPr>
          <w:rFonts w:ascii="Arial" w:hAnsi="Arial" w:cs="Arial"/>
          <w:i w:val="0"/>
          <w:iCs w:val="0"/>
          <w:color w:val="000000" w:themeColor="text1"/>
          <w:sz w:val="22"/>
          <w:szCs w:val="22"/>
          <w:lang w:val="es-MX"/>
        </w:rPr>
        <w:t xml:space="preserve">a los intermediarios financieros </w:t>
      </w:r>
      <w:r w:rsidRPr="00A80A7D">
        <w:rPr>
          <w:rFonts w:ascii="Arial" w:hAnsi="Arial" w:cs="Arial"/>
          <w:i w:val="0"/>
          <w:iCs w:val="0"/>
          <w:color w:val="000000" w:themeColor="text1"/>
          <w:sz w:val="22"/>
          <w:szCs w:val="22"/>
          <w:lang w:val="es-MX"/>
        </w:rPr>
        <w:t>para hacer la evaluación de riesgos, la selección de los deudores de los créditos y en general para aplicar la operatividad de estos instrumentos.</w:t>
      </w:r>
    </w:p>
    <w:p w14:paraId="1D4D32AB" w14:textId="77777777" w:rsidR="00C77CDA" w:rsidRPr="00A80A7D" w:rsidRDefault="00C77CDA" w:rsidP="00116806">
      <w:pPr>
        <w:pStyle w:val="Descripcin"/>
        <w:keepNext/>
        <w:spacing w:after="0"/>
        <w:jc w:val="both"/>
        <w:rPr>
          <w:rFonts w:ascii="Arial" w:hAnsi="Arial" w:cs="Arial"/>
          <w:i w:val="0"/>
          <w:iCs w:val="0"/>
          <w:color w:val="000000" w:themeColor="text1"/>
          <w:sz w:val="22"/>
          <w:szCs w:val="22"/>
          <w:lang w:val="es-MX"/>
        </w:rPr>
      </w:pPr>
    </w:p>
    <w:p w14:paraId="381B084B" w14:textId="05516291" w:rsidR="00D9570F" w:rsidRPr="00A80A7D" w:rsidRDefault="006B6E34" w:rsidP="00D36DE1">
      <w:pPr>
        <w:pStyle w:val="Descripcin"/>
        <w:keepNext/>
        <w:spacing w:after="0"/>
        <w:jc w:val="both"/>
        <w:rPr>
          <w:rFonts w:ascii="Arial" w:hAnsi="Arial" w:cs="Arial"/>
          <w:i w:val="0"/>
          <w:iCs w:val="0"/>
          <w:color w:val="000000" w:themeColor="text1"/>
          <w:sz w:val="22"/>
          <w:szCs w:val="22"/>
          <w:lang w:val="es-MX"/>
        </w:rPr>
      </w:pPr>
      <w:r>
        <w:rPr>
          <w:rFonts w:ascii="Arial" w:hAnsi="Arial" w:cs="Arial"/>
          <w:i w:val="0"/>
          <w:iCs w:val="0"/>
          <w:color w:val="000000" w:themeColor="text1"/>
          <w:sz w:val="22"/>
          <w:szCs w:val="22"/>
          <w:lang w:val="es-MX"/>
        </w:rPr>
        <w:t xml:space="preserve">Dicho lo anterior, vale </w:t>
      </w:r>
      <w:r w:rsidR="00876FAE" w:rsidRPr="00A80A7D">
        <w:rPr>
          <w:rFonts w:ascii="Arial" w:hAnsi="Arial" w:cs="Arial"/>
          <w:i w:val="0"/>
          <w:iCs w:val="0"/>
          <w:color w:val="000000" w:themeColor="text1"/>
          <w:sz w:val="22"/>
          <w:szCs w:val="22"/>
          <w:lang w:val="es-MX"/>
        </w:rPr>
        <w:t xml:space="preserve">la pena </w:t>
      </w:r>
      <w:r>
        <w:rPr>
          <w:rFonts w:ascii="Arial" w:hAnsi="Arial" w:cs="Arial"/>
          <w:i w:val="0"/>
          <w:iCs w:val="0"/>
          <w:color w:val="000000" w:themeColor="text1"/>
          <w:sz w:val="22"/>
          <w:szCs w:val="22"/>
          <w:lang w:val="es-MX"/>
        </w:rPr>
        <w:t xml:space="preserve">comentar </w:t>
      </w:r>
      <w:r w:rsidR="00876FAE" w:rsidRPr="00A80A7D">
        <w:rPr>
          <w:rFonts w:ascii="Arial" w:hAnsi="Arial" w:cs="Arial"/>
          <w:i w:val="0"/>
          <w:iCs w:val="0"/>
          <w:color w:val="000000" w:themeColor="text1"/>
          <w:sz w:val="22"/>
          <w:szCs w:val="22"/>
          <w:lang w:val="es-MX"/>
        </w:rPr>
        <w:t>las características del funcionamiento de cada u</w:t>
      </w:r>
      <w:r w:rsidR="00D9570F" w:rsidRPr="00A80A7D">
        <w:rPr>
          <w:rFonts w:ascii="Arial" w:hAnsi="Arial" w:cs="Arial"/>
          <w:i w:val="0"/>
          <w:iCs w:val="0"/>
          <w:color w:val="000000" w:themeColor="text1"/>
          <w:sz w:val="22"/>
          <w:szCs w:val="22"/>
          <w:lang w:val="es-MX"/>
        </w:rPr>
        <w:t>n</w:t>
      </w:r>
      <w:r w:rsidR="00876FAE" w:rsidRPr="00A80A7D">
        <w:rPr>
          <w:rFonts w:ascii="Arial" w:hAnsi="Arial" w:cs="Arial"/>
          <w:i w:val="0"/>
          <w:iCs w:val="0"/>
          <w:color w:val="000000" w:themeColor="text1"/>
          <w:sz w:val="22"/>
          <w:szCs w:val="22"/>
          <w:lang w:val="es-MX"/>
        </w:rPr>
        <w:t xml:space="preserve">o </w:t>
      </w:r>
      <w:r w:rsidR="00D9570F" w:rsidRPr="00A80A7D">
        <w:rPr>
          <w:rFonts w:ascii="Arial" w:hAnsi="Arial" w:cs="Arial"/>
          <w:i w:val="0"/>
          <w:iCs w:val="0"/>
          <w:color w:val="000000" w:themeColor="text1"/>
          <w:sz w:val="22"/>
          <w:szCs w:val="22"/>
          <w:lang w:val="es-MX"/>
        </w:rPr>
        <w:t>de los dos instrumentos en mención</w:t>
      </w:r>
      <w:r w:rsidR="00D36DE1" w:rsidRPr="00A80A7D">
        <w:rPr>
          <w:rFonts w:ascii="Arial" w:hAnsi="Arial" w:cs="Arial"/>
          <w:i w:val="0"/>
          <w:iCs w:val="0"/>
          <w:color w:val="000000" w:themeColor="text1"/>
          <w:sz w:val="22"/>
          <w:szCs w:val="22"/>
          <w:lang w:val="es-MX"/>
        </w:rPr>
        <w:t xml:space="preserve">: </w:t>
      </w:r>
    </w:p>
    <w:p w14:paraId="730EB300" w14:textId="77777777" w:rsidR="006B6E34" w:rsidRDefault="006B6E34" w:rsidP="00D36DE1">
      <w:pPr>
        <w:jc w:val="both"/>
        <w:rPr>
          <w:rFonts w:ascii="Arial" w:hAnsi="Arial" w:cs="Arial"/>
        </w:rPr>
      </w:pPr>
    </w:p>
    <w:p w14:paraId="120E6FF3" w14:textId="15021645" w:rsidR="00D36DE1" w:rsidRPr="00A80A7D" w:rsidRDefault="00D36DE1" w:rsidP="00D36DE1">
      <w:pPr>
        <w:jc w:val="both"/>
        <w:rPr>
          <w:rFonts w:ascii="Arial" w:hAnsi="Arial" w:cs="Arial"/>
        </w:rPr>
      </w:pPr>
      <w:r w:rsidRPr="00A80A7D">
        <w:rPr>
          <w:rFonts w:ascii="Arial" w:hAnsi="Arial" w:cs="Arial"/>
        </w:rPr>
        <w:lastRenderedPageBreak/>
        <w:t xml:space="preserve">La figura del redescuento es un contrato de crédito mediante el cual el banco de segundo piso presta unos dineros al banco de primer piso para que </w:t>
      </w:r>
      <w:r w:rsidR="00A80A7D">
        <w:rPr>
          <w:rFonts w:ascii="Arial" w:hAnsi="Arial" w:cs="Arial"/>
        </w:rPr>
        <w:t>é</w:t>
      </w:r>
      <w:r w:rsidRPr="00A80A7D">
        <w:rPr>
          <w:rFonts w:ascii="Arial" w:hAnsi="Arial" w:cs="Arial"/>
        </w:rPr>
        <w:t xml:space="preserve">ste a su vez los preste bajo ciertas condiciones y características definidas en la línea. En esta figura, el deudor del banco de segundo piso es el banco de primer piso con independencia del comportamiento de pago que tenga el beneficiario final del crédito. </w:t>
      </w:r>
      <w:r w:rsidR="00A80A7D">
        <w:rPr>
          <w:rFonts w:ascii="Arial" w:hAnsi="Arial" w:cs="Arial"/>
        </w:rPr>
        <w:t>L</w:t>
      </w:r>
      <w:r w:rsidR="00857D71">
        <w:rPr>
          <w:rFonts w:ascii="Arial" w:hAnsi="Arial" w:cs="Arial"/>
        </w:rPr>
        <w:t>os</w:t>
      </w:r>
      <w:r w:rsidR="00A80A7D">
        <w:rPr>
          <w:rFonts w:ascii="Arial" w:hAnsi="Arial" w:cs="Arial"/>
        </w:rPr>
        <w:t xml:space="preserve"> </w:t>
      </w:r>
      <w:r w:rsidR="00857D71">
        <w:rPr>
          <w:rFonts w:ascii="Arial" w:hAnsi="Arial" w:cs="Arial"/>
        </w:rPr>
        <w:t xml:space="preserve">bancos de segundo piso </w:t>
      </w:r>
      <w:r w:rsidR="00EB6002">
        <w:rPr>
          <w:rFonts w:ascii="Arial" w:hAnsi="Arial" w:cs="Arial"/>
        </w:rPr>
        <w:t xml:space="preserve">pueden adelantar operaciones con entidades vigiladas y no vigiladas por la Superintendencia Financiera. </w:t>
      </w:r>
    </w:p>
    <w:p w14:paraId="12F386FE" w14:textId="138A3814" w:rsidR="00D36DE1" w:rsidRPr="00A80A7D" w:rsidRDefault="00D36DE1" w:rsidP="00D36DE1">
      <w:pPr>
        <w:jc w:val="both"/>
        <w:rPr>
          <w:rFonts w:ascii="Arial" w:hAnsi="Arial" w:cs="Arial"/>
        </w:rPr>
      </w:pPr>
      <w:r w:rsidRPr="00A80A7D">
        <w:rPr>
          <w:rFonts w:ascii="Arial" w:hAnsi="Arial" w:cs="Arial"/>
        </w:rPr>
        <w:t xml:space="preserve">Los recursos que </w:t>
      </w:r>
      <w:r w:rsidR="00857D71">
        <w:rPr>
          <w:rFonts w:ascii="Arial" w:hAnsi="Arial" w:cs="Arial"/>
        </w:rPr>
        <w:t xml:space="preserve">el banco </w:t>
      </w:r>
      <w:r w:rsidRPr="00A80A7D">
        <w:rPr>
          <w:rFonts w:ascii="Arial" w:hAnsi="Arial" w:cs="Arial"/>
        </w:rPr>
        <w:t xml:space="preserve">de segundo piso presta son recursos que obtiene en el marcado financiero a través de emisión de bonos o de CDT como cualquier otro intermediario financiero. En operaciones con tasas compensadas, la entidad de segundo piso </w:t>
      </w:r>
      <w:r w:rsidR="00857D71">
        <w:rPr>
          <w:rFonts w:ascii="Arial" w:hAnsi="Arial" w:cs="Arial"/>
        </w:rPr>
        <w:t xml:space="preserve">puede </w:t>
      </w:r>
      <w:r w:rsidRPr="00A80A7D">
        <w:rPr>
          <w:rFonts w:ascii="Arial" w:hAnsi="Arial" w:cs="Arial"/>
        </w:rPr>
        <w:t xml:space="preserve">recibir recursos públicos provenientes de ministerios o entidades descentralizadas, según corresponda con el propósito de subsidiar el costo financiero (tasa de interés) de un crédito </w:t>
      </w:r>
      <w:r w:rsidR="00857D71">
        <w:rPr>
          <w:rFonts w:ascii="Arial" w:hAnsi="Arial" w:cs="Arial"/>
        </w:rPr>
        <w:t xml:space="preserve">al </w:t>
      </w:r>
      <w:r w:rsidRPr="00A80A7D">
        <w:rPr>
          <w:rFonts w:ascii="Arial" w:hAnsi="Arial" w:cs="Arial"/>
        </w:rPr>
        <w:t>beneficiario final. Por lo tanto, salvo este último caso, los recursos que fondean las operaciones de redescu</w:t>
      </w:r>
      <w:r w:rsidR="00A80A7D" w:rsidRPr="00A80A7D">
        <w:rPr>
          <w:rFonts w:ascii="Arial" w:hAnsi="Arial" w:cs="Arial"/>
        </w:rPr>
        <w:t>e</w:t>
      </w:r>
      <w:r w:rsidRPr="00A80A7D">
        <w:rPr>
          <w:rFonts w:ascii="Arial" w:hAnsi="Arial" w:cs="Arial"/>
        </w:rPr>
        <w:t xml:space="preserve">nto </w:t>
      </w:r>
      <w:r w:rsidR="00A80A7D" w:rsidRPr="00A80A7D">
        <w:rPr>
          <w:rFonts w:ascii="Arial" w:hAnsi="Arial" w:cs="Arial"/>
        </w:rPr>
        <w:t>son recursos captados del público.</w:t>
      </w:r>
    </w:p>
    <w:p w14:paraId="64BBEA3C" w14:textId="28D8CBE9" w:rsidR="00A80A7D" w:rsidRPr="00A80A7D" w:rsidRDefault="00A80A7D" w:rsidP="00D36DE1">
      <w:pPr>
        <w:jc w:val="both"/>
        <w:rPr>
          <w:rFonts w:ascii="Arial" w:hAnsi="Arial" w:cs="Arial"/>
        </w:rPr>
      </w:pPr>
      <w:r w:rsidRPr="00A80A7D">
        <w:rPr>
          <w:rFonts w:ascii="Arial" w:hAnsi="Arial" w:cs="Arial"/>
        </w:rPr>
        <w:t xml:space="preserve">La estructuración </w:t>
      </w:r>
      <w:r w:rsidR="00B946C5">
        <w:rPr>
          <w:rFonts w:ascii="Arial" w:hAnsi="Arial" w:cs="Arial"/>
        </w:rPr>
        <w:t xml:space="preserve">y definición de las características y condiciones </w:t>
      </w:r>
      <w:r w:rsidRPr="00A80A7D">
        <w:rPr>
          <w:rFonts w:ascii="Arial" w:hAnsi="Arial" w:cs="Arial"/>
        </w:rPr>
        <w:t xml:space="preserve">de cada línea de financiación </w:t>
      </w:r>
      <w:r w:rsidR="00B946C5">
        <w:rPr>
          <w:rFonts w:ascii="Arial" w:hAnsi="Arial" w:cs="Arial"/>
        </w:rPr>
        <w:t xml:space="preserve">(o línea de redescuento) </w:t>
      </w:r>
      <w:r w:rsidRPr="00A80A7D">
        <w:rPr>
          <w:rFonts w:ascii="Arial" w:hAnsi="Arial" w:cs="Arial"/>
        </w:rPr>
        <w:t xml:space="preserve">corresponde a la junta directiva y a la administración de las entidades de segundo piso, </w:t>
      </w:r>
      <w:r w:rsidR="00B946C5">
        <w:rPr>
          <w:rFonts w:ascii="Arial" w:hAnsi="Arial" w:cs="Arial"/>
        </w:rPr>
        <w:t xml:space="preserve">quienes </w:t>
      </w:r>
      <w:r w:rsidRPr="00A80A7D">
        <w:rPr>
          <w:rFonts w:ascii="Arial" w:hAnsi="Arial" w:cs="Arial"/>
        </w:rPr>
        <w:t>se encuentran sometidos a la inspección, vigilancia y control de la Superintendencia Financiera, cumpliendo entre otros aspectos con los sistemas de administración de riesgo propio a las actividades que desarrollan</w:t>
      </w:r>
      <w:r w:rsidR="00B946C5">
        <w:rPr>
          <w:rFonts w:ascii="Arial" w:hAnsi="Arial" w:cs="Arial"/>
        </w:rPr>
        <w:t>, pues como ya se mencionó su fondeo proviene de la captación de recursos del público</w:t>
      </w:r>
      <w:r w:rsidRPr="00A80A7D">
        <w:rPr>
          <w:rFonts w:ascii="Arial" w:hAnsi="Arial" w:cs="Arial"/>
        </w:rPr>
        <w:t xml:space="preserve">. </w:t>
      </w:r>
    </w:p>
    <w:p w14:paraId="345BB6C7" w14:textId="5123BE08" w:rsidR="00A80A7D" w:rsidRDefault="00A80A7D" w:rsidP="00D36DE1">
      <w:pPr>
        <w:jc w:val="both"/>
        <w:rPr>
          <w:rFonts w:ascii="Arial" w:hAnsi="Arial" w:cs="Arial"/>
        </w:rPr>
      </w:pPr>
      <w:r w:rsidRPr="00A80A7D">
        <w:rPr>
          <w:rFonts w:ascii="Arial" w:hAnsi="Arial" w:cs="Arial"/>
        </w:rPr>
        <w:t xml:space="preserve">A </w:t>
      </w:r>
      <w:r w:rsidR="00E953BC" w:rsidRPr="00A80A7D">
        <w:rPr>
          <w:rFonts w:ascii="Arial" w:hAnsi="Arial" w:cs="Arial"/>
        </w:rPr>
        <w:t>continuación,</w:t>
      </w:r>
      <w:r w:rsidRPr="00A80A7D">
        <w:rPr>
          <w:rFonts w:ascii="Arial" w:hAnsi="Arial" w:cs="Arial"/>
        </w:rPr>
        <w:t xml:space="preserve"> se desagregan las líneas existentes para el caso de las entidades oficiales especiales que ofrecen créditos de redescuento. </w:t>
      </w:r>
    </w:p>
    <w:p w14:paraId="7A65A240" w14:textId="5C12F181" w:rsidR="006F4FA8" w:rsidRPr="006F4FA8" w:rsidRDefault="006F4FA8" w:rsidP="006F4FA8">
      <w:pPr>
        <w:tabs>
          <w:tab w:val="left" w:pos="0"/>
        </w:tabs>
        <w:ind w:right="191"/>
        <w:jc w:val="both"/>
        <w:rPr>
          <w:rFonts w:ascii="Arial" w:hAnsi="Arial" w:cs="Arial"/>
        </w:rPr>
      </w:pPr>
      <w:bookmarkStart w:id="0" w:name="BANCOLDEX"/>
      <w:r w:rsidRPr="006F4FA8">
        <w:rPr>
          <w:rFonts w:ascii="Arial" w:hAnsi="Arial" w:cs="Arial"/>
          <w:b/>
          <w:bCs/>
        </w:rPr>
        <w:t>Bancóldex</w:t>
      </w:r>
    </w:p>
    <w:bookmarkEnd w:id="0"/>
    <w:p w14:paraId="4C3D4B3C" w14:textId="77777777" w:rsidR="006F4FA8" w:rsidRPr="006F4FA8" w:rsidRDefault="006F4FA8" w:rsidP="006F4FA8">
      <w:pPr>
        <w:tabs>
          <w:tab w:val="left" w:pos="0"/>
        </w:tabs>
        <w:spacing w:line="256" w:lineRule="auto"/>
        <w:ind w:right="191"/>
        <w:jc w:val="both"/>
        <w:rPr>
          <w:rFonts w:ascii="Arial" w:hAnsi="Arial" w:cs="Arial"/>
        </w:rPr>
      </w:pPr>
      <w:r w:rsidRPr="006F4FA8">
        <w:rPr>
          <w:rFonts w:ascii="Arial" w:hAnsi="Arial" w:cs="Arial"/>
        </w:rPr>
        <w:t xml:space="preserve">A través de siete líneas habilitadas, al 15 de mayo se han canalizado </w:t>
      </w:r>
      <w:r w:rsidRPr="006F4FA8">
        <w:rPr>
          <w:rFonts w:ascii="Arial" w:hAnsi="Arial" w:cs="Arial"/>
          <w:b/>
          <w:bCs/>
        </w:rPr>
        <w:t>2,702 créditos</w:t>
      </w:r>
      <w:r w:rsidRPr="006F4FA8">
        <w:rPr>
          <w:rFonts w:ascii="Arial" w:hAnsi="Arial" w:cs="Arial"/>
        </w:rPr>
        <w:t xml:space="preserve"> por valor de </w:t>
      </w:r>
      <w:r w:rsidRPr="006F4FA8">
        <w:rPr>
          <w:rFonts w:ascii="Arial" w:hAnsi="Arial" w:cs="Arial"/>
          <w:b/>
          <w:bCs/>
        </w:rPr>
        <w:t>$721,148</w:t>
      </w:r>
      <w:r w:rsidRPr="006F4FA8">
        <w:rPr>
          <w:rFonts w:ascii="Arial" w:hAnsi="Arial" w:cs="Arial"/>
        </w:rPr>
        <w:t xml:space="preserve"> </w:t>
      </w:r>
      <w:r w:rsidRPr="006F4FA8">
        <w:rPr>
          <w:rFonts w:ascii="Arial" w:hAnsi="Arial" w:cs="Arial"/>
          <w:b/>
          <w:bCs/>
        </w:rPr>
        <w:t>millones</w:t>
      </w:r>
      <w:r w:rsidRPr="006F4FA8">
        <w:rPr>
          <w:rFonts w:ascii="Arial" w:hAnsi="Arial" w:cs="Arial"/>
        </w:rPr>
        <w:t xml:space="preserve">, generando un cupo por </w:t>
      </w:r>
      <w:r w:rsidRPr="006F4FA8">
        <w:rPr>
          <w:rFonts w:ascii="Arial" w:hAnsi="Arial" w:cs="Arial"/>
          <w:b/>
          <w:bCs/>
        </w:rPr>
        <w:t>$330,355</w:t>
      </w:r>
      <w:r w:rsidRPr="006F4FA8">
        <w:rPr>
          <w:rFonts w:ascii="Arial" w:hAnsi="Arial" w:cs="Arial"/>
        </w:rPr>
        <w:t xml:space="preserve"> </w:t>
      </w:r>
      <w:r w:rsidRPr="006F4FA8">
        <w:rPr>
          <w:rFonts w:ascii="Arial" w:hAnsi="Arial" w:cs="Arial"/>
          <w:b/>
          <w:bCs/>
        </w:rPr>
        <w:t>millones</w:t>
      </w:r>
      <w:r w:rsidRPr="006F4FA8">
        <w:rPr>
          <w:rFonts w:ascii="Arial" w:hAnsi="Arial" w:cs="Arial"/>
        </w:rPr>
        <w:t>, así:</w:t>
      </w:r>
    </w:p>
    <w:p w14:paraId="667C0D91" w14:textId="77777777" w:rsidR="006F4FA8" w:rsidRPr="002115B5" w:rsidRDefault="006F4FA8" w:rsidP="006F4FA8">
      <w:pPr>
        <w:pStyle w:val="Prrafodelista"/>
        <w:tabs>
          <w:tab w:val="left" w:pos="0"/>
        </w:tabs>
        <w:spacing w:line="256" w:lineRule="auto"/>
        <w:ind w:right="191"/>
        <w:jc w:val="right"/>
        <w:rPr>
          <w:rFonts w:ascii="Arial" w:hAnsi="Arial" w:cs="Arial"/>
          <w:b/>
          <w:bCs/>
          <w:sz w:val="16"/>
          <w:szCs w:val="16"/>
        </w:rPr>
      </w:pPr>
      <w:r w:rsidRPr="002115B5">
        <w:rPr>
          <w:rFonts w:ascii="Arial" w:hAnsi="Arial" w:cs="Arial"/>
          <w:b/>
          <w:bCs/>
          <w:sz w:val="16"/>
          <w:szCs w:val="16"/>
        </w:rPr>
        <w:t>Cifras en millones$</w:t>
      </w:r>
    </w:p>
    <w:tbl>
      <w:tblPr>
        <w:tblW w:w="0" w:type="auto"/>
        <w:tblInd w:w="-714" w:type="dxa"/>
        <w:tblLook w:val="04A0" w:firstRow="1" w:lastRow="0" w:firstColumn="1" w:lastColumn="0" w:noHBand="0" w:noVBand="1"/>
      </w:tblPr>
      <w:tblGrid>
        <w:gridCol w:w="1732"/>
        <w:gridCol w:w="1106"/>
        <w:gridCol w:w="1319"/>
        <w:gridCol w:w="884"/>
        <w:gridCol w:w="1319"/>
        <w:gridCol w:w="1115"/>
        <w:gridCol w:w="973"/>
        <w:gridCol w:w="1094"/>
      </w:tblGrid>
      <w:tr w:rsidR="006F4FA8" w:rsidRPr="006F4FA8" w14:paraId="7A35DB79" w14:textId="77777777" w:rsidTr="006F4FA8">
        <w:trPr>
          <w:trHeight w:val="264"/>
        </w:trPr>
        <w:tc>
          <w:tcPr>
            <w:tcW w:w="0" w:type="auto"/>
            <w:vMerge w:val="restart"/>
            <w:tcBorders>
              <w:top w:val="single" w:sz="4" w:space="0" w:color="auto"/>
              <w:left w:val="single" w:sz="4" w:space="0" w:color="auto"/>
              <w:bottom w:val="single" w:sz="4" w:space="0" w:color="auto"/>
              <w:right w:val="single" w:sz="4" w:space="0" w:color="auto"/>
            </w:tcBorders>
            <w:shd w:val="clear" w:color="auto" w:fill="0070C0"/>
          </w:tcPr>
          <w:p w14:paraId="40216C89"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val="en-US"/>
              </w:rPr>
            </w:pPr>
            <w:r w:rsidRPr="006F4FA8">
              <w:rPr>
                <w:rFonts w:ascii="Arial" w:hAnsi="Arial" w:cs="Arial"/>
                <w:b/>
                <w:bCs/>
                <w:color w:val="FFFFFF" w:themeColor="background1"/>
                <w:sz w:val="16"/>
                <w:szCs w:val="16"/>
              </w:rPr>
              <w:t xml:space="preserve"> LINEAS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0070C0"/>
            <w:noWrap/>
          </w:tcPr>
          <w:p w14:paraId="5D4D9D15"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val="en-US"/>
              </w:rPr>
            </w:pPr>
            <w:r w:rsidRPr="006F4FA8">
              <w:rPr>
                <w:rFonts w:ascii="Arial" w:hAnsi="Arial" w:cs="Arial"/>
                <w:b/>
                <w:bCs/>
                <w:color w:val="FFFFFF" w:themeColor="background1"/>
                <w:sz w:val="16"/>
                <w:szCs w:val="16"/>
              </w:rPr>
              <w:t>Cupo</w:t>
            </w:r>
          </w:p>
        </w:tc>
        <w:tc>
          <w:tcPr>
            <w:tcW w:w="0" w:type="auto"/>
            <w:gridSpan w:val="2"/>
            <w:tcBorders>
              <w:top w:val="single" w:sz="4" w:space="0" w:color="auto"/>
              <w:left w:val="nil"/>
              <w:bottom w:val="single" w:sz="4" w:space="0" w:color="auto"/>
              <w:right w:val="single" w:sz="4" w:space="0" w:color="auto"/>
            </w:tcBorders>
            <w:shd w:val="clear" w:color="auto" w:fill="0070C0"/>
            <w:noWrap/>
          </w:tcPr>
          <w:p w14:paraId="05901C41"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val="en-US"/>
              </w:rPr>
            </w:pPr>
            <w:r w:rsidRPr="006F4FA8">
              <w:rPr>
                <w:rFonts w:ascii="Arial" w:hAnsi="Arial" w:cs="Arial"/>
                <w:b/>
                <w:bCs/>
                <w:color w:val="FFFFFF" w:themeColor="background1"/>
                <w:sz w:val="16"/>
                <w:szCs w:val="16"/>
              </w:rPr>
              <w:t>Reservas</w:t>
            </w:r>
          </w:p>
        </w:tc>
        <w:tc>
          <w:tcPr>
            <w:tcW w:w="0" w:type="auto"/>
            <w:gridSpan w:val="3"/>
            <w:tcBorders>
              <w:top w:val="single" w:sz="4" w:space="0" w:color="auto"/>
              <w:left w:val="nil"/>
              <w:bottom w:val="single" w:sz="4" w:space="0" w:color="auto"/>
              <w:right w:val="single" w:sz="4" w:space="0" w:color="auto"/>
            </w:tcBorders>
            <w:shd w:val="clear" w:color="auto" w:fill="0070C0"/>
            <w:noWrap/>
          </w:tcPr>
          <w:p w14:paraId="04989321"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val="en-US"/>
              </w:rPr>
            </w:pPr>
            <w:proofErr w:type="spellStart"/>
            <w:r w:rsidRPr="006F4FA8">
              <w:rPr>
                <w:rFonts w:ascii="Arial" w:eastAsia="Times New Roman" w:hAnsi="Arial" w:cs="Arial"/>
                <w:b/>
                <w:bCs/>
                <w:color w:val="FFFFFF" w:themeColor="background1"/>
                <w:sz w:val="16"/>
                <w:szCs w:val="16"/>
                <w:lang w:val="en-US"/>
              </w:rPr>
              <w:t>Desembolsos</w:t>
            </w:r>
            <w:proofErr w:type="spellEnd"/>
          </w:p>
        </w:tc>
        <w:tc>
          <w:tcPr>
            <w:tcW w:w="0" w:type="auto"/>
            <w:tcBorders>
              <w:top w:val="single" w:sz="4" w:space="0" w:color="auto"/>
              <w:left w:val="single" w:sz="4" w:space="0" w:color="auto"/>
              <w:right w:val="single" w:sz="4" w:space="0" w:color="auto"/>
            </w:tcBorders>
            <w:shd w:val="clear" w:color="auto" w:fill="0070C0"/>
          </w:tcPr>
          <w:p w14:paraId="6C50FE3A"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val="en-US"/>
              </w:rPr>
            </w:pPr>
            <w:r w:rsidRPr="006F4FA8">
              <w:rPr>
                <w:rFonts w:ascii="Arial" w:hAnsi="Arial" w:cs="Arial"/>
                <w:b/>
                <w:bCs/>
                <w:color w:val="FFFFFF" w:themeColor="background1"/>
                <w:sz w:val="16"/>
                <w:szCs w:val="16"/>
              </w:rPr>
              <w:t>Monto Disponible</w:t>
            </w:r>
          </w:p>
        </w:tc>
      </w:tr>
      <w:tr w:rsidR="006F4FA8" w:rsidRPr="006F4FA8" w14:paraId="5E66BA8E" w14:textId="77777777" w:rsidTr="006F4FA8">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0070C0"/>
          </w:tcPr>
          <w:p w14:paraId="7F319A14" w14:textId="77777777" w:rsidR="006F4FA8" w:rsidRPr="006F4FA8" w:rsidRDefault="006F4FA8" w:rsidP="00670854">
            <w:pPr>
              <w:spacing w:after="0" w:line="240" w:lineRule="auto"/>
              <w:rPr>
                <w:rFonts w:ascii="Arial" w:eastAsia="Times New Roman" w:hAnsi="Arial" w:cs="Arial"/>
                <w:b/>
                <w:bCs/>
                <w:color w:val="FFFFFF" w:themeColor="background1"/>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0070C0"/>
          </w:tcPr>
          <w:p w14:paraId="2CF0EB7A" w14:textId="77777777" w:rsidR="006F4FA8" w:rsidRPr="006F4FA8" w:rsidRDefault="006F4FA8" w:rsidP="00670854">
            <w:pPr>
              <w:spacing w:after="0" w:line="240" w:lineRule="auto"/>
              <w:rPr>
                <w:rFonts w:ascii="Arial" w:eastAsia="Times New Roman" w:hAnsi="Arial" w:cs="Arial"/>
                <w:b/>
                <w:bCs/>
                <w:color w:val="FFFFFF" w:themeColor="background1"/>
                <w:sz w:val="16"/>
                <w:szCs w:val="16"/>
                <w:lang w:val="en-US"/>
              </w:rPr>
            </w:pPr>
          </w:p>
        </w:tc>
        <w:tc>
          <w:tcPr>
            <w:tcW w:w="0" w:type="auto"/>
            <w:tcBorders>
              <w:top w:val="nil"/>
              <w:left w:val="nil"/>
              <w:bottom w:val="single" w:sz="4" w:space="0" w:color="auto"/>
              <w:right w:val="single" w:sz="4" w:space="0" w:color="auto"/>
            </w:tcBorders>
            <w:shd w:val="clear" w:color="auto" w:fill="0070C0"/>
            <w:noWrap/>
          </w:tcPr>
          <w:p w14:paraId="318664B0"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val="en-US"/>
              </w:rPr>
            </w:pPr>
            <w:r w:rsidRPr="006F4FA8">
              <w:rPr>
                <w:rFonts w:ascii="Arial" w:hAnsi="Arial" w:cs="Arial"/>
                <w:b/>
                <w:bCs/>
                <w:color w:val="FFFFFF" w:themeColor="background1"/>
                <w:sz w:val="16"/>
                <w:szCs w:val="16"/>
              </w:rPr>
              <w:t># Operaciones</w:t>
            </w:r>
          </w:p>
        </w:tc>
        <w:tc>
          <w:tcPr>
            <w:tcW w:w="0" w:type="auto"/>
            <w:tcBorders>
              <w:top w:val="nil"/>
              <w:left w:val="nil"/>
              <w:bottom w:val="single" w:sz="4" w:space="0" w:color="auto"/>
              <w:right w:val="single" w:sz="4" w:space="0" w:color="auto"/>
            </w:tcBorders>
            <w:shd w:val="clear" w:color="auto" w:fill="0070C0"/>
            <w:noWrap/>
          </w:tcPr>
          <w:p w14:paraId="0BD184B7"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val="en-US"/>
              </w:rPr>
            </w:pPr>
            <w:r w:rsidRPr="006F4FA8">
              <w:rPr>
                <w:rFonts w:ascii="Arial" w:hAnsi="Arial" w:cs="Arial"/>
                <w:b/>
                <w:bCs/>
                <w:color w:val="FFFFFF" w:themeColor="background1"/>
                <w:sz w:val="16"/>
                <w:szCs w:val="16"/>
              </w:rPr>
              <w:t>Monto</w:t>
            </w:r>
          </w:p>
        </w:tc>
        <w:tc>
          <w:tcPr>
            <w:tcW w:w="0" w:type="auto"/>
            <w:tcBorders>
              <w:top w:val="nil"/>
              <w:left w:val="nil"/>
              <w:bottom w:val="single" w:sz="4" w:space="0" w:color="auto"/>
              <w:right w:val="single" w:sz="4" w:space="0" w:color="auto"/>
            </w:tcBorders>
            <w:shd w:val="clear" w:color="auto" w:fill="0070C0"/>
            <w:noWrap/>
          </w:tcPr>
          <w:p w14:paraId="7FDD0C9C"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val="en-US"/>
              </w:rPr>
            </w:pPr>
            <w:r w:rsidRPr="006F4FA8">
              <w:rPr>
                <w:rFonts w:ascii="Arial" w:hAnsi="Arial" w:cs="Arial"/>
                <w:b/>
                <w:bCs/>
                <w:color w:val="FFFFFF" w:themeColor="background1"/>
                <w:sz w:val="16"/>
                <w:szCs w:val="16"/>
              </w:rPr>
              <w:t># Operaciones</w:t>
            </w:r>
          </w:p>
        </w:tc>
        <w:tc>
          <w:tcPr>
            <w:tcW w:w="0" w:type="auto"/>
            <w:tcBorders>
              <w:top w:val="nil"/>
              <w:left w:val="nil"/>
              <w:bottom w:val="single" w:sz="4" w:space="0" w:color="auto"/>
              <w:right w:val="single" w:sz="4" w:space="0" w:color="auto"/>
            </w:tcBorders>
            <w:shd w:val="clear" w:color="auto" w:fill="0070C0"/>
            <w:noWrap/>
          </w:tcPr>
          <w:p w14:paraId="5E39BC59"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val="en-US"/>
              </w:rPr>
            </w:pPr>
            <w:r w:rsidRPr="006F4FA8">
              <w:rPr>
                <w:rFonts w:ascii="Arial" w:hAnsi="Arial" w:cs="Arial"/>
                <w:b/>
                <w:bCs/>
                <w:color w:val="FFFFFF" w:themeColor="background1"/>
                <w:sz w:val="16"/>
                <w:szCs w:val="16"/>
              </w:rPr>
              <w:t># Empresas</w:t>
            </w:r>
          </w:p>
        </w:tc>
        <w:tc>
          <w:tcPr>
            <w:tcW w:w="0" w:type="auto"/>
            <w:tcBorders>
              <w:top w:val="nil"/>
              <w:left w:val="nil"/>
              <w:bottom w:val="single" w:sz="4" w:space="0" w:color="auto"/>
              <w:right w:val="single" w:sz="4" w:space="0" w:color="auto"/>
            </w:tcBorders>
            <w:shd w:val="clear" w:color="auto" w:fill="0070C0"/>
            <w:noWrap/>
          </w:tcPr>
          <w:p w14:paraId="67FB8FF3"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val="en-US"/>
              </w:rPr>
            </w:pPr>
            <w:r w:rsidRPr="006F4FA8">
              <w:rPr>
                <w:rFonts w:ascii="Arial" w:hAnsi="Arial" w:cs="Arial"/>
                <w:b/>
                <w:bCs/>
                <w:color w:val="FFFFFF" w:themeColor="background1"/>
                <w:sz w:val="16"/>
                <w:szCs w:val="16"/>
              </w:rPr>
              <w:t>Monto</w:t>
            </w:r>
          </w:p>
        </w:tc>
        <w:tc>
          <w:tcPr>
            <w:tcW w:w="0" w:type="auto"/>
            <w:tcBorders>
              <w:left w:val="single" w:sz="4" w:space="0" w:color="auto"/>
              <w:bottom w:val="single" w:sz="4" w:space="0" w:color="auto"/>
              <w:right w:val="single" w:sz="4" w:space="0" w:color="auto"/>
            </w:tcBorders>
            <w:shd w:val="clear" w:color="auto" w:fill="0070C0"/>
          </w:tcPr>
          <w:p w14:paraId="38CE5384" w14:textId="77777777" w:rsidR="006F4FA8" w:rsidRPr="006F4FA8" w:rsidRDefault="006F4FA8" w:rsidP="00670854">
            <w:pPr>
              <w:spacing w:after="0" w:line="240" w:lineRule="auto"/>
              <w:rPr>
                <w:rFonts w:ascii="Arial" w:eastAsia="Times New Roman" w:hAnsi="Arial" w:cs="Arial"/>
                <w:b/>
                <w:bCs/>
                <w:color w:val="FFFFFF" w:themeColor="background1"/>
                <w:sz w:val="16"/>
                <w:szCs w:val="16"/>
                <w:lang w:val="en-US"/>
              </w:rPr>
            </w:pPr>
          </w:p>
        </w:tc>
      </w:tr>
      <w:tr w:rsidR="006F4FA8" w:rsidRPr="006F4FA8" w14:paraId="1C5E2579" w14:textId="77777777" w:rsidTr="006F4FA8">
        <w:trPr>
          <w:trHeight w:val="20"/>
        </w:trPr>
        <w:tc>
          <w:tcPr>
            <w:tcW w:w="0" w:type="auto"/>
            <w:tcBorders>
              <w:top w:val="nil"/>
              <w:left w:val="single" w:sz="4" w:space="0" w:color="auto"/>
              <w:bottom w:val="single" w:sz="4" w:space="0" w:color="auto"/>
              <w:right w:val="single" w:sz="4" w:space="0" w:color="auto"/>
            </w:tcBorders>
            <w:shd w:val="clear" w:color="000000" w:fill="FFFFFF"/>
            <w:noWrap/>
          </w:tcPr>
          <w:p w14:paraId="260FBDFE" w14:textId="77777777" w:rsidR="006F4FA8" w:rsidRPr="006F4FA8" w:rsidRDefault="006F4FA8" w:rsidP="00670854">
            <w:pPr>
              <w:spacing w:after="0" w:line="240" w:lineRule="auto"/>
              <w:rPr>
                <w:rFonts w:ascii="Arial" w:eastAsia="Times New Roman" w:hAnsi="Arial" w:cs="Arial"/>
                <w:color w:val="000000"/>
                <w:sz w:val="16"/>
                <w:szCs w:val="16"/>
                <w:lang w:val="en-US"/>
              </w:rPr>
            </w:pPr>
            <w:r w:rsidRPr="006F4FA8">
              <w:rPr>
                <w:rFonts w:ascii="Arial" w:hAnsi="Arial" w:cs="Arial"/>
                <w:sz w:val="16"/>
                <w:szCs w:val="16"/>
              </w:rPr>
              <w:t xml:space="preserve"> MIPYME </w:t>
            </w:r>
          </w:p>
        </w:tc>
        <w:tc>
          <w:tcPr>
            <w:tcW w:w="0" w:type="auto"/>
            <w:tcBorders>
              <w:top w:val="nil"/>
              <w:left w:val="nil"/>
              <w:bottom w:val="single" w:sz="4" w:space="0" w:color="auto"/>
              <w:right w:val="single" w:sz="4" w:space="0" w:color="auto"/>
            </w:tcBorders>
            <w:shd w:val="clear" w:color="000000" w:fill="FFFFFF"/>
            <w:noWrap/>
          </w:tcPr>
          <w:p w14:paraId="44F87C09"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$ 175,000 </w:t>
            </w:r>
          </w:p>
        </w:tc>
        <w:tc>
          <w:tcPr>
            <w:tcW w:w="0" w:type="auto"/>
            <w:tcBorders>
              <w:top w:val="nil"/>
              <w:left w:val="nil"/>
              <w:bottom w:val="single" w:sz="4" w:space="0" w:color="auto"/>
              <w:right w:val="single" w:sz="4" w:space="0" w:color="auto"/>
            </w:tcBorders>
            <w:shd w:val="clear" w:color="000000" w:fill="FFFFFF"/>
            <w:noWrap/>
          </w:tcPr>
          <w:p w14:paraId="0BBB390B"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66 </w:t>
            </w:r>
          </w:p>
        </w:tc>
        <w:tc>
          <w:tcPr>
            <w:tcW w:w="0" w:type="auto"/>
            <w:tcBorders>
              <w:top w:val="nil"/>
              <w:left w:val="nil"/>
              <w:bottom w:val="single" w:sz="4" w:space="0" w:color="auto"/>
              <w:right w:val="single" w:sz="4" w:space="0" w:color="auto"/>
            </w:tcBorders>
            <w:shd w:val="clear" w:color="000000" w:fill="FFFFFF"/>
            <w:noWrap/>
          </w:tcPr>
          <w:p w14:paraId="28881152"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$ 11,350 </w:t>
            </w:r>
          </w:p>
        </w:tc>
        <w:tc>
          <w:tcPr>
            <w:tcW w:w="0" w:type="auto"/>
            <w:tcBorders>
              <w:top w:val="nil"/>
              <w:left w:val="nil"/>
              <w:bottom w:val="single" w:sz="4" w:space="0" w:color="auto"/>
              <w:right w:val="single" w:sz="4" w:space="0" w:color="auto"/>
            </w:tcBorders>
            <w:shd w:val="clear" w:color="000000" w:fill="FFFFFF"/>
            <w:noWrap/>
          </w:tcPr>
          <w:p w14:paraId="070D44B8"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371 </w:t>
            </w:r>
          </w:p>
        </w:tc>
        <w:tc>
          <w:tcPr>
            <w:tcW w:w="0" w:type="auto"/>
            <w:tcBorders>
              <w:top w:val="nil"/>
              <w:left w:val="nil"/>
              <w:bottom w:val="single" w:sz="4" w:space="0" w:color="auto"/>
              <w:right w:val="single" w:sz="4" w:space="0" w:color="auto"/>
            </w:tcBorders>
            <w:shd w:val="clear" w:color="000000" w:fill="FFFFFF"/>
            <w:noWrap/>
          </w:tcPr>
          <w:p w14:paraId="2311F6BA"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321 </w:t>
            </w:r>
          </w:p>
        </w:tc>
        <w:tc>
          <w:tcPr>
            <w:tcW w:w="0" w:type="auto"/>
            <w:tcBorders>
              <w:top w:val="nil"/>
              <w:left w:val="nil"/>
              <w:bottom w:val="single" w:sz="4" w:space="0" w:color="auto"/>
              <w:right w:val="single" w:sz="4" w:space="0" w:color="auto"/>
            </w:tcBorders>
            <w:shd w:val="clear" w:color="000000" w:fill="FFFFFF"/>
            <w:noWrap/>
          </w:tcPr>
          <w:p w14:paraId="0332F3AC"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$ 142,516 </w:t>
            </w:r>
          </w:p>
        </w:tc>
        <w:tc>
          <w:tcPr>
            <w:tcW w:w="0" w:type="auto"/>
            <w:tcBorders>
              <w:top w:val="nil"/>
              <w:left w:val="nil"/>
              <w:bottom w:val="single" w:sz="4" w:space="0" w:color="auto"/>
              <w:right w:val="single" w:sz="4" w:space="0" w:color="auto"/>
            </w:tcBorders>
            <w:shd w:val="clear" w:color="000000" w:fill="FFFFFF"/>
            <w:noWrap/>
          </w:tcPr>
          <w:p w14:paraId="54BAC681"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$ 21,134 </w:t>
            </w:r>
          </w:p>
        </w:tc>
      </w:tr>
      <w:tr w:rsidR="006F4FA8" w:rsidRPr="006F4FA8" w14:paraId="4F944A6B" w14:textId="77777777" w:rsidTr="006F4FA8">
        <w:trPr>
          <w:trHeight w:val="20"/>
        </w:trPr>
        <w:tc>
          <w:tcPr>
            <w:tcW w:w="0" w:type="auto"/>
            <w:tcBorders>
              <w:top w:val="nil"/>
              <w:left w:val="single" w:sz="4" w:space="0" w:color="auto"/>
              <w:bottom w:val="single" w:sz="4" w:space="0" w:color="auto"/>
              <w:right w:val="single" w:sz="4" w:space="0" w:color="auto"/>
            </w:tcBorders>
            <w:shd w:val="clear" w:color="000000" w:fill="FFFFFF"/>
            <w:noWrap/>
          </w:tcPr>
          <w:p w14:paraId="62D05EEF" w14:textId="77777777" w:rsidR="006F4FA8" w:rsidRPr="006F4FA8" w:rsidRDefault="006F4FA8" w:rsidP="00670854">
            <w:pPr>
              <w:spacing w:after="0" w:line="240" w:lineRule="auto"/>
              <w:rPr>
                <w:rFonts w:ascii="Arial" w:eastAsia="Times New Roman" w:hAnsi="Arial" w:cs="Arial"/>
                <w:color w:val="000000"/>
                <w:sz w:val="16"/>
                <w:szCs w:val="16"/>
                <w:lang w:val="en-US"/>
              </w:rPr>
            </w:pPr>
            <w:r w:rsidRPr="006F4FA8">
              <w:rPr>
                <w:rFonts w:ascii="Arial" w:hAnsi="Arial" w:cs="Arial"/>
                <w:sz w:val="16"/>
                <w:szCs w:val="16"/>
              </w:rPr>
              <w:t xml:space="preserve"> Gran Empresa </w:t>
            </w:r>
          </w:p>
        </w:tc>
        <w:tc>
          <w:tcPr>
            <w:tcW w:w="0" w:type="auto"/>
            <w:tcBorders>
              <w:top w:val="nil"/>
              <w:left w:val="nil"/>
              <w:bottom w:val="single" w:sz="4" w:space="0" w:color="auto"/>
              <w:right w:val="single" w:sz="4" w:space="0" w:color="auto"/>
            </w:tcBorders>
            <w:shd w:val="clear" w:color="000000" w:fill="FFFFFF"/>
            <w:noWrap/>
          </w:tcPr>
          <w:p w14:paraId="6ED6D7B4"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$ 75,000 </w:t>
            </w:r>
          </w:p>
        </w:tc>
        <w:tc>
          <w:tcPr>
            <w:tcW w:w="0" w:type="auto"/>
            <w:tcBorders>
              <w:top w:val="nil"/>
              <w:left w:val="nil"/>
              <w:bottom w:val="single" w:sz="4" w:space="0" w:color="auto"/>
              <w:right w:val="single" w:sz="4" w:space="0" w:color="auto"/>
            </w:tcBorders>
            <w:shd w:val="clear" w:color="000000" w:fill="FFFFFF"/>
            <w:noWrap/>
          </w:tcPr>
          <w:p w14:paraId="431E0F46"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w:t>
            </w:r>
          </w:p>
        </w:tc>
        <w:tc>
          <w:tcPr>
            <w:tcW w:w="0" w:type="auto"/>
            <w:tcBorders>
              <w:top w:val="nil"/>
              <w:left w:val="nil"/>
              <w:bottom w:val="single" w:sz="4" w:space="0" w:color="auto"/>
              <w:right w:val="single" w:sz="4" w:space="0" w:color="auto"/>
            </w:tcBorders>
            <w:shd w:val="clear" w:color="000000" w:fill="FFFFFF"/>
            <w:noWrap/>
          </w:tcPr>
          <w:p w14:paraId="733CC612"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   </w:t>
            </w:r>
          </w:p>
        </w:tc>
        <w:tc>
          <w:tcPr>
            <w:tcW w:w="0" w:type="auto"/>
            <w:tcBorders>
              <w:top w:val="nil"/>
              <w:left w:val="nil"/>
              <w:bottom w:val="single" w:sz="4" w:space="0" w:color="auto"/>
              <w:right w:val="single" w:sz="4" w:space="0" w:color="auto"/>
            </w:tcBorders>
            <w:shd w:val="clear" w:color="000000" w:fill="FFFFFF"/>
            <w:noWrap/>
          </w:tcPr>
          <w:p w14:paraId="7D8791FA"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23 </w:t>
            </w:r>
          </w:p>
        </w:tc>
        <w:tc>
          <w:tcPr>
            <w:tcW w:w="0" w:type="auto"/>
            <w:tcBorders>
              <w:top w:val="nil"/>
              <w:left w:val="nil"/>
              <w:bottom w:val="single" w:sz="4" w:space="0" w:color="auto"/>
              <w:right w:val="single" w:sz="4" w:space="0" w:color="auto"/>
            </w:tcBorders>
            <w:shd w:val="clear" w:color="000000" w:fill="FFFFFF"/>
            <w:noWrap/>
          </w:tcPr>
          <w:p w14:paraId="54F82452"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22 </w:t>
            </w:r>
          </w:p>
        </w:tc>
        <w:tc>
          <w:tcPr>
            <w:tcW w:w="0" w:type="auto"/>
            <w:tcBorders>
              <w:top w:val="nil"/>
              <w:left w:val="nil"/>
              <w:bottom w:val="single" w:sz="4" w:space="0" w:color="auto"/>
              <w:right w:val="single" w:sz="4" w:space="0" w:color="auto"/>
            </w:tcBorders>
            <w:shd w:val="clear" w:color="000000" w:fill="FFFFFF"/>
            <w:noWrap/>
          </w:tcPr>
          <w:p w14:paraId="4E964B69"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$ 72,084 </w:t>
            </w:r>
          </w:p>
        </w:tc>
        <w:tc>
          <w:tcPr>
            <w:tcW w:w="0" w:type="auto"/>
            <w:tcBorders>
              <w:top w:val="nil"/>
              <w:left w:val="nil"/>
              <w:bottom w:val="single" w:sz="4" w:space="0" w:color="auto"/>
              <w:right w:val="single" w:sz="4" w:space="0" w:color="auto"/>
            </w:tcBorders>
            <w:shd w:val="clear" w:color="000000" w:fill="FFFFFF"/>
            <w:noWrap/>
          </w:tcPr>
          <w:p w14:paraId="76D7CB04"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$ 2,916 </w:t>
            </w:r>
          </w:p>
        </w:tc>
      </w:tr>
      <w:tr w:rsidR="006F4FA8" w:rsidRPr="006F4FA8" w14:paraId="170AC516" w14:textId="77777777" w:rsidTr="006F4FA8">
        <w:trPr>
          <w:trHeight w:val="20"/>
        </w:trPr>
        <w:tc>
          <w:tcPr>
            <w:tcW w:w="0" w:type="auto"/>
            <w:tcBorders>
              <w:top w:val="nil"/>
              <w:left w:val="single" w:sz="4" w:space="0" w:color="auto"/>
              <w:bottom w:val="single" w:sz="4" w:space="0" w:color="auto"/>
              <w:right w:val="single" w:sz="4" w:space="0" w:color="auto"/>
            </w:tcBorders>
            <w:shd w:val="clear" w:color="auto" w:fill="auto"/>
          </w:tcPr>
          <w:p w14:paraId="06F7CF5B" w14:textId="77777777" w:rsidR="006F4FA8" w:rsidRPr="006F4FA8" w:rsidRDefault="006F4FA8" w:rsidP="00670854">
            <w:pPr>
              <w:spacing w:after="0" w:line="240" w:lineRule="auto"/>
              <w:rPr>
                <w:rFonts w:ascii="Arial" w:eastAsia="Times New Roman" w:hAnsi="Arial" w:cs="Arial"/>
                <w:b/>
                <w:bCs/>
                <w:i/>
                <w:iCs/>
                <w:color w:val="0070C0"/>
                <w:sz w:val="16"/>
                <w:szCs w:val="16"/>
              </w:rPr>
            </w:pPr>
            <w:r w:rsidRPr="006F4FA8">
              <w:rPr>
                <w:rFonts w:ascii="Arial" w:hAnsi="Arial" w:cs="Arial"/>
                <w:sz w:val="16"/>
                <w:szCs w:val="16"/>
              </w:rPr>
              <w:t xml:space="preserve"> Colombia Responde - Turismo y Aviación- </w:t>
            </w:r>
          </w:p>
        </w:tc>
        <w:tc>
          <w:tcPr>
            <w:tcW w:w="0" w:type="auto"/>
            <w:tcBorders>
              <w:top w:val="nil"/>
              <w:left w:val="nil"/>
              <w:bottom w:val="single" w:sz="4" w:space="0" w:color="auto"/>
              <w:right w:val="single" w:sz="4" w:space="0" w:color="auto"/>
            </w:tcBorders>
            <w:shd w:val="clear" w:color="auto" w:fill="auto"/>
            <w:noWrap/>
          </w:tcPr>
          <w:p w14:paraId="6BDA796C"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$ 250,000 </w:t>
            </w:r>
          </w:p>
        </w:tc>
        <w:tc>
          <w:tcPr>
            <w:tcW w:w="0" w:type="auto"/>
            <w:tcBorders>
              <w:top w:val="nil"/>
              <w:left w:val="nil"/>
              <w:bottom w:val="single" w:sz="4" w:space="0" w:color="auto"/>
              <w:right w:val="single" w:sz="4" w:space="0" w:color="auto"/>
            </w:tcBorders>
            <w:shd w:val="clear" w:color="auto" w:fill="auto"/>
            <w:noWrap/>
          </w:tcPr>
          <w:p w14:paraId="37711A3F"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66 </w:t>
            </w:r>
          </w:p>
        </w:tc>
        <w:tc>
          <w:tcPr>
            <w:tcW w:w="0" w:type="auto"/>
            <w:tcBorders>
              <w:top w:val="nil"/>
              <w:left w:val="nil"/>
              <w:bottom w:val="single" w:sz="4" w:space="0" w:color="auto"/>
              <w:right w:val="single" w:sz="4" w:space="0" w:color="auto"/>
            </w:tcBorders>
            <w:shd w:val="clear" w:color="auto" w:fill="auto"/>
            <w:noWrap/>
          </w:tcPr>
          <w:p w14:paraId="0908C007"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$ 11,350 </w:t>
            </w:r>
          </w:p>
        </w:tc>
        <w:tc>
          <w:tcPr>
            <w:tcW w:w="0" w:type="auto"/>
            <w:tcBorders>
              <w:top w:val="nil"/>
              <w:left w:val="nil"/>
              <w:bottom w:val="single" w:sz="4" w:space="0" w:color="auto"/>
              <w:right w:val="single" w:sz="4" w:space="0" w:color="auto"/>
            </w:tcBorders>
            <w:shd w:val="clear" w:color="auto" w:fill="auto"/>
            <w:noWrap/>
          </w:tcPr>
          <w:p w14:paraId="2FBB778E"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394 </w:t>
            </w:r>
          </w:p>
        </w:tc>
        <w:tc>
          <w:tcPr>
            <w:tcW w:w="0" w:type="auto"/>
            <w:tcBorders>
              <w:top w:val="nil"/>
              <w:left w:val="nil"/>
              <w:bottom w:val="single" w:sz="4" w:space="0" w:color="auto"/>
              <w:right w:val="single" w:sz="4" w:space="0" w:color="auto"/>
            </w:tcBorders>
            <w:shd w:val="clear" w:color="auto" w:fill="auto"/>
            <w:noWrap/>
          </w:tcPr>
          <w:p w14:paraId="45E6401A"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343 </w:t>
            </w:r>
          </w:p>
        </w:tc>
        <w:tc>
          <w:tcPr>
            <w:tcW w:w="0" w:type="auto"/>
            <w:tcBorders>
              <w:top w:val="nil"/>
              <w:left w:val="nil"/>
              <w:bottom w:val="single" w:sz="4" w:space="0" w:color="auto"/>
              <w:right w:val="single" w:sz="4" w:space="0" w:color="auto"/>
            </w:tcBorders>
            <w:shd w:val="clear" w:color="auto" w:fill="auto"/>
            <w:noWrap/>
          </w:tcPr>
          <w:p w14:paraId="2D360428"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$ 214,600 </w:t>
            </w:r>
          </w:p>
        </w:tc>
        <w:tc>
          <w:tcPr>
            <w:tcW w:w="0" w:type="auto"/>
            <w:tcBorders>
              <w:top w:val="nil"/>
              <w:left w:val="nil"/>
              <w:bottom w:val="single" w:sz="4" w:space="0" w:color="auto"/>
              <w:right w:val="single" w:sz="4" w:space="0" w:color="auto"/>
            </w:tcBorders>
            <w:shd w:val="clear" w:color="auto" w:fill="auto"/>
            <w:noWrap/>
          </w:tcPr>
          <w:p w14:paraId="0C4A3CCA"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$ 24,050 </w:t>
            </w:r>
          </w:p>
        </w:tc>
      </w:tr>
      <w:tr w:rsidR="006F4FA8" w:rsidRPr="006F4FA8" w14:paraId="13BB75F6" w14:textId="77777777" w:rsidTr="006F4FA8">
        <w:trPr>
          <w:trHeight w:val="20"/>
        </w:trPr>
        <w:tc>
          <w:tcPr>
            <w:tcW w:w="0" w:type="auto"/>
            <w:tcBorders>
              <w:top w:val="nil"/>
              <w:left w:val="single" w:sz="4" w:space="0" w:color="auto"/>
              <w:bottom w:val="single" w:sz="4" w:space="0" w:color="auto"/>
              <w:right w:val="single" w:sz="4" w:space="0" w:color="auto"/>
            </w:tcBorders>
            <w:shd w:val="clear" w:color="000000" w:fill="FFFFFF"/>
            <w:noWrap/>
          </w:tcPr>
          <w:p w14:paraId="13379D35" w14:textId="77777777" w:rsidR="006F4FA8" w:rsidRPr="006F4FA8" w:rsidRDefault="006F4FA8" w:rsidP="00670854">
            <w:pPr>
              <w:spacing w:after="0" w:line="240" w:lineRule="auto"/>
              <w:rPr>
                <w:rFonts w:ascii="Arial" w:eastAsia="Times New Roman" w:hAnsi="Arial" w:cs="Arial"/>
                <w:color w:val="000000"/>
                <w:sz w:val="16"/>
                <w:szCs w:val="16"/>
                <w:lang w:val="en-US"/>
              </w:rPr>
            </w:pPr>
            <w:r w:rsidRPr="006F4FA8">
              <w:rPr>
                <w:rFonts w:ascii="Arial" w:hAnsi="Arial" w:cs="Arial"/>
                <w:sz w:val="16"/>
                <w:szCs w:val="16"/>
              </w:rPr>
              <w:t xml:space="preserve"> Micro </w:t>
            </w:r>
          </w:p>
        </w:tc>
        <w:tc>
          <w:tcPr>
            <w:tcW w:w="0" w:type="auto"/>
            <w:tcBorders>
              <w:top w:val="nil"/>
              <w:left w:val="nil"/>
              <w:bottom w:val="single" w:sz="4" w:space="0" w:color="auto"/>
              <w:right w:val="single" w:sz="4" w:space="0" w:color="auto"/>
            </w:tcBorders>
            <w:shd w:val="clear" w:color="000000" w:fill="FFFFFF"/>
            <w:noWrap/>
          </w:tcPr>
          <w:p w14:paraId="5796C747"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$ 100,000 </w:t>
            </w:r>
          </w:p>
        </w:tc>
        <w:tc>
          <w:tcPr>
            <w:tcW w:w="0" w:type="auto"/>
            <w:tcBorders>
              <w:top w:val="nil"/>
              <w:left w:val="nil"/>
              <w:bottom w:val="single" w:sz="4" w:space="0" w:color="auto"/>
              <w:right w:val="single" w:sz="4" w:space="0" w:color="auto"/>
            </w:tcBorders>
            <w:shd w:val="clear" w:color="000000" w:fill="FFFFFF"/>
            <w:noWrap/>
          </w:tcPr>
          <w:p w14:paraId="4E67E481"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567 </w:t>
            </w:r>
          </w:p>
        </w:tc>
        <w:tc>
          <w:tcPr>
            <w:tcW w:w="0" w:type="auto"/>
            <w:tcBorders>
              <w:top w:val="nil"/>
              <w:left w:val="nil"/>
              <w:bottom w:val="single" w:sz="4" w:space="0" w:color="auto"/>
              <w:right w:val="single" w:sz="4" w:space="0" w:color="auto"/>
            </w:tcBorders>
            <w:shd w:val="clear" w:color="000000" w:fill="FFFFFF"/>
            <w:noWrap/>
          </w:tcPr>
          <w:p w14:paraId="02B6106B"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$ 26,460 </w:t>
            </w:r>
          </w:p>
        </w:tc>
        <w:tc>
          <w:tcPr>
            <w:tcW w:w="0" w:type="auto"/>
            <w:tcBorders>
              <w:top w:val="nil"/>
              <w:left w:val="nil"/>
              <w:bottom w:val="single" w:sz="4" w:space="0" w:color="auto"/>
              <w:right w:val="single" w:sz="4" w:space="0" w:color="auto"/>
            </w:tcBorders>
            <w:shd w:val="clear" w:color="000000" w:fill="FFFFFF"/>
            <w:noWrap/>
          </w:tcPr>
          <w:p w14:paraId="1DA08D66"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1,283 </w:t>
            </w:r>
          </w:p>
        </w:tc>
        <w:tc>
          <w:tcPr>
            <w:tcW w:w="0" w:type="auto"/>
            <w:tcBorders>
              <w:top w:val="nil"/>
              <w:left w:val="nil"/>
              <w:bottom w:val="single" w:sz="4" w:space="0" w:color="auto"/>
              <w:right w:val="single" w:sz="4" w:space="0" w:color="auto"/>
            </w:tcBorders>
            <w:shd w:val="clear" w:color="000000" w:fill="FFFFFF"/>
            <w:noWrap/>
          </w:tcPr>
          <w:p w14:paraId="335D4232"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1,280 </w:t>
            </w:r>
          </w:p>
        </w:tc>
        <w:tc>
          <w:tcPr>
            <w:tcW w:w="0" w:type="auto"/>
            <w:tcBorders>
              <w:top w:val="nil"/>
              <w:left w:val="nil"/>
              <w:bottom w:val="single" w:sz="4" w:space="0" w:color="auto"/>
              <w:right w:val="single" w:sz="4" w:space="0" w:color="auto"/>
            </w:tcBorders>
            <w:shd w:val="clear" w:color="000000" w:fill="FFFFFF"/>
            <w:noWrap/>
          </w:tcPr>
          <w:p w14:paraId="1BC1553A"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$ 70,673 </w:t>
            </w:r>
          </w:p>
        </w:tc>
        <w:tc>
          <w:tcPr>
            <w:tcW w:w="0" w:type="auto"/>
            <w:tcBorders>
              <w:top w:val="nil"/>
              <w:left w:val="nil"/>
              <w:bottom w:val="single" w:sz="4" w:space="0" w:color="auto"/>
              <w:right w:val="single" w:sz="4" w:space="0" w:color="auto"/>
            </w:tcBorders>
            <w:shd w:val="clear" w:color="000000" w:fill="FFFFFF"/>
            <w:noWrap/>
          </w:tcPr>
          <w:p w14:paraId="62EF5C79"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$ 2,867 </w:t>
            </w:r>
          </w:p>
        </w:tc>
      </w:tr>
      <w:tr w:rsidR="006F4FA8" w:rsidRPr="006F4FA8" w14:paraId="4A4B1923" w14:textId="77777777" w:rsidTr="006F4FA8">
        <w:trPr>
          <w:trHeight w:val="20"/>
        </w:trPr>
        <w:tc>
          <w:tcPr>
            <w:tcW w:w="0" w:type="auto"/>
            <w:tcBorders>
              <w:top w:val="nil"/>
              <w:left w:val="single" w:sz="4" w:space="0" w:color="auto"/>
              <w:bottom w:val="single" w:sz="4" w:space="0" w:color="auto"/>
              <w:right w:val="single" w:sz="4" w:space="0" w:color="auto"/>
            </w:tcBorders>
            <w:shd w:val="clear" w:color="000000" w:fill="FFFFFF"/>
            <w:noWrap/>
          </w:tcPr>
          <w:p w14:paraId="19A91657" w14:textId="77777777" w:rsidR="006F4FA8" w:rsidRPr="006F4FA8" w:rsidRDefault="006F4FA8" w:rsidP="00670854">
            <w:pPr>
              <w:spacing w:after="0" w:line="240" w:lineRule="auto"/>
              <w:rPr>
                <w:rFonts w:ascii="Arial" w:eastAsia="Times New Roman" w:hAnsi="Arial" w:cs="Arial"/>
                <w:color w:val="000000"/>
                <w:sz w:val="16"/>
                <w:szCs w:val="16"/>
                <w:lang w:val="en-US"/>
              </w:rPr>
            </w:pPr>
            <w:r w:rsidRPr="006F4FA8">
              <w:rPr>
                <w:rFonts w:ascii="Arial" w:hAnsi="Arial" w:cs="Arial"/>
                <w:sz w:val="16"/>
                <w:szCs w:val="16"/>
              </w:rPr>
              <w:t xml:space="preserve"> PYME </w:t>
            </w:r>
          </w:p>
        </w:tc>
        <w:tc>
          <w:tcPr>
            <w:tcW w:w="0" w:type="auto"/>
            <w:tcBorders>
              <w:top w:val="nil"/>
              <w:left w:val="nil"/>
              <w:bottom w:val="single" w:sz="4" w:space="0" w:color="auto"/>
              <w:right w:val="single" w:sz="4" w:space="0" w:color="auto"/>
            </w:tcBorders>
            <w:shd w:val="clear" w:color="000000" w:fill="FFFFFF"/>
            <w:noWrap/>
          </w:tcPr>
          <w:p w14:paraId="06CAD563"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$ 175,000 </w:t>
            </w:r>
          </w:p>
        </w:tc>
        <w:tc>
          <w:tcPr>
            <w:tcW w:w="0" w:type="auto"/>
            <w:tcBorders>
              <w:top w:val="nil"/>
              <w:left w:val="nil"/>
              <w:bottom w:val="single" w:sz="4" w:space="0" w:color="auto"/>
              <w:right w:val="single" w:sz="4" w:space="0" w:color="auto"/>
            </w:tcBorders>
            <w:shd w:val="clear" w:color="000000" w:fill="FFFFFF"/>
            <w:noWrap/>
          </w:tcPr>
          <w:p w14:paraId="2E68D8E9"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21 </w:t>
            </w:r>
          </w:p>
        </w:tc>
        <w:tc>
          <w:tcPr>
            <w:tcW w:w="0" w:type="auto"/>
            <w:tcBorders>
              <w:top w:val="nil"/>
              <w:left w:val="nil"/>
              <w:bottom w:val="single" w:sz="4" w:space="0" w:color="auto"/>
              <w:right w:val="single" w:sz="4" w:space="0" w:color="auto"/>
            </w:tcBorders>
            <w:shd w:val="clear" w:color="000000" w:fill="FFFFFF"/>
            <w:noWrap/>
          </w:tcPr>
          <w:p w14:paraId="075620FD"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$ 6,211 </w:t>
            </w:r>
          </w:p>
        </w:tc>
        <w:tc>
          <w:tcPr>
            <w:tcW w:w="0" w:type="auto"/>
            <w:tcBorders>
              <w:top w:val="nil"/>
              <w:left w:val="nil"/>
              <w:bottom w:val="single" w:sz="4" w:space="0" w:color="auto"/>
              <w:right w:val="single" w:sz="4" w:space="0" w:color="auto"/>
            </w:tcBorders>
            <w:shd w:val="clear" w:color="000000" w:fill="FFFFFF"/>
            <w:noWrap/>
          </w:tcPr>
          <w:p w14:paraId="0E3C422F"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331 </w:t>
            </w:r>
          </w:p>
        </w:tc>
        <w:tc>
          <w:tcPr>
            <w:tcW w:w="0" w:type="auto"/>
            <w:tcBorders>
              <w:top w:val="nil"/>
              <w:left w:val="nil"/>
              <w:bottom w:val="single" w:sz="4" w:space="0" w:color="auto"/>
              <w:right w:val="single" w:sz="4" w:space="0" w:color="auto"/>
            </w:tcBorders>
            <w:shd w:val="clear" w:color="000000" w:fill="FFFFFF"/>
            <w:noWrap/>
          </w:tcPr>
          <w:p w14:paraId="38C3C85C"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323 </w:t>
            </w:r>
          </w:p>
        </w:tc>
        <w:tc>
          <w:tcPr>
            <w:tcW w:w="0" w:type="auto"/>
            <w:tcBorders>
              <w:top w:val="nil"/>
              <w:left w:val="nil"/>
              <w:bottom w:val="single" w:sz="4" w:space="0" w:color="auto"/>
              <w:right w:val="single" w:sz="4" w:space="0" w:color="auto"/>
            </w:tcBorders>
            <w:shd w:val="clear" w:color="000000" w:fill="FFFFFF"/>
            <w:noWrap/>
          </w:tcPr>
          <w:p w14:paraId="49EA4F9B"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$ 159,852 </w:t>
            </w:r>
          </w:p>
        </w:tc>
        <w:tc>
          <w:tcPr>
            <w:tcW w:w="0" w:type="auto"/>
            <w:tcBorders>
              <w:top w:val="nil"/>
              <w:left w:val="nil"/>
              <w:bottom w:val="single" w:sz="4" w:space="0" w:color="auto"/>
              <w:right w:val="single" w:sz="4" w:space="0" w:color="auto"/>
            </w:tcBorders>
            <w:shd w:val="clear" w:color="000000" w:fill="FFFFFF"/>
            <w:noWrap/>
          </w:tcPr>
          <w:p w14:paraId="3CFCD383"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$ 8,937 </w:t>
            </w:r>
          </w:p>
        </w:tc>
      </w:tr>
      <w:tr w:rsidR="006F4FA8" w:rsidRPr="006F4FA8" w14:paraId="04A340CF" w14:textId="77777777" w:rsidTr="006F4FA8">
        <w:trPr>
          <w:trHeight w:val="20"/>
        </w:trPr>
        <w:tc>
          <w:tcPr>
            <w:tcW w:w="0" w:type="auto"/>
            <w:tcBorders>
              <w:top w:val="nil"/>
              <w:left w:val="single" w:sz="4" w:space="0" w:color="auto"/>
              <w:bottom w:val="single" w:sz="4" w:space="0" w:color="auto"/>
              <w:right w:val="single" w:sz="4" w:space="0" w:color="auto"/>
            </w:tcBorders>
            <w:shd w:val="clear" w:color="000000" w:fill="FFFFFF"/>
            <w:noWrap/>
          </w:tcPr>
          <w:p w14:paraId="3E1037AB" w14:textId="77777777" w:rsidR="006F4FA8" w:rsidRPr="006F4FA8" w:rsidRDefault="006F4FA8" w:rsidP="00670854">
            <w:pPr>
              <w:spacing w:after="0" w:line="240" w:lineRule="auto"/>
              <w:rPr>
                <w:rFonts w:ascii="Arial" w:eastAsia="Times New Roman" w:hAnsi="Arial" w:cs="Arial"/>
                <w:color w:val="000000"/>
                <w:sz w:val="16"/>
                <w:szCs w:val="16"/>
                <w:lang w:val="en-US"/>
              </w:rPr>
            </w:pPr>
            <w:r w:rsidRPr="006F4FA8">
              <w:rPr>
                <w:rFonts w:ascii="Arial" w:hAnsi="Arial" w:cs="Arial"/>
                <w:sz w:val="16"/>
                <w:szCs w:val="16"/>
              </w:rPr>
              <w:t xml:space="preserve"> Gran Empresa </w:t>
            </w:r>
          </w:p>
        </w:tc>
        <w:tc>
          <w:tcPr>
            <w:tcW w:w="0" w:type="auto"/>
            <w:tcBorders>
              <w:top w:val="nil"/>
              <w:left w:val="nil"/>
              <w:bottom w:val="single" w:sz="4" w:space="0" w:color="auto"/>
              <w:right w:val="single" w:sz="4" w:space="0" w:color="auto"/>
            </w:tcBorders>
            <w:shd w:val="clear" w:color="000000" w:fill="FFFFFF"/>
            <w:noWrap/>
          </w:tcPr>
          <w:p w14:paraId="0F3480CD"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$ 75,000 </w:t>
            </w:r>
          </w:p>
        </w:tc>
        <w:tc>
          <w:tcPr>
            <w:tcW w:w="0" w:type="auto"/>
            <w:tcBorders>
              <w:top w:val="nil"/>
              <w:left w:val="nil"/>
              <w:bottom w:val="single" w:sz="4" w:space="0" w:color="auto"/>
              <w:right w:val="single" w:sz="4" w:space="0" w:color="auto"/>
            </w:tcBorders>
            <w:shd w:val="clear" w:color="000000" w:fill="FFFFFF"/>
            <w:noWrap/>
          </w:tcPr>
          <w:p w14:paraId="6C3DFE9A"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w:t>
            </w:r>
          </w:p>
        </w:tc>
        <w:tc>
          <w:tcPr>
            <w:tcW w:w="0" w:type="auto"/>
            <w:tcBorders>
              <w:top w:val="nil"/>
              <w:left w:val="nil"/>
              <w:bottom w:val="single" w:sz="4" w:space="0" w:color="auto"/>
              <w:right w:val="single" w:sz="4" w:space="0" w:color="auto"/>
            </w:tcBorders>
            <w:shd w:val="clear" w:color="000000" w:fill="FFFFFF"/>
            <w:noWrap/>
          </w:tcPr>
          <w:p w14:paraId="215D5AC0"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   </w:t>
            </w:r>
          </w:p>
        </w:tc>
        <w:tc>
          <w:tcPr>
            <w:tcW w:w="0" w:type="auto"/>
            <w:tcBorders>
              <w:top w:val="nil"/>
              <w:left w:val="nil"/>
              <w:bottom w:val="single" w:sz="4" w:space="0" w:color="auto"/>
              <w:right w:val="single" w:sz="4" w:space="0" w:color="auto"/>
            </w:tcBorders>
            <w:shd w:val="clear" w:color="000000" w:fill="FFFFFF"/>
            <w:noWrap/>
          </w:tcPr>
          <w:p w14:paraId="156F3485"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24 </w:t>
            </w:r>
          </w:p>
        </w:tc>
        <w:tc>
          <w:tcPr>
            <w:tcW w:w="0" w:type="auto"/>
            <w:tcBorders>
              <w:top w:val="nil"/>
              <w:left w:val="nil"/>
              <w:bottom w:val="single" w:sz="4" w:space="0" w:color="auto"/>
              <w:right w:val="single" w:sz="4" w:space="0" w:color="auto"/>
            </w:tcBorders>
            <w:shd w:val="clear" w:color="000000" w:fill="FFFFFF"/>
            <w:noWrap/>
          </w:tcPr>
          <w:p w14:paraId="663E91B4"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22 </w:t>
            </w:r>
          </w:p>
        </w:tc>
        <w:tc>
          <w:tcPr>
            <w:tcW w:w="0" w:type="auto"/>
            <w:tcBorders>
              <w:top w:val="nil"/>
              <w:left w:val="nil"/>
              <w:bottom w:val="single" w:sz="4" w:space="0" w:color="auto"/>
              <w:right w:val="single" w:sz="4" w:space="0" w:color="auto"/>
            </w:tcBorders>
            <w:shd w:val="clear" w:color="000000" w:fill="FFFFFF"/>
            <w:noWrap/>
          </w:tcPr>
          <w:p w14:paraId="096899DC"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$ 73,180 </w:t>
            </w:r>
          </w:p>
        </w:tc>
        <w:tc>
          <w:tcPr>
            <w:tcW w:w="0" w:type="auto"/>
            <w:tcBorders>
              <w:top w:val="nil"/>
              <w:left w:val="nil"/>
              <w:bottom w:val="single" w:sz="4" w:space="0" w:color="auto"/>
              <w:right w:val="single" w:sz="4" w:space="0" w:color="auto"/>
            </w:tcBorders>
            <w:shd w:val="clear" w:color="000000" w:fill="FFFFFF"/>
            <w:noWrap/>
          </w:tcPr>
          <w:p w14:paraId="0CE33CE1"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$ 1,820 </w:t>
            </w:r>
          </w:p>
        </w:tc>
      </w:tr>
      <w:tr w:rsidR="006F4FA8" w:rsidRPr="006F4FA8" w14:paraId="501C2F62" w14:textId="77777777" w:rsidTr="006F4FA8">
        <w:trPr>
          <w:trHeight w:val="20"/>
        </w:trPr>
        <w:tc>
          <w:tcPr>
            <w:tcW w:w="0" w:type="auto"/>
            <w:tcBorders>
              <w:top w:val="nil"/>
              <w:left w:val="single" w:sz="4" w:space="0" w:color="auto"/>
              <w:bottom w:val="single" w:sz="4" w:space="0" w:color="auto"/>
              <w:right w:val="single" w:sz="4" w:space="0" w:color="auto"/>
            </w:tcBorders>
            <w:shd w:val="clear" w:color="auto" w:fill="auto"/>
          </w:tcPr>
          <w:p w14:paraId="05F9FA1A" w14:textId="77777777" w:rsidR="006F4FA8" w:rsidRPr="006F4FA8" w:rsidRDefault="006F4FA8" w:rsidP="00670854">
            <w:pPr>
              <w:spacing w:after="0" w:line="240" w:lineRule="auto"/>
              <w:rPr>
                <w:rFonts w:ascii="Arial" w:eastAsia="Times New Roman" w:hAnsi="Arial" w:cs="Arial"/>
                <w:b/>
                <w:bCs/>
                <w:i/>
                <w:iCs/>
                <w:color w:val="0070C0"/>
                <w:sz w:val="16"/>
                <w:szCs w:val="16"/>
                <w:lang w:val="en-US"/>
              </w:rPr>
            </w:pPr>
            <w:r w:rsidRPr="006F4FA8">
              <w:rPr>
                <w:rFonts w:ascii="Arial" w:hAnsi="Arial" w:cs="Arial"/>
                <w:sz w:val="16"/>
                <w:szCs w:val="16"/>
              </w:rPr>
              <w:t xml:space="preserve"> Colombia Responde para Todos </w:t>
            </w:r>
          </w:p>
        </w:tc>
        <w:tc>
          <w:tcPr>
            <w:tcW w:w="0" w:type="auto"/>
            <w:tcBorders>
              <w:top w:val="nil"/>
              <w:left w:val="nil"/>
              <w:bottom w:val="single" w:sz="4" w:space="0" w:color="auto"/>
              <w:right w:val="single" w:sz="4" w:space="0" w:color="auto"/>
            </w:tcBorders>
            <w:shd w:val="clear" w:color="auto" w:fill="auto"/>
            <w:noWrap/>
          </w:tcPr>
          <w:p w14:paraId="61FC7410"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$ 350,000 </w:t>
            </w:r>
          </w:p>
        </w:tc>
        <w:tc>
          <w:tcPr>
            <w:tcW w:w="0" w:type="auto"/>
            <w:tcBorders>
              <w:top w:val="nil"/>
              <w:left w:val="nil"/>
              <w:bottom w:val="single" w:sz="4" w:space="0" w:color="auto"/>
              <w:right w:val="single" w:sz="4" w:space="0" w:color="auto"/>
            </w:tcBorders>
            <w:shd w:val="clear" w:color="auto" w:fill="auto"/>
            <w:noWrap/>
          </w:tcPr>
          <w:p w14:paraId="2CFD61A1"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588 </w:t>
            </w:r>
          </w:p>
        </w:tc>
        <w:tc>
          <w:tcPr>
            <w:tcW w:w="0" w:type="auto"/>
            <w:tcBorders>
              <w:top w:val="nil"/>
              <w:left w:val="nil"/>
              <w:bottom w:val="single" w:sz="4" w:space="0" w:color="auto"/>
              <w:right w:val="single" w:sz="4" w:space="0" w:color="auto"/>
            </w:tcBorders>
            <w:shd w:val="clear" w:color="auto" w:fill="auto"/>
            <w:noWrap/>
          </w:tcPr>
          <w:p w14:paraId="0F9732D6"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$ 32,671 </w:t>
            </w:r>
          </w:p>
        </w:tc>
        <w:tc>
          <w:tcPr>
            <w:tcW w:w="0" w:type="auto"/>
            <w:tcBorders>
              <w:top w:val="nil"/>
              <w:left w:val="nil"/>
              <w:bottom w:val="single" w:sz="4" w:space="0" w:color="auto"/>
              <w:right w:val="single" w:sz="4" w:space="0" w:color="auto"/>
            </w:tcBorders>
            <w:shd w:val="clear" w:color="auto" w:fill="auto"/>
            <w:noWrap/>
          </w:tcPr>
          <w:p w14:paraId="3685EAF3"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1,638 </w:t>
            </w:r>
          </w:p>
        </w:tc>
        <w:tc>
          <w:tcPr>
            <w:tcW w:w="0" w:type="auto"/>
            <w:tcBorders>
              <w:top w:val="nil"/>
              <w:left w:val="nil"/>
              <w:bottom w:val="single" w:sz="4" w:space="0" w:color="auto"/>
              <w:right w:val="single" w:sz="4" w:space="0" w:color="auto"/>
            </w:tcBorders>
            <w:shd w:val="clear" w:color="auto" w:fill="auto"/>
            <w:noWrap/>
          </w:tcPr>
          <w:p w14:paraId="4A933063"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1,625 </w:t>
            </w:r>
          </w:p>
        </w:tc>
        <w:tc>
          <w:tcPr>
            <w:tcW w:w="0" w:type="auto"/>
            <w:tcBorders>
              <w:top w:val="nil"/>
              <w:left w:val="nil"/>
              <w:bottom w:val="single" w:sz="4" w:space="0" w:color="auto"/>
              <w:right w:val="single" w:sz="4" w:space="0" w:color="auto"/>
            </w:tcBorders>
            <w:shd w:val="clear" w:color="auto" w:fill="auto"/>
            <w:noWrap/>
          </w:tcPr>
          <w:p w14:paraId="0BB42414"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$ 303,706 </w:t>
            </w:r>
          </w:p>
        </w:tc>
        <w:tc>
          <w:tcPr>
            <w:tcW w:w="0" w:type="auto"/>
            <w:tcBorders>
              <w:top w:val="nil"/>
              <w:left w:val="nil"/>
              <w:bottom w:val="single" w:sz="4" w:space="0" w:color="auto"/>
              <w:right w:val="single" w:sz="4" w:space="0" w:color="auto"/>
            </w:tcBorders>
            <w:shd w:val="clear" w:color="auto" w:fill="auto"/>
            <w:noWrap/>
          </w:tcPr>
          <w:p w14:paraId="18D8CC24"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$ 13,623 </w:t>
            </w:r>
          </w:p>
        </w:tc>
      </w:tr>
      <w:tr w:rsidR="006F4FA8" w:rsidRPr="006F4FA8" w14:paraId="2D2D6D52" w14:textId="77777777" w:rsidTr="006F4FA8">
        <w:trPr>
          <w:trHeight w:val="20"/>
        </w:trPr>
        <w:tc>
          <w:tcPr>
            <w:tcW w:w="0" w:type="auto"/>
            <w:tcBorders>
              <w:top w:val="nil"/>
              <w:left w:val="single" w:sz="4" w:space="0" w:color="auto"/>
              <w:bottom w:val="single" w:sz="4" w:space="0" w:color="auto"/>
              <w:right w:val="single" w:sz="4" w:space="0" w:color="auto"/>
            </w:tcBorders>
            <w:shd w:val="clear" w:color="auto" w:fill="auto"/>
          </w:tcPr>
          <w:p w14:paraId="6452A62E" w14:textId="77777777" w:rsidR="006F4FA8" w:rsidRPr="006F4FA8" w:rsidRDefault="006F4FA8" w:rsidP="00670854">
            <w:pPr>
              <w:spacing w:after="0" w:line="240" w:lineRule="auto"/>
              <w:rPr>
                <w:rFonts w:ascii="Arial" w:eastAsia="Times New Roman" w:hAnsi="Arial" w:cs="Arial"/>
                <w:b/>
                <w:bCs/>
                <w:i/>
                <w:iCs/>
                <w:color w:val="0070C0"/>
                <w:sz w:val="16"/>
                <w:szCs w:val="16"/>
                <w:lang w:val="en-US"/>
              </w:rPr>
            </w:pPr>
            <w:r w:rsidRPr="006F4FA8">
              <w:rPr>
                <w:rFonts w:ascii="Arial" w:hAnsi="Arial" w:cs="Arial"/>
                <w:sz w:val="16"/>
                <w:szCs w:val="16"/>
              </w:rPr>
              <w:t xml:space="preserve"> Bogotá Responde </w:t>
            </w:r>
          </w:p>
        </w:tc>
        <w:tc>
          <w:tcPr>
            <w:tcW w:w="0" w:type="auto"/>
            <w:tcBorders>
              <w:top w:val="nil"/>
              <w:left w:val="nil"/>
              <w:bottom w:val="single" w:sz="4" w:space="0" w:color="auto"/>
              <w:right w:val="single" w:sz="4" w:space="0" w:color="auto"/>
            </w:tcBorders>
            <w:shd w:val="clear" w:color="auto" w:fill="auto"/>
            <w:noWrap/>
          </w:tcPr>
          <w:p w14:paraId="51BE1BE9"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$ 220,000 </w:t>
            </w:r>
          </w:p>
        </w:tc>
        <w:tc>
          <w:tcPr>
            <w:tcW w:w="0" w:type="auto"/>
            <w:tcBorders>
              <w:top w:val="nil"/>
              <w:left w:val="nil"/>
              <w:bottom w:val="single" w:sz="4" w:space="0" w:color="auto"/>
              <w:right w:val="single" w:sz="4" w:space="0" w:color="auto"/>
            </w:tcBorders>
            <w:shd w:val="clear" w:color="auto" w:fill="auto"/>
            <w:noWrap/>
          </w:tcPr>
          <w:p w14:paraId="05419463"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32 </w:t>
            </w:r>
          </w:p>
        </w:tc>
        <w:tc>
          <w:tcPr>
            <w:tcW w:w="0" w:type="auto"/>
            <w:tcBorders>
              <w:top w:val="nil"/>
              <w:left w:val="nil"/>
              <w:bottom w:val="single" w:sz="4" w:space="0" w:color="auto"/>
              <w:right w:val="single" w:sz="4" w:space="0" w:color="auto"/>
            </w:tcBorders>
            <w:shd w:val="clear" w:color="auto" w:fill="auto"/>
            <w:noWrap/>
          </w:tcPr>
          <w:p w14:paraId="3FE64C2B"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$ 5,076 </w:t>
            </w:r>
          </w:p>
        </w:tc>
        <w:tc>
          <w:tcPr>
            <w:tcW w:w="0" w:type="auto"/>
            <w:tcBorders>
              <w:top w:val="nil"/>
              <w:left w:val="nil"/>
              <w:bottom w:val="single" w:sz="4" w:space="0" w:color="auto"/>
              <w:right w:val="single" w:sz="4" w:space="0" w:color="auto"/>
            </w:tcBorders>
            <w:shd w:val="clear" w:color="auto" w:fill="auto"/>
            <w:noWrap/>
          </w:tcPr>
          <w:p w14:paraId="0104DBED"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238 </w:t>
            </w:r>
          </w:p>
        </w:tc>
        <w:tc>
          <w:tcPr>
            <w:tcW w:w="0" w:type="auto"/>
            <w:tcBorders>
              <w:top w:val="nil"/>
              <w:left w:val="nil"/>
              <w:bottom w:val="single" w:sz="4" w:space="0" w:color="auto"/>
              <w:right w:val="single" w:sz="4" w:space="0" w:color="auto"/>
            </w:tcBorders>
            <w:shd w:val="clear" w:color="auto" w:fill="auto"/>
            <w:noWrap/>
          </w:tcPr>
          <w:p w14:paraId="3275BF75"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225 </w:t>
            </w:r>
          </w:p>
        </w:tc>
        <w:tc>
          <w:tcPr>
            <w:tcW w:w="0" w:type="auto"/>
            <w:tcBorders>
              <w:top w:val="nil"/>
              <w:left w:val="nil"/>
              <w:bottom w:val="single" w:sz="4" w:space="0" w:color="auto"/>
              <w:right w:val="single" w:sz="4" w:space="0" w:color="auto"/>
            </w:tcBorders>
            <w:shd w:val="clear" w:color="auto" w:fill="auto"/>
            <w:noWrap/>
          </w:tcPr>
          <w:p w14:paraId="6A3EB35C"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$ 93,772 </w:t>
            </w:r>
          </w:p>
        </w:tc>
        <w:tc>
          <w:tcPr>
            <w:tcW w:w="0" w:type="auto"/>
            <w:tcBorders>
              <w:top w:val="nil"/>
              <w:left w:val="nil"/>
              <w:bottom w:val="single" w:sz="4" w:space="0" w:color="auto"/>
              <w:right w:val="single" w:sz="4" w:space="0" w:color="auto"/>
            </w:tcBorders>
            <w:shd w:val="clear" w:color="auto" w:fill="auto"/>
            <w:noWrap/>
          </w:tcPr>
          <w:p w14:paraId="0273BD2F"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$ 121,152 </w:t>
            </w:r>
          </w:p>
        </w:tc>
      </w:tr>
      <w:tr w:rsidR="006F4FA8" w:rsidRPr="006F4FA8" w14:paraId="65F27CE5" w14:textId="77777777" w:rsidTr="006F4FA8">
        <w:trPr>
          <w:trHeight w:val="20"/>
        </w:trPr>
        <w:tc>
          <w:tcPr>
            <w:tcW w:w="0" w:type="auto"/>
            <w:tcBorders>
              <w:top w:val="nil"/>
              <w:left w:val="single" w:sz="4" w:space="0" w:color="auto"/>
              <w:bottom w:val="single" w:sz="4" w:space="0" w:color="auto"/>
              <w:right w:val="single" w:sz="4" w:space="0" w:color="auto"/>
            </w:tcBorders>
            <w:shd w:val="clear" w:color="auto" w:fill="auto"/>
          </w:tcPr>
          <w:p w14:paraId="42C7B3F0" w14:textId="77777777" w:rsidR="006F4FA8" w:rsidRPr="006F4FA8" w:rsidRDefault="006F4FA8" w:rsidP="00670854">
            <w:pPr>
              <w:spacing w:after="0" w:line="240" w:lineRule="auto"/>
              <w:rPr>
                <w:rFonts w:ascii="Arial" w:eastAsia="Times New Roman" w:hAnsi="Arial" w:cs="Arial"/>
                <w:b/>
                <w:bCs/>
                <w:i/>
                <w:iCs/>
                <w:color w:val="0070C0"/>
                <w:sz w:val="16"/>
                <w:szCs w:val="16"/>
                <w:lang w:val="en-US"/>
              </w:rPr>
            </w:pPr>
            <w:r w:rsidRPr="006F4FA8">
              <w:rPr>
                <w:rFonts w:ascii="Arial" w:hAnsi="Arial" w:cs="Arial"/>
                <w:sz w:val="16"/>
                <w:szCs w:val="16"/>
              </w:rPr>
              <w:t xml:space="preserve"> Barranquilla Responde </w:t>
            </w:r>
          </w:p>
        </w:tc>
        <w:tc>
          <w:tcPr>
            <w:tcW w:w="0" w:type="auto"/>
            <w:tcBorders>
              <w:top w:val="nil"/>
              <w:left w:val="nil"/>
              <w:bottom w:val="single" w:sz="4" w:space="0" w:color="auto"/>
              <w:right w:val="single" w:sz="4" w:space="0" w:color="auto"/>
            </w:tcBorders>
            <w:shd w:val="clear" w:color="auto" w:fill="auto"/>
            <w:noWrap/>
          </w:tcPr>
          <w:p w14:paraId="024EE42B"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$ 60,000 </w:t>
            </w:r>
          </w:p>
        </w:tc>
        <w:tc>
          <w:tcPr>
            <w:tcW w:w="0" w:type="auto"/>
            <w:tcBorders>
              <w:top w:val="nil"/>
              <w:left w:val="nil"/>
              <w:bottom w:val="single" w:sz="4" w:space="0" w:color="auto"/>
              <w:right w:val="single" w:sz="4" w:space="0" w:color="auto"/>
            </w:tcBorders>
            <w:shd w:val="clear" w:color="auto" w:fill="auto"/>
            <w:noWrap/>
          </w:tcPr>
          <w:p w14:paraId="27940144"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15 </w:t>
            </w:r>
          </w:p>
        </w:tc>
        <w:tc>
          <w:tcPr>
            <w:tcW w:w="0" w:type="auto"/>
            <w:tcBorders>
              <w:top w:val="nil"/>
              <w:left w:val="nil"/>
              <w:bottom w:val="single" w:sz="4" w:space="0" w:color="auto"/>
              <w:right w:val="single" w:sz="4" w:space="0" w:color="auto"/>
            </w:tcBorders>
            <w:shd w:val="clear" w:color="auto" w:fill="auto"/>
            <w:noWrap/>
          </w:tcPr>
          <w:p w14:paraId="740157A8"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$ 2,163 </w:t>
            </w:r>
          </w:p>
        </w:tc>
        <w:tc>
          <w:tcPr>
            <w:tcW w:w="0" w:type="auto"/>
            <w:tcBorders>
              <w:top w:val="nil"/>
              <w:left w:val="nil"/>
              <w:bottom w:val="single" w:sz="4" w:space="0" w:color="auto"/>
              <w:right w:val="single" w:sz="4" w:space="0" w:color="auto"/>
            </w:tcBorders>
            <w:shd w:val="clear" w:color="auto" w:fill="auto"/>
            <w:noWrap/>
          </w:tcPr>
          <w:p w14:paraId="728CC396"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162 </w:t>
            </w:r>
          </w:p>
        </w:tc>
        <w:tc>
          <w:tcPr>
            <w:tcW w:w="0" w:type="auto"/>
            <w:tcBorders>
              <w:top w:val="nil"/>
              <w:left w:val="nil"/>
              <w:bottom w:val="single" w:sz="4" w:space="0" w:color="auto"/>
              <w:right w:val="single" w:sz="4" w:space="0" w:color="auto"/>
            </w:tcBorders>
            <w:shd w:val="clear" w:color="auto" w:fill="auto"/>
            <w:noWrap/>
          </w:tcPr>
          <w:p w14:paraId="1D383F90"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148 </w:t>
            </w:r>
          </w:p>
        </w:tc>
        <w:tc>
          <w:tcPr>
            <w:tcW w:w="0" w:type="auto"/>
            <w:tcBorders>
              <w:top w:val="nil"/>
              <w:left w:val="nil"/>
              <w:bottom w:val="single" w:sz="4" w:space="0" w:color="auto"/>
              <w:right w:val="single" w:sz="4" w:space="0" w:color="auto"/>
            </w:tcBorders>
            <w:shd w:val="clear" w:color="auto" w:fill="auto"/>
            <w:noWrap/>
          </w:tcPr>
          <w:p w14:paraId="11EB4AB6"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$ 38,529 </w:t>
            </w:r>
          </w:p>
        </w:tc>
        <w:tc>
          <w:tcPr>
            <w:tcW w:w="0" w:type="auto"/>
            <w:tcBorders>
              <w:top w:val="nil"/>
              <w:left w:val="nil"/>
              <w:bottom w:val="single" w:sz="4" w:space="0" w:color="auto"/>
              <w:right w:val="single" w:sz="4" w:space="0" w:color="auto"/>
            </w:tcBorders>
            <w:shd w:val="clear" w:color="auto" w:fill="auto"/>
            <w:noWrap/>
          </w:tcPr>
          <w:p w14:paraId="0A9DE1F7"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$ 19,308 </w:t>
            </w:r>
          </w:p>
        </w:tc>
      </w:tr>
      <w:tr w:rsidR="006F4FA8" w:rsidRPr="006F4FA8" w14:paraId="26BF7D64" w14:textId="77777777" w:rsidTr="006F4FA8">
        <w:trPr>
          <w:trHeight w:val="20"/>
        </w:trPr>
        <w:tc>
          <w:tcPr>
            <w:tcW w:w="0" w:type="auto"/>
            <w:tcBorders>
              <w:top w:val="nil"/>
              <w:left w:val="single" w:sz="4" w:space="0" w:color="auto"/>
              <w:bottom w:val="single" w:sz="4" w:space="0" w:color="auto"/>
              <w:right w:val="single" w:sz="4" w:space="0" w:color="auto"/>
            </w:tcBorders>
            <w:shd w:val="clear" w:color="auto" w:fill="auto"/>
          </w:tcPr>
          <w:p w14:paraId="22AE57ED" w14:textId="77777777" w:rsidR="006F4FA8" w:rsidRPr="006F4FA8" w:rsidRDefault="006F4FA8" w:rsidP="00670854">
            <w:pPr>
              <w:spacing w:after="0" w:line="240" w:lineRule="auto"/>
              <w:rPr>
                <w:rFonts w:ascii="Arial" w:eastAsia="Times New Roman" w:hAnsi="Arial" w:cs="Arial"/>
                <w:b/>
                <w:bCs/>
                <w:i/>
                <w:iCs/>
                <w:color w:val="0070C0"/>
                <w:sz w:val="16"/>
                <w:szCs w:val="16"/>
                <w:lang w:val="en-US"/>
              </w:rPr>
            </w:pPr>
            <w:r w:rsidRPr="006F4FA8">
              <w:rPr>
                <w:rFonts w:ascii="Arial" w:hAnsi="Arial" w:cs="Arial"/>
                <w:sz w:val="16"/>
                <w:szCs w:val="16"/>
              </w:rPr>
              <w:t xml:space="preserve"> Nte de Santander Responde </w:t>
            </w:r>
          </w:p>
        </w:tc>
        <w:tc>
          <w:tcPr>
            <w:tcW w:w="0" w:type="auto"/>
            <w:tcBorders>
              <w:top w:val="nil"/>
              <w:left w:val="nil"/>
              <w:bottom w:val="single" w:sz="4" w:space="0" w:color="auto"/>
              <w:right w:val="single" w:sz="4" w:space="0" w:color="auto"/>
            </w:tcBorders>
            <w:shd w:val="clear" w:color="auto" w:fill="auto"/>
            <w:noWrap/>
          </w:tcPr>
          <w:p w14:paraId="156FE6CF"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$ 12,000 </w:t>
            </w:r>
          </w:p>
        </w:tc>
        <w:tc>
          <w:tcPr>
            <w:tcW w:w="0" w:type="auto"/>
            <w:tcBorders>
              <w:top w:val="nil"/>
              <w:left w:val="nil"/>
              <w:bottom w:val="single" w:sz="4" w:space="0" w:color="auto"/>
              <w:right w:val="single" w:sz="4" w:space="0" w:color="auto"/>
            </w:tcBorders>
            <w:shd w:val="clear" w:color="auto" w:fill="auto"/>
            <w:noWrap/>
          </w:tcPr>
          <w:p w14:paraId="00F64029"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5 </w:t>
            </w:r>
          </w:p>
        </w:tc>
        <w:tc>
          <w:tcPr>
            <w:tcW w:w="0" w:type="auto"/>
            <w:tcBorders>
              <w:top w:val="nil"/>
              <w:left w:val="nil"/>
              <w:bottom w:val="single" w:sz="4" w:space="0" w:color="auto"/>
              <w:right w:val="single" w:sz="4" w:space="0" w:color="auto"/>
            </w:tcBorders>
            <w:shd w:val="clear" w:color="auto" w:fill="auto"/>
            <w:noWrap/>
          </w:tcPr>
          <w:p w14:paraId="020817C6"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$ 488 </w:t>
            </w:r>
          </w:p>
        </w:tc>
        <w:tc>
          <w:tcPr>
            <w:tcW w:w="0" w:type="auto"/>
            <w:tcBorders>
              <w:top w:val="nil"/>
              <w:left w:val="nil"/>
              <w:bottom w:val="single" w:sz="4" w:space="0" w:color="auto"/>
              <w:right w:val="single" w:sz="4" w:space="0" w:color="auto"/>
            </w:tcBorders>
            <w:shd w:val="clear" w:color="auto" w:fill="auto"/>
            <w:noWrap/>
          </w:tcPr>
          <w:p w14:paraId="0B84C739"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52 </w:t>
            </w:r>
          </w:p>
        </w:tc>
        <w:tc>
          <w:tcPr>
            <w:tcW w:w="0" w:type="auto"/>
            <w:tcBorders>
              <w:top w:val="nil"/>
              <w:left w:val="nil"/>
              <w:bottom w:val="single" w:sz="4" w:space="0" w:color="auto"/>
              <w:right w:val="single" w:sz="4" w:space="0" w:color="auto"/>
            </w:tcBorders>
            <w:shd w:val="clear" w:color="auto" w:fill="auto"/>
            <w:noWrap/>
          </w:tcPr>
          <w:p w14:paraId="7FDB8ED5"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48 </w:t>
            </w:r>
          </w:p>
        </w:tc>
        <w:tc>
          <w:tcPr>
            <w:tcW w:w="0" w:type="auto"/>
            <w:tcBorders>
              <w:top w:val="nil"/>
              <w:left w:val="nil"/>
              <w:bottom w:val="single" w:sz="4" w:space="0" w:color="auto"/>
              <w:right w:val="single" w:sz="4" w:space="0" w:color="auto"/>
            </w:tcBorders>
            <w:shd w:val="clear" w:color="auto" w:fill="auto"/>
            <w:noWrap/>
          </w:tcPr>
          <w:p w14:paraId="250390FE"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$ 7,360 </w:t>
            </w:r>
          </w:p>
        </w:tc>
        <w:tc>
          <w:tcPr>
            <w:tcW w:w="0" w:type="auto"/>
            <w:tcBorders>
              <w:top w:val="nil"/>
              <w:left w:val="nil"/>
              <w:bottom w:val="single" w:sz="4" w:space="0" w:color="auto"/>
              <w:right w:val="single" w:sz="4" w:space="0" w:color="auto"/>
            </w:tcBorders>
            <w:shd w:val="clear" w:color="auto" w:fill="auto"/>
            <w:noWrap/>
          </w:tcPr>
          <w:p w14:paraId="14DE145A"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$ 4,152 </w:t>
            </w:r>
          </w:p>
        </w:tc>
      </w:tr>
      <w:tr w:rsidR="006F4FA8" w:rsidRPr="006F4FA8" w14:paraId="6C136CA2" w14:textId="77777777" w:rsidTr="006F4FA8">
        <w:trPr>
          <w:trHeight w:val="20"/>
        </w:trPr>
        <w:tc>
          <w:tcPr>
            <w:tcW w:w="0" w:type="auto"/>
            <w:tcBorders>
              <w:top w:val="nil"/>
              <w:left w:val="single" w:sz="4" w:space="0" w:color="auto"/>
              <w:bottom w:val="single" w:sz="4" w:space="0" w:color="auto"/>
              <w:right w:val="single" w:sz="4" w:space="0" w:color="auto"/>
            </w:tcBorders>
            <w:shd w:val="clear" w:color="auto" w:fill="auto"/>
          </w:tcPr>
          <w:p w14:paraId="1B3A1DC0" w14:textId="77777777" w:rsidR="006F4FA8" w:rsidRPr="006F4FA8" w:rsidRDefault="006F4FA8" w:rsidP="00670854">
            <w:pPr>
              <w:spacing w:after="0" w:line="240" w:lineRule="auto"/>
              <w:rPr>
                <w:rFonts w:ascii="Arial" w:eastAsia="Times New Roman" w:hAnsi="Arial" w:cs="Arial"/>
                <w:b/>
                <w:bCs/>
                <w:i/>
                <w:iCs/>
                <w:color w:val="0070C0"/>
                <w:sz w:val="16"/>
                <w:szCs w:val="16"/>
                <w:lang w:val="en-US"/>
              </w:rPr>
            </w:pPr>
            <w:r w:rsidRPr="006F4FA8">
              <w:rPr>
                <w:rFonts w:ascii="Arial" w:hAnsi="Arial" w:cs="Arial"/>
                <w:sz w:val="16"/>
                <w:szCs w:val="16"/>
              </w:rPr>
              <w:t xml:space="preserve"> Emprende e Innova </w:t>
            </w:r>
          </w:p>
        </w:tc>
        <w:tc>
          <w:tcPr>
            <w:tcW w:w="0" w:type="auto"/>
            <w:tcBorders>
              <w:top w:val="nil"/>
              <w:left w:val="nil"/>
              <w:bottom w:val="single" w:sz="4" w:space="0" w:color="auto"/>
              <w:right w:val="single" w:sz="4" w:space="0" w:color="auto"/>
            </w:tcBorders>
            <w:shd w:val="clear" w:color="auto" w:fill="auto"/>
            <w:noWrap/>
          </w:tcPr>
          <w:p w14:paraId="1F941FF9"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$ 6,000 </w:t>
            </w:r>
          </w:p>
        </w:tc>
        <w:tc>
          <w:tcPr>
            <w:tcW w:w="0" w:type="auto"/>
            <w:tcBorders>
              <w:top w:val="nil"/>
              <w:left w:val="nil"/>
              <w:bottom w:val="single" w:sz="4" w:space="0" w:color="auto"/>
              <w:right w:val="single" w:sz="4" w:space="0" w:color="auto"/>
            </w:tcBorders>
            <w:shd w:val="clear" w:color="auto" w:fill="auto"/>
            <w:noWrap/>
          </w:tcPr>
          <w:p w14:paraId="109B6967"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22 </w:t>
            </w:r>
          </w:p>
        </w:tc>
        <w:tc>
          <w:tcPr>
            <w:tcW w:w="0" w:type="auto"/>
            <w:tcBorders>
              <w:top w:val="nil"/>
              <w:left w:val="nil"/>
              <w:bottom w:val="single" w:sz="4" w:space="0" w:color="auto"/>
              <w:right w:val="single" w:sz="4" w:space="0" w:color="auto"/>
            </w:tcBorders>
            <w:shd w:val="clear" w:color="auto" w:fill="auto"/>
            <w:noWrap/>
          </w:tcPr>
          <w:p w14:paraId="35275502"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$ 1,352 </w:t>
            </w:r>
          </w:p>
        </w:tc>
        <w:tc>
          <w:tcPr>
            <w:tcW w:w="0" w:type="auto"/>
            <w:tcBorders>
              <w:top w:val="nil"/>
              <w:left w:val="nil"/>
              <w:bottom w:val="single" w:sz="4" w:space="0" w:color="auto"/>
              <w:right w:val="single" w:sz="4" w:space="0" w:color="auto"/>
            </w:tcBorders>
            <w:shd w:val="clear" w:color="auto" w:fill="auto"/>
            <w:noWrap/>
          </w:tcPr>
          <w:p w14:paraId="40F4F73B"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67 </w:t>
            </w:r>
          </w:p>
        </w:tc>
        <w:tc>
          <w:tcPr>
            <w:tcW w:w="0" w:type="auto"/>
            <w:tcBorders>
              <w:top w:val="nil"/>
              <w:left w:val="nil"/>
              <w:bottom w:val="single" w:sz="4" w:space="0" w:color="auto"/>
              <w:right w:val="single" w:sz="4" w:space="0" w:color="auto"/>
            </w:tcBorders>
            <w:shd w:val="clear" w:color="auto" w:fill="auto"/>
            <w:noWrap/>
          </w:tcPr>
          <w:p w14:paraId="10BD738B"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65 </w:t>
            </w:r>
          </w:p>
        </w:tc>
        <w:tc>
          <w:tcPr>
            <w:tcW w:w="0" w:type="auto"/>
            <w:tcBorders>
              <w:top w:val="nil"/>
              <w:left w:val="nil"/>
              <w:bottom w:val="single" w:sz="4" w:space="0" w:color="auto"/>
              <w:right w:val="single" w:sz="4" w:space="0" w:color="auto"/>
            </w:tcBorders>
            <w:shd w:val="clear" w:color="auto" w:fill="auto"/>
            <w:noWrap/>
          </w:tcPr>
          <w:p w14:paraId="4F065E8E"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$ 4,111 </w:t>
            </w:r>
          </w:p>
        </w:tc>
        <w:tc>
          <w:tcPr>
            <w:tcW w:w="0" w:type="auto"/>
            <w:tcBorders>
              <w:top w:val="nil"/>
              <w:left w:val="nil"/>
              <w:bottom w:val="single" w:sz="4" w:space="0" w:color="auto"/>
              <w:right w:val="single" w:sz="4" w:space="0" w:color="auto"/>
            </w:tcBorders>
            <w:shd w:val="clear" w:color="auto" w:fill="auto"/>
            <w:noWrap/>
          </w:tcPr>
          <w:p w14:paraId="42665D3B"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$ 537 </w:t>
            </w:r>
          </w:p>
        </w:tc>
      </w:tr>
      <w:tr w:rsidR="006F4FA8" w:rsidRPr="006F4FA8" w14:paraId="11793A55" w14:textId="77777777" w:rsidTr="006F4FA8">
        <w:trPr>
          <w:trHeight w:val="20"/>
        </w:trPr>
        <w:tc>
          <w:tcPr>
            <w:tcW w:w="0" w:type="auto"/>
            <w:tcBorders>
              <w:top w:val="nil"/>
              <w:left w:val="single" w:sz="4" w:space="0" w:color="auto"/>
              <w:bottom w:val="single" w:sz="4" w:space="0" w:color="auto"/>
              <w:right w:val="single" w:sz="4" w:space="0" w:color="auto"/>
            </w:tcBorders>
            <w:shd w:val="clear" w:color="auto" w:fill="auto"/>
          </w:tcPr>
          <w:p w14:paraId="403B78A4" w14:textId="77777777" w:rsidR="006F4FA8" w:rsidRPr="006F4FA8" w:rsidRDefault="006F4FA8" w:rsidP="00670854">
            <w:pPr>
              <w:spacing w:after="0" w:line="240" w:lineRule="auto"/>
              <w:rPr>
                <w:rFonts w:ascii="Arial" w:eastAsia="Times New Roman" w:hAnsi="Arial" w:cs="Arial"/>
                <w:b/>
                <w:bCs/>
                <w:i/>
                <w:iCs/>
                <w:color w:val="0070C0"/>
                <w:sz w:val="16"/>
                <w:szCs w:val="16"/>
                <w:lang w:val="en-US"/>
              </w:rPr>
            </w:pPr>
            <w:r w:rsidRPr="006F4FA8">
              <w:rPr>
                <w:rFonts w:ascii="Arial" w:hAnsi="Arial" w:cs="Arial"/>
                <w:sz w:val="16"/>
                <w:szCs w:val="16"/>
              </w:rPr>
              <w:t xml:space="preserve"> Cúcuta Responde </w:t>
            </w:r>
          </w:p>
        </w:tc>
        <w:tc>
          <w:tcPr>
            <w:tcW w:w="0" w:type="auto"/>
            <w:tcBorders>
              <w:top w:val="nil"/>
              <w:left w:val="nil"/>
              <w:bottom w:val="single" w:sz="4" w:space="0" w:color="auto"/>
              <w:right w:val="single" w:sz="4" w:space="0" w:color="auto"/>
            </w:tcBorders>
            <w:shd w:val="clear" w:color="auto" w:fill="auto"/>
            <w:noWrap/>
          </w:tcPr>
          <w:p w14:paraId="448FF3BC"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$ 3,100 </w:t>
            </w:r>
          </w:p>
        </w:tc>
        <w:tc>
          <w:tcPr>
            <w:tcW w:w="0" w:type="auto"/>
            <w:tcBorders>
              <w:top w:val="nil"/>
              <w:left w:val="nil"/>
              <w:bottom w:val="single" w:sz="4" w:space="0" w:color="auto"/>
              <w:right w:val="single" w:sz="4" w:space="0" w:color="auto"/>
            </w:tcBorders>
            <w:shd w:val="clear" w:color="auto" w:fill="auto"/>
            <w:noWrap/>
          </w:tcPr>
          <w:p w14:paraId="61864A10"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2 </w:t>
            </w:r>
          </w:p>
        </w:tc>
        <w:tc>
          <w:tcPr>
            <w:tcW w:w="0" w:type="auto"/>
            <w:tcBorders>
              <w:top w:val="nil"/>
              <w:left w:val="nil"/>
              <w:bottom w:val="single" w:sz="4" w:space="0" w:color="auto"/>
              <w:right w:val="single" w:sz="4" w:space="0" w:color="auto"/>
            </w:tcBorders>
            <w:shd w:val="clear" w:color="auto" w:fill="auto"/>
            <w:noWrap/>
          </w:tcPr>
          <w:p w14:paraId="77D42EB0"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$ 45 </w:t>
            </w:r>
          </w:p>
        </w:tc>
        <w:tc>
          <w:tcPr>
            <w:tcW w:w="0" w:type="auto"/>
            <w:tcBorders>
              <w:top w:val="nil"/>
              <w:left w:val="nil"/>
              <w:bottom w:val="single" w:sz="4" w:space="0" w:color="auto"/>
              <w:right w:val="single" w:sz="4" w:space="0" w:color="auto"/>
            </w:tcBorders>
            <w:shd w:val="clear" w:color="auto" w:fill="auto"/>
            <w:noWrap/>
          </w:tcPr>
          <w:p w14:paraId="220FFED7"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25 </w:t>
            </w:r>
          </w:p>
        </w:tc>
        <w:tc>
          <w:tcPr>
            <w:tcW w:w="0" w:type="auto"/>
            <w:tcBorders>
              <w:top w:val="nil"/>
              <w:left w:val="nil"/>
              <w:bottom w:val="single" w:sz="4" w:space="0" w:color="auto"/>
              <w:right w:val="single" w:sz="4" w:space="0" w:color="auto"/>
            </w:tcBorders>
            <w:shd w:val="clear" w:color="auto" w:fill="auto"/>
            <w:noWrap/>
          </w:tcPr>
          <w:p w14:paraId="5AB03CF8"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20 </w:t>
            </w:r>
          </w:p>
        </w:tc>
        <w:tc>
          <w:tcPr>
            <w:tcW w:w="0" w:type="auto"/>
            <w:tcBorders>
              <w:top w:val="nil"/>
              <w:left w:val="nil"/>
              <w:bottom w:val="single" w:sz="4" w:space="0" w:color="auto"/>
              <w:right w:val="single" w:sz="4" w:space="0" w:color="auto"/>
            </w:tcBorders>
            <w:shd w:val="clear" w:color="auto" w:fill="auto"/>
            <w:noWrap/>
          </w:tcPr>
          <w:p w14:paraId="361FDF25"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$ 2,883 </w:t>
            </w:r>
          </w:p>
        </w:tc>
        <w:tc>
          <w:tcPr>
            <w:tcW w:w="0" w:type="auto"/>
            <w:tcBorders>
              <w:top w:val="nil"/>
              <w:left w:val="nil"/>
              <w:bottom w:val="single" w:sz="4" w:space="0" w:color="auto"/>
              <w:right w:val="single" w:sz="4" w:space="0" w:color="auto"/>
            </w:tcBorders>
            <w:shd w:val="clear" w:color="auto" w:fill="auto"/>
            <w:noWrap/>
          </w:tcPr>
          <w:p w14:paraId="7FC05B3D"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$ 172 </w:t>
            </w:r>
          </w:p>
        </w:tc>
      </w:tr>
      <w:tr w:rsidR="006F4FA8" w:rsidRPr="006F4FA8" w14:paraId="198D699C" w14:textId="77777777" w:rsidTr="006F4FA8">
        <w:trPr>
          <w:trHeight w:val="20"/>
        </w:trPr>
        <w:tc>
          <w:tcPr>
            <w:tcW w:w="0" w:type="auto"/>
            <w:tcBorders>
              <w:top w:val="nil"/>
              <w:left w:val="single" w:sz="4" w:space="0" w:color="auto"/>
              <w:bottom w:val="single" w:sz="4" w:space="0" w:color="auto"/>
              <w:right w:val="single" w:sz="4" w:space="0" w:color="auto"/>
            </w:tcBorders>
            <w:shd w:val="clear" w:color="auto" w:fill="auto"/>
          </w:tcPr>
          <w:p w14:paraId="72BF9C6D" w14:textId="77777777" w:rsidR="006F4FA8" w:rsidRPr="006F4FA8" w:rsidRDefault="006F4FA8" w:rsidP="00670854">
            <w:pPr>
              <w:spacing w:after="0" w:line="240" w:lineRule="auto"/>
              <w:rPr>
                <w:rFonts w:ascii="Arial" w:eastAsia="Times New Roman" w:hAnsi="Arial" w:cs="Arial"/>
                <w:b/>
                <w:bCs/>
                <w:i/>
                <w:iCs/>
                <w:color w:val="0070C0"/>
                <w:sz w:val="16"/>
                <w:szCs w:val="16"/>
                <w:lang w:val="en-US"/>
              </w:rPr>
            </w:pPr>
            <w:r w:rsidRPr="006F4FA8">
              <w:rPr>
                <w:rFonts w:ascii="Arial" w:hAnsi="Arial" w:cs="Arial"/>
                <w:sz w:val="16"/>
                <w:szCs w:val="16"/>
              </w:rPr>
              <w:t xml:space="preserve"> Manizalez/Caldas Responde </w:t>
            </w:r>
          </w:p>
        </w:tc>
        <w:tc>
          <w:tcPr>
            <w:tcW w:w="0" w:type="auto"/>
            <w:tcBorders>
              <w:top w:val="nil"/>
              <w:left w:val="nil"/>
              <w:bottom w:val="single" w:sz="4" w:space="0" w:color="auto"/>
              <w:right w:val="single" w:sz="4" w:space="0" w:color="auto"/>
            </w:tcBorders>
            <w:shd w:val="clear" w:color="auto" w:fill="auto"/>
            <w:noWrap/>
          </w:tcPr>
          <w:p w14:paraId="3BE101BA"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$ 120,000 </w:t>
            </w:r>
          </w:p>
        </w:tc>
        <w:tc>
          <w:tcPr>
            <w:tcW w:w="0" w:type="auto"/>
            <w:tcBorders>
              <w:top w:val="nil"/>
              <w:left w:val="nil"/>
              <w:bottom w:val="single" w:sz="4" w:space="0" w:color="auto"/>
              <w:right w:val="single" w:sz="4" w:space="0" w:color="auto"/>
            </w:tcBorders>
            <w:shd w:val="clear" w:color="auto" w:fill="auto"/>
            <w:noWrap/>
          </w:tcPr>
          <w:p w14:paraId="420C076D"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40 </w:t>
            </w:r>
          </w:p>
        </w:tc>
        <w:tc>
          <w:tcPr>
            <w:tcW w:w="0" w:type="auto"/>
            <w:tcBorders>
              <w:top w:val="nil"/>
              <w:left w:val="nil"/>
              <w:bottom w:val="single" w:sz="4" w:space="0" w:color="auto"/>
              <w:right w:val="single" w:sz="4" w:space="0" w:color="auto"/>
            </w:tcBorders>
            <w:shd w:val="clear" w:color="auto" w:fill="auto"/>
            <w:noWrap/>
          </w:tcPr>
          <w:p w14:paraId="6285A5AE"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$ 9,076 </w:t>
            </w:r>
          </w:p>
        </w:tc>
        <w:tc>
          <w:tcPr>
            <w:tcW w:w="0" w:type="auto"/>
            <w:tcBorders>
              <w:top w:val="nil"/>
              <w:left w:val="nil"/>
              <w:bottom w:val="single" w:sz="4" w:space="0" w:color="auto"/>
              <w:right w:val="single" w:sz="4" w:space="0" w:color="auto"/>
            </w:tcBorders>
            <w:shd w:val="clear" w:color="auto" w:fill="auto"/>
            <w:noWrap/>
          </w:tcPr>
          <w:p w14:paraId="3C31F02F"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51 </w:t>
            </w:r>
          </w:p>
        </w:tc>
        <w:tc>
          <w:tcPr>
            <w:tcW w:w="0" w:type="auto"/>
            <w:tcBorders>
              <w:top w:val="nil"/>
              <w:left w:val="nil"/>
              <w:bottom w:val="single" w:sz="4" w:space="0" w:color="auto"/>
              <w:right w:val="single" w:sz="4" w:space="0" w:color="auto"/>
            </w:tcBorders>
            <w:shd w:val="clear" w:color="auto" w:fill="auto"/>
            <w:noWrap/>
          </w:tcPr>
          <w:p w14:paraId="62D80B19"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43 </w:t>
            </w:r>
          </w:p>
        </w:tc>
        <w:tc>
          <w:tcPr>
            <w:tcW w:w="0" w:type="auto"/>
            <w:tcBorders>
              <w:top w:val="nil"/>
              <w:left w:val="nil"/>
              <w:bottom w:val="single" w:sz="4" w:space="0" w:color="auto"/>
              <w:right w:val="single" w:sz="4" w:space="0" w:color="auto"/>
            </w:tcBorders>
            <w:shd w:val="clear" w:color="auto" w:fill="auto"/>
            <w:noWrap/>
          </w:tcPr>
          <w:p w14:paraId="152E97A0"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$ 26,872 </w:t>
            </w:r>
          </w:p>
        </w:tc>
        <w:tc>
          <w:tcPr>
            <w:tcW w:w="0" w:type="auto"/>
            <w:tcBorders>
              <w:top w:val="nil"/>
              <w:left w:val="nil"/>
              <w:bottom w:val="single" w:sz="4" w:space="0" w:color="auto"/>
              <w:right w:val="single" w:sz="4" w:space="0" w:color="auto"/>
            </w:tcBorders>
            <w:shd w:val="clear" w:color="auto" w:fill="auto"/>
            <w:noWrap/>
          </w:tcPr>
          <w:p w14:paraId="377B8AED"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$ 84,052 </w:t>
            </w:r>
          </w:p>
        </w:tc>
      </w:tr>
      <w:tr w:rsidR="006F4FA8" w:rsidRPr="006F4FA8" w14:paraId="51A04731" w14:textId="77777777" w:rsidTr="006F4FA8">
        <w:trPr>
          <w:trHeight w:val="20"/>
        </w:trPr>
        <w:tc>
          <w:tcPr>
            <w:tcW w:w="0" w:type="auto"/>
            <w:tcBorders>
              <w:top w:val="nil"/>
              <w:left w:val="single" w:sz="4" w:space="0" w:color="auto"/>
              <w:bottom w:val="single" w:sz="4" w:space="0" w:color="auto"/>
              <w:right w:val="single" w:sz="4" w:space="0" w:color="auto"/>
            </w:tcBorders>
            <w:shd w:val="clear" w:color="auto" w:fill="auto"/>
          </w:tcPr>
          <w:p w14:paraId="61195266" w14:textId="77777777" w:rsidR="006F4FA8" w:rsidRPr="006F4FA8" w:rsidRDefault="006F4FA8" w:rsidP="00670854">
            <w:pPr>
              <w:spacing w:after="0" w:line="240" w:lineRule="auto"/>
              <w:rPr>
                <w:rFonts w:ascii="Arial" w:eastAsia="Times New Roman" w:hAnsi="Arial" w:cs="Arial"/>
                <w:b/>
                <w:bCs/>
                <w:i/>
                <w:iCs/>
                <w:color w:val="0070C0"/>
                <w:sz w:val="16"/>
                <w:szCs w:val="16"/>
                <w:lang w:val="en-US"/>
              </w:rPr>
            </w:pPr>
            <w:r w:rsidRPr="006F4FA8">
              <w:rPr>
                <w:rFonts w:ascii="Arial" w:hAnsi="Arial" w:cs="Arial"/>
                <w:sz w:val="16"/>
                <w:szCs w:val="16"/>
              </w:rPr>
              <w:t xml:space="preserve"> Antioquia/Medellín Responde </w:t>
            </w:r>
          </w:p>
        </w:tc>
        <w:tc>
          <w:tcPr>
            <w:tcW w:w="0" w:type="auto"/>
            <w:tcBorders>
              <w:top w:val="nil"/>
              <w:left w:val="nil"/>
              <w:bottom w:val="single" w:sz="4" w:space="0" w:color="auto"/>
              <w:right w:val="single" w:sz="4" w:space="0" w:color="auto"/>
            </w:tcBorders>
            <w:shd w:val="clear" w:color="auto" w:fill="auto"/>
            <w:noWrap/>
          </w:tcPr>
          <w:p w14:paraId="237AECE5"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$ 100,000 </w:t>
            </w:r>
          </w:p>
        </w:tc>
        <w:tc>
          <w:tcPr>
            <w:tcW w:w="0" w:type="auto"/>
            <w:tcBorders>
              <w:top w:val="nil"/>
              <w:left w:val="nil"/>
              <w:bottom w:val="single" w:sz="4" w:space="0" w:color="auto"/>
              <w:right w:val="single" w:sz="4" w:space="0" w:color="auto"/>
            </w:tcBorders>
            <w:shd w:val="clear" w:color="000000" w:fill="FFFFFF"/>
            <w:noWrap/>
          </w:tcPr>
          <w:p w14:paraId="3DDEDEDD"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110 </w:t>
            </w:r>
          </w:p>
        </w:tc>
        <w:tc>
          <w:tcPr>
            <w:tcW w:w="0" w:type="auto"/>
            <w:tcBorders>
              <w:top w:val="nil"/>
              <w:left w:val="nil"/>
              <w:bottom w:val="single" w:sz="4" w:space="0" w:color="auto"/>
              <w:right w:val="single" w:sz="4" w:space="0" w:color="auto"/>
            </w:tcBorders>
            <w:shd w:val="clear" w:color="000000" w:fill="FFFFFF"/>
            <w:noWrap/>
          </w:tcPr>
          <w:p w14:paraId="2A189DAD" w14:textId="77777777" w:rsidR="006F4FA8" w:rsidRPr="006F4FA8" w:rsidRDefault="006F4FA8" w:rsidP="00670854">
            <w:pPr>
              <w:spacing w:after="0" w:line="240" w:lineRule="auto"/>
              <w:jc w:val="right"/>
              <w:rPr>
                <w:rFonts w:ascii="Arial" w:eastAsia="Times New Roman" w:hAnsi="Arial" w:cs="Arial"/>
                <w:b/>
                <w:bCs/>
                <w:color w:val="000000"/>
                <w:sz w:val="16"/>
                <w:szCs w:val="16"/>
                <w:lang w:val="en-US"/>
              </w:rPr>
            </w:pPr>
            <w:r w:rsidRPr="006F4FA8">
              <w:rPr>
                <w:rFonts w:ascii="Arial" w:hAnsi="Arial" w:cs="Arial"/>
                <w:sz w:val="16"/>
                <w:szCs w:val="16"/>
              </w:rPr>
              <w:t xml:space="preserve"> $ 7,378 </w:t>
            </w:r>
          </w:p>
        </w:tc>
        <w:tc>
          <w:tcPr>
            <w:tcW w:w="0" w:type="auto"/>
            <w:tcBorders>
              <w:top w:val="nil"/>
              <w:left w:val="nil"/>
              <w:bottom w:val="single" w:sz="4" w:space="0" w:color="auto"/>
              <w:right w:val="single" w:sz="4" w:space="0" w:color="auto"/>
            </w:tcBorders>
            <w:shd w:val="clear" w:color="000000" w:fill="FFFFFF"/>
            <w:noWrap/>
          </w:tcPr>
          <w:p w14:paraId="0D65C414"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75 </w:t>
            </w:r>
          </w:p>
        </w:tc>
        <w:tc>
          <w:tcPr>
            <w:tcW w:w="0" w:type="auto"/>
            <w:tcBorders>
              <w:top w:val="nil"/>
              <w:left w:val="nil"/>
              <w:bottom w:val="single" w:sz="4" w:space="0" w:color="auto"/>
              <w:right w:val="single" w:sz="4" w:space="0" w:color="auto"/>
            </w:tcBorders>
            <w:shd w:val="clear" w:color="000000" w:fill="FFFFFF"/>
            <w:noWrap/>
          </w:tcPr>
          <w:p w14:paraId="141FD8A8" w14:textId="77777777" w:rsidR="006F4FA8" w:rsidRPr="006F4FA8" w:rsidRDefault="006F4FA8" w:rsidP="00670854">
            <w:pPr>
              <w:spacing w:after="0" w:line="240" w:lineRule="auto"/>
              <w:jc w:val="right"/>
              <w:rPr>
                <w:rFonts w:ascii="Arial" w:eastAsia="Times New Roman" w:hAnsi="Arial" w:cs="Arial"/>
                <w:color w:val="000000"/>
                <w:sz w:val="16"/>
                <w:szCs w:val="16"/>
                <w:lang w:val="en-US"/>
              </w:rPr>
            </w:pPr>
            <w:r w:rsidRPr="006F4FA8">
              <w:rPr>
                <w:rFonts w:ascii="Arial" w:hAnsi="Arial" w:cs="Arial"/>
                <w:sz w:val="16"/>
                <w:szCs w:val="16"/>
              </w:rPr>
              <w:t xml:space="preserve"> 75 </w:t>
            </w:r>
          </w:p>
        </w:tc>
        <w:tc>
          <w:tcPr>
            <w:tcW w:w="0" w:type="auto"/>
            <w:tcBorders>
              <w:top w:val="nil"/>
              <w:left w:val="nil"/>
              <w:bottom w:val="single" w:sz="4" w:space="0" w:color="auto"/>
              <w:right w:val="single" w:sz="4" w:space="0" w:color="auto"/>
            </w:tcBorders>
            <w:shd w:val="clear" w:color="000000" w:fill="FFFFFF"/>
            <w:noWrap/>
          </w:tcPr>
          <w:p w14:paraId="24C77103" w14:textId="77777777" w:rsidR="006F4FA8" w:rsidRPr="006F4FA8" w:rsidRDefault="006F4FA8" w:rsidP="00670854">
            <w:pPr>
              <w:spacing w:after="0" w:line="240" w:lineRule="auto"/>
              <w:jc w:val="right"/>
              <w:rPr>
                <w:rFonts w:ascii="Arial" w:eastAsia="Times New Roman" w:hAnsi="Arial" w:cs="Arial"/>
                <w:b/>
                <w:bCs/>
                <w:color w:val="000000"/>
                <w:sz w:val="16"/>
                <w:szCs w:val="16"/>
                <w:lang w:val="en-US"/>
              </w:rPr>
            </w:pPr>
            <w:r w:rsidRPr="006F4FA8">
              <w:rPr>
                <w:rFonts w:ascii="Arial" w:hAnsi="Arial" w:cs="Arial"/>
                <w:sz w:val="16"/>
                <w:szCs w:val="16"/>
              </w:rPr>
              <w:t xml:space="preserve"> $ 29,314 </w:t>
            </w:r>
          </w:p>
        </w:tc>
        <w:tc>
          <w:tcPr>
            <w:tcW w:w="0" w:type="auto"/>
            <w:tcBorders>
              <w:top w:val="nil"/>
              <w:left w:val="nil"/>
              <w:bottom w:val="single" w:sz="4" w:space="0" w:color="auto"/>
              <w:right w:val="single" w:sz="4" w:space="0" w:color="auto"/>
            </w:tcBorders>
            <w:shd w:val="clear" w:color="auto" w:fill="auto"/>
            <w:noWrap/>
          </w:tcPr>
          <w:p w14:paraId="12473A9D" w14:textId="77777777" w:rsidR="006F4FA8" w:rsidRPr="006F4FA8" w:rsidRDefault="006F4FA8" w:rsidP="00670854">
            <w:pPr>
              <w:spacing w:after="0" w:line="240" w:lineRule="auto"/>
              <w:jc w:val="right"/>
              <w:rPr>
                <w:rFonts w:ascii="Arial" w:eastAsia="Times New Roman" w:hAnsi="Arial" w:cs="Arial"/>
                <w:b/>
                <w:bCs/>
                <w:i/>
                <w:iCs/>
                <w:color w:val="0070C0"/>
                <w:sz w:val="16"/>
                <w:szCs w:val="16"/>
                <w:lang w:val="en-US"/>
              </w:rPr>
            </w:pPr>
            <w:r w:rsidRPr="006F4FA8">
              <w:rPr>
                <w:rFonts w:ascii="Arial" w:hAnsi="Arial" w:cs="Arial"/>
                <w:sz w:val="16"/>
                <w:szCs w:val="16"/>
              </w:rPr>
              <w:t xml:space="preserve"> $ 63,308 </w:t>
            </w:r>
          </w:p>
        </w:tc>
      </w:tr>
      <w:tr w:rsidR="006F4FA8" w:rsidRPr="006F4FA8" w14:paraId="1BBCC2E4" w14:textId="77777777" w:rsidTr="006F4FA8">
        <w:trPr>
          <w:trHeight w:val="20"/>
        </w:trPr>
        <w:tc>
          <w:tcPr>
            <w:tcW w:w="0" w:type="auto"/>
            <w:tcBorders>
              <w:top w:val="nil"/>
              <w:left w:val="single" w:sz="4" w:space="0" w:color="auto"/>
              <w:bottom w:val="single" w:sz="4" w:space="0" w:color="auto"/>
              <w:right w:val="single" w:sz="4" w:space="0" w:color="auto"/>
            </w:tcBorders>
            <w:shd w:val="clear" w:color="000000" w:fill="D9D9D9"/>
            <w:noWrap/>
          </w:tcPr>
          <w:p w14:paraId="0CD7F873" w14:textId="77777777" w:rsidR="006F4FA8" w:rsidRPr="006F4FA8" w:rsidRDefault="006F4FA8" w:rsidP="00670854">
            <w:pPr>
              <w:spacing w:after="0" w:line="240" w:lineRule="auto"/>
              <w:rPr>
                <w:rFonts w:ascii="Arial" w:eastAsia="Times New Roman" w:hAnsi="Arial" w:cs="Arial"/>
                <w:b/>
                <w:bCs/>
                <w:color w:val="000000"/>
                <w:sz w:val="16"/>
                <w:szCs w:val="16"/>
                <w:lang w:val="en-US"/>
              </w:rPr>
            </w:pPr>
            <w:r w:rsidRPr="006F4FA8">
              <w:rPr>
                <w:rFonts w:ascii="Arial" w:hAnsi="Arial" w:cs="Arial"/>
                <w:sz w:val="16"/>
                <w:szCs w:val="16"/>
              </w:rPr>
              <w:t xml:space="preserve"> TOTAL </w:t>
            </w:r>
          </w:p>
        </w:tc>
        <w:tc>
          <w:tcPr>
            <w:tcW w:w="0" w:type="auto"/>
            <w:tcBorders>
              <w:top w:val="nil"/>
              <w:left w:val="nil"/>
              <w:bottom w:val="single" w:sz="4" w:space="0" w:color="auto"/>
              <w:right w:val="single" w:sz="4" w:space="0" w:color="auto"/>
            </w:tcBorders>
            <w:shd w:val="clear" w:color="000000" w:fill="D9D9D9"/>
            <w:noWrap/>
          </w:tcPr>
          <w:p w14:paraId="5462F87E" w14:textId="77777777" w:rsidR="006F4FA8" w:rsidRPr="006F4FA8" w:rsidRDefault="006F4FA8" w:rsidP="00670854">
            <w:pPr>
              <w:spacing w:after="0" w:line="240" w:lineRule="auto"/>
              <w:jc w:val="right"/>
              <w:rPr>
                <w:rFonts w:ascii="Arial" w:eastAsia="Times New Roman" w:hAnsi="Arial" w:cs="Arial"/>
                <w:b/>
                <w:bCs/>
                <w:color w:val="000000"/>
                <w:sz w:val="16"/>
                <w:szCs w:val="16"/>
                <w:lang w:val="en-US"/>
              </w:rPr>
            </w:pPr>
            <w:r w:rsidRPr="006F4FA8">
              <w:rPr>
                <w:rFonts w:ascii="Arial" w:hAnsi="Arial" w:cs="Arial"/>
                <w:sz w:val="16"/>
                <w:szCs w:val="16"/>
              </w:rPr>
              <w:t xml:space="preserve"> $ 1,121,100 </w:t>
            </w:r>
          </w:p>
        </w:tc>
        <w:tc>
          <w:tcPr>
            <w:tcW w:w="0" w:type="auto"/>
            <w:tcBorders>
              <w:top w:val="nil"/>
              <w:left w:val="nil"/>
              <w:bottom w:val="single" w:sz="4" w:space="0" w:color="auto"/>
              <w:right w:val="single" w:sz="4" w:space="0" w:color="auto"/>
            </w:tcBorders>
            <w:shd w:val="clear" w:color="000000" w:fill="D9D9D9"/>
            <w:noWrap/>
          </w:tcPr>
          <w:p w14:paraId="73E3D3C2" w14:textId="77777777" w:rsidR="006F4FA8" w:rsidRPr="006F4FA8" w:rsidRDefault="006F4FA8" w:rsidP="00670854">
            <w:pPr>
              <w:spacing w:after="0" w:line="240" w:lineRule="auto"/>
              <w:jc w:val="right"/>
              <w:rPr>
                <w:rFonts w:ascii="Arial" w:eastAsia="Times New Roman" w:hAnsi="Arial" w:cs="Arial"/>
                <w:b/>
                <w:bCs/>
                <w:color w:val="000000"/>
                <w:sz w:val="16"/>
                <w:szCs w:val="16"/>
                <w:lang w:val="en-US"/>
              </w:rPr>
            </w:pPr>
            <w:r w:rsidRPr="006F4FA8">
              <w:rPr>
                <w:rFonts w:ascii="Arial" w:hAnsi="Arial" w:cs="Arial"/>
                <w:sz w:val="16"/>
                <w:szCs w:val="16"/>
              </w:rPr>
              <w:t xml:space="preserve"> 880 </w:t>
            </w:r>
          </w:p>
        </w:tc>
        <w:tc>
          <w:tcPr>
            <w:tcW w:w="0" w:type="auto"/>
            <w:tcBorders>
              <w:top w:val="nil"/>
              <w:left w:val="nil"/>
              <w:bottom w:val="single" w:sz="4" w:space="0" w:color="auto"/>
              <w:right w:val="single" w:sz="4" w:space="0" w:color="auto"/>
            </w:tcBorders>
            <w:shd w:val="clear" w:color="000000" w:fill="D9D9D9"/>
            <w:noWrap/>
          </w:tcPr>
          <w:p w14:paraId="063FBF74" w14:textId="77777777" w:rsidR="006F4FA8" w:rsidRPr="006F4FA8" w:rsidRDefault="006F4FA8" w:rsidP="00670854">
            <w:pPr>
              <w:spacing w:after="0" w:line="240" w:lineRule="auto"/>
              <w:jc w:val="right"/>
              <w:rPr>
                <w:rFonts w:ascii="Arial" w:eastAsia="Times New Roman" w:hAnsi="Arial" w:cs="Arial"/>
                <w:b/>
                <w:bCs/>
                <w:color w:val="000000"/>
                <w:sz w:val="16"/>
                <w:szCs w:val="16"/>
                <w:lang w:val="en-US"/>
              </w:rPr>
            </w:pPr>
            <w:r w:rsidRPr="006F4FA8">
              <w:rPr>
                <w:rFonts w:ascii="Arial" w:hAnsi="Arial" w:cs="Arial"/>
                <w:sz w:val="16"/>
                <w:szCs w:val="16"/>
              </w:rPr>
              <w:t xml:space="preserve"> $ 69,598 </w:t>
            </w:r>
          </w:p>
        </w:tc>
        <w:tc>
          <w:tcPr>
            <w:tcW w:w="0" w:type="auto"/>
            <w:tcBorders>
              <w:top w:val="nil"/>
              <w:left w:val="nil"/>
              <w:bottom w:val="single" w:sz="4" w:space="0" w:color="auto"/>
              <w:right w:val="single" w:sz="4" w:space="0" w:color="auto"/>
            </w:tcBorders>
            <w:shd w:val="clear" w:color="000000" w:fill="D9D9D9"/>
            <w:noWrap/>
          </w:tcPr>
          <w:p w14:paraId="56A06FEC" w14:textId="77777777" w:rsidR="006F4FA8" w:rsidRPr="006F4FA8" w:rsidRDefault="006F4FA8" w:rsidP="00670854">
            <w:pPr>
              <w:spacing w:after="0" w:line="240" w:lineRule="auto"/>
              <w:jc w:val="right"/>
              <w:rPr>
                <w:rFonts w:ascii="Arial" w:eastAsia="Times New Roman" w:hAnsi="Arial" w:cs="Arial"/>
                <w:b/>
                <w:bCs/>
                <w:color w:val="000000"/>
                <w:sz w:val="16"/>
                <w:szCs w:val="16"/>
                <w:lang w:val="en-US"/>
              </w:rPr>
            </w:pPr>
            <w:r w:rsidRPr="006F4FA8">
              <w:rPr>
                <w:rFonts w:ascii="Arial" w:hAnsi="Arial" w:cs="Arial"/>
                <w:sz w:val="16"/>
                <w:szCs w:val="16"/>
              </w:rPr>
              <w:t xml:space="preserve"> 2,702 </w:t>
            </w:r>
          </w:p>
        </w:tc>
        <w:tc>
          <w:tcPr>
            <w:tcW w:w="0" w:type="auto"/>
            <w:tcBorders>
              <w:top w:val="nil"/>
              <w:left w:val="nil"/>
              <w:bottom w:val="single" w:sz="4" w:space="0" w:color="auto"/>
              <w:right w:val="single" w:sz="4" w:space="0" w:color="auto"/>
            </w:tcBorders>
            <w:shd w:val="clear" w:color="000000" w:fill="D9D9D9"/>
            <w:noWrap/>
          </w:tcPr>
          <w:p w14:paraId="63F2A612" w14:textId="77777777" w:rsidR="006F4FA8" w:rsidRPr="006F4FA8" w:rsidRDefault="006F4FA8" w:rsidP="00670854">
            <w:pPr>
              <w:spacing w:after="0" w:line="240" w:lineRule="auto"/>
              <w:jc w:val="right"/>
              <w:rPr>
                <w:rFonts w:ascii="Arial" w:eastAsia="Times New Roman" w:hAnsi="Arial" w:cs="Arial"/>
                <w:b/>
                <w:bCs/>
                <w:color w:val="000000"/>
                <w:sz w:val="16"/>
                <w:szCs w:val="16"/>
                <w:lang w:val="en-US"/>
              </w:rPr>
            </w:pPr>
            <w:r w:rsidRPr="006F4FA8">
              <w:rPr>
                <w:rFonts w:ascii="Arial" w:hAnsi="Arial" w:cs="Arial"/>
                <w:sz w:val="16"/>
                <w:szCs w:val="16"/>
              </w:rPr>
              <w:t xml:space="preserve"> $ 2,592 </w:t>
            </w:r>
          </w:p>
        </w:tc>
        <w:tc>
          <w:tcPr>
            <w:tcW w:w="0" w:type="auto"/>
            <w:tcBorders>
              <w:top w:val="nil"/>
              <w:left w:val="nil"/>
              <w:bottom w:val="single" w:sz="4" w:space="0" w:color="auto"/>
              <w:right w:val="single" w:sz="4" w:space="0" w:color="auto"/>
            </w:tcBorders>
            <w:shd w:val="clear" w:color="000000" w:fill="D9D9D9"/>
            <w:noWrap/>
          </w:tcPr>
          <w:p w14:paraId="6ED9EB9C" w14:textId="77777777" w:rsidR="006F4FA8" w:rsidRPr="006F4FA8" w:rsidRDefault="006F4FA8" w:rsidP="00670854">
            <w:pPr>
              <w:spacing w:after="0" w:line="240" w:lineRule="auto"/>
              <w:jc w:val="right"/>
              <w:rPr>
                <w:rFonts w:ascii="Arial" w:eastAsia="Times New Roman" w:hAnsi="Arial" w:cs="Arial"/>
                <w:b/>
                <w:bCs/>
                <w:color w:val="000000"/>
                <w:sz w:val="16"/>
                <w:szCs w:val="16"/>
                <w:lang w:val="en-US"/>
              </w:rPr>
            </w:pPr>
            <w:r w:rsidRPr="006F4FA8">
              <w:rPr>
                <w:rFonts w:ascii="Arial" w:hAnsi="Arial" w:cs="Arial"/>
                <w:sz w:val="16"/>
                <w:szCs w:val="16"/>
              </w:rPr>
              <w:t xml:space="preserve"> $ 721,148 </w:t>
            </w:r>
          </w:p>
        </w:tc>
        <w:tc>
          <w:tcPr>
            <w:tcW w:w="0" w:type="auto"/>
            <w:tcBorders>
              <w:top w:val="nil"/>
              <w:left w:val="nil"/>
              <w:bottom w:val="single" w:sz="4" w:space="0" w:color="auto"/>
              <w:right w:val="single" w:sz="4" w:space="0" w:color="auto"/>
            </w:tcBorders>
            <w:shd w:val="clear" w:color="000000" w:fill="D9D9D9"/>
            <w:noWrap/>
          </w:tcPr>
          <w:p w14:paraId="3930AF2A" w14:textId="77777777" w:rsidR="006F4FA8" w:rsidRPr="006F4FA8" w:rsidRDefault="006F4FA8" w:rsidP="00670854">
            <w:pPr>
              <w:spacing w:after="0" w:line="240" w:lineRule="auto"/>
              <w:jc w:val="right"/>
              <w:rPr>
                <w:rFonts w:ascii="Arial" w:eastAsia="Times New Roman" w:hAnsi="Arial" w:cs="Arial"/>
                <w:b/>
                <w:bCs/>
                <w:color w:val="000000"/>
                <w:sz w:val="16"/>
                <w:szCs w:val="16"/>
                <w:lang w:val="en-US"/>
              </w:rPr>
            </w:pPr>
            <w:r w:rsidRPr="006F4FA8">
              <w:rPr>
                <w:rFonts w:ascii="Arial" w:hAnsi="Arial" w:cs="Arial"/>
                <w:sz w:val="16"/>
                <w:szCs w:val="16"/>
              </w:rPr>
              <w:t xml:space="preserve"> $ 330,355 </w:t>
            </w:r>
          </w:p>
        </w:tc>
      </w:tr>
    </w:tbl>
    <w:p w14:paraId="502E1DC2" w14:textId="77777777" w:rsidR="006F4FA8" w:rsidRDefault="006F4FA8" w:rsidP="006F4FA8">
      <w:pPr>
        <w:pStyle w:val="Prrafodelista"/>
        <w:tabs>
          <w:tab w:val="left" w:pos="284"/>
        </w:tabs>
        <w:ind w:left="284" w:right="141"/>
        <w:jc w:val="center"/>
        <w:rPr>
          <w:rFonts w:ascii="Arial" w:hAnsi="Arial" w:cs="Arial"/>
          <w:b/>
          <w:bCs/>
          <w:color w:val="2D4873"/>
          <w:sz w:val="18"/>
          <w:szCs w:val="18"/>
        </w:rPr>
      </w:pPr>
      <w:r w:rsidRPr="002115B5">
        <w:rPr>
          <w:rFonts w:ascii="Arial" w:hAnsi="Arial" w:cs="Arial"/>
          <w:b/>
          <w:bCs/>
          <w:color w:val="2D4873"/>
          <w:sz w:val="18"/>
          <w:szCs w:val="18"/>
        </w:rPr>
        <w:t>Última Actualización: (</w:t>
      </w:r>
      <w:r>
        <w:rPr>
          <w:rFonts w:ascii="Arial" w:hAnsi="Arial" w:cs="Arial"/>
          <w:b/>
          <w:bCs/>
          <w:color w:val="2D4873"/>
          <w:sz w:val="18"/>
          <w:szCs w:val="18"/>
        </w:rPr>
        <w:t>16</w:t>
      </w:r>
      <w:r w:rsidRPr="002115B5">
        <w:rPr>
          <w:rFonts w:ascii="Arial" w:hAnsi="Arial" w:cs="Arial"/>
          <w:b/>
          <w:bCs/>
          <w:color w:val="2D4873"/>
          <w:sz w:val="18"/>
          <w:szCs w:val="18"/>
        </w:rPr>
        <w:t>/0</w:t>
      </w:r>
      <w:r>
        <w:rPr>
          <w:rFonts w:ascii="Arial" w:hAnsi="Arial" w:cs="Arial"/>
          <w:b/>
          <w:bCs/>
          <w:color w:val="2D4873"/>
          <w:sz w:val="18"/>
          <w:szCs w:val="18"/>
        </w:rPr>
        <w:t>5</w:t>
      </w:r>
      <w:r w:rsidRPr="002115B5">
        <w:rPr>
          <w:rFonts w:ascii="Arial" w:hAnsi="Arial" w:cs="Arial"/>
          <w:b/>
          <w:bCs/>
          <w:color w:val="2D4873"/>
          <w:sz w:val="18"/>
          <w:szCs w:val="18"/>
        </w:rPr>
        <w:t>/2020) – Cifras con corte a (</w:t>
      </w:r>
      <w:r>
        <w:rPr>
          <w:rFonts w:ascii="Arial" w:hAnsi="Arial" w:cs="Arial"/>
          <w:b/>
          <w:bCs/>
          <w:color w:val="2D4873"/>
          <w:sz w:val="18"/>
          <w:szCs w:val="18"/>
        </w:rPr>
        <w:t>15</w:t>
      </w:r>
      <w:r w:rsidRPr="002115B5">
        <w:rPr>
          <w:rFonts w:ascii="Arial" w:hAnsi="Arial" w:cs="Arial"/>
          <w:b/>
          <w:bCs/>
          <w:color w:val="2D4873"/>
          <w:sz w:val="18"/>
          <w:szCs w:val="18"/>
        </w:rPr>
        <w:t>/</w:t>
      </w:r>
      <w:r>
        <w:rPr>
          <w:rFonts w:ascii="Arial" w:hAnsi="Arial" w:cs="Arial"/>
          <w:b/>
          <w:bCs/>
          <w:color w:val="2D4873"/>
          <w:sz w:val="18"/>
          <w:szCs w:val="18"/>
        </w:rPr>
        <w:t>05</w:t>
      </w:r>
      <w:r w:rsidRPr="002115B5">
        <w:rPr>
          <w:rFonts w:ascii="Arial" w:hAnsi="Arial" w:cs="Arial"/>
          <w:b/>
          <w:bCs/>
          <w:color w:val="2D4873"/>
          <w:sz w:val="18"/>
          <w:szCs w:val="18"/>
        </w:rPr>
        <w:t>/2020)</w:t>
      </w:r>
    </w:p>
    <w:p w14:paraId="1438794A" w14:textId="77777777" w:rsidR="006F4FA8" w:rsidRDefault="006F4FA8" w:rsidP="006F4FA8">
      <w:pPr>
        <w:pStyle w:val="Prrafodelista"/>
        <w:tabs>
          <w:tab w:val="left" w:pos="284"/>
        </w:tabs>
        <w:ind w:left="284" w:right="141"/>
        <w:jc w:val="center"/>
        <w:rPr>
          <w:rFonts w:ascii="Arial" w:hAnsi="Arial" w:cs="Arial"/>
          <w:b/>
          <w:bCs/>
          <w:color w:val="2D4873"/>
          <w:sz w:val="18"/>
          <w:szCs w:val="18"/>
        </w:rPr>
      </w:pPr>
    </w:p>
    <w:p w14:paraId="55C862AD" w14:textId="0DF9ABD7" w:rsidR="006F4FA8" w:rsidRPr="006F4FA8" w:rsidRDefault="006F4FA8" w:rsidP="006F4FA8">
      <w:pPr>
        <w:tabs>
          <w:tab w:val="left" w:pos="0"/>
        </w:tabs>
        <w:ind w:right="191"/>
        <w:jc w:val="both"/>
        <w:rPr>
          <w:rFonts w:ascii="Arial" w:hAnsi="Arial" w:cs="Arial"/>
          <w:b/>
          <w:bCs/>
        </w:rPr>
      </w:pPr>
      <w:bookmarkStart w:id="1" w:name="FINAGRO"/>
      <w:r w:rsidRPr="006F4FA8">
        <w:rPr>
          <w:rFonts w:ascii="Arial" w:hAnsi="Arial" w:cs="Arial"/>
          <w:b/>
          <w:bCs/>
        </w:rPr>
        <w:t>Finagro</w:t>
      </w:r>
    </w:p>
    <w:bookmarkEnd w:id="1"/>
    <w:p w14:paraId="037E68EF" w14:textId="77777777" w:rsidR="006F4FA8" w:rsidRPr="006F4FA8" w:rsidRDefault="006F4FA8" w:rsidP="006F4FA8">
      <w:pPr>
        <w:tabs>
          <w:tab w:val="left" w:pos="0"/>
        </w:tabs>
        <w:ind w:right="191"/>
        <w:jc w:val="both"/>
        <w:rPr>
          <w:rFonts w:ascii="Arial" w:hAnsi="Arial" w:cs="Arial"/>
        </w:rPr>
      </w:pPr>
      <w:r w:rsidRPr="006F4FA8">
        <w:rPr>
          <w:rFonts w:ascii="Arial" w:hAnsi="Arial" w:cs="Arial"/>
        </w:rPr>
        <w:t xml:space="preserve">A través de la Línea Colombia AgroProduce, al 15 de mayo se han otorgado </w:t>
      </w:r>
      <w:r w:rsidRPr="006F4FA8">
        <w:rPr>
          <w:rFonts w:ascii="Arial" w:hAnsi="Arial" w:cs="Arial"/>
          <w:b/>
          <w:bCs/>
        </w:rPr>
        <w:t>8,023 créditos</w:t>
      </w:r>
      <w:r w:rsidRPr="006F4FA8">
        <w:rPr>
          <w:rFonts w:ascii="Arial" w:hAnsi="Arial" w:cs="Arial"/>
        </w:rPr>
        <w:t xml:space="preserve"> con subsidio a tasa de interés por valor de </w:t>
      </w:r>
      <w:r w:rsidRPr="006F4FA8">
        <w:rPr>
          <w:rFonts w:ascii="Arial" w:hAnsi="Arial" w:cs="Arial"/>
          <w:b/>
          <w:bCs/>
        </w:rPr>
        <w:t>$32.085 millones</w:t>
      </w:r>
      <w:r w:rsidRPr="006F4FA8">
        <w:rPr>
          <w:rFonts w:ascii="Arial" w:hAnsi="Arial" w:cs="Arial"/>
        </w:rPr>
        <w:t xml:space="preserve">, de un cupo total asignado para este subsidio de </w:t>
      </w:r>
      <w:r w:rsidRPr="006F4FA8">
        <w:rPr>
          <w:rFonts w:ascii="Arial" w:hAnsi="Arial" w:cs="Arial"/>
          <w:b/>
          <w:bCs/>
        </w:rPr>
        <w:t>$50.000 millones</w:t>
      </w:r>
      <w:r w:rsidRPr="006F4FA8">
        <w:rPr>
          <w:rFonts w:ascii="Arial" w:hAnsi="Arial" w:cs="Arial"/>
        </w:rPr>
        <w:t>, así:</w:t>
      </w:r>
    </w:p>
    <w:p w14:paraId="238C4363" w14:textId="77777777" w:rsidR="006F4FA8" w:rsidRPr="002115B5" w:rsidRDefault="006F4FA8" w:rsidP="006F4FA8">
      <w:pPr>
        <w:tabs>
          <w:tab w:val="left" w:pos="0"/>
        </w:tabs>
        <w:spacing w:after="0"/>
        <w:ind w:left="709" w:right="191"/>
        <w:jc w:val="right"/>
        <w:rPr>
          <w:rFonts w:ascii="Arial" w:hAnsi="Arial" w:cs="Arial"/>
          <w:b/>
          <w:bCs/>
          <w:i/>
          <w:iCs/>
          <w:sz w:val="18"/>
          <w:szCs w:val="18"/>
        </w:rPr>
      </w:pPr>
      <w:r w:rsidRPr="002115B5">
        <w:rPr>
          <w:rFonts w:ascii="Arial" w:hAnsi="Arial" w:cs="Arial"/>
          <w:b/>
          <w:bCs/>
          <w:sz w:val="16"/>
          <w:szCs w:val="16"/>
        </w:rPr>
        <w:t>Cifras en millones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8"/>
        <w:gridCol w:w="763"/>
        <w:gridCol w:w="1110"/>
        <w:gridCol w:w="905"/>
        <w:gridCol w:w="852"/>
        <w:gridCol w:w="1110"/>
        <w:gridCol w:w="905"/>
        <w:gridCol w:w="763"/>
        <w:gridCol w:w="1202"/>
      </w:tblGrid>
      <w:tr w:rsidR="006F4FA8" w:rsidRPr="006F4FA8" w14:paraId="5A272346" w14:textId="77777777" w:rsidTr="006F4FA8">
        <w:trPr>
          <w:trHeight w:val="20"/>
          <w:jc w:val="center"/>
        </w:trPr>
        <w:tc>
          <w:tcPr>
            <w:tcW w:w="0" w:type="auto"/>
            <w:vMerge w:val="restart"/>
            <w:shd w:val="clear" w:color="auto" w:fill="2E74B5" w:themeFill="accent1" w:themeFillShade="BF"/>
            <w:vAlign w:val="center"/>
            <w:hideMark/>
          </w:tcPr>
          <w:p w14:paraId="5701E708"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Líneas</w:t>
            </w:r>
          </w:p>
        </w:tc>
        <w:tc>
          <w:tcPr>
            <w:tcW w:w="0" w:type="auto"/>
            <w:vMerge w:val="restart"/>
            <w:shd w:val="clear" w:color="auto" w:fill="2E74B5" w:themeFill="accent1" w:themeFillShade="BF"/>
            <w:noWrap/>
            <w:vAlign w:val="center"/>
            <w:hideMark/>
          </w:tcPr>
          <w:p w14:paraId="7F091557"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Cupo (*)</w:t>
            </w:r>
          </w:p>
        </w:tc>
        <w:tc>
          <w:tcPr>
            <w:tcW w:w="0" w:type="auto"/>
            <w:gridSpan w:val="3"/>
            <w:shd w:val="clear" w:color="auto" w:fill="2E74B5" w:themeFill="accent1" w:themeFillShade="BF"/>
            <w:noWrap/>
            <w:vAlign w:val="center"/>
            <w:hideMark/>
          </w:tcPr>
          <w:p w14:paraId="1A8498FA"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 xml:space="preserve">Desembolsos </w:t>
            </w:r>
          </w:p>
        </w:tc>
        <w:tc>
          <w:tcPr>
            <w:tcW w:w="0" w:type="auto"/>
            <w:gridSpan w:val="3"/>
            <w:shd w:val="clear" w:color="auto" w:fill="2E74B5" w:themeFill="accent1" w:themeFillShade="BF"/>
            <w:noWrap/>
            <w:vAlign w:val="center"/>
            <w:hideMark/>
          </w:tcPr>
          <w:p w14:paraId="6BED77B9"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Monto Subsidio tasa interés</w:t>
            </w:r>
          </w:p>
        </w:tc>
        <w:tc>
          <w:tcPr>
            <w:tcW w:w="0" w:type="auto"/>
            <w:vMerge w:val="restart"/>
            <w:shd w:val="clear" w:color="auto" w:fill="2E74B5" w:themeFill="accent1" w:themeFillShade="BF"/>
            <w:vAlign w:val="center"/>
            <w:hideMark/>
          </w:tcPr>
          <w:p w14:paraId="1016EA4C"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Monto disponible subsidio de tasa</w:t>
            </w:r>
          </w:p>
        </w:tc>
      </w:tr>
      <w:tr w:rsidR="006F4FA8" w:rsidRPr="006F4FA8" w14:paraId="440CCFA1" w14:textId="77777777" w:rsidTr="006F4FA8">
        <w:trPr>
          <w:trHeight w:val="450"/>
          <w:jc w:val="center"/>
        </w:trPr>
        <w:tc>
          <w:tcPr>
            <w:tcW w:w="0" w:type="auto"/>
            <w:vMerge/>
            <w:shd w:val="clear" w:color="auto" w:fill="2E74B5" w:themeFill="accent1" w:themeFillShade="BF"/>
            <w:vAlign w:val="center"/>
            <w:hideMark/>
          </w:tcPr>
          <w:p w14:paraId="2A812114" w14:textId="77777777" w:rsidR="006F4FA8" w:rsidRPr="006F4FA8" w:rsidRDefault="006F4FA8" w:rsidP="00670854">
            <w:pPr>
              <w:spacing w:after="0" w:line="240" w:lineRule="auto"/>
              <w:rPr>
                <w:rFonts w:ascii="Arial" w:eastAsia="Times New Roman" w:hAnsi="Arial" w:cs="Arial"/>
                <w:b/>
                <w:bCs/>
                <w:color w:val="FFFFFF" w:themeColor="background1"/>
                <w:sz w:val="16"/>
                <w:szCs w:val="16"/>
                <w:lang w:eastAsia="es-CO"/>
              </w:rPr>
            </w:pPr>
          </w:p>
        </w:tc>
        <w:tc>
          <w:tcPr>
            <w:tcW w:w="0" w:type="auto"/>
            <w:vMerge/>
            <w:shd w:val="clear" w:color="auto" w:fill="2E74B5" w:themeFill="accent1" w:themeFillShade="BF"/>
            <w:vAlign w:val="center"/>
            <w:hideMark/>
          </w:tcPr>
          <w:p w14:paraId="36DEBE47" w14:textId="77777777" w:rsidR="006F4FA8" w:rsidRPr="006F4FA8" w:rsidRDefault="006F4FA8" w:rsidP="00670854">
            <w:pPr>
              <w:spacing w:after="0" w:line="240" w:lineRule="auto"/>
              <w:rPr>
                <w:rFonts w:ascii="Arial" w:eastAsia="Times New Roman" w:hAnsi="Arial" w:cs="Arial"/>
                <w:b/>
                <w:bCs/>
                <w:color w:val="FFFFFF" w:themeColor="background1"/>
                <w:sz w:val="16"/>
                <w:szCs w:val="16"/>
                <w:lang w:eastAsia="es-CO"/>
              </w:rPr>
            </w:pPr>
          </w:p>
        </w:tc>
        <w:tc>
          <w:tcPr>
            <w:tcW w:w="0" w:type="auto"/>
            <w:vMerge w:val="restart"/>
            <w:shd w:val="clear" w:color="auto" w:fill="2E74B5" w:themeFill="accent1" w:themeFillShade="BF"/>
            <w:noWrap/>
            <w:vAlign w:val="center"/>
            <w:hideMark/>
          </w:tcPr>
          <w:p w14:paraId="1A36849C"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w:t>
            </w:r>
          </w:p>
          <w:p w14:paraId="388A0DD8"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Operaciones</w:t>
            </w:r>
          </w:p>
        </w:tc>
        <w:tc>
          <w:tcPr>
            <w:tcW w:w="0" w:type="auto"/>
            <w:vMerge w:val="restart"/>
            <w:shd w:val="clear" w:color="auto" w:fill="2E74B5" w:themeFill="accent1" w:themeFillShade="BF"/>
            <w:noWrap/>
            <w:vAlign w:val="center"/>
            <w:hideMark/>
          </w:tcPr>
          <w:p w14:paraId="2341E1A6"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w:t>
            </w:r>
          </w:p>
          <w:p w14:paraId="317A7067"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Empresas</w:t>
            </w:r>
          </w:p>
        </w:tc>
        <w:tc>
          <w:tcPr>
            <w:tcW w:w="0" w:type="auto"/>
            <w:vMerge w:val="restart"/>
            <w:shd w:val="clear" w:color="auto" w:fill="2E74B5" w:themeFill="accent1" w:themeFillShade="BF"/>
            <w:noWrap/>
            <w:vAlign w:val="center"/>
            <w:hideMark/>
          </w:tcPr>
          <w:p w14:paraId="4136E3C1"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 xml:space="preserve">Monto </w:t>
            </w:r>
          </w:p>
        </w:tc>
        <w:tc>
          <w:tcPr>
            <w:tcW w:w="0" w:type="auto"/>
            <w:vMerge w:val="restart"/>
            <w:shd w:val="clear" w:color="auto" w:fill="2E74B5" w:themeFill="accent1" w:themeFillShade="BF"/>
            <w:noWrap/>
            <w:vAlign w:val="center"/>
            <w:hideMark/>
          </w:tcPr>
          <w:p w14:paraId="71CC2FC3"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w:t>
            </w:r>
          </w:p>
          <w:p w14:paraId="41514513"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Operaciones</w:t>
            </w:r>
          </w:p>
        </w:tc>
        <w:tc>
          <w:tcPr>
            <w:tcW w:w="0" w:type="auto"/>
            <w:vMerge w:val="restart"/>
            <w:shd w:val="clear" w:color="auto" w:fill="2E74B5" w:themeFill="accent1" w:themeFillShade="BF"/>
            <w:noWrap/>
            <w:vAlign w:val="center"/>
            <w:hideMark/>
          </w:tcPr>
          <w:p w14:paraId="65D3BFD8"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w:t>
            </w:r>
          </w:p>
          <w:p w14:paraId="0773A86D"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Empresas</w:t>
            </w:r>
          </w:p>
        </w:tc>
        <w:tc>
          <w:tcPr>
            <w:tcW w:w="0" w:type="auto"/>
            <w:vMerge w:val="restart"/>
            <w:shd w:val="clear" w:color="auto" w:fill="2E74B5" w:themeFill="accent1" w:themeFillShade="BF"/>
            <w:noWrap/>
            <w:vAlign w:val="center"/>
            <w:hideMark/>
          </w:tcPr>
          <w:p w14:paraId="7B1100BC" w14:textId="77777777" w:rsidR="006F4FA8" w:rsidRPr="006F4FA8"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6F4FA8">
              <w:rPr>
                <w:rFonts w:ascii="Arial" w:eastAsia="Times New Roman" w:hAnsi="Arial" w:cs="Arial"/>
                <w:b/>
                <w:bCs/>
                <w:color w:val="FFFFFF" w:themeColor="background1"/>
                <w:sz w:val="16"/>
                <w:szCs w:val="16"/>
                <w:lang w:eastAsia="es-CO"/>
              </w:rPr>
              <w:t xml:space="preserve">Monto </w:t>
            </w:r>
          </w:p>
        </w:tc>
        <w:tc>
          <w:tcPr>
            <w:tcW w:w="0" w:type="auto"/>
            <w:vMerge/>
            <w:shd w:val="clear" w:color="auto" w:fill="2E74B5" w:themeFill="accent1" w:themeFillShade="BF"/>
            <w:vAlign w:val="center"/>
            <w:hideMark/>
          </w:tcPr>
          <w:p w14:paraId="565633C4" w14:textId="77777777" w:rsidR="006F4FA8" w:rsidRPr="006F4FA8" w:rsidRDefault="006F4FA8" w:rsidP="00670854">
            <w:pPr>
              <w:spacing w:after="0" w:line="240" w:lineRule="auto"/>
              <w:rPr>
                <w:rFonts w:ascii="Arial" w:eastAsia="Times New Roman" w:hAnsi="Arial" w:cs="Arial"/>
                <w:b/>
                <w:bCs/>
                <w:color w:val="FFFFFF" w:themeColor="background1"/>
                <w:sz w:val="16"/>
                <w:szCs w:val="16"/>
                <w:lang w:eastAsia="es-CO"/>
              </w:rPr>
            </w:pPr>
          </w:p>
        </w:tc>
      </w:tr>
      <w:tr w:rsidR="006F4FA8" w:rsidRPr="006F4FA8" w14:paraId="1D68D1A1" w14:textId="77777777" w:rsidTr="006F4FA8">
        <w:trPr>
          <w:trHeight w:val="450"/>
          <w:jc w:val="center"/>
        </w:trPr>
        <w:tc>
          <w:tcPr>
            <w:tcW w:w="0" w:type="auto"/>
            <w:vMerge/>
            <w:shd w:val="clear" w:color="auto" w:fill="2E74B5" w:themeFill="accent1" w:themeFillShade="BF"/>
            <w:vAlign w:val="center"/>
            <w:hideMark/>
          </w:tcPr>
          <w:p w14:paraId="3A861CC5" w14:textId="77777777" w:rsidR="006F4FA8" w:rsidRPr="006F4FA8" w:rsidRDefault="006F4FA8" w:rsidP="00670854">
            <w:pPr>
              <w:spacing w:after="0" w:line="240" w:lineRule="auto"/>
              <w:rPr>
                <w:rFonts w:ascii="Arial" w:eastAsia="Times New Roman" w:hAnsi="Arial" w:cs="Arial"/>
                <w:b/>
                <w:bCs/>
                <w:color w:val="000000"/>
                <w:sz w:val="16"/>
                <w:szCs w:val="16"/>
                <w:lang w:eastAsia="es-CO"/>
              </w:rPr>
            </w:pPr>
          </w:p>
        </w:tc>
        <w:tc>
          <w:tcPr>
            <w:tcW w:w="0" w:type="auto"/>
            <w:vMerge/>
            <w:shd w:val="clear" w:color="auto" w:fill="2E74B5" w:themeFill="accent1" w:themeFillShade="BF"/>
            <w:vAlign w:val="center"/>
            <w:hideMark/>
          </w:tcPr>
          <w:p w14:paraId="460A7DC5" w14:textId="77777777" w:rsidR="006F4FA8" w:rsidRPr="006F4FA8" w:rsidRDefault="006F4FA8" w:rsidP="00670854">
            <w:pPr>
              <w:spacing w:after="0" w:line="240" w:lineRule="auto"/>
              <w:rPr>
                <w:rFonts w:ascii="Arial" w:eastAsia="Times New Roman" w:hAnsi="Arial" w:cs="Arial"/>
                <w:b/>
                <w:bCs/>
                <w:color w:val="000000"/>
                <w:sz w:val="16"/>
                <w:szCs w:val="16"/>
                <w:lang w:eastAsia="es-CO"/>
              </w:rPr>
            </w:pPr>
          </w:p>
        </w:tc>
        <w:tc>
          <w:tcPr>
            <w:tcW w:w="0" w:type="auto"/>
            <w:vMerge/>
            <w:shd w:val="clear" w:color="auto" w:fill="2E74B5" w:themeFill="accent1" w:themeFillShade="BF"/>
            <w:vAlign w:val="center"/>
            <w:hideMark/>
          </w:tcPr>
          <w:p w14:paraId="1B87BDFE" w14:textId="77777777" w:rsidR="006F4FA8" w:rsidRPr="006F4FA8" w:rsidRDefault="006F4FA8" w:rsidP="00670854">
            <w:pPr>
              <w:spacing w:after="0" w:line="240" w:lineRule="auto"/>
              <w:rPr>
                <w:rFonts w:ascii="Arial" w:eastAsia="Times New Roman" w:hAnsi="Arial" w:cs="Arial"/>
                <w:b/>
                <w:bCs/>
                <w:color w:val="000000"/>
                <w:sz w:val="16"/>
                <w:szCs w:val="16"/>
                <w:lang w:eastAsia="es-CO"/>
              </w:rPr>
            </w:pPr>
          </w:p>
        </w:tc>
        <w:tc>
          <w:tcPr>
            <w:tcW w:w="0" w:type="auto"/>
            <w:vMerge/>
            <w:shd w:val="clear" w:color="auto" w:fill="2E74B5" w:themeFill="accent1" w:themeFillShade="BF"/>
            <w:vAlign w:val="center"/>
            <w:hideMark/>
          </w:tcPr>
          <w:p w14:paraId="4190816E" w14:textId="77777777" w:rsidR="006F4FA8" w:rsidRPr="006F4FA8" w:rsidRDefault="006F4FA8" w:rsidP="00670854">
            <w:pPr>
              <w:spacing w:after="0" w:line="240" w:lineRule="auto"/>
              <w:rPr>
                <w:rFonts w:ascii="Arial" w:eastAsia="Times New Roman" w:hAnsi="Arial" w:cs="Arial"/>
                <w:b/>
                <w:bCs/>
                <w:color w:val="000000"/>
                <w:sz w:val="16"/>
                <w:szCs w:val="16"/>
                <w:lang w:eastAsia="es-CO"/>
              </w:rPr>
            </w:pPr>
          </w:p>
        </w:tc>
        <w:tc>
          <w:tcPr>
            <w:tcW w:w="0" w:type="auto"/>
            <w:vMerge/>
            <w:shd w:val="clear" w:color="auto" w:fill="2E74B5" w:themeFill="accent1" w:themeFillShade="BF"/>
            <w:vAlign w:val="center"/>
            <w:hideMark/>
          </w:tcPr>
          <w:p w14:paraId="5FC22FBA" w14:textId="77777777" w:rsidR="006F4FA8" w:rsidRPr="006F4FA8" w:rsidRDefault="006F4FA8" w:rsidP="00670854">
            <w:pPr>
              <w:spacing w:after="0" w:line="240" w:lineRule="auto"/>
              <w:rPr>
                <w:rFonts w:ascii="Arial" w:eastAsia="Times New Roman" w:hAnsi="Arial" w:cs="Arial"/>
                <w:b/>
                <w:bCs/>
                <w:color w:val="000000"/>
                <w:sz w:val="16"/>
                <w:szCs w:val="16"/>
                <w:lang w:eastAsia="es-CO"/>
              </w:rPr>
            </w:pPr>
          </w:p>
        </w:tc>
        <w:tc>
          <w:tcPr>
            <w:tcW w:w="0" w:type="auto"/>
            <w:vMerge/>
            <w:shd w:val="clear" w:color="auto" w:fill="2E74B5" w:themeFill="accent1" w:themeFillShade="BF"/>
            <w:vAlign w:val="center"/>
            <w:hideMark/>
          </w:tcPr>
          <w:p w14:paraId="37ADD973" w14:textId="77777777" w:rsidR="006F4FA8" w:rsidRPr="006F4FA8" w:rsidRDefault="006F4FA8" w:rsidP="00670854">
            <w:pPr>
              <w:spacing w:after="0" w:line="240" w:lineRule="auto"/>
              <w:rPr>
                <w:rFonts w:ascii="Arial" w:eastAsia="Times New Roman" w:hAnsi="Arial" w:cs="Arial"/>
                <w:b/>
                <w:bCs/>
                <w:color w:val="000000"/>
                <w:sz w:val="16"/>
                <w:szCs w:val="16"/>
                <w:lang w:eastAsia="es-CO"/>
              </w:rPr>
            </w:pPr>
          </w:p>
        </w:tc>
        <w:tc>
          <w:tcPr>
            <w:tcW w:w="0" w:type="auto"/>
            <w:vMerge/>
            <w:shd w:val="clear" w:color="auto" w:fill="2E74B5" w:themeFill="accent1" w:themeFillShade="BF"/>
            <w:vAlign w:val="center"/>
            <w:hideMark/>
          </w:tcPr>
          <w:p w14:paraId="237BD351" w14:textId="77777777" w:rsidR="006F4FA8" w:rsidRPr="006F4FA8" w:rsidRDefault="006F4FA8" w:rsidP="00670854">
            <w:pPr>
              <w:spacing w:after="0" w:line="240" w:lineRule="auto"/>
              <w:rPr>
                <w:rFonts w:ascii="Arial" w:eastAsia="Times New Roman" w:hAnsi="Arial" w:cs="Arial"/>
                <w:b/>
                <w:bCs/>
                <w:color w:val="000000"/>
                <w:sz w:val="16"/>
                <w:szCs w:val="16"/>
                <w:lang w:eastAsia="es-CO"/>
              </w:rPr>
            </w:pPr>
          </w:p>
        </w:tc>
        <w:tc>
          <w:tcPr>
            <w:tcW w:w="0" w:type="auto"/>
            <w:vMerge/>
            <w:shd w:val="clear" w:color="auto" w:fill="2E74B5" w:themeFill="accent1" w:themeFillShade="BF"/>
            <w:vAlign w:val="center"/>
            <w:hideMark/>
          </w:tcPr>
          <w:p w14:paraId="6066894A" w14:textId="77777777" w:rsidR="006F4FA8" w:rsidRPr="006F4FA8" w:rsidRDefault="006F4FA8" w:rsidP="00670854">
            <w:pPr>
              <w:spacing w:after="0" w:line="240" w:lineRule="auto"/>
              <w:rPr>
                <w:rFonts w:ascii="Arial" w:eastAsia="Times New Roman" w:hAnsi="Arial" w:cs="Arial"/>
                <w:b/>
                <w:bCs/>
                <w:color w:val="000000"/>
                <w:sz w:val="16"/>
                <w:szCs w:val="16"/>
                <w:lang w:eastAsia="es-CO"/>
              </w:rPr>
            </w:pPr>
          </w:p>
        </w:tc>
        <w:tc>
          <w:tcPr>
            <w:tcW w:w="0" w:type="auto"/>
            <w:vMerge/>
            <w:shd w:val="clear" w:color="auto" w:fill="2E74B5" w:themeFill="accent1" w:themeFillShade="BF"/>
            <w:vAlign w:val="center"/>
            <w:hideMark/>
          </w:tcPr>
          <w:p w14:paraId="58ADC4EE" w14:textId="77777777" w:rsidR="006F4FA8" w:rsidRPr="006F4FA8" w:rsidRDefault="006F4FA8" w:rsidP="00670854">
            <w:pPr>
              <w:spacing w:after="0" w:line="240" w:lineRule="auto"/>
              <w:rPr>
                <w:rFonts w:ascii="Arial" w:eastAsia="Times New Roman" w:hAnsi="Arial" w:cs="Arial"/>
                <w:b/>
                <w:bCs/>
                <w:color w:val="FFFFFF" w:themeColor="background1"/>
                <w:sz w:val="16"/>
                <w:szCs w:val="16"/>
                <w:lang w:eastAsia="es-CO"/>
              </w:rPr>
            </w:pPr>
          </w:p>
        </w:tc>
      </w:tr>
      <w:tr w:rsidR="006F4FA8" w:rsidRPr="006F4FA8" w14:paraId="0E0B7D7F" w14:textId="77777777" w:rsidTr="006F4FA8">
        <w:trPr>
          <w:trHeight w:val="20"/>
          <w:jc w:val="center"/>
        </w:trPr>
        <w:tc>
          <w:tcPr>
            <w:tcW w:w="0" w:type="auto"/>
            <w:shd w:val="clear" w:color="000000" w:fill="FFFFFF"/>
            <w:hideMark/>
          </w:tcPr>
          <w:p w14:paraId="593EC7EE" w14:textId="77777777" w:rsidR="006F4FA8" w:rsidRPr="006F4FA8" w:rsidRDefault="006F4FA8" w:rsidP="00670854">
            <w:pPr>
              <w:spacing w:after="0" w:line="240" w:lineRule="auto"/>
              <w:rPr>
                <w:rFonts w:ascii="Arial" w:eastAsia="Times New Roman" w:hAnsi="Arial" w:cs="Arial"/>
                <w:sz w:val="16"/>
                <w:szCs w:val="16"/>
                <w:lang w:eastAsia="es-CO"/>
              </w:rPr>
            </w:pPr>
            <w:r w:rsidRPr="006F4FA8">
              <w:rPr>
                <w:rFonts w:ascii="Arial" w:hAnsi="Arial" w:cs="Arial"/>
                <w:sz w:val="16"/>
                <w:szCs w:val="16"/>
              </w:rPr>
              <w:t>Pequeño productor</w:t>
            </w:r>
          </w:p>
        </w:tc>
        <w:tc>
          <w:tcPr>
            <w:tcW w:w="0" w:type="auto"/>
            <w:shd w:val="clear" w:color="000000" w:fill="FFFFFF"/>
            <w:noWrap/>
            <w:hideMark/>
          </w:tcPr>
          <w:p w14:paraId="5888E960"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$22,500 </w:t>
            </w:r>
          </w:p>
        </w:tc>
        <w:tc>
          <w:tcPr>
            <w:tcW w:w="0" w:type="auto"/>
            <w:shd w:val="clear" w:color="000000" w:fill="FFFFFF"/>
            <w:noWrap/>
            <w:hideMark/>
          </w:tcPr>
          <w:p w14:paraId="176DE1A4"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6,108 </w:t>
            </w:r>
          </w:p>
        </w:tc>
        <w:tc>
          <w:tcPr>
            <w:tcW w:w="0" w:type="auto"/>
            <w:shd w:val="clear" w:color="000000" w:fill="FFFFFF"/>
            <w:noWrap/>
            <w:hideMark/>
          </w:tcPr>
          <w:p w14:paraId="6D761B47"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6,050 </w:t>
            </w:r>
          </w:p>
        </w:tc>
        <w:tc>
          <w:tcPr>
            <w:tcW w:w="0" w:type="auto"/>
            <w:shd w:val="clear" w:color="000000" w:fill="FFFFFF"/>
            <w:noWrap/>
            <w:hideMark/>
          </w:tcPr>
          <w:p w14:paraId="670176AA"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$50,638 </w:t>
            </w:r>
          </w:p>
        </w:tc>
        <w:tc>
          <w:tcPr>
            <w:tcW w:w="0" w:type="auto"/>
            <w:shd w:val="clear" w:color="000000" w:fill="FFFFFF"/>
            <w:noWrap/>
            <w:hideMark/>
          </w:tcPr>
          <w:p w14:paraId="3E324BF9"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6,108 </w:t>
            </w:r>
          </w:p>
        </w:tc>
        <w:tc>
          <w:tcPr>
            <w:tcW w:w="0" w:type="auto"/>
            <w:shd w:val="clear" w:color="000000" w:fill="FFFFFF"/>
            <w:noWrap/>
            <w:hideMark/>
          </w:tcPr>
          <w:p w14:paraId="2A995EBC"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6,050 </w:t>
            </w:r>
          </w:p>
        </w:tc>
        <w:tc>
          <w:tcPr>
            <w:tcW w:w="0" w:type="auto"/>
            <w:shd w:val="clear" w:color="000000" w:fill="FFFFFF"/>
            <w:noWrap/>
            <w:hideMark/>
          </w:tcPr>
          <w:p w14:paraId="58D40C84"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$4,586 </w:t>
            </w:r>
          </w:p>
        </w:tc>
        <w:tc>
          <w:tcPr>
            <w:tcW w:w="0" w:type="auto"/>
            <w:shd w:val="clear" w:color="000000" w:fill="FFFFFF"/>
            <w:noWrap/>
            <w:hideMark/>
          </w:tcPr>
          <w:p w14:paraId="59F102F6"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$17,914 </w:t>
            </w:r>
          </w:p>
        </w:tc>
      </w:tr>
      <w:tr w:rsidR="006F4FA8" w:rsidRPr="006F4FA8" w14:paraId="7B8D507C" w14:textId="77777777" w:rsidTr="006F4FA8">
        <w:trPr>
          <w:trHeight w:val="20"/>
          <w:jc w:val="center"/>
        </w:trPr>
        <w:tc>
          <w:tcPr>
            <w:tcW w:w="0" w:type="auto"/>
            <w:shd w:val="clear" w:color="000000" w:fill="FFFFFF"/>
            <w:hideMark/>
          </w:tcPr>
          <w:p w14:paraId="69DA3AB7" w14:textId="77777777" w:rsidR="006F4FA8" w:rsidRPr="006F4FA8" w:rsidRDefault="006F4FA8" w:rsidP="00670854">
            <w:pPr>
              <w:spacing w:after="0" w:line="240" w:lineRule="auto"/>
              <w:rPr>
                <w:rFonts w:ascii="Arial" w:eastAsia="Times New Roman" w:hAnsi="Arial" w:cs="Arial"/>
                <w:sz w:val="16"/>
                <w:szCs w:val="16"/>
                <w:lang w:eastAsia="es-CO"/>
              </w:rPr>
            </w:pPr>
            <w:r w:rsidRPr="006F4FA8">
              <w:rPr>
                <w:rFonts w:ascii="Arial" w:hAnsi="Arial" w:cs="Arial"/>
                <w:sz w:val="16"/>
                <w:szCs w:val="16"/>
              </w:rPr>
              <w:t>Mediano productor</w:t>
            </w:r>
          </w:p>
        </w:tc>
        <w:tc>
          <w:tcPr>
            <w:tcW w:w="0" w:type="auto"/>
            <w:shd w:val="clear" w:color="000000" w:fill="FFFFFF"/>
            <w:hideMark/>
          </w:tcPr>
          <w:p w14:paraId="740B668E"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$20,144 </w:t>
            </w:r>
          </w:p>
        </w:tc>
        <w:tc>
          <w:tcPr>
            <w:tcW w:w="0" w:type="auto"/>
            <w:shd w:val="clear" w:color="000000" w:fill="FFFFFF"/>
            <w:noWrap/>
            <w:hideMark/>
          </w:tcPr>
          <w:p w14:paraId="746A3AE3"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1,851 </w:t>
            </w:r>
          </w:p>
        </w:tc>
        <w:tc>
          <w:tcPr>
            <w:tcW w:w="0" w:type="auto"/>
            <w:shd w:val="clear" w:color="000000" w:fill="FFFFFF"/>
            <w:noWrap/>
            <w:hideMark/>
          </w:tcPr>
          <w:p w14:paraId="2A62067C"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1,748 </w:t>
            </w:r>
          </w:p>
        </w:tc>
        <w:tc>
          <w:tcPr>
            <w:tcW w:w="0" w:type="auto"/>
            <w:shd w:val="clear" w:color="000000" w:fill="FFFFFF"/>
            <w:noWrap/>
            <w:hideMark/>
          </w:tcPr>
          <w:p w14:paraId="0D9F8BCE"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$222,005 </w:t>
            </w:r>
          </w:p>
        </w:tc>
        <w:tc>
          <w:tcPr>
            <w:tcW w:w="0" w:type="auto"/>
            <w:shd w:val="clear" w:color="000000" w:fill="FFFFFF"/>
            <w:noWrap/>
            <w:hideMark/>
          </w:tcPr>
          <w:p w14:paraId="3CC31FA0"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1,851 </w:t>
            </w:r>
          </w:p>
        </w:tc>
        <w:tc>
          <w:tcPr>
            <w:tcW w:w="0" w:type="auto"/>
            <w:shd w:val="clear" w:color="000000" w:fill="FFFFFF"/>
            <w:noWrap/>
            <w:hideMark/>
          </w:tcPr>
          <w:p w14:paraId="24A10309"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1,748 </w:t>
            </w:r>
          </w:p>
        </w:tc>
        <w:tc>
          <w:tcPr>
            <w:tcW w:w="0" w:type="auto"/>
            <w:shd w:val="clear" w:color="000000" w:fill="FFFFFF"/>
            <w:noWrap/>
            <w:hideMark/>
          </w:tcPr>
          <w:p w14:paraId="4FFE35CD"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$20,144 </w:t>
            </w:r>
          </w:p>
        </w:tc>
        <w:tc>
          <w:tcPr>
            <w:tcW w:w="0" w:type="auto"/>
            <w:shd w:val="clear" w:color="000000" w:fill="FFFFFF"/>
            <w:hideMark/>
          </w:tcPr>
          <w:p w14:paraId="6662E8E4"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   </w:t>
            </w:r>
          </w:p>
        </w:tc>
      </w:tr>
      <w:tr w:rsidR="006F4FA8" w:rsidRPr="006F4FA8" w14:paraId="56585732" w14:textId="77777777" w:rsidTr="006F4FA8">
        <w:trPr>
          <w:trHeight w:val="20"/>
          <w:jc w:val="center"/>
        </w:trPr>
        <w:tc>
          <w:tcPr>
            <w:tcW w:w="0" w:type="auto"/>
            <w:shd w:val="clear" w:color="000000" w:fill="FFFFFF"/>
            <w:hideMark/>
          </w:tcPr>
          <w:p w14:paraId="7755A732" w14:textId="77777777" w:rsidR="006F4FA8" w:rsidRPr="006F4FA8" w:rsidRDefault="006F4FA8" w:rsidP="00670854">
            <w:pPr>
              <w:spacing w:after="0" w:line="240" w:lineRule="auto"/>
              <w:rPr>
                <w:rFonts w:ascii="Arial" w:eastAsia="Times New Roman" w:hAnsi="Arial" w:cs="Arial"/>
                <w:sz w:val="16"/>
                <w:szCs w:val="16"/>
                <w:lang w:eastAsia="es-CO"/>
              </w:rPr>
            </w:pPr>
            <w:r w:rsidRPr="006F4FA8">
              <w:rPr>
                <w:rFonts w:ascii="Arial" w:hAnsi="Arial" w:cs="Arial"/>
                <w:sz w:val="16"/>
                <w:szCs w:val="16"/>
              </w:rPr>
              <w:t>Gran productor</w:t>
            </w:r>
          </w:p>
        </w:tc>
        <w:tc>
          <w:tcPr>
            <w:tcW w:w="0" w:type="auto"/>
            <w:shd w:val="clear" w:color="000000" w:fill="FFFFFF"/>
            <w:hideMark/>
          </w:tcPr>
          <w:p w14:paraId="2BFC16A3"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$7,356 </w:t>
            </w:r>
          </w:p>
        </w:tc>
        <w:tc>
          <w:tcPr>
            <w:tcW w:w="0" w:type="auto"/>
            <w:shd w:val="clear" w:color="000000" w:fill="FFFFFF"/>
            <w:noWrap/>
            <w:hideMark/>
          </w:tcPr>
          <w:p w14:paraId="00FD2D3B"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64 </w:t>
            </w:r>
          </w:p>
        </w:tc>
        <w:tc>
          <w:tcPr>
            <w:tcW w:w="0" w:type="auto"/>
            <w:shd w:val="clear" w:color="000000" w:fill="FFFFFF"/>
            <w:noWrap/>
            <w:hideMark/>
          </w:tcPr>
          <w:p w14:paraId="0BBCE4E3"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61 </w:t>
            </w:r>
          </w:p>
        </w:tc>
        <w:tc>
          <w:tcPr>
            <w:tcW w:w="0" w:type="auto"/>
            <w:shd w:val="clear" w:color="000000" w:fill="FFFFFF"/>
            <w:noWrap/>
            <w:hideMark/>
          </w:tcPr>
          <w:p w14:paraId="68A591A2"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$126,126 </w:t>
            </w:r>
          </w:p>
        </w:tc>
        <w:tc>
          <w:tcPr>
            <w:tcW w:w="0" w:type="auto"/>
            <w:shd w:val="clear" w:color="000000" w:fill="FFFFFF"/>
            <w:noWrap/>
            <w:hideMark/>
          </w:tcPr>
          <w:p w14:paraId="32D0EFE5"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64 </w:t>
            </w:r>
          </w:p>
        </w:tc>
        <w:tc>
          <w:tcPr>
            <w:tcW w:w="0" w:type="auto"/>
            <w:shd w:val="clear" w:color="000000" w:fill="FFFFFF"/>
            <w:noWrap/>
            <w:hideMark/>
          </w:tcPr>
          <w:p w14:paraId="149005E7"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61 </w:t>
            </w:r>
          </w:p>
        </w:tc>
        <w:tc>
          <w:tcPr>
            <w:tcW w:w="0" w:type="auto"/>
            <w:shd w:val="clear" w:color="000000" w:fill="FFFFFF"/>
            <w:noWrap/>
            <w:hideMark/>
          </w:tcPr>
          <w:p w14:paraId="743F1CFF"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$7,356 </w:t>
            </w:r>
          </w:p>
        </w:tc>
        <w:tc>
          <w:tcPr>
            <w:tcW w:w="0" w:type="auto"/>
            <w:shd w:val="clear" w:color="000000" w:fill="FFFFFF"/>
            <w:hideMark/>
          </w:tcPr>
          <w:p w14:paraId="344857AD" w14:textId="77777777" w:rsidR="006F4FA8" w:rsidRPr="006F4FA8" w:rsidRDefault="006F4FA8" w:rsidP="00670854">
            <w:pPr>
              <w:spacing w:after="0" w:line="240" w:lineRule="auto"/>
              <w:jc w:val="right"/>
              <w:rPr>
                <w:rFonts w:ascii="Arial" w:eastAsia="Times New Roman" w:hAnsi="Arial" w:cs="Arial"/>
                <w:sz w:val="16"/>
                <w:szCs w:val="16"/>
                <w:lang w:eastAsia="es-CO"/>
              </w:rPr>
            </w:pPr>
            <w:r w:rsidRPr="006F4FA8">
              <w:rPr>
                <w:rFonts w:ascii="Arial" w:hAnsi="Arial" w:cs="Arial"/>
                <w:sz w:val="16"/>
                <w:szCs w:val="16"/>
              </w:rPr>
              <w:t xml:space="preserve"> $-   </w:t>
            </w:r>
          </w:p>
        </w:tc>
      </w:tr>
      <w:tr w:rsidR="006F4FA8" w:rsidRPr="006F4FA8" w14:paraId="0C08BF2B" w14:textId="77777777" w:rsidTr="006F4FA8">
        <w:trPr>
          <w:trHeight w:val="20"/>
          <w:jc w:val="center"/>
        </w:trPr>
        <w:tc>
          <w:tcPr>
            <w:tcW w:w="0" w:type="auto"/>
            <w:shd w:val="clear" w:color="000000" w:fill="D9D9D9"/>
            <w:hideMark/>
          </w:tcPr>
          <w:p w14:paraId="161600B8" w14:textId="77777777" w:rsidR="006F4FA8" w:rsidRPr="006F4FA8" w:rsidRDefault="006F4FA8" w:rsidP="00670854">
            <w:pPr>
              <w:spacing w:after="0" w:line="240" w:lineRule="auto"/>
              <w:rPr>
                <w:rFonts w:ascii="Arial" w:eastAsia="Times New Roman" w:hAnsi="Arial" w:cs="Arial"/>
                <w:b/>
                <w:bCs/>
                <w:sz w:val="16"/>
                <w:szCs w:val="16"/>
                <w:lang w:eastAsia="es-CO"/>
              </w:rPr>
            </w:pPr>
            <w:r w:rsidRPr="006F4FA8">
              <w:rPr>
                <w:rFonts w:ascii="Arial" w:hAnsi="Arial" w:cs="Arial"/>
                <w:sz w:val="16"/>
                <w:szCs w:val="16"/>
              </w:rPr>
              <w:t>Total Colombia Agroproduce</w:t>
            </w:r>
          </w:p>
        </w:tc>
        <w:tc>
          <w:tcPr>
            <w:tcW w:w="0" w:type="auto"/>
            <w:shd w:val="clear" w:color="auto" w:fill="D9D9D9" w:themeFill="background1" w:themeFillShade="D9"/>
            <w:hideMark/>
          </w:tcPr>
          <w:p w14:paraId="6526475E" w14:textId="77777777" w:rsidR="006F4FA8" w:rsidRPr="006F4FA8" w:rsidRDefault="006F4FA8" w:rsidP="00670854">
            <w:pPr>
              <w:spacing w:after="0" w:line="240" w:lineRule="auto"/>
              <w:jc w:val="right"/>
              <w:rPr>
                <w:rFonts w:ascii="Arial" w:eastAsia="Times New Roman" w:hAnsi="Arial" w:cs="Arial"/>
                <w:b/>
                <w:bCs/>
                <w:sz w:val="16"/>
                <w:szCs w:val="16"/>
                <w:lang w:eastAsia="es-CO"/>
              </w:rPr>
            </w:pPr>
            <w:r w:rsidRPr="006F4FA8">
              <w:rPr>
                <w:rFonts w:ascii="Arial" w:hAnsi="Arial" w:cs="Arial"/>
                <w:sz w:val="16"/>
                <w:szCs w:val="16"/>
              </w:rPr>
              <w:t xml:space="preserve"> $50,000 </w:t>
            </w:r>
          </w:p>
        </w:tc>
        <w:tc>
          <w:tcPr>
            <w:tcW w:w="0" w:type="auto"/>
            <w:shd w:val="clear" w:color="000000" w:fill="D9D9D9"/>
            <w:noWrap/>
            <w:hideMark/>
          </w:tcPr>
          <w:p w14:paraId="088CC7A7" w14:textId="77777777" w:rsidR="006F4FA8" w:rsidRPr="006F4FA8" w:rsidRDefault="006F4FA8" w:rsidP="00670854">
            <w:pPr>
              <w:spacing w:after="0" w:line="240" w:lineRule="auto"/>
              <w:jc w:val="right"/>
              <w:rPr>
                <w:rFonts w:ascii="Arial" w:eastAsia="Times New Roman" w:hAnsi="Arial" w:cs="Arial"/>
                <w:b/>
                <w:bCs/>
                <w:sz w:val="16"/>
                <w:szCs w:val="16"/>
                <w:lang w:eastAsia="es-CO"/>
              </w:rPr>
            </w:pPr>
            <w:r w:rsidRPr="006F4FA8">
              <w:rPr>
                <w:rFonts w:ascii="Arial" w:hAnsi="Arial" w:cs="Arial"/>
                <w:sz w:val="16"/>
                <w:szCs w:val="16"/>
              </w:rPr>
              <w:t xml:space="preserve"> 8,023 </w:t>
            </w:r>
          </w:p>
        </w:tc>
        <w:tc>
          <w:tcPr>
            <w:tcW w:w="0" w:type="auto"/>
            <w:shd w:val="clear" w:color="000000" w:fill="D9D9D9"/>
            <w:noWrap/>
            <w:hideMark/>
          </w:tcPr>
          <w:p w14:paraId="1BD417BA" w14:textId="77777777" w:rsidR="006F4FA8" w:rsidRPr="006F4FA8" w:rsidRDefault="006F4FA8" w:rsidP="00670854">
            <w:pPr>
              <w:spacing w:after="0" w:line="240" w:lineRule="auto"/>
              <w:jc w:val="right"/>
              <w:rPr>
                <w:rFonts w:ascii="Arial" w:eastAsia="Times New Roman" w:hAnsi="Arial" w:cs="Arial"/>
                <w:b/>
                <w:bCs/>
                <w:sz w:val="16"/>
                <w:szCs w:val="16"/>
                <w:lang w:eastAsia="es-CO"/>
              </w:rPr>
            </w:pPr>
            <w:r w:rsidRPr="006F4FA8">
              <w:rPr>
                <w:rFonts w:ascii="Arial" w:hAnsi="Arial" w:cs="Arial"/>
                <w:sz w:val="16"/>
                <w:szCs w:val="16"/>
              </w:rPr>
              <w:t xml:space="preserve"> 7,859 </w:t>
            </w:r>
          </w:p>
        </w:tc>
        <w:tc>
          <w:tcPr>
            <w:tcW w:w="0" w:type="auto"/>
            <w:shd w:val="clear" w:color="000000" w:fill="D9D9D9"/>
            <w:noWrap/>
            <w:hideMark/>
          </w:tcPr>
          <w:p w14:paraId="329F0E0B" w14:textId="77777777" w:rsidR="006F4FA8" w:rsidRPr="006F4FA8" w:rsidRDefault="006F4FA8" w:rsidP="00670854">
            <w:pPr>
              <w:spacing w:after="0" w:line="240" w:lineRule="auto"/>
              <w:jc w:val="right"/>
              <w:rPr>
                <w:rFonts w:ascii="Arial" w:eastAsia="Times New Roman" w:hAnsi="Arial" w:cs="Arial"/>
                <w:b/>
                <w:bCs/>
                <w:sz w:val="16"/>
                <w:szCs w:val="16"/>
                <w:lang w:eastAsia="es-CO"/>
              </w:rPr>
            </w:pPr>
            <w:r w:rsidRPr="006F4FA8">
              <w:rPr>
                <w:rFonts w:ascii="Arial" w:hAnsi="Arial" w:cs="Arial"/>
                <w:sz w:val="16"/>
                <w:szCs w:val="16"/>
              </w:rPr>
              <w:t xml:space="preserve"> $398,769 </w:t>
            </w:r>
          </w:p>
        </w:tc>
        <w:tc>
          <w:tcPr>
            <w:tcW w:w="0" w:type="auto"/>
            <w:shd w:val="clear" w:color="000000" w:fill="D9D9D9"/>
            <w:noWrap/>
            <w:hideMark/>
          </w:tcPr>
          <w:p w14:paraId="1AEA7CD0" w14:textId="77777777" w:rsidR="006F4FA8" w:rsidRPr="006F4FA8" w:rsidRDefault="006F4FA8" w:rsidP="00670854">
            <w:pPr>
              <w:spacing w:after="0" w:line="240" w:lineRule="auto"/>
              <w:jc w:val="right"/>
              <w:rPr>
                <w:rFonts w:ascii="Arial" w:eastAsia="Times New Roman" w:hAnsi="Arial" w:cs="Arial"/>
                <w:b/>
                <w:bCs/>
                <w:sz w:val="16"/>
                <w:szCs w:val="16"/>
                <w:lang w:eastAsia="es-CO"/>
              </w:rPr>
            </w:pPr>
            <w:r w:rsidRPr="006F4FA8">
              <w:rPr>
                <w:rFonts w:ascii="Arial" w:hAnsi="Arial" w:cs="Arial"/>
                <w:sz w:val="16"/>
                <w:szCs w:val="16"/>
              </w:rPr>
              <w:t xml:space="preserve"> 8,023 </w:t>
            </w:r>
          </w:p>
        </w:tc>
        <w:tc>
          <w:tcPr>
            <w:tcW w:w="0" w:type="auto"/>
            <w:shd w:val="clear" w:color="000000" w:fill="D9D9D9"/>
            <w:noWrap/>
            <w:hideMark/>
          </w:tcPr>
          <w:p w14:paraId="30C2EF9C" w14:textId="77777777" w:rsidR="006F4FA8" w:rsidRPr="006F4FA8" w:rsidRDefault="006F4FA8" w:rsidP="00670854">
            <w:pPr>
              <w:spacing w:after="0" w:line="240" w:lineRule="auto"/>
              <w:jc w:val="right"/>
              <w:rPr>
                <w:rFonts w:ascii="Arial" w:eastAsia="Times New Roman" w:hAnsi="Arial" w:cs="Arial"/>
                <w:b/>
                <w:bCs/>
                <w:sz w:val="16"/>
                <w:szCs w:val="16"/>
                <w:lang w:eastAsia="es-CO"/>
              </w:rPr>
            </w:pPr>
            <w:r w:rsidRPr="006F4FA8">
              <w:rPr>
                <w:rFonts w:ascii="Arial" w:hAnsi="Arial" w:cs="Arial"/>
                <w:sz w:val="16"/>
                <w:szCs w:val="16"/>
              </w:rPr>
              <w:t xml:space="preserve"> 7,859 </w:t>
            </w:r>
          </w:p>
        </w:tc>
        <w:tc>
          <w:tcPr>
            <w:tcW w:w="0" w:type="auto"/>
            <w:shd w:val="clear" w:color="000000" w:fill="D9D9D9"/>
            <w:noWrap/>
            <w:hideMark/>
          </w:tcPr>
          <w:p w14:paraId="416F086A" w14:textId="77777777" w:rsidR="006F4FA8" w:rsidRPr="006F4FA8" w:rsidRDefault="006F4FA8" w:rsidP="00670854">
            <w:pPr>
              <w:spacing w:after="0" w:line="240" w:lineRule="auto"/>
              <w:jc w:val="right"/>
              <w:rPr>
                <w:rFonts w:ascii="Arial" w:eastAsia="Times New Roman" w:hAnsi="Arial" w:cs="Arial"/>
                <w:b/>
                <w:bCs/>
                <w:sz w:val="16"/>
                <w:szCs w:val="16"/>
                <w:lang w:eastAsia="es-CO"/>
              </w:rPr>
            </w:pPr>
            <w:r w:rsidRPr="006F4FA8">
              <w:rPr>
                <w:rFonts w:ascii="Arial" w:hAnsi="Arial" w:cs="Arial"/>
                <w:sz w:val="16"/>
                <w:szCs w:val="16"/>
              </w:rPr>
              <w:t xml:space="preserve"> $32,085 </w:t>
            </w:r>
          </w:p>
        </w:tc>
        <w:tc>
          <w:tcPr>
            <w:tcW w:w="0" w:type="auto"/>
            <w:shd w:val="clear" w:color="auto" w:fill="D9D9D9" w:themeFill="background1" w:themeFillShade="D9"/>
            <w:hideMark/>
          </w:tcPr>
          <w:p w14:paraId="5BA2B50E" w14:textId="77777777" w:rsidR="006F4FA8" w:rsidRPr="006F4FA8" w:rsidRDefault="006F4FA8" w:rsidP="00670854">
            <w:pPr>
              <w:spacing w:after="0" w:line="240" w:lineRule="auto"/>
              <w:jc w:val="right"/>
              <w:rPr>
                <w:rFonts w:ascii="Arial" w:eastAsia="Times New Roman" w:hAnsi="Arial" w:cs="Arial"/>
                <w:b/>
                <w:bCs/>
                <w:sz w:val="16"/>
                <w:szCs w:val="16"/>
                <w:lang w:eastAsia="es-CO"/>
              </w:rPr>
            </w:pPr>
            <w:r w:rsidRPr="006F4FA8">
              <w:rPr>
                <w:rFonts w:ascii="Arial" w:hAnsi="Arial" w:cs="Arial"/>
                <w:sz w:val="16"/>
                <w:szCs w:val="16"/>
              </w:rPr>
              <w:t xml:space="preserve"> $17,914 </w:t>
            </w:r>
          </w:p>
        </w:tc>
      </w:tr>
    </w:tbl>
    <w:p w14:paraId="469A895F" w14:textId="77777777" w:rsidR="006F4FA8" w:rsidRDefault="006F4FA8" w:rsidP="006F4FA8">
      <w:pPr>
        <w:pStyle w:val="Prrafodelista"/>
        <w:tabs>
          <w:tab w:val="left" w:pos="284"/>
        </w:tabs>
        <w:ind w:left="284" w:right="141"/>
        <w:jc w:val="center"/>
        <w:rPr>
          <w:rFonts w:ascii="Arial" w:hAnsi="Arial" w:cs="Arial"/>
          <w:b/>
          <w:bCs/>
          <w:color w:val="2D4873"/>
          <w:sz w:val="18"/>
          <w:szCs w:val="18"/>
        </w:rPr>
      </w:pPr>
      <w:r w:rsidRPr="002115B5">
        <w:rPr>
          <w:rFonts w:ascii="Arial" w:hAnsi="Arial" w:cs="Arial"/>
          <w:b/>
          <w:bCs/>
          <w:color w:val="2D4873"/>
          <w:sz w:val="18"/>
          <w:szCs w:val="18"/>
        </w:rPr>
        <w:t>Última Actualización: (</w:t>
      </w:r>
      <w:r>
        <w:rPr>
          <w:rFonts w:ascii="Arial" w:hAnsi="Arial" w:cs="Arial"/>
          <w:b/>
          <w:bCs/>
          <w:color w:val="2D4873"/>
          <w:sz w:val="18"/>
          <w:szCs w:val="18"/>
        </w:rPr>
        <w:t>16</w:t>
      </w:r>
      <w:r w:rsidRPr="002115B5">
        <w:rPr>
          <w:rFonts w:ascii="Arial" w:hAnsi="Arial" w:cs="Arial"/>
          <w:b/>
          <w:bCs/>
          <w:color w:val="2D4873"/>
          <w:sz w:val="18"/>
          <w:szCs w:val="18"/>
        </w:rPr>
        <w:t>/0</w:t>
      </w:r>
      <w:r>
        <w:rPr>
          <w:rFonts w:ascii="Arial" w:hAnsi="Arial" w:cs="Arial"/>
          <w:b/>
          <w:bCs/>
          <w:color w:val="2D4873"/>
          <w:sz w:val="18"/>
          <w:szCs w:val="18"/>
        </w:rPr>
        <w:t>5</w:t>
      </w:r>
      <w:r w:rsidRPr="002115B5">
        <w:rPr>
          <w:rFonts w:ascii="Arial" w:hAnsi="Arial" w:cs="Arial"/>
          <w:b/>
          <w:bCs/>
          <w:color w:val="2D4873"/>
          <w:sz w:val="18"/>
          <w:szCs w:val="18"/>
        </w:rPr>
        <w:t>/2020) – Cifras con corte a (</w:t>
      </w:r>
      <w:r>
        <w:rPr>
          <w:rFonts w:ascii="Arial" w:hAnsi="Arial" w:cs="Arial"/>
          <w:b/>
          <w:bCs/>
          <w:color w:val="2D4873"/>
          <w:sz w:val="18"/>
          <w:szCs w:val="18"/>
        </w:rPr>
        <w:t>15</w:t>
      </w:r>
      <w:r w:rsidRPr="002115B5">
        <w:rPr>
          <w:rFonts w:ascii="Arial" w:hAnsi="Arial" w:cs="Arial"/>
          <w:b/>
          <w:bCs/>
          <w:color w:val="2D4873"/>
          <w:sz w:val="18"/>
          <w:szCs w:val="18"/>
        </w:rPr>
        <w:t>/</w:t>
      </w:r>
      <w:r>
        <w:rPr>
          <w:rFonts w:ascii="Arial" w:hAnsi="Arial" w:cs="Arial"/>
          <w:b/>
          <w:bCs/>
          <w:color w:val="2D4873"/>
          <w:sz w:val="18"/>
          <w:szCs w:val="18"/>
        </w:rPr>
        <w:t>05</w:t>
      </w:r>
      <w:r w:rsidRPr="002115B5">
        <w:rPr>
          <w:rFonts w:ascii="Arial" w:hAnsi="Arial" w:cs="Arial"/>
          <w:b/>
          <w:bCs/>
          <w:color w:val="2D4873"/>
          <w:sz w:val="18"/>
          <w:szCs w:val="18"/>
        </w:rPr>
        <w:t>/2020)</w:t>
      </w:r>
    </w:p>
    <w:p w14:paraId="3194D68E" w14:textId="77777777" w:rsidR="006F4FA8" w:rsidRDefault="006F4FA8" w:rsidP="006F4FA8">
      <w:pPr>
        <w:pStyle w:val="Prrafodelista"/>
        <w:tabs>
          <w:tab w:val="left" w:pos="284"/>
        </w:tabs>
        <w:ind w:left="284" w:right="141"/>
        <w:jc w:val="center"/>
        <w:rPr>
          <w:rFonts w:ascii="Arial" w:hAnsi="Arial" w:cs="Arial"/>
          <w:b/>
          <w:bCs/>
          <w:color w:val="2D4873"/>
          <w:sz w:val="18"/>
          <w:szCs w:val="18"/>
        </w:rPr>
      </w:pPr>
    </w:p>
    <w:p w14:paraId="35F7E5A5" w14:textId="77777777" w:rsidR="006F4FA8" w:rsidRPr="00FE0609" w:rsidRDefault="006F4FA8" w:rsidP="006F4FA8">
      <w:pPr>
        <w:pStyle w:val="Prrafodelista"/>
        <w:tabs>
          <w:tab w:val="left" w:pos="284"/>
        </w:tabs>
        <w:ind w:left="0" w:right="141"/>
        <w:jc w:val="both"/>
        <w:rPr>
          <w:rFonts w:ascii="Arial" w:hAnsi="Arial" w:cs="Arial"/>
          <w:color w:val="2D4873"/>
          <w:sz w:val="18"/>
          <w:szCs w:val="18"/>
        </w:rPr>
      </w:pPr>
      <w:r w:rsidRPr="00FE0609">
        <w:rPr>
          <w:rFonts w:ascii="Arial" w:hAnsi="Arial" w:cs="Arial"/>
          <w:sz w:val="16"/>
          <w:szCs w:val="16"/>
        </w:rPr>
        <w:t xml:space="preserve">(*) Los recursos de este cupo destinado para el subsidio de tasa de interés son aportados por el Ministerio de Agricultura. Reserva de cupo: Solicitud realizada por el intermediario a la entidad de redescuento o FNG, con anterioridad al desembolso para la verificación del cumplimiento de las condiciones del deudor y de las obligaciones a ser garantizadas frente a las condiciones de las líneas. Desembolso: Operación efectivamente colocadas por el intermediario al beneficiario final. Monto Disponible: Cupo total asignado a la línea, menos reservas y menos desembolsos. </w:t>
      </w:r>
      <w:r w:rsidRPr="00FE0609">
        <w:rPr>
          <w:rFonts w:ascii="Arial" w:hAnsi="Arial" w:cs="Arial"/>
          <w:color w:val="2D4873"/>
          <w:sz w:val="18"/>
          <w:szCs w:val="18"/>
        </w:rPr>
        <w:tab/>
      </w:r>
      <w:r w:rsidRPr="00FE0609">
        <w:rPr>
          <w:rFonts w:ascii="Arial" w:hAnsi="Arial" w:cs="Arial"/>
          <w:color w:val="2D4873"/>
          <w:sz w:val="18"/>
          <w:szCs w:val="18"/>
        </w:rPr>
        <w:tab/>
      </w:r>
      <w:r w:rsidRPr="00FE0609">
        <w:rPr>
          <w:rFonts w:ascii="Arial" w:hAnsi="Arial" w:cs="Arial"/>
          <w:color w:val="2D4873"/>
          <w:sz w:val="18"/>
          <w:szCs w:val="18"/>
        </w:rPr>
        <w:tab/>
      </w:r>
      <w:r w:rsidRPr="00FE0609">
        <w:rPr>
          <w:rFonts w:ascii="Arial" w:hAnsi="Arial" w:cs="Arial"/>
          <w:color w:val="2D4873"/>
          <w:sz w:val="18"/>
          <w:szCs w:val="18"/>
        </w:rPr>
        <w:tab/>
      </w:r>
      <w:r w:rsidRPr="00FE0609">
        <w:rPr>
          <w:rFonts w:ascii="Arial" w:hAnsi="Arial" w:cs="Arial"/>
          <w:color w:val="2D4873"/>
          <w:sz w:val="18"/>
          <w:szCs w:val="18"/>
        </w:rPr>
        <w:tab/>
      </w:r>
      <w:r w:rsidRPr="00FE0609">
        <w:rPr>
          <w:rFonts w:ascii="Arial" w:hAnsi="Arial" w:cs="Arial"/>
          <w:color w:val="2D4873"/>
          <w:sz w:val="18"/>
          <w:szCs w:val="18"/>
        </w:rPr>
        <w:tab/>
      </w:r>
      <w:r w:rsidRPr="00FE0609">
        <w:rPr>
          <w:rFonts w:ascii="Arial" w:hAnsi="Arial" w:cs="Arial"/>
          <w:color w:val="2D4873"/>
          <w:sz w:val="18"/>
          <w:szCs w:val="18"/>
        </w:rPr>
        <w:tab/>
      </w:r>
      <w:r w:rsidRPr="00FE0609">
        <w:rPr>
          <w:rFonts w:ascii="Arial" w:hAnsi="Arial" w:cs="Arial"/>
          <w:color w:val="2D4873"/>
          <w:sz w:val="18"/>
          <w:szCs w:val="18"/>
        </w:rPr>
        <w:tab/>
      </w:r>
    </w:p>
    <w:p w14:paraId="5F26C18F" w14:textId="70566D09" w:rsidR="006F4FA8" w:rsidRPr="006F4FA8" w:rsidRDefault="006F4FA8" w:rsidP="006F4FA8">
      <w:pPr>
        <w:tabs>
          <w:tab w:val="left" w:pos="0"/>
        </w:tabs>
        <w:spacing w:line="256" w:lineRule="auto"/>
        <w:ind w:right="191"/>
        <w:jc w:val="both"/>
        <w:rPr>
          <w:rFonts w:ascii="Arial" w:hAnsi="Arial" w:cs="Arial"/>
        </w:rPr>
      </w:pPr>
      <w:bookmarkStart w:id="2" w:name="FINDETER"/>
      <w:r w:rsidRPr="006F4FA8">
        <w:rPr>
          <w:rFonts w:ascii="Arial" w:hAnsi="Arial" w:cs="Arial"/>
          <w:b/>
          <w:bCs/>
        </w:rPr>
        <w:t>Findeter</w:t>
      </w:r>
    </w:p>
    <w:p w14:paraId="6CDC7C50" w14:textId="77777777" w:rsidR="006F4FA8" w:rsidRPr="006F4FA8" w:rsidRDefault="006F4FA8" w:rsidP="006F4FA8">
      <w:pPr>
        <w:tabs>
          <w:tab w:val="left" w:pos="0"/>
        </w:tabs>
        <w:ind w:right="191"/>
        <w:jc w:val="both"/>
        <w:rPr>
          <w:rFonts w:ascii="Arial" w:hAnsi="Arial" w:cs="Arial"/>
        </w:rPr>
      </w:pPr>
      <w:r w:rsidRPr="006F4FA8">
        <w:rPr>
          <w:rFonts w:ascii="Arial" w:hAnsi="Arial" w:cs="Arial"/>
        </w:rPr>
        <w:t xml:space="preserve">A </w:t>
      </w:r>
      <w:bookmarkEnd w:id="2"/>
      <w:r w:rsidRPr="006F4FA8">
        <w:rPr>
          <w:rFonts w:ascii="Arial" w:hAnsi="Arial" w:cs="Arial"/>
        </w:rPr>
        <w:t xml:space="preserve">través de las líneas definidas, al 15 de mayo se han colocado </w:t>
      </w:r>
      <w:r w:rsidRPr="006F4FA8">
        <w:rPr>
          <w:rFonts w:ascii="Arial" w:hAnsi="Arial" w:cs="Arial"/>
          <w:b/>
          <w:bCs/>
        </w:rPr>
        <w:t>145 créditos</w:t>
      </w:r>
      <w:r w:rsidRPr="006F4FA8">
        <w:rPr>
          <w:rFonts w:ascii="Arial" w:hAnsi="Arial" w:cs="Arial"/>
        </w:rPr>
        <w:t xml:space="preserve"> por valor de </w:t>
      </w:r>
      <w:r w:rsidRPr="006F4FA8">
        <w:rPr>
          <w:rFonts w:ascii="Arial" w:hAnsi="Arial" w:cs="Arial"/>
          <w:b/>
          <w:bCs/>
        </w:rPr>
        <w:t>$418,971 millones</w:t>
      </w:r>
      <w:r w:rsidRPr="006F4FA8">
        <w:rPr>
          <w:rFonts w:ascii="Arial" w:hAnsi="Arial" w:cs="Arial"/>
        </w:rPr>
        <w:t xml:space="preserve">, generando un disponible de </w:t>
      </w:r>
      <w:r w:rsidRPr="006F4FA8">
        <w:rPr>
          <w:rFonts w:ascii="Arial" w:hAnsi="Arial" w:cs="Arial"/>
          <w:b/>
          <w:bCs/>
        </w:rPr>
        <w:t>$193,275 millones</w:t>
      </w:r>
      <w:r w:rsidRPr="006F4FA8">
        <w:rPr>
          <w:rFonts w:ascii="Arial" w:hAnsi="Arial" w:cs="Arial"/>
        </w:rPr>
        <w:t xml:space="preserve"> para movilizar nuevos créditos, como se muestra a continuación:</w:t>
      </w:r>
    </w:p>
    <w:p w14:paraId="619A0272" w14:textId="77777777" w:rsidR="006F4FA8" w:rsidRPr="002115B5" w:rsidRDefault="006F4FA8" w:rsidP="006F4FA8">
      <w:pPr>
        <w:pStyle w:val="Prrafodelista"/>
        <w:tabs>
          <w:tab w:val="left" w:pos="0"/>
        </w:tabs>
        <w:spacing w:line="256" w:lineRule="auto"/>
        <w:ind w:right="191"/>
        <w:jc w:val="right"/>
        <w:rPr>
          <w:rFonts w:ascii="Arial" w:hAnsi="Arial" w:cs="Arial"/>
          <w:b/>
          <w:bCs/>
          <w:sz w:val="16"/>
          <w:szCs w:val="16"/>
        </w:rPr>
      </w:pPr>
      <w:r w:rsidRPr="002115B5">
        <w:rPr>
          <w:rFonts w:ascii="Arial" w:hAnsi="Arial" w:cs="Arial"/>
          <w:b/>
          <w:bCs/>
          <w:sz w:val="16"/>
          <w:szCs w:val="16"/>
        </w:rPr>
        <w:t>Cifras en millones</w:t>
      </w:r>
    </w:p>
    <w:tbl>
      <w:tblPr>
        <w:tblW w:w="0" w:type="auto"/>
        <w:jc w:val="center"/>
        <w:tblCellMar>
          <w:left w:w="70" w:type="dxa"/>
          <w:right w:w="70" w:type="dxa"/>
        </w:tblCellMar>
        <w:tblLook w:val="04A0" w:firstRow="1" w:lastRow="0" w:firstColumn="1" w:lastColumn="0" w:noHBand="0" w:noVBand="1"/>
      </w:tblPr>
      <w:tblGrid>
        <w:gridCol w:w="1624"/>
        <w:gridCol w:w="1016"/>
        <w:gridCol w:w="1136"/>
        <w:gridCol w:w="953"/>
        <w:gridCol w:w="1097"/>
        <w:gridCol w:w="1131"/>
        <w:gridCol w:w="942"/>
        <w:gridCol w:w="929"/>
      </w:tblGrid>
      <w:tr w:rsidR="00823F13" w:rsidRPr="00823F13" w14:paraId="21F1823D" w14:textId="77777777" w:rsidTr="00823F13">
        <w:trPr>
          <w:trHeight w:val="183"/>
          <w:jc w:val="center"/>
        </w:trPr>
        <w:tc>
          <w:tcPr>
            <w:tcW w:w="1645" w:type="dxa"/>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6C5CB324"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 xml:space="preserve">Líneas </w:t>
            </w:r>
          </w:p>
        </w:tc>
        <w:tc>
          <w:tcPr>
            <w:tcW w:w="1028" w:type="dxa"/>
            <w:vMerge w:val="restart"/>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14:paraId="3B516337"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 xml:space="preserve"> Cupo </w:t>
            </w:r>
          </w:p>
        </w:tc>
        <w:tc>
          <w:tcPr>
            <w:tcW w:w="2114" w:type="dxa"/>
            <w:gridSpan w:val="2"/>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14:paraId="3C5807A0"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Reservas</w:t>
            </w:r>
          </w:p>
        </w:tc>
        <w:tc>
          <w:tcPr>
            <w:tcW w:w="3132" w:type="dxa"/>
            <w:gridSpan w:val="3"/>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14:paraId="18296C61"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 xml:space="preserve">Desembolsos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082F8442" w14:textId="77777777" w:rsidR="006F4FA8" w:rsidRPr="00823F13" w:rsidRDefault="006F4FA8" w:rsidP="00670854">
            <w:pPr>
              <w:spacing w:after="0" w:line="240" w:lineRule="auto"/>
              <w:jc w:val="center"/>
              <w:rPr>
                <w:rFonts w:ascii="Arial" w:eastAsia="Times New Roman" w:hAnsi="Arial" w:cs="Arial"/>
                <w:b/>
                <w:bCs/>
                <w:color w:val="000000"/>
                <w:sz w:val="16"/>
                <w:szCs w:val="16"/>
                <w:lang w:eastAsia="es-CO"/>
              </w:rPr>
            </w:pPr>
            <w:r w:rsidRPr="00823F13">
              <w:rPr>
                <w:rFonts w:ascii="Arial" w:eastAsia="Times New Roman" w:hAnsi="Arial" w:cs="Arial"/>
                <w:b/>
                <w:bCs/>
                <w:color w:val="FFFFFF" w:themeColor="background1"/>
                <w:sz w:val="16"/>
                <w:szCs w:val="16"/>
                <w:lang w:eastAsia="es-CO"/>
              </w:rPr>
              <w:t>Monto disponible</w:t>
            </w:r>
          </w:p>
        </w:tc>
      </w:tr>
      <w:tr w:rsidR="00823F13" w:rsidRPr="00823F13" w14:paraId="5C548C9D" w14:textId="77777777" w:rsidTr="00823F13">
        <w:trPr>
          <w:trHeight w:val="390"/>
          <w:jc w:val="center"/>
        </w:trPr>
        <w:tc>
          <w:tcPr>
            <w:tcW w:w="1645" w:type="dxa"/>
            <w:vMerge/>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491E22B8" w14:textId="77777777" w:rsidR="006F4FA8" w:rsidRPr="00823F13" w:rsidRDefault="006F4FA8" w:rsidP="00670854">
            <w:pPr>
              <w:spacing w:after="0" w:line="240" w:lineRule="auto"/>
              <w:rPr>
                <w:rFonts w:ascii="Arial" w:eastAsia="Times New Roman" w:hAnsi="Arial" w:cs="Arial"/>
                <w:b/>
                <w:bCs/>
                <w:color w:val="FFFFFF" w:themeColor="background1"/>
                <w:sz w:val="16"/>
                <w:szCs w:val="16"/>
                <w:lang w:eastAsia="es-CO"/>
              </w:rPr>
            </w:pPr>
          </w:p>
        </w:tc>
        <w:tc>
          <w:tcPr>
            <w:tcW w:w="1028" w:type="dxa"/>
            <w:vMerge/>
            <w:tcBorders>
              <w:top w:val="single" w:sz="4" w:space="0" w:color="auto"/>
              <w:left w:val="single" w:sz="4" w:space="0" w:color="auto"/>
              <w:bottom w:val="single" w:sz="4" w:space="0" w:color="000000"/>
              <w:right w:val="single" w:sz="4" w:space="0" w:color="auto"/>
            </w:tcBorders>
            <w:shd w:val="clear" w:color="auto" w:fill="2E74B5" w:themeFill="accent1" w:themeFillShade="BF"/>
            <w:vAlign w:val="center"/>
            <w:hideMark/>
          </w:tcPr>
          <w:p w14:paraId="2426CE67" w14:textId="77777777" w:rsidR="006F4FA8" w:rsidRPr="00823F13" w:rsidRDefault="006F4FA8" w:rsidP="00670854">
            <w:pPr>
              <w:spacing w:after="0" w:line="240" w:lineRule="auto"/>
              <w:rPr>
                <w:rFonts w:ascii="Arial" w:eastAsia="Times New Roman" w:hAnsi="Arial" w:cs="Arial"/>
                <w:b/>
                <w:bCs/>
                <w:color w:val="FFFFFF" w:themeColor="background1"/>
                <w:sz w:val="16"/>
                <w:szCs w:val="16"/>
                <w:lang w:eastAsia="es-CO"/>
              </w:rPr>
            </w:pPr>
          </w:p>
        </w:tc>
        <w:tc>
          <w:tcPr>
            <w:tcW w:w="1150" w:type="dxa"/>
            <w:tcBorders>
              <w:top w:val="nil"/>
              <w:left w:val="nil"/>
              <w:bottom w:val="single" w:sz="4" w:space="0" w:color="auto"/>
              <w:right w:val="single" w:sz="4" w:space="0" w:color="auto"/>
            </w:tcBorders>
            <w:shd w:val="clear" w:color="auto" w:fill="2E74B5" w:themeFill="accent1" w:themeFillShade="BF"/>
            <w:noWrap/>
            <w:vAlign w:val="center"/>
            <w:hideMark/>
          </w:tcPr>
          <w:p w14:paraId="7FC90BEC"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w:t>
            </w:r>
          </w:p>
          <w:p w14:paraId="5EDB5A03"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Operaciones</w:t>
            </w:r>
          </w:p>
        </w:tc>
        <w:tc>
          <w:tcPr>
            <w:tcW w:w="964" w:type="dxa"/>
            <w:tcBorders>
              <w:top w:val="nil"/>
              <w:left w:val="nil"/>
              <w:bottom w:val="single" w:sz="4" w:space="0" w:color="auto"/>
              <w:right w:val="single" w:sz="4" w:space="0" w:color="auto"/>
            </w:tcBorders>
            <w:shd w:val="clear" w:color="auto" w:fill="2E74B5" w:themeFill="accent1" w:themeFillShade="BF"/>
            <w:noWrap/>
            <w:vAlign w:val="center"/>
            <w:hideMark/>
          </w:tcPr>
          <w:p w14:paraId="201919E8"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Monto $</w:t>
            </w:r>
          </w:p>
        </w:tc>
        <w:tc>
          <w:tcPr>
            <w:tcW w:w="1073" w:type="dxa"/>
            <w:tcBorders>
              <w:top w:val="nil"/>
              <w:left w:val="nil"/>
              <w:bottom w:val="single" w:sz="4" w:space="0" w:color="auto"/>
              <w:right w:val="single" w:sz="4" w:space="0" w:color="auto"/>
            </w:tcBorders>
            <w:shd w:val="clear" w:color="auto" w:fill="2E74B5" w:themeFill="accent1" w:themeFillShade="BF"/>
            <w:noWrap/>
            <w:vAlign w:val="center"/>
            <w:hideMark/>
          </w:tcPr>
          <w:p w14:paraId="7E039392"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w:t>
            </w:r>
          </w:p>
          <w:p w14:paraId="6A415461"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Operaciones</w:t>
            </w:r>
          </w:p>
        </w:tc>
        <w:tc>
          <w:tcPr>
            <w:tcW w:w="1106" w:type="dxa"/>
            <w:tcBorders>
              <w:top w:val="nil"/>
              <w:left w:val="nil"/>
              <w:bottom w:val="single" w:sz="4" w:space="0" w:color="auto"/>
              <w:right w:val="single" w:sz="4" w:space="0" w:color="auto"/>
            </w:tcBorders>
            <w:shd w:val="clear" w:color="auto" w:fill="2E74B5" w:themeFill="accent1" w:themeFillShade="BF"/>
            <w:noWrap/>
            <w:vAlign w:val="center"/>
            <w:hideMark/>
          </w:tcPr>
          <w:p w14:paraId="674EEF51"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w:t>
            </w:r>
          </w:p>
          <w:p w14:paraId="5A3FEDB6"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Beneficiarios</w:t>
            </w:r>
          </w:p>
        </w:tc>
        <w:tc>
          <w:tcPr>
            <w:tcW w:w="953" w:type="dxa"/>
            <w:tcBorders>
              <w:top w:val="nil"/>
              <w:left w:val="nil"/>
              <w:bottom w:val="single" w:sz="4" w:space="0" w:color="auto"/>
              <w:right w:val="single" w:sz="4" w:space="0" w:color="auto"/>
            </w:tcBorders>
            <w:shd w:val="clear" w:color="auto" w:fill="2E74B5" w:themeFill="accent1" w:themeFillShade="BF"/>
            <w:noWrap/>
            <w:vAlign w:val="center"/>
            <w:hideMark/>
          </w:tcPr>
          <w:p w14:paraId="618F3F8C" w14:textId="77777777" w:rsidR="006F4FA8" w:rsidRPr="00823F13" w:rsidRDefault="006F4FA8" w:rsidP="00670854">
            <w:pPr>
              <w:spacing w:after="0" w:line="240" w:lineRule="auto"/>
              <w:jc w:val="center"/>
              <w:rPr>
                <w:rFonts w:ascii="Arial" w:eastAsia="Times New Roman" w:hAnsi="Arial" w:cs="Arial"/>
                <w:b/>
                <w:bCs/>
                <w:color w:val="FFFFFF" w:themeColor="background1"/>
                <w:sz w:val="16"/>
                <w:szCs w:val="16"/>
                <w:lang w:eastAsia="es-CO"/>
              </w:rPr>
            </w:pPr>
            <w:r w:rsidRPr="00823F13">
              <w:rPr>
                <w:rFonts w:ascii="Arial" w:eastAsia="Times New Roman" w:hAnsi="Arial" w:cs="Arial"/>
                <w:b/>
                <w:bCs/>
                <w:color w:val="FFFFFF" w:themeColor="background1"/>
                <w:sz w:val="16"/>
                <w:szCs w:val="16"/>
                <w:lang w:eastAsia="es-CO"/>
              </w:rPr>
              <w:t>Monto $</w:t>
            </w:r>
          </w:p>
        </w:tc>
        <w:tc>
          <w:tcPr>
            <w:tcW w:w="0" w:type="auto"/>
            <w:vMerge/>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4F85D54B" w14:textId="77777777" w:rsidR="006F4FA8" w:rsidRPr="00823F13" w:rsidRDefault="006F4FA8" w:rsidP="00670854">
            <w:pPr>
              <w:spacing w:after="0" w:line="240" w:lineRule="auto"/>
              <w:rPr>
                <w:rFonts w:ascii="Arial" w:eastAsia="Times New Roman" w:hAnsi="Arial" w:cs="Arial"/>
                <w:b/>
                <w:bCs/>
                <w:color w:val="000000"/>
                <w:sz w:val="16"/>
                <w:szCs w:val="16"/>
                <w:lang w:eastAsia="es-CO"/>
              </w:rPr>
            </w:pPr>
          </w:p>
        </w:tc>
      </w:tr>
      <w:tr w:rsidR="00823F13" w:rsidRPr="00823F13" w14:paraId="6B62A16B" w14:textId="77777777" w:rsidTr="00823F13">
        <w:trPr>
          <w:trHeight w:val="183"/>
          <w:jc w:val="center"/>
        </w:trPr>
        <w:tc>
          <w:tcPr>
            <w:tcW w:w="1645" w:type="dxa"/>
            <w:tcBorders>
              <w:top w:val="nil"/>
              <w:left w:val="single" w:sz="4" w:space="0" w:color="auto"/>
              <w:bottom w:val="single" w:sz="4" w:space="0" w:color="auto"/>
              <w:right w:val="single" w:sz="4" w:space="0" w:color="auto"/>
            </w:tcBorders>
            <w:shd w:val="clear" w:color="000000" w:fill="FFFFFF"/>
            <w:noWrap/>
            <w:hideMark/>
          </w:tcPr>
          <w:p w14:paraId="32A3523B" w14:textId="77777777" w:rsidR="006F4FA8" w:rsidRPr="00823F13" w:rsidRDefault="006F4FA8" w:rsidP="00670854">
            <w:pPr>
              <w:spacing w:after="0" w:line="240" w:lineRule="auto"/>
              <w:jc w:val="right"/>
              <w:rPr>
                <w:rFonts w:ascii="Arial" w:eastAsia="Times New Roman" w:hAnsi="Arial" w:cs="Arial"/>
                <w:color w:val="000000"/>
                <w:sz w:val="16"/>
                <w:szCs w:val="16"/>
                <w:lang w:eastAsia="es-CO"/>
              </w:rPr>
            </w:pPr>
            <w:r w:rsidRPr="00823F13">
              <w:rPr>
                <w:rFonts w:ascii="Arial" w:hAnsi="Arial" w:cs="Arial"/>
                <w:sz w:val="16"/>
                <w:szCs w:val="16"/>
              </w:rPr>
              <w:t xml:space="preserve"> Capital de trabajo </w:t>
            </w:r>
          </w:p>
        </w:tc>
        <w:tc>
          <w:tcPr>
            <w:tcW w:w="1028" w:type="dxa"/>
            <w:tcBorders>
              <w:top w:val="nil"/>
              <w:left w:val="nil"/>
              <w:bottom w:val="single" w:sz="4" w:space="0" w:color="auto"/>
              <w:right w:val="single" w:sz="4" w:space="0" w:color="auto"/>
            </w:tcBorders>
            <w:shd w:val="clear" w:color="000000" w:fill="FFFFFF"/>
            <w:noWrap/>
            <w:hideMark/>
          </w:tcPr>
          <w:p w14:paraId="3E966A30"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$ 461,000 </w:t>
            </w:r>
          </w:p>
        </w:tc>
        <w:tc>
          <w:tcPr>
            <w:tcW w:w="1150" w:type="dxa"/>
            <w:tcBorders>
              <w:top w:val="nil"/>
              <w:left w:val="nil"/>
              <w:bottom w:val="single" w:sz="4" w:space="0" w:color="auto"/>
              <w:right w:val="single" w:sz="4" w:space="0" w:color="auto"/>
            </w:tcBorders>
            <w:shd w:val="clear" w:color="000000" w:fill="FFFFFF"/>
            <w:noWrap/>
            <w:hideMark/>
          </w:tcPr>
          <w:p w14:paraId="2B749B97"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162</w:t>
            </w:r>
          </w:p>
        </w:tc>
        <w:tc>
          <w:tcPr>
            <w:tcW w:w="964" w:type="dxa"/>
            <w:tcBorders>
              <w:top w:val="nil"/>
              <w:left w:val="nil"/>
              <w:bottom w:val="single" w:sz="4" w:space="0" w:color="auto"/>
              <w:right w:val="single" w:sz="4" w:space="0" w:color="auto"/>
            </w:tcBorders>
            <w:shd w:val="clear" w:color="000000" w:fill="FFFFFF"/>
            <w:noWrap/>
            <w:hideMark/>
          </w:tcPr>
          <w:p w14:paraId="3381B5C4"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$ 208,665 </w:t>
            </w:r>
          </w:p>
        </w:tc>
        <w:tc>
          <w:tcPr>
            <w:tcW w:w="1073" w:type="dxa"/>
            <w:tcBorders>
              <w:top w:val="nil"/>
              <w:left w:val="nil"/>
              <w:bottom w:val="single" w:sz="4" w:space="0" w:color="auto"/>
              <w:right w:val="single" w:sz="4" w:space="0" w:color="auto"/>
            </w:tcBorders>
            <w:shd w:val="clear" w:color="000000" w:fill="FFFFFF"/>
            <w:noWrap/>
            <w:hideMark/>
          </w:tcPr>
          <w:p w14:paraId="1226E5BD"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144 </w:t>
            </w:r>
          </w:p>
        </w:tc>
        <w:tc>
          <w:tcPr>
            <w:tcW w:w="1106" w:type="dxa"/>
            <w:tcBorders>
              <w:top w:val="nil"/>
              <w:left w:val="nil"/>
              <w:bottom w:val="single" w:sz="4" w:space="0" w:color="auto"/>
              <w:right w:val="single" w:sz="4" w:space="0" w:color="auto"/>
            </w:tcBorders>
            <w:shd w:val="clear" w:color="000000" w:fill="FFFFFF"/>
            <w:noWrap/>
            <w:hideMark/>
          </w:tcPr>
          <w:p w14:paraId="79484CB6"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139 </w:t>
            </w:r>
          </w:p>
        </w:tc>
        <w:tc>
          <w:tcPr>
            <w:tcW w:w="953" w:type="dxa"/>
            <w:tcBorders>
              <w:top w:val="nil"/>
              <w:left w:val="nil"/>
              <w:bottom w:val="single" w:sz="4" w:space="0" w:color="auto"/>
              <w:right w:val="single" w:sz="4" w:space="0" w:color="auto"/>
            </w:tcBorders>
            <w:shd w:val="clear" w:color="000000" w:fill="FFFFFF"/>
            <w:noWrap/>
            <w:hideMark/>
          </w:tcPr>
          <w:p w14:paraId="65B3E624"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$ 409,676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14:paraId="4190CF04"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 - </w:t>
            </w:r>
          </w:p>
        </w:tc>
      </w:tr>
      <w:tr w:rsidR="00823F13" w:rsidRPr="00823F13" w14:paraId="5F063B35" w14:textId="77777777" w:rsidTr="00823F13">
        <w:trPr>
          <w:trHeight w:val="354"/>
          <w:jc w:val="center"/>
        </w:trPr>
        <w:tc>
          <w:tcPr>
            <w:tcW w:w="1645" w:type="dxa"/>
            <w:tcBorders>
              <w:top w:val="nil"/>
              <w:left w:val="single" w:sz="4" w:space="0" w:color="auto"/>
              <w:bottom w:val="single" w:sz="4" w:space="0" w:color="auto"/>
              <w:right w:val="single" w:sz="4" w:space="0" w:color="auto"/>
            </w:tcBorders>
            <w:shd w:val="clear" w:color="000000" w:fill="FFFFFF"/>
            <w:noWrap/>
            <w:hideMark/>
          </w:tcPr>
          <w:p w14:paraId="41D78553" w14:textId="77777777" w:rsidR="006F4FA8" w:rsidRPr="00823F13" w:rsidRDefault="006F4FA8" w:rsidP="00670854">
            <w:pPr>
              <w:spacing w:after="0" w:line="240" w:lineRule="auto"/>
              <w:jc w:val="right"/>
              <w:rPr>
                <w:rFonts w:ascii="Arial" w:eastAsia="Times New Roman" w:hAnsi="Arial" w:cs="Arial"/>
                <w:color w:val="000000"/>
                <w:sz w:val="16"/>
                <w:szCs w:val="16"/>
                <w:lang w:eastAsia="es-CO"/>
              </w:rPr>
            </w:pPr>
            <w:r w:rsidRPr="00823F13">
              <w:rPr>
                <w:rFonts w:ascii="Arial" w:hAnsi="Arial" w:cs="Arial"/>
                <w:sz w:val="16"/>
                <w:szCs w:val="16"/>
              </w:rPr>
              <w:t xml:space="preserve"> Inversión </w:t>
            </w:r>
          </w:p>
        </w:tc>
        <w:tc>
          <w:tcPr>
            <w:tcW w:w="1028" w:type="dxa"/>
            <w:tcBorders>
              <w:top w:val="nil"/>
              <w:left w:val="nil"/>
              <w:bottom w:val="single" w:sz="4" w:space="0" w:color="auto"/>
              <w:right w:val="single" w:sz="4" w:space="0" w:color="auto"/>
            </w:tcBorders>
            <w:shd w:val="clear" w:color="000000" w:fill="FFFFFF"/>
            <w:noWrap/>
            <w:hideMark/>
          </w:tcPr>
          <w:p w14:paraId="042299F2"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$ 252,000 </w:t>
            </w:r>
          </w:p>
        </w:tc>
        <w:tc>
          <w:tcPr>
            <w:tcW w:w="1150" w:type="dxa"/>
            <w:tcBorders>
              <w:top w:val="nil"/>
              <w:left w:val="nil"/>
              <w:bottom w:val="single" w:sz="4" w:space="0" w:color="auto"/>
              <w:right w:val="single" w:sz="4" w:space="0" w:color="auto"/>
            </w:tcBorders>
            <w:shd w:val="clear" w:color="000000" w:fill="FFFFFF"/>
            <w:noWrap/>
            <w:hideMark/>
          </w:tcPr>
          <w:p w14:paraId="3E7895C2"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6</w:t>
            </w:r>
          </w:p>
        </w:tc>
        <w:tc>
          <w:tcPr>
            <w:tcW w:w="964" w:type="dxa"/>
            <w:tcBorders>
              <w:top w:val="nil"/>
              <w:left w:val="nil"/>
              <w:bottom w:val="single" w:sz="4" w:space="0" w:color="auto"/>
              <w:right w:val="single" w:sz="4" w:space="0" w:color="auto"/>
            </w:tcBorders>
            <w:shd w:val="clear" w:color="000000" w:fill="FFFFFF"/>
            <w:noWrap/>
            <w:hideMark/>
          </w:tcPr>
          <w:p w14:paraId="3315F9D6"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$ 49,430 </w:t>
            </w:r>
          </w:p>
        </w:tc>
        <w:tc>
          <w:tcPr>
            <w:tcW w:w="1073" w:type="dxa"/>
            <w:tcBorders>
              <w:top w:val="nil"/>
              <w:left w:val="nil"/>
              <w:bottom w:val="single" w:sz="4" w:space="0" w:color="auto"/>
              <w:right w:val="single" w:sz="4" w:space="0" w:color="auto"/>
            </w:tcBorders>
            <w:shd w:val="clear" w:color="000000" w:fill="FFFFFF"/>
            <w:noWrap/>
            <w:hideMark/>
          </w:tcPr>
          <w:p w14:paraId="6D1E4FB8"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1 </w:t>
            </w:r>
          </w:p>
        </w:tc>
        <w:tc>
          <w:tcPr>
            <w:tcW w:w="1106" w:type="dxa"/>
            <w:tcBorders>
              <w:top w:val="nil"/>
              <w:left w:val="nil"/>
              <w:bottom w:val="single" w:sz="4" w:space="0" w:color="auto"/>
              <w:right w:val="single" w:sz="4" w:space="0" w:color="auto"/>
            </w:tcBorders>
            <w:shd w:val="clear" w:color="000000" w:fill="FFFFFF"/>
            <w:noWrap/>
            <w:hideMark/>
          </w:tcPr>
          <w:p w14:paraId="3EE542E6"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1 </w:t>
            </w:r>
          </w:p>
        </w:tc>
        <w:tc>
          <w:tcPr>
            <w:tcW w:w="953" w:type="dxa"/>
            <w:tcBorders>
              <w:top w:val="nil"/>
              <w:left w:val="nil"/>
              <w:bottom w:val="single" w:sz="4" w:space="0" w:color="auto"/>
              <w:right w:val="single" w:sz="4" w:space="0" w:color="auto"/>
            </w:tcBorders>
            <w:shd w:val="clear" w:color="000000" w:fill="FFFFFF"/>
            <w:noWrap/>
            <w:hideMark/>
          </w:tcPr>
          <w:p w14:paraId="7C445189"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$ 9,295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14:paraId="63F8E8C2" w14:textId="77777777" w:rsidR="006F4FA8" w:rsidRPr="00823F13" w:rsidRDefault="006F4FA8" w:rsidP="00670854">
            <w:pPr>
              <w:spacing w:after="0" w:line="240" w:lineRule="auto"/>
              <w:jc w:val="center"/>
              <w:rPr>
                <w:rFonts w:ascii="Arial" w:eastAsia="Times New Roman" w:hAnsi="Arial" w:cs="Arial"/>
                <w:color w:val="000000"/>
                <w:sz w:val="16"/>
                <w:szCs w:val="16"/>
                <w:lang w:eastAsia="es-CO"/>
              </w:rPr>
            </w:pPr>
            <w:r w:rsidRPr="00823F13">
              <w:rPr>
                <w:rFonts w:ascii="Arial" w:hAnsi="Arial" w:cs="Arial"/>
                <w:sz w:val="16"/>
                <w:szCs w:val="16"/>
              </w:rPr>
              <w:t xml:space="preserve"> $ 193,275 </w:t>
            </w:r>
          </w:p>
        </w:tc>
      </w:tr>
      <w:tr w:rsidR="00823F13" w:rsidRPr="00823F13" w14:paraId="2B6E73F7" w14:textId="77777777" w:rsidTr="00823F13">
        <w:trPr>
          <w:trHeight w:val="183"/>
          <w:jc w:val="center"/>
        </w:trPr>
        <w:tc>
          <w:tcPr>
            <w:tcW w:w="1645" w:type="dxa"/>
            <w:tcBorders>
              <w:top w:val="nil"/>
              <w:left w:val="single" w:sz="4" w:space="0" w:color="auto"/>
              <w:bottom w:val="single" w:sz="4" w:space="0" w:color="auto"/>
              <w:right w:val="single" w:sz="4" w:space="0" w:color="auto"/>
            </w:tcBorders>
            <w:shd w:val="clear" w:color="000000" w:fill="D9D9D9"/>
            <w:noWrap/>
            <w:hideMark/>
          </w:tcPr>
          <w:p w14:paraId="0D1A4D34" w14:textId="77777777" w:rsidR="006F4FA8" w:rsidRPr="00823F13" w:rsidRDefault="006F4FA8" w:rsidP="00670854">
            <w:pPr>
              <w:spacing w:after="0" w:line="240" w:lineRule="auto"/>
              <w:jc w:val="right"/>
              <w:rPr>
                <w:rFonts w:ascii="Arial" w:eastAsia="Times New Roman" w:hAnsi="Arial" w:cs="Arial"/>
                <w:b/>
                <w:bCs/>
                <w:color w:val="000000"/>
                <w:sz w:val="16"/>
                <w:szCs w:val="16"/>
                <w:lang w:eastAsia="es-CO"/>
              </w:rPr>
            </w:pPr>
            <w:r w:rsidRPr="00823F13">
              <w:rPr>
                <w:rFonts w:ascii="Arial" w:hAnsi="Arial" w:cs="Arial"/>
                <w:sz w:val="16"/>
                <w:szCs w:val="16"/>
              </w:rPr>
              <w:t xml:space="preserve"> Total Compromiso Colombia </w:t>
            </w:r>
          </w:p>
        </w:tc>
        <w:tc>
          <w:tcPr>
            <w:tcW w:w="1028" w:type="dxa"/>
            <w:tcBorders>
              <w:top w:val="nil"/>
              <w:left w:val="nil"/>
              <w:bottom w:val="single" w:sz="4" w:space="0" w:color="auto"/>
              <w:right w:val="single" w:sz="4" w:space="0" w:color="auto"/>
            </w:tcBorders>
            <w:shd w:val="clear" w:color="000000" w:fill="D9D9D9"/>
            <w:noWrap/>
            <w:hideMark/>
          </w:tcPr>
          <w:p w14:paraId="45107B6A" w14:textId="77777777" w:rsidR="006F4FA8" w:rsidRPr="00823F13" w:rsidRDefault="006F4FA8" w:rsidP="00670854">
            <w:pPr>
              <w:spacing w:after="0" w:line="240" w:lineRule="auto"/>
              <w:jc w:val="center"/>
              <w:rPr>
                <w:rFonts w:ascii="Arial" w:eastAsia="Times New Roman" w:hAnsi="Arial" w:cs="Arial"/>
                <w:b/>
                <w:bCs/>
                <w:color w:val="000000"/>
                <w:sz w:val="16"/>
                <w:szCs w:val="16"/>
                <w:lang w:eastAsia="es-CO"/>
              </w:rPr>
            </w:pPr>
            <w:r w:rsidRPr="00823F13">
              <w:rPr>
                <w:rFonts w:ascii="Arial" w:hAnsi="Arial" w:cs="Arial"/>
                <w:sz w:val="16"/>
                <w:szCs w:val="16"/>
              </w:rPr>
              <w:t xml:space="preserve"> $ 713,000 </w:t>
            </w:r>
          </w:p>
        </w:tc>
        <w:tc>
          <w:tcPr>
            <w:tcW w:w="1150" w:type="dxa"/>
            <w:tcBorders>
              <w:top w:val="nil"/>
              <w:left w:val="nil"/>
              <w:bottom w:val="single" w:sz="4" w:space="0" w:color="auto"/>
              <w:right w:val="single" w:sz="4" w:space="0" w:color="auto"/>
            </w:tcBorders>
            <w:shd w:val="clear" w:color="000000" w:fill="D9D9D9"/>
            <w:noWrap/>
            <w:hideMark/>
          </w:tcPr>
          <w:p w14:paraId="245B5BD7" w14:textId="77777777" w:rsidR="006F4FA8" w:rsidRPr="00823F13" w:rsidRDefault="006F4FA8" w:rsidP="00670854">
            <w:pPr>
              <w:spacing w:after="0" w:line="240" w:lineRule="auto"/>
              <w:jc w:val="center"/>
              <w:rPr>
                <w:rFonts w:ascii="Arial" w:eastAsia="Times New Roman" w:hAnsi="Arial" w:cs="Arial"/>
                <w:b/>
                <w:bCs/>
                <w:color w:val="000000"/>
                <w:sz w:val="16"/>
                <w:szCs w:val="16"/>
                <w:lang w:eastAsia="es-CO"/>
              </w:rPr>
            </w:pPr>
            <w:r w:rsidRPr="00823F13">
              <w:rPr>
                <w:rFonts w:ascii="Arial" w:hAnsi="Arial" w:cs="Arial"/>
                <w:sz w:val="16"/>
                <w:szCs w:val="16"/>
              </w:rPr>
              <w:t xml:space="preserve"> 168 </w:t>
            </w:r>
          </w:p>
        </w:tc>
        <w:tc>
          <w:tcPr>
            <w:tcW w:w="964" w:type="dxa"/>
            <w:tcBorders>
              <w:top w:val="nil"/>
              <w:left w:val="nil"/>
              <w:bottom w:val="single" w:sz="4" w:space="0" w:color="auto"/>
              <w:right w:val="single" w:sz="4" w:space="0" w:color="auto"/>
            </w:tcBorders>
            <w:shd w:val="clear" w:color="000000" w:fill="D9D9D9"/>
            <w:noWrap/>
            <w:hideMark/>
          </w:tcPr>
          <w:p w14:paraId="5FDF01C6" w14:textId="77777777" w:rsidR="006F4FA8" w:rsidRPr="00823F13" w:rsidRDefault="006F4FA8" w:rsidP="00670854">
            <w:pPr>
              <w:spacing w:after="0" w:line="240" w:lineRule="auto"/>
              <w:jc w:val="center"/>
              <w:rPr>
                <w:rFonts w:ascii="Arial" w:eastAsia="Times New Roman" w:hAnsi="Arial" w:cs="Arial"/>
                <w:b/>
                <w:bCs/>
                <w:color w:val="000000"/>
                <w:sz w:val="16"/>
                <w:szCs w:val="16"/>
                <w:lang w:eastAsia="es-CO"/>
              </w:rPr>
            </w:pPr>
            <w:r w:rsidRPr="00823F13">
              <w:rPr>
                <w:rFonts w:ascii="Arial" w:hAnsi="Arial" w:cs="Arial"/>
                <w:sz w:val="16"/>
                <w:szCs w:val="16"/>
              </w:rPr>
              <w:t xml:space="preserve"> $ 258,095 </w:t>
            </w:r>
          </w:p>
        </w:tc>
        <w:tc>
          <w:tcPr>
            <w:tcW w:w="1073" w:type="dxa"/>
            <w:tcBorders>
              <w:top w:val="nil"/>
              <w:left w:val="nil"/>
              <w:bottom w:val="single" w:sz="4" w:space="0" w:color="auto"/>
              <w:right w:val="single" w:sz="4" w:space="0" w:color="auto"/>
            </w:tcBorders>
            <w:shd w:val="clear" w:color="000000" w:fill="D9D9D9"/>
            <w:noWrap/>
            <w:hideMark/>
          </w:tcPr>
          <w:p w14:paraId="0953EB64" w14:textId="77777777" w:rsidR="006F4FA8" w:rsidRPr="00823F13" w:rsidRDefault="006F4FA8" w:rsidP="00670854">
            <w:pPr>
              <w:spacing w:after="0" w:line="240" w:lineRule="auto"/>
              <w:jc w:val="center"/>
              <w:rPr>
                <w:rFonts w:ascii="Arial" w:eastAsia="Times New Roman" w:hAnsi="Arial" w:cs="Arial"/>
                <w:b/>
                <w:bCs/>
                <w:color w:val="000000"/>
                <w:sz w:val="16"/>
                <w:szCs w:val="16"/>
                <w:lang w:eastAsia="es-CO"/>
              </w:rPr>
            </w:pPr>
            <w:r w:rsidRPr="00823F13">
              <w:rPr>
                <w:rFonts w:ascii="Arial" w:hAnsi="Arial" w:cs="Arial"/>
                <w:sz w:val="16"/>
                <w:szCs w:val="16"/>
              </w:rPr>
              <w:t xml:space="preserve"> 145 </w:t>
            </w:r>
          </w:p>
        </w:tc>
        <w:tc>
          <w:tcPr>
            <w:tcW w:w="1106" w:type="dxa"/>
            <w:tcBorders>
              <w:top w:val="nil"/>
              <w:left w:val="nil"/>
              <w:bottom w:val="single" w:sz="4" w:space="0" w:color="auto"/>
              <w:right w:val="single" w:sz="4" w:space="0" w:color="auto"/>
            </w:tcBorders>
            <w:shd w:val="clear" w:color="000000" w:fill="D9D9D9"/>
            <w:noWrap/>
            <w:hideMark/>
          </w:tcPr>
          <w:p w14:paraId="737A025D" w14:textId="77777777" w:rsidR="006F4FA8" w:rsidRPr="00823F13" w:rsidRDefault="006F4FA8" w:rsidP="00670854">
            <w:pPr>
              <w:spacing w:after="0" w:line="240" w:lineRule="auto"/>
              <w:jc w:val="center"/>
              <w:rPr>
                <w:rFonts w:ascii="Arial" w:eastAsia="Times New Roman" w:hAnsi="Arial" w:cs="Arial"/>
                <w:b/>
                <w:bCs/>
                <w:color w:val="000000"/>
                <w:sz w:val="16"/>
                <w:szCs w:val="16"/>
                <w:lang w:eastAsia="es-CO"/>
              </w:rPr>
            </w:pPr>
            <w:r w:rsidRPr="00823F13">
              <w:rPr>
                <w:rFonts w:ascii="Arial" w:hAnsi="Arial" w:cs="Arial"/>
                <w:sz w:val="16"/>
                <w:szCs w:val="16"/>
              </w:rPr>
              <w:t xml:space="preserve"> 140 </w:t>
            </w:r>
          </w:p>
        </w:tc>
        <w:tc>
          <w:tcPr>
            <w:tcW w:w="953" w:type="dxa"/>
            <w:tcBorders>
              <w:top w:val="nil"/>
              <w:left w:val="nil"/>
              <w:bottom w:val="single" w:sz="4" w:space="0" w:color="auto"/>
              <w:right w:val="single" w:sz="4" w:space="0" w:color="auto"/>
            </w:tcBorders>
            <w:shd w:val="clear" w:color="000000" w:fill="D9D9D9"/>
            <w:noWrap/>
            <w:hideMark/>
          </w:tcPr>
          <w:p w14:paraId="2AB99BFA" w14:textId="77777777" w:rsidR="006F4FA8" w:rsidRPr="00823F13" w:rsidRDefault="006F4FA8" w:rsidP="00670854">
            <w:pPr>
              <w:spacing w:after="0" w:line="240" w:lineRule="auto"/>
              <w:jc w:val="center"/>
              <w:rPr>
                <w:rFonts w:ascii="Arial" w:eastAsia="Times New Roman" w:hAnsi="Arial" w:cs="Arial"/>
                <w:b/>
                <w:bCs/>
                <w:color w:val="000000"/>
                <w:sz w:val="16"/>
                <w:szCs w:val="16"/>
                <w:lang w:eastAsia="es-CO"/>
              </w:rPr>
            </w:pPr>
            <w:r w:rsidRPr="00823F13">
              <w:rPr>
                <w:rFonts w:ascii="Arial" w:hAnsi="Arial" w:cs="Arial"/>
                <w:sz w:val="16"/>
                <w:szCs w:val="16"/>
              </w:rPr>
              <w:t xml:space="preserve"> $ 418,971 </w:t>
            </w:r>
          </w:p>
        </w:tc>
        <w:tc>
          <w:tcPr>
            <w:tcW w:w="0" w:type="auto"/>
            <w:tcBorders>
              <w:top w:val="nil"/>
              <w:left w:val="nil"/>
              <w:bottom w:val="single" w:sz="4" w:space="0" w:color="auto"/>
              <w:right w:val="single" w:sz="4" w:space="0" w:color="auto"/>
            </w:tcBorders>
            <w:shd w:val="clear" w:color="000000" w:fill="D9D9D9"/>
            <w:noWrap/>
            <w:hideMark/>
          </w:tcPr>
          <w:p w14:paraId="2DA198C4" w14:textId="77777777" w:rsidR="006F4FA8" w:rsidRPr="00823F13" w:rsidRDefault="006F4FA8" w:rsidP="00670854">
            <w:pPr>
              <w:spacing w:after="0" w:line="240" w:lineRule="auto"/>
              <w:jc w:val="center"/>
              <w:rPr>
                <w:rFonts w:ascii="Arial" w:eastAsia="Times New Roman" w:hAnsi="Arial" w:cs="Arial"/>
                <w:b/>
                <w:bCs/>
                <w:color w:val="000000"/>
                <w:sz w:val="16"/>
                <w:szCs w:val="16"/>
                <w:lang w:eastAsia="es-CO"/>
              </w:rPr>
            </w:pPr>
            <w:r w:rsidRPr="00823F13">
              <w:rPr>
                <w:rFonts w:ascii="Arial" w:hAnsi="Arial" w:cs="Arial"/>
                <w:sz w:val="16"/>
                <w:szCs w:val="16"/>
              </w:rPr>
              <w:t xml:space="preserve"> $ 193,275 </w:t>
            </w:r>
          </w:p>
        </w:tc>
      </w:tr>
    </w:tbl>
    <w:p w14:paraId="47639FA0" w14:textId="77777777" w:rsidR="006F4FA8" w:rsidRPr="002115B5" w:rsidRDefault="006F4FA8" w:rsidP="006F4FA8">
      <w:pPr>
        <w:pStyle w:val="Prrafodelista"/>
        <w:tabs>
          <w:tab w:val="left" w:pos="284"/>
        </w:tabs>
        <w:ind w:left="284" w:right="141"/>
        <w:jc w:val="center"/>
        <w:rPr>
          <w:rFonts w:ascii="Arial Nova" w:hAnsi="Arial Nova"/>
          <w:b/>
          <w:bCs/>
          <w:color w:val="2E74B5" w:themeColor="accent1" w:themeShade="BF"/>
          <w:sz w:val="8"/>
          <w:szCs w:val="8"/>
        </w:rPr>
      </w:pPr>
    </w:p>
    <w:p w14:paraId="53EF8F3F" w14:textId="77777777" w:rsidR="006F4FA8" w:rsidRDefault="006F4FA8" w:rsidP="006F4FA8">
      <w:pPr>
        <w:pStyle w:val="Prrafodelista"/>
        <w:tabs>
          <w:tab w:val="left" w:pos="284"/>
        </w:tabs>
        <w:ind w:left="284" w:right="141"/>
        <w:jc w:val="center"/>
        <w:rPr>
          <w:rFonts w:ascii="Arial" w:hAnsi="Arial" w:cs="Arial"/>
          <w:b/>
          <w:bCs/>
          <w:color w:val="2D4873"/>
          <w:sz w:val="18"/>
          <w:szCs w:val="18"/>
        </w:rPr>
      </w:pPr>
      <w:r w:rsidRPr="002115B5">
        <w:rPr>
          <w:rFonts w:ascii="Arial" w:hAnsi="Arial" w:cs="Arial"/>
          <w:b/>
          <w:bCs/>
          <w:color w:val="2D4873"/>
          <w:sz w:val="18"/>
          <w:szCs w:val="18"/>
        </w:rPr>
        <w:t>Última Actualización: (</w:t>
      </w:r>
      <w:r>
        <w:rPr>
          <w:rFonts w:ascii="Arial" w:hAnsi="Arial" w:cs="Arial"/>
          <w:b/>
          <w:bCs/>
          <w:color w:val="2D4873"/>
          <w:sz w:val="18"/>
          <w:szCs w:val="18"/>
        </w:rPr>
        <w:t>16</w:t>
      </w:r>
      <w:r w:rsidRPr="002115B5">
        <w:rPr>
          <w:rFonts w:ascii="Arial" w:hAnsi="Arial" w:cs="Arial"/>
          <w:b/>
          <w:bCs/>
          <w:color w:val="2D4873"/>
          <w:sz w:val="18"/>
          <w:szCs w:val="18"/>
        </w:rPr>
        <w:t>/0</w:t>
      </w:r>
      <w:r>
        <w:rPr>
          <w:rFonts w:ascii="Arial" w:hAnsi="Arial" w:cs="Arial"/>
          <w:b/>
          <w:bCs/>
          <w:color w:val="2D4873"/>
          <w:sz w:val="18"/>
          <w:szCs w:val="18"/>
        </w:rPr>
        <w:t>5</w:t>
      </w:r>
      <w:r w:rsidRPr="002115B5">
        <w:rPr>
          <w:rFonts w:ascii="Arial" w:hAnsi="Arial" w:cs="Arial"/>
          <w:b/>
          <w:bCs/>
          <w:color w:val="2D4873"/>
          <w:sz w:val="18"/>
          <w:szCs w:val="18"/>
        </w:rPr>
        <w:t>/2020) – Cifras con corte a (</w:t>
      </w:r>
      <w:r>
        <w:rPr>
          <w:rFonts w:ascii="Arial" w:hAnsi="Arial" w:cs="Arial"/>
          <w:b/>
          <w:bCs/>
          <w:color w:val="2D4873"/>
          <w:sz w:val="18"/>
          <w:szCs w:val="18"/>
        </w:rPr>
        <w:t>15</w:t>
      </w:r>
      <w:r w:rsidRPr="002115B5">
        <w:rPr>
          <w:rFonts w:ascii="Arial" w:hAnsi="Arial" w:cs="Arial"/>
          <w:b/>
          <w:bCs/>
          <w:color w:val="2D4873"/>
          <w:sz w:val="18"/>
          <w:szCs w:val="18"/>
        </w:rPr>
        <w:t>/0</w:t>
      </w:r>
      <w:r>
        <w:rPr>
          <w:rFonts w:ascii="Arial" w:hAnsi="Arial" w:cs="Arial"/>
          <w:b/>
          <w:bCs/>
          <w:color w:val="2D4873"/>
          <w:sz w:val="18"/>
          <w:szCs w:val="18"/>
        </w:rPr>
        <w:t>5</w:t>
      </w:r>
      <w:r w:rsidRPr="002115B5">
        <w:rPr>
          <w:rFonts w:ascii="Arial" w:hAnsi="Arial" w:cs="Arial"/>
          <w:b/>
          <w:bCs/>
          <w:color w:val="2D4873"/>
          <w:sz w:val="18"/>
          <w:szCs w:val="18"/>
        </w:rPr>
        <w:t>/2020)</w:t>
      </w:r>
    </w:p>
    <w:p w14:paraId="63E59A84" w14:textId="6F61EAA9" w:rsidR="006F4FA8" w:rsidRPr="00A80A7D" w:rsidRDefault="00AD4CF8" w:rsidP="00D36DE1">
      <w:pPr>
        <w:jc w:val="both"/>
        <w:rPr>
          <w:rFonts w:ascii="Arial" w:hAnsi="Arial" w:cs="Arial"/>
        </w:rPr>
      </w:pPr>
      <w:r>
        <w:rPr>
          <w:rFonts w:ascii="Arial" w:hAnsi="Arial" w:cs="Arial"/>
        </w:rPr>
        <w:t xml:space="preserve">Como parte del seguimiento realizado por </w:t>
      </w:r>
      <w:r w:rsidR="00EC6A94">
        <w:rPr>
          <w:rFonts w:ascii="Arial" w:hAnsi="Arial" w:cs="Arial"/>
        </w:rPr>
        <w:t xml:space="preserve">la </w:t>
      </w:r>
      <w:r>
        <w:rPr>
          <w:rFonts w:ascii="Arial" w:hAnsi="Arial" w:cs="Arial"/>
        </w:rPr>
        <w:t>S</w:t>
      </w:r>
      <w:r w:rsidR="00EC6A94">
        <w:rPr>
          <w:rFonts w:ascii="Arial" w:hAnsi="Arial" w:cs="Arial"/>
        </w:rPr>
        <w:t xml:space="preserve">uperintendencia </w:t>
      </w:r>
      <w:r>
        <w:rPr>
          <w:rFonts w:ascii="Arial" w:hAnsi="Arial" w:cs="Arial"/>
        </w:rPr>
        <w:t xml:space="preserve">a la evolución </w:t>
      </w:r>
      <w:r w:rsidR="00C37D56">
        <w:rPr>
          <w:rFonts w:ascii="Arial" w:hAnsi="Arial" w:cs="Arial"/>
        </w:rPr>
        <w:t>de estas</w:t>
      </w:r>
      <w:r>
        <w:rPr>
          <w:rFonts w:ascii="Arial" w:hAnsi="Arial" w:cs="Arial"/>
        </w:rPr>
        <w:t xml:space="preserve"> líneas, semanalmente se </w:t>
      </w:r>
      <w:r w:rsidR="00EC6A94">
        <w:rPr>
          <w:rFonts w:ascii="Arial" w:hAnsi="Arial" w:cs="Arial"/>
        </w:rPr>
        <w:t>actualiza</w:t>
      </w:r>
      <w:r>
        <w:rPr>
          <w:rFonts w:ascii="Arial" w:hAnsi="Arial" w:cs="Arial"/>
        </w:rPr>
        <w:t>n</w:t>
      </w:r>
      <w:r w:rsidR="00EC6A94">
        <w:rPr>
          <w:rFonts w:ascii="Arial" w:hAnsi="Arial" w:cs="Arial"/>
        </w:rPr>
        <w:t xml:space="preserve"> estas c</w:t>
      </w:r>
      <w:r w:rsidR="00EC6A94" w:rsidRPr="00EC6A94">
        <w:rPr>
          <w:rFonts w:ascii="Arial" w:hAnsi="Arial" w:cs="Arial"/>
        </w:rPr>
        <w:t>ifras</w:t>
      </w:r>
      <w:r>
        <w:rPr>
          <w:rFonts w:ascii="Arial" w:hAnsi="Arial" w:cs="Arial"/>
        </w:rPr>
        <w:t xml:space="preserve"> en nuestra página web </w:t>
      </w:r>
      <w:hyperlink r:id="rId8" w:history="1">
        <w:r w:rsidR="00EC6A94" w:rsidRPr="00EC6A94">
          <w:rPr>
            <w:rStyle w:val="Hipervnculo"/>
            <w:rFonts w:ascii="Arial" w:hAnsi="Arial" w:cs="Arial"/>
          </w:rPr>
          <w:t>https://www.superfinanciera.gov.co/publicacion/10103899</w:t>
        </w:r>
      </w:hyperlink>
      <w:r w:rsidR="00C37D56">
        <w:rPr>
          <w:rStyle w:val="Hipervnculo"/>
          <w:rFonts w:ascii="Arial" w:hAnsi="Arial" w:cs="Arial"/>
        </w:rPr>
        <w:t>.</w:t>
      </w:r>
    </w:p>
    <w:p w14:paraId="279182D1" w14:textId="12F1E8D9" w:rsidR="00A80A7D" w:rsidRDefault="00A80A7D" w:rsidP="00116806">
      <w:pPr>
        <w:pStyle w:val="Descripcin"/>
        <w:keepNext/>
        <w:spacing w:after="0"/>
        <w:jc w:val="both"/>
        <w:rPr>
          <w:rFonts w:ascii="Arial" w:hAnsi="Arial" w:cs="Arial"/>
          <w:i w:val="0"/>
          <w:iCs w:val="0"/>
          <w:color w:val="000000" w:themeColor="text1"/>
          <w:sz w:val="22"/>
          <w:szCs w:val="22"/>
          <w:lang w:val="es-MX"/>
        </w:rPr>
      </w:pPr>
      <w:r w:rsidRPr="00A80A7D">
        <w:rPr>
          <w:rFonts w:ascii="Arial" w:hAnsi="Arial" w:cs="Arial"/>
          <w:i w:val="0"/>
          <w:iCs w:val="0"/>
          <w:color w:val="000000" w:themeColor="text1"/>
          <w:sz w:val="22"/>
          <w:szCs w:val="22"/>
          <w:lang w:val="es-MX"/>
        </w:rPr>
        <w:t xml:space="preserve">Frente al segundo mecanismo, esto es líneas de garantías se debe mencionar que el objeto del FNG consiste en </w:t>
      </w:r>
      <w:r w:rsidRPr="00A80A7D">
        <w:rPr>
          <w:rFonts w:ascii="Arial" w:hAnsi="Arial" w:cs="Arial"/>
          <w:i w:val="0"/>
          <w:iCs w:val="0"/>
          <w:color w:val="222222"/>
          <w:sz w:val="22"/>
          <w:szCs w:val="22"/>
          <w:shd w:val="clear" w:color="auto" w:fill="FFFFFF"/>
        </w:rPr>
        <w:t xml:space="preserve">respaldar las operaciones de crédito </w:t>
      </w:r>
      <w:r w:rsidR="00EB6002" w:rsidRPr="00A80A7D">
        <w:rPr>
          <w:rFonts w:ascii="Arial" w:hAnsi="Arial" w:cs="Arial"/>
          <w:i w:val="0"/>
          <w:iCs w:val="0"/>
          <w:color w:val="222222"/>
          <w:sz w:val="22"/>
          <w:szCs w:val="22"/>
          <w:shd w:val="clear" w:color="auto" w:fill="FFFFFF"/>
        </w:rPr>
        <w:t xml:space="preserve">ante los intermediarios financieros </w:t>
      </w:r>
      <w:r w:rsidRPr="00A80A7D">
        <w:rPr>
          <w:rFonts w:ascii="Arial" w:hAnsi="Arial" w:cs="Arial"/>
          <w:i w:val="0"/>
          <w:iCs w:val="0"/>
          <w:color w:val="222222"/>
          <w:sz w:val="22"/>
          <w:szCs w:val="22"/>
          <w:shd w:val="clear" w:color="auto" w:fill="FFFFFF"/>
        </w:rPr>
        <w:t xml:space="preserve">en </w:t>
      </w:r>
      <w:r w:rsidR="00EB6002">
        <w:rPr>
          <w:rFonts w:ascii="Arial" w:hAnsi="Arial" w:cs="Arial"/>
          <w:i w:val="0"/>
          <w:iCs w:val="0"/>
          <w:color w:val="222222"/>
          <w:sz w:val="22"/>
          <w:szCs w:val="22"/>
          <w:shd w:val="clear" w:color="auto" w:fill="FFFFFF"/>
        </w:rPr>
        <w:t>l</w:t>
      </w:r>
      <w:r w:rsidRPr="00A80A7D">
        <w:rPr>
          <w:rFonts w:ascii="Arial" w:hAnsi="Arial" w:cs="Arial"/>
          <w:i w:val="0"/>
          <w:iCs w:val="0"/>
          <w:color w:val="222222"/>
          <w:sz w:val="22"/>
          <w:szCs w:val="22"/>
          <w:shd w:val="clear" w:color="auto" w:fill="FFFFFF"/>
        </w:rPr>
        <w:t xml:space="preserve">a proporción que </w:t>
      </w:r>
      <w:r w:rsidR="00F24ABB">
        <w:rPr>
          <w:rFonts w:ascii="Arial" w:hAnsi="Arial" w:cs="Arial"/>
          <w:i w:val="0"/>
          <w:iCs w:val="0"/>
          <w:color w:val="222222"/>
          <w:sz w:val="22"/>
          <w:szCs w:val="22"/>
          <w:shd w:val="clear" w:color="auto" w:fill="FFFFFF"/>
        </w:rPr>
        <w:t xml:space="preserve">el FNG </w:t>
      </w:r>
      <w:r w:rsidRPr="00A80A7D">
        <w:rPr>
          <w:rFonts w:ascii="Arial" w:hAnsi="Arial" w:cs="Arial"/>
          <w:i w:val="0"/>
          <w:iCs w:val="0"/>
          <w:color w:val="222222"/>
          <w:sz w:val="22"/>
          <w:szCs w:val="22"/>
          <w:shd w:val="clear" w:color="auto" w:fill="FFFFFF"/>
        </w:rPr>
        <w:t xml:space="preserve">defina, a saber: bancos, corporaciones financieras, compañías </w:t>
      </w:r>
      <w:r w:rsidRPr="00A80A7D">
        <w:rPr>
          <w:rFonts w:ascii="Arial" w:hAnsi="Arial" w:cs="Arial"/>
          <w:i w:val="0"/>
          <w:iCs w:val="0"/>
          <w:color w:val="222222"/>
          <w:sz w:val="22"/>
          <w:szCs w:val="22"/>
          <w:shd w:val="clear" w:color="auto" w:fill="FFFFFF"/>
        </w:rPr>
        <w:lastRenderedPageBreak/>
        <w:t>de financiamiento y de leasing, cooperativas, o</w:t>
      </w:r>
      <w:r>
        <w:rPr>
          <w:rFonts w:ascii="Arial" w:hAnsi="Arial" w:cs="Arial"/>
          <w:i w:val="0"/>
          <w:iCs w:val="0"/>
          <w:color w:val="222222"/>
          <w:sz w:val="22"/>
          <w:szCs w:val="22"/>
          <w:shd w:val="clear" w:color="auto" w:fill="FFFFFF"/>
        </w:rPr>
        <w:t xml:space="preserve">rganizaciones no gubernamentales </w:t>
      </w:r>
      <w:r w:rsidRPr="00A80A7D">
        <w:rPr>
          <w:rFonts w:ascii="Arial" w:hAnsi="Arial" w:cs="Arial"/>
          <w:i w:val="0"/>
          <w:iCs w:val="0"/>
          <w:color w:val="222222"/>
          <w:sz w:val="22"/>
          <w:szCs w:val="22"/>
          <w:shd w:val="clear" w:color="auto" w:fill="FFFFFF"/>
        </w:rPr>
        <w:t>financieras y fundaciones que irriguen crédito.</w:t>
      </w:r>
    </w:p>
    <w:p w14:paraId="00DD0F67" w14:textId="77777777" w:rsidR="00A80A7D" w:rsidRDefault="00A80A7D" w:rsidP="00116806">
      <w:pPr>
        <w:pStyle w:val="Descripcin"/>
        <w:keepNext/>
        <w:spacing w:after="0"/>
        <w:jc w:val="both"/>
        <w:rPr>
          <w:rFonts w:ascii="Arial" w:hAnsi="Arial" w:cs="Arial"/>
          <w:i w:val="0"/>
          <w:iCs w:val="0"/>
          <w:color w:val="000000" w:themeColor="text1"/>
          <w:sz w:val="22"/>
          <w:szCs w:val="22"/>
          <w:lang w:val="es-MX"/>
        </w:rPr>
      </w:pPr>
    </w:p>
    <w:p w14:paraId="2E730F10" w14:textId="2098B63C" w:rsidR="00495099" w:rsidRDefault="00EB6002" w:rsidP="004E719B">
      <w:pPr>
        <w:pStyle w:val="Descripcin"/>
        <w:keepNext/>
        <w:spacing w:after="0"/>
        <w:jc w:val="both"/>
        <w:rPr>
          <w:rFonts w:ascii="Arial" w:hAnsi="Arial" w:cs="Arial"/>
          <w:i w:val="0"/>
          <w:iCs w:val="0"/>
          <w:color w:val="000000" w:themeColor="text1"/>
          <w:sz w:val="22"/>
          <w:szCs w:val="22"/>
          <w:lang w:val="es-MX"/>
        </w:rPr>
      </w:pPr>
      <w:r>
        <w:rPr>
          <w:rFonts w:ascii="Arial" w:hAnsi="Arial" w:cs="Arial"/>
          <w:i w:val="0"/>
          <w:iCs w:val="0"/>
          <w:color w:val="000000" w:themeColor="text1"/>
          <w:sz w:val="22"/>
          <w:szCs w:val="22"/>
          <w:lang w:val="es-MX"/>
        </w:rPr>
        <w:t>Dentro el contrato de garantía es un contrato accesorio al contrato principal de crédito y tiene como propósito que, ante el incumplimiento del deudor en el pago del crédito en la entidad financiera de primer piso, el FNG asume el pago en la proporción preestablecida</w:t>
      </w:r>
      <w:r w:rsidR="00833745">
        <w:rPr>
          <w:rFonts w:ascii="Arial" w:hAnsi="Arial" w:cs="Arial"/>
          <w:i w:val="0"/>
          <w:iCs w:val="0"/>
          <w:color w:val="000000" w:themeColor="text1"/>
          <w:sz w:val="22"/>
          <w:szCs w:val="22"/>
          <w:lang w:val="es-MX"/>
        </w:rPr>
        <w:t xml:space="preserve"> y bajo los protocolos y condiciones definidos por esta</w:t>
      </w:r>
      <w:r>
        <w:rPr>
          <w:rFonts w:ascii="Arial" w:hAnsi="Arial" w:cs="Arial"/>
          <w:i w:val="0"/>
          <w:iCs w:val="0"/>
          <w:color w:val="000000" w:themeColor="text1"/>
          <w:sz w:val="22"/>
          <w:szCs w:val="22"/>
          <w:lang w:val="es-MX"/>
        </w:rPr>
        <w:t xml:space="preserve">. Se desprende de lo anterior, que en las operaciones de garantías no se entregan recursos por parte del FNG a los intermediarios financieros y que los desembolsos se efectúan con los recursos propios de la entidad financiera de primer piso. </w:t>
      </w:r>
      <w:r w:rsidR="00495099">
        <w:rPr>
          <w:rFonts w:ascii="Arial" w:hAnsi="Arial" w:cs="Arial"/>
          <w:i w:val="0"/>
          <w:iCs w:val="0"/>
          <w:color w:val="000000" w:themeColor="text1"/>
          <w:sz w:val="22"/>
          <w:szCs w:val="22"/>
          <w:lang w:val="es-MX"/>
        </w:rPr>
        <w:t xml:space="preserve">De presentarse el incumplimiento del deudor, inicia el proceso de ejecución de </w:t>
      </w:r>
      <w:r>
        <w:rPr>
          <w:rFonts w:ascii="Arial" w:hAnsi="Arial" w:cs="Arial"/>
          <w:i w:val="0"/>
          <w:iCs w:val="0"/>
          <w:color w:val="000000" w:themeColor="text1"/>
          <w:sz w:val="22"/>
          <w:szCs w:val="22"/>
          <w:lang w:val="es-MX"/>
        </w:rPr>
        <w:t xml:space="preserve">la garantía, </w:t>
      </w:r>
      <w:r w:rsidR="00495099">
        <w:rPr>
          <w:rFonts w:ascii="Arial" w:hAnsi="Arial" w:cs="Arial"/>
          <w:i w:val="0"/>
          <w:iCs w:val="0"/>
          <w:color w:val="000000" w:themeColor="text1"/>
          <w:sz w:val="22"/>
          <w:szCs w:val="22"/>
          <w:lang w:val="es-MX"/>
        </w:rPr>
        <w:t xml:space="preserve">y en ese evento </w:t>
      </w:r>
      <w:r>
        <w:rPr>
          <w:rFonts w:ascii="Arial" w:hAnsi="Arial" w:cs="Arial"/>
          <w:i w:val="0"/>
          <w:iCs w:val="0"/>
          <w:color w:val="000000" w:themeColor="text1"/>
          <w:sz w:val="22"/>
          <w:szCs w:val="22"/>
          <w:lang w:val="es-MX"/>
        </w:rPr>
        <w:t xml:space="preserve">el FNG trasladará al establecimiento de crédito </w:t>
      </w:r>
      <w:r w:rsidR="00584928">
        <w:rPr>
          <w:rFonts w:ascii="Arial" w:hAnsi="Arial" w:cs="Arial"/>
          <w:i w:val="0"/>
          <w:iCs w:val="0"/>
          <w:color w:val="000000" w:themeColor="text1"/>
          <w:sz w:val="22"/>
          <w:szCs w:val="22"/>
          <w:lang w:val="es-MX"/>
        </w:rPr>
        <w:t xml:space="preserve">el monto de </w:t>
      </w:r>
      <w:r>
        <w:rPr>
          <w:rFonts w:ascii="Arial" w:hAnsi="Arial" w:cs="Arial"/>
          <w:i w:val="0"/>
          <w:iCs w:val="0"/>
          <w:color w:val="000000" w:themeColor="text1"/>
          <w:sz w:val="22"/>
          <w:szCs w:val="22"/>
          <w:lang w:val="es-MX"/>
        </w:rPr>
        <w:t xml:space="preserve">dinero </w:t>
      </w:r>
      <w:r w:rsidR="00495099">
        <w:rPr>
          <w:rFonts w:ascii="Arial" w:hAnsi="Arial" w:cs="Arial"/>
          <w:i w:val="0"/>
          <w:iCs w:val="0"/>
          <w:color w:val="000000" w:themeColor="text1"/>
          <w:sz w:val="22"/>
          <w:szCs w:val="22"/>
          <w:lang w:val="es-MX"/>
        </w:rPr>
        <w:t xml:space="preserve">en la proporción establecida en el contrato de garantía. </w:t>
      </w:r>
      <w:r>
        <w:rPr>
          <w:rFonts w:ascii="Arial" w:hAnsi="Arial" w:cs="Arial"/>
          <w:i w:val="0"/>
          <w:iCs w:val="0"/>
          <w:color w:val="000000" w:themeColor="text1"/>
          <w:sz w:val="22"/>
          <w:szCs w:val="22"/>
          <w:lang w:val="es-MX"/>
        </w:rPr>
        <w:t xml:space="preserve">Una vez el FNG paga, se subroga en </w:t>
      </w:r>
      <w:r w:rsidR="00495099">
        <w:rPr>
          <w:rFonts w:ascii="Arial" w:hAnsi="Arial" w:cs="Arial"/>
          <w:i w:val="0"/>
          <w:iCs w:val="0"/>
          <w:color w:val="000000" w:themeColor="text1"/>
          <w:sz w:val="22"/>
          <w:szCs w:val="22"/>
          <w:lang w:val="es-MX"/>
        </w:rPr>
        <w:t xml:space="preserve">los derechos del </w:t>
      </w:r>
      <w:r>
        <w:rPr>
          <w:rFonts w:ascii="Arial" w:hAnsi="Arial" w:cs="Arial"/>
          <w:i w:val="0"/>
          <w:iCs w:val="0"/>
          <w:color w:val="000000" w:themeColor="text1"/>
          <w:sz w:val="22"/>
          <w:szCs w:val="22"/>
          <w:lang w:val="es-MX"/>
        </w:rPr>
        <w:t xml:space="preserve">acreedor y </w:t>
      </w:r>
      <w:r w:rsidR="00495099">
        <w:rPr>
          <w:rFonts w:ascii="Arial" w:hAnsi="Arial" w:cs="Arial"/>
          <w:i w:val="0"/>
          <w:iCs w:val="0"/>
          <w:color w:val="000000" w:themeColor="text1"/>
          <w:sz w:val="22"/>
          <w:szCs w:val="22"/>
          <w:lang w:val="es-MX"/>
        </w:rPr>
        <w:t xml:space="preserve">debe </w:t>
      </w:r>
      <w:r>
        <w:rPr>
          <w:rFonts w:ascii="Arial" w:hAnsi="Arial" w:cs="Arial"/>
          <w:i w:val="0"/>
          <w:iCs w:val="0"/>
          <w:color w:val="000000" w:themeColor="text1"/>
          <w:sz w:val="22"/>
          <w:szCs w:val="22"/>
          <w:lang w:val="es-MX"/>
        </w:rPr>
        <w:t>contin</w:t>
      </w:r>
      <w:r w:rsidR="00495099">
        <w:rPr>
          <w:rFonts w:ascii="Arial" w:hAnsi="Arial" w:cs="Arial"/>
          <w:i w:val="0"/>
          <w:iCs w:val="0"/>
          <w:color w:val="000000" w:themeColor="text1"/>
          <w:sz w:val="22"/>
          <w:szCs w:val="22"/>
          <w:lang w:val="es-MX"/>
        </w:rPr>
        <w:t>u</w:t>
      </w:r>
      <w:r>
        <w:rPr>
          <w:rFonts w:ascii="Arial" w:hAnsi="Arial" w:cs="Arial"/>
          <w:i w:val="0"/>
          <w:iCs w:val="0"/>
          <w:color w:val="000000" w:themeColor="text1"/>
          <w:sz w:val="22"/>
          <w:szCs w:val="22"/>
          <w:lang w:val="es-MX"/>
        </w:rPr>
        <w:t>a</w:t>
      </w:r>
      <w:r w:rsidR="00495099">
        <w:rPr>
          <w:rFonts w:ascii="Arial" w:hAnsi="Arial" w:cs="Arial"/>
          <w:i w:val="0"/>
          <w:iCs w:val="0"/>
          <w:color w:val="000000" w:themeColor="text1"/>
          <w:sz w:val="22"/>
          <w:szCs w:val="22"/>
          <w:lang w:val="es-MX"/>
        </w:rPr>
        <w:t>r</w:t>
      </w:r>
      <w:r>
        <w:rPr>
          <w:rFonts w:ascii="Arial" w:hAnsi="Arial" w:cs="Arial"/>
          <w:i w:val="0"/>
          <w:iCs w:val="0"/>
          <w:color w:val="000000" w:themeColor="text1"/>
          <w:sz w:val="22"/>
          <w:szCs w:val="22"/>
          <w:lang w:val="es-MX"/>
        </w:rPr>
        <w:t xml:space="preserve"> </w:t>
      </w:r>
      <w:r w:rsidR="00495099">
        <w:rPr>
          <w:rFonts w:ascii="Arial" w:hAnsi="Arial" w:cs="Arial"/>
          <w:i w:val="0"/>
          <w:iCs w:val="0"/>
          <w:color w:val="000000" w:themeColor="text1"/>
          <w:sz w:val="22"/>
          <w:szCs w:val="22"/>
          <w:lang w:val="es-MX"/>
        </w:rPr>
        <w:t xml:space="preserve">con </w:t>
      </w:r>
      <w:r>
        <w:rPr>
          <w:rFonts w:ascii="Arial" w:hAnsi="Arial" w:cs="Arial"/>
          <w:i w:val="0"/>
          <w:iCs w:val="0"/>
          <w:color w:val="000000" w:themeColor="text1"/>
          <w:sz w:val="22"/>
          <w:szCs w:val="22"/>
          <w:lang w:val="es-MX"/>
        </w:rPr>
        <w:t>el proceso de cobro y recuperación de l</w:t>
      </w:r>
      <w:r w:rsidR="00495099">
        <w:rPr>
          <w:rFonts w:ascii="Arial" w:hAnsi="Arial" w:cs="Arial"/>
          <w:i w:val="0"/>
          <w:iCs w:val="0"/>
          <w:color w:val="000000" w:themeColor="text1"/>
          <w:sz w:val="22"/>
          <w:szCs w:val="22"/>
          <w:lang w:val="es-MX"/>
        </w:rPr>
        <w:t>o</w:t>
      </w:r>
      <w:r>
        <w:rPr>
          <w:rFonts w:ascii="Arial" w:hAnsi="Arial" w:cs="Arial"/>
          <w:i w:val="0"/>
          <w:iCs w:val="0"/>
          <w:color w:val="000000" w:themeColor="text1"/>
          <w:sz w:val="22"/>
          <w:szCs w:val="22"/>
          <w:lang w:val="es-MX"/>
        </w:rPr>
        <w:t xml:space="preserve">s </w:t>
      </w:r>
      <w:r w:rsidR="00495099">
        <w:rPr>
          <w:rFonts w:ascii="Arial" w:hAnsi="Arial" w:cs="Arial"/>
          <w:i w:val="0"/>
          <w:iCs w:val="0"/>
          <w:color w:val="000000" w:themeColor="text1"/>
          <w:sz w:val="22"/>
          <w:szCs w:val="22"/>
          <w:lang w:val="es-MX"/>
        </w:rPr>
        <w:t xml:space="preserve">recursos </w:t>
      </w:r>
      <w:r>
        <w:rPr>
          <w:rFonts w:ascii="Arial" w:hAnsi="Arial" w:cs="Arial"/>
          <w:i w:val="0"/>
          <w:iCs w:val="0"/>
          <w:color w:val="000000" w:themeColor="text1"/>
          <w:sz w:val="22"/>
          <w:szCs w:val="22"/>
          <w:lang w:val="es-MX"/>
        </w:rPr>
        <w:t xml:space="preserve">que debió asumir </w:t>
      </w:r>
      <w:r w:rsidR="00495099">
        <w:rPr>
          <w:rFonts w:ascii="Arial" w:hAnsi="Arial" w:cs="Arial"/>
          <w:i w:val="0"/>
          <w:iCs w:val="0"/>
          <w:color w:val="000000" w:themeColor="text1"/>
          <w:sz w:val="22"/>
          <w:szCs w:val="22"/>
          <w:lang w:val="es-MX"/>
        </w:rPr>
        <w:t xml:space="preserve">ante </w:t>
      </w:r>
      <w:r>
        <w:rPr>
          <w:rFonts w:ascii="Arial" w:hAnsi="Arial" w:cs="Arial"/>
          <w:i w:val="0"/>
          <w:iCs w:val="0"/>
          <w:color w:val="000000" w:themeColor="text1"/>
          <w:sz w:val="22"/>
          <w:szCs w:val="22"/>
          <w:lang w:val="es-MX"/>
        </w:rPr>
        <w:t xml:space="preserve">el </w:t>
      </w:r>
      <w:r w:rsidR="00584928">
        <w:rPr>
          <w:rFonts w:ascii="Arial" w:hAnsi="Arial" w:cs="Arial"/>
          <w:i w:val="0"/>
          <w:iCs w:val="0"/>
          <w:color w:val="000000" w:themeColor="text1"/>
          <w:sz w:val="22"/>
          <w:szCs w:val="22"/>
          <w:lang w:val="es-MX"/>
        </w:rPr>
        <w:t xml:space="preserve">incumplimiento del </w:t>
      </w:r>
      <w:r>
        <w:rPr>
          <w:rFonts w:ascii="Arial" w:hAnsi="Arial" w:cs="Arial"/>
          <w:i w:val="0"/>
          <w:iCs w:val="0"/>
          <w:color w:val="000000" w:themeColor="text1"/>
          <w:sz w:val="22"/>
          <w:szCs w:val="22"/>
          <w:lang w:val="es-MX"/>
        </w:rPr>
        <w:t>deudor beneficiario del crédito.</w:t>
      </w:r>
    </w:p>
    <w:p w14:paraId="1D93DDA9" w14:textId="4CAB6945" w:rsidR="00E610BD" w:rsidRDefault="00E610BD" w:rsidP="00E610BD"/>
    <w:p w14:paraId="7BED1EE5" w14:textId="076705D3" w:rsidR="00E610BD" w:rsidRDefault="00E610BD" w:rsidP="00E610BD">
      <w:pPr>
        <w:pStyle w:val="Descripcin"/>
        <w:keepNext/>
        <w:spacing w:after="0"/>
        <w:jc w:val="both"/>
        <w:rPr>
          <w:rFonts w:ascii="Arial" w:hAnsi="Arial" w:cs="Arial"/>
          <w:i w:val="0"/>
          <w:iCs w:val="0"/>
          <w:color w:val="000000" w:themeColor="text1"/>
          <w:sz w:val="22"/>
          <w:szCs w:val="22"/>
          <w:lang w:val="es-MX"/>
        </w:rPr>
      </w:pPr>
      <w:r>
        <w:rPr>
          <w:rFonts w:ascii="Arial" w:hAnsi="Arial" w:cs="Arial"/>
          <w:i w:val="0"/>
          <w:iCs w:val="0"/>
          <w:color w:val="000000" w:themeColor="text1"/>
          <w:sz w:val="22"/>
          <w:szCs w:val="22"/>
          <w:lang w:val="es-MX"/>
        </w:rPr>
        <w:t xml:space="preserve">Para este caso particular, es importante señalar que </w:t>
      </w:r>
      <w:r w:rsidRPr="0066143C">
        <w:rPr>
          <w:rFonts w:ascii="Arial" w:hAnsi="Arial" w:cs="Arial"/>
          <w:i w:val="0"/>
          <w:iCs w:val="0"/>
          <w:color w:val="000000" w:themeColor="text1"/>
          <w:sz w:val="22"/>
          <w:szCs w:val="22"/>
          <w:lang w:val="es-MX"/>
        </w:rPr>
        <w:t>el Gobierno Nacional a través del proceso de capitalización del Fondo Nacional de Garantías</w:t>
      </w:r>
      <w:r>
        <w:rPr>
          <w:rFonts w:ascii="Arial" w:hAnsi="Arial" w:cs="Arial"/>
        </w:rPr>
        <w:t xml:space="preserve"> </w:t>
      </w:r>
      <w:r>
        <w:rPr>
          <w:rFonts w:ascii="Arial" w:hAnsi="Arial" w:cs="Arial"/>
          <w:i w:val="0"/>
          <w:iCs w:val="0"/>
          <w:color w:val="000000" w:themeColor="text1"/>
          <w:sz w:val="22"/>
          <w:szCs w:val="22"/>
          <w:lang w:val="es-MX"/>
        </w:rPr>
        <w:t xml:space="preserve">realizado el </w:t>
      </w:r>
      <w:r w:rsidRPr="00B4728D">
        <w:rPr>
          <w:rFonts w:ascii="Arial" w:hAnsi="Arial" w:cs="Arial"/>
          <w:i w:val="0"/>
          <w:iCs w:val="0"/>
          <w:color w:val="000000" w:themeColor="text1"/>
          <w:sz w:val="22"/>
          <w:szCs w:val="22"/>
          <w:lang w:val="es-MX"/>
        </w:rPr>
        <w:t>13 de abril de 2020 por valor de $650.000 millones, y el 8 de mayo por el mismo valor, es decir $650.000 millones, para un total hasta la fecha de 1.3 billones de pesos</w:t>
      </w:r>
      <w:r>
        <w:rPr>
          <w:rFonts w:ascii="Arial" w:hAnsi="Arial" w:cs="Arial"/>
          <w:i w:val="0"/>
          <w:iCs w:val="0"/>
          <w:color w:val="000000" w:themeColor="text1"/>
          <w:sz w:val="22"/>
          <w:szCs w:val="22"/>
          <w:lang w:val="es-MX"/>
        </w:rPr>
        <w:t>,</w:t>
      </w:r>
      <w:r w:rsidRPr="0066143C">
        <w:rPr>
          <w:rFonts w:ascii="Arial" w:hAnsi="Arial" w:cs="Arial"/>
          <w:i w:val="0"/>
          <w:iCs w:val="0"/>
          <w:color w:val="000000" w:themeColor="text1"/>
          <w:sz w:val="22"/>
          <w:szCs w:val="22"/>
          <w:lang w:val="es-MX"/>
        </w:rPr>
        <w:t xml:space="preserve"> le permitió a este fortalecer su capacidad patrimonial para poder </w:t>
      </w:r>
      <w:r>
        <w:rPr>
          <w:rFonts w:ascii="Arial" w:hAnsi="Arial" w:cs="Arial"/>
          <w:i w:val="0"/>
          <w:iCs w:val="0"/>
          <w:color w:val="000000" w:themeColor="text1"/>
          <w:sz w:val="22"/>
          <w:szCs w:val="22"/>
          <w:lang w:val="es-MX"/>
        </w:rPr>
        <w:t xml:space="preserve">asumir al 8 de mayo garantías hasta </w:t>
      </w:r>
      <w:r w:rsidRPr="0066143C">
        <w:rPr>
          <w:rFonts w:ascii="Arial" w:hAnsi="Arial" w:cs="Arial"/>
          <w:i w:val="0"/>
          <w:iCs w:val="0"/>
          <w:color w:val="000000" w:themeColor="text1"/>
          <w:sz w:val="22"/>
          <w:szCs w:val="22"/>
          <w:lang w:val="es-MX"/>
        </w:rPr>
        <w:t xml:space="preserve">por $14 billones de pesos </w:t>
      </w:r>
      <w:r>
        <w:rPr>
          <w:rFonts w:ascii="Arial" w:hAnsi="Arial" w:cs="Arial"/>
          <w:i w:val="0"/>
          <w:iCs w:val="0"/>
          <w:color w:val="000000" w:themeColor="text1"/>
          <w:sz w:val="22"/>
          <w:szCs w:val="22"/>
          <w:lang w:val="es-MX"/>
        </w:rPr>
        <w:t xml:space="preserve">mediante </w:t>
      </w:r>
      <w:r w:rsidRPr="0066143C">
        <w:rPr>
          <w:rFonts w:ascii="Arial" w:hAnsi="Arial" w:cs="Arial"/>
          <w:i w:val="0"/>
          <w:iCs w:val="0"/>
          <w:color w:val="000000" w:themeColor="text1"/>
          <w:sz w:val="22"/>
          <w:szCs w:val="22"/>
          <w:lang w:val="es-MX"/>
        </w:rPr>
        <w:t>la definición de 7 líneas de garantías</w:t>
      </w:r>
      <w:r>
        <w:rPr>
          <w:rFonts w:ascii="Arial" w:hAnsi="Arial" w:cs="Arial"/>
          <w:i w:val="0"/>
          <w:iCs w:val="0"/>
          <w:color w:val="000000" w:themeColor="text1"/>
          <w:sz w:val="22"/>
          <w:szCs w:val="22"/>
          <w:lang w:val="es-MX"/>
        </w:rPr>
        <w:t>. Las características y condiciones de las líneas son determinadas por el FNG</w:t>
      </w:r>
      <w:r w:rsidRPr="00116806">
        <w:rPr>
          <w:i w:val="0"/>
          <w:iCs w:val="0"/>
          <w:color w:val="000000" w:themeColor="text1"/>
          <w:sz w:val="22"/>
          <w:szCs w:val="22"/>
          <w:vertAlign w:val="superscript"/>
          <w:lang w:val="es-MX"/>
        </w:rPr>
        <w:footnoteReference w:id="1"/>
      </w:r>
      <w:r>
        <w:rPr>
          <w:rFonts w:ascii="Arial" w:hAnsi="Arial" w:cs="Arial"/>
          <w:i w:val="0"/>
          <w:iCs w:val="0"/>
          <w:color w:val="000000" w:themeColor="text1"/>
          <w:sz w:val="22"/>
          <w:szCs w:val="22"/>
          <w:lang w:val="es-MX"/>
        </w:rPr>
        <w:t xml:space="preserve">. </w:t>
      </w:r>
    </w:p>
    <w:p w14:paraId="52C737B1" w14:textId="77777777" w:rsidR="00E610BD" w:rsidRPr="00A369A9" w:rsidRDefault="00E610BD" w:rsidP="00E610BD"/>
    <w:p w14:paraId="7936349E" w14:textId="27E1C78B" w:rsidR="00C77CDA" w:rsidRDefault="00E610BD" w:rsidP="00116806">
      <w:pPr>
        <w:pStyle w:val="Descripcin"/>
        <w:keepNext/>
        <w:spacing w:after="0"/>
        <w:jc w:val="both"/>
        <w:rPr>
          <w:rFonts w:ascii="Arial" w:hAnsi="Arial" w:cs="Arial"/>
          <w:i w:val="0"/>
          <w:iCs w:val="0"/>
          <w:color w:val="000000" w:themeColor="text1"/>
          <w:sz w:val="22"/>
          <w:szCs w:val="22"/>
          <w:lang w:val="es-MX"/>
        </w:rPr>
      </w:pPr>
      <w:r>
        <w:rPr>
          <w:rFonts w:ascii="Arial" w:hAnsi="Arial" w:cs="Arial"/>
          <w:i w:val="0"/>
          <w:iCs w:val="0"/>
          <w:color w:val="000000" w:themeColor="text1"/>
          <w:sz w:val="22"/>
          <w:szCs w:val="22"/>
          <w:lang w:val="es-MX"/>
        </w:rPr>
        <w:t xml:space="preserve">En </w:t>
      </w:r>
      <w:r w:rsidR="00495099">
        <w:rPr>
          <w:rFonts w:ascii="Arial" w:hAnsi="Arial" w:cs="Arial"/>
          <w:i w:val="0"/>
          <w:iCs w:val="0"/>
          <w:color w:val="000000" w:themeColor="text1"/>
          <w:sz w:val="22"/>
          <w:szCs w:val="22"/>
          <w:lang w:val="es-MX"/>
        </w:rPr>
        <w:t xml:space="preserve">la siguiente tabla se </w:t>
      </w:r>
      <w:r w:rsidR="00D551E6">
        <w:rPr>
          <w:rFonts w:ascii="Arial" w:hAnsi="Arial" w:cs="Arial"/>
          <w:i w:val="0"/>
          <w:iCs w:val="0"/>
          <w:color w:val="000000" w:themeColor="text1"/>
          <w:sz w:val="22"/>
          <w:szCs w:val="22"/>
          <w:lang w:val="es-MX"/>
        </w:rPr>
        <w:t xml:space="preserve">presentan </w:t>
      </w:r>
      <w:r w:rsidR="00495099">
        <w:rPr>
          <w:rFonts w:ascii="Arial" w:hAnsi="Arial" w:cs="Arial"/>
          <w:i w:val="0"/>
          <w:iCs w:val="0"/>
          <w:color w:val="000000" w:themeColor="text1"/>
          <w:sz w:val="22"/>
          <w:szCs w:val="22"/>
          <w:lang w:val="es-MX"/>
        </w:rPr>
        <w:t>las líneas vigentes de garantías que ofrece el FNG.</w:t>
      </w:r>
    </w:p>
    <w:p w14:paraId="7EA01E23" w14:textId="5FB12B96" w:rsidR="00495099" w:rsidRDefault="00495099" w:rsidP="00495099"/>
    <w:p w14:paraId="181DFCA8" w14:textId="77777777" w:rsidR="00B551C0" w:rsidRPr="00B551C0" w:rsidRDefault="00B551C0" w:rsidP="00B551C0">
      <w:pPr>
        <w:pStyle w:val="Prrafodelista"/>
        <w:spacing w:line="240" w:lineRule="auto"/>
        <w:ind w:left="0"/>
        <w:jc w:val="both"/>
        <w:rPr>
          <w:rFonts w:ascii="Arial" w:hAnsi="Arial" w:cs="Arial"/>
        </w:rPr>
      </w:pPr>
      <w:r w:rsidRPr="00B551C0">
        <w:rPr>
          <w:rFonts w:ascii="Arial" w:hAnsi="Arial" w:cs="Arial"/>
        </w:rPr>
        <w:t xml:space="preserve">Al 18 de mayo de un cupo total de </w:t>
      </w:r>
      <w:r w:rsidRPr="00B551C0">
        <w:rPr>
          <w:rFonts w:ascii="Arial" w:hAnsi="Arial" w:cs="Arial"/>
          <w:b/>
          <w:bCs/>
        </w:rPr>
        <w:t>$14 billones</w:t>
      </w:r>
      <w:r w:rsidRPr="00B551C0">
        <w:rPr>
          <w:rFonts w:ascii="Arial" w:hAnsi="Arial" w:cs="Arial"/>
        </w:rPr>
        <w:t xml:space="preserve">, se han reservado para ser desembolsados </w:t>
      </w:r>
      <w:r w:rsidRPr="00B551C0">
        <w:rPr>
          <w:rFonts w:ascii="Arial" w:hAnsi="Arial" w:cs="Arial"/>
          <w:b/>
          <w:bCs/>
          <w:lang w:val="es-ES"/>
        </w:rPr>
        <w:t>$8.66 billones</w:t>
      </w:r>
      <w:r w:rsidRPr="00B551C0">
        <w:rPr>
          <w:rFonts w:ascii="Arial" w:hAnsi="Arial" w:cs="Arial"/>
        </w:rPr>
        <w:t xml:space="preserve"> asociados a </w:t>
      </w:r>
      <w:r w:rsidRPr="00B551C0">
        <w:rPr>
          <w:rFonts w:ascii="Arial" w:hAnsi="Arial" w:cs="Arial"/>
          <w:b/>
          <w:bCs/>
          <w:lang w:val="es-ES"/>
        </w:rPr>
        <w:t>170</w:t>
      </w:r>
      <w:r w:rsidRPr="00B551C0">
        <w:rPr>
          <w:rFonts w:ascii="Arial" w:hAnsi="Arial" w:cs="Arial"/>
          <w:b/>
          <w:bCs/>
        </w:rPr>
        <w:t xml:space="preserve">.742 créditos, </w:t>
      </w:r>
      <w:r w:rsidRPr="00B551C0">
        <w:rPr>
          <w:rFonts w:ascii="Arial" w:hAnsi="Arial" w:cs="Arial"/>
        </w:rPr>
        <w:t xml:space="preserve">se han desembolsado </w:t>
      </w:r>
      <w:r w:rsidRPr="00B551C0">
        <w:rPr>
          <w:rFonts w:ascii="Arial" w:hAnsi="Arial" w:cs="Arial"/>
          <w:b/>
          <w:bCs/>
        </w:rPr>
        <w:t>$1,76 billones</w:t>
      </w:r>
      <w:r w:rsidRPr="00B551C0">
        <w:rPr>
          <w:rFonts w:ascii="Arial" w:hAnsi="Arial" w:cs="Arial"/>
        </w:rPr>
        <w:t xml:space="preserve"> en</w:t>
      </w:r>
      <w:r w:rsidRPr="00B551C0">
        <w:rPr>
          <w:rFonts w:ascii="Arial" w:hAnsi="Arial" w:cs="Arial"/>
          <w:b/>
          <w:bCs/>
        </w:rPr>
        <w:t xml:space="preserve"> 30,281 créditos</w:t>
      </w:r>
      <w:r w:rsidRPr="00B551C0">
        <w:rPr>
          <w:rFonts w:ascii="Arial" w:hAnsi="Arial" w:cs="Arial"/>
        </w:rPr>
        <w:t>, en las diferentes líneas como se muestra a continuación:</w:t>
      </w:r>
    </w:p>
    <w:p w14:paraId="5172859B" w14:textId="77777777" w:rsidR="00B551C0" w:rsidRDefault="00B551C0" w:rsidP="00B551C0">
      <w:pPr>
        <w:pStyle w:val="Prrafodelista"/>
        <w:spacing w:line="240" w:lineRule="auto"/>
        <w:ind w:left="0"/>
        <w:jc w:val="both"/>
        <w:rPr>
          <w:rFonts w:ascii="Arial" w:hAnsi="Arial" w:cs="Arial"/>
          <w:sz w:val="24"/>
          <w:szCs w:val="24"/>
        </w:rPr>
      </w:pPr>
    </w:p>
    <w:p w14:paraId="317C7D93" w14:textId="77777777" w:rsidR="00B551C0" w:rsidRPr="00383C40" w:rsidRDefault="00B551C0" w:rsidP="00B551C0">
      <w:pPr>
        <w:pStyle w:val="Prrafodelista"/>
        <w:tabs>
          <w:tab w:val="left" w:pos="0"/>
        </w:tabs>
        <w:spacing w:line="256" w:lineRule="auto"/>
        <w:ind w:right="191"/>
        <w:jc w:val="right"/>
        <w:rPr>
          <w:rFonts w:ascii="Arial" w:hAnsi="Arial" w:cs="Arial"/>
          <w:b/>
          <w:bCs/>
          <w:i/>
          <w:iCs/>
          <w:sz w:val="18"/>
          <w:szCs w:val="18"/>
        </w:rPr>
      </w:pPr>
      <w:r w:rsidRPr="002115B5">
        <w:rPr>
          <w:rFonts w:ascii="Arial" w:hAnsi="Arial" w:cs="Arial"/>
          <w:b/>
          <w:bCs/>
          <w:sz w:val="16"/>
          <w:szCs w:val="16"/>
        </w:rPr>
        <w:t>Cifras en millones</w:t>
      </w:r>
    </w:p>
    <w:p w14:paraId="0FEA4A52" w14:textId="77777777" w:rsidR="00B551C0" w:rsidRDefault="00B551C0" w:rsidP="00EB7D4B">
      <w:pPr>
        <w:pStyle w:val="Prrafodelista"/>
        <w:spacing w:line="240" w:lineRule="auto"/>
        <w:ind w:left="-709"/>
        <w:jc w:val="right"/>
        <w:rPr>
          <w:rFonts w:ascii="Arial" w:hAnsi="Arial" w:cs="Arial"/>
          <w:sz w:val="24"/>
          <w:szCs w:val="24"/>
        </w:rPr>
      </w:pPr>
      <w:r w:rsidRPr="00562B5E">
        <w:rPr>
          <w:noProof/>
        </w:rPr>
        <w:drawing>
          <wp:inline distT="0" distB="0" distL="0" distR="0" wp14:anchorId="56210771" wp14:editId="3A0CC925">
            <wp:extent cx="5800725" cy="21717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181" cy="2177112"/>
                    </a:xfrm>
                    <a:prstGeom prst="rect">
                      <a:avLst/>
                    </a:prstGeom>
                    <a:noFill/>
                    <a:ln>
                      <a:noFill/>
                    </a:ln>
                  </pic:spPr>
                </pic:pic>
              </a:graphicData>
            </a:graphic>
          </wp:inline>
        </w:drawing>
      </w:r>
    </w:p>
    <w:p w14:paraId="2A31DE11" w14:textId="77777777" w:rsidR="00B551C0" w:rsidRPr="002115B5" w:rsidRDefault="00B551C0" w:rsidP="00B551C0">
      <w:pPr>
        <w:spacing w:after="0"/>
        <w:ind w:left="1428" w:right="191" w:hanging="720"/>
        <w:jc w:val="center"/>
        <w:rPr>
          <w:rFonts w:ascii="Arial" w:eastAsia="Arial Nova" w:hAnsi="Arial" w:cs="Arial"/>
          <w:b/>
          <w:bCs/>
          <w:color w:val="2D4873"/>
          <w:sz w:val="18"/>
          <w:szCs w:val="18"/>
        </w:rPr>
      </w:pPr>
      <w:r w:rsidRPr="002115B5">
        <w:rPr>
          <w:rFonts w:ascii="Arial" w:eastAsia="Arial Nova" w:hAnsi="Arial" w:cs="Arial"/>
          <w:b/>
          <w:bCs/>
          <w:color w:val="2D4873"/>
          <w:sz w:val="18"/>
          <w:szCs w:val="18"/>
        </w:rPr>
        <w:t>Última actualización: (</w:t>
      </w:r>
      <w:r>
        <w:rPr>
          <w:rFonts w:ascii="Arial" w:eastAsia="Arial Nova" w:hAnsi="Arial" w:cs="Arial"/>
          <w:b/>
          <w:bCs/>
          <w:color w:val="2D4873"/>
          <w:sz w:val="18"/>
          <w:szCs w:val="18"/>
        </w:rPr>
        <w:t>18</w:t>
      </w:r>
      <w:r w:rsidRPr="002115B5">
        <w:rPr>
          <w:rFonts w:ascii="Arial" w:eastAsia="Arial Nova" w:hAnsi="Arial" w:cs="Arial"/>
          <w:b/>
          <w:bCs/>
          <w:color w:val="2D4873"/>
          <w:sz w:val="18"/>
          <w:szCs w:val="18"/>
        </w:rPr>
        <w:t>/0</w:t>
      </w:r>
      <w:r>
        <w:rPr>
          <w:rFonts w:ascii="Arial" w:eastAsia="Arial Nova" w:hAnsi="Arial" w:cs="Arial"/>
          <w:b/>
          <w:bCs/>
          <w:color w:val="2D4873"/>
          <w:sz w:val="18"/>
          <w:szCs w:val="18"/>
        </w:rPr>
        <w:t>5</w:t>
      </w:r>
      <w:r w:rsidRPr="002115B5">
        <w:rPr>
          <w:rFonts w:ascii="Arial" w:eastAsia="Arial Nova" w:hAnsi="Arial" w:cs="Arial"/>
          <w:b/>
          <w:bCs/>
          <w:color w:val="2D4873"/>
          <w:sz w:val="18"/>
          <w:szCs w:val="18"/>
        </w:rPr>
        <w:t>/2020</w:t>
      </w:r>
      <w:r>
        <w:rPr>
          <w:rFonts w:ascii="Arial" w:eastAsia="Arial Nova" w:hAnsi="Arial" w:cs="Arial"/>
          <w:b/>
          <w:bCs/>
          <w:color w:val="2D4873"/>
          <w:sz w:val="18"/>
          <w:szCs w:val="18"/>
        </w:rPr>
        <w:t>: 8am</w:t>
      </w:r>
      <w:r w:rsidRPr="002115B5">
        <w:rPr>
          <w:rFonts w:ascii="Arial" w:eastAsia="Arial Nova" w:hAnsi="Arial" w:cs="Arial"/>
          <w:b/>
          <w:bCs/>
          <w:color w:val="2D4873"/>
          <w:sz w:val="18"/>
          <w:szCs w:val="18"/>
        </w:rPr>
        <w:t>) – Cifras con corte a (</w:t>
      </w:r>
      <w:r>
        <w:rPr>
          <w:rFonts w:ascii="Arial" w:eastAsia="Arial Nova" w:hAnsi="Arial" w:cs="Arial"/>
          <w:b/>
          <w:bCs/>
          <w:color w:val="2D4873"/>
          <w:sz w:val="18"/>
          <w:szCs w:val="18"/>
        </w:rPr>
        <w:t>18</w:t>
      </w:r>
      <w:r w:rsidRPr="002115B5">
        <w:rPr>
          <w:rFonts w:ascii="Arial" w:eastAsia="Arial Nova" w:hAnsi="Arial" w:cs="Arial"/>
          <w:b/>
          <w:bCs/>
          <w:color w:val="2D4873"/>
          <w:sz w:val="18"/>
          <w:szCs w:val="18"/>
        </w:rPr>
        <w:t>/</w:t>
      </w:r>
      <w:r>
        <w:rPr>
          <w:rFonts w:ascii="Arial" w:eastAsia="Arial Nova" w:hAnsi="Arial" w:cs="Arial"/>
          <w:b/>
          <w:bCs/>
          <w:color w:val="2D4873"/>
          <w:sz w:val="18"/>
          <w:szCs w:val="18"/>
        </w:rPr>
        <w:t>05/</w:t>
      </w:r>
      <w:r w:rsidRPr="002115B5">
        <w:rPr>
          <w:rFonts w:ascii="Arial" w:eastAsia="Arial Nova" w:hAnsi="Arial" w:cs="Arial"/>
          <w:b/>
          <w:bCs/>
          <w:color w:val="2D4873"/>
          <w:sz w:val="18"/>
          <w:szCs w:val="18"/>
        </w:rPr>
        <w:t>2020)</w:t>
      </w:r>
    </w:p>
    <w:p w14:paraId="2AE1F189" w14:textId="4867BF87" w:rsidR="00495099" w:rsidRDefault="00495099" w:rsidP="00495099"/>
    <w:p w14:paraId="51E227ED" w14:textId="77777777" w:rsidR="0009780C" w:rsidRPr="00A80A7D" w:rsidRDefault="0009780C" w:rsidP="0009780C">
      <w:pPr>
        <w:jc w:val="both"/>
        <w:rPr>
          <w:rFonts w:ascii="Arial" w:hAnsi="Arial" w:cs="Arial"/>
        </w:rPr>
      </w:pPr>
      <w:r>
        <w:rPr>
          <w:rFonts w:ascii="Arial" w:hAnsi="Arial" w:cs="Arial"/>
        </w:rPr>
        <w:t>Como parte del seguimiento realizado por la Superintendencia a la evolución de estas líneas, semanalmente se actualizan estas c</w:t>
      </w:r>
      <w:r w:rsidRPr="00EC6A94">
        <w:rPr>
          <w:rFonts w:ascii="Arial" w:hAnsi="Arial" w:cs="Arial"/>
        </w:rPr>
        <w:t>ifras</w:t>
      </w:r>
      <w:r>
        <w:rPr>
          <w:rFonts w:ascii="Arial" w:hAnsi="Arial" w:cs="Arial"/>
        </w:rPr>
        <w:t xml:space="preserve"> en nuestra página web </w:t>
      </w:r>
      <w:hyperlink r:id="rId10" w:history="1">
        <w:r w:rsidRPr="00EC6A94">
          <w:rPr>
            <w:rStyle w:val="Hipervnculo"/>
            <w:rFonts w:ascii="Arial" w:hAnsi="Arial" w:cs="Arial"/>
          </w:rPr>
          <w:t>https://www.superfinanciera.gov.co/publicacion/10103899</w:t>
        </w:r>
      </w:hyperlink>
      <w:r>
        <w:rPr>
          <w:rStyle w:val="Hipervnculo"/>
          <w:rFonts w:ascii="Arial" w:hAnsi="Arial" w:cs="Arial"/>
        </w:rPr>
        <w:t>.</w:t>
      </w:r>
    </w:p>
    <w:p w14:paraId="02749858" w14:textId="7EAE40FC" w:rsidR="00495099" w:rsidRDefault="00495099" w:rsidP="00A369A9">
      <w:pPr>
        <w:pStyle w:val="NormalWeb"/>
        <w:shd w:val="clear" w:color="auto" w:fill="FFFFFF"/>
        <w:spacing w:before="0" w:beforeAutospacing="0" w:after="390" w:afterAutospacing="0"/>
        <w:jc w:val="both"/>
        <w:rPr>
          <w:rFonts w:ascii="Arial" w:hAnsi="Arial" w:cs="Arial"/>
          <w:color w:val="000000" w:themeColor="text1"/>
        </w:rPr>
      </w:pPr>
      <w:r w:rsidRPr="0094283A">
        <w:rPr>
          <w:rFonts w:ascii="Arial" w:eastAsiaTheme="minorHAnsi" w:hAnsi="Arial" w:cs="Arial"/>
          <w:color w:val="000000" w:themeColor="text1"/>
          <w:sz w:val="22"/>
          <w:szCs w:val="22"/>
          <w:lang w:val="es-MX" w:eastAsia="en-US"/>
        </w:rPr>
        <w:t xml:space="preserve">Una vez precisado los roles y alcance de los diferentes instrumentos mencionados, </w:t>
      </w:r>
      <w:r w:rsidR="00361E39" w:rsidRPr="0094283A">
        <w:rPr>
          <w:rFonts w:ascii="Arial" w:eastAsiaTheme="minorHAnsi" w:hAnsi="Arial" w:cs="Arial"/>
          <w:color w:val="000000" w:themeColor="text1"/>
          <w:sz w:val="22"/>
          <w:szCs w:val="22"/>
          <w:lang w:val="es-MX" w:eastAsia="en-US"/>
        </w:rPr>
        <w:t xml:space="preserve">es claro que </w:t>
      </w:r>
      <w:r w:rsidRPr="0094283A">
        <w:rPr>
          <w:rFonts w:ascii="Arial" w:eastAsiaTheme="minorHAnsi" w:hAnsi="Arial" w:cs="Arial"/>
          <w:color w:val="000000" w:themeColor="text1"/>
          <w:sz w:val="22"/>
          <w:szCs w:val="22"/>
          <w:lang w:val="es-MX" w:eastAsia="en-US"/>
        </w:rPr>
        <w:t xml:space="preserve">en ambos casos son créditos </w:t>
      </w:r>
      <w:r w:rsidR="0094283A" w:rsidRPr="0094283A">
        <w:rPr>
          <w:rFonts w:ascii="Arial" w:eastAsiaTheme="minorHAnsi" w:hAnsi="Arial" w:cs="Arial"/>
          <w:color w:val="000000" w:themeColor="text1"/>
          <w:sz w:val="22"/>
          <w:szCs w:val="22"/>
          <w:lang w:val="es-MX" w:eastAsia="en-US"/>
        </w:rPr>
        <w:t>regulados bajo las normas del contrato de mutuo</w:t>
      </w:r>
      <w:r w:rsidRPr="0094283A">
        <w:rPr>
          <w:rFonts w:ascii="Arial" w:eastAsiaTheme="minorHAnsi" w:hAnsi="Arial" w:cs="Arial"/>
          <w:color w:val="000000" w:themeColor="text1"/>
          <w:sz w:val="22"/>
          <w:szCs w:val="22"/>
          <w:lang w:val="es-MX" w:eastAsia="en-US"/>
        </w:rPr>
        <w:t>, defin</w:t>
      </w:r>
      <w:r w:rsidR="0094283A" w:rsidRPr="0094283A">
        <w:rPr>
          <w:rFonts w:ascii="Arial" w:eastAsiaTheme="minorHAnsi" w:hAnsi="Arial" w:cs="Arial"/>
          <w:color w:val="000000" w:themeColor="text1"/>
          <w:sz w:val="22"/>
          <w:szCs w:val="22"/>
          <w:lang w:val="es-MX" w:eastAsia="en-US"/>
        </w:rPr>
        <w:t xml:space="preserve">ido </w:t>
      </w:r>
      <w:r w:rsidRPr="0094283A">
        <w:rPr>
          <w:rFonts w:ascii="Arial" w:eastAsiaTheme="minorHAnsi" w:hAnsi="Arial" w:cs="Arial"/>
          <w:color w:val="000000" w:themeColor="text1"/>
          <w:sz w:val="22"/>
          <w:szCs w:val="22"/>
          <w:lang w:val="es-MX" w:eastAsia="en-US"/>
        </w:rPr>
        <w:t>como un contrato en que una de las partes entrega a la otra cierta cantidad de cosas fungibles (dinero) con cargo de restituir otras tantas del mismo género y calidad y n</w:t>
      </w:r>
      <w:r w:rsidRPr="00495099">
        <w:rPr>
          <w:rFonts w:ascii="Arial" w:eastAsiaTheme="minorHAnsi" w:hAnsi="Arial" w:cs="Arial"/>
          <w:color w:val="000000" w:themeColor="text1"/>
          <w:sz w:val="22"/>
          <w:szCs w:val="22"/>
          <w:lang w:val="es-MX" w:eastAsia="en-US"/>
        </w:rPr>
        <w:t>o se perfecciona sino por la tradición</w:t>
      </w:r>
      <w:r w:rsidRPr="0094283A">
        <w:rPr>
          <w:rFonts w:ascii="Arial" w:eastAsiaTheme="minorHAnsi" w:hAnsi="Arial" w:cs="Arial"/>
          <w:color w:val="000000" w:themeColor="text1"/>
          <w:sz w:val="22"/>
          <w:szCs w:val="22"/>
          <w:lang w:val="es-MX" w:eastAsia="en-US"/>
        </w:rPr>
        <w:t xml:space="preserve"> (entrega de la cosa</w:t>
      </w:r>
      <w:r w:rsidR="0094283A" w:rsidRPr="0094283A">
        <w:rPr>
          <w:rFonts w:ascii="Arial" w:eastAsiaTheme="minorHAnsi" w:hAnsi="Arial" w:cs="Arial"/>
          <w:color w:val="000000" w:themeColor="text1"/>
          <w:sz w:val="22"/>
          <w:szCs w:val="22"/>
          <w:lang w:val="es-MX" w:eastAsia="en-US"/>
        </w:rPr>
        <w:t>)</w:t>
      </w:r>
      <w:r w:rsidRPr="00495099">
        <w:rPr>
          <w:rFonts w:ascii="Arial" w:eastAsiaTheme="minorHAnsi" w:hAnsi="Arial" w:cs="Arial"/>
          <w:color w:val="000000" w:themeColor="text1"/>
          <w:sz w:val="22"/>
          <w:szCs w:val="22"/>
          <w:lang w:val="es-MX" w:eastAsia="en-US"/>
        </w:rPr>
        <w:t>.</w:t>
      </w:r>
      <w:r w:rsidRPr="0094283A">
        <w:rPr>
          <w:rFonts w:ascii="Arial" w:eastAsiaTheme="minorHAnsi" w:hAnsi="Arial" w:cs="Arial"/>
          <w:color w:val="000000" w:themeColor="text1"/>
          <w:sz w:val="22"/>
          <w:szCs w:val="22"/>
          <w:lang w:val="es-MX" w:eastAsia="en-US"/>
        </w:rPr>
        <w:t xml:space="preserve"> </w:t>
      </w:r>
      <w:r w:rsidR="0094283A" w:rsidRPr="0094283A">
        <w:rPr>
          <w:rFonts w:ascii="Arial" w:eastAsiaTheme="minorHAnsi" w:hAnsi="Arial" w:cs="Arial"/>
          <w:color w:val="000000" w:themeColor="text1"/>
          <w:sz w:val="22"/>
          <w:szCs w:val="22"/>
          <w:lang w:val="es-MX" w:eastAsia="en-US"/>
        </w:rPr>
        <w:t>(</w:t>
      </w:r>
      <w:r w:rsidRPr="0094283A">
        <w:rPr>
          <w:rFonts w:ascii="Arial" w:eastAsiaTheme="minorHAnsi" w:hAnsi="Arial" w:cs="Arial"/>
          <w:color w:val="000000" w:themeColor="text1"/>
          <w:sz w:val="22"/>
          <w:szCs w:val="22"/>
          <w:lang w:val="es-MX" w:eastAsia="en-US"/>
        </w:rPr>
        <w:t>Artículo 2221 y 2222 del Código Civil</w:t>
      </w:r>
      <w:r w:rsidR="0094283A" w:rsidRPr="0094283A">
        <w:rPr>
          <w:rFonts w:ascii="Arial" w:eastAsiaTheme="minorHAnsi" w:hAnsi="Arial" w:cs="Arial"/>
          <w:color w:val="000000" w:themeColor="text1"/>
          <w:sz w:val="22"/>
          <w:szCs w:val="22"/>
          <w:lang w:val="es-MX" w:eastAsia="en-US"/>
        </w:rPr>
        <w:t>)</w:t>
      </w:r>
      <w:r w:rsidRPr="0094283A">
        <w:rPr>
          <w:rFonts w:ascii="Arial" w:eastAsiaTheme="minorHAnsi" w:hAnsi="Arial" w:cs="Arial"/>
          <w:color w:val="000000" w:themeColor="text1"/>
          <w:sz w:val="22"/>
          <w:szCs w:val="22"/>
          <w:lang w:val="es-MX" w:eastAsia="en-US"/>
        </w:rPr>
        <w:t>.</w:t>
      </w:r>
    </w:p>
    <w:p w14:paraId="2CE60F14" w14:textId="302632B8" w:rsidR="00361E39" w:rsidRPr="0066143C" w:rsidRDefault="0094283A" w:rsidP="007D2E31">
      <w:pPr>
        <w:jc w:val="both"/>
        <w:rPr>
          <w:rFonts w:ascii="Arial" w:hAnsi="Arial" w:cs="Arial"/>
          <w:color w:val="000000" w:themeColor="text1"/>
        </w:rPr>
      </w:pPr>
      <w:r>
        <w:rPr>
          <w:rFonts w:ascii="Arial" w:hAnsi="Arial" w:cs="Arial"/>
          <w:color w:val="000000" w:themeColor="text1"/>
        </w:rPr>
        <w:t xml:space="preserve">Por lo tanto, en la medida en que son “créditos” resulta fundamental sobre </w:t>
      </w:r>
      <w:r w:rsidR="00361E39" w:rsidRPr="0066143C">
        <w:rPr>
          <w:rFonts w:ascii="Arial" w:hAnsi="Arial" w:cs="Arial"/>
          <w:color w:val="000000" w:themeColor="text1"/>
        </w:rPr>
        <w:t>los solicitantes se debe realizar, con base en criterios y elementos objetivos de riesgo, el análisis de la capacidad de pago potencial del deudor reconociendo por supuesto las características de la coyuntura, sin olvidar que en la actividad de intermediación financiera se debe velar por la protección de los recursos del público que al cierre de marzo de 2020 ascendía</w:t>
      </w:r>
      <w:r w:rsidR="009F5B1E">
        <w:rPr>
          <w:rFonts w:ascii="Arial" w:hAnsi="Arial" w:cs="Arial"/>
          <w:color w:val="000000" w:themeColor="text1"/>
        </w:rPr>
        <w:t>n</w:t>
      </w:r>
      <w:r w:rsidR="00361E39" w:rsidRPr="0066143C">
        <w:rPr>
          <w:rFonts w:ascii="Arial" w:hAnsi="Arial" w:cs="Arial"/>
          <w:color w:val="000000" w:themeColor="text1"/>
        </w:rPr>
        <w:t xml:space="preserve"> a cerca de $484 billones, frente a un total de $527 billones de cartera de créditos.</w:t>
      </w:r>
    </w:p>
    <w:p w14:paraId="10DD4178" w14:textId="77777777" w:rsidR="00361E39" w:rsidRDefault="00361E39" w:rsidP="00361E39">
      <w:pPr>
        <w:tabs>
          <w:tab w:val="left" w:pos="540"/>
        </w:tabs>
        <w:spacing w:after="0" w:line="240" w:lineRule="auto"/>
        <w:jc w:val="both"/>
        <w:rPr>
          <w:rFonts w:ascii="Arial" w:hAnsi="Arial" w:cs="Arial"/>
          <w:lang w:val="es-ES_tradnl"/>
        </w:rPr>
      </w:pPr>
      <w:r w:rsidRPr="0066143C">
        <w:rPr>
          <w:rFonts w:ascii="Arial" w:hAnsi="Arial" w:cs="Arial"/>
          <w:color w:val="000000" w:themeColor="text1"/>
        </w:rPr>
        <w:t>Ahora bien, esta Superintendencia ha manifestado en varias oportunidades</w:t>
      </w:r>
      <w:r>
        <w:rPr>
          <w:rFonts w:ascii="Arial" w:hAnsi="Arial" w:cs="Arial"/>
          <w:lang w:val="es-ES_tradnl"/>
        </w:rPr>
        <w:t xml:space="preserve"> que como parte de nuestro objetivo misional se encuentra no sólo mantener la estabilidad de la actividad financiera y proteger los recursos del público, sino a su vez, velar por la protección de los derechos de los consumidores financieros. Para el efecto, hemos dispuesto diferentes mecanismos de supervisión, que buscan identificar prácticas que puedan afectar el equilibrio en la relación entre el consumidor y la entidad, para lo cual nos fundamentamos en ejercicios de supervisión permanentes y en la información que nos suministran los consumidores financieros a través del envío de sus inconformidades, en los cuales, primordialmente, se verifica el cumplimiento de las instrucciones impartidas por esta entidad y el deber de información por parte de los establecimientos de crédito en las condiciones que la Ley 1328 de 2009 dispone, entre otros aspectos.</w:t>
      </w:r>
    </w:p>
    <w:p w14:paraId="13254BD9" w14:textId="77777777" w:rsidR="00361E39" w:rsidRDefault="00361E39" w:rsidP="00361E39">
      <w:pPr>
        <w:tabs>
          <w:tab w:val="left" w:pos="540"/>
        </w:tabs>
        <w:spacing w:after="0" w:line="240" w:lineRule="auto"/>
        <w:jc w:val="both"/>
        <w:rPr>
          <w:rFonts w:ascii="Arial" w:hAnsi="Arial" w:cs="Arial"/>
          <w:lang w:val="es-ES_tradnl"/>
        </w:rPr>
      </w:pPr>
    </w:p>
    <w:p w14:paraId="68C2B252" w14:textId="178EBE66" w:rsidR="0094283A" w:rsidRDefault="00361E39" w:rsidP="00361E39">
      <w:pPr>
        <w:tabs>
          <w:tab w:val="left" w:pos="540"/>
        </w:tabs>
        <w:spacing w:after="0" w:line="240" w:lineRule="auto"/>
        <w:jc w:val="both"/>
        <w:rPr>
          <w:rFonts w:ascii="Arial" w:hAnsi="Arial" w:cs="Arial"/>
          <w:lang w:val="es-ES_tradnl"/>
        </w:rPr>
      </w:pPr>
      <w:r>
        <w:rPr>
          <w:rFonts w:ascii="Arial" w:hAnsi="Arial" w:cs="Arial"/>
          <w:lang w:val="es-ES_tradnl"/>
        </w:rPr>
        <w:t xml:space="preserve">En complemento de lo anterior, esta Superintendencia, realiza un </w:t>
      </w:r>
      <w:r w:rsidR="0094283A">
        <w:rPr>
          <w:rFonts w:ascii="Arial" w:hAnsi="Arial" w:cs="Arial"/>
          <w:lang w:val="es-ES_tradnl"/>
        </w:rPr>
        <w:t xml:space="preserve">proceso de supervisión permanente </w:t>
      </w:r>
      <w:r>
        <w:rPr>
          <w:rFonts w:ascii="Arial" w:hAnsi="Arial" w:cs="Arial"/>
          <w:lang w:val="es-ES_tradnl"/>
        </w:rPr>
        <w:t>a la evolución de los desembolsos</w:t>
      </w:r>
      <w:r>
        <w:rPr>
          <w:rStyle w:val="Refdenotaalpie"/>
          <w:rFonts w:ascii="Arial" w:hAnsi="Arial"/>
          <w:lang w:val="es-ES_tradnl"/>
        </w:rPr>
        <w:footnoteReference w:id="2"/>
      </w:r>
      <w:r>
        <w:rPr>
          <w:rFonts w:ascii="Arial" w:hAnsi="Arial" w:cs="Arial"/>
          <w:lang w:val="es-ES_tradnl"/>
        </w:rPr>
        <w:t xml:space="preserve">, </w:t>
      </w:r>
      <w:r w:rsidR="0094283A">
        <w:rPr>
          <w:rFonts w:ascii="Arial" w:hAnsi="Arial" w:cs="Arial"/>
          <w:lang w:val="es-ES_tradnl"/>
        </w:rPr>
        <w:t>asegurando que las solicitudes sean tramitadas y evaluadas con los criterios de administración de riesgo considerando el contexto Covid-19, el cumplimiento de los estándares definidos en las características y uso de las líneas, y los desembolsos se efectúen en las mejores condiciones posibles.</w:t>
      </w:r>
    </w:p>
    <w:p w14:paraId="2001AA1F" w14:textId="77777777" w:rsidR="0094283A" w:rsidRDefault="0094283A" w:rsidP="00361E39">
      <w:pPr>
        <w:tabs>
          <w:tab w:val="left" w:pos="540"/>
        </w:tabs>
        <w:spacing w:after="0" w:line="240" w:lineRule="auto"/>
        <w:jc w:val="both"/>
        <w:rPr>
          <w:rFonts w:ascii="Arial" w:hAnsi="Arial" w:cs="Arial"/>
          <w:lang w:val="es-ES_tradnl"/>
        </w:rPr>
      </w:pPr>
    </w:p>
    <w:p w14:paraId="7319D50A" w14:textId="7B545117" w:rsidR="00361E39" w:rsidRDefault="0094283A" w:rsidP="00361E39">
      <w:pPr>
        <w:tabs>
          <w:tab w:val="left" w:pos="540"/>
        </w:tabs>
        <w:spacing w:after="0" w:line="240" w:lineRule="auto"/>
        <w:jc w:val="both"/>
        <w:rPr>
          <w:rFonts w:ascii="Arial" w:hAnsi="Arial" w:cs="Arial"/>
          <w:lang w:val="es-ES_tradnl"/>
        </w:rPr>
      </w:pPr>
      <w:r>
        <w:rPr>
          <w:rFonts w:ascii="Arial" w:hAnsi="Arial" w:cs="Arial"/>
          <w:lang w:val="es-ES_tradnl"/>
        </w:rPr>
        <w:t>P</w:t>
      </w:r>
      <w:r w:rsidR="00361E39">
        <w:rPr>
          <w:rFonts w:ascii="Arial" w:hAnsi="Arial" w:cs="Arial"/>
          <w:lang w:val="es-ES_tradnl"/>
        </w:rPr>
        <w:t xml:space="preserve">ara </w:t>
      </w:r>
      <w:r>
        <w:rPr>
          <w:rFonts w:ascii="Arial" w:hAnsi="Arial" w:cs="Arial"/>
          <w:lang w:val="es-ES_tradnl"/>
        </w:rPr>
        <w:t xml:space="preserve">los créditos garantizados con </w:t>
      </w:r>
      <w:r w:rsidR="00361E39">
        <w:rPr>
          <w:rFonts w:ascii="Arial" w:hAnsi="Arial" w:cs="Arial"/>
          <w:lang w:val="es-ES_tradnl"/>
        </w:rPr>
        <w:t xml:space="preserve">las líneas del FNG, </w:t>
      </w:r>
      <w:r>
        <w:rPr>
          <w:rFonts w:ascii="Arial" w:hAnsi="Arial" w:cs="Arial"/>
          <w:lang w:val="es-ES_tradnl"/>
        </w:rPr>
        <w:t>en las actuaciones de supervisión</w:t>
      </w:r>
      <w:r w:rsidR="00361E39">
        <w:rPr>
          <w:rFonts w:ascii="Arial" w:hAnsi="Arial" w:cs="Arial"/>
          <w:lang w:val="es-ES_tradnl"/>
        </w:rPr>
        <w:t xml:space="preserve">, al corte del 17 de mayo, </w:t>
      </w:r>
      <w:r w:rsidR="00204B80">
        <w:rPr>
          <w:rFonts w:ascii="Arial" w:hAnsi="Arial" w:cs="Arial"/>
          <w:lang w:val="es-ES_tradnl"/>
        </w:rPr>
        <w:t xml:space="preserve">en los establecimientos de crédito </w:t>
      </w:r>
      <w:r>
        <w:rPr>
          <w:rFonts w:ascii="Arial" w:hAnsi="Arial" w:cs="Arial"/>
          <w:lang w:val="es-ES_tradnl"/>
        </w:rPr>
        <w:t xml:space="preserve">se han presentado cerca de </w:t>
      </w:r>
      <w:r w:rsidR="00361E39">
        <w:rPr>
          <w:rFonts w:ascii="Arial" w:hAnsi="Arial" w:cs="Arial"/>
          <w:lang w:val="es-ES_tradnl"/>
        </w:rPr>
        <w:t xml:space="preserve">91,964 </w:t>
      </w:r>
      <w:r>
        <w:rPr>
          <w:rFonts w:ascii="Arial" w:hAnsi="Arial" w:cs="Arial"/>
          <w:lang w:val="es-ES_tradnl"/>
        </w:rPr>
        <w:t xml:space="preserve">solicitudes de </w:t>
      </w:r>
      <w:r w:rsidR="00361E39">
        <w:rPr>
          <w:rFonts w:ascii="Arial" w:hAnsi="Arial" w:cs="Arial"/>
          <w:lang w:val="es-ES_tradnl"/>
        </w:rPr>
        <w:t>créditos</w:t>
      </w:r>
      <w:r w:rsidR="00204B80">
        <w:rPr>
          <w:rFonts w:ascii="Arial" w:hAnsi="Arial" w:cs="Arial"/>
          <w:lang w:val="es-ES_tradnl"/>
        </w:rPr>
        <w:t xml:space="preserve">, de los cuales se han </w:t>
      </w:r>
      <w:r w:rsidR="00361E39">
        <w:rPr>
          <w:rFonts w:ascii="Arial" w:hAnsi="Arial" w:cs="Arial"/>
          <w:lang w:val="es-ES_tradnl"/>
        </w:rPr>
        <w:t>aprobado</w:t>
      </w:r>
      <w:r w:rsidR="00204B80">
        <w:rPr>
          <w:rFonts w:ascii="Arial" w:hAnsi="Arial" w:cs="Arial"/>
          <w:lang w:val="es-ES_tradnl"/>
        </w:rPr>
        <w:t xml:space="preserve"> el 90% de las solicitudes, esto es </w:t>
      </w:r>
      <w:r w:rsidR="00850371">
        <w:rPr>
          <w:rFonts w:ascii="Arial" w:hAnsi="Arial" w:cs="Arial"/>
          <w:lang w:val="es-ES_tradnl"/>
        </w:rPr>
        <w:t>82767</w:t>
      </w:r>
      <w:r w:rsidR="00666E97">
        <w:rPr>
          <w:rFonts w:ascii="Arial" w:hAnsi="Arial" w:cs="Arial"/>
          <w:lang w:val="es-ES_tradnl"/>
        </w:rPr>
        <w:t xml:space="preserve"> aproximadamente</w:t>
      </w:r>
      <w:r w:rsidR="00204B80">
        <w:rPr>
          <w:rFonts w:ascii="Arial" w:hAnsi="Arial" w:cs="Arial"/>
          <w:lang w:val="es-ES_tradnl"/>
        </w:rPr>
        <w:t>. El 10% restante</w:t>
      </w:r>
      <w:r w:rsidR="00850371">
        <w:rPr>
          <w:rFonts w:ascii="Arial" w:hAnsi="Arial" w:cs="Arial"/>
          <w:lang w:val="es-ES_tradnl"/>
        </w:rPr>
        <w:t xml:space="preserve"> de solicitudes</w:t>
      </w:r>
      <w:r w:rsidR="00204B80">
        <w:rPr>
          <w:rFonts w:ascii="Arial" w:hAnsi="Arial" w:cs="Arial"/>
          <w:lang w:val="es-ES_tradnl"/>
        </w:rPr>
        <w:t xml:space="preserve"> no </w:t>
      </w:r>
      <w:r w:rsidR="00850371">
        <w:rPr>
          <w:rFonts w:ascii="Arial" w:hAnsi="Arial" w:cs="Arial"/>
          <w:lang w:val="es-ES_tradnl"/>
        </w:rPr>
        <w:t>son aprobadas</w:t>
      </w:r>
      <w:r w:rsidR="00204B80">
        <w:rPr>
          <w:rFonts w:ascii="Arial" w:hAnsi="Arial" w:cs="Arial"/>
          <w:lang w:val="es-ES_tradnl"/>
        </w:rPr>
        <w:t xml:space="preserve">, </w:t>
      </w:r>
      <w:r w:rsidR="00850371">
        <w:rPr>
          <w:rFonts w:ascii="Arial" w:hAnsi="Arial" w:cs="Arial"/>
          <w:lang w:val="es-ES_tradnl"/>
        </w:rPr>
        <w:t xml:space="preserve">y las principales </w:t>
      </w:r>
      <w:r w:rsidR="00204B80">
        <w:rPr>
          <w:rFonts w:ascii="Arial" w:hAnsi="Arial" w:cs="Arial"/>
          <w:lang w:val="es-ES_tradnl"/>
        </w:rPr>
        <w:t>causal</w:t>
      </w:r>
      <w:r w:rsidR="00850371">
        <w:rPr>
          <w:rFonts w:ascii="Arial" w:hAnsi="Arial" w:cs="Arial"/>
          <w:lang w:val="es-ES_tradnl"/>
        </w:rPr>
        <w:t>es</w:t>
      </w:r>
      <w:r w:rsidR="00204B80">
        <w:rPr>
          <w:rFonts w:ascii="Arial" w:hAnsi="Arial" w:cs="Arial"/>
          <w:lang w:val="es-ES_tradnl"/>
        </w:rPr>
        <w:t xml:space="preserve"> de negación está</w:t>
      </w:r>
      <w:r w:rsidR="00850371">
        <w:rPr>
          <w:rFonts w:ascii="Arial" w:hAnsi="Arial" w:cs="Arial"/>
          <w:lang w:val="es-ES_tradnl"/>
        </w:rPr>
        <w:t>n</w:t>
      </w:r>
      <w:r w:rsidR="00204B80">
        <w:rPr>
          <w:rFonts w:ascii="Arial" w:hAnsi="Arial" w:cs="Arial"/>
          <w:lang w:val="es-ES_tradnl"/>
        </w:rPr>
        <w:t xml:space="preserve"> asociada</w:t>
      </w:r>
      <w:r w:rsidR="00850371">
        <w:rPr>
          <w:rFonts w:ascii="Arial" w:hAnsi="Arial" w:cs="Arial"/>
          <w:lang w:val="es-ES_tradnl"/>
        </w:rPr>
        <w:t>s</w:t>
      </w:r>
      <w:r w:rsidR="00204B80">
        <w:rPr>
          <w:rFonts w:ascii="Arial" w:hAnsi="Arial" w:cs="Arial"/>
          <w:lang w:val="es-ES_tradnl"/>
        </w:rPr>
        <w:t xml:space="preserve"> al no </w:t>
      </w:r>
      <w:r w:rsidR="00361E39">
        <w:rPr>
          <w:rFonts w:ascii="Arial" w:hAnsi="Arial" w:cs="Arial"/>
          <w:lang w:val="es-ES_tradnl"/>
        </w:rPr>
        <w:t xml:space="preserve">cumplimiento de las condiciones para aplicar a la línea definida por el FNG y </w:t>
      </w:r>
      <w:r w:rsidR="00204B80">
        <w:rPr>
          <w:rFonts w:ascii="Arial" w:hAnsi="Arial" w:cs="Arial"/>
          <w:lang w:val="es-ES_tradnl"/>
        </w:rPr>
        <w:t xml:space="preserve">a que las </w:t>
      </w:r>
      <w:r w:rsidR="00361E39">
        <w:rPr>
          <w:rFonts w:ascii="Arial" w:hAnsi="Arial" w:cs="Arial"/>
          <w:lang w:val="es-ES_tradnl"/>
        </w:rPr>
        <w:t>solicitudes exceden el cupo disponible para el deudor o la entidad</w:t>
      </w:r>
      <w:r w:rsidR="00204B80">
        <w:rPr>
          <w:rFonts w:ascii="Arial" w:hAnsi="Arial" w:cs="Arial"/>
          <w:lang w:val="es-ES_tradnl"/>
        </w:rPr>
        <w:t>.</w:t>
      </w:r>
    </w:p>
    <w:p w14:paraId="392852B6" w14:textId="77777777" w:rsidR="00204B80" w:rsidRDefault="00204B80" w:rsidP="00361E39">
      <w:pPr>
        <w:tabs>
          <w:tab w:val="left" w:pos="540"/>
        </w:tabs>
        <w:spacing w:after="0" w:line="240" w:lineRule="auto"/>
        <w:jc w:val="both"/>
        <w:rPr>
          <w:rFonts w:ascii="Arial" w:hAnsi="Arial" w:cs="Arial"/>
          <w:lang w:val="es-ES_tradnl"/>
        </w:rPr>
      </w:pPr>
    </w:p>
    <w:p w14:paraId="5A46D758" w14:textId="166A1F0D" w:rsidR="00361E39" w:rsidRDefault="00361E39" w:rsidP="00361E39">
      <w:pPr>
        <w:tabs>
          <w:tab w:val="left" w:pos="540"/>
        </w:tabs>
        <w:spacing w:after="0" w:line="240" w:lineRule="auto"/>
        <w:jc w:val="both"/>
        <w:rPr>
          <w:rFonts w:ascii="Arial" w:hAnsi="Arial" w:cs="Arial"/>
          <w:lang w:val="es-ES_tradnl"/>
        </w:rPr>
      </w:pPr>
      <w:r>
        <w:rPr>
          <w:rFonts w:ascii="Arial" w:hAnsi="Arial" w:cs="Arial"/>
          <w:lang w:val="es-ES_tradnl"/>
        </w:rPr>
        <w:t xml:space="preserve">Con base en este </w:t>
      </w:r>
      <w:r w:rsidR="00204B80">
        <w:rPr>
          <w:rFonts w:ascii="Arial" w:hAnsi="Arial" w:cs="Arial"/>
          <w:lang w:val="es-ES_tradnl"/>
        </w:rPr>
        <w:t xml:space="preserve">ejercicio de supervisión, </w:t>
      </w:r>
      <w:r>
        <w:rPr>
          <w:rFonts w:ascii="Arial" w:hAnsi="Arial" w:cs="Arial"/>
          <w:lang w:val="es-ES_tradnl"/>
        </w:rPr>
        <w:t xml:space="preserve">y en ejercicio de las funciones establecidas en el literal a) numeral 3º del artículo 326 de Estatuto Orgánico del Sistema Financiero (EOSF), además de los establecido en </w:t>
      </w:r>
      <w:r>
        <w:rPr>
          <w:rFonts w:ascii="Arial" w:hAnsi="Arial" w:cs="Arial"/>
        </w:rPr>
        <w:t xml:space="preserve">la Circular Externa 029 de 2014, Circular Básica Jurídica, </w:t>
      </w:r>
      <w:r>
        <w:rPr>
          <w:rFonts w:ascii="Arial" w:hAnsi="Arial" w:cs="Arial"/>
        </w:rPr>
        <w:lastRenderedPageBreak/>
        <w:t xml:space="preserve">específicamente en el numeral 1.1 de la Parte I, Título III, Capítulo I, donde existen instrucciones orientadas a que la negativa de una operación de crédito deberá fundamentarse </w:t>
      </w:r>
      <w:r>
        <w:rPr>
          <w:rFonts w:ascii="Arial" w:hAnsi="Arial" w:cs="Arial"/>
          <w:i/>
          <w:iCs/>
        </w:rPr>
        <w:t xml:space="preserve">“en criterios objetivos y razonables que deben ponerse en conocimiento del consumidor cuando éste lo solicite </w:t>
      </w:r>
      <w:r>
        <w:rPr>
          <w:rFonts w:ascii="Arial" w:hAnsi="Arial" w:cs="Arial"/>
        </w:rPr>
        <w:t>(...)”, norma cuyo cumplimiento ha sido revisada en especial a las líneas de crédito propias del Programa Especial de Garantías denominado “</w:t>
      </w:r>
      <w:r>
        <w:rPr>
          <w:rFonts w:ascii="Arial" w:hAnsi="Arial" w:cs="Arial"/>
          <w:i/>
        </w:rPr>
        <w:t>Unidos por Colombia</w:t>
      </w:r>
      <w:r>
        <w:rPr>
          <w:rFonts w:ascii="Arial" w:hAnsi="Arial" w:cs="Arial"/>
        </w:rPr>
        <w:t xml:space="preserve">”, exigiéndose que las causas objetivas fueran informadas al consumidor financiero debidamente motivadas y completas de conformidad con lo consagrado en el literal b) del artículo 3° de la Ley 1328 de 2009, </w:t>
      </w:r>
      <w:r>
        <w:rPr>
          <w:rFonts w:ascii="Arial" w:hAnsi="Arial" w:cs="Arial"/>
          <w:lang w:val="es-ES_tradnl"/>
        </w:rPr>
        <w:t>la Superintendencia impartió a todos los establecimientos de crédito, respecto de la negación de créditos en las líneas creadas por el gobierno nacional, las siguientes órdenes, con el fin de fijar los criterios para el cumplimiento de las disposiciones que rigen su actividad:</w:t>
      </w:r>
    </w:p>
    <w:p w14:paraId="6AC02149" w14:textId="77777777" w:rsidR="00361E39" w:rsidRDefault="00361E39" w:rsidP="00361E39">
      <w:pPr>
        <w:tabs>
          <w:tab w:val="left" w:pos="540"/>
        </w:tabs>
        <w:spacing w:after="0" w:line="240" w:lineRule="auto"/>
        <w:jc w:val="both"/>
        <w:rPr>
          <w:rFonts w:ascii="Arial" w:hAnsi="Arial" w:cs="Arial"/>
        </w:rPr>
      </w:pPr>
    </w:p>
    <w:p w14:paraId="67C9D0F3" w14:textId="77777777" w:rsidR="00361E39" w:rsidRDefault="00361E39" w:rsidP="00361E39">
      <w:pPr>
        <w:numPr>
          <w:ilvl w:val="0"/>
          <w:numId w:val="20"/>
        </w:numPr>
        <w:tabs>
          <w:tab w:val="left" w:pos="540"/>
        </w:tabs>
        <w:spacing w:after="0" w:line="240" w:lineRule="auto"/>
        <w:jc w:val="both"/>
        <w:rPr>
          <w:rFonts w:ascii="Arial" w:hAnsi="Arial" w:cs="Arial"/>
        </w:rPr>
      </w:pPr>
      <w:r>
        <w:rPr>
          <w:rFonts w:ascii="Arial" w:hAnsi="Arial" w:cs="Arial"/>
        </w:rPr>
        <w:t>En relación con las quejas referidas a la negación de acceso a las líneas de crédito del Programa Especial de Garantías denominado “</w:t>
      </w:r>
      <w:r>
        <w:rPr>
          <w:rFonts w:ascii="Arial" w:hAnsi="Arial" w:cs="Arial"/>
          <w:i/>
        </w:rPr>
        <w:t>Unidos por Colo</w:t>
      </w:r>
      <w:r>
        <w:rPr>
          <w:rFonts w:ascii="Arial" w:hAnsi="Arial" w:cs="Arial"/>
        </w:rPr>
        <w:t xml:space="preserve">mbia”, se requirió para que las entidades vigiladas, de acuerdo con las obligaciones dispuestas en los literales a) y c) del artículo 3º de la Ley 1328 de 2009, efectuaran las siguientes actividades, según corresponda al soporte de la negativa dada por el banco: </w:t>
      </w:r>
    </w:p>
    <w:p w14:paraId="4461D58A" w14:textId="77777777" w:rsidR="00361E39" w:rsidRDefault="00361E39" w:rsidP="00361E39">
      <w:pPr>
        <w:tabs>
          <w:tab w:val="left" w:pos="540"/>
        </w:tabs>
        <w:spacing w:after="0" w:line="240" w:lineRule="auto"/>
        <w:jc w:val="both"/>
        <w:rPr>
          <w:rFonts w:ascii="Arial" w:hAnsi="Arial" w:cs="Arial"/>
        </w:rPr>
      </w:pPr>
    </w:p>
    <w:p w14:paraId="7849F21C" w14:textId="2CD90012" w:rsidR="00361E39" w:rsidRDefault="00361E39" w:rsidP="00361E39">
      <w:pPr>
        <w:numPr>
          <w:ilvl w:val="1"/>
          <w:numId w:val="20"/>
        </w:numPr>
        <w:tabs>
          <w:tab w:val="left" w:pos="540"/>
        </w:tabs>
        <w:spacing w:after="0" w:line="240" w:lineRule="auto"/>
        <w:jc w:val="both"/>
        <w:rPr>
          <w:rFonts w:ascii="Arial" w:hAnsi="Arial" w:cs="Arial"/>
        </w:rPr>
      </w:pPr>
      <w:r>
        <w:rPr>
          <w:rFonts w:ascii="Arial" w:hAnsi="Arial" w:cs="Arial"/>
        </w:rPr>
        <w:t>Especificar al consumidor financiero si la negativa se originó en el incumplimiento de los requisitos para el acceso a líneas de crédito garantizado y, en todo caso, informar de manera clara cuál es el requisito objetivo por el cual no se pudo acceder a la línea de crédito solicitada. Se reitera que los reportes a la central de riesgo no pueden ser una causal exclusiva para negar una solicitud.</w:t>
      </w:r>
    </w:p>
    <w:p w14:paraId="47DA1A5A" w14:textId="77777777" w:rsidR="00361E39" w:rsidRDefault="00361E39" w:rsidP="00361E39">
      <w:pPr>
        <w:tabs>
          <w:tab w:val="left" w:pos="540"/>
        </w:tabs>
        <w:spacing w:after="0" w:line="240" w:lineRule="auto"/>
        <w:jc w:val="both"/>
        <w:rPr>
          <w:rFonts w:ascii="Arial" w:hAnsi="Arial" w:cs="Arial"/>
          <w:lang w:val="es-ES_tradnl"/>
        </w:rPr>
      </w:pPr>
    </w:p>
    <w:p w14:paraId="1531C40B" w14:textId="77777777" w:rsidR="00361E39" w:rsidRDefault="00361E39" w:rsidP="00361E39">
      <w:pPr>
        <w:numPr>
          <w:ilvl w:val="1"/>
          <w:numId w:val="20"/>
        </w:numPr>
        <w:tabs>
          <w:tab w:val="left" w:pos="540"/>
        </w:tabs>
        <w:spacing w:after="0" w:line="240" w:lineRule="auto"/>
        <w:jc w:val="both"/>
        <w:rPr>
          <w:rFonts w:ascii="Arial" w:hAnsi="Arial" w:cs="Arial"/>
        </w:rPr>
      </w:pPr>
      <w:r>
        <w:rPr>
          <w:rFonts w:ascii="Arial" w:hAnsi="Arial" w:cs="Arial"/>
        </w:rPr>
        <w:t>En los casos en los que la razón obedezca a limitaciones en el cupo de crédito de la entidad, al ya haber consumidor su cupo de la línea de crédito solicitada, explicar de forma clara al consumidor esta información.</w:t>
      </w:r>
    </w:p>
    <w:p w14:paraId="313A8934" w14:textId="77777777" w:rsidR="00361E39" w:rsidRDefault="00361E39" w:rsidP="00361E39">
      <w:pPr>
        <w:tabs>
          <w:tab w:val="left" w:pos="540"/>
        </w:tabs>
        <w:spacing w:after="0" w:line="240" w:lineRule="auto"/>
        <w:jc w:val="both"/>
        <w:rPr>
          <w:rFonts w:ascii="Arial" w:hAnsi="Arial" w:cs="Arial"/>
          <w:lang w:val="es-ES_tradnl"/>
        </w:rPr>
      </w:pPr>
    </w:p>
    <w:p w14:paraId="2DAE5400" w14:textId="77777777" w:rsidR="00361E39" w:rsidRPr="005B4634" w:rsidRDefault="00361E39" w:rsidP="00361E39">
      <w:pPr>
        <w:numPr>
          <w:ilvl w:val="1"/>
          <w:numId w:val="3"/>
        </w:numPr>
        <w:tabs>
          <w:tab w:val="left" w:pos="540"/>
        </w:tabs>
        <w:spacing w:after="0" w:line="240" w:lineRule="auto"/>
        <w:jc w:val="both"/>
        <w:rPr>
          <w:rFonts w:ascii="Arial" w:hAnsi="Arial" w:cs="Arial"/>
        </w:rPr>
      </w:pPr>
      <w:r w:rsidRPr="005B4634">
        <w:rPr>
          <w:rFonts w:ascii="Arial" w:hAnsi="Arial" w:cs="Arial"/>
        </w:rPr>
        <w:t xml:space="preserve">En aquellos casos en los cuales la Entidad negó la posibilidad de crédito, sin recibir del consumidor la documentación requerida para acceder a la línea de crédito, </w:t>
      </w:r>
      <w:r>
        <w:rPr>
          <w:rFonts w:ascii="Arial" w:hAnsi="Arial" w:cs="Arial"/>
        </w:rPr>
        <w:t xml:space="preserve">ella misma </w:t>
      </w:r>
      <w:r w:rsidRPr="005B4634">
        <w:rPr>
          <w:rFonts w:ascii="Arial" w:hAnsi="Arial" w:cs="Arial"/>
        </w:rPr>
        <w:t>deb</w:t>
      </w:r>
      <w:r>
        <w:rPr>
          <w:rFonts w:ascii="Arial" w:hAnsi="Arial" w:cs="Arial"/>
        </w:rPr>
        <w:t xml:space="preserve">ía insistir </w:t>
      </w:r>
      <w:r w:rsidRPr="005B4634">
        <w:rPr>
          <w:rFonts w:ascii="Arial" w:hAnsi="Arial" w:cs="Arial"/>
        </w:rPr>
        <w:t>con el fin de</w:t>
      </w:r>
      <w:r>
        <w:rPr>
          <w:rFonts w:ascii="Arial" w:hAnsi="Arial" w:cs="Arial"/>
        </w:rPr>
        <w:t xml:space="preserve"> recaudar la documentación, hasta donde fuere posible,</w:t>
      </w:r>
      <w:r w:rsidRPr="005B4634">
        <w:rPr>
          <w:rFonts w:ascii="Arial" w:hAnsi="Arial" w:cs="Arial"/>
        </w:rPr>
        <w:t xml:space="preserve"> </w:t>
      </w:r>
      <w:r>
        <w:rPr>
          <w:rFonts w:ascii="Arial" w:hAnsi="Arial" w:cs="Arial"/>
        </w:rPr>
        <w:t>para realizar</w:t>
      </w:r>
      <w:r w:rsidRPr="005B4634">
        <w:rPr>
          <w:rFonts w:ascii="Arial" w:hAnsi="Arial" w:cs="Arial"/>
        </w:rPr>
        <w:t xml:space="preserve"> el estudio correspondiente y dar una respuesta con criterios objetivos y razonables.</w:t>
      </w:r>
    </w:p>
    <w:p w14:paraId="13D9621D" w14:textId="77777777" w:rsidR="00361E39" w:rsidRDefault="00361E39" w:rsidP="00361E39">
      <w:pPr>
        <w:tabs>
          <w:tab w:val="left" w:pos="540"/>
        </w:tabs>
        <w:spacing w:after="0" w:line="240" w:lineRule="auto"/>
        <w:jc w:val="both"/>
        <w:rPr>
          <w:rFonts w:ascii="Arial" w:hAnsi="Arial" w:cs="Arial"/>
        </w:rPr>
      </w:pPr>
    </w:p>
    <w:p w14:paraId="1595AB69" w14:textId="7DA3B26F" w:rsidR="00361E39" w:rsidRDefault="00361E39" w:rsidP="00361E39">
      <w:pPr>
        <w:pStyle w:val="Prrafodelista"/>
        <w:ind w:left="0"/>
        <w:jc w:val="both"/>
        <w:rPr>
          <w:rFonts w:ascii="Arial" w:hAnsi="Arial" w:cs="Arial"/>
        </w:rPr>
      </w:pPr>
      <w:r>
        <w:rPr>
          <w:rFonts w:ascii="Arial" w:hAnsi="Arial" w:cs="Arial"/>
        </w:rPr>
        <w:t xml:space="preserve">De igual forma, de acuerdo con el seguimiento realizado, se encontró que los intermediarios han optado por establecer estrategias direccionadas a una </w:t>
      </w:r>
      <w:r w:rsidR="00850371">
        <w:rPr>
          <w:rFonts w:ascii="Arial" w:hAnsi="Arial" w:cs="Arial"/>
        </w:rPr>
        <w:t xml:space="preserve">mayor </w:t>
      </w:r>
      <w:r>
        <w:rPr>
          <w:rFonts w:ascii="Arial" w:hAnsi="Arial" w:cs="Arial"/>
        </w:rPr>
        <w:t>atención de las solicitudes de estos créditos dirigidos a las pequeñas y medianas empresas. La mayoría se han orientado a establecer un contacto proactivo, a través de las áreas comerciales, con aquellos deudores, que, de acuerdo con su perfil de riesgo, se ajustan a las condiciones definidas en cada una de las líneas.</w:t>
      </w:r>
    </w:p>
    <w:p w14:paraId="32EEE45C" w14:textId="2788D254" w:rsidR="00361E39" w:rsidRDefault="00361E39" w:rsidP="00361E39">
      <w:pPr>
        <w:jc w:val="both"/>
        <w:rPr>
          <w:rFonts w:ascii="Arial" w:hAnsi="Arial" w:cs="Arial"/>
        </w:rPr>
      </w:pPr>
      <w:r>
        <w:rPr>
          <w:rFonts w:ascii="Arial" w:hAnsi="Arial" w:cs="Arial"/>
        </w:rPr>
        <w:t>Igualmente, los intermediarios han establecido procedimientos para facilitar la priorización en el estudio de crédito y/o la reserva de garantías ante en Fondo Nacional de Garantías (FNG); para lo cual han efectuado cambios de infraestructura tecnológica, parametrización de sistemas, identificación de la documentación esencial a requerir, entre otros, con el objetivo de simplificar aquellos aspectos del proceso que pueden ser más expeditos.</w:t>
      </w:r>
    </w:p>
    <w:p w14:paraId="11BB6043" w14:textId="77777777" w:rsidR="00361E39" w:rsidRDefault="00361E39" w:rsidP="00361E39">
      <w:pPr>
        <w:jc w:val="both"/>
        <w:rPr>
          <w:rFonts w:ascii="Arial" w:hAnsi="Arial" w:cs="Arial"/>
        </w:rPr>
      </w:pPr>
      <w:r>
        <w:rPr>
          <w:rFonts w:ascii="Arial" w:hAnsi="Arial" w:cs="Arial"/>
        </w:rPr>
        <w:t xml:space="preserve">Lo anterior, ha permitido a algunos intermediarios realizar los análisis de crédito y dar respuesta en un tiempo que oscila entre 2 y 3 días hábiles, sin embargo, estos tiempos varían entre intermediarios y dependiendo del tipo de deudor analizado. Por ejemplo, </w:t>
      </w:r>
      <w:r>
        <w:rPr>
          <w:rFonts w:ascii="Arial" w:hAnsi="Arial" w:cs="Arial"/>
        </w:rPr>
        <w:lastRenderedPageBreak/>
        <w:t>deudores sin una relación previa con el intermediario o de los cuales se dispone de menor información, implican un análisis más cuidadoso y tiempos de respuesta mayores.</w:t>
      </w:r>
    </w:p>
    <w:p w14:paraId="5C689EB7" w14:textId="29C715BD" w:rsidR="00361E39" w:rsidRDefault="00361E39" w:rsidP="00361E39">
      <w:pPr>
        <w:tabs>
          <w:tab w:val="left" w:pos="540"/>
        </w:tabs>
        <w:spacing w:after="0" w:line="240" w:lineRule="auto"/>
        <w:jc w:val="both"/>
        <w:rPr>
          <w:rFonts w:ascii="Arial" w:hAnsi="Arial" w:cs="Arial"/>
        </w:rPr>
      </w:pPr>
      <w:r>
        <w:rPr>
          <w:rFonts w:ascii="Arial" w:hAnsi="Arial" w:cs="Arial"/>
        </w:rPr>
        <w:t>Es así como en uso de las mismas funciones de vigilancia y control señaladas anteriormente, la Superintendencia instruyó a efectos de que, en la actual coyuntura, se revisaran los procedimientos de acceso al crédito, de tal manera que el estudio, aprobación y desembolsos se realice en plazos razonables para responder a las necesidades del consumidor financiero (la SFC tiene actuaciones en curso sometidas a reserva).</w:t>
      </w:r>
    </w:p>
    <w:p w14:paraId="5599B705" w14:textId="050F1FF9" w:rsidR="00DD58CB" w:rsidRDefault="00DD58CB" w:rsidP="00361E39">
      <w:pPr>
        <w:tabs>
          <w:tab w:val="left" w:pos="540"/>
        </w:tabs>
        <w:spacing w:after="0" w:line="240" w:lineRule="auto"/>
        <w:jc w:val="both"/>
        <w:rPr>
          <w:rFonts w:ascii="Arial" w:hAnsi="Arial" w:cs="Arial"/>
        </w:rPr>
      </w:pPr>
    </w:p>
    <w:p w14:paraId="47EB03E0" w14:textId="77777777" w:rsidR="00D91658" w:rsidRPr="007C4EFD" w:rsidRDefault="00D91658" w:rsidP="00F9514B">
      <w:pPr>
        <w:spacing w:after="0"/>
        <w:rPr>
          <w:rFonts w:ascii="Arial" w:hAnsi="Arial" w:cs="Arial"/>
          <w:i/>
          <w:iCs/>
          <w:u w:val="single"/>
        </w:rPr>
      </w:pPr>
      <w:r w:rsidRPr="007C4EFD">
        <w:rPr>
          <w:rFonts w:ascii="Arial" w:hAnsi="Arial" w:cs="Arial"/>
          <w:i/>
          <w:iCs/>
          <w:u w:val="single"/>
        </w:rPr>
        <w:t>Requerimientos a las entidades</w:t>
      </w:r>
    </w:p>
    <w:p w14:paraId="1E007135" w14:textId="77777777" w:rsidR="00D91658" w:rsidRPr="00AB5C3D" w:rsidRDefault="00D91658" w:rsidP="00D91658">
      <w:pPr>
        <w:spacing w:after="0"/>
        <w:rPr>
          <w:rFonts w:ascii="Arial" w:hAnsi="Arial" w:cs="Arial"/>
        </w:rPr>
      </w:pPr>
    </w:p>
    <w:p w14:paraId="1203C703" w14:textId="35BF7D5A" w:rsidR="00D91658" w:rsidRPr="00AB5C3D" w:rsidRDefault="00D91658" w:rsidP="00D91658">
      <w:pPr>
        <w:spacing w:after="0"/>
        <w:jc w:val="both"/>
        <w:rPr>
          <w:rFonts w:ascii="Arial" w:hAnsi="Arial" w:cs="Arial"/>
        </w:rPr>
      </w:pPr>
      <w:r w:rsidRPr="00AB5C3D">
        <w:rPr>
          <w:rFonts w:ascii="Arial" w:hAnsi="Arial" w:cs="Arial"/>
        </w:rPr>
        <w:t>En cuanto a las medidas adoptadas en desarrollo de las Circulares Externas expedidas por la Superintendencia Financiera de Colombia, se trasladaron las quejas de lo</w:t>
      </w:r>
      <w:r w:rsidR="008B66F7">
        <w:rPr>
          <w:rFonts w:ascii="Arial" w:hAnsi="Arial" w:cs="Arial"/>
        </w:rPr>
        <w:t>s</w:t>
      </w:r>
      <w:r w:rsidRPr="00AB5C3D">
        <w:rPr>
          <w:rFonts w:ascii="Arial" w:hAnsi="Arial" w:cs="Arial"/>
        </w:rPr>
        <w:t xml:space="preserve"> Consumidores Financieras, en requerimientos que agrupan sus inquietudes identificadas por motivo en 303 oportunidades a los diferentes establecimientos de crédito, con el fin de que las mismas sean atendidas de manera directa por las entidades vigiladas dentro de los 5 días siguientes a su recepción, dado que la Superintendencia las ha clasificado como quejas especiales que deben ser atendidas de forma prioritaria, y que en los términos de la Circular Básica Jurídica se denominan “exprés”. En dichos requerimientos, esta Superintendencia ha conminado a las entidades para que:</w:t>
      </w:r>
    </w:p>
    <w:p w14:paraId="35F67FE1" w14:textId="77777777" w:rsidR="00D91658" w:rsidRPr="00AB5C3D" w:rsidRDefault="00D91658" w:rsidP="00D91658">
      <w:pPr>
        <w:jc w:val="both"/>
        <w:rPr>
          <w:rFonts w:ascii="Arial" w:hAnsi="Arial" w:cs="Arial"/>
        </w:rPr>
      </w:pPr>
    </w:p>
    <w:p w14:paraId="4C94A0A5" w14:textId="77777777" w:rsidR="00D91658" w:rsidRPr="00AB5C3D" w:rsidRDefault="00D91658" w:rsidP="007C4EFD">
      <w:pPr>
        <w:pStyle w:val="Prrafodelista"/>
        <w:numPr>
          <w:ilvl w:val="0"/>
          <w:numId w:val="23"/>
        </w:numPr>
        <w:spacing w:after="0" w:line="240" w:lineRule="auto"/>
        <w:jc w:val="both"/>
        <w:rPr>
          <w:rFonts w:ascii="Arial" w:hAnsi="Arial" w:cs="Arial"/>
        </w:rPr>
      </w:pPr>
      <w:r w:rsidRPr="00AB5C3D">
        <w:rPr>
          <w:rFonts w:ascii="Arial" w:hAnsi="Arial" w:cs="Arial"/>
        </w:rPr>
        <w:t xml:space="preserve">Frente a los temas recurrentes que están afectando a un número representativo de sus consumidores financieros, se adopten las medidas necesarias para atacar o entender la causa raíz de dichas inconformidades. </w:t>
      </w:r>
    </w:p>
    <w:p w14:paraId="7CE3C5D6" w14:textId="77777777" w:rsidR="00D91658" w:rsidRPr="00AB5C3D" w:rsidRDefault="00D91658" w:rsidP="00D91658">
      <w:pPr>
        <w:pStyle w:val="Prrafodelista"/>
        <w:jc w:val="both"/>
        <w:rPr>
          <w:rFonts w:ascii="Arial" w:hAnsi="Arial" w:cs="Arial"/>
        </w:rPr>
      </w:pPr>
    </w:p>
    <w:p w14:paraId="49299229" w14:textId="77777777" w:rsidR="00D91658" w:rsidRPr="00AB5C3D" w:rsidRDefault="00D91658" w:rsidP="00D91658">
      <w:pPr>
        <w:pStyle w:val="Prrafodelista"/>
        <w:jc w:val="both"/>
        <w:rPr>
          <w:rFonts w:ascii="Arial" w:hAnsi="Arial" w:cs="Arial"/>
        </w:rPr>
      </w:pPr>
      <w:r w:rsidRPr="00AB5C3D">
        <w:rPr>
          <w:rFonts w:ascii="Arial" w:hAnsi="Arial" w:cs="Arial"/>
        </w:rPr>
        <w:t xml:space="preserve">Al respecto y de manera textual, el requerimiento masivo exige: </w:t>
      </w:r>
      <w:r w:rsidRPr="00AB5C3D">
        <w:rPr>
          <w:rFonts w:ascii="Arial" w:hAnsi="Arial" w:cs="Arial"/>
          <w:i/>
          <w:iCs/>
        </w:rPr>
        <w:t>“…enviar un informe de la causa común de las inconformidades y las propuestas de solución planteadas por la entidad que usted representa dentro de los ocho (8) días siguientes al recibo de este documento”.</w:t>
      </w:r>
      <w:r w:rsidRPr="00AB5C3D">
        <w:rPr>
          <w:rFonts w:ascii="Arial" w:hAnsi="Arial" w:cs="Arial"/>
        </w:rPr>
        <w:t xml:space="preserve"> </w:t>
      </w:r>
    </w:p>
    <w:p w14:paraId="5AD90CA1" w14:textId="77777777" w:rsidR="00D91658" w:rsidRPr="00AB5C3D" w:rsidRDefault="00D91658" w:rsidP="00D91658">
      <w:pPr>
        <w:pStyle w:val="Prrafodelista"/>
        <w:rPr>
          <w:rFonts w:ascii="Arial" w:hAnsi="Arial" w:cs="Arial"/>
        </w:rPr>
      </w:pPr>
    </w:p>
    <w:p w14:paraId="53C65F3E" w14:textId="78370C90" w:rsidR="00D91658" w:rsidRPr="00AB5C3D" w:rsidRDefault="00D91658" w:rsidP="007C4EFD">
      <w:pPr>
        <w:pStyle w:val="Prrafodelista"/>
        <w:numPr>
          <w:ilvl w:val="0"/>
          <w:numId w:val="23"/>
        </w:numPr>
        <w:spacing w:after="0" w:line="240" w:lineRule="auto"/>
        <w:jc w:val="both"/>
        <w:rPr>
          <w:rFonts w:ascii="Arial" w:hAnsi="Arial" w:cs="Arial"/>
        </w:rPr>
      </w:pPr>
      <w:r w:rsidRPr="00AB5C3D">
        <w:rPr>
          <w:rFonts w:ascii="Arial" w:hAnsi="Arial" w:cs="Arial"/>
        </w:rPr>
        <w:t xml:space="preserve">Se </w:t>
      </w:r>
      <w:r w:rsidR="008B66F7">
        <w:rPr>
          <w:rFonts w:ascii="Arial" w:hAnsi="Arial" w:cs="Arial"/>
        </w:rPr>
        <w:t xml:space="preserve">envíe </w:t>
      </w:r>
      <w:r w:rsidRPr="00AB5C3D">
        <w:rPr>
          <w:rFonts w:ascii="Arial" w:hAnsi="Arial" w:cs="Arial"/>
        </w:rPr>
        <w:t>a esta Superintendencia copia de las respuestas remitidas a cada uno de los consumidores financieros, en atención a que estas quejas han sido clasificadas como exprés</w:t>
      </w:r>
      <w:r w:rsidRPr="00AB5C3D">
        <w:rPr>
          <w:rStyle w:val="Refdenotaalpie"/>
          <w:rFonts w:ascii="Arial" w:hAnsi="Arial" w:cs="Arial"/>
        </w:rPr>
        <w:footnoteReference w:id="3"/>
      </w:r>
      <w:r w:rsidRPr="00AB5C3D">
        <w:rPr>
          <w:rFonts w:ascii="Arial" w:hAnsi="Arial" w:cs="Arial"/>
        </w:rPr>
        <w:t>.</w:t>
      </w:r>
    </w:p>
    <w:p w14:paraId="7C40B6CB" w14:textId="77777777" w:rsidR="00D91658" w:rsidRPr="00AB5C3D" w:rsidRDefault="00D91658" w:rsidP="00D91658">
      <w:pPr>
        <w:pStyle w:val="Prrafodelista"/>
        <w:rPr>
          <w:rFonts w:ascii="Arial" w:hAnsi="Arial" w:cs="Arial"/>
        </w:rPr>
      </w:pPr>
    </w:p>
    <w:p w14:paraId="59B191D1" w14:textId="7C552252" w:rsidR="00D91658" w:rsidRDefault="008B66F7" w:rsidP="007C4EFD">
      <w:pPr>
        <w:pStyle w:val="Prrafodelista"/>
        <w:numPr>
          <w:ilvl w:val="0"/>
          <w:numId w:val="23"/>
        </w:numPr>
        <w:spacing w:after="0" w:line="240" w:lineRule="auto"/>
        <w:jc w:val="both"/>
        <w:rPr>
          <w:rFonts w:ascii="Arial" w:hAnsi="Arial" w:cs="Arial"/>
        </w:rPr>
      </w:pPr>
      <w:r>
        <w:rPr>
          <w:rFonts w:ascii="Arial" w:hAnsi="Arial" w:cs="Arial"/>
        </w:rPr>
        <w:t>Se r</w:t>
      </w:r>
      <w:r w:rsidR="00D91658" w:rsidRPr="00AB5C3D">
        <w:rPr>
          <w:rFonts w:ascii="Arial" w:hAnsi="Arial" w:cs="Arial"/>
        </w:rPr>
        <w:t>obustezca la atención de sus consumidores por medio de los canales virtuales, disminuyendo en la medida de lo posible el contacto presencial y el desplazamiento de los mencionados consumidores a las oficinas físicas.</w:t>
      </w:r>
      <w:r w:rsidR="001D3788">
        <w:rPr>
          <w:rFonts w:ascii="Arial" w:hAnsi="Arial" w:cs="Arial"/>
        </w:rPr>
        <w:t xml:space="preserve"> Aquí</w:t>
      </w:r>
    </w:p>
    <w:p w14:paraId="0C33D360" w14:textId="705CF50B" w:rsidR="00D91658" w:rsidRDefault="00D91658" w:rsidP="00D91658">
      <w:pPr>
        <w:spacing w:after="0"/>
        <w:jc w:val="both"/>
        <w:rPr>
          <w:rFonts w:ascii="Arial" w:hAnsi="Arial" w:cs="Arial"/>
        </w:rPr>
      </w:pPr>
    </w:p>
    <w:p w14:paraId="393189AD" w14:textId="255DE2EE" w:rsidR="001D3788" w:rsidRDefault="001D3788" w:rsidP="00D91658">
      <w:pPr>
        <w:spacing w:after="0"/>
        <w:jc w:val="both"/>
        <w:rPr>
          <w:rFonts w:ascii="Arial" w:hAnsi="Arial" w:cs="Arial"/>
        </w:rPr>
      </w:pPr>
      <w:r>
        <w:rPr>
          <w:rFonts w:ascii="Arial" w:hAnsi="Arial" w:cs="Arial"/>
        </w:rPr>
        <w:lastRenderedPageBreak/>
        <w:t xml:space="preserve">Es importante señalar que mediante la expedición de la Circular Externa 017 del 15 de mayo 2020 se impartieron instrucciones a las entidades vigiladas para que sus índices de atención en </w:t>
      </w:r>
      <w:r w:rsidRPr="001D3788">
        <w:rPr>
          <w:rFonts w:ascii="Arial" w:hAnsi="Arial" w:cs="Arial"/>
          <w:i/>
          <w:iCs/>
        </w:rPr>
        <w:t>“callcenters”</w:t>
      </w:r>
      <w:r>
        <w:rPr>
          <w:rFonts w:ascii="Arial" w:hAnsi="Arial" w:cs="Arial"/>
        </w:rPr>
        <w:t xml:space="preserve"> fueran mejorados con el fin de mantener como mínimo una tasa exitosa de atención del 92%.</w:t>
      </w:r>
    </w:p>
    <w:p w14:paraId="37D7891C" w14:textId="77777777" w:rsidR="001D3788" w:rsidRPr="00AB5C3D" w:rsidRDefault="001D3788" w:rsidP="00D91658">
      <w:pPr>
        <w:spacing w:after="0"/>
        <w:jc w:val="both"/>
        <w:rPr>
          <w:rFonts w:ascii="Arial" w:hAnsi="Arial" w:cs="Arial"/>
        </w:rPr>
      </w:pPr>
    </w:p>
    <w:p w14:paraId="3B40B230" w14:textId="77777777" w:rsidR="00D91658" w:rsidRPr="00AB5C3D" w:rsidRDefault="00D91658" w:rsidP="00D91658">
      <w:pPr>
        <w:spacing w:after="0"/>
        <w:jc w:val="both"/>
        <w:rPr>
          <w:rFonts w:ascii="Arial" w:hAnsi="Arial" w:cs="Arial"/>
        </w:rPr>
      </w:pPr>
      <w:r w:rsidRPr="00AB5C3D">
        <w:rPr>
          <w:rFonts w:ascii="Arial" w:hAnsi="Arial" w:cs="Arial"/>
        </w:rPr>
        <w:t xml:space="preserve">Además, se ha requerido que indiquen la información suministrada a los consumidores financieros respecto a las medidas adoptadas en virtud de las Circulares Externas 007 y 014 de 2020, así como los canales por los cuales la transmitió a los consumidores financieros, y la debida aplicación del principio de transparencia e información cierta, suficiente y oportuna de que trata el literal c) del artículo 3° de la Ley 1328 de 2009. </w:t>
      </w:r>
    </w:p>
    <w:p w14:paraId="3C00AAA3" w14:textId="77777777" w:rsidR="00D91658" w:rsidRPr="00AB5C3D" w:rsidRDefault="00D91658" w:rsidP="00D91658">
      <w:pPr>
        <w:spacing w:after="0"/>
        <w:jc w:val="both"/>
        <w:rPr>
          <w:rFonts w:ascii="Arial" w:hAnsi="Arial" w:cs="Arial"/>
        </w:rPr>
      </w:pPr>
    </w:p>
    <w:p w14:paraId="70229025" w14:textId="43D14D76" w:rsidR="00D91658" w:rsidRPr="00AB5C3D" w:rsidRDefault="00D91658" w:rsidP="00D91658">
      <w:pPr>
        <w:spacing w:after="0"/>
        <w:jc w:val="both"/>
        <w:rPr>
          <w:rFonts w:ascii="Arial" w:hAnsi="Arial" w:cs="Arial"/>
        </w:rPr>
      </w:pPr>
      <w:r w:rsidRPr="00AB5C3D">
        <w:rPr>
          <w:rFonts w:ascii="Arial" w:hAnsi="Arial" w:cs="Arial"/>
        </w:rPr>
        <w:t>Dicha información hace parte del proceso de supervisión que se adelanta en la Superintendencia.</w:t>
      </w:r>
    </w:p>
    <w:p w14:paraId="7900C131" w14:textId="77777777" w:rsidR="00D91658" w:rsidRPr="00AB5C3D" w:rsidRDefault="00D91658" w:rsidP="00D91658">
      <w:pPr>
        <w:spacing w:after="0"/>
        <w:jc w:val="both"/>
        <w:rPr>
          <w:rFonts w:ascii="Arial" w:hAnsi="Arial" w:cs="Arial"/>
        </w:rPr>
      </w:pPr>
    </w:p>
    <w:p w14:paraId="2D0073CE" w14:textId="77777777" w:rsidR="00D91658" w:rsidRPr="007C4EFD" w:rsidRDefault="00D91658" w:rsidP="00F9514B">
      <w:pPr>
        <w:spacing w:after="0"/>
        <w:rPr>
          <w:rFonts w:ascii="Arial" w:hAnsi="Arial" w:cs="Arial"/>
          <w:i/>
          <w:iCs/>
          <w:u w:val="single"/>
        </w:rPr>
      </w:pPr>
      <w:r w:rsidRPr="007C4EFD">
        <w:rPr>
          <w:rFonts w:ascii="Arial" w:hAnsi="Arial" w:cs="Arial"/>
          <w:i/>
          <w:iCs/>
          <w:u w:val="single"/>
        </w:rPr>
        <w:t>Requerimientos a Defensor del Consumidor Financiero</w:t>
      </w:r>
    </w:p>
    <w:p w14:paraId="05677B2F" w14:textId="77777777" w:rsidR="00D91658" w:rsidRPr="00AB5C3D" w:rsidRDefault="00D91658" w:rsidP="00D91658">
      <w:pPr>
        <w:spacing w:after="0"/>
        <w:ind w:left="360"/>
        <w:rPr>
          <w:rFonts w:ascii="Arial" w:hAnsi="Arial" w:cs="Arial"/>
        </w:rPr>
      </w:pPr>
    </w:p>
    <w:p w14:paraId="6DED6947" w14:textId="77777777" w:rsidR="00D91658" w:rsidRPr="00AB5C3D" w:rsidRDefault="00D91658" w:rsidP="00D91658">
      <w:pPr>
        <w:spacing w:after="0"/>
        <w:jc w:val="both"/>
        <w:rPr>
          <w:rFonts w:ascii="Arial" w:hAnsi="Arial" w:cs="Arial"/>
        </w:rPr>
      </w:pPr>
      <w:r w:rsidRPr="00AB5C3D">
        <w:rPr>
          <w:rFonts w:ascii="Arial" w:hAnsi="Arial" w:cs="Arial"/>
        </w:rPr>
        <w:t>Así mismo, se ha requerido, a la fecha, a 107 de los Defensores del Consumidor Financiero de las entidades vigiladas para que, de conformidad con la función de vocería que les asiste, remitan a esta Superintendencia, la siguiente información derivada de la pandemia COVID19, con fines de supervisión:</w:t>
      </w:r>
    </w:p>
    <w:p w14:paraId="47ECB344" w14:textId="77777777" w:rsidR="00D91658" w:rsidRPr="00AB5C3D" w:rsidRDefault="00D91658" w:rsidP="00D91658">
      <w:pPr>
        <w:spacing w:after="0"/>
        <w:rPr>
          <w:rFonts w:ascii="Arial" w:hAnsi="Arial" w:cs="Arial"/>
        </w:rPr>
      </w:pPr>
    </w:p>
    <w:p w14:paraId="5EA615E3" w14:textId="77777777" w:rsidR="00D91658" w:rsidRPr="00AB5C3D" w:rsidRDefault="00D91658" w:rsidP="00C16786">
      <w:pPr>
        <w:pStyle w:val="Prrafodelista"/>
        <w:numPr>
          <w:ilvl w:val="1"/>
          <w:numId w:val="21"/>
        </w:numPr>
        <w:spacing w:after="0"/>
        <w:rPr>
          <w:rFonts w:ascii="Arial" w:hAnsi="Arial" w:cs="Arial"/>
        </w:rPr>
      </w:pPr>
      <w:r w:rsidRPr="00AB5C3D">
        <w:rPr>
          <w:rFonts w:ascii="Arial" w:hAnsi="Arial" w:cs="Arial"/>
        </w:rPr>
        <w:t>Información sobre temas recurrentes</w:t>
      </w:r>
    </w:p>
    <w:p w14:paraId="24A28BAB" w14:textId="77777777" w:rsidR="00D91658" w:rsidRPr="00AB5C3D" w:rsidRDefault="00D91658" w:rsidP="00C16786">
      <w:pPr>
        <w:pStyle w:val="Prrafodelista"/>
        <w:numPr>
          <w:ilvl w:val="1"/>
          <w:numId w:val="21"/>
        </w:numPr>
        <w:spacing w:after="0"/>
        <w:rPr>
          <w:rFonts w:ascii="Arial" w:hAnsi="Arial" w:cs="Arial"/>
        </w:rPr>
      </w:pPr>
      <w:r w:rsidRPr="00AB5C3D">
        <w:rPr>
          <w:rFonts w:ascii="Arial" w:hAnsi="Arial" w:cs="Arial"/>
        </w:rPr>
        <w:t>Información estadística consolidada</w:t>
      </w:r>
    </w:p>
    <w:p w14:paraId="0AD4EFAC" w14:textId="77777777" w:rsidR="00D91658" w:rsidRPr="00AB5C3D" w:rsidRDefault="00D91658" w:rsidP="00C16786">
      <w:pPr>
        <w:pStyle w:val="Prrafodelista"/>
        <w:numPr>
          <w:ilvl w:val="1"/>
          <w:numId w:val="21"/>
        </w:numPr>
        <w:spacing w:after="0"/>
        <w:rPr>
          <w:rFonts w:ascii="Arial" w:hAnsi="Arial" w:cs="Arial"/>
        </w:rPr>
      </w:pPr>
      <w:r w:rsidRPr="00AB5C3D">
        <w:rPr>
          <w:rFonts w:ascii="Arial" w:hAnsi="Arial" w:cs="Arial"/>
        </w:rPr>
        <w:t>Hallazgos, causa raíz y recomendaciones de la Defensoría del Consumidor Financiero.</w:t>
      </w:r>
    </w:p>
    <w:p w14:paraId="36485995" w14:textId="77777777" w:rsidR="00D91658" w:rsidRPr="00AB5C3D" w:rsidRDefault="00D91658" w:rsidP="00D91658">
      <w:pPr>
        <w:spacing w:after="0"/>
        <w:rPr>
          <w:rFonts w:ascii="Arial" w:hAnsi="Arial" w:cs="Arial"/>
          <w:b/>
          <w:bCs/>
        </w:rPr>
      </w:pPr>
    </w:p>
    <w:p w14:paraId="10A16F44" w14:textId="77777777" w:rsidR="00D91658" w:rsidRPr="007C4EFD" w:rsidRDefault="00D91658" w:rsidP="007C4EFD">
      <w:pPr>
        <w:spacing w:after="0"/>
        <w:jc w:val="both"/>
        <w:rPr>
          <w:rFonts w:ascii="Arial" w:hAnsi="Arial" w:cs="Arial"/>
          <w:i/>
          <w:iCs/>
        </w:rPr>
      </w:pPr>
      <w:r w:rsidRPr="007C4EFD">
        <w:rPr>
          <w:rFonts w:ascii="Arial" w:hAnsi="Arial" w:cs="Arial"/>
          <w:i/>
          <w:iCs/>
        </w:rPr>
        <w:t xml:space="preserve">Involucramiento de la Junta Directiva o Consejo de Administración vía Defensores del Consumidor Financiero </w:t>
      </w:r>
    </w:p>
    <w:p w14:paraId="1C3637C8" w14:textId="77777777" w:rsidR="00D91658" w:rsidRPr="00AB5C3D" w:rsidRDefault="00D91658" w:rsidP="00D91658">
      <w:pPr>
        <w:spacing w:after="0"/>
        <w:rPr>
          <w:rFonts w:ascii="Arial" w:hAnsi="Arial" w:cs="Arial"/>
          <w:b/>
          <w:bCs/>
        </w:rPr>
      </w:pPr>
    </w:p>
    <w:p w14:paraId="6706B059" w14:textId="77777777" w:rsidR="00D91658" w:rsidRPr="00AB5C3D" w:rsidRDefault="00D91658" w:rsidP="00D91658">
      <w:pPr>
        <w:spacing w:after="0"/>
        <w:jc w:val="both"/>
        <w:rPr>
          <w:rFonts w:ascii="Arial" w:hAnsi="Arial" w:cs="Arial"/>
        </w:rPr>
      </w:pPr>
      <w:r w:rsidRPr="00AB5C3D">
        <w:rPr>
          <w:rFonts w:ascii="Arial" w:hAnsi="Arial" w:cs="Arial"/>
        </w:rPr>
        <w:t>En los requerimientos realizados a los defensores del consumidor financiero de las entidades vigiladas, de conformidad con la función de vocería que les asiste, se les ha solicitado que remitan a la Junta Directiva o al Consejo de Administración, según corresponda, un análisis pormenorizado de los hechos que fueron puestos en conocimiento de su entidad vigilada, junto con sus recomendaciones o propuestas de mejora, de cara a los hechos evidenciados durante la pandemia COVID19.</w:t>
      </w:r>
    </w:p>
    <w:p w14:paraId="06A8251F" w14:textId="77777777" w:rsidR="00D91658" w:rsidRPr="00AB5C3D" w:rsidRDefault="00D91658" w:rsidP="00D91658">
      <w:pPr>
        <w:spacing w:after="0"/>
        <w:jc w:val="both"/>
        <w:rPr>
          <w:rFonts w:ascii="Arial" w:hAnsi="Arial" w:cs="Arial"/>
          <w:b/>
          <w:bCs/>
        </w:rPr>
      </w:pPr>
    </w:p>
    <w:p w14:paraId="7BA4C11E" w14:textId="381D77BE" w:rsidR="00D91658" w:rsidRPr="007C4EFD" w:rsidRDefault="00D91658" w:rsidP="007C4EFD">
      <w:pPr>
        <w:spacing w:after="0"/>
        <w:jc w:val="both"/>
        <w:rPr>
          <w:rFonts w:ascii="Arial" w:hAnsi="Arial" w:cs="Arial"/>
          <w:i/>
          <w:iCs/>
          <w:u w:val="single"/>
        </w:rPr>
      </w:pPr>
      <w:r w:rsidRPr="007C4EFD">
        <w:rPr>
          <w:rFonts w:ascii="Arial" w:hAnsi="Arial" w:cs="Arial"/>
          <w:i/>
          <w:iCs/>
          <w:u w:val="single"/>
        </w:rPr>
        <w:t xml:space="preserve">Requerimientos al </w:t>
      </w:r>
      <w:r w:rsidRPr="007C4EFD">
        <w:rPr>
          <w:rFonts w:ascii="Arial" w:eastAsia="Calibri" w:hAnsi="Arial" w:cs="Arial"/>
          <w:i/>
          <w:iCs/>
          <w:u w:val="single"/>
        </w:rPr>
        <w:t xml:space="preserve">administrador del </w:t>
      </w:r>
      <w:r w:rsidRPr="007C4EFD">
        <w:rPr>
          <w:rFonts w:ascii="Arial" w:hAnsi="Arial" w:cs="Arial"/>
          <w:i/>
          <w:iCs/>
          <w:color w:val="222222"/>
          <w:u w:val="single"/>
          <w:shd w:val="clear" w:color="auto" w:fill="FFFFFF"/>
        </w:rPr>
        <w:t>Sistema</w:t>
      </w:r>
      <w:r w:rsidR="00850371">
        <w:rPr>
          <w:rFonts w:ascii="Arial" w:hAnsi="Arial" w:cs="Arial"/>
          <w:i/>
          <w:iCs/>
          <w:color w:val="222222"/>
          <w:u w:val="single"/>
          <w:shd w:val="clear" w:color="auto" w:fill="FFFFFF"/>
        </w:rPr>
        <w:t xml:space="preserve"> </w:t>
      </w:r>
      <w:r w:rsidRPr="007C4EFD">
        <w:rPr>
          <w:rFonts w:ascii="Arial" w:hAnsi="Arial" w:cs="Arial"/>
          <w:i/>
          <w:iCs/>
          <w:color w:val="222222"/>
          <w:u w:val="single"/>
          <w:shd w:val="clear" w:color="auto" w:fill="FFFFFF"/>
        </w:rPr>
        <w:t>de Atención al Consumidor</w:t>
      </w:r>
      <w:r w:rsidR="00850371">
        <w:rPr>
          <w:rFonts w:ascii="Arial" w:hAnsi="Arial" w:cs="Arial"/>
          <w:i/>
          <w:iCs/>
          <w:color w:val="222222"/>
          <w:u w:val="single"/>
          <w:shd w:val="clear" w:color="auto" w:fill="FFFFFF"/>
        </w:rPr>
        <w:t xml:space="preserve"> </w:t>
      </w:r>
      <w:r w:rsidRPr="007C4EFD">
        <w:rPr>
          <w:rFonts w:ascii="Arial" w:hAnsi="Arial" w:cs="Arial"/>
          <w:i/>
          <w:iCs/>
          <w:color w:val="222222"/>
          <w:u w:val="single"/>
          <w:shd w:val="clear" w:color="auto" w:fill="FFFFFF"/>
        </w:rPr>
        <w:t>Financiero</w:t>
      </w:r>
    </w:p>
    <w:p w14:paraId="7A919834" w14:textId="77777777" w:rsidR="00D91658" w:rsidRPr="00AB5C3D" w:rsidRDefault="00D91658" w:rsidP="00D91658">
      <w:pPr>
        <w:spacing w:after="0"/>
        <w:jc w:val="both"/>
        <w:rPr>
          <w:rFonts w:ascii="Arial" w:hAnsi="Arial" w:cs="Arial"/>
        </w:rPr>
      </w:pPr>
    </w:p>
    <w:p w14:paraId="3E88E9EB" w14:textId="6B77EE39" w:rsidR="00D91658" w:rsidRPr="00AB5C3D" w:rsidRDefault="00850371" w:rsidP="00D91658">
      <w:pPr>
        <w:spacing w:after="0"/>
        <w:jc w:val="both"/>
        <w:rPr>
          <w:rFonts w:ascii="Arial" w:hAnsi="Arial" w:cs="Arial"/>
        </w:rPr>
      </w:pPr>
      <w:r>
        <w:rPr>
          <w:rFonts w:ascii="Arial" w:hAnsi="Arial" w:cs="Arial"/>
        </w:rPr>
        <w:t xml:space="preserve">A </w:t>
      </w:r>
      <w:r w:rsidR="00D91658" w:rsidRPr="00AB5C3D">
        <w:rPr>
          <w:rFonts w:ascii="Arial" w:hAnsi="Arial" w:cs="Arial"/>
        </w:rPr>
        <w:t>la fecha</w:t>
      </w:r>
      <w:r>
        <w:rPr>
          <w:rFonts w:ascii="Arial" w:hAnsi="Arial" w:cs="Arial"/>
        </w:rPr>
        <w:t xml:space="preserve"> s</w:t>
      </w:r>
      <w:r w:rsidRPr="00AB5C3D">
        <w:rPr>
          <w:rFonts w:ascii="Arial" w:hAnsi="Arial" w:cs="Arial"/>
        </w:rPr>
        <w:t>e ha</w:t>
      </w:r>
      <w:r>
        <w:rPr>
          <w:rFonts w:ascii="Arial" w:hAnsi="Arial" w:cs="Arial"/>
        </w:rPr>
        <w:t>n</w:t>
      </w:r>
      <w:r w:rsidRPr="00AB5C3D">
        <w:rPr>
          <w:rFonts w:ascii="Arial" w:hAnsi="Arial" w:cs="Arial"/>
        </w:rPr>
        <w:t xml:space="preserve"> requerido a</w:t>
      </w:r>
      <w:r w:rsidR="00D91658" w:rsidRPr="00AB5C3D">
        <w:rPr>
          <w:rFonts w:ascii="Arial" w:hAnsi="Arial" w:cs="Arial"/>
        </w:rPr>
        <w:t xml:space="preserve"> 134 de los administradores del Sistema de Atención Consumidor Financier</w:t>
      </w:r>
      <w:r w:rsidR="00047970">
        <w:rPr>
          <w:rFonts w:ascii="Arial" w:hAnsi="Arial" w:cs="Arial"/>
        </w:rPr>
        <w:t>o</w:t>
      </w:r>
      <w:r w:rsidR="00D91658" w:rsidRPr="00AB5C3D">
        <w:rPr>
          <w:rFonts w:ascii="Arial" w:hAnsi="Arial" w:cs="Arial"/>
        </w:rPr>
        <w:t xml:space="preserve"> de las entidades vigiladas para que, se implementen buenas prácticas, con ocasión de la coyuntura por la pandemia COVID 19, entre las que se encuentran:</w:t>
      </w:r>
    </w:p>
    <w:p w14:paraId="2582ACEC" w14:textId="77777777" w:rsidR="00D91658" w:rsidRPr="00AB5C3D" w:rsidRDefault="00D91658" w:rsidP="00D91658">
      <w:pPr>
        <w:spacing w:after="0"/>
        <w:jc w:val="both"/>
        <w:rPr>
          <w:rFonts w:ascii="Arial" w:hAnsi="Arial" w:cs="Arial"/>
          <w:b/>
          <w:bCs/>
        </w:rPr>
      </w:pPr>
    </w:p>
    <w:p w14:paraId="21309754" w14:textId="77777777" w:rsidR="00D91658" w:rsidRPr="00AB5C3D" w:rsidRDefault="00D91658" w:rsidP="00D91658">
      <w:pPr>
        <w:pStyle w:val="Prrafodelista"/>
        <w:numPr>
          <w:ilvl w:val="0"/>
          <w:numId w:val="6"/>
        </w:numPr>
        <w:spacing w:after="0"/>
        <w:jc w:val="both"/>
        <w:rPr>
          <w:rStyle w:val="normaltextrun"/>
          <w:rFonts w:ascii="Arial" w:hAnsi="Arial" w:cs="Arial"/>
          <w:b/>
          <w:bCs/>
        </w:rPr>
      </w:pPr>
      <w:r w:rsidRPr="00AB5C3D">
        <w:rPr>
          <w:rStyle w:val="normaltextrun"/>
          <w:rFonts w:ascii="Arial" w:hAnsi="Arial" w:cs="Arial"/>
          <w:color w:val="000000"/>
          <w:lang w:val="es-ES"/>
        </w:rPr>
        <w:t>Adoptar las medidas para la administración de riesgos a los que se vea expuesta la entidad y sus consumidores financieros con ocasión de la emergencia sanitaria, a efectos de garantizar la debida diligencia en la prestación de todos los servicios a los consumidores financieros y para que se dé continuidad del negocio.</w:t>
      </w:r>
    </w:p>
    <w:p w14:paraId="602A30D4" w14:textId="77777777" w:rsidR="00D91658" w:rsidRPr="00AB5C3D" w:rsidRDefault="00D91658" w:rsidP="00D91658">
      <w:pPr>
        <w:pStyle w:val="Prrafodelista"/>
        <w:numPr>
          <w:ilvl w:val="0"/>
          <w:numId w:val="6"/>
        </w:numPr>
        <w:spacing w:after="0"/>
        <w:jc w:val="both"/>
        <w:rPr>
          <w:rFonts w:ascii="Arial" w:hAnsi="Arial" w:cs="Arial"/>
          <w:b/>
          <w:bCs/>
        </w:rPr>
      </w:pPr>
      <w:r w:rsidRPr="00AB5C3D">
        <w:rPr>
          <w:rFonts w:ascii="Arial" w:eastAsia="Calibri" w:hAnsi="Arial" w:cs="Arial"/>
          <w:lang w:val="es-ES" w:eastAsia="es-ES"/>
        </w:rPr>
        <w:lastRenderedPageBreak/>
        <w:t xml:space="preserve">Presentar de manera precisa, detallada y en términos de fácil entendimiento, las condiciones de los programas de alivios ofrecidos, los efectos de </w:t>
      </w:r>
      <w:proofErr w:type="gramStart"/>
      <w:r w:rsidRPr="00AB5C3D">
        <w:rPr>
          <w:rFonts w:ascii="Arial" w:eastAsia="Calibri" w:hAnsi="Arial" w:cs="Arial"/>
          <w:lang w:val="es-ES" w:eastAsia="es-ES"/>
        </w:rPr>
        <w:t>los mismos</w:t>
      </w:r>
      <w:proofErr w:type="gramEnd"/>
      <w:r w:rsidRPr="00AB5C3D">
        <w:rPr>
          <w:rFonts w:ascii="Arial" w:eastAsia="Calibri" w:hAnsi="Arial" w:cs="Arial"/>
          <w:lang w:val="es-ES" w:eastAsia="es-ES"/>
        </w:rPr>
        <w:t xml:space="preserve"> para el deudor, las bondades o ventajas que la aplicación del alivio representarán para el deudor debidamente soportadas y el tipo de operaciones a las que aplican.</w:t>
      </w:r>
    </w:p>
    <w:p w14:paraId="4DA02183" w14:textId="77777777" w:rsidR="00D91658" w:rsidRPr="00AB5C3D" w:rsidRDefault="00D91658" w:rsidP="00D91658">
      <w:pPr>
        <w:pStyle w:val="Prrafodelista"/>
        <w:numPr>
          <w:ilvl w:val="0"/>
          <w:numId w:val="6"/>
        </w:numPr>
        <w:spacing w:after="0"/>
        <w:jc w:val="both"/>
        <w:rPr>
          <w:rFonts w:ascii="Arial" w:hAnsi="Arial" w:cs="Arial"/>
          <w:b/>
          <w:bCs/>
        </w:rPr>
      </w:pPr>
      <w:r w:rsidRPr="00AB5C3D">
        <w:rPr>
          <w:rFonts w:ascii="Arial" w:eastAsia="Calibri" w:hAnsi="Arial" w:cs="Arial"/>
          <w:lang w:val="es-ES" w:eastAsia="es-ES"/>
        </w:rPr>
        <w:t>Fortalecer las interacciones, la cooperación y el trabajo coordinado que deben desarrollarse entre los responsables del SAC y la defensoría del consumidor financiero de la entidad, especialmente en la identificación de las causas raíz de las inconformidades, en el seguimiento juicioso a los planes correctivos que implemente la entidad y las recomendaciones que formule la misma defensoría.</w:t>
      </w:r>
    </w:p>
    <w:p w14:paraId="13327908" w14:textId="77777777" w:rsidR="00D91658" w:rsidRPr="00AB5C3D" w:rsidRDefault="00D91658" w:rsidP="00D91658">
      <w:pPr>
        <w:pStyle w:val="Prrafodelista"/>
        <w:spacing w:after="0"/>
        <w:jc w:val="both"/>
        <w:rPr>
          <w:rFonts w:ascii="Arial" w:hAnsi="Arial" w:cs="Arial"/>
          <w:b/>
          <w:bCs/>
        </w:rPr>
      </w:pPr>
    </w:p>
    <w:p w14:paraId="1259E49A" w14:textId="2B673B97" w:rsidR="00D91658" w:rsidRDefault="00D91658" w:rsidP="00D91658">
      <w:pPr>
        <w:spacing w:after="0"/>
        <w:jc w:val="both"/>
        <w:rPr>
          <w:rFonts w:ascii="Arial" w:hAnsi="Arial" w:cs="Arial"/>
          <w:b/>
          <w:bCs/>
        </w:rPr>
      </w:pPr>
    </w:p>
    <w:p w14:paraId="1DA3A05E" w14:textId="77777777" w:rsidR="00D91658" w:rsidRPr="007C4EFD" w:rsidRDefault="00D91658" w:rsidP="007C4EFD">
      <w:pPr>
        <w:spacing w:after="0"/>
        <w:jc w:val="both"/>
        <w:rPr>
          <w:rFonts w:ascii="Arial" w:hAnsi="Arial" w:cs="Arial"/>
          <w:i/>
          <w:iCs/>
          <w:u w:val="single"/>
        </w:rPr>
      </w:pPr>
      <w:r w:rsidRPr="007C4EFD">
        <w:rPr>
          <w:rFonts w:ascii="Arial" w:hAnsi="Arial" w:cs="Arial"/>
          <w:i/>
          <w:iCs/>
          <w:u w:val="single"/>
        </w:rPr>
        <w:t xml:space="preserve">Requerimientos de supervisión </w:t>
      </w:r>
    </w:p>
    <w:p w14:paraId="294C075F" w14:textId="77777777" w:rsidR="00D91658" w:rsidRPr="00AB5C3D" w:rsidRDefault="00D91658" w:rsidP="00D91658">
      <w:pPr>
        <w:spacing w:after="0"/>
        <w:ind w:left="360"/>
        <w:jc w:val="both"/>
        <w:rPr>
          <w:rFonts w:ascii="Arial" w:hAnsi="Arial" w:cs="Arial"/>
          <w:b/>
          <w:bCs/>
        </w:rPr>
      </w:pPr>
    </w:p>
    <w:p w14:paraId="64C39D74" w14:textId="6D04787C" w:rsidR="00D91658" w:rsidRDefault="00D91658" w:rsidP="00D91658">
      <w:pPr>
        <w:spacing w:after="0"/>
        <w:ind w:left="360"/>
        <w:jc w:val="both"/>
        <w:rPr>
          <w:rFonts w:ascii="Arial" w:hAnsi="Arial" w:cs="Arial"/>
        </w:rPr>
      </w:pPr>
      <w:r w:rsidRPr="00AB5C3D">
        <w:rPr>
          <w:rFonts w:ascii="Arial" w:hAnsi="Arial" w:cs="Arial"/>
        </w:rPr>
        <w:t xml:space="preserve">Teniendo en cuenta que, en desarrollo de las actividades de supervisión se ha requerido en 9 oportunidades hasta la fecha, para que, de las quejas recurrentes trasladadas por este Organismo de control, se suministre un informe sobre la causa común que han generado las inconformidades y las </w:t>
      </w:r>
      <w:r w:rsidR="004803BC">
        <w:rPr>
          <w:rFonts w:ascii="Arial" w:hAnsi="Arial" w:cs="Arial"/>
        </w:rPr>
        <w:t xml:space="preserve">soluciones que se darán a éstas </w:t>
      </w:r>
      <w:r w:rsidRPr="00AB5C3D">
        <w:rPr>
          <w:rFonts w:ascii="Arial" w:hAnsi="Arial" w:cs="Arial"/>
        </w:rPr>
        <w:t xml:space="preserve">por </w:t>
      </w:r>
      <w:r w:rsidR="004803BC">
        <w:rPr>
          <w:rFonts w:ascii="Arial" w:hAnsi="Arial" w:cs="Arial"/>
        </w:rPr>
        <w:t xml:space="preserve">parte </w:t>
      </w:r>
      <w:r w:rsidRPr="00AB5C3D">
        <w:rPr>
          <w:rFonts w:ascii="Arial" w:hAnsi="Arial" w:cs="Arial"/>
        </w:rPr>
        <w:t>la entidad, particularmente sobre las tipologías planteadas en los requerimientos.</w:t>
      </w:r>
    </w:p>
    <w:p w14:paraId="35CEBDC6" w14:textId="77777777" w:rsidR="00116806" w:rsidRPr="00AB5C3D" w:rsidRDefault="00116806" w:rsidP="00D91658">
      <w:pPr>
        <w:spacing w:after="0"/>
        <w:ind w:left="360"/>
        <w:jc w:val="both"/>
        <w:rPr>
          <w:rFonts w:ascii="Arial" w:hAnsi="Arial" w:cs="Arial"/>
        </w:rPr>
      </w:pPr>
    </w:p>
    <w:p w14:paraId="6566B5C6" w14:textId="0E102EAE" w:rsidR="009C3BF7" w:rsidRPr="00AB5C3D" w:rsidRDefault="00D91658" w:rsidP="00D91658">
      <w:pPr>
        <w:jc w:val="both"/>
        <w:rPr>
          <w:rFonts w:ascii="Arial" w:hAnsi="Arial" w:cs="Arial"/>
          <w:b/>
          <w:bCs/>
          <w:i/>
          <w:iCs/>
        </w:rPr>
      </w:pPr>
      <w:r w:rsidRPr="00AB5C3D">
        <w:rPr>
          <w:rFonts w:ascii="Arial" w:hAnsi="Arial" w:cs="Arial"/>
          <w:b/>
          <w:bCs/>
          <w:i/>
          <w:iCs/>
        </w:rPr>
        <w:t>“3.</w:t>
      </w:r>
      <w:r w:rsidR="00B4728D">
        <w:rPr>
          <w:rFonts w:ascii="Arial" w:hAnsi="Arial" w:cs="Arial"/>
          <w:b/>
          <w:bCs/>
          <w:i/>
          <w:iCs/>
        </w:rPr>
        <w:t xml:space="preserve"> </w:t>
      </w:r>
      <w:r w:rsidR="0068095F" w:rsidRPr="00AB5C3D">
        <w:rPr>
          <w:rFonts w:ascii="Arial" w:hAnsi="Arial" w:cs="Arial"/>
          <w:b/>
          <w:bCs/>
          <w:i/>
          <w:iCs/>
        </w:rPr>
        <w:t>Con base en los decretos de Emergencia Económica, el gobierno nacional ha girado un significativo monto de recursos del presupuesto general de la nación, para que las entidades bancarias “faciliten” a las personas que así lo requieran, créditos laxos para beneficiar la economía del país y la estabilidad laboral del personal en las empresas y a la fecha, las quejas son numerosas por la falta de disposición de la entidad bancaria. ¿A cuánto ascienden estos recursos y qué mecanismos de protección ha realizado su despacho, para evitar estas adversidades?</w:t>
      </w:r>
      <w:r w:rsidRPr="00AB5C3D">
        <w:rPr>
          <w:rFonts w:ascii="Arial" w:hAnsi="Arial" w:cs="Arial"/>
          <w:b/>
          <w:bCs/>
          <w:i/>
          <w:iCs/>
        </w:rPr>
        <w:t>”</w:t>
      </w:r>
    </w:p>
    <w:p w14:paraId="179A6B52" w14:textId="456901B1" w:rsidR="00116806" w:rsidRPr="00116806" w:rsidRDefault="00116806" w:rsidP="00107D94">
      <w:pPr>
        <w:spacing w:after="0" w:line="240" w:lineRule="auto"/>
        <w:jc w:val="both"/>
        <w:rPr>
          <w:rFonts w:ascii="Arial" w:hAnsi="Arial" w:cs="Arial"/>
          <w:color w:val="000000" w:themeColor="text1"/>
        </w:rPr>
      </w:pPr>
      <w:r w:rsidRPr="00116806">
        <w:rPr>
          <w:rFonts w:ascii="Arial" w:hAnsi="Arial" w:cs="Arial"/>
          <w:color w:val="000000" w:themeColor="text1"/>
        </w:rPr>
        <w:t>Como se mencionó en el punto anterior el proceso de capitalización del Fondo Nacional de Garantías</w:t>
      </w:r>
      <w:r w:rsidRPr="00116806">
        <w:rPr>
          <w:rFonts w:ascii="Arial" w:hAnsi="Arial" w:cs="Arial"/>
        </w:rPr>
        <w:t xml:space="preserve"> </w:t>
      </w:r>
      <w:r>
        <w:rPr>
          <w:rFonts w:ascii="Arial" w:hAnsi="Arial" w:cs="Arial"/>
          <w:color w:val="000000" w:themeColor="text1"/>
        </w:rPr>
        <w:t xml:space="preserve">se realizó </w:t>
      </w:r>
      <w:r w:rsidRPr="00116806">
        <w:rPr>
          <w:rFonts w:ascii="Arial" w:hAnsi="Arial" w:cs="Arial"/>
          <w:color w:val="000000" w:themeColor="text1"/>
        </w:rPr>
        <w:t>el 13 de abril de 2020 por valor de $650.000 millones, y el 8 de mayo por el mismo valor, es decir $650.000 millones, para un total hasta la fecha de 1.3 billones de pesos. le permitió a este fortalecer su capacidad patrimonial para poder disponer al 8 de mayo de recursos por $14 billones de pesos para la definición de 7 líneas de garantías</w:t>
      </w:r>
      <w:r>
        <w:rPr>
          <w:rFonts w:ascii="Arial" w:hAnsi="Arial" w:cs="Arial"/>
          <w:color w:val="000000" w:themeColor="text1"/>
        </w:rPr>
        <w:t xml:space="preserve">. </w:t>
      </w:r>
    </w:p>
    <w:p w14:paraId="70458DD7" w14:textId="77777777" w:rsidR="00116806" w:rsidRDefault="00116806" w:rsidP="00107D94">
      <w:pPr>
        <w:spacing w:after="0" w:line="240" w:lineRule="auto"/>
        <w:jc w:val="both"/>
        <w:rPr>
          <w:rFonts w:ascii="Arial" w:hAnsi="Arial" w:cs="Arial"/>
          <w:color w:val="000000" w:themeColor="text1"/>
        </w:rPr>
      </w:pPr>
    </w:p>
    <w:p w14:paraId="6F79CA84" w14:textId="12F41ABD" w:rsidR="00107D94" w:rsidRPr="00B4728D" w:rsidRDefault="001076B8" w:rsidP="00107D94">
      <w:pPr>
        <w:spacing w:after="0" w:line="240" w:lineRule="auto"/>
        <w:jc w:val="both"/>
        <w:rPr>
          <w:rFonts w:ascii="Arial" w:hAnsi="Arial" w:cs="Arial"/>
          <w:color w:val="000000" w:themeColor="text1"/>
        </w:rPr>
      </w:pPr>
      <w:r w:rsidRPr="00B4728D">
        <w:rPr>
          <w:rFonts w:ascii="Arial" w:hAnsi="Arial" w:cs="Arial"/>
          <w:color w:val="000000" w:themeColor="text1"/>
        </w:rPr>
        <w:t>En el caso de las líneas de redescuento,</w:t>
      </w:r>
      <w:r w:rsidR="00482279" w:rsidRPr="00B4728D">
        <w:rPr>
          <w:rFonts w:ascii="Arial" w:hAnsi="Arial" w:cs="Arial"/>
          <w:color w:val="000000" w:themeColor="text1"/>
        </w:rPr>
        <w:t xml:space="preserve"> los recursos provienen de los recursos de fondeo que tienen las entidades de redescuento como son principalmente, CDT, bonos, préstamos de bancos multilaterales, por lo tanto,</w:t>
      </w:r>
      <w:r w:rsidRPr="00B4728D">
        <w:rPr>
          <w:rFonts w:ascii="Arial" w:hAnsi="Arial" w:cs="Arial"/>
          <w:color w:val="000000" w:themeColor="text1"/>
        </w:rPr>
        <w:t xml:space="preserve"> el aporte del</w:t>
      </w:r>
      <w:r w:rsidR="00107D94" w:rsidRPr="00B4728D">
        <w:rPr>
          <w:rFonts w:ascii="Arial" w:hAnsi="Arial" w:cs="Arial"/>
          <w:color w:val="000000" w:themeColor="text1"/>
        </w:rPr>
        <w:t xml:space="preserve"> Gobierno se da a través de recursos para compensar u ofrecer subsidios a las tasas de interés de esto</w:t>
      </w:r>
      <w:r w:rsidR="0018787E" w:rsidRPr="00B4728D">
        <w:rPr>
          <w:rFonts w:ascii="Arial" w:hAnsi="Arial" w:cs="Arial"/>
          <w:color w:val="000000" w:themeColor="text1"/>
        </w:rPr>
        <w:t>s créditos de líneas especia</w:t>
      </w:r>
      <w:r w:rsidR="00752F85" w:rsidRPr="00B4728D">
        <w:rPr>
          <w:rFonts w:ascii="Arial" w:hAnsi="Arial" w:cs="Arial"/>
          <w:color w:val="000000" w:themeColor="text1"/>
        </w:rPr>
        <w:t xml:space="preserve">les, a </w:t>
      </w:r>
      <w:r w:rsidR="00D42A25" w:rsidRPr="00B4728D">
        <w:rPr>
          <w:rFonts w:ascii="Arial" w:hAnsi="Arial" w:cs="Arial"/>
          <w:color w:val="000000" w:themeColor="text1"/>
        </w:rPr>
        <w:t>continuación,</w:t>
      </w:r>
      <w:r w:rsidR="00752F85" w:rsidRPr="00B4728D">
        <w:rPr>
          <w:rFonts w:ascii="Arial" w:hAnsi="Arial" w:cs="Arial"/>
          <w:color w:val="000000" w:themeColor="text1"/>
        </w:rPr>
        <w:t xml:space="preserve"> relacionamos algunos de esos aportes:</w:t>
      </w:r>
    </w:p>
    <w:p w14:paraId="64FA3999" w14:textId="77777777" w:rsidR="00752F85" w:rsidRPr="00D42A25" w:rsidRDefault="00752F85" w:rsidP="00107D94">
      <w:pPr>
        <w:spacing w:after="0" w:line="240" w:lineRule="auto"/>
        <w:jc w:val="both"/>
        <w:rPr>
          <w:rFonts w:ascii="Arial" w:hAnsi="Arial" w:cs="Arial"/>
          <w:color w:val="FFFFFF" w:themeColor="background1"/>
        </w:rPr>
      </w:pPr>
    </w:p>
    <w:tbl>
      <w:tblPr>
        <w:tblStyle w:val="Tablaconcuadrcula"/>
        <w:tblW w:w="0" w:type="auto"/>
        <w:tblLook w:val="04A0" w:firstRow="1" w:lastRow="0" w:firstColumn="1" w:lastColumn="0" w:noHBand="0" w:noVBand="1"/>
      </w:tblPr>
      <w:tblGrid>
        <w:gridCol w:w="2942"/>
        <w:gridCol w:w="1731"/>
        <w:gridCol w:w="4155"/>
      </w:tblGrid>
      <w:tr w:rsidR="00D42A25" w:rsidRPr="00D42A25" w14:paraId="04C09834" w14:textId="77777777" w:rsidTr="00D42A25">
        <w:trPr>
          <w:tblHeader/>
        </w:trPr>
        <w:tc>
          <w:tcPr>
            <w:tcW w:w="2942" w:type="dxa"/>
            <w:shd w:val="clear" w:color="auto" w:fill="0070C0"/>
          </w:tcPr>
          <w:p w14:paraId="6068DF7D" w14:textId="4B2611A4" w:rsidR="00752F85" w:rsidRPr="00D42A25" w:rsidRDefault="00752F85" w:rsidP="00752F85">
            <w:pPr>
              <w:jc w:val="center"/>
              <w:rPr>
                <w:rFonts w:ascii="Arial" w:hAnsi="Arial" w:cs="Arial"/>
                <w:b/>
                <w:color w:val="FFFFFF" w:themeColor="background1"/>
                <w:sz w:val="20"/>
                <w:szCs w:val="20"/>
              </w:rPr>
            </w:pPr>
            <w:r w:rsidRPr="00D42A25">
              <w:rPr>
                <w:rFonts w:ascii="Arial" w:hAnsi="Arial" w:cs="Arial"/>
                <w:b/>
                <w:color w:val="FFFFFF" w:themeColor="background1"/>
                <w:sz w:val="20"/>
                <w:szCs w:val="20"/>
              </w:rPr>
              <w:t>Línea</w:t>
            </w:r>
          </w:p>
        </w:tc>
        <w:tc>
          <w:tcPr>
            <w:tcW w:w="1731" w:type="dxa"/>
            <w:shd w:val="clear" w:color="auto" w:fill="0070C0"/>
          </w:tcPr>
          <w:p w14:paraId="3252B2ED" w14:textId="0E7FA835" w:rsidR="00752F85" w:rsidRPr="00D42A25" w:rsidRDefault="00752F85" w:rsidP="00752F85">
            <w:pPr>
              <w:jc w:val="center"/>
              <w:rPr>
                <w:rFonts w:ascii="Arial" w:hAnsi="Arial" w:cs="Arial"/>
                <w:b/>
                <w:color w:val="FFFFFF" w:themeColor="background1"/>
                <w:sz w:val="20"/>
                <w:szCs w:val="20"/>
              </w:rPr>
            </w:pPr>
            <w:r w:rsidRPr="00D42A25">
              <w:rPr>
                <w:rFonts w:ascii="Arial" w:hAnsi="Arial" w:cs="Arial"/>
                <w:b/>
                <w:color w:val="FFFFFF" w:themeColor="background1"/>
                <w:sz w:val="20"/>
                <w:szCs w:val="20"/>
              </w:rPr>
              <w:t>Aporte</w:t>
            </w:r>
          </w:p>
        </w:tc>
        <w:tc>
          <w:tcPr>
            <w:tcW w:w="4155" w:type="dxa"/>
            <w:shd w:val="clear" w:color="auto" w:fill="0070C0"/>
          </w:tcPr>
          <w:p w14:paraId="29A6F2E2" w14:textId="6B5230C6" w:rsidR="00752F85" w:rsidRPr="00D42A25" w:rsidRDefault="00752F85" w:rsidP="00752F85">
            <w:pPr>
              <w:jc w:val="center"/>
              <w:rPr>
                <w:rFonts w:ascii="Arial" w:hAnsi="Arial" w:cs="Arial"/>
                <w:b/>
                <w:color w:val="FFFFFF" w:themeColor="background1"/>
                <w:sz w:val="20"/>
                <w:szCs w:val="20"/>
              </w:rPr>
            </w:pPr>
            <w:r w:rsidRPr="00D42A25">
              <w:rPr>
                <w:rFonts w:ascii="Arial" w:hAnsi="Arial" w:cs="Arial"/>
                <w:b/>
                <w:color w:val="FFFFFF" w:themeColor="background1"/>
                <w:sz w:val="20"/>
                <w:szCs w:val="20"/>
              </w:rPr>
              <w:t>Ministerio que aporta</w:t>
            </w:r>
          </w:p>
        </w:tc>
      </w:tr>
      <w:tr w:rsidR="00752F85" w:rsidRPr="00D42A25" w14:paraId="73B5FD5A" w14:textId="77777777" w:rsidTr="00752F85">
        <w:tc>
          <w:tcPr>
            <w:tcW w:w="2942" w:type="dxa"/>
          </w:tcPr>
          <w:p w14:paraId="6B9BBD08" w14:textId="4AC4F243" w:rsidR="00752F85" w:rsidRPr="00D42A25" w:rsidRDefault="00752F85" w:rsidP="00107D94">
            <w:pPr>
              <w:jc w:val="both"/>
              <w:rPr>
                <w:rFonts w:ascii="Arial" w:hAnsi="Arial" w:cs="Arial"/>
                <w:color w:val="000000" w:themeColor="text1"/>
                <w:sz w:val="20"/>
                <w:szCs w:val="20"/>
              </w:rPr>
            </w:pPr>
            <w:r w:rsidRPr="00D42A25">
              <w:rPr>
                <w:rFonts w:ascii="Arial" w:hAnsi="Arial" w:cs="Arial"/>
                <w:color w:val="000000" w:themeColor="text1"/>
                <w:sz w:val="20"/>
                <w:szCs w:val="20"/>
              </w:rPr>
              <w:t>Colombia Responde</w:t>
            </w:r>
          </w:p>
        </w:tc>
        <w:tc>
          <w:tcPr>
            <w:tcW w:w="1731" w:type="dxa"/>
          </w:tcPr>
          <w:p w14:paraId="50AFDA4F" w14:textId="0E66A374" w:rsidR="00752F85" w:rsidRPr="00D42A25" w:rsidRDefault="00752F85" w:rsidP="00752F85">
            <w:pPr>
              <w:jc w:val="right"/>
              <w:rPr>
                <w:rFonts w:ascii="Arial" w:hAnsi="Arial" w:cs="Arial"/>
                <w:color w:val="000000" w:themeColor="text1"/>
                <w:sz w:val="20"/>
                <w:szCs w:val="20"/>
              </w:rPr>
            </w:pPr>
            <w:r w:rsidRPr="00D42A25">
              <w:rPr>
                <w:rFonts w:ascii="Arial" w:hAnsi="Arial" w:cs="Arial"/>
                <w:color w:val="000000" w:themeColor="text1"/>
                <w:sz w:val="20"/>
                <w:szCs w:val="20"/>
              </w:rPr>
              <w:t>$10.000</w:t>
            </w:r>
          </w:p>
        </w:tc>
        <w:tc>
          <w:tcPr>
            <w:tcW w:w="4155" w:type="dxa"/>
          </w:tcPr>
          <w:p w14:paraId="0556F307" w14:textId="2186090B" w:rsidR="00752F85" w:rsidRPr="00D42A25" w:rsidRDefault="00752F85" w:rsidP="00107D94">
            <w:pPr>
              <w:jc w:val="both"/>
              <w:rPr>
                <w:rFonts w:ascii="Arial" w:hAnsi="Arial" w:cs="Arial"/>
                <w:color w:val="000000" w:themeColor="text1"/>
                <w:sz w:val="20"/>
                <w:szCs w:val="20"/>
              </w:rPr>
            </w:pPr>
            <w:r w:rsidRPr="00D42A25">
              <w:rPr>
                <w:rFonts w:ascii="Arial" w:hAnsi="Arial" w:cs="Arial"/>
                <w:color w:val="000000" w:themeColor="text1"/>
                <w:sz w:val="20"/>
                <w:szCs w:val="20"/>
              </w:rPr>
              <w:t>Ministerio de Comercio, Industria y Turismo</w:t>
            </w:r>
          </w:p>
        </w:tc>
      </w:tr>
      <w:tr w:rsidR="00752F85" w:rsidRPr="00D42A25" w14:paraId="471CF012" w14:textId="77777777" w:rsidTr="00752F85">
        <w:tc>
          <w:tcPr>
            <w:tcW w:w="2942" w:type="dxa"/>
          </w:tcPr>
          <w:p w14:paraId="27C54D2C" w14:textId="4DBF6540" w:rsidR="00752F85" w:rsidRPr="00D42A25" w:rsidRDefault="00752F85" w:rsidP="00107D94">
            <w:pPr>
              <w:jc w:val="both"/>
              <w:rPr>
                <w:rFonts w:ascii="Arial" w:hAnsi="Arial" w:cs="Arial"/>
                <w:color w:val="000000" w:themeColor="text1"/>
                <w:sz w:val="20"/>
                <w:szCs w:val="20"/>
              </w:rPr>
            </w:pPr>
            <w:r w:rsidRPr="00D42A25">
              <w:rPr>
                <w:rFonts w:ascii="Arial" w:hAnsi="Arial" w:cs="Arial"/>
                <w:color w:val="000000" w:themeColor="text1"/>
                <w:sz w:val="20"/>
                <w:szCs w:val="20"/>
              </w:rPr>
              <w:t>Colombia Responde para Todos</w:t>
            </w:r>
          </w:p>
        </w:tc>
        <w:tc>
          <w:tcPr>
            <w:tcW w:w="1731" w:type="dxa"/>
          </w:tcPr>
          <w:p w14:paraId="572E64FA" w14:textId="12996173" w:rsidR="00752F85" w:rsidRPr="00D42A25" w:rsidRDefault="00752F85" w:rsidP="00752F85">
            <w:pPr>
              <w:jc w:val="right"/>
              <w:rPr>
                <w:rFonts w:ascii="Arial" w:hAnsi="Arial" w:cs="Arial"/>
                <w:color w:val="000000" w:themeColor="text1"/>
                <w:sz w:val="20"/>
                <w:szCs w:val="20"/>
              </w:rPr>
            </w:pPr>
            <w:r w:rsidRPr="00D42A25">
              <w:rPr>
                <w:rFonts w:ascii="Arial" w:hAnsi="Arial" w:cs="Arial"/>
                <w:color w:val="000000" w:themeColor="text1"/>
                <w:sz w:val="20"/>
                <w:szCs w:val="20"/>
              </w:rPr>
              <w:t>$16.000</w:t>
            </w:r>
          </w:p>
        </w:tc>
        <w:tc>
          <w:tcPr>
            <w:tcW w:w="4155" w:type="dxa"/>
          </w:tcPr>
          <w:p w14:paraId="29E4BC6A" w14:textId="3647D417" w:rsidR="00752F85" w:rsidRPr="00D42A25" w:rsidRDefault="00752F85" w:rsidP="00107D94">
            <w:pPr>
              <w:jc w:val="both"/>
              <w:rPr>
                <w:rFonts w:ascii="Arial" w:hAnsi="Arial" w:cs="Arial"/>
                <w:color w:val="000000" w:themeColor="text1"/>
                <w:sz w:val="20"/>
                <w:szCs w:val="20"/>
              </w:rPr>
            </w:pPr>
            <w:r w:rsidRPr="00D42A25">
              <w:rPr>
                <w:rFonts w:ascii="Arial" w:hAnsi="Arial" w:cs="Arial"/>
                <w:color w:val="000000" w:themeColor="text1"/>
                <w:sz w:val="20"/>
                <w:szCs w:val="20"/>
              </w:rPr>
              <w:t>Ministerio de Comercio, Industria y Turismo</w:t>
            </w:r>
          </w:p>
        </w:tc>
      </w:tr>
      <w:tr w:rsidR="00752F85" w:rsidRPr="00D42A25" w14:paraId="09735ACF" w14:textId="77777777" w:rsidTr="00752F85">
        <w:tc>
          <w:tcPr>
            <w:tcW w:w="2942" w:type="dxa"/>
          </w:tcPr>
          <w:p w14:paraId="3C32B9E8" w14:textId="3BC1BAC3" w:rsidR="00752F85" w:rsidRPr="00D42A25" w:rsidRDefault="00752F85" w:rsidP="00107D94">
            <w:pPr>
              <w:jc w:val="both"/>
              <w:rPr>
                <w:rFonts w:ascii="Arial" w:hAnsi="Arial" w:cs="Arial"/>
                <w:color w:val="000000" w:themeColor="text1"/>
                <w:sz w:val="20"/>
                <w:szCs w:val="20"/>
              </w:rPr>
            </w:pPr>
            <w:r w:rsidRPr="00D42A25">
              <w:rPr>
                <w:rFonts w:ascii="Arial" w:hAnsi="Arial" w:cs="Arial"/>
                <w:color w:val="000000" w:themeColor="text1"/>
                <w:sz w:val="20"/>
                <w:szCs w:val="20"/>
              </w:rPr>
              <w:t>Colombia Emprende e Innova</w:t>
            </w:r>
          </w:p>
        </w:tc>
        <w:tc>
          <w:tcPr>
            <w:tcW w:w="1731" w:type="dxa"/>
          </w:tcPr>
          <w:p w14:paraId="0112CB2F" w14:textId="69AA8E9D" w:rsidR="00752F85" w:rsidRPr="00D42A25" w:rsidRDefault="00752F85" w:rsidP="00752F85">
            <w:pPr>
              <w:jc w:val="right"/>
              <w:rPr>
                <w:rFonts w:ascii="Arial" w:hAnsi="Arial" w:cs="Arial"/>
                <w:color w:val="000000" w:themeColor="text1"/>
                <w:sz w:val="20"/>
                <w:szCs w:val="20"/>
              </w:rPr>
            </w:pPr>
            <w:r w:rsidRPr="00D42A25">
              <w:rPr>
                <w:rFonts w:ascii="Arial" w:hAnsi="Arial" w:cs="Arial"/>
                <w:color w:val="000000" w:themeColor="text1"/>
                <w:sz w:val="20"/>
                <w:szCs w:val="20"/>
              </w:rPr>
              <w:t>$300</w:t>
            </w:r>
          </w:p>
        </w:tc>
        <w:tc>
          <w:tcPr>
            <w:tcW w:w="4155" w:type="dxa"/>
          </w:tcPr>
          <w:p w14:paraId="49096BA4" w14:textId="5145A99A" w:rsidR="00752F85" w:rsidRPr="00D42A25" w:rsidRDefault="00752F85" w:rsidP="00107D94">
            <w:pPr>
              <w:jc w:val="both"/>
              <w:rPr>
                <w:rFonts w:ascii="Arial" w:hAnsi="Arial" w:cs="Arial"/>
                <w:color w:val="000000" w:themeColor="text1"/>
                <w:sz w:val="20"/>
                <w:szCs w:val="20"/>
              </w:rPr>
            </w:pPr>
            <w:r w:rsidRPr="00D42A25">
              <w:rPr>
                <w:rFonts w:ascii="Arial" w:hAnsi="Arial" w:cs="Arial"/>
                <w:color w:val="000000" w:themeColor="text1"/>
                <w:sz w:val="20"/>
                <w:szCs w:val="20"/>
              </w:rPr>
              <w:t>Innpulsa Colombia</w:t>
            </w:r>
          </w:p>
        </w:tc>
      </w:tr>
    </w:tbl>
    <w:p w14:paraId="71B5439E" w14:textId="11F6D425" w:rsidR="00752F85" w:rsidRPr="00D42A25" w:rsidRDefault="00752F85" w:rsidP="00107D94">
      <w:pPr>
        <w:spacing w:after="0" w:line="240" w:lineRule="auto"/>
        <w:jc w:val="both"/>
        <w:rPr>
          <w:rFonts w:ascii="Arial" w:hAnsi="Arial" w:cs="Arial"/>
          <w:color w:val="000000" w:themeColor="text1"/>
          <w:sz w:val="18"/>
          <w:szCs w:val="18"/>
        </w:rPr>
      </w:pPr>
      <w:r w:rsidRPr="00D42A25">
        <w:rPr>
          <w:rFonts w:ascii="Arial" w:hAnsi="Arial" w:cs="Arial"/>
          <w:color w:val="000000" w:themeColor="text1"/>
          <w:sz w:val="18"/>
          <w:szCs w:val="18"/>
        </w:rPr>
        <w:t xml:space="preserve">Fuente: 2020064706 Respuesta Bancoldex      </w:t>
      </w:r>
      <w:r w:rsidRPr="00D42A25">
        <w:rPr>
          <w:rFonts w:ascii="Arial" w:hAnsi="Arial" w:cs="Arial"/>
          <w:color w:val="000000" w:themeColor="text1"/>
          <w:sz w:val="18"/>
          <w:szCs w:val="18"/>
        </w:rPr>
        <w:tab/>
      </w:r>
      <w:r w:rsidRPr="00D42A25">
        <w:rPr>
          <w:rFonts w:ascii="Arial" w:hAnsi="Arial" w:cs="Arial"/>
          <w:color w:val="000000" w:themeColor="text1"/>
          <w:sz w:val="18"/>
          <w:szCs w:val="18"/>
        </w:rPr>
        <w:tab/>
        <w:t>Cifras en Millones de pesos</w:t>
      </w:r>
    </w:p>
    <w:p w14:paraId="79701DA8" w14:textId="77777777" w:rsidR="00107D94" w:rsidRPr="00B4728D" w:rsidRDefault="00107D94" w:rsidP="00107D94">
      <w:pPr>
        <w:spacing w:after="0" w:line="240" w:lineRule="auto"/>
        <w:jc w:val="both"/>
        <w:rPr>
          <w:rFonts w:ascii="Arial" w:hAnsi="Arial" w:cs="Arial"/>
          <w:color w:val="000000" w:themeColor="text1"/>
        </w:rPr>
      </w:pPr>
    </w:p>
    <w:p w14:paraId="08300A32" w14:textId="7D0FC5B0" w:rsidR="0018787E" w:rsidRPr="00B4728D" w:rsidRDefault="00482279" w:rsidP="0018787E">
      <w:pPr>
        <w:pStyle w:val="Descripcin"/>
        <w:keepNext/>
        <w:spacing w:after="0"/>
        <w:jc w:val="both"/>
        <w:rPr>
          <w:rFonts w:ascii="Arial" w:hAnsi="Arial" w:cs="Arial"/>
          <w:i w:val="0"/>
          <w:iCs w:val="0"/>
          <w:color w:val="000000" w:themeColor="text1"/>
          <w:sz w:val="22"/>
          <w:szCs w:val="22"/>
          <w:lang w:val="es-MX"/>
        </w:rPr>
      </w:pPr>
      <w:r w:rsidRPr="00B4728D">
        <w:rPr>
          <w:rFonts w:ascii="Arial" w:hAnsi="Arial" w:cs="Arial"/>
          <w:i w:val="0"/>
          <w:iCs w:val="0"/>
          <w:color w:val="000000" w:themeColor="text1"/>
          <w:sz w:val="22"/>
          <w:szCs w:val="22"/>
          <w:lang w:val="es-MX"/>
        </w:rPr>
        <w:t xml:space="preserve">De acuerdo con lo anterior, el otorgamiento de crédito por parte de los Establecimientos de Crédito, requieren de la debida diligencia en el análisis de los deudores, sin embargo, </w:t>
      </w:r>
      <w:r w:rsidR="0018787E" w:rsidRPr="00B4728D">
        <w:rPr>
          <w:rFonts w:ascii="Arial" w:hAnsi="Arial" w:cs="Arial"/>
          <w:i w:val="0"/>
          <w:iCs w:val="0"/>
          <w:color w:val="000000" w:themeColor="text1"/>
          <w:sz w:val="22"/>
          <w:szCs w:val="22"/>
          <w:lang w:val="es-MX"/>
        </w:rPr>
        <w:t xml:space="preserve">para </w:t>
      </w:r>
      <w:r w:rsidR="00853715">
        <w:rPr>
          <w:rFonts w:ascii="Arial" w:hAnsi="Arial" w:cs="Arial"/>
          <w:i w:val="0"/>
          <w:iCs w:val="0"/>
          <w:color w:val="000000" w:themeColor="text1"/>
          <w:sz w:val="22"/>
          <w:szCs w:val="22"/>
          <w:lang w:val="es-MX"/>
        </w:rPr>
        <w:t xml:space="preserve">evaluar la gestión de riesgo en </w:t>
      </w:r>
      <w:r w:rsidR="0018787E" w:rsidRPr="00B4728D">
        <w:rPr>
          <w:rFonts w:ascii="Arial" w:hAnsi="Arial" w:cs="Arial"/>
          <w:i w:val="0"/>
          <w:iCs w:val="0"/>
          <w:color w:val="000000" w:themeColor="text1"/>
          <w:sz w:val="22"/>
          <w:szCs w:val="22"/>
          <w:lang w:val="es-MX"/>
        </w:rPr>
        <w:t>el acceso a las distintas líneas se dispus</w:t>
      </w:r>
      <w:r w:rsidRPr="00B4728D">
        <w:rPr>
          <w:rFonts w:ascii="Arial" w:hAnsi="Arial" w:cs="Arial"/>
          <w:i w:val="0"/>
          <w:iCs w:val="0"/>
          <w:color w:val="000000" w:themeColor="text1"/>
          <w:sz w:val="22"/>
          <w:szCs w:val="22"/>
          <w:lang w:val="es-MX"/>
        </w:rPr>
        <w:t xml:space="preserve">o por esta Superintendencia un </w:t>
      </w:r>
      <w:r w:rsidR="0018787E" w:rsidRPr="00B4728D">
        <w:rPr>
          <w:rFonts w:ascii="Arial" w:hAnsi="Arial" w:cs="Arial"/>
          <w:i w:val="0"/>
          <w:iCs w:val="0"/>
          <w:color w:val="000000" w:themeColor="text1"/>
          <w:sz w:val="22"/>
          <w:szCs w:val="22"/>
          <w:lang w:val="es-MX"/>
        </w:rPr>
        <w:t xml:space="preserve">seguimiento y monitoreo de los establecimientos de crédito, que ha </w:t>
      </w:r>
      <w:r w:rsidR="0018787E" w:rsidRPr="00B4728D">
        <w:rPr>
          <w:rFonts w:ascii="Arial" w:hAnsi="Arial" w:cs="Arial"/>
          <w:i w:val="0"/>
          <w:iCs w:val="0"/>
          <w:color w:val="000000" w:themeColor="text1"/>
          <w:sz w:val="22"/>
          <w:szCs w:val="22"/>
          <w:lang w:val="es-MX"/>
        </w:rPr>
        <w:lastRenderedPageBreak/>
        <w:t xml:space="preserve">incluido actividades de supervisión </w:t>
      </w:r>
      <w:r w:rsidR="009F5B1E">
        <w:rPr>
          <w:rFonts w:ascii="Arial" w:hAnsi="Arial" w:cs="Arial"/>
          <w:i w:val="0"/>
          <w:iCs w:val="0"/>
          <w:color w:val="000000" w:themeColor="text1"/>
          <w:sz w:val="22"/>
          <w:szCs w:val="22"/>
          <w:lang w:val="es-MX"/>
        </w:rPr>
        <w:t xml:space="preserve">que incluyen </w:t>
      </w:r>
      <w:r w:rsidR="0018787E" w:rsidRPr="00B4728D">
        <w:rPr>
          <w:rFonts w:ascii="Arial" w:hAnsi="Arial" w:cs="Arial"/>
          <w:i w:val="0"/>
          <w:iCs w:val="0"/>
          <w:color w:val="000000" w:themeColor="text1"/>
          <w:sz w:val="22"/>
          <w:szCs w:val="22"/>
          <w:lang w:val="es-MX"/>
        </w:rPr>
        <w:t>revisiones transversales a los procedimientos internos en materia de otorgamiento de créditos garantizados con cupos del FNG,</w:t>
      </w:r>
      <w:r w:rsidRPr="00B4728D">
        <w:rPr>
          <w:rFonts w:ascii="Arial" w:hAnsi="Arial" w:cs="Arial"/>
          <w:i w:val="0"/>
          <w:iCs w:val="0"/>
          <w:color w:val="000000" w:themeColor="text1"/>
          <w:sz w:val="22"/>
          <w:szCs w:val="22"/>
          <w:lang w:val="es-MX"/>
        </w:rPr>
        <w:t xml:space="preserve"> para que las entidades </w:t>
      </w:r>
      <w:r w:rsidR="00EB01A7" w:rsidRPr="00B4728D">
        <w:rPr>
          <w:rFonts w:ascii="Arial" w:hAnsi="Arial" w:cs="Arial"/>
          <w:i w:val="0"/>
          <w:iCs w:val="0"/>
          <w:color w:val="000000" w:themeColor="text1"/>
          <w:sz w:val="22"/>
          <w:szCs w:val="22"/>
          <w:lang w:val="es-MX"/>
        </w:rPr>
        <w:t>implement</w:t>
      </w:r>
      <w:r w:rsidR="00EB01A7">
        <w:rPr>
          <w:rFonts w:ascii="Arial" w:hAnsi="Arial" w:cs="Arial"/>
          <w:i w:val="0"/>
          <w:iCs w:val="0"/>
          <w:color w:val="000000" w:themeColor="text1"/>
          <w:sz w:val="22"/>
          <w:szCs w:val="22"/>
          <w:lang w:val="es-MX"/>
        </w:rPr>
        <w:t>a</w:t>
      </w:r>
      <w:r w:rsidR="00EB01A7" w:rsidRPr="00B4728D">
        <w:rPr>
          <w:rFonts w:ascii="Arial" w:hAnsi="Arial" w:cs="Arial"/>
          <w:i w:val="0"/>
          <w:iCs w:val="0"/>
          <w:color w:val="000000" w:themeColor="text1"/>
          <w:sz w:val="22"/>
          <w:szCs w:val="22"/>
          <w:lang w:val="es-MX"/>
        </w:rPr>
        <w:t>ran</w:t>
      </w:r>
      <w:r w:rsidRPr="00B4728D">
        <w:rPr>
          <w:rFonts w:ascii="Arial" w:hAnsi="Arial" w:cs="Arial"/>
          <w:i w:val="0"/>
          <w:iCs w:val="0"/>
          <w:color w:val="000000" w:themeColor="text1"/>
          <w:sz w:val="22"/>
          <w:szCs w:val="22"/>
          <w:lang w:val="es-MX"/>
        </w:rPr>
        <w:t xml:space="preserve"> mecanismos </w:t>
      </w:r>
      <w:r w:rsidR="00EB01A7">
        <w:rPr>
          <w:rFonts w:ascii="Arial" w:hAnsi="Arial" w:cs="Arial"/>
          <w:i w:val="0"/>
          <w:iCs w:val="0"/>
          <w:color w:val="000000" w:themeColor="text1"/>
          <w:sz w:val="22"/>
          <w:szCs w:val="22"/>
          <w:lang w:val="es-MX"/>
        </w:rPr>
        <w:t>á</w:t>
      </w:r>
      <w:r w:rsidRPr="00B4728D">
        <w:rPr>
          <w:rFonts w:ascii="Arial" w:hAnsi="Arial" w:cs="Arial"/>
          <w:i w:val="0"/>
          <w:iCs w:val="0"/>
          <w:color w:val="000000" w:themeColor="text1"/>
          <w:sz w:val="22"/>
          <w:szCs w:val="22"/>
          <w:lang w:val="es-MX"/>
        </w:rPr>
        <w:t>giles en el análisis de crédito, por ejemplo fortaleciendo</w:t>
      </w:r>
      <w:r w:rsidR="0018787E" w:rsidRPr="00B4728D">
        <w:rPr>
          <w:rFonts w:ascii="Arial" w:hAnsi="Arial" w:cs="Arial"/>
          <w:i w:val="0"/>
          <w:iCs w:val="0"/>
          <w:color w:val="000000" w:themeColor="text1"/>
          <w:sz w:val="22"/>
          <w:szCs w:val="22"/>
          <w:lang w:val="es-MX"/>
        </w:rPr>
        <w:t xml:space="preserve"> el uso de información interna de clientes de las propias entidades, </w:t>
      </w:r>
      <w:r w:rsidRPr="00B4728D">
        <w:rPr>
          <w:rFonts w:ascii="Arial" w:hAnsi="Arial" w:cs="Arial"/>
          <w:i w:val="0"/>
          <w:iCs w:val="0"/>
          <w:color w:val="000000" w:themeColor="text1"/>
          <w:sz w:val="22"/>
          <w:szCs w:val="22"/>
          <w:lang w:val="es-MX"/>
        </w:rPr>
        <w:t>emplear</w:t>
      </w:r>
      <w:r w:rsidR="0018787E" w:rsidRPr="00B4728D">
        <w:rPr>
          <w:rFonts w:ascii="Arial" w:hAnsi="Arial" w:cs="Arial"/>
          <w:i w:val="0"/>
          <w:iCs w:val="0"/>
          <w:color w:val="000000" w:themeColor="text1"/>
          <w:sz w:val="22"/>
          <w:szCs w:val="22"/>
          <w:lang w:val="es-MX"/>
        </w:rPr>
        <w:t xml:space="preserve"> información alternativa para la evaluación de riesgos del deudor</w:t>
      </w:r>
      <w:r w:rsidRPr="00B4728D">
        <w:rPr>
          <w:rFonts w:ascii="Arial" w:hAnsi="Arial" w:cs="Arial"/>
          <w:i w:val="0"/>
          <w:iCs w:val="0"/>
          <w:color w:val="000000" w:themeColor="text1"/>
          <w:sz w:val="22"/>
          <w:szCs w:val="22"/>
          <w:lang w:val="es-MX"/>
        </w:rPr>
        <w:t>, obtener de manera rápida información de los clientes a través de medios virtuales, en cambio de realizar contacto físico o visitas comerciales; así mismo, se recomendó incrementar</w:t>
      </w:r>
      <w:r w:rsidR="0018787E" w:rsidRPr="00B4728D">
        <w:rPr>
          <w:rFonts w:ascii="Arial" w:hAnsi="Arial" w:cs="Arial"/>
          <w:i w:val="0"/>
          <w:iCs w:val="0"/>
          <w:color w:val="000000" w:themeColor="text1"/>
          <w:sz w:val="22"/>
          <w:szCs w:val="22"/>
          <w:lang w:val="es-MX"/>
        </w:rPr>
        <w:t xml:space="preserve"> la periodicidad en la realización de comités como instancias decisorias</w:t>
      </w:r>
      <w:r w:rsidRPr="00B4728D">
        <w:rPr>
          <w:rFonts w:ascii="Arial" w:hAnsi="Arial" w:cs="Arial"/>
          <w:i w:val="0"/>
          <w:iCs w:val="0"/>
          <w:color w:val="000000" w:themeColor="text1"/>
          <w:sz w:val="22"/>
          <w:szCs w:val="22"/>
          <w:lang w:val="es-MX"/>
        </w:rPr>
        <w:t xml:space="preserve"> para aprobación de créditos</w:t>
      </w:r>
      <w:r w:rsidR="0018787E" w:rsidRPr="00B4728D">
        <w:rPr>
          <w:rFonts w:ascii="Arial" w:hAnsi="Arial" w:cs="Arial"/>
          <w:i w:val="0"/>
          <w:iCs w:val="0"/>
          <w:color w:val="000000" w:themeColor="text1"/>
          <w:sz w:val="22"/>
          <w:szCs w:val="22"/>
          <w:lang w:val="es-MX"/>
        </w:rPr>
        <w:t>.</w:t>
      </w:r>
    </w:p>
    <w:p w14:paraId="3603CB7A" w14:textId="77777777" w:rsidR="0018787E" w:rsidRPr="00B4728D" w:rsidRDefault="0018787E" w:rsidP="0018787E">
      <w:pPr>
        <w:pStyle w:val="Descripcin"/>
        <w:keepNext/>
        <w:spacing w:after="0"/>
        <w:jc w:val="both"/>
        <w:rPr>
          <w:rFonts w:ascii="Arial" w:hAnsi="Arial" w:cs="Arial"/>
          <w:i w:val="0"/>
          <w:iCs w:val="0"/>
          <w:color w:val="000000" w:themeColor="text1"/>
          <w:sz w:val="22"/>
          <w:szCs w:val="22"/>
          <w:lang w:val="es-MX"/>
        </w:rPr>
      </w:pPr>
    </w:p>
    <w:p w14:paraId="0904AC71" w14:textId="59FEF1E9" w:rsidR="0018787E" w:rsidRPr="00B4728D" w:rsidRDefault="0018787E" w:rsidP="0018787E">
      <w:pPr>
        <w:pStyle w:val="Descripcin"/>
        <w:keepNext/>
        <w:spacing w:after="0"/>
        <w:jc w:val="both"/>
        <w:rPr>
          <w:rFonts w:ascii="Arial" w:hAnsi="Arial" w:cs="Arial"/>
          <w:i w:val="0"/>
          <w:iCs w:val="0"/>
          <w:color w:val="000000" w:themeColor="text1"/>
          <w:sz w:val="22"/>
          <w:szCs w:val="22"/>
          <w:lang w:val="es-MX"/>
        </w:rPr>
      </w:pPr>
      <w:r w:rsidRPr="00B4728D">
        <w:rPr>
          <w:rFonts w:ascii="Arial" w:hAnsi="Arial" w:cs="Arial"/>
          <w:i w:val="0"/>
          <w:iCs w:val="0"/>
          <w:color w:val="000000" w:themeColor="text1"/>
          <w:sz w:val="22"/>
          <w:szCs w:val="22"/>
          <w:lang w:val="es-MX"/>
        </w:rPr>
        <w:t xml:space="preserve">Estas actividades se han acompañado del seguimiento diario sobre </w:t>
      </w:r>
      <w:r w:rsidR="009F5B1E">
        <w:rPr>
          <w:rFonts w:ascii="Arial" w:hAnsi="Arial" w:cs="Arial"/>
          <w:i w:val="0"/>
          <w:iCs w:val="0"/>
          <w:color w:val="000000" w:themeColor="text1"/>
          <w:sz w:val="22"/>
          <w:szCs w:val="22"/>
          <w:lang w:val="es-MX"/>
        </w:rPr>
        <w:t xml:space="preserve">la </w:t>
      </w:r>
      <w:r w:rsidRPr="00B4728D">
        <w:rPr>
          <w:rFonts w:ascii="Arial" w:hAnsi="Arial" w:cs="Arial"/>
          <w:i w:val="0"/>
          <w:iCs w:val="0"/>
          <w:color w:val="000000" w:themeColor="text1"/>
          <w:sz w:val="22"/>
          <w:szCs w:val="22"/>
          <w:lang w:val="es-MX"/>
        </w:rPr>
        <w:t>atención de las entidades vigiladas a las instrucciones impartidas por esta Superintendencia, así como el seguimiento a la evolución de todas las operaciones, de la oferta de nuevos créditos a hogares y empresas y del avance de desembolsos de las líneas de crédito reglamentadas por las entidades de redescuento y por el Fondo Nacional de Garantías.</w:t>
      </w:r>
    </w:p>
    <w:p w14:paraId="27166D4F" w14:textId="77777777" w:rsidR="0018787E" w:rsidRPr="00B4728D" w:rsidRDefault="0018787E" w:rsidP="0018787E">
      <w:pPr>
        <w:spacing w:after="0" w:line="240" w:lineRule="auto"/>
        <w:jc w:val="both"/>
        <w:rPr>
          <w:rFonts w:ascii="Arial" w:eastAsia="Times New Roman" w:hAnsi="Arial" w:cs="Arial"/>
          <w:color w:val="000000" w:themeColor="text1"/>
          <w:lang w:val="es-ES" w:eastAsia="es-ES"/>
        </w:rPr>
      </w:pPr>
    </w:p>
    <w:p w14:paraId="67579C5C" w14:textId="498FAFEC" w:rsidR="0018787E" w:rsidRPr="00B4728D" w:rsidRDefault="0018787E" w:rsidP="0018787E">
      <w:pPr>
        <w:spacing w:after="0" w:line="240" w:lineRule="auto"/>
        <w:jc w:val="both"/>
        <w:rPr>
          <w:rFonts w:ascii="Arial" w:hAnsi="Arial" w:cs="Arial"/>
          <w:color w:val="000000" w:themeColor="text1"/>
        </w:rPr>
      </w:pPr>
      <w:r w:rsidRPr="00B4728D">
        <w:rPr>
          <w:rFonts w:ascii="Arial" w:hAnsi="Arial" w:cs="Arial"/>
          <w:color w:val="000000" w:themeColor="text1"/>
        </w:rPr>
        <w:t xml:space="preserve">Para monitorear su evolución la Superfinanciera </w:t>
      </w:r>
      <w:r w:rsidR="009F5B1E">
        <w:rPr>
          <w:rFonts w:ascii="Arial" w:hAnsi="Arial" w:cs="Arial"/>
          <w:color w:val="000000" w:themeColor="text1"/>
        </w:rPr>
        <w:t xml:space="preserve">publica </w:t>
      </w:r>
      <w:r w:rsidRPr="00B4728D">
        <w:rPr>
          <w:rFonts w:ascii="Arial" w:hAnsi="Arial" w:cs="Arial"/>
          <w:color w:val="000000" w:themeColor="text1"/>
        </w:rPr>
        <w:t xml:space="preserve">reportes </w:t>
      </w:r>
      <w:r w:rsidR="009F5B1E">
        <w:rPr>
          <w:rFonts w:ascii="Arial" w:hAnsi="Arial" w:cs="Arial"/>
          <w:color w:val="000000" w:themeColor="text1"/>
        </w:rPr>
        <w:t xml:space="preserve">bi-semanales </w:t>
      </w:r>
      <w:r w:rsidRPr="00B4728D">
        <w:rPr>
          <w:rFonts w:ascii="Arial" w:hAnsi="Arial" w:cs="Arial"/>
          <w:color w:val="000000" w:themeColor="text1"/>
        </w:rPr>
        <w:t xml:space="preserve">que permiten hacer seguimiento a la evolución de estos créditos, información que </w:t>
      </w:r>
      <w:r w:rsidR="009F5B1E">
        <w:rPr>
          <w:rFonts w:ascii="Arial" w:hAnsi="Arial" w:cs="Arial"/>
          <w:color w:val="000000" w:themeColor="text1"/>
        </w:rPr>
        <w:t xml:space="preserve">puede consultar a </w:t>
      </w:r>
      <w:r w:rsidRPr="00B4728D">
        <w:rPr>
          <w:rFonts w:ascii="Arial" w:hAnsi="Arial" w:cs="Arial"/>
          <w:color w:val="000000" w:themeColor="text1"/>
        </w:rPr>
        <w:t xml:space="preserve">través de la página web de la Superfinanciera en el siguiente enlace: </w:t>
      </w:r>
      <w:hyperlink r:id="rId11" w:history="1">
        <w:r w:rsidRPr="00B4728D">
          <w:rPr>
            <w:rStyle w:val="Hipervnculo"/>
            <w:rFonts w:ascii="Arial" w:hAnsi="Arial" w:cs="Arial"/>
            <w:color w:val="000000" w:themeColor="text1"/>
          </w:rPr>
          <w:t>https://www.superfinanciera.gov.co/jsp/10104060</w:t>
        </w:r>
      </w:hyperlink>
    </w:p>
    <w:p w14:paraId="3727AC40" w14:textId="77777777" w:rsidR="0018787E" w:rsidRPr="00B4728D" w:rsidRDefault="0018787E" w:rsidP="0018787E">
      <w:pPr>
        <w:spacing w:after="0" w:line="240" w:lineRule="auto"/>
        <w:jc w:val="both"/>
        <w:rPr>
          <w:rFonts w:ascii="Arial" w:eastAsia="Times New Roman" w:hAnsi="Arial" w:cs="Arial"/>
          <w:color w:val="000000" w:themeColor="text1"/>
          <w:lang w:val="es-ES" w:eastAsia="es-ES"/>
        </w:rPr>
      </w:pPr>
    </w:p>
    <w:p w14:paraId="2DD49664" w14:textId="1FB817BE" w:rsidR="003F0002" w:rsidRPr="00B4728D" w:rsidRDefault="003F0002" w:rsidP="003F0002">
      <w:pPr>
        <w:spacing w:after="0" w:line="240" w:lineRule="auto"/>
        <w:jc w:val="both"/>
        <w:rPr>
          <w:rFonts w:ascii="Arial" w:hAnsi="Arial" w:cs="Arial"/>
          <w:color w:val="000000" w:themeColor="text1"/>
        </w:rPr>
      </w:pPr>
      <w:r w:rsidRPr="00B4728D">
        <w:rPr>
          <w:rFonts w:ascii="Arial" w:hAnsi="Arial" w:cs="Arial"/>
          <w:color w:val="000000" w:themeColor="text1"/>
        </w:rPr>
        <w:t>De acuerdo con la última información reportada, por parte de las entidades de redescuento, con corte a 1</w:t>
      </w:r>
      <w:r w:rsidR="00EB01A7">
        <w:rPr>
          <w:rFonts w:ascii="Arial" w:hAnsi="Arial" w:cs="Arial"/>
          <w:color w:val="000000" w:themeColor="text1"/>
        </w:rPr>
        <w:t>5</w:t>
      </w:r>
      <w:r w:rsidRPr="00B4728D">
        <w:rPr>
          <w:rFonts w:ascii="Arial" w:hAnsi="Arial" w:cs="Arial"/>
          <w:color w:val="000000" w:themeColor="text1"/>
        </w:rPr>
        <w:t xml:space="preserve"> de mayo de 2020, se tienen los siguientes resultados en cuanto a créditos de las líneas especiales de redescuento:</w:t>
      </w:r>
    </w:p>
    <w:p w14:paraId="4F9A507F" w14:textId="77777777" w:rsidR="003F0002" w:rsidRPr="00B4728D" w:rsidRDefault="003F0002" w:rsidP="003F0002">
      <w:pPr>
        <w:spacing w:after="0" w:line="240" w:lineRule="auto"/>
        <w:jc w:val="both"/>
        <w:rPr>
          <w:rFonts w:ascii="Arial" w:hAnsi="Arial" w:cs="Arial"/>
          <w:color w:val="000000" w:themeColor="text1"/>
        </w:rPr>
      </w:pPr>
    </w:p>
    <w:p w14:paraId="6E0EEDA1" w14:textId="77777777" w:rsidR="003F0002" w:rsidRPr="00B4728D" w:rsidRDefault="003F0002" w:rsidP="003F0002">
      <w:pPr>
        <w:pStyle w:val="Prrafodelista"/>
        <w:numPr>
          <w:ilvl w:val="0"/>
          <w:numId w:val="1"/>
        </w:numPr>
        <w:spacing w:after="0" w:line="240" w:lineRule="auto"/>
        <w:jc w:val="both"/>
        <w:rPr>
          <w:rFonts w:ascii="Arial" w:hAnsi="Arial" w:cs="Arial"/>
          <w:color w:val="000000" w:themeColor="text1"/>
        </w:rPr>
      </w:pPr>
      <w:r w:rsidRPr="00B4728D">
        <w:rPr>
          <w:rFonts w:ascii="Arial" w:hAnsi="Arial" w:cs="Arial"/>
          <w:color w:val="000000" w:themeColor="text1"/>
        </w:rPr>
        <w:t>Bancóldex tiene habilitadas nueve líneas, a través de las cuales se han canalizado 2.702 créditos por un monto de $721.148 millones.</w:t>
      </w:r>
    </w:p>
    <w:p w14:paraId="4DBF1CFE" w14:textId="77777777" w:rsidR="003F0002" w:rsidRPr="00B4728D" w:rsidRDefault="003F0002" w:rsidP="003F0002">
      <w:pPr>
        <w:pStyle w:val="Prrafodelista"/>
        <w:numPr>
          <w:ilvl w:val="0"/>
          <w:numId w:val="1"/>
        </w:numPr>
        <w:spacing w:after="0" w:line="240" w:lineRule="auto"/>
        <w:jc w:val="both"/>
        <w:rPr>
          <w:rFonts w:ascii="Arial" w:hAnsi="Arial" w:cs="Arial"/>
          <w:color w:val="000000" w:themeColor="text1"/>
        </w:rPr>
      </w:pPr>
      <w:r w:rsidRPr="00B4728D">
        <w:rPr>
          <w:rFonts w:ascii="Arial" w:hAnsi="Arial" w:cs="Arial"/>
          <w:color w:val="000000" w:themeColor="text1"/>
        </w:rPr>
        <w:t xml:space="preserve">Finagro, a través de la línea Colombia Agroproduce, ha canalizado 8.023 créditos, que representan subsidios a la tasa de interés por valor de $32.085 millones. </w:t>
      </w:r>
    </w:p>
    <w:p w14:paraId="37C81E81" w14:textId="77777777" w:rsidR="003F0002" w:rsidRPr="00B4728D" w:rsidRDefault="003F0002" w:rsidP="003F0002">
      <w:pPr>
        <w:pStyle w:val="Prrafodelista"/>
        <w:numPr>
          <w:ilvl w:val="0"/>
          <w:numId w:val="1"/>
        </w:numPr>
        <w:spacing w:after="0" w:line="240" w:lineRule="auto"/>
        <w:jc w:val="both"/>
        <w:rPr>
          <w:rFonts w:ascii="Arial" w:hAnsi="Arial" w:cs="Arial"/>
          <w:color w:val="000000" w:themeColor="text1"/>
        </w:rPr>
      </w:pPr>
      <w:r w:rsidRPr="00B4728D">
        <w:rPr>
          <w:rFonts w:ascii="Arial" w:hAnsi="Arial" w:cs="Arial"/>
          <w:color w:val="000000" w:themeColor="text1"/>
        </w:rPr>
        <w:t>Findeter, a través de la línea Compromiso Colombia ha canalizado 145 créditos por un monto de $418.971 millones.</w:t>
      </w:r>
    </w:p>
    <w:p w14:paraId="134719BA" w14:textId="77777777" w:rsidR="003F0002" w:rsidRPr="00B4728D" w:rsidRDefault="003F0002" w:rsidP="003F0002">
      <w:pPr>
        <w:spacing w:after="0" w:line="240" w:lineRule="auto"/>
        <w:jc w:val="both"/>
        <w:rPr>
          <w:rFonts w:ascii="Arial" w:hAnsi="Arial" w:cs="Arial"/>
          <w:color w:val="000000" w:themeColor="text1"/>
        </w:rPr>
      </w:pPr>
    </w:p>
    <w:p w14:paraId="29B2A666" w14:textId="77777777" w:rsidR="003F0002" w:rsidRPr="00B4728D" w:rsidRDefault="003F0002" w:rsidP="003F0002">
      <w:pPr>
        <w:spacing w:after="0" w:line="240" w:lineRule="auto"/>
        <w:jc w:val="both"/>
        <w:rPr>
          <w:rFonts w:ascii="Arial" w:hAnsi="Arial" w:cs="Arial"/>
          <w:color w:val="000000" w:themeColor="text1"/>
        </w:rPr>
      </w:pPr>
      <w:r w:rsidRPr="00B4728D">
        <w:rPr>
          <w:rFonts w:ascii="Arial" w:hAnsi="Arial" w:cs="Arial"/>
          <w:color w:val="000000" w:themeColor="text1"/>
        </w:rPr>
        <w:t xml:space="preserve">Por su parte, el FNG, a través de siete líneas especiales de garantías ha promovido la canalización de 30.856 créditos por valor de $1,8 billones, para el último corte disponible que corresponde al 18 de mayo de 2020. </w:t>
      </w:r>
    </w:p>
    <w:p w14:paraId="13AEA3F4" w14:textId="77777777" w:rsidR="003F0002" w:rsidRPr="00B4728D" w:rsidRDefault="003F0002" w:rsidP="0018787E">
      <w:pPr>
        <w:spacing w:after="0" w:line="240" w:lineRule="auto"/>
        <w:jc w:val="both"/>
        <w:rPr>
          <w:rFonts w:ascii="Arial" w:hAnsi="Arial" w:cs="Arial"/>
          <w:color w:val="000000" w:themeColor="text1"/>
        </w:rPr>
      </w:pPr>
    </w:p>
    <w:p w14:paraId="64F3AAED" w14:textId="63FD45D4" w:rsidR="00DE56CA" w:rsidRPr="00B4728D" w:rsidRDefault="00482279" w:rsidP="0018787E">
      <w:pPr>
        <w:spacing w:after="0" w:line="240" w:lineRule="auto"/>
        <w:jc w:val="both"/>
        <w:rPr>
          <w:rFonts w:ascii="Arial" w:hAnsi="Arial" w:cs="Arial"/>
          <w:color w:val="000000" w:themeColor="text1"/>
        </w:rPr>
      </w:pPr>
      <w:r w:rsidRPr="00B4728D">
        <w:rPr>
          <w:rFonts w:ascii="Arial" w:hAnsi="Arial" w:cs="Arial"/>
          <w:color w:val="000000" w:themeColor="text1"/>
        </w:rPr>
        <w:t xml:space="preserve">Por último, también es importante indicar que </w:t>
      </w:r>
      <w:r w:rsidR="00107D94" w:rsidRPr="00B4728D">
        <w:rPr>
          <w:rFonts w:ascii="Arial" w:hAnsi="Arial" w:cs="Arial"/>
          <w:color w:val="000000" w:themeColor="text1"/>
        </w:rPr>
        <w:t xml:space="preserve">se adelantan diversos procesos de supervisión para evaluar </w:t>
      </w:r>
      <w:r w:rsidR="009F5B1E">
        <w:rPr>
          <w:rFonts w:ascii="Arial" w:hAnsi="Arial" w:cs="Arial"/>
          <w:color w:val="000000" w:themeColor="text1"/>
        </w:rPr>
        <w:t xml:space="preserve">los procesos establecidos para la evaluación del </w:t>
      </w:r>
      <w:r w:rsidR="00107D94" w:rsidRPr="00B4728D">
        <w:rPr>
          <w:rFonts w:ascii="Arial" w:hAnsi="Arial" w:cs="Arial"/>
          <w:color w:val="000000" w:themeColor="text1"/>
        </w:rPr>
        <w:t xml:space="preserve">cumplimiento de las condiciones reglamentarias </w:t>
      </w:r>
      <w:r w:rsidR="00DE56CA" w:rsidRPr="00B4728D">
        <w:rPr>
          <w:rFonts w:ascii="Arial" w:hAnsi="Arial" w:cs="Arial"/>
          <w:color w:val="000000" w:themeColor="text1"/>
        </w:rPr>
        <w:t xml:space="preserve">que deben satisfacer este tipo de operaciones, por parte de las entidades de redescuento, el FNG y los intermediarios financieros que canalizan estos créditos hacia el beneficiario final. </w:t>
      </w:r>
    </w:p>
    <w:p w14:paraId="1D8C961A" w14:textId="77777777" w:rsidR="00DE56CA" w:rsidRPr="00B4728D" w:rsidRDefault="00DE56CA" w:rsidP="00107D94">
      <w:pPr>
        <w:spacing w:after="0" w:line="240" w:lineRule="auto"/>
        <w:jc w:val="both"/>
        <w:rPr>
          <w:rFonts w:ascii="Arial" w:hAnsi="Arial" w:cs="Arial"/>
          <w:color w:val="000000" w:themeColor="text1"/>
        </w:rPr>
      </w:pPr>
    </w:p>
    <w:p w14:paraId="3AD6EF38" w14:textId="6E6B8006" w:rsidR="00D91658" w:rsidRPr="00B4728D" w:rsidRDefault="00B4728D" w:rsidP="00D91658">
      <w:pPr>
        <w:rPr>
          <w:rFonts w:ascii="Arial" w:hAnsi="Arial" w:cs="Arial"/>
          <w:b/>
          <w:bCs/>
          <w:i/>
          <w:iCs/>
          <w:color w:val="000000" w:themeColor="text1"/>
        </w:rPr>
      </w:pPr>
      <w:r>
        <w:rPr>
          <w:rFonts w:ascii="Arial" w:hAnsi="Arial" w:cs="Arial"/>
          <w:b/>
          <w:bCs/>
          <w:i/>
          <w:iCs/>
          <w:color w:val="000000" w:themeColor="text1"/>
        </w:rPr>
        <w:t>“</w:t>
      </w:r>
      <w:r w:rsidR="00D91658" w:rsidRPr="00B4728D">
        <w:rPr>
          <w:rFonts w:ascii="Arial" w:hAnsi="Arial" w:cs="Arial"/>
          <w:b/>
          <w:bCs/>
          <w:i/>
          <w:iCs/>
          <w:color w:val="000000" w:themeColor="text1"/>
        </w:rPr>
        <w:t>4. A la fecha, cuál es la tasa de interés real vigente del sector financiero, para con las personas naturales y jurídicas, antes y posterior al Decreto de Emergencia Económica</w:t>
      </w:r>
      <w:r>
        <w:rPr>
          <w:rFonts w:ascii="Arial" w:hAnsi="Arial" w:cs="Arial"/>
          <w:b/>
          <w:bCs/>
          <w:i/>
          <w:iCs/>
          <w:color w:val="000000" w:themeColor="text1"/>
        </w:rPr>
        <w:t>”</w:t>
      </w:r>
    </w:p>
    <w:p w14:paraId="62A40A70" w14:textId="251E898B" w:rsidR="00D91658" w:rsidRPr="00B4728D" w:rsidRDefault="00D91658" w:rsidP="00D91658">
      <w:pPr>
        <w:jc w:val="both"/>
        <w:rPr>
          <w:rFonts w:ascii="Arial" w:hAnsi="Arial" w:cs="Arial"/>
          <w:color w:val="000000" w:themeColor="text1"/>
        </w:rPr>
      </w:pPr>
      <w:r w:rsidRPr="00B4728D">
        <w:rPr>
          <w:rFonts w:ascii="Arial" w:hAnsi="Arial" w:cs="Arial"/>
          <w:color w:val="000000" w:themeColor="text1"/>
        </w:rPr>
        <w:t xml:space="preserve">Para responder </w:t>
      </w:r>
      <w:r w:rsidR="00B4728D">
        <w:rPr>
          <w:rFonts w:ascii="Arial" w:hAnsi="Arial" w:cs="Arial"/>
          <w:color w:val="000000" w:themeColor="text1"/>
        </w:rPr>
        <w:t xml:space="preserve">a su pregunta, </w:t>
      </w:r>
      <w:r w:rsidRPr="00B4728D">
        <w:rPr>
          <w:rFonts w:ascii="Arial" w:hAnsi="Arial" w:cs="Arial"/>
          <w:color w:val="000000" w:themeColor="text1"/>
        </w:rPr>
        <w:t xml:space="preserve">se tomaron como referencia las semanas con corte comprendido entre el 13 de marzo (previo a la expedición del Decreto de Emergencia Económica) y el 15 de mayo (último dato disponible). La información corresponde a las tasas de interés promedio de los desembolsos efectuados durante el periodo y que fueron reportadas por los establecimientos de crédito para las diferentes modalidades de cartera. </w:t>
      </w:r>
    </w:p>
    <w:p w14:paraId="7F67712D" w14:textId="273119EA" w:rsidR="00D91658" w:rsidRDefault="00DA6282" w:rsidP="00DA6282">
      <w:pPr>
        <w:jc w:val="center"/>
        <w:rPr>
          <w:rFonts w:ascii="Arial" w:hAnsi="Arial" w:cs="Arial"/>
          <w:noProof/>
          <w:color w:val="000000" w:themeColor="text1"/>
        </w:rPr>
      </w:pPr>
      <w:r w:rsidRPr="00DA6282">
        <w:rPr>
          <w:noProof/>
        </w:rPr>
        <w:lastRenderedPageBreak/>
        <w:drawing>
          <wp:inline distT="0" distB="0" distL="0" distR="0" wp14:anchorId="4FEEC13B" wp14:editId="243D4FBF">
            <wp:extent cx="5162550" cy="208184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0474" cy="2085038"/>
                    </a:xfrm>
                    <a:prstGeom prst="rect">
                      <a:avLst/>
                    </a:prstGeom>
                    <a:noFill/>
                    <a:ln>
                      <a:noFill/>
                    </a:ln>
                  </pic:spPr>
                </pic:pic>
              </a:graphicData>
            </a:graphic>
          </wp:inline>
        </w:drawing>
      </w:r>
    </w:p>
    <w:p w14:paraId="45459046" w14:textId="1116CCD3" w:rsidR="00DA6282" w:rsidRDefault="00DA6282" w:rsidP="00713AE3">
      <w:pPr>
        <w:jc w:val="both"/>
        <w:rPr>
          <w:rFonts w:ascii="Arial" w:hAnsi="Arial" w:cs="Arial"/>
          <w:noProof/>
          <w:color w:val="000000" w:themeColor="text1"/>
        </w:rPr>
      </w:pPr>
      <w:r w:rsidRPr="00DA6282">
        <w:rPr>
          <w:noProof/>
        </w:rPr>
        <w:drawing>
          <wp:inline distT="0" distB="0" distL="0" distR="0" wp14:anchorId="236A1A18" wp14:editId="613D4DC6">
            <wp:extent cx="5534025" cy="183465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8541" cy="1846099"/>
                    </a:xfrm>
                    <a:prstGeom prst="rect">
                      <a:avLst/>
                    </a:prstGeom>
                    <a:noFill/>
                    <a:ln>
                      <a:noFill/>
                    </a:ln>
                  </pic:spPr>
                </pic:pic>
              </a:graphicData>
            </a:graphic>
          </wp:inline>
        </w:drawing>
      </w:r>
    </w:p>
    <w:p w14:paraId="39880239" w14:textId="736921F4" w:rsidR="00850371" w:rsidRDefault="00850371" w:rsidP="00713AE3">
      <w:pPr>
        <w:jc w:val="both"/>
        <w:rPr>
          <w:rFonts w:ascii="Arial" w:hAnsi="Arial" w:cs="Arial"/>
          <w:noProof/>
          <w:color w:val="000000" w:themeColor="text1"/>
        </w:rPr>
      </w:pPr>
      <w:r>
        <w:rPr>
          <w:rFonts w:ascii="Arial" w:hAnsi="Arial" w:cs="Arial"/>
          <w:noProof/>
          <w:color w:val="000000" w:themeColor="text1"/>
        </w:rPr>
        <w:t>Adicionalmente, vale l</w:t>
      </w:r>
      <w:r w:rsidR="00713AE3">
        <w:rPr>
          <w:rFonts w:ascii="Arial" w:hAnsi="Arial" w:cs="Arial"/>
          <w:noProof/>
          <w:color w:val="000000" w:themeColor="text1"/>
        </w:rPr>
        <w:t>a</w:t>
      </w:r>
      <w:r>
        <w:rPr>
          <w:rFonts w:ascii="Arial" w:hAnsi="Arial" w:cs="Arial"/>
          <w:noProof/>
          <w:color w:val="000000" w:themeColor="text1"/>
        </w:rPr>
        <w:t xml:space="preserve"> pena mencionar </w:t>
      </w:r>
      <w:r w:rsidR="00713AE3">
        <w:rPr>
          <w:rFonts w:ascii="Arial" w:hAnsi="Arial" w:cs="Arial"/>
          <w:noProof/>
          <w:color w:val="000000" w:themeColor="text1"/>
        </w:rPr>
        <w:t>que la u</w:t>
      </w:r>
      <w:r w:rsidR="00713AE3" w:rsidRPr="00713AE3">
        <w:rPr>
          <w:rFonts w:ascii="Arial" w:hAnsi="Arial" w:cs="Arial"/>
          <w:color w:val="222222"/>
          <w:shd w:val="clear" w:color="auto" w:fill="FFFFFF"/>
        </w:rPr>
        <w:t>sura</w:t>
      </w:r>
      <w:r w:rsidR="00713AE3">
        <w:rPr>
          <w:rFonts w:ascii="Arial" w:hAnsi="Arial" w:cs="Arial"/>
          <w:color w:val="222222"/>
          <w:shd w:val="clear" w:color="auto" w:fill="FFFFFF"/>
        </w:rPr>
        <w:t xml:space="preserve"> es un </w:t>
      </w:r>
      <w:r w:rsidR="00713AE3" w:rsidRPr="00713AE3">
        <w:rPr>
          <w:rFonts w:ascii="Arial" w:hAnsi="Arial" w:cs="Arial"/>
          <w:color w:val="222222"/>
          <w:shd w:val="clear" w:color="auto" w:fill="FFFFFF"/>
        </w:rPr>
        <w:t>delito</w:t>
      </w:r>
      <w:r w:rsidR="00713AE3">
        <w:rPr>
          <w:rFonts w:ascii="Arial" w:hAnsi="Arial" w:cs="Arial"/>
          <w:color w:val="222222"/>
          <w:shd w:val="clear" w:color="auto" w:fill="FFFFFF"/>
        </w:rPr>
        <w:t xml:space="preserve"> tipificado en el artículo 305 del Código Penal y aplica para todas las personas, vigiladas y no vigiladas, que financien bienes y servicios o adelanten préstamos que cobren 1.5 veces el Interés Bancario Corriente que certifique la Superintendencia Financiera.</w:t>
      </w:r>
    </w:p>
    <w:p w14:paraId="5019C21A" w14:textId="77777777" w:rsidR="00850371" w:rsidRPr="00B4728D" w:rsidRDefault="00850371" w:rsidP="00D91658">
      <w:pPr>
        <w:rPr>
          <w:rFonts w:ascii="Arial" w:hAnsi="Arial" w:cs="Arial"/>
          <w:noProof/>
          <w:color w:val="000000" w:themeColor="text1"/>
        </w:rPr>
      </w:pPr>
    </w:p>
    <w:p w14:paraId="26283F2C" w14:textId="6F70DC65" w:rsidR="0068095F" w:rsidRPr="009F5B1E" w:rsidRDefault="00DA0363" w:rsidP="008B1A25">
      <w:pPr>
        <w:pStyle w:val="Prrafodelista"/>
        <w:numPr>
          <w:ilvl w:val="0"/>
          <w:numId w:val="10"/>
        </w:numPr>
        <w:jc w:val="both"/>
        <w:rPr>
          <w:rFonts w:ascii="Arial" w:hAnsi="Arial" w:cs="Arial"/>
          <w:i/>
          <w:iCs/>
          <w:color w:val="000000" w:themeColor="text1"/>
        </w:rPr>
      </w:pPr>
      <w:r w:rsidRPr="009F5B1E">
        <w:rPr>
          <w:rFonts w:ascii="Arial" w:hAnsi="Arial" w:cs="Arial"/>
          <w:b/>
          <w:bCs/>
          <w:i/>
          <w:iCs/>
          <w:color w:val="000000" w:themeColor="text1"/>
        </w:rPr>
        <w:t>“</w:t>
      </w:r>
      <w:r w:rsidR="0068095F" w:rsidRPr="009F5B1E">
        <w:rPr>
          <w:rFonts w:ascii="Arial" w:hAnsi="Arial" w:cs="Arial"/>
          <w:b/>
          <w:bCs/>
          <w:i/>
          <w:iCs/>
          <w:color w:val="000000" w:themeColor="text1"/>
        </w:rPr>
        <w:t>¿Cual es alcance de dichas medidas al ser obligaciones de transito sucesivo y que son pagaderas con posterioridad a la vigencia de la declaratoria?  ¿Se gozarán de estas mismas garantías a futuro</w:t>
      </w:r>
      <w:r w:rsidR="0068095F" w:rsidRPr="009F5B1E">
        <w:rPr>
          <w:rFonts w:ascii="Arial" w:hAnsi="Arial" w:cs="Arial"/>
          <w:i/>
          <w:iCs/>
          <w:color w:val="000000" w:themeColor="text1"/>
        </w:rPr>
        <w:t>?</w:t>
      </w:r>
      <w:r w:rsidRPr="009F5B1E">
        <w:rPr>
          <w:rFonts w:ascii="Arial" w:hAnsi="Arial" w:cs="Arial"/>
          <w:i/>
          <w:iCs/>
          <w:color w:val="000000" w:themeColor="text1"/>
        </w:rPr>
        <w:t>”</w:t>
      </w:r>
    </w:p>
    <w:p w14:paraId="65483CF7" w14:textId="69674E34" w:rsidR="009A7867" w:rsidRDefault="00944760" w:rsidP="00B4728D">
      <w:pPr>
        <w:jc w:val="both"/>
        <w:rPr>
          <w:rFonts w:ascii="Arial" w:hAnsi="Arial" w:cs="Arial"/>
          <w:color w:val="000000" w:themeColor="text1"/>
        </w:rPr>
      </w:pPr>
      <w:r>
        <w:rPr>
          <w:rFonts w:ascii="Arial" w:hAnsi="Arial" w:cs="Arial"/>
          <w:color w:val="000000" w:themeColor="text1"/>
        </w:rPr>
        <w:t xml:space="preserve">Frente a esta pregunta y en atención a la multiplicidad de medidas sobre las cuales se ha hecho referencia en el documento, solicitamos tener mayor precisión en </w:t>
      </w:r>
      <w:r w:rsidR="00646AE4">
        <w:rPr>
          <w:rFonts w:ascii="Arial" w:hAnsi="Arial" w:cs="Arial"/>
          <w:color w:val="000000" w:themeColor="text1"/>
        </w:rPr>
        <w:t xml:space="preserve">aras </w:t>
      </w:r>
      <w:r>
        <w:rPr>
          <w:rFonts w:ascii="Arial" w:hAnsi="Arial" w:cs="Arial"/>
          <w:color w:val="000000" w:themeColor="text1"/>
        </w:rPr>
        <w:t>de dar una respuesta concreta a la misma.</w:t>
      </w:r>
    </w:p>
    <w:p w14:paraId="63AD0F45" w14:textId="7F753A7E" w:rsidR="00713AE3" w:rsidRDefault="009F5B1E" w:rsidP="00B4728D">
      <w:pPr>
        <w:jc w:val="both"/>
        <w:rPr>
          <w:rFonts w:ascii="Arial" w:hAnsi="Arial" w:cs="Arial"/>
          <w:color w:val="000000" w:themeColor="text1"/>
        </w:rPr>
      </w:pPr>
      <w:r>
        <w:rPr>
          <w:rFonts w:ascii="Arial" w:hAnsi="Arial" w:cs="Arial"/>
          <w:color w:val="000000" w:themeColor="text1"/>
        </w:rPr>
        <w:t xml:space="preserve">Ahora bien, </w:t>
      </w:r>
      <w:r w:rsidR="00713AE3">
        <w:rPr>
          <w:rFonts w:ascii="Arial" w:hAnsi="Arial" w:cs="Arial"/>
          <w:color w:val="000000" w:themeColor="text1"/>
        </w:rPr>
        <w:t>los créditos que nacen con garantías del FNG se mantendrán dichas características hasta que se cancele la totalidad de la obligación, con independencia de la existencia de la declaratoria de emergencia.</w:t>
      </w:r>
    </w:p>
    <w:p w14:paraId="3B300F43" w14:textId="46DC703E" w:rsidR="009F5B1E" w:rsidRDefault="00713AE3" w:rsidP="00B4728D">
      <w:pPr>
        <w:jc w:val="both"/>
        <w:rPr>
          <w:rFonts w:ascii="Arial" w:hAnsi="Arial" w:cs="Arial"/>
          <w:color w:val="000000" w:themeColor="text1"/>
        </w:rPr>
      </w:pPr>
      <w:r>
        <w:rPr>
          <w:rFonts w:ascii="Arial" w:hAnsi="Arial" w:cs="Arial"/>
          <w:color w:val="000000" w:themeColor="text1"/>
        </w:rPr>
        <w:t xml:space="preserve">Frente a </w:t>
      </w:r>
      <w:r w:rsidR="009F5B1E">
        <w:rPr>
          <w:rFonts w:ascii="Arial" w:hAnsi="Arial" w:cs="Arial"/>
          <w:color w:val="000000" w:themeColor="text1"/>
        </w:rPr>
        <w:t>la posibilidad de que estás líneas se mantengan a futuro, esta decisión corresponde al FNG</w:t>
      </w:r>
      <w:r>
        <w:rPr>
          <w:rFonts w:ascii="Arial" w:hAnsi="Arial" w:cs="Arial"/>
          <w:color w:val="000000" w:themeColor="text1"/>
        </w:rPr>
        <w:t xml:space="preserve">, </w:t>
      </w:r>
      <w:r w:rsidR="009F5B1E">
        <w:rPr>
          <w:rFonts w:ascii="Arial" w:hAnsi="Arial" w:cs="Arial"/>
          <w:color w:val="000000" w:themeColor="text1"/>
        </w:rPr>
        <w:t>quien en virtud de su capacidad patrimonial y del efecto que sobre la misma tenga el comportamiento de pago los deudores a quienes se les otorgó esta garantía</w:t>
      </w:r>
      <w:r>
        <w:rPr>
          <w:rFonts w:ascii="Arial" w:hAnsi="Arial" w:cs="Arial"/>
          <w:color w:val="000000" w:themeColor="text1"/>
        </w:rPr>
        <w:t>,</w:t>
      </w:r>
      <w:r w:rsidR="009F5B1E">
        <w:rPr>
          <w:rFonts w:ascii="Arial" w:hAnsi="Arial" w:cs="Arial"/>
          <w:color w:val="000000" w:themeColor="text1"/>
        </w:rPr>
        <w:t xml:space="preserve"> podrá establecer si existen o no posibilidades de mantenerla.</w:t>
      </w:r>
    </w:p>
    <w:p w14:paraId="65E08F3B" w14:textId="59F1D25E" w:rsidR="009F5B1E" w:rsidRDefault="009F5B1E" w:rsidP="00B4728D">
      <w:pPr>
        <w:jc w:val="both"/>
        <w:rPr>
          <w:rFonts w:ascii="Arial" w:hAnsi="Arial" w:cs="Arial"/>
          <w:color w:val="000000" w:themeColor="text1"/>
        </w:rPr>
      </w:pPr>
      <w:r>
        <w:rPr>
          <w:rFonts w:ascii="Arial" w:hAnsi="Arial" w:cs="Arial"/>
          <w:color w:val="000000" w:themeColor="text1"/>
        </w:rPr>
        <w:t xml:space="preserve">En este punto cobra la mayor importancia recordar, que en caso de que los deudores de estos créditos no atiendan sus obligaciones y deban ejecutarse los procedimientos para </w:t>
      </w:r>
      <w:r>
        <w:rPr>
          <w:rFonts w:ascii="Arial" w:hAnsi="Arial" w:cs="Arial"/>
          <w:color w:val="000000" w:themeColor="text1"/>
        </w:rPr>
        <w:lastRenderedPageBreak/>
        <w:t>hacer efectiva la garantía por parte del FNG, este último deberá reconocer el pago del porcentaje garantizado al intermediario financiero en los términos establecidos</w:t>
      </w:r>
      <w:r w:rsidR="00713AE3">
        <w:rPr>
          <w:rFonts w:ascii="Arial" w:hAnsi="Arial" w:cs="Arial"/>
          <w:color w:val="000000" w:themeColor="text1"/>
        </w:rPr>
        <w:t>,</w:t>
      </w:r>
      <w:r>
        <w:rPr>
          <w:rFonts w:ascii="Arial" w:hAnsi="Arial" w:cs="Arial"/>
          <w:color w:val="000000" w:themeColor="text1"/>
        </w:rPr>
        <w:t xml:space="preserve"> y por tanto reconocer esta situación en sus estados financieros. En la medida en la que los deudores no cumplan sus obligaciones y que estos recursos no se recuperen se limitaría la capacidad del FNG </w:t>
      </w:r>
      <w:r w:rsidR="00713AE3">
        <w:rPr>
          <w:rFonts w:ascii="Arial" w:hAnsi="Arial" w:cs="Arial"/>
          <w:color w:val="000000" w:themeColor="text1"/>
        </w:rPr>
        <w:t xml:space="preserve">de continuar ofreciendo dichas </w:t>
      </w:r>
      <w:r>
        <w:rPr>
          <w:rFonts w:ascii="Arial" w:hAnsi="Arial" w:cs="Arial"/>
          <w:color w:val="000000" w:themeColor="text1"/>
        </w:rPr>
        <w:t>líneas.</w:t>
      </w:r>
    </w:p>
    <w:p w14:paraId="3B98471E" w14:textId="6A72D7F3" w:rsidR="0070038F" w:rsidRDefault="0070038F" w:rsidP="00B4728D">
      <w:pPr>
        <w:jc w:val="both"/>
        <w:rPr>
          <w:rFonts w:ascii="Arial" w:hAnsi="Arial" w:cs="Arial"/>
          <w:b/>
          <w:bCs/>
          <w:i/>
          <w:iCs/>
          <w:color w:val="000000" w:themeColor="text1"/>
        </w:rPr>
      </w:pPr>
      <w:r>
        <w:rPr>
          <w:rFonts w:ascii="Arial" w:hAnsi="Arial" w:cs="Arial"/>
          <w:color w:val="000000" w:themeColor="text1"/>
        </w:rPr>
        <w:t xml:space="preserve">Es por esta razón que resulta de la mayor relevancia, sin desconocer la coyuntura, que en los procesos de análisis de crédito se apliquen adecuados procedimientos de </w:t>
      </w:r>
      <w:r w:rsidR="00BC70ED">
        <w:rPr>
          <w:rFonts w:ascii="Arial" w:hAnsi="Arial" w:cs="Arial"/>
          <w:color w:val="000000" w:themeColor="text1"/>
        </w:rPr>
        <w:t xml:space="preserve">gestión </w:t>
      </w:r>
      <w:r>
        <w:rPr>
          <w:rFonts w:ascii="Arial" w:hAnsi="Arial" w:cs="Arial"/>
          <w:color w:val="000000" w:themeColor="text1"/>
        </w:rPr>
        <w:t>de riesgo de cr</w:t>
      </w:r>
      <w:r w:rsidR="00BC70ED">
        <w:rPr>
          <w:rFonts w:ascii="Arial" w:hAnsi="Arial" w:cs="Arial"/>
          <w:color w:val="000000" w:themeColor="text1"/>
        </w:rPr>
        <w:t>é</w:t>
      </w:r>
      <w:r>
        <w:rPr>
          <w:rFonts w:ascii="Arial" w:hAnsi="Arial" w:cs="Arial"/>
          <w:color w:val="000000" w:themeColor="text1"/>
        </w:rPr>
        <w:t>dit</w:t>
      </w:r>
      <w:r w:rsidR="00BC70ED">
        <w:rPr>
          <w:rFonts w:ascii="Arial" w:hAnsi="Arial" w:cs="Arial"/>
          <w:color w:val="000000" w:themeColor="text1"/>
        </w:rPr>
        <w:t>o</w:t>
      </w:r>
      <w:r>
        <w:rPr>
          <w:rFonts w:ascii="Arial" w:hAnsi="Arial" w:cs="Arial"/>
          <w:color w:val="000000" w:themeColor="text1"/>
        </w:rPr>
        <w:t xml:space="preserve"> en aras de mantener el flujo de recursos circulando en la economía en beneficio de los diferentes sectores.</w:t>
      </w:r>
    </w:p>
    <w:p w14:paraId="710C38A6" w14:textId="07D72F8F" w:rsidR="0068095F" w:rsidRPr="00B4728D" w:rsidRDefault="00DA0363" w:rsidP="00B4728D">
      <w:pPr>
        <w:jc w:val="both"/>
        <w:rPr>
          <w:rFonts w:ascii="Arial" w:hAnsi="Arial" w:cs="Arial"/>
          <w:b/>
          <w:bCs/>
          <w:i/>
          <w:iCs/>
          <w:color w:val="000000" w:themeColor="text1"/>
        </w:rPr>
      </w:pPr>
      <w:r w:rsidRPr="00105F00">
        <w:rPr>
          <w:rFonts w:ascii="Arial" w:hAnsi="Arial" w:cs="Arial"/>
          <w:b/>
          <w:bCs/>
          <w:i/>
          <w:iCs/>
          <w:color w:val="000000" w:themeColor="text1"/>
        </w:rPr>
        <w:t>“</w:t>
      </w:r>
      <w:r w:rsidR="00B4728D" w:rsidRPr="00105F00">
        <w:rPr>
          <w:rFonts w:ascii="Arial" w:hAnsi="Arial" w:cs="Arial"/>
          <w:b/>
          <w:bCs/>
          <w:i/>
          <w:iCs/>
          <w:color w:val="000000" w:themeColor="text1"/>
        </w:rPr>
        <w:t xml:space="preserve">6. </w:t>
      </w:r>
      <w:r w:rsidR="0068095F" w:rsidRPr="00105F00">
        <w:rPr>
          <w:rFonts w:ascii="Arial" w:hAnsi="Arial" w:cs="Arial"/>
          <w:b/>
          <w:bCs/>
          <w:i/>
          <w:iCs/>
          <w:color w:val="000000" w:themeColor="text1"/>
        </w:rPr>
        <w:t>Frente al egoísmo de los banqueros, en la dura realidad sanitaria y económica del país que afrontamos todos los colombianos. ¿Cuáles han sido las medidas de choque que ASOBANCARIA ha propuesto a su despacho para coadyuvar en la crisis que vive nuestro país?</w:t>
      </w:r>
      <w:r w:rsidRPr="00105F00">
        <w:rPr>
          <w:rFonts w:ascii="Arial" w:hAnsi="Arial" w:cs="Arial"/>
          <w:b/>
          <w:bCs/>
          <w:i/>
          <w:iCs/>
          <w:color w:val="000000" w:themeColor="text1"/>
        </w:rPr>
        <w:t>”</w:t>
      </w:r>
      <w:r w:rsidR="0068095F" w:rsidRPr="00B4728D">
        <w:rPr>
          <w:rFonts w:ascii="Arial" w:hAnsi="Arial" w:cs="Arial"/>
          <w:b/>
          <w:bCs/>
          <w:i/>
          <w:iCs/>
          <w:color w:val="000000" w:themeColor="text1"/>
        </w:rPr>
        <w:t xml:space="preserve">  </w:t>
      </w:r>
    </w:p>
    <w:p w14:paraId="5D6D1557" w14:textId="77777777" w:rsidR="00522ED8" w:rsidRPr="001F751E" w:rsidRDefault="00713AE3" w:rsidP="009A7867">
      <w:pPr>
        <w:ind w:right="-93"/>
        <w:jc w:val="both"/>
        <w:rPr>
          <w:rFonts w:ascii="Arial" w:eastAsia="Times New Roman" w:hAnsi="Arial" w:cs="Arial"/>
          <w:color w:val="000000" w:themeColor="text1"/>
        </w:rPr>
      </w:pPr>
      <w:r>
        <w:rPr>
          <w:rFonts w:ascii="Arial" w:eastAsia="Times New Roman" w:hAnsi="Arial" w:cs="Arial"/>
          <w:color w:val="000000" w:themeColor="text1"/>
        </w:rPr>
        <w:t>Las i</w:t>
      </w:r>
      <w:r w:rsidRPr="001F751E">
        <w:rPr>
          <w:rFonts w:ascii="Arial" w:eastAsia="Times New Roman" w:hAnsi="Arial" w:cs="Arial"/>
          <w:color w:val="000000" w:themeColor="text1"/>
        </w:rPr>
        <w:t xml:space="preserve">nstrucciones y medidas que la Superintendencia Financiera de Colombia ha impartido han sido en el uso de las facultades legales y reglamentarias que le corresponden como autoridad económica del sistema financiero, con el objetivo de preservar su estabilidad, la </w:t>
      </w:r>
      <w:r w:rsidR="00522ED8" w:rsidRPr="001F751E">
        <w:rPr>
          <w:rFonts w:ascii="Arial" w:eastAsia="Times New Roman" w:hAnsi="Arial" w:cs="Arial"/>
          <w:color w:val="000000" w:themeColor="text1"/>
        </w:rPr>
        <w:t xml:space="preserve">confianza del </w:t>
      </w:r>
      <w:r w:rsidRPr="001F751E">
        <w:rPr>
          <w:rFonts w:ascii="Arial" w:eastAsia="Times New Roman" w:hAnsi="Arial" w:cs="Arial"/>
          <w:color w:val="000000" w:themeColor="text1"/>
        </w:rPr>
        <w:t xml:space="preserve">público </w:t>
      </w:r>
      <w:r w:rsidR="00522ED8" w:rsidRPr="001F751E">
        <w:rPr>
          <w:rFonts w:ascii="Arial" w:eastAsia="Times New Roman" w:hAnsi="Arial" w:cs="Arial"/>
          <w:color w:val="000000" w:themeColor="text1"/>
        </w:rPr>
        <w:t xml:space="preserve">en el sistema </w:t>
      </w:r>
      <w:r w:rsidRPr="001F751E">
        <w:rPr>
          <w:rFonts w:ascii="Arial" w:eastAsia="Times New Roman" w:hAnsi="Arial" w:cs="Arial"/>
          <w:color w:val="000000" w:themeColor="text1"/>
        </w:rPr>
        <w:t xml:space="preserve">y la </w:t>
      </w:r>
      <w:r w:rsidR="00522ED8" w:rsidRPr="001F751E">
        <w:rPr>
          <w:rFonts w:ascii="Arial" w:eastAsia="Times New Roman" w:hAnsi="Arial" w:cs="Arial"/>
          <w:color w:val="000000" w:themeColor="text1"/>
        </w:rPr>
        <w:t xml:space="preserve">adecuada </w:t>
      </w:r>
      <w:r w:rsidRPr="001F751E">
        <w:rPr>
          <w:rFonts w:ascii="Arial" w:eastAsia="Times New Roman" w:hAnsi="Arial" w:cs="Arial"/>
          <w:color w:val="000000" w:themeColor="text1"/>
        </w:rPr>
        <w:t xml:space="preserve">protección al consumidor financiero. </w:t>
      </w:r>
    </w:p>
    <w:p w14:paraId="611E9CC8" w14:textId="0622D88E" w:rsidR="008D6682" w:rsidRPr="001F751E" w:rsidRDefault="00522ED8" w:rsidP="009A7867">
      <w:pPr>
        <w:ind w:right="-93"/>
        <w:jc w:val="both"/>
        <w:rPr>
          <w:rFonts w:ascii="Arial" w:eastAsia="Times New Roman" w:hAnsi="Arial" w:cs="Arial"/>
          <w:color w:val="000000" w:themeColor="text1"/>
        </w:rPr>
      </w:pPr>
      <w:r w:rsidRPr="001F751E">
        <w:rPr>
          <w:rFonts w:ascii="Arial" w:eastAsia="Times New Roman" w:hAnsi="Arial" w:cs="Arial"/>
          <w:color w:val="000000" w:themeColor="text1"/>
        </w:rPr>
        <w:t>En cuanto al gremio de las entidades bancarias,</w:t>
      </w:r>
      <w:r w:rsidR="009A7867" w:rsidRPr="001F751E">
        <w:rPr>
          <w:rFonts w:ascii="Arial" w:eastAsia="Times New Roman" w:hAnsi="Arial" w:cs="Arial"/>
          <w:color w:val="000000" w:themeColor="text1"/>
        </w:rPr>
        <w:t xml:space="preserve"> </w:t>
      </w:r>
      <w:r w:rsidRPr="001F751E">
        <w:rPr>
          <w:rFonts w:ascii="Arial" w:eastAsia="Times New Roman" w:hAnsi="Arial" w:cs="Arial"/>
          <w:color w:val="000000" w:themeColor="text1"/>
        </w:rPr>
        <w:t xml:space="preserve">se </w:t>
      </w:r>
      <w:r w:rsidR="009A7867" w:rsidRPr="001F751E">
        <w:rPr>
          <w:rFonts w:ascii="Arial" w:eastAsia="Times New Roman" w:hAnsi="Arial" w:cs="Arial"/>
          <w:color w:val="000000" w:themeColor="text1"/>
        </w:rPr>
        <w:t>ha</w:t>
      </w:r>
      <w:r w:rsidRPr="001F751E">
        <w:rPr>
          <w:rFonts w:ascii="Arial" w:eastAsia="Times New Roman" w:hAnsi="Arial" w:cs="Arial"/>
          <w:color w:val="000000" w:themeColor="text1"/>
        </w:rPr>
        <w:t>n</w:t>
      </w:r>
      <w:r w:rsidR="009A7867" w:rsidRPr="001F751E">
        <w:rPr>
          <w:rFonts w:ascii="Arial" w:eastAsia="Times New Roman" w:hAnsi="Arial" w:cs="Arial"/>
          <w:color w:val="000000" w:themeColor="text1"/>
        </w:rPr>
        <w:t xml:space="preserve"> canalizado </w:t>
      </w:r>
      <w:r w:rsidR="000747AA">
        <w:rPr>
          <w:rFonts w:ascii="Arial" w:eastAsia="Times New Roman" w:hAnsi="Arial" w:cs="Arial"/>
          <w:color w:val="000000" w:themeColor="text1"/>
        </w:rPr>
        <w:t xml:space="preserve">a la fecha ante </w:t>
      </w:r>
      <w:r w:rsidR="009A7867" w:rsidRPr="001F751E">
        <w:rPr>
          <w:rFonts w:ascii="Arial" w:eastAsia="Times New Roman" w:hAnsi="Arial" w:cs="Arial"/>
          <w:color w:val="000000" w:themeColor="text1"/>
        </w:rPr>
        <w:t xml:space="preserve">este Despacho </w:t>
      </w:r>
      <w:r w:rsidR="0044192C" w:rsidRPr="001F751E">
        <w:rPr>
          <w:rFonts w:ascii="Arial" w:eastAsia="Times New Roman" w:hAnsi="Arial" w:cs="Arial"/>
          <w:color w:val="000000" w:themeColor="text1"/>
        </w:rPr>
        <w:t>cuatro (4)</w:t>
      </w:r>
      <w:r w:rsidR="008D6682" w:rsidRPr="001F751E">
        <w:rPr>
          <w:rFonts w:ascii="Arial" w:eastAsia="Times New Roman" w:hAnsi="Arial" w:cs="Arial"/>
          <w:color w:val="000000" w:themeColor="text1"/>
        </w:rPr>
        <w:t xml:space="preserve"> </w:t>
      </w:r>
      <w:r w:rsidRPr="001F751E">
        <w:rPr>
          <w:rFonts w:ascii="Arial" w:eastAsia="Times New Roman" w:hAnsi="Arial" w:cs="Arial"/>
          <w:color w:val="000000" w:themeColor="text1"/>
        </w:rPr>
        <w:t xml:space="preserve">comunicaciones relacionadas con </w:t>
      </w:r>
      <w:r w:rsidR="009A7867" w:rsidRPr="001F751E">
        <w:rPr>
          <w:rFonts w:ascii="Arial" w:eastAsia="Times New Roman" w:hAnsi="Arial" w:cs="Arial"/>
          <w:color w:val="000000" w:themeColor="text1"/>
        </w:rPr>
        <w:t xml:space="preserve">la implementación de las medidas adoptadas </w:t>
      </w:r>
      <w:r w:rsidR="00714FDC" w:rsidRPr="001F751E">
        <w:rPr>
          <w:rFonts w:ascii="Arial" w:eastAsia="Times New Roman" w:hAnsi="Arial" w:cs="Arial"/>
          <w:color w:val="000000" w:themeColor="text1"/>
        </w:rPr>
        <w:t xml:space="preserve">en la coyuntura </w:t>
      </w:r>
      <w:r w:rsidR="009A7867" w:rsidRPr="001F751E">
        <w:rPr>
          <w:rFonts w:ascii="Arial" w:eastAsia="Times New Roman" w:hAnsi="Arial" w:cs="Arial"/>
          <w:color w:val="000000" w:themeColor="text1"/>
        </w:rPr>
        <w:t>por la Superintendencia</w:t>
      </w:r>
      <w:r w:rsidR="0044192C" w:rsidRPr="001F751E">
        <w:rPr>
          <w:rFonts w:ascii="Arial" w:eastAsia="Times New Roman" w:hAnsi="Arial" w:cs="Arial"/>
          <w:color w:val="000000" w:themeColor="text1"/>
        </w:rPr>
        <w:t>, las cuales se señalan a continuación:</w:t>
      </w:r>
      <w:r w:rsidR="009A7867" w:rsidRPr="001F751E">
        <w:rPr>
          <w:rFonts w:ascii="Arial" w:eastAsia="Times New Roman" w:hAnsi="Arial" w:cs="Arial"/>
          <w:color w:val="000000" w:themeColor="text1"/>
        </w:rPr>
        <w:t xml:space="preserve"> </w:t>
      </w:r>
    </w:p>
    <w:p w14:paraId="21507F7B" w14:textId="6BACA03D" w:rsidR="00CD4F6D" w:rsidRPr="001F751E" w:rsidRDefault="004C1FF0" w:rsidP="009A7867">
      <w:pPr>
        <w:ind w:right="-93"/>
        <w:jc w:val="both"/>
        <w:rPr>
          <w:rFonts w:ascii="Arial" w:eastAsia="Times New Roman" w:hAnsi="Arial" w:cs="Arial"/>
          <w:color w:val="000000" w:themeColor="text1"/>
        </w:rPr>
      </w:pPr>
      <w:r w:rsidRPr="001F751E">
        <w:rPr>
          <w:rFonts w:ascii="Arial" w:eastAsia="Times New Roman" w:hAnsi="Arial" w:cs="Arial"/>
          <w:color w:val="000000" w:themeColor="text1"/>
        </w:rPr>
        <w:t>E</w:t>
      </w:r>
      <w:r w:rsidR="00343179" w:rsidRPr="001F751E">
        <w:rPr>
          <w:rFonts w:ascii="Arial" w:eastAsia="Times New Roman" w:hAnsi="Arial" w:cs="Arial"/>
          <w:color w:val="000000" w:themeColor="text1"/>
        </w:rPr>
        <w:t>l</w:t>
      </w:r>
      <w:r w:rsidRPr="001F751E">
        <w:rPr>
          <w:rFonts w:ascii="Arial" w:eastAsia="Times New Roman" w:hAnsi="Arial" w:cs="Arial"/>
          <w:color w:val="000000" w:themeColor="text1"/>
        </w:rPr>
        <w:t xml:space="preserve"> 24 de marzo de 2020, se </w:t>
      </w:r>
      <w:r w:rsidR="0044192C" w:rsidRPr="001F751E">
        <w:rPr>
          <w:rFonts w:ascii="Arial" w:eastAsia="Times New Roman" w:hAnsi="Arial" w:cs="Arial"/>
          <w:color w:val="000000" w:themeColor="text1"/>
        </w:rPr>
        <w:t xml:space="preserve">recibe </w:t>
      </w:r>
      <w:r w:rsidRPr="001F751E">
        <w:rPr>
          <w:rFonts w:ascii="Arial" w:eastAsia="Times New Roman" w:hAnsi="Arial" w:cs="Arial"/>
          <w:color w:val="000000" w:themeColor="text1"/>
        </w:rPr>
        <w:t>una comunicación en la que se solicita establecer un mecanismo alternativo para dar cumplimiento a lo previsto en el Capítulo IX de la Circular Básica Contable y Financiera – CBCF, particularmente en el numeral 2.6, frente a la imposibilidad de recoger firmas físicas de las actas de asambleas realizadas, pues resultaba inviable recoger firmas y asentar las actas en los libros correspondientes al quedar éstos quedaron en custodia en los archivos físicos de las entidades</w:t>
      </w:r>
      <w:r w:rsidR="00CD4F6D" w:rsidRPr="001F751E">
        <w:rPr>
          <w:rFonts w:ascii="Arial" w:eastAsia="Times New Roman" w:hAnsi="Arial" w:cs="Arial"/>
          <w:color w:val="000000" w:themeColor="text1"/>
        </w:rPr>
        <w:t>, solicitud que fue atendida de manera particular en los procesos de supervisión.</w:t>
      </w:r>
    </w:p>
    <w:p w14:paraId="4D38536C" w14:textId="3A2791D1" w:rsidR="00BE2382" w:rsidRPr="001F751E" w:rsidRDefault="0044192C" w:rsidP="009A7867">
      <w:pPr>
        <w:ind w:right="-93"/>
        <w:jc w:val="both"/>
        <w:rPr>
          <w:rFonts w:ascii="Arial" w:eastAsia="Times New Roman" w:hAnsi="Arial" w:cs="Arial"/>
          <w:color w:val="000000" w:themeColor="text1"/>
        </w:rPr>
      </w:pPr>
      <w:r w:rsidRPr="001F751E">
        <w:rPr>
          <w:rFonts w:ascii="Arial" w:eastAsia="Times New Roman" w:hAnsi="Arial" w:cs="Arial"/>
          <w:color w:val="000000" w:themeColor="text1"/>
        </w:rPr>
        <w:t xml:space="preserve">El </w:t>
      </w:r>
      <w:r w:rsidR="009A7867" w:rsidRPr="001F751E">
        <w:rPr>
          <w:rFonts w:ascii="Arial" w:eastAsia="Times New Roman" w:hAnsi="Arial" w:cs="Arial"/>
          <w:color w:val="000000" w:themeColor="text1"/>
        </w:rPr>
        <w:t xml:space="preserve">26 de marzo la SFC recibió una solicitud en la que plantean la posibilidad de ampliar la aplicación de los periodos de gracia establecidos en la Circular Externa 007 de 2020 a los clientes </w:t>
      </w:r>
      <w:r w:rsidR="006F5B35" w:rsidRPr="001F751E">
        <w:rPr>
          <w:rFonts w:ascii="Arial" w:eastAsia="Times New Roman" w:hAnsi="Arial" w:cs="Arial"/>
          <w:color w:val="000000" w:themeColor="text1"/>
        </w:rPr>
        <w:t>que,</w:t>
      </w:r>
      <w:r w:rsidR="009A7867" w:rsidRPr="001F751E">
        <w:rPr>
          <w:rFonts w:ascii="Arial" w:eastAsia="Times New Roman" w:hAnsi="Arial" w:cs="Arial"/>
          <w:color w:val="000000" w:themeColor="text1"/>
        </w:rPr>
        <w:t xml:space="preserve"> al 29 de febrero de 2020, no presenten mora mayor o igual a 60 días, en lugar de los 30 días establecidos inicialmente, solicitud que fue atendida por este despacho en beneficio de los consumidores en la Circular Externa 014 del 30 de marzo</w:t>
      </w:r>
      <w:r w:rsidR="008D6682" w:rsidRPr="001F751E">
        <w:rPr>
          <w:rFonts w:ascii="Arial" w:eastAsia="Times New Roman" w:hAnsi="Arial" w:cs="Arial"/>
          <w:color w:val="000000" w:themeColor="text1"/>
        </w:rPr>
        <w:t xml:space="preserve">. </w:t>
      </w:r>
    </w:p>
    <w:p w14:paraId="3AA2D16D" w14:textId="64183FB0" w:rsidR="0044192C" w:rsidRPr="001F751E" w:rsidRDefault="0044192C" w:rsidP="009A7867">
      <w:pPr>
        <w:ind w:right="-93"/>
        <w:jc w:val="both"/>
        <w:rPr>
          <w:rFonts w:ascii="Arial" w:eastAsia="Times New Roman" w:hAnsi="Arial" w:cs="Arial"/>
          <w:i/>
          <w:iCs/>
          <w:color w:val="000000" w:themeColor="text1"/>
        </w:rPr>
      </w:pPr>
      <w:r w:rsidRPr="001F751E">
        <w:rPr>
          <w:rFonts w:ascii="Arial" w:eastAsia="Times New Roman" w:hAnsi="Arial" w:cs="Arial"/>
          <w:color w:val="000000" w:themeColor="text1"/>
        </w:rPr>
        <w:t xml:space="preserve">El 17 de abril de 2020 </w:t>
      </w:r>
      <w:r w:rsidR="0011290D" w:rsidRPr="001F751E">
        <w:rPr>
          <w:rFonts w:ascii="Arial" w:eastAsia="Times New Roman" w:hAnsi="Arial" w:cs="Arial"/>
          <w:color w:val="000000" w:themeColor="text1"/>
        </w:rPr>
        <w:t>se recibe una solicitud mediante la cual señalan la necesidad de establecer la posibilidad de que los avalúos físicos se puedan realizar con métodos alternativos tenido en cuenta la imposibilidad de desplazamiento de los avaluadores en atención al aislamiento preventivo</w:t>
      </w:r>
      <w:r w:rsidR="00441385" w:rsidRPr="001F751E">
        <w:rPr>
          <w:rFonts w:ascii="Arial" w:eastAsia="Times New Roman" w:hAnsi="Arial" w:cs="Arial"/>
          <w:color w:val="000000" w:themeColor="text1"/>
        </w:rPr>
        <w:t xml:space="preserve">, solicitud que </w:t>
      </w:r>
      <w:r w:rsidR="006D377F">
        <w:rPr>
          <w:rFonts w:ascii="Arial" w:eastAsia="Times New Roman" w:hAnsi="Arial" w:cs="Arial"/>
          <w:color w:val="000000" w:themeColor="text1"/>
        </w:rPr>
        <w:t xml:space="preserve">fue recogida </w:t>
      </w:r>
      <w:r w:rsidR="00441385" w:rsidRPr="001F751E">
        <w:rPr>
          <w:rFonts w:ascii="Arial" w:eastAsia="Times New Roman" w:hAnsi="Arial" w:cs="Arial"/>
          <w:color w:val="000000" w:themeColor="text1"/>
        </w:rPr>
        <w:t>con la expedición por parte del Gobierno Nacio</w:t>
      </w:r>
      <w:r w:rsidR="00B81473" w:rsidRPr="001F751E">
        <w:rPr>
          <w:rFonts w:ascii="Arial" w:eastAsia="Times New Roman" w:hAnsi="Arial" w:cs="Arial"/>
          <w:color w:val="000000" w:themeColor="text1"/>
        </w:rPr>
        <w:t>n</w:t>
      </w:r>
      <w:r w:rsidR="00441385" w:rsidRPr="001F751E">
        <w:rPr>
          <w:rFonts w:ascii="Arial" w:eastAsia="Times New Roman" w:hAnsi="Arial" w:cs="Arial"/>
          <w:color w:val="000000" w:themeColor="text1"/>
        </w:rPr>
        <w:t xml:space="preserve">al del Decreto 593 del 24 de abril del 2020, toda vez que en el articulo 3 numeral 38 </w:t>
      </w:r>
      <w:r w:rsidR="006D377F">
        <w:rPr>
          <w:rFonts w:ascii="Arial" w:eastAsia="Times New Roman" w:hAnsi="Arial" w:cs="Arial"/>
          <w:color w:val="000000" w:themeColor="text1"/>
        </w:rPr>
        <w:t xml:space="preserve">se </w:t>
      </w:r>
      <w:r w:rsidR="00441385" w:rsidRPr="001F751E">
        <w:rPr>
          <w:rFonts w:ascii="Arial" w:eastAsia="Times New Roman" w:hAnsi="Arial" w:cs="Arial"/>
          <w:color w:val="000000" w:themeColor="text1"/>
        </w:rPr>
        <w:t>autoriz</w:t>
      </w:r>
      <w:r w:rsidR="006D377F">
        <w:rPr>
          <w:rFonts w:ascii="Arial" w:eastAsia="Times New Roman" w:hAnsi="Arial" w:cs="Arial"/>
          <w:color w:val="000000" w:themeColor="text1"/>
        </w:rPr>
        <w:t>ó</w:t>
      </w:r>
      <w:r w:rsidR="00441385" w:rsidRPr="001F751E">
        <w:rPr>
          <w:rFonts w:ascii="Arial" w:eastAsia="Times New Roman" w:hAnsi="Arial" w:cs="Arial"/>
          <w:color w:val="000000" w:themeColor="text1"/>
        </w:rPr>
        <w:t xml:space="preserve"> esta actividad</w:t>
      </w:r>
      <w:r w:rsidR="006D377F">
        <w:rPr>
          <w:rFonts w:ascii="Arial" w:eastAsia="Times New Roman" w:hAnsi="Arial" w:cs="Arial"/>
          <w:color w:val="000000" w:themeColor="text1"/>
        </w:rPr>
        <w:t xml:space="preserve">: </w:t>
      </w:r>
      <w:r w:rsidR="00441385" w:rsidRPr="001F751E">
        <w:rPr>
          <w:rFonts w:ascii="Arial" w:eastAsia="Times New Roman" w:hAnsi="Arial" w:cs="Arial"/>
          <w:i/>
          <w:iCs/>
          <w:color w:val="000000" w:themeColor="text1"/>
        </w:rPr>
        <w:t>“38. La realización de avalúos de bienes y realización de estudios de títulos que tengan por objeto la constitución de garantías, ante entidades vigiladas por la Superintendencia Financiera de Colombia.”</w:t>
      </w:r>
    </w:p>
    <w:p w14:paraId="34F3CCBB" w14:textId="37B6A766" w:rsidR="008D6682" w:rsidRPr="001F751E" w:rsidRDefault="008D6682" w:rsidP="009A7867">
      <w:pPr>
        <w:ind w:right="-93"/>
        <w:jc w:val="both"/>
        <w:rPr>
          <w:rFonts w:ascii="Arial" w:eastAsia="Times New Roman" w:hAnsi="Arial" w:cs="Arial"/>
          <w:color w:val="000000" w:themeColor="text1"/>
        </w:rPr>
      </w:pPr>
      <w:r w:rsidRPr="001F751E">
        <w:rPr>
          <w:rFonts w:ascii="Arial" w:eastAsia="Times New Roman" w:hAnsi="Arial" w:cs="Arial"/>
          <w:color w:val="000000" w:themeColor="text1"/>
        </w:rPr>
        <w:t>Posteriormente el 12 de mayo, se recibe una comunicación mediante la cual solicitan algunas aclaraciones respecto de la implementación de la Circular Externa 015 del 2020</w:t>
      </w:r>
      <w:r w:rsidR="000F0975" w:rsidRPr="001F751E">
        <w:rPr>
          <w:rFonts w:ascii="Arial" w:eastAsia="Times New Roman" w:hAnsi="Arial" w:cs="Arial"/>
          <w:color w:val="000000" w:themeColor="text1"/>
        </w:rPr>
        <w:t>,</w:t>
      </w:r>
      <w:r w:rsidRPr="001F751E">
        <w:rPr>
          <w:rFonts w:ascii="Arial" w:eastAsia="Times New Roman" w:hAnsi="Arial" w:cs="Arial"/>
          <w:color w:val="000000" w:themeColor="text1"/>
        </w:rPr>
        <w:t xml:space="preserve"> </w:t>
      </w:r>
      <w:r w:rsidR="000F0975" w:rsidRPr="001F751E">
        <w:rPr>
          <w:rFonts w:ascii="Arial" w:eastAsia="Times New Roman" w:hAnsi="Arial" w:cs="Arial"/>
          <w:color w:val="000000" w:themeColor="text1"/>
        </w:rPr>
        <w:t xml:space="preserve">en relación </w:t>
      </w:r>
      <w:r w:rsidRPr="001F751E">
        <w:rPr>
          <w:rFonts w:ascii="Arial" w:eastAsia="Times New Roman" w:hAnsi="Arial" w:cs="Arial"/>
          <w:color w:val="000000" w:themeColor="text1"/>
        </w:rPr>
        <w:t>con la dispersión de los pagos del programa de Ingreso Solidario</w:t>
      </w:r>
      <w:r w:rsidR="000F0975" w:rsidRPr="001F751E">
        <w:rPr>
          <w:rFonts w:ascii="Arial" w:eastAsia="Times New Roman" w:hAnsi="Arial" w:cs="Arial"/>
          <w:color w:val="000000" w:themeColor="text1"/>
        </w:rPr>
        <w:t xml:space="preserve">, con el fin de </w:t>
      </w:r>
      <w:r w:rsidR="00BE2382" w:rsidRPr="001F751E">
        <w:rPr>
          <w:rFonts w:ascii="Arial" w:eastAsia="Times New Roman" w:hAnsi="Arial" w:cs="Arial"/>
          <w:color w:val="000000" w:themeColor="text1"/>
        </w:rPr>
        <w:lastRenderedPageBreak/>
        <w:t xml:space="preserve">evaluar la posibilidad de </w:t>
      </w:r>
      <w:r w:rsidR="000F0975" w:rsidRPr="001F751E">
        <w:rPr>
          <w:rFonts w:ascii="Arial" w:eastAsia="Times New Roman" w:hAnsi="Arial" w:cs="Arial"/>
          <w:color w:val="000000" w:themeColor="text1"/>
        </w:rPr>
        <w:t xml:space="preserve">modificar </w:t>
      </w:r>
      <w:r w:rsidR="00BE2382" w:rsidRPr="001F751E">
        <w:rPr>
          <w:rFonts w:ascii="Arial" w:eastAsia="Times New Roman" w:hAnsi="Arial" w:cs="Arial"/>
          <w:color w:val="000000" w:themeColor="text1"/>
        </w:rPr>
        <w:t xml:space="preserve">algunos elementos relacionados </w:t>
      </w:r>
      <w:r w:rsidR="000F0975" w:rsidRPr="001F751E">
        <w:rPr>
          <w:rFonts w:ascii="Arial" w:eastAsia="Times New Roman" w:hAnsi="Arial" w:cs="Arial"/>
          <w:color w:val="000000" w:themeColor="text1"/>
        </w:rPr>
        <w:t xml:space="preserve">de la CE </w:t>
      </w:r>
      <w:r w:rsidR="008442BF" w:rsidRPr="001F751E">
        <w:rPr>
          <w:rFonts w:ascii="Arial" w:eastAsia="Times New Roman" w:hAnsi="Arial" w:cs="Arial"/>
          <w:color w:val="000000" w:themeColor="text1"/>
        </w:rPr>
        <w:t xml:space="preserve">frente </w:t>
      </w:r>
      <w:r w:rsidR="007A77CF">
        <w:rPr>
          <w:rFonts w:ascii="Arial" w:eastAsia="Times New Roman" w:hAnsi="Arial" w:cs="Arial"/>
          <w:color w:val="000000" w:themeColor="text1"/>
        </w:rPr>
        <w:t>la operatividad de los</w:t>
      </w:r>
      <w:r w:rsidR="008442BF" w:rsidRPr="001F751E">
        <w:rPr>
          <w:rFonts w:ascii="Arial" w:eastAsia="Times New Roman" w:hAnsi="Arial" w:cs="Arial"/>
          <w:color w:val="000000" w:themeColor="text1"/>
        </w:rPr>
        <w:t xml:space="preserve"> </w:t>
      </w:r>
      <w:r w:rsidR="00BE2382" w:rsidRPr="001F751E">
        <w:rPr>
          <w:rFonts w:ascii="Arial" w:eastAsia="Times New Roman" w:hAnsi="Arial" w:cs="Arial"/>
          <w:color w:val="000000" w:themeColor="text1"/>
        </w:rPr>
        <w:t xml:space="preserve">descuentos aplicables a los recursos </w:t>
      </w:r>
      <w:r w:rsidR="008442BF" w:rsidRPr="001F751E">
        <w:rPr>
          <w:rFonts w:ascii="Arial" w:eastAsia="Times New Roman" w:hAnsi="Arial" w:cs="Arial"/>
          <w:color w:val="000000" w:themeColor="text1"/>
        </w:rPr>
        <w:t>de las trasferencias monetarias del programa. comunicación que fue atendida el 15 de mayo de 2020 reiterando que las instrucciones de la citada Circular se mantenían inalteradas</w:t>
      </w:r>
      <w:r w:rsidR="00325BD5">
        <w:rPr>
          <w:rFonts w:ascii="Arial" w:eastAsia="Times New Roman" w:hAnsi="Arial" w:cs="Arial"/>
          <w:color w:val="000000" w:themeColor="text1"/>
        </w:rPr>
        <w:t xml:space="preserve"> y por tanto sobre estos recursos </w:t>
      </w:r>
      <w:r w:rsidR="00BC59DA">
        <w:rPr>
          <w:rFonts w:ascii="Arial" w:eastAsia="Times New Roman" w:hAnsi="Arial" w:cs="Arial"/>
          <w:color w:val="000000" w:themeColor="text1"/>
        </w:rPr>
        <w:t>n</w:t>
      </w:r>
      <w:r w:rsidR="00325BD5">
        <w:rPr>
          <w:rFonts w:ascii="Arial" w:eastAsia="Times New Roman" w:hAnsi="Arial" w:cs="Arial"/>
          <w:color w:val="000000" w:themeColor="text1"/>
        </w:rPr>
        <w:t>o procedería ningún tipo de descuento</w:t>
      </w:r>
      <w:r w:rsidR="008442BF" w:rsidRPr="001F751E">
        <w:rPr>
          <w:rFonts w:ascii="Arial" w:eastAsia="Times New Roman" w:hAnsi="Arial" w:cs="Arial"/>
          <w:color w:val="000000" w:themeColor="text1"/>
        </w:rPr>
        <w:t>.</w:t>
      </w:r>
    </w:p>
    <w:p w14:paraId="53D07489" w14:textId="0081AEB0" w:rsidR="006A3EB6" w:rsidRPr="00B4728D" w:rsidRDefault="006A3EB6" w:rsidP="006A3EB6">
      <w:pPr>
        <w:rPr>
          <w:rFonts w:ascii="Arial" w:hAnsi="Arial" w:cs="Arial"/>
          <w:b/>
          <w:bCs/>
          <w:i/>
          <w:iCs/>
          <w:color w:val="000000" w:themeColor="text1"/>
        </w:rPr>
      </w:pPr>
      <w:r w:rsidRPr="00B4728D">
        <w:rPr>
          <w:rFonts w:ascii="Arial" w:hAnsi="Arial" w:cs="Arial"/>
          <w:b/>
          <w:bCs/>
          <w:i/>
          <w:iCs/>
          <w:color w:val="000000" w:themeColor="text1"/>
        </w:rPr>
        <w:t xml:space="preserve">7. Frente a los costos de las operaciones bancarizadas y corresponsales bancarios. ¿Existe alguna erogación por parte de las entidades financieras, por la realización de lo giros y transferencia?  ¿Cuáles sus costos?  ¿Ha existido alguna variación es los valores de estas?  </w:t>
      </w:r>
    </w:p>
    <w:p w14:paraId="1CE6E816" w14:textId="1162166C" w:rsidR="00522ED8" w:rsidRPr="009339AD" w:rsidRDefault="00522ED8" w:rsidP="00522ED8">
      <w:pPr>
        <w:spacing w:after="0"/>
        <w:jc w:val="both"/>
        <w:rPr>
          <w:rFonts w:ascii="Arial" w:hAnsi="Arial" w:cs="Arial"/>
          <w:bCs/>
          <w:color w:val="000000" w:themeColor="text1"/>
        </w:rPr>
      </w:pPr>
      <w:r w:rsidRPr="009B0947">
        <w:rPr>
          <w:rFonts w:ascii="Arial" w:hAnsi="Arial" w:cs="Arial"/>
          <w:color w:val="000000" w:themeColor="text1"/>
        </w:rPr>
        <w:t xml:space="preserve">Es importante </w:t>
      </w:r>
      <w:r>
        <w:rPr>
          <w:rFonts w:ascii="Arial" w:hAnsi="Arial" w:cs="Arial"/>
          <w:color w:val="000000" w:themeColor="text1"/>
        </w:rPr>
        <w:t xml:space="preserve">iniciar </w:t>
      </w:r>
      <w:r w:rsidRPr="009B0947">
        <w:rPr>
          <w:rFonts w:ascii="Arial" w:hAnsi="Arial" w:cs="Arial"/>
          <w:color w:val="000000" w:themeColor="text1"/>
        </w:rPr>
        <w:t>señala</w:t>
      </w:r>
      <w:r>
        <w:rPr>
          <w:rFonts w:ascii="Arial" w:hAnsi="Arial" w:cs="Arial"/>
          <w:color w:val="000000" w:themeColor="text1"/>
        </w:rPr>
        <w:t>ndo</w:t>
      </w:r>
      <w:r w:rsidRPr="009B0947">
        <w:rPr>
          <w:rFonts w:ascii="Arial" w:hAnsi="Arial" w:cs="Arial"/>
          <w:color w:val="000000" w:themeColor="text1"/>
        </w:rPr>
        <w:t xml:space="preserve"> que con ocasión del </w:t>
      </w:r>
      <w:r>
        <w:rPr>
          <w:rFonts w:ascii="Arial" w:hAnsi="Arial" w:cs="Arial"/>
          <w:color w:val="000000" w:themeColor="text1"/>
        </w:rPr>
        <w:t xml:space="preserve">aislamiento obligatorio y el potencial aumento de las transacciones (por número y monto) en los </w:t>
      </w:r>
      <w:r w:rsidRPr="009B0947">
        <w:rPr>
          <w:rFonts w:ascii="Arial" w:hAnsi="Arial" w:cs="Arial"/>
          <w:color w:val="000000" w:themeColor="text1"/>
        </w:rPr>
        <w:t xml:space="preserve">canales virtuales, </w:t>
      </w:r>
      <w:r>
        <w:rPr>
          <w:rFonts w:ascii="Arial" w:hAnsi="Arial" w:cs="Arial"/>
          <w:color w:val="000000" w:themeColor="text1"/>
        </w:rPr>
        <w:t>como mecanismo de protección al consumidor financiero</w:t>
      </w:r>
      <w:r w:rsidR="009339AD">
        <w:rPr>
          <w:rFonts w:ascii="Arial" w:hAnsi="Arial" w:cs="Arial"/>
          <w:color w:val="000000" w:themeColor="text1"/>
        </w:rPr>
        <w:t xml:space="preserve">, </w:t>
      </w:r>
      <w:r w:rsidRPr="009B0947">
        <w:rPr>
          <w:rFonts w:ascii="Arial" w:hAnsi="Arial" w:cs="Arial"/>
          <w:color w:val="000000" w:themeColor="text1"/>
        </w:rPr>
        <w:t xml:space="preserve">la Superintendencia </w:t>
      </w:r>
      <w:r>
        <w:rPr>
          <w:rFonts w:ascii="Arial" w:hAnsi="Arial" w:cs="Arial"/>
          <w:color w:val="000000" w:themeColor="text1"/>
        </w:rPr>
        <w:t xml:space="preserve">Financiera </w:t>
      </w:r>
      <w:r w:rsidRPr="009B0947">
        <w:rPr>
          <w:rFonts w:ascii="Arial" w:hAnsi="Arial" w:cs="Arial"/>
          <w:color w:val="000000" w:themeColor="text1"/>
        </w:rPr>
        <w:t xml:space="preserve">impartió </w:t>
      </w:r>
      <w:r>
        <w:rPr>
          <w:rFonts w:ascii="Arial" w:hAnsi="Arial" w:cs="Arial"/>
          <w:color w:val="000000" w:themeColor="text1"/>
        </w:rPr>
        <w:t xml:space="preserve">mediante la </w:t>
      </w:r>
      <w:r w:rsidRPr="009B0947">
        <w:rPr>
          <w:rFonts w:ascii="Arial" w:hAnsi="Arial" w:cs="Arial"/>
          <w:color w:val="000000" w:themeColor="text1"/>
        </w:rPr>
        <w:t>Circular</w:t>
      </w:r>
      <w:r>
        <w:rPr>
          <w:rFonts w:ascii="Arial" w:hAnsi="Arial" w:cs="Arial"/>
          <w:color w:val="000000" w:themeColor="text1"/>
        </w:rPr>
        <w:t xml:space="preserve"> </w:t>
      </w:r>
      <w:r w:rsidRPr="009B0947">
        <w:rPr>
          <w:rFonts w:ascii="Arial" w:hAnsi="Arial" w:cs="Arial"/>
          <w:color w:val="000000" w:themeColor="text1"/>
        </w:rPr>
        <w:t xml:space="preserve">Externa 008 </w:t>
      </w:r>
      <w:r>
        <w:rPr>
          <w:rFonts w:ascii="Arial" w:hAnsi="Arial" w:cs="Arial"/>
          <w:color w:val="000000" w:themeColor="text1"/>
        </w:rPr>
        <w:t>de 2020 (</w:t>
      </w:r>
      <w:r w:rsidRPr="009B0947">
        <w:rPr>
          <w:rFonts w:ascii="Arial" w:hAnsi="Arial" w:cs="Arial"/>
          <w:color w:val="000000" w:themeColor="text1"/>
        </w:rPr>
        <w:t>17 de abril</w:t>
      </w:r>
      <w:r>
        <w:rPr>
          <w:rFonts w:ascii="Arial" w:hAnsi="Arial" w:cs="Arial"/>
          <w:color w:val="000000" w:themeColor="text1"/>
        </w:rPr>
        <w:t>)</w:t>
      </w:r>
      <w:r w:rsidRPr="009B0947">
        <w:rPr>
          <w:rFonts w:ascii="Arial" w:hAnsi="Arial" w:cs="Arial"/>
          <w:color w:val="000000" w:themeColor="text1"/>
        </w:rPr>
        <w:t xml:space="preserve"> </w:t>
      </w:r>
      <w:r>
        <w:rPr>
          <w:rFonts w:ascii="Arial" w:hAnsi="Arial" w:cs="Arial"/>
          <w:color w:val="000000" w:themeColor="text1"/>
        </w:rPr>
        <w:t xml:space="preserve">la orden de </w:t>
      </w:r>
      <w:r w:rsidR="009339AD">
        <w:rPr>
          <w:rFonts w:ascii="Arial" w:hAnsi="Arial" w:cs="Arial"/>
          <w:color w:val="000000" w:themeColor="text1"/>
        </w:rPr>
        <w:t>“</w:t>
      </w:r>
      <w:r>
        <w:rPr>
          <w:rFonts w:ascii="Arial" w:hAnsi="Arial" w:cs="Arial"/>
          <w:bCs/>
          <w:i/>
          <w:iCs/>
          <w:lang w:val="es-ES_tradnl"/>
        </w:rPr>
        <w:t xml:space="preserve">considerar como </w:t>
      </w:r>
      <w:r w:rsidRPr="009B0947">
        <w:rPr>
          <w:rFonts w:ascii="Arial" w:hAnsi="Arial" w:cs="Arial"/>
          <w:bCs/>
          <w:i/>
          <w:iCs/>
          <w:lang w:val="es-ES_tradnl"/>
        </w:rPr>
        <w:t xml:space="preserve">práctica abusiva, </w:t>
      </w:r>
      <w:r>
        <w:rPr>
          <w:rFonts w:ascii="Arial" w:hAnsi="Arial" w:cs="Arial"/>
          <w:bCs/>
          <w:i/>
          <w:iCs/>
          <w:lang w:val="es-ES_tradnl"/>
        </w:rPr>
        <w:t xml:space="preserve">el </w:t>
      </w:r>
      <w:r w:rsidRPr="009B0947">
        <w:rPr>
          <w:rFonts w:ascii="Arial" w:hAnsi="Arial" w:cs="Arial"/>
          <w:bCs/>
          <w:i/>
          <w:iCs/>
          <w:lang w:val="es-ES_tradnl"/>
        </w:rPr>
        <w:t>aumentar los costos de las transacciones realizadas a través de canales no presenciales durante la coyuntura.”</w:t>
      </w:r>
      <w:r w:rsidR="009339AD">
        <w:rPr>
          <w:rFonts w:ascii="Arial" w:hAnsi="Arial" w:cs="Arial"/>
          <w:bCs/>
          <w:lang w:val="es-ES_tradnl"/>
        </w:rPr>
        <w:t>, lo cual limita la posibilidad de que estos valores puedan variar al alza durante la emergencia sanitaria.</w:t>
      </w:r>
    </w:p>
    <w:p w14:paraId="0B710894" w14:textId="77777777" w:rsidR="001E1174" w:rsidRDefault="001E1174" w:rsidP="006A3EB6">
      <w:pPr>
        <w:autoSpaceDE w:val="0"/>
        <w:autoSpaceDN w:val="0"/>
        <w:adjustRightInd w:val="0"/>
        <w:jc w:val="both"/>
        <w:rPr>
          <w:rFonts w:ascii="Arial" w:eastAsia="Times New Roman" w:hAnsi="Arial" w:cs="Arial"/>
          <w:color w:val="000000" w:themeColor="text1"/>
        </w:rPr>
      </w:pPr>
    </w:p>
    <w:p w14:paraId="016D9B0E" w14:textId="48A4CA0B" w:rsidR="00522ED8" w:rsidRDefault="009339AD" w:rsidP="006A3EB6">
      <w:pPr>
        <w:autoSpaceDE w:val="0"/>
        <w:autoSpaceDN w:val="0"/>
        <w:adjustRightInd w:val="0"/>
        <w:jc w:val="both"/>
        <w:rPr>
          <w:rFonts w:ascii="Arial" w:eastAsia="Times New Roman" w:hAnsi="Arial" w:cs="Arial"/>
          <w:color w:val="000000" w:themeColor="text1"/>
        </w:rPr>
      </w:pPr>
      <w:r>
        <w:rPr>
          <w:rFonts w:ascii="Arial" w:eastAsia="Times New Roman" w:hAnsi="Arial" w:cs="Arial"/>
          <w:color w:val="000000" w:themeColor="text1"/>
        </w:rPr>
        <w:t xml:space="preserve">En cuanto al pago de los subsidios de ingreso solidario y otros pagos, se especifica que no tienen ningún costo para el beneficiario del giro ni tampoco se podrá descontar ninguna suma de dinero por la entidad financiera, por lo tanto, deberá entregarse la suma completa. Sin importar la causa, si alguna entidad descontaba alguna suma de dinero, debería ser reintegrada de manera inmediata al beneficiario. Por esta conducta se encuentran abiertas tres investigaciones administrativas. </w:t>
      </w:r>
      <w:r w:rsidR="001E1174">
        <w:rPr>
          <w:rFonts w:ascii="Arial" w:eastAsia="Times New Roman" w:hAnsi="Arial" w:cs="Arial"/>
          <w:color w:val="000000" w:themeColor="text1"/>
        </w:rPr>
        <w:t>En esta línea, l</w:t>
      </w:r>
      <w:r>
        <w:rPr>
          <w:rFonts w:ascii="Arial" w:eastAsia="Times New Roman" w:hAnsi="Arial" w:cs="Arial"/>
          <w:color w:val="000000" w:themeColor="text1"/>
        </w:rPr>
        <w:t xml:space="preserve">a </w:t>
      </w:r>
      <w:r w:rsidR="001E1174">
        <w:rPr>
          <w:rFonts w:ascii="Arial" w:eastAsia="Times New Roman" w:hAnsi="Arial" w:cs="Arial"/>
          <w:color w:val="000000" w:themeColor="text1"/>
        </w:rPr>
        <w:t>S</w:t>
      </w:r>
      <w:r>
        <w:rPr>
          <w:rFonts w:ascii="Arial" w:eastAsia="Times New Roman" w:hAnsi="Arial" w:cs="Arial"/>
          <w:color w:val="000000" w:themeColor="text1"/>
        </w:rPr>
        <w:t xml:space="preserve">uperintendencia expidió la </w:t>
      </w:r>
      <w:r w:rsidRPr="002072AF">
        <w:rPr>
          <w:rFonts w:ascii="Arial" w:eastAsia="Times New Roman" w:hAnsi="Arial" w:cs="Arial"/>
          <w:color w:val="000000" w:themeColor="text1"/>
        </w:rPr>
        <w:t xml:space="preserve">Circular Externa </w:t>
      </w:r>
      <w:r w:rsidR="00AA7E78" w:rsidRPr="002072AF">
        <w:rPr>
          <w:rFonts w:ascii="Arial" w:eastAsia="Times New Roman" w:hAnsi="Arial" w:cs="Arial"/>
          <w:color w:val="000000" w:themeColor="text1"/>
        </w:rPr>
        <w:t xml:space="preserve">015 de </w:t>
      </w:r>
      <w:r w:rsidRPr="002072AF">
        <w:rPr>
          <w:rFonts w:ascii="Arial" w:eastAsia="Times New Roman" w:hAnsi="Arial" w:cs="Arial"/>
          <w:color w:val="000000" w:themeColor="text1"/>
        </w:rPr>
        <w:t>2020 en la cual se declara como práctica ilegal y no autorizada el descuento de</w:t>
      </w:r>
      <w:r>
        <w:rPr>
          <w:rFonts w:ascii="Arial" w:eastAsia="Times New Roman" w:hAnsi="Arial" w:cs="Arial"/>
          <w:color w:val="000000" w:themeColor="text1"/>
        </w:rPr>
        <w:t xml:space="preserve"> cualquier suma de dinero por parte de la entidad financiera sobre estos recursos. Así mismo, se da la instrucción de devolución inmediata de esos dineros, si hubiese lugar a ello. </w:t>
      </w:r>
    </w:p>
    <w:p w14:paraId="7F13944A" w14:textId="028C10DC" w:rsidR="006A3EB6" w:rsidRPr="00B4728D" w:rsidRDefault="009339AD" w:rsidP="006A3EB6">
      <w:pPr>
        <w:autoSpaceDE w:val="0"/>
        <w:autoSpaceDN w:val="0"/>
        <w:adjustRightInd w:val="0"/>
        <w:jc w:val="both"/>
        <w:rPr>
          <w:rFonts w:ascii="Arial" w:eastAsia="Times New Roman" w:hAnsi="Arial" w:cs="Arial"/>
          <w:color w:val="000000" w:themeColor="text1"/>
        </w:rPr>
      </w:pPr>
      <w:r>
        <w:rPr>
          <w:rFonts w:ascii="Arial" w:eastAsia="Times New Roman" w:hAnsi="Arial" w:cs="Arial"/>
          <w:color w:val="000000" w:themeColor="text1"/>
        </w:rPr>
        <w:t>Ahora bien, en cuanto a las tarifas que cobran las entidades financieras de manera general por los giros y transferencias, con periodicidad m</w:t>
      </w:r>
      <w:r w:rsidR="006A3EB6" w:rsidRPr="00B4728D">
        <w:rPr>
          <w:rFonts w:ascii="Arial" w:eastAsia="Times New Roman" w:hAnsi="Arial" w:cs="Arial"/>
          <w:color w:val="000000" w:themeColor="text1"/>
        </w:rPr>
        <w:t>ensual</w:t>
      </w:r>
      <w:r>
        <w:rPr>
          <w:rFonts w:ascii="Arial" w:eastAsia="Times New Roman" w:hAnsi="Arial" w:cs="Arial"/>
          <w:color w:val="000000" w:themeColor="text1"/>
        </w:rPr>
        <w:t xml:space="preserve">, </w:t>
      </w:r>
      <w:r w:rsidR="006A3EB6" w:rsidRPr="00B4728D">
        <w:rPr>
          <w:rFonts w:ascii="Arial" w:eastAsia="Times New Roman" w:hAnsi="Arial" w:cs="Arial"/>
          <w:color w:val="000000" w:themeColor="text1"/>
        </w:rPr>
        <w:t xml:space="preserve">los establecimientos de crédito </w:t>
      </w:r>
      <w:r w:rsidR="00522ED8">
        <w:rPr>
          <w:rFonts w:ascii="Arial" w:eastAsia="Times New Roman" w:hAnsi="Arial" w:cs="Arial"/>
          <w:color w:val="000000" w:themeColor="text1"/>
        </w:rPr>
        <w:t xml:space="preserve">deben </w:t>
      </w:r>
      <w:r w:rsidR="006A3EB6" w:rsidRPr="00B4728D">
        <w:rPr>
          <w:rFonts w:ascii="Arial" w:eastAsia="Times New Roman" w:hAnsi="Arial" w:cs="Arial"/>
          <w:color w:val="000000" w:themeColor="text1"/>
        </w:rPr>
        <w:t>reporta</w:t>
      </w:r>
      <w:r w:rsidR="00522ED8">
        <w:rPr>
          <w:rFonts w:ascii="Arial" w:eastAsia="Times New Roman" w:hAnsi="Arial" w:cs="Arial"/>
          <w:color w:val="000000" w:themeColor="text1"/>
        </w:rPr>
        <w:t>r</w:t>
      </w:r>
      <w:r w:rsidR="006A3EB6" w:rsidRPr="00B4728D">
        <w:rPr>
          <w:rFonts w:ascii="Arial" w:eastAsia="Times New Roman" w:hAnsi="Arial" w:cs="Arial"/>
          <w:color w:val="000000" w:themeColor="text1"/>
        </w:rPr>
        <w:t xml:space="preserve"> las tarifas máximas de los servicios financieros haciendo referencia al costo periódico por su utilización y la periodicidad de cobro máximo que realizan los establecimientos de crédito a sus clientes</w:t>
      </w:r>
      <w:r w:rsidR="00764B75">
        <w:rPr>
          <w:rFonts w:ascii="Arial" w:eastAsia="Times New Roman" w:hAnsi="Arial" w:cs="Arial"/>
          <w:color w:val="000000" w:themeColor="text1"/>
        </w:rPr>
        <w:t xml:space="preserve">, información que además de dar a conocer a sus clientes se encuentra publicada en </w:t>
      </w:r>
      <w:hyperlink r:id="rId14" w:history="1">
        <w:r w:rsidR="00764B75" w:rsidRPr="00764B75">
          <w:rPr>
            <w:rFonts w:ascii="Arial" w:eastAsia="Times New Roman" w:hAnsi="Arial" w:cs="Arial"/>
            <w:color w:val="000000" w:themeColor="text1"/>
          </w:rPr>
          <w:t>https://www.superfinanciera.gov.co/publicacion/10085199</w:t>
        </w:r>
      </w:hyperlink>
      <w:r w:rsidR="00764B75">
        <w:rPr>
          <w:rFonts w:ascii="Arial" w:eastAsia="Times New Roman" w:hAnsi="Arial" w:cs="Arial"/>
          <w:color w:val="000000" w:themeColor="text1"/>
        </w:rPr>
        <w:t>.</w:t>
      </w:r>
      <w:r w:rsidR="006A3EB6" w:rsidRPr="00B4728D">
        <w:rPr>
          <w:rFonts w:ascii="Arial" w:eastAsia="Times New Roman" w:hAnsi="Arial" w:cs="Arial"/>
          <w:color w:val="000000" w:themeColor="text1"/>
        </w:rPr>
        <w:t xml:space="preserve"> </w:t>
      </w:r>
    </w:p>
    <w:p w14:paraId="68FEE8D2" w14:textId="61A896FD" w:rsidR="00DA0363" w:rsidRPr="00B4728D" w:rsidRDefault="0008522E" w:rsidP="006A3EB6">
      <w:pPr>
        <w:autoSpaceDE w:val="0"/>
        <w:autoSpaceDN w:val="0"/>
        <w:adjustRightInd w:val="0"/>
        <w:jc w:val="both"/>
        <w:rPr>
          <w:rFonts w:ascii="Arial" w:hAnsi="Arial" w:cs="Arial"/>
          <w:color w:val="000000" w:themeColor="text1"/>
        </w:rPr>
      </w:pPr>
      <w:r>
        <w:rPr>
          <w:rFonts w:ascii="Arial" w:hAnsi="Arial" w:cs="Arial"/>
          <w:color w:val="000000" w:themeColor="text1"/>
        </w:rPr>
        <w:t xml:space="preserve">En el archivo Excel denominado </w:t>
      </w:r>
      <w:r w:rsidRPr="0008522E">
        <w:rPr>
          <w:rFonts w:ascii="Arial" w:hAnsi="Arial" w:cs="Arial"/>
          <w:i/>
          <w:iCs/>
          <w:color w:val="000000" w:themeColor="text1"/>
        </w:rPr>
        <w:t>“</w:t>
      </w:r>
      <w:r w:rsidR="004B01B2" w:rsidRPr="004B01B2">
        <w:rPr>
          <w:rFonts w:ascii="Arial" w:hAnsi="Arial" w:cs="Arial"/>
          <w:i/>
          <w:iCs/>
          <w:color w:val="000000" w:themeColor="text1"/>
        </w:rPr>
        <w:t>Datos Tarifas Comisión Segunda</w:t>
      </w:r>
      <w:r w:rsidR="00C126C1" w:rsidRPr="0008522E">
        <w:rPr>
          <w:rFonts w:ascii="Arial" w:hAnsi="Arial" w:cs="Arial"/>
          <w:i/>
          <w:iCs/>
          <w:color w:val="000000" w:themeColor="text1"/>
        </w:rPr>
        <w:t>”</w:t>
      </w:r>
      <w:r w:rsidR="00C126C1">
        <w:rPr>
          <w:rFonts w:ascii="Arial" w:hAnsi="Arial" w:cs="Arial"/>
          <w:color w:val="000000" w:themeColor="text1"/>
        </w:rPr>
        <w:t xml:space="preserve"> se</w:t>
      </w:r>
      <w:r>
        <w:rPr>
          <w:rFonts w:ascii="Arial" w:hAnsi="Arial" w:cs="Arial"/>
          <w:color w:val="000000" w:themeColor="text1"/>
        </w:rPr>
        <w:t xml:space="preserve"> presentan los costos </w:t>
      </w:r>
      <w:r w:rsidR="00ED013C">
        <w:rPr>
          <w:rFonts w:ascii="Arial" w:hAnsi="Arial" w:cs="Arial"/>
          <w:color w:val="000000" w:themeColor="text1"/>
        </w:rPr>
        <w:t>asociados a las trasferencias por los diferentes canales</w:t>
      </w:r>
      <w:r w:rsidR="00151353">
        <w:rPr>
          <w:rFonts w:ascii="Arial" w:hAnsi="Arial" w:cs="Arial"/>
          <w:color w:val="000000" w:themeColor="text1"/>
        </w:rPr>
        <w:t xml:space="preserve"> y giros</w:t>
      </w:r>
      <w:r w:rsidR="00ED013C">
        <w:rPr>
          <w:rFonts w:ascii="Arial" w:hAnsi="Arial" w:cs="Arial"/>
          <w:color w:val="000000" w:themeColor="text1"/>
        </w:rPr>
        <w:t>.</w:t>
      </w:r>
    </w:p>
    <w:p w14:paraId="77F910C3" w14:textId="77777777" w:rsidR="00671F19" w:rsidRDefault="00671F19" w:rsidP="00671F19">
      <w:pPr>
        <w:spacing w:after="0"/>
        <w:jc w:val="both"/>
        <w:rPr>
          <w:rFonts w:ascii="Arial" w:hAnsi="Arial" w:cs="Arial"/>
          <w:color w:val="000000" w:themeColor="text1"/>
        </w:rPr>
      </w:pPr>
    </w:p>
    <w:p w14:paraId="242466CE" w14:textId="5FBF686E" w:rsidR="0068095F" w:rsidRPr="00B4728D" w:rsidRDefault="00DA0363" w:rsidP="00107D94">
      <w:pPr>
        <w:jc w:val="both"/>
        <w:rPr>
          <w:rFonts w:ascii="Arial" w:hAnsi="Arial" w:cs="Arial"/>
          <w:b/>
          <w:bCs/>
          <w:i/>
          <w:iCs/>
          <w:color w:val="000000" w:themeColor="text1"/>
        </w:rPr>
      </w:pPr>
      <w:r w:rsidRPr="00B4728D">
        <w:rPr>
          <w:rFonts w:ascii="Arial" w:hAnsi="Arial" w:cs="Arial"/>
          <w:b/>
          <w:bCs/>
          <w:i/>
          <w:iCs/>
          <w:color w:val="000000" w:themeColor="text1"/>
        </w:rPr>
        <w:t>“</w:t>
      </w:r>
      <w:r w:rsidR="0068095F" w:rsidRPr="00B4728D">
        <w:rPr>
          <w:rFonts w:ascii="Arial" w:hAnsi="Arial" w:cs="Arial"/>
          <w:b/>
          <w:bCs/>
          <w:i/>
          <w:iCs/>
          <w:color w:val="000000" w:themeColor="text1"/>
        </w:rPr>
        <w:t>8. Si bien, el gobierno nacional ha sido claro con las MIPYMEs, que por su emprendimiento hoy como nunca requiere de este apoyo económico y la respuesta de entidades bancarias no son consecuentes con la realidad. ¿Cuáles son las razones de las entidades para negar estos créditos? ¿Qué instrucciones ha impartido la entidad para evitarlos?</w:t>
      </w:r>
      <w:r w:rsidRPr="00B4728D">
        <w:rPr>
          <w:rFonts w:ascii="Arial" w:hAnsi="Arial" w:cs="Arial"/>
          <w:b/>
          <w:bCs/>
          <w:i/>
          <w:iCs/>
          <w:color w:val="000000" w:themeColor="text1"/>
        </w:rPr>
        <w:t>”</w:t>
      </w:r>
      <w:r w:rsidR="0068095F" w:rsidRPr="00B4728D">
        <w:rPr>
          <w:rFonts w:ascii="Arial" w:hAnsi="Arial" w:cs="Arial"/>
          <w:b/>
          <w:bCs/>
          <w:i/>
          <w:iCs/>
          <w:color w:val="000000" w:themeColor="text1"/>
        </w:rPr>
        <w:t xml:space="preserve"> </w:t>
      </w:r>
    </w:p>
    <w:p w14:paraId="35A5A09C" w14:textId="0046C1A8" w:rsidR="00B4728D" w:rsidRDefault="00305A72" w:rsidP="00675E22">
      <w:pPr>
        <w:tabs>
          <w:tab w:val="left" w:pos="540"/>
        </w:tabs>
        <w:spacing w:after="0" w:line="240" w:lineRule="auto"/>
        <w:jc w:val="both"/>
        <w:rPr>
          <w:rFonts w:ascii="Arial" w:hAnsi="Arial" w:cs="Arial"/>
          <w:color w:val="000000" w:themeColor="text1"/>
        </w:rPr>
      </w:pPr>
      <w:r>
        <w:rPr>
          <w:rFonts w:ascii="Arial" w:hAnsi="Arial" w:cs="Arial"/>
          <w:lang w:val="es-ES_tradnl"/>
        </w:rPr>
        <w:lastRenderedPageBreak/>
        <w:t xml:space="preserve">Como se mencionó en la primera pregunta de este cuestionario </w:t>
      </w:r>
      <w:r w:rsidR="004C4773">
        <w:rPr>
          <w:rFonts w:ascii="Arial" w:hAnsi="Arial" w:cs="Arial"/>
          <w:lang w:val="es-ES_tradnl"/>
        </w:rPr>
        <w:t xml:space="preserve">al corte del 17 de mayo, de 91,964 créditos que se solicitan el 90% son aprobados. </w:t>
      </w:r>
      <w:r w:rsidR="002A1043">
        <w:rPr>
          <w:rFonts w:ascii="Arial" w:hAnsi="Arial" w:cs="Arial"/>
          <w:lang w:val="es-ES_tradnl"/>
        </w:rPr>
        <w:t>E</w:t>
      </w:r>
      <w:r w:rsidR="009339AD">
        <w:rPr>
          <w:rFonts w:ascii="Arial" w:hAnsi="Arial" w:cs="Arial"/>
          <w:lang w:val="es-ES_tradnl"/>
        </w:rPr>
        <w:t xml:space="preserve">n </w:t>
      </w:r>
      <w:r w:rsidR="002A1043">
        <w:rPr>
          <w:rFonts w:ascii="Arial" w:hAnsi="Arial" w:cs="Arial"/>
          <w:lang w:val="es-ES_tradnl"/>
        </w:rPr>
        <w:t xml:space="preserve">los casos de negación, las </w:t>
      </w:r>
      <w:r w:rsidR="004C4773">
        <w:rPr>
          <w:rFonts w:ascii="Arial" w:hAnsi="Arial" w:cs="Arial"/>
          <w:lang w:val="es-ES_tradnl"/>
        </w:rPr>
        <w:t xml:space="preserve">razones que se asocian a esta son </w:t>
      </w:r>
      <w:r w:rsidR="002A1043">
        <w:rPr>
          <w:rFonts w:ascii="Arial" w:hAnsi="Arial" w:cs="Arial"/>
          <w:lang w:val="es-ES_tradnl"/>
        </w:rPr>
        <w:t xml:space="preserve">principalmente </w:t>
      </w:r>
      <w:r w:rsidR="004C4773">
        <w:rPr>
          <w:rFonts w:ascii="Arial" w:hAnsi="Arial" w:cs="Arial"/>
          <w:lang w:val="es-ES_tradnl"/>
        </w:rPr>
        <w:t>el incumplimiento de las condiciones para aplicar a la línea definida por el FNG, y solicitudes que exceden el cupo disponible para el deudor o la entidad</w:t>
      </w:r>
      <w:r w:rsidR="002A1043">
        <w:rPr>
          <w:rFonts w:ascii="Arial" w:hAnsi="Arial" w:cs="Arial"/>
          <w:lang w:val="es-ES_tradnl"/>
        </w:rPr>
        <w:t>.</w:t>
      </w:r>
    </w:p>
    <w:p w14:paraId="7347096B" w14:textId="77777777" w:rsidR="004C4773" w:rsidRPr="00B4728D" w:rsidRDefault="004C4773" w:rsidP="00482279">
      <w:pPr>
        <w:spacing w:after="0" w:line="240" w:lineRule="auto"/>
        <w:jc w:val="both"/>
        <w:rPr>
          <w:rFonts w:ascii="Arial" w:hAnsi="Arial" w:cs="Arial"/>
          <w:color w:val="000000" w:themeColor="text1"/>
        </w:rPr>
      </w:pPr>
    </w:p>
    <w:tbl>
      <w:tblPr>
        <w:tblW w:w="5040" w:type="dxa"/>
        <w:jc w:val="center"/>
        <w:tblCellMar>
          <w:left w:w="70" w:type="dxa"/>
          <w:right w:w="70" w:type="dxa"/>
        </w:tblCellMar>
        <w:tblLook w:val="04A0" w:firstRow="1" w:lastRow="0" w:firstColumn="1" w:lastColumn="0" w:noHBand="0" w:noVBand="1"/>
      </w:tblPr>
      <w:tblGrid>
        <w:gridCol w:w="3560"/>
        <w:gridCol w:w="1480"/>
      </w:tblGrid>
      <w:tr w:rsidR="00305A72" w:rsidRPr="00305A72" w14:paraId="170D2EEC" w14:textId="77777777" w:rsidTr="00305A72">
        <w:trPr>
          <w:trHeight w:val="300"/>
          <w:jc w:val="center"/>
        </w:trPr>
        <w:tc>
          <w:tcPr>
            <w:tcW w:w="356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0C19C0B2" w14:textId="77777777" w:rsidR="00305A72" w:rsidRPr="00305A72" w:rsidRDefault="00305A72" w:rsidP="00305A72">
            <w:pPr>
              <w:spacing w:after="0" w:line="240" w:lineRule="auto"/>
              <w:jc w:val="center"/>
              <w:rPr>
                <w:rFonts w:ascii="Arial" w:eastAsia="Times New Roman" w:hAnsi="Arial" w:cs="Arial"/>
                <w:b/>
                <w:bCs/>
                <w:color w:val="FFFFFF"/>
                <w:lang w:val="es-CO" w:eastAsia="es-CO"/>
              </w:rPr>
            </w:pPr>
            <w:r w:rsidRPr="00305A72">
              <w:rPr>
                <w:rFonts w:ascii="Arial" w:eastAsia="Times New Roman" w:hAnsi="Arial" w:cs="Arial"/>
                <w:b/>
                <w:bCs/>
                <w:color w:val="FFFFFF"/>
                <w:lang w:val="es-CO" w:eastAsia="es-CO"/>
              </w:rPr>
              <w:t>Motivo</w:t>
            </w:r>
          </w:p>
        </w:tc>
        <w:tc>
          <w:tcPr>
            <w:tcW w:w="148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53023738" w14:textId="77777777" w:rsidR="00305A72" w:rsidRPr="00305A72" w:rsidRDefault="00305A72" w:rsidP="00305A72">
            <w:pPr>
              <w:spacing w:after="0" w:line="240" w:lineRule="auto"/>
              <w:jc w:val="center"/>
              <w:rPr>
                <w:rFonts w:ascii="Arial" w:eastAsia="Times New Roman" w:hAnsi="Arial" w:cs="Arial"/>
                <w:b/>
                <w:bCs/>
                <w:color w:val="FFFFFF"/>
                <w:lang w:val="es-CO" w:eastAsia="es-CO"/>
              </w:rPr>
            </w:pPr>
            <w:r w:rsidRPr="00305A72">
              <w:rPr>
                <w:rFonts w:ascii="Arial" w:eastAsia="Times New Roman" w:hAnsi="Arial" w:cs="Arial"/>
                <w:b/>
                <w:bCs/>
                <w:color w:val="FFFFFF"/>
                <w:lang w:val="es-CO" w:eastAsia="es-CO"/>
              </w:rPr>
              <w:t># Solicitudes</w:t>
            </w:r>
          </w:p>
        </w:tc>
      </w:tr>
      <w:tr w:rsidR="00305A72" w:rsidRPr="00305A72" w14:paraId="300225BE" w14:textId="77777777" w:rsidTr="00305A72">
        <w:trPr>
          <w:trHeight w:val="30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DC376" w14:textId="77777777" w:rsidR="00305A72" w:rsidRPr="00305A72" w:rsidRDefault="00305A72" w:rsidP="00305A72">
            <w:pPr>
              <w:spacing w:after="0" w:line="240" w:lineRule="auto"/>
              <w:rPr>
                <w:rFonts w:ascii="Arial" w:eastAsia="Times New Roman" w:hAnsi="Arial" w:cs="Arial"/>
                <w:lang w:val="es-CO" w:eastAsia="es-CO"/>
              </w:rPr>
            </w:pPr>
            <w:r w:rsidRPr="00305A72">
              <w:rPr>
                <w:rFonts w:ascii="Arial" w:eastAsia="Times New Roman" w:hAnsi="Arial" w:cs="Arial"/>
                <w:lang w:val="es-CO" w:eastAsia="es-CO"/>
              </w:rPr>
              <w:t>Flujo de caja del deudor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43D07AC1" w14:textId="77777777" w:rsidR="00305A72" w:rsidRPr="00305A72" w:rsidRDefault="00305A72" w:rsidP="00305A72">
            <w:pPr>
              <w:spacing w:after="0" w:line="240" w:lineRule="auto"/>
              <w:jc w:val="center"/>
              <w:rPr>
                <w:rFonts w:ascii="Arial" w:eastAsia="Times New Roman" w:hAnsi="Arial" w:cs="Arial"/>
                <w:lang w:val="es-CO" w:eastAsia="es-CO"/>
              </w:rPr>
            </w:pPr>
            <w:r w:rsidRPr="00305A72">
              <w:rPr>
                <w:rFonts w:ascii="Arial" w:eastAsia="Times New Roman" w:hAnsi="Arial" w:cs="Arial"/>
                <w:lang w:val="es-CO" w:eastAsia="es-CO"/>
              </w:rPr>
              <w:t>758 </w:t>
            </w:r>
          </w:p>
        </w:tc>
      </w:tr>
      <w:tr w:rsidR="00305A72" w:rsidRPr="00305A72" w14:paraId="75E3F8AC" w14:textId="77777777" w:rsidTr="00305A72">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D6EA584" w14:textId="77777777" w:rsidR="00305A72" w:rsidRPr="00305A72" w:rsidRDefault="00305A72" w:rsidP="00305A72">
            <w:pPr>
              <w:spacing w:after="0" w:line="240" w:lineRule="auto"/>
              <w:rPr>
                <w:rFonts w:ascii="Arial" w:eastAsia="Times New Roman" w:hAnsi="Arial" w:cs="Arial"/>
                <w:lang w:val="es-CO" w:eastAsia="es-CO"/>
              </w:rPr>
            </w:pPr>
            <w:r w:rsidRPr="00305A72">
              <w:rPr>
                <w:rFonts w:ascii="Arial" w:eastAsia="Times New Roman" w:hAnsi="Arial" w:cs="Arial"/>
                <w:lang w:val="es-CO" w:eastAsia="es-CO"/>
              </w:rPr>
              <w:t>Reportes centrales de riesgos   </w:t>
            </w:r>
          </w:p>
        </w:tc>
        <w:tc>
          <w:tcPr>
            <w:tcW w:w="1480" w:type="dxa"/>
            <w:tcBorders>
              <w:top w:val="nil"/>
              <w:left w:val="nil"/>
              <w:bottom w:val="single" w:sz="4" w:space="0" w:color="auto"/>
              <w:right w:val="single" w:sz="4" w:space="0" w:color="auto"/>
            </w:tcBorders>
            <w:shd w:val="clear" w:color="auto" w:fill="auto"/>
            <w:vAlign w:val="center"/>
            <w:hideMark/>
          </w:tcPr>
          <w:p w14:paraId="78D09B55" w14:textId="77777777" w:rsidR="00305A72" w:rsidRPr="00305A72" w:rsidRDefault="00305A72" w:rsidP="00305A72">
            <w:pPr>
              <w:spacing w:after="0" w:line="240" w:lineRule="auto"/>
              <w:jc w:val="center"/>
              <w:rPr>
                <w:rFonts w:ascii="Arial" w:eastAsia="Times New Roman" w:hAnsi="Arial" w:cs="Arial"/>
                <w:lang w:val="es-CO" w:eastAsia="es-CO"/>
              </w:rPr>
            </w:pPr>
            <w:r w:rsidRPr="00305A72">
              <w:rPr>
                <w:rFonts w:ascii="Arial" w:eastAsia="Times New Roman" w:hAnsi="Arial" w:cs="Arial"/>
                <w:lang w:val="es-CO" w:eastAsia="es-CO"/>
              </w:rPr>
              <w:t>149 </w:t>
            </w:r>
          </w:p>
        </w:tc>
      </w:tr>
      <w:tr w:rsidR="00305A72" w:rsidRPr="00305A72" w14:paraId="682E9B5D" w14:textId="77777777" w:rsidTr="00305A72">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5C7D4CC" w14:textId="77777777" w:rsidR="00305A72" w:rsidRPr="00305A72" w:rsidRDefault="00305A72" w:rsidP="00305A72">
            <w:pPr>
              <w:spacing w:after="0" w:line="240" w:lineRule="auto"/>
              <w:rPr>
                <w:rFonts w:ascii="Arial" w:eastAsia="Times New Roman" w:hAnsi="Arial" w:cs="Arial"/>
                <w:lang w:val="es-CO" w:eastAsia="es-CO"/>
              </w:rPr>
            </w:pPr>
            <w:r w:rsidRPr="00305A72">
              <w:rPr>
                <w:rFonts w:ascii="Arial" w:eastAsia="Times New Roman" w:hAnsi="Arial" w:cs="Arial"/>
                <w:lang w:val="es-CO" w:eastAsia="es-CO"/>
              </w:rPr>
              <w:t>Perfil de riesgo   </w:t>
            </w:r>
          </w:p>
        </w:tc>
        <w:tc>
          <w:tcPr>
            <w:tcW w:w="1480" w:type="dxa"/>
            <w:tcBorders>
              <w:top w:val="nil"/>
              <w:left w:val="nil"/>
              <w:bottom w:val="single" w:sz="4" w:space="0" w:color="auto"/>
              <w:right w:val="single" w:sz="4" w:space="0" w:color="auto"/>
            </w:tcBorders>
            <w:shd w:val="clear" w:color="auto" w:fill="auto"/>
            <w:vAlign w:val="center"/>
            <w:hideMark/>
          </w:tcPr>
          <w:p w14:paraId="1E3B68C2" w14:textId="77777777" w:rsidR="00305A72" w:rsidRPr="00305A72" w:rsidRDefault="00305A72" w:rsidP="00305A72">
            <w:pPr>
              <w:spacing w:after="0" w:line="240" w:lineRule="auto"/>
              <w:jc w:val="center"/>
              <w:rPr>
                <w:rFonts w:ascii="Arial" w:eastAsia="Times New Roman" w:hAnsi="Arial" w:cs="Arial"/>
                <w:lang w:val="es-CO" w:eastAsia="es-CO"/>
              </w:rPr>
            </w:pPr>
            <w:r w:rsidRPr="00305A72">
              <w:rPr>
                <w:rFonts w:ascii="Arial" w:eastAsia="Times New Roman" w:hAnsi="Arial" w:cs="Arial"/>
                <w:lang w:val="es-CO" w:eastAsia="es-CO"/>
              </w:rPr>
              <w:t>882 </w:t>
            </w:r>
          </w:p>
        </w:tc>
      </w:tr>
      <w:tr w:rsidR="00305A72" w:rsidRPr="00305A72" w14:paraId="7C74B5A8" w14:textId="77777777" w:rsidTr="00305A72">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5F0B2429" w14:textId="77777777" w:rsidR="00305A72" w:rsidRPr="00305A72" w:rsidRDefault="00305A72" w:rsidP="00305A72">
            <w:pPr>
              <w:spacing w:after="0" w:line="240" w:lineRule="auto"/>
              <w:rPr>
                <w:rFonts w:ascii="Arial" w:eastAsia="Times New Roman" w:hAnsi="Arial" w:cs="Arial"/>
                <w:lang w:val="es-CO" w:eastAsia="es-CO"/>
              </w:rPr>
            </w:pPr>
            <w:r w:rsidRPr="00305A72">
              <w:rPr>
                <w:rFonts w:ascii="Arial" w:eastAsia="Times New Roman" w:hAnsi="Arial" w:cs="Arial"/>
                <w:lang w:val="es-CO" w:eastAsia="es-CO"/>
              </w:rPr>
              <w:t>Falta de experiencia financiera  </w:t>
            </w:r>
          </w:p>
        </w:tc>
        <w:tc>
          <w:tcPr>
            <w:tcW w:w="1480" w:type="dxa"/>
            <w:tcBorders>
              <w:top w:val="nil"/>
              <w:left w:val="nil"/>
              <w:bottom w:val="single" w:sz="4" w:space="0" w:color="auto"/>
              <w:right w:val="single" w:sz="4" w:space="0" w:color="auto"/>
            </w:tcBorders>
            <w:shd w:val="clear" w:color="auto" w:fill="auto"/>
            <w:vAlign w:val="center"/>
            <w:hideMark/>
          </w:tcPr>
          <w:p w14:paraId="49772FE1" w14:textId="77777777" w:rsidR="00305A72" w:rsidRPr="00305A72" w:rsidRDefault="00305A72" w:rsidP="00305A72">
            <w:pPr>
              <w:spacing w:after="0" w:line="240" w:lineRule="auto"/>
              <w:jc w:val="center"/>
              <w:rPr>
                <w:rFonts w:ascii="Arial" w:eastAsia="Times New Roman" w:hAnsi="Arial" w:cs="Arial"/>
                <w:lang w:val="es-CO" w:eastAsia="es-CO"/>
              </w:rPr>
            </w:pPr>
            <w:r w:rsidRPr="00305A72">
              <w:rPr>
                <w:rFonts w:ascii="Arial" w:eastAsia="Times New Roman" w:hAnsi="Arial" w:cs="Arial"/>
                <w:lang w:val="es-CO" w:eastAsia="es-CO"/>
              </w:rPr>
              <w:t>25 </w:t>
            </w:r>
          </w:p>
        </w:tc>
      </w:tr>
      <w:tr w:rsidR="00305A72" w:rsidRPr="00305A72" w14:paraId="6B014076" w14:textId="77777777" w:rsidTr="00305A72">
        <w:trPr>
          <w:trHeight w:val="570"/>
          <w:jc w:val="center"/>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469F5F4" w14:textId="77777777" w:rsidR="00305A72" w:rsidRPr="00305A72" w:rsidRDefault="00305A72" w:rsidP="00305A72">
            <w:pPr>
              <w:spacing w:after="0" w:line="240" w:lineRule="auto"/>
              <w:rPr>
                <w:rFonts w:ascii="Arial" w:eastAsia="Times New Roman" w:hAnsi="Arial" w:cs="Arial"/>
                <w:lang w:val="es-CO" w:eastAsia="es-CO"/>
              </w:rPr>
            </w:pPr>
            <w:r w:rsidRPr="00305A72">
              <w:rPr>
                <w:rFonts w:ascii="Arial" w:eastAsia="Times New Roman" w:hAnsi="Arial" w:cs="Arial"/>
                <w:lang w:val="es-CO" w:eastAsia="es-CO"/>
              </w:rPr>
              <w:t>No cumple las condiciones de la línea definida por FNG  </w:t>
            </w:r>
          </w:p>
        </w:tc>
        <w:tc>
          <w:tcPr>
            <w:tcW w:w="1480" w:type="dxa"/>
            <w:tcBorders>
              <w:top w:val="nil"/>
              <w:left w:val="nil"/>
              <w:bottom w:val="single" w:sz="4" w:space="0" w:color="auto"/>
              <w:right w:val="single" w:sz="4" w:space="0" w:color="auto"/>
            </w:tcBorders>
            <w:shd w:val="clear" w:color="auto" w:fill="auto"/>
            <w:vAlign w:val="center"/>
            <w:hideMark/>
          </w:tcPr>
          <w:p w14:paraId="100D584D" w14:textId="77777777" w:rsidR="00305A72" w:rsidRPr="00305A72" w:rsidRDefault="00305A72" w:rsidP="00305A72">
            <w:pPr>
              <w:spacing w:after="0" w:line="240" w:lineRule="auto"/>
              <w:jc w:val="center"/>
              <w:rPr>
                <w:rFonts w:ascii="Arial" w:eastAsia="Times New Roman" w:hAnsi="Arial" w:cs="Arial"/>
                <w:lang w:val="es-CO" w:eastAsia="es-CO"/>
              </w:rPr>
            </w:pPr>
            <w:r w:rsidRPr="00305A72">
              <w:rPr>
                <w:rFonts w:ascii="Arial" w:eastAsia="Times New Roman" w:hAnsi="Arial" w:cs="Arial"/>
                <w:lang w:val="es-CO" w:eastAsia="es-CO"/>
              </w:rPr>
              <w:t>2544 </w:t>
            </w:r>
          </w:p>
        </w:tc>
      </w:tr>
      <w:tr w:rsidR="00305A72" w:rsidRPr="00305A72" w14:paraId="35930C86" w14:textId="77777777" w:rsidTr="00305A72">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A12DB71" w14:textId="77777777" w:rsidR="00305A72" w:rsidRPr="00305A72" w:rsidRDefault="00305A72" w:rsidP="00305A72">
            <w:pPr>
              <w:spacing w:after="0" w:line="240" w:lineRule="auto"/>
              <w:rPr>
                <w:rFonts w:ascii="Arial" w:eastAsia="Times New Roman" w:hAnsi="Arial" w:cs="Arial"/>
                <w:lang w:val="es-CO" w:eastAsia="es-CO"/>
              </w:rPr>
            </w:pPr>
            <w:r w:rsidRPr="00305A72">
              <w:rPr>
                <w:rFonts w:ascii="Arial" w:eastAsia="Times New Roman" w:hAnsi="Arial" w:cs="Arial"/>
                <w:lang w:val="es-CO" w:eastAsia="es-CO"/>
              </w:rPr>
              <w:t>Otra*  </w:t>
            </w:r>
          </w:p>
        </w:tc>
        <w:tc>
          <w:tcPr>
            <w:tcW w:w="1480" w:type="dxa"/>
            <w:tcBorders>
              <w:top w:val="nil"/>
              <w:left w:val="nil"/>
              <w:bottom w:val="single" w:sz="4" w:space="0" w:color="auto"/>
              <w:right w:val="single" w:sz="4" w:space="0" w:color="auto"/>
            </w:tcBorders>
            <w:shd w:val="clear" w:color="auto" w:fill="auto"/>
            <w:vAlign w:val="center"/>
            <w:hideMark/>
          </w:tcPr>
          <w:p w14:paraId="3079392C" w14:textId="77777777" w:rsidR="00305A72" w:rsidRPr="00305A72" w:rsidRDefault="00305A72" w:rsidP="00305A72">
            <w:pPr>
              <w:spacing w:after="0" w:line="240" w:lineRule="auto"/>
              <w:jc w:val="center"/>
              <w:rPr>
                <w:rFonts w:ascii="Arial" w:eastAsia="Times New Roman" w:hAnsi="Arial" w:cs="Arial"/>
                <w:lang w:val="es-CO" w:eastAsia="es-CO"/>
              </w:rPr>
            </w:pPr>
            <w:r w:rsidRPr="00305A72">
              <w:rPr>
                <w:rFonts w:ascii="Arial" w:eastAsia="Times New Roman" w:hAnsi="Arial" w:cs="Arial"/>
                <w:lang w:val="es-CO" w:eastAsia="es-CO"/>
              </w:rPr>
              <w:t>3952 </w:t>
            </w:r>
          </w:p>
        </w:tc>
      </w:tr>
      <w:tr w:rsidR="00305A72" w:rsidRPr="00305A72" w14:paraId="36A8DE8D" w14:textId="77777777" w:rsidTr="00305A72">
        <w:trPr>
          <w:trHeight w:val="300"/>
          <w:jc w:val="center"/>
        </w:trPr>
        <w:tc>
          <w:tcPr>
            <w:tcW w:w="3560" w:type="dxa"/>
            <w:tcBorders>
              <w:top w:val="nil"/>
              <w:left w:val="single" w:sz="4" w:space="0" w:color="auto"/>
              <w:bottom w:val="single" w:sz="4" w:space="0" w:color="auto"/>
              <w:right w:val="single" w:sz="4" w:space="0" w:color="auto"/>
            </w:tcBorders>
            <w:shd w:val="clear" w:color="000000" w:fill="D9D9D9"/>
            <w:vAlign w:val="center"/>
            <w:hideMark/>
          </w:tcPr>
          <w:p w14:paraId="65544BB7" w14:textId="77777777" w:rsidR="00305A72" w:rsidRPr="00305A72" w:rsidRDefault="00305A72" w:rsidP="00305A72">
            <w:pPr>
              <w:spacing w:after="0" w:line="240" w:lineRule="auto"/>
              <w:rPr>
                <w:rFonts w:ascii="Arial" w:eastAsia="Times New Roman" w:hAnsi="Arial" w:cs="Arial"/>
                <w:b/>
                <w:bCs/>
                <w:lang w:val="es-CO" w:eastAsia="es-CO"/>
              </w:rPr>
            </w:pPr>
            <w:r w:rsidRPr="00305A72">
              <w:rPr>
                <w:rFonts w:ascii="Arial" w:eastAsia="Times New Roman" w:hAnsi="Arial" w:cs="Arial"/>
                <w:b/>
                <w:bCs/>
                <w:lang w:val="es-CO" w:eastAsia="es-CO"/>
              </w:rPr>
              <w:t>Total</w:t>
            </w:r>
          </w:p>
        </w:tc>
        <w:tc>
          <w:tcPr>
            <w:tcW w:w="1480" w:type="dxa"/>
            <w:tcBorders>
              <w:top w:val="nil"/>
              <w:left w:val="nil"/>
              <w:bottom w:val="single" w:sz="4" w:space="0" w:color="auto"/>
              <w:right w:val="single" w:sz="4" w:space="0" w:color="auto"/>
            </w:tcBorders>
            <w:shd w:val="clear" w:color="000000" w:fill="D9D9D9"/>
            <w:vAlign w:val="center"/>
            <w:hideMark/>
          </w:tcPr>
          <w:p w14:paraId="6DE99FEB" w14:textId="77777777" w:rsidR="00305A72" w:rsidRPr="00305A72" w:rsidRDefault="00305A72" w:rsidP="00305A72">
            <w:pPr>
              <w:spacing w:after="0" w:line="240" w:lineRule="auto"/>
              <w:jc w:val="center"/>
              <w:rPr>
                <w:rFonts w:ascii="Arial" w:eastAsia="Times New Roman" w:hAnsi="Arial" w:cs="Arial"/>
                <w:b/>
                <w:bCs/>
                <w:lang w:val="es-CO" w:eastAsia="es-CO"/>
              </w:rPr>
            </w:pPr>
            <w:r w:rsidRPr="00305A72">
              <w:rPr>
                <w:rFonts w:ascii="Arial" w:eastAsia="Times New Roman" w:hAnsi="Arial" w:cs="Arial"/>
                <w:b/>
                <w:bCs/>
                <w:lang w:val="es-CO" w:eastAsia="es-CO"/>
              </w:rPr>
              <w:t>8.310</w:t>
            </w:r>
            <w:r w:rsidRPr="00305A72">
              <w:rPr>
                <w:rFonts w:ascii="Arial" w:eastAsia="Times New Roman" w:hAnsi="Arial" w:cs="Arial"/>
                <w:b/>
                <w:bCs/>
                <w:color w:val="2E74B5"/>
                <w:lang w:val="es-CO" w:eastAsia="es-CO"/>
              </w:rPr>
              <w:t> </w:t>
            </w:r>
            <w:r w:rsidRPr="00305A72">
              <w:rPr>
                <w:rFonts w:ascii="Arial" w:eastAsia="Times New Roman" w:hAnsi="Arial" w:cs="Arial"/>
                <w:b/>
                <w:bCs/>
                <w:lang w:val="es-CO" w:eastAsia="es-CO"/>
              </w:rPr>
              <w:t> </w:t>
            </w:r>
          </w:p>
        </w:tc>
      </w:tr>
    </w:tbl>
    <w:p w14:paraId="1D18A237" w14:textId="404E0152" w:rsidR="000F5E5E" w:rsidRPr="00B4728D" w:rsidRDefault="00FA0A5E" w:rsidP="00482279">
      <w:pPr>
        <w:spacing w:after="0" w:line="240" w:lineRule="auto"/>
        <w:ind w:left="1416" w:firstLine="285"/>
        <w:jc w:val="both"/>
        <w:rPr>
          <w:rFonts w:ascii="Arial" w:hAnsi="Arial" w:cs="Arial"/>
          <w:color w:val="000000" w:themeColor="text1"/>
          <w:sz w:val="20"/>
          <w:szCs w:val="20"/>
        </w:rPr>
      </w:pPr>
      <w:r>
        <w:rPr>
          <w:rFonts w:ascii="Arial" w:hAnsi="Arial" w:cs="Arial"/>
          <w:color w:val="000000" w:themeColor="text1"/>
          <w:sz w:val="20"/>
          <w:szCs w:val="20"/>
        </w:rPr>
        <w:t>* Motivos asociado al cupo del deudor que ya se consumió o de la entidad.</w:t>
      </w:r>
    </w:p>
    <w:p w14:paraId="318B9DA0" w14:textId="77777777" w:rsidR="000F5E5E" w:rsidRPr="00B4728D" w:rsidRDefault="000F5E5E" w:rsidP="00482279">
      <w:pPr>
        <w:spacing w:after="0" w:line="240" w:lineRule="auto"/>
        <w:jc w:val="both"/>
        <w:rPr>
          <w:rFonts w:ascii="Arial" w:hAnsi="Arial" w:cs="Arial"/>
          <w:color w:val="000000" w:themeColor="text1"/>
        </w:rPr>
      </w:pPr>
    </w:p>
    <w:p w14:paraId="69A4193A" w14:textId="4568B903" w:rsidR="009D4F16" w:rsidRDefault="0012634F" w:rsidP="007834B2">
      <w:pPr>
        <w:spacing w:after="0" w:line="240" w:lineRule="auto"/>
        <w:jc w:val="both"/>
        <w:rPr>
          <w:rFonts w:ascii="Arial" w:hAnsi="Arial" w:cs="Arial"/>
          <w:color w:val="000000" w:themeColor="text1"/>
        </w:rPr>
      </w:pPr>
      <w:r>
        <w:rPr>
          <w:rFonts w:ascii="Arial" w:hAnsi="Arial" w:cs="Arial"/>
          <w:color w:val="000000" w:themeColor="text1"/>
        </w:rPr>
        <w:t>E</w:t>
      </w:r>
      <w:r w:rsidR="000F5E5E" w:rsidRPr="00B4728D">
        <w:rPr>
          <w:rFonts w:ascii="Arial" w:hAnsi="Arial" w:cs="Arial"/>
          <w:color w:val="000000" w:themeColor="text1"/>
        </w:rPr>
        <w:t xml:space="preserve">sta Superintendencia </w:t>
      </w:r>
      <w:r>
        <w:rPr>
          <w:rFonts w:ascii="Arial" w:hAnsi="Arial" w:cs="Arial"/>
          <w:color w:val="000000" w:themeColor="text1"/>
        </w:rPr>
        <w:t xml:space="preserve">en el marco del análisis de la adecuada gestión de los riesgos </w:t>
      </w:r>
      <w:r w:rsidR="000F5E5E" w:rsidRPr="00B4728D">
        <w:rPr>
          <w:rFonts w:ascii="Arial" w:hAnsi="Arial" w:cs="Arial"/>
          <w:color w:val="000000" w:themeColor="text1"/>
        </w:rPr>
        <w:t>monitorea constantemente la información reportada por las entidades, con el fin de propender por el cumplimiento de lo</w:t>
      </w:r>
      <w:r w:rsidR="00666E97">
        <w:rPr>
          <w:rFonts w:ascii="Arial" w:hAnsi="Arial" w:cs="Arial"/>
          <w:color w:val="000000" w:themeColor="text1"/>
        </w:rPr>
        <w:t xml:space="preserve">s sistemas de administración de riesgos </w:t>
      </w:r>
      <w:r w:rsidR="000F5E5E" w:rsidRPr="00B4728D">
        <w:rPr>
          <w:rFonts w:ascii="Arial" w:hAnsi="Arial" w:cs="Arial"/>
          <w:color w:val="000000" w:themeColor="text1"/>
        </w:rPr>
        <w:t>en el FNG</w:t>
      </w:r>
      <w:r>
        <w:rPr>
          <w:rFonts w:ascii="Arial" w:hAnsi="Arial" w:cs="Arial"/>
          <w:color w:val="000000" w:themeColor="text1"/>
        </w:rPr>
        <w:t>.</w:t>
      </w:r>
    </w:p>
    <w:p w14:paraId="68B2A90D" w14:textId="77777777" w:rsidR="007834B2" w:rsidRPr="00B4728D" w:rsidRDefault="007834B2" w:rsidP="007834B2">
      <w:pPr>
        <w:spacing w:after="0" w:line="240" w:lineRule="auto"/>
        <w:jc w:val="both"/>
        <w:rPr>
          <w:rFonts w:ascii="Arial" w:hAnsi="Arial" w:cs="Arial"/>
          <w:color w:val="000000" w:themeColor="text1"/>
        </w:rPr>
      </w:pPr>
    </w:p>
    <w:p w14:paraId="2388AF4D" w14:textId="7D04C9C9" w:rsidR="0068095F" w:rsidRPr="00B4728D" w:rsidRDefault="00AB5C3D" w:rsidP="00107D94">
      <w:pPr>
        <w:jc w:val="both"/>
        <w:rPr>
          <w:rFonts w:ascii="Arial" w:hAnsi="Arial" w:cs="Arial"/>
          <w:b/>
          <w:bCs/>
          <w:i/>
          <w:iCs/>
          <w:color w:val="000000" w:themeColor="text1"/>
        </w:rPr>
      </w:pPr>
      <w:r w:rsidRPr="00B4728D">
        <w:rPr>
          <w:rFonts w:ascii="Arial" w:hAnsi="Arial" w:cs="Arial"/>
          <w:b/>
          <w:bCs/>
          <w:i/>
          <w:iCs/>
          <w:color w:val="000000" w:themeColor="text1"/>
        </w:rPr>
        <w:t>“</w:t>
      </w:r>
      <w:r w:rsidR="0068095F" w:rsidRPr="00B4728D">
        <w:rPr>
          <w:rFonts w:ascii="Arial" w:hAnsi="Arial" w:cs="Arial"/>
          <w:b/>
          <w:bCs/>
          <w:i/>
          <w:iCs/>
          <w:color w:val="000000" w:themeColor="text1"/>
        </w:rPr>
        <w:t>9. ¿A la fecha cual es el número de desembolsos que han realizado las entidades bancarias a las mipymes (pequeñas, medianas y grandes empresas) y ¿Cuáles son montos totales a la fecha?</w:t>
      </w:r>
      <w:r w:rsidRPr="00B4728D">
        <w:rPr>
          <w:rFonts w:ascii="Arial" w:hAnsi="Arial" w:cs="Arial"/>
          <w:b/>
          <w:bCs/>
          <w:i/>
          <w:iCs/>
          <w:color w:val="000000" w:themeColor="text1"/>
        </w:rPr>
        <w:t>”</w:t>
      </w:r>
      <w:r w:rsidR="0068095F" w:rsidRPr="00B4728D">
        <w:rPr>
          <w:rFonts w:ascii="Arial" w:hAnsi="Arial" w:cs="Arial"/>
          <w:b/>
          <w:bCs/>
          <w:i/>
          <w:iCs/>
          <w:color w:val="000000" w:themeColor="text1"/>
        </w:rPr>
        <w:t xml:space="preserve">  </w:t>
      </w:r>
    </w:p>
    <w:p w14:paraId="0B69C1A5" w14:textId="1C68ED98" w:rsidR="009C3BF7" w:rsidRPr="00B4728D" w:rsidRDefault="007B6770" w:rsidP="00107D94">
      <w:pPr>
        <w:jc w:val="both"/>
        <w:rPr>
          <w:rFonts w:ascii="Arial" w:hAnsi="Arial" w:cs="Arial"/>
          <w:color w:val="000000" w:themeColor="text1"/>
        </w:rPr>
      </w:pPr>
      <w:r>
        <w:rPr>
          <w:rFonts w:ascii="Arial" w:hAnsi="Arial" w:cs="Arial"/>
          <w:color w:val="000000" w:themeColor="text1"/>
        </w:rPr>
        <w:t>Tratándose de las líneas de redescuento, p</w:t>
      </w:r>
      <w:r w:rsidR="00356ADD" w:rsidRPr="00B4728D">
        <w:rPr>
          <w:rFonts w:ascii="Arial" w:hAnsi="Arial" w:cs="Arial"/>
          <w:color w:val="000000" w:themeColor="text1"/>
        </w:rPr>
        <w:t>ara el caso de Bancóldex, con corte a 1</w:t>
      </w:r>
      <w:r w:rsidR="00C13C89">
        <w:rPr>
          <w:rFonts w:ascii="Arial" w:hAnsi="Arial" w:cs="Arial"/>
          <w:color w:val="000000" w:themeColor="text1"/>
        </w:rPr>
        <w:t>5</w:t>
      </w:r>
      <w:r w:rsidR="00356ADD" w:rsidRPr="00B4728D">
        <w:rPr>
          <w:rFonts w:ascii="Arial" w:hAnsi="Arial" w:cs="Arial"/>
          <w:color w:val="000000" w:themeColor="text1"/>
        </w:rPr>
        <w:t xml:space="preserve"> de mayo, la distribución de los desembolsos realizados por línea y por tamaño del beneficiario es la siguiente:</w:t>
      </w:r>
    </w:p>
    <w:tbl>
      <w:tblPr>
        <w:tblW w:w="0" w:type="auto"/>
        <w:jc w:val="center"/>
        <w:tblLayout w:type="fixed"/>
        <w:tblCellMar>
          <w:left w:w="70" w:type="dxa"/>
          <w:right w:w="70" w:type="dxa"/>
        </w:tblCellMar>
        <w:tblLook w:val="04A0" w:firstRow="1" w:lastRow="0" w:firstColumn="1" w:lastColumn="0" w:noHBand="0" w:noVBand="1"/>
      </w:tblPr>
      <w:tblGrid>
        <w:gridCol w:w="2547"/>
        <w:gridCol w:w="992"/>
        <w:gridCol w:w="1134"/>
        <w:gridCol w:w="1134"/>
        <w:gridCol w:w="1418"/>
        <w:gridCol w:w="1603"/>
      </w:tblGrid>
      <w:tr w:rsidR="00B4728D" w:rsidRPr="00B4728D" w14:paraId="4B8B3CAB" w14:textId="77777777" w:rsidTr="00096BFA">
        <w:trPr>
          <w:trHeight w:val="243"/>
          <w:jc w:val="center"/>
        </w:trPr>
        <w:tc>
          <w:tcPr>
            <w:tcW w:w="25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80C2E4" w14:textId="77777777" w:rsidR="00356ADD" w:rsidRPr="00096BFA" w:rsidRDefault="00356ADD" w:rsidP="00356ADD">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Línea</w:t>
            </w:r>
          </w:p>
        </w:tc>
        <w:tc>
          <w:tcPr>
            <w:tcW w:w="992" w:type="dxa"/>
            <w:tcBorders>
              <w:top w:val="single" w:sz="4" w:space="0" w:color="auto"/>
              <w:left w:val="nil"/>
              <w:bottom w:val="single" w:sz="4" w:space="0" w:color="auto"/>
              <w:right w:val="single" w:sz="4" w:space="0" w:color="auto"/>
            </w:tcBorders>
            <w:shd w:val="clear" w:color="auto" w:fill="0070C0"/>
            <w:noWrap/>
            <w:vAlign w:val="bottom"/>
            <w:hideMark/>
          </w:tcPr>
          <w:p w14:paraId="17C188B6" w14:textId="77777777" w:rsidR="00356ADD" w:rsidRPr="00096BFA" w:rsidRDefault="00356ADD" w:rsidP="00356ADD">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Grandes</w:t>
            </w:r>
          </w:p>
        </w:tc>
        <w:tc>
          <w:tcPr>
            <w:tcW w:w="1134" w:type="dxa"/>
            <w:tcBorders>
              <w:top w:val="single" w:sz="4" w:space="0" w:color="auto"/>
              <w:left w:val="nil"/>
              <w:bottom w:val="single" w:sz="4" w:space="0" w:color="auto"/>
              <w:right w:val="single" w:sz="4" w:space="0" w:color="auto"/>
            </w:tcBorders>
            <w:shd w:val="clear" w:color="auto" w:fill="0070C0"/>
            <w:noWrap/>
            <w:vAlign w:val="bottom"/>
            <w:hideMark/>
          </w:tcPr>
          <w:p w14:paraId="76A66676" w14:textId="77777777" w:rsidR="00356ADD" w:rsidRPr="00096BFA" w:rsidRDefault="00356ADD" w:rsidP="00356ADD">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Medianas</w:t>
            </w:r>
          </w:p>
        </w:tc>
        <w:tc>
          <w:tcPr>
            <w:tcW w:w="1134" w:type="dxa"/>
            <w:tcBorders>
              <w:top w:val="single" w:sz="4" w:space="0" w:color="auto"/>
              <w:left w:val="nil"/>
              <w:bottom w:val="single" w:sz="4" w:space="0" w:color="auto"/>
              <w:right w:val="single" w:sz="4" w:space="0" w:color="auto"/>
            </w:tcBorders>
            <w:shd w:val="clear" w:color="auto" w:fill="0070C0"/>
            <w:noWrap/>
            <w:vAlign w:val="bottom"/>
            <w:hideMark/>
          </w:tcPr>
          <w:p w14:paraId="68B5AD7B" w14:textId="77777777" w:rsidR="00356ADD" w:rsidRPr="00096BFA" w:rsidRDefault="00356ADD" w:rsidP="00356ADD">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Micros</w:t>
            </w:r>
          </w:p>
        </w:tc>
        <w:tc>
          <w:tcPr>
            <w:tcW w:w="1418" w:type="dxa"/>
            <w:tcBorders>
              <w:top w:val="single" w:sz="4" w:space="0" w:color="auto"/>
              <w:left w:val="nil"/>
              <w:bottom w:val="single" w:sz="4" w:space="0" w:color="auto"/>
              <w:right w:val="single" w:sz="4" w:space="0" w:color="auto"/>
            </w:tcBorders>
            <w:shd w:val="clear" w:color="auto" w:fill="0070C0"/>
            <w:noWrap/>
            <w:vAlign w:val="bottom"/>
            <w:hideMark/>
          </w:tcPr>
          <w:p w14:paraId="1CCD4830" w14:textId="77777777" w:rsidR="00356ADD" w:rsidRPr="00096BFA" w:rsidRDefault="00356ADD" w:rsidP="00356ADD">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Pequeñas</w:t>
            </w:r>
          </w:p>
        </w:tc>
        <w:tc>
          <w:tcPr>
            <w:tcW w:w="1603" w:type="dxa"/>
            <w:tcBorders>
              <w:top w:val="single" w:sz="4" w:space="0" w:color="auto"/>
              <w:left w:val="nil"/>
              <w:bottom w:val="single" w:sz="4" w:space="0" w:color="auto"/>
              <w:right w:val="single" w:sz="4" w:space="0" w:color="auto"/>
            </w:tcBorders>
            <w:shd w:val="clear" w:color="auto" w:fill="0070C0"/>
            <w:noWrap/>
            <w:vAlign w:val="bottom"/>
            <w:hideMark/>
          </w:tcPr>
          <w:p w14:paraId="0A57209F" w14:textId="77777777" w:rsidR="00356ADD" w:rsidRPr="00096BFA" w:rsidRDefault="00356ADD" w:rsidP="00356ADD">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 xml:space="preserve">Total </w:t>
            </w:r>
          </w:p>
        </w:tc>
      </w:tr>
      <w:tr w:rsidR="00B4728D" w:rsidRPr="00B4728D" w14:paraId="3C79686B" w14:textId="77777777" w:rsidTr="00405B83">
        <w:trPr>
          <w:trHeight w:val="24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7A33BD8" w14:textId="77777777" w:rsidR="00356ADD" w:rsidRPr="00B4728D" w:rsidRDefault="00356ADD" w:rsidP="00356ADD">
            <w:pPr>
              <w:spacing w:after="0" w:line="240" w:lineRule="auto"/>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COLOMBIA RESPONDE PARA TODOS</w:t>
            </w:r>
          </w:p>
        </w:tc>
        <w:tc>
          <w:tcPr>
            <w:tcW w:w="992" w:type="dxa"/>
            <w:tcBorders>
              <w:top w:val="nil"/>
              <w:left w:val="nil"/>
              <w:bottom w:val="single" w:sz="4" w:space="0" w:color="auto"/>
              <w:right w:val="single" w:sz="4" w:space="0" w:color="auto"/>
            </w:tcBorders>
            <w:shd w:val="clear" w:color="auto" w:fill="auto"/>
            <w:noWrap/>
            <w:vAlign w:val="bottom"/>
            <w:hideMark/>
          </w:tcPr>
          <w:p w14:paraId="0C3BB180" w14:textId="4702E9B3"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73.180 </w:t>
            </w:r>
          </w:p>
        </w:tc>
        <w:tc>
          <w:tcPr>
            <w:tcW w:w="1134" w:type="dxa"/>
            <w:tcBorders>
              <w:top w:val="nil"/>
              <w:left w:val="nil"/>
              <w:bottom w:val="single" w:sz="4" w:space="0" w:color="auto"/>
              <w:right w:val="single" w:sz="4" w:space="0" w:color="auto"/>
            </w:tcBorders>
            <w:shd w:val="clear" w:color="auto" w:fill="auto"/>
            <w:noWrap/>
            <w:vAlign w:val="bottom"/>
            <w:hideMark/>
          </w:tcPr>
          <w:p w14:paraId="691541C8" w14:textId="329DE679"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$ 130.895 </w:t>
            </w:r>
          </w:p>
        </w:tc>
        <w:tc>
          <w:tcPr>
            <w:tcW w:w="1134" w:type="dxa"/>
            <w:tcBorders>
              <w:top w:val="nil"/>
              <w:left w:val="nil"/>
              <w:bottom w:val="single" w:sz="4" w:space="0" w:color="auto"/>
              <w:right w:val="single" w:sz="4" w:space="0" w:color="auto"/>
            </w:tcBorders>
            <w:shd w:val="clear" w:color="auto" w:fill="auto"/>
            <w:noWrap/>
            <w:vAlign w:val="bottom"/>
            <w:hideMark/>
          </w:tcPr>
          <w:p w14:paraId="6F897E07" w14:textId="23107DA6"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$70.674 </w:t>
            </w:r>
          </w:p>
        </w:tc>
        <w:tc>
          <w:tcPr>
            <w:tcW w:w="1418" w:type="dxa"/>
            <w:tcBorders>
              <w:top w:val="nil"/>
              <w:left w:val="nil"/>
              <w:bottom w:val="single" w:sz="4" w:space="0" w:color="auto"/>
              <w:right w:val="single" w:sz="4" w:space="0" w:color="auto"/>
            </w:tcBorders>
            <w:shd w:val="clear" w:color="auto" w:fill="auto"/>
            <w:noWrap/>
            <w:vAlign w:val="bottom"/>
            <w:hideMark/>
          </w:tcPr>
          <w:p w14:paraId="08B4D3B9" w14:textId="63C52CEA"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$28.957 </w:t>
            </w:r>
          </w:p>
        </w:tc>
        <w:tc>
          <w:tcPr>
            <w:tcW w:w="1603" w:type="dxa"/>
            <w:tcBorders>
              <w:top w:val="nil"/>
              <w:left w:val="nil"/>
              <w:bottom w:val="single" w:sz="4" w:space="0" w:color="auto"/>
              <w:right w:val="single" w:sz="4" w:space="0" w:color="auto"/>
            </w:tcBorders>
            <w:shd w:val="clear" w:color="auto" w:fill="auto"/>
            <w:noWrap/>
            <w:vAlign w:val="bottom"/>
            <w:hideMark/>
          </w:tcPr>
          <w:p w14:paraId="1C2B1961" w14:textId="7B0395F7"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$303.706 </w:t>
            </w:r>
          </w:p>
        </w:tc>
      </w:tr>
      <w:tr w:rsidR="00B4728D" w:rsidRPr="00B4728D" w14:paraId="45755652" w14:textId="77777777" w:rsidTr="00405B83">
        <w:trPr>
          <w:trHeight w:val="24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8A7A3F8" w14:textId="77777777" w:rsidR="00356ADD" w:rsidRPr="00B4728D" w:rsidRDefault="00356ADD" w:rsidP="00356ADD">
            <w:pPr>
              <w:spacing w:after="0" w:line="240" w:lineRule="auto"/>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COLOMBIA RESPONDE</w:t>
            </w:r>
          </w:p>
        </w:tc>
        <w:tc>
          <w:tcPr>
            <w:tcW w:w="992" w:type="dxa"/>
            <w:tcBorders>
              <w:top w:val="nil"/>
              <w:left w:val="nil"/>
              <w:bottom w:val="single" w:sz="4" w:space="0" w:color="auto"/>
              <w:right w:val="single" w:sz="4" w:space="0" w:color="auto"/>
            </w:tcBorders>
            <w:shd w:val="clear" w:color="auto" w:fill="auto"/>
            <w:noWrap/>
            <w:vAlign w:val="bottom"/>
            <w:hideMark/>
          </w:tcPr>
          <w:p w14:paraId="724A256D" w14:textId="55CC4A26"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$ 72.084 </w:t>
            </w:r>
          </w:p>
        </w:tc>
        <w:tc>
          <w:tcPr>
            <w:tcW w:w="1134" w:type="dxa"/>
            <w:tcBorders>
              <w:top w:val="nil"/>
              <w:left w:val="nil"/>
              <w:bottom w:val="single" w:sz="4" w:space="0" w:color="auto"/>
              <w:right w:val="single" w:sz="4" w:space="0" w:color="auto"/>
            </w:tcBorders>
            <w:shd w:val="clear" w:color="auto" w:fill="auto"/>
            <w:noWrap/>
            <w:vAlign w:val="bottom"/>
            <w:hideMark/>
          </w:tcPr>
          <w:p w14:paraId="218AB99D" w14:textId="6E9F835A"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$91.075 </w:t>
            </w:r>
          </w:p>
        </w:tc>
        <w:tc>
          <w:tcPr>
            <w:tcW w:w="1134" w:type="dxa"/>
            <w:tcBorders>
              <w:top w:val="nil"/>
              <w:left w:val="nil"/>
              <w:bottom w:val="single" w:sz="4" w:space="0" w:color="auto"/>
              <w:right w:val="single" w:sz="4" w:space="0" w:color="auto"/>
            </w:tcBorders>
            <w:shd w:val="clear" w:color="auto" w:fill="auto"/>
            <w:noWrap/>
            <w:vAlign w:val="bottom"/>
            <w:hideMark/>
          </w:tcPr>
          <w:p w14:paraId="61FF8EFB" w14:textId="4AB10360"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$4.399 </w:t>
            </w:r>
          </w:p>
        </w:tc>
        <w:tc>
          <w:tcPr>
            <w:tcW w:w="1418" w:type="dxa"/>
            <w:tcBorders>
              <w:top w:val="nil"/>
              <w:left w:val="nil"/>
              <w:bottom w:val="single" w:sz="4" w:space="0" w:color="auto"/>
              <w:right w:val="single" w:sz="4" w:space="0" w:color="auto"/>
            </w:tcBorders>
            <w:shd w:val="clear" w:color="auto" w:fill="auto"/>
            <w:noWrap/>
            <w:vAlign w:val="bottom"/>
            <w:hideMark/>
          </w:tcPr>
          <w:p w14:paraId="241D0FF2" w14:textId="1E5900D9"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$47.042 </w:t>
            </w:r>
          </w:p>
        </w:tc>
        <w:tc>
          <w:tcPr>
            <w:tcW w:w="1603" w:type="dxa"/>
            <w:tcBorders>
              <w:top w:val="nil"/>
              <w:left w:val="nil"/>
              <w:bottom w:val="single" w:sz="4" w:space="0" w:color="auto"/>
              <w:right w:val="single" w:sz="4" w:space="0" w:color="auto"/>
            </w:tcBorders>
            <w:shd w:val="clear" w:color="auto" w:fill="auto"/>
            <w:noWrap/>
            <w:vAlign w:val="bottom"/>
            <w:hideMark/>
          </w:tcPr>
          <w:p w14:paraId="09F98BD0" w14:textId="539D24EF"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$214.600 </w:t>
            </w:r>
          </w:p>
        </w:tc>
      </w:tr>
      <w:tr w:rsidR="00B4728D" w:rsidRPr="00B4728D" w14:paraId="60EFF253" w14:textId="77777777" w:rsidTr="00405B83">
        <w:trPr>
          <w:trHeight w:val="24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17D64A0" w14:textId="77777777" w:rsidR="00356ADD" w:rsidRPr="00B4728D" w:rsidRDefault="00356ADD" w:rsidP="00356ADD">
            <w:pPr>
              <w:spacing w:after="0" w:line="240" w:lineRule="auto"/>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BOGOTA RESPONDE</w:t>
            </w:r>
          </w:p>
        </w:tc>
        <w:tc>
          <w:tcPr>
            <w:tcW w:w="992" w:type="dxa"/>
            <w:tcBorders>
              <w:top w:val="nil"/>
              <w:left w:val="nil"/>
              <w:bottom w:val="single" w:sz="4" w:space="0" w:color="auto"/>
              <w:right w:val="single" w:sz="4" w:space="0" w:color="auto"/>
            </w:tcBorders>
            <w:shd w:val="clear" w:color="auto" w:fill="auto"/>
            <w:noWrap/>
            <w:vAlign w:val="bottom"/>
            <w:hideMark/>
          </w:tcPr>
          <w:p w14:paraId="028A29FE" w14:textId="77777777"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799CEA" w14:textId="787EF3E6"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$47.950 </w:t>
            </w:r>
          </w:p>
        </w:tc>
        <w:tc>
          <w:tcPr>
            <w:tcW w:w="1134" w:type="dxa"/>
            <w:tcBorders>
              <w:top w:val="nil"/>
              <w:left w:val="nil"/>
              <w:bottom w:val="single" w:sz="4" w:space="0" w:color="auto"/>
              <w:right w:val="single" w:sz="4" w:space="0" w:color="auto"/>
            </w:tcBorders>
            <w:shd w:val="clear" w:color="auto" w:fill="auto"/>
            <w:noWrap/>
            <w:vAlign w:val="bottom"/>
            <w:hideMark/>
          </w:tcPr>
          <w:p w14:paraId="198573DC" w14:textId="03DB4AF4"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$30.553 </w:t>
            </w:r>
          </w:p>
        </w:tc>
        <w:tc>
          <w:tcPr>
            <w:tcW w:w="1418" w:type="dxa"/>
            <w:tcBorders>
              <w:top w:val="nil"/>
              <w:left w:val="nil"/>
              <w:bottom w:val="single" w:sz="4" w:space="0" w:color="auto"/>
              <w:right w:val="single" w:sz="4" w:space="0" w:color="auto"/>
            </w:tcBorders>
            <w:shd w:val="clear" w:color="auto" w:fill="auto"/>
            <w:noWrap/>
            <w:vAlign w:val="bottom"/>
            <w:hideMark/>
          </w:tcPr>
          <w:p w14:paraId="2FBA87E5" w14:textId="578257A0"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$15.269 </w:t>
            </w:r>
          </w:p>
        </w:tc>
        <w:tc>
          <w:tcPr>
            <w:tcW w:w="1603" w:type="dxa"/>
            <w:tcBorders>
              <w:top w:val="nil"/>
              <w:left w:val="nil"/>
              <w:bottom w:val="single" w:sz="4" w:space="0" w:color="auto"/>
              <w:right w:val="single" w:sz="4" w:space="0" w:color="auto"/>
            </w:tcBorders>
            <w:shd w:val="clear" w:color="auto" w:fill="auto"/>
            <w:noWrap/>
            <w:vAlign w:val="bottom"/>
            <w:hideMark/>
          </w:tcPr>
          <w:p w14:paraId="21FC23A3" w14:textId="4E9EB692"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$ 93.772 </w:t>
            </w:r>
          </w:p>
        </w:tc>
      </w:tr>
      <w:tr w:rsidR="00B4728D" w:rsidRPr="00B4728D" w14:paraId="5E3076EE" w14:textId="77777777" w:rsidTr="00405B83">
        <w:trPr>
          <w:trHeight w:val="24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03054FF" w14:textId="77777777" w:rsidR="00356ADD" w:rsidRPr="00B4728D" w:rsidRDefault="00356ADD" w:rsidP="00356ADD">
            <w:pPr>
              <w:spacing w:after="0" w:line="240" w:lineRule="auto"/>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BARRANQUILLA RESPONDE</w:t>
            </w:r>
          </w:p>
        </w:tc>
        <w:tc>
          <w:tcPr>
            <w:tcW w:w="992" w:type="dxa"/>
            <w:tcBorders>
              <w:top w:val="nil"/>
              <w:left w:val="nil"/>
              <w:bottom w:val="single" w:sz="4" w:space="0" w:color="auto"/>
              <w:right w:val="single" w:sz="4" w:space="0" w:color="auto"/>
            </w:tcBorders>
            <w:shd w:val="clear" w:color="auto" w:fill="auto"/>
            <w:noWrap/>
            <w:vAlign w:val="bottom"/>
            <w:hideMark/>
          </w:tcPr>
          <w:p w14:paraId="09399FF2" w14:textId="77777777"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B9AA36" w14:textId="395FC773"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$12.970 </w:t>
            </w:r>
          </w:p>
        </w:tc>
        <w:tc>
          <w:tcPr>
            <w:tcW w:w="1134" w:type="dxa"/>
            <w:tcBorders>
              <w:top w:val="nil"/>
              <w:left w:val="nil"/>
              <w:bottom w:val="single" w:sz="4" w:space="0" w:color="auto"/>
              <w:right w:val="single" w:sz="4" w:space="0" w:color="auto"/>
            </w:tcBorders>
            <w:shd w:val="clear" w:color="auto" w:fill="auto"/>
            <w:noWrap/>
            <w:vAlign w:val="bottom"/>
            <w:hideMark/>
          </w:tcPr>
          <w:p w14:paraId="27C37BF0" w14:textId="0ED71449"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$15.705 </w:t>
            </w:r>
          </w:p>
        </w:tc>
        <w:tc>
          <w:tcPr>
            <w:tcW w:w="1418" w:type="dxa"/>
            <w:tcBorders>
              <w:top w:val="nil"/>
              <w:left w:val="nil"/>
              <w:bottom w:val="single" w:sz="4" w:space="0" w:color="auto"/>
              <w:right w:val="single" w:sz="4" w:space="0" w:color="auto"/>
            </w:tcBorders>
            <w:shd w:val="clear" w:color="auto" w:fill="auto"/>
            <w:noWrap/>
            <w:vAlign w:val="bottom"/>
            <w:hideMark/>
          </w:tcPr>
          <w:p w14:paraId="11766103" w14:textId="3E688A50"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$ 9.854 </w:t>
            </w:r>
          </w:p>
        </w:tc>
        <w:tc>
          <w:tcPr>
            <w:tcW w:w="1603" w:type="dxa"/>
            <w:tcBorders>
              <w:top w:val="nil"/>
              <w:left w:val="nil"/>
              <w:bottom w:val="single" w:sz="4" w:space="0" w:color="auto"/>
              <w:right w:val="single" w:sz="4" w:space="0" w:color="auto"/>
            </w:tcBorders>
            <w:shd w:val="clear" w:color="auto" w:fill="auto"/>
            <w:noWrap/>
            <w:vAlign w:val="bottom"/>
            <w:hideMark/>
          </w:tcPr>
          <w:p w14:paraId="05746AC3" w14:textId="39CEDF66"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$38.529 </w:t>
            </w:r>
          </w:p>
        </w:tc>
      </w:tr>
      <w:tr w:rsidR="00B4728D" w:rsidRPr="00B4728D" w14:paraId="62CB3769" w14:textId="77777777" w:rsidTr="00405B83">
        <w:trPr>
          <w:trHeight w:val="24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44F7C3B" w14:textId="77777777" w:rsidR="00356ADD" w:rsidRPr="00B4728D" w:rsidRDefault="00356ADD" w:rsidP="00356ADD">
            <w:pPr>
              <w:spacing w:after="0" w:line="240" w:lineRule="auto"/>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ANTIOQUIA RESPONDE</w:t>
            </w:r>
          </w:p>
        </w:tc>
        <w:tc>
          <w:tcPr>
            <w:tcW w:w="992" w:type="dxa"/>
            <w:tcBorders>
              <w:top w:val="nil"/>
              <w:left w:val="nil"/>
              <w:bottom w:val="single" w:sz="4" w:space="0" w:color="auto"/>
              <w:right w:val="single" w:sz="4" w:space="0" w:color="auto"/>
            </w:tcBorders>
            <w:shd w:val="clear" w:color="auto" w:fill="auto"/>
            <w:noWrap/>
            <w:vAlign w:val="bottom"/>
            <w:hideMark/>
          </w:tcPr>
          <w:p w14:paraId="785D88E5" w14:textId="77777777"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59B280" w14:textId="77777777"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21B557" w14:textId="6C31FD59"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$25.404 </w:t>
            </w:r>
          </w:p>
        </w:tc>
        <w:tc>
          <w:tcPr>
            <w:tcW w:w="1418" w:type="dxa"/>
            <w:tcBorders>
              <w:top w:val="nil"/>
              <w:left w:val="nil"/>
              <w:bottom w:val="single" w:sz="4" w:space="0" w:color="auto"/>
              <w:right w:val="single" w:sz="4" w:space="0" w:color="auto"/>
            </w:tcBorders>
            <w:shd w:val="clear" w:color="auto" w:fill="auto"/>
            <w:noWrap/>
            <w:vAlign w:val="bottom"/>
            <w:hideMark/>
          </w:tcPr>
          <w:p w14:paraId="3336801B" w14:textId="4B8EFC33"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$ 3.910 </w:t>
            </w:r>
          </w:p>
        </w:tc>
        <w:tc>
          <w:tcPr>
            <w:tcW w:w="1603" w:type="dxa"/>
            <w:tcBorders>
              <w:top w:val="nil"/>
              <w:left w:val="nil"/>
              <w:bottom w:val="single" w:sz="4" w:space="0" w:color="auto"/>
              <w:right w:val="single" w:sz="4" w:space="0" w:color="auto"/>
            </w:tcBorders>
            <w:shd w:val="clear" w:color="auto" w:fill="auto"/>
            <w:noWrap/>
            <w:vAlign w:val="bottom"/>
            <w:hideMark/>
          </w:tcPr>
          <w:p w14:paraId="4CDD59CF" w14:textId="505D1628"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$29.314 </w:t>
            </w:r>
          </w:p>
        </w:tc>
      </w:tr>
      <w:tr w:rsidR="00B4728D" w:rsidRPr="00B4728D" w14:paraId="7A6BEDC3" w14:textId="77777777" w:rsidTr="00405B83">
        <w:trPr>
          <w:trHeight w:val="24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9198F7D" w14:textId="77777777" w:rsidR="00356ADD" w:rsidRPr="00B4728D" w:rsidRDefault="00356ADD" w:rsidP="00356ADD">
            <w:pPr>
              <w:spacing w:after="0" w:line="240" w:lineRule="auto"/>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CALDAS Y MANIZALES RESPONDEN</w:t>
            </w:r>
          </w:p>
        </w:tc>
        <w:tc>
          <w:tcPr>
            <w:tcW w:w="992" w:type="dxa"/>
            <w:tcBorders>
              <w:top w:val="nil"/>
              <w:left w:val="nil"/>
              <w:bottom w:val="single" w:sz="4" w:space="0" w:color="auto"/>
              <w:right w:val="single" w:sz="4" w:space="0" w:color="auto"/>
            </w:tcBorders>
            <w:shd w:val="clear" w:color="auto" w:fill="auto"/>
            <w:noWrap/>
            <w:vAlign w:val="bottom"/>
            <w:hideMark/>
          </w:tcPr>
          <w:p w14:paraId="54A267CE" w14:textId="194570A5"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$ 14.591 </w:t>
            </w:r>
          </w:p>
        </w:tc>
        <w:tc>
          <w:tcPr>
            <w:tcW w:w="1134" w:type="dxa"/>
            <w:tcBorders>
              <w:top w:val="nil"/>
              <w:left w:val="nil"/>
              <w:bottom w:val="single" w:sz="4" w:space="0" w:color="auto"/>
              <w:right w:val="single" w:sz="4" w:space="0" w:color="auto"/>
            </w:tcBorders>
            <w:shd w:val="clear" w:color="auto" w:fill="auto"/>
            <w:noWrap/>
            <w:vAlign w:val="bottom"/>
            <w:hideMark/>
          </w:tcPr>
          <w:p w14:paraId="757528EB" w14:textId="2A735B39"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$ 5.607 </w:t>
            </w:r>
          </w:p>
        </w:tc>
        <w:tc>
          <w:tcPr>
            <w:tcW w:w="1134" w:type="dxa"/>
            <w:tcBorders>
              <w:top w:val="nil"/>
              <w:left w:val="nil"/>
              <w:bottom w:val="single" w:sz="4" w:space="0" w:color="auto"/>
              <w:right w:val="single" w:sz="4" w:space="0" w:color="auto"/>
            </w:tcBorders>
            <w:shd w:val="clear" w:color="auto" w:fill="auto"/>
            <w:noWrap/>
            <w:vAlign w:val="bottom"/>
            <w:hideMark/>
          </w:tcPr>
          <w:p w14:paraId="2AAFAC78" w14:textId="54D12E73"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$4.131 </w:t>
            </w:r>
          </w:p>
        </w:tc>
        <w:tc>
          <w:tcPr>
            <w:tcW w:w="1418" w:type="dxa"/>
            <w:tcBorders>
              <w:top w:val="nil"/>
              <w:left w:val="nil"/>
              <w:bottom w:val="single" w:sz="4" w:space="0" w:color="auto"/>
              <w:right w:val="single" w:sz="4" w:space="0" w:color="auto"/>
            </w:tcBorders>
            <w:shd w:val="clear" w:color="auto" w:fill="auto"/>
            <w:noWrap/>
            <w:vAlign w:val="bottom"/>
            <w:hideMark/>
          </w:tcPr>
          <w:p w14:paraId="30783D0E" w14:textId="476E01E6"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$ 2.544 </w:t>
            </w:r>
          </w:p>
        </w:tc>
        <w:tc>
          <w:tcPr>
            <w:tcW w:w="1603" w:type="dxa"/>
            <w:tcBorders>
              <w:top w:val="nil"/>
              <w:left w:val="nil"/>
              <w:bottom w:val="single" w:sz="4" w:space="0" w:color="auto"/>
              <w:right w:val="single" w:sz="4" w:space="0" w:color="auto"/>
            </w:tcBorders>
            <w:shd w:val="clear" w:color="auto" w:fill="auto"/>
            <w:noWrap/>
            <w:vAlign w:val="bottom"/>
            <w:hideMark/>
          </w:tcPr>
          <w:p w14:paraId="0FCB042D" w14:textId="1E27EF06"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$26.872 </w:t>
            </w:r>
          </w:p>
        </w:tc>
      </w:tr>
      <w:tr w:rsidR="00B4728D" w:rsidRPr="00B4728D" w14:paraId="79B3BE8F" w14:textId="77777777" w:rsidTr="00405B83">
        <w:trPr>
          <w:trHeight w:val="24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98D539E" w14:textId="77777777" w:rsidR="00356ADD" w:rsidRPr="00B4728D" w:rsidRDefault="00356ADD" w:rsidP="00356ADD">
            <w:pPr>
              <w:spacing w:after="0" w:line="240" w:lineRule="auto"/>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NORTE DE SANTANDER RESPONDE</w:t>
            </w:r>
          </w:p>
        </w:tc>
        <w:tc>
          <w:tcPr>
            <w:tcW w:w="992" w:type="dxa"/>
            <w:tcBorders>
              <w:top w:val="nil"/>
              <w:left w:val="nil"/>
              <w:bottom w:val="single" w:sz="4" w:space="0" w:color="auto"/>
              <w:right w:val="single" w:sz="4" w:space="0" w:color="auto"/>
            </w:tcBorders>
            <w:shd w:val="clear" w:color="auto" w:fill="auto"/>
            <w:noWrap/>
            <w:vAlign w:val="bottom"/>
            <w:hideMark/>
          </w:tcPr>
          <w:p w14:paraId="5DCD9EF3" w14:textId="77777777"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57C637" w14:textId="77777777"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14:paraId="265C0213" w14:textId="77EFDA00"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$3.771 </w:t>
            </w:r>
          </w:p>
        </w:tc>
        <w:tc>
          <w:tcPr>
            <w:tcW w:w="1418" w:type="dxa"/>
            <w:tcBorders>
              <w:top w:val="nil"/>
              <w:left w:val="nil"/>
              <w:bottom w:val="single" w:sz="4" w:space="0" w:color="auto"/>
              <w:right w:val="single" w:sz="4" w:space="0" w:color="auto"/>
            </w:tcBorders>
            <w:shd w:val="clear" w:color="auto" w:fill="auto"/>
            <w:noWrap/>
            <w:vAlign w:val="bottom"/>
            <w:hideMark/>
          </w:tcPr>
          <w:p w14:paraId="32C8616E" w14:textId="624BB86F"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$3.589 </w:t>
            </w:r>
          </w:p>
        </w:tc>
        <w:tc>
          <w:tcPr>
            <w:tcW w:w="1603" w:type="dxa"/>
            <w:tcBorders>
              <w:top w:val="nil"/>
              <w:left w:val="nil"/>
              <w:bottom w:val="single" w:sz="4" w:space="0" w:color="auto"/>
              <w:right w:val="single" w:sz="4" w:space="0" w:color="auto"/>
            </w:tcBorders>
            <w:shd w:val="clear" w:color="auto" w:fill="auto"/>
            <w:noWrap/>
            <w:vAlign w:val="bottom"/>
            <w:hideMark/>
          </w:tcPr>
          <w:p w14:paraId="4C4E7A39" w14:textId="7D0981A2"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$ 7.360 </w:t>
            </w:r>
          </w:p>
        </w:tc>
      </w:tr>
      <w:tr w:rsidR="00B4728D" w:rsidRPr="00B4728D" w14:paraId="2B97BBF0" w14:textId="77777777" w:rsidTr="00405B83">
        <w:trPr>
          <w:trHeight w:val="24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A27CB1" w14:textId="77777777" w:rsidR="00356ADD" w:rsidRPr="00B4728D" w:rsidRDefault="00356ADD" w:rsidP="00356ADD">
            <w:pPr>
              <w:spacing w:after="0" w:line="240" w:lineRule="auto"/>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COLOMBIA EMPRENDE E INNOVA</w:t>
            </w:r>
          </w:p>
        </w:tc>
        <w:tc>
          <w:tcPr>
            <w:tcW w:w="992" w:type="dxa"/>
            <w:tcBorders>
              <w:top w:val="nil"/>
              <w:left w:val="nil"/>
              <w:bottom w:val="single" w:sz="4" w:space="0" w:color="auto"/>
              <w:right w:val="single" w:sz="4" w:space="0" w:color="auto"/>
            </w:tcBorders>
            <w:shd w:val="clear" w:color="auto" w:fill="auto"/>
            <w:noWrap/>
            <w:vAlign w:val="bottom"/>
            <w:hideMark/>
          </w:tcPr>
          <w:p w14:paraId="17967F2D" w14:textId="77777777"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9991FB" w14:textId="267F6862"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$100 </w:t>
            </w:r>
          </w:p>
        </w:tc>
        <w:tc>
          <w:tcPr>
            <w:tcW w:w="1134" w:type="dxa"/>
            <w:tcBorders>
              <w:top w:val="nil"/>
              <w:left w:val="nil"/>
              <w:bottom w:val="single" w:sz="4" w:space="0" w:color="auto"/>
              <w:right w:val="single" w:sz="4" w:space="0" w:color="auto"/>
            </w:tcBorders>
            <w:shd w:val="clear" w:color="auto" w:fill="auto"/>
            <w:noWrap/>
            <w:vAlign w:val="bottom"/>
            <w:hideMark/>
          </w:tcPr>
          <w:p w14:paraId="3581F93D" w14:textId="478B253D"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$582 </w:t>
            </w:r>
          </w:p>
        </w:tc>
        <w:tc>
          <w:tcPr>
            <w:tcW w:w="1418" w:type="dxa"/>
            <w:tcBorders>
              <w:top w:val="nil"/>
              <w:left w:val="nil"/>
              <w:bottom w:val="single" w:sz="4" w:space="0" w:color="auto"/>
              <w:right w:val="single" w:sz="4" w:space="0" w:color="auto"/>
            </w:tcBorders>
            <w:shd w:val="clear" w:color="auto" w:fill="auto"/>
            <w:noWrap/>
            <w:vAlign w:val="bottom"/>
            <w:hideMark/>
          </w:tcPr>
          <w:p w14:paraId="564375B2" w14:textId="0DEF5909"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$3.429 </w:t>
            </w:r>
          </w:p>
        </w:tc>
        <w:tc>
          <w:tcPr>
            <w:tcW w:w="1603" w:type="dxa"/>
            <w:tcBorders>
              <w:top w:val="nil"/>
              <w:left w:val="nil"/>
              <w:bottom w:val="single" w:sz="4" w:space="0" w:color="auto"/>
              <w:right w:val="single" w:sz="4" w:space="0" w:color="auto"/>
            </w:tcBorders>
            <w:shd w:val="clear" w:color="auto" w:fill="auto"/>
            <w:noWrap/>
            <w:vAlign w:val="bottom"/>
            <w:hideMark/>
          </w:tcPr>
          <w:p w14:paraId="75071403" w14:textId="70BF167D"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$ 4.111 </w:t>
            </w:r>
          </w:p>
        </w:tc>
      </w:tr>
      <w:tr w:rsidR="00B4728D" w:rsidRPr="00B4728D" w14:paraId="13A50CE4" w14:textId="77777777" w:rsidTr="00405B83">
        <w:trPr>
          <w:trHeight w:val="24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711C1F9" w14:textId="77777777" w:rsidR="00356ADD" w:rsidRPr="00B4728D" w:rsidRDefault="00356ADD" w:rsidP="00356ADD">
            <w:pPr>
              <w:spacing w:after="0" w:line="240" w:lineRule="auto"/>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CUCUTA RESPONDE</w:t>
            </w:r>
          </w:p>
        </w:tc>
        <w:tc>
          <w:tcPr>
            <w:tcW w:w="992" w:type="dxa"/>
            <w:tcBorders>
              <w:top w:val="nil"/>
              <w:left w:val="nil"/>
              <w:bottom w:val="single" w:sz="4" w:space="0" w:color="auto"/>
              <w:right w:val="single" w:sz="4" w:space="0" w:color="auto"/>
            </w:tcBorders>
            <w:shd w:val="clear" w:color="auto" w:fill="auto"/>
            <w:noWrap/>
            <w:vAlign w:val="bottom"/>
            <w:hideMark/>
          </w:tcPr>
          <w:p w14:paraId="7F4B5AD9" w14:textId="77777777"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E93E88" w14:textId="77777777"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w:t>
            </w:r>
          </w:p>
        </w:tc>
        <w:tc>
          <w:tcPr>
            <w:tcW w:w="1134" w:type="dxa"/>
            <w:tcBorders>
              <w:top w:val="nil"/>
              <w:left w:val="nil"/>
              <w:bottom w:val="single" w:sz="4" w:space="0" w:color="auto"/>
              <w:right w:val="single" w:sz="4" w:space="0" w:color="auto"/>
            </w:tcBorders>
            <w:shd w:val="clear" w:color="auto" w:fill="auto"/>
            <w:noWrap/>
            <w:vAlign w:val="bottom"/>
            <w:hideMark/>
          </w:tcPr>
          <w:p w14:paraId="77109915" w14:textId="40207D16"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$2.883 </w:t>
            </w:r>
          </w:p>
        </w:tc>
        <w:tc>
          <w:tcPr>
            <w:tcW w:w="1418" w:type="dxa"/>
            <w:tcBorders>
              <w:top w:val="nil"/>
              <w:left w:val="nil"/>
              <w:bottom w:val="single" w:sz="4" w:space="0" w:color="auto"/>
              <w:right w:val="single" w:sz="4" w:space="0" w:color="auto"/>
            </w:tcBorders>
            <w:shd w:val="clear" w:color="auto" w:fill="auto"/>
            <w:noWrap/>
            <w:vAlign w:val="bottom"/>
            <w:hideMark/>
          </w:tcPr>
          <w:p w14:paraId="52CDA4E0" w14:textId="77777777"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w:t>
            </w:r>
          </w:p>
        </w:tc>
        <w:tc>
          <w:tcPr>
            <w:tcW w:w="1603" w:type="dxa"/>
            <w:tcBorders>
              <w:top w:val="nil"/>
              <w:left w:val="nil"/>
              <w:bottom w:val="single" w:sz="4" w:space="0" w:color="auto"/>
              <w:right w:val="single" w:sz="4" w:space="0" w:color="auto"/>
            </w:tcBorders>
            <w:shd w:val="clear" w:color="auto" w:fill="auto"/>
            <w:noWrap/>
            <w:vAlign w:val="bottom"/>
            <w:hideMark/>
          </w:tcPr>
          <w:p w14:paraId="363B1518" w14:textId="6DCEB650" w:rsidR="00356ADD" w:rsidRPr="00B4728D" w:rsidRDefault="00356ADD" w:rsidP="00356ADD">
            <w:pPr>
              <w:spacing w:after="0" w:line="240" w:lineRule="auto"/>
              <w:jc w:val="right"/>
              <w:rPr>
                <w:rFonts w:ascii="Arial" w:eastAsia="Times New Roman" w:hAnsi="Arial" w:cs="Arial"/>
                <w:color w:val="000000" w:themeColor="text1"/>
                <w:sz w:val="18"/>
                <w:szCs w:val="18"/>
                <w:lang w:val="es-CO" w:eastAsia="es-CO"/>
              </w:rPr>
            </w:pPr>
            <w:r w:rsidRPr="00B4728D">
              <w:rPr>
                <w:rFonts w:ascii="Arial" w:eastAsia="Times New Roman" w:hAnsi="Arial" w:cs="Arial"/>
                <w:color w:val="000000" w:themeColor="text1"/>
                <w:sz w:val="18"/>
                <w:szCs w:val="18"/>
                <w:lang w:val="es-CO" w:eastAsia="es-CO"/>
              </w:rPr>
              <w:t xml:space="preserve"> $ 2.883 </w:t>
            </w:r>
          </w:p>
        </w:tc>
      </w:tr>
      <w:tr w:rsidR="00B4728D" w:rsidRPr="00B4728D" w14:paraId="7D90CAFA" w14:textId="77777777" w:rsidTr="00405B83">
        <w:trPr>
          <w:trHeight w:val="243"/>
          <w:jc w:val="center"/>
        </w:trPr>
        <w:tc>
          <w:tcPr>
            <w:tcW w:w="2547" w:type="dxa"/>
            <w:tcBorders>
              <w:top w:val="nil"/>
              <w:left w:val="single" w:sz="4" w:space="0" w:color="auto"/>
              <w:bottom w:val="single" w:sz="4" w:space="0" w:color="auto"/>
              <w:right w:val="single" w:sz="4" w:space="0" w:color="auto"/>
            </w:tcBorders>
            <w:shd w:val="clear" w:color="000000" w:fill="D9D9D9"/>
            <w:noWrap/>
            <w:vAlign w:val="bottom"/>
            <w:hideMark/>
          </w:tcPr>
          <w:p w14:paraId="3DEC5222" w14:textId="77777777" w:rsidR="00356ADD" w:rsidRPr="00B4728D" w:rsidRDefault="00356ADD" w:rsidP="00356ADD">
            <w:pPr>
              <w:spacing w:after="0" w:line="240" w:lineRule="auto"/>
              <w:rPr>
                <w:rFonts w:ascii="Arial" w:eastAsia="Times New Roman" w:hAnsi="Arial" w:cs="Arial"/>
                <w:b/>
                <w:bCs/>
                <w:color w:val="000000" w:themeColor="text1"/>
                <w:sz w:val="18"/>
                <w:szCs w:val="18"/>
                <w:lang w:val="es-CO" w:eastAsia="es-CO"/>
              </w:rPr>
            </w:pPr>
            <w:r w:rsidRPr="00B4728D">
              <w:rPr>
                <w:rFonts w:ascii="Arial" w:eastAsia="Times New Roman" w:hAnsi="Arial" w:cs="Arial"/>
                <w:b/>
                <w:bCs/>
                <w:color w:val="000000" w:themeColor="text1"/>
                <w:sz w:val="18"/>
                <w:szCs w:val="18"/>
                <w:lang w:val="es-CO" w:eastAsia="es-CO"/>
              </w:rPr>
              <w:t>Total</w:t>
            </w:r>
          </w:p>
        </w:tc>
        <w:tc>
          <w:tcPr>
            <w:tcW w:w="992" w:type="dxa"/>
            <w:tcBorders>
              <w:top w:val="nil"/>
              <w:left w:val="nil"/>
              <w:bottom w:val="single" w:sz="4" w:space="0" w:color="auto"/>
              <w:right w:val="single" w:sz="4" w:space="0" w:color="auto"/>
            </w:tcBorders>
            <w:shd w:val="clear" w:color="000000" w:fill="D9D9D9"/>
            <w:noWrap/>
            <w:vAlign w:val="bottom"/>
            <w:hideMark/>
          </w:tcPr>
          <w:p w14:paraId="2E17AAE2" w14:textId="7E0F111D" w:rsidR="00356ADD" w:rsidRPr="00B4728D" w:rsidRDefault="00356ADD" w:rsidP="00356ADD">
            <w:pPr>
              <w:spacing w:after="0" w:line="240" w:lineRule="auto"/>
              <w:jc w:val="right"/>
              <w:rPr>
                <w:rFonts w:ascii="Arial" w:eastAsia="Times New Roman" w:hAnsi="Arial" w:cs="Arial"/>
                <w:b/>
                <w:bCs/>
                <w:color w:val="000000" w:themeColor="text1"/>
                <w:sz w:val="18"/>
                <w:szCs w:val="18"/>
                <w:lang w:val="es-CO" w:eastAsia="es-CO"/>
              </w:rPr>
            </w:pPr>
            <w:r w:rsidRPr="00B4728D">
              <w:rPr>
                <w:rFonts w:ascii="Arial" w:eastAsia="Times New Roman" w:hAnsi="Arial" w:cs="Arial"/>
                <w:b/>
                <w:bCs/>
                <w:color w:val="000000" w:themeColor="text1"/>
                <w:sz w:val="18"/>
                <w:szCs w:val="18"/>
                <w:lang w:val="es-CO" w:eastAsia="es-CO"/>
              </w:rPr>
              <w:t xml:space="preserve"> $ 159.855 </w:t>
            </w:r>
          </w:p>
        </w:tc>
        <w:tc>
          <w:tcPr>
            <w:tcW w:w="1134" w:type="dxa"/>
            <w:tcBorders>
              <w:top w:val="nil"/>
              <w:left w:val="nil"/>
              <w:bottom w:val="single" w:sz="4" w:space="0" w:color="auto"/>
              <w:right w:val="single" w:sz="4" w:space="0" w:color="auto"/>
            </w:tcBorders>
            <w:shd w:val="clear" w:color="000000" w:fill="D9D9D9"/>
            <w:noWrap/>
            <w:vAlign w:val="bottom"/>
            <w:hideMark/>
          </w:tcPr>
          <w:p w14:paraId="5D037358" w14:textId="77777777" w:rsidR="00356ADD" w:rsidRPr="00B4728D" w:rsidRDefault="00356ADD" w:rsidP="00356ADD">
            <w:pPr>
              <w:spacing w:after="0" w:line="240" w:lineRule="auto"/>
              <w:jc w:val="right"/>
              <w:rPr>
                <w:rFonts w:ascii="Arial" w:eastAsia="Times New Roman" w:hAnsi="Arial" w:cs="Arial"/>
                <w:b/>
                <w:bCs/>
                <w:color w:val="000000" w:themeColor="text1"/>
                <w:sz w:val="18"/>
                <w:szCs w:val="18"/>
                <w:lang w:val="es-CO" w:eastAsia="es-CO"/>
              </w:rPr>
            </w:pPr>
            <w:r w:rsidRPr="00B4728D">
              <w:rPr>
                <w:rFonts w:ascii="Arial" w:eastAsia="Times New Roman" w:hAnsi="Arial" w:cs="Arial"/>
                <w:b/>
                <w:bCs/>
                <w:color w:val="000000" w:themeColor="text1"/>
                <w:sz w:val="18"/>
                <w:szCs w:val="18"/>
                <w:lang w:val="es-CO" w:eastAsia="es-CO"/>
              </w:rPr>
              <w:t xml:space="preserve"> $  288.597 </w:t>
            </w:r>
          </w:p>
        </w:tc>
        <w:tc>
          <w:tcPr>
            <w:tcW w:w="1134" w:type="dxa"/>
            <w:tcBorders>
              <w:top w:val="nil"/>
              <w:left w:val="nil"/>
              <w:bottom w:val="single" w:sz="4" w:space="0" w:color="auto"/>
              <w:right w:val="single" w:sz="4" w:space="0" w:color="auto"/>
            </w:tcBorders>
            <w:shd w:val="clear" w:color="000000" w:fill="D9D9D9"/>
            <w:noWrap/>
            <w:vAlign w:val="bottom"/>
            <w:hideMark/>
          </w:tcPr>
          <w:p w14:paraId="686CEF9A" w14:textId="77777777" w:rsidR="00356ADD" w:rsidRPr="00B4728D" w:rsidRDefault="00356ADD" w:rsidP="00356ADD">
            <w:pPr>
              <w:spacing w:after="0" w:line="240" w:lineRule="auto"/>
              <w:jc w:val="right"/>
              <w:rPr>
                <w:rFonts w:ascii="Arial" w:eastAsia="Times New Roman" w:hAnsi="Arial" w:cs="Arial"/>
                <w:b/>
                <w:bCs/>
                <w:color w:val="000000" w:themeColor="text1"/>
                <w:sz w:val="18"/>
                <w:szCs w:val="18"/>
                <w:lang w:val="es-CO" w:eastAsia="es-CO"/>
              </w:rPr>
            </w:pPr>
            <w:r w:rsidRPr="00B4728D">
              <w:rPr>
                <w:rFonts w:ascii="Arial" w:eastAsia="Times New Roman" w:hAnsi="Arial" w:cs="Arial"/>
                <w:b/>
                <w:bCs/>
                <w:color w:val="000000" w:themeColor="text1"/>
                <w:sz w:val="18"/>
                <w:szCs w:val="18"/>
                <w:lang w:val="es-CO" w:eastAsia="es-CO"/>
              </w:rPr>
              <w:t xml:space="preserve"> $  158.101 </w:t>
            </w:r>
          </w:p>
        </w:tc>
        <w:tc>
          <w:tcPr>
            <w:tcW w:w="1418" w:type="dxa"/>
            <w:tcBorders>
              <w:top w:val="nil"/>
              <w:left w:val="nil"/>
              <w:bottom w:val="single" w:sz="4" w:space="0" w:color="auto"/>
              <w:right w:val="single" w:sz="4" w:space="0" w:color="auto"/>
            </w:tcBorders>
            <w:shd w:val="clear" w:color="000000" w:fill="D9D9D9"/>
            <w:noWrap/>
            <w:vAlign w:val="bottom"/>
            <w:hideMark/>
          </w:tcPr>
          <w:p w14:paraId="3630D1B8" w14:textId="77777777" w:rsidR="00356ADD" w:rsidRPr="00B4728D" w:rsidRDefault="00356ADD" w:rsidP="00356ADD">
            <w:pPr>
              <w:spacing w:after="0" w:line="240" w:lineRule="auto"/>
              <w:jc w:val="right"/>
              <w:rPr>
                <w:rFonts w:ascii="Arial" w:eastAsia="Times New Roman" w:hAnsi="Arial" w:cs="Arial"/>
                <w:b/>
                <w:bCs/>
                <w:color w:val="000000" w:themeColor="text1"/>
                <w:sz w:val="18"/>
                <w:szCs w:val="18"/>
                <w:lang w:val="es-CO" w:eastAsia="es-CO"/>
              </w:rPr>
            </w:pPr>
            <w:r w:rsidRPr="00B4728D">
              <w:rPr>
                <w:rFonts w:ascii="Arial" w:eastAsia="Times New Roman" w:hAnsi="Arial" w:cs="Arial"/>
                <w:b/>
                <w:bCs/>
                <w:color w:val="000000" w:themeColor="text1"/>
                <w:sz w:val="18"/>
                <w:szCs w:val="18"/>
                <w:lang w:val="es-CO" w:eastAsia="es-CO"/>
              </w:rPr>
              <w:t xml:space="preserve"> $  114.595 </w:t>
            </w:r>
          </w:p>
        </w:tc>
        <w:tc>
          <w:tcPr>
            <w:tcW w:w="1603" w:type="dxa"/>
            <w:tcBorders>
              <w:top w:val="nil"/>
              <w:left w:val="nil"/>
              <w:bottom w:val="single" w:sz="4" w:space="0" w:color="auto"/>
              <w:right w:val="single" w:sz="4" w:space="0" w:color="auto"/>
            </w:tcBorders>
            <w:shd w:val="clear" w:color="000000" w:fill="D9D9D9"/>
            <w:noWrap/>
            <w:vAlign w:val="bottom"/>
            <w:hideMark/>
          </w:tcPr>
          <w:p w14:paraId="09EA5378" w14:textId="77777777" w:rsidR="00356ADD" w:rsidRPr="00B4728D" w:rsidRDefault="00356ADD" w:rsidP="00356ADD">
            <w:pPr>
              <w:spacing w:after="0" w:line="240" w:lineRule="auto"/>
              <w:jc w:val="right"/>
              <w:rPr>
                <w:rFonts w:ascii="Arial" w:eastAsia="Times New Roman" w:hAnsi="Arial" w:cs="Arial"/>
                <w:b/>
                <w:bCs/>
                <w:color w:val="000000" w:themeColor="text1"/>
                <w:sz w:val="18"/>
                <w:szCs w:val="18"/>
                <w:lang w:val="es-CO" w:eastAsia="es-CO"/>
              </w:rPr>
            </w:pPr>
            <w:r w:rsidRPr="00B4728D">
              <w:rPr>
                <w:rFonts w:ascii="Arial" w:eastAsia="Times New Roman" w:hAnsi="Arial" w:cs="Arial"/>
                <w:b/>
                <w:bCs/>
                <w:color w:val="000000" w:themeColor="text1"/>
                <w:sz w:val="18"/>
                <w:szCs w:val="18"/>
                <w:lang w:val="es-CO" w:eastAsia="es-CO"/>
              </w:rPr>
              <w:t xml:space="preserve"> $  721.148 </w:t>
            </w:r>
          </w:p>
        </w:tc>
      </w:tr>
    </w:tbl>
    <w:p w14:paraId="73363900" w14:textId="7C61D035" w:rsidR="00356ADD" w:rsidRPr="00405B83" w:rsidRDefault="00356ADD" w:rsidP="00356ADD">
      <w:pPr>
        <w:rPr>
          <w:rFonts w:ascii="Arial" w:hAnsi="Arial" w:cs="Arial"/>
          <w:color w:val="000000" w:themeColor="text1"/>
          <w:sz w:val="20"/>
          <w:szCs w:val="20"/>
        </w:rPr>
      </w:pPr>
      <w:r w:rsidRPr="00405B83">
        <w:rPr>
          <w:rFonts w:ascii="Arial" w:hAnsi="Arial" w:cs="Arial"/>
          <w:color w:val="000000" w:themeColor="text1"/>
          <w:sz w:val="20"/>
          <w:szCs w:val="20"/>
        </w:rPr>
        <w:t>Fuente: Superfinanciera – reporte realizado por Bancóldex</w:t>
      </w:r>
    </w:p>
    <w:p w14:paraId="11209D40" w14:textId="1BCB0B68" w:rsidR="009C3BF7" w:rsidRPr="00B4728D" w:rsidRDefault="00356ADD" w:rsidP="00107D94">
      <w:pPr>
        <w:jc w:val="both"/>
        <w:rPr>
          <w:rFonts w:ascii="Arial" w:hAnsi="Arial" w:cs="Arial"/>
          <w:color w:val="000000" w:themeColor="text1"/>
        </w:rPr>
      </w:pPr>
      <w:r w:rsidRPr="00B4728D">
        <w:rPr>
          <w:rFonts w:ascii="Arial" w:hAnsi="Arial" w:cs="Arial"/>
          <w:color w:val="000000" w:themeColor="text1"/>
        </w:rPr>
        <w:t>Por su parte, la distribución de los desembolsos por tamaño de beneficiario, desde iniciada la coyuntura, a través de la línea Colombia Agroproduce de Finagro es la siguiente:</w:t>
      </w:r>
    </w:p>
    <w:tbl>
      <w:tblPr>
        <w:tblW w:w="0" w:type="auto"/>
        <w:jc w:val="center"/>
        <w:tblCellMar>
          <w:left w:w="70" w:type="dxa"/>
          <w:right w:w="70" w:type="dxa"/>
        </w:tblCellMar>
        <w:tblLook w:val="04A0" w:firstRow="1" w:lastRow="0" w:firstColumn="1" w:lastColumn="0" w:noHBand="0" w:noVBand="1"/>
      </w:tblPr>
      <w:tblGrid>
        <w:gridCol w:w="807"/>
        <w:gridCol w:w="1975"/>
        <w:gridCol w:w="1530"/>
        <w:gridCol w:w="1363"/>
        <w:gridCol w:w="1475"/>
      </w:tblGrid>
      <w:tr w:rsidR="00B4728D" w:rsidRPr="00631B3D" w14:paraId="0BA2B583" w14:textId="77777777" w:rsidTr="00096BFA">
        <w:trPr>
          <w:trHeight w:val="30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1B40107" w14:textId="77777777" w:rsidR="00356ADD" w:rsidRPr="00096BFA" w:rsidRDefault="00356ADD" w:rsidP="00356ADD">
            <w:pPr>
              <w:spacing w:after="0" w:line="240" w:lineRule="auto"/>
              <w:jc w:val="center"/>
              <w:rPr>
                <w:rFonts w:ascii="Arial" w:eastAsia="Times New Roman" w:hAnsi="Arial" w:cs="Arial"/>
                <w:b/>
                <w:bCs/>
                <w:color w:val="FFFFFF" w:themeColor="background1"/>
                <w:sz w:val="20"/>
                <w:szCs w:val="20"/>
                <w:lang w:val="es-CO" w:eastAsia="es-CO"/>
              </w:rPr>
            </w:pPr>
            <w:r w:rsidRPr="00096BFA">
              <w:rPr>
                <w:rFonts w:ascii="Arial" w:eastAsia="Times New Roman" w:hAnsi="Arial" w:cs="Arial"/>
                <w:b/>
                <w:bCs/>
                <w:color w:val="FFFFFF" w:themeColor="background1"/>
                <w:sz w:val="20"/>
                <w:szCs w:val="20"/>
                <w:lang w:val="es-CO" w:eastAsia="es-CO"/>
              </w:rPr>
              <w:lastRenderedPageBreak/>
              <w:t>Fecha</w:t>
            </w:r>
          </w:p>
        </w:tc>
        <w:tc>
          <w:tcPr>
            <w:tcW w:w="0" w:type="auto"/>
            <w:tcBorders>
              <w:top w:val="single" w:sz="4" w:space="0" w:color="auto"/>
              <w:left w:val="nil"/>
              <w:bottom w:val="single" w:sz="4" w:space="0" w:color="auto"/>
              <w:right w:val="single" w:sz="4" w:space="0" w:color="auto"/>
            </w:tcBorders>
            <w:shd w:val="clear" w:color="auto" w:fill="0070C0"/>
            <w:noWrap/>
            <w:vAlign w:val="bottom"/>
            <w:hideMark/>
          </w:tcPr>
          <w:p w14:paraId="41981BBF" w14:textId="77777777" w:rsidR="00356ADD" w:rsidRPr="00096BFA" w:rsidRDefault="00356ADD" w:rsidP="00356ADD">
            <w:pPr>
              <w:spacing w:after="0" w:line="240" w:lineRule="auto"/>
              <w:jc w:val="center"/>
              <w:rPr>
                <w:rFonts w:ascii="Arial" w:eastAsia="Times New Roman" w:hAnsi="Arial" w:cs="Arial"/>
                <w:b/>
                <w:bCs/>
                <w:color w:val="FFFFFF" w:themeColor="background1"/>
                <w:sz w:val="20"/>
                <w:szCs w:val="20"/>
                <w:lang w:val="es-CO" w:eastAsia="es-CO"/>
              </w:rPr>
            </w:pPr>
            <w:r w:rsidRPr="00096BFA">
              <w:rPr>
                <w:rFonts w:ascii="Arial" w:eastAsia="Times New Roman" w:hAnsi="Arial" w:cs="Arial"/>
                <w:b/>
                <w:bCs/>
                <w:color w:val="FFFFFF" w:themeColor="background1"/>
                <w:sz w:val="20"/>
                <w:szCs w:val="20"/>
                <w:lang w:val="es-CO" w:eastAsia="es-CO"/>
              </w:rPr>
              <w:t>Gran productor</w:t>
            </w:r>
          </w:p>
        </w:tc>
        <w:tc>
          <w:tcPr>
            <w:tcW w:w="0" w:type="auto"/>
            <w:tcBorders>
              <w:top w:val="single" w:sz="4" w:space="0" w:color="auto"/>
              <w:left w:val="nil"/>
              <w:bottom w:val="single" w:sz="4" w:space="0" w:color="auto"/>
              <w:right w:val="single" w:sz="4" w:space="0" w:color="auto"/>
            </w:tcBorders>
            <w:shd w:val="clear" w:color="auto" w:fill="0070C0"/>
            <w:noWrap/>
            <w:vAlign w:val="bottom"/>
            <w:hideMark/>
          </w:tcPr>
          <w:p w14:paraId="036D3CB1" w14:textId="77777777" w:rsidR="00356ADD" w:rsidRPr="00096BFA" w:rsidRDefault="00356ADD" w:rsidP="00356ADD">
            <w:pPr>
              <w:spacing w:after="0" w:line="240" w:lineRule="auto"/>
              <w:jc w:val="center"/>
              <w:rPr>
                <w:rFonts w:ascii="Arial" w:eastAsia="Times New Roman" w:hAnsi="Arial" w:cs="Arial"/>
                <w:b/>
                <w:bCs/>
                <w:color w:val="FFFFFF" w:themeColor="background1"/>
                <w:sz w:val="20"/>
                <w:szCs w:val="20"/>
                <w:lang w:val="es-CO" w:eastAsia="es-CO"/>
              </w:rPr>
            </w:pPr>
            <w:r w:rsidRPr="00096BFA">
              <w:rPr>
                <w:rFonts w:ascii="Arial" w:eastAsia="Times New Roman" w:hAnsi="Arial" w:cs="Arial"/>
                <w:b/>
                <w:bCs/>
                <w:color w:val="FFFFFF" w:themeColor="background1"/>
                <w:sz w:val="20"/>
                <w:szCs w:val="20"/>
                <w:lang w:val="es-CO" w:eastAsia="es-CO"/>
              </w:rPr>
              <w:t>Mediano</w:t>
            </w:r>
          </w:p>
        </w:tc>
        <w:tc>
          <w:tcPr>
            <w:tcW w:w="0" w:type="auto"/>
            <w:tcBorders>
              <w:top w:val="single" w:sz="4" w:space="0" w:color="auto"/>
              <w:left w:val="nil"/>
              <w:bottom w:val="single" w:sz="4" w:space="0" w:color="auto"/>
              <w:right w:val="single" w:sz="4" w:space="0" w:color="auto"/>
            </w:tcBorders>
            <w:shd w:val="clear" w:color="auto" w:fill="0070C0"/>
            <w:noWrap/>
            <w:vAlign w:val="bottom"/>
            <w:hideMark/>
          </w:tcPr>
          <w:p w14:paraId="10BDFEA9" w14:textId="77777777" w:rsidR="00356ADD" w:rsidRPr="00096BFA" w:rsidRDefault="00356ADD" w:rsidP="00356ADD">
            <w:pPr>
              <w:spacing w:after="0" w:line="240" w:lineRule="auto"/>
              <w:jc w:val="center"/>
              <w:rPr>
                <w:rFonts w:ascii="Arial" w:eastAsia="Times New Roman" w:hAnsi="Arial" w:cs="Arial"/>
                <w:b/>
                <w:bCs/>
                <w:color w:val="FFFFFF" w:themeColor="background1"/>
                <w:sz w:val="20"/>
                <w:szCs w:val="20"/>
                <w:lang w:val="es-CO" w:eastAsia="es-CO"/>
              </w:rPr>
            </w:pPr>
            <w:r w:rsidRPr="00096BFA">
              <w:rPr>
                <w:rFonts w:ascii="Arial" w:eastAsia="Times New Roman" w:hAnsi="Arial" w:cs="Arial"/>
                <w:b/>
                <w:bCs/>
                <w:color w:val="FFFFFF" w:themeColor="background1"/>
                <w:sz w:val="20"/>
                <w:szCs w:val="20"/>
                <w:lang w:val="es-CO" w:eastAsia="es-CO"/>
              </w:rPr>
              <w:t>Pequeño</w:t>
            </w:r>
          </w:p>
        </w:tc>
        <w:tc>
          <w:tcPr>
            <w:tcW w:w="0" w:type="auto"/>
            <w:tcBorders>
              <w:top w:val="single" w:sz="4" w:space="0" w:color="auto"/>
              <w:left w:val="nil"/>
              <w:bottom w:val="single" w:sz="4" w:space="0" w:color="auto"/>
              <w:right w:val="single" w:sz="4" w:space="0" w:color="auto"/>
            </w:tcBorders>
            <w:shd w:val="clear" w:color="auto" w:fill="0070C0"/>
            <w:noWrap/>
            <w:vAlign w:val="bottom"/>
            <w:hideMark/>
          </w:tcPr>
          <w:p w14:paraId="63DF6140" w14:textId="77777777" w:rsidR="00356ADD" w:rsidRPr="00096BFA" w:rsidRDefault="00356ADD" w:rsidP="00356ADD">
            <w:pPr>
              <w:spacing w:after="0" w:line="240" w:lineRule="auto"/>
              <w:jc w:val="center"/>
              <w:rPr>
                <w:rFonts w:ascii="Arial" w:eastAsia="Times New Roman" w:hAnsi="Arial" w:cs="Arial"/>
                <w:b/>
                <w:bCs/>
                <w:color w:val="FFFFFF" w:themeColor="background1"/>
                <w:sz w:val="20"/>
                <w:szCs w:val="20"/>
                <w:lang w:val="es-CO" w:eastAsia="es-CO"/>
              </w:rPr>
            </w:pPr>
            <w:r w:rsidRPr="00096BFA">
              <w:rPr>
                <w:rFonts w:ascii="Arial" w:eastAsia="Times New Roman" w:hAnsi="Arial" w:cs="Arial"/>
                <w:b/>
                <w:bCs/>
                <w:color w:val="FFFFFF" w:themeColor="background1"/>
                <w:sz w:val="20"/>
                <w:szCs w:val="20"/>
                <w:lang w:val="es-CO" w:eastAsia="es-CO"/>
              </w:rPr>
              <w:t>Total</w:t>
            </w:r>
          </w:p>
        </w:tc>
      </w:tr>
      <w:tr w:rsidR="00B4728D" w:rsidRPr="00631B3D" w14:paraId="5B27C786"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1A0D39"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03-abr</w:t>
            </w:r>
          </w:p>
        </w:tc>
        <w:tc>
          <w:tcPr>
            <w:tcW w:w="0" w:type="auto"/>
            <w:tcBorders>
              <w:top w:val="nil"/>
              <w:left w:val="nil"/>
              <w:bottom w:val="single" w:sz="4" w:space="0" w:color="auto"/>
              <w:right w:val="single" w:sz="4" w:space="0" w:color="auto"/>
            </w:tcBorders>
            <w:shd w:val="clear" w:color="auto" w:fill="auto"/>
            <w:noWrap/>
            <w:vAlign w:val="bottom"/>
            <w:hideMark/>
          </w:tcPr>
          <w:p w14:paraId="0E7A2B1D"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32.280 </w:t>
            </w:r>
          </w:p>
        </w:tc>
        <w:tc>
          <w:tcPr>
            <w:tcW w:w="0" w:type="auto"/>
            <w:tcBorders>
              <w:top w:val="nil"/>
              <w:left w:val="nil"/>
              <w:bottom w:val="single" w:sz="4" w:space="0" w:color="auto"/>
              <w:right w:val="single" w:sz="4" w:space="0" w:color="auto"/>
            </w:tcBorders>
            <w:shd w:val="clear" w:color="auto" w:fill="auto"/>
            <w:noWrap/>
            <w:vAlign w:val="bottom"/>
            <w:hideMark/>
          </w:tcPr>
          <w:p w14:paraId="7FD49E1F"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914 </w:t>
            </w:r>
          </w:p>
        </w:tc>
        <w:tc>
          <w:tcPr>
            <w:tcW w:w="0" w:type="auto"/>
            <w:tcBorders>
              <w:top w:val="nil"/>
              <w:left w:val="nil"/>
              <w:bottom w:val="single" w:sz="4" w:space="0" w:color="auto"/>
              <w:right w:val="single" w:sz="4" w:space="0" w:color="auto"/>
            </w:tcBorders>
            <w:shd w:val="clear" w:color="auto" w:fill="auto"/>
            <w:noWrap/>
            <w:vAlign w:val="bottom"/>
            <w:hideMark/>
          </w:tcPr>
          <w:p w14:paraId="1AC2FA0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4FDE42F"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33.194 </w:t>
            </w:r>
          </w:p>
        </w:tc>
      </w:tr>
      <w:tr w:rsidR="00B4728D" w:rsidRPr="00631B3D" w14:paraId="23529538"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1E4177"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06-abr</w:t>
            </w:r>
          </w:p>
        </w:tc>
        <w:tc>
          <w:tcPr>
            <w:tcW w:w="0" w:type="auto"/>
            <w:tcBorders>
              <w:top w:val="nil"/>
              <w:left w:val="nil"/>
              <w:bottom w:val="single" w:sz="4" w:space="0" w:color="auto"/>
              <w:right w:val="single" w:sz="4" w:space="0" w:color="auto"/>
            </w:tcBorders>
            <w:shd w:val="clear" w:color="auto" w:fill="auto"/>
            <w:noWrap/>
            <w:vAlign w:val="bottom"/>
            <w:hideMark/>
          </w:tcPr>
          <w:p w14:paraId="43C22748"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21.980 </w:t>
            </w:r>
          </w:p>
        </w:tc>
        <w:tc>
          <w:tcPr>
            <w:tcW w:w="0" w:type="auto"/>
            <w:tcBorders>
              <w:top w:val="nil"/>
              <w:left w:val="nil"/>
              <w:bottom w:val="single" w:sz="4" w:space="0" w:color="auto"/>
              <w:right w:val="single" w:sz="4" w:space="0" w:color="auto"/>
            </w:tcBorders>
            <w:shd w:val="clear" w:color="auto" w:fill="auto"/>
            <w:noWrap/>
            <w:vAlign w:val="bottom"/>
            <w:hideMark/>
          </w:tcPr>
          <w:p w14:paraId="0A69BFB7"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800 </w:t>
            </w:r>
          </w:p>
        </w:tc>
        <w:tc>
          <w:tcPr>
            <w:tcW w:w="0" w:type="auto"/>
            <w:tcBorders>
              <w:top w:val="nil"/>
              <w:left w:val="nil"/>
              <w:bottom w:val="single" w:sz="4" w:space="0" w:color="auto"/>
              <w:right w:val="single" w:sz="4" w:space="0" w:color="auto"/>
            </w:tcBorders>
            <w:shd w:val="clear" w:color="auto" w:fill="auto"/>
            <w:noWrap/>
            <w:vAlign w:val="bottom"/>
            <w:hideMark/>
          </w:tcPr>
          <w:p w14:paraId="15EC78B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1.415 </w:t>
            </w:r>
          </w:p>
        </w:tc>
        <w:tc>
          <w:tcPr>
            <w:tcW w:w="0" w:type="auto"/>
            <w:tcBorders>
              <w:top w:val="nil"/>
              <w:left w:val="nil"/>
              <w:bottom w:val="single" w:sz="4" w:space="0" w:color="auto"/>
              <w:right w:val="single" w:sz="4" w:space="0" w:color="auto"/>
            </w:tcBorders>
            <w:shd w:val="clear" w:color="auto" w:fill="auto"/>
            <w:noWrap/>
            <w:vAlign w:val="bottom"/>
            <w:hideMark/>
          </w:tcPr>
          <w:p w14:paraId="2BDEF465"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24.195 </w:t>
            </w:r>
          </w:p>
        </w:tc>
      </w:tr>
      <w:tr w:rsidR="00B4728D" w:rsidRPr="00631B3D" w14:paraId="5D044818"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33469C"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07-abr</w:t>
            </w:r>
          </w:p>
        </w:tc>
        <w:tc>
          <w:tcPr>
            <w:tcW w:w="0" w:type="auto"/>
            <w:tcBorders>
              <w:top w:val="nil"/>
              <w:left w:val="nil"/>
              <w:bottom w:val="single" w:sz="4" w:space="0" w:color="auto"/>
              <w:right w:val="single" w:sz="4" w:space="0" w:color="auto"/>
            </w:tcBorders>
            <w:shd w:val="clear" w:color="auto" w:fill="auto"/>
            <w:noWrap/>
            <w:vAlign w:val="bottom"/>
            <w:hideMark/>
          </w:tcPr>
          <w:p w14:paraId="74288A29"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19.635 </w:t>
            </w:r>
          </w:p>
        </w:tc>
        <w:tc>
          <w:tcPr>
            <w:tcW w:w="0" w:type="auto"/>
            <w:tcBorders>
              <w:top w:val="nil"/>
              <w:left w:val="nil"/>
              <w:bottom w:val="single" w:sz="4" w:space="0" w:color="auto"/>
              <w:right w:val="single" w:sz="4" w:space="0" w:color="auto"/>
            </w:tcBorders>
            <w:shd w:val="clear" w:color="auto" w:fill="auto"/>
            <w:noWrap/>
            <w:vAlign w:val="bottom"/>
            <w:hideMark/>
          </w:tcPr>
          <w:p w14:paraId="52494FA3"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2.790 </w:t>
            </w:r>
          </w:p>
        </w:tc>
        <w:tc>
          <w:tcPr>
            <w:tcW w:w="0" w:type="auto"/>
            <w:tcBorders>
              <w:top w:val="nil"/>
              <w:left w:val="nil"/>
              <w:bottom w:val="single" w:sz="4" w:space="0" w:color="auto"/>
              <w:right w:val="single" w:sz="4" w:space="0" w:color="auto"/>
            </w:tcBorders>
            <w:shd w:val="clear" w:color="auto" w:fill="auto"/>
            <w:noWrap/>
            <w:vAlign w:val="bottom"/>
            <w:hideMark/>
          </w:tcPr>
          <w:p w14:paraId="61810D15"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1.447 </w:t>
            </w:r>
          </w:p>
        </w:tc>
        <w:tc>
          <w:tcPr>
            <w:tcW w:w="0" w:type="auto"/>
            <w:tcBorders>
              <w:top w:val="nil"/>
              <w:left w:val="nil"/>
              <w:bottom w:val="single" w:sz="4" w:space="0" w:color="auto"/>
              <w:right w:val="single" w:sz="4" w:space="0" w:color="auto"/>
            </w:tcBorders>
            <w:shd w:val="clear" w:color="auto" w:fill="auto"/>
            <w:noWrap/>
            <w:vAlign w:val="bottom"/>
            <w:hideMark/>
          </w:tcPr>
          <w:p w14:paraId="2EDFDBE9"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23.873 </w:t>
            </w:r>
          </w:p>
        </w:tc>
      </w:tr>
      <w:tr w:rsidR="00B4728D" w:rsidRPr="00631B3D" w14:paraId="602DD7E0"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4EA161"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08-abr</w:t>
            </w:r>
          </w:p>
        </w:tc>
        <w:tc>
          <w:tcPr>
            <w:tcW w:w="0" w:type="auto"/>
            <w:tcBorders>
              <w:top w:val="nil"/>
              <w:left w:val="nil"/>
              <w:bottom w:val="single" w:sz="4" w:space="0" w:color="auto"/>
              <w:right w:val="single" w:sz="4" w:space="0" w:color="auto"/>
            </w:tcBorders>
            <w:shd w:val="clear" w:color="auto" w:fill="auto"/>
            <w:noWrap/>
            <w:vAlign w:val="bottom"/>
            <w:hideMark/>
          </w:tcPr>
          <w:p w14:paraId="4B91C5D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15.990 </w:t>
            </w:r>
          </w:p>
        </w:tc>
        <w:tc>
          <w:tcPr>
            <w:tcW w:w="0" w:type="auto"/>
            <w:tcBorders>
              <w:top w:val="nil"/>
              <w:left w:val="nil"/>
              <w:bottom w:val="single" w:sz="4" w:space="0" w:color="auto"/>
              <w:right w:val="single" w:sz="4" w:space="0" w:color="auto"/>
            </w:tcBorders>
            <w:shd w:val="clear" w:color="auto" w:fill="auto"/>
            <w:noWrap/>
            <w:vAlign w:val="bottom"/>
            <w:hideMark/>
          </w:tcPr>
          <w:p w14:paraId="32601E3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3.569 </w:t>
            </w:r>
          </w:p>
        </w:tc>
        <w:tc>
          <w:tcPr>
            <w:tcW w:w="0" w:type="auto"/>
            <w:tcBorders>
              <w:top w:val="nil"/>
              <w:left w:val="nil"/>
              <w:bottom w:val="single" w:sz="4" w:space="0" w:color="auto"/>
              <w:right w:val="single" w:sz="4" w:space="0" w:color="auto"/>
            </w:tcBorders>
            <w:shd w:val="clear" w:color="auto" w:fill="auto"/>
            <w:noWrap/>
            <w:vAlign w:val="bottom"/>
            <w:hideMark/>
          </w:tcPr>
          <w:p w14:paraId="2C737AD9"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1.369 </w:t>
            </w:r>
          </w:p>
        </w:tc>
        <w:tc>
          <w:tcPr>
            <w:tcW w:w="0" w:type="auto"/>
            <w:tcBorders>
              <w:top w:val="nil"/>
              <w:left w:val="nil"/>
              <w:bottom w:val="single" w:sz="4" w:space="0" w:color="auto"/>
              <w:right w:val="single" w:sz="4" w:space="0" w:color="auto"/>
            </w:tcBorders>
            <w:shd w:val="clear" w:color="auto" w:fill="auto"/>
            <w:noWrap/>
            <w:vAlign w:val="bottom"/>
            <w:hideMark/>
          </w:tcPr>
          <w:p w14:paraId="653C9505"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20.928 </w:t>
            </w:r>
          </w:p>
        </w:tc>
      </w:tr>
      <w:tr w:rsidR="00B4728D" w:rsidRPr="00631B3D" w14:paraId="12D77EE5"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F9E4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13-abr</w:t>
            </w:r>
          </w:p>
        </w:tc>
        <w:tc>
          <w:tcPr>
            <w:tcW w:w="0" w:type="auto"/>
            <w:tcBorders>
              <w:top w:val="nil"/>
              <w:left w:val="nil"/>
              <w:bottom w:val="single" w:sz="4" w:space="0" w:color="auto"/>
              <w:right w:val="single" w:sz="4" w:space="0" w:color="auto"/>
            </w:tcBorders>
            <w:shd w:val="clear" w:color="auto" w:fill="auto"/>
            <w:noWrap/>
            <w:vAlign w:val="bottom"/>
            <w:hideMark/>
          </w:tcPr>
          <w:p w14:paraId="2727742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6.500 </w:t>
            </w:r>
          </w:p>
        </w:tc>
        <w:tc>
          <w:tcPr>
            <w:tcW w:w="0" w:type="auto"/>
            <w:tcBorders>
              <w:top w:val="nil"/>
              <w:left w:val="nil"/>
              <w:bottom w:val="single" w:sz="4" w:space="0" w:color="auto"/>
              <w:right w:val="single" w:sz="4" w:space="0" w:color="auto"/>
            </w:tcBorders>
            <w:shd w:val="clear" w:color="auto" w:fill="auto"/>
            <w:noWrap/>
            <w:vAlign w:val="bottom"/>
            <w:hideMark/>
          </w:tcPr>
          <w:p w14:paraId="2F9F4FF6"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4.813 </w:t>
            </w:r>
          </w:p>
        </w:tc>
        <w:tc>
          <w:tcPr>
            <w:tcW w:w="0" w:type="auto"/>
            <w:tcBorders>
              <w:top w:val="nil"/>
              <w:left w:val="nil"/>
              <w:bottom w:val="single" w:sz="4" w:space="0" w:color="auto"/>
              <w:right w:val="single" w:sz="4" w:space="0" w:color="auto"/>
            </w:tcBorders>
            <w:shd w:val="clear" w:color="auto" w:fill="auto"/>
            <w:noWrap/>
            <w:vAlign w:val="bottom"/>
            <w:hideMark/>
          </w:tcPr>
          <w:p w14:paraId="0DCB63C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1.309 </w:t>
            </w:r>
          </w:p>
        </w:tc>
        <w:tc>
          <w:tcPr>
            <w:tcW w:w="0" w:type="auto"/>
            <w:tcBorders>
              <w:top w:val="nil"/>
              <w:left w:val="nil"/>
              <w:bottom w:val="single" w:sz="4" w:space="0" w:color="auto"/>
              <w:right w:val="single" w:sz="4" w:space="0" w:color="auto"/>
            </w:tcBorders>
            <w:shd w:val="clear" w:color="auto" w:fill="auto"/>
            <w:noWrap/>
            <w:vAlign w:val="bottom"/>
            <w:hideMark/>
          </w:tcPr>
          <w:p w14:paraId="4EBF100C"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12.623 </w:t>
            </w:r>
          </w:p>
        </w:tc>
      </w:tr>
      <w:tr w:rsidR="00B4728D" w:rsidRPr="00631B3D" w14:paraId="68196558"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2BC53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14-abr</w:t>
            </w:r>
          </w:p>
        </w:tc>
        <w:tc>
          <w:tcPr>
            <w:tcW w:w="0" w:type="auto"/>
            <w:tcBorders>
              <w:top w:val="nil"/>
              <w:left w:val="nil"/>
              <w:bottom w:val="single" w:sz="4" w:space="0" w:color="auto"/>
              <w:right w:val="single" w:sz="4" w:space="0" w:color="auto"/>
            </w:tcBorders>
            <w:shd w:val="clear" w:color="auto" w:fill="auto"/>
            <w:noWrap/>
            <w:vAlign w:val="bottom"/>
            <w:hideMark/>
          </w:tcPr>
          <w:p w14:paraId="5A38FD3C"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28.100 </w:t>
            </w:r>
          </w:p>
        </w:tc>
        <w:tc>
          <w:tcPr>
            <w:tcW w:w="0" w:type="auto"/>
            <w:tcBorders>
              <w:top w:val="nil"/>
              <w:left w:val="nil"/>
              <w:bottom w:val="single" w:sz="4" w:space="0" w:color="auto"/>
              <w:right w:val="single" w:sz="4" w:space="0" w:color="auto"/>
            </w:tcBorders>
            <w:shd w:val="clear" w:color="auto" w:fill="auto"/>
            <w:noWrap/>
            <w:vAlign w:val="bottom"/>
            <w:hideMark/>
          </w:tcPr>
          <w:p w14:paraId="5757BA31"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6.894 </w:t>
            </w:r>
          </w:p>
        </w:tc>
        <w:tc>
          <w:tcPr>
            <w:tcW w:w="0" w:type="auto"/>
            <w:tcBorders>
              <w:top w:val="nil"/>
              <w:left w:val="nil"/>
              <w:bottom w:val="single" w:sz="4" w:space="0" w:color="auto"/>
              <w:right w:val="single" w:sz="4" w:space="0" w:color="auto"/>
            </w:tcBorders>
            <w:shd w:val="clear" w:color="auto" w:fill="auto"/>
            <w:noWrap/>
            <w:vAlign w:val="bottom"/>
            <w:hideMark/>
          </w:tcPr>
          <w:p w14:paraId="5B8ECA0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1.303 </w:t>
            </w:r>
          </w:p>
        </w:tc>
        <w:tc>
          <w:tcPr>
            <w:tcW w:w="0" w:type="auto"/>
            <w:tcBorders>
              <w:top w:val="nil"/>
              <w:left w:val="nil"/>
              <w:bottom w:val="single" w:sz="4" w:space="0" w:color="auto"/>
              <w:right w:val="single" w:sz="4" w:space="0" w:color="auto"/>
            </w:tcBorders>
            <w:shd w:val="clear" w:color="auto" w:fill="auto"/>
            <w:noWrap/>
            <w:vAlign w:val="bottom"/>
            <w:hideMark/>
          </w:tcPr>
          <w:p w14:paraId="0FE89143"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36.297 </w:t>
            </w:r>
          </w:p>
        </w:tc>
      </w:tr>
      <w:tr w:rsidR="00B4728D" w:rsidRPr="00631B3D" w14:paraId="6EC27B61"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51CF0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15-abr</w:t>
            </w:r>
          </w:p>
        </w:tc>
        <w:tc>
          <w:tcPr>
            <w:tcW w:w="0" w:type="auto"/>
            <w:tcBorders>
              <w:top w:val="nil"/>
              <w:left w:val="nil"/>
              <w:bottom w:val="single" w:sz="4" w:space="0" w:color="auto"/>
              <w:right w:val="single" w:sz="4" w:space="0" w:color="auto"/>
            </w:tcBorders>
            <w:shd w:val="clear" w:color="auto" w:fill="auto"/>
            <w:noWrap/>
            <w:vAlign w:val="bottom"/>
            <w:hideMark/>
          </w:tcPr>
          <w:p w14:paraId="2A8085F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31.273 </w:t>
            </w:r>
          </w:p>
        </w:tc>
        <w:tc>
          <w:tcPr>
            <w:tcW w:w="0" w:type="auto"/>
            <w:tcBorders>
              <w:top w:val="nil"/>
              <w:left w:val="nil"/>
              <w:bottom w:val="single" w:sz="4" w:space="0" w:color="auto"/>
              <w:right w:val="single" w:sz="4" w:space="0" w:color="auto"/>
            </w:tcBorders>
            <w:shd w:val="clear" w:color="auto" w:fill="auto"/>
            <w:noWrap/>
            <w:vAlign w:val="bottom"/>
            <w:hideMark/>
          </w:tcPr>
          <w:p w14:paraId="1F9FBAE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4.176 </w:t>
            </w:r>
          </w:p>
        </w:tc>
        <w:tc>
          <w:tcPr>
            <w:tcW w:w="0" w:type="auto"/>
            <w:tcBorders>
              <w:top w:val="nil"/>
              <w:left w:val="nil"/>
              <w:bottom w:val="single" w:sz="4" w:space="0" w:color="auto"/>
              <w:right w:val="single" w:sz="4" w:space="0" w:color="auto"/>
            </w:tcBorders>
            <w:shd w:val="clear" w:color="auto" w:fill="auto"/>
            <w:noWrap/>
            <w:vAlign w:val="bottom"/>
            <w:hideMark/>
          </w:tcPr>
          <w:p w14:paraId="4DD1306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1.278 </w:t>
            </w:r>
          </w:p>
        </w:tc>
        <w:tc>
          <w:tcPr>
            <w:tcW w:w="0" w:type="auto"/>
            <w:tcBorders>
              <w:top w:val="nil"/>
              <w:left w:val="nil"/>
              <w:bottom w:val="single" w:sz="4" w:space="0" w:color="auto"/>
              <w:right w:val="single" w:sz="4" w:space="0" w:color="auto"/>
            </w:tcBorders>
            <w:shd w:val="clear" w:color="auto" w:fill="auto"/>
            <w:noWrap/>
            <w:vAlign w:val="bottom"/>
            <w:hideMark/>
          </w:tcPr>
          <w:p w14:paraId="6D3A405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36.727 </w:t>
            </w:r>
          </w:p>
        </w:tc>
      </w:tr>
      <w:tr w:rsidR="00B4728D" w:rsidRPr="00631B3D" w14:paraId="6BB95B4C"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4202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16-abr</w:t>
            </w:r>
          </w:p>
        </w:tc>
        <w:tc>
          <w:tcPr>
            <w:tcW w:w="0" w:type="auto"/>
            <w:tcBorders>
              <w:top w:val="nil"/>
              <w:left w:val="nil"/>
              <w:bottom w:val="single" w:sz="4" w:space="0" w:color="auto"/>
              <w:right w:val="single" w:sz="4" w:space="0" w:color="auto"/>
            </w:tcBorders>
            <w:shd w:val="clear" w:color="auto" w:fill="auto"/>
            <w:noWrap/>
            <w:vAlign w:val="bottom"/>
            <w:hideMark/>
          </w:tcPr>
          <w:p w14:paraId="5752C2B3"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D0425E5"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5.781 </w:t>
            </w:r>
          </w:p>
        </w:tc>
        <w:tc>
          <w:tcPr>
            <w:tcW w:w="0" w:type="auto"/>
            <w:tcBorders>
              <w:top w:val="nil"/>
              <w:left w:val="nil"/>
              <w:bottom w:val="single" w:sz="4" w:space="0" w:color="auto"/>
              <w:right w:val="single" w:sz="4" w:space="0" w:color="auto"/>
            </w:tcBorders>
            <w:shd w:val="clear" w:color="auto" w:fill="auto"/>
            <w:noWrap/>
            <w:vAlign w:val="bottom"/>
            <w:hideMark/>
          </w:tcPr>
          <w:p w14:paraId="432E8600"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1.219 </w:t>
            </w:r>
          </w:p>
        </w:tc>
        <w:tc>
          <w:tcPr>
            <w:tcW w:w="0" w:type="auto"/>
            <w:tcBorders>
              <w:top w:val="nil"/>
              <w:left w:val="nil"/>
              <w:bottom w:val="single" w:sz="4" w:space="0" w:color="auto"/>
              <w:right w:val="single" w:sz="4" w:space="0" w:color="auto"/>
            </w:tcBorders>
            <w:shd w:val="clear" w:color="auto" w:fill="auto"/>
            <w:noWrap/>
            <w:vAlign w:val="bottom"/>
            <w:hideMark/>
          </w:tcPr>
          <w:p w14:paraId="6AD79699"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6.999 </w:t>
            </w:r>
          </w:p>
        </w:tc>
      </w:tr>
      <w:tr w:rsidR="00B4728D" w:rsidRPr="00631B3D" w14:paraId="0D20D72C"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F06C38"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17-abr</w:t>
            </w:r>
          </w:p>
        </w:tc>
        <w:tc>
          <w:tcPr>
            <w:tcW w:w="0" w:type="auto"/>
            <w:tcBorders>
              <w:top w:val="nil"/>
              <w:left w:val="nil"/>
              <w:bottom w:val="single" w:sz="4" w:space="0" w:color="auto"/>
              <w:right w:val="single" w:sz="4" w:space="0" w:color="auto"/>
            </w:tcBorders>
            <w:shd w:val="clear" w:color="auto" w:fill="auto"/>
            <w:noWrap/>
            <w:vAlign w:val="bottom"/>
            <w:hideMark/>
          </w:tcPr>
          <w:p w14:paraId="627472B0"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4.000 </w:t>
            </w:r>
          </w:p>
        </w:tc>
        <w:tc>
          <w:tcPr>
            <w:tcW w:w="0" w:type="auto"/>
            <w:tcBorders>
              <w:top w:val="nil"/>
              <w:left w:val="nil"/>
              <w:bottom w:val="single" w:sz="4" w:space="0" w:color="auto"/>
              <w:right w:val="single" w:sz="4" w:space="0" w:color="auto"/>
            </w:tcBorders>
            <w:shd w:val="clear" w:color="auto" w:fill="auto"/>
            <w:noWrap/>
            <w:vAlign w:val="bottom"/>
            <w:hideMark/>
          </w:tcPr>
          <w:p w14:paraId="2860BBAE"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6.135 </w:t>
            </w:r>
          </w:p>
        </w:tc>
        <w:tc>
          <w:tcPr>
            <w:tcW w:w="0" w:type="auto"/>
            <w:tcBorders>
              <w:top w:val="nil"/>
              <w:left w:val="nil"/>
              <w:bottom w:val="single" w:sz="4" w:space="0" w:color="auto"/>
              <w:right w:val="single" w:sz="4" w:space="0" w:color="auto"/>
            </w:tcBorders>
            <w:shd w:val="clear" w:color="auto" w:fill="auto"/>
            <w:noWrap/>
            <w:vAlign w:val="bottom"/>
            <w:hideMark/>
          </w:tcPr>
          <w:p w14:paraId="220CD1B6"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854 </w:t>
            </w:r>
          </w:p>
        </w:tc>
        <w:tc>
          <w:tcPr>
            <w:tcW w:w="0" w:type="auto"/>
            <w:tcBorders>
              <w:top w:val="nil"/>
              <w:left w:val="nil"/>
              <w:bottom w:val="single" w:sz="4" w:space="0" w:color="auto"/>
              <w:right w:val="single" w:sz="4" w:space="0" w:color="auto"/>
            </w:tcBorders>
            <w:shd w:val="clear" w:color="auto" w:fill="auto"/>
            <w:noWrap/>
            <w:vAlign w:val="bottom"/>
            <w:hideMark/>
          </w:tcPr>
          <w:p w14:paraId="60D6023D"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10.989 </w:t>
            </w:r>
          </w:p>
        </w:tc>
      </w:tr>
      <w:tr w:rsidR="00B4728D" w:rsidRPr="00631B3D" w14:paraId="233D4080"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EB73DF"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20-abr</w:t>
            </w:r>
          </w:p>
        </w:tc>
        <w:tc>
          <w:tcPr>
            <w:tcW w:w="0" w:type="auto"/>
            <w:tcBorders>
              <w:top w:val="nil"/>
              <w:left w:val="nil"/>
              <w:bottom w:val="single" w:sz="4" w:space="0" w:color="auto"/>
              <w:right w:val="single" w:sz="4" w:space="0" w:color="auto"/>
            </w:tcBorders>
            <w:shd w:val="clear" w:color="auto" w:fill="auto"/>
            <w:noWrap/>
            <w:vAlign w:val="bottom"/>
            <w:hideMark/>
          </w:tcPr>
          <w:p w14:paraId="46C9176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B9327F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5.017 </w:t>
            </w:r>
          </w:p>
        </w:tc>
        <w:tc>
          <w:tcPr>
            <w:tcW w:w="0" w:type="auto"/>
            <w:tcBorders>
              <w:top w:val="nil"/>
              <w:left w:val="nil"/>
              <w:bottom w:val="single" w:sz="4" w:space="0" w:color="auto"/>
              <w:right w:val="single" w:sz="4" w:space="0" w:color="auto"/>
            </w:tcBorders>
            <w:shd w:val="clear" w:color="auto" w:fill="auto"/>
            <w:noWrap/>
            <w:vAlign w:val="bottom"/>
            <w:hideMark/>
          </w:tcPr>
          <w:p w14:paraId="47708033"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1.164 </w:t>
            </w:r>
          </w:p>
        </w:tc>
        <w:tc>
          <w:tcPr>
            <w:tcW w:w="0" w:type="auto"/>
            <w:tcBorders>
              <w:top w:val="nil"/>
              <w:left w:val="nil"/>
              <w:bottom w:val="single" w:sz="4" w:space="0" w:color="auto"/>
              <w:right w:val="single" w:sz="4" w:space="0" w:color="auto"/>
            </w:tcBorders>
            <w:shd w:val="clear" w:color="auto" w:fill="auto"/>
            <w:noWrap/>
            <w:vAlign w:val="bottom"/>
            <w:hideMark/>
          </w:tcPr>
          <w:p w14:paraId="41F30616"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6.180 </w:t>
            </w:r>
          </w:p>
        </w:tc>
      </w:tr>
      <w:tr w:rsidR="00B4728D" w:rsidRPr="00631B3D" w14:paraId="32F8F066"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E0456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21-abr</w:t>
            </w:r>
          </w:p>
        </w:tc>
        <w:tc>
          <w:tcPr>
            <w:tcW w:w="0" w:type="auto"/>
            <w:tcBorders>
              <w:top w:val="nil"/>
              <w:left w:val="nil"/>
              <w:bottom w:val="single" w:sz="4" w:space="0" w:color="auto"/>
              <w:right w:val="single" w:sz="4" w:space="0" w:color="auto"/>
            </w:tcBorders>
            <w:shd w:val="clear" w:color="auto" w:fill="auto"/>
            <w:noWrap/>
            <w:vAlign w:val="bottom"/>
            <w:hideMark/>
          </w:tcPr>
          <w:p w14:paraId="59D3E85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1847286"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7.240 </w:t>
            </w:r>
          </w:p>
        </w:tc>
        <w:tc>
          <w:tcPr>
            <w:tcW w:w="0" w:type="auto"/>
            <w:tcBorders>
              <w:top w:val="nil"/>
              <w:left w:val="nil"/>
              <w:bottom w:val="single" w:sz="4" w:space="0" w:color="auto"/>
              <w:right w:val="single" w:sz="4" w:space="0" w:color="auto"/>
            </w:tcBorders>
            <w:shd w:val="clear" w:color="auto" w:fill="auto"/>
            <w:noWrap/>
            <w:vAlign w:val="bottom"/>
            <w:hideMark/>
          </w:tcPr>
          <w:p w14:paraId="412A4543"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905 </w:t>
            </w:r>
          </w:p>
        </w:tc>
        <w:tc>
          <w:tcPr>
            <w:tcW w:w="0" w:type="auto"/>
            <w:tcBorders>
              <w:top w:val="nil"/>
              <w:left w:val="nil"/>
              <w:bottom w:val="single" w:sz="4" w:space="0" w:color="auto"/>
              <w:right w:val="single" w:sz="4" w:space="0" w:color="auto"/>
            </w:tcBorders>
            <w:shd w:val="clear" w:color="auto" w:fill="auto"/>
            <w:noWrap/>
            <w:vAlign w:val="bottom"/>
            <w:hideMark/>
          </w:tcPr>
          <w:p w14:paraId="0DAFF93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8.145 </w:t>
            </w:r>
          </w:p>
        </w:tc>
      </w:tr>
      <w:tr w:rsidR="00B4728D" w:rsidRPr="00631B3D" w14:paraId="12103237"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2B5A17"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22-abr</w:t>
            </w:r>
          </w:p>
        </w:tc>
        <w:tc>
          <w:tcPr>
            <w:tcW w:w="0" w:type="auto"/>
            <w:tcBorders>
              <w:top w:val="nil"/>
              <w:left w:val="nil"/>
              <w:bottom w:val="single" w:sz="4" w:space="0" w:color="auto"/>
              <w:right w:val="single" w:sz="4" w:space="0" w:color="auto"/>
            </w:tcBorders>
            <w:shd w:val="clear" w:color="auto" w:fill="auto"/>
            <w:noWrap/>
            <w:vAlign w:val="bottom"/>
            <w:hideMark/>
          </w:tcPr>
          <w:p w14:paraId="012BE07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B4E692F"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7.061 </w:t>
            </w:r>
          </w:p>
        </w:tc>
        <w:tc>
          <w:tcPr>
            <w:tcW w:w="0" w:type="auto"/>
            <w:tcBorders>
              <w:top w:val="nil"/>
              <w:left w:val="nil"/>
              <w:bottom w:val="single" w:sz="4" w:space="0" w:color="auto"/>
              <w:right w:val="single" w:sz="4" w:space="0" w:color="auto"/>
            </w:tcBorders>
            <w:shd w:val="clear" w:color="auto" w:fill="auto"/>
            <w:noWrap/>
            <w:vAlign w:val="bottom"/>
            <w:hideMark/>
          </w:tcPr>
          <w:p w14:paraId="5A25D58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1.396 </w:t>
            </w:r>
          </w:p>
        </w:tc>
        <w:tc>
          <w:tcPr>
            <w:tcW w:w="0" w:type="auto"/>
            <w:tcBorders>
              <w:top w:val="nil"/>
              <w:left w:val="nil"/>
              <w:bottom w:val="single" w:sz="4" w:space="0" w:color="auto"/>
              <w:right w:val="single" w:sz="4" w:space="0" w:color="auto"/>
            </w:tcBorders>
            <w:shd w:val="clear" w:color="auto" w:fill="auto"/>
            <w:noWrap/>
            <w:vAlign w:val="bottom"/>
            <w:hideMark/>
          </w:tcPr>
          <w:p w14:paraId="787DED9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8.457 </w:t>
            </w:r>
          </w:p>
        </w:tc>
      </w:tr>
      <w:tr w:rsidR="00B4728D" w:rsidRPr="00631B3D" w14:paraId="0EB689CB"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632DBE"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23-abr</w:t>
            </w:r>
          </w:p>
        </w:tc>
        <w:tc>
          <w:tcPr>
            <w:tcW w:w="0" w:type="auto"/>
            <w:tcBorders>
              <w:top w:val="nil"/>
              <w:left w:val="nil"/>
              <w:bottom w:val="single" w:sz="4" w:space="0" w:color="auto"/>
              <w:right w:val="single" w:sz="4" w:space="0" w:color="auto"/>
            </w:tcBorders>
            <w:shd w:val="clear" w:color="auto" w:fill="auto"/>
            <w:noWrap/>
            <w:vAlign w:val="bottom"/>
            <w:hideMark/>
          </w:tcPr>
          <w:p w14:paraId="01DE89A0"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1526A0F"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6.537 </w:t>
            </w:r>
          </w:p>
        </w:tc>
        <w:tc>
          <w:tcPr>
            <w:tcW w:w="0" w:type="auto"/>
            <w:tcBorders>
              <w:top w:val="nil"/>
              <w:left w:val="nil"/>
              <w:bottom w:val="single" w:sz="4" w:space="0" w:color="auto"/>
              <w:right w:val="single" w:sz="4" w:space="0" w:color="auto"/>
            </w:tcBorders>
            <w:shd w:val="clear" w:color="auto" w:fill="auto"/>
            <w:noWrap/>
            <w:vAlign w:val="bottom"/>
            <w:hideMark/>
          </w:tcPr>
          <w:p w14:paraId="61BB9E5C"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1.710 </w:t>
            </w:r>
          </w:p>
        </w:tc>
        <w:tc>
          <w:tcPr>
            <w:tcW w:w="0" w:type="auto"/>
            <w:tcBorders>
              <w:top w:val="nil"/>
              <w:left w:val="nil"/>
              <w:bottom w:val="single" w:sz="4" w:space="0" w:color="auto"/>
              <w:right w:val="single" w:sz="4" w:space="0" w:color="auto"/>
            </w:tcBorders>
            <w:shd w:val="clear" w:color="auto" w:fill="auto"/>
            <w:noWrap/>
            <w:vAlign w:val="bottom"/>
            <w:hideMark/>
          </w:tcPr>
          <w:p w14:paraId="75B72941"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8.247 </w:t>
            </w:r>
          </w:p>
        </w:tc>
      </w:tr>
      <w:tr w:rsidR="00B4728D" w:rsidRPr="00631B3D" w14:paraId="55E10DB7"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D0E8DF"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24-abr</w:t>
            </w:r>
          </w:p>
        </w:tc>
        <w:tc>
          <w:tcPr>
            <w:tcW w:w="0" w:type="auto"/>
            <w:tcBorders>
              <w:top w:val="nil"/>
              <w:left w:val="nil"/>
              <w:bottom w:val="single" w:sz="4" w:space="0" w:color="auto"/>
              <w:right w:val="single" w:sz="4" w:space="0" w:color="auto"/>
            </w:tcBorders>
            <w:shd w:val="clear" w:color="auto" w:fill="auto"/>
            <w:noWrap/>
            <w:vAlign w:val="bottom"/>
            <w:hideMark/>
          </w:tcPr>
          <w:p w14:paraId="6882685C"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18.363 </w:t>
            </w:r>
          </w:p>
        </w:tc>
        <w:tc>
          <w:tcPr>
            <w:tcW w:w="0" w:type="auto"/>
            <w:tcBorders>
              <w:top w:val="nil"/>
              <w:left w:val="nil"/>
              <w:bottom w:val="single" w:sz="4" w:space="0" w:color="auto"/>
              <w:right w:val="single" w:sz="4" w:space="0" w:color="auto"/>
            </w:tcBorders>
            <w:shd w:val="clear" w:color="auto" w:fill="auto"/>
            <w:noWrap/>
            <w:vAlign w:val="bottom"/>
            <w:hideMark/>
          </w:tcPr>
          <w:p w14:paraId="6DEA77D9"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9.354 </w:t>
            </w:r>
          </w:p>
        </w:tc>
        <w:tc>
          <w:tcPr>
            <w:tcW w:w="0" w:type="auto"/>
            <w:tcBorders>
              <w:top w:val="nil"/>
              <w:left w:val="nil"/>
              <w:bottom w:val="single" w:sz="4" w:space="0" w:color="auto"/>
              <w:right w:val="single" w:sz="4" w:space="0" w:color="auto"/>
            </w:tcBorders>
            <w:shd w:val="clear" w:color="auto" w:fill="auto"/>
            <w:noWrap/>
            <w:vAlign w:val="bottom"/>
            <w:hideMark/>
          </w:tcPr>
          <w:p w14:paraId="5704A549"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1.025 </w:t>
            </w:r>
          </w:p>
        </w:tc>
        <w:tc>
          <w:tcPr>
            <w:tcW w:w="0" w:type="auto"/>
            <w:tcBorders>
              <w:top w:val="nil"/>
              <w:left w:val="nil"/>
              <w:bottom w:val="single" w:sz="4" w:space="0" w:color="auto"/>
              <w:right w:val="single" w:sz="4" w:space="0" w:color="auto"/>
            </w:tcBorders>
            <w:shd w:val="clear" w:color="auto" w:fill="auto"/>
            <w:noWrap/>
            <w:vAlign w:val="bottom"/>
            <w:hideMark/>
          </w:tcPr>
          <w:p w14:paraId="6845B94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28.743 </w:t>
            </w:r>
          </w:p>
        </w:tc>
      </w:tr>
      <w:tr w:rsidR="00B4728D" w:rsidRPr="00631B3D" w14:paraId="20C3061C"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D7FF2C"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27-abr</w:t>
            </w:r>
          </w:p>
        </w:tc>
        <w:tc>
          <w:tcPr>
            <w:tcW w:w="0" w:type="auto"/>
            <w:tcBorders>
              <w:top w:val="nil"/>
              <w:left w:val="nil"/>
              <w:bottom w:val="single" w:sz="4" w:space="0" w:color="auto"/>
              <w:right w:val="single" w:sz="4" w:space="0" w:color="auto"/>
            </w:tcBorders>
            <w:shd w:val="clear" w:color="auto" w:fill="auto"/>
            <w:noWrap/>
            <w:vAlign w:val="bottom"/>
            <w:hideMark/>
          </w:tcPr>
          <w:p w14:paraId="3A64FEB8"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F8CBA7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9.501 </w:t>
            </w:r>
          </w:p>
        </w:tc>
        <w:tc>
          <w:tcPr>
            <w:tcW w:w="0" w:type="auto"/>
            <w:tcBorders>
              <w:top w:val="nil"/>
              <w:left w:val="nil"/>
              <w:bottom w:val="single" w:sz="4" w:space="0" w:color="auto"/>
              <w:right w:val="single" w:sz="4" w:space="0" w:color="auto"/>
            </w:tcBorders>
            <w:shd w:val="clear" w:color="auto" w:fill="auto"/>
            <w:noWrap/>
            <w:vAlign w:val="bottom"/>
            <w:hideMark/>
          </w:tcPr>
          <w:p w14:paraId="64DAA7CB"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2.174 </w:t>
            </w:r>
          </w:p>
        </w:tc>
        <w:tc>
          <w:tcPr>
            <w:tcW w:w="0" w:type="auto"/>
            <w:tcBorders>
              <w:top w:val="nil"/>
              <w:left w:val="nil"/>
              <w:bottom w:val="single" w:sz="4" w:space="0" w:color="auto"/>
              <w:right w:val="single" w:sz="4" w:space="0" w:color="auto"/>
            </w:tcBorders>
            <w:shd w:val="clear" w:color="auto" w:fill="auto"/>
            <w:noWrap/>
            <w:vAlign w:val="bottom"/>
            <w:hideMark/>
          </w:tcPr>
          <w:p w14:paraId="33640FE8"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11.675 </w:t>
            </w:r>
          </w:p>
        </w:tc>
      </w:tr>
      <w:tr w:rsidR="00B4728D" w:rsidRPr="00631B3D" w14:paraId="4F922DF9"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CE16F1"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28-abr</w:t>
            </w:r>
          </w:p>
        </w:tc>
        <w:tc>
          <w:tcPr>
            <w:tcW w:w="0" w:type="auto"/>
            <w:tcBorders>
              <w:top w:val="nil"/>
              <w:left w:val="nil"/>
              <w:bottom w:val="single" w:sz="4" w:space="0" w:color="auto"/>
              <w:right w:val="single" w:sz="4" w:space="0" w:color="auto"/>
            </w:tcBorders>
            <w:shd w:val="clear" w:color="auto" w:fill="auto"/>
            <w:noWrap/>
            <w:vAlign w:val="bottom"/>
            <w:hideMark/>
          </w:tcPr>
          <w:p w14:paraId="2153134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B17BB8D"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13.088 </w:t>
            </w:r>
          </w:p>
        </w:tc>
        <w:tc>
          <w:tcPr>
            <w:tcW w:w="0" w:type="auto"/>
            <w:tcBorders>
              <w:top w:val="nil"/>
              <w:left w:val="nil"/>
              <w:bottom w:val="single" w:sz="4" w:space="0" w:color="auto"/>
              <w:right w:val="single" w:sz="4" w:space="0" w:color="auto"/>
            </w:tcBorders>
            <w:shd w:val="clear" w:color="auto" w:fill="auto"/>
            <w:noWrap/>
            <w:vAlign w:val="bottom"/>
            <w:hideMark/>
          </w:tcPr>
          <w:p w14:paraId="2882D68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2.290 </w:t>
            </w:r>
          </w:p>
        </w:tc>
        <w:tc>
          <w:tcPr>
            <w:tcW w:w="0" w:type="auto"/>
            <w:tcBorders>
              <w:top w:val="nil"/>
              <w:left w:val="nil"/>
              <w:bottom w:val="single" w:sz="4" w:space="0" w:color="auto"/>
              <w:right w:val="single" w:sz="4" w:space="0" w:color="auto"/>
            </w:tcBorders>
            <w:shd w:val="clear" w:color="auto" w:fill="auto"/>
            <w:noWrap/>
            <w:vAlign w:val="bottom"/>
            <w:hideMark/>
          </w:tcPr>
          <w:p w14:paraId="3E6BFB3D"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15.378 </w:t>
            </w:r>
          </w:p>
        </w:tc>
      </w:tr>
      <w:tr w:rsidR="00B4728D" w:rsidRPr="00631B3D" w14:paraId="56B72F41"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FA88FE"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29-abr</w:t>
            </w:r>
          </w:p>
        </w:tc>
        <w:tc>
          <w:tcPr>
            <w:tcW w:w="0" w:type="auto"/>
            <w:tcBorders>
              <w:top w:val="nil"/>
              <w:left w:val="nil"/>
              <w:bottom w:val="single" w:sz="4" w:space="0" w:color="auto"/>
              <w:right w:val="single" w:sz="4" w:space="0" w:color="auto"/>
            </w:tcBorders>
            <w:shd w:val="clear" w:color="auto" w:fill="auto"/>
            <w:noWrap/>
            <w:vAlign w:val="bottom"/>
            <w:hideMark/>
          </w:tcPr>
          <w:p w14:paraId="67664273"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9102F3C"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11.504 </w:t>
            </w:r>
          </w:p>
        </w:tc>
        <w:tc>
          <w:tcPr>
            <w:tcW w:w="0" w:type="auto"/>
            <w:tcBorders>
              <w:top w:val="nil"/>
              <w:left w:val="nil"/>
              <w:bottom w:val="single" w:sz="4" w:space="0" w:color="auto"/>
              <w:right w:val="single" w:sz="4" w:space="0" w:color="auto"/>
            </w:tcBorders>
            <w:shd w:val="clear" w:color="auto" w:fill="auto"/>
            <w:noWrap/>
            <w:vAlign w:val="bottom"/>
            <w:hideMark/>
          </w:tcPr>
          <w:p w14:paraId="5CF0FB7E"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2.744 </w:t>
            </w:r>
          </w:p>
        </w:tc>
        <w:tc>
          <w:tcPr>
            <w:tcW w:w="0" w:type="auto"/>
            <w:tcBorders>
              <w:top w:val="nil"/>
              <w:left w:val="nil"/>
              <w:bottom w:val="single" w:sz="4" w:space="0" w:color="auto"/>
              <w:right w:val="single" w:sz="4" w:space="0" w:color="auto"/>
            </w:tcBorders>
            <w:shd w:val="clear" w:color="auto" w:fill="auto"/>
            <w:noWrap/>
            <w:vAlign w:val="bottom"/>
            <w:hideMark/>
          </w:tcPr>
          <w:p w14:paraId="23ED03C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14.248 </w:t>
            </w:r>
          </w:p>
        </w:tc>
      </w:tr>
      <w:tr w:rsidR="00B4728D" w:rsidRPr="00631B3D" w14:paraId="60D8D585"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9CA668"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30-abr</w:t>
            </w:r>
          </w:p>
        </w:tc>
        <w:tc>
          <w:tcPr>
            <w:tcW w:w="0" w:type="auto"/>
            <w:tcBorders>
              <w:top w:val="nil"/>
              <w:left w:val="nil"/>
              <w:bottom w:val="single" w:sz="4" w:space="0" w:color="auto"/>
              <w:right w:val="single" w:sz="4" w:space="0" w:color="auto"/>
            </w:tcBorders>
            <w:shd w:val="clear" w:color="auto" w:fill="auto"/>
            <w:noWrap/>
            <w:vAlign w:val="bottom"/>
            <w:hideMark/>
          </w:tcPr>
          <w:p w14:paraId="30A8BCCC"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45FAFDB"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18.757 </w:t>
            </w:r>
          </w:p>
        </w:tc>
        <w:tc>
          <w:tcPr>
            <w:tcW w:w="0" w:type="auto"/>
            <w:tcBorders>
              <w:top w:val="nil"/>
              <w:left w:val="nil"/>
              <w:bottom w:val="single" w:sz="4" w:space="0" w:color="auto"/>
              <w:right w:val="single" w:sz="4" w:space="0" w:color="auto"/>
            </w:tcBorders>
            <w:shd w:val="clear" w:color="auto" w:fill="auto"/>
            <w:noWrap/>
            <w:vAlign w:val="bottom"/>
            <w:hideMark/>
          </w:tcPr>
          <w:p w14:paraId="75EA44E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3.096 </w:t>
            </w:r>
          </w:p>
        </w:tc>
        <w:tc>
          <w:tcPr>
            <w:tcW w:w="0" w:type="auto"/>
            <w:tcBorders>
              <w:top w:val="nil"/>
              <w:left w:val="nil"/>
              <w:bottom w:val="single" w:sz="4" w:space="0" w:color="auto"/>
              <w:right w:val="single" w:sz="4" w:space="0" w:color="auto"/>
            </w:tcBorders>
            <w:shd w:val="clear" w:color="auto" w:fill="auto"/>
            <w:noWrap/>
            <w:vAlign w:val="bottom"/>
            <w:hideMark/>
          </w:tcPr>
          <w:p w14:paraId="3762B57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21.853 </w:t>
            </w:r>
          </w:p>
        </w:tc>
      </w:tr>
      <w:tr w:rsidR="00B4728D" w:rsidRPr="00631B3D" w14:paraId="0C70FB16"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84451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04-may</w:t>
            </w:r>
          </w:p>
        </w:tc>
        <w:tc>
          <w:tcPr>
            <w:tcW w:w="0" w:type="auto"/>
            <w:tcBorders>
              <w:top w:val="nil"/>
              <w:left w:val="nil"/>
              <w:bottom w:val="single" w:sz="4" w:space="0" w:color="auto"/>
              <w:right w:val="single" w:sz="4" w:space="0" w:color="auto"/>
            </w:tcBorders>
            <w:shd w:val="clear" w:color="auto" w:fill="auto"/>
            <w:noWrap/>
            <w:vAlign w:val="bottom"/>
            <w:hideMark/>
          </w:tcPr>
          <w:p w14:paraId="625BE4F6"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A6BAE9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10.737 </w:t>
            </w:r>
          </w:p>
        </w:tc>
        <w:tc>
          <w:tcPr>
            <w:tcW w:w="0" w:type="auto"/>
            <w:tcBorders>
              <w:top w:val="nil"/>
              <w:left w:val="nil"/>
              <w:bottom w:val="single" w:sz="4" w:space="0" w:color="auto"/>
              <w:right w:val="single" w:sz="4" w:space="0" w:color="auto"/>
            </w:tcBorders>
            <w:shd w:val="clear" w:color="auto" w:fill="auto"/>
            <w:noWrap/>
            <w:vAlign w:val="bottom"/>
            <w:hideMark/>
          </w:tcPr>
          <w:p w14:paraId="101504E3"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783 </w:t>
            </w:r>
          </w:p>
        </w:tc>
        <w:tc>
          <w:tcPr>
            <w:tcW w:w="0" w:type="auto"/>
            <w:tcBorders>
              <w:top w:val="nil"/>
              <w:left w:val="nil"/>
              <w:bottom w:val="single" w:sz="4" w:space="0" w:color="auto"/>
              <w:right w:val="single" w:sz="4" w:space="0" w:color="auto"/>
            </w:tcBorders>
            <w:shd w:val="clear" w:color="auto" w:fill="auto"/>
            <w:noWrap/>
            <w:vAlign w:val="bottom"/>
            <w:hideMark/>
          </w:tcPr>
          <w:p w14:paraId="11693708"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11.520 </w:t>
            </w:r>
          </w:p>
        </w:tc>
      </w:tr>
      <w:tr w:rsidR="00B4728D" w:rsidRPr="00631B3D" w14:paraId="32B01FCC"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5D31E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05-may</w:t>
            </w:r>
          </w:p>
        </w:tc>
        <w:tc>
          <w:tcPr>
            <w:tcW w:w="0" w:type="auto"/>
            <w:tcBorders>
              <w:top w:val="nil"/>
              <w:left w:val="nil"/>
              <w:bottom w:val="single" w:sz="4" w:space="0" w:color="auto"/>
              <w:right w:val="single" w:sz="4" w:space="0" w:color="auto"/>
            </w:tcBorders>
            <w:shd w:val="clear" w:color="auto" w:fill="auto"/>
            <w:noWrap/>
            <w:vAlign w:val="bottom"/>
            <w:hideMark/>
          </w:tcPr>
          <w:p w14:paraId="4350BD51"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B7BA811"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6.698 </w:t>
            </w:r>
          </w:p>
        </w:tc>
        <w:tc>
          <w:tcPr>
            <w:tcW w:w="0" w:type="auto"/>
            <w:tcBorders>
              <w:top w:val="nil"/>
              <w:left w:val="nil"/>
              <w:bottom w:val="single" w:sz="4" w:space="0" w:color="auto"/>
              <w:right w:val="single" w:sz="4" w:space="0" w:color="auto"/>
            </w:tcBorders>
            <w:shd w:val="clear" w:color="auto" w:fill="auto"/>
            <w:noWrap/>
            <w:vAlign w:val="bottom"/>
            <w:hideMark/>
          </w:tcPr>
          <w:p w14:paraId="21EB4D46"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2.930 </w:t>
            </w:r>
          </w:p>
        </w:tc>
        <w:tc>
          <w:tcPr>
            <w:tcW w:w="0" w:type="auto"/>
            <w:tcBorders>
              <w:top w:val="nil"/>
              <w:left w:val="nil"/>
              <w:bottom w:val="single" w:sz="4" w:space="0" w:color="auto"/>
              <w:right w:val="single" w:sz="4" w:space="0" w:color="auto"/>
            </w:tcBorders>
            <w:shd w:val="clear" w:color="auto" w:fill="auto"/>
            <w:noWrap/>
            <w:vAlign w:val="bottom"/>
            <w:hideMark/>
          </w:tcPr>
          <w:p w14:paraId="5B0039A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9.628 </w:t>
            </w:r>
          </w:p>
        </w:tc>
      </w:tr>
      <w:tr w:rsidR="00B4728D" w:rsidRPr="00631B3D" w14:paraId="0CBE0F4B"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0991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06-may</w:t>
            </w:r>
          </w:p>
        </w:tc>
        <w:tc>
          <w:tcPr>
            <w:tcW w:w="0" w:type="auto"/>
            <w:tcBorders>
              <w:top w:val="nil"/>
              <w:left w:val="nil"/>
              <w:bottom w:val="single" w:sz="4" w:space="0" w:color="auto"/>
              <w:right w:val="single" w:sz="4" w:space="0" w:color="auto"/>
            </w:tcBorders>
            <w:shd w:val="clear" w:color="auto" w:fill="auto"/>
            <w:noWrap/>
            <w:vAlign w:val="bottom"/>
            <w:hideMark/>
          </w:tcPr>
          <w:p w14:paraId="5CBD17B6"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D438897"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16.659 </w:t>
            </w:r>
          </w:p>
        </w:tc>
        <w:tc>
          <w:tcPr>
            <w:tcW w:w="0" w:type="auto"/>
            <w:tcBorders>
              <w:top w:val="nil"/>
              <w:left w:val="nil"/>
              <w:bottom w:val="single" w:sz="4" w:space="0" w:color="auto"/>
              <w:right w:val="single" w:sz="4" w:space="0" w:color="auto"/>
            </w:tcBorders>
            <w:shd w:val="clear" w:color="auto" w:fill="auto"/>
            <w:noWrap/>
            <w:vAlign w:val="bottom"/>
            <w:hideMark/>
          </w:tcPr>
          <w:p w14:paraId="02DC032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3.017 </w:t>
            </w:r>
          </w:p>
        </w:tc>
        <w:tc>
          <w:tcPr>
            <w:tcW w:w="0" w:type="auto"/>
            <w:tcBorders>
              <w:top w:val="nil"/>
              <w:left w:val="nil"/>
              <w:bottom w:val="single" w:sz="4" w:space="0" w:color="auto"/>
              <w:right w:val="single" w:sz="4" w:space="0" w:color="auto"/>
            </w:tcBorders>
            <w:shd w:val="clear" w:color="auto" w:fill="auto"/>
            <w:noWrap/>
            <w:vAlign w:val="bottom"/>
            <w:hideMark/>
          </w:tcPr>
          <w:p w14:paraId="4D714056"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19.676 </w:t>
            </w:r>
          </w:p>
        </w:tc>
      </w:tr>
      <w:tr w:rsidR="00B4728D" w:rsidRPr="00631B3D" w14:paraId="2A91810D"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5D77E0"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07-may</w:t>
            </w:r>
          </w:p>
        </w:tc>
        <w:tc>
          <w:tcPr>
            <w:tcW w:w="0" w:type="auto"/>
            <w:tcBorders>
              <w:top w:val="nil"/>
              <w:left w:val="nil"/>
              <w:bottom w:val="single" w:sz="4" w:space="0" w:color="auto"/>
              <w:right w:val="single" w:sz="4" w:space="0" w:color="auto"/>
            </w:tcBorders>
            <w:shd w:val="clear" w:color="auto" w:fill="auto"/>
            <w:noWrap/>
            <w:vAlign w:val="bottom"/>
            <w:hideMark/>
          </w:tcPr>
          <w:p w14:paraId="06CCBF18"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77CBB2C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13.837 </w:t>
            </w:r>
          </w:p>
        </w:tc>
        <w:tc>
          <w:tcPr>
            <w:tcW w:w="0" w:type="auto"/>
            <w:tcBorders>
              <w:top w:val="nil"/>
              <w:left w:val="nil"/>
              <w:bottom w:val="single" w:sz="4" w:space="0" w:color="auto"/>
              <w:right w:val="single" w:sz="4" w:space="0" w:color="auto"/>
            </w:tcBorders>
            <w:shd w:val="clear" w:color="auto" w:fill="auto"/>
            <w:noWrap/>
            <w:vAlign w:val="bottom"/>
            <w:hideMark/>
          </w:tcPr>
          <w:p w14:paraId="5C96DCA0"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3.331 </w:t>
            </w:r>
          </w:p>
        </w:tc>
        <w:tc>
          <w:tcPr>
            <w:tcW w:w="0" w:type="auto"/>
            <w:tcBorders>
              <w:top w:val="nil"/>
              <w:left w:val="nil"/>
              <w:bottom w:val="single" w:sz="4" w:space="0" w:color="auto"/>
              <w:right w:val="single" w:sz="4" w:space="0" w:color="auto"/>
            </w:tcBorders>
            <w:shd w:val="clear" w:color="auto" w:fill="auto"/>
            <w:noWrap/>
            <w:vAlign w:val="bottom"/>
            <w:hideMark/>
          </w:tcPr>
          <w:p w14:paraId="229AE009"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17.168 </w:t>
            </w:r>
          </w:p>
        </w:tc>
      </w:tr>
      <w:tr w:rsidR="00B4728D" w:rsidRPr="00631B3D" w14:paraId="7A9440C1"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10AA03"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08-may</w:t>
            </w:r>
          </w:p>
        </w:tc>
        <w:tc>
          <w:tcPr>
            <w:tcW w:w="0" w:type="auto"/>
            <w:tcBorders>
              <w:top w:val="nil"/>
              <w:left w:val="nil"/>
              <w:bottom w:val="single" w:sz="4" w:space="0" w:color="auto"/>
              <w:right w:val="single" w:sz="4" w:space="0" w:color="auto"/>
            </w:tcBorders>
            <w:shd w:val="clear" w:color="auto" w:fill="auto"/>
            <w:noWrap/>
            <w:vAlign w:val="bottom"/>
            <w:hideMark/>
          </w:tcPr>
          <w:p w14:paraId="39570A36"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B2F7A47"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8.672 </w:t>
            </w:r>
          </w:p>
        </w:tc>
        <w:tc>
          <w:tcPr>
            <w:tcW w:w="0" w:type="auto"/>
            <w:tcBorders>
              <w:top w:val="nil"/>
              <w:left w:val="nil"/>
              <w:bottom w:val="single" w:sz="4" w:space="0" w:color="auto"/>
              <w:right w:val="single" w:sz="4" w:space="0" w:color="auto"/>
            </w:tcBorders>
            <w:shd w:val="clear" w:color="auto" w:fill="auto"/>
            <w:noWrap/>
            <w:vAlign w:val="bottom"/>
            <w:hideMark/>
          </w:tcPr>
          <w:p w14:paraId="4772ECA1"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2.581 </w:t>
            </w:r>
          </w:p>
        </w:tc>
        <w:tc>
          <w:tcPr>
            <w:tcW w:w="0" w:type="auto"/>
            <w:tcBorders>
              <w:top w:val="nil"/>
              <w:left w:val="nil"/>
              <w:bottom w:val="single" w:sz="4" w:space="0" w:color="auto"/>
              <w:right w:val="single" w:sz="4" w:space="0" w:color="auto"/>
            </w:tcBorders>
            <w:shd w:val="clear" w:color="auto" w:fill="auto"/>
            <w:noWrap/>
            <w:vAlign w:val="bottom"/>
            <w:hideMark/>
          </w:tcPr>
          <w:p w14:paraId="1EECB97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11.254 </w:t>
            </w:r>
          </w:p>
        </w:tc>
      </w:tr>
      <w:tr w:rsidR="00B4728D" w:rsidRPr="00631B3D" w14:paraId="64D2446F"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85183D"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11-may</w:t>
            </w:r>
          </w:p>
        </w:tc>
        <w:tc>
          <w:tcPr>
            <w:tcW w:w="0" w:type="auto"/>
            <w:tcBorders>
              <w:top w:val="nil"/>
              <w:left w:val="nil"/>
              <w:bottom w:val="single" w:sz="4" w:space="0" w:color="auto"/>
              <w:right w:val="single" w:sz="4" w:space="0" w:color="auto"/>
            </w:tcBorders>
            <w:shd w:val="clear" w:color="auto" w:fill="auto"/>
            <w:noWrap/>
            <w:vAlign w:val="bottom"/>
            <w:hideMark/>
          </w:tcPr>
          <w:p w14:paraId="20FF93D6"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7D72AA6"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13.994 </w:t>
            </w:r>
          </w:p>
        </w:tc>
        <w:tc>
          <w:tcPr>
            <w:tcW w:w="0" w:type="auto"/>
            <w:tcBorders>
              <w:top w:val="nil"/>
              <w:left w:val="nil"/>
              <w:bottom w:val="single" w:sz="4" w:space="0" w:color="auto"/>
              <w:right w:val="single" w:sz="4" w:space="0" w:color="auto"/>
            </w:tcBorders>
            <w:shd w:val="clear" w:color="auto" w:fill="auto"/>
            <w:noWrap/>
            <w:vAlign w:val="bottom"/>
            <w:hideMark/>
          </w:tcPr>
          <w:p w14:paraId="648BD4BB"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2.373 </w:t>
            </w:r>
          </w:p>
        </w:tc>
        <w:tc>
          <w:tcPr>
            <w:tcW w:w="0" w:type="auto"/>
            <w:tcBorders>
              <w:top w:val="nil"/>
              <w:left w:val="nil"/>
              <w:bottom w:val="single" w:sz="4" w:space="0" w:color="auto"/>
              <w:right w:val="single" w:sz="4" w:space="0" w:color="auto"/>
            </w:tcBorders>
            <w:shd w:val="clear" w:color="auto" w:fill="auto"/>
            <w:noWrap/>
            <w:vAlign w:val="bottom"/>
            <w:hideMark/>
          </w:tcPr>
          <w:p w14:paraId="636CED23"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16.367 </w:t>
            </w:r>
          </w:p>
        </w:tc>
      </w:tr>
      <w:tr w:rsidR="00B4728D" w:rsidRPr="00631B3D" w14:paraId="4D632021"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9845AA"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12-may</w:t>
            </w:r>
          </w:p>
        </w:tc>
        <w:tc>
          <w:tcPr>
            <w:tcW w:w="0" w:type="auto"/>
            <w:tcBorders>
              <w:top w:val="nil"/>
              <w:left w:val="nil"/>
              <w:bottom w:val="single" w:sz="4" w:space="0" w:color="auto"/>
              <w:right w:val="single" w:sz="4" w:space="0" w:color="auto"/>
            </w:tcBorders>
            <w:shd w:val="clear" w:color="auto" w:fill="auto"/>
            <w:noWrap/>
            <w:vAlign w:val="bottom"/>
            <w:hideMark/>
          </w:tcPr>
          <w:p w14:paraId="79B587CF"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428168C"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11.477 </w:t>
            </w:r>
          </w:p>
        </w:tc>
        <w:tc>
          <w:tcPr>
            <w:tcW w:w="0" w:type="auto"/>
            <w:tcBorders>
              <w:top w:val="nil"/>
              <w:left w:val="nil"/>
              <w:bottom w:val="single" w:sz="4" w:space="0" w:color="auto"/>
              <w:right w:val="single" w:sz="4" w:space="0" w:color="auto"/>
            </w:tcBorders>
            <w:shd w:val="clear" w:color="auto" w:fill="auto"/>
            <w:noWrap/>
            <w:vAlign w:val="bottom"/>
            <w:hideMark/>
          </w:tcPr>
          <w:p w14:paraId="50F5C68F"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2.798 </w:t>
            </w:r>
          </w:p>
        </w:tc>
        <w:tc>
          <w:tcPr>
            <w:tcW w:w="0" w:type="auto"/>
            <w:tcBorders>
              <w:top w:val="nil"/>
              <w:left w:val="nil"/>
              <w:bottom w:val="single" w:sz="4" w:space="0" w:color="auto"/>
              <w:right w:val="single" w:sz="4" w:space="0" w:color="auto"/>
            </w:tcBorders>
            <w:shd w:val="clear" w:color="auto" w:fill="auto"/>
            <w:noWrap/>
            <w:vAlign w:val="bottom"/>
            <w:hideMark/>
          </w:tcPr>
          <w:p w14:paraId="7FCF43A5"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14.275 </w:t>
            </w:r>
          </w:p>
        </w:tc>
      </w:tr>
      <w:tr w:rsidR="00B4728D" w:rsidRPr="00631B3D" w14:paraId="13DBC711"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4705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13-may</w:t>
            </w:r>
          </w:p>
        </w:tc>
        <w:tc>
          <w:tcPr>
            <w:tcW w:w="0" w:type="auto"/>
            <w:tcBorders>
              <w:top w:val="nil"/>
              <w:left w:val="nil"/>
              <w:bottom w:val="single" w:sz="4" w:space="0" w:color="auto"/>
              <w:right w:val="single" w:sz="4" w:space="0" w:color="auto"/>
            </w:tcBorders>
            <w:shd w:val="clear" w:color="auto" w:fill="auto"/>
            <w:noWrap/>
            <w:vAlign w:val="bottom"/>
            <w:hideMark/>
          </w:tcPr>
          <w:p w14:paraId="66E5EDED"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1DE58BEB"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8.576 </w:t>
            </w:r>
          </w:p>
        </w:tc>
        <w:tc>
          <w:tcPr>
            <w:tcW w:w="0" w:type="auto"/>
            <w:tcBorders>
              <w:top w:val="nil"/>
              <w:left w:val="nil"/>
              <w:bottom w:val="single" w:sz="4" w:space="0" w:color="auto"/>
              <w:right w:val="single" w:sz="4" w:space="0" w:color="auto"/>
            </w:tcBorders>
            <w:shd w:val="clear" w:color="auto" w:fill="auto"/>
            <w:noWrap/>
            <w:vAlign w:val="bottom"/>
            <w:hideMark/>
          </w:tcPr>
          <w:p w14:paraId="0A3582A7"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3.287 </w:t>
            </w:r>
          </w:p>
        </w:tc>
        <w:tc>
          <w:tcPr>
            <w:tcW w:w="0" w:type="auto"/>
            <w:tcBorders>
              <w:top w:val="nil"/>
              <w:left w:val="nil"/>
              <w:bottom w:val="single" w:sz="4" w:space="0" w:color="auto"/>
              <w:right w:val="single" w:sz="4" w:space="0" w:color="auto"/>
            </w:tcBorders>
            <w:shd w:val="clear" w:color="auto" w:fill="auto"/>
            <w:noWrap/>
            <w:vAlign w:val="bottom"/>
            <w:hideMark/>
          </w:tcPr>
          <w:p w14:paraId="41E1F0B2"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11.863 </w:t>
            </w:r>
          </w:p>
        </w:tc>
      </w:tr>
      <w:tr w:rsidR="00B4728D" w:rsidRPr="00631B3D" w14:paraId="05182D63"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7087F4"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14-may</w:t>
            </w:r>
          </w:p>
        </w:tc>
        <w:tc>
          <w:tcPr>
            <w:tcW w:w="0" w:type="auto"/>
            <w:tcBorders>
              <w:top w:val="nil"/>
              <w:left w:val="nil"/>
              <w:bottom w:val="single" w:sz="4" w:space="0" w:color="auto"/>
              <w:right w:val="single" w:sz="4" w:space="0" w:color="auto"/>
            </w:tcBorders>
            <w:shd w:val="clear" w:color="auto" w:fill="auto"/>
            <w:noWrap/>
            <w:vAlign w:val="bottom"/>
            <w:hideMark/>
          </w:tcPr>
          <w:p w14:paraId="051C7F00"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3140D115"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8.345 </w:t>
            </w:r>
          </w:p>
        </w:tc>
        <w:tc>
          <w:tcPr>
            <w:tcW w:w="0" w:type="auto"/>
            <w:tcBorders>
              <w:top w:val="nil"/>
              <w:left w:val="nil"/>
              <w:bottom w:val="single" w:sz="4" w:space="0" w:color="auto"/>
              <w:right w:val="single" w:sz="4" w:space="0" w:color="auto"/>
            </w:tcBorders>
            <w:shd w:val="clear" w:color="auto" w:fill="auto"/>
            <w:noWrap/>
            <w:vAlign w:val="bottom"/>
            <w:hideMark/>
          </w:tcPr>
          <w:p w14:paraId="1EA1E14E"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2.838 </w:t>
            </w:r>
          </w:p>
        </w:tc>
        <w:tc>
          <w:tcPr>
            <w:tcW w:w="0" w:type="auto"/>
            <w:tcBorders>
              <w:top w:val="nil"/>
              <w:left w:val="nil"/>
              <w:bottom w:val="single" w:sz="4" w:space="0" w:color="auto"/>
              <w:right w:val="single" w:sz="4" w:space="0" w:color="auto"/>
            </w:tcBorders>
            <w:shd w:val="clear" w:color="auto" w:fill="auto"/>
            <w:noWrap/>
            <w:vAlign w:val="bottom"/>
            <w:hideMark/>
          </w:tcPr>
          <w:p w14:paraId="434D3C89" w14:textId="77777777" w:rsidR="00356ADD" w:rsidRPr="00631B3D" w:rsidRDefault="00356ADD" w:rsidP="00356ADD">
            <w:pPr>
              <w:spacing w:after="0" w:line="240" w:lineRule="auto"/>
              <w:rPr>
                <w:rFonts w:ascii="Arial" w:eastAsia="Times New Roman" w:hAnsi="Arial" w:cs="Arial"/>
                <w:color w:val="000000" w:themeColor="text1"/>
                <w:sz w:val="20"/>
                <w:szCs w:val="20"/>
                <w:lang w:val="es-CO" w:eastAsia="es-CO"/>
              </w:rPr>
            </w:pPr>
            <w:r w:rsidRPr="00631B3D">
              <w:rPr>
                <w:rFonts w:ascii="Arial" w:eastAsia="Times New Roman" w:hAnsi="Arial" w:cs="Arial"/>
                <w:color w:val="000000" w:themeColor="text1"/>
                <w:sz w:val="20"/>
                <w:szCs w:val="20"/>
                <w:lang w:val="es-CO" w:eastAsia="es-CO"/>
              </w:rPr>
              <w:t xml:space="preserve"> $          11.183 </w:t>
            </w:r>
          </w:p>
        </w:tc>
      </w:tr>
      <w:tr w:rsidR="00B4728D" w:rsidRPr="00631B3D" w14:paraId="4F5265E8" w14:textId="77777777" w:rsidTr="00631B3D">
        <w:trPr>
          <w:trHeight w:val="308"/>
          <w:jc w:val="center"/>
        </w:trPr>
        <w:tc>
          <w:tcPr>
            <w:tcW w:w="0" w:type="auto"/>
            <w:tcBorders>
              <w:top w:val="nil"/>
              <w:left w:val="single" w:sz="4" w:space="0" w:color="auto"/>
              <w:bottom w:val="single" w:sz="4" w:space="0" w:color="auto"/>
              <w:right w:val="single" w:sz="4" w:space="0" w:color="auto"/>
            </w:tcBorders>
            <w:shd w:val="clear" w:color="D9E1F2" w:fill="D9D9D9"/>
            <w:noWrap/>
            <w:vAlign w:val="bottom"/>
            <w:hideMark/>
          </w:tcPr>
          <w:p w14:paraId="0B91EBBC" w14:textId="77777777" w:rsidR="00356ADD" w:rsidRPr="00631B3D" w:rsidRDefault="00356ADD" w:rsidP="00356ADD">
            <w:pPr>
              <w:spacing w:after="0" w:line="240" w:lineRule="auto"/>
              <w:rPr>
                <w:rFonts w:ascii="Arial" w:eastAsia="Times New Roman" w:hAnsi="Arial" w:cs="Arial"/>
                <w:b/>
                <w:bCs/>
                <w:color w:val="000000" w:themeColor="text1"/>
                <w:sz w:val="20"/>
                <w:szCs w:val="20"/>
                <w:lang w:val="es-CO" w:eastAsia="es-CO"/>
              </w:rPr>
            </w:pPr>
            <w:r w:rsidRPr="00631B3D">
              <w:rPr>
                <w:rFonts w:ascii="Arial" w:eastAsia="Times New Roman" w:hAnsi="Arial" w:cs="Arial"/>
                <w:b/>
                <w:bCs/>
                <w:color w:val="000000" w:themeColor="text1"/>
                <w:sz w:val="20"/>
                <w:szCs w:val="20"/>
                <w:lang w:val="es-CO" w:eastAsia="es-CO"/>
              </w:rPr>
              <w:t>Total</w:t>
            </w:r>
          </w:p>
        </w:tc>
        <w:tc>
          <w:tcPr>
            <w:tcW w:w="0" w:type="auto"/>
            <w:tcBorders>
              <w:top w:val="nil"/>
              <w:left w:val="nil"/>
              <w:bottom w:val="single" w:sz="4" w:space="0" w:color="auto"/>
              <w:right w:val="single" w:sz="4" w:space="0" w:color="auto"/>
            </w:tcBorders>
            <w:shd w:val="clear" w:color="D9E1F2" w:fill="D9D9D9"/>
            <w:noWrap/>
            <w:vAlign w:val="bottom"/>
            <w:hideMark/>
          </w:tcPr>
          <w:p w14:paraId="780D4AAF" w14:textId="77777777" w:rsidR="00356ADD" w:rsidRPr="00631B3D" w:rsidRDefault="00356ADD" w:rsidP="00356ADD">
            <w:pPr>
              <w:spacing w:after="0" w:line="240" w:lineRule="auto"/>
              <w:jc w:val="right"/>
              <w:rPr>
                <w:rFonts w:ascii="Arial" w:eastAsia="Times New Roman" w:hAnsi="Arial" w:cs="Arial"/>
                <w:b/>
                <w:bCs/>
                <w:color w:val="000000" w:themeColor="text1"/>
                <w:sz w:val="20"/>
                <w:szCs w:val="20"/>
                <w:lang w:val="es-CO" w:eastAsia="es-CO"/>
              </w:rPr>
            </w:pPr>
            <w:r w:rsidRPr="00631B3D">
              <w:rPr>
                <w:rFonts w:ascii="Arial" w:eastAsia="Times New Roman" w:hAnsi="Arial" w:cs="Arial"/>
                <w:b/>
                <w:bCs/>
                <w:color w:val="000000" w:themeColor="text1"/>
                <w:sz w:val="20"/>
                <w:szCs w:val="20"/>
                <w:lang w:val="es-CO" w:eastAsia="es-CO"/>
              </w:rPr>
              <w:t xml:space="preserve"> $        178.121 </w:t>
            </w:r>
          </w:p>
        </w:tc>
        <w:tc>
          <w:tcPr>
            <w:tcW w:w="0" w:type="auto"/>
            <w:tcBorders>
              <w:top w:val="nil"/>
              <w:left w:val="nil"/>
              <w:bottom w:val="single" w:sz="4" w:space="0" w:color="auto"/>
              <w:right w:val="single" w:sz="4" w:space="0" w:color="auto"/>
            </w:tcBorders>
            <w:shd w:val="clear" w:color="D9E1F2" w:fill="D9D9D9"/>
            <w:noWrap/>
            <w:vAlign w:val="bottom"/>
            <w:hideMark/>
          </w:tcPr>
          <w:p w14:paraId="30F70F0A" w14:textId="77777777" w:rsidR="00356ADD" w:rsidRPr="00631B3D" w:rsidRDefault="00356ADD" w:rsidP="00356ADD">
            <w:pPr>
              <w:spacing w:after="0" w:line="240" w:lineRule="auto"/>
              <w:jc w:val="right"/>
              <w:rPr>
                <w:rFonts w:ascii="Arial" w:eastAsia="Times New Roman" w:hAnsi="Arial" w:cs="Arial"/>
                <w:b/>
                <w:bCs/>
                <w:color w:val="000000" w:themeColor="text1"/>
                <w:sz w:val="20"/>
                <w:szCs w:val="20"/>
                <w:lang w:val="es-CO" w:eastAsia="es-CO"/>
              </w:rPr>
            </w:pPr>
            <w:r w:rsidRPr="00631B3D">
              <w:rPr>
                <w:rFonts w:ascii="Arial" w:eastAsia="Times New Roman" w:hAnsi="Arial" w:cs="Arial"/>
                <w:b/>
                <w:bCs/>
                <w:color w:val="000000" w:themeColor="text1"/>
                <w:sz w:val="20"/>
                <w:szCs w:val="20"/>
                <w:lang w:val="es-CO" w:eastAsia="es-CO"/>
              </w:rPr>
              <w:t xml:space="preserve"> $  222.925 </w:t>
            </w:r>
          </w:p>
        </w:tc>
        <w:tc>
          <w:tcPr>
            <w:tcW w:w="0" w:type="auto"/>
            <w:tcBorders>
              <w:top w:val="nil"/>
              <w:left w:val="nil"/>
              <w:bottom w:val="single" w:sz="4" w:space="0" w:color="auto"/>
              <w:right w:val="single" w:sz="4" w:space="0" w:color="auto"/>
            </w:tcBorders>
            <w:shd w:val="clear" w:color="D9E1F2" w:fill="D9D9D9"/>
            <w:noWrap/>
            <w:vAlign w:val="bottom"/>
            <w:hideMark/>
          </w:tcPr>
          <w:p w14:paraId="1108C907" w14:textId="77777777" w:rsidR="00356ADD" w:rsidRPr="00631B3D" w:rsidRDefault="00356ADD" w:rsidP="00356ADD">
            <w:pPr>
              <w:spacing w:after="0" w:line="240" w:lineRule="auto"/>
              <w:jc w:val="right"/>
              <w:rPr>
                <w:rFonts w:ascii="Arial" w:eastAsia="Times New Roman" w:hAnsi="Arial" w:cs="Arial"/>
                <w:b/>
                <w:bCs/>
                <w:color w:val="000000" w:themeColor="text1"/>
                <w:sz w:val="20"/>
                <w:szCs w:val="20"/>
                <w:lang w:val="es-CO" w:eastAsia="es-CO"/>
              </w:rPr>
            </w:pPr>
            <w:r w:rsidRPr="00631B3D">
              <w:rPr>
                <w:rFonts w:ascii="Arial" w:eastAsia="Times New Roman" w:hAnsi="Arial" w:cs="Arial"/>
                <w:b/>
                <w:bCs/>
                <w:color w:val="000000" w:themeColor="text1"/>
                <w:sz w:val="20"/>
                <w:szCs w:val="20"/>
                <w:lang w:val="es-CO" w:eastAsia="es-CO"/>
              </w:rPr>
              <w:t xml:space="preserve"> $  50.638 </w:t>
            </w:r>
          </w:p>
        </w:tc>
        <w:tc>
          <w:tcPr>
            <w:tcW w:w="0" w:type="auto"/>
            <w:tcBorders>
              <w:top w:val="nil"/>
              <w:left w:val="nil"/>
              <w:bottom w:val="single" w:sz="4" w:space="0" w:color="auto"/>
              <w:right w:val="single" w:sz="4" w:space="0" w:color="auto"/>
            </w:tcBorders>
            <w:shd w:val="clear" w:color="D9E1F2" w:fill="D9D9D9"/>
            <w:noWrap/>
            <w:vAlign w:val="bottom"/>
            <w:hideMark/>
          </w:tcPr>
          <w:p w14:paraId="1914D595" w14:textId="77777777" w:rsidR="00356ADD" w:rsidRPr="00631B3D" w:rsidRDefault="00356ADD" w:rsidP="00356ADD">
            <w:pPr>
              <w:spacing w:after="0" w:line="240" w:lineRule="auto"/>
              <w:jc w:val="right"/>
              <w:rPr>
                <w:rFonts w:ascii="Arial" w:eastAsia="Times New Roman" w:hAnsi="Arial" w:cs="Arial"/>
                <w:b/>
                <w:bCs/>
                <w:color w:val="000000" w:themeColor="text1"/>
                <w:sz w:val="20"/>
                <w:szCs w:val="20"/>
                <w:lang w:val="es-CO" w:eastAsia="es-CO"/>
              </w:rPr>
            </w:pPr>
            <w:r w:rsidRPr="00631B3D">
              <w:rPr>
                <w:rFonts w:ascii="Arial" w:eastAsia="Times New Roman" w:hAnsi="Arial" w:cs="Arial"/>
                <w:b/>
                <w:bCs/>
                <w:color w:val="000000" w:themeColor="text1"/>
                <w:sz w:val="20"/>
                <w:szCs w:val="20"/>
                <w:lang w:val="es-CO" w:eastAsia="es-CO"/>
              </w:rPr>
              <w:t xml:space="preserve"> $  451.684 </w:t>
            </w:r>
          </w:p>
        </w:tc>
      </w:tr>
    </w:tbl>
    <w:p w14:paraId="6AF8B71F" w14:textId="5722A9CF" w:rsidR="00356ADD" w:rsidRPr="00C13C89" w:rsidRDefault="00356ADD" w:rsidP="005510C8">
      <w:pPr>
        <w:ind w:firstLine="708"/>
        <w:rPr>
          <w:rFonts w:ascii="Arial" w:hAnsi="Arial" w:cs="Arial"/>
          <w:color w:val="000000" w:themeColor="text1"/>
          <w:sz w:val="20"/>
          <w:szCs w:val="20"/>
        </w:rPr>
      </w:pPr>
      <w:r w:rsidRPr="00C13C89">
        <w:rPr>
          <w:rFonts w:ascii="Arial" w:hAnsi="Arial" w:cs="Arial"/>
          <w:color w:val="000000" w:themeColor="text1"/>
          <w:sz w:val="20"/>
          <w:szCs w:val="20"/>
        </w:rPr>
        <w:t>Fuente: Superfinanciera – reporte realizado por Finagro</w:t>
      </w:r>
    </w:p>
    <w:p w14:paraId="18447795" w14:textId="2FC12773" w:rsidR="00356ADD" w:rsidRPr="00B4728D" w:rsidRDefault="00356ADD" w:rsidP="00356ADD">
      <w:pPr>
        <w:rPr>
          <w:rFonts w:ascii="Arial" w:hAnsi="Arial" w:cs="Arial"/>
          <w:color w:val="000000" w:themeColor="text1"/>
        </w:rPr>
      </w:pPr>
      <w:r w:rsidRPr="00B4728D">
        <w:rPr>
          <w:rFonts w:ascii="Arial" w:hAnsi="Arial" w:cs="Arial"/>
          <w:color w:val="000000" w:themeColor="text1"/>
        </w:rPr>
        <w:t>Finalmente, los créditos colocados con garantías del FNG, cuyo último reporte corresponde a 18 de mayo, tienen la siguiente distribución por tamaño del beneficiario:</w:t>
      </w:r>
    </w:p>
    <w:tbl>
      <w:tblPr>
        <w:tblW w:w="7280" w:type="dxa"/>
        <w:jc w:val="center"/>
        <w:tblCellMar>
          <w:left w:w="70" w:type="dxa"/>
          <w:right w:w="70" w:type="dxa"/>
        </w:tblCellMar>
        <w:tblLook w:val="04A0" w:firstRow="1" w:lastRow="0" w:firstColumn="1" w:lastColumn="0" w:noHBand="0" w:noVBand="1"/>
      </w:tblPr>
      <w:tblGrid>
        <w:gridCol w:w="3460"/>
        <w:gridCol w:w="1560"/>
        <w:gridCol w:w="2260"/>
      </w:tblGrid>
      <w:tr w:rsidR="00B4728D" w:rsidRPr="00096BFA" w14:paraId="44B661B8" w14:textId="77777777" w:rsidTr="00096BFA">
        <w:trPr>
          <w:trHeight w:val="255"/>
          <w:tblHeader/>
          <w:jc w:val="center"/>
        </w:trPr>
        <w:tc>
          <w:tcPr>
            <w:tcW w:w="34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BAE1364" w14:textId="77777777" w:rsidR="004D21D1" w:rsidRPr="00096BFA" w:rsidRDefault="004D21D1" w:rsidP="004D21D1">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Línea FNG / Tamaño de Empresa</w:t>
            </w:r>
          </w:p>
        </w:tc>
        <w:tc>
          <w:tcPr>
            <w:tcW w:w="1560" w:type="dxa"/>
            <w:tcBorders>
              <w:top w:val="single" w:sz="4" w:space="0" w:color="auto"/>
              <w:left w:val="nil"/>
              <w:bottom w:val="single" w:sz="4" w:space="0" w:color="auto"/>
              <w:right w:val="single" w:sz="4" w:space="0" w:color="auto"/>
            </w:tcBorders>
            <w:shd w:val="clear" w:color="auto" w:fill="0070C0"/>
            <w:noWrap/>
            <w:vAlign w:val="bottom"/>
            <w:hideMark/>
          </w:tcPr>
          <w:p w14:paraId="402ACA21" w14:textId="77777777" w:rsidR="004D21D1" w:rsidRPr="00096BFA" w:rsidRDefault="004D21D1" w:rsidP="004D21D1">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 Desembolsos</w:t>
            </w:r>
          </w:p>
        </w:tc>
        <w:tc>
          <w:tcPr>
            <w:tcW w:w="2260" w:type="dxa"/>
            <w:tcBorders>
              <w:top w:val="single" w:sz="4" w:space="0" w:color="auto"/>
              <w:left w:val="nil"/>
              <w:bottom w:val="single" w:sz="4" w:space="0" w:color="auto"/>
              <w:right w:val="single" w:sz="4" w:space="0" w:color="auto"/>
            </w:tcBorders>
            <w:shd w:val="clear" w:color="auto" w:fill="0070C0"/>
            <w:noWrap/>
            <w:vAlign w:val="bottom"/>
            <w:hideMark/>
          </w:tcPr>
          <w:p w14:paraId="449935EB" w14:textId="77777777" w:rsidR="004D21D1" w:rsidRPr="00096BFA" w:rsidRDefault="004D21D1" w:rsidP="004D21D1">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 Monto Desembolsos</w:t>
            </w:r>
          </w:p>
        </w:tc>
      </w:tr>
      <w:tr w:rsidR="00B4728D" w:rsidRPr="00096BFA" w14:paraId="620F4C3D"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000000" w:fill="F2F2F2"/>
            <w:noWrap/>
            <w:vAlign w:val="bottom"/>
            <w:hideMark/>
          </w:tcPr>
          <w:p w14:paraId="23CFB885" w14:textId="77777777" w:rsidR="004D21D1" w:rsidRPr="00096BFA" w:rsidRDefault="004D21D1" w:rsidP="004D21D1">
            <w:pPr>
              <w:spacing w:after="0" w:line="240" w:lineRule="auto"/>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PYMES HASTA EL 80%</w:t>
            </w:r>
          </w:p>
        </w:tc>
        <w:tc>
          <w:tcPr>
            <w:tcW w:w="1560" w:type="dxa"/>
            <w:tcBorders>
              <w:top w:val="nil"/>
              <w:left w:val="nil"/>
              <w:bottom w:val="single" w:sz="4" w:space="0" w:color="auto"/>
              <w:right w:val="single" w:sz="4" w:space="0" w:color="auto"/>
            </w:tcBorders>
            <w:shd w:val="clear" w:color="000000" w:fill="F2F2F2"/>
            <w:noWrap/>
            <w:vAlign w:val="bottom"/>
            <w:hideMark/>
          </w:tcPr>
          <w:p w14:paraId="72E696A3"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5.127</w:t>
            </w:r>
          </w:p>
        </w:tc>
        <w:tc>
          <w:tcPr>
            <w:tcW w:w="2260" w:type="dxa"/>
            <w:tcBorders>
              <w:top w:val="nil"/>
              <w:left w:val="nil"/>
              <w:bottom w:val="single" w:sz="4" w:space="0" w:color="auto"/>
              <w:right w:val="single" w:sz="4" w:space="0" w:color="auto"/>
            </w:tcBorders>
            <w:shd w:val="clear" w:color="000000" w:fill="F2F2F2"/>
            <w:noWrap/>
            <w:vAlign w:val="bottom"/>
            <w:hideMark/>
          </w:tcPr>
          <w:p w14:paraId="132DE0A1"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$916.724</w:t>
            </w:r>
          </w:p>
        </w:tc>
      </w:tr>
      <w:tr w:rsidR="00B4728D" w:rsidRPr="00096BFA" w14:paraId="52998FC6"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7FECB27F"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Pequeña</w:t>
            </w:r>
          </w:p>
        </w:tc>
        <w:tc>
          <w:tcPr>
            <w:tcW w:w="1560" w:type="dxa"/>
            <w:tcBorders>
              <w:top w:val="nil"/>
              <w:left w:val="nil"/>
              <w:bottom w:val="single" w:sz="4" w:space="0" w:color="auto"/>
              <w:right w:val="single" w:sz="4" w:space="0" w:color="auto"/>
            </w:tcBorders>
            <w:shd w:val="clear" w:color="auto" w:fill="auto"/>
            <w:noWrap/>
            <w:vAlign w:val="bottom"/>
            <w:hideMark/>
          </w:tcPr>
          <w:p w14:paraId="3688B962"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2.424</w:t>
            </w:r>
          </w:p>
        </w:tc>
        <w:tc>
          <w:tcPr>
            <w:tcW w:w="2260" w:type="dxa"/>
            <w:tcBorders>
              <w:top w:val="nil"/>
              <w:left w:val="nil"/>
              <w:bottom w:val="single" w:sz="4" w:space="0" w:color="auto"/>
              <w:right w:val="single" w:sz="4" w:space="0" w:color="auto"/>
            </w:tcBorders>
            <w:shd w:val="clear" w:color="auto" w:fill="auto"/>
            <w:noWrap/>
            <w:vAlign w:val="bottom"/>
            <w:hideMark/>
          </w:tcPr>
          <w:p w14:paraId="363CB932"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$357.694</w:t>
            </w:r>
          </w:p>
        </w:tc>
      </w:tr>
      <w:tr w:rsidR="00B4728D" w:rsidRPr="00096BFA" w14:paraId="054AF42C"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82D8C3F"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Mediana</w:t>
            </w:r>
          </w:p>
        </w:tc>
        <w:tc>
          <w:tcPr>
            <w:tcW w:w="1560" w:type="dxa"/>
            <w:tcBorders>
              <w:top w:val="nil"/>
              <w:left w:val="nil"/>
              <w:bottom w:val="single" w:sz="4" w:space="0" w:color="auto"/>
              <w:right w:val="single" w:sz="4" w:space="0" w:color="auto"/>
            </w:tcBorders>
            <w:shd w:val="clear" w:color="auto" w:fill="auto"/>
            <w:noWrap/>
            <w:vAlign w:val="bottom"/>
            <w:hideMark/>
          </w:tcPr>
          <w:p w14:paraId="366A4D9D"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865</w:t>
            </w:r>
          </w:p>
        </w:tc>
        <w:tc>
          <w:tcPr>
            <w:tcW w:w="2260" w:type="dxa"/>
            <w:tcBorders>
              <w:top w:val="nil"/>
              <w:left w:val="nil"/>
              <w:bottom w:val="single" w:sz="4" w:space="0" w:color="auto"/>
              <w:right w:val="single" w:sz="4" w:space="0" w:color="auto"/>
            </w:tcBorders>
            <w:shd w:val="clear" w:color="auto" w:fill="auto"/>
            <w:noWrap/>
            <w:vAlign w:val="bottom"/>
            <w:hideMark/>
          </w:tcPr>
          <w:p w14:paraId="27305C20"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$333.951</w:t>
            </w:r>
          </w:p>
        </w:tc>
      </w:tr>
      <w:tr w:rsidR="00B4728D" w:rsidRPr="00096BFA" w14:paraId="195B8093"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785E678"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Micro</w:t>
            </w:r>
          </w:p>
        </w:tc>
        <w:tc>
          <w:tcPr>
            <w:tcW w:w="1560" w:type="dxa"/>
            <w:tcBorders>
              <w:top w:val="nil"/>
              <w:left w:val="nil"/>
              <w:bottom w:val="single" w:sz="4" w:space="0" w:color="auto"/>
              <w:right w:val="single" w:sz="4" w:space="0" w:color="auto"/>
            </w:tcBorders>
            <w:shd w:val="clear" w:color="auto" w:fill="auto"/>
            <w:noWrap/>
            <w:vAlign w:val="bottom"/>
            <w:hideMark/>
          </w:tcPr>
          <w:p w14:paraId="56E7630F"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1.720</w:t>
            </w:r>
          </w:p>
        </w:tc>
        <w:tc>
          <w:tcPr>
            <w:tcW w:w="2260" w:type="dxa"/>
            <w:tcBorders>
              <w:top w:val="nil"/>
              <w:left w:val="nil"/>
              <w:bottom w:val="single" w:sz="4" w:space="0" w:color="auto"/>
              <w:right w:val="single" w:sz="4" w:space="0" w:color="auto"/>
            </w:tcBorders>
            <w:shd w:val="clear" w:color="auto" w:fill="auto"/>
            <w:noWrap/>
            <w:vAlign w:val="bottom"/>
            <w:hideMark/>
          </w:tcPr>
          <w:p w14:paraId="05D00BA6"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$141.818</w:t>
            </w:r>
          </w:p>
        </w:tc>
      </w:tr>
      <w:tr w:rsidR="00B4728D" w:rsidRPr="00096BFA" w14:paraId="5E792D50"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66053C1"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Grande</w:t>
            </w:r>
          </w:p>
        </w:tc>
        <w:tc>
          <w:tcPr>
            <w:tcW w:w="1560" w:type="dxa"/>
            <w:tcBorders>
              <w:top w:val="nil"/>
              <w:left w:val="nil"/>
              <w:bottom w:val="single" w:sz="4" w:space="0" w:color="auto"/>
              <w:right w:val="single" w:sz="4" w:space="0" w:color="auto"/>
            </w:tcBorders>
            <w:shd w:val="clear" w:color="auto" w:fill="auto"/>
            <w:noWrap/>
            <w:vAlign w:val="bottom"/>
            <w:hideMark/>
          </w:tcPr>
          <w:p w14:paraId="1879F07A"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118</w:t>
            </w:r>
          </w:p>
        </w:tc>
        <w:tc>
          <w:tcPr>
            <w:tcW w:w="2260" w:type="dxa"/>
            <w:tcBorders>
              <w:top w:val="nil"/>
              <w:left w:val="nil"/>
              <w:bottom w:val="single" w:sz="4" w:space="0" w:color="auto"/>
              <w:right w:val="single" w:sz="4" w:space="0" w:color="auto"/>
            </w:tcBorders>
            <w:shd w:val="clear" w:color="auto" w:fill="auto"/>
            <w:noWrap/>
            <w:vAlign w:val="bottom"/>
            <w:hideMark/>
          </w:tcPr>
          <w:p w14:paraId="190B383D"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$83.262</w:t>
            </w:r>
          </w:p>
        </w:tc>
      </w:tr>
      <w:tr w:rsidR="00B4728D" w:rsidRPr="00096BFA" w14:paraId="43D4B355"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000000" w:fill="F2F2F2"/>
            <w:noWrap/>
            <w:vAlign w:val="bottom"/>
            <w:hideMark/>
          </w:tcPr>
          <w:p w14:paraId="69CC35E5" w14:textId="77777777" w:rsidR="004D21D1" w:rsidRPr="00096BFA" w:rsidRDefault="004D21D1" w:rsidP="004D21D1">
            <w:pPr>
              <w:spacing w:after="0" w:line="240" w:lineRule="auto"/>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MICROEMPRESAS HASTA EL 70%</w:t>
            </w:r>
          </w:p>
        </w:tc>
        <w:tc>
          <w:tcPr>
            <w:tcW w:w="1560" w:type="dxa"/>
            <w:tcBorders>
              <w:top w:val="nil"/>
              <w:left w:val="nil"/>
              <w:bottom w:val="single" w:sz="4" w:space="0" w:color="auto"/>
              <w:right w:val="single" w:sz="4" w:space="0" w:color="auto"/>
            </w:tcBorders>
            <w:shd w:val="clear" w:color="000000" w:fill="F2F2F2"/>
            <w:noWrap/>
            <w:vAlign w:val="bottom"/>
            <w:hideMark/>
          </w:tcPr>
          <w:p w14:paraId="5A3C783E"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2.373</w:t>
            </w:r>
          </w:p>
        </w:tc>
        <w:tc>
          <w:tcPr>
            <w:tcW w:w="2260" w:type="dxa"/>
            <w:tcBorders>
              <w:top w:val="nil"/>
              <w:left w:val="nil"/>
              <w:bottom w:val="single" w:sz="4" w:space="0" w:color="auto"/>
              <w:right w:val="single" w:sz="4" w:space="0" w:color="auto"/>
            </w:tcBorders>
            <w:shd w:val="clear" w:color="000000" w:fill="F2F2F2"/>
            <w:noWrap/>
            <w:vAlign w:val="bottom"/>
            <w:hideMark/>
          </w:tcPr>
          <w:p w14:paraId="5CDDCB7F"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$7.293</w:t>
            </w:r>
          </w:p>
        </w:tc>
      </w:tr>
      <w:tr w:rsidR="00B4728D" w:rsidRPr="00096BFA" w14:paraId="71DE6E33"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51F0A8CE"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Micro</w:t>
            </w:r>
          </w:p>
        </w:tc>
        <w:tc>
          <w:tcPr>
            <w:tcW w:w="1560" w:type="dxa"/>
            <w:tcBorders>
              <w:top w:val="nil"/>
              <w:left w:val="nil"/>
              <w:bottom w:val="single" w:sz="4" w:space="0" w:color="auto"/>
              <w:right w:val="single" w:sz="4" w:space="0" w:color="auto"/>
            </w:tcBorders>
            <w:shd w:val="clear" w:color="auto" w:fill="auto"/>
            <w:noWrap/>
            <w:vAlign w:val="bottom"/>
            <w:hideMark/>
          </w:tcPr>
          <w:p w14:paraId="1888DA61"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2.373</w:t>
            </w:r>
          </w:p>
        </w:tc>
        <w:tc>
          <w:tcPr>
            <w:tcW w:w="2260" w:type="dxa"/>
            <w:tcBorders>
              <w:top w:val="nil"/>
              <w:left w:val="nil"/>
              <w:bottom w:val="single" w:sz="4" w:space="0" w:color="auto"/>
              <w:right w:val="single" w:sz="4" w:space="0" w:color="auto"/>
            </w:tcBorders>
            <w:shd w:val="clear" w:color="auto" w:fill="auto"/>
            <w:noWrap/>
            <w:vAlign w:val="bottom"/>
            <w:hideMark/>
          </w:tcPr>
          <w:p w14:paraId="552E7229"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$7.293</w:t>
            </w:r>
          </w:p>
        </w:tc>
      </w:tr>
      <w:tr w:rsidR="00B4728D" w:rsidRPr="00096BFA" w14:paraId="7AB227E1"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000000" w:fill="F2F2F2"/>
            <w:noWrap/>
            <w:vAlign w:val="bottom"/>
            <w:hideMark/>
          </w:tcPr>
          <w:p w14:paraId="7D369C86" w14:textId="77777777" w:rsidR="004D21D1" w:rsidRPr="00096BFA" w:rsidRDefault="004D21D1" w:rsidP="004D21D1">
            <w:pPr>
              <w:spacing w:after="0" w:line="240" w:lineRule="auto"/>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MICROEMPRESAS HASTA EL 80%</w:t>
            </w:r>
          </w:p>
        </w:tc>
        <w:tc>
          <w:tcPr>
            <w:tcW w:w="1560" w:type="dxa"/>
            <w:tcBorders>
              <w:top w:val="nil"/>
              <w:left w:val="nil"/>
              <w:bottom w:val="single" w:sz="4" w:space="0" w:color="auto"/>
              <w:right w:val="single" w:sz="4" w:space="0" w:color="auto"/>
            </w:tcBorders>
            <w:shd w:val="clear" w:color="000000" w:fill="F2F2F2"/>
            <w:noWrap/>
            <w:vAlign w:val="bottom"/>
            <w:hideMark/>
          </w:tcPr>
          <w:p w14:paraId="331FC694"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277</w:t>
            </w:r>
          </w:p>
        </w:tc>
        <w:tc>
          <w:tcPr>
            <w:tcW w:w="2260" w:type="dxa"/>
            <w:tcBorders>
              <w:top w:val="nil"/>
              <w:left w:val="nil"/>
              <w:bottom w:val="single" w:sz="4" w:space="0" w:color="auto"/>
              <w:right w:val="single" w:sz="4" w:space="0" w:color="auto"/>
            </w:tcBorders>
            <w:shd w:val="clear" w:color="000000" w:fill="F2F2F2"/>
            <w:noWrap/>
            <w:vAlign w:val="bottom"/>
            <w:hideMark/>
          </w:tcPr>
          <w:p w14:paraId="6511E605"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$1.887</w:t>
            </w:r>
          </w:p>
        </w:tc>
      </w:tr>
      <w:tr w:rsidR="00B4728D" w:rsidRPr="00096BFA" w14:paraId="04E436DB"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FB0C951"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lastRenderedPageBreak/>
              <w:t>Micro</w:t>
            </w:r>
          </w:p>
        </w:tc>
        <w:tc>
          <w:tcPr>
            <w:tcW w:w="1560" w:type="dxa"/>
            <w:tcBorders>
              <w:top w:val="nil"/>
              <w:left w:val="nil"/>
              <w:bottom w:val="single" w:sz="4" w:space="0" w:color="auto"/>
              <w:right w:val="single" w:sz="4" w:space="0" w:color="auto"/>
            </w:tcBorders>
            <w:shd w:val="clear" w:color="auto" w:fill="auto"/>
            <w:noWrap/>
            <w:vAlign w:val="bottom"/>
            <w:hideMark/>
          </w:tcPr>
          <w:p w14:paraId="5C27F587"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277</w:t>
            </w:r>
          </w:p>
        </w:tc>
        <w:tc>
          <w:tcPr>
            <w:tcW w:w="2260" w:type="dxa"/>
            <w:tcBorders>
              <w:top w:val="nil"/>
              <w:left w:val="nil"/>
              <w:bottom w:val="single" w:sz="4" w:space="0" w:color="auto"/>
              <w:right w:val="single" w:sz="4" w:space="0" w:color="auto"/>
            </w:tcBorders>
            <w:shd w:val="clear" w:color="auto" w:fill="auto"/>
            <w:noWrap/>
            <w:vAlign w:val="bottom"/>
            <w:hideMark/>
          </w:tcPr>
          <w:p w14:paraId="0403125D"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$1.887</w:t>
            </w:r>
          </w:p>
        </w:tc>
      </w:tr>
      <w:tr w:rsidR="00B4728D" w:rsidRPr="00096BFA" w14:paraId="4F1EE6A1"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000000" w:fill="F2F2F2"/>
            <w:noWrap/>
            <w:vAlign w:val="bottom"/>
            <w:hideMark/>
          </w:tcPr>
          <w:p w14:paraId="42192475" w14:textId="77777777" w:rsidR="004D21D1" w:rsidRPr="00096BFA" w:rsidRDefault="004D21D1" w:rsidP="004D21D1">
            <w:pPr>
              <w:spacing w:after="0" w:line="240" w:lineRule="auto"/>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NÓMINA PYMES AL 90%</w:t>
            </w:r>
          </w:p>
        </w:tc>
        <w:tc>
          <w:tcPr>
            <w:tcW w:w="1560" w:type="dxa"/>
            <w:tcBorders>
              <w:top w:val="nil"/>
              <w:left w:val="nil"/>
              <w:bottom w:val="single" w:sz="4" w:space="0" w:color="auto"/>
              <w:right w:val="single" w:sz="4" w:space="0" w:color="auto"/>
            </w:tcBorders>
            <w:shd w:val="clear" w:color="000000" w:fill="F2F2F2"/>
            <w:noWrap/>
            <w:vAlign w:val="bottom"/>
            <w:hideMark/>
          </w:tcPr>
          <w:p w14:paraId="59987F7C"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6.766</w:t>
            </w:r>
          </w:p>
        </w:tc>
        <w:tc>
          <w:tcPr>
            <w:tcW w:w="2260" w:type="dxa"/>
            <w:tcBorders>
              <w:top w:val="nil"/>
              <w:left w:val="nil"/>
              <w:bottom w:val="single" w:sz="4" w:space="0" w:color="auto"/>
              <w:right w:val="single" w:sz="4" w:space="0" w:color="auto"/>
            </w:tcBorders>
            <w:shd w:val="clear" w:color="000000" w:fill="F2F2F2"/>
            <w:noWrap/>
            <w:vAlign w:val="bottom"/>
            <w:hideMark/>
          </w:tcPr>
          <w:p w14:paraId="4A5F8FDD"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$681.488</w:t>
            </w:r>
          </w:p>
        </w:tc>
      </w:tr>
      <w:tr w:rsidR="00B4728D" w:rsidRPr="00096BFA" w14:paraId="0F7C89A2"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F82840E"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Mediana</w:t>
            </w:r>
          </w:p>
        </w:tc>
        <w:tc>
          <w:tcPr>
            <w:tcW w:w="1560" w:type="dxa"/>
            <w:tcBorders>
              <w:top w:val="nil"/>
              <w:left w:val="nil"/>
              <w:bottom w:val="single" w:sz="4" w:space="0" w:color="auto"/>
              <w:right w:val="single" w:sz="4" w:space="0" w:color="auto"/>
            </w:tcBorders>
            <w:shd w:val="clear" w:color="auto" w:fill="auto"/>
            <w:noWrap/>
            <w:vAlign w:val="bottom"/>
            <w:hideMark/>
          </w:tcPr>
          <w:p w14:paraId="7D10F78E"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1.417</w:t>
            </w:r>
          </w:p>
        </w:tc>
        <w:tc>
          <w:tcPr>
            <w:tcW w:w="2260" w:type="dxa"/>
            <w:tcBorders>
              <w:top w:val="nil"/>
              <w:left w:val="nil"/>
              <w:bottom w:val="single" w:sz="4" w:space="0" w:color="auto"/>
              <w:right w:val="single" w:sz="4" w:space="0" w:color="auto"/>
            </w:tcBorders>
            <w:shd w:val="clear" w:color="auto" w:fill="auto"/>
            <w:noWrap/>
            <w:vAlign w:val="bottom"/>
            <w:hideMark/>
          </w:tcPr>
          <w:p w14:paraId="0EF60723"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$292.417</w:t>
            </w:r>
          </w:p>
        </w:tc>
      </w:tr>
      <w:tr w:rsidR="00B4728D" w:rsidRPr="00096BFA" w14:paraId="7E40E1F4"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7B8BD01"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Pequeña</w:t>
            </w:r>
          </w:p>
        </w:tc>
        <w:tc>
          <w:tcPr>
            <w:tcW w:w="1560" w:type="dxa"/>
            <w:tcBorders>
              <w:top w:val="nil"/>
              <w:left w:val="nil"/>
              <w:bottom w:val="single" w:sz="4" w:space="0" w:color="auto"/>
              <w:right w:val="single" w:sz="4" w:space="0" w:color="auto"/>
            </w:tcBorders>
            <w:shd w:val="clear" w:color="auto" w:fill="auto"/>
            <w:noWrap/>
            <w:vAlign w:val="bottom"/>
            <w:hideMark/>
          </w:tcPr>
          <w:p w14:paraId="4537AF32"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2.906</w:t>
            </w:r>
          </w:p>
        </w:tc>
        <w:tc>
          <w:tcPr>
            <w:tcW w:w="2260" w:type="dxa"/>
            <w:tcBorders>
              <w:top w:val="nil"/>
              <w:left w:val="nil"/>
              <w:bottom w:val="single" w:sz="4" w:space="0" w:color="auto"/>
              <w:right w:val="single" w:sz="4" w:space="0" w:color="auto"/>
            </w:tcBorders>
            <w:shd w:val="clear" w:color="auto" w:fill="auto"/>
            <w:noWrap/>
            <w:vAlign w:val="bottom"/>
            <w:hideMark/>
          </w:tcPr>
          <w:p w14:paraId="0448F738"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$186.325</w:t>
            </w:r>
          </w:p>
        </w:tc>
      </w:tr>
      <w:tr w:rsidR="00B4728D" w:rsidRPr="00096BFA" w14:paraId="763CDAAD"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A2939D7"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Grande</w:t>
            </w:r>
          </w:p>
        </w:tc>
        <w:tc>
          <w:tcPr>
            <w:tcW w:w="1560" w:type="dxa"/>
            <w:tcBorders>
              <w:top w:val="nil"/>
              <w:left w:val="nil"/>
              <w:bottom w:val="single" w:sz="4" w:space="0" w:color="auto"/>
              <w:right w:val="single" w:sz="4" w:space="0" w:color="auto"/>
            </w:tcBorders>
            <w:shd w:val="clear" w:color="auto" w:fill="auto"/>
            <w:noWrap/>
            <w:vAlign w:val="bottom"/>
            <w:hideMark/>
          </w:tcPr>
          <w:p w14:paraId="3A9CABAC"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268</w:t>
            </w:r>
          </w:p>
        </w:tc>
        <w:tc>
          <w:tcPr>
            <w:tcW w:w="2260" w:type="dxa"/>
            <w:tcBorders>
              <w:top w:val="nil"/>
              <w:left w:val="nil"/>
              <w:bottom w:val="single" w:sz="4" w:space="0" w:color="auto"/>
              <w:right w:val="single" w:sz="4" w:space="0" w:color="auto"/>
            </w:tcBorders>
            <w:shd w:val="clear" w:color="auto" w:fill="auto"/>
            <w:noWrap/>
            <w:vAlign w:val="bottom"/>
            <w:hideMark/>
          </w:tcPr>
          <w:p w14:paraId="2772B2AA"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$128.685</w:t>
            </w:r>
          </w:p>
        </w:tc>
      </w:tr>
      <w:tr w:rsidR="00B4728D" w:rsidRPr="00096BFA" w14:paraId="78FFDDA7"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79E2486"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Micro</w:t>
            </w:r>
          </w:p>
        </w:tc>
        <w:tc>
          <w:tcPr>
            <w:tcW w:w="1560" w:type="dxa"/>
            <w:tcBorders>
              <w:top w:val="nil"/>
              <w:left w:val="nil"/>
              <w:bottom w:val="single" w:sz="4" w:space="0" w:color="auto"/>
              <w:right w:val="single" w:sz="4" w:space="0" w:color="auto"/>
            </w:tcBorders>
            <w:shd w:val="clear" w:color="auto" w:fill="auto"/>
            <w:noWrap/>
            <w:vAlign w:val="bottom"/>
            <w:hideMark/>
          </w:tcPr>
          <w:p w14:paraId="28EBDDF5"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2.175</w:t>
            </w:r>
          </w:p>
        </w:tc>
        <w:tc>
          <w:tcPr>
            <w:tcW w:w="2260" w:type="dxa"/>
            <w:tcBorders>
              <w:top w:val="nil"/>
              <w:left w:val="nil"/>
              <w:bottom w:val="single" w:sz="4" w:space="0" w:color="auto"/>
              <w:right w:val="single" w:sz="4" w:space="0" w:color="auto"/>
            </w:tcBorders>
            <w:shd w:val="clear" w:color="auto" w:fill="auto"/>
            <w:noWrap/>
            <w:vAlign w:val="bottom"/>
            <w:hideMark/>
          </w:tcPr>
          <w:p w14:paraId="7BAEB919"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$74.061</w:t>
            </w:r>
          </w:p>
        </w:tc>
      </w:tr>
      <w:tr w:rsidR="00B4728D" w:rsidRPr="00096BFA" w14:paraId="0A08C5F5"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000000" w:fill="F2F2F2"/>
            <w:noWrap/>
            <w:vAlign w:val="bottom"/>
            <w:hideMark/>
          </w:tcPr>
          <w:p w14:paraId="0AE74D54" w14:textId="77777777" w:rsidR="004D21D1" w:rsidRPr="00096BFA" w:rsidRDefault="004D21D1" w:rsidP="004D21D1">
            <w:pPr>
              <w:spacing w:after="0" w:line="240" w:lineRule="auto"/>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NÓMINA MICROEMPRESAS AL 90%</w:t>
            </w:r>
          </w:p>
        </w:tc>
        <w:tc>
          <w:tcPr>
            <w:tcW w:w="1560" w:type="dxa"/>
            <w:tcBorders>
              <w:top w:val="nil"/>
              <w:left w:val="nil"/>
              <w:bottom w:val="single" w:sz="4" w:space="0" w:color="auto"/>
              <w:right w:val="single" w:sz="4" w:space="0" w:color="auto"/>
            </w:tcBorders>
            <w:shd w:val="clear" w:color="000000" w:fill="F2F2F2"/>
            <w:noWrap/>
            <w:vAlign w:val="bottom"/>
            <w:hideMark/>
          </w:tcPr>
          <w:p w14:paraId="668E3427"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3</w:t>
            </w:r>
          </w:p>
        </w:tc>
        <w:tc>
          <w:tcPr>
            <w:tcW w:w="2260" w:type="dxa"/>
            <w:tcBorders>
              <w:top w:val="nil"/>
              <w:left w:val="nil"/>
              <w:bottom w:val="single" w:sz="4" w:space="0" w:color="auto"/>
              <w:right w:val="single" w:sz="4" w:space="0" w:color="auto"/>
            </w:tcBorders>
            <w:shd w:val="clear" w:color="000000" w:fill="F2F2F2"/>
            <w:noWrap/>
            <w:vAlign w:val="bottom"/>
            <w:hideMark/>
          </w:tcPr>
          <w:p w14:paraId="7873B58C"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$31</w:t>
            </w:r>
          </w:p>
        </w:tc>
      </w:tr>
      <w:tr w:rsidR="00B4728D" w:rsidRPr="00096BFA" w14:paraId="4D5BA4AC"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D9EF27E"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Micro</w:t>
            </w:r>
          </w:p>
        </w:tc>
        <w:tc>
          <w:tcPr>
            <w:tcW w:w="1560" w:type="dxa"/>
            <w:tcBorders>
              <w:top w:val="nil"/>
              <w:left w:val="nil"/>
              <w:bottom w:val="single" w:sz="4" w:space="0" w:color="auto"/>
              <w:right w:val="single" w:sz="4" w:space="0" w:color="auto"/>
            </w:tcBorders>
            <w:shd w:val="clear" w:color="auto" w:fill="auto"/>
            <w:noWrap/>
            <w:vAlign w:val="bottom"/>
            <w:hideMark/>
          </w:tcPr>
          <w:p w14:paraId="25C97EE0"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3</w:t>
            </w:r>
          </w:p>
        </w:tc>
        <w:tc>
          <w:tcPr>
            <w:tcW w:w="2260" w:type="dxa"/>
            <w:tcBorders>
              <w:top w:val="nil"/>
              <w:left w:val="nil"/>
              <w:bottom w:val="single" w:sz="4" w:space="0" w:color="auto"/>
              <w:right w:val="single" w:sz="4" w:space="0" w:color="auto"/>
            </w:tcBorders>
            <w:shd w:val="clear" w:color="auto" w:fill="auto"/>
            <w:noWrap/>
            <w:vAlign w:val="bottom"/>
            <w:hideMark/>
          </w:tcPr>
          <w:p w14:paraId="3E152C92"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$31</w:t>
            </w:r>
          </w:p>
        </w:tc>
      </w:tr>
      <w:tr w:rsidR="00B4728D" w:rsidRPr="00096BFA" w14:paraId="48BCB4CC"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000000" w:fill="F2F2F2"/>
            <w:noWrap/>
            <w:vAlign w:val="bottom"/>
            <w:hideMark/>
          </w:tcPr>
          <w:p w14:paraId="4FC926D6" w14:textId="77777777" w:rsidR="004D21D1" w:rsidRPr="00096BFA" w:rsidRDefault="004D21D1" w:rsidP="004D21D1">
            <w:pPr>
              <w:spacing w:after="0" w:line="240" w:lineRule="auto"/>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INDEPENDIENTES AL 80%</w:t>
            </w:r>
          </w:p>
        </w:tc>
        <w:tc>
          <w:tcPr>
            <w:tcW w:w="1560" w:type="dxa"/>
            <w:tcBorders>
              <w:top w:val="nil"/>
              <w:left w:val="nil"/>
              <w:bottom w:val="single" w:sz="4" w:space="0" w:color="auto"/>
              <w:right w:val="single" w:sz="4" w:space="0" w:color="auto"/>
            </w:tcBorders>
            <w:shd w:val="clear" w:color="000000" w:fill="F2F2F2"/>
            <w:noWrap/>
            <w:vAlign w:val="bottom"/>
            <w:hideMark/>
          </w:tcPr>
          <w:p w14:paraId="72E3BD1A"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16.193</w:t>
            </w:r>
          </w:p>
        </w:tc>
        <w:tc>
          <w:tcPr>
            <w:tcW w:w="2260" w:type="dxa"/>
            <w:tcBorders>
              <w:top w:val="nil"/>
              <w:left w:val="nil"/>
              <w:bottom w:val="single" w:sz="4" w:space="0" w:color="auto"/>
              <w:right w:val="single" w:sz="4" w:space="0" w:color="auto"/>
            </w:tcBorders>
            <w:shd w:val="clear" w:color="000000" w:fill="F2F2F2"/>
            <w:noWrap/>
            <w:vAlign w:val="bottom"/>
            <w:hideMark/>
          </w:tcPr>
          <w:p w14:paraId="25DA74B9"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$197.180</w:t>
            </w:r>
          </w:p>
        </w:tc>
      </w:tr>
      <w:tr w:rsidR="00B4728D" w:rsidRPr="00096BFA" w14:paraId="30B2566D"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A70DCEA"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Micro</w:t>
            </w:r>
          </w:p>
        </w:tc>
        <w:tc>
          <w:tcPr>
            <w:tcW w:w="1560" w:type="dxa"/>
            <w:tcBorders>
              <w:top w:val="nil"/>
              <w:left w:val="nil"/>
              <w:bottom w:val="single" w:sz="4" w:space="0" w:color="auto"/>
              <w:right w:val="single" w:sz="4" w:space="0" w:color="auto"/>
            </w:tcBorders>
            <w:shd w:val="clear" w:color="auto" w:fill="auto"/>
            <w:noWrap/>
            <w:vAlign w:val="bottom"/>
            <w:hideMark/>
          </w:tcPr>
          <w:p w14:paraId="26D7B894"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16.166</w:t>
            </w:r>
          </w:p>
        </w:tc>
        <w:tc>
          <w:tcPr>
            <w:tcW w:w="2260" w:type="dxa"/>
            <w:tcBorders>
              <w:top w:val="nil"/>
              <w:left w:val="nil"/>
              <w:bottom w:val="single" w:sz="4" w:space="0" w:color="auto"/>
              <w:right w:val="single" w:sz="4" w:space="0" w:color="auto"/>
            </w:tcBorders>
            <w:shd w:val="clear" w:color="auto" w:fill="auto"/>
            <w:noWrap/>
            <w:vAlign w:val="bottom"/>
            <w:hideMark/>
          </w:tcPr>
          <w:p w14:paraId="3CD0C8C1"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$196.721</w:t>
            </w:r>
          </w:p>
        </w:tc>
      </w:tr>
      <w:tr w:rsidR="00B4728D" w:rsidRPr="00096BFA" w14:paraId="2375150A"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4AA63EC"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Pequeña</w:t>
            </w:r>
          </w:p>
        </w:tc>
        <w:tc>
          <w:tcPr>
            <w:tcW w:w="1560" w:type="dxa"/>
            <w:tcBorders>
              <w:top w:val="nil"/>
              <w:left w:val="nil"/>
              <w:bottom w:val="single" w:sz="4" w:space="0" w:color="auto"/>
              <w:right w:val="single" w:sz="4" w:space="0" w:color="auto"/>
            </w:tcBorders>
            <w:shd w:val="clear" w:color="auto" w:fill="auto"/>
            <w:noWrap/>
            <w:vAlign w:val="bottom"/>
            <w:hideMark/>
          </w:tcPr>
          <w:p w14:paraId="57C823C8"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27</w:t>
            </w:r>
          </w:p>
        </w:tc>
        <w:tc>
          <w:tcPr>
            <w:tcW w:w="2260" w:type="dxa"/>
            <w:tcBorders>
              <w:top w:val="nil"/>
              <w:left w:val="nil"/>
              <w:bottom w:val="single" w:sz="4" w:space="0" w:color="auto"/>
              <w:right w:val="single" w:sz="4" w:space="0" w:color="auto"/>
            </w:tcBorders>
            <w:shd w:val="clear" w:color="auto" w:fill="auto"/>
            <w:noWrap/>
            <w:vAlign w:val="bottom"/>
            <w:hideMark/>
          </w:tcPr>
          <w:p w14:paraId="3411A1B3"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$459</w:t>
            </w:r>
          </w:p>
        </w:tc>
      </w:tr>
      <w:tr w:rsidR="00B4728D" w:rsidRPr="00096BFA" w14:paraId="7EE9EE81"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000000" w:fill="F2F2F2"/>
            <w:noWrap/>
            <w:vAlign w:val="bottom"/>
            <w:hideMark/>
          </w:tcPr>
          <w:p w14:paraId="5DB4DF45" w14:textId="77777777" w:rsidR="004D21D1" w:rsidRPr="00096BFA" w:rsidRDefault="004D21D1" w:rsidP="004D21D1">
            <w:pPr>
              <w:spacing w:after="0" w:line="240" w:lineRule="auto"/>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INDEPENDIENTES FINTECH AL 80%</w:t>
            </w:r>
          </w:p>
        </w:tc>
        <w:tc>
          <w:tcPr>
            <w:tcW w:w="1560" w:type="dxa"/>
            <w:tcBorders>
              <w:top w:val="nil"/>
              <w:left w:val="nil"/>
              <w:bottom w:val="single" w:sz="4" w:space="0" w:color="auto"/>
              <w:right w:val="single" w:sz="4" w:space="0" w:color="auto"/>
            </w:tcBorders>
            <w:shd w:val="clear" w:color="000000" w:fill="F2F2F2"/>
            <w:noWrap/>
            <w:vAlign w:val="bottom"/>
            <w:hideMark/>
          </w:tcPr>
          <w:p w14:paraId="7EE65492"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117</w:t>
            </w:r>
          </w:p>
        </w:tc>
        <w:tc>
          <w:tcPr>
            <w:tcW w:w="2260" w:type="dxa"/>
            <w:tcBorders>
              <w:top w:val="nil"/>
              <w:left w:val="nil"/>
              <w:bottom w:val="single" w:sz="4" w:space="0" w:color="auto"/>
              <w:right w:val="single" w:sz="4" w:space="0" w:color="auto"/>
            </w:tcBorders>
            <w:shd w:val="clear" w:color="000000" w:fill="F2F2F2"/>
            <w:noWrap/>
            <w:vAlign w:val="bottom"/>
            <w:hideMark/>
          </w:tcPr>
          <w:p w14:paraId="65476491"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$101</w:t>
            </w:r>
          </w:p>
        </w:tc>
      </w:tr>
      <w:tr w:rsidR="00B4728D" w:rsidRPr="00096BFA" w14:paraId="7B2B3FA2"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F6FD747" w14:textId="77777777" w:rsidR="004D21D1" w:rsidRPr="00096BFA" w:rsidRDefault="004D21D1" w:rsidP="004D21D1">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Micro</w:t>
            </w:r>
          </w:p>
        </w:tc>
        <w:tc>
          <w:tcPr>
            <w:tcW w:w="1560" w:type="dxa"/>
            <w:tcBorders>
              <w:top w:val="nil"/>
              <w:left w:val="nil"/>
              <w:bottom w:val="single" w:sz="4" w:space="0" w:color="auto"/>
              <w:right w:val="single" w:sz="4" w:space="0" w:color="auto"/>
            </w:tcBorders>
            <w:shd w:val="clear" w:color="auto" w:fill="auto"/>
            <w:noWrap/>
            <w:vAlign w:val="bottom"/>
            <w:hideMark/>
          </w:tcPr>
          <w:p w14:paraId="30A2A7EB"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117</w:t>
            </w:r>
          </w:p>
        </w:tc>
        <w:tc>
          <w:tcPr>
            <w:tcW w:w="2260" w:type="dxa"/>
            <w:tcBorders>
              <w:top w:val="nil"/>
              <w:left w:val="nil"/>
              <w:bottom w:val="single" w:sz="4" w:space="0" w:color="auto"/>
              <w:right w:val="single" w:sz="4" w:space="0" w:color="auto"/>
            </w:tcBorders>
            <w:shd w:val="clear" w:color="auto" w:fill="auto"/>
            <w:noWrap/>
            <w:vAlign w:val="bottom"/>
            <w:hideMark/>
          </w:tcPr>
          <w:p w14:paraId="6B10B637" w14:textId="77777777" w:rsidR="004D21D1" w:rsidRPr="00096BFA" w:rsidRDefault="004D21D1" w:rsidP="004D21D1">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$101</w:t>
            </w:r>
          </w:p>
        </w:tc>
      </w:tr>
      <w:tr w:rsidR="00B4728D" w:rsidRPr="00096BFA" w14:paraId="3DAFFCC7" w14:textId="77777777" w:rsidTr="004D21D1">
        <w:trPr>
          <w:trHeight w:val="255"/>
          <w:jc w:val="center"/>
        </w:trPr>
        <w:tc>
          <w:tcPr>
            <w:tcW w:w="3460" w:type="dxa"/>
            <w:tcBorders>
              <w:top w:val="nil"/>
              <w:left w:val="single" w:sz="4" w:space="0" w:color="auto"/>
              <w:bottom w:val="single" w:sz="4" w:space="0" w:color="auto"/>
              <w:right w:val="single" w:sz="4" w:space="0" w:color="auto"/>
            </w:tcBorders>
            <w:shd w:val="clear" w:color="000000" w:fill="F2F2F2"/>
            <w:noWrap/>
            <w:vAlign w:val="bottom"/>
            <w:hideMark/>
          </w:tcPr>
          <w:p w14:paraId="45351A2B" w14:textId="77777777" w:rsidR="004D21D1" w:rsidRPr="00096BFA" w:rsidRDefault="004D21D1" w:rsidP="004D21D1">
            <w:pPr>
              <w:spacing w:after="0" w:line="240" w:lineRule="auto"/>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Total general</w:t>
            </w:r>
          </w:p>
        </w:tc>
        <w:tc>
          <w:tcPr>
            <w:tcW w:w="1560" w:type="dxa"/>
            <w:tcBorders>
              <w:top w:val="nil"/>
              <w:left w:val="nil"/>
              <w:bottom w:val="single" w:sz="4" w:space="0" w:color="auto"/>
              <w:right w:val="single" w:sz="4" w:space="0" w:color="auto"/>
            </w:tcBorders>
            <w:shd w:val="clear" w:color="000000" w:fill="F2F2F2"/>
            <w:noWrap/>
            <w:vAlign w:val="bottom"/>
            <w:hideMark/>
          </w:tcPr>
          <w:p w14:paraId="2139C841"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30.856</w:t>
            </w:r>
          </w:p>
        </w:tc>
        <w:tc>
          <w:tcPr>
            <w:tcW w:w="2260" w:type="dxa"/>
            <w:tcBorders>
              <w:top w:val="nil"/>
              <w:left w:val="nil"/>
              <w:bottom w:val="single" w:sz="4" w:space="0" w:color="auto"/>
              <w:right w:val="single" w:sz="4" w:space="0" w:color="auto"/>
            </w:tcBorders>
            <w:shd w:val="clear" w:color="000000" w:fill="F2F2F2"/>
            <w:noWrap/>
            <w:vAlign w:val="bottom"/>
            <w:hideMark/>
          </w:tcPr>
          <w:p w14:paraId="40C416EB" w14:textId="77777777" w:rsidR="004D21D1" w:rsidRPr="00096BFA" w:rsidRDefault="004D21D1" w:rsidP="004D21D1">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$1.804.705</w:t>
            </w:r>
          </w:p>
        </w:tc>
      </w:tr>
    </w:tbl>
    <w:p w14:paraId="2FEB9B2C" w14:textId="7D5A2C75" w:rsidR="004D21D1" w:rsidRPr="00B4728D" w:rsidRDefault="004D21D1" w:rsidP="004D21D1">
      <w:pPr>
        <w:ind w:firstLine="708"/>
        <w:rPr>
          <w:rFonts w:ascii="Arial" w:hAnsi="Arial" w:cs="Arial"/>
          <w:color w:val="000000" w:themeColor="text1"/>
        </w:rPr>
      </w:pPr>
      <w:r w:rsidRPr="00B4728D">
        <w:rPr>
          <w:rFonts w:ascii="Arial" w:hAnsi="Arial" w:cs="Arial"/>
          <w:color w:val="000000" w:themeColor="text1"/>
        </w:rPr>
        <w:t>Fuente: Superfinanciera – reporte realizado por el FNG</w:t>
      </w:r>
    </w:p>
    <w:p w14:paraId="4DB9D4DE" w14:textId="5BC19FCE" w:rsidR="0068095F" w:rsidRPr="00B4728D" w:rsidRDefault="00AB5C3D" w:rsidP="00107D94">
      <w:pPr>
        <w:jc w:val="both"/>
        <w:rPr>
          <w:rFonts w:ascii="Arial" w:hAnsi="Arial" w:cs="Arial"/>
          <w:b/>
          <w:bCs/>
          <w:i/>
          <w:iCs/>
          <w:color w:val="000000" w:themeColor="text1"/>
        </w:rPr>
      </w:pPr>
      <w:r w:rsidRPr="00B4728D">
        <w:rPr>
          <w:rFonts w:ascii="Arial" w:hAnsi="Arial" w:cs="Arial"/>
          <w:b/>
          <w:bCs/>
          <w:i/>
          <w:iCs/>
          <w:color w:val="000000" w:themeColor="text1"/>
        </w:rPr>
        <w:t>“</w:t>
      </w:r>
      <w:r w:rsidR="0068095F" w:rsidRPr="00B4728D">
        <w:rPr>
          <w:rFonts w:ascii="Arial" w:hAnsi="Arial" w:cs="Arial"/>
          <w:b/>
          <w:bCs/>
          <w:i/>
          <w:iCs/>
          <w:color w:val="000000" w:themeColor="text1"/>
        </w:rPr>
        <w:t>10. El por</w:t>
      </w:r>
      <w:r w:rsidR="009C3BF7" w:rsidRPr="00B4728D">
        <w:rPr>
          <w:rFonts w:ascii="Arial" w:hAnsi="Arial" w:cs="Arial"/>
          <w:b/>
          <w:bCs/>
          <w:i/>
          <w:iCs/>
          <w:color w:val="000000" w:themeColor="text1"/>
        </w:rPr>
        <w:t xml:space="preserve"> </w:t>
      </w:r>
      <w:r w:rsidR="0068095F" w:rsidRPr="00B4728D">
        <w:rPr>
          <w:rFonts w:ascii="Arial" w:hAnsi="Arial" w:cs="Arial"/>
          <w:b/>
          <w:bCs/>
          <w:i/>
          <w:iCs/>
          <w:color w:val="000000" w:themeColor="text1"/>
        </w:rPr>
        <w:t>qu</w:t>
      </w:r>
      <w:r w:rsidR="009C3BF7" w:rsidRPr="00B4728D">
        <w:rPr>
          <w:rFonts w:ascii="Arial" w:hAnsi="Arial" w:cs="Arial"/>
          <w:b/>
          <w:bCs/>
          <w:i/>
          <w:iCs/>
          <w:color w:val="000000" w:themeColor="text1"/>
        </w:rPr>
        <w:t>é</w:t>
      </w:r>
      <w:r w:rsidR="0068095F" w:rsidRPr="00B4728D">
        <w:rPr>
          <w:rFonts w:ascii="Arial" w:hAnsi="Arial" w:cs="Arial"/>
          <w:b/>
          <w:bCs/>
          <w:i/>
          <w:iCs/>
          <w:color w:val="000000" w:themeColor="text1"/>
        </w:rPr>
        <w:t xml:space="preserve"> Dr. Castaño, hoy se comenta por los diferentes medios de comunicación que no hay recursos para estas pequeñas empresas ¿Cuál es la realidad?, ¿Qué tan cierta es la información?</w:t>
      </w:r>
      <w:r w:rsidRPr="00B4728D">
        <w:rPr>
          <w:rFonts w:ascii="Arial" w:hAnsi="Arial" w:cs="Arial"/>
          <w:b/>
          <w:bCs/>
          <w:i/>
          <w:iCs/>
          <w:color w:val="000000" w:themeColor="text1"/>
        </w:rPr>
        <w:t>”</w:t>
      </w:r>
      <w:r w:rsidR="0068095F" w:rsidRPr="00B4728D">
        <w:rPr>
          <w:rFonts w:ascii="Arial" w:hAnsi="Arial" w:cs="Arial"/>
          <w:b/>
          <w:bCs/>
          <w:i/>
          <w:iCs/>
          <w:color w:val="000000" w:themeColor="text1"/>
        </w:rPr>
        <w:t xml:space="preserve">    </w:t>
      </w:r>
    </w:p>
    <w:p w14:paraId="4BFE2EB9" w14:textId="3353EAE5" w:rsidR="00666E97" w:rsidRDefault="00666E97" w:rsidP="00107D94">
      <w:pPr>
        <w:jc w:val="both"/>
        <w:rPr>
          <w:rFonts w:ascii="Arial" w:hAnsi="Arial" w:cs="Arial"/>
          <w:color w:val="000000" w:themeColor="text1"/>
        </w:rPr>
      </w:pPr>
      <w:r>
        <w:rPr>
          <w:rFonts w:ascii="Arial" w:hAnsi="Arial" w:cs="Arial"/>
          <w:color w:val="000000" w:themeColor="text1"/>
        </w:rPr>
        <w:t xml:space="preserve">Ante la existencia de </w:t>
      </w:r>
      <w:r w:rsidRPr="00C13C89">
        <w:rPr>
          <w:rFonts w:ascii="Arial" w:hAnsi="Arial" w:cs="Arial"/>
          <w:color w:val="000000" w:themeColor="text1"/>
        </w:rPr>
        <w:t xml:space="preserve">mucha información en redes sociales y otras fuentes de difícil verificación, esta Superintendencia viene publicando dos veces a la semana en su página web </w:t>
      </w:r>
      <w:hyperlink r:id="rId15" w:history="1">
        <w:r w:rsidR="00C13C89" w:rsidRPr="00C13C89">
          <w:rPr>
            <w:rStyle w:val="Hipervnculo"/>
            <w:rFonts w:ascii="Arial" w:hAnsi="Arial" w:cs="Arial"/>
          </w:rPr>
          <w:t>https://www.superfinanciera.gov.co/publicacion/10103761</w:t>
        </w:r>
      </w:hyperlink>
      <w:r w:rsidRPr="00C13C89">
        <w:rPr>
          <w:rFonts w:ascii="Arial" w:hAnsi="Arial" w:cs="Arial"/>
          <w:color w:val="000000" w:themeColor="text1"/>
        </w:rPr>
        <w:t xml:space="preserve"> toda la información oficial sobre el funcionamiento del sistema financiero</w:t>
      </w:r>
      <w:r>
        <w:rPr>
          <w:rFonts w:ascii="Arial" w:hAnsi="Arial" w:cs="Arial"/>
          <w:color w:val="000000" w:themeColor="text1"/>
        </w:rPr>
        <w:t xml:space="preserve"> y el seguimiento que se hace a los diferentes mecanismos implementados en los bancos de segundo piso</w:t>
      </w:r>
      <w:r w:rsidR="00C715F4">
        <w:rPr>
          <w:rFonts w:ascii="Arial" w:hAnsi="Arial" w:cs="Arial"/>
          <w:color w:val="000000" w:themeColor="text1"/>
        </w:rPr>
        <w:t>.</w:t>
      </w:r>
    </w:p>
    <w:p w14:paraId="02AD1B4B" w14:textId="58504812" w:rsidR="00F343A4" w:rsidRDefault="006673C2" w:rsidP="00107D94">
      <w:pPr>
        <w:jc w:val="both"/>
        <w:rPr>
          <w:rFonts w:ascii="Arial" w:hAnsi="Arial" w:cs="Arial"/>
          <w:color w:val="000000" w:themeColor="text1"/>
        </w:rPr>
      </w:pPr>
      <w:r w:rsidRPr="00B4728D">
        <w:rPr>
          <w:rFonts w:ascii="Arial" w:hAnsi="Arial" w:cs="Arial"/>
          <w:color w:val="000000" w:themeColor="text1"/>
        </w:rPr>
        <w:t>Con corte a</w:t>
      </w:r>
      <w:r w:rsidR="00AB5C3D" w:rsidRPr="00B4728D">
        <w:rPr>
          <w:rFonts w:ascii="Arial" w:hAnsi="Arial" w:cs="Arial"/>
          <w:color w:val="000000" w:themeColor="text1"/>
        </w:rPr>
        <w:t>l</w:t>
      </w:r>
      <w:r w:rsidRPr="00B4728D">
        <w:rPr>
          <w:rFonts w:ascii="Arial" w:hAnsi="Arial" w:cs="Arial"/>
          <w:color w:val="000000" w:themeColor="text1"/>
        </w:rPr>
        <w:t xml:space="preserve"> 1</w:t>
      </w:r>
      <w:r w:rsidR="00274CE1">
        <w:rPr>
          <w:rFonts w:ascii="Arial" w:hAnsi="Arial" w:cs="Arial"/>
          <w:color w:val="000000" w:themeColor="text1"/>
        </w:rPr>
        <w:t>5</w:t>
      </w:r>
      <w:r w:rsidRPr="00B4728D">
        <w:rPr>
          <w:rFonts w:ascii="Arial" w:hAnsi="Arial" w:cs="Arial"/>
          <w:color w:val="000000" w:themeColor="text1"/>
        </w:rPr>
        <w:t xml:space="preserve"> de mayo de 2020, en las diversas entidades de redescuento, del total de recursos asignados para la originación de crédito a través de las líneas especiales se tienen los siguientes cupos disponible</w:t>
      </w:r>
      <w:r w:rsidR="000F7A97" w:rsidRPr="00B4728D">
        <w:rPr>
          <w:rFonts w:ascii="Arial" w:hAnsi="Arial" w:cs="Arial"/>
          <w:color w:val="000000" w:themeColor="text1"/>
        </w:rPr>
        <w:t xml:space="preserve">s, </w:t>
      </w:r>
      <w:r w:rsidR="00973CFD">
        <w:rPr>
          <w:rFonts w:ascii="Arial" w:hAnsi="Arial" w:cs="Arial"/>
          <w:color w:val="000000" w:themeColor="text1"/>
        </w:rPr>
        <w:t>Findeter $</w:t>
      </w:r>
      <w:r w:rsidR="00973CFD" w:rsidRPr="00973CFD">
        <w:rPr>
          <w:rFonts w:ascii="Arial" w:hAnsi="Arial" w:cs="Arial"/>
          <w:color w:val="000000" w:themeColor="text1"/>
        </w:rPr>
        <w:t>193,275 millones,</w:t>
      </w:r>
      <w:r w:rsidR="00973CFD">
        <w:t xml:space="preserve"> </w:t>
      </w:r>
      <w:r w:rsidR="000F7A97" w:rsidRPr="00B4728D">
        <w:rPr>
          <w:rFonts w:ascii="Arial" w:hAnsi="Arial" w:cs="Arial"/>
          <w:color w:val="000000" w:themeColor="text1"/>
        </w:rPr>
        <w:t xml:space="preserve">Bancóldex $330.355 millones y </w:t>
      </w:r>
      <w:r w:rsidRPr="00B4728D">
        <w:rPr>
          <w:rFonts w:ascii="Arial" w:hAnsi="Arial" w:cs="Arial"/>
          <w:color w:val="000000" w:themeColor="text1"/>
        </w:rPr>
        <w:t>Finagro $17.914 millones para otorg</w:t>
      </w:r>
      <w:r w:rsidR="000F7A97" w:rsidRPr="00B4728D">
        <w:rPr>
          <w:rFonts w:ascii="Arial" w:hAnsi="Arial" w:cs="Arial"/>
          <w:color w:val="000000" w:themeColor="text1"/>
        </w:rPr>
        <w:t>ar subsidios de tasa de interés</w:t>
      </w:r>
      <w:r w:rsidRPr="00B4728D">
        <w:rPr>
          <w:rFonts w:ascii="Arial" w:hAnsi="Arial" w:cs="Arial"/>
          <w:color w:val="000000" w:themeColor="text1"/>
        </w:rPr>
        <w:t xml:space="preserve">. Por su parte, con corte a 18 de mayo de 2020, el cupo disponible para apalancar créditos con garantías del FNG es de $3,55 billones. </w:t>
      </w:r>
    </w:p>
    <w:p w14:paraId="6D2835D1" w14:textId="13766B71" w:rsidR="0068095F" w:rsidRPr="00B4728D" w:rsidRDefault="00AB5C3D" w:rsidP="00107D94">
      <w:pPr>
        <w:jc w:val="both"/>
        <w:rPr>
          <w:rFonts w:ascii="Arial" w:hAnsi="Arial" w:cs="Arial"/>
          <w:b/>
          <w:bCs/>
          <w:i/>
          <w:iCs/>
          <w:color w:val="000000" w:themeColor="text1"/>
        </w:rPr>
      </w:pPr>
      <w:r w:rsidRPr="00B4728D">
        <w:rPr>
          <w:rFonts w:ascii="Arial" w:hAnsi="Arial" w:cs="Arial"/>
          <w:b/>
          <w:bCs/>
          <w:i/>
          <w:iCs/>
          <w:color w:val="000000" w:themeColor="text1"/>
        </w:rPr>
        <w:t>“</w:t>
      </w:r>
      <w:r w:rsidR="0068095F" w:rsidRPr="00B4728D">
        <w:rPr>
          <w:rFonts w:ascii="Arial" w:hAnsi="Arial" w:cs="Arial"/>
          <w:b/>
          <w:bCs/>
          <w:i/>
          <w:iCs/>
          <w:color w:val="000000" w:themeColor="text1"/>
        </w:rPr>
        <w:t>11. Cuál ha sido el papel de FINAGRO (banco de segundo piso) en los mecanismos de facilitador de créditos al sector agropecuario, pecuario y pesquero de la nación, tratándose de fondos de financiamiento propio para los pequeños productores ¿Cuál el monto de los recursos que le ha sido girado para favorecer la producción a la fecha? y ¿Cuantos los desembolsos realizados para cada uno de los tipos de empresa y su cuantía?</w:t>
      </w:r>
      <w:r w:rsidRPr="00B4728D">
        <w:rPr>
          <w:rFonts w:ascii="Arial" w:hAnsi="Arial" w:cs="Arial"/>
          <w:b/>
          <w:bCs/>
          <w:i/>
          <w:iCs/>
          <w:color w:val="000000" w:themeColor="text1"/>
        </w:rPr>
        <w:t>”</w:t>
      </w:r>
      <w:r w:rsidR="0068095F" w:rsidRPr="00B4728D">
        <w:rPr>
          <w:rFonts w:ascii="Arial" w:hAnsi="Arial" w:cs="Arial"/>
          <w:b/>
          <w:bCs/>
          <w:i/>
          <w:iCs/>
          <w:color w:val="000000" w:themeColor="text1"/>
        </w:rPr>
        <w:t xml:space="preserve">    </w:t>
      </w:r>
    </w:p>
    <w:p w14:paraId="6E75679B" w14:textId="29E5EEFC" w:rsidR="00AB5C3D" w:rsidRPr="00B4728D" w:rsidRDefault="009E3183" w:rsidP="00107D94">
      <w:pPr>
        <w:jc w:val="both"/>
        <w:rPr>
          <w:rFonts w:ascii="Arial" w:hAnsi="Arial" w:cs="Arial"/>
          <w:color w:val="000000" w:themeColor="text1"/>
        </w:rPr>
      </w:pPr>
      <w:r w:rsidRPr="00B4728D">
        <w:rPr>
          <w:rFonts w:ascii="Arial" w:hAnsi="Arial" w:cs="Arial"/>
          <w:color w:val="000000" w:themeColor="text1"/>
        </w:rPr>
        <w:t>En la respuesta a la pregunta 9</w:t>
      </w:r>
      <w:r w:rsidR="00666E97">
        <w:rPr>
          <w:rFonts w:ascii="Arial" w:hAnsi="Arial" w:cs="Arial"/>
          <w:color w:val="000000" w:themeColor="text1"/>
        </w:rPr>
        <w:t xml:space="preserve"> s</w:t>
      </w:r>
      <w:r w:rsidRPr="00B4728D">
        <w:rPr>
          <w:rFonts w:ascii="Arial" w:hAnsi="Arial" w:cs="Arial"/>
          <w:color w:val="000000" w:themeColor="text1"/>
        </w:rPr>
        <w:t>e presenta el detalle de la evolución de los desembolsos a través de la línea especial creada para atender la coyuntura, denominada Colombia Agroproduce. Para el corte de 1</w:t>
      </w:r>
      <w:r w:rsidR="004B01BA">
        <w:rPr>
          <w:rFonts w:ascii="Arial" w:hAnsi="Arial" w:cs="Arial"/>
          <w:color w:val="000000" w:themeColor="text1"/>
        </w:rPr>
        <w:t>5</w:t>
      </w:r>
      <w:r w:rsidRPr="00B4728D">
        <w:rPr>
          <w:rFonts w:ascii="Arial" w:hAnsi="Arial" w:cs="Arial"/>
          <w:color w:val="000000" w:themeColor="text1"/>
        </w:rPr>
        <w:t xml:space="preserve"> de mayo (último reporte disponible), los resultados agregados de esta línea son los siguientes:</w:t>
      </w:r>
    </w:p>
    <w:tbl>
      <w:tblPr>
        <w:tblW w:w="8680" w:type="dxa"/>
        <w:jc w:val="right"/>
        <w:tblCellMar>
          <w:left w:w="70" w:type="dxa"/>
          <w:right w:w="70" w:type="dxa"/>
        </w:tblCellMar>
        <w:tblLook w:val="04A0" w:firstRow="1" w:lastRow="0" w:firstColumn="1" w:lastColumn="0" w:noHBand="0" w:noVBand="1"/>
      </w:tblPr>
      <w:tblGrid>
        <w:gridCol w:w="2306"/>
        <w:gridCol w:w="1160"/>
        <w:gridCol w:w="1401"/>
        <w:gridCol w:w="1101"/>
        <w:gridCol w:w="1006"/>
        <w:gridCol w:w="1560"/>
        <w:gridCol w:w="146"/>
      </w:tblGrid>
      <w:tr w:rsidR="00B4728D" w:rsidRPr="00096BFA" w14:paraId="3CEB99D9" w14:textId="77777777" w:rsidTr="00096BFA">
        <w:trPr>
          <w:gridAfter w:val="1"/>
          <w:wAfter w:w="146" w:type="dxa"/>
          <w:trHeight w:val="255"/>
          <w:jc w:val="right"/>
        </w:trPr>
        <w:tc>
          <w:tcPr>
            <w:tcW w:w="2354"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15D68EEC" w14:textId="77777777" w:rsidR="009E3183" w:rsidRPr="00096BFA" w:rsidRDefault="009E3183" w:rsidP="009E3183">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Líneas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335BCB6" w14:textId="77777777" w:rsidR="009E3183" w:rsidRPr="00096BFA" w:rsidRDefault="009E3183" w:rsidP="009E3183">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Cupo (*)</w:t>
            </w:r>
          </w:p>
        </w:tc>
        <w:tc>
          <w:tcPr>
            <w:tcW w:w="346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1F958F2D" w14:textId="352ACB47" w:rsidR="009E3183" w:rsidRPr="00096BFA" w:rsidRDefault="009E3183" w:rsidP="009E3183">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Monto Subsidio tasa interés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7A26AE4" w14:textId="77777777" w:rsidR="009E3183" w:rsidRPr="00096BFA" w:rsidRDefault="009E3183" w:rsidP="009E3183">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Monto disponible</w:t>
            </w:r>
          </w:p>
        </w:tc>
      </w:tr>
      <w:tr w:rsidR="00B4728D" w:rsidRPr="00096BFA" w14:paraId="5003AA7D" w14:textId="77777777" w:rsidTr="00096BFA">
        <w:trPr>
          <w:gridAfter w:val="1"/>
          <w:wAfter w:w="146" w:type="dxa"/>
          <w:trHeight w:val="450"/>
          <w:jc w:val="right"/>
        </w:trPr>
        <w:tc>
          <w:tcPr>
            <w:tcW w:w="2354" w:type="dxa"/>
            <w:vMerge/>
            <w:tcBorders>
              <w:top w:val="single" w:sz="4" w:space="0" w:color="auto"/>
              <w:left w:val="single" w:sz="4" w:space="0" w:color="auto"/>
              <w:bottom w:val="single" w:sz="4" w:space="0" w:color="auto"/>
              <w:right w:val="single" w:sz="4" w:space="0" w:color="auto"/>
            </w:tcBorders>
            <w:vAlign w:val="center"/>
            <w:hideMark/>
          </w:tcPr>
          <w:p w14:paraId="3579FEB0" w14:textId="77777777" w:rsidR="009E3183" w:rsidRPr="00096BFA" w:rsidRDefault="009E3183" w:rsidP="009E3183">
            <w:pPr>
              <w:spacing w:after="0" w:line="240" w:lineRule="auto"/>
              <w:rPr>
                <w:rFonts w:ascii="Arial" w:eastAsia="Times New Roman" w:hAnsi="Arial" w:cs="Arial"/>
                <w:b/>
                <w:bCs/>
                <w:color w:val="000000" w:themeColor="text1"/>
                <w:sz w:val="18"/>
                <w:szCs w:val="18"/>
                <w:lang w:val="es-CO" w:eastAsia="es-CO"/>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242C6C26" w14:textId="77777777" w:rsidR="009E3183" w:rsidRPr="00096BFA" w:rsidRDefault="009E3183" w:rsidP="009E3183">
            <w:pPr>
              <w:spacing w:after="0" w:line="240" w:lineRule="auto"/>
              <w:rPr>
                <w:rFonts w:ascii="Arial" w:eastAsia="Times New Roman" w:hAnsi="Arial" w:cs="Arial"/>
                <w:b/>
                <w:bCs/>
                <w:color w:val="000000" w:themeColor="text1"/>
                <w:sz w:val="18"/>
                <w:szCs w:val="18"/>
                <w:lang w:val="es-CO" w:eastAsia="es-CO"/>
              </w:rPr>
            </w:pPr>
          </w:p>
        </w:tc>
        <w:tc>
          <w:tcPr>
            <w:tcW w:w="1401" w:type="dxa"/>
            <w:vMerge w:val="restart"/>
            <w:tcBorders>
              <w:top w:val="nil"/>
              <w:left w:val="single" w:sz="4" w:space="0" w:color="auto"/>
              <w:bottom w:val="single" w:sz="4" w:space="0" w:color="auto"/>
              <w:right w:val="single" w:sz="4" w:space="0" w:color="auto"/>
            </w:tcBorders>
            <w:shd w:val="clear" w:color="auto" w:fill="0070C0"/>
            <w:noWrap/>
            <w:vAlign w:val="center"/>
            <w:hideMark/>
          </w:tcPr>
          <w:p w14:paraId="573DA8D9" w14:textId="77777777" w:rsidR="009E3183" w:rsidRPr="00096BFA" w:rsidRDefault="009E3183" w:rsidP="009E3183">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#Operaciones</w:t>
            </w:r>
          </w:p>
        </w:tc>
        <w:tc>
          <w:tcPr>
            <w:tcW w:w="1053" w:type="dxa"/>
            <w:vMerge w:val="restart"/>
            <w:tcBorders>
              <w:top w:val="nil"/>
              <w:left w:val="single" w:sz="4" w:space="0" w:color="auto"/>
              <w:bottom w:val="single" w:sz="4" w:space="0" w:color="auto"/>
              <w:right w:val="single" w:sz="4" w:space="0" w:color="auto"/>
            </w:tcBorders>
            <w:shd w:val="clear" w:color="auto" w:fill="0070C0"/>
            <w:noWrap/>
            <w:vAlign w:val="center"/>
            <w:hideMark/>
          </w:tcPr>
          <w:p w14:paraId="73836BC3" w14:textId="77777777" w:rsidR="009E3183" w:rsidRPr="00096BFA" w:rsidRDefault="009E3183" w:rsidP="009E3183">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#Empresas</w:t>
            </w:r>
          </w:p>
        </w:tc>
        <w:tc>
          <w:tcPr>
            <w:tcW w:w="1006" w:type="dxa"/>
            <w:vMerge w:val="restart"/>
            <w:tcBorders>
              <w:top w:val="nil"/>
              <w:left w:val="single" w:sz="4" w:space="0" w:color="auto"/>
              <w:bottom w:val="single" w:sz="4" w:space="0" w:color="auto"/>
              <w:right w:val="single" w:sz="4" w:space="0" w:color="auto"/>
            </w:tcBorders>
            <w:shd w:val="clear" w:color="auto" w:fill="0070C0"/>
            <w:noWrap/>
            <w:vAlign w:val="center"/>
            <w:hideMark/>
          </w:tcPr>
          <w:p w14:paraId="13CA1D5D" w14:textId="77777777" w:rsidR="009E3183" w:rsidRPr="00096BFA" w:rsidRDefault="009E3183" w:rsidP="009E3183">
            <w:pPr>
              <w:spacing w:after="0" w:line="240" w:lineRule="auto"/>
              <w:jc w:val="center"/>
              <w:rPr>
                <w:rFonts w:ascii="Arial" w:eastAsia="Times New Roman" w:hAnsi="Arial" w:cs="Arial"/>
                <w:b/>
                <w:bCs/>
                <w:color w:val="FFFFFF" w:themeColor="background1"/>
                <w:sz w:val="18"/>
                <w:szCs w:val="18"/>
                <w:lang w:val="es-CO" w:eastAsia="es-CO"/>
              </w:rPr>
            </w:pPr>
            <w:r w:rsidRPr="00096BFA">
              <w:rPr>
                <w:rFonts w:ascii="Arial" w:eastAsia="Times New Roman" w:hAnsi="Arial" w:cs="Arial"/>
                <w:b/>
                <w:bCs/>
                <w:color w:val="FFFFFF" w:themeColor="background1"/>
                <w:sz w:val="18"/>
                <w:szCs w:val="18"/>
                <w:lang w:val="es-CO" w:eastAsia="es-CO"/>
              </w:rPr>
              <w:t xml:space="preserve">Monto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D546A3" w14:textId="77777777" w:rsidR="009E3183" w:rsidRPr="00096BFA" w:rsidRDefault="009E3183" w:rsidP="009E3183">
            <w:pPr>
              <w:spacing w:after="0" w:line="240" w:lineRule="auto"/>
              <w:rPr>
                <w:rFonts w:ascii="Arial" w:eastAsia="Times New Roman" w:hAnsi="Arial" w:cs="Arial"/>
                <w:b/>
                <w:bCs/>
                <w:color w:val="000000" w:themeColor="text1"/>
                <w:sz w:val="18"/>
                <w:szCs w:val="18"/>
                <w:lang w:val="es-CO" w:eastAsia="es-CO"/>
              </w:rPr>
            </w:pPr>
          </w:p>
        </w:tc>
      </w:tr>
      <w:tr w:rsidR="00B4728D" w:rsidRPr="00096BFA" w14:paraId="19D6E0D0" w14:textId="77777777" w:rsidTr="00096BFA">
        <w:trPr>
          <w:trHeight w:val="255"/>
          <w:jc w:val="right"/>
        </w:trPr>
        <w:tc>
          <w:tcPr>
            <w:tcW w:w="2354" w:type="dxa"/>
            <w:vMerge/>
            <w:tcBorders>
              <w:top w:val="single" w:sz="4" w:space="0" w:color="auto"/>
              <w:left w:val="single" w:sz="4" w:space="0" w:color="auto"/>
              <w:bottom w:val="single" w:sz="4" w:space="0" w:color="auto"/>
              <w:right w:val="single" w:sz="4" w:space="0" w:color="auto"/>
            </w:tcBorders>
            <w:vAlign w:val="center"/>
            <w:hideMark/>
          </w:tcPr>
          <w:p w14:paraId="37B05DFE" w14:textId="77777777" w:rsidR="009E3183" w:rsidRPr="00096BFA" w:rsidRDefault="009E3183" w:rsidP="009E3183">
            <w:pPr>
              <w:spacing w:after="0" w:line="240" w:lineRule="auto"/>
              <w:rPr>
                <w:rFonts w:ascii="Arial" w:eastAsia="Times New Roman" w:hAnsi="Arial" w:cs="Arial"/>
                <w:b/>
                <w:bCs/>
                <w:color w:val="000000" w:themeColor="text1"/>
                <w:sz w:val="18"/>
                <w:szCs w:val="18"/>
                <w:lang w:val="es-CO" w:eastAsia="es-CO"/>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0412B849" w14:textId="77777777" w:rsidR="009E3183" w:rsidRPr="00096BFA" w:rsidRDefault="009E3183" w:rsidP="009E3183">
            <w:pPr>
              <w:spacing w:after="0" w:line="240" w:lineRule="auto"/>
              <w:rPr>
                <w:rFonts w:ascii="Arial" w:eastAsia="Times New Roman" w:hAnsi="Arial" w:cs="Arial"/>
                <w:b/>
                <w:bCs/>
                <w:color w:val="000000" w:themeColor="text1"/>
                <w:sz w:val="18"/>
                <w:szCs w:val="18"/>
                <w:lang w:val="es-CO" w:eastAsia="es-CO"/>
              </w:rPr>
            </w:pPr>
          </w:p>
        </w:tc>
        <w:tc>
          <w:tcPr>
            <w:tcW w:w="1401" w:type="dxa"/>
            <w:vMerge/>
            <w:tcBorders>
              <w:top w:val="nil"/>
              <w:left w:val="single" w:sz="4" w:space="0" w:color="auto"/>
              <w:bottom w:val="single" w:sz="4" w:space="0" w:color="auto"/>
              <w:right w:val="single" w:sz="4" w:space="0" w:color="auto"/>
            </w:tcBorders>
            <w:shd w:val="clear" w:color="auto" w:fill="0070C0"/>
            <w:vAlign w:val="center"/>
            <w:hideMark/>
          </w:tcPr>
          <w:p w14:paraId="5D348848" w14:textId="77777777" w:rsidR="009E3183" w:rsidRPr="00096BFA" w:rsidRDefault="009E3183" w:rsidP="009E3183">
            <w:pPr>
              <w:spacing w:after="0" w:line="240" w:lineRule="auto"/>
              <w:rPr>
                <w:rFonts w:ascii="Arial" w:eastAsia="Times New Roman" w:hAnsi="Arial" w:cs="Arial"/>
                <w:b/>
                <w:bCs/>
                <w:color w:val="000000" w:themeColor="text1"/>
                <w:sz w:val="18"/>
                <w:szCs w:val="18"/>
                <w:lang w:val="es-CO" w:eastAsia="es-CO"/>
              </w:rPr>
            </w:pPr>
          </w:p>
        </w:tc>
        <w:tc>
          <w:tcPr>
            <w:tcW w:w="1053" w:type="dxa"/>
            <w:vMerge/>
            <w:tcBorders>
              <w:top w:val="nil"/>
              <w:left w:val="single" w:sz="4" w:space="0" w:color="auto"/>
              <w:bottom w:val="single" w:sz="4" w:space="0" w:color="auto"/>
              <w:right w:val="single" w:sz="4" w:space="0" w:color="auto"/>
            </w:tcBorders>
            <w:shd w:val="clear" w:color="auto" w:fill="0070C0"/>
            <w:vAlign w:val="center"/>
            <w:hideMark/>
          </w:tcPr>
          <w:p w14:paraId="435D2219" w14:textId="77777777" w:rsidR="009E3183" w:rsidRPr="00096BFA" w:rsidRDefault="009E3183" w:rsidP="009E3183">
            <w:pPr>
              <w:spacing w:after="0" w:line="240" w:lineRule="auto"/>
              <w:rPr>
                <w:rFonts w:ascii="Arial" w:eastAsia="Times New Roman" w:hAnsi="Arial" w:cs="Arial"/>
                <w:b/>
                <w:bCs/>
                <w:color w:val="000000" w:themeColor="text1"/>
                <w:sz w:val="18"/>
                <w:szCs w:val="18"/>
                <w:lang w:val="es-CO" w:eastAsia="es-CO"/>
              </w:rPr>
            </w:pPr>
          </w:p>
        </w:tc>
        <w:tc>
          <w:tcPr>
            <w:tcW w:w="1006" w:type="dxa"/>
            <w:vMerge/>
            <w:tcBorders>
              <w:top w:val="nil"/>
              <w:left w:val="single" w:sz="4" w:space="0" w:color="auto"/>
              <w:bottom w:val="single" w:sz="4" w:space="0" w:color="auto"/>
              <w:right w:val="single" w:sz="4" w:space="0" w:color="auto"/>
            </w:tcBorders>
            <w:shd w:val="clear" w:color="auto" w:fill="0070C0"/>
            <w:vAlign w:val="center"/>
            <w:hideMark/>
          </w:tcPr>
          <w:p w14:paraId="66F20128" w14:textId="77777777" w:rsidR="009E3183" w:rsidRPr="00096BFA" w:rsidRDefault="009E3183" w:rsidP="009E3183">
            <w:pPr>
              <w:spacing w:after="0" w:line="240" w:lineRule="auto"/>
              <w:rPr>
                <w:rFonts w:ascii="Arial" w:eastAsia="Times New Roman" w:hAnsi="Arial" w:cs="Arial"/>
                <w:b/>
                <w:bCs/>
                <w:color w:val="000000" w:themeColor="text1"/>
                <w:sz w:val="18"/>
                <w:szCs w:val="18"/>
                <w:lang w:val="es-CO" w:eastAsia="es-CO"/>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2340D5" w14:textId="77777777" w:rsidR="009E3183" w:rsidRPr="00096BFA" w:rsidRDefault="009E3183" w:rsidP="009E3183">
            <w:pPr>
              <w:spacing w:after="0" w:line="240" w:lineRule="auto"/>
              <w:rPr>
                <w:rFonts w:ascii="Arial" w:eastAsia="Times New Roman" w:hAnsi="Arial" w:cs="Arial"/>
                <w:b/>
                <w:bCs/>
                <w:color w:val="000000" w:themeColor="text1"/>
                <w:sz w:val="18"/>
                <w:szCs w:val="18"/>
                <w:lang w:val="es-CO" w:eastAsia="es-CO"/>
              </w:rPr>
            </w:pPr>
          </w:p>
        </w:tc>
        <w:tc>
          <w:tcPr>
            <w:tcW w:w="146" w:type="dxa"/>
            <w:tcBorders>
              <w:top w:val="nil"/>
              <w:left w:val="nil"/>
              <w:bottom w:val="nil"/>
              <w:right w:val="nil"/>
            </w:tcBorders>
            <w:shd w:val="clear" w:color="auto" w:fill="auto"/>
            <w:noWrap/>
            <w:vAlign w:val="bottom"/>
            <w:hideMark/>
          </w:tcPr>
          <w:p w14:paraId="7C7B1B65" w14:textId="77777777" w:rsidR="009E3183" w:rsidRPr="00096BFA" w:rsidRDefault="009E3183" w:rsidP="009E3183">
            <w:pPr>
              <w:spacing w:after="0" w:line="240" w:lineRule="auto"/>
              <w:jc w:val="center"/>
              <w:rPr>
                <w:rFonts w:ascii="Arial" w:eastAsia="Times New Roman" w:hAnsi="Arial" w:cs="Arial"/>
                <w:b/>
                <w:bCs/>
                <w:color w:val="000000" w:themeColor="text1"/>
                <w:sz w:val="18"/>
                <w:szCs w:val="18"/>
                <w:lang w:val="es-CO" w:eastAsia="es-CO"/>
              </w:rPr>
            </w:pPr>
          </w:p>
        </w:tc>
      </w:tr>
      <w:tr w:rsidR="00B4728D" w:rsidRPr="00096BFA" w14:paraId="64888A5A" w14:textId="77777777" w:rsidTr="009E3183">
        <w:trPr>
          <w:trHeight w:val="255"/>
          <w:jc w:val="right"/>
        </w:trPr>
        <w:tc>
          <w:tcPr>
            <w:tcW w:w="2354" w:type="dxa"/>
            <w:tcBorders>
              <w:top w:val="nil"/>
              <w:left w:val="single" w:sz="4" w:space="0" w:color="auto"/>
              <w:bottom w:val="single" w:sz="4" w:space="0" w:color="auto"/>
              <w:right w:val="single" w:sz="4" w:space="0" w:color="auto"/>
            </w:tcBorders>
            <w:shd w:val="clear" w:color="000000" w:fill="FFFFFF"/>
            <w:vAlign w:val="center"/>
            <w:hideMark/>
          </w:tcPr>
          <w:p w14:paraId="637B4D6C" w14:textId="77777777" w:rsidR="009E3183" w:rsidRPr="00096BFA" w:rsidRDefault="009E3183" w:rsidP="009E3183">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lastRenderedPageBreak/>
              <w:t>Pequeño productor</w:t>
            </w:r>
          </w:p>
        </w:tc>
        <w:tc>
          <w:tcPr>
            <w:tcW w:w="1160" w:type="dxa"/>
            <w:tcBorders>
              <w:top w:val="nil"/>
              <w:left w:val="nil"/>
              <w:bottom w:val="single" w:sz="4" w:space="0" w:color="auto"/>
              <w:right w:val="single" w:sz="4" w:space="0" w:color="auto"/>
            </w:tcBorders>
            <w:shd w:val="clear" w:color="000000" w:fill="FFFFFF"/>
            <w:noWrap/>
            <w:vAlign w:val="bottom"/>
            <w:hideMark/>
          </w:tcPr>
          <w:p w14:paraId="0C561B7A"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       22.500 </w:t>
            </w:r>
          </w:p>
        </w:tc>
        <w:tc>
          <w:tcPr>
            <w:tcW w:w="1401" w:type="dxa"/>
            <w:tcBorders>
              <w:top w:val="nil"/>
              <w:left w:val="nil"/>
              <w:bottom w:val="single" w:sz="4" w:space="0" w:color="auto"/>
              <w:right w:val="single" w:sz="4" w:space="0" w:color="auto"/>
            </w:tcBorders>
            <w:shd w:val="clear" w:color="000000" w:fill="FFFFFF"/>
            <w:noWrap/>
            <w:vAlign w:val="bottom"/>
            <w:hideMark/>
          </w:tcPr>
          <w:p w14:paraId="5E68D8BB"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6.108 </w:t>
            </w:r>
          </w:p>
        </w:tc>
        <w:tc>
          <w:tcPr>
            <w:tcW w:w="1053" w:type="dxa"/>
            <w:tcBorders>
              <w:top w:val="nil"/>
              <w:left w:val="nil"/>
              <w:bottom w:val="single" w:sz="4" w:space="0" w:color="auto"/>
              <w:right w:val="single" w:sz="4" w:space="0" w:color="auto"/>
            </w:tcBorders>
            <w:shd w:val="clear" w:color="000000" w:fill="FFFFFF"/>
            <w:noWrap/>
            <w:vAlign w:val="bottom"/>
            <w:hideMark/>
          </w:tcPr>
          <w:p w14:paraId="774F6DB9"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6.050 </w:t>
            </w:r>
          </w:p>
        </w:tc>
        <w:tc>
          <w:tcPr>
            <w:tcW w:w="1006" w:type="dxa"/>
            <w:tcBorders>
              <w:top w:val="nil"/>
              <w:left w:val="nil"/>
              <w:bottom w:val="single" w:sz="4" w:space="0" w:color="auto"/>
              <w:right w:val="single" w:sz="4" w:space="0" w:color="auto"/>
            </w:tcBorders>
            <w:shd w:val="clear" w:color="000000" w:fill="FFFFFF"/>
            <w:noWrap/>
            <w:vAlign w:val="bottom"/>
            <w:hideMark/>
          </w:tcPr>
          <w:p w14:paraId="3D3152B6"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      4.586 </w:t>
            </w:r>
          </w:p>
        </w:tc>
        <w:tc>
          <w:tcPr>
            <w:tcW w:w="1560" w:type="dxa"/>
            <w:tcBorders>
              <w:top w:val="nil"/>
              <w:left w:val="nil"/>
              <w:bottom w:val="single" w:sz="4" w:space="0" w:color="auto"/>
              <w:right w:val="single" w:sz="4" w:space="0" w:color="auto"/>
            </w:tcBorders>
            <w:shd w:val="clear" w:color="000000" w:fill="FFFFFF"/>
            <w:noWrap/>
            <w:vAlign w:val="bottom"/>
            <w:hideMark/>
          </w:tcPr>
          <w:p w14:paraId="283ED760"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                17.914 </w:t>
            </w:r>
          </w:p>
        </w:tc>
        <w:tc>
          <w:tcPr>
            <w:tcW w:w="146" w:type="dxa"/>
            <w:vAlign w:val="center"/>
            <w:hideMark/>
          </w:tcPr>
          <w:p w14:paraId="0DD94DC0" w14:textId="77777777" w:rsidR="009E3183" w:rsidRPr="00096BFA" w:rsidRDefault="009E3183" w:rsidP="009E3183">
            <w:pPr>
              <w:spacing w:after="0" w:line="240" w:lineRule="auto"/>
              <w:rPr>
                <w:rFonts w:ascii="Arial" w:eastAsia="Times New Roman" w:hAnsi="Arial" w:cs="Arial"/>
                <w:color w:val="000000" w:themeColor="text1"/>
                <w:sz w:val="18"/>
                <w:szCs w:val="18"/>
                <w:lang w:val="es-CO" w:eastAsia="es-CO"/>
              </w:rPr>
            </w:pPr>
          </w:p>
        </w:tc>
      </w:tr>
      <w:tr w:rsidR="00B4728D" w:rsidRPr="00096BFA" w14:paraId="293E95CE" w14:textId="77777777" w:rsidTr="009E3183">
        <w:trPr>
          <w:trHeight w:val="255"/>
          <w:jc w:val="right"/>
        </w:trPr>
        <w:tc>
          <w:tcPr>
            <w:tcW w:w="2354" w:type="dxa"/>
            <w:tcBorders>
              <w:top w:val="nil"/>
              <w:left w:val="single" w:sz="4" w:space="0" w:color="auto"/>
              <w:bottom w:val="single" w:sz="4" w:space="0" w:color="auto"/>
              <w:right w:val="single" w:sz="4" w:space="0" w:color="auto"/>
            </w:tcBorders>
            <w:shd w:val="clear" w:color="000000" w:fill="FFFFFF"/>
            <w:vAlign w:val="center"/>
            <w:hideMark/>
          </w:tcPr>
          <w:p w14:paraId="65308319" w14:textId="77777777" w:rsidR="009E3183" w:rsidRPr="00096BFA" w:rsidRDefault="009E3183" w:rsidP="009E3183">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Mediano productor</w:t>
            </w:r>
          </w:p>
        </w:tc>
        <w:tc>
          <w:tcPr>
            <w:tcW w:w="1160" w:type="dxa"/>
            <w:tcBorders>
              <w:top w:val="nil"/>
              <w:left w:val="nil"/>
              <w:bottom w:val="single" w:sz="4" w:space="0" w:color="auto"/>
              <w:right w:val="single" w:sz="4" w:space="0" w:color="auto"/>
            </w:tcBorders>
            <w:shd w:val="clear" w:color="000000" w:fill="FFFFFF"/>
            <w:noWrap/>
            <w:vAlign w:val="bottom"/>
            <w:hideMark/>
          </w:tcPr>
          <w:p w14:paraId="11223F36"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       20.144 </w:t>
            </w:r>
          </w:p>
        </w:tc>
        <w:tc>
          <w:tcPr>
            <w:tcW w:w="1401" w:type="dxa"/>
            <w:tcBorders>
              <w:top w:val="nil"/>
              <w:left w:val="nil"/>
              <w:bottom w:val="single" w:sz="4" w:space="0" w:color="auto"/>
              <w:right w:val="single" w:sz="4" w:space="0" w:color="auto"/>
            </w:tcBorders>
            <w:shd w:val="clear" w:color="000000" w:fill="FFFFFF"/>
            <w:noWrap/>
            <w:vAlign w:val="bottom"/>
            <w:hideMark/>
          </w:tcPr>
          <w:p w14:paraId="69DFA806"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1.851 </w:t>
            </w:r>
          </w:p>
        </w:tc>
        <w:tc>
          <w:tcPr>
            <w:tcW w:w="1053" w:type="dxa"/>
            <w:tcBorders>
              <w:top w:val="nil"/>
              <w:left w:val="nil"/>
              <w:bottom w:val="single" w:sz="4" w:space="0" w:color="auto"/>
              <w:right w:val="single" w:sz="4" w:space="0" w:color="auto"/>
            </w:tcBorders>
            <w:shd w:val="clear" w:color="000000" w:fill="FFFFFF"/>
            <w:noWrap/>
            <w:vAlign w:val="bottom"/>
            <w:hideMark/>
          </w:tcPr>
          <w:p w14:paraId="443DCADE"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1.748 </w:t>
            </w:r>
          </w:p>
        </w:tc>
        <w:tc>
          <w:tcPr>
            <w:tcW w:w="1006" w:type="dxa"/>
            <w:tcBorders>
              <w:top w:val="nil"/>
              <w:left w:val="nil"/>
              <w:bottom w:val="single" w:sz="4" w:space="0" w:color="auto"/>
              <w:right w:val="single" w:sz="4" w:space="0" w:color="auto"/>
            </w:tcBorders>
            <w:shd w:val="clear" w:color="000000" w:fill="FFFFFF"/>
            <w:noWrap/>
            <w:vAlign w:val="bottom"/>
            <w:hideMark/>
          </w:tcPr>
          <w:p w14:paraId="119C7494"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    20.144 </w:t>
            </w:r>
          </w:p>
        </w:tc>
        <w:tc>
          <w:tcPr>
            <w:tcW w:w="1560" w:type="dxa"/>
            <w:tcBorders>
              <w:top w:val="nil"/>
              <w:left w:val="nil"/>
              <w:bottom w:val="single" w:sz="4" w:space="0" w:color="auto"/>
              <w:right w:val="single" w:sz="4" w:space="0" w:color="auto"/>
            </w:tcBorders>
            <w:shd w:val="clear" w:color="000000" w:fill="FFFFFF"/>
            <w:noWrap/>
            <w:vAlign w:val="bottom"/>
            <w:hideMark/>
          </w:tcPr>
          <w:p w14:paraId="3A3101A5"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                         -   </w:t>
            </w:r>
          </w:p>
        </w:tc>
        <w:tc>
          <w:tcPr>
            <w:tcW w:w="146" w:type="dxa"/>
            <w:vAlign w:val="center"/>
            <w:hideMark/>
          </w:tcPr>
          <w:p w14:paraId="0518F368" w14:textId="77777777" w:rsidR="009E3183" w:rsidRPr="00096BFA" w:rsidRDefault="009E3183" w:rsidP="009E3183">
            <w:pPr>
              <w:spacing w:after="0" w:line="240" w:lineRule="auto"/>
              <w:rPr>
                <w:rFonts w:ascii="Arial" w:eastAsia="Times New Roman" w:hAnsi="Arial" w:cs="Arial"/>
                <w:color w:val="000000" w:themeColor="text1"/>
                <w:sz w:val="18"/>
                <w:szCs w:val="18"/>
                <w:lang w:val="es-CO" w:eastAsia="es-CO"/>
              </w:rPr>
            </w:pPr>
          </w:p>
        </w:tc>
      </w:tr>
      <w:tr w:rsidR="00B4728D" w:rsidRPr="00096BFA" w14:paraId="5B33EB2C" w14:textId="77777777" w:rsidTr="009E3183">
        <w:trPr>
          <w:trHeight w:val="255"/>
          <w:jc w:val="right"/>
        </w:trPr>
        <w:tc>
          <w:tcPr>
            <w:tcW w:w="2354" w:type="dxa"/>
            <w:tcBorders>
              <w:top w:val="nil"/>
              <w:left w:val="single" w:sz="4" w:space="0" w:color="auto"/>
              <w:bottom w:val="single" w:sz="4" w:space="0" w:color="auto"/>
              <w:right w:val="single" w:sz="4" w:space="0" w:color="auto"/>
            </w:tcBorders>
            <w:shd w:val="clear" w:color="000000" w:fill="FFFFFF"/>
            <w:vAlign w:val="center"/>
            <w:hideMark/>
          </w:tcPr>
          <w:p w14:paraId="6105BC14" w14:textId="77777777" w:rsidR="009E3183" w:rsidRPr="00096BFA" w:rsidRDefault="009E3183" w:rsidP="009E3183">
            <w:pPr>
              <w:spacing w:after="0" w:line="240" w:lineRule="auto"/>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Gran productor</w:t>
            </w:r>
          </w:p>
        </w:tc>
        <w:tc>
          <w:tcPr>
            <w:tcW w:w="1160" w:type="dxa"/>
            <w:tcBorders>
              <w:top w:val="nil"/>
              <w:left w:val="nil"/>
              <w:bottom w:val="single" w:sz="4" w:space="0" w:color="auto"/>
              <w:right w:val="single" w:sz="4" w:space="0" w:color="auto"/>
            </w:tcBorders>
            <w:shd w:val="clear" w:color="000000" w:fill="FFFFFF"/>
            <w:noWrap/>
            <w:vAlign w:val="bottom"/>
            <w:hideMark/>
          </w:tcPr>
          <w:p w14:paraId="340D269B"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         7.356 </w:t>
            </w:r>
          </w:p>
        </w:tc>
        <w:tc>
          <w:tcPr>
            <w:tcW w:w="1401" w:type="dxa"/>
            <w:tcBorders>
              <w:top w:val="nil"/>
              <w:left w:val="nil"/>
              <w:bottom w:val="single" w:sz="4" w:space="0" w:color="auto"/>
              <w:right w:val="single" w:sz="4" w:space="0" w:color="auto"/>
            </w:tcBorders>
            <w:shd w:val="clear" w:color="000000" w:fill="FFFFFF"/>
            <w:noWrap/>
            <w:vAlign w:val="bottom"/>
            <w:hideMark/>
          </w:tcPr>
          <w:p w14:paraId="778ECBE4"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64 </w:t>
            </w:r>
          </w:p>
        </w:tc>
        <w:tc>
          <w:tcPr>
            <w:tcW w:w="1053" w:type="dxa"/>
            <w:tcBorders>
              <w:top w:val="nil"/>
              <w:left w:val="nil"/>
              <w:bottom w:val="single" w:sz="4" w:space="0" w:color="auto"/>
              <w:right w:val="single" w:sz="4" w:space="0" w:color="auto"/>
            </w:tcBorders>
            <w:shd w:val="clear" w:color="000000" w:fill="FFFFFF"/>
            <w:noWrap/>
            <w:vAlign w:val="bottom"/>
            <w:hideMark/>
          </w:tcPr>
          <w:p w14:paraId="3C30E3E3"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61 </w:t>
            </w:r>
          </w:p>
        </w:tc>
        <w:tc>
          <w:tcPr>
            <w:tcW w:w="1006" w:type="dxa"/>
            <w:tcBorders>
              <w:top w:val="nil"/>
              <w:left w:val="nil"/>
              <w:bottom w:val="single" w:sz="4" w:space="0" w:color="auto"/>
              <w:right w:val="single" w:sz="4" w:space="0" w:color="auto"/>
            </w:tcBorders>
            <w:shd w:val="clear" w:color="000000" w:fill="FFFFFF"/>
            <w:noWrap/>
            <w:vAlign w:val="bottom"/>
            <w:hideMark/>
          </w:tcPr>
          <w:p w14:paraId="3AA35142"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      7.356 </w:t>
            </w:r>
          </w:p>
        </w:tc>
        <w:tc>
          <w:tcPr>
            <w:tcW w:w="1560" w:type="dxa"/>
            <w:tcBorders>
              <w:top w:val="nil"/>
              <w:left w:val="nil"/>
              <w:bottom w:val="single" w:sz="4" w:space="0" w:color="auto"/>
              <w:right w:val="single" w:sz="4" w:space="0" w:color="auto"/>
            </w:tcBorders>
            <w:shd w:val="clear" w:color="000000" w:fill="FFFFFF"/>
            <w:noWrap/>
            <w:vAlign w:val="bottom"/>
            <w:hideMark/>
          </w:tcPr>
          <w:p w14:paraId="267129FE" w14:textId="77777777" w:rsidR="009E3183" w:rsidRPr="00096BFA" w:rsidRDefault="009E3183" w:rsidP="009E3183">
            <w:pPr>
              <w:spacing w:after="0" w:line="240" w:lineRule="auto"/>
              <w:jc w:val="right"/>
              <w:rPr>
                <w:rFonts w:ascii="Arial" w:eastAsia="Times New Roman" w:hAnsi="Arial" w:cs="Arial"/>
                <w:color w:val="000000" w:themeColor="text1"/>
                <w:sz w:val="18"/>
                <w:szCs w:val="18"/>
                <w:lang w:val="es-CO" w:eastAsia="es-CO"/>
              </w:rPr>
            </w:pPr>
            <w:r w:rsidRPr="00096BFA">
              <w:rPr>
                <w:rFonts w:ascii="Arial" w:eastAsia="Times New Roman" w:hAnsi="Arial" w:cs="Arial"/>
                <w:color w:val="000000" w:themeColor="text1"/>
                <w:sz w:val="18"/>
                <w:szCs w:val="18"/>
                <w:lang w:val="es-CO" w:eastAsia="es-CO"/>
              </w:rPr>
              <w:t xml:space="preserve"> $                         -   </w:t>
            </w:r>
          </w:p>
        </w:tc>
        <w:tc>
          <w:tcPr>
            <w:tcW w:w="146" w:type="dxa"/>
            <w:vAlign w:val="center"/>
            <w:hideMark/>
          </w:tcPr>
          <w:p w14:paraId="5E64C705" w14:textId="77777777" w:rsidR="009E3183" w:rsidRPr="00096BFA" w:rsidRDefault="009E3183" w:rsidP="009E3183">
            <w:pPr>
              <w:spacing w:after="0" w:line="240" w:lineRule="auto"/>
              <w:rPr>
                <w:rFonts w:ascii="Arial" w:eastAsia="Times New Roman" w:hAnsi="Arial" w:cs="Arial"/>
                <w:color w:val="000000" w:themeColor="text1"/>
                <w:sz w:val="18"/>
                <w:szCs w:val="18"/>
                <w:lang w:val="es-CO" w:eastAsia="es-CO"/>
              </w:rPr>
            </w:pPr>
          </w:p>
        </w:tc>
      </w:tr>
      <w:tr w:rsidR="00B4728D" w:rsidRPr="00096BFA" w14:paraId="30956A7E" w14:textId="77777777" w:rsidTr="009E3183">
        <w:trPr>
          <w:trHeight w:val="510"/>
          <w:jc w:val="right"/>
        </w:trPr>
        <w:tc>
          <w:tcPr>
            <w:tcW w:w="2354" w:type="dxa"/>
            <w:tcBorders>
              <w:top w:val="nil"/>
              <w:left w:val="single" w:sz="4" w:space="0" w:color="auto"/>
              <w:bottom w:val="single" w:sz="4" w:space="0" w:color="auto"/>
              <w:right w:val="single" w:sz="4" w:space="0" w:color="auto"/>
            </w:tcBorders>
            <w:shd w:val="clear" w:color="000000" w:fill="D9D9D9"/>
            <w:vAlign w:val="center"/>
            <w:hideMark/>
          </w:tcPr>
          <w:p w14:paraId="71D1E773" w14:textId="77777777" w:rsidR="009E3183" w:rsidRPr="00096BFA" w:rsidRDefault="009E3183" w:rsidP="009E3183">
            <w:pPr>
              <w:spacing w:after="0" w:line="240" w:lineRule="auto"/>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Total Colombia Agroproduce</w:t>
            </w:r>
          </w:p>
        </w:tc>
        <w:tc>
          <w:tcPr>
            <w:tcW w:w="1160" w:type="dxa"/>
            <w:tcBorders>
              <w:top w:val="nil"/>
              <w:left w:val="nil"/>
              <w:bottom w:val="single" w:sz="4" w:space="0" w:color="auto"/>
              <w:right w:val="single" w:sz="4" w:space="0" w:color="auto"/>
            </w:tcBorders>
            <w:shd w:val="clear" w:color="000000" w:fill="D9D9D9"/>
            <w:noWrap/>
            <w:vAlign w:val="bottom"/>
            <w:hideMark/>
          </w:tcPr>
          <w:p w14:paraId="1CA91945" w14:textId="77777777" w:rsidR="009E3183" w:rsidRPr="00096BFA" w:rsidRDefault="009E3183" w:rsidP="009E3183">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 xml:space="preserve"> $   50.000 </w:t>
            </w:r>
          </w:p>
        </w:tc>
        <w:tc>
          <w:tcPr>
            <w:tcW w:w="1401" w:type="dxa"/>
            <w:tcBorders>
              <w:top w:val="nil"/>
              <w:left w:val="nil"/>
              <w:bottom w:val="single" w:sz="4" w:space="0" w:color="auto"/>
              <w:right w:val="single" w:sz="4" w:space="0" w:color="auto"/>
            </w:tcBorders>
            <w:shd w:val="clear" w:color="000000" w:fill="D9D9D9"/>
            <w:noWrap/>
            <w:vAlign w:val="bottom"/>
            <w:hideMark/>
          </w:tcPr>
          <w:p w14:paraId="1E3B3486" w14:textId="77777777" w:rsidR="009E3183" w:rsidRPr="00096BFA" w:rsidRDefault="009E3183" w:rsidP="009E3183">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 xml:space="preserve">           8.023 </w:t>
            </w:r>
          </w:p>
        </w:tc>
        <w:tc>
          <w:tcPr>
            <w:tcW w:w="1053" w:type="dxa"/>
            <w:tcBorders>
              <w:top w:val="nil"/>
              <w:left w:val="nil"/>
              <w:bottom w:val="single" w:sz="4" w:space="0" w:color="auto"/>
              <w:right w:val="single" w:sz="4" w:space="0" w:color="auto"/>
            </w:tcBorders>
            <w:shd w:val="clear" w:color="000000" w:fill="D9D9D9"/>
            <w:noWrap/>
            <w:vAlign w:val="bottom"/>
            <w:hideMark/>
          </w:tcPr>
          <w:p w14:paraId="605AC4F4" w14:textId="77777777" w:rsidR="009E3183" w:rsidRPr="00096BFA" w:rsidRDefault="009E3183" w:rsidP="009E3183">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 xml:space="preserve">      7.859 </w:t>
            </w:r>
          </w:p>
        </w:tc>
        <w:tc>
          <w:tcPr>
            <w:tcW w:w="1006" w:type="dxa"/>
            <w:tcBorders>
              <w:top w:val="nil"/>
              <w:left w:val="nil"/>
              <w:bottom w:val="single" w:sz="4" w:space="0" w:color="auto"/>
              <w:right w:val="single" w:sz="4" w:space="0" w:color="auto"/>
            </w:tcBorders>
            <w:shd w:val="clear" w:color="000000" w:fill="D9D9D9"/>
            <w:noWrap/>
            <w:vAlign w:val="bottom"/>
            <w:hideMark/>
          </w:tcPr>
          <w:p w14:paraId="1542C166" w14:textId="77777777" w:rsidR="009E3183" w:rsidRPr="00096BFA" w:rsidRDefault="009E3183" w:rsidP="009E3183">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 xml:space="preserve"> $ 32.085 </w:t>
            </w:r>
          </w:p>
        </w:tc>
        <w:tc>
          <w:tcPr>
            <w:tcW w:w="1560" w:type="dxa"/>
            <w:tcBorders>
              <w:top w:val="nil"/>
              <w:left w:val="nil"/>
              <w:bottom w:val="single" w:sz="4" w:space="0" w:color="auto"/>
              <w:right w:val="single" w:sz="4" w:space="0" w:color="auto"/>
            </w:tcBorders>
            <w:shd w:val="clear" w:color="000000" w:fill="D9D9D9"/>
            <w:noWrap/>
            <w:vAlign w:val="bottom"/>
            <w:hideMark/>
          </w:tcPr>
          <w:p w14:paraId="3D022A17" w14:textId="77777777" w:rsidR="009E3183" w:rsidRPr="00096BFA" w:rsidRDefault="009E3183" w:rsidP="009E3183">
            <w:pPr>
              <w:spacing w:after="0" w:line="240" w:lineRule="auto"/>
              <w:jc w:val="right"/>
              <w:rPr>
                <w:rFonts w:ascii="Arial" w:eastAsia="Times New Roman" w:hAnsi="Arial" w:cs="Arial"/>
                <w:b/>
                <w:bCs/>
                <w:color w:val="000000" w:themeColor="text1"/>
                <w:sz w:val="18"/>
                <w:szCs w:val="18"/>
                <w:lang w:val="es-CO" w:eastAsia="es-CO"/>
              </w:rPr>
            </w:pPr>
            <w:r w:rsidRPr="00096BFA">
              <w:rPr>
                <w:rFonts w:ascii="Arial" w:eastAsia="Times New Roman" w:hAnsi="Arial" w:cs="Arial"/>
                <w:b/>
                <w:bCs/>
                <w:color w:val="000000" w:themeColor="text1"/>
                <w:sz w:val="18"/>
                <w:szCs w:val="18"/>
                <w:lang w:val="es-CO" w:eastAsia="es-CO"/>
              </w:rPr>
              <w:t xml:space="preserve"> $         17.914 </w:t>
            </w:r>
          </w:p>
        </w:tc>
        <w:tc>
          <w:tcPr>
            <w:tcW w:w="146" w:type="dxa"/>
            <w:vAlign w:val="center"/>
            <w:hideMark/>
          </w:tcPr>
          <w:p w14:paraId="17158B80" w14:textId="77777777" w:rsidR="009E3183" w:rsidRPr="00096BFA" w:rsidRDefault="009E3183" w:rsidP="009E3183">
            <w:pPr>
              <w:spacing w:after="0" w:line="240" w:lineRule="auto"/>
              <w:rPr>
                <w:rFonts w:ascii="Arial" w:eastAsia="Times New Roman" w:hAnsi="Arial" w:cs="Arial"/>
                <w:color w:val="000000" w:themeColor="text1"/>
                <w:sz w:val="18"/>
                <w:szCs w:val="18"/>
                <w:lang w:val="es-CO" w:eastAsia="es-CO"/>
              </w:rPr>
            </w:pPr>
          </w:p>
        </w:tc>
      </w:tr>
    </w:tbl>
    <w:p w14:paraId="3A57E8AA" w14:textId="0D0D47CF" w:rsidR="009E3183" w:rsidRPr="00DE2446" w:rsidRDefault="009E3183" w:rsidP="009E3183">
      <w:pPr>
        <w:rPr>
          <w:rFonts w:ascii="Arial" w:hAnsi="Arial" w:cs="Arial"/>
          <w:color w:val="000000" w:themeColor="text1"/>
          <w:sz w:val="20"/>
          <w:szCs w:val="20"/>
        </w:rPr>
      </w:pPr>
      <w:r w:rsidRPr="00DE2446">
        <w:rPr>
          <w:rFonts w:ascii="Arial" w:hAnsi="Arial" w:cs="Arial"/>
          <w:color w:val="000000" w:themeColor="text1"/>
          <w:sz w:val="20"/>
          <w:szCs w:val="20"/>
        </w:rPr>
        <w:t>Fuente: Superfinanciera – reporte realizado por Finagro</w:t>
      </w:r>
    </w:p>
    <w:p w14:paraId="43F79DA9" w14:textId="599A83B0" w:rsidR="009C3BF7" w:rsidRPr="00B4728D" w:rsidRDefault="009E3183" w:rsidP="00107D94">
      <w:pPr>
        <w:jc w:val="both"/>
        <w:rPr>
          <w:rFonts w:ascii="Arial" w:hAnsi="Arial" w:cs="Arial"/>
          <w:color w:val="000000" w:themeColor="text1"/>
        </w:rPr>
      </w:pPr>
      <w:r w:rsidRPr="00B4728D">
        <w:rPr>
          <w:rFonts w:ascii="Arial" w:hAnsi="Arial" w:cs="Arial"/>
          <w:color w:val="000000" w:themeColor="text1"/>
        </w:rPr>
        <w:t xml:space="preserve">De un total de $50.000 millones aportados por el Ministerio de Agricultura, para subsidiar la tasa de interés de estas operaciones de crédito, se han colocado 8.023 créditos, entre 7.859 empresarios del sector agropecuario, que representan un monto de subsidio a tasas de interés por valor de $32.085 millones, quedando disponibles $17.914 millones, de los recursos asignados para esta línea. </w:t>
      </w:r>
    </w:p>
    <w:p w14:paraId="7B07A1CE" w14:textId="0B5EB33B" w:rsidR="0068095F" w:rsidRPr="00B4728D" w:rsidRDefault="00AB5C3D" w:rsidP="00AB5C3D">
      <w:pPr>
        <w:jc w:val="both"/>
        <w:rPr>
          <w:rFonts w:ascii="Arial" w:hAnsi="Arial" w:cs="Arial"/>
          <w:color w:val="000000" w:themeColor="text1"/>
        </w:rPr>
      </w:pPr>
      <w:r w:rsidRPr="00B4728D">
        <w:rPr>
          <w:rFonts w:ascii="Arial" w:hAnsi="Arial" w:cs="Arial"/>
          <w:b/>
          <w:bCs/>
          <w:i/>
          <w:iCs/>
          <w:color w:val="000000" w:themeColor="text1"/>
        </w:rPr>
        <w:t>“</w:t>
      </w:r>
      <w:r w:rsidR="0068095F" w:rsidRPr="00B4728D">
        <w:rPr>
          <w:rFonts w:ascii="Arial" w:hAnsi="Arial" w:cs="Arial"/>
          <w:b/>
          <w:bCs/>
          <w:i/>
          <w:iCs/>
          <w:color w:val="000000" w:themeColor="text1"/>
        </w:rPr>
        <w:t>12. ¿Frente a la sostenibilidad financiera del país a mediano y corto plazo, respecto a las altas tasas de interés; se ha pensado por parte de la entidad y gobierno nacional, ¿Modificar la metodología aplicable para determinar que estos montos no sean tan elevados?</w:t>
      </w:r>
      <w:r w:rsidRPr="00B4728D">
        <w:rPr>
          <w:rFonts w:ascii="Arial" w:hAnsi="Arial" w:cs="Arial"/>
          <w:b/>
          <w:bCs/>
          <w:i/>
          <w:iCs/>
          <w:color w:val="000000" w:themeColor="text1"/>
        </w:rPr>
        <w:t>”</w:t>
      </w:r>
      <w:r w:rsidR="0068095F" w:rsidRPr="00B4728D">
        <w:rPr>
          <w:rFonts w:ascii="Arial" w:hAnsi="Arial" w:cs="Arial"/>
          <w:color w:val="000000" w:themeColor="text1"/>
        </w:rPr>
        <w:t xml:space="preserve">  </w:t>
      </w:r>
    </w:p>
    <w:p w14:paraId="5F2D3B6E" w14:textId="458AAFA4" w:rsidR="00666E97" w:rsidRDefault="00666E97" w:rsidP="00AB5C3D">
      <w:pPr>
        <w:autoSpaceDE w:val="0"/>
        <w:autoSpaceDN w:val="0"/>
        <w:adjustRightInd w:val="0"/>
        <w:jc w:val="both"/>
        <w:rPr>
          <w:rFonts w:ascii="Arial" w:hAnsi="Arial" w:cs="Arial"/>
          <w:color w:val="000000" w:themeColor="text1"/>
        </w:rPr>
      </w:pPr>
      <w:r>
        <w:rPr>
          <w:rFonts w:ascii="Arial" w:hAnsi="Arial" w:cs="Arial"/>
          <w:color w:val="000000" w:themeColor="text1"/>
        </w:rPr>
        <w:t xml:space="preserve">El Ministerio de Hacienda y crédito Público en varias ocasiones recientes ha expresado que no tiene previsto controlar los precios del dinero en </w:t>
      </w:r>
      <w:r w:rsidR="00972D82">
        <w:rPr>
          <w:rFonts w:ascii="Arial" w:hAnsi="Arial" w:cs="Arial"/>
          <w:color w:val="000000" w:themeColor="text1"/>
        </w:rPr>
        <w:t>la economía</w:t>
      </w:r>
      <w:r>
        <w:rPr>
          <w:rFonts w:ascii="Arial" w:hAnsi="Arial" w:cs="Arial"/>
          <w:color w:val="000000" w:themeColor="text1"/>
        </w:rPr>
        <w:t xml:space="preserve">, por ser un instrumento que genera </w:t>
      </w:r>
      <w:r w:rsidR="00972D82">
        <w:rPr>
          <w:rFonts w:ascii="Arial" w:hAnsi="Arial" w:cs="Arial"/>
          <w:color w:val="000000" w:themeColor="text1"/>
        </w:rPr>
        <w:t xml:space="preserve">bastantes </w:t>
      </w:r>
      <w:r>
        <w:rPr>
          <w:rFonts w:ascii="Arial" w:hAnsi="Arial" w:cs="Arial"/>
          <w:color w:val="000000" w:themeColor="text1"/>
        </w:rPr>
        <w:t>distorsiones en el funcion</w:t>
      </w:r>
      <w:r w:rsidR="00972D82">
        <w:rPr>
          <w:rFonts w:ascii="Arial" w:hAnsi="Arial" w:cs="Arial"/>
          <w:color w:val="000000" w:themeColor="text1"/>
        </w:rPr>
        <w:t>a</w:t>
      </w:r>
      <w:r>
        <w:rPr>
          <w:rFonts w:ascii="Arial" w:hAnsi="Arial" w:cs="Arial"/>
          <w:color w:val="000000" w:themeColor="text1"/>
        </w:rPr>
        <w:t xml:space="preserve">miento de la </w:t>
      </w:r>
      <w:r w:rsidR="00B51534">
        <w:rPr>
          <w:rFonts w:ascii="Arial" w:hAnsi="Arial" w:cs="Arial"/>
          <w:color w:val="000000" w:themeColor="text1"/>
        </w:rPr>
        <w:t>misma</w:t>
      </w:r>
      <w:r>
        <w:rPr>
          <w:rFonts w:ascii="Arial" w:hAnsi="Arial" w:cs="Arial"/>
          <w:color w:val="000000" w:themeColor="text1"/>
        </w:rPr>
        <w:t>.</w:t>
      </w:r>
    </w:p>
    <w:p w14:paraId="74668D58" w14:textId="0610506C" w:rsidR="00AB5C3D" w:rsidRPr="00B4728D" w:rsidRDefault="00666E97" w:rsidP="00AB5C3D">
      <w:pPr>
        <w:autoSpaceDE w:val="0"/>
        <w:autoSpaceDN w:val="0"/>
        <w:adjustRightInd w:val="0"/>
        <w:jc w:val="both"/>
        <w:rPr>
          <w:rFonts w:ascii="Arial" w:hAnsi="Arial" w:cs="Arial"/>
          <w:color w:val="000000" w:themeColor="text1"/>
        </w:rPr>
      </w:pPr>
      <w:r>
        <w:rPr>
          <w:rFonts w:ascii="Arial" w:hAnsi="Arial" w:cs="Arial"/>
          <w:color w:val="000000" w:themeColor="text1"/>
        </w:rPr>
        <w:t>En cuanto a la certificación que expide l</w:t>
      </w:r>
      <w:r w:rsidR="00AB5C3D" w:rsidRPr="00B4728D">
        <w:rPr>
          <w:rFonts w:ascii="Arial" w:hAnsi="Arial" w:cs="Arial"/>
          <w:color w:val="000000" w:themeColor="text1"/>
        </w:rPr>
        <w:t xml:space="preserve">a Superintendencia Financiera de Colombia (SFC), </w:t>
      </w:r>
      <w:r>
        <w:rPr>
          <w:rFonts w:ascii="Arial" w:hAnsi="Arial" w:cs="Arial"/>
          <w:color w:val="000000" w:themeColor="text1"/>
        </w:rPr>
        <w:t>dicha función la ejerce tomando como información las tasas de interés y los niveles de desembolsos que semana a semana son tr</w:t>
      </w:r>
      <w:r w:rsidR="00972D82">
        <w:rPr>
          <w:rFonts w:ascii="Arial" w:hAnsi="Arial" w:cs="Arial"/>
          <w:color w:val="000000" w:themeColor="text1"/>
        </w:rPr>
        <w:t>a</w:t>
      </w:r>
      <w:r>
        <w:rPr>
          <w:rFonts w:ascii="Arial" w:hAnsi="Arial" w:cs="Arial"/>
          <w:color w:val="000000" w:themeColor="text1"/>
        </w:rPr>
        <w:t>nsmitidos por los establecimientos de crédito</w:t>
      </w:r>
      <w:r w:rsidR="00972D82">
        <w:rPr>
          <w:rFonts w:ascii="Arial" w:hAnsi="Arial" w:cs="Arial"/>
          <w:color w:val="000000" w:themeColor="text1"/>
        </w:rPr>
        <w:t>.</w:t>
      </w:r>
    </w:p>
    <w:p w14:paraId="1D49625B" w14:textId="1EC18264" w:rsidR="00AB5C3D" w:rsidRPr="00B4728D" w:rsidRDefault="00AB5C3D" w:rsidP="00AB5C3D">
      <w:pPr>
        <w:tabs>
          <w:tab w:val="left" w:pos="0"/>
        </w:tabs>
        <w:jc w:val="both"/>
        <w:rPr>
          <w:rFonts w:ascii="Arial" w:hAnsi="Arial" w:cs="Arial"/>
          <w:color w:val="000000" w:themeColor="text1"/>
        </w:rPr>
      </w:pPr>
      <w:r w:rsidRPr="00B4728D">
        <w:rPr>
          <w:rFonts w:ascii="Arial" w:hAnsi="Arial" w:cs="Arial"/>
          <w:color w:val="000000" w:themeColor="text1"/>
        </w:rPr>
        <w:t>De esta forma, la SFC sólo certifica el Interés Bancario Corriente IBC, el cual es el insumo para calcular la tasa de usura, que de acuerdo con lo establecido en el artículo 305 del Código Penal</w:t>
      </w:r>
      <w:r w:rsidRPr="00195302">
        <w:rPr>
          <w:rFonts w:ascii="Arial" w:hAnsi="Arial" w:cs="Arial"/>
          <w:color w:val="000000" w:themeColor="text1"/>
          <w:vertAlign w:val="superscript"/>
        </w:rPr>
        <w:footnoteReference w:id="4"/>
      </w:r>
      <w:r w:rsidR="00A01830">
        <w:rPr>
          <w:rFonts w:ascii="Arial" w:hAnsi="Arial" w:cs="Arial"/>
          <w:color w:val="000000" w:themeColor="text1"/>
        </w:rPr>
        <w:t xml:space="preserve"> </w:t>
      </w:r>
      <w:r w:rsidRPr="00B4728D">
        <w:rPr>
          <w:rFonts w:ascii="Arial" w:hAnsi="Arial" w:cs="Arial"/>
          <w:color w:val="000000" w:themeColor="text1"/>
        </w:rPr>
        <w:t>y con el artículo 884 del Código de Comercio</w:t>
      </w:r>
      <w:r w:rsidRPr="00B4728D">
        <w:rPr>
          <w:rFonts w:ascii="Arial" w:hAnsi="Arial" w:cs="Arial"/>
          <w:color w:val="000000" w:themeColor="text1"/>
        </w:rPr>
        <w:footnoteReference w:id="5"/>
      </w:r>
      <w:r w:rsidRPr="00B4728D">
        <w:rPr>
          <w:rFonts w:ascii="Arial" w:hAnsi="Arial" w:cs="Arial"/>
          <w:color w:val="000000" w:themeColor="text1"/>
        </w:rPr>
        <w:t>, corresponde al exceso de 1.5 veces el IBC. En este sentido,</w:t>
      </w:r>
      <w:r w:rsidR="00972D82">
        <w:rPr>
          <w:rFonts w:ascii="Arial" w:hAnsi="Arial" w:cs="Arial"/>
          <w:color w:val="000000" w:themeColor="text1"/>
        </w:rPr>
        <w:t xml:space="preserve"> a</w:t>
      </w:r>
      <w:r w:rsidRPr="00B4728D">
        <w:rPr>
          <w:rFonts w:ascii="Arial" w:hAnsi="Arial" w:cs="Arial"/>
          <w:color w:val="000000" w:themeColor="text1"/>
        </w:rPr>
        <w:t xml:space="preserve"> esta Superintendencia no </w:t>
      </w:r>
      <w:r w:rsidR="00972D82">
        <w:rPr>
          <w:rFonts w:ascii="Arial" w:hAnsi="Arial" w:cs="Arial"/>
          <w:color w:val="000000" w:themeColor="text1"/>
        </w:rPr>
        <w:t xml:space="preserve">le corresponde fijar </w:t>
      </w:r>
      <w:r w:rsidRPr="00B4728D">
        <w:rPr>
          <w:rFonts w:ascii="Arial" w:hAnsi="Arial" w:cs="Arial"/>
          <w:color w:val="000000" w:themeColor="text1"/>
        </w:rPr>
        <w:t>la tasa de usura.</w:t>
      </w:r>
    </w:p>
    <w:p w14:paraId="234EFA6D" w14:textId="77777777" w:rsidR="00AB5C3D" w:rsidRPr="00B4728D" w:rsidRDefault="00AB5C3D" w:rsidP="00AB5C3D">
      <w:pPr>
        <w:pStyle w:val="Default"/>
        <w:jc w:val="both"/>
        <w:rPr>
          <w:color w:val="000000" w:themeColor="text1"/>
          <w:sz w:val="22"/>
          <w:szCs w:val="22"/>
        </w:rPr>
      </w:pPr>
      <w:r w:rsidRPr="00B4728D">
        <w:rPr>
          <w:color w:val="000000" w:themeColor="text1"/>
          <w:sz w:val="22"/>
          <w:szCs w:val="22"/>
        </w:rPr>
        <w:lastRenderedPageBreak/>
        <w:t xml:space="preserve">La tasa de interés bancario corriente (TIBC) es un referente de mercado en el que se consolida la información de las tasas promedio que los establecimientos de crédito pactan semanalmente con sus clientes y ha sido competencia de esta Superintendencia certificar la TIBC con base en la información requerida a los establecimientos de crédito (EC) sobre las tasas asociadas a las operaciones activas de crédito y con ellas aplicar una metodología técnica que permita revelar al mercado el comportamiento de las tasas fijadas por las mismas entidades en función de su actividad crediticia. </w:t>
      </w:r>
    </w:p>
    <w:p w14:paraId="27E9F85F" w14:textId="77777777" w:rsidR="00AB5C3D" w:rsidRPr="00B4728D" w:rsidRDefault="00AB5C3D" w:rsidP="00AB5C3D">
      <w:pPr>
        <w:pStyle w:val="Default"/>
        <w:jc w:val="both"/>
        <w:rPr>
          <w:color w:val="000000" w:themeColor="text1"/>
          <w:sz w:val="22"/>
          <w:szCs w:val="22"/>
        </w:rPr>
      </w:pPr>
    </w:p>
    <w:p w14:paraId="55EA2702" w14:textId="1A6B3577" w:rsidR="00AB5C3D" w:rsidRPr="00B4728D" w:rsidRDefault="00AB5C3D" w:rsidP="00AB5C3D">
      <w:pPr>
        <w:jc w:val="both"/>
        <w:rPr>
          <w:rFonts w:ascii="Arial" w:hAnsi="Arial" w:cs="Arial"/>
          <w:color w:val="000000" w:themeColor="text1"/>
        </w:rPr>
      </w:pPr>
      <w:r w:rsidRPr="00B4728D">
        <w:rPr>
          <w:rFonts w:ascii="Arial" w:hAnsi="Arial" w:cs="Arial"/>
          <w:color w:val="000000" w:themeColor="text1"/>
        </w:rPr>
        <w:t xml:space="preserve">La metodología </w:t>
      </w:r>
      <w:r w:rsidR="00B93103">
        <w:rPr>
          <w:rFonts w:ascii="Arial" w:hAnsi="Arial" w:cs="Arial"/>
          <w:color w:val="000000" w:themeColor="text1"/>
        </w:rPr>
        <w:t xml:space="preserve">vigente para el segmento de créditos consumo y ordinario establece una </w:t>
      </w:r>
      <w:r w:rsidRPr="00B4728D">
        <w:rPr>
          <w:rFonts w:ascii="Arial" w:hAnsi="Arial" w:cs="Arial"/>
          <w:color w:val="000000" w:themeColor="text1"/>
        </w:rPr>
        <w:t>vigencia mensual</w:t>
      </w:r>
      <w:r w:rsidR="00B93103">
        <w:rPr>
          <w:rFonts w:ascii="Arial" w:hAnsi="Arial" w:cs="Arial"/>
          <w:color w:val="000000" w:themeColor="text1"/>
        </w:rPr>
        <w:t xml:space="preserve"> para su determinación, lo cual hace que los movimientos de tasa se reflejen de manera más rápida en los créditos</w:t>
      </w:r>
      <w:r w:rsidR="00972D82">
        <w:rPr>
          <w:rFonts w:ascii="Arial" w:hAnsi="Arial" w:cs="Arial"/>
          <w:color w:val="000000" w:themeColor="text1"/>
        </w:rPr>
        <w:t xml:space="preserve"> (hacia arriba o hacia abajo)</w:t>
      </w:r>
      <w:r w:rsidR="00B93103">
        <w:rPr>
          <w:rFonts w:ascii="Arial" w:hAnsi="Arial" w:cs="Arial"/>
          <w:color w:val="000000" w:themeColor="text1"/>
        </w:rPr>
        <w:t>; sin embargo es m</w:t>
      </w:r>
      <w:r w:rsidR="00BA0839">
        <w:rPr>
          <w:rFonts w:ascii="Arial" w:hAnsi="Arial" w:cs="Arial"/>
          <w:color w:val="000000" w:themeColor="text1"/>
        </w:rPr>
        <w:t>u</w:t>
      </w:r>
      <w:r w:rsidR="00B93103">
        <w:rPr>
          <w:rFonts w:ascii="Arial" w:hAnsi="Arial" w:cs="Arial"/>
          <w:color w:val="000000" w:themeColor="text1"/>
        </w:rPr>
        <w:t xml:space="preserve">y importante señalar que la definición de </w:t>
      </w:r>
      <w:r w:rsidR="00096BFA">
        <w:rPr>
          <w:rFonts w:ascii="Arial" w:hAnsi="Arial" w:cs="Arial"/>
          <w:color w:val="000000" w:themeColor="text1"/>
        </w:rPr>
        <w:t xml:space="preserve">la </w:t>
      </w:r>
      <w:r w:rsidR="00B93103">
        <w:rPr>
          <w:rFonts w:ascii="Arial" w:hAnsi="Arial" w:cs="Arial"/>
          <w:color w:val="000000" w:themeColor="text1"/>
        </w:rPr>
        <w:t xml:space="preserve">tasa de interés </w:t>
      </w:r>
      <w:r w:rsidR="00096BFA">
        <w:rPr>
          <w:rFonts w:ascii="Arial" w:hAnsi="Arial" w:cs="Arial"/>
          <w:color w:val="000000" w:themeColor="text1"/>
        </w:rPr>
        <w:t xml:space="preserve">por parte de los intermediarios financieros </w:t>
      </w:r>
      <w:r w:rsidR="00B93103">
        <w:rPr>
          <w:rFonts w:ascii="Arial" w:hAnsi="Arial" w:cs="Arial"/>
          <w:color w:val="000000" w:themeColor="text1"/>
        </w:rPr>
        <w:t>no depende exclusivamente del comportamiento de la tasa de interés del Banco Central, en esta determinación del precio o costo del crédito se deben tener en cuenta elementos relacionados</w:t>
      </w:r>
      <w:r w:rsidR="00150EE8">
        <w:rPr>
          <w:rFonts w:ascii="Arial" w:hAnsi="Arial" w:cs="Arial"/>
          <w:color w:val="000000" w:themeColor="text1"/>
        </w:rPr>
        <w:t xml:space="preserve"> fundamentalmente </w:t>
      </w:r>
      <w:r w:rsidR="00B93103">
        <w:rPr>
          <w:rFonts w:ascii="Arial" w:hAnsi="Arial" w:cs="Arial"/>
          <w:color w:val="000000" w:themeColor="text1"/>
        </w:rPr>
        <w:t>con el riesgo inherente a la operación que se va a financiar, de manera tal que la metodología diseñada no tiene como objetivo intervenir en esta definición del precio</w:t>
      </w:r>
      <w:r w:rsidR="00972D82">
        <w:rPr>
          <w:rFonts w:ascii="Arial" w:hAnsi="Arial" w:cs="Arial"/>
          <w:color w:val="000000" w:themeColor="text1"/>
        </w:rPr>
        <w:t>,</w:t>
      </w:r>
      <w:r w:rsidR="00B93103">
        <w:rPr>
          <w:rFonts w:ascii="Arial" w:hAnsi="Arial" w:cs="Arial"/>
          <w:color w:val="000000" w:themeColor="text1"/>
        </w:rPr>
        <w:t xml:space="preserve"> sino en revelar este último al mercado como referente del comportamiento agregado</w:t>
      </w:r>
      <w:r w:rsidRPr="00B4728D">
        <w:rPr>
          <w:rFonts w:ascii="Arial" w:hAnsi="Arial" w:cs="Arial"/>
          <w:color w:val="000000" w:themeColor="text1"/>
        </w:rPr>
        <w:t>.</w:t>
      </w:r>
    </w:p>
    <w:p w14:paraId="110412A7" w14:textId="036E7FE5" w:rsidR="00AB5C3D" w:rsidRDefault="00AB5C3D" w:rsidP="00096BFA">
      <w:pPr>
        <w:pStyle w:val="Textonotapie"/>
        <w:jc w:val="both"/>
        <w:rPr>
          <w:rFonts w:ascii="Arial" w:hAnsi="Arial" w:cs="Arial"/>
          <w:color w:val="000000" w:themeColor="text1"/>
          <w:sz w:val="22"/>
          <w:szCs w:val="22"/>
        </w:rPr>
      </w:pPr>
      <w:r w:rsidRPr="00B4728D">
        <w:rPr>
          <w:rFonts w:ascii="Arial" w:hAnsi="Arial" w:cs="Arial"/>
          <w:color w:val="000000" w:themeColor="text1"/>
          <w:sz w:val="22"/>
          <w:szCs w:val="22"/>
        </w:rPr>
        <w:t>Expuesto lo anterior, la SFC no ha considerado modificar la metodología actual de cálculo de la TIBC.</w:t>
      </w:r>
    </w:p>
    <w:p w14:paraId="412D36CE" w14:textId="77777777" w:rsidR="00096BFA" w:rsidRPr="00B4728D" w:rsidRDefault="00096BFA" w:rsidP="00096BFA">
      <w:pPr>
        <w:pStyle w:val="Textonotapie"/>
        <w:jc w:val="both"/>
        <w:rPr>
          <w:rFonts w:ascii="Arial" w:hAnsi="Arial" w:cs="Arial"/>
          <w:color w:val="000000" w:themeColor="text1"/>
        </w:rPr>
      </w:pPr>
    </w:p>
    <w:p w14:paraId="4D18BF35" w14:textId="7E31854C" w:rsidR="00AB5C3D" w:rsidRPr="00B4728D" w:rsidRDefault="00AB5C3D" w:rsidP="00AB5C3D">
      <w:pPr>
        <w:jc w:val="both"/>
        <w:rPr>
          <w:rFonts w:ascii="Arial" w:hAnsi="Arial" w:cs="Arial"/>
          <w:b/>
          <w:bCs/>
          <w:i/>
          <w:iCs/>
          <w:color w:val="000000" w:themeColor="text1"/>
        </w:rPr>
      </w:pPr>
      <w:bookmarkStart w:id="3" w:name="_Hlk40995076"/>
      <w:r w:rsidRPr="00B4728D">
        <w:rPr>
          <w:rFonts w:ascii="Arial" w:hAnsi="Arial" w:cs="Arial"/>
          <w:b/>
          <w:bCs/>
          <w:i/>
          <w:iCs/>
          <w:color w:val="000000" w:themeColor="text1"/>
        </w:rPr>
        <w:t xml:space="preserve">13. Con base en el artículo 884. “Límite de intereses y sanción por exceso’ Código del Comercio y el Decreto 2555 de 2010, que prevén lo referente a las tasas de colocación, los cuales establecen que el promedio ponderado de las tasas de interés, de consumo y ordinario son del 18.69% efectivo anual (tasa gravosa y desorbitante, por no decir desproporcionada) y la tasa desde interés remuneratoria del 28.04%, ¿No estamos posiblemente dentro del posible delito de USURA de las entidades bancarias?  </w:t>
      </w:r>
    </w:p>
    <w:bookmarkEnd w:id="3"/>
    <w:p w14:paraId="496C252D" w14:textId="77777777" w:rsidR="00AB5C3D" w:rsidRPr="00B4728D" w:rsidRDefault="00AB5C3D" w:rsidP="00AB5C3D">
      <w:pPr>
        <w:jc w:val="both"/>
        <w:rPr>
          <w:rFonts w:ascii="Arial" w:hAnsi="Arial" w:cs="Arial"/>
          <w:color w:val="000000" w:themeColor="text1"/>
        </w:rPr>
      </w:pPr>
      <w:r w:rsidRPr="00B4728D">
        <w:rPr>
          <w:rFonts w:ascii="Arial" w:hAnsi="Arial" w:cs="Arial"/>
          <w:color w:val="000000" w:themeColor="text1"/>
        </w:rPr>
        <w:t xml:space="preserve">La tipificación actual del delito de usura se estableció por medio del artículo 305 del Código Penal (Ley 599 de 2000). La tipificación actual de este delito, que también prevé la certificación del interés bancario corriente por parte de la SFC es la siguiente: Artículo 305. Usura. </w:t>
      </w:r>
      <w:r w:rsidRPr="00AC78BC">
        <w:rPr>
          <w:rFonts w:ascii="Arial" w:hAnsi="Arial" w:cs="Arial"/>
          <w:i/>
          <w:iCs/>
          <w:color w:val="000000" w:themeColor="text1"/>
        </w:rPr>
        <w:t>“El que reciba o cobre, directa o indirectamente, a cambio de préstamo de dinero o por concepto de venta de bienes o servicios a plazo, utilidad o ventaja que exceda en la mitad del interés bancario corriente que para el período ya estén cobrando los bancos, según certificación de la Superintendencia Bancaria, cualquiera sea la forma utilizada para hacer constar la operación, ocultarla o disimularla, incurrirá en prisión de treinta y dos (32) a noventa (meses) y multa de sesenta y seis punto sesenta y seis (66.66) a trescientos (300) salarios mínimos legales mensuales vigentes”. El que compre cheque, sueldo, salario o prestación social en los términos y condiciones previstos en este artículo, incurrirá en prisión de tres (3) a siete (7) años y multa de cien (100) a cuatrocientos (400) salarios mínimos legales mensuales vigentes.”</w:t>
      </w:r>
    </w:p>
    <w:p w14:paraId="1BC17DDD" w14:textId="1A4F2D8D" w:rsidR="00007C01" w:rsidRDefault="00AB5C3D" w:rsidP="00AB5C3D">
      <w:pPr>
        <w:jc w:val="both"/>
        <w:rPr>
          <w:rFonts w:ascii="Arial" w:hAnsi="Arial" w:cs="Arial"/>
          <w:color w:val="000000" w:themeColor="text1"/>
        </w:rPr>
      </w:pPr>
      <w:r w:rsidRPr="00B4728D">
        <w:rPr>
          <w:rFonts w:ascii="Arial" w:hAnsi="Arial" w:cs="Arial"/>
          <w:color w:val="000000" w:themeColor="text1"/>
        </w:rPr>
        <w:t xml:space="preserve">Para el cálculo de la TIBC consumo y ordinario, se tienen en cuenta las operaciones activas de crédito de consumo, las tarjetas de crédito de personas naturales (con excepción de los consumos a un mes) y los créditos ordinarios. El comportamiento de la TIBC de los últimos meses ha reflejado una disminución de las tasas que lo conforman y </w:t>
      </w:r>
      <w:r w:rsidR="00007C01">
        <w:rPr>
          <w:rFonts w:ascii="Arial" w:hAnsi="Arial" w:cs="Arial"/>
          <w:color w:val="000000" w:themeColor="text1"/>
        </w:rPr>
        <w:t xml:space="preserve">no se evidencia </w:t>
      </w:r>
      <w:r w:rsidR="00E76BD5">
        <w:rPr>
          <w:rFonts w:ascii="Arial" w:hAnsi="Arial" w:cs="Arial"/>
          <w:color w:val="000000" w:themeColor="text1"/>
        </w:rPr>
        <w:t xml:space="preserve">incumplimiento de los límites de usura por parte de </w:t>
      </w:r>
      <w:r w:rsidR="00007C01">
        <w:rPr>
          <w:rFonts w:ascii="Arial" w:hAnsi="Arial" w:cs="Arial"/>
          <w:color w:val="000000" w:themeColor="text1"/>
        </w:rPr>
        <w:t xml:space="preserve">las </w:t>
      </w:r>
      <w:r w:rsidRPr="00B4728D">
        <w:rPr>
          <w:rFonts w:ascii="Arial" w:hAnsi="Arial" w:cs="Arial"/>
          <w:color w:val="000000" w:themeColor="text1"/>
        </w:rPr>
        <w:t>entidad</w:t>
      </w:r>
      <w:r w:rsidR="00007C01">
        <w:rPr>
          <w:rFonts w:ascii="Arial" w:hAnsi="Arial" w:cs="Arial"/>
          <w:color w:val="000000" w:themeColor="text1"/>
        </w:rPr>
        <w:t>es</w:t>
      </w:r>
      <w:r w:rsidRPr="00B4728D">
        <w:rPr>
          <w:rFonts w:ascii="Arial" w:hAnsi="Arial" w:cs="Arial"/>
          <w:color w:val="000000" w:themeColor="text1"/>
        </w:rPr>
        <w:t xml:space="preserve"> financiera</w:t>
      </w:r>
      <w:r w:rsidR="00007C01">
        <w:rPr>
          <w:rFonts w:ascii="Arial" w:hAnsi="Arial" w:cs="Arial"/>
          <w:color w:val="000000" w:themeColor="text1"/>
        </w:rPr>
        <w:t>s</w:t>
      </w:r>
      <w:r w:rsidRPr="00B4728D">
        <w:rPr>
          <w:rFonts w:ascii="Arial" w:hAnsi="Arial" w:cs="Arial"/>
          <w:color w:val="000000" w:themeColor="text1"/>
        </w:rPr>
        <w:t xml:space="preserve"> para ninguna </w:t>
      </w:r>
      <w:r w:rsidRPr="00B4728D">
        <w:rPr>
          <w:rFonts w:ascii="Arial" w:hAnsi="Arial" w:cs="Arial"/>
          <w:color w:val="000000" w:themeColor="text1"/>
        </w:rPr>
        <w:lastRenderedPageBreak/>
        <w:t>de estas modalidades</w:t>
      </w:r>
      <w:r w:rsidR="00007C01">
        <w:rPr>
          <w:rFonts w:ascii="Arial" w:hAnsi="Arial" w:cs="Arial"/>
          <w:color w:val="000000" w:themeColor="text1"/>
        </w:rPr>
        <w:t>. Sin embargo</w:t>
      </w:r>
      <w:r w:rsidR="00AC78BC">
        <w:rPr>
          <w:rFonts w:ascii="Arial" w:hAnsi="Arial" w:cs="Arial"/>
          <w:color w:val="000000" w:themeColor="text1"/>
        </w:rPr>
        <w:t xml:space="preserve">, </w:t>
      </w:r>
      <w:r w:rsidR="00007C01">
        <w:rPr>
          <w:rFonts w:ascii="Arial" w:hAnsi="Arial" w:cs="Arial"/>
          <w:color w:val="000000" w:themeColor="text1"/>
        </w:rPr>
        <w:t xml:space="preserve">como ya se mencionó, en los procesos de supervisión individual realizados por la SFC, se evalúa el cumplimiento de los límites legales respecto de las tasas de interés y en los casos en los que se evidencia un incumplimiento </w:t>
      </w:r>
      <w:r w:rsidR="00AC78BC">
        <w:rPr>
          <w:rFonts w:ascii="Arial" w:hAnsi="Arial" w:cs="Arial"/>
          <w:color w:val="000000" w:themeColor="text1"/>
        </w:rPr>
        <w:t xml:space="preserve">la SFC actúa de manera inmediata aplicando </w:t>
      </w:r>
      <w:r w:rsidR="00D16629">
        <w:rPr>
          <w:rFonts w:ascii="Arial" w:hAnsi="Arial" w:cs="Arial"/>
          <w:color w:val="000000" w:themeColor="text1"/>
        </w:rPr>
        <w:t xml:space="preserve">para el efecto </w:t>
      </w:r>
      <w:r w:rsidR="00AC78BC">
        <w:rPr>
          <w:rFonts w:ascii="Arial" w:hAnsi="Arial" w:cs="Arial"/>
          <w:color w:val="000000" w:themeColor="text1"/>
        </w:rPr>
        <w:t xml:space="preserve">las sanciones </w:t>
      </w:r>
      <w:r w:rsidR="00431BD7">
        <w:rPr>
          <w:rFonts w:ascii="Arial" w:hAnsi="Arial" w:cs="Arial"/>
          <w:color w:val="000000" w:themeColor="text1"/>
        </w:rPr>
        <w:t xml:space="preserve">administrativas </w:t>
      </w:r>
      <w:r w:rsidR="00AC78BC">
        <w:rPr>
          <w:rFonts w:ascii="Arial" w:hAnsi="Arial" w:cs="Arial"/>
          <w:color w:val="000000" w:themeColor="text1"/>
        </w:rPr>
        <w:t>correspondiente</w:t>
      </w:r>
      <w:r w:rsidR="008F7688">
        <w:rPr>
          <w:rFonts w:ascii="Arial" w:hAnsi="Arial" w:cs="Arial"/>
          <w:color w:val="000000" w:themeColor="text1"/>
        </w:rPr>
        <w:t>s</w:t>
      </w:r>
      <w:r w:rsidR="00A51AFD">
        <w:rPr>
          <w:rFonts w:ascii="Arial" w:hAnsi="Arial" w:cs="Arial"/>
          <w:color w:val="000000" w:themeColor="text1"/>
        </w:rPr>
        <w:t xml:space="preserve">. </w:t>
      </w:r>
    </w:p>
    <w:p w14:paraId="72F93CBA" w14:textId="62758EAE" w:rsidR="00AB5C3D" w:rsidRPr="00B4728D" w:rsidRDefault="00AC78BC" w:rsidP="00AB5C3D">
      <w:pPr>
        <w:jc w:val="both"/>
        <w:rPr>
          <w:rFonts w:ascii="Arial" w:hAnsi="Arial" w:cs="Arial"/>
          <w:color w:val="000000" w:themeColor="text1"/>
        </w:rPr>
      </w:pPr>
      <w:r>
        <w:rPr>
          <w:rFonts w:ascii="Arial" w:hAnsi="Arial" w:cs="Arial"/>
          <w:color w:val="000000" w:themeColor="text1"/>
        </w:rPr>
        <w:t xml:space="preserve"> </w:t>
      </w:r>
      <w:r w:rsidR="00AB5C3D" w:rsidRPr="00B4728D">
        <w:rPr>
          <w:rFonts w:ascii="Arial" w:hAnsi="Arial" w:cs="Arial"/>
          <w:color w:val="000000" w:themeColor="text1"/>
        </w:rPr>
        <w:t>A continuación, se anexa el cuadro con el comportamiento mensual de las tasas de intervención del Banco República, la TIBC y la tasa de usura desde enero de 2017 hasta mayo de 2020.</w:t>
      </w:r>
    </w:p>
    <w:p w14:paraId="5E9B99F0" w14:textId="77777777" w:rsidR="00AB5C3D" w:rsidRPr="00B4728D" w:rsidRDefault="00AB5C3D" w:rsidP="00F765B7">
      <w:pPr>
        <w:jc w:val="center"/>
        <w:rPr>
          <w:rFonts w:ascii="Arial" w:hAnsi="Arial" w:cs="Arial"/>
          <w:color w:val="000000" w:themeColor="text1"/>
        </w:rPr>
      </w:pPr>
      <w:r w:rsidRPr="00B4728D">
        <w:rPr>
          <w:rFonts w:ascii="Arial" w:hAnsi="Arial" w:cs="Arial"/>
          <w:noProof/>
          <w:color w:val="000000" w:themeColor="text1"/>
        </w:rPr>
        <w:drawing>
          <wp:inline distT="0" distB="0" distL="0" distR="0" wp14:anchorId="006D0C40" wp14:editId="727BA081">
            <wp:extent cx="5612130" cy="526415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5264150"/>
                    </a:xfrm>
                    <a:prstGeom prst="rect">
                      <a:avLst/>
                    </a:prstGeom>
                    <a:noFill/>
                    <a:ln>
                      <a:noFill/>
                    </a:ln>
                  </pic:spPr>
                </pic:pic>
              </a:graphicData>
            </a:graphic>
          </wp:inline>
        </w:drawing>
      </w:r>
    </w:p>
    <w:p w14:paraId="126D7B76" w14:textId="01387AAE" w:rsidR="00AB5C3D" w:rsidRDefault="007B36B0" w:rsidP="007B36B0">
      <w:pPr>
        <w:rPr>
          <w:rFonts w:ascii="Arial" w:hAnsi="Arial" w:cs="Arial"/>
          <w:color w:val="000000" w:themeColor="text1"/>
          <w:sz w:val="16"/>
          <w:szCs w:val="16"/>
        </w:rPr>
      </w:pPr>
      <w:r w:rsidRPr="007B36B0">
        <w:rPr>
          <w:rFonts w:ascii="Arial" w:hAnsi="Arial" w:cs="Arial"/>
          <w:color w:val="000000" w:themeColor="text1"/>
          <w:sz w:val="16"/>
          <w:szCs w:val="16"/>
        </w:rPr>
        <w:t>Fuente: Formato 88 -SFC</w:t>
      </w:r>
    </w:p>
    <w:p w14:paraId="6EC721E6" w14:textId="77777777" w:rsidR="007B36B0" w:rsidRPr="007B36B0" w:rsidRDefault="007B36B0" w:rsidP="007B36B0">
      <w:pPr>
        <w:rPr>
          <w:rFonts w:ascii="Arial" w:hAnsi="Arial" w:cs="Arial"/>
          <w:color w:val="000000" w:themeColor="text1"/>
          <w:sz w:val="16"/>
          <w:szCs w:val="16"/>
        </w:rPr>
      </w:pPr>
    </w:p>
    <w:p w14:paraId="0D26073B" w14:textId="77777777" w:rsidR="00AB5C3D" w:rsidRPr="00B4728D" w:rsidRDefault="00AB5C3D" w:rsidP="00AB5C3D">
      <w:pPr>
        <w:jc w:val="both"/>
        <w:rPr>
          <w:rFonts w:ascii="Arial" w:hAnsi="Arial" w:cs="Arial"/>
          <w:b/>
          <w:bCs/>
          <w:i/>
          <w:iCs/>
          <w:color w:val="000000" w:themeColor="text1"/>
        </w:rPr>
      </w:pPr>
      <w:r w:rsidRPr="00B4728D">
        <w:rPr>
          <w:rFonts w:ascii="Arial" w:hAnsi="Arial" w:cs="Arial"/>
          <w:b/>
          <w:bCs/>
          <w:i/>
          <w:iCs/>
          <w:color w:val="000000" w:themeColor="text1"/>
        </w:rPr>
        <w:t>14. ¿Qué mecanismos viene adelantando la entidad para evitar los abusos por parte de las entidades bancarias, respecto a los controles justos y equitativos entre las tasas de interés corriente y las tasas de interés remuneratorio?</w:t>
      </w:r>
    </w:p>
    <w:p w14:paraId="2F374FC8" w14:textId="31F0E918" w:rsidR="00972D82" w:rsidRDefault="007254EE" w:rsidP="00AB5C3D">
      <w:pPr>
        <w:jc w:val="both"/>
        <w:rPr>
          <w:rFonts w:ascii="Arial" w:hAnsi="Arial" w:cs="Arial"/>
          <w:color w:val="000000" w:themeColor="text1"/>
        </w:rPr>
      </w:pPr>
      <w:bookmarkStart w:id="4" w:name="_Hlk40995000"/>
      <w:r>
        <w:rPr>
          <w:rFonts w:ascii="Arial" w:hAnsi="Arial" w:cs="Arial"/>
          <w:color w:val="000000" w:themeColor="text1"/>
        </w:rPr>
        <w:lastRenderedPageBreak/>
        <w:t xml:space="preserve">La </w:t>
      </w:r>
      <w:r w:rsidR="007F4459">
        <w:rPr>
          <w:rFonts w:ascii="Arial" w:hAnsi="Arial" w:cs="Arial"/>
          <w:color w:val="000000" w:themeColor="text1"/>
        </w:rPr>
        <w:t>Superintendencia monitorea semanalmente la evolución de las tasas de interés como parte de los indicadores a considerar en el análisis de riesgo de crédito y riesgo de liquidez; sin embargo es preciso señalar que la SFC</w:t>
      </w:r>
      <w:r w:rsidR="00972D82">
        <w:rPr>
          <w:rFonts w:ascii="Arial" w:hAnsi="Arial" w:cs="Arial"/>
          <w:color w:val="000000" w:themeColor="text1"/>
        </w:rPr>
        <w:t xml:space="preserve"> no coadministra las entidades que vigila</w:t>
      </w:r>
      <w:r w:rsidR="007F4459">
        <w:rPr>
          <w:rFonts w:ascii="Arial" w:hAnsi="Arial" w:cs="Arial"/>
          <w:color w:val="000000" w:themeColor="text1"/>
        </w:rPr>
        <w:t xml:space="preserve">, </w:t>
      </w:r>
      <w:r w:rsidR="00972D82">
        <w:rPr>
          <w:rFonts w:ascii="Arial" w:hAnsi="Arial" w:cs="Arial"/>
          <w:color w:val="000000" w:themeColor="text1"/>
        </w:rPr>
        <w:t xml:space="preserve">y por lo tanto </w:t>
      </w:r>
      <w:r w:rsidR="007F4459">
        <w:rPr>
          <w:rFonts w:ascii="Arial" w:hAnsi="Arial" w:cs="Arial"/>
          <w:color w:val="000000" w:themeColor="text1"/>
        </w:rPr>
        <w:t>no interviene en los procesos de definición de la</w:t>
      </w:r>
      <w:r w:rsidR="00972D82">
        <w:rPr>
          <w:rFonts w:ascii="Arial" w:hAnsi="Arial" w:cs="Arial"/>
          <w:color w:val="000000" w:themeColor="text1"/>
        </w:rPr>
        <w:t xml:space="preserve">s características de los negocios que adelanta, plazos de las operaciones, </w:t>
      </w:r>
      <w:r>
        <w:rPr>
          <w:rFonts w:ascii="Arial" w:hAnsi="Arial" w:cs="Arial"/>
          <w:color w:val="000000" w:themeColor="text1"/>
        </w:rPr>
        <w:t xml:space="preserve">destinatarios de los créditos, </w:t>
      </w:r>
      <w:r w:rsidR="00972D82">
        <w:rPr>
          <w:rFonts w:ascii="Arial" w:hAnsi="Arial" w:cs="Arial"/>
          <w:color w:val="000000" w:themeColor="text1"/>
        </w:rPr>
        <w:t xml:space="preserve">segmentos </w:t>
      </w:r>
      <w:r>
        <w:rPr>
          <w:rFonts w:ascii="Arial" w:hAnsi="Arial" w:cs="Arial"/>
          <w:color w:val="000000" w:themeColor="text1"/>
        </w:rPr>
        <w:t xml:space="preserve">de captación, </w:t>
      </w:r>
      <w:r w:rsidR="00972D82">
        <w:rPr>
          <w:rFonts w:ascii="Arial" w:hAnsi="Arial" w:cs="Arial"/>
          <w:color w:val="000000" w:themeColor="text1"/>
        </w:rPr>
        <w:t xml:space="preserve">o </w:t>
      </w:r>
      <w:r>
        <w:rPr>
          <w:rFonts w:ascii="Arial" w:hAnsi="Arial" w:cs="Arial"/>
          <w:color w:val="000000" w:themeColor="text1"/>
        </w:rPr>
        <w:t xml:space="preserve">las </w:t>
      </w:r>
      <w:r w:rsidR="00972D82">
        <w:rPr>
          <w:rFonts w:ascii="Arial" w:hAnsi="Arial" w:cs="Arial"/>
          <w:color w:val="000000" w:themeColor="text1"/>
        </w:rPr>
        <w:t xml:space="preserve">tasas de </w:t>
      </w:r>
      <w:r w:rsidR="007F4459">
        <w:rPr>
          <w:rFonts w:ascii="Arial" w:hAnsi="Arial" w:cs="Arial"/>
          <w:color w:val="000000" w:themeColor="text1"/>
        </w:rPr>
        <w:t xml:space="preserve">interés, </w:t>
      </w:r>
      <w:r w:rsidR="00972D82">
        <w:rPr>
          <w:rFonts w:ascii="Arial" w:hAnsi="Arial" w:cs="Arial"/>
          <w:color w:val="000000" w:themeColor="text1"/>
        </w:rPr>
        <w:t xml:space="preserve">entre otros aspectos. </w:t>
      </w:r>
    </w:p>
    <w:p w14:paraId="5189AEE5" w14:textId="77777777" w:rsidR="007254EE" w:rsidRDefault="007254EE" w:rsidP="007254EE">
      <w:pPr>
        <w:jc w:val="both"/>
        <w:rPr>
          <w:rFonts w:ascii="Arial" w:hAnsi="Arial" w:cs="Arial"/>
          <w:color w:val="000000" w:themeColor="text1"/>
        </w:rPr>
      </w:pPr>
      <w:r>
        <w:rPr>
          <w:rFonts w:ascii="Arial" w:hAnsi="Arial" w:cs="Arial"/>
          <w:color w:val="000000" w:themeColor="text1"/>
        </w:rPr>
        <w:t>Las operaciones de crédito y en general el funcionamiento de las características de fondeo y colocación obedece a un análisis propio de cada una de las entidades en función del perfil de riesgo de las operaciones a financiar, el costo de la liquidez en el mercado, los costos inherentes a los procesos de gestión del crédito, entre muchos otros factores.</w:t>
      </w:r>
    </w:p>
    <w:p w14:paraId="17C76DCF" w14:textId="4368014B" w:rsidR="009B5235" w:rsidRDefault="007254EE" w:rsidP="00AB5C3D">
      <w:pPr>
        <w:jc w:val="both"/>
        <w:rPr>
          <w:rFonts w:ascii="Arial" w:hAnsi="Arial" w:cs="Arial"/>
          <w:color w:val="000000" w:themeColor="text1"/>
        </w:rPr>
      </w:pPr>
      <w:r>
        <w:rPr>
          <w:rFonts w:ascii="Arial" w:hAnsi="Arial" w:cs="Arial"/>
          <w:color w:val="000000" w:themeColor="text1"/>
        </w:rPr>
        <w:t xml:space="preserve">No obstante lo anterior, la Superintendencia como parte de su actividad de supervisión, evalúa que las tasas de interés atiendan los límites legales establecidos, para el efecto que en este caso es la Tasa de Usura, </w:t>
      </w:r>
      <w:r w:rsidR="00600CED">
        <w:rPr>
          <w:rFonts w:ascii="Arial" w:hAnsi="Arial" w:cs="Arial"/>
          <w:color w:val="000000" w:themeColor="text1"/>
        </w:rPr>
        <w:t>y e</w:t>
      </w:r>
      <w:r>
        <w:rPr>
          <w:rFonts w:ascii="Arial" w:hAnsi="Arial" w:cs="Arial"/>
          <w:color w:val="000000" w:themeColor="text1"/>
        </w:rPr>
        <w:t>n caso de encontrarse alguna infracción, además de ordenar el cumplimiento del límite legal y asegurar la debida aplicación en las operaciones de crédito afectadas se traslada esos hallazgos a la Fiscalía General de la Nación para lo de su competencia.</w:t>
      </w:r>
    </w:p>
    <w:bookmarkEnd w:id="4"/>
    <w:p w14:paraId="03C206F3" w14:textId="77777777" w:rsidR="00AB5C3D" w:rsidRPr="006B2BD6" w:rsidRDefault="00AB5C3D" w:rsidP="00AB5C3D">
      <w:pPr>
        <w:jc w:val="both"/>
        <w:rPr>
          <w:rFonts w:ascii="Arial" w:hAnsi="Arial" w:cs="Arial"/>
          <w:bCs/>
          <w:i/>
          <w:color w:val="000000" w:themeColor="text1"/>
        </w:rPr>
      </w:pPr>
      <w:r w:rsidRPr="00B4728D">
        <w:rPr>
          <w:rFonts w:ascii="Arial" w:hAnsi="Arial" w:cs="Arial"/>
          <w:b/>
          <w:bCs/>
          <w:i/>
          <w:iCs/>
          <w:color w:val="000000" w:themeColor="text1"/>
        </w:rPr>
        <w:t>15. Con fundamento en lo anterior, hoy el gobierno nacional puede modificar de manera temporal la metodología de cálculo de interés dentro del marco legal, ¿Porque no se hecho a la fecha? ¿Se ha pensado más adelante tomar esta medida?</w:t>
      </w:r>
    </w:p>
    <w:p w14:paraId="5E84014F" w14:textId="2F864E2C" w:rsidR="007254EE" w:rsidRDefault="007254EE" w:rsidP="006B2BD6">
      <w:pPr>
        <w:jc w:val="both"/>
        <w:rPr>
          <w:rFonts w:ascii="Arial" w:hAnsi="Arial" w:cs="Arial"/>
          <w:bCs/>
          <w:color w:val="000000" w:themeColor="text1"/>
        </w:rPr>
      </w:pPr>
      <w:r>
        <w:rPr>
          <w:rFonts w:ascii="Arial" w:hAnsi="Arial" w:cs="Arial"/>
          <w:bCs/>
          <w:color w:val="000000" w:themeColor="text1"/>
        </w:rPr>
        <w:t xml:space="preserve">Nos remitimos a la respuesta dada en la pregunta 12. </w:t>
      </w:r>
    </w:p>
    <w:p w14:paraId="6FD2179E" w14:textId="046EC58B" w:rsidR="006B2BD6" w:rsidRDefault="006B2BD6" w:rsidP="006B2BD6">
      <w:pPr>
        <w:jc w:val="both"/>
        <w:rPr>
          <w:rFonts w:ascii="Arial" w:hAnsi="Arial" w:cs="Arial"/>
        </w:rPr>
      </w:pPr>
      <w:r w:rsidRPr="006B2BD6">
        <w:rPr>
          <w:rFonts w:ascii="Arial" w:hAnsi="Arial" w:cs="Arial"/>
          <w:bCs/>
          <w:color w:val="000000" w:themeColor="text1"/>
        </w:rPr>
        <w:t xml:space="preserve">En </w:t>
      </w:r>
      <w:r w:rsidR="007254EE">
        <w:rPr>
          <w:rFonts w:ascii="Arial" w:hAnsi="Arial" w:cs="Arial"/>
          <w:bCs/>
          <w:color w:val="000000" w:themeColor="text1"/>
        </w:rPr>
        <w:t xml:space="preserve">cuanto al funcionamiento de las tasas de interés </w:t>
      </w:r>
      <w:r w:rsidRPr="006B2BD6">
        <w:rPr>
          <w:rFonts w:ascii="Arial" w:hAnsi="Arial" w:cs="Arial"/>
          <w:bCs/>
          <w:color w:val="000000" w:themeColor="text1"/>
        </w:rPr>
        <w:t>es importante añadir que</w:t>
      </w:r>
      <w:r>
        <w:rPr>
          <w:rFonts w:ascii="Arial" w:hAnsi="Arial" w:cs="Arial"/>
          <w:bCs/>
          <w:color w:val="000000" w:themeColor="text1"/>
        </w:rPr>
        <w:t>,</w:t>
      </w:r>
      <w:r w:rsidRPr="006B2BD6">
        <w:rPr>
          <w:rFonts w:ascii="Arial" w:hAnsi="Arial" w:cs="Arial"/>
          <w:bCs/>
          <w:color w:val="000000" w:themeColor="text1"/>
        </w:rPr>
        <w:t xml:space="preserve"> </w:t>
      </w:r>
      <w:r w:rsidRPr="006B2BD6">
        <w:rPr>
          <w:rFonts w:ascii="Arial" w:hAnsi="Arial" w:cs="Arial"/>
          <w:bCs/>
        </w:rPr>
        <w:t>e</w:t>
      </w:r>
      <w:r>
        <w:rPr>
          <w:rFonts w:ascii="Arial" w:hAnsi="Arial" w:cs="Arial"/>
        </w:rPr>
        <w:t xml:space="preserve">ntre diciembre de 2017 y abril de 2018, el Banco de la Republica redujo en 325 puntos base la tasa de interés de política monetaria, pasando de 7.50% hasta 4.25%. En esa medida, en ese mismo periodo la TIBC se redujo 186pb pasando de 22.37% a 20.48%. Desde abril de 2018 hasta marzo de 2020 el Banco de la República mantuvo la tasa de política monetaria en 4.25% mientras que la TIBC se redujo 135pb adicionales llegando a 18.95%. En virtud de lo anterior, la variación acumulada de la TIBC entre marzo de 2017 y marzo de 2020 fue una reducción de 339pb, evidenciando la transferencia de la política monetaria. </w:t>
      </w:r>
    </w:p>
    <w:p w14:paraId="751D1B6B" w14:textId="53AECBA4" w:rsidR="006B2BD6" w:rsidRDefault="006B2BD6" w:rsidP="006B2BD6">
      <w:pPr>
        <w:jc w:val="both"/>
        <w:rPr>
          <w:rFonts w:ascii="Arial" w:hAnsi="Arial" w:cs="Arial"/>
        </w:rPr>
      </w:pPr>
      <w:r>
        <w:rPr>
          <w:rFonts w:ascii="Arial" w:hAnsi="Arial" w:cs="Arial"/>
        </w:rPr>
        <w:t>Entre marzo de 2020 y abril de 2020 el Banco de la República redujo en 100pb la tasa de política monetaria dejándola en 3.25% y como resultado de lo anterior la TIBC para consumo y ordinario entre abril y mayo de 2020 se ha reducido 76pb llegando a 18.19%.</w:t>
      </w:r>
    </w:p>
    <w:p w14:paraId="73C72585" w14:textId="52229750" w:rsidR="006B2BD6" w:rsidRDefault="006B2BD6" w:rsidP="006B2BD6">
      <w:pPr>
        <w:jc w:val="both"/>
        <w:rPr>
          <w:rFonts w:ascii="Arial" w:hAnsi="Arial" w:cs="Arial"/>
        </w:rPr>
      </w:pPr>
      <w:r>
        <w:rPr>
          <w:rFonts w:ascii="Arial" w:hAnsi="Arial" w:cs="Arial"/>
        </w:rPr>
        <w:t xml:space="preserve">Esto permite establecer que bajo la actual metodología se ha venido reconociendo de forma consistente tanto la percepción de riesgo </w:t>
      </w:r>
      <w:r w:rsidR="00B33819">
        <w:rPr>
          <w:rFonts w:ascii="Arial" w:hAnsi="Arial" w:cs="Arial"/>
        </w:rPr>
        <w:t xml:space="preserve">de crédito, </w:t>
      </w:r>
      <w:r>
        <w:rPr>
          <w:rFonts w:ascii="Arial" w:hAnsi="Arial" w:cs="Arial"/>
        </w:rPr>
        <w:t>como el costo del fondeo (relacionado con la tasa de referencia del Banco Central), de forma tal que a la fecha no se ha encontrad</w:t>
      </w:r>
      <w:r w:rsidR="007254EE">
        <w:rPr>
          <w:rFonts w:ascii="Arial" w:hAnsi="Arial" w:cs="Arial"/>
        </w:rPr>
        <w:t>o</w:t>
      </w:r>
      <w:r>
        <w:rPr>
          <w:rFonts w:ascii="Arial" w:hAnsi="Arial" w:cs="Arial"/>
        </w:rPr>
        <w:t xml:space="preserve"> evidencia técnica que </w:t>
      </w:r>
      <w:r w:rsidR="007254EE">
        <w:rPr>
          <w:rFonts w:ascii="Arial" w:hAnsi="Arial" w:cs="Arial"/>
        </w:rPr>
        <w:t xml:space="preserve">exija </w:t>
      </w:r>
      <w:r>
        <w:rPr>
          <w:rFonts w:ascii="Arial" w:hAnsi="Arial" w:cs="Arial"/>
        </w:rPr>
        <w:t>realizar modificaciones a dicha metodología.</w:t>
      </w:r>
    </w:p>
    <w:p w14:paraId="72395B1A" w14:textId="784C46A9" w:rsidR="00AB5C3D" w:rsidRPr="00B4728D" w:rsidRDefault="00AB5C3D" w:rsidP="00AB5C3D">
      <w:pPr>
        <w:jc w:val="both"/>
        <w:rPr>
          <w:rFonts w:ascii="Arial" w:hAnsi="Arial" w:cs="Arial"/>
          <w:b/>
          <w:i/>
          <w:color w:val="000000" w:themeColor="text1"/>
        </w:rPr>
      </w:pPr>
      <w:bookmarkStart w:id="5" w:name="_Hlk40995155"/>
      <w:r w:rsidRPr="00B4728D">
        <w:rPr>
          <w:rFonts w:ascii="Arial" w:hAnsi="Arial" w:cs="Arial"/>
          <w:b/>
          <w:bCs/>
          <w:i/>
          <w:iCs/>
          <w:color w:val="000000" w:themeColor="text1"/>
        </w:rPr>
        <w:t>16. Ahora bien, más desafortunado aún, es conocer cuál es el interés corriente cuando el ahorrador deposita su dinero en un CDT (certificado de depósito a término fijo) y escasamente le compensan un 4.5% efectivo anual. ¿No cree señor Superintendente, que este tema debe revisarse para beneficiar a los pocos colombianos que tendrán recursos, en esta crisis financiera?</w:t>
      </w:r>
    </w:p>
    <w:bookmarkEnd w:id="5"/>
    <w:p w14:paraId="42BA3AFF" w14:textId="2F82EB22" w:rsidR="007254EE" w:rsidRDefault="007254EE" w:rsidP="00CE5FBF">
      <w:pPr>
        <w:jc w:val="both"/>
        <w:rPr>
          <w:rFonts w:ascii="Arial" w:hAnsi="Arial" w:cs="Arial"/>
        </w:rPr>
      </w:pPr>
      <w:r>
        <w:rPr>
          <w:rFonts w:ascii="Arial" w:hAnsi="Arial" w:cs="Arial"/>
        </w:rPr>
        <w:lastRenderedPageBreak/>
        <w:t xml:space="preserve">Con corte al 30 de abril de 2020 en depósitos y exigibilidades, esto es el monto de dineros que los establecimientos de crédito tienen del ahorro del público en cuentas de ahorro, cuentas corrientes y CDT, se aproxima a los 480 billones de pesos. </w:t>
      </w:r>
    </w:p>
    <w:p w14:paraId="2DA6DD33" w14:textId="187537D0" w:rsidR="00CE5FBF" w:rsidRPr="00CE5FBF" w:rsidRDefault="00CE5FBF" w:rsidP="00CE5FBF">
      <w:pPr>
        <w:jc w:val="both"/>
        <w:rPr>
          <w:rFonts w:ascii="Arial" w:hAnsi="Arial" w:cs="Arial"/>
        </w:rPr>
      </w:pPr>
      <w:r w:rsidRPr="00CE5FBF">
        <w:rPr>
          <w:rFonts w:ascii="Arial" w:hAnsi="Arial" w:cs="Arial"/>
        </w:rPr>
        <w:t xml:space="preserve">Desde 1991, a través de la Constitución Política, el Banco de la República (BR) fue asignado como autoridad monetaria, cambiaria y crediticia del país. Dado que el principal instrumento de política monetaria del BR es la tasa de interés de intervención, ésta es uno de los determinantes del valor de los activos financieros. En otras </w:t>
      </w:r>
      <w:r w:rsidR="00BB5D7D" w:rsidRPr="00CE5FBF">
        <w:rPr>
          <w:rFonts w:ascii="Arial" w:hAnsi="Arial" w:cs="Arial"/>
        </w:rPr>
        <w:t>palabras,</w:t>
      </w:r>
      <w:r w:rsidRPr="00CE5FBF">
        <w:rPr>
          <w:rFonts w:ascii="Arial" w:hAnsi="Arial" w:cs="Arial"/>
        </w:rPr>
        <w:t xml:space="preserve"> la postura de política monetaria tiene un efecto sobre las tasas de interés de captación (ej. cuentas de ahorro, CDT, entre otros) y el comportamiento del costo de fondeo de los establecimientos de crédito. </w:t>
      </w:r>
    </w:p>
    <w:p w14:paraId="64540206" w14:textId="289D29AF" w:rsidR="00CE5FBF" w:rsidRPr="00CE5FBF" w:rsidRDefault="00CE5FBF" w:rsidP="00CE5FBF">
      <w:pPr>
        <w:jc w:val="both"/>
        <w:rPr>
          <w:rFonts w:ascii="Arial" w:hAnsi="Arial" w:cs="Arial"/>
        </w:rPr>
      </w:pPr>
      <w:r w:rsidRPr="00CE5FBF">
        <w:rPr>
          <w:rFonts w:ascii="Arial" w:hAnsi="Arial" w:cs="Arial"/>
        </w:rPr>
        <w:t xml:space="preserve">Las tasas de captación son las tasas de interés reconocidas por los establecimientos financieros a sus depositantes. Se conocen como pasivas porque los depósitos son una deuda que tienen las entidades financieras con el público. Por su parte las tasas de interés activas son aquellas que los usuarios, en este caso los deudores del </w:t>
      </w:r>
      <w:r w:rsidR="00BB5D7D" w:rsidRPr="00CE5FBF">
        <w:rPr>
          <w:rFonts w:ascii="Arial" w:hAnsi="Arial" w:cs="Arial"/>
        </w:rPr>
        <w:t>sistema</w:t>
      </w:r>
      <w:r w:rsidRPr="00CE5FBF">
        <w:rPr>
          <w:rFonts w:ascii="Arial" w:hAnsi="Arial" w:cs="Arial"/>
        </w:rPr>
        <w:t xml:space="preserve"> pagan por los créditos otorgados por las entidades financieras. En general existe un diferencial entre ambas tasas porque las tasas de interés activas dependen del costo de la captación, de los gastos del otorgamiento del crédito, del riesgo del incumplimiento, de los costos de la intermediación financiera y de la remuneración de los recursos de capital. </w:t>
      </w:r>
    </w:p>
    <w:p w14:paraId="4421164C" w14:textId="6C5D1C29" w:rsidR="00CE5FBF" w:rsidRPr="00CE5FBF" w:rsidRDefault="00CE5FBF" w:rsidP="00CE5FBF">
      <w:pPr>
        <w:jc w:val="both"/>
        <w:rPr>
          <w:rFonts w:ascii="Arial" w:hAnsi="Arial" w:cs="Arial"/>
        </w:rPr>
      </w:pPr>
      <w:r w:rsidRPr="00CE5FBF">
        <w:rPr>
          <w:rFonts w:ascii="Arial" w:hAnsi="Arial" w:cs="Arial"/>
        </w:rPr>
        <w:t xml:space="preserve">En consecuencia, no es </w:t>
      </w:r>
      <w:r w:rsidR="00BB5D7D">
        <w:rPr>
          <w:rFonts w:ascii="Arial" w:hAnsi="Arial" w:cs="Arial"/>
        </w:rPr>
        <w:t xml:space="preserve">técnicamente posible </w:t>
      </w:r>
      <w:r w:rsidRPr="00CE5FBF">
        <w:rPr>
          <w:rFonts w:ascii="Arial" w:hAnsi="Arial" w:cs="Arial"/>
        </w:rPr>
        <w:t xml:space="preserve">que la tasa de interés activa y pasiva deberían estar en niveles similares por cuanto la diferencia está explicada por los costos de la intermediación y los riesgos que involucran las operaciones de crédito. Es decir, la diferencia simple entre las tasas de interés activa y pasiva no considera el hecho que el monto y el plazo de los créditos varía de forma significativa y tampoco incorpora el tipo de gastos e ingresos que están asociados a este diferencial. Por este motivo es conveniente evaluar el diferencial incorporando la información de ingresos y gastos consignada en el balance de las entidades y su efecto sobre la utilidad. </w:t>
      </w:r>
    </w:p>
    <w:p w14:paraId="61607A61" w14:textId="43B04E41" w:rsidR="00CE5FBF" w:rsidRPr="00CE5FBF" w:rsidRDefault="00CE5FBF" w:rsidP="00CE5FBF">
      <w:pPr>
        <w:jc w:val="both"/>
        <w:rPr>
          <w:rFonts w:ascii="Arial" w:hAnsi="Arial" w:cs="Arial"/>
        </w:rPr>
      </w:pPr>
      <w:r w:rsidRPr="00CE5FBF">
        <w:rPr>
          <w:rFonts w:ascii="Arial" w:hAnsi="Arial" w:cs="Arial"/>
        </w:rPr>
        <w:t xml:space="preserve">La Figura 1 muestra el margen de intermediación para los bancos calculado como proporción del activo en lo que se denomina “cascada de rentabilidad”.  Los ingresos por intereses de cartera e inversiones alcanzan un 7.8% y los gastos por concepto de intereses de los depósitos a la vista y a término y los bonos representan el 3.0%, lo que resulta en un </w:t>
      </w:r>
      <w:r w:rsidR="009C5DE0" w:rsidRPr="00CE5FBF">
        <w:rPr>
          <w:rFonts w:ascii="Arial" w:hAnsi="Arial" w:cs="Arial"/>
        </w:rPr>
        <w:t>margen</w:t>
      </w:r>
      <w:r w:rsidRPr="00CE5FBF">
        <w:rPr>
          <w:rFonts w:ascii="Arial" w:hAnsi="Arial" w:cs="Arial"/>
        </w:rPr>
        <w:t xml:space="preserve"> neto de 4.7%. Una vez se incluyen otros ingresos financieros (2.7%, por concepto de comisiones, cuotas de manejo) el margen financiero bruto retoma un nivel de 7.4%, pero a este valor hay que descontar los costos administrativos (3.2%), el gasto por provisiones (deterioro de instrumentos financieros, 2.0%), los otros netos (que incluyen, el reconocimiento de las provisiones pasivas y demás gastos y recuperaciones relacionados con la administración de la operación bancaria, -0,2%) y los impuestos (0.3%), lo cual resulta en una utilidad del 1.6% frente al activo.</w:t>
      </w:r>
    </w:p>
    <w:p w14:paraId="7CA1EA68" w14:textId="77777777" w:rsidR="006C1834" w:rsidRDefault="006C1834" w:rsidP="00CE5FBF">
      <w:pPr>
        <w:jc w:val="both"/>
        <w:rPr>
          <w:rFonts w:ascii="Arial" w:hAnsi="Arial" w:cs="Arial"/>
        </w:rPr>
      </w:pPr>
    </w:p>
    <w:p w14:paraId="3B134017" w14:textId="71039BA0" w:rsidR="00CE5FBF" w:rsidRPr="00CE5FBF" w:rsidRDefault="00CE5FBF" w:rsidP="00CE5FBF">
      <w:pPr>
        <w:jc w:val="both"/>
        <w:rPr>
          <w:rFonts w:ascii="Arial" w:hAnsi="Arial" w:cs="Arial"/>
        </w:rPr>
      </w:pPr>
      <w:r w:rsidRPr="00CE5FBF">
        <w:rPr>
          <w:rFonts w:ascii="Arial" w:hAnsi="Arial" w:cs="Arial"/>
        </w:rPr>
        <w:t>Figura 1. Descomposición del margen neto de intereses y utilidad de los bancos</w:t>
      </w:r>
    </w:p>
    <w:p w14:paraId="6C8E927C" w14:textId="48A5540C" w:rsidR="00CE5FBF" w:rsidRPr="00CE5FBF" w:rsidRDefault="00CE5FBF" w:rsidP="00BB5D7D">
      <w:pPr>
        <w:jc w:val="center"/>
        <w:rPr>
          <w:rFonts w:ascii="Arial" w:hAnsi="Arial" w:cs="Arial"/>
        </w:rPr>
      </w:pPr>
      <w:r w:rsidRPr="00CE5FBF">
        <w:rPr>
          <w:rFonts w:ascii="Arial" w:hAnsi="Arial" w:cs="Arial"/>
          <w:noProof/>
        </w:rPr>
        <w:lastRenderedPageBreak/>
        <w:drawing>
          <wp:inline distT="0" distB="0" distL="0" distR="0" wp14:anchorId="1038703E" wp14:editId="5790A195">
            <wp:extent cx="2295525" cy="3019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295525" cy="3019425"/>
                    </a:xfrm>
                    <a:prstGeom prst="rect">
                      <a:avLst/>
                    </a:prstGeom>
                    <a:noFill/>
                    <a:ln>
                      <a:noFill/>
                    </a:ln>
                  </pic:spPr>
                </pic:pic>
              </a:graphicData>
            </a:graphic>
          </wp:inline>
        </w:drawing>
      </w:r>
    </w:p>
    <w:p w14:paraId="3496A0F9" w14:textId="77777777" w:rsidR="00CE5FBF" w:rsidRPr="00CE5FBF" w:rsidRDefault="00CE5FBF" w:rsidP="00CE5FBF">
      <w:pPr>
        <w:jc w:val="both"/>
        <w:rPr>
          <w:rFonts w:ascii="Arial" w:hAnsi="Arial" w:cs="Arial"/>
        </w:rPr>
      </w:pPr>
      <w:r w:rsidRPr="00CE5FBF">
        <w:rPr>
          <w:rFonts w:ascii="Arial" w:hAnsi="Arial" w:cs="Arial"/>
        </w:rPr>
        <w:t>Fuente: SFC, cifras a nivel individual con corte a marzo de 2020.</w:t>
      </w:r>
    </w:p>
    <w:p w14:paraId="4CC3195A" w14:textId="6C7623B8" w:rsidR="00CE5FBF" w:rsidRPr="00CE5FBF" w:rsidRDefault="00CE5FBF" w:rsidP="00CE5FBF">
      <w:pPr>
        <w:jc w:val="both"/>
        <w:rPr>
          <w:rFonts w:ascii="Arial" w:hAnsi="Arial" w:cs="Arial"/>
        </w:rPr>
      </w:pPr>
      <w:r w:rsidRPr="00CE5FBF">
        <w:rPr>
          <w:rFonts w:ascii="Arial" w:hAnsi="Arial" w:cs="Arial"/>
        </w:rPr>
        <w:t>Finalmente vale la pena mencionar que estos niveles de margen financiero, aún sin incorporar los conceptos descritos anteriormente, se ubican cerca de los que evidencian países con</w:t>
      </w:r>
      <w:r w:rsidR="000C7CBC">
        <w:rPr>
          <w:rFonts w:ascii="Arial" w:hAnsi="Arial" w:cs="Arial"/>
        </w:rPr>
        <w:t xml:space="preserve"> </w:t>
      </w:r>
      <w:r w:rsidRPr="00CE5FBF">
        <w:rPr>
          <w:rFonts w:ascii="Arial" w:hAnsi="Arial" w:cs="Arial"/>
        </w:rPr>
        <w:t xml:space="preserve">niveles </w:t>
      </w:r>
      <w:r w:rsidR="007254EE">
        <w:rPr>
          <w:rFonts w:ascii="Arial" w:hAnsi="Arial" w:cs="Arial"/>
        </w:rPr>
        <w:t xml:space="preserve">similares </w:t>
      </w:r>
      <w:r w:rsidRPr="00CE5FBF">
        <w:rPr>
          <w:rFonts w:ascii="Arial" w:hAnsi="Arial" w:cs="Arial"/>
        </w:rPr>
        <w:t xml:space="preserve">de </w:t>
      </w:r>
      <w:r w:rsidR="00136C38">
        <w:rPr>
          <w:rFonts w:ascii="Arial" w:hAnsi="Arial" w:cs="Arial"/>
        </w:rPr>
        <w:t>desarrollo</w:t>
      </w:r>
      <w:r w:rsidR="00D538E0">
        <w:rPr>
          <w:rFonts w:ascii="Arial" w:hAnsi="Arial" w:cs="Arial"/>
        </w:rPr>
        <w:t>, sin embargo procede advertir que en las comparaciones internacionales debe atenderse las características particulares del entorno</w:t>
      </w:r>
      <w:r w:rsidR="00A41386">
        <w:rPr>
          <w:rFonts w:ascii="Arial" w:hAnsi="Arial" w:cs="Arial"/>
        </w:rPr>
        <w:t xml:space="preserve">, </w:t>
      </w:r>
      <w:r w:rsidR="00D538E0">
        <w:rPr>
          <w:rFonts w:ascii="Arial" w:hAnsi="Arial" w:cs="Arial"/>
        </w:rPr>
        <w:t>naturaleza del sistema financiero</w:t>
      </w:r>
      <w:r w:rsidR="00A41386">
        <w:rPr>
          <w:rFonts w:ascii="Arial" w:hAnsi="Arial" w:cs="Arial"/>
        </w:rPr>
        <w:t xml:space="preserve"> y la regulación</w:t>
      </w:r>
      <w:r w:rsidR="00D538E0">
        <w:rPr>
          <w:rFonts w:ascii="Arial" w:hAnsi="Arial" w:cs="Arial"/>
        </w:rPr>
        <w:t xml:space="preserve"> de cada región </w:t>
      </w:r>
      <w:r w:rsidRPr="00CE5FBF">
        <w:rPr>
          <w:rFonts w:ascii="Arial" w:hAnsi="Arial" w:cs="Arial"/>
        </w:rPr>
        <w:t xml:space="preserve">(Ver figura 2). </w:t>
      </w:r>
    </w:p>
    <w:p w14:paraId="506B0BD7" w14:textId="77777777" w:rsidR="00CE5FBF" w:rsidRPr="00CE5FBF" w:rsidRDefault="00CE5FBF" w:rsidP="00CE5FBF">
      <w:pPr>
        <w:jc w:val="both"/>
        <w:rPr>
          <w:rFonts w:ascii="Arial" w:hAnsi="Arial" w:cs="Arial"/>
        </w:rPr>
      </w:pPr>
      <w:r w:rsidRPr="00CE5FBF">
        <w:rPr>
          <w:rFonts w:ascii="Arial" w:hAnsi="Arial" w:cs="Arial"/>
        </w:rPr>
        <w:t>Figura 2. Comparativo margen financiero en una muestra de países emergentes</w:t>
      </w:r>
    </w:p>
    <w:p w14:paraId="35B214D7" w14:textId="77777777" w:rsidR="00CE5FBF" w:rsidRPr="00CE5FBF" w:rsidRDefault="00CE5FBF" w:rsidP="00CE5FBF">
      <w:pPr>
        <w:jc w:val="both"/>
        <w:rPr>
          <w:rFonts w:ascii="Arial" w:hAnsi="Arial" w:cs="Arial"/>
        </w:rPr>
      </w:pPr>
    </w:p>
    <w:p w14:paraId="0BD65EDD" w14:textId="59488F3A" w:rsidR="00CE5FBF" w:rsidRPr="00CE5FBF" w:rsidRDefault="00CE5FBF" w:rsidP="00CE5FBF">
      <w:pPr>
        <w:jc w:val="both"/>
        <w:rPr>
          <w:rFonts w:ascii="Arial" w:hAnsi="Arial" w:cs="Arial"/>
        </w:rPr>
      </w:pPr>
      <w:r w:rsidRPr="00CE5FBF">
        <w:rPr>
          <w:rFonts w:ascii="Arial" w:hAnsi="Arial" w:cs="Arial"/>
          <w:noProof/>
        </w:rPr>
        <w:drawing>
          <wp:inline distT="0" distB="0" distL="0" distR="0" wp14:anchorId="6036B411" wp14:editId="1AE940EE">
            <wp:extent cx="5600700" cy="2415302"/>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658029" cy="2440025"/>
                    </a:xfrm>
                    <a:prstGeom prst="rect">
                      <a:avLst/>
                    </a:prstGeom>
                    <a:noFill/>
                    <a:ln>
                      <a:noFill/>
                    </a:ln>
                  </pic:spPr>
                </pic:pic>
              </a:graphicData>
            </a:graphic>
          </wp:inline>
        </w:drawing>
      </w:r>
    </w:p>
    <w:p w14:paraId="3A020732" w14:textId="77777777" w:rsidR="00CE5FBF" w:rsidRPr="00363EDA" w:rsidRDefault="00CE5FBF" w:rsidP="00CE5FBF">
      <w:pPr>
        <w:jc w:val="both"/>
        <w:rPr>
          <w:rFonts w:ascii="Arial" w:hAnsi="Arial" w:cs="Arial"/>
          <w:sz w:val="20"/>
          <w:szCs w:val="20"/>
        </w:rPr>
      </w:pPr>
      <w:r w:rsidRPr="00363EDA">
        <w:rPr>
          <w:rFonts w:ascii="Arial" w:hAnsi="Arial" w:cs="Arial"/>
          <w:sz w:val="20"/>
          <w:szCs w:val="20"/>
        </w:rPr>
        <w:t>Fuente: SFC con datos del Banco Mundial.</w:t>
      </w:r>
    </w:p>
    <w:p w14:paraId="0F0AE51F" w14:textId="3B8217D5" w:rsidR="0068095F" w:rsidRPr="00CE5FBF" w:rsidRDefault="00AB5C3D" w:rsidP="00CE5FBF">
      <w:pPr>
        <w:jc w:val="both"/>
        <w:rPr>
          <w:rFonts w:ascii="Arial" w:hAnsi="Arial" w:cs="Arial"/>
          <w:b/>
          <w:bCs/>
          <w:i/>
          <w:iCs/>
          <w:color w:val="000000" w:themeColor="text1"/>
        </w:rPr>
      </w:pPr>
      <w:r w:rsidRPr="00CE5FBF">
        <w:rPr>
          <w:rFonts w:ascii="Arial" w:hAnsi="Arial" w:cs="Arial"/>
          <w:b/>
          <w:bCs/>
          <w:i/>
          <w:iCs/>
          <w:color w:val="000000" w:themeColor="text1"/>
        </w:rPr>
        <w:t>“</w:t>
      </w:r>
      <w:r w:rsidR="0068095F" w:rsidRPr="00CE5FBF">
        <w:rPr>
          <w:rFonts w:ascii="Arial" w:hAnsi="Arial" w:cs="Arial"/>
          <w:b/>
          <w:bCs/>
          <w:i/>
          <w:iCs/>
          <w:color w:val="000000" w:themeColor="text1"/>
        </w:rPr>
        <w:t xml:space="preserve">17. Doctor Castaño, ¿cree Ud. que, con fundamento en lo aquí expresado, es más fácil que los colombianos y los empresarios ante la crisis que estamos viviendo y viviremos, acudan a los mal llamados “gota a gota” que es una afrenta al sistema y </w:t>
      </w:r>
      <w:r w:rsidR="0068095F" w:rsidRPr="00CE5FBF">
        <w:rPr>
          <w:rFonts w:ascii="Arial" w:hAnsi="Arial" w:cs="Arial"/>
          <w:b/>
          <w:bCs/>
          <w:i/>
          <w:iCs/>
          <w:color w:val="000000" w:themeColor="text1"/>
        </w:rPr>
        <w:lastRenderedPageBreak/>
        <w:t>un descalabro para nuestros compatriotas, todo por la ausencia de unas políticas claras y flexibles por falta de los adecuados controles por parte del gobierno nacional y la entidad que Ud. Preside. ¿Qué concepto le merece?</w:t>
      </w:r>
      <w:r w:rsidRPr="00CE5FBF">
        <w:rPr>
          <w:rFonts w:ascii="Arial" w:hAnsi="Arial" w:cs="Arial"/>
          <w:b/>
          <w:bCs/>
          <w:i/>
          <w:iCs/>
          <w:color w:val="000000" w:themeColor="text1"/>
        </w:rPr>
        <w:t>”</w:t>
      </w:r>
      <w:r w:rsidR="0068095F" w:rsidRPr="00CE5FBF">
        <w:rPr>
          <w:rFonts w:ascii="Arial" w:hAnsi="Arial" w:cs="Arial"/>
          <w:b/>
          <w:bCs/>
          <w:i/>
          <w:iCs/>
          <w:color w:val="000000" w:themeColor="text1"/>
        </w:rPr>
        <w:t xml:space="preserve">  </w:t>
      </w:r>
    </w:p>
    <w:p w14:paraId="3707C73E" w14:textId="49790B94" w:rsidR="00812DF5" w:rsidRPr="00B4728D" w:rsidRDefault="008A0F95" w:rsidP="00CE5FBF">
      <w:pPr>
        <w:jc w:val="both"/>
        <w:rPr>
          <w:rFonts w:ascii="Arial" w:hAnsi="Arial" w:cs="Arial"/>
          <w:color w:val="000000" w:themeColor="text1"/>
        </w:rPr>
      </w:pPr>
      <w:r w:rsidRPr="00CE5FBF">
        <w:rPr>
          <w:rFonts w:ascii="Arial" w:hAnsi="Arial" w:cs="Arial"/>
          <w:color w:val="000000" w:themeColor="text1"/>
        </w:rPr>
        <w:t xml:space="preserve">En general para el Gobierno Nacional y en particular para esta Superintendencia es un objetivo buscar que los colombianos acudan a las fuentes de financiamiento formal en condiciones de seguridad y costos </w:t>
      </w:r>
      <w:r w:rsidR="000707B9">
        <w:rPr>
          <w:rFonts w:ascii="Arial" w:hAnsi="Arial" w:cs="Arial"/>
          <w:color w:val="000000" w:themeColor="text1"/>
        </w:rPr>
        <w:t>razonables</w:t>
      </w:r>
      <w:r w:rsidRPr="00CE5FBF">
        <w:rPr>
          <w:rFonts w:ascii="Arial" w:hAnsi="Arial" w:cs="Arial"/>
          <w:color w:val="000000" w:themeColor="text1"/>
        </w:rPr>
        <w:t xml:space="preserve">. Es así como reconocemos a </w:t>
      </w:r>
      <w:r w:rsidR="00812DF5" w:rsidRPr="00CE5FBF">
        <w:rPr>
          <w:rFonts w:ascii="Arial" w:hAnsi="Arial" w:cs="Arial"/>
          <w:color w:val="000000" w:themeColor="text1"/>
        </w:rPr>
        <w:t xml:space="preserve">la inclusión financiera como un habilitador del desarrollo económico y social y un mecanismo esencial para promover la reducción de la pobreza.  En ese sentido, desde 2006 </w:t>
      </w:r>
      <w:r w:rsidRPr="00CE5FBF">
        <w:rPr>
          <w:rFonts w:ascii="Arial" w:hAnsi="Arial" w:cs="Arial"/>
          <w:color w:val="000000" w:themeColor="text1"/>
        </w:rPr>
        <w:t xml:space="preserve">la SFC ha trabajado </w:t>
      </w:r>
      <w:r w:rsidR="00812DF5" w:rsidRPr="00CE5FBF">
        <w:rPr>
          <w:rFonts w:ascii="Arial" w:hAnsi="Arial" w:cs="Arial"/>
          <w:color w:val="000000" w:themeColor="text1"/>
        </w:rPr>
        <w:t xml:space="preserve">directamente </w:t>
      </w:r>
      <w:r w:rsidRPr="00CE5FBF">
        <w:rPr>
          <w:rFonts w:ascii="Arial" w:hAnsi="Arial" w:cs="Arial"/>
          <w:color w:val="000000" w:themeColor="text1"/>
        </w:rPr>
        <w:t>y</w:t>
      </w:r>
      <w:r w:rsidR="00812DF5" w:rsidRPr="00CE5FBF">
        <w:rPr>
          <w:rFonts w:ascii="Arial" w:hAnsi="Arial" w:cs="Arial"/>
          <w:color w:val="000000" w:themeColor="text1"/>
        </w:rPr>
        <w:t xml:space="preserve"> en coordinación con otras entidades del estado y con el sector</w:t>
      </w:r>
      <w:r w:rsidR="00812DF5" w:rsidRPr="00B4728D">
        <w:rPr>
          <w:rFonts w:ascii="Arial" w:hAnsi="Arial" w:cs="Arial"/>
          <w:color w:val="000000" w:themeColor="text1"/>
        </w:rPr>
        <w:t xml:space="preserve"> privado en iniciativas que permitan reducir barreras y corregir fallas de mercado para el acceso y uso de </w:t>
      </w:r>
      <w:r w:rsidR="00F63771" w:rsidRPr="00B4728D">
        <w:rPr>
          <w:rFonts w:ascii="Arial" w:hAnsi="Arial" w:cs="Arial"/>
          <w:color w:val="000000" w:themeColor="text1"/>
        </w:rPr>
        <w:t>productos</w:t>
      </w:r>
      <w:r w:rsidR="00812DF5" w:rsidRPr="00B4728D">
        <w:rPr>
          <w:rFonts w:ascii="Arial" w:hAnsi="Arial" w:cs="Arial"/>
          <w:color w:val="000000" w:themeColor="text1"/>
        </w:rPr>
        <w:t xml:space="preserve"> y servicios financieros asociados a la falta de información, precio, dispersión geográfica, entre otros.</w:t>
      </w:r>
    </w:p>
    <w:p w14:paraId="1BEBCFDC" w14:textId="77777777" w:rsidR="003F13BA" w:rsidRDefault="00812DF5" w:rsidP="00AB5C3D">
      <w:pPr>
        <w:jc w:val="both"/>
        <w:rPr>
          <w:rFonts w:ascii="Arial" w:hAnsi="Arial" w:cs="Arial"/>
          <w:color w:val="000000" w:themeColor="text1"/>
        </w:rPr>
      </w:pPr>
      <w:r w:rsidRPr="00B4728D">
        <w:rPr>
          <w:rFonts w:ascii="Arial" w:hAnsi="Arial" w:cs="Arial"/>
          <w:color w:val="000000" w:themeColor="text1"/>
        </w:rPr>
        <w:t xml:space="preserve">En los mercados de crédito, existen diferentes barreras que impiden el acceso y uso de este producto </w:t>
      </w:r>
      <w:r w:rsidR="00F63771" w:rsidRPr="00B4728D">
        <w:rPr>
          <w:rFonts w:ascii="Arial" w:hAnsi="Arial" w:cs="Arial"/>
          <w:color w:val="000000" w:themeColor="text1"/>
        </w:rPr>
        <w:t>financiero</w:t>
      </w:r>
      <w:r w:rsidRPr="00B4728D">
        <w:rPr>
          <w:rFonts w:ascii="Arial" w:hAnsi="Arial" w:cs="Arial"/>
          <w:color w:val="000000" w:themeColor="text1"/>
        </w:rPr>
        <w:t xml:space="preserve">. Una de las </w:t>
      </w:r>
      <w:r w:rsidR="00F63771" w:rsidRPr="00B4728D">
        <w:rPr>
          <w:rFonts w:ascii="Arial" w:hAnsi="Arial" w:cs="Arial"/>
          <w:color w:val="000000" w:themeColor="text1"/>
        </w:rPr>
        <w:t>principales</w:t>
      </w:r>
      <w:r w:rsidRPr="00B4728D">
        <w:rPr>
          <w:rFonts w:ascii="Arial" w:hAnsi="Arial" w:cs="Arial"/>
          <w:color w:val="000000" w:themeColor="text1"/>
        </w:rPr>
        <w:t xml:space="preserve"> barreras existentes en Colombia está relacionada con el acceso. En el mercado de crédito, al igual que en el de productos transaccionales o de ahorro, existe barreras relacionadas con la cobertura </w:t>
      </w:r>
      <w:r w:rsidR="00F63771" w:rsidRPr="00B4728D">
        <w:rPr>
          <w:rFonts w:ascii="Arial" w:hAnsi="Arial" w:cs="Arial"/>
          <w:color w:val="000000" w:themeColor="text1"/>
        </w:rPr>
        <w:t>geográfica</w:t>
      </w:r>
      <w:r w:rsidRPr="00B4728D">
        <w:rPr>
          <w:rFonts w:ascii="Arial" w:hAnsi="Arial" w:cs="Arial"/>
          <w:color w:val="000000" w:themeColor="text1"/>
        </w:rPr>
        <w:t xml:space="preserve"> y con los costos fijos de la oferta no permite atender ciertos segmentos de la población. </w:t>
      </w:r>
    </w:p>
    <w:p w14:paraId="40735523" w14:textId="3B46901A" w:rsidR="00812DF5" w:rsidRPr="00B4728D" w:rsidRDefault="00812DF5" w:rsidP="00AB5C3D">
      <w:pPr>
        <w:jc w:val="both"/>
        <w:rPr>
          <w:rFonts w:ascii="Arial" w:hAnsi="Arial" w:cs="Arial"/>
          <w:color w:val="000000" w:themeColor="text1"/>
        </w:rPr>
      </w:pPr>
      <w:r w:rsidRPr="00B4728D">
        <w:rPr>
          <w:rFonts w:ascii="Arial" w:hAnsi="Arial" w:cs="Arial"/>
          <w:color w:val="000000" w:themeColor="text1"/>
        </w:rPr>
        <w:t xml:space="preserve">Cuando los canales de distribución no son capaces de llegar a las personas, y/o cuando los costos fijos no lo permiten ofrecer un precio razonable, los productos o servicios simplemente no serán ofrecidos, y por lo tanto las curvas de oferta y demanda nunca se interceptarán. En estos casos, las barreras pueden o no estar directamente asociadas al precio, y pueden asimilarse a barreras operacionales.  Otra de las barreras, y uno de las </w:t>
      </w:r>
      <w:r w:rsidR="003F13BA" w:rsidRPr="00B4728D">
        <w:rPr>
          <w:rFonts w:ascii="Arial" w:hAnsi="Arial" w:cs="Arial"/>
          <w:color w:val="000000" w:themeColor="text1"/>
        </w:rPr>
        <w:t>más</w:t>
      </w:r>
      <w:r w:rsidRPr="00B4728D">
        <w:rPr>
          <w:rFonts w:ascii="Arial" w:hAnsi="Arial" w:cs="Arial"/>
          <w:color w:val="000000" w:themeColor="text1"/>
        </w:rPr>
        <w:t xml:space="preserve"> discutidas y estudiadas, es la relacionada con la falta de información o información imperfecta. En los mercados financieros, la falta de información produce distorsiones que impiden una adecuada asignación de recursos. </w:t>
      </w:r>
      <w:r w:rsidR="00892BA2" w:rsidRPr="00B4728D">
        <w:rPr>
          <w:rFonts w:ascii="Arial" w:hAnsi="Arial" w:cs="Arial"/>
          <w:color w:val="000000" w:themeColor="text1"/>
        </w:rPr>
        <w:t>Específicamente, el</w:t>
      </w:r>
      <w:r w:rsidRPr="00B4728D">
        <w:rPr>
          <w:rFonts w:ascii="Arial" w:hAnsi="Arial" w:cs="Arial"/>
          <w:color w:val="000000" w:themeColor="text1"/>
        </w:rPr>
        <w:t xml:space="preserve"> precio, expresado en la tasa de interés, es incapaz de balancear la oferta y la demanda debido a que los prestamistas no tienen información suficiente para reflejar el nivel de riesgo en el precio. </w:t>
      </w:r>
    </w:p>
    <w:p w14:paraId="239601B9" w14:textId="7CEE0FD4" w:rsidR="00812DF5" w:rsidRPr="00B4728D" w:rsidRDefault="00812DF5" w:rsidP="00AB5C3D">
      <w:pPr>
        <w:jc w:val="both"/>
        <w:rPr>
          <w:rFonts w:ascii="Arial" w:hAnsi="Arial" w:cs="Arial"/>
          <w:color w:val="000000" w:themeColor="text1"/>
        </w:rPr>
      </w:pPr>
      <w:r w:rsidRPr="00B4728D">
        <w:rPr>
          <w:rFonts w:ascii="Arial" w:hAnsi="Arial" w:cs="Arial"/>
          <w:color w:val="000000" w:themeColor="text1"/>
        </w:rPr>
        <w:t xml:space="preserve">Bajo esta perspectiva, las imperfecciones del mercado de crédito se expresan </w:t>
      </w:r>
      <w:r w:rsidR="003F13BA" w:rsidRPr="00B4728D">
        <w:rPr>
          <w:rFonts w:ascii="Arial" w:hAnsi="Arial" w:cs="Arial"/>
          <w:color w:val="000000" w:themeColor="text1"/>
        </w:rPr>
        <w:t>fundamentalmente, pero</w:t>
      </w:r>
      <w:r w:rsidRPr="00B4728D">
        <w:rPr>
          <w:rFonts w:ascii="Arial" w:hAnsi="Arial" w:cs="Arial"/>
          <w:color w:val="000000" w:themeColor="text1"/>
        </w:rPr>
        <w:t xml:space="preserve"> no exclusivamente, en barreras de precio.</w:t>
      </w:r>
    </w:p>
    <w:p w14:paraId="4CCCE029" w14:textId="77777777" w:rsidR="00812DF5" w:rsidRPr="00B4728D" w:rsidRDefault="00812DF5" w:rsidP="00812DF5">
      <w:pPr>
        <w:spacing w:after="0"/>
        <w:jc w:val="center"/>
        <w:rPr>
          <w:rFonts w:ascii="Arial" w:hAnsi="Arial" w:cs="Arial"/>
          <w:color w:val="000000" w:themeColor="text1"/>
          <w:lang w:val="es-ES"/>
        </w:rPr>
      </w:pPr>
    </w:p>
    <w:p w14:paraId="6AC06972" w14:textId="77777777" w:rsidR="00812DF5" w:rsidRPr="00B4728D" w:rsidRDefault="00812DF5" w:rsidP="00812DF5">
      <w:pPr>
        <w:spacing w:after="0"/>
        <w:jc w:val="center"/>
        <w:rPr>
          <w:rFonts w:ascii="Arial" w:hAnsi="Arial" w:cs="Arial"/>
          <w:color w:val="000000" w:themeColor="text1"/>
        </w:rPr>
      </w:pPr>
      <w:r w:rsidRPr="00B4728D">
        <w:rPr>
          <w:rFonts w:ascii="Arial" w:hAnsi="Arial" w:cs="Arial"/>
          <w:color w:val="000000" w:themeColor="text1"/>
        </w:rPr>
        <w:t>Principales barreras de acceso a servicios financieros</w:t>
      </w:r>
    </w:p>
    <w:tbl>
      <w:tblPr>
        <w:tblW w:w="0" w:type="auto"/>
        <w:jc w:val="center"/>
        <w:tblCellMar>
          <w:left w:w="70" w:type="dxa"/>
          <w:right w:w="70" w:type="dxa"/>
        </w:tblCellMar>
        <w:tblLook w:val="04A0" w:firstRow="1" w:lastRow="0" w:firstColumn="1" w:lastColumn="0" w:noHBand="0" w:noVBand="1"/>
      </w:tblPr>
      <w:tblGrid>
        <w:gridCol w:w="900"/>
        <w:gridCol w:w="1191"/>
        <w:gridCol w:w="917"/>
        <w:gridCol w:w="2413"/>
        <w:gridCol w:w="1562"/>
        <w:gridCol w:w="1182"/>
        <w:gridCol w:w="653"/>
      </w:tblGrid>
      <w:tr w:rsidR="00B4728D" w:rsidRPr="004F1E95" w14:paraId="2DDE1E6F" w14:textId="77777777" w:rsidTr="004F1E95">
        <w:trPr>
          <w:trHeight w:val="200"/>
          <w:jc w:val="center"/>
        </w:trPr>
        <w:tc>
          <w:tcPr>
            <w:tcW w:w="0" w:type="auto"/>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29A3179" w14:textId="77777777" w:rsidR="00812DF5" w:rsidRPr="004F1E95" w:rsidRDefault="00812DF5" w:rsidP="00812DF5">
            <w:pPr>
              <w:spacing w:after="0" w:line="240" w:lineRule="auto"/>
              <w:ind w:left="708" w:hanging="708"/>
              <w:jc w:val="center"/>
              <w:rPr>
                <w:rFonts w:ascii="Arial" w:eastAsia="Times New Roman" w:hAnsi="Arial" w:cs="Arial"/>
                <w:b/>
                <w:bCs/>
                <w:color w:val="000000" w:themeColor="text1"/>
                <w:sz w:val="18"/>
                <w:szCs w:val="18"/>
                <w:lang w:eastAsia="es-CO"/>
              </w:rPr>
            </w:pPr>
            <w:r w:rsidRPr="004F1E95">
              <w:rPr>
                <w:rFonts w:ascii="Arial" w:eastAsia="Times New Roman" w:hAnsi="Arial" w:cs="Arial"/>
                <w:b/>
                <w:bCs/>
                <w:color w:val="000000" w:themeColor="text1"/>
                <w:sz w:val="18"/>
                <w:szCs w:val="18"/>
                <w:lang w:eastAsia="es-CO"/>
              </w:rPr>
              <w:t>Barreras</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2068E0DA" w14:textId="77777777" w:rsidR="00812DF5" w:rsidRPr="004F1E95" w:rsidRDefault="00812DF5" w:rsidP="00812DF5">
            <w:pPr>
              <w:spacing w:after="0" w:line="240" w:lineRule="auto"/>
              <w:jc w:val="center"/>
              <w:rPr>
                <w:rFonts w:ascii="Arial" w:eastAsia="Times New Roman" w:hAnsi="Arial" w:cs="Arial"/>
                <w:b/>
                <w:bCs/>
                <w:color w:val="000000" w:themeColor="text1"/>
                <w:sz w:val="18"/>
                <w:szCs w:val="18"/>
                <w:lang w:eastAsia="es-CO"/>
              </w:rPr>
            </w:pPr>
            <w:r w:rsidRPr="004F1E95">
              <w:rPr>
                <w:rFonts w:ascii="Arial" w:eastAsia="Times New Roman" w:hAnsi="Arial" w:cs="Arial"/>
                <w:b/>
                <w:bCs/>
                <w:color w:val="000000" w:themeColor="text1"/>
                <w:sz w:val="18"/>
                <w:szCs w:val="18"/>
                <w:lang w:eastAsia="es-CO"/>
              </w:rPr>
              <w:t>Ahorro</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7286C244" w14:textId="77777777" w:rsidR="00812DF5" w:rsidRPr="004F1E95" w:rsidRDefault="00812DF5" w:rsidP="00812DF5">
            <w:pPr>
              <w:spacing w:after="0" w:line="240" w:lineRule="auto"/>
              <w:jc w:val="center"/>
              <w:rPr>
                <w:rFonts w:ascii="Arial" w:eastAsia="Times New Roman" w:hAnsi="Arial" w:cs="Arial"/>
                <w:b/>
                <w:bCs/>
                <w:color w:val="000000" w:themeColor="text1"/>
                <w:sz w:val="18"/>
                <w:szCs w:val="18"/>
                <w:lang w:eastAsia="es-CO"/>
              </w:rPr>
            </w:pPr>
            <w:r w:rsidRPr="004F1E95">
              <w:rPr>
                <w:rFonts w:ascii="Arial" w:eastAsia="Times New Roman" w:hAnsi="Arial" w:cs="Arial"/>
                <w:b/>
                <w:bCs/>
                <w:color w:val="000000" w:themeColor="text1"/>
                <w:sz w:val="18"/>
                <w:szCs w:val="18"/>
                <w:lang w:eastAsia="es-CO"/>
              </w:rPr>
              <w:t>Crédito</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6D797F3" w14:textId="77777777" w:rsidR="00812DF5" w:rsidRPr="004F1E95" w:rsidRDefault="00812DF5" w:rsidP="00812DF5">
            <w:pPr>
              <w:spacing w:after="0" w:line="240" w:lineRule="auto"/>
              <w:jc w:val="center"/>
              <w:rPr>
                <w:rFonts w:ascii="Arial" w:eastAsia="Times New Roman" w:hAnsi="Arial" w:cs="Arial"/>
                <w:b/>
                <w:bCs/>
                <w:color w:val="000000" w:themeColor="text1"/>
                <w:sz w:val="18"/>
                <w:szCs w:val="18"/>
                <w:lang w:eastAsia="es-CO"/>
              </w:rPr>
            </w:pPr>
            <w:r w:rsidRPr="004F1E95">
              <w:rPr>
                <w:rFonts w:ascii="Arial" w:eastAsia="Times New Roman" w:hAnsi="Arial" w:cs="Arial"/>
                <w:b/>
                <w:bCs/>
                <w:color w:val="000000" w:themeColor="text1"/>
                <w:sz w:val="18"/>
                <w:szCs w:val="18"/>
                <w:lang w:eastAsia="es-CO"/>
              </w:rPr>
              <w:t>Transacciones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7ED18D3" w14:textId="77777777" w:rsidR="00812DF5" w:rsidRPr="004F1E95" w:rsidRDefault="00812DF5" w:rsidP="00812DF5">
            <w:pPr>
              <w:spacing w:after="0" w:line="240" w:lineRule="auto"/>
              <w:jc w:val="center"/>
              <w:rPr>
                <w:rFonts w:ascii="Arial" w:eastAsia="Times New Roman" w:hAnsi="Arial" w:cs="Arial"/>
                <w:b/>
                <w:bCs/>
                <w:color w:val="000000" w:themeColor="text1"/>
                <w:sz w:val="18"/>
                <w:szCs w:val="18"/>
                <w:lang w:eastAsia="es-CO"/>
              </w:rPr>
            </w:pPr>
            <w:r w:rsidRPr="004F1E95">
              <w:rPr>
                <w:rFonts w:ascii="Arial" w:eastAsia="Times New Roman" w:hAnsi="Arial" w:cs="Arial"/>
                <w:b/>
                <w:bCs/>
                <w:color w:val="000000" w:themeColor="text1"/>
                <w:sz w:val="18"/>
                <w:szCs w:val="18"/>
                <w:lang w:eastAsia="es-CO"/>
              </w:rPr>
              <w:t>Seguro</w:t>
            </w:r>
          </w:p>
        </w:tc>
      </w:tr>
      <w:tr w:rsidR="00B4728D" w:rsidRPr="004F1E95" w14:paraId="715F3F45" w14:textId="77777777" w:rsidTr="00B135BC">
        <w:trPr>
          <w:trHeight w:val="162"/>
          <w:jc w:val="center"/>
        </w:trPr>
        <w:tc>
          <w:tcPr>
            <w:tcW w:w="98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42629D" w14:textId="77777777" w:rsidR="00812DF5" w:rsidRPr="004F1E95" w:rsidRDefault="00812DF5" w:rsidP="00812DF5">
            <w:pPr>
              <w:spacing w:after="0" w:line="240" w:lineRule="auto"/>
              <w:jc w:val="center"/>
              <w:rPr>
                <w:rFonts w:ascii="Arial" w:eastAsia="Times New Roman" w:hAnsi="Arial" w:cs="Arial"/>
                <w:b/>
                <w:bCs/>
                <w:color w:val="000000" w:themeColor="text1"/>
                <w:sz w:val="18"/>
                <w:szCs w:val="18"/>
                <w:lang w:eastAsia="es-CO"/>
              </w:rPr>
            </w:pPr>
            <w:r w:rsidRPr="004F1E95">
              <w:rPr>
                <w:rFonts w:ascii="Arial" w:eastAsia="Times New Roman" w:hAnsi="Arial" w:cs="Arial"/>
                <w:b/>
                <w:bCs/>
                <w:color w:val="000000" w:themeColor="text1"/>
                <w:sz w:val="18"/>
                <w:szCs w:val="18"/>
                <w:lang w:eastAsia="es-CO"/>
              </w:rPr>
              <w:t>DEMANDA</w:t>
            </w:r>
          </w:p>
        </w:tc>
        <w:tc>
          <w:tcPr>
            <w:tcW w:w="229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6CDF628"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Ingreso insuficiente</w:t>
            </w:r>
          </w:p>
        </w:tc>
        <w:tc>
          <w:tcPr>
            <w:tcW w:w="0" w:type="auto"/>
            <w:tcBorders>
              <w:top w:val="nil"/>
              <w:left w:val="nil"/>
              <w:bottom w:val="single" w:sz="4" w:space="0" w:color="auto"/>
              <w:right w:val="single" w:sz="4" w:space="0" w:color="auto"/>
            </w:tcBorders>
            <w:shd w:val="clear" w:color="000000" w:fill="D8D8D8"/>
            <w:noWrap/>
            <w:vAlign w:val="center"/>
            <w:hideMark/>
          </w:tcPr>
          <w:p w14:paraId="16691D32"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flujo de depósitos /saldos mínimos</w:t>
            </w:r>
          </w:p>
        </w:tc>
        <w:tc>
          <w:tcPr>
            <w:tcW w:w="0" w:type="auto"/>
            <w:tcBorders>
              <w:top w:val="nil"/>
              <w:left w:val="nil"/>
              <w:bottom w:val="single" w:sz="4" w:space="0" w:color="auto"/>
              <w:right w:val="single" w:sz="4" w:space="0" w:color="auto"/>
            </w:tcBorders>
            <w:shd w:val="clear" w:color="000000" w:fill="D8D8D8"/>
            <w:noWrap/>
            <w:vAlign w:val="center"/>
            <w:hideMark/>
          </w:tcPr>
          <w:p w14:paraId="5991D7A3"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garantías, colaterales</w:t>
            </w:r>
          </w:p>
        </w:tc>
        <w:tc>
          <w:tcPr>
            <w:tcW w:w="0" w:type="auto"/>
            <w:tcBorders>
              <w:top w:val="nil"/>
              <w:left w:val="nil"/>
              <w:bottom w:val="single" w:sz="4" w:space="0" w:color="auto"/>
              <w:right w:val="single" w:sz="4" w:space="0" w:color="auto"/>
            </w:tcBorders>
            <w:shd w:val="clear" w:color="auto" w:fill="auto"/>
            <w:noWrap/>
            <w:vAlign w:val="center"/>
            <w:hideMark/>
          </w:tcPr>
          <w:p w14:paraId="4B0A6533"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8" w:space="0" w:color="auto"/>
            </w:tcBorders>
            <w:shd w:val="clear" w:color="auto" w:fill="auto"/>
            <w:noWrap/>
            <w:vAlign w:val="center"/>
            <w:hideMark/>
          </w:tcPr>
          <w:p w14:paraId="68D93F53"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r>
      <w:tr w:rsidR="00B4728D" w:rsidRPr="004F1E95" w14:paraId="54FF6EA9" w14:textId="77777777" w:rsidTr="00B135BC">
        <w:trPr>
          <w:trHeight w:val="162"/>
          <w:jc w:val="center"/>
        </w:trPr>
        <w:tc>
          <w:tcPr>
            <w:tcW w:w="983" w:type="dxa"/>
            <w:vMerge/>
            <w:tcBorders>
              <w:top w:val="nil"/>
              <w:left w:val="single" w:sz="8" w:space="0" w:color="auto"/>
              <w:bottom w:val="single" w:sz="8" w:space="0" w:color="000000"/>
              <w:right w:val="single" w:sz="4" w:space="0" w:color="auto"/>
            </w:tcBorders>
            <w:vAlign w:val="center"/>
            <w:hideMark/>
          </w:tcPr>
          <w:p w14:paraId="6E0B3E63" w14:textId="77777777" w:rsidR="00812DF5" w:rsidRPr="004F1E95" w:rsidRDefault="00812DF5" w:rsidP="00812DF5">
            <w:pPr>
              <w:spacing w:after="0" w:line="240" w:lineRule="auto"/>
              <w:rPr>
                <w:rFonts w:ascii="Arial" w:eastAsia="Times New Roman" w:hAnsi="Arial" w:cs="Arial"/>
                <w:b/>
                <w:bCs/>
                <w:color w:val="000000" w:themeColor="text1"/>
                <w:sz w:val="18"/>
                <w:szCs w:val="18"/>
                <w:lang w:eastAsia="es-CO"/>
              </w:rPr>
            </w:pPr>
          </w:p>
        </w:tc>
        <w:tc>
          <w:tcPr>
            <w:tcW w:w="22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6553C7"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Desconocimiento y desconfianza</w:t>
            </w:r>
          </w:p>
        </w:tc>
        <w:tc>
          <w:tcPr>
            <w:tcW w:w="0" w:type="auto"/>
            <w:tcBorders>
              <w:top w:val="nil"/>
              <w:left w:val="nil"/>
              <w:bottom w:val="single" w:sz="4" w:space="0" w:color="auto"/>
              <w:right w:val="single" w:sz="4" w:space="0" w:color="auto"/>
            </w:tcBorders>
            <w:shd w:val="clear" w:color="000000" w:fill="D8D8D8"/>
            <w:noWrap/>
            <w:vAlign w:val="center"/>
            <w:hideMark/>
          </w:tcPr>
          <w:p w14:paraId="0A4BBDDB"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000000" w:fill="D8D8D8"/>
            <w:noWrap/>
            <w:vAlign w:val="center"/>
            <w:hideMark/>
          </w:tcPr>
          <w:p w14:paraId="16BF35C1"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000000" w:fill="D8D8D8"/>
            <w:noWrap/>
            <w:vAlign w:val="center"/>
            <w:hideMark/>
          </w:tcPr>
          <w:p w14:paraId="407DF39F"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8" w:space="0" w:color="auto"/>
            </w:tcBorders>
            <w:shd w:val="clear" w:color="000000" w:fill="D8D8D8"/>
            <w:noWrap/>
            <w:vAlign w:val="center"/>
            <w:hideMark/>
          </w:tcPr>
          <w:p w14:paraId="3AF7F1AE"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r>
      <w:tr w:rsidR="00B4728D" w:rsidRPr="004F1E95" w14:paraId="33C0873D" w14:textId="77777777" w:rsidTr="00B135BC">
        <w:trPr>
          <w:trHeight w:val="162"/>
          <w:jc w:val="center"/>
        </w:trPr>
        <w:tc>
          <w:tcPr>
            <w:tcW w:w="983" w:type="dxa"/>
            <w:vMerge/>
            <w:tcBorders>
              <w:top w:val="nil"/>
              <w:left w:val="single" w:sz="8" w:space="0" w:color="auto"/>
              <w:bottom w:val="single" w:sz="8" w:space="0" w:color="000000"/>
              <w:right w:val="single" w:sz="4" w:space="0" w:color="auto"/>
            </w:tcBorders>
            <w:vAlign w:val="center"/>
            <w:hideMark/>
          </w:tcPr>
          <w:p w14:paraId="66452A0D" w14:textId="77777777" w:rsidR="00812DF5" w:rsidRPr="004F1E95" w:rsidRDefault="00812DF5" w:rsidP="00812DF5">
            <w:pPr>
              <w:spacing w:after="0" w:line="240" w:lineRule="auto"/>
              <w:rPr>
                <w:rFonts w:ascii="Arial" w:eastAsia="Times New Roman" w:hAnsi="Arial" w:cs="Arial"/>
                <w:b/>
                <w:bCs/>
                <w:color w:val="000000" w:themeColor="text1"/>
                <w:sz w:val="18"/>
                <w:szCs w:val="18"/>
                <w:lang w:eastAsia="es-CO"/>
              </w:rPr>
            </w:pPr>
          </w:p>
        </w:tc>
        <w:tc>
          <w:tcPr>
            <w:tcW w:w="2290" w:type="dxa"/>
            <w:gridSpan w:val="2"/>
            <w:tcBorders>
              <w:top w:val="single" w:sz="4" w:space="0" w:color="auto"/>
              <w:left w:val="nil"/>
              <w:bottom w:val="single" w:sz="8" w:space="0" w:color="auto"/>
              <w:right w:val="single" w:sz="4" w:space="0" w:color="auto"/>
            </w:tcBorders>
            <w:shd w:val="clear" w:color="auto" w:fill="auto"/>
            <w:noWrap/>
            <w:vAlign w:val="center"/>
            <w:hideMark/>
          </w:tcPr>
          <w:p w14:paraId="066B1AB4"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Ubicación geográfica</w:t>
            </w:r>
          </w:p>
        </w:tc>
        <w:tc>
          <w:tcPr>
            <w:tcW w:w="0" w:type="auto"/>
            <w:tcBorders>
              <w:top w:val="nil"/>
              <w:left w:val="nil"/>
              <w:bottom w:val="single" w:sz="8" w:space="0" w:color="auto"/>
              <w:right w:val="single" w:sz="4" w:space="0" w:color="auto"/>
            </w:tcBorders>
            <w:shd w:val="clear" w:color="000000" w:fill="D8D8D8"/>
            <w:noWrap/>
            <w:vAlign w:val="center"/>
            <w:hideMark/>
          </w:tcPr>
          <w:p w14:paraId="55EC2708"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8" w:space="0" w:color="auto"/>
              <w:right w:val="single" w:sz="4" w:space="0" w:color="auto"/>
            </w:tcBorders>
            <w:shd w:val="clear" w:color="000000" w:fill="D8D8D8"/>
            <w:noWrap/>
            <w:vAlign w:val="center"/>
            <w:hideMark/>
          </w:tcPr>
          <w:p w14:paraId="5FA24E39"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8" w:space="0" w:color="auto"/>
              <w:right w:val="single" w:sz="4" w:space="0" w:color="auto"/>
            </w:tcBorders>
            <w:shd w:val="clear" w:color="000000" w:fill="D8D8D8"/>
            <w:noWrap/>
            <w:vAlign w:val="center"/>
            <w:hideMark/>
          </w:tcPr>
          <w:p w14:paraId="709FC542"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8" w:space="0" w:color="auto"/>
              <w:right w:val="single" w:sz="8" w:space="0" w:color="auto"/>
            </w:tcBorders>
            <w:shd w:val="clear" w:color="000000" w:fill="D8D8D8"/>
            <w:noWrap/>
            <w:vAlign w:val="center"/>
            <w:hideMark/>
          </w:tcPr>
          <w:p w14:paraId="3C5F6C0A"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r>
      <w:tr w:rsidR="00B4728D" w:rsidRPr="004F1E95" w14:paraId="755B474F" w14:textId="77777777" w:rsidTr="00B135BC">
        <w:trPr>
          <w:trHeight w:val="162"/>
          <w:jc w:val="center"/>
        </w:trPr>
        <w:tc>
          <w:tcPr>
            <w:tcW w:w="98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C10ED33" w14:textId="77777777" w:rsidR="00812DF5" w:rsidRPr="004F1E95" w:rsidRDefault="00812DF5" w:rsidP="00812DF5">
            <w:pPr>
              <w:spacing w:after="0" w:line="240" w:lineRule="auto"/>
              <w:jc w:val="center"/>
              <w:rPr>
                <w:rFonts w:ascii="Arial" w:eastAsia="Times New Roman" w:hAnsi="Arial" w:cs="Arial"/>
                <w:b/>
                <w:bCs/>
                <w:color w:val="000000" w:themeColor="text1"/>
                <w:sz w:val="18"/>
                <w:szCs w:val="18"/>
                <w:lang w:eastAsia="es-CO"/>
              </w:rPr>
            </w:pPr>
            <w:r w:rsidRPr="004F1E95">
              <w:rPr>
                <w:rFonts w:ascii="Arial" w:eastAsia="Times New Roman" w:hAnsi="Arial" w:cs="Arial"/>
                <w:b/>
                <w:bCs/>
                <w:color w:val="000000" w:themeColor="text1"/>
                <w:sz w:val="18"/>
                <w:szCs w:val="18"/>
                <w:lang w:eastAsia="es-CO"/>
              </w:rPr>
              <w:t>OFERTA</w:t>
            </w:r>
          </w:p>
        </w:tc>
        <w:tc>
          <w:tcPr>
            <w:tcW w:w="229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068A6A7"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xml:space="preserve">Red / Seguridad </w:t>
            </w:r>
          </w:p>
        </w:tc>
        <w:tc>
          <w:tcPr>
            <w:tcW w:w="0" w:type="auto"/>
            <w:tcBorders>
              <w:top w:val="nil"/>
              <w:left w:val="nil"/>
              <w:bottom w:val="single" w:sz="4" w:space="0" w:color="auto"/>
              <w:right w:val="single" w:sz="4" w:space="0" w:color="auto"/>
            </w:tcBorders>
            <w:shd w:val="clear" w:color="000000" w:fill="D8D8D8"/>
            <w:noWrap/>
            <w:vAlign w:val="center"/>
            <w:hideMark/>
          </w:tcPr>
          <w:p w14:paraId="39CE2883"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000000" w:fill="D8D8D8"/>
            <w:noWrap/>
            <w:vAlign w:val="center"/>
            <w:hideMark/>
          </w:tcPr>
          <w:p w14:paraId="34F50D3F"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000000" w:fill="D8D8D8"/>
            <w:noWrap/>
            <w:vAlign w:val="center"/>
            <w:hideMark/>
          </w:tcPr>
          <w:p w14:paraId="3809F3B1"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8" w:space="0" w:color="auto"/>
            </w:tcBorders>
            <w:shd w:val="clear" w:color="auto" w:fill="auto"/>
            <w:noWrap/>
            <w:vAlign w:val="center"/>
            <w:hideMark/>
          </w:tcPr>
          <w:p w14:paraId="70D6A3EA"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r>
      <w:tr w:rsidR="00B4728D" w:rsidRPr="004F1E95" w14:paraId="2574ABE5" w14:textId="77777777" w:rsidTr="00B135BC">
        <w:trPr>
          <w:trHeight w:val="304"/>
          <w:jc w:val="center"/>
        </w:trPr>
        <w:tc>
          <w:tcPr>
            <w:tcW w:w="983" w:type="dxa"/>
            <w:vMerge/>
            <w:tcBorders>
              <w:top w:val="nil"/>
              <w:left w:val="single" w:sz="8" w:space="0" w:color="auto"/>
              <w:bottom w:val="single" w:sz="8" w:space="0" w:color="000000"/>
              <w:right w:val="single" w:sz="4" w:space="0" w:color="auto"/>
            </w:tcBorders>
            <w:vAlign w:val="center"/>
            <w:hideMark/>
          </w:tcPr>
          <w:p w14:paraId="49CB92EA" w14:textId="77777777" w:rsidR="00812DF5" w:rsidRPr="004F1E95" w:rsidRDefault="00812DF5" w:rsidP="00812DF5">
            <w:pPr>
              <w:spacing w:after="0" w:line="240" w:lineRule="auto"/>
              <w:rPr>
                <w:rFonts w:ascii="Arial" w:eastAsia="Times New Roman" w:hAnsi="Arial" w:cs="Arial"/>
                <w:b/>
                <w:bCs/>
                <w:color w:val="000000" w:themeColor="text1"/>
                <w:sz w:val="18"/>
                <w:szCs w:val="18"/>
                <w:lang w:eastAsia="es-CO"/>
              </w:rPr>
            </w:pPr>
          </w:p>
        </w:tc>
        <w:tc>
          <w:tcPr>
            <w:tcW w:w="22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00688"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Precio. Rentabilidad del negocio</w:t>
            </w:r>
          </w:p>
        </w:tc>
        <w:tc>
          <w:tcPr>
            <w:tcW w:w="0" w:type="auto"/>
            <w:tcBorders>
              <w:top w:val="nil"/>
              <w:left w:val="single" w:sz="4" w:space="0" w:color="auto"/>
              <w:bottom w:val="single" w:sz="4" w:space="0" w:color="auto"/>
              <w:right w:val="single" w:sz="4" w:space="0" w:color="auto"/>
            </w:tcBorders>
            <w:shd w:val="clear" w:color="000000" w:fill="D8D8D8"/>
            <w:vAlign w:val="center"/>
            <w:hideMark/>
          </w:tcPr>
          <w:p w14:paraId="44975BFC"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cuotas de manejo</w:t>
            </w:r>
          </w:p>
        </w:tc>
        <w:tc>
          <w:tcPr>
            <w:tcW w:w="0" w:type="auto"/>
            <w:tcBorders>
              <w:top w:val="nil"/>
              <w:left w:val="nil"/>
              <w:bottom w:val="single" w:sz="4" w:space="0" w:color="auto"/>
              <w:right w:val="single" w:sz="4" w:space="0" w:color="auto"/>
            </w:tcBorders>
            <w:shd w:val="clear" w:color="000000" w:fill="D8D8D8"/>
            <w:vAlign w:val="center"/>
            <w:hideMark/>
          </w:tcPr>
          <w:p w14:paraId="7DB09E72"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racionamiento de crédito</w:t>
            </w:r>
          </w:p>
        </w:tc>
        <w:tc>
          <w:tcPr>
            <w:tcW w:w="0" w:type="auto"/>
            <w:tcBorders>
              <w:top w:val="nil"/>
              <w:left w:val="nil"/>
              <w:bottom w:val="single" w:sz="4" w:space="0" w:color="auto"/>
              <w:right w:val="single" w:sz="4" w:space="0" w:color="auto"/>
            </w:tcBorders>
            <w:shd w:val="clear" w:color="000000" w:fill="D8D8D8"/>
            <w:vAlign w:val="center"/>
            <w:hideMark/>
          </w:tcPr>
          <w:p w14:paraId="7BBB7BB0"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costos fijos por operación</w:t>
            </w:r>
          </w:p>
        </w:tc>
        <w:tc>
          <w:tcPr>
            <w:tcW w:w="0" w:type="auto"/>
            <w:tcBorders>
              <w:top w:val="nil"/>
              <w:left w:val="nil"/>
              <w:bottom w:val="single" w:sz="4" w:space="0" w:color="auto"/>
              <w:right w:val="single" w:sz="8" w:space="0" w:color="auto"/>
            </w:tcBorders>
            <w:shd w:val="clear" w:color="000000" w:fill="D8D8D8"/>
            <w:vAlign w:val="center"/>
            <w:hideMark/>
          </w:tcPr>
          <w:p w14:paraId="62850DF0"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valor prima</w:t>
            </w:r>
          </w:p>
        </w:tc>
      </w:tr>
      <w:tr w:rsidR="00B4728D" w:rsidRPr="004F1E95" w14:paraId="7C9BE8FA" w14:textId="77777777" w:rsidTr="00B135BC">
        <w:trPr>
          <w:trHeight w:val="162"/>
          <w:jc w:val="center"/>
        </w:trPr>
        <w:tc>
          <w:tcPr>
            <w:tcW w:w="983" w:type="dxa"/>
            <w:vMerge/>
            <w:tcBorders>
              <w:top w:val="nil"/>
              <w:left w:val="single" w:sz="8" w:space="0" w:color="auto"/>
              <w:bottom w:val="single" w:sz="8" w:space="0" w:color="000000"/>
              <w:right w:val="single" w:sz="4" w:space="0" w:color="auto"/>
            </w:tcBorders>
            <w:vAlign w:val="center"/>
            <w:hideMark/>
          </w:tcPr>
          <w:p w14:paraId="07F345C3" w14:textId="77777777" w:rsidR="00812DF5" w:rsidRPr="004F1E95" w:rsidRDefault="00812DF5" w:rsidP="00812DF5">
            <w:pPr>
              <w:spacing w:after="0" w:line="240" w:lineRule="auto"/>
              <w:rPr>
                <w:rFonts w:ascii="Arial" w:eastAsia="Times New Roman" w:hAnsi="Arial" w:cs="Arial"/>
                <w:b/>
                <w:bCs/>
                <w:color w:val="000000" w:themeColor="text1"/>
                <w:sz w:val="18"/>
                <w:szCs w:val="18"/>
                <w:lang w:eastAsia="es-CO"/>
              </w:rPr>
            </w:pPr>
          </w:p>
        </w:tc>
        <w:tc>
          <w:tcPr>
            <w:tcW w:w="14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C80DF4" w14:textId="77777777" w:rsidR="00812DF5" w:rsidRPr="004F1E95" w:rsidRDefault="00812DF5" w:rsidP="00812DF5">
            <w:pPr>
              <w:spacing w:after="0" w:line="240" w:lineRule="auto"/>
              <w:ind w:left="16" w:firstLine="86"/>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xml:space="preserve">-Manejo del riesgo </w:t>
            </w:r>
          </w:p>
          <w:p w14:paraId="07CC0164" w14:textId="77777777" w:rsidR="00812DF5" w:rsidRPr="004F1E95" w:rsidRDefault="00812DF5" w:rsidP="00812DF5">
            <w:pPr>
              <w:spacing w:after="0" w:line="240" w:lineRule="auto"/>
              <w:ind w:left="16" w:firstLine="86"/>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-Pertinencia de prod.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E1233" w14:textId="77777777" w:rsidR="00812DF5" w:rsidRPr="004F1E95" w:rsidRDefault="00812DF5" w:rsidP="00812DF5">
            <w:pPr>
              <w:spacing w:after="0" w:line="240" w:lineRule="auto"/>
              <w:jc w:val="center"/>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Información</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ED0333"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000000" w:fill="D8D8D8"/>
            <w:vAlign w:val="center"/>
            <w:hideMark/>
          </w:tcPr>
          <w:p w14:paraId="1EA078BF"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D44FA3A"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8" w:space="0" w:color="auto"/>
            </w:tcBorders>
            <w:shd w:val="clear" w:color="000000" w:fill="D8D8D8"/>
            <w:noWrap/>
            <w:vAlign w:val="center"/>
            <w:hideMark/>
          </w:tcPr>
          <w:p w14:paraId="2A403772"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r>
      <w:tr w:rsidR="00B4728D" w:rsidRPr="004F1E95" w14:paraId="0576FC54" w14:textId="77777777" w:rsidTr="00B135BC">
        <w:trPr>
          <w:trHeight w:val="162"/>
          <w:jc w:val="center"/>
        </w:trPr>
        <w:tc>
          <w:tcPr>
            <w:tcW w:w="983" w:type="dxa"/>
            <w:vMerge/>
            <w:tcBorders>
              <w:top w:val="nil"/>
              <w:left w:val="single" w:sz="8" w:space="0" w:color="auto"/>
              <w:bottom w:val="single" w:sz="8" w:space="0" w:color="000000"/>
              <w:right w:val="single" w:sz="4" w:space="0" w:color="auto"/>
            </w:tcBorders>
            <w:vAlign w:val="center"/>
            <w:hideMark/>
          </w:tcPr>
          <w:p w14:paraId="0445B37D" w14:textId="77777777" w:rsidR="00812DF5" w:rsidRPr="004F1E95" w:rsidRDefault="00812DF5" w:rsidP="00812DF5">
            <w:pPr>
              <w:spacing w:after="0" w:line="240" w:lineRule="auto"/>
              <w:rPr>
                <w:rFonts w:ascii="Arial" w:eastAsia="Times New Roman" w:hAnsi="Arial" w:cs="Arial"/>
                <w:b/>
                <w:bCs/>
                <w:color w:val="000000" w:themeColor="text1"/>
                <w:sz w:val="18"/>
                <w:szCs w:val="18"/>
                <w:lang w:eastAsia="es-CO"/>
              </w:rPr>
            </w:pPr>
          </w:p>
        </w:tc>
        <w:tc>
          <w:tcPr>
            <w:tcW w:w="1412" w:type="dxa"/>
            <w:vMerge/>
            <w:tcBorders>
              <w:left w:val="single" w:sz="4" w:space="0" w:color="auto"/>
              <w:bottom w:val="single" w:sz="4" w:space="0" w:color="auto"/>
              <w:right w:val="single" w:sz="4" w:space="0" w:color="auto"/>
            </w:tcBorders>
            <w:vAlign w:val="center"/>
            <w:hideMark/>
          </w:tcPr>
          <w:p w14:paraId="01036ED9" w14:textId="77777777" w:rsidR="00812DF5" w:rsidRPr="004F1E95" w:rsidRDefault="00812DF5" w:rsidP="00812DF5">
            <w:pPr>
              <w:spacing w:after="0" w:line="240" w:lineRule="auto"/>
              <w:ind w:left="-70"/>
              <w:rPr>
                <w:rFonts w:ascii="Arial" w:eastAsia="Times New Roman" w:hAnsi="Arial" w:cs="Arial"/>
                <w:color w:val="000000" w:themeColor="text1"/>
                <w:sz w:val="18"/>
                <w:szCs w:val="18"/>
                <w:lang w:eastAsia="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0234A"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p>
        </w:tc>
        <w:tc>
          <w:tcPr>
            <w:tcW w:w="0" w:type="auto"/>
            <w:tcBorders>
              <w:top w:val="nil"/>
              <w:left w:val="single" w:sz="4" w:space="0" w:color="auto"/>
              <w:bottom w:val="single" w:sz="4" w:space="0" w:color="auto"/>
              <w:right w:val="single" w:sz="4" w:space="0" w:color="auto"/>
            </w:tcBorders>
            <w:shd w:val="clear" w:color="000000" w:fill="D8D8D8"/>
            <w:vAlign w:val="center"/>
            <w:hideMark/>
          </w:tcPr>
          <w:p w14:paraId="1516D163"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000000" w:fill="D8D8D8"/>
            <w:vAlign w:val="center"/>
            <w:hideMark/>
          </w:tcPr>
          <w:p w14:paraId="276B7997"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4" w:space="0" w:color="auto"/>
            </w:tcBorders>
            <w:shd w:val="clear" w:color="000000" w:fill="D8D8D8"/>
            <w:noWrap/>
            <w:vAlign w:val="center"/>
            <w:hideMark/>
          </w:tcPr>
          <w:p w14:paraId="6124594A"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c>
          <w:tcPr>
            <w:tcW w:w="0" w:type="auto"/>
            <w:tcBorders>
              <w:top w:val="nil"/>
              <w:left w:val="nil"/>
              <w:bottom w:val="single" w:sz="4" w:space="0" w:color="auto"/>
              <w:right w:val="single" w:sz="8" w:space="0" w:color="auto"/>
            </w:tcBorders>
            <w:shd w:val="clear" w:color="000000" w:fill="D8D8D8"/>
            <w:noWrap/>
            <w:vAlign w:val="center"/>
            <w:hideMark/>
          </w:tcPr>
          <w:p w14:paraId="4A825801" w14:textId="77777777" w:rsidR="00812DF5" w:rsidRPr="004F1E95" w:rsidRDefault="00812DF5" w:rsidP="00812DF5">
            <w:pPr>
              <w:spacing w:after="0" w:line="240" w:lineRule="auto"/>
              <w:rPr>
                <w:rFonts w:ascii="Arial" w:eastAsia="Times New Roman" w:hAnsi="Arial" w:cs="Arial"/>
                <w:color w:val="000000" w:themeColor="text1"/>
                <w:sz w:val="18"/>
                <w:szCs w:val="18"/>
                <w:lang w:eastAsia="es-CO"/>
              </w:rPr>
            </w:pPr>
            <w:r w:rsidRPr="004F1E95">
              <w:rPr>
                <w:rFonts w:ascii="Arial" w:eastAsia="Times New Roman" w:hAnsi="Arial" w:cs="Arial"/>
                <w:color w:val="000000" w:themeColor="text1"/>
                <w:sz w:val="18"/>
                <w:szCs w:val="18"/>
                <w:lang w:eastAsia="es-CO"/>
              </w:rPr>
              <w:t> </w:t>
            </w:r>
          </w:p>
        </w:tc>
      </w:tr>
    </w:tbl>
    <w:p w14:paraId="40BACD73" w14:textId="77777777" w:rsidR="00812DF5" w:rsidRPr="00B4728D" w:rsidRDefault="00812DF5" w:rsidP="00812DF5">
      <w:pPr>
        <w:jc w:val="both"/>
        <w:rPr>
          <w:rFonts w:ascii="Arial" w:hAnsi="Arial" w:cs="Arial"/>
          <w:color w:val="000000" w:themeColor="text1"/>
        </w:rPr>
      </w:pPr>
    </w:p>
    <w:p w14:paraId="596891B0" w14:textId="77777777" w:rsidR="00812DF5" w:rsidRPr="00B4728D" w:rsidRDefault="00812DF5" w:rsidP="00812DF5">
      <w:pPr>
        <w:jc w:val="both"/>
        <w:rPr>
          <w:rFonts w:ascii="Arial" w:hAnsi="Arial" w:cs="Arial"/>
          <w:color w:val="000000" w:themeColor="text1"/>
        </w:rPr>
      </w:pPr>
      <w:r w:rsidRPr="00B4728D">
        <w:rPr>
          <w:rFonts w:ascii="Arial" w:hAnsi="Arial" w:cs="Arial"/>
          <w:color w:val="000000" w:themeColor="text1"/>
        </w:rPr>
        <w:lastRenderedPageBreak/>
        <w:t xml:space="preserve">Reconociendo estas barreras, la regulación y normatividad se ha venido evolucionando para permitir una mayor inclusión financiera. A continuación, se resume un listado con los principales, más no los únicos, esfuerzos realizados en este aspecto: </w:t>
      </w:r>
    </w:p>
    <w:p w14:paraId="1BA9EFC5" w14:textId="77777777" w:rsidR="00812DF5" w:rsidRPr="00B4728D" w:rsidRDefault="00812DF5" w:rsidP="00812DF5">
      <w:pPr>
        <w:pStyle w:val="Prrafodelista"/>
        <w:numPr>
          <w:ilvl w:val="0"/>
          <w:numId w:val="2"/>
        </w:numPr>
        <w:spacing w:after="0" w:line="240" w:lineRule="auto"/>
        <w:jc w:val="both"/>
        <w:rPr>
          <w:rFonts w:ascii="Arial" w:hAnsi="Arial" w:cs="Arial"/>
          <w:color w:val="000000" w:themeColor="text1"/>
        </w:rPr>
      </w:pPr>
      <w:r w:rsidRPr="00B4728D">
        <w:rPr>
          <w:rFonts w:ascii="Arial" w:hAnsi="Arial" w:cs="Arial"/>
          <w:color w:val="000000" w:themeColor="text1"/>
        </w:rPr>
        <w:t>Se expidió el Decreto 4590 de 2008</w:t>
      </w:r>
      <w:r w:rsidRPr="00B4728D">
        <w:rPr>
          <w:rFonts w:ascii="Arial" w:hAnsi="Arial" w:cs="Arial"/>
          <w:color w:val="000000" w:themeColor="text1"/>
          <w:vertAlign w:val="superscript"/>
        </w:rPr>
        <w:footnoteReference w:id="6"/>
      </w:r>
      <w:r w:rsidRPr="00B4728D">
        <w:rPr>
          <w:rFonts w:ascii="Arial" w:hAnsi="Arial" w:cs="Arial"/>
          <w:color w:val="000000" w:themeColor="text1"/>
        </w:rPr>
        <w:t xml:space="preserve"> a través del cual se crean las Cuentas de Ahorro Electrónicas (CAE), dirigidas a la población de bajos ingresos pertenecientes al nivel 1 del Sistema de Identificaciones de Potenciales Beneficiarios de Programas Sociales (SISBÉN), y desplazados inscritos en el Registro Único de Población desplazada.  Este Decreto fue modificado por el Decreto 720 de 2018 buscando que estas cuentas fueran utilizadas para la dispersión de subsidios a las familias inscritas en el Programa Nacional Integral de Sustitución de Cultivos de Uso Ilícito y que ampliaran el monto máximo mensual de retiros de 2 a 3 salarios mínimos mensuales legales vigentes.</w:t>
      </w:r>
    </w:p>
    <w:p w14:paraId="61602272" w14:textId="77777777" w:rsidR="00812DF5" w:rsidRPr="00B4728D" w:rsidRDefault="00812DF5" w:rsidP="00812DF5">
      <w:pPr>
        <w:pStyle w:val="Prrafodelista"/>
        <w:numPr>
          <w:ilvl w:val="0"/>
          <w:numId w:val="2"/>
        </w:numPr>
        <w:spacing w:after="0" w:line="240" w:lineRule="auto"/>
        <w:contextualSpacing w:val="0"/>
        <w:jc w:val="both"/>
        <w:rPr>
          <w:rFonts w:ascii="Arial" w:hAnsi="Arial" w:cs="Arial"/>
          <w:color w:val="000000" w:themeColor="text1"/>
        </w:rPr>
      </w:pPr>
      <w:r w:rsidRPr="00B4728D">
        <w:rPr>
          <w:rFonts w:ascii="Arial" w:hAnsi="Arial" w:cs="Arial"/>
          <w:color w:val="000000" w:themeColor="text1"/>
        </w:rPr>
        <w:t>En 2013, y con el fin de dinamizar el uso de cuentas de ahorro y depósitos electrónicos por parte de la población, se permitió el trámite simplificado de apertura para estos productos, y se estableció a su vez las condiciones y límites que deben mantener las entidades financieras en cuanto los procesos de conocimiento del cliente</w:t>
      </w:r>
      <w:r w:rsidRPr="00B4728D">
        <w:rPr>
          <w:rFonts w:ascii="Arial" w:hAnsi="Arial" w:cs="Arial"/>
          <w:color w:val="000000" w:themeColor="text1"/>
          <w:vertAlign w:val="superscript"/>
        </w:rPr>
        <w:footnoteReference w:id="7"/>
      </w:r>
      <w:r w:rsidRPr="00B4728D">
        <w:rPr>
          <w:rFonts w:ascii="Arial" w:hAnsi="Arial" w:cs="Arial"/>
          <w:color w:val="000000" w:themeColor="text1"/>
        </w:rPr>
        <w:t xml:space="preserve">. </w:t>
      </w:r>
    </w:p>
    <w:p w14:paraId="19C8F83F" w14:textId="1D26780B" w:rsidR="00AB5C3D" w:rsidRPr="007B2FD7" w:rsidRDefault="00812DF5" w:rsidP="00DB6A6B">
      <w:pPr>
        <w:pStyle w:val="Prrafodelista"/>
        <w:numPr>
          <w:ilvl w:val="0"/>
          <w:numId w:val="2"/>
        </w:numPr>
        <w:spacing w:after="0" w:line="240" w:lineRule="auto"/>
        <w:jc w:val="both"/>
        <w:rPr>
          <w:rFonts w:ascii="Arial" w:hAnsi="Arial" w:cs="Arial"/>
          <w:color w:val="000000" w:themeColor="text1"/>
        </w:rPr>
      </w:pPr>
      <w:r w:rsidRPr="007B2FD7">
        <w:rPr>
          <w:rFonts w:ascii="Arial" w:hAnsi="Arial" w:cs="Arial"/>
          <w:color w:val="000000" w:themeColor="text1"/>
        </w:rPr>
        <w:t xml:space="preserve">En 2014, a través del Decreto 2654, se creó el crédito de consumo de bajo monto, un crédito adecuado a las condiciones y necesidades de personas de bajos recursos que tienen ingresos bajos e irregulares.  Este crédito tiene una certificación de interés bancario corriente independiente y tiene una tasa de usura diferente a la de los créditos de consumo ordinario. La tasa máxima que pueden establecer las entidades bancarias para otorgar el crédito es de 51,3% (01 de octubre 2019 a 30 de septiembre 2020). Este mismo decreto también permitió que las entidades aplicaran metodologías alternativas a las tradicionales para su estudio y aprobación de estos créditos, usando información de medios alternativos que demuestren hábitos de pago. </w:t>
      </w:r>
    </w:p>
    <w:p w14:paraId="11A8BC72" w14:textId="67D80C72" w:rsidR="00812DF5" w:rsidRDefault="00812DF5" w:rsidP="00812DF5">
      <w:pPr>
        <w:pStyle w:val="Prrafodelista"/>
        <w:numPr>
          <w:ilvl w:val="0"/>
          <w:numId w:val="2"/>
        </w:numPr>
        <w:spacing w:after="0" w:line="240" w:lineRule="auto"/>
        <w:contextualSpacing w:val="0"/>
        <w:jc w:val="both"/>
        <w:rPr>
          <w:rFonts w:ascii="Arial" w:hAnsi="Arial" w:cs="Arial"/>
          <w:color w:val="000000" w:themeColor="text1"/>
        </w:rPr>
      </w:pPr>
      <w:r w:rsidRPr="00B4728D">
        <w:rPr>
          <w:rFonts w:ascii="Arial" w:hAnsi="Arial" w:cs="Arial"/>
          <w:color w:val="000000" w:themeColor="text1"/>
        </w:rPr>
        <w:t xml:space="preserve">En febrero de 2020 se publicó el Decreto 222 del Ministerio de Hacienda a través del cual se modificó el crédito de consumo de bajo monto, el cual ya no tiene un plazo de hasta 36 meses, se puede usar tecnologías sustitutivas y es rotativo, se habilitaron los corresponsales móviles y se unificaron las cuentas de trámite simplificado, para evitar arbitraje. </w:t>
      </w:r>
    </w:p>
    <w:p w14:paraId="66625212" w14:textId="084CAE1C" w:rsidR="007B2FD7" w:rsidRPr="00B4728D" w:rsidRDefault="00A60D7F" w:rsidP="00812DF5">
      <w:pPr>
        <w:pStyle w:val="Prrafodelista"/>
        <w:numPr>
          <w:ilvl w:val="0"/>
          <w:numId w:val="2"/>
        </w:numPr>
        <w:spacing w:after="0" w:line="240" w:lineRule="auto"/>
        <w:contextualSpacing w:val="0"/>
        <w:jc w:val="both"/>
        <w:rPr>
          <w:rFonts w:ascii="Arial" w:hAnsi="Arial" w:cs="Arial"/>
          <w:color w:val="000000" w:themeColor="text1"/>
        </w:rPr>
      </w:pPr>
      <w:r>
        <w:rPr>
          <w:rFonts w:ascii="Arial" w:hAnsi="Arial" w:cs="Arial"/>
          <w:color w:val="000000" w:themeColor="text1"/>
        </w:rPr>
        <w:t>En 2019 la Superintendencia Financiera lanzó la iniciativa innovaSFC que busca acercar el ecosistema de la innovación y el sector financiero en búsqueda de alternativas que promuevan la prestación de servicios financieros ágiles, basadas en tecnologías y a menores costos</w:t>
      </w:r>
      <w:r w:rsidR="00F863F1">
        <w:rPr>
          <w:rFonts w:ascii="Arial" w:hAnsi="Arial" w:cs="Arial"/>
          <w:color w:val="000000" w:themeColor="text1"/>
        </w:rPr>
        <w:t>.</w:t>
      </w:r>
      <w:r w:rsidR="009E3171">
        <w:rPr>
          <w:rFonts w:ascii="Arial" w:hAnsi="Arial" w:cs="Arial"/>
          <w:color w:val="000000" w:themeColor="text1"/>
        </w:rPr>
        <w:t xml:space="preserve"> A la </w:t>
      </w:r>
      <w:r w:rsidR="007011A5">
        <w:rPr>
          <w:rFonts w:ascii="Arial" w:hAnsi="Arial" w:cs="Arial"/>
          <w:color w:val="000000" w:themeColor="text1"/>
        </w:rPr>
        <w:t>fecha más</w:t>
      </w:r>
      <w:r w:rsidR="009E3171">
        <w:rPr>
          <w:rFonts w:ascii="Arial" w:hAnsi="Arial" w:cs="Arial"/>
          <w:color w:val="000000" w:themeColor="text1"/>
        </w:rPr>
        <w:t xml:space="preserve"> de 135 emprendimientos han contado con </w:t>
      </w:r>
      <w:r w:rsidR="007011A5">
        <w:rPr>
          <w:rFonts w:ascii="Arial" w:hAnsi="Arial" w:cs="Arial"/>
          <w:color w:val="000000" w:themeColor="text1"/>
        </w:rPr>
        <w:t xml:space="preserve">el </w:t>
      </w:r>
      <w:r w:rsidR="009E3171">
        <w:rPr>
          <w:rFonts w:ascii="Arial" w:hAnsi="Arial" w:cs="Arial"/>
          <w:color w:val="000000" w:themeColor="text1"/>
        </w:rPr>
        <w:t>acompañamiento de la SFC.</w:t>
      </w:r>
    </w:p>
    <w:p w14:paraId="11521C03" w14:textId="77777777" w:rsidR="00812DF5" w:rsidRPr="00B4728D" w:rsidRDefault="00812DF5" w:rsidP="00812DF5">
      <w:pPr>
        <w:pStyle w:val="Prrafodelista"/>
        <w:jc w:val="both"/>
        <w:rPr>
          <w:rFonts w:ascii="Arial" w:hAnsi="Arial" w:cs="Arial"/>
          <w:color w:val="000000" w:themeColor="text1"/>
        </w:rPr>
      </w:pPr>
    </w:p>
    <w:p w14:paraId="16095438" w14:textId="4205B965" w:rsidR="00812DF5" w:rsidRDefault="00812DF5" w:rsidP="00AB5C3D">
      <w:pPr>
        <w:jc w:val="both"/>
        <w:rPr>
          <w:rFonts w:ascii="Arial" w:hAnsi="Arial" w:cs="Arial"/>
          <w:color w:val="000000" w:themeColor="text1"/>
          <w:lang w:val="es-ES"/>
        </w:rPr>
      </w:pPr>
      <w:r w:rsidRPr="00B4728D">
        <w:rPr>
          <w:rFonts w:ascii="Arial" w:hAnsi="Arial" w:cs="Arial"/>
          <w:color w:val="000000" w:themeColor="text1"/>
        </w:rPr>
        <w:t>Como resultado de estas intervenciones regulatorias</w:t>
      </w:r>
      <w:r w:rsidR="009B4389">
        <w:rPr>
          <w:rFonts w:ascii="Arial" w:hAnsi="Arial" w:cs="Arial"/>
          <w:color w:val="000000" w:themeColor="text1"/>
        </w:rPr>
        <w:t xml:space="preserve">, </w:t>
      </w:r>
      <w:r w:rsidRPr="00B4728D">
        <w:rPr>
          <w:rFonts w:ascii="Arial" w:hAnsi="Arial" w:cs="Arial"/>
          <w:color w:val="000000" w:themeColor="text1"/>
        </w:rPr>
        <w:t>normativas</w:t>
      </w:r>
      <w:r w:rsidR="009B4389">
        <w:rPr>
          <w:rFonts w:ascii="Arial" w:hAnsi="Arial" w:cs="Arial"/>
          <w:color w:val="000000" w:themeColor="text1"/>
        </w:rPr>
        <w:t xml:space="preserve"> y de supervisión</w:t>
      </w:r>
      <w:r w:rsidRPr="00B4728D">
        <w:rPr>
          <w:rFonts w:ascii="Arial" w:hAnsi="Arial" w:cs="Arial"/>
          <w:color w:val="000000" w:themeColor="text1"/>
        </w:rPr>
        <w:t xml:space="preserve">, Colombia ha alcanzado importantes hitos frente a la inclusión financiera. Primero, se logró que existiera la disponibilidad de, por lo menos, un punto de acceso en todos los municipios y se logró mantener la presencia financiera en los 1.102 municipios del país. Segundo, el indicador de inclusión financiera (la proporción de la población con acceso a por lo menos un producto financiero) ascendió a 83,3% a septiembre de 2019, es decir 28,9 millones de adultos tienen hoy por lo menos un producto financiero. Por </w:t>
      </w:r>
      <w:r w:rsidR="002D460A" w:rsidRPr="00B4728D">
        <w:rPr>
          <w:rFonts w:ascii="Arial" w:hAnsi="Arial" w:cs="Arial"/>
          <w:color w:val="000000" w:themeColor="text1"/>
        </w:rPr>
        <w:t>último, a</w:t>
      </w:r>
      <w:r w:rsidRPr="00B4728D">
        <w:rPr>
          <w:rFonts w:ascii="Arial" w:hAnsi="Arial" w:cs="Arial"/>
          <w:color w:val="000000" w:themeColor="text1"/>
        </w:rPr>
        <w:t xml:space="preserve"> septiembre de 2019, </w:t>
      </w:r>
      <w:r w:rsidRPr="00B4728D">
        <w:rPr>
          <w:rFonts w:ascii="Arial" w:hAnsi="Arial" w:cs="Arial"/>
          <w:color w:val="000000" w:themeColor="text1"/>
        </w:rPr>
        <w:lastRenderedPageBreak/>
        <w:t>14,6 millones de personas contaban con algún producto de crédito vigente</w:t>
      </w:r>
      <w:r w:rsidRPr="00B4728D">
        <w:rPr>
          <w:rFonts w:ascii="Arial" w:hAnsi="Arial" w:cs="Arial"/>
          <w:color w:val="000000" w:themeColor="text1"/>
          <w:lang w:val="es-ES"/>
        </w:rPr>
        <w:t>, un aumento frente a septiembre de 2018, en donde 3,8 millones de personas contaban con algún producto de crédito vigente</w:t>
      </w:r>
      <w:r w:rsidRPr="00B4728D">
        <w:rPr>
          <w:rStyle w:val="Refdenotaalpie"/>
          <w:rFonts w:ascii="Arial" w:hAnsi="Arial" w:cs="Arial"/>
          <w:color w:val="000000" w:themeColor="text1"/>
          <w:lang w:val="es-ES"/>
        </w:rPr>
        <w:footnoteReference w:id="8"/>
      </w:r>
      <w:r w:rsidRPr="00B4728D">
        <w:rPr>
          <w:rFonts w:ascii="Arial" w:hAnsi="Arial" w:cs="Arial"/>
          <w:color w:val="000000" w:themeColor="text1"/>
          <w:lang w:val="es-ES"/>
        </w:rPr>
        <w:t>.</w:t>
      </w:r>
    </w:p>
    <w:p w14:paraId="056AD0D3" w14:textId="3F15E60C" w:rsidR="00630D89" w:rsidRPr="00B4728D" w:rsidRDefault="00630D89" w:rsidP="00AB5C3D">
      <w:pPr>
        <w:jc w:val="both"/>
        <w:rPr>
          <w:rFonts w:ascii="Arial" w:hAnsi="Arial" w:cs="Arial"/>
          <w:color w:val="000000" w:themeColor="text1"/>
          <w:lang w:val="es-ES"/>
        </w:rPr>
      </w:pPr>
      <w:r>
        <w:rPr>
          <w:rFonts w:ascii="Arial" w:hAnsi="Arial" w:cs="Arial"/>
          <w:color w:val="000000" w:themeColor="text1"/>
          <w:lang w:val="es-ES"/>
        </w:rPr>
        <w:t>Dicho lo anterior, aun cuando la política de inclusión financiera, su articulación e implementación han sido clara</w:t>
      </w:r>
      <w:r w:rsidR="00667E13">
        <w:rPr>
          <w:rFonts w:ascii="Arial" w:hAnsi="Arial" w:cs="Arial"/>
          <w:color w:val="000000" w:themeColor="text1"/>
          <w:lang w:val="es-ES"/>
        </w:rPr>
        <w:t xml:space="preserve">, lo cual se refleja en </w:t>
      </w:r>
      <w:r>
        <w:rPr>
          <w:rFonts w:ascii="Arial" w:hAnsi="Arial" w:cs="Arial"/>
          <w:color w:val="000000" w:themeColor="text1"/>
          <w:lang w:val="es-ES"/>
        </w:rPr>
        <w:t xml:space="preserve">resultados favorables para el país, es </w:t>
      </w:r>
      <w:r w:rsidR="007724A9">
        <w:rPr>
          <w:rFonts w:ascii="Arial" w:hAnsi="Arial" w:cs="Arial"/>
          <w:color w:val="000000" w:themeColor="text1"/>
          <w:lang w:val="es-ES"/>
        </w:rPr>
        <w:t xml:space="preserve">cierto </w:t>
      </w:r>
      <w:r>
        <w:rPr>
          <w:rFonts w:ascii="Arial" w:hAnsi="Arial" w:cs="Arial"/>
          <w:color w:val="000000" w:themeColor="text1"/>
          <w:lang w:val="es-ES"/>
        </w:rPr>
        <w:t xml:space="preserve">que los retos siguen siendo enormes y debemos seguir trabajando de manera coordinada en lograr mayor acceso </w:t>
      </w:r>
      <w:r w:rsidR="00667E13">
        <w:rPr>
          <w:rFonts w:ascii="Arial" w:hAnsi="Arial" w:cs="Arial"/>
          <w:color w:val="000000" w:themeColor="text1"/>
          <w:lang w:val="es-ES"/>
        </w:rPr>
        <w:t>y uso de</w:t>
      </w:r>
      <w:r>
        <w:rPr>
          <w:rFonts w:ascii="Arial" w:hAnsi="Arial" w:cs="Arial"/>
          <w:color w:val="000000" w:themeColor="text1"/>
          <w:lang w:val="es-ES"/>
        </w:rPr>
        <w:t xml:space="preserve"> productos financieros que mejoren la calidad de vida de los colombianos, en esa medida apoyamos </w:t>
      </w:r>
      <w:r w:rsidR="00667E13">
        <w:rPr>
          <w:rFonts w:ascii="Arial" w:hAnsi="Arial" w:cs="Arial"/>
          <w:color w:val="000000" w:themeColor="text1"/>
          <w:lang w:val="es-ES"/>
        </w:rPr>
        <w:t xml:space="preserve">e impulsamos </w:t>
      </w:r>
      <w:r>
        <w:rPr>
          <w:rFonts w:ascii="Arial" w:hAnsi="Arial" w:cs="Arial"/>
          <w:color w:val="000000" w:themeColor="text1"/>
          <w:lang w:val="es-ES"/>
        </w:rPr>
        <w:t xml:space="preserve">iniciativas concretas, prudentes y consistentes que nos ayuden a cumplir este cometido que incluye </w:t>
      </w:r>
      <w:r w:rsidR="001375F2">
        <w:rPr>
          <w:rFonts w:ascii="Arial" w:hAnsi="Arial" w:cs="Arial"/>
          <w:color w:val="000000" w:themeColor="text1"/>
          <w:lang w:val="es-ES"/>
        </w:rPr>
        <w:t xml:space="preserve">lograr </w:t>
      </w:r>
      <w:r>
        <w:rPr>
          <w:rFonts w:ascii="Arial" w:hAnsi="Arial" w:cs="Arial"/>
          <w:color w:val="000000" w:themeColor="text1"/>
          <w:lang w:val="es-ES"/>
        </w:rPr>
        <w:t xml:space="preserve">la formalidad financiera de muchos colombianos. </w:t>
      </w:r>
    </w:p>
    <w:p w14:paraId="300483D2" w14:textId="1781A803" w:rsidR="0077151D" w:rsidRPr="00B4728D" w:rsidRDefault="00AB5C3D" w:rsidP="00107D94">
      <w:pPr>
        <w:jc w:val="both"/>
        <w:rPr>
          <w:rFonts w:ascii="Arial" w:hAnsi="Arial" w:cs="Arial"/>
          <w:b/>
          <w:bCs/>
          <w:i/>
          <w:iCs/>
          <w:color w:val="000000" w:themeColor="text1"/>
        </w:rPr>
      </w:pPr>
      <w:r w:rsidRPr="00B4728D">
        <w:rPr>
          <w:rFonts w:ascii="Arial" w:hAnsi="Arial" w:cs="Arial"/>
          <w:b/>
          <w:bCs/>
          <w:i/>
          <w:iCs/>
          <w:color w:val="000000" w:themeColor="text1"/>
        </w:rPr>
        <w:t>“</w:t>
      </w:r>
      <w:r w:rsidR="0068095F" w:rsidRPr="00B4728D">
        <w:rPr>
          <w:rFonts w:ascii="Arial" w:hAnsi="Arial" w:cs="Arial"/>
          <w:b/>
          <w:bCs/>
          <w:i/>
          <w:iCs/>
          <w:color w:val="000000" w:themeColor="text1"/>
        </w:rPr>
        <w:t>18. Finalmente, y es una preocupación de muchos de nosotros desde el punto de vista económico, sobre qué acciones tomará la entidad, para evitar que el ingreso de capitales y financiación de dudosa procedencia (dineros ilícitos) en la reactivación de la economía del país. ¿Cuáles serán los mecanismos para evitar y prevenir el blanqueo de capitales?</w:t>
      </w:r>
      <w:r w:rsidRPr="00B4728D">
        <w:rPr>
          <w:rFonts w:ascii="Arial" w:hAnsi="Arial" w:cs="Arial"/>
          <w:b/>
          <w:bCs/>
          <w:i/>
          <w:iCs/>
          <w:color w:val="000000" w:themeColor="text1"/>
        </w:rPr>
        <w:t>”</w:t>
      </w:r>
      <w:r w:rsidR="0068095F" w:rsidRPr="00B4728D">
        <w:rPr>
          <w:rFonts w:ascii="Arial" w:hAnsi="Arial" w:cs="Arial"/>
          <w:b/>
          <w:bCs/>
          <w:i/>
          <w:iCs/>
          <w:color w:val="000000" w:themeColor="text1"/>
        </w:rPr>
        <w:t xml:space="preserve">    </w:t>
      </w:r>
    </w:p>
    <w:p w14:paraId="63E30DE4" w14:textId="77777777" w:rsidR="001F3D3F" w:rsidRPr="00B4728D" w:rsidRDefault="001F3D3F" w:rsidP="001F3D3F">
      <w:pPr>
        <w:autoSpaceDE w:val="0"/>
        <w:autoSpaceDN w:val="0"/>
        <w:adjustRightInd w:val="0"/>
        <w:spacing w:after="0" w:line="240" w:lineRule="auto"/>
        <w:jc w:val="both"/>
        <w:rPr>
          <w:rFonts w:ascii="Arial" w:hAnsi="Arial" w:cs="Arial"/>
          <w:color w:val="000000" w:themeColor="text1"/>
        </w:rPr>
      </w:pPr>
      <w:r w:rsidRPr="00B4728D">
        <w:rPr>
          <w:rFonts w:ascii="Arial" w:hAnsi="Arial" w:cs="Arial"/>
          <w:color w:val="000000" w:themeColor="text1"/>
        </w:rPr>
        <w:t xml:space="preserve">En lo concerniente a su preocupación sobre la forma de evitar que a través de las entidades vigiladas ingresen capitales y financiación de dudosa procedencia en la reactivación de la economía del país, es decir, se realicen actividades de blanqueo de capitales, es importante señalar que las funciones para esta Superfinanciera, respecto de las Entidades Vigiladas a su cargo, en relación con el riesgo de lavado de activos y financiación del terrorismo (“LA/FT”), se encuentran actualmente establecidas en los artículos 11.2.1.4.21. y 11.2.1.4.29 del Decreto Único 2555 de 2010 y se vienen llevando a cabo desde 2006 (fusión de las Superintendencias Bancaria y de Valores).  </w:t>
      </w:r>
    </w:p>
    <w:p w14:paraId="1898CF6E" w14:textId="77777777" w:rsidR="001F3D3F" w:rsidRPr="00B4728D" w:rsidRDefault="001F3D3F" w:rsidP="001F3D3F">
      <w:pPr>
        <w:autoSpaceDE w:val="0"/>
        <w:autoSpaceDN w:val="0"/>
        <w:adjustRightInd w:val="0"/>
        <w:spacing w:after="0" w:line="240" w:lineRule="auto"/>
        <w:jc w:val="both"/>
        <w:rPr>
          <w:rFonts w:ascii="Arial" w:hAnsi="Arial" w:cs="Arial"/>
          <w:color w:val="000000" w:themeColor="text1"/>
        </w:rPr>
      </w:pPr>
    </w:p>
    <w:p w14:paraId="395A5C25" w14:textId="77777777" w:rsidR="001F3D3F" w:rsidRPr="00B4728D" w:rsidRDefault="001F3D3F" w:rsidP="001F3D3F">
      <w:pPr>
        <w:autoSpaceDE w:val="0"/>
        <w:autoSpaceDN w:val="0"/>
        <w:adjustRightInd w:val="0"/>
        <w:spacing w:after="0" w:line="240" w:lineRule="auto"/>
        <w:jc w:val="both"/>
        <w:rPr>
          <w:rFonts w:ascii="Arial" w:hAnsi="Arial" w:cs="Arial"/>
          <w:color w:val="000000" w:themeColor="text1"/>
        </w:rPr>
      </w:pPr>
      <w:r w:rsidRPr="00B4728D">
        <w:rPr>
          <w:rFonts w:ascii="Arial" w:hAnsi="Arial" w:cs="Arial"/>
          <w:color w:val="000000" w:themeColor="text1"/>
        </w:rPr>
        <w:t xml:space="preserve">El objetivo del supervisor en esta materia es hacer seguimiento a los niveles de exposición y la correcta administración del riesgo de LA/FT de las Entidades Vigiladas mediante la implementación del Sistema de Administración del Riesgo del Lavado de Activos y de la Financiación del Terrorismo (“SARLAFT”) de acuerdo con los criterios y parámetros exigidos en la Parte I del Título IV del Capítulo IV de la Circular Básica Jurídica. </w:t>
      </w:r>
    </w:p>
    <w:p w14:paraId="5A8DBF39" w14:textId="77777777" w:rsidR="001F3D3F" w:rsidRPr="00B4728D" w:rsidRDefault="001F3D3F" w:rsidP="001F3D3F">
      <w:pPr>
        <w:autoSpaceDE w:val="0"/>
        <w:autoSpaceDN w:val="0"/>
        <w:adjustRightInd w:val="0"/>
        <w:spacing w:after="0" w:line="240" w:lineRule="auto"/>
        <w:jc w:val="both"/>
        <w:rPr>
          <w:rFonts w:ascii="Arial" w:hAnsi="Arial" w:cs="Arial"/>
          <w:color w:val="000000" w:themeColor="text1"/>
        </w:rPr>
      </w:pPr>
    </w:p>
    <w:p w14:paraId="0AEDC800" w14:textId="77777777" w:rsidR="001F3D3F" w:rsidRPr="00B4728D" w:rsidRDefault="001F3D3F" w:rsidP="001F3D3F">
      <w:pPr>
        <w:autoSpaceDE w:val="0"/>
        <w:autoSpaceDN w:val="0"/>
        <w:adjustRightInd w:val="0"/>
        <w:spacing w:after="0" w:line="240" w:lineRule="auto"/>
        <w:jc w:val="both"/>
        <w:rPr>
          <w:rFonts w:ascii="Arial" w:hAnsi="Arial" w:cs="Arial"/>
          <w:color w:val="000000" w:themeColor="text1"/>
        </w:rPr>
      </w:pPr>
      <w:r w:rsidRPr="00B4728D">
        <w:rPr>
          <w:rFonts w:ascii="Arial" w:hAnsi="Arial" w:cs="Arial"/>
          <w:color w:val="000000" w:themeColor="text1"/>
        </w:rPr>
        <w:t xml:space="preserve">En esa parte específica de la Circular se impartieron instrucciones a las entidades vigiladas, para adoptar el SARLAFT, con los criterios y parámetros mínimos que deben atender en su diseño, implementación y funcionamiento. Este Sistema debe contar con mecanismos para el conocimiento de los clientes y el origen de los recursos que reciban, precisamente previendo el posible ingreso de dineros de origen ilícito o de dudosa procedencia, con el fin de evitar que a través de las actividades que realizan sean utilizadas para el lavado de activos.  </w:t>
      </w:r>
    </w:p>
    <w:p w14:paraId="5F1E56C1" w14:textId="77777777" w:rsidR="001F3D3F" w:rsidRPr="00B4728D" w:rsidRDefault="001F3D3F" w:rsidP="001F3D3F">
      <w:pPr>
        <w:autoSpaceDE w:val="0"/>
        <w:autoSpaceDN w:val="0"/>
        <w:adjustRightInd w:val="0"/>
        <w:spacing w:after="0" w:line="240" w:lineRule="auto"/>
        <w:jc w:val="both"/>
        <w:rPr>
          <w:rFonts w:ascii="Arial" w:hAnsi="Arial" w:cs="Arial"/>
          <w:color w:val="000000" w:themeColor="text1"/>
        </w:rPr>
      </w:pPr>
    </w:p>
    <w:p w14:paraId="29F31124" w14:textId="77777777" w:rsidR="001F3D3F" w:rsidRPr="00B4728D" w:rsidRDefault="001F3D3F" w:rsidP="001F3D3F">
      <w:pPr>
        <w:spacing w:after="0" w:line="240" w:lineRule="auto"/>
        <w:jc w:val="both"/>
        <w:rPr>
          <w:rFonts w:ascii="Arial" w:hAnsi="Arial" w:cs="Arial"/>
          <w:color w:val="000000" w:themeColor="text1"/>
        </w:rPr>
      </w:pPr>
      <w:r w:rsidRPr="00B4728D">
        <w:rPr>
          <w:rFonts w:ascii="Arial" w:hAnsi="Arial" w:cs="Arial"/>
          <w:color w:val="000000" w:themeColor="text1"/>
        </w:rPr>
        <w:t>Al mismo tiempo, la Superintendencia, en uso de sus facultades de supervisión verifica, ya sea mediante procesos in situ o extra situ, que los sistemas adoptados sean acordes con las necesidades de cada institución, para que cuenten en todo momento con un SARLAFT adecuado a las características particulares de cada una de ellas, tales como su objeto social, tamaño, volumen de operaciones realizadas y nicho de mercado, según las instrucciones que ha impartido para el efecto.</w:t>
      </w:r>
    </w:p>
    <w:p w14:paraId="6CE5628C" w14:textId="77777777" w:rsidR="001F3D3F" w:rsidRPr="00B4728D" w:rsidRDefault="001F3D3F" w:rsidP="001F3D3F">
      <w:pPr>
        <w:spacing w:after="0" w:line="240" w:lineRule="auto"/>
        <w:jc w:val="both"/>
        <w:rPr>
          <w:rFonts w:ascii="Arial" w:hAnsi="Arial" w:cs="Arial"/>
          <w:color w:val="000000" w:themeColor="text1"/>
        </w:rPr>
      </w:pPr>
    </w:p>
    <w:p w14:paraId="37029836" w14:textId="21747197" w:rsidR="001F3D3F" w:rsidRPr="00B4728D" w:rsidRDefault="001F3D3F" w:rsidP="001F3D3F">
      <w:pPr>
        <w:spacing w:after="0" w:line="240" w:lineRule="auto"/>
        <w:jc w:val="both"/>
        <w:rPr>
          <w:rFonts w:ascii="Arial" w:hAnsi="Arial" w:cs="Arial"/>
          <w:color w:val="000000" w:themeColor="text1"/>
        </w:rPr>
      </w:pPr>
      <w:r w:rsidRPr="00B4728D">
        <w:rPr>
          <w:rFonts w:ascii="Arial" w:hAnsi="Arial" w:cs="Arial"/>
          <w:color w:val="000000" w:themeColor="text1"/>
        </w:rPr>
        <w:lastRenderedPageBreak/>
        <w:t xml:space="preserve">Es de esta manera como la Superintendencia Financiera de Colombia, a través de la Delegatura para Riesgo de Lavado de Activos y Financiación del Terrorismo, adopta acciones </w:t>
      </w:r>
      <w:r w:rsidR="00FE2AA0">
        <w:rPr>
          <w:rFonts w:ascii="Arial" w:hAnsi="Arial" w:cs="Arial"/>
          <w:color w:val="000000" w:themeColor="text1"/>
        </w:rPr>
        <w:t xml:space="preserve">permanentes </w:t>
      </w:r>
      <w:r w:rsidRPr="00B4728D">
        <w:rPr>
          <w:rFonts w:ascii="Arial" w:hAnsi="Arial" w:cs="Arial"/>
          <w:color w:val="000000" w:themeColor="text1"/>
        </w:rPr>
        <w:t xml:space="preserve">para prevenir que a través de las entidades que vigila se efectúen actividades de lavado de activos, las </w:t>
      </w:r>
      <w:r w:rsidR="00D418E1">
        <w:rPr>
          <w:rFonts w:ascii="Arial" w:hAnsi="Arial" w:cs="Arial"/>
          <w:color w:val="000000" w:themeColor="text1"/>
        </w:rPr>
        <w:t xml:space="preserve">se mantienen con el rigor requerido en </w:t>
      </w:r>
      <w:r w:rsidRPr="00B4728D">
        <w:rPr>
          <w:rFonts w:ascii="Arial" w:hAnsi="Arial" w:cs="Arial"/>
          <w:color w:val="000000" w:themeColor="text1"/>
        </w:rPr>
        <w:t xml:space="preserve">esta situación coyuntural de ingreso de capitales destinados a la reactivación económica del país como consecuencia de la actual pandemia, sin perjuicio de que los sistemas de cada entidad deban ajustarse para mejorar sus controles, adaptarlos a los riesgos que surgen y propender por su eficacia, lo cual seguirá siendo objeto de supervisión por nuestra parte.  </w:t>
      </w:r>
    </w:p>
    <w:p w14:paraId="2219D710" w14:textId="45AFC7FE" w:rsidR="00FE2AA0" w:rsidRDefault="00FE2AA0" w:rsidP="002A7D0D">
      <w:pPr>
        <w:shd w:val="clear" w:color="auto" w:fill="FFFFFF" w:themeFill="background1"/>
        <w:jc w:val="both"/>
        <w:rPr>
          <w:rFonts w:ascii="Arial" w:hAnsi="Arial" w:cs="Arial"/>
        </w:rPr>
      </w:pPr>
    </w:p>
    <w:p w14:paraId="260E20BF" w14:textId="6BCE620F" w:rsidR="002A7D0D" w:rsidRDefault="002A7D0D" w:rsidP="002A7D0D">
      <w:pPr>
        <w:shd w:val="clear" w:color="auto" w:fill="FFFFFF" w:themeFill="background1"/>
        <w:jc w:val="both"/>
        <w:rPr>
          <w:rFonts w:ascii="Arial" w:hAnsi="Arial" w:cs="Arial"/>
        </w:rPr>
      </w:pPr>
      <w:r w:rsidRPr="00E91461">
        <w:rPr>
          <w:rFonts w:ascii="Arial" w:hAnsi="Arial" w:cs="Arial"/>
        </w:rPr>
        <w:t>Para finalizar</w:t>
      </w:r>
      <w:r>
        <w:rPr>
          <w:rFonts w:ascii="Arial" w:hAnsi="Arial" w:cs="Arial"/>
        </w:rPr>
        <w:t>,</w:t>
      </w:r>
      <w:r w:rsidRPr="00E91461">
        <w:rPr>
          <w:rFonts w:ascii="Arial" w:hAnsi="Arial" w:cs="Arial"/>
        </w:rPr>
        <w:t xml:space="preserve"> es importante señalar que la Superintendencia mantiene con rigurosidad y criterio técnico un monitoreo continuo desde la perspectiva del consumidor financiero y la estabilidad financiera, pilares para gozar de un equilibrio económico en la coyuntura y continuará ejerciendo su labor de supervisión sobre la base de las facultades legales otorgadas a la misma, mediante las cuales han permitido adoptar las medidas y tomar las decisiones que aquí se han mencionado.</w:t>
      </w:r>
    </w:p>
    <w:p w14:paraId="44F16B05" w14:textId="0B33A3CB" w:rsidR="00AF09D0" w:rsidRPr="001A7564" w:rsidRDefault="00AF09D0" w:rsidP="002A7D0D">
      <w:pPr>
        <w:shd w:val="clear" w:color="auto" w:fill="FFFFFF" w:themeFill="background1"/>
        <w:jc w:val="both"/>
        <w:rPr>
          <w:rFonts w:ascii="Arial" w:hAnsi="Arial" w:cs="Arial"/>
        </w:rPr>
      </w:pPr>
      <w:r>
        <w:rPr>
          <w:rFonts w:ascii="Arial" w:hAnsi="Arial" w:cs="Arial"/>
        </w:rPr>
        <w:t>En los anteriores términos hemos atendido el requerimiento y esperamos que la información suministrada sea de interés y utilidad.</w:t>
      </w:r>
    </w:p>
    <w:p w14:paraId="557630B8" w14:textId="77777777" w:rsidR="002A7D0D" w:rsidRPr="00B4728D" w:rsidRDefault="002A7D0D" w:rsidP="001F3D3F">
      <w:pPr>
        <w:spacing w:line="240" w:lineRule="auto"/>
        <w:rPr>
          <w:rFonts w:asciiTheme="majorHAnsi" w:hAnsiTheme="majorHAnsi" w:cstheme="majorHAnsi"/>
          <w:color w:val="000000" w:themeColor="text1"/>
        </w:rPr>
      </w:pPr>
    </w:p>
    <w:p w14:paraId="1D0BAC70" w14:textId="34D7B1A1" w:rsidR="001F3D3F" w:rsidRDefault="00AF09D0" w:rsidP="00107D94">
      <w:pPr>
        <w:jc w:val="both"/>
        <w:rPr>
          <w:rFonts w:asciiTheme="majorHAnsi" w:hAnsiTheme="majorHAnsi" w:cstheme="majorHAnsi"/>
          <w:color w:val="000000" w:themeColor="text1"/>
        </w:rPr>
      </w:pPr>
      <w:r>
        <w:rPr>
          <w:rFonts w:ascii="Arial" w:hAnsi="Arial" w:cs="Arial"/>
          <w:noProof/>
          <w:sz w:val="24"/>
          <w:szCs w:val="24"/>
        </w:rPr>
        <w:drawing>
          <wp:inline distT="0" distB="0" distL="0" distR="0" wp14:anchorId="573F2B76" wp14:editId="2D73308D">
            <wp:extent cx="1699260" cy="758825"/>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699260" cy="758825"/>
                    </a:xfrm>
                    <a:prstGeom prst="rect">
                      <a:avLst/>
                    </a:prstGeom>
                    <a:noFill/>
                    <a:ln>
                      <a:noFill/>
                    </a:ln>
                  </pic:spPr>
                </pic:pic>
              </a:graphicData>
            </a:graphic>
          </wp:inline>
        </w:drawing>
      </w:r>
    </w:p>
    <w:p w14:paraId="51C63CB0" w14:textId="14583DE8" w:rsidR="00D26D6D" w:rsidRPr="00D26D6D" w:rsidRDefault="00D26D6D" w:rsidP="00107D94">
      <w:pPr>
        <w:contextualSpacing/>
        <w:jc w:val="both"/>
        <w:rPr>
          <w:rFonts w:asciiTheme="majorHAnsi" w:hAnsiTheme="majorHAnsi" w:cstheme="majorHAnsi"/>
          <w:b/>
          <w:bCs/>
          <w:color w:val="000000" w:themeColor="text1"/>
        </w:rPr>
      </w:pPr>
      <w:r w:rsidRPr="00D26D6D">
        <w:rPr>
          <w:rFonts w:asciiTheme="majorHAnsi" w:hAnsiTheme="majorHAnsi" w:cstheme="majorHAnsi"/>
          <w:b/>
          <w:bCs/>
          <w:color w:val="000000" w:themeColor="text1"/>
        </w:rPr>
        <w:t>INGRID JULIANA CAMARGO</w:t>
      </w:r>
    </w:p>
    <w:p w14:paraId="0B90F619" w14:textId="1393EB1F" w:rsidR="00D26D6D" w:rsidRPr="00B4728D" w:rsidRDefault="00D26D6D" w:rsidP="00107D94">
      <w:pPr>
        <w:contextualSpacing/>
        <w:jc w:val="both"/>
        <w:rPr>
          <w:rFonts w:asciiTheme="majorHAnsi" w:hAnsiTheme="majorHAnsi" w:cstheme="majorHAnsi"/>
          <w:color w:val="000000" w:themeColor="text1"/>
        </w:rPr>
      </w:pPr>
      <w:r>
        <w:rPr>
          <w:rFonts w:asciiTheme="majorHAnsi" w:hAnsiTheme="majorHAnsi" w:cstheme="majorHAnsi"/>
          <w:color w:val="000000" w:themeColor="text1"/>
        </w:rPr>
        <w:t>Directora de Investigación, Innovación y Desarrollo</w:t>
      </w:r>
    </w:p>
    <w:sectPr w:rsidR="00D26D6D" w:rsidRPr="00B4728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17CDB" w14:textId="77777777" w:rsidR="006A3CEB" w:rsidRDefault="006A3CEB" w:rsidP="001076B8">
      <w:pPr>
        <w:spacing w:after="0" w:line="240" w:lineRule="auto"/>
      </w:pPr>
      <w:r>
        <w:separator/>
      </w:r>
    </w:p>
  </w:endnote>
  <w:endnote w:type="continuationSeparator" w:id="0">
    <w:p w14:paraId="14C993A9" w14:textId="77777777" w:rsidR="006A3CEB" w:rsidRDefault="006A3CEB" w:rsidP="0010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E4B08" w14:textId="77777777" w:rsidR="006A3CEB" w:rsidRDefault="006A3CEB" w:rsidP="001076B8">
      <w:pPr>
        <w:spacing w:after="0" w:line="240" w:lineRule="auto"/>
      </w:pPr>
      <w:r>
        <w:separator/>
      </w:r>
    </w:p>
  </w:footnote>
  <w:footnote w:type="continuationSeparator" w:id="0">
    <w:p w14:paraId="0F464F9E" w14:textId="77777777" w:rsidR="006A3CEB" w:rsidRDefault="006A3CEB" w:rsidP="001076B8">
      <w:pPr>
        <w:spacing w:after="0" w:line="240" w:lineRule="auto"/>
      </w:pPr>
      <w:r>
        <w:continuationSeparator/>
      </w:r>
    </w:p>
  </w:footnote>
  <w:footnote w:id="1">
    <w:p w14:paraId="3FB06EEC" w14:textId="77777777" w:rsidR="00E610BD" w:rsidRPr="00361E39" w:rsidRDefault="00E610BD" w:rsidP="00E610BD">
      <w:pPr>
        <w:pStyle w:val="Textonotapie"/>
        <w:rPr>
          <w:lang w:val="es-ES"/>
        </w:rPr>
      </w:pPr>
      <w:r>
        <w:rPr>
          <w:rStyle w:val="Refdenotaalpie"/>
        </w:rPr>
        <w:footnoteRef/>
      </w:r>
      <w:r>
        <w:t xml:space="preserve"> </w:t>
      </w:r>
      <w:hyperlink r:id="rId1" w:history="1">
        <w:r>
          <w:rPr>
            <w:rStyle w:val="Hipervnculo"/>
          </w:rPr>
          <w:t>https://www.fng.gov.co/ES/Paginas/Unidos_por_Colombia_FNG.aspx</w:t>
        </w:r>
      </w:hyperlink>
    </w:p>
  </w:footnote>
  <w:footnote w:id="2">
    <w:p w14:paraId="349DAB0C" w14:textId="77777777" w:rsidR="00DB6A6B" w:rsidRDefault="00DB6A6B" w:rsidP="00361E39">
      <w:pPr>
        <w:pStyle w:val="Textonotapie"/>
      </w:pPr>
      <w:r>
        <w:rPr>
          <w:rStyle w:val="Refdenotaalpie"/>
        </w:rPr>
        <w:footnoteRef/>
      </w:r>
      <w:r>
        <w:t xml:space="preserve"> </w:t>
      </w:r>
      <w:hyperlink r:id="rId2" w:history="1">
        <w:r>
          <w:rPr>
            <w:rStyle w:val="Hipervnculo"/>
          </w:rPr>
          <w:t>https://www.superfinanciera.gov.co/publicacion/10103899</w:t>
        </w:r>
      </w:hyperlink>
    </w:p>
  </w:footnote>
  <w:footnote w:id="3">
    <w:p w14:paraId="3F7C5218" w14:textId="77777777" w:rsidR="00DB6A6B" w:rsidRPr="003747C1" w:rsidRDefault="00DB6A6B" w:rsidP="00D91658">
      <w:pPr>
        <w:pStyle w:val="Textonotapie"/>
        <w:jc w:val="both"/>
        <w:rPr>
          <w:rFonts w:ascii="Arial" w:hAnsi="Arial" w:cs="Arial"/>
          <w:sz w:val="16"/>
          <w:szCs w:val="16"/>
        </w:rPr>
      </w:pPr>
      <w:r w:rsidRPr="00176032">
        <w:rPr>
          <w:rStyle w:val="Refdenotaalpie"/>
          <w:rFonts w:ascii="Arial" w:hAnsi="Arial" w:cs="Arial"/>
          <w:sz w:val="16"/>
          <w:szCs w:val="16"/>
        </w:rPr>
        <w:footnoteRef/>
      </w:r>
      <w:r w:rsidRPr="00176032">
        <w:rPr>
          <w:rFonts w:ascii="Arial" w:hAnsi="Arial" w:cs="Arial"/>
          <w:sz w:val="16"/>
          <w:szCs w:val="16"/>
        </w:rPr>
        <w:t xml:space="preserve"> </w:t>
      </w:r>
      <w:r w:rsidRPr="003747C1">
        <w:rPr>
          <w:rFonts w:ascii="Arial" w:hAnsi="Arial" w:cs="Arial"/>
          <w:sz w:val="16"/>
          <w:szCs w:val="16"/>
        </w:rPr>
        <w:t>Capítulo II del Título IV de la Parte I de la Circular Básica Jurídica:</w:t>
      </w:r>
    </w:p>
    <w:p w14:paraId="1F662C3A" w14:textId="77777777" w:rsidR="00DB6A6B" w:rsidRPr="003747C1" w:rsidRDefault="00DB6A6B" w:rsidP="00D91658">
      <w:pPr>
        <w:pStyle w:val="Textonotapie"/>
        <w:jc w:val="both"/>
        <w:rPr>
          <w:rFonts w:ascii="Arial" w:hAnsi="Arial" w:cs="Arial"/>
          <w:i/>
          <w:iCs/>
          <w:sz w:val="16"/>
          <w:szCs w:val="16"/>
        </w:rPr>
      </w:pPr>
      <w:r w:rsidRPr="003747C1">
        <w:rPr>
          <w:rFonts w:ascii="Arial" w:hAnsi="Arial" w:cs="Arial"/>
          <w:i/>
          <w:iCs/>
          <w:sz w:val="16"/>
          <w:szCs w:val="16"/>
        </w:rPr>
        <w:t xml:space="preserve"> “8.5. Quejas Exprés</w:t>
      </w:r>
    </w:p>
    <w:p w14:paraId="2DBB67D1" w14:textId="77777777" w:rsidR="00DB6A6B" w:rsidRPr="003747C1" w:rsidRDefault="00DB6A6B" w:rsidP="00D91658">
      <w:pPr>
        <w:pStyle w:val="Textonotapie"/>
        <w:jc w:val="both"/>
        <w:rPr>
          <w:rFonts w:ascii="Arial" w:hAnsi="Arial" w:cs="Arial"/>
          <w:i/>
          <w:iCs/>
          <w:sz w:val="16"/>
          <w:szCs w:val="16"/>
        </w:rPr>
      </w:pPr>
      <w:r w:rsidRPr="003747C1">
        <w:rPr>
          <w:rFonts w:ascii="Arial" w:hAnsi="Arial" w:cs="Arial"/>
          <w:i/>
          <w:iCs/>
          <w:sz w:val="16"/>
          <w:szCs w:val="16"/>
        </w:rPr>
        <w:t xml:space="preserve">El procedimiento “Quejas Exprés” es un mecanismo de clasificación y atención de quejas establecido por la SFC, por medio del cual se busca optimizar los tiempos de respuesta hacia los consumidores financieros, en aquellas quejas que por sus características son susceptibles de ser atendidas en un tiempo menor al establecido en el subnumeral 8.3. del presente Capítulo. </w:t>
      </w:r>
    </w:p>
    <w:p w14:paraId="098A7FFE" w14:textId="77777777" w:rsidR="00DB6A6B" w:rsidRPr="003747C1" w:rsidRDefault="00DB6A6B" w:rsidP="00D91658">
      <w:pPr>
        <w:pStyle w:val="Textonotapie"/>
        <w:jc w:val="both"/>
        <w:rPr>
          <w:rFonts w:ascii="Arial" w:hAnsi="Arial" w:cs="Arial"/>
          <w:i/>
          <w:iCs/>
          <w:sz w:val="16"/>
          <w:szCs w:val="16"/>
        </w:rPr>
      </w:pPr>
      <w:r w:rsidRPr="003747C1">
        <w:rPr>
          <w:rFonts w:ascii="Arial" w:hAnsi="Arial" w:cs="Arial"/>
          <w:i/>
          <w:iCs/>
          <w:sz w:val="16"/>
          <w:szCs w:val="16"/>
        </w:rPr>
        <w:t xml:space="preserve">Considerando lo anterior, una vez la SFC reciba la queja contra una entidad vigilada, puede clasificarla bajo el código de actividad 150 – “Quejas Exprés” siempre que la misma atienda alguno de los siguientes criterios: </w:t>
      </w:r>
    </w:p>
    <w:p w14:paraId="215CD631" w14:textId="77777777" w:rsidR="00DB6A6B" w:rsidRPr="003747C1" w:rsidRDefault="00DB6A6B" w:rsidP="00D91658">
      <w:pPr>
        <w:pStyle w:val="Textonotapie"/>
        <w:jc w:val="both"/>
        <w:rPr>
          <w:rFonts w:ascii="Arial" w:hAnsi="Arial" w:cs="Arial"/>
          <w:i/>
          <w:iCs/>
          <w:sz w:val="16"/>
          <w:szCs w:val="16"/>
        </w:rPr>
      </w:pPr>
      <w:r w:rsidRPr="003747C1">
        <w:rPr>
          <w:rFonts w:ascii="Arial" w:hAnsi="Arial" w:cs="Arial"/>
          <w:i/>
          <w:iCs/>
          <w:sz w:val="16"/>
          <w:szCs w:val="16"/>
        </w:rPr>
        <w:t>(...)</w:t>
      </w:r>
    </w:p>
    <w:p w14:paraId="0191E202" w14:textId="77777777" w:rsidR="00DB6A6B" w:rsidRPr="00176032" w:rsidRDefault="00DB6A6B" w:rsidP="00D91658">
      <w:pPr>
        <w:pStyle w:val="Textonotapie"/>
        <w:jc w:val="both"/>
        <w:rPr>
          <w:rFonts w:ascii="Arial" w:hAnsi="Arial" w:cs="Arial"/>
          <w:i/>
          <w:iCs/>
          <w:sz w:val="16"/>
          <w:szCs w:val="16"/>
          <w:lang w:val="es-ES"/>
        </w:rPr>
      </w:pPr>
      <w:r w:rsidRPr="003747C1">
        <w:rPr>
          <w:rFonts w:ascii="Arial" w:hAnsi="Arial" w:cs="Arial"/>
          <w:i/>
          <w:iCs/>
          <w:sz w:val="16"/>
          <w:szCs w:val="16"/>
        </w:rPr>
        <w:t>8.5.2. Interpuesta por personas en situación de especial protección, cuando así lo pueda advertir la SFC o lo manifieste el quejoso anexando las pruebas pertinentes, o cuando se trate de una persona que se encuentre dentro de las situaciones previstas en el art. 20 de la Ley 1437 de 2011 o en las normas que lo modifiquen.”</w:t>
      </w:r>
    </w:p>
  </w:footnote>
  <w:footnote w:id="4">
    <w:p w14:paraId="20EDBF7D" w14:textId="77777777" w:rsidR="00DB6A6B" w:rsidRPr="0047269C" w:rsidRDefault="00DB6A6B" w:rsidP="00AB5C3D">
      <w:pPr>
        <w:pStyle w:val="Default"/>
        <w:jc w:val="both"/>
        <w:rPr>
          <w:i/>
          <w:iCs/>
          <w:sz w:val="20"/>
          <w:szCs w:val="20"/>
        </w:rPr>
      </w:pPr>
      <w:r w:rsidRPr="00FF3FE9">
        <w:rPr>
          <w:rStyle w:val="Refdenotaalpie"/>
          <w:sz w:val="22"/>
          <w:szCs w:val="22"/>
        </w:rPr>
        <w:footnoteRef/>
      </w:r>
      <w:r w:rsidRPr="00FF3FE9">
        <w:rPr>
          <w:sz w:val="22"/>
          <w:szCs w:val="22"/>
        </w:rPr>
        <w:t xml:space="preserve"> </w:t>
      </w:r>
      <w:r w:rsidRPr="0047269C">
        <w:rPr>
          <w:b/>
          <w:bCs/>
          <w:i/>
          <w:iCs/>
          <w:sz w:val="20"/>
          <w:szCs w:val="20"/>
        </w:rPr>
        <w:t xml:space="preserve">Artículo 305. Usura. </w:t>
      </w:r>
      <w:r w:rsidRPr="0047269C">
        <w:rPr>
          <w:i/>
          <w:iCs/>
          <w:sz w:val="20"/>
          <w:szCs w:val="20"/>
        </w:rPr>
        <w:t xml:space="preserve">“El que reciba o cobre, directa o indirectamente, a cambio de préstamo de dinero o por concepto de venta de bienes o servicios a plazo, utilidad o ventaja que exceda en la mitad del interés bancario corriente que para el período correspondiente estén cobrando los bancos, según certificación de la Superintendencia Bancaria, cualquiera sea la forma utilizada para hacer constar la operación, ocultarla o disimularla, incurrirá en prisión de treinta y dos (32) a noventa (meses) y multa de sesenta y seis punto sesenta y seis (66.66) a trescientos (300) salarios mínimos legales mensuales vigentes”. El que compre cheque, sueldo, salario o prestación social en los términos y condiciones previstos en este artículo, incurrirá en prisión de tres (3) a siete (7) años y multa de cien (100) a cuatrocientos (400) salarios mínimos legales mensuales vigentes.” </w:t>
      </w:r>
    </w:p>
    <w:p w14:paraId="5BD7EA03" w14:textId="77777777" w:rsidR="00DB6A6B" w:rsidRPr="0047269C" w:rsidRDefault="00DB6A6B" w:rsidP="00AB5C3D">
      <w:pPr>
        <w:pStyle w:val="Textonotapie"/>
      </w:pPr>
    </w:p>
  </w:footnote>
  <w:footnote w:id="5">
    <w:p w14:paraId="0539597F" w14:textId="77777777" w:rsidR="00DB6A6B" w:rsidRPr="0047269C" w:rsidRDefault="00DB6A6B" w:rsidP="00AB5C3D">
      <w:pPr>
        <w:autoSpaceDE w:val="0"/>
        <w:autoSpaceDN w:val="0"/>
        <w:adjustRightInd w:val="0"/>
        <w:spacing w:after="0" w:line="240" w:lineRule="auto"/>
        <w:jc w:val="both"/>
        <w:rPr>
          <w:rFonts w:ascii="Arial" w:hAnsi="Arial" w:cs="Arial"/>
          <w:color w:val="000000"/>
          <w:sz w:val="20"/>
          <w:szCs w:val="20"/>
        </w:rPr>
      </w:pPr>
      <w:r w:rsidRPr="00FF3FE9">
        <w:rPr>
          <w:rStyle w:val="Refdenotaalpie"/>
          <w:rFonts w:ascii="Arial" w:hAnsi="Arial" w:cs="Arial"/>
        </w:rPr>
        <w:footnoteRef/>
      </w:r>
      <w:r w:rsidRPr="00FF3FE9">
        <w:t xml:space="preserve"> </w:t>
      </w:r>
      <w:r w:rsidRPr="0047269C">
        <w:rPr>
          <w:rFonts w:ascii="Arial" w:hAnsi="Arial" w:cs="Arial"/>
          <w:b/>
          <w:bCs/>
          <w:i/>
          <w:iCs/>
          <w:color w:val="000000"/>
          <w:sz w:val="20"/>
          <w:szCs w:val="20"/>
        </w:rPr>
        <w:t>Artículo 884. Límite de intereses y sanción por exceso</w:t>
      </w:r>
      <w:r w:rsidRPr="0047269C">
        <w:rPr>
          <w:rFonts w:ascii="Arial" w:hAnsi="Arial" w:cs="Arial"/>
          <w:color w:val="000000"/>
          <w:sz w:val="20"/>
          <w:szCs w:val="20"/>
        </w:rPr>
        <w:t>. “</w:t>
      </w:r>
      <w:r w:rsidRPr="0047269C">
        <w:rPr>
          <w:rFonts w:ascii="Arial" w:hAnsi="Arial" w:cs="Arial"/>
          <w:i/>
          <w:iCs/>
          <w:color w:val="000000"/>
          <w:sz w:val="20"/>
          <w:szCs w:val="20"/>
        </w:rPr>
        <w:t xml:space="preserve">Cuando en los negocios mercantiles haya de pagarse réditos de un capital, sin que se especifique por convenio el interés, éste será el bancario corriente; si las partes no han estipulado el interés moratorio, será equivalente a una y media veces del bancario corriente y en cuanto sobrepase cualquiera de estos montos el acreedor perderá todos los intereses, sin perjuicio de lo dispuesto en el artículo 72, Ley 45 de 1990. </w:t>
      </w:r>
    </w:p>
    <w:p w14:paraId="042B1FE7" w14:textId="77777777" w:rsidR="00DB6A6B" w:rsidRPr="0047269C" w:rsidRDefault="00DB6A6B" w:rsidP="00AB5C3D">
      <w:pPr>
        <w:jc w:val="both"/>
        <w:rPr>
          <w:rFonts w:ascii="Arial" w:hAnsi="Arial" w:cs="Arial"/>
          <w:sz w:val="20"/>
          <w:szCs w:val="20"/>
        </w:rPr>
      </w:pPr>
      <w:r w:rsidRPr="0047269C">
        <w:rPr>
          <w:rFonts w:ascii="Arial" w:hAnsi="Arial" w:cs="Arial"/>
          <w:i/>
          <w:iCs/>
          <w:color w:val="000000"/>
          <w:sz w:val="20"/>
          <w:szCs w:val="20"/>
        </w:rPr>
        <w:t xml:space="preserve">Se probará el interés bancario corriente con certificado expedido por la Superintendencia Bancaria.” </w:t>
      </w:r>
    </w:p>
    <w:p w14:paraId="05738E54" w14:textId="77777777" w:rsidR="00DB6A6B" w:rsidRDefault="00DB6A6B" w:rsidP="00AB5C3D">
      <w:pPr>
        <w:pStyle w:val="Textonotapie"/>
      </w:pPr>
    </w:p>
  </w:footnote>
  <w:footnote w:id="6">
    <w:p w14:paraId="5C8225E5" w14:textId="77777777" w:rsidR="00DB6A6B" w:rsidRPr="00D11477" w:rsidRDefault="00DB6A6B" w:rsidP="00812DF5">
      <w:pPr>
        <w:pStyle w:val="Textonotapie"/>
        <w:rPr>
          <w:sz w:val="16"/>
          <w:szCs w:val="16"/>
        </w:rPr>
      </w:pPr>
      <w:r w:rsidRPr="00D11477">
        <w:rPr>
          <w:rStyle w:val="Refdenotaalpie"/>
          <w:sz w:val="16"/>
          <w:szCs w:val="16"/>
        </w:rPr>
        <w:footnoteRef/>
      </w:r>
      <w:r w:rsidRPr="00D11477">
        <w:rPr>
          <w:sz w:val="16"/>
          <w:szCs w:val="16"/>
        </w:rPr>
        <w:t xml:space="preserve"> http://www.alcaldiabogota.gov.co/sisjur/normas/Norma1.jsp?i=34085</w:t>
      </w:r>
    </w:p>
  </w:footnote>
  <w:footnote w:id="7">
    <w:p w14:paraId="07F4B62F" w14:textId="77777777" w:rsidR="00DB6A6B" w:rsidRPr="00B4263A" w:rsidRDefault="00DB6A6B" w:rsidP="00812DF5">
      <w:pPr>
        <w:pStyle w:val="Textonotapie"/>
      </w:pPr>
      <w:r>
        <w:rPr>
          <w:rStyle w:val="Refdenotaalpie"/>
        </w:rPr>
        <w:footnoteRef/>
      </w:r>
      <w:r w:rsidRPr="00B4263A">
        <w:rPr>
          <w:sz w:val="16"/>
        </w:rPr>
        <w:t>https://www.superfinanciera.gov.co/descargas?com=institucional&amp;name=pubFile1009820&amp;downloadname=P2%20Tit%20I%20Cap%20III%20-%20Op%20pasivas.doc</w:t>
      </w:r>
    </w:p>
  </w:footnote>
  <w:footnote w:id="8">
    <w:p w14:paraId="51FDE371" w14:textId="77777777" w:rsidR="00DB6A6B" w:rsidRDefault="00DB6A6B" w:rsidP="00812DF5">
      <w:pPr>
        <w:pStyle w:val="Textonotapie"/>
      </w:pPr>
      <w:r>
        <w:rPr>
          <w:rStyle w:val="Refdenotaalpie"/>
        </w:rPr>
        <w:footnoteRef/>
      </w:r>
      <w:r>
        <w:t xml:space="preserve"> </w:t>
      </w:r>
      <w:r w:rsidRPr="008F5CFB">
        <w:rPr>
          <w:sz w:val="16"/>
          <w:szCs w:val="16"/>
        </w:rPr>
        <w:t>Data a Septiembre 2019.</w:t>
      </w:r>
      <w:r>
        <w:rPr>
          <w:sz w:val="16"/>
          <w:szCs w:val="16"/>
        </w:rPr>
        <w:t>Banca de las Oportunidades.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6A2E"/>
    <w:multiLevelType w:val="hybridMultilevel"/>
    <w:tmpl w:val="53F2D7BA"/>
    <w:lvl w:ilvl="0" w:tplc="240A0019">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83B71C8"/>
    <w:multiLevelType w:val="hybridMultilevel"/>
    <w:tmpl w:val="F790D1E6"/>
    <w:lvl w:ilvl="0" w:tplc="96EE98C2">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0057ED"/>
    <w:multiLevelType w:val="hybridMultilevel"/>
    <w:tmpl w:val="E06C352A"/>
    <w:lvl w:ilvl="0" w:tplc="240A0019">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3B5CBB"/>
    <w:multiLevelType w:val="hybridMultilevel"/>
    <w:tmpl w:val="75C0AA5C"/>
    <w:lvl w:ilvl="0" w:tplc="A2B0CE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C2724C"/>
    <w:multiLevelType w:val="hybridMultilevel"/>
    <w:tmpl w:val="1BAE65A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25275FA"/>
    <w:multiLevelType w:val="hybridMultilevel"/>
    <w:tmpl w:val="343088AC"/>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C466B69"/>
    <w:multiLevelType w:val="multilevel"/>
    <w:tmpl w:val="65F02774"/>
    <w:lvl w:ilvl="0">
      <w:start w:val="2"/>
      <w:numFmt w:val="decimal"/>
      <w:lvlText w:val="%1."/>
      <w:lvlJc w:val="left"/>
      <w:pPr>
        <w:ind w:left="390" w:hanging="390"/>
      </w:pPr>
      <w:rPr>
        <w:rFonts w:hint="default"/>
        <w:b/>
        <w:u w:val="none"/>
      </w:rPr>
    </w:lvl>
    <w:lvl w:ilvl="1">
      <w:start w:val="2"/>
      <w:numFmt w:val="decimal"/>
      <w:lvlText w:val="%1.%2."/>
      <w:lvlJc w:val="left"/>
      <w:pPr>
        <w:ind w:left="1146" w:hanging="720"/>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7" w15:restartNumberingAfterBreak="0">
    <w:nsid w:val="21AA2C96"/>
    <w:multiLevelType w:val="hybridMultilevel"/>
    <w:tmpl w:val="8A80C6EE"/>
    <w:lvl w:ilvl="0" w:tplc="240A0019">
      <w:start w:val="1"/>
      <w:numFmt w:val="low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44A560A"/>
    <w:multiLevelType w:val="multilevel"/>
    <w:tmpl w:val="96640D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DF45CB"/>
    <w:multiLevelType w:val="hybridMultilevel"/>
    <w:tmpl w:val="7F186262"/>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594C75"/>
    <w:multiLevelType w:val="hybridMultilevel"/>
    <w:tmpl w:val="10645388"/>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7ED3AAA"/>
    <w:multiLevelType w:val="hybridMultilevel"/>
    <w:tmpl w:val="8D4898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A55124C"/>
    <w:multiLevelType w:val="hybridMultilevel"/>
    <w:tmpl w:val="4D842306"/>
    <w:lvl w:ilvl="0" w:tplc="240A0019">
      <w:start w:val="1"/>
      <w:numFmt w:val="lowerLetter"/>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15:restartNumberingAfterBreak="0">
    <w:nsid w:val="41BE6A20"/>
    <w:multiLevelType w:val="hybridMultilevel"/>
    <w:tmpl w:val="15827EEE"/>
    <w:lvl w:ilvl="0" w:tplc="6A0479AC">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5C0041"/>
    <w:multiLevelType w:val="hybridMultilevel"/>
    <w:tmpl w:val="7BB692E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E00ECC"/>
    <w:multiLevelType w:val="hybridMultilevel"/>
    <w:tmpl w:val="B8C8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151D3"/>
    <w:multiLevelType w:val="hybridMultilevel"/>
    <w:tmpl w:val="7010A73E"/>
    <w:lvl w:ilvl="0" w:tplc="53ECF0E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2F0F11"/>
    <w:multiLevelType w:val="hybridMultilevel"/>
    <w:tmpl w:val="9F284A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592BCD"/>
    <w:multiLevelType w:val="hybridMultilevel"/>
    <w:tmpl w:val="24A65C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A603ED9"/>
    <w:multiLevelType w:val="multilevel"/>
    <w:tmpl w:val="930A8A32"/>
    <w:lvl w:ilvl="0">
      <w:start w:val="1"/>
      <w:numFmt w:val="decimal"/>
      <w:lvlText w:val="%1."/>
      <w:lvlJc w:val="left"/>
      <w:pPr>
        <w:ind w:left="720" w:hanging="360"/>
      </w:pPr>
      <w:rPr>
        <w:rFonts w:ascii="Arial" w:eastAsia="Calibri" w:hAnsi="Arial" w:cs="Arial"/>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0" w15:restartNumberingAfterBreak="0">
    <w:nsid w:val="72A90A2E"/>
    <w:multiLevelType w:val="multilevel"/>
    <w:tmpl w:val="B94AC37A"/>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1" w15:restartNumberingAfterBreak="0">
    <w:nsid w:val="793B3173"/>
    <w:multiLevelType w:val="hybridMultilevel"/>
    <w:tmpl w:val="76806624"/>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E847062"/>
    <w:multiLevelType w:val="hybridMultilevel"/>
    <w:tmpl w:val="232CD1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5"/>
  </w:num>
  <w:num w:numId="3">
    <w:abstractNumId w:val="20"/>
  </w:num>
  <w:num w:numId="4">
    <w:abstractNumId w:val="17"/>
  </w:num>
  <w:num w:numId="5">
    <w:abstractNumId w:val="1"/>
  </w:num>
  <w:num w:numId="6">
    <w:abstractNumId w:val="18"/>
  </w:num>
  <w:num w:numId="7">
    <w:abstractNumId w:val="13"/>
  </w:num>
  <w:num w:numId="8">
    <w:abstractNumId w:val="4"/>
  </w:num>
  <w:num w:numId="9">
    <w:abstractNumId w:val="8"/>
  </w:num>
  <w:num w:numId="10">
    <w:abstractNumId w:val="5"/>
  </w:num>
  <w:num w:numId="11">
    <w:abstractNumId w:val="14"/>
  </w:num>
  <w:num w:numId="12">
    <w:abstractNumId w:val="22"/>
  </w:num>
  <w:num w:numId="13">
    <w:abstractNumId w:val="10"/>
  </w:num>
  <w:num w:numId="14">
    <w:abstractNumId w:val="21"/>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0"/>
  </w:num>
  <w:num w:numId="23">
    <w:abstractNumId w:val="3"/>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5F"/>
    <w:rsid w:val="00007C01"/>
    <w:rsid w:val="0001044A"/>
    <w:rsid w:val="00024326"/>
    <w:rsid w:val="00042551"/>
    <w:rsid w:val="00047970"/>
    <w:rsid w:val="000707B9"/>
    <w:rsid w:val="000747AA"/>
    <w:rsid w:val="0008522E"/>
    <w:rsid w:val="00085AC1"/>
    <w:rsid w:val="00096BFA"/>
    <w:rsid w:val="0009780C"/>
    <w:rsid w:val="000C63E0"/>
    <w:rsid w:val="000C7CBC"/>
    <w:rsid w:val="000F0975"/>
    <w:rsid w:val="000F5E5E"/>
    <w:rsid w:val="000F7A97"/>
    <w:rsid w:val="001029C4"/>
    <w:rsid w:val="00105F00"/>
    <w:rsid w:val="00106694"/>
    <w:rsid w:val="001076B8"/>
    <w:rsid w:val="00107D94"/>
    <w:rsid w:val="0011290D"/>
    <w:rsid w:val="001167FE"/>
    <w:rsid w:val="00116806"/>
    <w:rsid w:val="0012520E"/>
    <w:rsid w:val="0012634F"/>
    <w:rsid w:val="00135E8E"/>
    <w:rsid w:val="00136C38"/>
    <w:rsid w:val="001375F2"/>
    <w:rsid w:val="0014295C"/>
    <w:rsid w:val="00150EE8"/>
    <w:rsid w:val="00151353"/>
    <w:rsid w:val="0018278B"/>
    <w:rsid w:val="0018787E"/>
    <w:rsid w:val="00190183"/>
    <w:rsid w:val="00195302"/>
    <w:rsid w:val="001B093E"/>
    <w:rsid w:val="001D3788"/>
    <w:rsid w:val="001D4AC5"/>
    <w:rsid w:val="001E1174"/>
    <w:rsid w:val="001E6BF3"/>
    <w:rsid w:val="001E73C2"/>
    <w:rsid w:val="001F3D3F"/>
    <w:rsid w:val="001F751E"/>
    <w:rsid w:val="001F7716"/>
    <w:rsid w:val="00204B80"/>
    <w:rsid w:val="002072AF"/>
    <w:rsid w:val="00230D4C"/>
    <w:rsid w:val="00236461"/>
    <w:rsid w:val="00274CE1"/>
    <w:rsid w:val="00295044"/>
    <w:rsid w:val="002A00B6"/>
    <w:rsid w:val="002A1043"/>
    <w:rsid w:val="002A7D0D"/>
    <w:rsid w:val="002B4E46"/>
    <w:rsid w:val="002C2568"/>
    <w:rsid w:val="002D460A"/>
    <w:rsid w:val="002F1D3F"/>
    <w:rsid w:val="00303861"/>
    <w:rsid w:val="00305A72"/>
    <w:rsid w:val="00306C6B"/>
    <w:rsid w:val="00325BD5"/>
    <w:rsid w:val="00333F11"/>
    <w:rsid w:val="00343179"/>
    <w:rsid w:val="003507A6"/>
    <w:rsid w:val="00356ADD"/>
    <w:rsid w:val="00361E39"/>
    <w:rsid w:val="00363EDA"/>
    <w:rsid w:val="00387D73"/>
    <w:rsid w:val="003976CF"/>
    <w:rsid w:val="003D59E7"/>
    <w:rsid w:val="003F0002"/>
    <w:rsid w:val="003F13BA"/>
    <w:rsid w:val="003F226E"/>
    <w:rsid w:val="003F365A"/>
    <w:rsid w:val="0040008E"/>
    <w:rsid w:val="00405B83"/>
    <w:rsid w:val="004211EE"/>
    <w:rsid w:val="00423EC4"/>
    <w:rsid w:val="00431BD7"/>
    <w:rsid w:val="00441385"/>
    <w:rsid w:val="0044192C"/>
    <w:rsid w:val="00443097"/>
    <w:rsid w:val="004442A0"/>
    <w:rsid w:val="004803BC"/>
    <w:rsid w:val="00482279"/>
    <w:rsid w:val="00495099"/>
    <w:rsid w:val="004B01B2"/>
    <w:rsid w:val="004B01BA"/>
    <w:rsid w:val="004B27C2"/>
    <w:rsid w:val="004B4C7C"/>
    <w:rsid w:val="004C1FF0"/>
    <w:rsid w:val="004C4773"/>
    <w:rsid w:val="004D21D1"/>
    <w:rsid w:val="004E719B"/>
    <w:rsid w:val="004F1E95"/>
    <w:rsid w:val="00522ED8"/>
    <w:rsid w:val="00524CC6"/>
    <w:rsid w:val="00532E09"/>
    <w:rsid w:val="005445B6"/>
    <w:rsid w:val="005510C8"/>
    <w:rsid w:val="00560AC8"/>
    <w:rsid w:val="005712C7"/>
    <w:rsid w:val="00576BD6"/>
    <w:rsid w:val="00583E62"/>
    <w:rsid w:val="00584928"/>
    <w:rsid w:val="005A51F8"/>
    <w:rsid w:val="005F546E"/>
    <w:rsid w:val="00600CED"/>
    <w:rsid w:val="00605C4A"/>
    <w:rsid w:val="00621DC2"/>
    <w:rsid w:val="00630D89"/>
    <w:rsid w:val="00631B3D"/>
    <w:rsid w:val="00642198"/>
    <w:rsid w:val="00646AE4"/>
    <w:rsid w:val="0066143C"/>
    <w:rsid w:val="00666E97"/>
    <w:rsid w:val="006673C2"/>
    <w:rsid w:val="00667E13"/>
    <w:rsid w:val="00671F19"/>
    <w:rsid w:val="00675E22"/>
    <w:rsid w:val="0068095F"/>
    <w:rsid w:val="006A135E"/>
    <w:rsid w:val="006A3CEB"/>
    <w:rsid w:val="006A3EB6"/>
    <w:rsid w:val="006A62F0"/>
    <w:rsid w:val="006B2BD6"/>
    <w:rsid w:val="006B6C5C"/>
    <w:rsid w:val="006B6E34"/>
    <w:rsid w:val="006C1834"/>
    <w:rsid w:val="006D377F"/>
    <w:rsid w:val="006F4FA8"/>
    <w:rsid w:val="006F5B35"/>
    <w:rsid w:val="0070038F"/>
    <w:rsid w:val="007011A5"/>
    <w:rsid w:val="00713AE3"/>
    <w:rsid w:val="00714FDC"/>
    <w:rsid w:val="007254EE"/>
    <w:rsid w:val="00752F85"/>
    <w:rsid w:val="00764B75"/>
    <w:rsid w:val="0077151D"/>
    <w:rsid w:val="007724A9"/>
    <w:rsid w:val="007834B2"/>
    <w:rsid w:val="00793D3E"/>
    <w:rsid w:val="007A77CF"/>
    <w:rsid w:val="007B2FD7"/>
    <w:rsid w:val="007B36B0"/>
    <w:rsid w:val="007B6770"/>
    <w:rsid w:val="007B6C16"/>
    <w:rsid w:val="007C4EFD"/>
    <w:rsid w:val="007C5349"/>
    <w:rsid w:val="007C709D"/>
    <w:rsid w:val="007D2E31"/>
    <w:rsid w:val="007F4459"/>
    <w:rsid w:val="00812DF5"/>
    <w:rsid w:val="00823F13"/>
    <w:rsid w:val="00833745"/>
    <w:rsid w:val="008442BF"/>
    <w:rsid w:val="00850371"/>
    <w:rsid w:val="00853715"/>
    <w:rsid w:val="00856D0A"/>
    <w:rsid w:val="00857D71"/>
    <w:rsid w:val="00876FAE"/>
    <w:rsid w:val="0087784C"/>
    <w:rsid w:val="00892BA2"/>
    <w:rsid w:val="008A0F95"/>
    <w:rsid w:val="008B1A25"/>
    <w:rsid w:val="008B66F7"/>
    <w:rsid w:val="008C0F23"/>
    <w:rsid w:val="008D398A"/>
    <w:rsid w:val="008D6682"/>
    <w:rsid w:val="008E08B4"/>
    <w:rsid w:val="008E1BED"/>
    <w:rsid w:val="008E4BD7"/>
    <w:rsid w:val="008F7688"/>
    <w:rsid w:val="00913004"/>
    <w:rsid w:val="00915EF1"/>
    <w:rsid w:val="00916559"/>
    <w:rsid w:val="009339AD"/>
    <w:rsid w:val="0093466C"/>
    <w:rsid w:val="0094283A"/>
    <w:rsid w:val="00944760"/>
    <w:rsid w:val="009559EA"/>
    <w:rsid w:val="00967652"/>
    <w:rsid w:val="00972D82"/>
    <w:rsid w:val="00973CFD"/>
    <w:rsid w:val="0099745B"/>
    <w:rsid w:val="009A30D0"/>
    <w:rsid w:val="009A7867"/>
    <w:rsid w:val="009B0947"/>
    <w:rsid w:val="009B4389"/>
    <w:rsid w:val="009B5235"/>
    <w:rsid w:val="009C0B0D"/>
    <w:rsid w:val="009C3BF7"/>
    <w:rsid w:val="009C5DE0"/>
    <w:rsid w:val="009D4F16"/>
    <w:rsid w:val="009E114E"/>
    <w:rsid w:val="009E3171"/>
    <w:rsid w:val="009E3183"/>
    <w:rsid w:val="009F5B1E"/>
    <w:rsid w:val="00A01830"/>
    <w:rsid w:val="00A02ED2"/>
    <w:rsid w:val="00A1092E"/>
    <w:rsid w:val="00A22FB8"/>
    <w:rsid w:val="00A25ED8"/>
    <w:rsid w:val="00A3416A"/>
    <w:rsid w:val="00A369A9"/>
    <w:rsid w:val="00A40358"/>
    <w:rsid w:val="00A41386"/>
    <w:rsid w:val="00A51AFD"/>
    <w:rsid w:val="00A60D7F"/>
    <w:rsid w:val="00A6394A"/>
    <w:rsid w:val="00A6495D"/>
    <w:rsid w:val="00A66D71"/>
    <w:rsid w:val="00A73147"/>
    <w:rsid w:val="00A80A7D"/>
    <w:rsid w:val="00A91C41"/>
    <w:rsid w:val="00AA6310"/>
    <w:rsid w:val="00AA7E78"/>
    <w:rsid w:val="00AB5C3D"/>
    <w:rsid w:val="00AC78BC"/>
    <w:rsid w:val="00AD0E11"/>
    <w:rsid w:val="00AD4034"/>
    <w:rsid w:val="00AD4CF8"/>
    <w:rsid w:val="00AF09D0"/>
    <w:rsid w:val="00B0493C"/>
    <w:rsid w:val="00B135BC"/>
    <w:rsid w:val="00B238B4"/>
    <w:rsid w:val="00B33819"/>
    <w:rsid w:val="00B349DF"/>
    <w:rsid w:val="00B407E0"/>
    <w:rsid w:val="00B4728D"/>
    <w:rsid w:val="00B51534"/>
    <w:rsid w:val="00B551C0"/>
    <w:rsid w:val="00B81473"/>
    <w:rsid w:val="00B93103"/>
    <w:rsid w:val="00B946C5"/>
    <w:rsid w:val="00BA0839"/>
    <w:rsid w:val="00BB5D7D"/>
    <w:rsid w:val="00BB6354"/>
    <w:rsid w:val="00BB718B"/>
    <w:rsid w:val="00BC59DA"/>
    <w:rsid w:val="00BC5FC0"/>
    <w:rsid w:val="00BC70ED"/>
    <w:rsid w:val="00BE2382"/>
    <w:rsid w:val="00BE359B"/>
    <w:rsid w:val="00C003BD"/>
    <w:rsid w:val="00C007C8"/>
    <w:rsid w:val="00C126C1"/>
    <w:rsid w:val="00C13C89"/>
    <w:rsid w:val="00C16786"/>
    <w:rsid w:val="00C26399"/>
    <w:rsid w:val="00C3228A"/>
    <w:rsid w:val="00C37D56"/>
    <w:rsid w:val="00C40A72"/>
    <w:rsid w:val="00C55299"/>
    <w:rsid w:val="00C57F6E"/>
    <w:rsid w:val="00C66397"/>
    <w:rsid w:val="00C715F4"/>
    <w:rsid w:val="00C77CDA"/>
    <w:rsid w:val="00CC051B"/>
    <w:rsid w:val="00CC554C"/>
    <w:rsid w:val="00CD3BF8"/>
    <w:rsid w:val="00CD4F6D"/>
    <w:rsid w:val="00CE5C26"/>
    <w:rsid w:val="00CE5FBF"/>
    <w:rsid w:val="00D16629"/>
    <w:rsid w:val="00D26D6D"/>
    <w:rsid w:val="00D366DD"/>
    <w:rsid w:val="00D36DE1"/>
    <w:rsid w:val="00D418E1"/>
    <w:rsid w:val="00D42A25"/>
    <w:rsid w:val="00D43942"/>
    <w:rsid w:val="00D538E0"/>
    <w:rsid w:val="00D551E6"/>
    <w:rsid w:val="00D82CC3"/>
    <w:rsid w:val="00D91658"/>
    <w:rsid w:val="00D9570F"/>
    <w:rsid w:val="00DA0363"/>
    <w:rsid w:val="00DA6282"/>
    <w:rsid w:val="00DB6A6B"/>
    <w:rsid w:val="00DD58CB"/>
    <w:rsid w:val="00DE2446"/>
    <w:rsid w:val="00DE408D"/>
    <w:rsid w:val="00DE56CA"/>
    <w:rsid w:val="00DF660C"/>
    <w:rsid w:val="00E610BD"/>
    <w:rsid w:val="00E76BD5"/>
    <w:rsid w:val="00E953BC"/>
    <w:rsid w:val="00E96CE6"/>
    <w:rsid w:val="00EB01A7"/>
    <w:rsid w:val="00EB3937"/>
    <w:rsid w:val="00EB6002"/>
    <w:rsid w:val="00EB7D4B"/>
    <w:rsid w:val="00EC6A94"/>
    <w:rsid w:val="00ED013C"/>
    <w:rsid w:val="00F0608E"/>
    <w:rsid w:val="00F12804"/>
    <w:rsid w:val="00F24ABB"/>
    <w:rsid w:val="00F343A4"/>
    <w:rsid w:val="00F37DC5"/>
    <w:rsid w:val="00F5496C"/>
    <w:rsid w:val="00F63771"/>
    <w:rsid w:val="00F765B7"/>
    <w:rsid w:val="00F863F1"/>
    <w:rsid w:val="00F9514B"/>
    <w:rsid w:val="00FA0A5E"/>
    <w:rsid w:val="00FB3AEA"/>
    <w:rsid w:val="00FE2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8DE8"/>
  <w15:chartTrackingRefBased/>
  <w15:docId w15:val="{7BF99D1A-ACCF-471A-93DA-3344C288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ítulo1"/>
    <w:basedOn w:val="Normal"/>
    <w:link w:val="PrrafodelistaCar"/>
    <w:uiPriority w:val="34"/>
    <w:qFormat/>
    <w:rsid w:val="0018278B"/>
    <w:pPr>
      <w:ind w:left="720"/>
      <w:contextualSpacing/>
    </w:pPr>
  </w:style>
  <w:style w:type="paragraph" w:styleId="Textodeglobo">
    <w:name w:val="Balloon Text"/>
    <w:basedOn w:val="Normal"/>
    <w:link w:val="TextodegloboCar"/>
    <w:uiPriority w:val="99"/>
    <w:semiHidden/>
    <w:unhideWhenUsed/>
    <w:rsid w:val="001076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76B8"/>
    <w:rPr>
      <w:rFonts w:ascii="Segoe UI" w:hAnsi="Segoe UI" w:cs="Segoe UI"/>
      <w:sz w:val="18"/>
      <w:szCs w:val="18"/>
    </w:rPr>
  </w:style>
  <w:style w:type="paragraph" w:styleId="Textonotapie">
    <w:name w:val="footnote text"/>
    <w:aliases w:val="ft,Texto nota pie 1,ft Car,Car1,Texto nota pie Car Car Car Car Car Car Car Car,Texto nota pie Car Car Car Car Car,Texto nota pie Car Car Car Car,Texto nota pie Car Car Car Car Car Car Car Car Car,notaalpie Car,ft1,Car,C,Texto nota pie3,fn"/>
    <w:basedOn w:val="Normal"/>
    <w:link w:val="TextonotapieCar"/>
    <w:uiPriority w:val="99"/>
    <w:unhideWhenUsed/>
    <w:qFormat/>
    <w:rsid w:val="001076B8"/>
    <w:pPr>
      <w:spacing w:after="0" w:line="240" w:lineRule="auto"/>
    </w:pPr>
    <w:rPr>
      <w:sz w:val="20"/>
      <w:szCs w:val="20"/>
      <w:lang w:val="es-CO"/>
    </w:rPr>
  </w:style>
  <w:style w:type="character" w:customStyle="1" w:styleId="TextonotapieCar">
    <w:name w:val="Texto nota pie Car"/>
    <w:aliases w:val="ft Car1,Texto nota pie 1 Car,ft Car Car,Car1 Car,Texto nota pie Car Car Car Car Car Car Car Car Car1,Texto nota pie Car Car Car Car Car Car,Texto nota pie Car Car Car Car Car1,Texto nota pie Car Car Car Car Car Car Car Car Car Car"/>
    <w:basedOn w:val="Fuentedeprrafopredeter"/>
    <w:link w:val="Textonotapie"/>
    <w:uiPriority w:val="99"/>
    <w:rsid w:val="001076B8"/>
    <w:rPr>
      <w:sz w:val="20"/>
      <w:szCs w:val="20"/>
      <w:lang w:val="es-CO"/>
    </w:rPr>
  </w:style>
  <w:style w:type="character" w:styleId="Refdenotaalpie">
    <w:name w:val="footnote reference"/>
    <w:aliases w:val="referencia nota al pie,Ref,de nota al pie,Nota de pie,Ref. de nota al pie2,Massilia Footnote Reference,Nota al pie info 1,Footnote,ftref,16 Point,Superscript 6 Point,Char Char Char Char Car Char,Superscript 6 Point + 11 pt,Ref1,FC"/>
    <w:basedOn w:val="Fuentedeprrafopredeter"/>
    <w:uiPriority w:val="99"/>
    <w:unhideWhenUsed/>
    <w:rsid w:val="001076B8"/>
    <w:rPr>
      <w:vertAlign w:val="superscript"/>
    </w:rPr>
  </w:style>
  <w:style w:type="paragraph" w:styleId="Descripcin">
    <w:name w:val="caption"/>
    <w:basedOn w:val="Normal"/>
    <w:next w:val="Normal"/>
    <w:uiPriority w:val="35"/>
    <w:unhideWhenUsed/>
    <w:qFormat/>
    <w:rsid w:val="001076B8"/>
    <w:pPr>
      <w:spacing w:after="200" w:line="240" w:lineRule="auto"/>
    </w:pPr>
    <w:rPr>
      <w:i/>
      <w:iCs/>
      <w:color w:val="44546A" w:themeColor="text2"/>
      <w:sz w:val="18"/>
      <w:szCs w:val="18"/>
      <w:lang w:val="es-CO"/>
    </w:rPr>
  </w:style>
  <w:style w:type="character" w:styleId="Hipervnculo">
    <w:name w:val="Hyperlink"/>
    <w:basedOn w:val="Fuentedeprrafopredeter"/>
    <w:uiPriority w:val="99"/>
    <w:unhideWhenUsed/>
    <w:rsid w:val="001076B8"/>
    <w:rPr>
      <w:color w:val="0563C1"/>
      <w:u w:val="single"/>
    </w:rPr>
  </w:style>
  <w:style w:type="table" w:styleId="Tablaconcuadrcula">
    <w:name w:val="Table Grid"/>
    <w:basedOn w:val="Tablanormal"/>
    <w:uiPriority w:val="39"/>
    <w:rsid w:val="005510C8"/>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10C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C26399"/>
    <w:rPr>
      <w:color w:val="605E5C"/>
      <w:shd w:val="clear" w:color="auto" w:fill="E1DFDD"/>
    </w:rPr>
  </w:style>
  <w:style w:type="character" w:styleId="Refdecomentario">
    <w:name w:val="annotation reference"/>
    <w:uiPriority w:val="99"/>
    <w:rsid w:val="00812DF5"/>
    <w:rPr>
      <w:sz w:val="16"/>
      <w:szCs w:val="16"/>
    </w:rPr>
  </w:style>
  <w:style w:type="paragraph" w:styleId="Textocomentario">
    <w:name w:val="annotation text"/>
    <w:basedOn w:val="Normal"/>
    <w:link w:val="TextocomentarioCar"/>
    <w:uiPriority w:val="99"/>
    <w:rsid w:val="00812DF5"/>
    <w:pPr>
      <w:spacing w:after="0" w:line="240" w:lineRule="auto"/>
    </w:pPr>
    <w:rPr>
      <w:rFonts w:ascii="Times New Roman" w:eastAsia="MS Mincho"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812DF5"/>
    <w:rPr>
      <w:rFonts w:ascii="Times New Roman" w:eastAsia="MS Mincho" w:hAnsi="Times New Roman" w:cs="Times New Roman"/>
      <w:sz w:val="20"/>
      <w:szCs w:val="20"/>
      <w:lang w:val="es-ES" w:eastAsia="es-ES"/>
    </w:rPr>
  </w:style>
  <w:style w:type="character" w:customStyle="1" w:styleId="PrrafodelistaCar">
    <w:name w:val="Párrafo de lista Car"/>
    <w:aliases w:val="Título1 Car"/>
    <w:link w:val="Prrafodelista"/>
    <w:uiPriority w:val="34"/>
    <w:locked/>
    <w:rsid w:val="00812DF5"/>
  </w:style>
  <w:style w:type="paragraph" w:customStyle="1" w:styleId="paragraph">
    <w:name w:val="paragraph"/>
    <w:basedOn w:val="Normal"/>
    <w:rsid w:val="00D9165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91658"/>
  </w:style>
  <w:style w:type="paragraph" w:customStyle="1" w:styleId="Default">
    <w:name w:val="Default"/>
    <w:rsid w:val="00D91658"/>
    <w:pPr>
      <w:autoSpaceDE w:val="0"/>
      <w:autoSpaceDN w:val="0"/>
      <w:adjustRightInd w:val="0"/>
      <w:spacing w:after="0" w:line="240" w:lineRule="auto"/>
    </w:pPr>
    <w:rPr>
      <w:rFonts w:ascii="Arial" w:eastAsia="Times New Roman" w:hAnsi="Arial" w:cs="Arial"/>
      <w:color w:val="000000"/>
      <w:sz w:val="24"/>
      <w:szCs w:val="24"/>
      <w:lang w:val="es-CO" w:eastAsia="es-CO"/>
    </w:rPr>
  </w:style>
  <w:style w:type="paragraph" w:styleId="Textoindependiente3">
    <w:name w:val="Body Text 3"/>
    <w:basedOn w:val="Normal"/>
    <w:link w:val="Textoindependiente3Car"/>
    <w:rsid w:val="00B4728D"/>
    <w:pPr>
      <w:spacing w:after="0" w:line="240" w:lineRule="auto"/>
      <w:jc w:val="both"/>
    </w:pPr>
    <w:rPr>
      <w:rFonts w:ascii="Arial" w:eastAsia="Times New Roman" w:hAnsi="Arial" w:cs="Times New Roman"/>
      <w:b/>
      <w:szCs w:val="20"/>
      <w:lang w:val="es-ES" w:eastAsia="es-ES"/>
    </w:rPr>
  </w:style>
  <w:style w:type="character" w:customStyle="1" w:styleId="Textoindependiente3Car">
    <w:name w:val="Texto independiente 3 Car"/>
    <w:basedOn w:val="Fuentedeprrafopredeter"/>
    <w:link w:val="Textoindependiente3"/>
    <w:rsid w:val="00B4728D"/>
    <w:rPr>
      <w:rFonts w:ascii="Arial" w:eastAsia="Times New Roman" w:hAnsi="Arial" w:cs="Times New Roman"/>
      <w:b/>
      <w:szCs w:val="20"/>
      <w:lang w:val="es-ES" w:eastAsia="es-ES"/>
    </w:rPr>
  </w:style>
  <w:style w:type="paragraph" w:styleId="Sinespaciado">
    <w:name w:val="No Spacing"/>
    <w:uiPriority w:val="1"/>
    <w:qFormat/>
    <w:rsid w:val="00B4728D"/>
    <w:pPr>
      <w:spacing w:after="0" w:line="240" w:lineRule="auto"/>
    </w:pPr>
    <w:rPr>
      <w:rFonts w:ascii="Times New Roman" w:eastAsia="MS Mincho" w:hAnsi="Times New Roman" w:cs="Times New Roman"/>
      <w:sz w:val="24"/>
      <w:szCs w:val="24"/>
      <w:lang w:val="es-ES" w:eastAsia="es-ES"/>
    </w:rPr>
  </w:style>
  <w:style w:type="character" w:styleId="Mencinsinresolver">
    <w:name w:val="Unresolved Mention"/>
    <w:basedOn w:val="Fuentedeprrafopredeter"/>
    <w:uiPriority w:val="99"/>
    <w:semiHidden/>
    <w:unhideWhenUsed/>
    <w:rsid w:val="00EB3937"/>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B3937"/>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EB3937"/>
    <w:rPr>
      <w:rFonts w:ascii="Times New Roman" w:eastAsia="MS Mincho"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333F11"/>
    <w:rPr>
      <w:color w:val="954F72" w:themeColor="followedHyperlink"/>
      <w:u w:val="single"/>
    </w:rPr>
  </w:style>
  <w:style w:type="character" w:styleId="Textoennegrita">
    <w:name w:val="Strong"/>
    <w:basedOn w:val="Fuentedeprrafopredeter"/>
    <w:uiPriority w:val="22"/>
    <w:qFormat/>
    <w:rsid w:val="00495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617">
      <w:bodyDiv w:val="1"/>
      <w:marLeft w:val="0"/>
      <w:marRight w:val="0"/>
      <w:marTop w:val="0"/>
      <w:marBottom w:val="0"/>
      <w:divBdr>
        <w:top w:val="none" w:sz="0" w:space="0" w:color="auto"/>
        <w:left w:val="none" w:sz="0" w:space="0" w:color="auto"/>
        <w:bottom w:val="none" w:sz="0" w:space="0" w:color="auto"/>
        <w:right w:val="none" w:sz="0" w:space="0" w:color="auto"/>
      </w:divBdr>
    </w:div>
    <w:div w:id="401566031">
      <w:bodyDiv w:val="1"/>
      <w:marLeft w:val="0"/>
      <w:marRight w:val="0"/>
      <w:marTop w:val="0"/>
      <w:marBottom w:val="0"/>
      <w:divBdr>
        <w:top w:val="none" w:sz="0" w:space="0" w:color="auto"/>
        <w:left w:val="none" w:sz="0" w:space="0" w:color="auto"/>
        <w:bottom w:val="none" w:sz="0" w:space="0" w:color="auto"/>
        <w:right w:val="none" w:sz="0" w:space="0" w:color="auto"/>
      </w:divBdr>
    </w:div>
    <w:div w:id="693464555">
      <w:bodyDiv w:val="1"/>
      <w:marLeft w:val="0"/>
      <w:marRight w:val="0"/>
      <w:marTop w:val="0"/>
      <w:marBottom w:val="0"/>
      <w:divBdr>
        <w:top w:val="none" w:sz="0" w:space="0" w:color="auto"/>
        <w:left w:val="none" w:sz="0" w:space="0" w:color="auto"/>
        <w:bottom w:val="none" w:sz="0" w:space="0" w:color="auto"/>
        <w:right w:val="none" w:sz="0" w:space="0" w:color="auto"/>
      </w:divBdr>
    </w:div>
    <w:div w:id="974992134">
      <w:bodyDiv w:val="1"/>
      <w:marLeft w:val="0"/>
      <w:marRight w:val="0"/>
      <w:marTop w:val="0"/>
      <w:marBottom w:val="0"/>
      <w:divBdr>
        <w:top w:val="none" w:sz="0" w:space="0" w:color="auto"/>
        <w:left w:val="none" w:sz="0" w:space="0" w:color="auto"/>
        <w:bottom w:val="none" w:sz="0" w:space="0" w:color="auto"/>
        <w:right w:val="none" w:sz="0" w:space="0" w:color="auto"/>
      </w:divBdr>
    </w:div>
    <w:div w:id="1135954872">
      <w:bodyDiv w:val="1"/>
      <w:marLeft w:val="0"/>
      <w:marRight w:val="0"/>
      <w:marTop w:val="0"/>
      <w:marBottom w:val="0"/>
      <w:divBdr>
        <w:top w:val="none" w:sz="0" w:space="0" w:color="auto"/>
        <w:left w:val="none" w:sz="0" w:space="0" w:color="auto"/>
        <w:bottom w:val="none" w:sz="0" w:space="0" w:color="auto"/>
        <w:right w:val="none" w:sz="0" w:space="0" w:color="auto"/>
      </w:divBdr>
    </w:div>
    <w:div w:id="1308776607">
      <w:bodyDiv w:val="1"/>
      <w:marLeft w:val="0"/>
      <w:marRight w:val="0"/>
      <w:marTop w:val="0"/>
      <w:marBottom w:val="0"/>
      <w:divBdr>
        <w:top w:val="none" w:sz="0" w:space="0" w:color="auto"/>
        <w:left w:val="none" w:sz="0" w:space="0" w:color="auto"/>
        <w:bottom w:val="none" w:sz="0" w:space="0" w:color="auto"/>
        <w:right w:val="none" w:sz="0" w:space="0" w:color="auto"/>
      </w:divBdr>
    </w:div>
    <w:div w:id="1738242285">
      <w:bodyDiv w:val="1"/>
      <w:marLeft w:val="0"/>
      <w:marRight w:val="0"/>
      <w:marTop w:val="0"/>
      <w:marBottom w:val="0"/>
      <w:divBdr>
        <w:top w:val="none" w:sz="0" w:space="0" w:color="auto"/>
        <w:left w:val="none" w:sz="0" w:space="0" w:color="auto"/>
        <w:bottom w:val="none" w:sz="0" w:space="0" w:color="auto"/>
        <w:right w:val="none" w:sz="0" w:space="0" w:color="auto"/>
      </w:divBdr>
    </w:div>
    <w:div w:id="20493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publicacion/10103899" TargetMode="External"/><Relationship Id="rId13" Type="http://schemas.openxmlformats.org/officeDocument/2006/relationships/image" Target="media/image3.emf"/><Relationship Id="rId18" Type="http://schemas.openxmlformats.org/officeDocument/2006/relationships/image" Target="cid:image001.png@01D63011.C41B9E90"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cid:image002.png@01D63011.C41B9E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erfinanciera.gov.co/jsp/1010406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uperfinanciera.gov.co/publicacion/10103761" TargetMode="External"/><Relationship Id="rId23" Type="http://schemas.openxmlformats.org/officeDocument/2006/relationships/fontTable" Target="fontTable.xml"/><Relationship Id="rId10" Type="http://schemas.openxmlformats.org/officeDocument/2006/relationships/hyperlink" Target="https://www.superfinanciera.gov.co/publicacion/10103899"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superfinanciera.gov.co/publicacion/10085199" TargetMode="External"/><Relationship Id="rId22" Type="http://schemas.openxmlformats.org/officeDocument/2006/relationships/image" Target="cid:image001.jpg@01D609AF.F20356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uperfinanciera.gov.co/publicacion/10103899" TargetMode="External"/><Relationship Id="rId1" Type="http://schemas.openxmlformats.org/officeDocument/2006/relationships/hyperlink" Target="https://www.fng.gov.co/ES/Paginas/Unidos_por_Colombia_FNG.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78E6-F5DB-4A61-8946-6518C13B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10632</Words>
  <Characters>58478</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Baez Bohorquez</dc:creator>
  <cp:keywords/>
  <dc:description/>
  <cp:lastModifiedBy>JANETH ROCIO CASTAÑEDA</cp:lastModifiedBy>
  <cp:revision>2</cp:revision>
  <dcterms:created xsi:type="dcterms:W3CDTF">2020-05-26T14:34:00Z</dcterms:created>
  <dcterms:modified xsi:type="dcterms:W3CDTF">2020-05-26T14:34:00Z</dcterms:modified>
</cp:coreProperties>
</file>