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36C94">
        <w:rPr>
          <w:rFonts w:ascii="Arial" w:eastAsia="Times New Roman" w:hAnsi="Arial" w:cs="Arial"/>
          <w:lang w:val="es-ES" w:eastAsia="es-ES"/>
        </w:rPr>
        <w:t>mayo 22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36C94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 w:rsidR="00C36C94">
        <w:rPr>
          <w:rFonts w:ascii="Arial" w:eastAsia="Times New Roman" w:hAnsi="Arial" w:cs="Arial"/>
          <w:lang w:eastAsia="es-ES"/>
        </w:rPr>
        <w:t xml:space="preserve">ES </w:t>
      </w:r>
      <w:r>
        <w:rPr>
          <w:rFonts w:ascii="Arial" w:eastAsia="Times New Roman" w:hAnsi="Arial" w:cs="Arial"/>
          <w:lang w:eastAsia="es-ES"/>
        </w:rPr>
        <w:t xml:space="preserve"> VIRTUAL</w:t>
      </w:r>
      <w:r w:rsidR="00C36C94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</w:t>
      </w:r>
      <w:r w:rsidRPr="003505F8">
        <w:rPr>
          <w:rFonts w:ascii="Arial" w:eastAsia="Times New Roman" w:hAnsi="Arial" w:cs="Arial"/>
          <w:lang w:eastAsia="es-ES"/>
        </w:rPr>
        <w:t xml:space="preserve"> No</w:t>
      </w:r>
      <w:r w:rsidR="00C36C94">
        <w:rPr>
          <w:rFonts w:ascii="Arial" w:eastAsia="Times New Roman" w:hAnsi="Arial" w:cs="Arial"/>
          <w:lang w:eastAsia="es-ES"/>
        </w:rPr>
        <w:t>s</w:t>
      </w:r>
      <w:r w:rsidRPr="003505F8">
        <w:rPr>
          <w:rFonts w:ascii="Arial" w:eastAsia="Times New Roman" w:hAnsi="Arial" w:cs="Arial"/>
          <w:lang w:eastAsia="es-ES"/>
        </w:rPr>
        <w:t xml:space="preserve">. </w:t>
      </w:r>
      <w:r w:rsidR="00C36C94">
        <w:rPr>
          <w:rFonts w:ascii="Arial" w:eastAsia="Times New Roman" w:hAnsi="Arial" w:cs="Arial"/>
          <w:lang w:eastAsia="es-ES"/>
        </w:rPr>
        <w:t xml:space="preserve">16 y 17 </w:t>
      </w:r>
      <w:r w:rsidR="008D5626">
        <w:rPr>
          <w:rFonts w:ascii="Arial" w:eastAsia="Times New Roman" w:hAnsi="Arial" w:cs="Arial"/>
          <w:lang w:eastAsia="es-ES"/>
        </w:rPr>
        <w:t>de abril de 2020</w:t>
      </w:r>
      <w:r w:rsidR="00C36C94">
        <w:rPr>
          <w:rFonts w:ascii="Arial" w:eastAsia="Times New Roman" w:hAnsi="Arial" w:cs="Arial"/>
          <w:lang w:eastAsia="es-ES"/>
        </w:rPr>
        <w:t>,</w:t>
      </w:r>
      <w:r w:rsidR="008D5626">
        <w:rPr>
          <w:rFonts w:ascii="Arial" w:eastAsia="Times New Roman" w:hAnsi="Arial" w:cs="Arial"/>
          <w:lang w:eastAsia="es-ES"/>
        </w:rPr>
        <w:t xml:space="preserve"> </w:t>
      </w:r>
      <w:r w:rsidR="00C36C94">
        <w:rPr>
          <w:rFonts w:ascii="Arial" w:eastAsia="Times New Roman" w:hAnsi="Arial" w:cs="Arial"/>
          <w:lang w:eastAsia="es-ES"/>
        </w:rPr>
        <w:t>con aditivas</w:t>
      </w:r>
    </w:p>
    <w:p w:rsidR="00C36C94" w:rsidRPr="003505F8" w:rsidRDefault="00C36C94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A46DFD">
        <w:rPr>
          <w:rFonts w:ascii="Arial" w:eastAsia="Times New Roman" w:hAnsi="Arial" w:cs="Arial"/>
          <w:lang w:eastAsia="es-ES"/>
        </w:rPr>
        <w:t xml:space="preserve">el Ministro de Hacienda y Crédito Público – Alberto Carrasquilla Barrera, </w:t>
      </w:r>
      <w:r>
        <w:rPr>
          <w:rFonts w:ascii="Arial" w:eastAsia="Times New Roman" w:hAnsi="Arial" w:cs="Arial"/>
          <w:lang w:eastAsia="es-ES"/>
        </w:rPr>
        <w:t xml:space="preserve">el </w:t>
      </w:r>
      <w:r w:rsidR="00C36C94">
        <w:rPr>
          <w:rFonts w:ascii="Arial" w:eastAsia="Times New Roman" w:hAnsi="Arial" w:cs="Arial"/>
          <w:lang w:eastAsia="es-ES"/>
        </w:rPr>
        <w:t xml:space="preserve">Presidente de COLPENSIONES – Juan Miguel Villa Lora; </w:t>
      </w:r>
      <w:r w:rsidR="00A46DFD">
        <w:rPr>
          <w:rFonts w:ascii="Arial" w:eastAsia="Times New Roman" w:hAnsi="Arial" w:cs="Arial"/>
          <w:lang w:eastAsia="es-ES"/>
        </w:rPr>
        <w:t xml:space="preserve">el </w:t>
      </w:r>
      <w:r w:rsidR="00C36C94">
        <w:rPr>
          <w:rFonts w:ascii="Arial" w:eastAsia="Times New Roman" w:hAnsi="Arial" w:cs="Arial"/>
          <w:lang w:eastAsia="es-ES"/>
        </w:rPr>
        <w:t>Presidente de ASOFONDOS – Santiago Montenegro</w:t>
      </w:r>
      <w:r w:rsidR="00885514">
        <w:rPr>
          <w:rFonts w:ascii="Arial" w:eastAsia="Times New Roman" w:hAnsi="Arial" w:cs="Arial"/>
          <w:lang w:eastAsia="es-ES"/>
        </w:rPr>
        <w:t xml:space="preserve">,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D16E5C">
        <w:rPr>
          <w:rFonts w:ascii="Arial" w:eastAsia="Times New Roman" w:hAnsi="Arial" w:cs="Arial"/>
          <w:lang w:eastAsia="es-ES"/>
        </w:rPr>
        <w:t xml:space="preserve">Juan Carlos Reinales Agudelo, </w:t>
      </w:r>
      <w:r w:rsidR="008D7B42">
        <w:rPr>
          <w:rFonts w:ascii="Arial" w:eastAsia="Times New Roman" w:hAnsi="Arial" w:cs="Arial"/>
          <w:lang w:eastAsia="es-ES"/>
        </w:rPr>
        <w:t xml:space="preserve">Jhon Arley Murillo Benítez, </w:t>
      </w:r>
      <w:r w:rsidR="00CC3741">
        <w:rPr>
          <w:rFonts w:ascii="Arial" w:eastAsia="Times New Roman" w:hAnsi="Arial" w:cs="Arial"/>
          <w:lang w:eastAsia="es-ES"/>
        </w:rPr>
        <w:t xml:space="preserve">Juan Diego Echavarría Sánchez, </w:t>
      </w:r>
      <w:r w:rsidR="008D7B42">
        <w:rPr>
          <w:rFonts w:ascii="Arial" w:eastAsia="Times New Roman" w:hAnsi="Arial" w:cs="Arial"/>
          <w:lang w:eastAsia="es-ES"/>
        </w:rPr>
        <w:t>María Cristina Soto de Gómez</w:t>
      </w:r>
      <w:r w:rsidR="00CC3741">
        <w:rPr>
          <w:rFonts w:ascii="Arial" w:eastAsia="Times New Roman" w:hAnsi="Arial" w:cs="Arial"/>
          <w:lang w:eastAsia="es-ES"/>
        </w:rPr>
        <w:t>,</w:t>
      </w:r>
      <w:r w:rsidR="008D7B42">
        <w:rPr>
          <w:rFonts w:ascii="Arial" w:eastAsia="Times New Roman" w:hAnsi="Arial" w:cs="Arial"/>
          <w:lang w:eastAsia="es-ES"/>
        </w:rPr>
        <w:t xml:space="preserve"> </w:t>
      </w:r>
      <w:r w:rsidR="00CC3741">
        <w:rPr>
          <w:rFonts w:ascii="Arial" w:eastAsia="Times New Roman" w:hAnsi="Arial" w:cs="Arial"/>
          <w:lang w:eastAsia="es-ES"/>
        </w:rPr>
        <w:t>José Luis Correa López, Henry Fernando Correal Herrera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7D82" w:rsidRDefault="004C7D82" w:rsidP="00056216">
      <w:pPr>
        <w:spacing w:after="0" w:line="240" w:lineRule="auto"/>
      </w:pPr>
      <w:r>
        <w:separator/>
      </w:r>
    </w:p>
  </w:endnote>
  <w:endnote w:type="continuationSeparator" w:id="0">
    <w:p w:rsidR="004C7D82" w:rsidRDefault="004C7D8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C7D8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C7D8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4C7D8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4C7D8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7D82" w:rsidRDefault="004C7D82" w:rsidP="00056216">
      <w:pPr>
        <w:spacing w:after="0" w:line="240" w:lineRule="auto"/>
      </w:pPr>
      <w:r>
        <w:separator/>
      </w:r>
    </w:p>
  </w:footnote>
  <w:footnote w:type="continuationSeparator" w:id="0">
    <w:p w:rsidR="004C7D82" w:rsidRDefault="004C7D8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3F07B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46DFD" w:rsidRPr="00A46DF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C7D82">
            <w:fldChar w:fldCharType="begin"/>
          </w:r>
          <w:r w:rsidR="004C7D82">
            <w:instrText>NUMPAGES  \* Arabic  \* MERGEFORMAT</w:instrText>
          </w:r>
          <w:r w:rsidR="004C7D82">
            <w:fldChar w:fldCharType="separate"/>
          </w:r>
          <w:r w:rsidR="00A46DFD" w:rsidRPr="00A46DFD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4C7D8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07BB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C7D82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1ABA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B42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46DFD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36C94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3741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16E5C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2B6C"/>
    <w:rsid w:val="00FB624A"/>
    <w:rsid w:val="00FB7556"/>
    <w:rsid w:val="00FB7839"/>
    <w:rsid w:val="00FC008F"/>
    <w:rsid w:val="00FD135D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49739-4FE8-43CD-A18A-122C2730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33CE-DEE5-4575-B85C-C90BF75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2020-05-21T21:07:00Z</dcterms:created>
  <dcterms:modified xsi:type="dcterms:W3CDTF">2020-05-21T21:07:00Z</dcterms:modified>
</cp:coreProperties>
</file>