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826C5C" w:rsidRDefault="00617A3D" w:rsidP="00617A3D">
      <w:pPr>
        <w:numPr>
          <w:ilvl w:val="0"/>
          <w:numId w:val="1"/>
        </w:numPr>
        <w:pBdr>
          <w:top w:val="nil"/>
          <w:left w:val="nil"/>
          <w:bottom w:val="nil"/>
          <w:right w:val="nil"/>
          <w:between w:val="nil"/>
        </w:pBdr>
        <w:spacing w:after="0"/>
        <w:ind w:left="0" w:hanging="2"/>
        <w:jc w:val="both"/>
        <w:rPr>
          <w:color w:val="000000"/>
        </w:rPr>
      </w:pPr>
      <w:r>
        <w:rPr>
          <w:color w:val="000000"/>
        </w:rPr>
        <w:t>¿Qué herramientas de inspección, vigilancia y Control está ejecutando la Superintendencia Nacional de Salud para que las IPS Públicas y Privadas garanticen de manera efectiva la entrega de los EPP a los trabajadores de la salud, dado el alto grado de inconformismo que tiene el gremio médico y el número de casos de personal médico con contagio de COVID-19?</w:t>
      </w:r>
    </w:p>
    <w:p w14:paraId="00000002" w14:textId="77777777" w:rsidR="00826C5C" w:rsidRDefault="00826C5C" w:rsidP="00617A3D">
      <w:pPr>
        <w:pBdr>
          <w:top w:val="nil"/>
          <w:left w:val="nil"/>
          <w:bottom w:val="nil"/>
          <w:right w:val="nil"/>
          <w:between w:val="nil"/>
        </w:pBdr>
        <w:spacing w:after="0"/>
        <w:ind w:left="0" w:hanging="2"/>
        <w:jc w:val="both"/>
        <w:rPr>
          <w:color w:val="000000"/>
        </w:rPr>
      </w:pPr>
    </w:p>
    <w:p w14:paraId="00000003" w14:textId="77777777" w:rsidR="00826C5C" w:rsidRDefault="00617A3D" w:rsidP="00617A3D">
      <w:pPr>
        <w:numPr>
          <w:ilvl w:val="0"/>
          <w:numId w:val="1"/>
        </w:numPr>
        <w:pBdr>
          <w:top w:val="nil"/>
          <w:left w:val="nil"/>
          <w:bottom w:val="nil"/>
          <w:right w:val="nil"/>
          <w:between w:val="nil"/>
        </w:pBdr>
        <w:spacing w:after="0"/>
        <w:ind w:left="0" w:hanging="2"/>
        <w:jc w:val="both"/>
        <w:rPr>
          <w:color w:val="000000"/>
        </w:rPr>
      </w:pPr>
      <w:r>
        <w:rPr>
          <w:color w:val="000000"/>
        </w:rPr>
        <w:t>A través del Decreto 500 de marzo de 2020, el Gobierno Nacional determinó que mientras continúe la Emergencia Económica, Social y Ecológica por el COVID – 19 en el país, las Administradoras de Riesgos Laborales (ARP) de carácter público destinarán un porcentaje de los recursos de las cotizaciones para apoyar dicha eventualidad. Informe a esta corporación ¿Cuáles han sido los resultados obtenidos con esta medida, que hospitales a la fecha recibieron la dotación por parte de la ARL, han sido suficientes? y que gestión sancionatoria se ha implementado para aquellas que han incumplido la indicación normativa?</w:t>
      </w:r>
    </w:p>
    <w:p w14:paraId="00000004" w14:textId="77777777" w:rsidR="00826C5C" w:rsidRDefault="00826C5C" w:rsidP="00617A3D">
      <w:pPr>
        <w:pBdr>
          <w:top w:val="nil"/>
          <w:left w:val="nil"/>
          <w:bottom w:val="nil"/>
          <w:right w:val="nil"/>
          <w:between w:val="nil"/>
        </w:pBdr>
        <w:spacing w:after="0"/>
        <w:ind w:left="0" w:hanging="2"/>
        <w:jc w:val="both"/>
        <w:rPr>
          <w:color w:val="000000"/>
        </w:rPr>
      </w:pPr>
    </w:p>
    <w:p w14:paraId="00000005" w14:textId="65E4F0B7" w:rsidR="00826C5C" w:rsidRDefault="00617A3D" w:rsidP="00826C5C">
      <w:pPr>
        <w:numPr>
          <w:ilvl w:val="0"/>
          <w:numId w:val="1"/>
        </w:numPr>
        <w:pBdr>
          <w:top w:val="nil"/>
          <w:left w:val="nil"/>
          <w:bottom w:val="nil"/>
          <w:right w:val="nil"/>
          <w:between w:val="nil"/>
        </w:pBdr>
        <w:ind w:left="0" w:hanging="2"/>
        <w:jc w:val="both"/>
        <w:rPr>
          <w:color w:val="000000"/>
        </w:rPr>
      </w:pPr>
      <w:r>
        <w:rPr>
          <w:color w:val="000000"/>
        </w:rPr>
        <w:t xml:space="preserve">Una de las medidas que hace parte de la estrategia diseñada por el Ministerio de Salud y contemplada en los denominados “Mecanismos de financiación de la emergencia sanitaria propuestos por el Gobierno Nacional” que incluyen, en primer lugar, acelerar la puesta en marcha del Acuerdo de Punto Final y saneamiento de deudas del Estado con los actores del sistema de salud. En segundo término, tienen como propósito garantizar el flujo de recursos corrientes de la UPC y Presupuestos Máximos. Y el tercer objetivo de esta estrategia es financiar la expansión de la infraestructura hospitalaria de alta complejidad, insumos y servicios médicos para atender pacientes covid19. Frente a estas estrategias como ha sido la evolución del giro a los Hospitales y Clínicas de recursos diferentes al girado mediante el giro directo y que hacen parte de la operación corriente y de </w:t>
      </w:r>
      <w:proofErr w:type="spellStart"/>
      <w:r>
        <w:rPr>
          <w:color w:val="000000"/>
        </w:rPr>
        <w:t>que</w:t>
      </w:r>
      <w:proofErr w:type="spellEnd"/>
      <w:r>
        <w:rPr>
          <w:color w:val="000000"/>
        </w:rPr>
        <w:t xml:space="preserve"> manera el Ministerio de Salud y la Superintendencia Nacional de Salud </w:t>
      </w:r>
      <w:proofErr w:type="spellStart"/>
      <w:r>
        <w:rPr>
          <w:color w:val="000000"/>
        </w:rPr>
        <w:t>esta</w:t>
      </w:r>
      <w:proofErr w:type="spellEnd"/>
      <w:r>
        <w:rPr>
          <w:color w:val="000000"/>
        </w:rPr>
        <w:t xml:space="preserve"> supervisando que las EAPB agilicen el pago de cartera vencida a los Hospitales Públicos del País.</w:t>
      </w:r>
    </w:p>
    <w:p w14:paraId="0DE021FC" w14:textId="77777777" w:rsidR="00193C46" w:rsidRDefault="00193C46" w:rsidP="00193C46">
      <w:pPr>
        <w:pStyle w:val="Prrafodelista"/>
        <w:ind w:left="0" w:hanging="2"/>
        <w:rPr>
          <w:color w:val="000000"/>
        </w:rPr>
      </w:pPr>
    </w:p>
    <w:p w14:paraId="1AF39677" w14:textId="7C78E185" w:rsidR="00193C46" w:rsidRDefault="00193C46" w:rsidP="00193C46">
      <w:pPr>
        <w:pBdr>
          <w:top w:val="nil"/>
          <w:left w:val="nil"/>
          <w:bottom w:val="nil"/>
          <w:right w:val="nil"/>
          <w:between w:val="nil"/>
        </w:pBdr>
        <w:ind w:leftChars="0" w:left="0" w:firstLineChars="0" w:firstLine="0"/>
        <w:jc w:val="both"/>
        <w:rPr>
          <w:color w:val="000000"/>
        </w:rPr>
      </w:pPr>
      <w:r>
        <w:rPr>
          <w:color w:val="000000"/>
        </w:rPr>
        <w:t>HECTOR VERGARA SIERRA</w:t>
      </w:r>
      <w:bookmarkStart w:id="0" w:name="_GoBack"/>
      <w:bookmarkEnd w:id="0"/>
    </w:p>
    <w:sectPr w:rsidR="00193C46">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3B07"/>
    <w:multiLevelType w:val="multilevel"/>
    <w:tmpl w:val="93547A2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C5C"/>
    <w:rsid w:val="00193C46"/>
    <w:rsid w:val="00617A3D"/>
    <w:rsid w:val="00826C5C"/>
    <w:rsid w:val="00D175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F06C"/>
  <w15:docId w15:val="{E82796EB-CBB8-466E-BFB3-7763071A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1729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salome sierra</dc:creator>
  <cp:lastModifiedBy>hasbleidy suarez</cp:lastModifiedBy>
  <cp:revision>2</cp:revision>
  <dcterms:created xsi:type="dcterms:W3CDTF">2020-04-22T22:25:00Z</dcterms:created>
  <dcterms:modified xsi:type="dcterms:W3CDTF">2020-04-22T22:25:00Z</dcterms:modified>
</cp:coreProperties>
</file>