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23" w:rsidRPr="0043253A" w:rsidRDefault="00455E23" w:rsidP="00614352">
      <w:pPr>
        <w:spacing w:line="276" w:lineRule="auto"/>
        <w:rPr>
          <w:rFonts w:ascii="Arial" w:hAnsi="Arial" w:cs="Arial"/>
          <w:b/>
          <w:sz w:val="22"/>
          <w:szCs w:val="22"/>
          <w:lang w:val="es-ES"/>
        </w:rPr>
      </w:pPr>
    </w:p>
    <w:p w:rsidR="00BD0E8B" w:rsidRPr="0043253A" w:rsidRDefault="00BD0E8B" w:rsidP="00BD0E8B">
      <w:pPr>
        <w:jc w:val="center"/>
        <w:rPr>
          <w:rFonts w:ascii="Arial" w:hAnsi="Arial" w:cs="Arial"/>
          <w:b/>
          <w:sz w:val="22"/>
          <w:szCs w:val="22"/>
          <w:lang w:val="es-ES"/>
        </w:rPr>
      </w:pPr>
      <w:r w:rsidRPr="0043253A">
        <w:rPr>
          <w:rFonts w:ascii="Arial" w:hAnsi="Arial" w:cs="Arial"/>
          <w:b/>
          <w:sz w:val="22"/>
          <w:szCs w:val="22"/>
          <w:lang w:val="es-ES"/>
        </w:rPr>
        <w:t>PROYECTO DE LEY No.</w:t>
      </w:r>
      <w:r w:rsidR="001E6C5C" w:rsidRPr="0043253A">
        <w:rPr>
          <w:rFonts w:ascii="Arial" w:hAnsi="Arial" w:cs="Arial"/>
          <w:b/>
          <w:sz w:val="22"/>
          <w:szCs w:val="22"/>
          <w:lang w:val="es-ES"/>
        </w:rPr>
        <w:t>___</w:t>
      </w:r>
    </w:p>
    <w:p w:rsidR="0054442E" w:rsidRPr="0043253A" w:rsidRDefault="0054442E" w:rsidP="00BD0E8B">
      <w:pPr>
        <w:jc w:val="center"/>
        <w:rPr>
          <w:rFonts w:ascii="Arial" w:hAnsi="Arial" w:cs="Arial"/>
          <w:sz w:val="22"/>
          <w:szCs w:val="22"/>
          <w:lang w:val="es-ES"/>
        </w:rPr>
      </w:pPr>
    </w:p>
    <w:p w:rsidR="00BD0E8B" w:rsidRPr="0043253A" w:rsidRDefault="00120421" w:rsidP="00BD0E8B">
      <w:pPr>
        <w:jc w:val="center"/>
        <w:rPr>
          <w:rFonts w:ascii="Arial" w:hAnsi="Arial" w:cs="Arial"/>
          <w:b/>
          <w:sz w:val="22"/>
          <w:szCs w:val="22"/>
          <w:lang w:val="es-ES"/>
        </w:rPr>
      </w:pPr>
      <w:r w:rsidRPr="0043253A">
        <w:rPr>
          <w:rFonts w:ascii="Arial" w:hAnsi="Arial" w:cs="Arial"/>
          <w:b/>
          <w:sz w:val="22"/>
          <w:szCs w:val="22"/>
          <w:lang w:val="es-ES"/>
        </w:rPr>
        <w:t xml:space="preserve">“POR MEDIO DEL CUAL SE MODIFICA EL RÉGIMEN DE </w:t>
      </w:r>
      <w:r w:rsidR="00B55F3D" w:rsidRPr="0043253A">
        <w:rPr>
          <w:rFonts w:ascii="Arial" w:hAnsi="Arial" w:cs="Arial"/>
          <w:b/>
          <w:sz w:val="22"/>
          <w:szCs w:val="22"/>
          <w:lang w:val="es-ES"/>
        </w:rPr>
        <w:t xml:space="preserve">LOS </w:t>
      </w:r>
      <w:r w:rsidRPr="0043253A">
        <w:rPr>
          <w:rFonts w:ascii="Arial" w:hAnsi="Arial" w:cs="Arial"/>
          <w:b/>
          <w:sz w:val="22"/>
          <w:szCs w:val="22"/>
          <w:lang w:val="es-ES"/>
        </w:rPr>
        <w:t>INGRESOS DEPARTAMENTALES Y SE DICTAN OTRAS DISPOSICIONES”</w:t>
      </w:r>
    </w:p>
    <w:p w:rsidR="0054442E" w:rsidRPr="0043253A" w:rsidRDefault="0054442E" w:rsidP="00BD0E8B">
      <w:pPr>
        <w:jc w:val="center"/>
        <w:rPr>
          <w:rFonts w:ascii="Arial" w:hAnsi="Arial" w:cs="Arial"/>
          <w:sz w:val="22"/>
          <w:szCs w:val="22"/>
          <w:lang w:val="es-ES"/>
        </w:rPr>
      </w:pPr>
    </w:p>
    <w:p w:rsidR="00455E23" w:rsidRPr="0043253A" w:rsidRDefault="00BD0E8B" w:rsidP="00BD0E8B">
      <w:pPr>
        <w:jc w:val="center"/>
        <w:rPr>
          <w:rFonts w:ascii="Arial" w:hAnsi="Arial" w:cs="Arial"/>
          <w:sz w:val="22"/>
          <w:szCs w:val="22"/>
          <w:lang w:val="es-ES"/>
        </w:rPr>
      </w:pPr>
      <w:r w:rsidRPr="0043253A">
        <w:rPr>
          <w:rFonts w:ascii="Arial" w:hAnsi="Arial" w:cs="Arial"/>
          <w:sz w:val="22"/>
          <w:szCs w:val="22"/>
          <w:lang w:val="es-ES"/>
        </w:rPr>
        <w:t>El Congreso de la República</w:t>
      </w:r>
      <w:r w:rsidR="0054442E" w:rsidRPr="0043253A">
        <w:rPr>
          <w:rFonts w:ascii="Arial" w:hAnsi="Arial" w:cs="Arial"/>
          <w:sz w:val="22"/>
          <w:szCs w:val="22"/>
          <w:lang w:val="es-ES"/>
        </w:rPr>
        <w:t xml:space="preserve"> de Colombia</w:t>
      </w:r>
    </w:p>
    <w:p w:rsidR="00BD0E8B" w:rsidRPr="0043253A" w:rsidRDefault="00BD0E8B" w:rsidP="00BD0E8B">
      <w:pPr>
        <w:jc w:val="center"/>
        <w:rPr>
          <w:rFonts w:ascii="Arial" w:hAnsi="Arial" w:cs="Arial"/>
          <w:sz w:val="22"/>
          <w:szCs w:val="22"/>
          <w:lang w:val="es-ES"/>
        </w:rPr>
      </w:pPr>
    </w:p>
    <w:p w:rsidR="00BD0E8B" w:rsidRPr="0043253A" w:rsidRDefault="00BD0E8B" w:rsidP="00BD0E8B">
      <w:pPr>
        <w:jc w:val="center"/>
        <w:rPr>
          <w:rFonts w:ascii="Arial" w:hAnsi="Arial" w:cs="Arial"/>
          <w:b/>
          <w:sz w:val="22"/>
          <w:szCs w:val="22"/>
          <w:lang w:val="es-ES"/>
        </w:rPr>
      </w:pPr>
      <w:r w:rsidRPr="0043253A">
        <w:rPr>
          <w:rFonts w:ascii="Arial" w:hAnsi="Arial" w:cs="Arial"/>
          <w:b/>
          <w:sz w:val="22"/>
          <w:szCs w:val="22"/>
          <w:lang w:val="es-ES"/>
        </w:rPr>
        <w:t>DECRETA:</w:t>
      </w:r>
    </w:p>
    <w:p w:rsidR="00F53AC9" w:rsidRPr="0043253A" w:rsidRDefault="00F53AC9" w:rsidP="00BD0E8B">
      <w:pPr>
        <w:jc w:val="center"/>
        <w:rPr>
          <w:rFonts w:ascii="Arial" w:hAnsi="Arial" w:cs="Arial"/>
          <w:b/>
          <w:sz w:val="22"/>
          <w:szCs w:val="22"/>
          <w:lang w:val="es-ES"/>
        </w:rPr>
      </w:pPr>
    </w:p>
    <w:p w:rsidR="00F53AC9" w:rsidRPr="0043253A" w:rsidRDefault="00F53AC9" w:rsidP="00BD0E8B">
      <w:pPr>
        <w:jc w:val="center"/>
        <w:rPr>
          <w:rFonts w:ascii="Arial" w:hAnsi="Arial" w:cs="Arial"/>
          <w:b/>
          <w:sz w:val="22"/>
          <w:szCs w:val="22"/>
          <w:lang w:val="es-ES"/>
        </w:rPr>
      </w:pPr>
    </w:p>
    <w:p w:rsidR="00F53AC9" w:rsidRPr="0043253A" w:rsidRDefault="00F53AC9" w:rsidP="00F53AC9">
      <w:pPr>
        <w:jc w:val="center"/>
        <w:rPr>
          <w:rFonts w:ascii="Arial" w:hAnsi="Arial" w:cs="Arial"/>
          <w:b/>
          <w:sz w:val="22"/>
          <w:szCs w:val="22"/>
          <w:lang w:val="es-ES"/>
        </w:rPr>
      </w:pPr>
      <w:r w:rsidRPr="0043253A">
        <w:rPr>
          <w:rFonts w:ascii="Arial" w:hAnsi="Arial" w:cs="Arial"/>
          <w:b/>
          <w:sz w:val="22"/>
          <w:szCs w:val="22"/>
          <w:lang w:val="es-ES"/>
        </w:rPr>
        <w:t>CAPITULO I</w:t>
      </w:r>
    </w:p>
    <w:p w:rsidR="00F53AC9" w:rsidRPr="0043253A" w:rsidRDefault="00F53AC9" w:rsidP="00F53AC9">
      <w:pPr>
        <w:jc w:val="center"/>
        <w:rPr>
          <w:rFonts w:ascii="Arial" w:hAnsi="Arial" w:cs="Arial"/>
          <w:b/>
          <w:sz w:val="22"/>
          <w:szCs w:val="22"/>
        </w:rPr>
      </w:pPr>
    </w:p>
    <w:p w:rsidR="00F53AC9" w:rsidRPr="0043253A" w:rsidRDefault="00F53AC9" w:rsidP="00F53AC9">
      <w:pPr>
        <w:jc w:val="center"/>
        <w:rPr>
          <w:rFonts w:ascii="Arial" w:hAnsi="Arial" w:cs="Arial"/>
          <w:b/>
          <w:bCs/>
          <w:sz w:val="22"/>
          <w:szCs w:val="22"/>
        </w:rPr>
      </w:pPr>
      <w:r w:rsidRPr="0043253A">
        <w:rPr>
          <w:rFonts w:ascii="Arial" w:hAnsi="Arial" w:cs="Arial"/>
          <w:b/>
          <w:sz w:val="22"/>
          <w:szCs w:val="22"/>
        </w:rPr>
        <w:t>Parte General</w:t>
      </w:r>
    </w:p>
    <w:p w:rsidR="009303E0" w:rsidRPr="0043253A" w:rsidRDefault="00120421" w:rsidP="009303E0">
      <w:pPr>
        <w:pStyle w:val="NormalWeb"/>
        <w:jc w:val="both"/>
        <w:rPr>
          <w:rFonts w:ascii="Arial" w:eastAsia="Arial Unicode MS" w:hAnsi="Arial" w:cs="Arial"/>
          <w:sz w:val="22"/>
          <w:szCs w:val="22"/>
        </w:rPr>
      </w:pPr>
      <w:r w:rsidRPr="0043253A">
        <w:rPr>
          <w:rFonts w:ascii="Arial" w:eastAsia="Arial Unicode MS" w:hAnsi="Arial" w:cs="Arial"/>
          <w:b/>
          <w:sz w:val="22"/>
          <w:szCs w:val="22"/>
        </w:rPr>
        <w:t>ARTÍCULO</w:t>
      </w:r>
      <w:r w:rsidRPr="0043253A">
        <w:rPr>
          <w:rFonts w:ascii="Arial" w:eastAsia="Arial Unicode MS" w:hAnsi="Arial" w:cs="Arial"/>
          <w:b/>
          <w:i/>
          <w:sz w:val="22"/>
          <w:szCs w:val="22"/>
        </w:rPr>
        <w:t xml:space="preserve"> </w:t>
      </w:r>
      <w:r w:rsidRPr="0043253A">
        <w:rPr>
          <w:rFonts w:ascii="Arial" w:eastAsia="Arial Unicode MS" w:hAnsi="Arial" w:cs="Arial"/>
          <w:b/>
          <w:sz w:val="22"/>
          <w:szCs w:val="22"/>
        </w:rPr>
        <w:t xml:space="preserve">1º. </w:t>
      </w:r>
      <w:r w:rsidR="009303E0" w:rsidRPr="0043253A">
        <w:rPr>
          <w:rFonts w:ascii="Arial" w:eastAsia="Arial Unicode MS" w:hAnsi="Arial" w:cs="Arial"/>
          <w:b/>
          <w:sz w:val="22"/>
          <w:szCs w:val="22"/>
        </w:rPr>
        <w:t>Objeto</w:t>
      </w:r>
      <w:r w:rsidR="009303E0" w:rsidRPr="0043253A">
        <w:rPr>
          <w:rFonts w:ascii="Arial" w:eastAsia="Arial Unicode MS" w:hAnsi="Arial" w:cs="Arial"/>
          <w:sz w:val="22"/>
          <w:szCs w:val="22"/>
        </w:rPr>
        <w:t xml:space="preserve">. La presente ley tiene por objeto </w:t>
      </w:r>
      <w:r w:rsidR="009303E0" w:rsidRPr="0043253A">
        <w:rPr>
          <w:rFonts w:ascii="Arial" w:hAnsi="Arial" w:cs="Arial"/>
          <w:sz w:val="22"/>
          <w:szCs w:val="22"/>
          <w:lang w:eastAsia="es-CO"/>
        </w:rPr>
        <w:t>fortalecer las finanzas territoriales mediante el desarrollo empresarial del sector de licores, vinos, aperitivos y similares y la creación d</w:t>
      </w:r>
      <w:r w:rsidR="009303E0" w:rsidRPr="0043253A">
        <w:rPr>
          <w:rFonts w:ascii="Arial" w:eastAsia="Arial Unicode MS" w:hAnsi="Arial" w:cs="Arial"/>
          <w:sz w:val="22"/>
          <w:szCs w:val="22"/>
        </w:rPr>
        <w:t xml:space="preserve">el monopolio sobre la producción de semillas </w:t>
      </w:r>
      <w:r w:rsidR="00B378C2" w:rsidRPr="0043253A">
        <w:rPr>
          <w:rFonts w:ascii="Arial" w:eastAsia="Arial Unicode MS" w:hAnsi="Arial" w:cs="Arial"/>
          <w:sz w:val="22"/>
          <w:szCs w:val="22"/>
        </w:rPr>
        <w:t>para</w:t>
      </w:r>
      <w:r w:rsidR="009303E0" w:rsidRPr="0043253A">
        <w:rPr>
          <w:rFonts w:ascii="Arial" w:eastAsia="Arial Unicode MS" w:hAnsi="Arial" w:cs="Arial"/>
          <w:sz w:val="22"/>
          <w:szCs w:val="22"/>
        </w:rPr>
        <w:t xml:space="preserve"> siembra, para las plantas y cultivos de cannabis y sus derivados, con el fin de que todo tipo de tributos, impuestos, tasas y contribuciones relacionados con la producción de los mismos sea recaudado por los Departamentos y destinado a la financiación preferente de programas de rehabilitación del adicto, deporte, educación y prevención de consumo de sustancias estupefacientes.</w:t>
      </w:r>
    </w:p>
    <w:p w:rsidR="009303E0" w:rsidRPr="0043253A" w:rsidRDefault="009303E0" w:rsidP="009303E0">
      <w:pPr>
        <w:jc w:val="both"/>
        <w:rPr>
          <w:rFonts w:ascii="Arial" w:eastAsia="Arial Unicode MS" w:hAnsi="Arial" w:cs="Arial"/>
          <w:sz w:val="22"/>
          <w:szCs w:val="22"/>
        </w:rPr>
      </w:pPr>
    </w:p>
    <w:p w:rsidR="00F53AC9" w:rsidRPr="0043253A" w:rsidRDefault="00F53AC9" w:rsidP="00F53AC9">
      <w:pPr>
        <w:jc w:val="center"/>
        <w:rPr>
          <w:rFonts w:ascii="Arial" w:hAnsi="Arial" w:cs="Arial"/>
          <w:b/>
          <w:sz w:val="22"/>
          <w:szCs w:val="22"/>
          <w:lang w:val="es-ES"/>
        </w:rPr>
      </w:pPr>
      <w:r w:rsidRPr="0043253A">
        <w:rPr>
          <w:rFonts w:ascii="Arial" w:hAnsi="Arial" w:cs="Arial"/>
          <w:b/>
          <w:sz w:val="22"/>
          <w:szCs w:val="22"/>
          <w:lang w:val="es-ES"/>
        </w:rPr>
        <w:t>CAPITULO II</w:t>
      </w:r>
    </w:p>
    <w:p w:rsidR="00F53AC9" w:rsidRPr="0043253A" w:rsidRDefault="00F53AC9" w:rsidP="00F53AC9">
      <w:pPr>
        <w:jc w:val="center"/>
        <w:rPr>
          <w:rFonts w:ascii="Arial" w:hAnsi="Arial" w:cs="Arial"/>
          <w:b/>
          <w:sz w:val="22"/>
          <w:szCs w:val="22"/>
          <w:lang w:val="es-ES"/>
        </w:rPr>
      </w:pPr>
    </w:p>
    <w:p w:rsidR="00F53AC9" w:rsidRPr="0043253A" w:rsidRDefault="00F53AC9" w:rsidP="00F53AC9">
      <w:pPr>
        <w:jc w:val="center"/>
        <w:rPr>
          <w:rFonts w:ascii="Arial" w:hAnsi="Arial" w:cs="Arial"/>
          <w:b/>
          <w:sz w:val="22"/>
          <w:szCs w:val="22"/>
          <w:lang w:val="es-ES"/>
        </w:rPr>
      </w:pPr>
      <w:r w:rsidRPr="0043253A">
        <w:rPr>
          <w:rFonts w:ascii="Arial" w:hAnsi="Arial" w:cs="Arial"/>
          <w:b/>
          <w:sz w:val="22"/>
          <w:szCs w:val="22"/>
        </w:rPr>
        <w:t>Régimen propio del monopolio rentístico de licores destilados e impuesto al consumo de licores, vinos, aperitivos y similares</w:t>
      </w:r>
    </w:p>
    <w:p w:rsidR="00F53AC9" w:rsidRPr="0043253A" w:rsidRDefault="00F53AC9" w:rsidP="009303E0">
      <w:pPr>
        <w:jc w:val="both"/>
        <w:rPr>
          <w:rFonts w:ascii="Arial" w:eastAsia="Arial Unicode MS" w:hAnsi="Arial" w:cs="Arial"/>
          <w:sz w:val="22"/>
          <w:szCs w:val="22"/>
        </w:rPr>
      </w:pPr>
    </w:p>
    <w:p w:rsidR="0054442E" w:rsidRPr="0043253A" w:rsidRDefault="0054442E" w:rsidP="00BD0E8B">
      <w:pPr>
        <w:jc w:val="both"/>
        <w:rPr>
          <w:rFonts w:ascii="Arial" w:hAnsi="Arial" w:cs="Arial"/>
          <w:b/>
          <w:bCs/>
          <w:sz w:val="22"/>
          <w:szCs w:val="22"/>
        </w:rPr>
      </w:pPr>
    </w:p>
    <w:p w:rsidR="00455E23" w:rsidRPr="0043253A" w:rsidRDefault="00455E23" w:rsidP="00BD0E8B">
      <w:pPr>
        <w:jc w:val="both"/>
        <w:rPr>
          <w:rFonts w:ascii="Arial" w:hAnsi="Arial" w:cs="Arial"/>
          <w:sz w:val="22"/>
          <w:szCs w:val="22"/>
        </w:rPr>
      </w:pPr>
      <w:r w:rsidRPr="0043253A">
        <w:rPr>
          <w:rFonts w:ascii="Arial" w:hAnsi="Arial" w:cs="Arial"/>
          <w:b/>
          <w:bCs/>
          <w:sz w:val="22"/>
          <w:szCs w:val="22"/>
        </w:rPr>
        <w:t xml:space="preserve">ARTICULO </w:t>
      </w:r>
      <w:r w:rsidR="009303E0" w:rsidRPr="0043253A">
        <w:rPr>
          <w:rFonts w:ascii="Arial" w:hAnsi="Arial" w:cs="Arial"/>
          <w:b/>
          <w:bCs/>
          <w:sz w:val="22"/>
          <w:szCs w:val="22"/>
        </w:rPr>
        <w:t>2°</w:t>
      </w:r>
      <w:r w:rsidRPr="0043253A">
        <w:rPr>
          <w:rFonts w:ascii="Arial" w:hAnsi="Arial" w:cs="Arial"/>
          <w:b/>
          <w:bCs/>
          <w:sz w:val="22"/>
          <w:szCs w:val="22"/>
        </w:rPr>
        <w:t xml:space="preserve">. </w:t>
      </w:r>
      <w:r w:rsidRPr="0043253A">
        <w:rPr>
          <w:rFonts w:ascii="Arial" w:hAnsi="Arial" w:cs="Arial"/>
          <w:sz w:val="22"/>
          <w:szCs w:val="22"/>
        </w:rPr>
        <w:t xml:space="preserve">Modifíquese el artículo 14 de la Ley 1816 de 2016, el cual quedará así: </w:t>
      </w:r>
    </w:p>
    <w:p w:rsidR="00455E23" w:rsidRPr="0043253A" w:rsidRDefault="00455E23" w:rsidP="00BD0E8B">
      <w:pPr>
        <w:jc w:val="both"/>
        <w:rPr>
          <w:rFonts w:ascii="Arial" w:hAnsi="Arial" w:cs="Arial"/>
          <w:b/>
          <w:bCs/>
          <w:sz w:val="22"/>
          <w:szCs w:val="22"/>
        </w:rPr>
      </w:pPr>
    </w:p>
    <w:p w:rsidR="00455E23" w:rsidRPr="0043253A" w:rsidRDefault="00B378C2" w:rsidP="009303E0">
      <w:pPr>
        <w:jc w:val="both"/>
        <w:rPr>
          <w:rFonts w:ascii="Arial" w:hAnsi="Arial" w:cs="Arial"/>
          <w:sz w:val="22"/>
          <w:szCs w:val="22"/>
        </w:rPr>
      </w:pPr>
      <w:r w:rsidRPr="0043253A">
        <w:rPr>
          <w:rFonts w:ascii="Arial" w:hAnsi="Arial" w:cs="Arial"/>
          <w:b/>
          <w:bCs/>
          <w:sz w:val="22"/>
          <w:szCs w:val="22"/>
        </w:rPr>
        <w:t xml:space="preserve">Artículo </w:t>
      </w:r>
      <w:r w:rsidR="00455E23" w:rsidRPr="0043253A">
        <w:rPr>
          <w:rFonts w:ascii="Arial" w:hAnsi="Arial" w:cs="Arial"/>
          <w:b/>
          <w:bCs/>
          <w:sz w:val="22"/>
          <w:szCs w:val="22"/>
        </w:rPr>
        <w:t xml:space="preserve">14°. </w:t>
      </w:r>
      <w:r w:rsidR="00455E23" w:rsidRPr="0043253A">
        <w:rPr>
          <w:rFonts w:ascii="Arial" w:hAnsi="Arial" w:cs="Arial"/>
          <w:sz w:val="22"/>
          <w:szCs w:val="22"/>
        </w:rPr>
        <w:t xml:space="preserve">Los departamentos que ejerzan el monopolio de licores destilados, en lugar del impuesto al consumo establecido en la ley, tendrán derecho a percibir una participación sobre los productos objeto del monopolio que se consuman en su jurisdicción. </w:t>
      </w:r>
    </w:p>
    <w:p w:rsidR="00455E23" w:rsidRPr="0043253A" w:rsidRDefault="00455E23" w:rsidP="00BD0E8B">
      <w:pPr>
        <w:ind w:left="708"/>
        <w:jc w:val="both"/>
        <w:rPr>
          <w:rFonts w:ascii="Arial" w:hAnsi="Arial" w:cs="Arial"/>
          <w:sz w:val="22"/>
          <w:szCs w:val="22"/>
        </w:rPr>
      </w:pPr>
    </w:p>
    <w:p w:rsidR="00455E23" w:rsidRPr="0043253A" w:rsidRDefault="00455E23" w:rsidP="009303E0">
      <w:pPr>
        <w:jc w:val="both"/>
        <w:rPr>
          <w:rFonts w:ascii="Arial" w:hAnsi="Arial" w:cs="Arial"/>
          <w:sz w:val="22"/>
          <w:szCs w:val="22"/>
        </w:rPr>
      </w:pPr>
      <w:r w:rsidRPr="0043253A">
        <w:rPr>
          <w:rFonts w:ascii="Arial" w:hAnsi="Arial" w:cs="Arial"/>
          <w:sz w:val="22"/>
          <w:szCs w:val="22"/>
        </w:rPr>
        <w:t xml:space="preserve">Las asambleas departamentales establecerán la participación aplicable, cuya tarifa no podrá ser inferior a la tarifa del impuesto al consumo de licores, vinos, aperitivos y similares. La tarifa será única para todos los productos, y aplicará en su jurisdicción tanto a los productos nacionales como extranjeros, incluidos los que produzca la entidad territorial. </w:t>
      </w:r>
    </w:p>
    <w:p w:rsidR="00455E23" w:rsidRPr="0043253A" w:rsidRDefault="00455E23" w:rsidP="00BD0E8B">
      <w:pPr>
        <w:jc w:val="both"/>
        <w:rPr>
          <w:rFonts w:ascii="Arial" w:hAnsi="Arial" w:cs="Arial"/>
          <w:b/>
          <w:bCs/>
          <w:sz w:val="22"/>
          <w:szCs w:val="22"/>
        </w:rPr>
      </w:pPr>
    </w:p>
    <w:p w:rsidR="00455E23" w:rsidRPr="0043253A" w:rsidRDefault="00455E23" w:rsidP="009303E0">
      <w:pPr>
        <w:jc w:val="both"/>
        <w:rPr>
          <w:rFonts w:ascii="Arial" w:hAnsi="Arial" w:cs="Arial"/>
          <w:sz w:val="22"/>
          <w:szCs w:val="22"/>
        </w:rPr>
      </w:pPr>
      <w:r w:rsidRPr="0043253A">
        <w:rPr>
          <w:rFonts w:ascii="Arial" w:hAnsi="Arial" w:cs="Arial"/>
          <w:b/>
          <w:bCs/>
          <w:sz w:val="22"/>
          <w:szCs w:val="22"/>
        </w:rPr>
        <w:t xml:space="preserve">PARÁGRAFO. </w:t>
      </w:r>
      <w:r w:rsidRPr="0043253A">
        <w:rPr>
          <w:rFonts w:ascii="Arial" w:hAnsi="Arial" w:cs="Arial"/>
          <w:sz w:val="22"/>
          <w:szCs w:val="22"/>
        </w:rPr>
        <w:t xml:space="preserve">Las disposiciones sobre causación, declaración, pago, señalización, control de transporte, sanciones, aprehensiones, decomisos y demás normas especiales previstas para el impuesto al consumo de licores, vinos, aperitivos y similares se aplicarán para efectos de la participación del monopolio de licores destilados y alcohol potable con destino a la fabricación de licores. </w:t>
      </w:r>
    </w:p>
    <w:p w:rsidR="00455E23" w:rsidRPr="0043253A" w:rsidRDefault="00455E23" w:rsidP="00BD0E8B">
      <w:pPr>
        <w:jc w:val="both"/>
        <w:rPr>
          <w:rFonts w:ascii="Arial" w:hAnsi="Arial" w:cs="Arial"/>
          <w:sz w:val="22"/>
          <w:szCs w:val="22"/>
        </w:rPr>
      </w:pPr>
    </w:p>
    <w:p w:rsidR="00120421" w:rsidRPr="0043253A" w:rsidRDefault="00120421" w:rsidP="001E6C5C">
      <w:pPr>
        <w:jc w:val="both"/>
        <w:rPr>
          <w:rFonts w:ascii="Arial" w:hAnsi="Arial" w:cs="Arial"/>
          <w:b/>
          <w:bCs/>
          <w:sz w:val="22"/>
          <w:szCs w:val="22"/>
        </w:rPr>
      </w:pPr>
    </w:p>
    <w:p w:rsidR="001E6C5C" w:rsidRPr="0043253A" w:rsidRDefault="00E65609" w:rsidP="001E6C5C">
      <w:pPr>
        <w:jc w:val="both"/>
        <w:rPr>
          <w:rFonts w:ascii="Arial" w:hAnsi="Arial" w:cs="Arial"/>
          <w:bCs/>
          <w:sz w:val="22"/>
          <w:szCs w:val="22"/>
        </w:rPr>
      </w:pPr>
      <w:r>
        <w:rPr>
          <w:rFonts w:ascii="Arial" w:hAnsi="Arial" w:cs="Arial"/>
          <w:b/>
          <w:bCs/>
          <w:sz w:val="22"/>
          <w:szCs w:val="22"/>
        </w:rPr>
        <w:t>ARTICULO 3</w:t>
      </w:r>
      <w:r w:rsidR="009303E0" w:rsidRPr="0043253A">
        <w:rPr>
          <w:rFonts w:ascii="Arial" w:hAnsi="Arial" w:cs="Arial"/>
          <w:b/>
          <w:bCs/>
          <w:sz w:val="22"/>
          <w:szCs w:val="22"/>
        </w:rPr>
        <w:t>°</w:t>
      </w:r>
      <w:r w:rsidR="001E6C5C" w:rsidRPr="0043253A">
        <w:rPr>
          <w:rFonts w:ascii="Arial" w:hAnsi="Arial" w:cs="Arial"/>
          <w:b/>
          <w:bCs/>
          <w:sz w:val="22"/>
          <w:szCs w:val="22"/>
        </w:rPr>
        <w:t xml:space="preserve">. </w:t>
      </w:r>
      <w:r w:rsidR="001E6C5C" w:rsidRPr="0043253A">
        <w:rPr>
          <w:rFonts w:ascii="Arial" w:hAnsi="Arial" w:cs="Arial"/>
          <w:bCs/>
          <w:sz w:val="22"/>
          <w:szCs w:val="22"/>
        </w:rPr>
        <w:t>Modifíquese el artículo 49 de la Ley 788 de 2002, modificado por el artículo 19 de la Ley 1816 de 2016, el cual quedará así:</w:t>
      </w:r>
    </w:p>
    <w:p w:rsidR="001E6C5C" w:rsidRPr="0043253A" w:rsidRDefault="001E6C5C" w:rsidP="001E6C5C">
      <w:pPr>
        <w:jc w:val="both"/>
        <w:rPr>
          <w:rFonts w:ascii="Arial" w:hAnsi="Arial" w:cs="Arial"/>
          <w:bCs/>
          <w:sz w:val="22"/>
          <w:szCs w:val="22"/>
        </w:rPr>
      </w:pPr>
    </w:p>
    <w:p w:rsidR="001E6C5C" w:rsidRPr="0043253A" w:rsidRDefault="00B378C2" w:rsidP="009303E0">
      <w:pPr>
        <w:jc w:val="both"/>
        <w:rPr>
          <w:rFonts w:ascii="Arial" w:hAnsi="Arial" w:cs="Arial"/>
          <w:bCs/>
          <w:sz w:val="22"/>
          <w:szCs w:val="22"/>
        </w:rPr>
      </w:pPr>
      <w:r w:rsidRPr="0043253A">
        <w:rPr>
          <w:rFonts w:ascii="Arial" w:hAnsi="Arial" w:cs="Arial"/>
          <w:b/>
          <w:bCs/>
          <w:sz w:val="22"/>
          <w:szCs w:val="22"/>
        </w:rPr>
        <w:t>Artículo 49</w:t>
      </w:r>
      <w:r w:rsidR="001E6C5C" w:rsidRPr="0043253A">
        <w:rPr>
          <w:rFonts w:ascii="Arial" w:hAnsi="Arial" w:cs="Arial"/>
          <w:b/>
          <w:bCs/>
          <w:sz w:val="22"/>
          <w:szCs w:val="22"/>
        </w:rPr>
        <w:t xml:space="preserve">. </w:t>
      </w:r>
      <w:r w:rsidR="009303E0" w:rsidRPr="0043253A">
        <w:rPr>
          <w:rFonts w:ascii="Arial" w:hAnsi="Arial" w:cs="Arial"/>
          <w:b/>
          <w:bCs/>
          <w:sz w:val="22"/>
          <w:szCs w:val="22"/>
        </w:rPr>
        <w:t xml:space="preserve">Base gravable. </w:t>
      </w:r>
      <w:r w:rsidR="001E6C5C" w:rsidRPr="0043253A">
        <w:rPr>
          <w:rFonts w:ascii="Arial" w:hAnsi="Arial" w:cs="Arial"/>
          <w:bCs/>
          <w:sz w:val="22"/>
          <w:szCs w:val="22"/>
        </w:rPr>
        <w:t>La base gravable del impuesto al consumo para licores, vinos, aperitivos y similares, está constituida por el número de grados alcoholimétricos que contenga el producto.</w:t>
      </w:r>
    </w:p>
    <w:p w:rsidR="001E6C5C" w:rsidRPr="0043253A" w:rsidRDefault="001E6C5C" w:rsidP="001E6C5C">
      <w:pPr>
        <w:jc w:val="both"/>
        <w:rPr>
          <w:rFonts w:ascii="Arial" w:hAnsi="Arial" w:cs="Arial"/>
          <w:bCs/>
          <w:sz w:val="22"/>
          <w:szCs w:val="22"/>
        </w:rPr>
      </w:pPr>
    </w:p>
    <w:p w:rsidR="001E6C5C" w:rsidRPr="0043253A" w:rsidRDefault="001E6C5C" w:rsidP="009303E0">
      <w:pPr>
        <w:jc w:val="both"/>
        <w:rPr>
          <w:rFonts w:ascii="Arial" w:hAnsi="Arial" w:cs="Arial"/>
          <w:bCs/>
          <w:sz w:val="22"/>
          <w:szCs w:val="22"/>
        </w:rPr>
      </w:pPr>
      <w:r w:rsidRPr="0043253A">
        <w:rPr>
          <w:rFonts w:ascii="Arial" w:hAnsi="Arial" w:cs="Arial"/>
          <w:bCs/>
          <w:sz w:val="22"/>
          <w:szCs w:val="22"/>
        </w:rPr>
        <w:t>Esta base gravable aplicará igualmente para la liquidación de la participación, respecto de los productos sobre los cuales los departamentos estén ejerciendo el monopolio rentístico de licores destilados.</w:t>
      </w:r>
    </w:p>
    <w:p w:rsidR="001E6C5C" w:rsidRPr="0043253A" w:rsidRDefault="001E6C5C" w:rsidP="001E6C5C">
      <w:pPr>
        <w:jc w:val="both"/>
        <w:rPr>
          <w:rFonts w:ascii="Arial" w:hAnsi="Arial" w:cs="Arial"/>
          <w:bCs/>
          <w:sz w:val="22"/>
          <w:szCs w:val="22"/>
        </w:rPr>
      </w:pPr>
    </w:p>
    <w:p w:rsidR="001E6C5C" w:rsidRPr="0043253A" w:rsidRDefault="009303E0" w:rsidP="009303E0">
      <w:pPr>
        <w:jc w:val="both"/>
        <w:rPr>
          <w:rFonts w:ascii="Arial" w:hAnsi="Arial" w:cs="Arial"/>
          <w:bCs/>
          <w:sz w:val="22"/>
          <w:szCs w:val="22"/>
        </w:rPr>
      </w:pPr>
      <w:r w:rsidRPr="0043253A">
        <w:rPr>
          <w:rFonts w:ascii="Arial" w:hAnsi="Arial" w:cs="Arial"/>
          <w:b/>
          <w:bCs/>
          <w:sz w:val="22"/>
          <w:szCs w:val="22"/>
        </w:rPr>
        <w:lastRenderedPageBreak/>
        <w:t xml:space="preserve">Parágrafo. </w:t>
      </w:r>
      <w:r w:rsidR="001E6C5C" w:rsidRPr="0043253A">
        <w:rPr>
          <w:rFonts w:ascii="Arial" w:hAnsi="Arial" w:cs="Arial"/>
          <w:bCs/>
          <w:sz w:val="22"/>
          <w:szCs w:val="22"/>
        </w:rPr>
        <w:t xml:space="preserve">El grado de contenido alcoholimétrico deberá expresarse en el envase y estará sujeto a verificación técnica por parte de los </w:t>
      </w:r>
      <w:r w:rsidRPr="0043253A">
        <w:rPr>
          <w:rFonts w:ascii="Arial" w:hAnsi="Arial" w:cs="Arial"/>
          <w:bCs/>
          <w:sz w:val="22"/>
          <w:szCs w:val="22"/>
        </w:rPr>
        <w:t>D</w:t>
      </w:r>
      <w:r w:rsidR="001E6C5C" w:rsidRPr="0043253A">
        <w:rPr>
          <w:rFonts w:ascii="Arial" w:hAnsi="Arial" w:cs="Arial"/>
          <w:bCs/>
          <w:sz w:val="22"/>
          <w:szCs w:val="22"/>
        </w:rPr>
        <w:t xml:space="preserve">epartamentos, quienes podrán realizar la verificación directamente, o a través de empresas o entidades especializadas. </w:t>
      </w:r>
    </w:p>
    <w:p w:rsidR="001E6C5C" w:rsidRPr="0043253A" w:rsidRDefault="001E6C5C" w:rsidP="001E6C5C">
      <w:pPr>
        <w:jc w:val="both"/>
        <w:rPr>
          <w:rFonts w:ascii="Arial" w:hAnsi="Arial" w:cs="Arial"/>
          <w:bCs/>
          <w:sz w:val="22"/>
          <w:szCs w:val="22"/>
        </w:rPr>
      </w:pPr>
    </w:p>
    <w:p w:rsidR="001E6C5C" w:rsidRPr="0043253A" w:rsidRDefault="001E6C5C" w:rsidP="009303E0">
      <w:pPr>
        <w:jc w:val="both"/>
        <w:rPr>
          <w:rFonts w:ascii="Arial" w:hAnsi="Arial" w:cs="Arial"/>
          <w:bCs/>
          <w:sz w:val="22"/>
          <w:szCs w:val="22"/>
        </w:rPr>
      </w:pPr>
      <w:r w:rsidRPr="0043253A">
        <w:rPr>
          <w:rFonts w:ascii="Arial" w:hAnsi="Arial" w:cs="Arial"/>
          <w:bCs/>
          <w:sz w:val="22"/>
          <w:szCs w:val="22"/>
        </w:rPr>
        <w:t>En caso de discrepancia respecto al dictamen proferido, la segunda y definitiva instancia corresponderá al Instituto Nacional de Vigilanc</w:t>
      </w:r>
      <w:r w:rsidR="009303E0" w:rsidRPr="0043253A">
        <w:rPr>
          <w:rFonts w:ascii="Arial" w:hAnsi="Arial" w:cs="Arial"/>
          <w:bCs/>
          <w:sz w:val="22"/>
          <w:szCs w:val="22"/>
        </w:rPr>
        <w:t>ia de Medicamentos y Alimentos –</w:t>
      </w:r>
      <w:r w:rsidRPr="0043253A">
        <w:rPr>
          <w:rFonts w:ascii="Arial" w:hAnsi="Arial" w:cs="Arial"/>
          <w:bCs/>
          <w:sz w:val="22"/>
          <w:szCs w:val="22"/>
        </w:rPr>
        <w:t>Invima</w:t>
      </w:r>
      <w:r w:rsidR="009303E0" w:rsidRPr="0043253A">
        <w:rPr>
          <w:rFonts w:ascii="Arial" w:hAnsi="Arial" w:cs="Arial"/>
          <w:bCs/>
          <w:sz w:val="22"/>
          <w:szCs w:val="22"/>
        </w:rPr>
        <w:t>-</w:t>
      </w:r>
      <w:r w:rsidRPr="0043253A">
        <w:rPr>
          <w:rFonts w:ascii="Arial" w:hAnsi="Arial" w:cs="Arial"/>
          <w:bCs/>
          <w:sz w:val="22"/>
          <w:szCs w:val="22"/>
        </w:rPr>
        <w:t>.</w:t>
      </w:r>
    </w:p>
    <w:p w:rsidR="001E6C5C" w:rsidRPr="0043253A" w:rsidRDefault="001E6C5C" w:rsidP="001E6C5C">
      <w:pPr>
        <w:jc w:val="both"/>
        <w:rPr>
          <w:rFonts w:ascii="Arial" w:hAnsi="Arial" w:cs="Arial"/>
          <w:b/>
          <w:bCs/>
          <w:sz w:val="22"/>
          <w:szCs w:val="22"/>
        </w:rPr>
      </w:pPr>
    </w:p>
    <w:p w:rsidR="001E6C5C" w:rsidRPr="0043253A" w:rsidRDefault="001E6C5C" w:rsidP="001E6C5C">
      <w:pPr>
        <w:jc w:val="both"/>
        <w:rPr>
          <w:rFonts w:ascii="Arial" w:hAnsi="Arial" w:cs="Arial"/>
          <w:b/>
          <w:bCs/>
          <w:sz w:val="22"/>
          <w:szCs w:val="22"/>
        </w:rPr>
      </w:pPr>
    </w:p>
    <w:p w:rsidR="00455E23" w:rsidRPr="0043253A" w:rsidRDefault="00455E23" w:rsidP="001E6C5C">
      <w:pPr>
        <w:jc w:val="both"/>
        <w:rPr>
          <w:rFonts w:ascii="Arial" w:hAnsi="Arial" w:cs="Arial"/>
          <w:sz w:val="22"/>
          <w:szCs w:val="22"/>
        </w:rPr>
      </w:pPr>
      <w:r w:rsidRPr="0043253A">
        <w:rPr>
          <w:rFonts w:ascii="Arial" w:hAnsi="Arial" w:cs="Arial"/>
          <w:b/>
          <w:bCs/>
          <w:sz w:val="22"/>
          <w:szCs w:val="22"/>
        </w:rPr>
        <w:t xml:space="preserve">ARTICULO </w:t>
      </w:r>
      <w:r w:rsidR="00E65609">
        <w:rPr>
          <w:rFonts w:ascii="Arial" w:hAnsi="Arial" w:cs="Arial"/>
          <w:b/>
          <w:bCs/>
          <w:sz w:val="22"/>
          <w:szCs w:val="22"/>
        </w:rPr>
        <w:t>4</w:t>
      </w:r>
      <w:r w:rsidR="009303E0" w:rsidRPr="0043253A">
        <w:rPr>
          <w:rFonts w:ascii="Arial" w:hAnsi="Arial" w:cs="Arial"/>
          <w:b/>
          <w:bCs/>
          <w:sz w:val="22"/>
          <w:szCs w:val="22"/>
        </w:rPr>
        <w:t>°</w:t>
      </w:r>
      <w:r w:rsidRPr="0043253A">
        <w:rPr>
          <w:rFonts w:ascii="Arial" w:hAnsi="Arial" w:cs="Arial"/>
          <w:b/>
          <w:bCs/>
          <w:sz w:val="22"/>
          <w:szCs w:val="22"/>
        </w:rPr>
        <w:t xml:space="preserve">. </w:t>
      </w:r>
      <w:r w:rsidRPr="0043253A">
        <w:rPr>
          <w:rFonts w:ascii="Arial" w:hAnsi="Arial" w:cs="Arial"/>
          <w:sz w:val="22"/>
          <w:szCs w:val="22"/>
        </w:rPr>
        <w:t xml:space="preserve">Modifíquese el artículo 50 de la Ley 788 de 2002, modificado por el artículo 8 de la Ley 1393 de 2010 y por el artículo 20 de la ley 1816 de 2016, el cual quedará así: </w:t>
      </w:r>
    </w:p>
    <w:p w:rsidR="00455E23" w:rsidRPr="0043253A" w:rsidRDefault="00455E23" w:rsidP="00BD0E8B">
      <w:pPr>
        <w:jc w:val="both"/>
        <w:rPr>
          <w:rFonts w:ascii="Arial" w:hAnsi="Arial" w:cs="Arial"/>
          <w:bCs/>
          <w:sz w:val="22"/>
          <w:szCs w:val="22"/>
        </w:rPr>
      </w:pPr>
    </w:p>
    <w:p w:rsidR="00455E23" w:rsidRPr="0043253A" w:rsidRDefault="00B378C2" w:rsidP="009303E0">
      <w:pPr>
        <w:jc w:val="both"/>
        <w:rPr>
          <w:rFonts w:ascii="Arial" w:hAnsi="Arial" w:cs="Arial"/>
          <w:sz w:val="22"/>
          <w:szCs w:val="22"/>
        </w:rPr>
      </w:pPr>
      <w:r w:rsidRPr="0043253A">
        <w:rPr>
          <w:rFonts w:ascii="Arial" w:hAnsi="Arial" w:cs="Arial"/>
          <w:b/>
          <w:bCs/>
          <w:sz w:val="22"/>
          <w:szCs w:val="22"/>
        </w:rPr>
        <w:t>Artículo</w:t>
      </w:r>
      <w:r w:rsidR="00455E23" w:rsidRPr="0043253A">
        <w:rPr>
          <w:rFonts w:ascii="Arial" w:hAnsi="Arial" w:cs="Arial"/>
          <w:b/>
          <w:bCs/>
          <w:sz w:val="22"/>
          <w:szCs w:val="22"/>
        </w:rPr>
        <w:t xml:space="preserve"> 50. </w:t>
      </w:r>
      <w:r w:rsidR="009303E0" w:rsidRPr="0043253A">
        <w:rPr>
          <w:rFonts w:ascii="Arial" w:hAnsi="Arial" w:cs="Arial"/>
          <w:b/>
          <w:bCs/>
          <w:sz w:val="22"/>
          <w:szCs w:val="22"/>
        </w:rPr>
        <w:t>Tarifas.</w:t>
      </w:r>
      <w:r w:rsidR="00455E23" w:rsidRPr="0043253A">
        <w:rPr>
          <w:rFonts w:ascii="Arial" w:hAnsi="Arial" w:cs="Arial"/>
          <w:bCs/>
          <w:sz w:val="22"/>
          <w:szCs w:val="22"/>
        </w:rPr>
        <w:t xml:space="preserve"> </w:t>
      </w:r>
      <w:r w:rsidR="00455E23" w:rsidRPr="0043253A">
        <w:rPr>
          <w:rFonts w:ascii="Arial" w:hAnsi="Arial" w:cs="Arial"/>
          <w:sz w:val="22"/>
          <w:szCs w:val="22"/>
        </w:rPr>
        <w:t xml:space="preserve">Las tarifas del impuesto al consumo de licores, vinos, aperitivos y similares, por cada unidad de 750 centímetros cúbicos o su equivalente, serán las siguientes: </w:t>
      </w:r>
    </w:p>
    <w:p w:rsidR="00455E23" w:rsidRPr="0043253A" w:rsidRDefault="00455E23" w:rsidP="00BD0E8B">
      <w:pPr>
        <w:ind w:left="1080"/>
        <w:jc w:val="both"/>
        <w:rPr>
          <w:rFonts w:ascii="Arial" w:hAnsi="Arial" w:cs="Arial"/>
          <w:sz w:val="22"/>
          <w:szCs w:val="22"/>
        </w:rPr>
      </w:pPr>
    </w:p>
    <w:p w:rsidR="009303E0" w:rsidRPr="0043253A" w:rsidRDefault="00455E23" w:rsidP="009303E0">
      <w:pPr>
        <w:pStyle w:val="Prrafodelista"/>
        <w:numPr>
          <w:ilvl w:val="0"/>
          <w:numId w:val="11"/>
        </w:numPr>
        <w:jc w:val="both"/>
        <w:rPr>
          <w:rFonts w:ascii="Arial" w:hAnsi="Arial" w:cs="Arial"/>
          <w:sz w:val="22"/>
          <w:szCs w:val="22"/>
        </w:rPr>
      </w:pPr>
      <w:r w:rsidRPr="0043253A">
        <w:rPr>
          <w:rFonts w:ascii="Arial" w:hAnsi="Arial" w:cs="Arial"/>
          <w:sz w:val="22"/>
          <w:szCs w:val="22"/>
        </w:rPr>
        <w:t xml:space="preserve">Para productos de hasta 35 grados de contenido alcoholimétrico, trescientos noventa y cinco pesos ($395) por cada grado alcoholimétrico. </w:t>
      </w:r>
    </w:p>
    <w:p w:rsidR="009303E0" w:rsidRPr="0043253A" w:rsidRDefault="009303E0" w:rsidP="009303E0">
      <w:pPr>
        <w:pStyle w:val="Prrafodelista"/>
        <w:jc w:val="both"/>
        <w:rPr>
          <w:rFonts w:ascii="Arial" w:hAnsi="Arial" w:cs="Arial"/>
          <w:sz w:val="22"/>
          <w:szCs w:val="22"/>
        </w:rPr>
      </w:pPr>
    </w:p>
    <w:p w:rsidR="00455E23" w:rsidRPr="0043253A" w:rsidRDefault="00455E23" w:rsidP="009303E0">
      <w:pPr>
        <w:pStyle w:val="Prrafodelista"/>
        <w:numPr>
          <w:ilvl w:val="0"/>
          <w:numId w:val="11"/>
        </w:numPr>
        <w:jc w:val="both"/>
        <w:rPr>
          <w:rFonts w:ascii="Arial" w:hAnsi="Arial" w:cs="Arial"/>
          <w:sz w:val="22"/>
          <w:szCs w:val="22"/>
        </w:rPr>
      </w:pPr>
      <w:r w:rsidRPr="0043253A">
        <w:rPr>
          <w:rFonts w:ascii="Arial" w:hAnsi="Arial" w:cs="Arial"/>
          <w:sz w:val="22"/>
          <w:szCs w:val="22"/>
        </w:rPr>
        <w:t xml:space="preserve">Para productos de más de 35 grados de contenido alcoholimétrico, seiscientos cuarenta y ocho pesos ($648) por cada grado alcoholimétrico. </w:t>
      </w:r>
    </w:p>
    <w:p w:rsidR="00455E23" w:rsidRPr="0043253A" w:rsidRDefault="00455E23" w:rsidP="00BD0E8B">
      <w:pPr>
        <w:rPr>
          <w:rFonts w:ascii="Arial" w:hAnsi="Arial" w:cs="Arial"/>
          <w:b/>
          <w:sz w:val="22"/>
          <w:szCs w:val="22"/>
          <w:lang w:val="es-ES"/>
        </w:rPr>
      </w:pPr>
    </w:p>
    <w:p w:rsidR="00BD0E8B" w:rsidRPr="0043253A" w:rsidRDefault="009303E0" w:rsidP="009303E0">
      <w:pPr>
        <w:jc w:val="both"/>
        <w:rPr>
          <w:rFonts w:ascii="Arial" w:hAnsi="Arial" w:cs="Arial"/>
          <w:sz w:val="22"/>
          <w:szCs w:val="22"/>
        </w:rPr>
      </w:pPr>
      <w:r w:rsidRPr="0043253A">
        <w:rPr>
          <w:rFonts w:ascii="Arial" w:hAnsi="Arial" w:cs="Arial"/>
          <w:b/>
          <w:bCs/>
          <w:sz w:val="22"/>
          <w:szCs w:val="22"/>
        </w:rPr>
        <w:t xml:space="preserve">Parágrafo 1°. </w:t>
      </w:r>
      <w:r w:rsidRPr="0043253A">
        <w:rPr>
          <w:rFonts w:ascii="Arial" w:hAnsi="Arial" w:cs="Arial"/>
          <w:bCs/>
          <w:sz w:val="22"/>
          <w:szCs w:val="22"/>
        </w:rPr>
        <w:t>Tarifas en el departamento archipiélago de san andrés, providencia y santa catalina.</w:t>
      </w:r>
      <w:r w:rsidR="00BD0E8B" w:rsidRPr="0043253A">
        <w:rPr>
          <w:rFonts w:ascii="Arial" w:hAnsi="Arial" w:cs="Arial"/>
          <w:bCs/>
          <w:sz w:val="22"/>
          <w:szCs w:val="22"/>
        </w:rPr>
        <w:t xml:space="preserve"> </w:t>
      </w:r>
      <w:r w:rsidR="00BD0E8B" w:rsidRPr="0043253A">
        <w:rPr>
          <w:rFonts w:ascii="Arial" w:hAnsi="Arial" w:cs="Arial"/>
          <w:sz w:val="22"/>
          <w:szCs w:val="22"/>
        </w:rPr>
        <w:t xml:space="preserve">El impuesto al consumo de qué trata la presente ley no aplica a los productos extranjeros que se importen al territorio del Departamento Archipiélago de San Andrés, Providencia y Santa Catalina, salvo que estos sean posteriormente introducidos al resto del territorio Nacional, evento en el cual se causará el impuesto en ese momento, por lo cual, el responsable previo a su envío, deberá presentar la declaración y pagar el impuesto ante el Fondo Cuenta de Impuestos al Consumo de Productos Extranjeros, aplicando la tarifa y base general señalada para el resto del país. </w:t>
      </w:r>
    </w:p>
    <w:p w:rsidR="00BD0E8B" w:rsidRPr="0043253A" w:rsidRDefault="00BD0E8B" w:rsidP="00BD0E8B">
      <w:pPr>
        <w:jc w:val="both"/>
        <w:rPr>
          <w:rFonts w:ascii="Arial" w:hAnsi="Arial" w:cs="Arial"/>
          <w:sz w:val="22"/>
          <w:szCs w:val="22"/>
        </w:rPr>
      </w:pPr>
    </w:p>
    <w:p w:rsidR="00BD0E8B" w:rsidRPr="0043253A" w:rsidRDefault="00BD0E8B" w:rsidP="009303E0">
      <w:pPr>
        <w:jc w:val="both"/>
        <w:rPr>
          <w:rFonts w:ascii="Arial" w:hAnsi="Arial" w:cs="Arial"/>
          <w:sz w:val="22"/>
          <w:szCs w:val="22"/>
        </w:rPr>
      </w:pPr>
      <w:r w:rsidRPr="0043253A">
        <w:rPr>
          <w:rFonts w:ascii="Arial" w:hAnsi="Arial" w:cs="Arial"/>
          <w:sz w:val="22"/>
          <w:szCs w:val="22"/>
        </w:rPr>
        <w:t>Para los productos nacionale</w:t>
      </w:r>
      <w:r w:rsidR="009303E0" w:rsidRPr="0043253A">
        <w:rPr>
          <w:rFonts w:ascii="Arial" w:hAnsi="Arial" w:cs="Arial"/>
          <w:sz w:val="22"/>
          <w:szCs w:val="22"/>
        </w:rPr>
        <w:t>s que ingresen para consumo al D</w:t>
      </w:r>
      <w:r w:rsidRPr="0043253A">
        <w:rPr>
          <w:rFonts w:ascii="Arial" w:hAnsi="Arial" w:cs="Arial"/>
          <w:sz w:val="22"/>
          <w:szCs w:val="22"/>
        </w:rPr>
        <w:t xml:space="preserve">epartamento Archipiélago de San Andrés, Providencia y Santa Catalina, por cada unidad de 750 centímetros cúbicos o su equivalente, la tarifa a partir del 1 de enero de 2019 será de treinta y siete ($37,00) por cada grado alcoholimétrico. </w:t>
      </w:r>
    </w:p>
    <w:p w:rsidR="00120421" w:rsidRPr="0043253A" w:rsidRDefault="00120421" w:rsidP="00120421">
      <w:pPr>
        <w:jc w:val="both"/>
        <w:rPr>
          <w:rFonts w:ascii="Arial" w:hAnsi="Arial" w:cs="Arial"/>
          <w:sz w:val="22"/>
          <w:szCs w:val="22"/>
        </w:rPr>
      </w:pPr>
    </w:p>
    <w:p w:rsidR="00BD0E8B" w:rsidRPr="0043253A" w:rsidRDefault="00BD0E8B" w:rsidP="00120421">
      <w:pPr>
        <w:jc w:val="both"/>
        <w:rPr>
          <w:rFonts w:ascii="Arial" w:hAnsi="Arial" w:cs="Arial"/>
          <w:sz w:val="22"/>
          <w:szCs w:val="22"/>
        </w:rPr>
      </w:pPr>
      <w:r w:rsidRPr="0043253A">
        <w:rPr>
          <w:rFonts w:ascii="Arial" w:hAnsi="Arial" w:cs="Arial"/>
          <w:sz w:val="22"/>
          <w:szCs w:val="22"/>
        </w:rPr>
        <w:t xml:space="preserve">Los productos que se despachen al Departamento deberán llevar grabado en un lugar visible del envase y la etiqueta y en caracteres legibles e indelebles, la siguiente leyenda: "Para consumo exclusivo en el departamento Archipiélago de San Andrés, Providencia y Santa Catalina", y no podrán ser objeto de reenvío al resto del país. </w:t>
      </w:r>
    </w:p>
    <w:p w:rsidR="00BD0E8B" w:rsidRPr="0043253A" w:rsidRDefault="00BD0E8B" w:rsidP="00120421">
      <w:pPr>
        <w:jc w:val="both"/>
        <w:rPr>
          <w:rFonts w:ascii="Arial" w:hAnsi="Arial" w:cs="Arial"/>
          <w:sz w:val="22"/>
          <w:szCs w:val="22"/>
        </w:rPr>
      </w:pPr>
      <w:r w:rsidRPr="0043253A">
        <w:rPr>
          <w:rFonts w:ascii="Arial" w:hAnsi="Arial" w:cs="Arial"/>
          <w:sz w:val="22"/>
          <w:szCs w:val="22"/>
        </w:rPr>
        <w:t xml:space="preserve">Los productores nacionales y los distribuidores seguirán respondiendo ante el departamento de origen por los productos que envíen al Archipiélago, hasta tanto se demuestre con la tornaguía respectiva, guía aérea o documento de embarque, que el producto ingresó al mismo. </w:t>
      </w:r>
    </w:p>
    <w:p w:rsidR="00120421" w:rsidRPr="0043253A" w:rsidRDefault="00120421" w:rsidP="00120421">
      <w:pPr>
        <w:jc w:val="both"/>
        <w:rPr>
          <w:rFonts w:ascii="Arial" w:hAnsi="Arial" w:cs="Arial"/>
          <w:bCs/>
          <w:sz w:val="22"/>
          <w:szCs w:val="22"/>
        </w:rPr>
      </w:pPr>
    </w:p>
    <w:p w:rsidR="00BD0E8B" w:rsidRPr="0043253A" w:rsidRDefault="00F53AC9" w:rsidP="00120421">
      <w:pPr>
        <w:jc w:val="both"/>
        <w:rPr>
          <w:rFonts w:ascii="Arial" w:hAnsi="Arial" w:cs="Arial"/>
          <w:sz w:val="22"/>
          <w:szCs w:val="22"/>
        </w:rPr>
      </w:pPr>
      <w:r w:rsidRPr="0043253A">
        <w:rPr>
          <w:rFonts w:ascii="Arial" w:hAnsi="Arial" w:cs="Arial"/>
          <w:b/>
          <w:bCs/>
          <w:sz w:val="22"/>
          <w:szCs w:val="22"/>
        </w:rPr>
        <w:t>Parágrafo 2°.</w:t>
      </w:r>
      <w:r w:rsidRPr="0043253A">
        <w:rPr>
          <w:rFonts w:ascii="Arial" w:hAnsi="Arial" w:cs="Arial"/>
          <w:bCs/>
          <w:sz w:val="22"/>
          <w:szCs w:val="22"/>
        </w:rPr>
        <w:t xml:space="preserve"> Depósitos francos, exportación y zonas libres especiales</w:t>
      </w:r>
      <w:r w:rsidR="00BD0E8B" w:rsidRPr="0043253A">
        <w:rPr>
          <w:rFonts w:ascii="Arial" w:hAnsi="Arial" w:cs="Arial"/>
          <w:sz w:val="22"/>
          <w:szCs w:val="22"/>
        </w:rPr>
        <w:t xml:space="preserve">. Todos los licores, vinos, aperitivos y similares, que se despachen a los depósitos francos debidamente autorizados por la Dirección de Impuestos y Aduanas Nacionales (DIAN), y los destinados a la exportación y zonas libres y especiales deberán llevar grabado en un lugar visible del envase y la etiqueta y en caracteres legibles e indelebles, la siguiente leyenda: "Para exportación". </w:t>
      </w:r>
    </w:p>
    <w:p w:rsidR="00BD0E8B" w:rsidRPr="0043253A" w:rsidRDefault="00BD0E8B" w:rsidP="00BD0E8B">
      <w:pPr>
        <w:jc w:val="both"/>
        <w:rPr>
          <w:rFonts w:ascii="Arial" w:hAnsi="Arial" w:cs="Arial"/>
          <w:bCs/>
          <w:sz w:val="22"/>
          <w:szCs w:val="22"/>
        </w:rPr>
      </w:pPr>
    </w:p>
    <w:p w:rsidR="00BD0E8B" w:rsidRPr="0043253A" w:rsidRDefault="00F53AC9" w:rsidP="00120421">
      <w:pPr>
        <w:jc w:val="both"/>
        <w:rPr>
          <w:rFonts w:ascii="Arial" w:hAnsi="Arial" w:cs="Arial"/>
          <w:sz w:val="22"/>
          <w:szCs w:val="22"/>
        </w:rPr>
      </w:pPr>
      <w:r w:rsidRPr="0043253A">
        <w:rPr>
          <w:rFonts w:ascii="Arial" w:hAnsi="Arial" w:cs="Arial"/>
          <w:b/>
          <w:bCs/>
          <w:sz w:val="22"/>
          <w:szCs w:val="22"/>
        </w:rPr>
        <w:t xml:space="preserve">Parágrafo 3°. </w:t>
      </w:r>
      <w:r w:rsidRPr="0043253A">
        <w:rPr>
          <w:rFonts w:ascii="Arial" w:hAnsi="Arial" w:cs="Arial"/>
          <w:bCs/>
          <w:sz w:val="22"/>
          <w:szCs w:val="22"/>
        </w:rPr>
        <w:t>Conversión de tarifas.</w:t>
      </w:r>
      <w:r w:rsidR="00BD0E8B" w:rsidRPr="0043253A">
        <w:rPr>
          <w:rFonts w:ascii="Arial" w:hAnsi="Arial" w:cs="Arial"/>
          <w:bCs/>
          <w:sz w:val="22"/>
          <w:szCs w:val="22"/>
        </w:rPr>
        <w:t xml:space="preserve"> </w:t>
      </w:r>
      <w:r w:rsidR="00BD0E8B" w:rsidRPr="0043253A">
        <w:rPr>
          <w:rFonts w:ascii="Arial" w:hAnsi="Arial" w:cs="Arial"/>
          <w:sz w:val="22"/>
          <w:szCs w:val="22"/>
        </w:rPr>
        <w:t>Cuando los productos objeto de impuesto al consumo tengan volúmenes diferentes a 750 centímetros cúbicos, se har</w:t>
      </w:r>
      <w:r w:rsidR="009A6275" w:rsidRPr="0043253A">
        <w:rPr>
          <w:rFonts w:ascii="Arial" w:hAnsi="Arial" w:cs="Arial"/>
          <w:sz w:val="22"/>
          <w:szCs w:val="22"/>
        </w:rPr>
        <w:t>á</w:t>
      </w:r>
      <w:r w:rsidR="00BD0E8B" w:rsidRPr="0043253A">
        <w:rPr>
          <w:rFonts w:ascii="Arial" w:hAnsi="Arial" w:cs="Arial"/>
          <w:sz w:val="22"/>
          <w:szCs w:val="22"/>
        </w:rPr>
        <w:t xml:space="preserve"> la conversi</w:t>
      </w:r>
      <w:r w:rsidR="009A6275" w:rsidRPr="0043253A">
        <w:rPr>
          <w:rFonts w:ascii="Arial" w:hAnsi="Arial" w:cs="Arial"/>
          <w:sz w:val="22"/>
          <w:szCs w:val="22"/>
        </w:rPr>
        <w:t>ó</w:t>
      </w:r>
      <w:r w:rsidR="00BD0E8B" w:rsidRPr="0043253A">
        <w:rPr>
          <w:rFonts w:ascii="Arial" w:hAnsi="Arial" w:cs="Arial"/>
          <w:sz w:val="22"/>
          <w:szCs w:val="22"/>
        </w:rPr>
        <w:t>n de la tarifa en proporci</w:t>
      </w:r>
      <w:r w:rsidR="009A6275" w:rsidRPr="0043253A">
        <w:rPr>
          <w:rFonts w:ascii="Arial" w:hAnsi="Arial" w:cs="Arial"/>
          <w:sz w:val="22"/>
          <w:szCs w:val="22"/>
        </w:rPr>
        <w:t>ó</w:t>
      </w:r>
      <w:r w:rsidR="00BD0E8B" w:rsidRPr="0043253A">
        <w:rPr>
          <w:rFonts w:ascii="Arial" w:hAnsi="Arial" w:cs="Arial"/>
          <w:sz w:val="22"/>
          <w:szCs w:val="22"/>
        </w:rPr>
        <w:t>n al contenido, aproxim</w:t>
      </w:r>
      <w:r w:rsidR="009A6275" w:rsidRPr="0043253A">
        <w:rPr>
          <w:rFonts w:ascii="Arial" w:hAnsi="Arial" w:cs="Arial"/>
          <w:sz w:val="22"/>
          <w:szCs w:val="22"/>
        </w:rPr>
        <w:t>á</w:t>
      </w:r>
      <w:r w:rsidR="00BD0E8B" w:rsidRPr="0043253A">
        <w:rPr>
          <w:rFonts w:ascii="Arial" w:hAnsi="Arial" w:cs="Arial"/>
          <w:sz w:val="22"/>
          <w:szCs w:val="22"/>
        </w:rPr>
        <w:t>ndola al peso m</w:t>
      </w:r>
      <w:r w:rsidR="009A6275" w:rsidRPr="0043253A">
        <w:rPr>
          <w:rFonts w:ascii="Arial" w:hAnsi="Arial" w:cs="Arial"/>
          <w:sz w:val="22"/>
          <w:szCs w:val="22"/>
        </w:rPr>
        <w:t>á</w:t>
      </w:r>
      <w:r w:rsidR="00BD0E8B" w:rsidRPr="0043253A">
        <w:rPr>
          <w:rFonts w:ascii="Arial" w:hAnsi="Arial" w:cs="Arial"/>
          <w:sz w:val="22"/>
          <w:szCs w:val="22"/>
        </w:rPr>
        <w:t xml:space="preserve">s cercano. </w:t>
      </w:r>
    </w:p>
    <w:p w:rsidR="00BD0E8B" w:rsidRPr="0043253A" w:rsidRDefault="00BD0E8B" w:rsidP="00BD0E8B">
      <w:pPr>
        <w:jc w:val="both"/>
        <w:rPr>
          <w:rFonts w:ascii="Arial" w:hAnsi="Arial" w:cs="Arial"/>
          <w:sz w:val="22"/>
          <w:szCs w:val="22"/>
        </w:rPr>
      </w:pPr>
    </w:p>
    <w:p w:rsidR="00BD0E8B" w:rsidRPr="0043253A" w:rsidRDefault="00BD0E8B" w:rsidP="00120421">
      <w:pPr>
        <w:jc w:val="both"/>
        <w:rPr>
          <w:rFonts w:ascii="Arial" w:hAnsi="Arial" w:cs="Arial"/>
          <w:sz w:val="22"/>
          <w:szCs w:val="22"/>
        </w:rPr>
      </w:pPr>
      <w:r w:rsidRPr="0043253A">
        <w:rPr>
          <w:rFonts w:ascii="Arial" w:hAnsi="Arial" w:cs="Arial"/>
          <w:sz w:val="22"/>
          <w:szCs w:val="22"/>
        </w:rPr>
        <w:t>El impuesto que resulte de la aplicaci</w:t>
      </w:r>
      <w:r w:rsidR="009A6275" w:rsidRPr="0043253A">
        <w:rPr>
          <w:rFonts w:ascii="Arial" w:hAnsi="Arial" w:cs="Arial"/>
          <w:sz w:val="22"/>
          <w:szCs w:val="22"/>
        </w:rPr>
        <w:t>ó</w:t>
      </w:r>
      <w:r w:rsidRPr="0043253A">
        <w:rPr>
          <w:rFonts w:ascii="Arial" w:hAnsi="Arial" w:cs="Arial"/>
          <w:sz w:val="22"/>
          <w:szCs w:val="22"/>
        </w:rPr>
        <w:t>n de la tarifa al n</w:t>
      </w:r>
      <w:r w:rsidR="009A6275" w:rsidRPr="0043253A">
        <w:rPr>
          <w:rFonts w:ascii="Arial" w:hAnsi="Arial" w:cs="Arial"/>
          <w:sz w:val="22"/>
          <w:szCs w:val="22"/>
        </w:rPr>
        <w:t>ú</w:t>
      </w:r>
      <w:r w:rsidRPr="0043253A">
        <w:rPr>
          <w:rFonts w:ascii="Arial" w:hAnsi="Arial" w:cs="Arial"/>
          <w:sz w:val="22"/>
          <w:szCs w:val="22"/>
        </w:rPr>
        <w:t>mero de grados alcoh</w:t>
      </w:r>
      <w:r w:rsidR="009A6275" w:rsidRPr="0043253A">
        <w:rPr>
          <w:rFonts w:ascii="Arial" w:hAnsi="Arial" w:cs="Arial"/>
          <w:sz w:val="22"/>
          <w:szCs w:val="22"/>
        </w:rPr>
        <w:t>ó</w:t>
      </w:r>
      <w:r w:rsidRPr="0043253A">
        <w:rPr>
          <w:rFonts w:ascii="Arial" w:hAnsi="Arial" w:cs="Arial"/>
          <w:sz w:val="22"/>
          <w:szCs w:val="22"/>
        </w:rPr>
        <w:t>limetricos, se aproximar</w:t>
      </w:r>
      <w:r w:rsidR="009A6275" w:rsidRPr="0043253A">
        <w:rPr>
          <w:rFonts w:ascii="Arial" w:hAnsi="Arial" w:cs="Arial"/>
          <w:sz w:val="22"/>
          <w:szCs w:val="22"/>
        </w:rPr>
        <w:t>á</w:t>
      </w:r>
      <w:r w:rsidRPr="0043253A">
        <w:rPr>
          <w:rFonts w:ascii="Arial" w:hAnsi="Arial" w:cs="Arial"/>
          <w:sz w:val="22"/>
          <w:szCs w:val="22"/>
        </w:rPr>
        <w:t xml:space="preserve"> al peso m</w:t>
      </w:r>
      <w:r w:rsidR="009A6275" w:rsidRPr="0043253A">
        <w:rPr>
          <w:rFonts w:ascii="Arial" w:hAnsi="Arial" w:cs="Arial"/>
          <w:sz w:val="22"/>
          <w:szCs w:val="22"/>
        </w:rPr>
        <w:t>á</w:t>
      </w:r>
      <w:r w:rsidRPr="0043253A">
        <w:rPr>
          <w:rFonts w:ascii="Arial" w:hAnsi="Arial" w:cs="Arial"/>
          <w:sz w:val="22"/>
          <w:szCs w:val="22"/>
        </w:rPr>
        <w:t xml:space="preserve">s cercano. </w:t>
      </w:r>
    </w:p>
    <w:p w:rsidR="00BD0E8B" w:rsidRPr="0043253A" w:rsidRDefault="00BD0E8B" w:rsidP="00BD0E8B">
      <w:pPr>
        <w:jc w:val="both"/>
        <w:rPr>
          <w:rFonts w:ascii="Arial" w:hAnsi="Arial" w:cs="Arial"/>
          <w:bCs/>
          <w:sz w:val="22"/>
          <w:szCs w:val="22"/>
        </w:rPr>
      </w:pPr>
    </w:p>
    <w:p w:rsidR="00BD0E8B" w:rsidRPr="0043253A" w:rsidRDefault="00F53AC9" w:rsidP="00120421">
      <w:pPr>
        <w:jc w:val="both"/>
        <w:rPr>
          <w:rFonts w:ascii="Arial" w:hAnsi="Arial" w:cs="Arial"/>
          <w:sz w:val="22"/>
          <w:szCs w:val="22"/>
        </w:rPr>
      </w:pPr>
      <w:r w:rsidRPr="0043253A">
        <w:rPr>
          <w:rFonts w:ascii="Arial" w:hAnsi="Arial" w:cs="Arial"/>
          <w:b/>
          <w:bCs/>
          <w:sz w:val="22"/>
          <w:szCs w:val="22"/>
        </w:rPr>
        <w:lastRenderedPageBreak/>
        <w:t>Parágrafo 4°.</w:t>
      </w:r>
      <w:r w:rsidR="00BD0E8B" w:rsidRPr="0043253A">
        <w:rPr>
          <w:rFonts w:ascii="Arial" w:hAnsi="Arial" w:cs="Arial"/>
          <w:bCs/>
          <w:sz w:val="22"/>
          <w:szCs w:val="22"/>
        </w:rPr>
        <w:t xml:space="preserve"> </w:t>
      </w:r>
      <w:r w:rsidR="00BD0E8B" w:rsidRPr="0043253A">
        <w:rPr>
          <w:rFonts w:ascii="Arial" w:hAnsi="Arial" w:cs="Arial"/>
          <w:sz w:val="22"/>
          <w:szCs w:val="22"/>
        </w:rPr>
        <w:t>Este art</w:t>
      </w:r>
      <w:r w:rsidR="009A6275" w:rsidRPr="0043253A">
        <w:rPr>
          <w:rFonts w:ascii="Arial" w:hAnsi="Arial" w:cs="Arial"/>
          <w:sz w:val="22"/>
          <w:szCs w:val="22"/>
        </w:rPr>
        <w:t>í</w:t>
      </w:r>
      <w:r w:rsidR="00BD0E8B" w:rsidRPr="0043253A">
        <w:rPr>
          <w:rFonts w:ascii="Arial" w:hAnsi="Arial" w:cs="Arial"/>
          <w:sz w:val="22"/>
          <w:szCs w:val="22"/>
        </w:rPr>
        <w:t>culo tendr</w:t>
      </w:r>
      <w:r w:rsidR="009A6275" w:rsidRPr="0043253A">
        <w:rPr>
          <w:rFonts w:ascii="Arial" w:hAnsi="Arial" w:cs="Arial"/>
          <w:sz w:val="22"/>
          <w:szCs w:val="22"/>
        </w:rPr>
        <w:t>á</w:t>
      </w:r>
      <w:r w:rsidR="00BD0E8B" w:rsidRPr="0043253A">
        <w:rPr>
          <w:rFonts w:ascii="Arial" w:hAnsi="Arial" w:cs="Arial"/>
          <w:sz w:val="22"/>
          <w:szCs w:val="22"/>
        </w:rPr>
        <w:t xml:space="preserve"> vigencia a partir del primero (1°) de enero del a</w:t>
      </w:r>
      <w:r w:rsidR="009A6275" w:rsidRPr="0043253A">
        <w:rPr>
          <w:rFonts w:ascii="Arial" w:hAnsi="Arial" w:cs="Arial"/>
          <w:sz w:val="22"/>
          <w:szCs w:val="22"/>
        </w:rPr>
        <w:t>ñ</w:t>
      </w:r>
      <w:r w:rsidR="00BD0E8B" w:rsidRPr="0043253A">
        <w:rPr>
          <w:rFonts w:ascii="Arial" w:hAnsi="Arial" w:cs="Arial"/>
          <w:sz w:val="22"/>
          <w:szCs w:val="22"/>
        </w:rPr>
        <w:t>o 2020. Las tarifas aqu</w:t>
      </w:r>
      <w:r w:rsidR="009A6275" w:rsidRPr="0043253A">
        <w:rPr>
          <w:rFonts w:ascii="Arial" w:hAnsi="Arial" w:cs="Arial"/>
          <w:sz w:val="22"/>
          <w:szCs w:val="22"/>
        </w:rPr>
        <w:t>í</w:t>
      </w:r>
      <w:r w:rsidR="00BD0E8B" w:rsidRPr="0043253A">
        <w:rPr>
          <w:rFonts w:ascii="Arial" w:hAnsi="Arial" w:cs="Arial"/>
          <w:sz w:val="22"/>
          <w:szCs w:val="22"/>
        </w:rPr>
        <w:t xml:space="preserve"> se</w:t>
      </w:r>
      <w:r w:rsidR="009A6275" w:rsidRPr="0043253A">
        <w:rPr>
          <w:rFonts w:ascii="Arial" w:hAnsi="Arial" w:cs="Arial"/>
          <w:sz w:val="22"/>
          <w:szCs w:val="22"/>
        </w:rPr>
        <w:t>ñ</w:t>
      </w:r>
      <w:r w:rsidR="00BD0E8B" w:rsidRPr="0043253A">
        <w:rPr>
          <w:rFonts w:ascii="Arial" w:hAnsi="Arial" w:cs="Arial"/>
          <w:sz w:val="22"/>
          <w:szCs w:val="22"/>
        </w:rPr>
        <w:t>aladas se incrementarán a partir del primero (1°) de enero del a</w:t>
      </w:r>
      <w:r w:rsidR="009A6275" w:rsidRPr="0043253A">
        <w:rPr>
          <w:rFonts w:ascii="Arial" w:hAnsi="Arial" w:cs="Arial"/>
          <w:sz w:val="22"/>
          <w:szCs w:val="22"/>
        </w:rPr>
        <w:t>ñ</w:t>
      </w:r>
      <w:r w:rsidR="00BD0E8B" w:rsidRPr="0043253A">
        <w:rPr>
          <w:rFonts w:ascii="Arial" w:hAnsi="Arial" w:cs="Arial"/>
          <w:sz w:val="22"/>
          <w:szCs w:val="22"/>
        </w:rPr>
        <w:t>o 2021, con la variaci</w:t>
      </w:r>
      <w:r w:rsidR="009A6275" w:rsidRPr="0043253A">
        <w:rPr>
          <w:rFonts w:ascii="Arial" w:hAnsi="Arial" w:cs="Arial"/>
          <w:sz w:val="22"/>
          <w:szCs w:val="22"/>
        </w:rPr>
        <w:t>ó</w:t>
      </w:r>
      <w:r w:rsidR="00BD0E8B" w:rsidRPr="0043253A">
        <w:rPr>
          <w:rFonts w:ascii="Arial" w:hAnsi="Arial" w:cs="Arial"/>
          <w:sz w:val="22"/>
          <w:szCs w:val="22"/>
        </w:rPr>
        <w:t xml:space="preserve">n anual del </w:t>
      </w:r>
      <w:r w:rsidR="009A6275" w:rsidRPr="0043253A">
        <w:rPr>
          <w:rFonts w:ascii="Arial" w:hAnsi="Arial" w:cs="Arial"/>
          <w:sz w:val="22"/>
          <w:szCs w:val="22"/>
        </w:rPr>
        <w:t>í</w:t>
      </w:r>
      <w:r w:rsidR="00BD0E8B" w:rsidRPr="0043253A">
        <w:rPr>
          <w:rFonts w:ascii="Arial" w:hAnsi="Arial" w:cs="Arial"/>
          <w:sz w:val="22"/>
          <w:szCs w:val="22"/>
        </w:rPr>
        <w:t>ndice de precios al consumidor certificado por el DANE al 30 de noviembre y el resultado se aproximar</w:t>
      </w:r>
      <w:r w:rsidR="009A6275" w:rsidRPr="0043253A">
        <w:rPr>
          <w:rFonts w:ascii="Arial" w:hAnsi="Arial" w:cs="Arial"/>
          <w:sz w:val="22"/>
          <w:szCs w:val="22"/>
        </w:rPr>
        <w:t>á</w:t>
      </w:r>
      <w:r w:rsidR="00BD0E8B" w:rsidRPr="0043253A">
        <w:rPr>
          <w:rFonts w:ascii="Arial" w:hAnsi="Arial" w:cs="Arial"/>
          <w:sz w:val="22"/>
          <w:szCs w:val="22"/>
        </w:rPr>
        <w:t xml:space="preserve"> al peso m</w:t>
      </w:r>
      <w:r w:rsidR="009A6275" w:rsidRPr="0043253A">
        <w:rPr>
          <w:rFonts w:ascii="Arial" w:hAnsi="Arial" w:cs="Arial"/>
          <w:sz w:val="22"/>
          <w:szCs w:val="22"/>
        </w:rPr>
        <w:t>á</w:t>
      </w:r>
      <w:r w:rsidR="00BD0E8B" w:rsidRPr="0043253A">
        <w:rPr>
          <w:rFonts w:ascii="Arial" w:hAnsi="Arial" w:cs="Arial"/>
          <w:sz w:val="22"/>
          <w:szCs w:val="22"/>
        </w:rPr>
        <w:t>s cercano. La Direcci</w:t>
      </w:r>
      <w:r w:rsidR="009A6275" w:rsidRPr="0043253A">
        <w:rPr>
          <w:rFonts w:ascii="Arial" w:hAnsi="Arial" w:cs="Arial"/>
          <w:sz w:val="22"/>
          <w:szCs w:val="22"/>
        </w:rPr>
        <w:t>ó</w:t>
      </w:r>
      <w:r w:rsidR="00BD0E8B" w:rsidRPr="0043253A">
        <w:rPr>
          <w:rFonts w:ascii="Arial" w:hAnsi="Arial" w:cs="Arial"/>
          <w:sz w:val="22"/>
          <w:szCs w:val="22"/>
        </w:rPr>
        <w:t>n de Apoyo Fiscal del Ministerio de Hacienda y Cr</w:t>
      </w:r>
      <w:r w:rsidR="009A6275" w:rsidRPr="0043253A">
        <w:rPr>
          <w:rFonts w:ascii="Arial" w:hAnsi="Arial" w:cs="Arial"/>
          <w:sz w:val="22"/>
          <w:szCs w:val="22"/>
        </w:rPr>
        <w:t>é</w:t>
      </w:r>
      <w:r w:rsidR="00BD0E8B" w:rsidRPr="0043253A">
        <w:rPr>
          <w:rFonts w:ascii="Arial" w:hAnsi="Arial" w:cs="Arial"/>
          <w:sz w:val="22"/>
          <w:szCs w:val="22"/>
        </w:rPr>
        <w:t>dito P</w:t>
      </w:r>
      <w:r w:rsidR="009A6275" w:rsidRPr="0043253A">
        <w:rPr>
          <w:rFonts w:ascii="Arial" w:hAnsi="Arial" w:cs="Arial"/>
          <w:sz w:val="22"/>
          <w:szCs w:val="22"/>
        </w:rPr>
        <w:t>ú</w:t>
      </w:r>
      <w:r w:rsidR="00BD0E8B" w:rsidRPr="0043253A">
        <w:rPr>
          <w:rFonts w:ascii="Arial" w:hAnsi="Arial" w:cs="Arial"/>
          <w:sz w:val="22"/>
          <w:szCs w:val="22"/>
        </w:rPr>
        <w:t>blico certificar</w:t>
      </w:r>
      <w:r w:rsidR="009A6275" w:rsidRPr="0043253A">
        <w:rPr>
          <w:rFonts w:ascii="Arial" w:hAnsi="Arial" w:cs="Arial"/>
          <w:sz w:val="22"/>
          <w:szCs w:val="22"/>
        </w:rPr>
        <w:t>á</w:t>
      </w:r>
      <w:r w:rsidR="00BD0E8B" w:rsidRPr="0043253A">
        <w:rPr>
          <w:rFonts w:ascii="Arial" w:hAnsi="Arial" w:cs="Arial"/>
          <w:sz w:val="22"/>
          <w:szCs w:val="22"/>
        </w:rPr>
        <w:t xml:space="preserve"> y publicar</w:t>
      </w:r>
      <w:r w:rsidR="009A6275" w:rsidRPr="0043253A">
        <w:rPr>
          <w:rFonts w:ascii="Arial" w:hAnsi="Arial" w:cs="Arial"/>
          <w:sz w:val="22"/>
          <w:szCs w:val="22"/>
        </w:rPr>
        <w:t>á</w:t>
      </w:r>
      <w:r w:rsidR="00BD0E8B" w:rsidRPr="0043253A">
        <w:rPr>
          <w:rFonts w:ascii="Arial" w:hAnsi="Arial" w:cs="Arial"/>
          <w:sz w:val="22"/>
          <w:szCs w:val="22"/>
        </w:rPr>
        <w:t xml:space="preserve"> antes del 1° de enero de cada a</w:t>
      </w:r>
      <w:r w:rsidR="009A6275" w:rsidRPr="0043253A">
        <w:rPr>
          <w:rFonts w:ascii="Arial" w:hAnsi="Arial" w:cs="Arial"/>
          <w:sz w:val="22"/>
          <w:szCs w:val="22"/>
        </w:rPr>
        <w:t>ñ</w:t>
      </w:r>
      <w:r w:rsidR="00BD0E8B" w:rsidRPr="0043253A">
        <w:rPr>
          <w:rFonts w:ascii="Arial" w:hAnsi="Arial" w:cs="Arial"/>
          <w:sz w:val="22"/>
          <w:szCs w:val="22"/>
        </w:rPr>
        <w:t>o, las tarifas as</w:t>
      </w:r>
      <w:r w:rsidR="009A6275" w:rsidRPr="0043253A">
        <w:rPr>
          <w:rFonts w:ascii="Arial" w:hAnsi="Arial" w:cs="Arial"/>
          <w:sz w:val="22"/>
          <w:szCs w:val="22"/>
        </w:rPr>
        <w:t>í</w:t>
      </w:r>
      <w:r w:rsidR="00BD0E8B" w:rsidRPr="0043253A">
        <w:rPr>
          <w:rFonts w:ascii="Arial" w:hAnsi="Arial" w:cs="Arial"/>
          <w:sz w:val="22"/>
          <w:szCs w:val="22"/>
        </w:rPr>
        <w:t xml:space="preserve"> indexadas. </w:t>
      </w:r>
    </w:p>
    <w:p w:rsidR="00BD0E8B" w:rsidRPr="0043253A" w:rsidRDefault="00BD0E8B" w:rsidP="00BD0E8B">
      <w:pPr>
        <w:rPr>
          <w:rFonts w:ascii="Arial" w:hAnsi="Arial" w:cs="Arial"/>
          <w:b/>
          <w:sz w:val="22"/>
          <w:szCs w:val="22"/>
          <w:lang w:val="es-ES"/>
        </w:rPr>
      </w:pPr>
    </w:p>
    <w:p w:rsidR="00120421" w:rsidRPr="0043253A" w:rsidRDefault="00120421" w:rsidP="00F53AC9">
      <w:pPr>
        <w:jc w:val="center"/>
        <w:rPr>
          <w:rFonts w:ascii="Arial" w:hAnsi="Arial" w:cs="Arial"/>
          <w:b/>
          <w:sz w:val="22"/>
          <w:szCs w:val="22"/>
          <w:lang w:val="es-ES"/>
        </w:rPr>
      </w:pPr>
    </w:p>
    <w:p w:rsidR="00BD0E8B" w:rsidRPr="0043253A" w:rsidRDefault="00F53AC9" w:rsidP="00F53AC9">
      <w:pPr>
        <w:jc w:val="center"/>
        <w:rPr>
          <w:rFonts w:ascii="Arial" w:hAnsi="Arial" w:cs="Arial"/>
          <w:b/>
          <w:sz w:val="22"/>
          <w:szCs w:val="22"/>
          <w:lang w:val="es-ES"/>
        </w:rPr>
      </w:pPr>
      <w:r w:rsidRPr="0043253A">
        <w:rPr>
          <w:rFonts w:ascii="Arial" w:hAnsi="Arial" w:cs="Arial"/>
          <w:b/>
          <w:sz w:val="22"/>
          <w:szCs w:val="22"/>
          <w:lang w:val="es-ES"/>
        </w:rPr>
        <w:t>CAPÍTULO III</w:t>
      </w:r>
    </w:p>
    <w:p w:rsidR="00F53AC9" w:rsidRPr="0043253A" w:rsidRDefault="00F53AC9" w:rsidP="00F53AC9">
      <w:pPr>
        <w:jc w:val="center"/>
        <w:rPr>
          <w:rFonts w:ascii="Arial" w:hAnsi="Arial" w:cs="Arial"/>
          <w:b/>
          <w:sz w:val="22"/>
          <w:szCs w:val="22"/>
          <w:lang w:val="es-ES"/>
        </w:rPr>
      </w:pPr>
    </w:p>
    <w:p w:rsidR="00F53AC9" w:rsidRPr="0043253A" w:rsidRDefault="00F53AC9" w:rsidP="00F53AC9">
      <w:pPr>
        <w:jc w:val="center"/>
        <w:rPr>
          <w:rFonts w:ascii="Arial" w:eastAsia="Arial Unicode MS" w:hAnsi="Arial" w:cs="Arial"/>
          <w:b/>
          <w:sz w:val="22"/>
          <w:szCs w:val="22"/>
          <w:u w:color="222222"/>
        </w:rPr>
      </w:pPr>
      <w:r w:rsidRPr="0043253A">
        <w:rPr>
          <w:rFonts w:ascii="Arial" w:eastAsia="Arial Unicode MS" w:hAnsi="Arial" w:cs="Arial"/>
          <w:b/>
          <w:sz w:val="22"/>
          <w:szCs w:val="22"/>
          <w:u w:color="222222"/>
        </w:rPr>
        <w:t>Monopolio rentístico del cannabis</w:t>
      </w:r>
    </w:p>
    <w:p w:rsidR="00F53AC9" w:rsidRPr="0043253A" w:rsidRDefault="00F53AC9" w:rsidP="00F53AC9">
      <w:pPr>
        <w:jc w:val="center"/>
        <w:rPr>
          <w:rFonts w:ascii="Arial" w:hAnsi="Arial" w:cs="Arial"/>
          <w:b/>
          <w:sz w:val="22"/>
          <w:szCs w:val="22"/>
          <w:lang w:val="es-ES"/>
        </w:rPr>
      </w:pPr>
    </w:p>
    <w:p w:rsidR="00F53AC9" w:rsidRPr="0043253A" w:rsidRDefault="00BD0E8B" w:rsidP="00F53AC9">
      <w:pPr>
        <w:jc w:val="both"/>
        <w:rPr>
          <w:rFonts w:ascii="Arial" w:eastAsia="Arial Unicode MS" w:hAnsi="Arial" w:cs="Arial"/>
          <w:sz w:val="22"/>
          <w:szCs w:val="22"/>
          <w:u w:color="222222"/>
        </w:rPr>
      </w:pPr>
      <w:r w:rsidRPr="0043253A">
        <w:rPr>
          <w:rFonts w:ascii="Arial" w:hAnsi="Arial" w:cs="Arial"/>
          <w:b/>
          <w:sz w:val="22"/>
          <w:szCs w:val="22"/>
          <w:lang w:val="es-ES"/>
        </w:rPr>
        <w:t xml:space="preserve">ARTÍCULO </w:t>
      </w:r>
      <w:r w:rsidR="00E65609">
        <w:rPr>
          <w:rFonts w:ascii="Arial" w:hAnsi="Arial" w:cs="Arial"/>
          <w:b/>
          <w:sz w:val="22"/>
          <w:szCs w:val="22"/>
          <w:lang w:val="es-ES"/>
        </w:rPr>
        <w:t>5</w:t>
      </w:r>
      <w:r w:rsidR="00120421" w:rsidRPr="0043253A">
        <w:rPr>
          <w:rFonts w:ascii="Arial" w:hAnsi="Arial" w:cs="Arial"/>
          <w:b/>
          <w:sz w:val="22"/>
          <w:szCs w:val="22"/>
          <w:lang w:val="es-ES"/>
        </w:rPr>
        <w:t>°</w:t>
      </w:r>
      <w:r w:rsidRPr="0043253A">
        <w:rPr>
          <w:rFonts w:ascii="Arial" w:hAnsi="Arial" w:cs="Arial"/>
          <w:b/>
          <w:sz w:val="22"/>
          <w:szCs w:val="22"/>
          <w:lang w:val="es-ES"/>
        </w:rPr>
        <w:t>.</w:t>
      </w:r>
      <w:r w:rsidR="00F53AC9" w:rsidRPr="0043253A">
        <w:rPr>
          <w:rFonts w:ascii="Arial" w:hAnsi="Arial" w:cs="Arial"/>
          <w:b/>
          <w:sz w:val="22"/>
          <w:szCs w:val="22"/>
          <w:lang w:val="es-ES"/>
        </w:rPr>
        <w:t xml:space="preserve"> </w:t>
      </w:r>
      <w:r w:rsidR="00F53AC9" w:rsidRPr="0043253A">
        <w:rPr>
          <w:rFonts w:ascii="Arial" w:eastAsia="Arial Unicode MS" w:hAnsi="Arial" w:cs="Arial"/>
          <w:b/>
          <w:sz w:val="22"/>
          <w:szCs w:val="22"/>
        </w:rPr>
        <w:t>Destinación de los recursos</w:t>
      </w:r>
      <w:r w:rsidR="00F53AC9" w:rsidRPr="0043253A">
        <w:rPr>
          <w:rFonts w:ascii="Arial" w:eastAsia="Arial Unicode MS" w:hAnsi="Arial" w:cs="Arial"/>
          <w:b/>
          <w:sz w:val="22"/>
          <w:szCs w:val="22"/>
          <w:u w:color="222222"/>
        </w:rPr>
        <w:t>.</w:t>
      </w:r>
      <w:r w:rsidR="00F53AC9" w:rsidRPr="0043253A">
        <w:rPr>
          <w:rFonts w:ascii="Arial" w:eastAsia="Arial Unicode MS" w:hAnsi="Arial" w:cs="Arial"/>
          <w:sz w:val="22"/>
          <w:szCs w:val="22"/>
          <w:u w:color="222222"/>
        </w:rPr>
        <w:t xml:space="preserve"> </w:t>
      </w:r>
      <w:r w:rsidR="00B378C2" w:rsidRPr="0043253A">
        <w:rPr>
          <w:rFonts w:ascii="Arial" w:eastAsia="Arial Unicode MS" w:hAnsi="Arial" w:cs="Arial"/>
          <w:sz w:val="22"/>
          <w:szCs w:val="22"/>
          <w:u w:color="222222"/>
        </w:rPr>
        <w:t>Las rentas a las que se refiere este capítulo</w:t>
      </w:r>
      <w:r w:rsidR="00F53AC9" w:rsidRPr="0043253A">
        <w:rPr>
          <w:rFonts w:ascii="Arial" w:eastAsia="Arial Unicode MS" w:hAnsi="Arial" w:cs="Arial"/>
          <w:sz w:val="22"/>
          <w:szCs w:val="22"/>
          <w:u w:color="222222"/>
        </w:rPr>
        <w:t xml:space="preserve"> se destinarán de la siguiente forma: </w:t>
      </w:r>
    </w:p>
    <w:p w:rsidR="00F53AC9" w:rsidRPr="0043253A" w:rsidRDefault="00F53AC9" w:rsidP="00F53AC9">
      <w:pPr>
        <w:jc w:val="both"/>
        <w:rPr>
          <w:rFonts w:ascii="Arial" w:eastAsia="Arial Unicode MS" w:hAnsi="Arial" w:cs="Arial"/>
          <w:sz w:val="22"/>
          <w:szCs w:val="22"/>
        </w:rPr>
      </w:pPr>
    </w:p>
    <w:p w:rsidR="00F53AC9" w:rsidRPr="0043253A" w:rsidRDefault="00F53AC9" w:rsidP="00F53AC9">
      <w:pPr>
        <w:pStyle w:val="Prrafodelista"/>
        <w:numPr>
          <w:ilvl w:val="0"/>
          <w:numId w:val="12"/>
        </w:numPr>
        <w:jc w:val="both"/>
        <w:rPr>
          <w:rFonts w:ascii="Arial" w:eastAsia="Arial Unicode MS" w:hAnsi="Arial" w:cs="Arial"/>
          <w:sz w:val="22"/>
          <w:szCs w:val="22"/>
        </w:rPr>
      </w:pPr>
      <w:r w:rsidRPr="0043253A">
        <w:rPr>
          <w:rFonts w:ascii="Arial" w:eastAsia="Arial Unicode MS" w:hAnsi="Arial" w:cs="Arial"/>
          <w:sz w:val="22"/>
          <w:szCs w:val="22"/>
        </w:rPr>
        <w:t xml:space="preserve">Del total del recaudo de las rentas del monopolio rentístico de producción de semillas </w:t>
      </w:r>
      <w:r w:rsidR="00B378C2" w:rsidRPr="0043253A">
        <w:rPr>
          <w:rFonts w:ascii="Arial" w:eastAsia="Arial Unicode MS" w:hAnsi="Arial" w:cs="Arial"/>
          <w:sz w:val="22"/>
          <w:szCs w:val="22"/>
        </w:rPr>
        <w:t>para</w:t>
      </w:r>
      <w:r w:rsidRPr="0043253A">
        <w:rPr>
          <w:rFonts w:ascii="Arial" w:eastAsia="Arial Unicode MS" w:hAnsi="Arial" w:cs="Arial"/>
          <w:sz w:val="22"/>
          <w:szCs w:val="22"/>
        </w:rPr>
        <w:t xml:space="preserve"> siembra, plantas de cannabis y </w:t>
      </w:r>
      <w:r w:rsidR="00B378C2" w:rsidRPr="0043253A">
        <w:rPr>
          <w:rFonts w:ascii="Arial" w:eastAsia="Arial Unicode MS" w:hAnsi="Arial" w:cs="Arial"/>
          <w:sz w:val="22"/>
          <w:szCs w:val="22"/>
        </w:rPr>
        <w:t xml:space="preserve">sus </w:t>
      </w:r>
      <w:r w:rsidRPr="0043253A">
        <w:rPr>
          <w:rFonts w:ascii="Arial" w:eastAsia="Arial Unicode MS" w:hAnsi="Arial" w:cs="Arial"/>
          <w:sz w:val="22"/>
          <w:szCs w:val="22"/>
        </w:rPr>
        <w:t>derivados</w:t>
      </w:r>
      <w:r w:rsidR="00B378C2" w:rsidRPr="0043253A">
        <w:rPr>
          <w:rFonts w:ascii="Arial" w:eastAsia="Arial Unicode MS" w:hAnsi="Arial" w:cs="Arial"/>
          <w:sz w:val="22"/>
          <w:szCs w:val="22"/>
        </w:rPr>
        <w:t>, los D</w:t>
      </w:r>
      <w:r w:rsidRPr="0043253A">
        <w:rPr>
          <w:rFonts w:ascii="Arial" w:eastAsia="Arial Unicode MS" w:hAnsi="Arial" w:cs="Arial"/>
          <w:sz w:val="22"/>
          <w:szCs w:val="22"/>
        </w:rPr>
        <w:t xml:space="preserve">epartamentos destinarán el 50% a financiar programas de rehabilitación del adicto. </w:t>
      </w:r>
    </w:p>
    <w:p w:rsidR="00F53AC9" w:rsidRPr="0043253A" w:rsidRDefault="00F53AC9" w:rsidP="00F53AC9">
      <w:pPr>
        <w:pStyle w:val="Prrafodelista"/>
        <w:rPr>
          <w:rFonts w:ascii="Arial" w:eastAsia="Arial Unicode MS" w:hAnsi="Arial" w:cs="Arial"/>
          <w:sz w:val="22"/>
          <w:szCs w:val="22"/>
        </w:rPr>
      </w:pPr>
    </w:p>
    <w:p w:rsidR="00F53AC9" w:rsidRPr="0043253A" w:rsidRDefault="00F53AC9" w:rsidP="00F53AC9">
      <w:pPr>
        <w:pStyle w:val="Prrafodelista"/>
        <w:numPr>
          <w:ilvl w:val="0"/>
          <w:numId w:val="12"/>
        </w:numPr>
        <w:jc w:val="both"/>
        <w:rPr>
          <w:rFonts w:ascii="Arial" w:eastAsia="Arial Unicode MS" w:hAnsi="Arial" w:cs="Arial"/>
          <w:sz w:val="22"/>
          <w:szCs w:val="22"/>
        </w:rPr>
      </w:pPr>
      <w:r w:rsidRPr="0043253A">
        <w:rPr>
          <w:rFonts w:ascii="Arial" w:eastAsia="Arial Unicode MS" w:hAnsi="Arial" w:cs="Arial"/>
          <w:sz w:val="22"/>
          <w:szCs w:val="22"/>
        </w:rPr>
        <w:t xml:space="preserve">Del total del recaudo de las rentas del monopolio rentístico de producción de semillas </w:t>
      </w:r>
      <w:r w:rsidR="00B378C2" w:rsidRPr="0043253A">
        <w:rPr>
          <w:rFonts w:ascii="Arial" w:eastAsia="Arial Unicode MS" w:hAnsi="Arial" w:cs="Arial"/>
          <w:sz w:val="22"/>
          <w:szCs w:val="22"/>
        </w:rPr>
        <w:t>para</w:t>
      </w:r>
      <w:r w:rsidRPr="0043253A">
        <w:rPr>
          <w:rFonts w:ascii="Arial" w:eastAsia="Arial Unicode MS" w:hAnsi="Arial" w:cs="Arial"/>
          <w:sz w:val="22"/>
          <w:szCs w:val="22"/>
        </w:rPr>
        <w:t xml:space="preserve"> siembra, plantas de cannabis y </w:t>
      </w:r>
      <w:r w:rsidR="00B378C2" w:rsidRPr="0043253A">
        <w:rPr>
          <w:rFonts w:ascii="Arial" w:eastAsia="Arial Unicode MS" w:hAnsi="Arial" w:cs="Arial"/>
          <w:sz w:val="22"/>
          <w:szCs w:val="22"/>
        </w:rPr>
        <w:t xml:space="preserve">sus </w:t>
      </w:r>
      <w:r w:rsidRPr="0043253A">
        <w:rPr>
          <w:rFonts w:ascii="Arial" w:eastAsia="Arial Unicode MS" w:hAnsi="Arial" w:cs="Arial"/>
          <w:sz w:val="22"/>
          <w:szCs w:val="22"/>
        </w:rPr>
        <w:t>derivados</w:t>
      </w:r>
      <w:r w:rsidR="00B378C2" w:rsidRPr="0043253A">
        <w:rPr>
          <w:rFonts w:ascii="Arial" w:eastAsia="Arial Unicode MS" w:hAnsi="Arial" w:cs="Arial"/>
          <w:sz w:val="22"/>
          <w:szCs w:val="22"/>
        </w:rPr>
        <w:t>, los D</w:t>
      </w:r>
      <w:r w:rsidRPr="0043253A">
        <w:rPr>
          <w:rFonts w:ascii="Arial" w:eastAsia="Arial Unicode MS" w:hAnsi="Arial" w:cs="Arial"/>
          <w:sz w:val="22"/>
          <w:szCs w:val="22"/>
        </w:rPr>
        <w:t xml:space="preserve">epartamentos destinarán el 20% a financiar programas de deporte. </w:t>
      </w:r>
    </w:p>
    <w:p w:rsidR="00F53AC9" w:rsidRPr="0043253A" w:rsidRDefault="00F53AC9" w:rsidP="00F53AC9">
      <w:pPr>
        <w:pStyle w:val="Prrafodelista"/>
        <w:rPr>
          <w:rFonts w:ascii="Arial" w:eastAsia="Arial Unicode MS" w:hAnsi="Arial" w:cs="Arial"/>
          <w:sz w:val="22"/>
          <w:szCs w:val="22"/>
        </w:rPr>
      </w:pPr>
    </w:p>
    <w:p w:rsidR="00F53AC9" w:rsidRPr="0043253A" w:rsidRDefault="00F53AC9" w:rsidP="00F53AC9">
      <w:pPr>
        <w:pStyle w:val="Prrafodelista"/>
        <w:numPr>
          <w:ilvl w:val="0"/>
          <w:numId w:val="12"/>
        </w:numPr>
        <w:jc w:val="both"/>
        <w:rPr>
          <w:rFonts w:ascii="Arial" w:eastAsia="Arial Unicode MS" w:hAnsi="Arial" w:cs="Arial"/>
          <w:sz w:val="22"/>
          <w:szCs w:val="22"/>
        </w:rPr>
      </w:pPr>
      <w:r w:rsidRPr="0043253A">
        <w:rPr>
          <w:rFonts w:ascii="Arial" w:eastAsia="Arial Unicode MS" w:hAnsi="Arial" w:cs="Arial"/>
          <w:sz w:val="22"/>
          <w:szCs w:val="22"/>
        </w:rPr>
        <w:t xml:space="preserve">Del total del recaudo de las rentas del monopolio rentístico de producción de semillas </w:t>
      </w:r>
      <w:r w:rsidR="00B378C2" w:rsidRPr="0043253A">
        <w:rPr>
          <w:rFonts w:ascii="Arial" w:eastAsia="Arial Unicode MS" w:hAnsi="Arial" w:cs="Arial"/>
          <w:sz w:val="22"/>
          <w:szCs w:val="22"/>
        </w:rPr>
        <w:t>para</w:t>
      </w:r>
      <w:r w:rsidRPr="0043253A">
        <w:rPr>
          <w:rFonts w:ascii="Arial" w:eastAsia="Arial Unicode MS" w:hAnsi="Arial" w:cs="Arial"/>
          <w:sz w:val="22"/>
          <w:szCs w:val="22"/>
        </w:rPr>
        <w:t xml:space="preserve"> siembra, plantas de cannabis y </w:t>
      </w:r>
      <w:r w:rsidR="00B378C2" w:rsidRPr="0043253A">
        <w:rPr>
          <w:rFonts w:ascii="Arial" w:eastAsia="Arial Unicode MS" w:hAnsi="Arial" w:cs="Arial"/>
          <w:sz w:val="22"/>
          <w:szCs w:val="22"/>
        </w:rPr>
        <w:t xml:space="preserve">sus </w:t>
      </w:r>
      <w:r w:rsidRPr="0043253A">
        <w:rPr>
          <w:rFonts w:ascii="Arial" w:eastAsia="Arial Unicode MS" w:hAnsi="Arial" w:cs="Arial"/>
          <w:sz w:val="22"/>
          <w:szCs w:val="22"/>
        </w:rPr>
        <w:t>derivados</w:t>
      </w:r>
      <w:r w:rsidR="00B378C2" w:rsidRPr="0043253A">
        <w:rPr>
          <w:rFonts w:ascii="Arial" w:eastAsia="Arial Unicode MS" w:hAnsi="Arial" w:cs="Arial"/>
          <w:sz w:val="22"/>
          <w:szCs w:val="22"/>
        </w:rPr>
        <w:t>, los D</w:t>
      </w:r>
      <w:r w:rsidRPr="0043253A">
        <w:rPr>
          <w:rFonts w:ascii="Arial" w:eastAsia="Arial Unicode MS" w:hAnsi="Arial" w:cs="Arial"/>
          <w:sz w:val="22"/>
          <w:szCs w:val="22"/>
        </w:rPr>
        <w:t xml:space="preserve">epartamentos destinarán el 20% a financiar programas de educación y prevención sobre el consumo de sustancias estupefacientes. </w:t>
      </w:r>
    </w:p>
    <w:p w:rsidR="00F53AC9" w:rsidRPr="0043253A" w:rsidRDefault="00F53AC9" w:rsidP="00F53AC9">
      <w:pPr>
        <w:jc w:val="both"/>
        <w:rPr>
          <w:rFonts w:ascii="Arial" w:eastAsia="Arial Unicode MS" w:hAnsi="Arial" w:cs="Arial"/>
          <w:sz w:val="22"/>
          <w:szCs w:val="22"/>
        </w:rPr>
      </w:pPr>
      <w:r w:rsidRPr="0043253A">
        <w:rPr>
          <w:rFonts w:ascii="Arial" w:eastAsia="Arial Unicode MS" w:hAnsi="Arial" w:cs="Arial"/>
          <w:sz w:val="22"/>
          <w:szCs w:val="22"/>
        </w:rPr>
        <w:t xml:space="preserve"> </w:t>
      </w:r>
    </w:p>
    <w:p w:rsidR="00F53AC9" w:rsidRPr="0043253A" w:rsidRDefault="00F53AC9" w:rsidP="00F53AC9">
      <w:pPr>
        <w:pStyle w:val="Prrafodelista"/>
        <w:numPr>
          <w:ilvl w:val="0"/>
          <w:numId w:val="12"/>
        </w:numPr>
        <w:jc w:val="both"/>
        <w:rPr>
          <w:rFonts w:ascii="Arial" w:eastAsia="Arial Unicode MS" w:hAnsi="Arial" w:cs="Arial"/>
          <w:sz w:val="22"/>
          <w:szCs w:val="22"/>
        </w:rPr>
      </w:pPr>
      <w:r w:rsidRPr="0043253A">
        <w:rPr>
          <w:rFonts w:ascii="Arial" w:eastAsia="Arial Unicode MS" w:hAnsi="Arial" w:cs="Arial"/>
          <w:sz w:val="22"/>
          <w:szCs w:val="22"/>
        </w:rPr>
        <w:t xml:space="preserve">El porcentaje restante, </w:t>
      </w:r>
      <w:r w:rsidR="00B378C2" w:rsidRPr="0043253A">
        <w:rPr>
          <w:rFonts w:ascii="Arial" w:eastAsia="Arial Unicode MS" w:hAnsi="Arial" w:cs="Arial"/>
          <w:sz w:val="22"/>
          <w:szCs w:val="22"/>
        </w:rPr>
        <w:t>será de</w:t>
      </w:r>
      <w:r w:rsidRPr="0043253A">
        <w:rPr>
          <w:rFonts w:ascii="Arial" w:eastAsia="Arial Unicode MS" w:hAnsi="Arial" w:cs="Arial"/>
          <w:sz w:val="22"/>
          <w:szCs w:val="22"/>
        </w:rPr>
        <w:t xml:space="preserve"> libr</w:t>
      </w:r>
      <w:r w:rsidR="00B378C2" w:rsidRPr="0043253A">
        <w:rPr>
          <w:rFonts w:ascii="Arial" w:eastAsia="Arial Unicode MS" w:hAnsi="Arial" w:cs="Arial"/>
          <w:sz w:val="22"/>
          <w:szCs w:val="22"/>
        </w:rPr>
        <w:t>e destinación por parte de los D</w:t>
      </w:r>
      <w:r w:rsidRPr="0043253A">
        <w:rPr>
          <w:rFonts w:ascii="Arial" w:eastAsia="Arial Unicode MS" w:hAnsi="Arial" w:cs="Arial"/>
          <w:sz w:val="22"/>
          <w:szCs w:val="22"/>
        </w:rPr>
        <w:t xml:space="preserve">epartamentos para la atención de sus necesidades específicas. </w:t>
      </w:r>
    </w:p>
    <w:p w:rsidR="00F53AC9" w:rsidRPr="0043253A" w:rsidRDefault="00F53AC9" w:rsidP="00F53AC9">
      <w:pPr>
        <w:jc w:val="both"/>
        <w:rPr>
          <w:rFonts w:ascii="Arial" w:eastAsia="Arial Unicode MS" w:hAnsi="Arial" w:cs="Arial"/>
          <w:sz w:val="22"/>
          <w:szCs w:val="22"/>
        </w:rPr>
      </w:pPr>
    </w:p>
    <w:p w:rsidR="00F53AC9" w:rsidRPr="0043253A" w:rsidRDefault="00F53AC9" w:rsidP="00F53AC9">
      <w:pPr>
        <w:jc w:val="both"/>
        <w:rPr>
          <w:rFonts w:ascii="Arial" w:eastAsia="Arial Unicode MS" w:hAnsi="Arial" w:cs="Arial"/>
          <w:sz w:val="22"/>
          <w:szCs w:val="22"/>
        </w:rPr>
      </w:pPr>
      <w:r w:rsidRPr="0043253A">
        <w:rPr>
          <w:rFonts w:ascii="Arial" w:eastAsia="Arial Unicode MS" w:hAnsi="Arial" w:cs="Arial"/>
          <w:b/>
          <w:sz w:val="22"/>
          <w:szCs w:val="22"/>
        </w:rPr>
        <w:t xml:space="preserve">Parágrafo. </w:t>
      </w:r>
      <w:r w:rsidR="00B378C2" w:rsidRPr="0043253A">
        <w:rPr>
          <w:rFonts w:ascii="Arial" w:eastAsia="Arial Unicode MS" w:hAnsi="Arial" w:cs="Arial"/>
          <w:sz w:val="22"/>
          <w:szCs w:val="22"/>
        </w:rPr>
        <w:t>Los D</w:t>
      </w:r>
      <w:r w:rsidRPr="0043253A">
        <w:rPr>
          <w:rFonts w:ascii="Arial" w:eastAsia="Arial Unicode MS" w:hAnsi="Arial" w:cs="Arial"/>
          <w:sz w:val="22"/>
          <w:szCs w:val="22"/>
        </w:rPr>
        <w:t xml:space="preserve">epartamentos deberán garantizar </w:t>
      </w:r>
      <w:r w:rsidR="00B378C2" w:rsidRPr="0043253A">
        <w:rPr>
          <w:rFonts w:ascii="Arial" w:eastAsia="Arial Unicode MS" w:hAnsi="Arial" w:cs="Arial"/>
          <w:sz w:val="22"/>
          <w:szCs w:val="22"/>
        </w:rPr>
        <w:t>la implementación de</w:t>
      </w:r>
      <w:r w:rsidRPr="0043253A">
        <w:rPr>
          <w:rFonts w:ascii="Arial" w:eastAsia="Arial Unicode MS" w:hAnsi="Arial" w:cs="Arial"/>
          <w:sz w:val="22"/>
          <w:szCs w:val="22"/>
        </w:rPr>
        <w:t xml:space="preserve"> los programas de educación y prevención sobre el consumo de sustancias estupefacientes en menores de edad. </w:t>
      </w:r>
    </w:p>
    <w:p w:rsidR="00F53AC9" w:rsidRPr="0043253A" w:rsidRDefault="00F53AC9" w:rsidP="00F53AC9">
      <w:pPr>
        <w:jc w:val="both"/>
        <w:rPr>
          <w:rFonts w:ascii="Arial" w:eastAsia="Arial Unicode MS" w:hAnsi="Arial" w:cs="Arial"/>
          <w:b/>
          <w:i/>
          <w:sz w:val="22"/>
          <w:szCs w:val="22"/>
        </w:rPr>
      </w:pPr>
    </w:p>
    <w:p w:rsidR="00120421" w:rsidRPr="0043253A" w:rsidRDefault="00120421" w:rsidP="00F53AC9">
      <w:pPr>
        <w:jc w:val="both"/>
        <w:rPr>
          <w:rFonts w:ascii="Arial" w:eastAsia="Arial Unicode MS" w:hAnsi="Arial" w:cs="Arial"/>
          <w:b/>
          <w:sz w:val="22"/>
          <w:szCs w:val="22"/>
        </w:rPr>
      </w:pPr>
    </w:p>
    <w:p w:rsidR="00F53AC9" w:rsidRPr="0043253A" w:rsidRDefault="00120421" w:rsidP="00F53AC9">
      <w:pPr>
        <w:jc w:val="both"/>
        <w:rPr>
          <w:rFonts w:ascii="Arial" w:eastAsia="Arial Unicode MS" w:hAnsi="Arial" w:cs="Arial"/>
          <w:sz w:val="22"/>
          <w:szCs w:val="22"/>
          <w:u w:color="222222"/>
        </w:rPr>
      </w:pPr>
      <w:r w:rsidRPr="0043253A">
        <w:rPr>
          <w:rFonts w:ascii="Arial" w:eastAsia="Arial Unicode MS" w:hAnsi="Arial" w:cs="Arial"/>
          <w:b/>
          <w:sz w:val="22"/>
          <w:szCs w:val="22"/>
        </w:rPr>
        <w:t xml:space="preserve">ARTÍCULO </w:t>
      </w:r>
      <w:r w:rsidR="00E65609">
        <w:rPr>
          <w:rFonts w:ascii="Arial" w:eastAsia="Arial Unicode MS" w:hAnsi="Arial" w:cs="Arial"/>
          <w:b/>
          <w:sz w:val="22"/>
          <w:szCs w:val="22"/>
        </w:rPr>
        <w:t>6</w:t>
      </w:r>
      <w:r w:rsidR="00F53AC9" w:rsidRPr="0043253A">
        <w:rPr>
          <w:rFonts w:ascii="Arial" w:eastAsia="Arial Unicode MS" w:hAnsi="Arial" w:cs="Arial"/>
          <w:b/>
          <w:sz w:val="22"/>
          <w:szCs w:val="22"/>
        </w:rPr>
        <w:t>º</w:t>
      </w:r>
      <w:r w:rsidR="00F53AC9" w:rsidRPr="0043253A">
        <w:rPr>
          <w:rFonts w:ascii="Arial" w:eastAsia="Arial Unicode MS" w:hAnsi="Arial" w:cs="Arial"/>
          <w:b/>
          <w:i/>
          <w:sz w:val="22"/>
          <w:szCs w:val="22"/>
        </w:rPr>
        <w:t>.</w:t>
      </w:r>
      <w:r w:rsidR="00F53AC9" w:rsidRPr="0043253A">
        <w:rPr>
          <w:rFonts w:ascii="Arial" w:eastAsia="Arial Unicode MS" w:hAnsi="Arial" w:cs="Arial"/>
          <w:b/>
          <w:sz w:val="22"/>
          <w:szCs w:val="22"/>
        </w:rPr>
        <w:t xml:space="preserve"> Cesión del impuesto al consumo</w:t>
      </w:r>
      <w:r w:rsidR="00F53AC9" w:rsidRPr="0043253A">
        <w:rPr>
          <w:rFonts w:ascii="Arial" w:eastAsia="Arial Unicode MS" w:hAnsi="Arial" w:cs="Arial"/>
          <w:b/>
          <w:sz w:val="22"/>
          <w:szCs w:val="22"/>
          <w:u w:color="222222"/>
        </w:rPr>
        <w:t xml:space="preserve">. </w:t>
      </w:r>
      <w:r w:rsidR="00B378C2" w:rsidRPr="0043253A">
        <w:rPr>
          <w:rFonts w:ascii="Arial" w:eastAsia="Arial Unicode MS" w:hAnsi="Arial" w:cs="Arial"/>
          <w:sz w:val="22"/>
          <w:szCs w:val="22"/>
          <w:u w:color="222222"/>
        </w:rPr>
        <w:t>Por medio de la presente ley, se crea la cesión a los D</w:t>
      </w:r>
      <w:r w:rsidR="00F53AC9" w:rsidRPr="0043253A">
        <w:rPr>
          <w:rFonts w:ascii="Arial" w:eastAsia="Arial Unicode MS" w:hAnsi="Arial" w:cs="Arial"/>
          <w:sz w:val="22"/>
          <w:szCs w:val="22"/>
          <w:u w:color="222222"/>
        </w:rPr>
        <w:t xml:space="preserve">epartamentos del valor del impuesto al consumo de producción de semillas para siembra de cannabis, plantas de cannabis y </w:t>
      </w:r>
      <w:r w:rsidR="00B378C2" w:rsidRPr="0043253A">
        <w:rPr>
          <w:rFonts w:ascii="Arial" w:eastAsia="Arial Unicode MS" w:hAnsi="Arial" w:cs="Arial"/>
          <w:sz w:val="22"/>
          <w:szCs w:val="22"/>
          <w:u w:color="222222"/>
        </w:rPr>
        <w:t>sus derivados</w:t>
      </w:r>
      <w:r w:rsidR="00F53AC9" w:rsidRPr="0043253A">
        <w:rPr>
          <w:rFonts w:ascii="Arial" w:eastAsia="Arial Unicode MS" w:hAnsi="Arial" w:cs="Arial"/>
          <w:sz w:val="22"/>
          <w:szCs w:val="22"/>
          <w:u w:color="222222"/>
        </w:rPr>
        <w:t xml:space="preserve">. </w:t>
      </w:r>
    </w:p>
    <w:p w:rsidR="00F53AC9" w:rsidRPr="0043253A" w:rsidRDefault="00F53AC9" w:rsidP="00F53AC9">
      <w:pPr>
        <w:jc w:val="both"/>
        <w:rPr>
          <w:rFonts w:ascii="Arial" w:eastAsia="Arial Unicode MS" w:hAnsi="Arial" w:cs="Arial"/>
          <w:sz w:val="22"/>
          <w:szCs w:val="22"/>
        </w:rPr>
      </w:pPr>
    </w:p>
    <w:p w:rsidR="00F53AC9" w:rsidRPr="0043253A" w:rsidRDefault="00F53AC9" w:rsidP="00F53AC9">
      <w:pPr>
        <w:jc w:val="both"/>
        <w:rPr>
          <w:rFonts w:ascii="Arial" w:eastAsia="Arial Unicode MS" w:hAnsi="Arial" w:cs="Arial"/>
          <w:sz w:val="22"/>
          <w:szCs w:val="22"/>
        </w:rPr>
      </w:pPr>
      <w:r w:rsidRPr="0043253A">
        <w:rPr>
          <w:rFonts w:ascii="Arial" w:eastAsia="Arial Unicode MS" w:hAnsi="Arial" w:cs="Arial"/>
          <w:b/>
          <w:sz w:val="22"/>
          <w:szCs w:val="22"/>
        </w:rPr>
        <w:t xml:space="preserve">Parágrafo. </w:t>
      </w:r>
      <w:r w:rsidRPr="0043253A">
        <w:rPr>
          <w:rFonts w:ascii="Arial" w:eastAsia="Arial Unicode MS" w:hAnsi="Arial" w:cs="Arial"/>
          <w:sz w:val="22"/>
          <w:szCs w:val="22"/>
        </w:rPr>
        <w:t xml:space="preserve"> Los recursos recaudados en virtud de la cesión del impuesto al consumo se destinarán conforme se establece en el Artículo Segundo de la presente Ley. </w:t>
      </w:r>
    </w:p>
    <w:p w:rsidR="00F53AC9" w:rsidRPr="0043253A" w:rsidRDefault="00F53AC9" w:rsidP="00F53AC9">
      <w:pPr>
        <w:jc w:val="both"/>
        <w:rPr>
          <w:rFonts w:ascii="Arial" w:eastAsia="Arial Unicode MS" w:hAnsi="Arial" w:cs="Arial"/>
          <w:sz w:val="22"/>
          <w:szCs w:val="22"/>
        </w:rPr>
      </w:pPr>
    </w:p>
    <w:p w:rsidR="00120421" w:rsidRPr="0043253A" w:rsidRDefault="00120421" w:rsidP="00F53AC9">
      <w:pPr>
        <w:jc w:val="both"/>
        <w:rPr>
          <w:rFonts w:ascii="Arial" w:eastAsia="Arial Unicode MS" w:hAnsi="Arial" w:cs="Arial"/>
          <w:b/>
          <w:sz w:val="22"/>
          <w:szCs w:val="22"/>
        </w:rPr>
      </w:pPr>
    </w:p>
    <w:p w:rsidR="00F53AC9" w:rsidRPr="0043253A" w:rsidRDefault="00120421" w:rsidP="00F53AC9">
      <w:pPr>
        <w:jc w:val="both"/>
        <w:rPr>
          <w:rFonts w:ascii="Arial" w:eastAsia="Arial Unicode MS" w:hAnsi="Arial" w:cs="Arial"/>
          <w:sz w:val="22"/>
          <w:szCs w:val="22"/>
          <w:u w:color="222222"/>
        </w:rPr>
      </w:pPr>
      <w:r w:rsidRPr="0043253A">
        <w:rPr>
          <w:rFonts w:ascii="Arial" w:eastAsia="Arial Unicode MS" w:hAnsi="Arial" w:cs="Arial"/>
          <w:b/>
          <w:sz w:val="22"/>
          <w:szCs w:val="22"/>
        </w:rPr>
        <w:t>ARTÍCULO</w:t>
      </w:r>
      <w:r w:rsidR="00F53AC9" w:rsidRPr="0043253A">
        <w:rPr>
          <w:rFonts w:ascii="Arial" w:eastAsia="Arial Unicode MS" w:hAnsi="Arial" w:cs="Arial"/>
          <w:b/>
          <w:sz w:val="22"/>
          <w:szCs w:val="22"/>
        </w:rPr>
        <w:t xml:space="preserve"> </w:t>
      </w:r>
      <w:r w:rsidR="00E65609">
        <w:rPr>
          <w:rFonts w:ascii="Arial" w:eastAsia="Arial Unicode MS" w:hAnsi="Arial" w:cs="Arial"/>
          <w:b/>
          <w:sz w:val="22"/>
          <w:szCs w:val="22"/>
        </w:rPr>
        <w:t>7</w:t>
      </w:r>
      <w:r w:rsidR="00F53AC9" w:rsidRPr="0043253A">
        <w:rPr>
          <w:rFonts w:ascii="Arial" w:eastAsia="Arial Unicode MS" w:hAnsi="Arial" w:cs="Arial"/>
          <w:b/>
          <w:sz w:val="22"/>
          <w:szCs w:val="22"/>
        </w:rPr>
        <w:t>º</w:t>
      </w:r>
      <w:r w:rsidR="00F53AC9" w:rsidRPr="0043253A">
        <w:rPr>
          <w:rFonts w:ascii="Arial" w:eastAsia="Arial Unicode MS" w:hAnsi="Arial" w:cs="Arial"/>
          <w:b/>
          <w:i/>
          <w:sz w:val="22"/>
          <w:szCs w:val="22"/>
        </w:rPr>
        <w:t>.</w:t>
      </w:r>
      <w:r w:rsidR="00F53AC9" w:rsidRPr="0043253A">
        <w:rPr>
          <w:rFonts w:ascii="Arial" w:eastAsia="Arial Unicode MS" w:hAnsi="Arial" w:cs="Arial"/>
          <w:b/>
          <w:sz w:val="22"/>
          <w:szCs w:val="22"/>
        </w:rPr>
        <w:t xml:space="preserve"> Cesión del impuesto sobre las ventas. </w:t>
      </w:r>
      <w:r w:rsidR="00F53AC9" w:rsidRPr="0043253A">
        <w:rPr>
          <w:rFonts w:ascii="Arial" w:eastAsia="Arial Unicode MS" w:hAnsi="Arial" w:cs="Arial"/>
          <w:sz w:val="22"/>
          <w:szCs w:val="22"/>
          <w:u w:color="222222"/>
        </w:rPr>
        <w:t xml:space="preserve">Por medio de la presente Ley, se crea la cesión a los departamentos del valor del impuesto sobre las ventas de la producción de semillas para siembra de cannabis, plantas de cannabis y derivados de cannabis. </w:t>
      </w:r>
    </w:p>
    <w:p w:rsidR="00F53AC9" w:rsidRPr="0043253A" w:rsidRDefault="00F53AC9" w:rsidP="00F53AC9">
      <w:pPr>
        <w:jc w:val="both"/>
        <w:rPr>
          <w:rFonts w:ascii="Arial" w:eastAsia="Arial Unicode MS" w:hAnsi="Arial" w:cs="Arial"/>
          <w:sz w:val="22"/>
          <w:szCs w:val="22"/>
        </w:rPr>
      </w:pPr>
    </w:p>
    <w:p w:rsidR="00F53AC9" w:rsidRPr="0043253A" w:rsidRDefault="00F53AC9" w:rsidP="00F53AC9">
      <w:pPr>
        <w:jc w:val="both"/>
        <w:rPr>
          <w:rFonts w:ascii="Arial" w:eastAsia="Arial Unicode MS" w:hAnsi="Arial" w:cs="Arial"/>
          <w:sz w:val="22"/>
          <w:szCs w:val="22"/>
        </w:rPr>
      </w:pPr>
      <w:r w:rsidRPr="0043253A">
        <w:rPr>
          <w:rFonts w:ascii="Arial" w:eastAsia="Arial Unicode MS" w:hAnsi="Arial" w:cs="Arial"/>
          <w:b/>
          <w:sz w:val="22"/>
          <w:szCs w:val="22"/>
        </w:rPr>
        <w:t xml:space="preserve">Parágrafo. </w:t>
      </w:r>
      <w:r w:rsidRPr="0043253A">
        <w:rPr>
          <w:rFonts w:ascii="Arial" w:eastAsia="Arial Unicode MS" w:hAnsi="Arial" w:cs="Arial"/>
          <w:sz w:val="22"/>
          <w:szCs w:val="22"/>
        </w:rPr>
        <w:t xml:space="preserve"> Los recursos recaudados en virtud de la cesión del impuesto sobre las ventas se destinarán conforme </w:t>
      </w:r>
      <w:r w:rsidR="00B378C2" w:rsidRPr="0043253A">
        <w:rPr>
          <w:rFonts w:ascii="Arial" w:eastAsia="Arial Unicode MS" w:hAnsi="Arial" w:cs="Arial"/>
          <w:sz w:val="22"/>
          <w:szCs w:val="22"/>
        </w:rPr>
        <w:t xml:space="preserve">a lo establecido </w:t>
      </w:r>
      <w:r w:rsidRPr="0043253A">
        <w:rPr>
          <w:rFonts w:ascii="Arial" w:eastAsia="Arial Unicode MS" w:hAnsi="Arial" w:cs="Arial"/>
          <w:sz w:val="22"/>
          <w:szCs w:val="22"/>
        </w:rPr>
        <w:t xml:space="preserve">en el numeral </w:t>
      </w:r>
      <w:r w:rsidR="00B378C2" w:rsidRPr="0043253A">
        <w:rPr>
          <w:rFonts w:ascii="Arial" w:eastAsia="Arial Unicode MS" w:hAnsi="Arial" w:cs="Arial"/>
          <w:sz w:val="22"/>
          <w:szCs w:val="22"/>
        </w:rPr>
        <w:t>4</w:t>
      </w:r>
      <w:r w:rsidRPr="0043253A">
        <w:rPr>
          <w:rFonts w:ascii="Arial" w:eastAsia="Arial Unicode MS" w:hAnsi="Arial" w:cs="Arial"/>
          <w:sz w:val="22"/>
          <w:szCs w:val="22"/>
        </w:rPr>
        <w:t xml:space="preserve"> del Artículo </w:t>
      </w:r>
      <w:r w:rsidR="00B378C2" w:rsidRPr="0043253A">
        <w:rPr>
          <w:rFonts w:ascii="Arial" w:eastAsia="Arial Unicode MS" w:hAnsi="Arial" w:cs="Arial"/>
          <w:sz w:val="22"/>
          <w:szCs w:val="22"/>
        </w:rPr>
        <w:t>4°</w:t>
      </w:r>
      <w:r w:rsidRPr="0043253A">
        <w:rPr>
          <w:rFonts w:ascii="Arial" w:eastAsia="Arial Unicode MS" w:hAnsi="Arial" w:cs="Arial"/>
          <w:sz w:val="22"/>
          <w:szCs w:val="22"/>
        </w:rPr>
        <w:t xml:space="preserve"> de la presente Ley. </w:t>
      </w:r>
    </w:p>
    <w:p w:rsidR="00F53AC9" w:rsidRPr="0043253A" w:rsidRDefault="00F53AC9" w:rsidP="00F53AC9">
      <w:pPr>
        <w:jc w:val="both"/>
        <w:rPr>
          <w:rFonts w:ascii="Arial" w:eastAsia="Arial Unicode MS" w:hAnsi="Arial" w:cs="Arial"/>
          <w:sz w:val="22"/>
          <w:szCs w:val="22"/>
        </w:rPr>
      </w:pPr>
    </w:p>
    <w:p w:rsidR="00120421" w:rsidRPr="0043253A" w:rsidRDefault="00120421" w:rsidP="00F53AC9">
      <w:pPr>
        <w:jc w:val="both"/>
        <w:rPr>
          <w:rFonts w:ascii="Arial" w:eastAsia="Arial Unicode MS" w:hAnsi="Arial" w:cs="Arial"/>
          <w:b/>
          <w:sz w:val="22"/>
          <w:szCs w:val="22"/>
        </w:rPr>
      </w:pPr>
    </w:p>
    <w:p w:rsidR="00F53AC9" w:rsidRPr="0043253A" w:rsidRDefault="00120421" w:rsidP="00F53AC9">
      <w:pPr>
        <w:jc w:val="both"/>
        <w:rPr>
          <w:rFonts w:ascii="Arial" w:eastAsia="Arial Unicode MS" w:hAnsi="Arial" w:cs="Arial"/>
          <w:sz w:val="22"/>
          <w:szCs w:val="22"/>
        </w:rPr>
      </w:pPr>
      <w:r w:rsidRPr="0043253A">
        <w:rPr>
          <w:rFonts w:ascii="Arial" w:eastAsia="Arial Unicode MS" w:hAnsi="Arial" w:cs="Arial"/>
          <w:b/>
          <w:sz w:val="22"/>
          <w:szCs w:val="22"/>
        </w:rPr>
        <w:t>ARTÍCULO</w:t>
      </w:r>
      <w:r w:rsidR="00F53AC9" w:rsidRPr="0043253A">
        <w:rPr>
          <w:rFonts w:ascii="Arial" w:eastAsia="Arial Unicode MS" w:hAnsi="Arial" w:cs="Arial"/>
          <w:b/>
          <w:sz w:val="22"/>
          <w:szCs w:val="22"/>
        </w:rPr>
        <w:t xml:space="preserve"> </w:t>
      </w:r>
      <w:r w:rsidR="00E65609">
        <w:rPr>
          <w:rFonts w:ascii="Arial" w:eastAsia="Arial Unicode MS" w:hAnsi="Arial" w:cs="Arial"/>
          <w:b/>
          <w:sz w:val="22"/>
          <w:szCs w:val="22"/>
        </w:rPr>
        <w:t>8</w:t>
      </w:r>
      <w:r w:rsidR="00F53AC9" w:rsidRPr="0043253A">
        <w:rPr>
          <w:rFonts w:ascii="Arial" w:eastAsia="Arial Unicode MS" w:hAnsi="Arial" w:cs="Arial"/>
          <w:b/>
          <w:sz w:val="22"/>
          <w:szCs w:val="22"/>
        </w:rPr>
        <w:t>º. Controles a la cade</w:t>
      </w:r>
      <w:r w:rsidRPr="0043253A">
        <w:rPr>
          <w:rFonts w:ascii="Arial" w:eastAsia="Arial Unicode MS" w:hAnsi="Arial" w:cs="Arial"/>
          <w:b/>
          <w:sz w:val="22"/>
          <w:szCs w:val="22"/>
        </w:rPr>
        <w:t>na de producción y distribución.</w:t>
      </w:r>
      <w:r w:rsidR="00F53AC9" w:rsidRPr="0043253A">
        <w:rPr>
          <w:rFonts w:ascii="Arial" w:eastAsia="Arial Unicode MS" w:hAnsi="Arial" w:cs="Arial"/>
          <w:b/>
          <w:sz w:val="22"/>
          <w:szCs w:val="22"/>
        </w:rPr>
        <w:t xml:space="preserve"> </w:t>
      </w:r>
      <w:r w:rsidR="00F53AC9" w:rsidRPr="0043253A">
        <w:rPr>
          <w:rFonts w:ascii="Arial" w:eastAsia="Arial Unicode MS" w:hAnsi="Arial" w:cs="Arial"/>
          <w:sz w:val="22"/>
          <w:szCs w:val="22"/>
        </w:rPr>
        <w:t xml:space="preserve">Sin perjuicio de los mecanismos de control y fiscalización establecidos en el Decreto 613 de 2017, los productores, distribuidores, comercializadores, importadores y exportadores de semillas para siembra, plantas de cannabis y </w:t>
      </w:r>
      <w:r w:rsidRPr="0043253A">
        <w:rPr>
          <w:rFonts w:ascii="Arial" w:eastAsia="Arial Unicode MS" w:hAnsi="Arial" w:cs="Arial"/>
          <w:sz w:val="22"/>
          <w:szCs w:val="22"/>
        </w:rPr>
        <w:t>sus derivados</w:t>
      </w:r>
      <w:r w:rsidR="00F53AC9" w:rsidRPr="0043253A">
        <w:rPr>
          <w:rFonts w:ascii="Arial" w:eastAsia="Arial Unicode MS" w:hAnsi="Arial" w:cs="Arial"/>
          <w:sz w:val="22"/>
          <w:szCs w:val="22"/>
        </w:rPr>
        <w:t xml:space="preserve">, tanto psicoactivo como no psicoactivo, deberán suministrar semestralmente al respectivo Departamento información detallada sobre sus cadenas de suministro y distribución. </w:t>
      </w:r>
    </w:p>
    <w:p w:rsidR="00F53AC9" w:rsidRPr="0043253A" w:rsidRDefault="00F53AC9" w:rsidP="00F53AC9">
      <w:pPr>
        <w:jc w:val="both"/>
        <w:rPr>
          <w:rFonts w:ascii="Arial" w:eastAsia="Arial Unicode MS" w:hAnsi="Arial" w:cs="Arial"/>
          <w:sz w:val="22"/>
          <w:szCs w:val="22"/>
        </w:rPr>
      </w:pPr>
    </w:p>
    <w:p w:rsidR="00F53AC9" w:rsidRPr="0043253A" w:rsidRDefault="00F53AC9" w:rsidP="00F53AC9">
      <w:pPr>
        <w:jc w:val="both"/>
        <w:rPr>
          <w:rFonts w:ascii="Arial" w:eastAsia="Arial Unicode MS" w:hAnsi="Arial" w:cs="Arial"/>
          <w:sz w:val="22"/>
          <w:szCs w:val="22"/>
        </w:rPr>
      </w:pPr>
      <w:r w:rsidRPr="0043253A">
        <w:rPr>
          <w:rFonts w:ascii="Arial" w:eastAsia="Arial Unicode MS" w:hAnsi="Arial" w:cs="Arial"/>
          <w:b/>
          <w:sz w:val="22"/>
          <w:szCs w:val="22"/>
        </w:rPr>
        <w:t xml:space="preserve">Parágrafo. </w:t>
      </w:r>
      <w:r w:rsidRPr="0043253A">
        <w:rPr>
          <w:rFonts w:ascii="Arial" w:eastAsia="Arial Unicode MS" w:hAnsi="Arial" w:cs="Arial"/>
          <w:sz w:val="22"/>
          <w:szCs w:val="22"/>
        </w:rPr>
        <w:t xml:space="preserve"> En ejercicio de facultades de fiscalización, el Departamento podrá solicitar la información contenida en el presente Artículo en cualquier momento. </w:t>
      </w:r>
    </w:p>
    <w:p w:rsidR="00F53AC9" w:rsidRPr="0043253A" w:rsidRDefault="00F53AC9" w:rsidP="00F53AC9">
      <w:pPr>
        <w:jc w:val="both"/>
        <w:rPr>
          <w:rFonts w:ascii="Arial" w:eastAsia="Arial Unicode MS" w:hAnsi="Arial" w:cs="Arial"/>
          <w:sz w:val="22"/>
          <w:szCs w:val="22"/>
        </w:rPr>
      </w:pPr>
    </w:p>
    <w:p w:rsidR="00F53AC9" w:rsidRPr="0043253A" w:rsidRDefault="00F53AC9" w:rsidP="00F53AC9">
      <w:pPr>
        <w:jc w:val="both"/>
        <w:rPr>
          <w:rFonts w:ascii="Arial" w:eastAsia="Arial Unicode MS" w:hAnsi="Arial" w:cs="Arial"/>
          <w:b/>
          <w:sz w:val="22"/>
          <w:szCs w:val="22"/>
        </w:rPr>
      </w:pPr>
    </w:p>
    <w:p w:rsidR="00F53AC9" w:rsidRPr="0043253A" w:rsidRDefault="00E65609" w:rsidP="00F53AC9">
      <w:pPr>
        <w:jc w:val="both"/>
        <w:rPr>
          <w:rFonts w:ascii="Arial" w:eastAsia="Arial Unicode MS" w:hAnsi="Arial" w:cs="Arial"/>
          <w:sz w:val="22"/>
          <w:szCs w:val="22"/>
        </w:rPr>
      </w:pPr>
      <w:r>
        <w:rPr>
          <w:rFonts w:ascii="Arial" w:eastAsia="Arial Unicode MS" w:hAnsi="Arial" w:cs="Arial"/>
          <w:b/>
          <w:sz w:val="22"/>
          <w:szCs w:val="22"/>
        </w:rPr>
        <w:t>ARTÍCULO 9</w:t>
      </w:r>
      <w:r w:rsidR="00F53AC9" w:rsidRPr="0043253A">
        <w:rPr>
          <w:rFonts w:ascii="Arial" w:eastAsia="Arial Unicode MS" w:hAnsi="Arial" w:cs="Arial"/>
          <w:b/>
          <w:sz w:val="22"/>
          <w:szCs w:val="22"/>
        </w:rPr>
        <w:t>º</w:t>
      </w:r>
      <w:r w:rsidR="00120421" w:rsidRPr="0043253A">
        <w:rPr>
          <w:rFonts w:ascii="Arial" w:eastAsia="Arial Unicode MS" w:hAnsi="Arial" w:cs="Arial"/>
          <w:b/>
          <w:sz w:val="22"/>
          <w:szCs w:val="22"/>
        </w:rPr>
        <w:t xml:space="preserve">. </w:t>
      </w:r>
      <w:r w:rsidR="00F53AC9" w:rsidRPr="0043253A">
        <w:rPr>
          <w:rFonts w:ascii="Arial" w:eastAsia="Arial Unicode MS" w:hAnsi="Arial" w:cs="Arial"/>
          <w:b/>
          <w:sz w:val="22"/>
          <w:szCs w:val="22"/>
        </w:rPr>
        <w:t xml:space="preserve">Ámbito territorial. </w:t>
      </w:r>
      <w:r w:rsidR="00F53AC9" w:rsidRPr="0043253A">
        <w:rPr>
          <w:rFonts w:ascii="Arial" w:eastAsia="Arial Unicode MS" w:hAnsi="Arial" w:cs="Arial"/>
          <w:sz w:val="22"/>
          <w:szCs w:val="22"/>
        </w:rPr>
        <w:t xml:space="preserve">Cuando la cadena de distribución para la producción de derivados de cannabis se realice en dos o más </w:t>
      </w:r>
      <w:r w:rsidR="00120421" w:rsidRPr="0043253A">
        <w:rPr>
          <w:rFonts w:ascii="Arial" w:eastAsia="Arial Unicode MS" w:hAnsi="Arial" w:cs="Arial"/>
          <w:sz w:val="22"/>
          <w:szCs w:val="22"/>
        </w:rPr>
        <w:t>D</w:t>
      </w:r>
      <w:r w:rsidR="00F53AC9" w:rsidRPr="0043253A">
        <w:rPr>
          <w:rFonts w:ascii="Arial" w:eastAsia="Arial Unicode MS" w:hAnsi="Arial" w:cs="Arial"/>
          <w:sz w:val="22"/>
          <w:szCs w:val="22"/>
        </w:rPr>
        <w:t xml:space="preserve">epartamentos, el licenciatario deberá realizar el pago de impuestos, tasas y contribuciones a que haya lugar en cada uno de ellos, de acuerdo con la actividad que se realice. </w:t>
      </w:r>
    </w:p>
    <w:p w:rsidR="00F53AC9" w:rsidRPr="0043253A" w:rsidRDefault="00F53AC9" w:rsidP="00BD0E8B">
      <w:pPr>
        <w:rPr>
          <w:rFonts w:ascii="Arial" w:hAnsi="Arial" w:cs="Arial"/>
          <w:b/>
          <w:sz w:val="22"/>
          <w:szCs w:val="22"/>
          <w:lang w:val="es-ES"/>
        </w:rPr>
      </w:pPr>
    </w:p>
    <w:p w:rsidR="00F53AC9" w:rsidRPr="0043253A" w:rsidRDefault="00F53AC9" w:rsidP="00BD0E8B">
      <w:pPr>
        <w:rPr>
          <w:rFonts w:ascii="Arial" w:hAnsi="Arial" w:cs="Arial"/>
          <w:b/>
          <w:sz w:val="22"/>
          <w:szCs w:val="22"/>
          <w:lang w:val="es-ES"/>
        </w:rPr>
      </w:pPr>
    </w:p>
    <w:p w:rsidR="00120421" w:rsidRPr="0043253A" w:rsidRDefault="00E65609" w:rsidP="00120421">
      <w:pPr>
        <w:jc w:val="both"/>
        <w:rPr>
          <w:rFonts w:ascii="Arial" w:eastAsia="Arial Unicode MS" w:hAnsi="Arial" w:cs="Arial"/>
          <w:sz w:val="22"/>
          <w:szCs w:val="22"/>
        </w:rPr>
      </w:pPr>
      <w:r>
        <w:rPr>
          <w:rFonts w:ascii="Arial" w:hAnsi="Arial" w:cs="Arial"/>
          <w:b/>
          <w:sz w:val="22"/>
          <w:szCs w:val="22"/>
          <w:lang w:val="es-ES"/>
        </w:rPr>
        <w:t>ARTÍCULO 10</w:t>
      </w:r>
      <w:r w:rsidR="00120421" w:rsidRPr="0043253A">
        <w:rPr>
          <w:rFonts w:ascii="Arial" w:hAnsi="Arial" w:cs="Arial"/>
          <w:b/>
          <w:sz w:val="22"/>
          <w:szCs w:val="22"/>
          <w:lang w:val="es-ES"/>
        </w:rPr>
        <w:t xml:space="preserve">°. </w:t>
      </w:r>
      <w:r w:rsidR="00120421" w:rsidRPr="0043253A">
        <w:rPr>
          <w:rFonts w:ascii="Arial" w:eastAsia="Arial Unicode MS" w:hAnsi="Arial" w:cs="Arial"/>
          <w:sz w:val="22"/>
          <w:szCs w:val="22"/>
        </w:rPr>
        <w:t xml:space="preserve">En lo no regulado expresamente en el presente capítulo, se aplicará lo establecido en la Ley 1816 de 2016 en lo relativo al monopolio rentístico de licores destilados. </w:t>
      </w:r>
    </w:p>
    <w:p w:rsidR="00F53AC9" w:rsidRPr="0043253A" w:rsidRDefault="00F53AC9" w:rsidP="00BD0E8B">
      <w:pPr>
        <w:rPr>
          <w:rFonts w:ascii="Arial" w:hAnsi="Arial" w:cs="Arial"/>
          <w:b/>
          <w:sz w:val="22"/>
          <w:szCs w:val="22"/>
          <w:lang w:val="es-ES"/>
        </w:rPr>
      </w:pPr>
    </w:p>
    <w:p w:rsidR="00120421" w:rsidRPr="0043253A" w:rsidRDefault="00120421" w:rsidP="00120421">
      <w:pPr>
        <w:jc w:val="center"/>
        <w:rPr>
          <w:rFonts w:ascii="Arial" w:hAnsi="Arial" w:cs="Arial"/>
          <w:b/>
          <w:sz w:val="22"/>
          <w:szCs w:val="22"/>
          <w:lang w:val="es-ES"/>
        </w:rPr>
      </w:pPr>
    </w:p>
    <w:p w:rsidR="00BD0E8B" w:rsidRPr="0043253A" w:rsidRDefault="00120421" w:rsidP="00120421">
      <w:pPr>
        <w:jc w:val="center"/>
        <w:rPr>
          <w:rFonts w:ascii="Arial" w:hAnsi="Arial" w:cs="Arial"/>
          <w:b/>
          <w:sz w:val="22"/>
          <w:szCs w:val="22"/>
          <w:lang w:val="es-ES"/>
        </w:rPr>
      </w:pPr>
      <w:r w:rsidRPr="0043253A">
        <w:rPr>
          <w:rFonts w:ascii="Arial" w:hAnsi="Arial" w:cs="Arial"/>
          <w:b/>
          <w:sz w:val="22"/>
          <w:szCs w:val="22"/>
          <w:lang w:val="es-ES"/>
        </w:rPr>
        <w:t>CAPÍTULO IV</w:t>
      </w:r>
    </w:p>
    <w:p w:rsidR="00120421" w:rsidRPr="0043253A" w:rsidRDefault="00120421" w:rsidP="00120421">
      <w:pPr>
        <w:jc w:val="center"/>
        <w:rPr>
          <w:rFonts w:ascii="Arial" w:hAnsi="Arial" w:cs="Arial"/>
          <w:b/>
          <w:sz w:val="22"/>
          <w:szCs w:val="22"/>
          <w:lang w:val="es-ES"/>
        </w:rPr>
      </w:pPr>
    </w:p>
    <w:p w:rsidR="00120421" w:rsidRPr="0043253A" w:rsidRDefault="00120421" w:rsidP="00120421">
      <w:pPr>
        <w:jc w:val="center"/>
        <w:rPr>
          <w:rFonts w:ascii="Arial" w:hAnsi="Arial" w:cs="Arial"/>
          <w:b/>
          <w:sz w:val="22"/>
          <w:szCs w:val="22"/>
          <w:lang w:val="es-ES"/>
        </w:rPr>
      </w:pPr>
      <w:r w:rsidRPr="0043253A">
        <w:rPr>
          <w:rFonts w:ascii="Arial" w:hAnsi="Arial" w:cs="Arial"/>
          <w:b/>
          <w:sz w:val="22"/>
          <w:szCs w:val="22"/>
          <w:lang w:val="es-ES"/>
        </w:rPr>
        <w:t>Parte Final</w:t>
      </w:r>
    </w:p>
    <w:p w:rsidR="00120421" w:rsidRPr="0043253A" w:rsidRDefault="00120421" w:rsidP="00120421">
      <w:pPr>
        <w:jc w:val="center"/>
        <w:rPr>
          <w:rFonts w:ascii="Arial" w:hAnsi="Arial" w:cs="Arial"/>
          <w:b/>
          <w:sz w:val="22"/>
          <w:szCs w:val="22"/>
          <w:lang w:val="es-ES"/>
        </w:rPr>
      </w:pPr>
    </w:p>
    <w:p w:rsidR="00120421" w:rsidRPr="0043253A" w:rsidRDefault="00E65609" w:rsidP="00120421">
      <w:pPr>
        <w:jc w:val="both"/>
        <w:rPr>
          <w:rFonts w:ascii="Arial" w:hAnsi="Arial" w:cs="Arial"/>
          <w:sz w:val="22"/>
          <w:szCs w:val="22"/>
          <w:lang w:val="es-ES"/>
        </w:rPr>
      </w:pPr>
      <w:r>
        <w:rPr>
          <w:rFonts w:ascii="Arial" w:hAnsi="Arial" w:cs="Arial"/>
          <w:b/>
          <w:sz w:val="22"/>
          <w:szCs w:val="22"/>
          <w:lang w:val="es-ES"/>
        </w:rPr>
        <w:t>Artículo 11</w:t>
      </w:r>
      <w:r w:rsidR="00120421" w:rsidRPr="0043253A">
        <w:rPr>
          <w:rFonts w:ascii="Arial" w:hAnsi="Arial" w:cs="Arial"/>
          <w:b/>
          <w:sz w:val="22"/>
          <w:szCs w:val="22"/>
          <w:lang w:val="es-ES"/>
        </w:rPr>
        <w:t xml:space="preserve">°. Vigencia y Derogatorias. </w:t>
      </w:r>
      <w:r w:rsidR="00120421" w:rsidRPr="0043253A">
        <w:rPr>
          <w:rFonts w:ascii="Arial" w:hAnsi="Arial" w:cs="Arial"/>
          <w:sz w:val="22"/>
          <w:szCs w:val="22"/>
          <w:lang w:val="es-ES"/>
        </w:rPr>
        <w:t>La presente ley rige a partir del 1 de enero de 2020 y deroga las disposiciones que le sean contrarias.</w:t>
      </w:r>
    </w:p>
    <w:p w:rsidR="00120421" w:rsidRPr="0043253A" w:rsidRDefault="00120421" w:rsidP="00120421">
      <w:pPr>
        <w:jc w:val="center"/>
        <w:rPr>
          <w:rFonts w:ascii="Arial" w:hAnsi="Arial" w:cs="Arial"/>
          <w:b/>
          <w:sz w:val="22"/>
          <w:szCs w:val="22"/>
          <w:lang w:val="es-ES"/>
        </w:rPr>
      </w:pPr>
    </w:p>
    <w:p w:rsidR="00120421" w:rsidRPr="0043253A" w:rsidRDefault="00120421"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BD0E8B" w:rsidRPr="0043253A" w:rsidRDefault="00BD0E8B" w:rsidP="00BD0E8B">
      <w:pPr>
        <w:rPr>
          <w:rFonts w:ascii="Arial" w:hAnsi="Arial" w:cs="Arial"/>
          <w:sz w:val="22"/>
          <w:szCs w:val="22"/>
          <w:lang w:val="es-ES"/>
        </w:rPr>
      </w:pPr>
      <w:r w:rsidRPr="0043253A">
        <w:rPr>
          <w:rFonts w:ascii="Arial" w:hAnsi="Arial" w:cs="Arial"/>
          <w:sz w:val="22"/>
          <w:szCs w:val="22"/>
          <w:lang w:val="es-ES"/>
        </w:rPr>
        <w:t>De los honora</w:t>
      </w:r>
      <w:r w:rsidR="00555E8A" w:rsidRPr="0043253A">
        <w:rPr>
          <w:rFonts w:ascii="Arial" w:hAnsi="Arial" w:cs="Arial"/>
          <w:sz w:val="22"/>
          <w:szCs w:val="22"/>
          <w:lang w:val="es-ES"/>
        </w:rPr>
        <w:t>bles</w:t>
      </w:r>
      <w:r w:rsidRPr="0043253A">
        <w:rPr>
          <w:rFonts w:ascii="Arial" w:hAnsi="Arial" w:cs="Arial"/>
          <w:sz w:val="22"/>
          <w:szCs w:val="22"/>
          <w:lang w:val="es-ES"/>
        </w:rPr>
        <w:t xml:space="preserve"> congresistas,</w:t>
      </w:r>
    </w:p>
    <w:p w:rsidR="00BD0E8B" w:rsidRPr="0043253A" w:rsidRDefault="00BD0E8B"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120421" w:rsidRPr="0043253A" w:rsidRDefault="00120421" w:rsidP="00BD0E8B">
      <w:pPr>
        <w:rPr>
          <w:rFonts w:ascii="Arial" w:hAnsi="Arial" w:cs="Arial"/>
          <w:sz w:val="22"/>
          <w:szCs w:val="22"/>
          <w:lang w:val="es-ES"/>
        </w:rPr>
      </w:pPr>
    </w:p>
    <w:p w:rsidR="00BD0E8B" w:rsidRPr="0043253A" w:rsidRDefault="00BD0E8B" w:rsidP="00BD0E8B">
      <w:pPr>
        <w:jc w:val="center"/>
        <w:rPr>
          <w:rFonts w:ascii="Arial" w:hAnsi="Arial" w:cs="Arial"/>
          <w:sz w:val="22"/>
          <w:szCs w:val="22"/>
          <w:lang w:val="es-ES"/>
        </w:rPr>
      </w:pPr>
    </w:p>
    <w:p w:rsidR="00120421" w:rsidRPr="0043253A" w:rsidRDefault="00120421" w:rsidP="00120421">
      <w:pPr>
        <w:rPr>
          <w:rFonts w:ascii="Arial" w:hAnsi="Arial" w:cs="Arial"/>
          <w:b/>
          <w:sz w:val="22"/>
          <w:szCs w:val="22"/>
          <w:lang w:val="es-ES"/>
        </w:rPr>
        <w:sectPr w:rsidR="00120421" w:rsidRPr="0043253A" w:rsidSect="004B1061">
          <w:headerReference w:type="default" r:id="rId8"/>
          <w:footerReference w:type="default" r:id="rId9"/>
          <w:pgSz w:w="12240" w:h="18720" w:code="14"/>
          <w:pgMar w:top="1417" w:right="1701" w:bottom="1417" w:left="1701" w:header="708" w:footer="708" w:gutter="0"/>
          <w:cols w:space="708"/>
          <w:docGrid w:linePitch="360"/>
        </w:sectPr>
      </w:pPr>
    </w:p>
    <w:p w:rsidR="0096275D" w:rsidRPr="0096275D" w:rsidRDefault="00120421" w:rsidP="0096275D">
      <w:pPr>
        <w:rPr>
          <w:rFonts w:ascii="Arial" w:hAnsi="Arial" w:cs="Arial"/>
          <w:sz w:val="22"/>
          <w:szCs w:val="22"/>
        </w:rPr>
      </w:pPr>
      <w:r w:rsidRPr="0096275D">
        <w:rPr>
          <w:rFonts w:ascii="Arial" w:hAnsi="Arial" w:cs="Arial"/>
          <w:sz w:val="22"/>
          <w:szCs w:val="22"/>
          <w:lang w:val="es-ES"/>
        </w:rPr>
        <w:t xml:space="preserve">CARLOS ABRAHAM JIMÉNEZ </w:t>
      </w:r>
      <w:r w:rsidR="0096275D" w:rsidRPr="0096275D">
        <w:rPr>
          <w:rFonts w:ascii="Arial" w:hAnsi="Arial" w:cs="Arial"/>
          <w:sz w:val="22"/>
          <w:szCs w:val="22"/>
          <w:lang w:val="es-ES"/>
        </w:rPr>
        <w:t>LÓPEZ</w:t>
      </w:r>
      <w:r w:rsidR="0096275D">
        <w:rPr>
          <w:rFonts w:ascii="Arial" w:hAnsi="Arial" w:cs="Arial"/>
          <w:sz w:val="22"/>
          <w:szCs w:val="22"/>
          <w:lang w:val="es-ES"/>
        </w:rPr>
        <w:t xml:space="preserve"> </w:t>
      </w:r>
      <w:r w:rsidR="0096275D">
        <w:rPr>
          <w:rFonts w:ascii="Arial" w:hAnsi="Arial" w:cs="Arial"/>
          <w:sz w:val="22"/>
          <w:szCs w:val="22"/>
          <w:lang w:val="es-ES"/>
        </w:rPr>
        <w:tab/>
      </w:r>
      <w:r w:rsidR="0096275D">
        <w:rPr>
          <w:rFonts w:ascii="Arial" w:hAnsi="Arial" w:cs="Arial"/>
          <w:sz w:val="22"/>
          <w:szCs w:val="22"/>
          <w:lang w:val="es-ES"/>
        </w:rPr>
        <w:tab/>
        <w:t xml:space="preserve">     </w:t>
      </w:r>
      <w:r w:rsidR="0096275D" w:rsidRPr="0096275D">
        <w:rPr>
          <w:rFonts w:ascii="Arial" w:hAnsi="Arial" w:cs="Arial"/>
          <w:sz w:val="22"/>
          <w:szCs w:val="22"/>
        </w:rPr>
        <w:t>DAVID ERNESTO PULIDO NOVOA</w:t>
      </w:r>
    </w:p>
    <w:p w:rsidR="0096275D" w:rsidRPr="0043253A" w:rsidRDefault="00120421" w:rsidP="0096275D">
      <w:pPr>
        <w:rPr>
          <w:rFonts w:ascii="Arial" w:hAnsi="Arial" w:cs="Arial"/>
          <w:sz w:val="22"/>
          <w:szCs w:val="22"/>
          <w:lang w:val="es-ES"/>
        </w:rPr>
      </w:pPr>
      <w:r w:rsidRPr="0096275D">
        <w:rPr>
          <w:rFonts w:ascii="Arial" w:hAnsi="Arial" w:cs="Arial"/>
          <w:sz w:val="22"/>
          <w:szCs w:val="22"/>
          <w:lang w:val="es-ES"/>
        </w:rPr>
        <w:t>Senador de la República</w:t>
      </w:r>
      <w:r w:rsidR="0096275D">
        <w:rPr>
          <w:rFonts w:ascii="Arial" w:hAnsi="Arial" w:cs="Arial"/>
          <w:sz w:val="22"/>
          <w:szCs w:val="22"/>
          <w:lang w:val="es-ES"/>
        </w:rPr>
        <w:t xml:space="preserve">                                               </w:t>
      </w:r>
      <w:bookmarkStart w:id="0" w:name="_Hlk530413908"/>
      <w:r w:rsidR="0096275D" w:rsidRPr="0043253A">
        <w:rPr>
          <w:rFonts w:ascii="Arial" w:hAnsi="Arial" w:cs="Arial"/>
          <w:sz w:val="22"/>
          <w:szCs w:val="22"/>
        </w:rPr>
        <w:t xml:space="preserve">Representante a la Cámara </w:t>
      </w:r>
      <w:bookmarkEnd w:id="0"/>
    </w:p>
    <w:p w:rsidR="0096275D" w:rsidRPr="0043253A" w:rsidRDefault="0096275D" w:rsidP="0096275D">
      <w:pPr>
        <w:jc w:val="center"/>
        <w:rPr>
          <w:rFonts w:ascii="Arial" w:hAnsi="Arial" w:cs="Arial"/>
          <w:sz w:val="22"/>
          <w:szCs w:val="22"/>
          <w:lang w:val="es-ES"/>
        </w:rPr>
      </w:pPr>
    </w:p>
    <w:p w:rsidR="00120421" w:rsidRPr="0096275D" w:rsidRDefault="0096275D" w:rsidP="0096275D">
      <w:pPr>
        <w:rPr>
          <w:rFonts w:ascii="Arial" w:hAnsi="Arial" w:cs="Arial"/>
          <w:sz w:val="22"/>
          <w:szCs w:val="22"/>
          <w:lang w:val="es-ES"/>
        </w:rPr>
      </w:pPr>
      <w:r>
        <w:rPr>
          <w:rFonts w:ascii="Arial" w:hAnsi="Arial" w:cs="Arial"/>
          <w:sz w:val="22"/>
          <w:szCs w:val="22"/>
          <w:lang w:val="es-ES"/>
        </w:rPr>
        <w:t xml:space="preserve"> </w:t>
      </w:r>
    </w:p>
    <w:p w:rsidR="00BD0E8B" w:rsidRPr="0096275D" w:rsidRDefault="00BD0E8B" w:rsidP="00120421">
      <w:pPr>
        <w:jc w:val="center"/>
        <w:rPr>
          <w:rFonts w:ascii="Arial" w:hAnsi="Arial" w:cs="Arial"/>
          <w:sz w:val="22"/>
          <w:szCs w:val="22"/>
          <w:lang w:val="es-ES"/>
        </w:rPr>
      </w:pPr>
    </w:p>
    <w:p w:rsidR="00853709" w:rsidRPr="0043253A" w:rsidRDefault="00853709" w:rsidP="0096275D">
      <w:pP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96275D" w:rsidRDefault="0096275D" w:rsidP="0096275D">
      <w:pPr>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    H.S ANA MARÍA CASTAÑEDA</w:t>
      </w:r>
    </w:p>
    <w:p w:rsidR="0096275D" w:rsidRPr="00E13984" w:rsidRDefault="0096275D" w:rsidP="0096275D">
      <w:pPr>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    Partido Cambio Radical</w:t>
      </w: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Pr="00E13984" w:rsidRDefault="0096275D" w:rsidP="0096275D">
      <w:pPr>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 xml:space="preserve">H.S </w:t>
      </w:r>
      <w:r>
        <w:rPr>
          <w:rFonts w:ascii="Arial" w:eastAsia="Libre Baskerville" w:hAnsi="Arial" w:cs="Arial"/>
        </w:rPr>
        <w:t>RICHARD A. AGUILAR</w:t>
      </w:r>
      <w:r w:rsidRPr="00E13984">
        <w:rPr>
          <w:rFonts w:ascii="Arial" w:eastAsia="Libre Baskerville" w:hAnsi="Arial" w:cs="Arial"/>
        </w:rPr>
        <w:t>.</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E.DIAZ</w:t>
      </w:r>
      <w:r w:rsidRPr="00E13984">
        <w:rPr>
          <w:rFonts w:ascii="Arial" w:eastAsia="Libre Baskerville" w:hAnsi="Arial" w:cs="Arial"/>
        </w:rPr>
        <w:t>GRANADOS T.</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H.S DIDIER LOBO CHINCHILLA</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H.S GERMAN VARON COTRINO</w:t>
      </w:r>
    </w:p>
    <w:p w:rsidR="0096275D"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96275D" w:rsidRDefault="0096275D" w:rsidP="0096275D">
      <w:pPr>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 xml:space="preserve">H.S TEMISTOCLES ORTEGA </w:t>
      </w:r>
    </w:p>
    <w:p w:rsidR="0096275D"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Pr="00E13984" w:rsidRDefault="0096275D" w:rsidP="0096275D">
      <w:pPr>
        <w:rPr>
          <w:rFonts w:ascii="Arial" w:eastAsia="Libre Baskerville" w:hAnsi="Arial" w:cs="Arial"/>
        </w:rPr>
      </w:pPr>
      <w:r w:rsidRPr="00E13984">
        <w:rPr>
          <w:rFonts w:ascii="Arial" w:eastAsia="Libre Baskerville" w:hAnsi="Arial" w:cs="Arial"/>
          <w:i/>
        </w:rPr>
        <w:t xml:space="preserve">Y los Honorables Representantes firmantes: </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t>H.R JOSÉ IGNACIO MESA B</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H.R MODESTO E.</w:t>
      </w:r>
      <w:r w:rsidRPr="00E13984">
        <w:rPr>
          <w:rFonts w:ascii="Arial" w:eastAsia="Libre Baskerville" w:hAnsi="Arial" w:cs="Arial"/>
        </w:rPr>
        <w:t xml:space="preserve"> A</w:t>
      </w:r>
      <w:r>
        <w:rPr>
          <w:rFonts w:ascii="Arial" w:eastAsia="Libre Baskerville" w:hAnsi="Arial" w:cs="Arial"/>
        </w:rPr>
        <w:t>GUILERA</w:t>
      </w:r>
      <w:r w:rsidRPr="00E13984">
        <w:rPr>
          <w:rFonts w:ascii="Arial" w:eastAsia="Libre Baskerville" w:hAnsi="Arial" w:cs="Arial"/>
        </w:rPr>
        <w:t xml:space="preserve"> </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H.R GUSTAVO H PUENTES</w:t>
      </w:r>
      <w:r w:rsidRPr="00E13984">
        <w:rPr>
          <w:rFonts w:ascii="Arial" w:eastAsia="Libre Baskerville" w:hAnsi="Arial" w:cs="Arial"/>
        </w:rPr>
        <w:t>.</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Pr>
          <w:rFonts w:ascii="Arial" w:eastAsia="Libre Baskerville" w:hAnsi="Arial" w:cs="Arial"/>
        </w:rPr>
        <w:t xml:space="preserve">H.R NÉSTOR LEONARDO RICO RICO </w:t>
      </w:r>
      <w:r>
        <w:rPr>
          <w:rFonts w:ascii="Arial" w:eastAsia="Libre Baskerville" w:hAnsi="Arial" w:cs="Arial"/>
        </w:rPr>
        <w:tab/>
      </w:r>
      <w:r w:rsidRPr="00E13984">
        <w:rPr>
          <w:rFonts w:ascii="Arial" w:eastAsia="Libre Baskerville" w:hAnsi="Arial" w:cs="Arial"/>
        </w:rPr>
        <w:t xml:space="preserve">H.R GLORIA BETTY ZORRO </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OSCAR CAMILO ARANGO C</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t>H.R CARLOS FARELO DAZA</w:t>
      </w:r>
    </w:p>
    <w:p w:rsidR="0096275D"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t>H.R JAIME RODRIGUEZ C</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H.R JAIRO HUMBERTO CRISTO C.</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r>
        <w:rPr>
          <w:rFonts w:ascii="Arial" w:eastAsia="Libre Baskerville" w:hAnsi="Arial" w:cs="Arial"/>
        </w:rPr>
        <w:t>.</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Default="00853709"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Default="0096275D" w:rsidP="00BD0E8B">
      <w:pPr>
        <w:jc w:val="center"/>
        <w:rPr>
          <w:rFonts w:ascii="Arial" w:hAnsi="Arial" w:cs="Arial"/>
          <w:sz w:val="22"/>
          <w:szCs w:val="22"/>
          <w:lang w:val="es-ES"/>
        </w:rPr>
      </w:pPr>
    </w:p>
    <w:p w:rsidR="0096275D" w:rsidRPr="0043253A" w:rsidRDefault="0096275D"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BD0E8B">
      <w:pPr>
        <w:jc w:val="center"/>
        <w:rPr>
          <w:rFonts w:ascii="Arial" w:hAnsi="Arial" w:cs="Arial"/>
          <w:sz w:val="22"/>
          <w:szCs w:val="22"/>
          <w:lang w:val="es-ES"/>
        </w:rPr>
      </w:pPr>
    </w:p>
    <w:p w:rsidR="00853709" w:rsidRPr="0043253A" w:rsidRDefault="00853709" w:rsidP="00853709">
      <w:pPr>
        <w:jc w:val="center"/>
        <w:rPr>
          <w:rFonts w:ascii="Arial" w:hAnsi="Arial" w:cs="Arial"/>
          <w:b/>
          <w:sz w:val="22"/>
          <w:szCs w:val="22"/>
          <w:lang w:val="es-ES"/>
        </w:rPr>
      </w:pPr>
      <w:r w:rsidRPr="0043253A">
        <w:rPr>
          <w:rFonts w:ascii="Arial" w:hAnsi="Arial" w:cs="Arial"/>
          <w:b/>
          <w:sz w:val="22"/>
          <w:szCs w:val="22"/>
          <w:lang w:val="es-ES"/>
        </w:rPr>
        <w:t>PROYECTO DE LEY No.___</w:t>
      </w:r>
    </w:p>
    <w:p w:rsidR="00853709" w:rsidRPr="0043253A" w:rsidRDefault="00853709" w:rsidP="00853709">
      <w:pPr>
        <w:jc w:val="center"/>
        <w:rPr>
          <w:rFonts w:ascii="Arial" w:hAnsi="Arial" w:cs="Arial"/>
          <w:sz w:val="22"/>
          <w:szCs w:val="22"/>
          <w:lang w:val="es-ES"/>
        </w:rPr>
      </w:pPr>
    </w:p>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“POR MEDIO DEL CUAL SE MODIFICA EL RÉGIMEN DE LOS INGRESOS DEPARTAMENTALES Y SE DICTAN OTRAS DISPOSICIONES</w:t>
      </w:r>
      <w:r w:rsidR="00613596" w:rsidRPr="0043253A">
        <w:rPr>
          <w:rFonts w:ascii="Arial" w:hAnsi="Arial" w:cs="Arial"/>
          <w:b/>
          <w:sz w:val="22"/>
          <w:szCs w:val="22"/>
          <w:lang w:val="es-ES"/>
        </w:rPr>
        <w:t>”</w:t>
      </w:r>
    </w:p>
    <w:p w:rsidR="00853709" w:rsidRPr="0043253A" w:rsidRDefault="00853709" w:rsidP="00853709">
      <w:pPr>
        <w:spacing w:line="276" w:lineRule="auto"/>
        <w:jc w:val="center"/>
        <w:rPr>
          <w:rFonts w:ascii="Arial" w:hAnsi="Arial" w:cs="Arial"/>
          <w:sz w:val="22"/>
          <w:szCs w:val="22"/>
          <w:lang w:val="es-ES"/>
        </w:rPr>
      </w:pPr>
    </w:p>
    <w:p w:rsidR="00853709" w:rsidRPr="0043253A" w:rsidRDefault="00853709" w:rsidP="00853709">
      <w:pPr>
        <w:spacing w:line="276" w:lineRule="auto"/>
        <w:jc w:val="center"/>
        <w:rPr>
          <w:rFonts w:ascii="Arial" w:hAnsi="Arial" w:cs="Arial"/>
          <w:sz w:val="22"/>
          <w:szCs w:val="22"/>
          <w:lang w:val="es-ES"/>
        </w:rPr>
      </w:pPr>
    </w:p>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EXPOSICIÓN DE MOTIVOS</w:t>
      </w:r>
    </w:p>
    <w:p w:rsidR="00853709" w:rsidRPr="0043253A" w:rsidRDefault="00853709" w:rsidP="00853709">
      <w:pPr>
        <w:spacing w:line="276" w:lineRule="auto"/>
        <w:jc w:val="both"/>
        <w:rPr>
          <w:rFonts w:ascii="Arial" w:hAnsi="Arial" w:cs="Arial"/>
          <w:sz w:val="22"/>
          <w:szCs w:val="22"/>
          <w:lang w:val="es-ES"/>
        </w:rPr>
      </w:pPr>
    </w:p>
    <w:p w:rsidR="00853709" w:rsidRPr="0043253A" w:rsidRDefault="00853709" w:rsidP="00613596">
      <w:pPr>
        <w:jc w:val="both"/>
        <w:rPr>
          <w:rFonts w:ascii="Arial" w:hAnsi="Arial" w:cs="Arial"/>
          <w:sz w:val="22"/>
          <w:szCs w:val="22"/>
          <w:lang w:val="es-ES"/>
        </w:rPr>
      </w:pPr>
      <w:r w:rsidRPr="0043253A">
        <w:rPr>
          <w:rFonts w:ascii="Arial" w:hAnsi="Arial" w:cs="Arial"/>
          <w:sz w:val="22"/>
          <w:szCs w:val="22"/>
          <w:lang w:val="es-ES"/>
        </w:rPr>
        <w:t xml:space="preserve">Los suscritos Honorables Congresistas actuando en ejercicio de las facultades constitucionales </w:t>
      </w:r>
      <w:r w:rsidR="00613596" w:rsidRPr="0043253A">
        <w:rPr>
          <w:rFonts w:ascii="Arial" w:hAnsi="Arial" w:cs="Arial"/>
          <w:sz w:val="22"/>
          <w:szCs w:val="22"/>
          <w:lang w:val="es-ES"/>
        </w:rPr>
        <w:t>que nos</w:t>
      </w:r>
      <w:r w:rsidRPr="0043253A">
        <w:rPr>
          <w:rFonts w:ascii="Arial" w:hAnsi="Arial" w:cs="Arial"/>
          <w:sz w:val="22"/>
          <w:szCs w:val="22"/>
          <w:lang w:val="es-ES"/>
        </w:rPr>
        <w:t xml:space="preserve"> han sido asignadas, ponemos a consideración</w:t>
      </w:r>
      <w:r w:rsidR="00613596" w:rsidRPr="0043253A">
        <w:rPr>
          <w:rFonts w:ascii="Arial" w:hAnsi="Arial" w:cs="Arial"/>
          <w:sz w:val="22"/>
          <w:szCs w:val="22"/>
          <w:lang w:val="es-ES"/>
        </w:rPr>
        <w:t xml:space="preserve"> del Congreso de la República,</w:t>
      </w:r>
      <w:r w:rsidRPr="0043253A">
        <w:rPr>
          <w:rFonts w:ascii="Arial" w:hAnsi="Arial" w:cs="Arial"/>
          <w:sz w:val="22"/>
          <w:szCs w:val="22"/>
          <w:lang w:val="es-ES"/>
        </w:rPr>
        <w:t xml:space="preserve"> el proyecto de ley </w:t>
      </w:r>
      <w:r w:rsidRPr="0043253A">
        <w:rPr>
          <w:rFonts w:ascii="Arial" w:hAnsi="Arial" w:cs="Arial"/>
          <w:i/>
          <w:sz w:val="22"/>
          <w:szCs w:val="22"/>
          <w:lang w:val="es-ES"/>
        </w:rPr>
        <w:t>“</w:t>
      </w:r>
      <w:r w:rsidR="00613596" w:rsidRPr="0043253A">
        <w:rPr>
          <w:rFonts w:ascii="Arial" w:hAnsi="Arial" w:cs="Arial"/>
          <w:i/>
          <w:sz w:val="22"/>
          <w:szCs w:val="22"/>
          <w:lang w:val="es-ES"/>
        </w:rPr>
        <w:t xml:space="preserve">por medio del cual se modifica el régimen de los ingresos departamentales y se dictan otras disposiciones”, </w:t>
      </w:r>
      <w:r w:rsidR="00613596" w:rsidRPr="0043253A">
        <w:rPr>
          <w:rFonts w:ascii="Arial" w:hAnsi="Arial" w:cs="Arial"/>
          <w:sz w:val="22"/>
          <w:szCs w:val="22"/>
          <w:lang w:val="es-ES"/>
        </w:rPr>
        <w:t>que tiene como objetivo g</w:t>
      </w:r>
      <w:r w:rsidRPr="0043253A">
        <w:rPr>
          <w:rFonts w:ascii="Arial" w:hAnsi="Arial" w:cs="Arial"/>
          <w:sz w:val="22"/>
          <w:szCs w:val="22"/>
          <w:lang w:val="es-ES"/>
        </w:rPr>
        <w:t>enerar estabilidad en el mercado de licores en Colombia</w:t>
      </w:r>
      <w:r w:rsidR="00613596" w:rsidRPr="0043253A">
        <w:rPr>
          <w:rFonts w:ascii="Arial" w:hAnsi="Arial" w:cs="Arial"/>
          <w:sz w:val="22"/>
          <w:szCs w:val="22"/>
          <w:lang w:val="es-ES"/>
        </w:rPr>
        <w:t>, f</w:t>
      </w:r>
      <w:r w:rsidRPr="0043253A">
        <w:rPr>
          <w:rFonts w:ascii="Arial" w:hAnsi="Arial" w:cs="Arial"/>
          <w:sz w:val="22"/>
          <w:szCs w:val="22"/>
          <w:lang w:val="es-ES"/>
        </w:rPr>
        <w:t>ortalecer las finanzas territoriales</w:t>
      </w:r>
      <w:r w:rsidR="00613596" w:rsidRPr="0043253A">
        <w:rPr>
          <w:rFonts w:ascii="Arial" w:hAnsi="Arial" w:cs="Arial"/>
          <w:sz w:val="22"/>
          <w:szCs w:val="22"/>
          <w:lang w:val="es-ES"/>
        </w:rPr>
        <w:t xml:space="preserve"> con la obtención mayores recursos para los Departamentos mediante el </w:t>
      </w:r>
      <w:r w:rsidRPr="0043253A">
        <w:rPr>
          <w:rFonts w:ascii="Arial" w:hAnsi="Arial" w:cs="Arial"/>
          <w:sz w:val="22"/>
          <w:szCs w:val="22"/>
          <w:lang w:val="es-ES"/>
        </w:rPr>
        <w:t>desarrollo empresarial del sector de licores, vi</w:t>
      </w:r>
      <w:r w:rsidR="00613596" w:rsidRPr="0043253A">
        <w:rPr>
          <w:rFonts w:ascii="Arial" w:hAnsi="Arial" w:cs="Arial"/>
          <w:sz w:val="22"/>
          <w:szCs w:val="22"/>
          <w:lang w:val="es-ES"/>
        </w:rPr>
        <w:t xml:space="preserve">nos, aperitivos y similares y la creación del monopolio </w:t>
      </w:r>
      <w:r w:rsidR="00613596" w:rsidRPr="0043253A">
        <w:rPr>
          <w:rFonts w:ascii="Arial" w:eastAsia="Arial Unicode MS" w:hAnsi="Arial" w:cs="Arial"/>
          <w:sz w:val="22"/>
          <w:szCs w:val="22"/>
        </w:rPr>
        <w:t>como arbitrio rentístico sobre la producción de semillas de siembra, para las plantas y cultivos de cannabis y sus derivados.</w:t>
      </w:r>
    </w:p>
    <w:p w:rsidR="00853709" w:rsidRPr="0043253A" w:rsidRDefault="00853709" w:rsidP="00853709">
      <w:pPr>
        <w:spacing w:line="276" w:lineRule="auto"/>
        <w:ind w:firstLine="360"/>
        <w:jc w:val="both"/>
        <w:rPr>
          <w:rFonts w:ascii="Arial" w:hAnsi="Arial" w:cs="Arial"/>
          <w:sz w:val="22"/>
          <w:szCs w:val="22"/>
          <w:lang w:val="es-ES"/>
        </w:rPr>
      </w:pPr>
    </w:p>
    <w:p w:rsidR="00853709" w:rsidRPr="0043253A" w:rsidRDefault="00613596" w:rsidP="00853709">
      <w:pPr>
        <w:tabs>
          <w:tab w:val="left" w:pos="426"/>
        </w:tabs>
        <w:spacing w:line="276" w:lineRule="auto"/>
        <w:jc w:val="both"/>
        <w:rPr>
          <w:rFonts w:ascii="Arial" w:hAnsi="Arial" w:cs="Arial"/>
          <w:sz w:val="22"/>
          <w:szCs w:val="22"/>
        </w:rPr>
      </w:pPr>
      <w:r w:rsidRPr="0043253A">
        <w:rPr>
          <w:rFonts w:ascii="Arial" w:hAnsi="Arial" w:cs="Arial"/>
          <w:sz w:val="22"/>
          <w:szCs w:val="22"/>
        </w:rPr>
        <w:t>Así las cosas, la exposición de motivos contiene los siguientes apartes:</w:t>
      </w:r>
    </w:p>
    <w:p w:rsidR="00613596" w:rsidRPr="0043253A" w:rsidRDefault="00613596" w:rsidP="00853709">
      <w:pPr>
        <w:tabs>
          <w:tab w:val="left" w:pos="426"/>
        </w:tabs>
        <w:spacing w:line="276" w:lineRule="auto"/>
        <w:jc w:val="both"/>
        <w:rPr>
          <w:rFonts w:ascii="Arial" w:hAnsi="Arial" w:cs="Arial"/>
          <w:sz w:val="22"/>
          <w:szCs w:val="22"/>
        </w:rPr>
      </w:pPr>
    </w:p>
    <w:p w:rsidR="00613596" w:rsidRPr="0043253A" w:rsidRDefault="00613596" w:rsidP="00613596">
      <w:pPr>
        <w:pStyle w:val="Prrafodelista"/>
        <w:numPr>
          <w:ilvl w:val="0"/>
          <w:numId w:val="13"/>
        </w:numPr>
        <w:spacing w:line="276" w:lineRule="auto"/>
        <w:jc w:val="both"/>
        <w:rPr>
          <w:rFonts w:ascii="Arial" w:hAnsi="Arial" w:cs="Arial"/>
          <w:sz w:val="22"/>
          <w:szCs w:val="22"/>
          <w:lang w:val="es-ES"/>
        </w:rPr>
      </w:pPr>
      <w:r w:rsidRPr="0043253A">
        <w:rPr>
          <w:rFonts w:ascii="Arial" w:hAnsi="Arial" w:cs="Arial"/>
          <w:sz w:val="22"/>
          <w:szCs w:val="22"/>
          <w:lang w:val="es-ES"/>
        </w:rPr>
        <w:t>Competencia del Congreso de la República</w:t>
      </w:r>
    </w:p>
    <w:p w:rsidR="00613596" w:rsidRPr="0043253A" w:rsidRDefault="00613596" w:rsidP="00613596">
      <w:pPr>
        <w:pStyle w:val="Prrafodelista"/>
        <w:numPr>
          <w:ilvl w:val="0"/>
          <w:numId w:val="13"/>
        </w:numPr>
        <w:jc w:val="both"/>
        <w:rPr>
          <w:rFonts w:ascii="Arial" w:hAnsi="Arial" w:cs="Arial"/>
          <w:sz w:val="22"/>
          <w:szCs w:val="22"/>
          <w:lang w:val="es-ES"/>
        </w:rPr>
      </w:pPr>
      <w:r w:rsidRPr="0043253A">
        <w:rPr>
          <w:rFonts w:ascii="Arial" w:hAnsi="Arial" w:cs="Arial"/>
          <w:sz w:val="22"/>
          <w:szCs w:val="22"/>
        </w:rPr>
        <w:t>Impuesto al consumo de licores, vinos, aperitivos y similares</w:t>
      </w:r>
    </w:p>
    <w:p w:rsidR="00613596" w:rsidRPr="0043253A" w:rsidRDefault="00613596" w:rsidP="00613596">
      <w:pPr>
        <w:pStyle w:val="Prrafodelista"/>
        <w:numPr>
          <w:ilvl w:val="1"/>
          <w:numId w:val="13"/>
        </w:numPr>
        <w:spacing w:line="276" w:lineRule="auto"/>
        <w:jc w:val="both"/>
        <w:rPr>
          <w:rFonts w:ascii="Arial" w:hAnsi="Arial" w:cs="Arial"/>
          <w:sz w:val="22"/>
          <w:szCs w:val="22"/>
          <w:lang w:val="es-ES"/>
        </w:rPr>
      </w:pPr>
      <w:r w:rsidRPr="0043253A">
        <w:rPr>
          <w:rFonts w:ascii="Arial" w:hAnsi="Arial" w:cs="Arial"/>
          <w:sz w:val="22"/>
          <w:szCs w:val="22"/>
          <w:lang w:val="es-ES"/>
        </w:rPr>
        <w:t>Antecedentes normativos</w:t>
      </w:r>
    </w:p>
    <w:p w:rsidR="00613596" w:rsidRPr="0043253A" w:rsidRDefault="000879A9" w:rsidP="00613596">
      <w:pPr>
        <w:pStyle w:val="Prrafodelista"/>
        <w:numPr>
          <w:ilvl w:val="1"/>
          <w:numId w:val="13"/>
        </w:numPr>
        <w:spacing w:line="276" w:lineRule="auto"/>
        <w:jc w:val="both"/>
        <w:rPr>
          <w:rFonts w:ascii="Arial" w:hAnsi="Arial" w:cs="Arial"/>
          <w:sz w:val="22"/>
          <w:szCs w:val="22"/>
          <w:lang w:val="es-ES"/>
        </w:rPr>
      </w:pPr>
      <w:r w:rsidRPr="0043253A">
        <w:rPr>
          <w:rFonts w:ascii="Arial" w:hAnsi="Arial" w:cs="Arial"/>
          <w:sz w:val="22"/>
          <w:szCs w:val="22"/>
          <w:lang w:val="es-ES"/>
        </w:rPr>
        <w:t>Descripción del problema</w:t>
      </w:r>
    </w:p>
    <w:p w:rsidR="0021507E" w:rsidRPr="0043253A" w:rsidRDefault="00951564" w:rsidP="0021507E">
      <w:pPr>
        <w:pStyle w:val="Prrafodelista"/>
        <w:numPr>
          <w:ilvl w:val="1"/>
          <w:numId w:val="13"/>
        </w:numPr>
        <w:spacing w:line="276" w:lineRule="auto"/>
        <w:jc w:val="both"/>
        <w:rPr>
          <w:rFonts w:ascii="Arial" w:hAnsi="Arial" w:cs="Arial"/>
          <w:sz w:val="22"/>
          <w:szCs w:val="22"/>
          <w:lang w:val="es-ES"/>
        </w:rPr>
      </w:pPr>
      <w:r w:rsidRPr="0043253A">
        <w:rPr>
          <w:rFonts w:ascii="Arial" w:hAnsi="Arial" w:cs="Arial"/>
          <w:sz w:val="22"/>
          <w:szCs w:val="22"/>
          <w:lang w:val="es-ES"/>
        </w:rPr>
        <w:t>Explicación articulado (capítulo II)</w:t>
      </w:r>
    </w:p>
    <w:p w:rsidR="0021507E" w:rsidRPr="0043253A" w:rsidRDefault="0021507E" w:rsidP="0021507E">
      <w:pPr>
        <w:pStyle w:val="Prrafodelista"/>
        <w:numPr>
          <w:ilvl w:val="1"/>
          <w:numId w:val="13"/>
        </w:numPr>
        <w:spacing w:line="276" w:lineRule="auto"/>
        <w:jc w:val="both"/>
        <w:rPr>
          <w:rFonts w:ascii="Arial" w:hAnsi="Arial" w:cs="Arial"/>
          <w:sz w:val="22"/>
          <w:szCs w:val="22"/>
          <w:lang w:val="es-ES"/>
        </w:rPr>
      </w:pPr>
      <w:r w:rsidRPr="0043253A">
        <w:rPr>
          <w:rFonts w:ascii="Arial" w:hAnsi="Arial" w:cs="Arial"/>
          <w:sz w:val="22"/>
          <w:szCs w:val="22"/>
          <w:lang w:val="es-ES"/>
        </w:rPr>
        <w:t>Implicaciones en el recaudo impositivo para los Departamentos</w:t>
      </w:r>
    </w:p>
    <w:p w:rsidR="00951564" w:rsidRPr="0043253A" w:rsidRDefault="00951564" w:rsidP="00951564">
      <w:pPr>
        <w:rPr>
          <w:rFonts w:ascii="Arial" w:eastAsia="Arial Unicode MS" w:hAnsi="Arial" w:cs="Arial"/>
          <w:b/>
          <w:sz w:val="22"/>
          <w:szCs w:val="22"/>
          <w:u w:color="222222"/>
        </w:rPr>
      </w:pPr>
    </w:p>
    <w:p w:rsidR="00951564" w:rsidRPr="0043253A" w:rsidRDefault="00951564" w:rsidP="00951564">
      <w:pPr>
        <w:pStyle w:val="Prrafodelista"/>
        <w:numPr>
          <w:ilvl w:val="0"/>
          <w:numId w:val="13"/>
        </w:numPr>
        <w:rPr>
          <w:rFonts w:ascii="Arial" w:eastAsia="Arial Unicode MS" w:hAnsi="Arial" w:cs="Arial"/>
          <w:sz w:val="22"/>
          <w:szCs w:val="22"/>
          <w:u w:color="222222"/>
        </w:rPr>
      </w:pPr>
      <w:r w:rsidRPr="0043253A">
        <w:rPr>
          <w:rFonts w:ascii="Arial" w:eastAsia="Arial Unicode MS" w:hAnsi="Arial" w:cs="Arial"/>
          <w:sz w:val="22"/>
          <w:szCs w:val="22"/>
          <w:u w:color="222222"/>
        </w:rPr>
        <w:t>Monopolio rentístico del cannabis</w:t>
      </w:r>
    </w:p>
    <w:p w:rsidR="0043253A" w:rsidRPr="0043253A" w:rsidRDefault="0043253A" w:rsidP="0043253A">
      <w:pPr>
        <w:pStyle w:val="Prrafodelista"/>
        <w:numPr>
          <w:ilvl w:val="1"/>
          <w:numId w:val="13"/>
        </w:numPr>
        <w:spacing w:line="276" w:lineRule="auto"/>
        <w:jc w:val="both"/>
        <w:rPr>
          <w:rFonts w:ascii="Arial" w:hAnsi="Arial" w:cs="Arial"/>
          <w:sz w:val="22"/>
          <w:szCs w:val="22"/>
          <w:lang w:val="es-ES"/>
        </w:rPr>
      </w:pPr>
      <w:r w:rsidRPr="0043253A">
        <w:rPr>
          <w:rFonts w:ascii="Arial" w:hAnsi="Arial" w:cs="Arial"/>
          <w:sz w:val="22"/>
          <w:szCs w:val="22"/>
          <w:lang w:val="es-ES"/>
        </w:rPr>
        <w:t>Fundamento Constitucional y Legal</w:t>
      </w:r>
    </w:p>
    <w:p w:rsidR="0043253A" w:rsidRPr="0043253A" w:rsidRDefault="0043253A" w:rsidP="0043253A">
      <w:pPr>
        <w:pStyle w:val="Prrafodelista"/>
        <w:numPr>
          <w:ilvl w:val="1"/>
          <w:numId w:val="13"/>
        </w:numPr>
        <w:spacing w:line="276" w:lineRule="auto"/>
        <w:jc w:val="both"/>
        <w:rPr>
          <w:rFonts w:ascii="Arial" w:hAnsi="Arial" w:cs="Arial"/>
          <w:sz w:val="22"/>
          <w:szCs w:val="22"/>
          <w:lang w:val="es-ES"/>
        </w:rPr>
      </w:pPr>
      <w:r w:rsidRPr="0043253A">
        <w:rPr>
          <w:rFonts w:ascii="Arial" w:hAnsi="Arial" w:cs="Arial"/>
          <w:sz w:val="22"/>
          <w:szCs w:val="22"/>
        </w:rPr>
        <w:t>Justificación articulado (capítulo III)</w:t>
      </w:r>
    </w:p>
    <w:p w:rsidR="0043253A" w:rsidRPr="0043253A" w:rsidRDefault="0043253A" w:rsidP="00951564">
      <w:pPr>
        <w:pStyle w:val="Prrafodelista"/>
        <w:spacing w:line="276" w:lineRule="auto"/>
        <w:jc w:val="both"/>
        <w:rPr>
          <w:rFonts w:ascii="Arial" w:hAnsi="Arial" w:cs="Arial"/>
          <w:sz w:val="22"/>
          <w:szCs w:val="22"/>
          <w:lang w:val="es-ES"/>
        </w:rPr>
      </w:pPr>
    </w:p>
    <w:p w:rsidR="00613596" w:rsidRPr="0043253A" w:rsidRDefault="00613596" w:rsidP="00613596">
      <w:pPr>
        <w:spacing w:line="276" w:lineRule="auto"/>
        <w:jc w:val="both"/>
        <w:rPr>
          <w:rFonts w:ascii="Arial" w:hAnsi="Arial" w:cs="Arial"/>
          <w:b/>
          <w:sz w:val="22"/>
          <w:szCs w:val="22"/>
          <w:lang w:val="es-ES"/>
        </w:rPr>
      </w:pPr>
    </w:p>
    <w:p w:rsidR="00613596" w:rsidRPr="0043253A" w:rsidRDefault="00613596" w:rsidP="00613596">
      <w:pPr>
        <w:spacing w:line="276" w:lineRule="auto"/>
        <w:jc w:val="both"/>
        <w:rPr>
          <w:rFonts w:ascii="Arial" w:hAnsi="Arial" w:cs="Arial"/>
          <w:b/>
          <w:sz w:val="22"/>
          <w:szCs w:val="22"/>
          <w:lang w:val="es-ES"/>
        </w:rPr>
      </w:pPr>
    </w:p>
    <w:p w:rsidR="00853709" w:rsidRPr="0043253A" w:rsidRDefault="00853709" w:rsidP="00613596">
      <w:pPr>
        <w:pStyle w:val="Prrafodelista"/>
        <w:numPr>
          <w:ilvl w:val="0"/>
          <w:numId w:val="14"/>
        </w:numPr>
        <w:spacing w:line="276" w:lineRule="auto"/>
        <w:jc w:val="center"/>
        <w:rPr>
          <w:rFonts w:ascii="Arial" w:hAnsi="Arial" w:cs="Arial"/>
          <w:b/>
          <w:sz w:val="22"/>
          <w:szCs w:val="22"/>
          <w:lang w:val="es-ES"/>
        </w:rPr>
      </w:pPr>
      <w:r w:rsidRPr="0043253A">
        <w:rPr>
          <w:rFonts w:ascii="Arial" w:hAnsi="Arial" w:cs="Arial"/>
          <w:b/>
          <w:sz w:val="22"/>
          <w:szCs w:val="22"/>
          <w:lang w:val="es-ES"/>
        </w:rPr>
        <w:t>COMPETENCIA</w:t>
      </w:r>
      <w:r w:rsidR="00613596" w:rsidRPr="0043253A">
        <w:rPr>
          <w:rFonts w:ascii="Arial" w:hAnsi="Arial" w:cs="Arial"/>
          <w:b/>
          <w:sz w:val="22"/>
          <w:szCs w:val="22"/>
          <w:lang w:val="es-ES"/>
        </w:rPr>
        <w:t xml:space="preserve"> DEL CONGRESO DE LA REPÚBLICA</w:t>
      </w:r>
    </w:p>
    <w:p w:rsidR="00853709" w:rsidRPr="0043253A" w:rsidRDefault="00853709" w:rsidP="00853709">
      <w:pPr>
        <w:spacing w:line="276" w:lineRule="auto"/>
        <w:jc w:val="both"/>
        <w:rPr>
          <w:rFonts w:ascii="Arial" w:hAnsi="Arial" w:cs="Arial"/>
          <w:b/>
          <w:sz w:val="22"/>
          <w:szCs w:val="22"/>
          <w:lang w:val="es-ES"/>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 xml:space="preserve">En concordancia con lo dispuesto en el artículo 338 de la Constitución Política, el Congreso de la República está facultado para crear, modificar y derogar tributos. Al respecto, la Corte Constitucional ha manifestado: </w:t>
      </w:r>
    </w:p>
    <w:p w:rsidR="00853709" w:rsidRPr="0043253A" w:rsidRDefault="00853709" w:rsidP="00853709">
      <w:pPr>
        <w:spacing w:line="276" w:lineRule="auto"/>
        <w:jc w:val="both"/>
        <w:rPr>
          <w:rFonts w:ascii="Arial" w:hAnsi="Arial" w:cs="Arial"/>
          <w:sz w:val="22"/>
          <w:szCs w:val="22"/>
        </w:rPr>
      </w:pPr>
    </w:p>
    <w:p w:rsidR="00853709" w:rsidRPr="0043253A" w:rsidRDefault="00853709" w:rsidP="00613596">
      <w:pPr>
        <w:spacing w:line="276" w:lineRule="auto"/>
        <w:jc w:val="both"/>
        <w:rPr>
          <w:rFonts w:ascii="Arial" w:hAnsi="Arial" w:cs="Arial"/>
          <w:iCs/>
          <w:sz w:val="22"/>
          <w:szCs w:val="22"/>
        </w:rPr>
      </w:pPr>
      <w:r w:rsidRPr="0043253A">
        <w:rPr>
          <w:rFonts w:ascii="Arial" w:hAnsi="Arial" w:cs="Arial"/>
          <w:iCs/>
          <w:sz w:val="22"/>
          <w:szCs w:val="22"/>
        </w:rPr>
        <w:t xml:space="preserve">De conformidad con el tenor literal de estas disposiciones superiores, es claro para la Sala que los artículos 150 numeral 12 y 338 C.P. le confieren al legislador una amplia potestad de regular lo concerniente a las contribuciones fiscales y parafiscales y le reconocen la facultad para exigirlos cuando la ley lo determina. En este sentido, </w:t>
      </w:r>
      <w:r w:rsidRPr="0043253A">
        <w:rPr>
          <w:rFonts w:ascii="Arial" w:hAnsi="Arial" w:cs="Arial"/>
          <w:bCs/>
          <w:iCs/>
          <w:sz w:val="22"/>
          <w:szCs w:val="22"/>
        </w:rPr>
        <w:t>el legislativo puede establecer, imponer o crear los tributarios en general, puede modificarlos, derogarlos, (…)</w:t>
      </w:r>
    </w:p>
    <w:p w:rsidR="00853709" w:rsidRPr="0043253A" w:rsidRDefault="00853709" w:rsidP="00853709">
      <w:pPr>
        <w:spacing w:line="276" w:lineRule="auto"/>
        <w:ind w:left="360"/>
        <w:jc w:val="both"/>
        <w:rPr>
          <w:rFonts w:ascii="Arial" w:hAnsi="Arial" w:cs="Arial"/>
          <w:iCs/>
          <w:sz w:val="22"/>
          <w:szCs w:val="22"/>
        </w:rPr>
      </w:pPr>
    </w:p>
    <w:p w:rsidR="00853709" w:rsidRPr="0043253A" w:rsidRDefault="00853709" w:rsidP="00613596">
      <w:pPr>
        <w:spacing w:line="276" w:lineRule="auto"/>
        <w:jc w:val="both"/>
        <w:rPr>
          <w:rFonts w:ascii="Arial" w:hAnsi="Arial" w:cs="Arial"/>
          <w:sz w:val="22"/>
          <w:szCs w:val="22"/>
        </w:rPr>
      </w:pPr>
      <w:r w:rsidRPr="0043253A">
        <w:rPr>
          <w:rFonts w:ascii="Arial" w:hAnsi="Arial" w:cs="Arial"/>
          <w:iCs/>
          <w:sz w:val="22"/>
          <w:szCs w:val="22"/>
        </w:rPr>
        <w:t xml:space="preserve">Por lo tanto, es evidente el amplio espectro de configuración que constitucionalmente le asiste al legislador en esta materia, y se observa así mismo la importancia del principio de legalidad, el cual parte del supuesto de que la obligación tributaria solo puede crearse a partir de la ley. </w:t>
      </w:r>
      <w:sdt>
        <w:sdtPr>
          <w:rPr>
            <w:rFonts w:ascii="Arial" w:hAnsi="Arial" w:cs="Arial"/>
            <w:iCs/>
            <w:sz w:val="22"/>
            <w:szCs w:val="22"/>
          </w:rPr>
          <w:id w:val="477656162"/>
          <w:citation/>
        </w:sdtPr>
        <w:sdtEndPr/>
        <w:sdtContent>
          <w:r w:rsidRPr="0043253A">
            <w:rPr>
              <w:rFonts w:ascii="Arial" w:hAnsi="Arial" w:cs="Arial"/>
              <w:iCs/>
              <w:sz w:val="22"/>
              <w:szCs w:val="22"/>
            </w:rPr>
            <w:fldChar w:fldCharType="begin"/>
          </w:r>
          <w:r w:rsidRPr="0043253A">
            <w:rPr>
              <w:rFonts w:ascii="Arial" w:hAnsi="Arial" w:cs="Arial"/>
              <w:iCs/>
              <w:sz w:val="22"/>
              <w:szCs w:val="22"/>
              <w:lang w:val="es-ES"/>
            </w:rPr>
            <w:instrText xml:space="preserve">CITATION 13C6 \l 3082 </w:instrText>
          </w:r>
          <w:r w:rsidRPr="0043253A">
            <w:rPr>
              <w:rFonts w:ascii="Arial" w:hAnsi="Arial" w:cs="Arial"/>
              <w:iCs/>
              <w:sz w:val="22"/>
              <w:szCs w:val="22"/>
            </w:rPr>
            <w:fldChar w:fldCharType="separate"/>
          </w:r>
          <w:r w:rsidRPr="0043253A">
            <w:rPr>
              <w:rFonts w:ascii="Arial" w:hAnsi="Arial" w:cs="Arial"/>
              <w:noProof/>
              <w:sz w:val="22"/>
              <w:szCs w:val="22"/>
              <w:lang w:val="es-ES"/>
            </w:rPr>
            <w:t>(Corte Constitucional, 2013)</w:t>
          </w:r>
          <w:r w:rsidRPr="0043253A">
            <w:rPr>
              <w:rFonts w:ascii="Arial" w:hAnsi="Arial" w:cs="Arial"/>
              <w:iCs/>
              <w:sz w:val="22"/>
              <w:szCs w:val="22"/>
            </w:rPr>
            <w:fldChar w:fldCharType="end"/>
          </w:r>
        </w:sdtContent>
      </w:sdt>
    </w:p>
    <w:p w:rsidR="00853709" w:rsidRPr="0043253A" w:rsidRDefault="00853709" w:rsidP="00853709">
      <w:pPr>
        <w:spacing w:line="276" w:lineRule="auto"/>
        <w:jc w:val="both"/>
        <w:rPr>
          <w:rFonts w:ascii="Arial" w:hAnsi="Arial" w:cs="Arial"/>
          <w:b/>
          <w:sz w:val="22"/>
          <w:szCs w:val="22"/>
          <w:lang w:val="es-ES"/>
        </w:rPr>
      </w:pPr>
    </w:p>
    <w:p w:rsidR="00853709" w:rsidRPr="0043253A" w:rsidRDefault="00853709" w:rsidP="00613596">
      <w:pPr>
        <w:spacing w:line="276" w:lineRule="auto"/>
        <w:jc w:val="both"/>
        <w:rPr>
          <w:rFonts w:ascii="Arial" w:hAnsi="Arial" w:cs="Arial"/>
          <w:bCs/>
          <w:iCs/>
          <w:sz w:val="22"/>
          <w:szCs w:val="22"/>
        </w:rPr>
      </w:pPr>
      <w:r w:rsidRPr="0043253A">
        <w:rPr>
          <w:rFonts w:ascii="Arial" w:hAnsi="Arial" w:cs="Arial"/>
          <w:iCs/>
          <w:sz w:val="22"/>
          <w:szCs w:val="22"/>
        </w:rPr>
        <w:t xml:space="preserve">El ejercicio de las competencias de los entes territoriales en materia tributaria bajo el principio de autonomía, se encuentra limitado por el principio de unidad de Estado. Por esa razón, conforme a lo dispuesto en los artículos 152, numeral 12, y 338 de la Constitución, </w:t>
      </w:r>
      <w:r w:rsidRPr="0043253A">
        <w:rPr>
          <w:rFonts w:ascii="Arial" w:hAnsi="Arial" w:cs="Arial"/>
          <w:bCs/>
          <w:iCs/>
          <w:sz w:val="22"/>
          <w:szCs w:val="22"/>
        </w:rPr>
        <w:t xml:space="preserve">el Congreso de la República tiene la competencia constitucional para crear tributos, así como la de modificarlos, aumentarlos, disminuirlos, suprimierlos, o establecer supuestos de no sujeción. </w:t>
      </w:r>
      <w:sdt>
        <w:sdtPr>
          <w:rPr>
            <w:rFonts w:ascii="Arial" w:hAnsi="Arial" w:cs="Arial"/>
            <w:bCs/>
            <w:iCs/>
            <w:sz w:val="22"/>
            <w:szCs w:val="22"/>
          </w:rPr>
          <w:id w:val="-2134085183"/>
          <w:citation/>
        </w:sdtPr>
        <w:sdtEndPr/>
        <w:sdtContent>
          <w:r w:rsidRPr="0043253A">
            <w:rPr>
              <w:rFonts w:ascii="Arial" w:hAnsi="Arial" w:cs="Arial"/>
              <w:bCs/>
              <w:iCs/>
              <w:sz w:val="22"/>
              <w:szCs w:val="22"/>
            </w:rPr>
            <w:fldChar w:fldCharType="begin"/>
          </w:r>
          <w:r w:rsidRPr="0043253A">
            <w:rPr>
              <w:rFonts w:ascii="Arial" w:hAnsi="Arial" w:cs="Arial"/>
              <w:bCs/>
              <w:iCs/>
              <w:sz w:val="22"/>
              <w:szCs w:val="22"/>
              <w:lang w:val="es-ES"/>
            </w:rPr>
            <w:instrText xml:space="preserve"> CITATION Cor15 \l 3082 </w:instrText>
          </w:r>
          <w:r w:rsidRPr="0043253A">
            <w:rPr>
              <w:rFonts w:ascii="Arial" w:hAnsi="Arial" w:cs="Arial"/>
              <w:bCs/>
              <w:iCs/>
              <w:sz w:val="22"/>
              <w:szCs w:val="22"/>
            </w:rPr>
            <w:fldChar w:fldCharType="separate"/>
          </w:r>
          <w:r w:rsidRPr="0043253A">
            <w:rPr>
              <w:rFonts w:ascii="Arial" w:hAnsi="Arial" w:cs="Arial"/>
              <w:noProof/>
              <w:sz w:val="22"/>
              <w:szCs w:val="22"/>
              <w:lang w:val="es-ES"/>
            </w:rPr>
            <w:t>(Corte Constitucional, 2015)</w:t>
          </w:r>
          <w:r w:rsidRPr="0043253A">
            <w:rPr>
              <w:rFonts w:ascii="Arial" w:hAnsi="Arial" w:cs="Arial"/>
              <w:bCs/>
              <w:iCs/>
              <w:sz w:val="22"/>
              <w:szCs w:val="22"/>
            </w:rPr>
            <w:fldChar w:fldCharType="end"/>
          </w:r>
        </w:sdtContent>
      </w:sdt>
    </w:p>
    <w:p w:rsidR="00853709" w:rsidRPr="0043253A" w:rsidRDefault="00853709" w:rsidP="00853709">
      <w:pPr>
        <w:spacing w:line="276" w:lineRule="auto"/>
        <w:jc w:val="both"/>
        <w:rPr>
          <w:rFonts w:ascii="Arial" w:hAnsi="Arial" w:cs="Arial"/>
          <w:bCs/>
          <w:iCs/>
          <w:sz w:val="22"/>
          <w:szCs w:val="22"/>
        </w:rPr>
      </w:pPr>
    </w:p>
    <w:p w:rsidR="00853709" w:rsidRPr="0043253A" w:rsidRDefault="00853709" w:rsidP="00613596">
      <w:pPr>
        <w:spacing w:line="276" w:lineRule="auto"/>
        <w:jc w:val="both"/>
        <w:rPr>
          <w:rFonts w:ascii="Arial" w:hAnsi="Arial" w:cs="Arial"/>
          <w:bCs/>
          <w:iCs/>
          <w:sz w:val="22"/>
          <w:szCs w:val="22"/>
        </w:rPr>
      </w:pPr>
      <w:r w:rsidRPr="0043253A">
        <w:rPr>
          <w:rFonts w:ascii="Arial" w:hAnsi="Arial" w:cs="Arial"/>
          <w:bCs/>
          <w:iCs/>
          <w:sz w:val="22"/>
          <w:szCs w:val="22"/>
        </w:rPr>
        <w:t>En consecuencia, es claro que el Congreso tiene la facultad para crear, modificar o derogar tanto los tributos de carácter nacional como territorial.</w:t>
      </w:r>
    </w:p>
    <w:p w:rsidR="00853709" w:rsidRPr="0043253A" w:rsidRDefault="00853709" w:rsidP="00853709">
      <w:pPr>
        <w:spacing w:line="276" w:lineRule="auto"/>
        <w:jc w:val="both"/>
        <w:rPr>
          <w:rFonts w:ascii="Arial" w:hAnsi="Arial" w:cs="Arial"/>
          <w:b/>
          <w:sz w:val="22"/>
          <w:szCs w:val="22"/>
          <w:lang w:val="es-ES"/>
        </w:rPr>
      </w:pPr>
    </w:p>
    <w:p w:rsidR="00613596" w:rsidRPr="0043253A" w:rsidRDefault="00613596" w:rsidP="00853709">
      <w:pPr>
        <w:spacing w:line="276" w:lineRule="auto"/>
        <w:jc w:val="both"/>
        <w:rPr>
          <w:rFonts w:ascii="Arial" w:hAnsi="Arial" w:cs="Arial"/>
          <w:b/>
          <w:sz w:val="22"/>
          <w:szCs w:val="22"/>
          <w:lang w:val="es-ES"/>
        </w:rPr>
      </w:pPr>
    </w:p>
    <w:p w:rsidR="00613596" w:rsidRPr="0043253A" w:rsidRDefault="00613596" w:rsidP="00613596">
      <w:pPr>
        <w:pStyle w:val="Prrafodelista"/>
        <w:numPr>
          <w:ilvl w:val="0"/>
          <w:numId w:val="14"/>
        </w:numPr>
        <w:jc w:val="center"/>
        <w:rPr>
          <w:rFonts w:ascii="Arial" w:hAnsi="Arial" w:cs="Arial"/>
          <w:b/>
          <w:sz w:val="22"/>
          <w:szCs w:val="22"/>
          <w:lang w:val="es-ES"/>
        </w:rPr>
      </w:pPr>
      <w:r w:rsidRPr="0043253A">
        <w:rPr>
          <w:rFonts w:ascii="Arial" w:hAnsi="Arial" w:cs="Arial"/>
          <w:b/>
          <w:sz w:val="22"/>
          <w:szCs w:val="22"/>
        </w:rPr>
        <w:t>IMPUESTO AL CONSUMO DE LICORES, VINOS, APERITIVOS Y SIMILARES</w:t>
      </w:r>
    </w:p>
    <w:p w:rsidR="00613596" w:rsidRPr="0043253A" w:rsidRDefault="00613596" w:rsidP="00853709">
      <w:pPr>
        <w:spacing w:line="276" w:lineRule="auto"/>
        <w:jc w:val="both"/>
        <w:rPr>
          <w:rFonts w:ascii="Arial" w:hAnsi="Arial" w:cs="Arial"/>
          <w:b/>
          <w:sz w:val="22"/>
          <w:szCs w:val="22"/>
          <w:lang w:val="es-ES"/>
        </w:rPr>
      </w:pPr>
    </w:p>
    <w:p w:rsidR="00613596" w:rsidRPr="0043253A" w:rsidRDefault="00613596" w:rsidP="00613596">
      <w:pPr>
        <w:spacing w:line="276" w:lineRule="auto"/>
        <w:jc w:val="both"/>
        <w:rPr>
          <w:rFonts w:ascii="Arial" w:hAnsi="Arial" w:cs="Arial"/>
          <w:b/>
          <w:sz w:val="22"/>
          <w:szCs w:val="22"/>
          <w:lang w:val="es-ES"/>
        </w:rPr>
      </w:pPr>
    </w:p>
    <w:p w:rsidR="00853709" w:rsidRPr="0043253A" w:rsidRDefault="00853709" w:rsidP="000879A9">
      <w:pPr>
        <w:pStyle w:val="Prrafodelista"/>
        <w:numPr>
          <w:ilvl w:val="1"/>
          <w:numId w:val="14"/>
        </w:numPr>
        <w:spacing w:line="276" w:lineRule="auto"/>
        <w:ind w:left="426" w:hanging="426"/>
        <w:jc w:val="both"/>
        <w:rPr>
          <w:rFonts w:ascii="Arial" w:hAnsi="Arial" w:cs="Arial"/>
          <w:b/>
          <w:sz w:val="22"/>
          <w:szCs w:val="22"/>
          <w:lang w:val="es-ES"/>
        </w:rPr>
      </w:pPr>
      <w:r w:rsidRPr="0043253A">
        <w:rPr>
          <w:rFonts w:ascii="Arial" w:hAnsi="Arial" w:cs="Arial"/>
          <w:b/>
          <w:sz w:val="22"/>
          <w:szCs w:val="22"/>
          <w:lang w:val="es-ES"/>
        </w:rPr>
        <w:t>ANTECEDENTES NORMATIVOS</w:t>
      </w:r>
    </w:p>
    <w:p w:rsidR="00853709" w:rsidRPr="0043253A" w:rsidRDefault="00853709" w:rsidP="00853709">
      <w:pPr>
        <w:spacing w:line="276" w:lineRule="auto"/>
        <w:jc w:val="both"/>
        <w:rPr>
          <w:rFonts w:ascii="Arial" w:hAnsi="Arial" w:cs="Arial"/>
          <w:b/>
          <w:sz w:val="22"/>
          <w:szCs w:val="22"/>
          <w:lang w:val="es-ES"/>
        </w:rPr>
      </w:pPr>
    </w:p>
    <w:p w:rsidR="00853709" w:rsidRPr="0043253A" w:rsidRDefault="00853709" w:rsidP="00613596">
      <w:pPr>
        <w:spacing w:line="276" w:lineRule="auto"/>
        <w:jc w:val="both"/>
        <w:rPr>
          <w:rFonts w:ascii="Arial" w:hAnsi="Arial" w:cs="Arial"/>
          <w:sz w:val="22"/>
          <w:szCs w:val="22"/>
          <w:lang w:val="es-ES"/>
        </w:rPr>
      </w:pPr>
      <w:r w:rsidRPr="0043253A">
        <w:rPr>
          <w:rFonts w:ascii="Arial" w:hAnsi="Arial" w:cs="Arial"/>
          <w:sz w:val="22"/>
          <w:szCs w:val="22"/>
          <w:lang w:val="es-ES"/>
        </w:rPr>
        <w:t xml:space="preserve">En las últimas cuatro décadas se ha adoptado en Colombia diferentes esquemas de impuesto al consumo de licores, vinos, aperitivos y similares. Este impuesto ha oscilado entre un esquema ad valorem y específico, hasta llegar al actual esquema mixto. </w:t>
      </w:r>
    </w:p>
    <w:p w:rsidR="00853709" w:rsidRPr="0043253A" w:rsidRDefault="00853709" w:rsidP="00853709">
      <w:pPr>
        <w:spacing w:line="276" w:lineRule="auto"/>
        <w:jc w:val="both"/>
        <w:rPr>
          <w:rFonts w:ascii="Arial" w:hAnsi="Arial" w:cs="Arial"/>
          <w:b/>
          <w:sz w:val="22"/>
          <w:szCs w:val="22"/>
          <w:lang w:val="es-ES"/>
        </w:rPr>
      </w:pPr>
    </w:p>
    <w:p w:rsidR="00853709" w:rsidRPr="0043253A" w:rsidRDefault="00853709" w:rsidP="00853709">
      <w:pPr>
        <w:pStyle w:val="Descripcin"/>
        <w:jc w:val="center"/>
        <w:rPr>
          <w:rFonts w:ascii="Arial" w:hAnsi="Arial" w:cs="Arial"/>
          <w:b/>
          <w:i w:val="0"/>
          <w:color w:val="000000" w:themeColor="text1"/>
          <w:sz w:val="22"/>
          <w:szCs w:val="22"/>
          <w:lang w:val="es-ES"/>
        </w:rPr>
      </w:pPr>
      <w:r w:rsidRPr="0043253A">
        <w:rPr>
          <w:rFonts w:ascii="Arial" w:hAnsi="Arial" w:cs="Arial"/>
          <w:b/>
          <w:i w:val="0"/>
          <w:color w:val="000000" w:themeColor="text1"/>
          <w:sz w:val="22"/>
          <w:szCs w:val="22"/>
        </w:rPr>
        <w:t xml:space="preserve">Tabla </w:t>
      </w:r>
      <w:r w:rsidRPr="0043253A">
        <w:rPr>
          <w:rFonts w:ascii="Arial" w:hAnsi="Arial" w:cs="Arial"/>
          <w:b/>
          <w:i w:val="0"/>
          <w:color w:val="000000" w:themeColor="text1"/>
          <w:sz w:val="22"/>
          <w:szCs w:val="22"/>
        </w:rPr>
        <w:fldChar w:fldCharType="begin"/>
      </w:r>
      <w:r w:rsidRPr="0043253A">
        <w:rPr>
          <w:rFonts w:ascii="Arial" w:hAnsi="Arial" w:cs="Arial"/>
          <w:b/>
          <w:i w:val="0"/>
          <w:color w:val="000000" w:themeColor="text1"/>
          <w:sz w:val="22"/>
          <w:szCs w:val="22"/>
        </w:rPr>
        <w:instrText xml:space="preserve"> SEQ Tabla \* ARABIC </w:instrText>
      </w:r>
      <w:r w:rsidRPr="0043253A">
        <w:rPr>
          <w:rFonts w:ascii="Arial" w:hAnsi="Arial" w:cs="Arial"/>
          <w:b/>
          <w:i w:val="0"/>
          <w:color w:val="000000" w:themeColor="text1"/>
          <w:sz w:val="22"/>
          <w:szCs w:val="22"/>
        </w:rPr>
        <w:fldChar w:fldCharType="separate"/>
      </w:r>
      <w:r w:rsidR="008E73CC">
        <w:rPr>
          <w:rFonts w:ascii="Arial" w:hAnsi="Arial" w:cs="Arial"/>
          <w:b/>
          <w:i w:val="0"/>
          <w:noProof/>
          <w:color w:val="000000" w:themeColor="text1"/>
          <w:sz w:val="22"/>
          <w:szCs w:val="22"/>
        </w:rPr>
        <w:t>1</w:t>
      </w:r>
      <w:r w:rsidRPr="0043253A">
        <w:rPr>
          <w:rFonts w:ascii="Arial" w:hAnsi="Arial" w:cs="Arial"/>
          <w:b/>
          <w:i w:val="0"/>
          <w:color w:val="000000" w:themeColor="text1"/>
          <w:sz w:val="22"/>
          <w:szCs w:val="22"/>
        </w:rPr>
        <w:fldChar w:fldCharType="end"/>
      </w:r>
      <w:r w:rsidRPr="0043253A">
        <w:rPr>
          <w:rFonts w:ascii="Arial" w:hAnsi="Arial" w:cs="Arial"/>
          <w:b/>
          <w:i w:val="0"/>
          <w:color w:val="000000" w:themeColor="text1"/>
          <w:sz w:val="22"/>
          <w:szCs w:val="22"/>
        </w:rPr>
        <w:t xml:space="preserve">. </w:t>
      </w:r>
      <w:r w:rsidRPr="0043253A">
        <w:rPr>
          <w:rFonts w:ascii="Arial" w:hAnsi="Arial" w:cs="Arial"/>
          <w:i w:val="0"/>
          <w:color w:val="000000" w:themeColor="text1"/>
          <w:sz w:val="22"/>
          <w:szCs w:val="22"/>
        </w:rPr>
        <w:t>Antecedentes normativos</w:t>
      </w:r>
    </w:p>
    <w:tbl>
      <w:tblPr>
        <w:tblStyle w:val="Tablaconcuadrcula"/>
        <w:tblW w:w="8926" w:type="dxa"/>
        <w:tblLook w:val="04A0" w:firstRow="1" w:lastRow="0" w:firstColumn="1" w:lastColumn="0" w:noHBand="0" w:noVBand="1"/>
      </w:tblPr>
      <w:tblGrid>
        <w:gridCol w:w="1980"/>
        <w:gridCol w:w="6946"/>
      </w:tblGrid>
      <w:tr w:rsidR="00853709" w:rsidRPr="0043253A" w:rsidTr="000879A9">
        <w:tc>
          <w:tcPr>
            <w:tcW w:w="1980" w:type="dxa"/>
            <w:shd w:val="clear" w:color="auto" w:fill="BDD6EE" w:themeFill="accent5" w:themeFillTint="66"/>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NORMA</w:t>
            </w:r>
          </w:p>
        </w:tc>
        <w:tc>
          <w:tcPr>
            <w:tcW w:w="6946" w:type="dxa"/>
            <w:shd w:val="clear" w:color="auto" w:fill="BDD6EE" w:themeFill="accent5" w:themeFillTint="66"/>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ESQUEMA</w:t>
            </w:r>
          </w:p>
        </w:tc>
      </w:tr>
      <w:tr w:rsidR="00853709" w:rsidRPr="0043253A" w:rsidTr="000879A9">
        <w:tc>
          <w:tcPr>
            <w:tcW w:w="1980" w:type="dxa"/>
            <w:shd w:val="clear" w:color="auto" w:fill="BDD6EE" w:themeFill="accent5" w:themeFillTint="66"/>
            <w:vAlign w:val="center"/>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Ley 14 de 1983</w:t>
            </w:r>
          </w:p>
        </w:tc>
        <w:tc>
          <w:tcPr>
            <w:tcW w:w="6946" w:type="dxa"/>
          </w:tcPr>
          <w:p w:rsidR="00853709" w:rsidRPr="0043253A" w:rsidRDefault="00853709" w:rsidP="00853709">
            <w:pPr>
              <w:pStyle w:val="NormalWeb"/>
              <w:spacing w:before="0" w:beforeAutospacing="0" w:after="0" w:afterAutospacing="0" w:line="276" w:lineRule="auto"/>
              <w:jc w:val="both"/>
              <w:rPr>
                <w:rStyle w:val="Textoennegrita"/>
                <w:rFonts w:ascii="Arial" w:hAnsi="Arial" w:cs="Arial"/>
                <w:b w:val="0"/>
                <w:color w:val="000000"/>
                <w:sz w:val="22"/>
                <w:szCs w:val="22"/>
              </w:rPr>
            </w:pPr>
            <w:r w:rsidRPr="0043253A">
              <w:rPr>
                <w:rStyle w:val="Textoennegrita"/>
                <w:rFonts w:ascii="Arial" w:hAnsi="Arial" w:cs="Arial"/>
                <w:b w:val="0"/>
                <w:color w:val="000000"/>
                <w:sz w:val="22"/>
                <w:szCs w:val="22"/>
              </w:rPr>
              <w:t xml:space="preserve">El artículo 66 de esta norma consagraba un esquema ad valorem para liquidar el impuesto al consumo de licores, vinos, aperitivos y </w:t>
            </w:r>
            <w:r w:rsidR="000879A9" w:rsidRPr="0043253A">
              <w:rPr>
                <w:rStyle w:val="Textoennegrita"/>
                <w:rFonts w:ascii="Arial" w:hAnsi="Arial" w:cs="Arial"/>
                <w:b w:val="0"/>
                <w:color w:val="000000"/>
                <w:sz w:val="22"/>
                <w:szCs w:val="22"/>
              </w:rPr>
              <w:t>similares</w:t>
            </w:r>
            <w:r w:rsidRPr="0043253A">
              <w:rPr>
                <w:rStyle w:val="Textoennegrita"/>
                <w:rFonts w:ascii="Arial" w:hAnsi="Arial" w:cs="Arial"/>
                <w:b w:val="0"/>
                <w:color w:val="000000"/>
                <w:sz w:val="22"/>
                <w:szCs w:val="22"/>
              </w:rPr>
              <w:t xml:space="preserve">. </w:t>
            </w:r>
          </w:p>
          <w:p w:rsidR="00853709" w:rsidRPr="0043253A" w:rsidRDefault="00853709" w:rsidP="00853709">
            <w:pPr>
              <w:pStyle w:val="NormalWeb"/>
              <w:spacing w:before="0" w:beforeAutospacing="0" w:after="0" w:afterAutospacing="0" w:line="276" w:lineRule="auto"/>
              <w:jc w:val="both"/>
              <w:rPr>
                <w:rStyle w:val="Textoennegrita"/>
                <w:rFonts w:ascii="Arial" w:hAnsi="Arial" w:cs="Arial"/>
                <w:b w:val="0"/>
                <w:color w:val="000000"/>
                <w:sz w:val="22"/>
                <w:szCs w:val="22"/>
              </w:rPr>
            </w:pPr>
          </w:p>
          <w:p w:rsidR="00853709" w:rsidRPr="0043253A" w:rsidRDefault="00853709" w:rsidP="00853709">
            <w:pPr>
              <w:pStyle w:val="NormalWeb"/>
              <w:spacing w:before="0" w:beforeAutospacing="0" w:after="0" w:afterAutospacing="0" w:line="276" w:lineRule="auto"/>
              <w:jc w:val="both"/>
              <w:rPr>
                <w:rStyle w:val="Textoennegrita"/>
                <w:rFonts w:ascii="Arial" w:hAnsi="Arial" w:cs="Arial"/>
                <w:b w:val="0"/>
                <w:color w:val="000000"/>
                <w:sz w:val="22"/>
                <w:szCs w:val="22"/>
              </w:rPr>
            </w:pPr>
            <w:r w:rsidRPr="0043253A">
              <w:rPr>
                <w:rStyle w:val="Textoennegrita"/>
                <w:rFonts w:ascii="Arial" w:hAnsi="Arial" w:cs="Arial"/>
                <w:b w:val="0"/>
                <w:color w:val="000000"/>
                <w:sz w:val="22"/>
                <w:szCs w:val="22"/>
              </w:rPr>
              <w:t>La base gravable la constituía el precio promedio nacional al detal en expe</w:t>
            </w:r>
            <w:r w:rsidR="000879A9" w:rsidRPr="0043253A">
              <w:rPr>
                <w:rStyle w:val="Textoennegrita"/>
                <w:rFonts w:ascii="Arial" w:hAnsi="Arial" w:cs="Arial"/>
                <w:b w:val="0"/>
                <w:color w:val="000000"/>
                <w:sz w:val="22"/>
                <w:szCs w:val="22"/>
              </w:rPr>
              <w:t>n</w:t>
            </w:r>
            <w:r w:rsidRPr="0043253A">
              <w:rPr>
                <w:rStyle w:val="Textoennegrita"/>
                <w:rFonts w:ascii="Arial" w:hAnsi="Arial" w:cs="Arial"/>
                <w:b w:val="0"/>
                <w:color w:val="000000"/>
                <w:sz w:val="22"/>
                <w:szCs w:val="22"/>
              </w:rPr>
              <w:t>dio oficial de la botella de 750 ml, según lo determinara el DANE.</w:t>
            </w:r>
          </w:p>
          <w:p w:rsidR="00853709" w:rsidRPr="0043253A" w:rsidRDefault="00853709" w:rsidP="00853709">
            <w:pPr>
              <w:pStyle w:val="NormalWeb"/>
              <w:spacing w:before="0" w:beforeAutospacing="0" w:after="0" w:afterAutospacing="0" w:line="276" w:lineRule="auto"/>
              <w:jc w:val="both"/>
              <w:rPr>
                <w:rFonts w:ascii="Arial" w:hAnsi="Arial" w:cs="Arial"/>
                <w:color w:val="000000"/>
                <w:sz w:val="22"/>
                <w:szCs w:val="22"/>
              </w:rPr>
            </w:pPr>
            <w:r w:rsidRPr="0043253A">
              <w:rPr>
                <w:rFonts w:ascii="Arial" w:hAnsi="Arial" w:cs="Arial"/>
                <w:color w:val="000000"/>
                <w:sz w:val="22"/>
                <w:szCs w:val="22"/>
              </w:rPr>
              <w:t> </w:t>
            </w:r>
          </w:p>
          <w:p w:rsidR="00853709" w:rsidRPr="0043253A" w:rsidRDefault="00853709" w:rsidP="00853709">
            <w:pPr>
              <w:pStyle w:val="NormalWeb"/>
              <w:spacing w:before="0" w:beforeAutospacing="0" w:after="0" w:afterAutospacing="0" w:line="276" w:lineRule="auto"/>
              <w:jc w:val="both"/>
              <w:rPr>
                <w:rFonts w:ascii="Arial" w:hAnsi="Arial" w:cs="Arial"/>
                <w:color w:val="000000"/>
                <w:sz w:val="22"/>
                <w:szCs w:val="22"/>
              </w:rPr>
            </w:pPr>
            <w:r w:rsidRPr="0043253A">
              <w:rPr>
                <w:rFonts w:ascii="Arial" w:hAnsi="Arial" w:cs="Arial"/>
                <w:color w:val="000000"/>
                <w:sz w:val="22"/>
                <w:szCs w:val="22"/>
              </w:rPr>
              <w:t>Las tarifas por botella de 750 mililitros o proporcionalmente a su volumen, serán las siguientes: </w:t>
            </w:r>
          </w:p>
          <w:p w:rsidR="00853709" w:rsidRPr="0043253A" w:rsidRDefault="00853709" w:rsidP="00853709">
            <w:pPr>
              <w:pStyle w:val="NormalWeb"/>
              <w:numPr>
                <w:ilvl w:val="0"/>
                <w:numId w:val="5"/>
              </w:numPr>
              <w:spacing w:before="0" w:beforeAutospacing="0" w:after="0" w:afterAutospacing="0" w:line="276" w:lineRule="auto"/>
              <w:ind w:left="318" w:hanging="283"/>
              <w:jc w:val="both"/>
              <w:rPr>
                <w:rFonts w:ascii="Arial" w:hAnsi="Arial" w:cs="Arial"/>
                <w:color w:val="000000"/>
                <w:sz w:val="22"/>
                <w:szCs w:val="22"/>
              </w:rPr>
            </w:pPr>
            <w:r w:rsidRPr="0043253A">
              <w:rPr>
                <w:rFonts w:ascii="Arial" w:hAnsi="Arial" w:cs="Arial"/>
                <w:color w:val="000000"/>
                <w:sz w:val="22"/>
                <w:szCs w:val="22"/>
              </w:rPr>
              <w:t>El 35% para licores nacionales y extranjeros. </w:t>
            </w:r>
          </w:p>
          <w:p w:rsidR="00853709" w:rsidRPr="0043253A" w:rsidRDefault="00853709" w:rsidP="00853709">
            <w:pPr>
              <w:pStyle w:val="NormalWeb"/>
              <w:numPr>
                <w:ilvl w:val="0"/>
                <w:numId w:val="5"/>
              </w:numPr>
              <w:spacing w:before="0" w:beforeAutospacing="0" w:after="0" w:afterAutospacing="0" w:line="276" w:lineRule="auto"/>
              <w:ind w:left="318" w:hanging="283"/>
              <w:jc w:val="both"/>
              <w:rPr>
                <w:rFonts w:ascii="Arial" w:hAnsi="Arial" w:cs="Arial"/>
                <w:color w:val="000000"/>
                <w:sz w:val="22"/>
                <w:szCs w:val="22"/>
              </w:rPr>
            </w:pPr>
            <w:r w:rsidRPr="0043253A">
              <w:rPr>
                <w:rFonts w:ascii="Arial" w:hAnsi="Arial" w:cs="Arial"/>
                <w:color w:val="000000"/>
                <w:sz w:val="22"/>
                <w:szCs w:val="22"/>
              </w:rPr>
              <w:t>El 10% para vinos, vinos espumosos o espumantes y aperitivos y similares extranjeros. </w:t>
            </w:r>
          </w:p>
          <w:p w:rsidR="00853709" w:rsidRPr="0043253A" w:rsidRDefault="00853709" w:rsidP="00853709">
            <w:pPr>
              <w:pStyle w:val="NormalWeb"/>
              <w:numPr>
                <w:ilvl w:val="0"/>
                <w:numId w:val="5"/>
              </w:numPr>
              <w:spacing w:before="0" w:beforeAutospacing="0" w:after="0" w:afterAutospacing="0" w:line="276" w:lineRule="auto"/>
              <w:ind w:left="318" w:hanging="283"/>
              <w:jc w:val="both"/>
              <w:rPr>
                <w:rFonts w:ascii="Arial" w:hAnsi="Arial" w:cs="Arial"/>
                <w:color w:val="000000"/>
                <w:sz w:val="22"/>
                <w:szCs w:val="22"/>
              </w:rPr>
            </w:pPr>
            <w:r w:rsidRPr="0043253A">
              <w:rPr>
                <w:rFonts w:ascii="Arial" w:hAnsi="Arial" w:cs="Arial"/>
                <w:color w:val="000000"/>
                <w:sz w:val="22"/>
                <w:szCs w:val="22"/>
              </w:rPr>
              <w:t>El 5% para vinos, vinos espumosos o espumantes, aperitivos y similares nacionales. </w:t>
            </w:r>
          </w:p>
          <w:p w:rsidR="00853709" w:rsidRPr="0043253A" w:rsidRDefault="00853709" w:rsidP="00853709">
            <w:pPr>
              <w:pStyle w:val="NormalWeb"/>
              <w:numPr>
                <w:ilvl w:val="0"/>
                <w:numId w:val="5"/>
              </w:numPr>
              <w:spacing w:before="0" w:beforeAutospacing="0" w:after="0" w:afterAutospacing="0" w:line="276" w:lineRule="auto"/>
              <w:ind w:left="318" w:hanging="283"/>
              <w:jc w:val="both"/>
              <w:rPr>
                <w:rFonts w:ascii="Arial" w:hAnsi="Arial" w:cs="Arial"/>
                <w:color w:val="000000"/>
                <w:sz w:val="22"/>
                <w:szCs w:val="22"/>
              </w:rPr>
            </w:pPr>
            <w:r w:rsidRPr="0043253A">
              <w:rPr>
                <w:rFonts w:ascii="Arial" w:hAnsi="Arial" w:cs="Arial"/>
                <w:color w:val="000000"/>
                <w:sz w:val="22"/>
                <w:szCs w:val="22"/>
              </w:rPr>
              <w:t>El 15% para los licores que se importen o ingresen a la Intendencia de San Andrés y Providencia. </w:t>
            </w:r>
          </w:p>
        </w:tc>
      </w:tr>
      <w:tr w:rsidR="00853709" w:rsidRPr="0043253A" w:rsidTr="000879A9">
        <w:tc>
          <w:tcPr>
            <w:tcW w:w="1980" w:type="dxa"/>
            <w:shd w:val="clear" w:color="auto" w:fill="BDD6EE" w:themeFill="accent5" w:themeFillTint="66"/>
            <w:vAlign w:val="center"/>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Decreto 1222 de 1986</w:t>
            </w:r>
          </w:p>
        </w:tc>
        <w:tc>
          <w:tcPr>
            <w:tcW w:w="6946" w:type="dxa"/>
            <w:vAlign w:val="center"/>
          </w:tcPr>
          <w:p w:rsidR="00853709" w:rsidRPr="0043253A" w:rsidRDefault="00853709" w:rsidP="000879A9">
            <w:pPr>
              <w:spacing w:line="276" w:lineRule="auto"/>
              <w:jc w:val="center"/>
              <w:rPr>
                <w:rFonts w:ascii="Arial" w:hAnsi="Arial" w:cs="Arial"/>
                <w:sz w:val="22"/>
                <w:szCs w:val="22"/>
                <w:lang w:val="es-ES"/>
              </w:rPr>
            </w:pPr>
            <w:r w:rsidRPr="0043253A">
              <w:rPr>
                <w:rFonts w:ascii="Arial" w:hAnsi="Arial" w:cs="Arial"/>
                <w:sz w:val="22"/>
                <w:szCs w:val="22"/>
                <w:lang w:val="es-ES"/>
              </w:rPr>
              <w:t>Retomó lo señalado por el artículo 66 de la ley 14 de 1983.</w:t>
            </w:r>
          </w:p>
        </w:tc>
      </w:tr>
      <w:tr w:rsidR="00853709" w:rsidRPr="0043253A" w:rsidTr="000879A9">
        <w:tc>
          <w:tcPr>
            <w:tcW w:w="1980" w:type="dxa"/>
            <w:shd w:val="clear" w:color="auto" w:fill="BDD6EE" w:themeFill="accent5" w:themeFillTint="66"/>
            <w:vAlign w:val="center"/>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Ley 223 de 1995</w:t>
            </w:r>
          </w:p>
        </w:tc>
        <w:tc>
          <w:tcPr>
            <w:tcW w:w="6946" w:type="dxa"/>
          </w:tcPr>
          <w:p w:rsidR="00853709" w:rsidRPr="0043253A" w:rsidRDefault="00853709" w:rsidP="00853709">
            <w:pPr>
              <w:spacing w:line="276" w:lineRule="auto"/>
              <w:jc w:val="both"/>
              <w:rPr>
                <w:rFonts w:ascii="Arial" w:hAnsi="Arial" w:cs="Arial"/>
                <w:sz w:val="22"/>
                <w:szCs w:val="22"/>
                <w:lang w:val="es-ES"/>
              </w:rPr>
            </w:pPr>
            <w:r w:rsidRPr="0043253A">
              <w:rPr>
                <w:rFonts w:ascii="Arial" w:hAnsi="Arial" w:cs="Arial"/>
                <w:sz w:val="22"/>
                <w:szCs w:val="22"/>
                <w:lang w:val="es-ES"/>
              </w:rPr>
              <w:t>Los artículos 205 y 206 señalaban un esquema ad valorem. Para fijar la base gravable se distinguía por rangos de grados alcoholimétricos y por el origen nacional y extranjero así:</w:t>
            </w:r>
          </w:p>
          <w:p w:rsidR="000879A9" w:rsidRPr="0043253A" w:rsidRDefault="000879A9" w:rsidP="00853709">
            <w:pPr>
              <w:spacing w:line="276" w:lineRule="auto"/>
              <w:jc w:val="both"/>
              <w:rPr>
                <w:rFonts w:ascii="Arial" w:hAnsi="Arial" w:cs="Arial"/>
                <w:sz w:val="22"/>
                <w:szCs w:val="22"/>
                <w:lang w:val="es-ES"/>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lang w:val="es-ES"/>
              </w:rPr>
              <w:t>Nacional:</w:t>
            </w:r>
            <w:r w:rsidRPr="0043253A">
              <w:rPr>
                <w:rFonts w:ascii="Arial" w:hAnsi="Arial" w:cs="Arial"/>
                <w:sz w:val="22"/>
                <w:szCs w:val="22"/>
              </w:rPr>
              <w:t> 2,5º a 20º y de más de 35º el precio de venta al detallista se define como el precio facturado a los expendedores en la capital del departamento donde está situada la fábrica, excluido el impuesto al consumo.</w:t>
            </w:r>
          </w:p>
          <w:p w:rsidR="00853709" w:rsidRPr="0043253A" w:rsidRDefault="00853709" w:rsidP="00853709">
            <w:pPr>
              <w:spacing w:line="276" w:lineRule="auto"/>
              <w:jc w:val="both"/>
              <w:rPr>
                <w:rFonts w:ascii="Arial" w:hAnsi="Arial" w:cs="Arial"/>
                <w:sz w:val="22"/>
                <w:szCs w:val="22"/>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Importado: 2.5º a 20º y de más de 35º el precio de venta al detallista se determina como el valor en aduana de la mercancía, incluyendo los gravámenes arancelarios, adicionado con un margen de comercialización equivalente al 30%.</w:t>
            </w:r>
          </w:p>
          <w:p w:rsidR="00853709" w:rsidRPr="0043253A" w:rsidRDefault="00853709" w:rsidP="00853709">
            <w:pPr>
              <w:spacing w:line="276" w:lineRule="auto"/>
              <w:jc w:val="both"/>
              <w:rPr>
                <w:rFonts w:ascii="Arial" w:hAnsi="Arial" w:cs="Arial"/>
                <w:sz w:val="22"/>
                <w:szCs w:val="22"/>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Para los productos de graduación alcoholimétrica de más de 20º y hasta 35º, la base gravable está constituida, para productos nacionales y extranjeros, por el precio de venta al detal, según promedios por tipo de productos determinados semestralmente por el DANE.</w:t>
            </w:r>
          </w:p>
        </w:tc>
      </w:tr>
      <w:tr w:rsidR="00853709" w:rsidRPr="0043253A" w:rsidTr="000879A9">
        <w:tc>
          <w:tcPr>
            <w:tcW w:w="1980" w:type="dxa"/>
            <w:shd w:val="clear" w:color="auto" w:fill="BDD6EE" w:themeFill="accent5" w:themeFillTint="66"/>
            <w:vAlign w:val="center"/>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Ley 788 de 2002</w:t>
            </w:r>
          </w:p>
        </w:tc>
        <w:tc>
          <w:tcPr>
            <w:tcW w:w="6946" w:type="dxa"/>
          </w:tcPr>
          <w:p w:rsidR="00853709" w:rsidRPr="0043253A" w:rsidRDefault="00853709" w:rsidP="00853709">
            <w:pPr>
              <w:spacing w:line="276" w:lineRule="auto"/>
              <w:jc w:val="both"/>
              <w:rPr>
                <w:rFonts w:ascii="Arial" w:hAnsi="Arial" w:cs="Arial"/>
                <w:sz w:val="22"/>
                <w:szCs w:val="22"/>
                <w:lang w:val="es-ES"/>
              </w:rPr>
            </w:pPr>
            <w:r w:rsidRPr="0043253A">
              <w:rPr>
                <w:rFonts w:ascii="Arial" w:hAnsi="Arial" w:cs="Arial"/>
                <w:sz w:val="22"/>
                <w:szCs w:val="22"/>
                <w:lang w:val="es-ES"/>
              </w:rPr>
              <w:t>Los artículos 49 a 54 establecieron un esquema de impuesto específico, señalando como base gravable el número de grados alcoholimétricos del producto, sobre el cual se aplicaría la tarifa definida, así:</w:t>
            </w:r>
          </w:p>
          <w:p w:rsidR="00853709" w:rsidRPr="0043253A" w:rsidRDefault="00853709" w:rsidP="00853709">
            <w:pPr>
              <w:spacing w:line="276" w:lineRule="auto"/>
              <w:jc w:val="both"/>
              <w:rPr>
                <w:rFonts w:ascii="Arial" w:hAnsi="Arial" w:cs="Arial"/>
                <w:sz w:val="22"/>
                <w:szCs w:val="22"/>
                <w:lang w:val="es-ES"/>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Las tarifas del impuesto al consumo, por cada unidad de 750 centímetros cúbicos o su equivalente, serán las siguientes:</w:t>
            </w:r>
          </w:p>
          <w:p w:rsidR="00853709" w:rsidRPr="0043253A" w:rsidRDefault="00853709" w:rsidP="0043253A">
            <w:pPr>
              <w:pStyle w:val="Prrafodelista"/>
              <w:numPr>
                <w:ilvl w:val="0"/>
                <w:numId w:val="13"/>
              </w:numPr>
              <w:spacing w:line="276" w:lineRule="auto"/>
              <w:ind w:left="318" w:hanging="318"/>
              <w:jc w:val="both"/>
              <w:rPr>
                <w:rFonts w:ascii="Arial" w:hAnsi="Arial" w:cs="Arial"/>
                <w:sz w:val="22"/>
                <w:szCs w:val="22"/>
              </w:rPr>
            </w:pPr>
            <w:r w:rsidRPr="0043253A">
              <w:rPr>
                <w:rFonts w:ascii="Arial" w:hAnsi="Arial" w:cs="Arial"/>
                <w:sz w:val="22"/>
                <w:szCs w:val="22"/>
              </w:rPr>
              <w:t>Para productos entre 2.5 y hasta 15 grados de contenido alcoholimétrico, ciento diez pesos ($ 110,00) por cada grado alcoholimétrico.</w:t>
            </w:r>
          </w:p>
          <w:p w:rsidR="00853709" w:rsidRPr="0043253A" w:rsidRDefault="00853709" w:rsidP="0043253A">
            <w:pPr>
              <w:pStyle w:val="Prrafodelista"/>
              <w:numPr>
                <w:ilvl w:val="0"/>
                <w:numId w:val="13"/>
              </w:numPr>
              <w:spacing w:line="276" w:lineRule="auto"/>
              <w:ind w:left="318" w:hanging="283"/>
              <w:jc w:val="both"/>
              <w:rPr>
                <w:rFonts w:ascii="Arial" w:hAnsi="Arial" w:cs="Arial"/>
                <w:sz w:val="22"/>
                <w:szCs w:val="22"/>
              </w:rPr>
            </w:pPr>
            <w:r w:rsidRPr="0043253A">
              <w:rPr>
                <w:rFonts w:ascii="Arial" w:hAnsi="Arial" w:cs="Arial"/>
                <w:sz w:val="22"/>
                <w:szCs w:val="22"/>
              </w:rPr>
              <w:t>Para productos de más de 15 y hasta 35 grados de contenido alcoholimétrico, ciento ochenta pesos ($180,00) por cada grado alcoholimétrico.</w:t>
            </w:r>
          </w:p>
          <w:p w:rsidR="00853709" w:rsidRPr="0043253A" w:rsidRDefault="00853709" w:rsidP="0043253A">
            <w:pPr>
              <w:pStyle w:val="Prrafodelista"/>
              <w:numPr>
                <w:ilvl w:val="0"/>
                <w:numId w:val="13"/>
              </w:numPr>
              <w:spacing w:line="276" w:lineRule="auto"/>
              <w:ind w:left="318" w:hanging="283"/>
              <w:jc w:val="both"/>
              <w:rPr>
                <w:rFonts w:ascii="Arial" w:hAnsi="Arial" w:cs="Arial"/>
                <w:sz w:val="22"/>
                <w:szCs w:val="22"/>
              </w:rPr>
            </w:pPr>
            <w:r w:rsidRPr="0043253A">
              <w:rPr>
                <w:rFonts w:ascii="Arial" w:hAnsi="Arial" w:cs="Arial"/>
                <w:sz w:val="22"/>
                <w:szCs w:val="22"/>
              </w:rPr>
              <w:t>Para productos de más de 35 grados de contenido alcoholimétrico, doscientos setenta pesos ($ 270,00) por cada grado alcoholimétrico.</w:t>
            </w:r>
          </w:p>
          <w:p w:rsidR="00853709" w:rsidRPr="0043253A" w:rsidRDefault="00853709" w:rsidP="00853709">
            <w:pPr>
              <w:spacing w:line="276" w:lineRule="auto"/>
              <w:jc w:val="both"/>
              <w:rPr>
                <w:rFonts w:ascii="Arial" w:hAnsi="Arial" w:cs="Arial"/>
                <w:sz w:val="22"/>
                <w:szCs w:val="22"/>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Los vinos de hasta 10 grados de contenido alcoholimétrico, estarán sometidos, por cada unidad de 750 centímetros cúbicos o su equivalente, a la tarifa de sesenta pesos ($60,00) por cada grado alcoholimétrico.</w:t>
            </w:r>
          </w:p>
          <w:p w:rsidR="00853709" w:rsidRPr="0043253A" w:rsidRDefault="00853709" w:rsidP="00853709">
            <w:pPr>
              <w:spacing w:line="276" w:lineRule="auto"/>
              <w:jc w:val="both"/>
              <w:rPr>
                <w:rFonts w:ascii="Arial" w:hAnsi="Arial" w:cs="Arial"/>
                <w:sz w:val="22"/>
                <w:szCs w:val="22"/>
                <w:lang w:val="es-ES"/>
              </w:rPr>
            </w:pPr>
            <w:r w:rsidRPr="0043253A">
              <w:rPr>
                <w:rFonts w:ascii="Arial" w:hAnsi="Arial" w:cs="Arial"/>
                <w:sz w:val="22"/>
                <w:szCs w:val="22"/>
                <w:lang w:val="es-ES"/>
              </w:rPr>
              <w:t xml:space="preserve"> </w:t>
            </w:r>
          </w:p>
          <w:p w:rsidR="00853709" w:rsidRPr="0043253A" w:rsidRDefault="00853709" w:rsidP="00853709">
            <w:pPr>
              <w:spacing w:line="276" w:lineRule="auto"/>
              <w:jc w:val="both"/>
              <w:rPr>
                <w:rFonts w:ascii="Arial" w:hAnsi="Arial" w:cs="Arial"/>
                <w:sz w:val="22"/>
                <w:szCs w:val="22"/>
                <w:lang w:val="es-ES"/>
              </w:rPr>
            </w:pPr>
            <w:r w:rsidRPr="0043253A">
              <w:rPr>
                <w:rFonts w:ascii="Arial" w:hAnsi="Arial" w:cs="Arial"/>
                <w:sz w:val="22"/>
                <w:szCs w:val="22"/>
                <w:lang w:val="es-ES"/>
              </w:rPr>
              <w:t>En esta tarifa estaba incluido el IVA cedido, correspondiente al 35% del valor liquidado por concepto de impuesto al consumo de licores, vinos, aperitivos y similares.</w:t>
            </w:r>
          </w:p>
        </w:tc>
      </w:tr>
      <w:tr w:rsidR="00853709" w:rsidRPr="0043253A" w:rsidTr="000879A9">
        <w:tc>
          <w:tcPr>
            <w:tcW w:w="1980" w:type="dxa"/>
            <w:shd w:val="clear" w:color="auto" w:fill="BDD6EE" w:themeFill="accent5" w:themeFillTint="66"/>
            <w:vAlign w:val="center"/>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Ley 1393 de 2010</w:t>
            </w:r>
          </w:p>
        </w:tc>
        <w:tc>
          <w:tcPr>
            <w:tcW w:w="6946" w:type="dxa"/>
          </w:tcPr>
          <w:p w:rsidR="00853709" w:rsidRPr="0043253A" w:rsidRDefault="00853709" w:rsidP="00853709">
            <w:pPr>
              <w:spacing w:line="276" w:lineRule="auto"/>
              <w:jc w:val="both"/>
              <w:rPr>
                <w:rFonts w:ascii="Arial" w:hAnsi="Arial" w:cs="Arial"/>
                <w:sz w:val="22"/>
                <w:szCs w:val="22"/>
                <w:lang w:val="es-ES"/>
              </w:rPr>
            </w:pPr>
            <w:r w:rsidRPr="0043253A">
              <w:rPr>
                <w:rFonts w:ascii="Arial" w:hAnsi="Arial" w:cs="Arial"/>
                <w:sz w:val="22"/>
                <w:szCs w:val="22"/>
                <w:lang w:val="es-ES"/>
              </w:rPr>
              <w:t>El artículo 8 conservó el esquema específico, pero redujo a dos rangos de grados alcoholimétricos las tarifas aplicables, así:</w:t>
            </w:r>
          </w:p>
          <w:p w:rsidR="00853709" w:rsidRPr="0043253A" w:rsidRDefault="00853709" w:rsidP="00853709">
            <w:pPr>
              <w:pStyle w:val="Prrafodelista"/>
              <w:numPr>
                <w:ilvl w:val="0"/>
                <w:numId w:val="7"/>
              </w:numPr>
              <w:spacing w:line="276" w:lineRule="auto"/>
              <w:ind w:left="318" w:hanging="283"/>
              <w:jc w:val="both"/>
              <w:rPr>
                <w:rFonts w:ascii="Arial" w:hAnsi="Arial" w:cs="Arial"/>
                <w:sz w:val="22"/>
                <w:szCs w:val="22"/>
              </w:rPr>
            </w:pPr>
            <w:r w:rsidRPr="0043253A">
              <w:rPr>
                <w:rFonts w:ascii="Arial" w:hAnsi="Arial" w:cs="Arial"/>
                <w:sz w:val="22"/>
                <w:szCs w:val="22"/>
              </w:rPr>
              <w:t>Para productos de hasta 35 grados de contenido alcoholimétrico, doscientos cincuenta y seis pesos ($256) por cada grado alcoholimétrico.</w:t>
            </w:r>
          </w:p>
          <w:p w:rsidR="00853709" w:rsidRPr="0043253A" w:rsidRDefault="00853709" w:rsidP="00853709">
            <w:pPr>
              <w:pStyle w:val="Prrafodelista"/>
              <w:numPr>
                <w:ilvl w:val="0"/>
                <w:numId w:val="7"/>
              </w:numPr>
              <w:spacing w:line="276" w:lineRule="auto"/>
              <w:ind w:left="318" w:hanging="283"/>
              <w:jc w:val="both"/>
              <w:rPr>
                <w:rFonts w:ascii="Arial" w:hAnsi="Arial" w:cs="Arial"/>
                <w:sz w:val="22"/>
                <w:szCs w:val="22"/>
              </w:rPr>
            </w:pPr>
            <w:r w:rsidRPr="0043253A">
              <w:rPr>
                <w:rFonts w:ascii="Arial" w:hAnsi="Arial" w:cs="Arial"/>
                <w:sz w:val="22"/>
                <w:szCs w:val="22"/>
              </w:rPr>
              <w:t>Para productos de más de 35 grados de contenido alcoholimétrico, cuatrocientos veinte pesos ($420) por cada grado alcoholimétrico.</w:t>
            </w:r>
          </w:p>
        </w:tc>
      </w:tr>
      <w:tr w:rsidR="00853709" w:rsidRPr="0043253A" w:rsidTr="000879A9">
        <w:tc>
          <w:tcPr>
            <w:tcW w:w="1980" w:type="dxa"/>
            <w:shd w:val="clear" w:color="auto" w:fill="BDD6EE" w:themeFill="accent5" w:themeFillTint="66"/>
            <w:vAlign w:val="center"/>
          </w:tcPr>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sz w:val="22"/>
                <w:szCs w:val="22"/>
                <w:lang w:val="es-ES"/>
              </w:rPr>
              <w:t>Ley 1816 de 2016</w:t>
            </w:r>
          </w:p>
        </w:tc>
        <w:tc>
          <w:tcPr>
            <w:tcW w:w="6946" w:type="dxa"/>
          </w:tcPr>
          <w:p w:rsidR="00853709" w:rsidRPr="0043253A" w:rsidRDefault="00853709" w:rsidP="00853709">
            <w:pPr>
              <w:spacing w:line="276" w:lineRule="auto"/>
              <w:jc w:val="both"/>
              <w:rPr>
                <w:rFonts w:ascii="Arial" w:hAnsi="Arial" w:cs="Arial"/>
                <w:iCs/>
                <w:sz w:val="22"/>
                <w:szCs w:val="22"/>
              </w:rPr>
            </w:pPr>
            <w:r w:rsidRPr="0043253A">
              <w:rPr>
                <w:rFonts w:ascii="Arial" w:hAnsi="Arial" w:cs="Arial"/>
                <w:sz w:val="22"/>
                <w:szCs w:val="22"/>
                <w:lang w:val="es-ES"/>
              </w:rPr>
              <w:t xml:space="preserve">Adoptó el esquema de impuesto mixto, compuesto por un componente específico y una ad valorem. La base gravable del primero corresponde al volumen de alcohol. La base del componente ad valorem </w:t>
            </w:r>
            <w:r w:rsidRPr="0043253A">
              <w:rPr>
                <w:rFonts w:ascii="Arial" w:hAnsi="Arial" w:cs="Arial"/>
                <w:iCs/>
                <w:sz w:val="22"/>
                <w:szCs w:val="22"/>
              </w:rPr>
              <w:t>es el precio de venta al público por unidad de 750 cc, sin incluir el impuesto al consumo o la participación, certificado anualmente por el DANE.</w:t>
            </w:r>
          </w:p>
          <w:p w:rsidR="00853709" w:rsidRPr="0043253A" w:rsidRDefault="00853709" w:rsidP="00853709">
            <w:pPr>
              <w:spacing w:line="276" w:lineRule="auto"/>
              <w:jc w:val="both"/>
              <w:rPr>
                <w:rFonts w:ascii="Arial" w:hAnsi="Arial" w:cs="Arial"/>
                <w:sz w:val="22"/>
                <w:szCs w:val="22"/>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La tarifa por grado alcoholimétrico asciende a $220 para licores, aperitivos y similares. Para vinos y aperitivos vínicos la tarifa corresponde a $150 por grado alcoholimétrico.</w:t>
            </w:r>
          </w:p>
          <w:p w:rsidR="00853709" w:rsidRPr="0043253A" w:rsidRDefault="00853709" w:rsidP="00853709">
            <w:pPr>
              <w:spacing w:line="276" w:lineRule="auto"/>
              <w:jc w:val="both"/>
              <w:rPr>
                <w:rFonts w:ascii="Arial" w:hAnsi="Arial" w:cs="Arial"/>
                <w:sz w:val="22"/>
                <w:szCs w:val="22"/>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Para el componente ad valorem la tarifa corresponde al 25% del precio de venta al público certificado por el DANE para cada producto; para vinos el 20%.</w:t>
            </w:r>
          </w:p>
        </w:tc>
      </w:tr>
    </w:tbl>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Los diferentes esquemas adoptados inciden directamente en el precio de venta de los productos. Cuando se ha adoptado modelos con componente ad valorem, se han generado alzas considerables en los precios que han tenido repercusión directa en el recaudo de impuesto al consumo y en los niveles de contrabando. Así quedó plasmado en el siguiente texto:</w:t>
      </w:r>
    </w:p>
    <w:p w:rsidR="00853709" w:rsidRPr="0043253A" w:rsidRDefault="00853709" w:rsidP="00853709">
      <w:pPr>
        <w:spacing w:line="276" w:lineRule="auto"/>
        <w:jc w:val="both"/>
        <w:rPr>
          <w:rFonts w:ascii="Arial" w:hAnsi="Arial" w:cs="Arial"/>
          <w:b/>
          <w:sz w:val="22"/>
          <w:szCs w:val="22"/>
          <w:lang w:val="es-ES"/>
        </w:rPr>
      </w:pPr>
      <w:r w:rsidRPr="0043253A">
        <w:rPr>
          <w:rFonts w:ascii="Arial" w:hAnsi="Arial" w:cs="Arial"/>
          <w:b/>
          <w:sz w:val="22"/>
          <w:szCs w:val="22"/>
          <w:lang w:val="es-ES"/>
        </w:rPr>
        <w:t xml:space="preserve"> </w:t>
      </w:r>
    </w:p>
    <w:p w:rsidR="00853709" w:rsidRPr="0043253A" w:rsidRDefault="00853709" w:rsidP="00853709">
      <w:pPr>
        <w:spacing w:line="276" w:lineRule="auto"/>
        <w:ind w:left="708"/>
        <w:jc w:val="both"/>
        <w:rPr>
          <w:rFonts w:ascii="Arial" w:hAnsi="Arial" w:cs="Arial"/>
          <w:i/>
          <w:sz w:val="22"/>
          <w:szCs w:val="22"/>
          <w:lang w:val="es-ES"/>
        </w:rPr>
      </w:pPr>
      <w:r w:rsidRPr="0043253A">
        <w:rPr>
          <w:rFonts w:ascii="Arial" w:hAnsi="Arial" w:cs="Arial"/>
          <w:i/>
          <w:sz w:val="22"/>
          <w:szCs w:val="22"/>
          <w:lang w:val="es-ES"/>
        </w:rPr>
        <w:t>El esquema impuesto por la ley 223 de 1995 fue objeto de severas críticas en cuanto que se decía que el precio de los licores alcanzaba niveles muy altos en relación con los productos de contrabando, lo cual marcaba un incentivo negativo para la producción de estos productos.</w:t>
      </w:r>
    </w:p>
    <w:p w:rsidR="00853709" w:rsidRPr="0043253A" w:rsidRDefault="00853709" w:rsidP="00853709">
      <w:pPr>
        <w:spacing w:line="276" w:lineRule="auto"/>
        <w:jc w:val="both"/>
        <w:rPr>
          <w:rFonts w:ascii="Arial" w:hAnsi="Arial" w:cs="Arial"/>
          <w:i/>
          <w:sz w:val="22"/>
          <w:szCs w:val="22"/>
          <w:lang w:val="es-ES"/>
        </w:rPr>
      </w:pPr>
    </w:p>
    <w:p w:rsidR="00853709" w:rsidRPr="0043253A" w:rsidRDefault="00853709" w:rsidP="00853709">
      <w:pPr>
        <w:spacing w:line="276" w:lineRule="auto"/>
        <w:ind w:left="708"/>
        <w:jc w:val="both"/>
        <w:rPr>
          <w:rFonts w:ascii="Arial" w:hAnsi="Arial" w:cs="Arial"/>
          <w:sz w:val="22"/>
          <w:szCs w:val="22"/>
          <w:lang w:val="es-ES"/>
        </w:rPr>
      </w:pPr>
      <w:r w:rsidRPr="0043253A">
        <w:rPr>
          <w:rFonts w:ascii="Arial" w:hAnsi="Arial" w:cs="Arial"/>
          <w:i/>
          <w:sz w:val="22"/>
          <w:szCs w:val="22"/>
          <w:lang w:val="es-ES"/>
        </w:rPr>
        <w:t>Como respuesta a los esquemas de elución y evasión generados principalmente por el contrabando y en reconocimiento a la imposibilidad de control de dicha situación, se expide la Ley 788 de 2002, que decide modificar las tarifas y la base gravable de dicho impuesto; así, el esquema tarifario cambió de tomar como base gravable el precio del producto, a determinar la base de acuerdo al grado alcoholimétrico dentro de unos determinados rangos, convirtiendo éste en un impuesto fijo. Bajo este esquema los licores de altos precios disminuyeron ostensiblemente su precio, y bajo esa premisa de acortar su precio de mercado con el precio de contrabando, se disminuyó el incentivo negativo que se había generado con la ley 223.</w:t>
      </w:r>
      <w:r w:rsidRPr="0043253A">
        <w:rPr>
          <w:rFonts w:ascii="Arial" w:hAnsi="Arial" w:cs="Arial"/>
          <w:sz w:val="22"/>
          <w:szCs w:val="22"/>
          <w:lang w:val="es-ES"/>
        </w:rPr>
        <w:t xml:space="preserve"> </w:t>
      </w:r>
      <w:sdt>
        <w:sdtPr>
          <w:rPr>
            <w:rFonts w:ascii="Arial" w:hAnsi="Arial" w:cs="Arial"/>
            <w:sz w:val="22"/>
            <w:szCs w:val="22"/>
            <w:lang w:val="es-ES"/>
          </w:rPr>
          <w:id w:val="51906203"/>
          <w:citation/>
        </w:sdtPr>
        <w:sdtEndPr/>
        <w:sdtContent>
          <w:r w:rsidRPr="0043253A">
            <w:rPr>
              <w:rFonts w:ascii="Arial" w:hAnsi="Arial" w:cs="Arial"/>
              <w:sz w:val="22"/>
              <w:szCs w:val="22"/>
              <w:lang w:val="es-ES"/>
            </w:rPr>
            <w:fldChar w:fldCharType="begin"/>
          </w:r>
          <w:r w:rsidRPr="0043253A">
            <w:rPr>
              <w:rFonts w:ascii="Arial" w:hAnsi="Arial" w:cs="Arial"/>
              <w:sz w:val="22"/>
              <w:szCs w:val="22"/>
              <w:lang w:val="es-ES"/>
            </w:rPr>
            <w:instrText xml:space="preserve">CITATION Sán12 \p 244 \l 3082 </w:instrText>
          </w:r>
          <w:r w:rsidRPr="0043253A">
            <w:rPr>
              <w:rFonts w:ascii="Arial" w:hAnsi="Arial" w:cs="Arial"/>
              <w:sz w:val="22"/>
              <w:szCs w:val="22"/>
              <w:lang w:val="es-ES"/>
            </w:rPr>
            <w:fldChar w:fldCharType="separate"/>
          </w:r>
          <w:r w:rsidRPr="0043253A">
            <w:rPr>
              <w:rFonts w:ascii="Arial" w:hAnsi="Arial" w:cs="Arial"/>
              <w:noProof/>
              <w:sz w:val="22"/>
              <w:szCs w:val="22"/>
              <w:lang w:val="es-ES"/>
            </w:rPr>
            <w:t>(Sánchez Peña, 2012, pág. 244)</w:t>
          </w:r>
          <w:r w:rsidRPr="0043253A">
            <w:rPr>
              <w:rFonts w:ascii="Arial" w:hAnsi="Arial" w:cs="Arial"/>
              <w:sz w:val="22"/>
              <w:szCs w:val="22"/>
              <w:lang w:val="es-ES"/>
            </w:rPr>
            <w:fldChar w:fldCharType="end"/>
          </w:r>
        </w:sdtContent>
      </w:sdt>
      <w:r w:rsidR="000879A9" w:rsidRPr="0043253A">
        <w:rPr>
          <w:rFonts w:ascii="Arial" w:hAnsi="Arial" w:cs="Arial"/>
          <w:sz w:val="22"/>
          <w:szCs w:val="22"/>
          <w:lang w:val="es-ES"/>
        </w:rPr>
        <w:t>.</w:t>
      </w:r>
    </w:p>
    <w:p w:rsidR="000879A9" w:rsidRPr="0043253A" w:rsidRDefault="000879A9" w:rsidP="00853709">
      <w:pPr>
        <w:spacing w:line="276" w:lineRule="auto"/>
        <w:ind w:left="708"/>
        <w:jc w:val="both"/>
        <w:rPr>
          <w:rFonts w:ascii="Arial" w:hAnsi="Arial" w:cs="Arial"/>
          <w:sz w:val="22"/>
          <w:szCs w:val="22"/>
          <w:lang w:val="es-ES"/>
        </w:rPr>
      </w:pP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pStyle w:val="Prrafodelista"/>
        <w:numPr>
          <w:ilvl w:val="1"/>
          <w:numId w:val="7"/>
        </w:numPr>
        <w:spacing w:line="276" w:lineRule="auto"/>
        <w:jc w:val="both"/>
        <w:rPr>
          <w:rFonts w:ascii="Arial" w:hAnsi="Arial" w:cs="Arial"/>
          <w:b/>
          <w:sz w:val="22"/>
          <w:szCs w:val="22"/>
          <w:lang w:val="es-ES"/>
        </w:rPr>
      </w:pPr>
      <w:r w:rsidRPr="0043253A">
        <w:rPr>
          <w:rFonts w:ascii="Arial" w:hAnsi="Arial" w:cs="Arial"/>
          <w:b/>
          <w:sz w:val="22"/>
          <w:szCs w:val="22"/>
          <w:lang w:val="es-ES"/>
        </w:rPr>
        <w:t>DESCRIPCIÓN DEL PROBLEMA</w:t>
      </w: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 xml:space="preserve">La entrada en vigencia de la ley 1816 de 2016 trajo grandes cambios al mercado de licores en Colombia. Estos se han dado principalmente por: i) regulación del monopolio como arbitrio rentístico de licores; ii) IVA independiente del impuesto al consumo del 5%; iii) cambio en el esquema del impuesto al consumo de licores, vinos, aperitivos y similares. </w:t>
      </w: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 xml:space="preserve">En referencia a este último, se adoptó un tributo mixto, conformado por un componente ad valorem y uno específico. La forma de hallar el valor del primer componente ha generado múltiples inconvenientes para todos los actores del mercado de licores. </w:t>
      </w: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Para los departamentos, el recaudo ha presentado enormes variaciones entre un año y otro, lo que ha generado dificultades presupuestales que han puesto en riesgo el cumplimiento de las metas de los planes de desarrollo y disminución de los recursos destinados a la salud y educación; adicionalmente, ha dificultado la labor de fiscalización de aquellos contribuyentes que presentan inexactitudes en sus declaraciones y ha generado un incentivo a favor del contrabando.</w:t>
      </w: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 xml:space="preserve">El cálculo, de acuerdo con los gobernadores, es que el ajuste que hizo la entidad (para 2018) tuvo un efecto de entre $500.000 millones y $650.000 millones al año que podrían dejar de ser destinados a sectores clave en el desarrollo regional, especialmente a educación, salud y deporte. </w:t>
      </w:r>
    </w:p>
    <w:p w:rsidR="000879A9" w:rsidRPr="0043253A" w:rsidRDefault="000879A9" w:rsidP="000879A9">
      <w:pPr>
        <w:spacing w:line="276" w:lineRule="auto"/>
        <w:jc w:val="both"/>
        <w:rPr>
          <w:rFonts w:ascii="Arial" w:hAnsi="Arial" w:cs="Arial"/>
          <w:sz w:val="22"/>
          <w:szCs w:val="22"/>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 xml:space="preserve">Sin embargo, con la modificación a los precios de referencia hecha por el Dane, según ha expresado el gobernador del Atlántico, Eduardo Verano de la Rosa, afectó hasta en 45% los tributos para los licores. </w:t>
      </w:r>
      <w:sdt>
        <w:sdtPr>
          <w:rPr>
            <w:rFonts w:ascii="Arial" w:hAnsi="Arial" w:cs="Arial"/>
            <w:sz w:val="22"/>
            <w:szCs w:val="22"/>
          </w:rPr>
          <w:id w:val="1955595601"/>
          <w:citation/>
        </w:sdtPr>
        <w:sdtEndPr/>
        <w:sdtContent>
          <w:r w:rsidRPr="0043253A">
            <w:rPr>
              <w:rFonts w:ascii="Arial" w:hAnsi="Arial" w:cs="Arial"/>
              <w:sz w:val="22"/>
              <w:szCs w:val="22"/>
            </w:rPr>
            <w:fldChar w:fldCharType="begin"/>
          </w:r>
          <w:r w:rsidRPr="0043253A">
            <w:rPr>
              <w:rFonts w:ascii="Arial" w:hAnsi="Arial" w:cs="Arial"/>
              <w:sz w:val="22"/>
              <w:szCs w:val="22"/>
              <w:lang w:val="es-ES"/>
            </w:rPr>
            <w:instrText xml:space="preserve">CITATION Veg18 \n  \l 3082 </w:instrText>
          </w:r>
          <w:r w:rsidRPr="0043253A">
            <w:rPr>
              <w:rFonts w:ascii="Arial" w:hAnsi="Arial" w:cs="Arial"/>
              <w:sz w:val="22"/>
              <w:szCs w:val="22"/>
            </w:rPr>
            <w:fldChar w:fldCharType="separate"/>
          </w:r>
          <w:r w:rsidRPr="0043253A">
            <w:rPr>
              <w:rFonts w:ascii="Arial" w:hAnsi="Arial" w:cs="Arial"/>
              <w:noProof/>
              <w:sz w:val="22"/>
              <w:szCs w:val="22"/>
              <w:lang w:val="es-ES"/>
            </w:rPr>
            <w:t>(La fórmula para el cálculo del impuesto a licores deja en rojo a las regiones, 2018)</w:t>
          </w:r>
          <w:r w:rsidRPr="0043253A">
            <w:rPr>
              <w:rFonts w:ascii="Arial" w:hAnsi="Arial" w:cs="Arial"/>
              <w:sz w:val="22"/>
              <w:szCs w:val="22"/>
            </w:rPr>
            <w:fldChar w:fldCharType="end"/>
          </w:r>
        </w:sdtContent>
      </w:sdt>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Para los productores, importadores y distribuidores de productos sujetos a este tributo, las drásticas variaciones en la carga impositiva de los productos no han permitido que el mercado de licores se estabilice, toda vez que se han generado aumentos considerables en cargas impositivas para determinados productos, lo que ha incentivado el contrabando y ha disminuido el consumo de licores, vinos, aperitivos y similares.</w:t>
      </w: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Al mismo tiempo que ha disminuido el consumo de ciertos productos; el mercado, ante tales precios ha migrado a un consumo de productos de baja categoría en relación con lo que venía consumiendo. Por lo cual, el efecto tributario en el precio además de contribuir a facilitar el contrabando, ha estimulado el consumo de productos cada vez más baratos que aportan pocos tributos, al mismo tiempo que hacen volúmenes más grandes, sin compensar matemáticamente un mayor recaudo.</w:t>
      </w: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color w:val="000000"/>
          <w:sz w:val="22"/>
          <w:szCs w:val="22"/>
        </w:rPr>
      </w:pPr>
      <w:r w:rsidRPr="0043253A">
        <w:rPr>
          <w:rFonts w:ascii="Arial" w:hAnsi="Arial" w:cs="Arial"/>
          <w:sz w:val="22"/>
          <w:szCs w:val="22"/>
          <w:lang w:val="es-ES"/>
        </w:rPr>
        <w:t xml:space="preserve">Para productores como la Industria Licorera de Caldas, se presentó, para la vigencia 2019, una situación compleja derivada de la certificación de PVP expedida por el DANE. En la Tabla 2, se observa los diferentes precios para tres aguardientes, donde resalta principalmente el precio entre dos productos similares como el </w:t>
      </w:r>
      <w:r w:rsidRPr="0043253A">
        <w:rPr>
          <w:rFonts w:ascii="Arial" w:hAnsi="Arial" w:cs="Arial"/>
          <w:color w:val="000000"/>
          <w:sz w:val="22"/>
          <w:szCs w:val="22"/>
        </w:rPr>
        <w:t>Aguardiente Cristal Sin Azúcar L y Aguardiente Sin Azúcar Cristal, ambos de 29º de alcohol, donde se presenta una diferencia que asciende a $43.340, partiendo de la base que se trata de productos de características similares.</w:t>
      </w:r>
    </w:p>
    <w:p w:rsidR="00853709" w:rsidRPr="0043253A" w:rsidRDefault="00853709" w:rsidP="00853709">
      <w:pPr>
        <w:jc w:val="both"/>
        <w:rPr>
          <w:rFonts w:ascii="Arial" w:hAnsi="Arial" w:cs="Arial"/>
          <w:color w:val="000000"/>
          <w:sz w:val="22"/>
          <w:szCs w:val="22"/>
        </w:rPr>
      </w:pPr>
    </w:p>
    <w:p w:rsidR="00853709" w:rsidRPr="0043253A" w:rsidRDefault="00853709" w:rsidP="00853709">
      <w:pPr>
        <w:pStyle w:val="Descripcin"/>
        <w:jc w:val="center"/>
        <w:rPr>
          <w:rFonts w:ascii="Arial" w:hAnsi="Arial" w:cs="Arial"/>
          <w:i w:val="0"/>
          <w:color w:val="000000" w:themeColor="text1"/>
          <w:sz w:val="22"/>
          <w:szCs w:val="22"/>
          <w:lang w:val="es-ES"/>
        </w:rPr>
      </w:pPr>
      <w:r w:rsidRPr="0043253A">
        <w:rPr>
          <w:rFonts w:ascii="Arial" w:hAnsi="Arial" w:cs="Arial"/>
          <w:b/>
          <w:i w:val="0"/>
          <w:color w:val="000000" w:themeColor="text1"/>
          <w:sz w:val="22"/>
          <w:szCs w:val="22"/>
        </w:rPr>
        <w:t xml:space="preserve">Tabla 2. </w:t>
      </w:r>
      <w:r w:rsidRPr="0043253A">
        <w:rPr>
          <w:rFonts w:ascii="Arial" w:hAnsi="Arial" w:cs="Arial"/>
          <w:i w:val="0"/>
          <w:color w:val="000000" w:themeColor="text1"/>
          <w:sz w:val="22"/>
          <w:szCs w:val="22"/>
        </w:rPr>
        <w:t>PVP 2019 aguardiente Cristal Sin Azúcar</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559"/>
      </w:tblGrid>
      <w:tr w:rsidR="00853709" w:rsidRPr="0043253A" w:rsidTr="000879A9">
        <w:trPr>
          <w:trHeight w:val="320"/>
          <w:jc w:val="center"/>
        </w:trPr>
        <w:tc>
          <w:tcPr>
            <w:tcW w:w="4248" w:type="dxa"/>
            <w:shd w:val="clear" w:color="auto" w:fill="BDD6EE" w:themeFill="accent5" w:themeFillTint="66"/>
            <w:noWrap/>
            <w:vAlign w:val="center"/>
          </w:tcPr>
          <w:p w:rsidR="00853709" w:rsidRPr="0043253A" w:rsidRDefault="00853709" w:rsidP="00853709">
            <w:pPr>
              <w:spacing w:after="160" w:line="259" w:lineRule="auto"/>
              <w:jc w:val="center"/>
              <w:rPr>
                <w:rFonts w:ascii="Arial" w:hAnsi="Arial" w:cs="Arial"/>
                <w:b/>
                <w:color w:val="000000"/>
                <w:sz w:val="22"/>
                <w:szCs w:val="22"/>
              </w:rPr>
            </w:pPr>
            <w:r w:rsidRPr="0043253A">
              <w:rPr>
                <w:rFonts w:ascii="Arial" w:hAnsi="Arial" w:cs="Arial"/>
                <w:b/>
                <w:color w:val="000000"/>
                <w:sz w:val="22"/>
                <w:szCs w:val="22"/>
              </w:rPr>
              <w:t>Producto</w:t>
            </w:r>
          </w:p>
        </w:tc>
        <w:tc>
          <w:tcPr>
            <w:tcW w:w="1559" w:type="dxa"/>
            <w:shd w:val="clear" w:color="auto" w:fill="BDD6EE" w:themeFill="accent5" w:themeFillTint="66"/>
            <w:noWrap/>
            <w:vAlign w:val="center"/>
          </w:tcPr>
          <w:p w:rsidR="00853709" w:rsidRPr="0043253A" w:rsidRDefault="00853709" w:rsidP="00853709">
            <w:pPr>
              <w:jc w:val="center"/>
              <w:rPr>
                <w:rFonts w:ascii="Arial" w:hAnsi="Arial" w:cs="Arial"/>
                <w:b/>
                <w:color w:val="000000"/>
                <w:sz w:val="22"/>
                <w:szCs w:val="22"/>
              </w:rPr>
            </w:pPr>
            <w:r w:rsidRPr="0043253A">
              <w:rPr>
                <w:rFonts w:ascii="Arial" w:hAnsi="Arial" w:cs="Arial"/>
                <w:b/>
                <w:color w:val="000000"/>
                <w:sz w:val="22"/>
                <w:szCs w:val="22"/>
              </w:rPr>
              <w:t>PVP DANE 2019</w:t>
            </w:r>
          </w:p>
        </w:tc>
      </w:tr>
      <w:tr w:rsidR="00853709" w:rsidRPr="0043253A" w:rsidTr="00853709">
        <w:trPr>
          <w:trHeight w:val="320"/>
          <w:jc w:val="center"/>
        </w:trPr>
        <w:tc>
          <w:tcPr>
            <w:tcW w:w="4248" w:type="dxa"/>
            <w:shd w:val="clear" w:color="auto" w:fill="auto"/>
            <w:noWrap/>
            <w:vAlign w:val="center"/>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Aguardiente Sin Azúcar S Marca Aguardiente Cristal 26º</w:t>
            </w:r>
          </w:p>
        </w:tc>
        <w:tc>
          <w:tcPr>
            <w:tcW w:w="1559" w:type="dxa"/>
            <w:shd w:val="clear" w:color="auto" w:fill="auto"/>
            <w:noWrap/>
            <w:vAlign w:val="center"/>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42.774</w:t>
            </w:r>
          </w:p>
        </w:tc>
      </w:tr>
      <w:tr w:rsidR="00853709" w:rsidRPr="0043253A" w:rsidTr="00853709">
        <w:trPr>
          <w:trHeight w:val="320"/>
          <w:jc w:val="center"/>
        </w:trPr>
        <w:tc>
          <w:tcPr>
            <w:tcW w:w="4248" w:type="dxa"/>
            <w:shd w:val="clear" w:color="auto" w:fill="auto"/>
            <w:noWrap/>
            <w:vAlign w:val="center"/>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Aguardiente Sin Azúcar Marca Aguardiente Cristal Sin Azúcar L. 29º</w:t>
            </w:r>
          </w:p>
        </w:tc>
        <w:tc>
          <w:tcPr>
            <w:tcW w:w="1559" w:type="dxa"/>
            <w:shd w:val="clear" w:color="auto" w:fill="auto"/>
            <w:noWrap/>
            <w:vAlign w:val="center"/>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68.462</w:t>
            </w:r>
          </w:p>
        </w:tc>
      </w:tr>
      <w:tr w:rsidR="00853709" w:rsidRPr="0043253A" w:rsidTr="00853709">
        <w:trPr>
          <w:trHeight w:val="320"/>
          <w:jc w:val="center"/>
        </w:trPr>
        <w:tc>
          <w:tcPr>
            <w:tcW w:w="4248" w:type="dxa"/>
            <w:shd w:val="clear" w:color="auto" w:fill="auto"/>
            <w:noWrap/>
            <w:vAlign w:val="center"/>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Aguardiente Sin Azúcar Marca Cristal 29º</w:t>
            </w:r>
          </w:p>
        </w:tc>
        <w:tc>
          <w:tcPr>
            <w:tcW w:w="1559" w:type="dxa"/>
            <w:shd w:val="clear" w:color="auto" w:fill="auto"/>
            <w:noWrap/>
            <w:vAlign w:val="center"/>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25.122</w:t>
            </w:r>
          </w:p>
        </w:tc>
      </w:tr>
    </w:tbl>
    <w:p w:rsidR="00853709" w:rsidRPr="0043253A" w:rsidRDefault="00853709" w:rsidP="00853709">
      <w:pPr>
        <w:spacing w:line="276" w:lineRule="auto"/>
        <w:ind w:firstLine="360"/>
        <w:jc w:val="both"/>
        <w:rPr>
          <w:rFonts w:ascii="Arial" w:hAnsi="Arial" w:cs="Arial"/>
          <w:sz w:val="22"/>
          <w:szCs w:val="22"/>
          <w:lang w:val="es-ES"/>
        </w:rPr>
      </w:pPr>
    </w:p>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Esta situación se deriva principalmente de la certificación de precio de venta al público (PVP) que productos sujetos al impuesto al consumo que debe expedir anualmente el DANE, tal como se describe a continuación:</w:t>
      </w:r>
    </w:p>
    <w:p w:rsidR="00853709" w:rsidRPr="0043253A" w:rsidRDefault="00853709" w:rsidP="00853709">
      <w:pPr>
        <w:pStyle w:val="Ttulo1"/>
        <w:numPr>
          <w:ilvl w:val="0"/>
          <w:numId w:val="10"/>
        </w:numPr>
        <w:jc w:val="left"/>
        <w:rPr>
          <w:sz w:val="22"/>
          <w:szCs w:val="22"/>
        </w:rPr>
      </w:pPr>
      <w:bookmarkStart w:id="1" w:name="_Toc530320494"/>
      <w:r w:rsidRPr="0043253A">
        <w:rPr>
          <w:sz w:val="22"/>
          <w:szCs w:val="22"/>
        </w:rPr>
        <w:t>Certificación de precios DANE</w:t>
      </w:r>
      <w:bookmarkEnd w:id="1"/>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De acuerdo con lo ordenado en el artículo 19 de la ley 1816 de 2016, el DANE debe certificar, antes del 1º de enero de cada año, el precio de venta al público de licores, vinos, aperitivos y similares (PVP) por unidad de 750 cc. En la certificación se debe excluir el valor del impuesto al consumo.</w:t>
      </w:r>
    </w:p>
    <w:p w:rsidR="00853709" w:rsidRPr="0043253A" w:rsidRDefault="00853709" w:rsidP="00853709">
      <w:pPr>
        <w:spacing w:line="276" w:lineRule="auto"/>
        <w:ind w:firstLine="360"/>
        <w:jc w:val="both"/>
        <w:rPr>
          <w:rFonts w:ascii="Arial" w:hAnsi="Arial" w:cs="Arial"/>
          <w:sz w:val="22"/>
          <w:szCs w:val="22"/>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El PVP certificado por el DANE constituye la base gravable del componente ad valorem del impuesto al consumo que se cobra a los licores, vinos aperitivos y similares. Por ello, una modificación en la base gravable, impactará directamente en el valor total de impuesto a pagar, y en consecuencia, en el recaudo de los departamentos.</w:t>
      </w:r>
    </w:p>
    <w:p w:rsidR="00853709" w:rsidRPr="0043253A" w:rsidRDefault="00853709" w:rsidP="00853709">
      <w:pPr>
        <w:spacing w:line="276" w:lineRule="auto"/>
        <w:jc w:val="both"/>
        <w:rPr>
          <w:rFonts w:ascii="Arial" w:hAnsi="Arial" w:cs="Arial"/>
          <w:sz w:val="22"/>
          <w:szCs w:val="22"/>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Para la vigencia 2018, la certificación de PVP expedida por el DANE generó inconvenientes para los departamentos, toda vez que los precios de los licores se redujeron entre un 25 y 35% comparado con la vigencia 2017. Ello trajo consigo una disminución, según cifras de la Federación Nacional de Departamentos -FND-, de aproximandamente 460 mil millones de pesos en los ingresos propios de los departamentos, disminuyendo los recursos de la salud, educación y el deporte. Esta reducción obedece a que el DANE “realiza un promedio simple entre: i) El precio promedio de información de mercado (operativos), y ii) el precio reportado por cada productor o importador. Este promedio es el que finalmente certifica como precio de venta de cada licor”</w:t>
      </w:r>
      <w:sdt>
        <w:sdtPr>
          <w:rPr>
            <w:rFonts w:ascii="Arial" w:hAnsi="Arial" w:cs="Arial"/>
            <w:sz w:val="22"/>
            <w:szCs w:val="22"/>
          </w:rPr>
          <w:id w:val="-1352787489"/>
          <w:citation/>
        </w:sdtPr>
        <w:sdtEndPr>
          <w:rPr>
            <w:u w:val="single"/>
          </w:rPr>
        </w:sdtEndPr>
        <w:sdtContent>
          <w:r w:rsidRPr="0043253A">
            <w:rPr>
              <w:rFonts w:ascii="Arial" w:hAnsi="Arial" w:cs="Arial"/>
              <w:sz w:val="22"/>
              <w:szCs w:val="22"/>
              <w:u w:val="single"/>
            </w:rPr>
            <w:fldChar w:fldCharType="begin"/>
          </w:r>
          <w:r w:rsidRPr="0043253A">
            <w:rPr>
              <w:rFonts w:ascii="Arial" w:hAnsi="Arial" w:cs="Arial"/>
              <w:sz w:val="22"/>
              <w:szCs w:val="22"/>
              <w:u w:val="single"/>
              <w:lang w:val="es-ES"/>
            </w:rPr>
            <w:instrText xml:space="preserve"> CITATION Fed18 \l 3082 </w:instrText>
          </w:r>
          <w:r w:rsidRPr="0043253A">
            <w:rPr>
              <w:rFonts w:ascii="Arial" w:hAnsi="Arial" w:cs="Arial"/>
              <w:sz w:val="22"/>
              <w:szCs w:val="22"/>
              <w:u w:val="single"/>
            </w:rPr>
            <w:fldChar w:fldCharType="separate"/>
          </w:r>
          <w:r w:rsidRPr="0043253A">
            <w:rPr>
              <w:rFonts w:ascii="Arial" w:hAnsi="Arial" w:cs="Arial"/>
              <w:noProof/>
              <w:sz w:val="22"/>
              <w:szCs w:val="22"/>
              <w:u w:val="single"/>
              <w:lang w:val="es-ES"/>
            </w:rPr>
            <w:t xml:space="preserve"> </w:t>
          </w:r>
          <w:r w:rsidRPr="0043253A">
            <w:rPr>
              <w:rFonts w:ascii="Arial" w:hAnsi="Arial" w:cs="Arial"/>
              <w:noProof/>
              <w:sz w:val="22"/>
              <w:szCs w:val="22"/>
              <w:lang w:val="es-ES"/>
            </w:rPr>
            <w:t>(Federación Nacional de Departamentos, 2018)</w:t>
          </w:r>
          <w:r w:rsidRPr="0043253A">
            <w:rPr>
              <w:rFonts w:ascii="Arial" w:hAnsi="Arial" w:cs="Arial"/>
              <w:sz w:val="22"/>
              <w:szCs w:val="22"/>
              <w:u w:val="single"/>
            </w:rPr>
            <w:fldChar w:fldCharType="end"/>
          </w:r>
        </w:sdtContent>
      </w:sdt>
    </w:p>
    <w:p w:rsidR="00853709" w:rsidRPr="0043253A" w:rsidRDefault="00853709" w:rsidP="00853709">
      <w:pPr>
        <w:spacing w:line="276" w:lineRule="auto"/>
        <w:jc w:val="both"/>
        <w:rPr>
          <w:rFonts w:ascii="Arial" w:hAnsi="Arial" w:cs="Arial"/>
          <w:color w:val="C00000"/>
          <w:sz w:val="22"/>
          <w:szCs w:val="22"/>
          <w:highlight w:val="yellow"/>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Entre las razones que se dan para motivar la reducción de precios, el DANE ha sostenido que ello obedece a:</w:t>
      </w:r>
    </w:p>
    <w:p w:rsidR="00853709" w:rsidRPr="0043253A" w:rsidRDefault="00853709" w:rsidP="00853709">
      <w:pPr>
        <w:spacing w:line="276" w:lineRule="auto"/>
        <w:jc w:val="both"/>
        <w:rPr>
          <w:rFonts w:ascii="Arial" w:hAnsi="Arial" w:cs="Arial"/>
          <w:sz w:val="22"/>
          <w:szCs w:val="22"/>
        </w:rPr>
      </w:pPr>
    </w:p>
    <w:p w:rsidR="00853709" w:rsidRPr="0043253A" w:rsidRDefault="00853709" w:rsidP="00853709">
      <w:pPr>
        <w:spacing w:line="276" w:lineRule="auto"/>
        <w:ind w:left="708"/>
        <w:jc w:val="both"/>
        <w:rPr>
          <w:rFonts w:ascii="Arial" w:hAnsi="Arial" w:cs="Arial"/>
          <w:i/>
          <w:sz w:val="22"/>
          <w:szCs w:val="22"/>
        </w:rPr>
      </w:pPr>
      <w:r w:rsidRPr="0043253A">
        <w:rPr>
          <w:rFonts w:ascii="Arial" w:hAnsi="Arial" w:cs="Arial"/>
          <w:i/>
          <w:sz w:val="22"/>
          <w:szCs w:val="22"/>
        </w:rPr>
        <w:t xml:space="preserve">Mayor descuento de impuestos en 2018: En 2018 se debió descontar del precio de venta, además de la participación o el impuesto al consumo, el IVA del 5% a los licores que creo la Ley 1816. </w:t>
      </w:r>
    </w:p>
    <w:p w:rsidR="00853709" w:rsidRPr="0043253A" w:rsidRDefault="00853709" w:rsidP="00853709">
      <w:pPr>
        <w:spacing w:line="276" w:lineRule="auto"/>
        <w:ind w:left="708"/>
        <w:jc w:val="both"/>
        <w:rPr>
          <w:rFonts w:ascii="Arial" w:hAnsi="Arial" w:cs="Arial"/>
          <w:i/>
          <w:sz w:val="22"/>
          <w:szCs w:val="22"/>
        </w:rPr>
      </w:pPr>
    </w:p>
    <w:p w:rsidR="00853709" w:rsidRPr="0043253A" w:rsidRDefault="00853709" w:rsidP="00853709">
      <w:pPr>
        <w:spacing w:line="276" w:lineRule="auto"/>
        <w:ind w:left="708"/>
        <w:jc w:val="both"/>
        <w:rPr>
          <w:rFonts w:ascii="Arial" w:hAnsi="Arial" w:cs="Arial"/>
          <w:sz w:val="22"/>
          <w:szCs w:val="22"/>
        </w:rPr>
      </w:pPr>
      <w:r w:rsidRPr="0043253A">
        <w:rPr>
          <w:rFonts w:ascii="Arial" w:hAnsi="Arial" w:cs="Arial"/>
          <w:i/>
          <w:sz w:val="22"/>
          <w:szCs w:val="22"/>
        </w:rPr>
        <w:t>Cambio en la fecha de la toma de la muestra: A diferencia del 2017 donde se calculó los meses de noviembre y diciembre (meses donde el precio de venta es mayor) para 2018 se calculó desde junio hasta diciembre, donde el promedio se torna más variable.</w:t>
      </w:r>
      <w:r w:rsidRPr="0043253A">
        <w:rPr>
          <w:rFonts w:ascii="Arial" w:hAnsi="Arial" w:cs="Arial"/>
          <w:sz w:val="22"/>
          <w:szCs w:val="22"/>
        </w:rPr>
        <w:t xml:space="preserve"> (Ibidem)</w:t>
      </w:r>
    </w:p>
    <w:p w:rsidR="00853709" w:rsidRPr="0043253A" w:rsidRDefault="00853709" w:rsidP="00853709">
      <w:pPr>
        <w:spacing w:line="276" w:lineRule="auto"/>
        <w:jc w:val="both"/>
        <w:rPr>
          <w:rFonts w:ascii="Arial" w:hAnsi="Arial" w:cs="Arial"/>
          <w:sz w:val="22"/>
          <w:szCs w:val="22"/>
          <w:highlight w:val="yellow"/>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 xml:space="preserve">Ante esta situación, tanto el Director Ejecutivo de la FND, como los departamentos han solicitado que para el cálculo del precio promedio sólo se tenga en cuenta el precio de venta al público que paga el consumidor final, retirando de la fórmula el precio reportado por productores e importadores, tal como lo aclara las comunicaciones del Ministerio de Hacienda y Crédito Público. La situación de que </w:t>
      </w:r>
      <w:r w:rsidR="000879A9" w:rsidRPr="0043253A">
        <w:rPr>
          <w:rFonts w:ascii="Arial" w:hAnsi="Arial" w:cs="Arial"/>
          <w:sz w:val="22"/>
          <w:szCs w:val="22"/>
        </w:rPr>
        <w:t>los mismos</w:t>
      </w:r>
      <w:r w:rsidRPr="0043253A">
        <w:rPr>
          <w:rFonts w:ascii="Arial" w:hAnsi="Arial" w:cs="Arial"/>
          <w:sz w:val="22"/>
          <w:szCs w:val="22"/>
        </w:rPr>
        <w:t xml:space="preserve"> sujetos pasivos del impuesto incidan en la determinación de la base gravable, genera conflicto de intereses.</w:t>
      </w:r>
    </w:p>
    <w:p w:rsidR="00853709" w:rsidRPr="0043253A" w:rsidRDefault="00853709" w:rsidP="00853709">
      <w:pPr>
        <w:spacing w:line="276" w:lineRule="auto"/>
        <w:jc w:val="both"/>
        <w:rPr>
          <w:rFonts w:ascii="Arial" w:hAnsi="Arial" w:cs="Arial"/>
          <w:sz w:val="22"/>
          <w:szCs w:val="22"/>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 xml:space="preserve">En la Tabla 3 y 4 se muestra los productos nacionales e importados que mayor variación de PVP han presentado en la certificación expedida por el DANE para las vigencias 2017, 2018 y 2019. Allí se observa cambios en precios que llegan hasta el 200% de un año a otro. </w:t>
      </w:r>
    </w:p>
    <w:p w:rsidR="00853709" w:rsidRPr="0043253A" w:rsidRDefault="00853709" w:rsidP="00853709">
      <w:pPr>
        <w:spacing w:line="276" w:lineRule="auto"/>
        <w:ind w:firstLine="360"/>
        <w:jc w:val="both"/>
        <w:rPr>
          <w:rFonts w:ascii="Arial" w:hAnsi="Arial" w:cs="Arial"/>
          <w:sz w:val="22"/>
          <w:szCs w:val="22"/>
        </w:rPr>
      </w:pPr>
    </w:p>
    <w:p w:rsidR="00853709" w:rsidRPr="0043253A" w:rsidRDefault="00853709" w:rsidP="000879A9">
      <w:pPr>
        <w:spacing w:line="276" w:lineRule="auto"/>
        <w:jc w:val="both"/>
        <w:rPr>
          <w:rFonts w:ascii="Arial" w:hAnsi="Arial" w:cs="Arial"/>
          <w:sz w:val="22"/>
          <w:szCs w:val="22"/>
        </w:rPr>
      </w:pPr>
      <w:r w:rsidRPr="0043253A">
        <w:rPr>
          <w:rFonts w:ascii="Arial" w:hAnsi="Arial" w:cs="Arial"/>
          <w:sz w:val="22"/>
          <w:szCs w:val="22"/>
        </w:rPr>
        <w:t>Para el caso de productos nacionales, la variación promedio entre 2017 y 2018 fue de -26%, y para la vigencia 2018-2019, esta variación llegó al 82%. Para productos importados, oscilaron entre -24% y 59% para los mismos periodos. Estas oscilaciones repercuten en el recaudo de los departamentos. Al respecto el gobernador de Atlántico, Eduardo Verano, reseñó:</w:t>
      </w:r>
    </w:p>
    <w:p w:rsidR="00853709" w:rsidRPr="0043253A" w:rsidRDefault="00853709" w:rsidP="00853709">
      <w:pPr>
        <w:spacing w:line="276" w:lineRule="auto"/>
        <w:ind w:firstLine="360"/>
        <w:jc w:val="both"/>
        <w:rPr>
          <w:rFonts w:ascii="Arial" w:hAnsi="Arial" w:cs="Arial"/>
          <w:color w:val="000000" w:themeColor="text1"/>
          <w:sz w:val="22"/>
          <w:szCs w:val="22"/>
        </w:rPr>
      </w:pPr>
    </w:p>
    <w:p w:rsidR="00853709" w:rsidRPr="0043253A" w:rsidRDefault="00853709" w:rsidP="000879A9">
      <w:pPr>
        <w:spacing w:line="276" w:lineRule="auto"/>
        <w:jc w:val="both"/>
        <w:rPr>
          <w:rFonts w:ascii="Arial" w:hAnsi="Arial" w:cs="Arial"/>
          <w:color w:val="000000" w:themeColor="text1"/>
          <w:sz w:val="22"/>
          <w:szCs w:val="22"/>
        </w:rPr>
      </w:pPr>
      <w:r w:rsidRPr="0043253A">
        <w:rPr>
          <w:rFonts w:ascii="Arial" w:hAnsi="Arial" w:cs="Arial"/>
          <w:bCs/>
          <w:color w:val="000000" w:themeColor="text1"/>
          <w:sz w:val="22"/>
          <w:szCs w:val="22"/>
          <w:bdr w:val="none" w:sz="0" w:space="0" w:color="auto" w:frame="1"/>
        </w:rPr>
        <w:t xml:space="preserve">El Dane bajó los precios de referencia para los licores a partir del 2018, de tal manera que los impuestos también bajaron entre un 35 y 45 por ciento a todos los licores en Colombia. </w:t>
      </w:r>
      <w:sdt>
        <w:sdtPr>
          <w:rPr>
            <w:rFonts w:ascii="Arial" w:hAnsi="Arial" w:cs="Arial"/>
            <w:bCs/>
            <w:color w:val="000000" w:themeColor="text1"/>
            <w:sz w:val="22"/>
            <w:szCs w:val="22"/>
            <w:bdr w:val="none" w:sz="0" w:space="0" w:color="auto" w:frame="1"/>
          </w:rPr>
          <w:id w:val="1817219312"/>
          <w:citation/>
        </w:sdtPr>
        <w:sdtEndPr/>
        <w:sdtContent>
          <w:r w:rsidRPr="0043253A">
            <w:rPr>
              <w:rFonts w:ascii="Arial" w:hAnsi="Arial" w:cs="Arial"/>
              <w:bCs/>
              <w:color w:val="000000" w:themeColor="text1"/>
              <w:sz w:val="22"/>
              <w:szCs w:val="22"/>
              <w:bdr w:val="none" w:sz="0" w:space="0" w:color="auto" w:frame="1"/>
            </w:rPr>
            <w:fldChar w:fldCharType="begin"/>
          </w:r>
          <w:r w:rsidRPr="0043253A">
            <w:rPr>
              <w:rFonts w:ascii="Arial" w:hAnsi="Arial" w:cs="Arial"/>
              <w:bCs/>
              <w:color w:val="000000" w:themeColor="text1"/>
              <w:sz w:val="22"/>
              <w:szCs w:val="22"/>
              <w:bdr w:val="none" w:sz="0" w:space="0" w:color="auto" w:frame="1"/>
              <w:lang w:val="es-ES"/>
            </w:rPr>
            <w:instrText xml:space="preserve">CITATION Joh181 \l 3082 </w:instrText>
          </w:r>
          <w:r w:rsidRPr="0043253A">
            <w:rPr>
              <w:rFonts w:ascii="Arial" w:hAnsi="Arial" w:cs="Arial"/>
              <w:bCs/>
              <w:color w:val="000000" w:themeColor="text1"/>
              <w:sz w:val="22"/>
              <w:szCs w:val="22"/>
              <w:bdr w:val="none" w:sz="0" w:space="0" w:color="auto" w:frame="1"/>
            </w:rPr>
            <w:fldChar w:fldCharType="separate"/>
          </w:r>
          <w:r w:rsidRPr="0043253A">
            <w:rPr>
              <w:rFonts w:ascii="Arial" w:hAnsi="Arial" w:cs="Arial"/>
              <w:noProof/>
              <w:color w:val="000000" w:themeColor="text1"/>
              <w:sz w:val="22"/>
              <w:szCs w:val="22"/>
              <w:bdr w:val="none" w:sz="0" w:space="0" w:color="auto" w:frame="1"/>
              <w:lang w:val="es-ES"/>
            </w:rPr>
            <w:t>(Montaño, 2018)</w:t>
          </w:r>
          <w:r w:rsidRPr="0043253A">
            <w:rPr>
              <w:rFonts w:ascii="Arial" w:hAnsi="Arial" w:cs="Arial"/>
              <w:bCs/>
              <w:color w:val="000000" w:themeColor="text1"/>
              <w:sz w:val="22"/>
              <w:szCs w:val="22"/>
              <w:bdr w:val="none" w:sz="0" w:space="0" w:color="auto" w:frame="1"/>
            </w:rPr>
            <w:fldChar w:fldCharType="end"/>
          </w:r>
        </w:sdtContent>
      </w:sdt>
    </w:p>
    <w:p w:rsidR="00853709" w:rsidRPr="0043253A" w:rsidRDefault="00853709" w:rsidP="00853709">
      <w:pPr>
        <w:rPr>
          <w:rFonts w:ascii="Arial" w:hAnsi="Arial" w:cs="Arial"/>
          <w:sz w:val="22"/>
          <w:szCs w:val="22"/>
        </w:rPr>
      </w:pPr>
    </w:p>
    <w:p w:rsidR="00853709" w:rsidRPr="0043253A" w:rsidRDefault="00853709" w:rsidP="00853709">
      <w:pPr>
        <w:pStyle w:val="Descripcin"/>
        <w:jc w:val="center"/>
        <w:rPr>
          <w:rFonts w:ascii="Arial" w:hAnsi="Arial" w:cs="Arial"/>
          <w:b/>
          <w:i w:val="0"/>
          <w:sz w:val="22"/>
          <w:szCs w:val="22"/>
          <w:lang w:val="es-ES"/>
        </w:rPr>
      </w:pPr>
      <w:r w:rsidRPr="0043253A">
        <w:rPr>
          <w:rFonts w:ascii="Arial" w:hAnsi="Arial" w:cs="Arial"/>
          <w:b/>
          <w:i w:val="0"/>
          <w:color w:val="000000" w:themeColor="text1"/>
          <w:sz w:val="22"/>
          <w:szCs w:val="22"/>
        </w:rPr>
        <w:t>Tabla 3.</w:t>
      </w:r>
      <w:r w:rsidRPr="0043253A">
        <w:rPr>
          <w:rFonts w:ascii="Arial" w:hAnsi="Arial" w:cs="Arial"/>
          <w:i w:val="0"/>
          <w:color w:val="000000" w:themeColor="text1"/>
          <w:sz w:val="22"/>
          <w:szCs w:val="22"/>
        </w:rPr>
        <w:t xml:space="preserve"> Variación PVP DANE productos nacionales 2017, 2018 y 2019</w:t>
      </w:r>
    </w:p>
    <w:tbl>
      <w:tblPr>
        <w:tblStyle w:val="Tablaconcuadrcula"/>
        <w:tblW w:w="9493" w:type="dxa"/>
        <w:jc w:val="center"/>
        <w:tblLayout w:type="fixed"/>
        <w:tblLook w:val="04A0" w:firstRow="1" w:lastRow="0" w:firstColumn="1" w:lastColumn="0" w:noHBand="0" w:noVBand="1"/>
      </w:tblPr>
      <w:tblGrid>
        <w:gridCol w:w="3114"/>
        <w:gridCol w:w="1134"/>
        <w:gridCol w:w="992"/>
        <w:gridCol w:w="1559"/>
        <w:gridCol w:w="1134"/>
        <w:gridCol w:w="1560"/>
      </w:tblGrid>
      <w:tr w:rsidR="00853709" w:rsidRPr="0043253A" w:rsidTr="000879A9">
        <w:trPr>
          <w:trHeight w:val="640"/>
          <w:jc w:val="center"/>
        </w:trPr>
        <w:tc>
          <w:tcPr>
            <w:tcW w:w="3114"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PRODUCTO NACIONAL</w:t>
            </w:r>
          </w:p>
        </w:tc>
        <w:tc>
          <w:tcPr>
            <w:tcW w:w="1134"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PVP DANE</w:t>
            </w:r>
            <w:r w:rsidRPr="0043253A">
              <w:rPr>
                <w:rFonts w:ascii="Arial" w:hAnsi="Arial" w:cs="Arial"/>
                <w:b/>
                <w:bCs/>
                <w:color w:val="000000"/>
                <w:sz w:val="22"/>
                <w:szCs w:val="22"/>
              </w:rPr>
              <w:br/>
              <w:t>2017</w:t>
            </w:r>
          </w:p>
        </w:tc>
        <w:tc>
          <w:tcPr>
            <w:tcW w:w="992"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PVP DANE</w:t>
            </w:r>
            <w:r w:rsidRPr="0043253A">
              <w:rPr>
                <w:rFonts w:ascii="Arial" w:hAnsi="Arial" w:cs="Arial"/>
                <w:b/>
                <w:bCs/>
                <w:color w:val="000000"/>
                <w:sz w:val="22"/>
                <w:szCs w:val="22"/>
              </w:rPr>
              <w:br/>
              <w:t>2018</w:t>
            </w:r>
          </w:p>
        </w:tc>
        <w:tc>
          <w:tcPr>
            <w:tcW w:w="1559" w:type="dxa"/>
            <w:shd w:val="clear" w:color="auto" w:fill="BDD6EE" w:themeFill="accent5" w:themeFillTint="66"/>
            <w:vAlign w:val="center"/>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VARIACIÓN 2017-2018</w:t>
            </w:r>
          </w:p>
        </w:tc>
        <w:tc>
          <w:tcPr>
            <w:tcW w:w="1134"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PVP DANE</w:t>
            </w:r>
            <w:r w:rsidRPr="0043253A">
              <w:rPr>
                <w:rFonts w:ascii="Arial" w:hAnsi="Arial" w:cs="Arial"/>
                <w:b/>
                <w:bCs/>
                <w:color w:val="000000"/>
                <w:sz w:val="22"/>
                <w:szCs w:val="22"/>
              </w:rPr>
              <w:br/>
              <w:t>2019</w:t>
            </w:r>
          </w:p>
        </w:tc>
        <w:tc>
          <w:tcPr>
            <w:tcW w:w="1560" w:type="dxa"/>
            <w:shd w:val="clear" w:color="auto" w:fill="BDD6EE" w:themeFill="accent5" w:themeFillTint="66"/>
            <w:vAlign w:val="center"/>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VARIACIÓN 2018-2019</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VO. MONTESSKAYA STRAWBERRY</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25.331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15.615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39.293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152%</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SIN AZUCAR ANTIOQUEÑO</w:t>
            </w:r>
          </w:p>
        </w:tc>
        <w:tc>
          <w:tcPr>
            <w:tcW w:w="1134" w:type="dxa"/>
            <w:noWrap/>
            <w:hideMark/>
          </w:tcPr>
          <w:p w:rsidR="00853709" w:rsidRPr="0043253A" w:rsidRDefault="00853709" w:rsidP="000879A9">
            <w:pPr>
              <w:rPr>
                <w:rFonts w:ascii="Arial" w:hAnsi="Arial" w:cs="Arial"/>
                <w:color w:val="000000"/>
                <w:sz w:val="22"/>
                <w:szCs w:val="22"/>
              </w:rPr>
            </w:pPr>
            <w:r w:rsidRPr="0043253A">
              <w:rPr>
                <w:rFonts w:ascii="Arial" w:hAnsi="Arial" w:cs="Arial"/>
                <w:color w:val="000000"/>
                <w:sz w:val="22"/>
                <w:szCs w:val="22"/>
              </w:rPr>
              <w:t xml:space="preserve"> $      34.103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14.244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33.644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136%</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ANTIOQUEÑO SIN AZUCAR PRISMA (TTP)</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28.647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19.942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47.102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136%</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VO. MONTESSKAYA APPLE</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22.956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18.173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-21%</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35.980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98%</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CALDAS 35° DEG</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26.801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18.374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-31%</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35.866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95%</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DE CALDAS LEON DORMIDO 40°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90.000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90.000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172.788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92%</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CREMA RON CHEERS 14.8°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31.541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19.334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-39%</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36.369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88%</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L. CREMA DE AMARETTO CONVIER</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28.517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20.824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36.885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77%</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CDS RES. ESPECIAL 35°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52.573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38.967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-26%</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68.039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75%</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CDS RES. ESPECIAL 35° DEG</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52.573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38.967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-26%</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68.039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75%</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L. TRIPLE SEC CONVIER BLUE 25°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28.380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20.653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35.778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73%</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GRAN RESERVA 35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26.941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22.239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38.056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71%</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GRAN RESERVA 35° (DEG)</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26.941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22.239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38.056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71%</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8 AÑOS PARCE RUM</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125.042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87.137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145.788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67%</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CREMA CACAO CONVIER</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29.550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22.714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-23%</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37.283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64%</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L. CREMA TRIPLE SEC CONVIER</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29.033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21.977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-24%</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35.794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63%</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MOSCATEL DE PASAS BOD DEL RHIN(10)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54.200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39.107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62.393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60%</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L. CREMA DE CAFE COLOMA</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27.786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21.772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-22%</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34.396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58%</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12 AÑOS PARCE RUM</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152.438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123.513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-19%</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178.458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44%</w:t>
            </w:r>
          </w:p>
        </w:tc>
      </w:tr>
      <w:tr w:rsidR="00853709" w:rsidRPr="0043253A" w:rsidTr="000879A9">
        <w:trPr>
          <w:trHeight w:val="300"/>
          <w:jc w:val="center"/>
        </w:trPr>
        <w:tc>
          <w:tcPr>
            <w:tcW w:w="311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L. JOHN THOMAS AZUL</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25.967 </w:t>
            </w:r>
          </w:p>
        </w:tc>
        <w:tc>
          <w:tcPr>
            <w:tcW w:w="992"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21.325 </w:t>
            </w:r>
          </w:p>
        </w:tc>
        <w:tc>
          <w:tcPr>
            <w:tcW w:w="1559"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29.936 </w:t>
            </w:r>
          </w:p>
        </w:tc>
        <w:tc>
          <w:tcPr>
            <w:tcW w:w="1560" w:type="dxa"/>
            <w:noWrap/>
            <w:vAlign w:val="center"/>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40%</w:t>
            </w:r>
          </w:p>
        </w:tc>
      </w:tr>
      <w:tr w:rsidR="00853709" w:rsidRPr="0043253A" w:rsidTr="000879A9">
        <w:trPr>
          <w:trHeight w:val="300"/>
          <w:jc w:val="center"/>
        </w:trPr>
        <w:tc>
          <w:tcPr>
            <w:tcW w:w="5240" w:type="dxa"/>
            <w:gridSpan w:val="3"/>
            <w:shd w:val="clear" w:color="auto" w:fill="BDD6EE" w:themeFill="accent5" w:themeFillTint="66"/>
            <w:noWrap/>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PROMEDIO VARIACIÓN</w:t>
            </w:r>
          </w:p>
        </w:tc>
        <w:tc>
          <w:tcPr>
            <w:tcW w:w="1559" w:type="dxa"/>
            <w:noWrap/>
            <w:vAlign w:val="center"/>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-26%</w:t>
            </w:r>
          </w:p>
        </w:tc>
        <w:tc>
          <w:tcPr>
            <w:tcW w:w="1134" w:type="dxa"/>
            <w:noWrap/>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w:t>
            </w:r>
          </w:p>
        </w:tc>
        <w:tc>
          <w:tcPr>
            <w:tcW w:w="1560" w:type="dxa"/>
            <w:noWrap/>
            <w:vAlign w:val="center"/>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82%</w:t>
            </w:r>
          </w:p>
        </w:tc>
      </w:tr>
    </w:tbl>
    <w:p w:rsidR="00853709" w:rsidRPr="0043253A" w:rsidRDefault="00853709" w:rsidP="00853709">
      <w:pPr>
        <w:spacing w:line="276" w:lineRule="auto"/>
        <w:jc w:val="both"/>
        <w:rPr>
          <w:rFonts w:ascii="Arial" w:hAnsi="Arial" w:cs="Arial"/>
          <w:b/>
          <w:sz w:val="22"/>
          <w:szCs w:val="22"/>
          <w:lang w:val="es-ES"/>
        </w:rPr>
      </w:pPr>
    </w:p>
    <w:p w:rsidR="000879A9" w:rsidRPr="0043253A" w:rsidRDefault="000879A9" w:rsidP="00853709">
      <w:pPr>
        <w:pStyle w:val="Descripcin"/>
        <w:jc w:val="center"/>
        <w:rPr>
          <w:rFonts w:ascii="Arial" w:hAnsi="Arial" w:cs="Arial"/>
          <w:b/>
          <w:i w:val="0"/>
          <w:color w:val="000000" w:themeColor="text1"/>
          <w:sz w:val="22"/>
          <w:szCs w:val="22"/>
        </w:rPr>
      </w:pPr>
    </w:p>
    <w:p w:rsidR="00853709" w:rsidRPr="0043253A" w:rsidRDefault="00853709" w:rsidP="00853709">
      <w:pPr>
        <w:pStyle w:val="Descripcin"/>
        <w:jc w:val="center"/>
        <w:rPr>
          <w:rFonts w:ascii="Arial" w:hAnsi="Arial" w:cs="Arial"/>
          <w:b/>
          <w:i w:val="0"/>
          <w:sz w:val="22"/>
          <w:szCs w:val="22"/>
          <w:lang w:val="es-ES"/>
        </w:rPr>
      </w:pPr>
      <w:r w:rsidRPr="0043253A">
        <w:rPr>
          <w:rFonts w:ascii="Arial" w:hAnsi="Arial" w:cs="Arial"/>
          <w:b/>
          <w:i w:val="0"/>
          <w:color w:val="000000" w:themeColor="text1"/>
          <w:sz w:val="22"/>
          <w:szCs w:val="22"/>
        </w:rPr>
        <w:t>Tabla 4.</w:t>
      </w:r>
      <w:r w:rsidRPr="0043253A">
        <w:rPr>
          <w:rFonts w:ascii="Arial" w:hAnsi="Arial" w:cs="Arial"/>
          <w:i w:val="0"/>
          <w:color w:val="000000" w:themeColor="text1"/>
          <w:sz w:val="22"/>
          <w:szCs w:val="22"/>
        </w:rPr>
        <w:t xml:space="preserve"> Variación PVP DANE productos importados 2017, 2018 y 2019</w:t>
      </w:r>
    </w:p>
    <w:tbl>
      <w:tblPr>
        <w:tblStyle w:val="Tablaconcuadrcula"/>
        <w:tblW w:w="9634" w:type="dxa"/>
        <w:jc w:val="center"/>
        <w:tblLayout w:type="fixed"/>
        <w:tblLook w:val="04A0" w:firstRow="1" w:lastRow="0" w:firstColumn="1" w:lastColumn="0" w:noHBand="0" w:noVBand="1"/>
      </w:tblPr>
      <w:tblGrid>
        <w:gridCol w:w="2830"/>
        <w:gridCol w:w="1276"/>
        <w:gridCol w:w="1276"/>
        <w:gridCol w:w="1559"/>
        <w:gridCol w:w="1134"/>
        <w:gridCol w:w="1559"/>
      </w:tblGrid>
      <w:tr w:rsidR="00853709" w:rsidRPr="0043253A" w:rsidTr="000879A9">
        <w:trPr>
          <w:trHeight w:val="640"/>
          <w:jc w:val="center"/>
        </w:trPr>
        <w:tc>
          <w:tcPr>
            <w:tcW w:w="2830" w:type="dxa"/>
            <w:shd w:val="clear" w:color="auto" w:fill="BDD6EE" w:themeFill="accent5" w:themeFillTint="66"/>
            <w:noWrap/>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PRODUCTO EXTRANJERO</w:t>
            </w:r>
          </w:p>
        </w:tc>
        <w:tc>
          <w:tcPr>
            <w:tcW w:w="1276"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PVP DANE</w:t>
            </w:r>
            <w:r w:rsidRPr="0043253A">
              <w:rPr>
                <w:rFonts w:ascii="Arial" w:hAnsi="Arial" w:cs="Arial"/>
                <w:b/>
                <w:bCs/>
                <w:color w:val="000000"/>
                <w:sz w:val="22"/>
                <w:szCs w:val="22"/>
              </w:rPr>
              <w:br/>
              <w:t>2017</w:t>
            </w:r>
          </w:p>
        </w:tc>
        <w:tc>
          <w:tcPr>
            <w:tcW w:w="1276"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PVP DANE</w:t>
            </w:r>
            <w:r w:rsidRPr="0043253A">
              <w:rPr>
                <w:rFonts w:ascii="Arial" w:hAnsi="Arial" w:cs="Arial"/>
                <w:b/>
                <w:bCs/>
                <w:color w:val="000000"/>
                <w:sz w:val="22"/>
                <w:szCs w:val="22"/>
              </w:rPr>
              <w:br/>
              <w:t>2018</w:t>
            </w:r>
          </w:p>
        </w:tc>
        <w:tc>
          <w:tcPr>
            <w:tcW w:w="1559" w:type="dxa"/>
            <w:shd w:val="clear" w:color="auto" w:fill="BDD6EE" w:themeFill="accent5" w:themeFillTint="66"/>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VARIACIÓN 2017-2018</w:t>
            </w:r>
          </w:p>
        </w:tc>
        <w:tc>
          <w:tcPr>
            <w:tcW w:w="1134" w:type="dxa"/>
            <w:shd w:val="clear" w:color="auto" w:fill="BDD6EE" w:themeFill="accent5" w:themeFillTint="66"/>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PVP DANE</w:t>
            </w:r>
            <w:r w:rsidRPr="0043253A">
              <w:rPr>
                <w:rFonts w:ascii="Arial" w:hAnsi="Arial" w:cs="Arial"/>
                <w:b/>
                <w:bCs/>
                <w:color w:val="000000"/>
                <w:sz w:val="22"/>
                <w:szCs w:val="22"/>
              </w:rPr>
              <w:br/>
              <w:t>2019</w:t>
            </w:r>
          </w:p>
        </w:tc>
        <w:tc>
          <w:tcPr>
            <w:tcW w:w="1559" w:type="dxa"/>
            <w:shd w:val="clear" w:color="auto" w:fill="BDD6EE" w:themeFill="accent5" w:themeFillTint="66"/>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VARIACIÓN 2018-2019</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EXTRA AÑEJO SOLERA LA HECHICERA</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111.245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49.302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-56%</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149.653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204%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T. TORREMILANOS RESERVA</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102.563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64.612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157.216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143%</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MEZCAL JOVEN MONTELOBOS</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136.163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71.717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160.664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124%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SCOTCH JOHNNIE WALKER 18 YEAR OLD B</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97.268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97.268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188.609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TINTO V RESERVA FAUSTINO</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115.582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70.201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-39%</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136.041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GIN HENDRICKS</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118.325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75.114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145.370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GIN. TANQUERAY TEN</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106.084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72.055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-32%</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137.392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91%</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GIN. MARE</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147.553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70.314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-52%</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133.757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90%</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TEQ. R AGAVE SEL BAR. </w:t>
            </w:r>
            <w:r w:rsidRPr="0043253A">
              <w:rPr>
                <w:rFonts w:ascii="Arial" w:hAnsi="Arial" w:cs="Arial"/>
                <w:color w:val="000000"/>
                <w:sz w:val="22"/>
                <w:szCs w:val="22"/>
              </w:rPr>
              <w:t>RES LEY. MILAGRO</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124.601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78.850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148.006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88%</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DALWHINNIE SINGLE MALT 15 YEARS OLD</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124.291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74.700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139.425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87%</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ZACAPA CENT. X O SOL. GRAN RVA ESP</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265.411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166.502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304.823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83%</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J.W. BLUE LABEL 40°</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485.841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291.940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-40%</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527.057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81%</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GIN. MOM GOD SAVE THE GIN</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110.533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76.691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-31%</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135.365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77%</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W. BUCHANANS DELUXE 12Y</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126.013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65.363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115.293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76%</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W. BUCHANANS SPECIAL RESERVE 40</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150.033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99.636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-34%</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174.175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75%</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GIN CITADELLE</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113.998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74.542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129.882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TEQ. BLANCO 100% PURO DE AGAVE PATRON</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124.107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80.074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139.222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W. OLD PARR SUPERIOR 43°</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133.694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88.348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-34%</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152.411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73%</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TEQ. REPOSADO 100% AGAVE PATRON</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136.123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89.705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-34%</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154.350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72%</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T. CENTENARIO PERDRIEL</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109.368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77.885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-29%</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131.661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69%</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GENTLEMAN JACK RARE TENNESSEE</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112.386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79.665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-29%</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131.423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65%</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SCOTCH CHIVAS REGAL 18 YEAR OLD BLENDED</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157.128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112.951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-28%</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177.616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57%</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GLENMORANGIE ORIGINAL MALT SCOTCH</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104.758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78.886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122.820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56%</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PROTOS RESERVA</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133.227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110.561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169.269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53%</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CHAMP. G.H MUMM CORDON ROUGE BRUT</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136.804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132.066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198.002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50%</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ROYAL SALUTE THE DIAMOND TRIBUTE</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682.959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577.256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-15%</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840.734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46%</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W. THE GLENLIVET 15YEAR FRENCH OAK</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129.111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112.263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-13%</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161.244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44%</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W. ROYAL SALUTE 21 YEARS (40)</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508.099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368.594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519.399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41%</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TINTO LAN GRAN RESERVA</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173.278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154.356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-11%</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215.832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40%</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V. PROTOS GRAN RESERVA</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137.077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168.220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23%</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222.364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32%</w:t>
            </w:r>
          </w:p>
        </w:tc>
      </w:tr>
      <w:tr w:rsidR="00853709" w:rsidRPr="0043253A" w:rsidTr="000879A9">
        <w:trPr>
          <w:trHeight w:val="300"/>
          <w:jc w:val="center"/>
        </w:trPr>
        <w:tc>
          <w:tcPr>
            <w:tcW w:w="2830" w:type="dxa"/>
            <w:noWrap/>
            <w:hideMark/>
          </w:tcPr>
          <w:p w:rsidR="00853709" w:rsidRPr="0043253A" w:rsidRDefault="00853709" w:rsidP="00853709">
            <w:pPr>
              <w:rPr>
                <w:rFonts w:ascii="Arial" w:hAnsi="Arial" w:cs="Arial"/>
                <w:color w:val="000000"/>
                <w:sz w:val="22"/>
                <w:szCs w:val="22"/>
                <w:lang w:val="en-US"/>
              </w:rPr>
            </w:pPr>
            <w:r w:rsidRPr="0043253A">
              <w:rPr>
                <w:rFonts w:ascii="Arial" w:hAnsi="Arial" w:cs="Arial"/>
                <w:color w:val="000000"/>
                <w:sz w:val="22"/>
                <w:szCs w:val="22"/>
                <w:lang w:val="en-US"/>
              </w:rPr>
              <w:t>GIN. BEEFEATER 24 LONDON DRY GIN</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lang w:val="en-US"/>
              </w:rPr>
              <w:t xml:space="preserve"> </w:t>
            </w:r>
            <w:r w:rsidRPr="0043253A">
              <w:rPr>
                <w:rFonts w:ascii="Arial" w:hAnsi="Arial" w:cs="Arial"/>
                <w:color w:val="000000"/>
                <w:sz w:val="22"/>
                <w:szCs w:val="22"/>
              </w:rPr>
              <w:t xml:space="preserve">$    102.076 </w:t>
            </w: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95.424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-7%</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115.807 </w:t>
            </w:r>
          </w:p>
        </w:tc>
        <w:tc>
          <w:tcPr>
            <w:tcW w:w="1559" w:type="dxa"/>
            <w:noWrap/>
            <w:hideMark/>
          </w:tcPr>
          <w:p w:rsidR="00853709" w:rsidRPr="0043253A" w:rsidRDefault="00853709" w:rsidP="000879A9">
            <w:pPr>
              <w:jc w:val="center"/>
              <w:rPr>
                <w:rFonts w:ascii="Arial" w:hAnsi="Arial" w:cs="Arial"/>
                <w:color w:val="000000"/>
                <w:sz w:val="22"/>
                <w:szCs w:val="22"/>
              </w:rPr>
            </w:pPr>
            <w:r w:rsidRPr="0043253A">
              <w:rPr>
                <w:rFonts w:ascii="Arial" w:hAnsi="Arial" w:cs="Arial"/>
                <w:color w:val="000000"/>
                <w:sz w:val="22"/>
                <w:szCs w:val="22"/>
              </w:rPr>
              <w:t>21%</w:t>
            </w:r>
          </w:p>
        </w:tc>
      </w:tr>
      <w:tr w:rsidR="00853709" w:rsidRPr="0043253A" w:rsidTr="000879A9">
        <w:trPr>
          <w:trHeight w:val="300"/>
          <w:jc w:val="center"/>
        </w:trPr>
        <w:tc>
          <w:tcPr>
            <w:tcW w:w="5382" w:type="dxa"/>
            <w:gridSpan w:val="3"/>
            <w:shd w:val="clear" w:color="auto" w:fill="BDD6EE" w:themeFill="accent5" w:themeFillTint="66"/>
            <w:noWrap/>
            <w:hideMark/>
          </w:tcPr>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PROMEDIO VARIACIÓN</w:t>
            </w:r>
          </w:p>
        </w:tc>
        <w:tc>
          <w:tcPr>
            <w:tcW w:w="1559" w:type="dxa"/>
            <w:noWrap/>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-24%</w:t>
            </w:r>
          </w:p>
        </w:tc>
        <w:tc>
          <w:tcPr>
            <w:tcW w:w="1134" w:type="dxa"/>
            <w:noWrap/>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w:t>
            </w:r>
          </w:p>
        </w:tc>
        <w:tc>
          <w:tcPr>
            <w:tcW w:w="1559" w:type="dxa"/>
            <w:noWrap/>
            <w:hideMark/>
          </w:tcPr>
          <w:p w:rsidR="00853709" w:rsidRPr="0043253A" w:rsidRDefault="00853709" w:rsidP="000879A9">
            <w:pPr>
              <w:jc w:val="center"/>
              <w:rPr>
                <w:rFonts w:ascii="Arial" w:hAnsi="Arial" w:cs="Arial"/>
                <w:b/>
                <w:bCs/>
                <w:color w:val="000000"/>
                <w:sz w:val="22"/>
                <w:szCs w:val="22"/>
              </w:rPr>
            </w:pPr>
            <w:r w:rsidRPr="0043253A">
              <w:rPr>
                <w:rFonts w:ascii="Arial" w:hAnsi="Arial" w:cs="Arial"/>
                <w:b/>
                <w:bCs/>
                <w:color w:val="000000"/>
                <w:sz w:val="22"/>
                <w:szCs w:val="22"/>
              </w:rPr>
              <w:t>59%</w:t>
            </w:r>
          </w:p>
        </w:tc>
      </w:tr>
    </w:tbl>
    <w:p w:rsidR="000879A9" w:rsidRPr="0043253A" w:rsidRDefault="000879A9" w:rsidP="000879A9">
      <w:pPr>
        <w:spacing w:line="276" w:lineRule="auto"/>
        <w:jc w:val="both"/>
        <w:rPr>
          <w:rFonts w:ascii="Arial" w:hAnsi="Arial" w:cs="Arial"/>
          <w:b/>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La Asociación Colombiana de Empresas Licoreras -ACIL-, contrató un estudio econométrico con el fin de determinar la elasticidad de la categoría de aguardiente y ron ante una eventual alza de precios provocado por cambios impositivos. Los resultados se observan en las siguientes ilustraciones:</w:t>
      </w:r>
    </w:p>
    <w:p w:rsidR="00853709" w:rsidRPr="0043253A" w:rsidRDefault="00853709" w:rsidP="00853709">
      <w:pPr>
        <w:spacing w:line="276" w:lineRule="auto"/>
        <w:ind w:firstLine="708"/>
        <w:jc w:val="both"/>
        <w:rPr>
          <w:rFonts w:ascii="Arial" w:hAnsi="Arial" w:cs="Arial"/>
          <w:sz w:val="22"/>
          <w:szCs w:val="22"/>
          <w:lang w:val="es-ES"/>
        </w:rPr>
      </w:pPr>
    </w:p>
    <w:p w:rsidR="000879A9" w:rsidRPr="0043253A" w:rsidRDefault="000879A9" w:rsidP="00853709">
      <w:pPr>
        <w:pStyle w:val="Descripcin"/>
        <w:jc w:val="center"/>
        <w:rPr>
          <w:rFonts w:ascii="Arial" w:hAnsi="Arial" w:cs="Arial"/>
          <w:b/>
          <w:i w:val="0"/>
          <w:color w:val="000000" w:themeColor="text1"/>
          <w:sz w:val="22"/>
          <w:szCs w:val="22"/>
        </w:rPr>
      </w:pPr>
    </w:p>
    <w:p w:rsidR="00853709" w:rsidRPr="0043253A" w:rsidRDefault="00853709" w:rsidP="00853709">
      <w:pPr>
        <w:pStyle w:val="Descripcin"/>
        <w:jc w:val="center"/>
        <w:rPr>
          <w:rFonts w:ascii="Arial" w:hAnsi="Arial" w:cs="Arial"/>
          <w:b/>
          <w:i w:val="0"/>
          <w:color w:val="000000" w:themeColor="text1"/>
          <w:sz w:val="22"/>
          <w:szCs w:val="22"/>
          <w:lang w:val="es-ES"/>
        </w:rPr>
      </w:pPr>
      <w:r w:rsidRPr="0043253A">
        <w:rPr>
          <w:rFonts w:ascii="Arial" w:hAnsi="Arial" w:cs="Arial"/>
          <w:b/>
          <w:i w:val="0"/>
          <w:color w:val="000000" w:themeColor="text1"/>
          <w:sz w:val="22"/>
          <w:szCs w:val="22"/>
        </w:rPr>
        <w:t xml:space="preserve">Ilustración </w:t>
      </w:r>
      <w:r w:rsidRPr="0043253A">
        <w:rPr>
          <w:rFonts w:ascii="Arial" w:hAnsi="Arial" w:cs="Arial"/>
          <w:b/>
          <w:i w:val="0"/>
          <w:color w:val="000000" w:themeColor="text1"/>
          <w:sz w:val="22"/>
          <w:szCs w:val="22"/>
        </w:rPr>
        <w:fldChar w:fldCharType="begin"/>
      </w:r>
      <w:r w:rsidRPr="0043253A">
        <w:rPr>
          <w:rFonts w:ascii="Arial" w:hAnsi="Arial" w:cs="Arial"/>
          <w:b/>
          <w:i w:val="0"/>
          <w:color w:val="000000" w:themeColor="text1"/>
          <w:sz w:val="22"/>
          <w:szCs w:val="22"/>
        </w:rPr>
        <w:instrText xml:space="preserve"> SEQ Ilustración \* ARABIC </w:instrText>
      </w:r>
      <w:r w:rsidRPr="0043253A">
        <w:rPr>
          <w:rFonts w:ascii="Arial" w:hAnsi="Arial" w:cs="Arial"/>
          <w:b/>
          <w:i w:val="0"/>
          <w:color w:val="000000" w:themeColor="text1"/>
          <w:sz w:val="22"/>
          <w:szCs w:val="22"/>
        </w:rPr>
        <w:fldChar w:fldCharType="separate"/>
      </w:r>
      <w:r w:rsidR="008E73CC">
        <w:rPr>
          <w:rFonts w:ascii="Arial" w:hAnsi="Arial" w:cs="Arial"/>
          <w:b/>
          <w:i w:val="0"/>
          <w:noProof/>
          <w:color w:val="000000" w:themeColor="text1"/>
          <w:sz w:val="22"/>
          <w:szCs w:val="22"/>
        </w:rPr>
        <w:t>1</w:t>
      </w:r>
      <w:r w:rsidRPr="0043253A">
        <w:rPr>
          <w:rFonts w:ascii="Arial" w:hAnsi="Arial" w:cs="Arial"/>
          <w:b/>
          <w:i w:val="0"/>
          <w:color w:val="000000" w:themeColor="text1"/>
          <w:sz w:val="22"/>
          <w:szCs w:val="22"/>
        </w:rPr>
        <w:fldChar w:fldCharType="end"/>
      </w:r>
      <w:r w:rsidRPr="0043253A">
        <w:rPr>
          <w:rFonts w:ascii="Arial" w:hAnsi="Arial" w:cs="Arial"/>
          <w:b/>
          <w:i w:val="0"/>
          <w:color w:val="000000" w:themeColor="text1"/>
          <w:sz w:val="22"/>
          <w:szCs w:val="22"/>
        </w:rPr>
        <w:t>.</w:t>
      </w:r>
      <w:r w:rsidRPr="0043253A">
        <w:rPr>
          <w:rFonts w:ascii="Arial" w:hAnsi="Arial" w:cs="Arial"/>
          <w:i w:val="0"/>
          <w:color w:val="000000" w:themeColor="text1"/>
          <w:sz w:val="22"/>
          <w:szCs w:val="22"/>
        </w:rPr>
        <w:t xml:space="preserve"> Proyección de la demanda de aguardiente ante incremento de precios</w:t>
      </w:r>
    </w:p>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noProof/>
          <w:sz w:val="22"/>
          <w:szCs w:val="22"/>
          <w:lang w:eastAsia="es-CO"/>
        </w:rPr>
        <w:drawing>
          <wp:inline distT="0" distB="0" distL="0" distR="0" wp14:anchorId="6F70E109" wp14:editId="58761340">
            <wp:extent cx="5352816" cy="35856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03-16 a la(s) 5.06.29 p. m..png"/>
                    <pic:cNvPicPr/>
                  </pic:nvPicPr>
                  <pic:blipFill rotWithShape="1">
                    <a:blip r:embed="rId10">
                      <a:extLst>
                        <a:ext uri="{28A0092B-C50C-407E-A947-70E740481C1C}">
                          <a14:useLocalDpi xmlns:a14="http://schemas.microsoft.com/office/drawing/2010/main" val="0"/>
                        </a:ext>
                      </a:extLst>
                    </a:blip>
                    <a:srcRect l="10789" t="10516" r="24859"/>
                    <a:stretch/>
                  </pic:blipFill>
                  <pic:spPr bwMode="auto">
                    <a:xfrm>
                      <a:off x="0" y="0"/>
                      <a:ext cx="5387508" cy="3608919"/>
                    </a:xfrm>
                    <a:prstGeom prst="rect">
                      <a:avLst/>
                    </a:prstGeom>
                    <a:ln>
                      <a:noFill/>
                    </a:ln>
                    <a:extLst>
                      <a:ext uri="{53640926-AAD7-44D8-BBD7-CCE9431645EC}">
                        <a14:shadowObscured xmlns:a14="http://schemas.microsoft.com/office/drawing/2010/main"/>
                      </a:ext>
                    </a:extLst>
                  </pic:spPr>
                </pic:pic>
              </a:graphicData>
            </a:graphic>
          </wp:inline>
        </w:drawing>
      </w:r>
    </w:p>
    <w:p w:rsidR="00853709" w:rsidRPr="0043253A" w:rsidRDefault="00853709" w:rsidP="00853709">
      <w:pPr>
        <w:spacing w:line="276" w:lineRule="auto"/>
        <w:jc w:val="center"/>
        <w:rPr>
          <w:rFonts w:ascii="Arial" w:hAnsi="Arial" w:cs="Arial"/>
          <w:sz w:val="22"/>
          <w:szCs w:val="22"/>
          <w:lang w:val="es-ES"/>
        </w:rPr>
      </w:pPr>
      <w:r w:rsidRPr="0043253A">
        <w:rPr>
          <w:rFonts w:ascii="Arial" w:hAnsi="Arial" w:cs="Arial"/>
          <w:sz w:val="22"/>
          <w:szCs w:val="22"/>
          <w:lang w:val="es-ES"/>
        </w:rPr>
        <w:t xml:space="preserve">Fuente: </w:t>
      </w:r>
      <w:sdt>
        <w:sdtPr>
          <w:rPr>
            <w:rFonts w:ascii="Arial" w:hAnsi="Arial" w:cs="Arial"/>
            <w:sz w:val="22"/>
            <w:szCs w:val="22"/>
            <w:lang w:val="es-ES"/>
          </w:rPr>
          <w:id w:val="-2138096603"/>
          <w:citation/>
        </w:sdtPr>
        <w:sdtEndPr/>
        <w:sdtContent>
          <w:r w:rsidRPr="0043253A">
            <w:rPr>
              <w:rFonts w:ascii="Arial" w:hAnsi="Arial" w:cs="Arial"/>
              <w:sz w:val="22"/>
              <w:szCs w:val="22"/>
              <w:lang w:val="es-ES"/>
            </w:rPr>
            <w:fldChar w:fldCharType="begin"/>
          </w:r>
          <w:r w:rsidRPr="0043253A">
            <w:rPr>
              <w:rFonts w:ascii="Arial" w:hAnsi="Arial" w:cs="Arial"/>
              <w:sz w:val="22"/>
              <w:szCs w:val="22"/>
              <w:lang w:val="es-ES"/>
            </w:rPr>
            <w:instrText xml:space="preserve"> CITATION Con18 \l 3082 </w:instrText>
          </w:r>
          <w:r w:rsidRPr="0043253A">
            <w:rPr>
              <w:rFonts w:ascii="Arial" w:hAnsi="Arial" w:cs="Arial"/>
              <w:sz w:val="22"/>
              <w:szCs w:val="22"/>
              <w:lang w:val="es-ES"/>
            </w:rPr>
            <w:fldChar w:fldCharType="separate"/>
          </w:r>
          <w:r w:rsidRPr="0043253A">
            <w:rPr>
              <w:rFonts w:ascii="Arial" w:hAnsi="Arial" w:cs="Arial"/>
              <w:noProof/>
              <w:sz w:val="22"/>
              <w:szCs w:val="22"/>
              <w:lang w:val="es-ES"/>
            </w:rPr>
            <w:t>(Consumer &amp; Insight, 2018)</w:t>
          </w:r>
          <w:r w:rsidRPr="0043253A">
            <w:rPr>
              <w:rFonts w:ascii="Arial" w:hAnsi="Arial" w:cs="Arial"/>
              <w:sz w:val="22"/>
              <w:szCs w:val="22"/>
              <w:lang w:val="es-ES"/>
            </w:rPr>
            <w:fldChar w:fldCharType="end"/>
          </w:r>
        </w:sdtContent>
      </w:sdt>
    </w:p>
    <w:p w:rsidR="00853709" w:rsidRPr="0043253A" w:rsidRDefault="00853709" w:rsidP="00853709">
      <w:pPr>
        <w:spacing w:line="276" w:lineRule="auto"/>
        <w:jc w:val="center"/>
        <w:rPr>
          <w:rFonts w:ascii="Arial" w:hAnsi="Arial" w:cs="Arial"/>
          <w:sz w:val="22"/>
          <w:szCs w:val="22"/>
          <w:lang w:val="es-ES"/>
        </w:rPr>
      </w:pPr>
    </w:p>
    <w:tbl>
      <w:tblPr>
        <w:tblW w:w="0" w:type="auto"/>
        <w:jc w:val="center"/>
        <w:tblCellMar>
          <w:left w:w="70" w:type="dxa"/>
          <w:right w:w="70" w:type="dxa"/>
        </w:tblCellMar>
        <w:tblLook w:val="04A0" w:firstRow="1" w:lastRow="0" w:firstColumn="1" w:lastColumn="0" w:noHBand="0" w:noVBand="1"/>
      </w:tblPr>
      <w:tblGrid>
        <w:gridCol w:w="2117"/>
        <w:gridCol w:w="850"/>
        <w:gridCol w:w="984"/>
        <w:gridCol w:w="936"/>
        <w:gridCol w:w="1155"/>
        <w:gridCol w:w="1131"/>
      </w:tblGrid>
      <w:tr w:rsidR="00853709" w:rsidRPr="0043253A" w:rsidTr="00951564">
        <w:trPr>
          <w:trHeight w:val="960"/>
          <w:jc w:val="center"/>
        </w:trPr>
        <w:tc>
          <w:tcPr>
            <w:tcW w:w="2117"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PRODUCTO</w:t>
            </w:r>
          </w:p>
        </w:tc>
        <w:tc>
          <w:tcPr>
            <w:tcW w:w="85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PVP DANE 2018 </w:t>
            </w:r>
          </w:p>
        </w:tc>
        <w:tc>
          <w:tcPr>
            <w:tcW w:w="70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Ad valorem 18 </w:t>
            </w:r>
          </w:p>
        </w:tc>
        <w:tc>
          <w:tcPr>
            <w:tcW w:w="85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PVP DANE 2018 </w:t>
            </w:r>
          </w:p>
        </w:tc>
        <w:tc>
          <w:tcPr>
            <w:tcW w:w="851"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Ad valorem 19</w:t>
            </w:r>
          </w:p>
        </w:tc>
        <w:tc>
          <w:tcPr>
            <w:tcW w:w="850" w:type="dxa"/>
            <w:tcBorders>
              <w:top w:val="single" w:sz="8" w:space="0" w:color="auto"/>
              <w:left w:val="nil"/>
              <w:bottom w:val="single" w:sz="4" w:space="0" w:color="auto"/>
              <w:right w:val="single" w:sz="8"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w:t>
            </w:r>
            <w:r w:rsidR="00951564" w:rsidRPr="0043253A">
              <w:rPr>
                <w:rFonts w:ascii="Arial" w:hAnsi="Arial" w:cs="Arial"/>
                <w:b/>
                <w:bCs/>
                <w:sz w:val="22"/>
                <w:szCs w:val="22"/>
              </w:rPr>
              <w:t>Variación</w:t>
            </w:r>
            <w:r w:rsidRPr="0043253A">
              <w:rPr>
                <w:rFonts w:ascii="Arial" w:hAnsi="Arial" w:cs="Arial"/>
                <w:b/>
                <w:bCs/>
                <w:sz w:val="22"/>
                <w:szCs w:val="22"/>
              </w:rPr>
              <w:t xml:space="preserve"> en precio por Ad valorem </w:t>
            </w:r>
          </w:p>
        </w:tc>
      </w:tr>
      <w:tr w:rsidR="00853709" w:rsidRPr="0043253A" w:rsidTr="00853709">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AMARILLO 32°</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$ 13.709 </w:t>
            </w:r>
          </w:p>
        </w:tc>
        <w:tc>
          <w:tcPr>
            <w:tcW w:w="7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$ 3.427 </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$ 28.296 </w:t>
            </w:r>
          </w:p>
        </w:tc>
        <w:tc>
          <w:tcPr>
            <w:tcW w:w="851"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$ 7.074 </w:t>
            </w:r>
          </w:p>
        </w:tc>
        <w:tc>
          <w:tcPr>
            <w:tcW w:w="850"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$ 3.647 </w:t>
            </w:r>
          </w:p>
        </w:tc>
      </w:tr>
      <w:tr w:rsidR="00853709" w:rsidRPr="0043253A" w:rsidTr="00853709">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MIL DEMONIOS</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$ 53.000 </w:t>
            </w:r>
          </w:p>
        </w:tc>
        <w:tc>
          <w:tcPr>
            <w:tcW w:w="7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$13.250 </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$ 133.509 </w:t>
            </w:r>
          </w:p>
        </w:tc>
        <w:tc>
          <w:tcPr>
            <w:tcW w:w="851"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$ 33.377 </w:t>
            </w:r>
          </w:p>
        </w:tc>
        <w:tc>
          <w:tcPr>
            <w:tcW w:w="850"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$ 20.127 </w:t>
            </w:r>
          </w:p>
        </w:tc>
      </w:tr>
      <w:tr w:rsidR="00853709" w:rsidRPr="0043253A" w:rsidTr="00853709">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SIN AZUCAR ADICION ANTIOQUEÑO REAL</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$ 20.557 </w:t>
            </w:r>
          </w:p>
        </w:tc>
        <w:tc>
          <w:tcPr>
            <w:tcW w:w="7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$ 5.139 </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$ 41.126 </w:t>
            </w:r>
          </w:p>
        </w:tc>
        <w:tc>
          <w:tcPr>
            <w:tcW w:w="851"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$ 10.282 </w:t>
            </w:r>
          </w:p>
        </w:tc>
        <w:tc>
          <w:tcPr>
            <w:tcW w:w="850"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$ 5.142 </w:t>
            </w:r>
          </w:p>
        </w:tc>
      </w:tr>
      <w:tr w:rsidR="00853709" w:rsidRPr="0043253A" w:rsidTr="00853709">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SIN AZUCAR ANTIOQUEÑO</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$ 14.244 </w:t>
            </w:r>
          </w:p>
        </w:tc>
        <w:tc>
          <w:tcPr>
            <w:tcW w:w="7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$ 3.561 </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$ 33.644 </w:t>
            </w:r>
          </w:p>
        </w:tc>
        <w:tc>
          <w:tcPr>
            <w:tcW w:w="851"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8.411 </w:t>
            </w:r>
          </w:p>
        </w:tc>
        <w:tc>
          <w:tcPr>
            <w:tcW w:w="850"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$ 4.850 </w:t>
            </w:r>
          </w:p>
        </w:tc>
      </w:tr>
      <w:tr w:rsidR="00853709" w:rsidRPr="0043253A" w:rsidTr="00853709">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SIN AZUCAR ANTIOQUEÑO 24°</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$ 10.615 </w:t>
            </w:r>
          </w:p>
        </w:tc>
        <w:tc>
          <w:tcPr>
            <w:tcW w:w="7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$ 2.654 </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$ 24.675 </w:t>
            </w:r>
          </w:p>
        </w:tc>
        <w:tc>
          <w:tcPr>
            <w:tcW w:w="851"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6.169 </w:t>
            </w:r>
          </w:p>
        </w:tc>
        <w:tc>
          <w:tcPr>
            <w:tcW w:w="850"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3.515 </w:t>
            </w:r>
          </w:p>
        </w:tc>
      </w:tr>
      <w:tr w:rsidR="00853709" w:rsidRPr="0043253A" w:rsidTr="00853709">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SIN AZUCAR CRISTAL L. 29°</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$ 5.090 </w:t>
            </w:r>
          </w:p>
        </w:tc>
        <w:tc>
          <w:tcPr>
            <w:tcW w:w="7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$ 1.273 </w:t>
            </w:r>
          </w:p>
        </w:tc>
        <w:tc>
          <w:tcPr>
            <w:tcW w:w="85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$ 68.462 </w:t>
            </w:r>
          </w:p>
        </w:tc>
        <w:tc>
          <w:tcPr>
            <w:tcW w:w="851"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$ 17.116 </w:t>
            </w:r>
          </w:p>
        </w:tc>
        <w:tc>
          <w:tcPr>
            <w:tcW w:w="850"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$ 15.843 </w:t>
            </w:r>
          </w:p>
        </w:tc>
      </w:tr>
      <w:tr w:rsidR="00853709" w:rsidRPr="0043253A" w:rsidTr="00853709">
        <w:trPr>
          <w:trHeight w:val="320"/>
          <w:jc w:val="center"/>
        </w:trPr>
        <w:tc>
          <w:tcPr>
            <w:tcW w:w="2117" w:type="dxa"/>
            <w:tcBorders>
              <w:top w:val="nil"/>
              <w:left w:val="single" w:sz="8" w:space="0" w:color="auto"/>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AG. SIN AZUCAR REAL 1493 SILVER</w:t>
            </w:r>
          </w:p>
        </w:tc>
        <w:tc>
          <w:tcPr>
            <w:tcW w:w="850"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$ 20.557 </w:t>
            </w:r>
          </w:p>
        </w:tc>
        <w:tc>
          <w:tcPr>
            <w:tcW w:w="709"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$ 5.139 </w:t>
            </w:r>
          </w:p>
        </w:tc>
        <w:tc>
          <w:tcPr>
            <w:tcW w:w="850"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39.193 </w:t>
            </w:r>
          </w:p>
        </w:tc>
        <w:tc>
          <w:tcPr>
            <w:tcW w:w="851"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9.798 </w:t>
            </w:r>
          </w:p>
        </w:tc>
        <w:tc>
          <w:tcPr>
            <w:tcW w:w="850" w:type="dxa"/>
            <w:tcBorders>
              <w:top w:val="nil"/>
              <w:left w:val="nil"/>
              <w:bottom w:val="single" w:sz="8"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4.659 </w:t>
            </w:r>
          </w:p>
        </w:tc>
      </w:tr>
      <w:tr w:rsidR="00853709" w:rsidRPr="0043253A" w:rsidTr="00853709">
        <w:trPr>
          <w:trHeight w:val="320"/>
          <w:jc w:val="center"/>
        </w:trPr>
        <w:tc>
          <w:tcPr>
            <w:tcW w:w="4526" w:type="dxa"/>
            <w:gridSpan w:val="4"/>
            <w:tcBorders>
              <w:top w:val="single" w:sz="8" w:space="0" w:color="auto"/>
              <w:left w:val="nil"/>
              <w:bottom w:val="nil"/>
              <w:right w:val="single" w:sz="8" w:space="0" w:color="000000"/>
            </w:tcBorders>
            <w:shd w:val="clear" w:color="auto" w:fill="auto"/>
            <w:noWrap/>
            <w:vAlign w:val="bottom"/>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 </w:t>
            </w:r>
          </w:p>
        </w:tc>
        <w:tc>
          <w:tcPr>
            <w:tcW w:w="851" w:type="dxa"/>
            <w:tcBorders>
              <w:top w:val="nil"/>
              <w:left w:val="nil"/>
              <w:bottom w:val="single" w:sz="8" w:space="0" w:color="auto"/>
              <w:right w:val="nil"/>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Promedio </w:t>
            </w:r>
          </w:p>
        </w:tc>
        <w:tc>
          <w:tcPr>
            <w:tcW w:w="850" w:type="dxa"/>
            <w:tcBorders>
              <w:top w:val="nil"/>
              <w:left w:val="nil"/>
              <w:bottom w:val="single" w:sz="8"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8.255 </w:t>
            </w:r>
          </w:p>
        </w:tc>
      </w:tr>
    </w:tbl>
    <w:p w:rsidR="000879A9" w:rsidRPr="0043253A" w:rsidRDefault="000879A9" w:rsidP="000879A9">
      <w:pPr>
        <w:spacing w:line="276" w:lineRule="auto"/>
        <w:jc w:val="both"/>
        <w:rPr>
          <w:rFonts w:ascii="Arial" w:hAnsi="Arial" w:cs="Arial"/>
          <w:sz w:val="22"/>
          <w:szCs w:val="22"/>
          <w:lang w:val="es-ES"/>
        </w:rPr>
      </w:pPr>
    </w:p>
    <w:p w:rsidR="00853709" w:rsidRPr="0043253A" w:rsidRDefault="00853709" w:rsidP="000879A9">
      <w:pPr>
        <w:spacing w:line="276" w:lineRule="auto"/>
        <w:jc w:val="both"/>
        <w:rPr>
          <w:rFonts w:ascii="Arial" w:hAnsi="Arial" w:cs="Arial"/>
          <w:sz w:val="22"/>
          <w:szCs w:val="22"/>
          <w:lang w:val="es-ES"/>
        </w:rPr>
      </w:pPr>
      <w:r w:rsidRPr="0043253A">
        <w:rPr>
          <w:rFonts w:ascii="Arial" w:hAnsi="Arial" w:cs="Arial"/>
          <w:sz w:val="22"/>
          <w:szCs w:val="22"/>
          <w:lang w:val="es-ES"/>
        </w:rPr>
        <w:t>Se observar que la probabilidad de consumo de una botella de aguardiente disminuye en la medida que aumenta su precio. Por ejemplo, tal como se resalta en la imagen, un aumento entre 5 a 6 mil pesos, genera una disminución en el consumo entre 12,03% y el 17.99%.</w:t>
      </w:r>
    </w:p>
    <w:p w:rsidR="00853709" w:rsidRPr="0043253A" w:rsidRDefault="00853709" w:rsidP="00853709">
      <w:pPr>
        <w:spacing w:line="276" w:lineRule="auto"/>
        <w:jc w:val="both"/>
        <w:rPr>
          <w:rFonts w:ascii="Arial" w:hAnsi="Arial" w:cs="Arial"/>
          <w:b/>
          <w:sz w:val="22"/>
          <w:szCs w:val="22"/>
          <w:lang w:val="es-ES"/>
        </w:rPr>
      </w:pPr>
    </w:p>
    <w:p w:rsidR="000879A9" w:rsidRPr="0043253A" w:rsidRDefault="000879A9" w:rsidP="00853709">
      <w:pPr>
        <w:pStyle w:val="Descripcin"/>
        <w:jc w:val="center"/>
        <w:rPr>
          <w:rFonts w:ascii="Arial" w:hAnsi="Arial" w:cs="Arial"/>
          <w:b/>
          <w:i w:val="0"/>
          <w:color w:val="000000" w:themeColor="text1"/>
          <w:sz w:val="22"/>
          <w:szCs w:val="22"/>
        </w:rPr>
      </w:pPr>
    </w:p>
    <w:p w:rsidR="00853709" w:rsidRPr="0043253A" w:rsidRDefault="00853709" w:rsidP="0085370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Ilustración 2. </w:t>
      </w:r>
      <w:r w:rsidRPr="0043253A">
        <w:rPr>
          <w:rFonts w:ascii="Arial" w:hAnsi="Arial" w:cs="Arial"/>
          <w:i w:val="0"/>
          <w:color w:val="000000" w:themeColor="text1"/>
          <w:sz w:val="22"/>
          <w:szCs w:val="22"/>
        </w:rPr>
        <w:t>Proyección de la demanda de ron ante incremento de precios</w:t>
      </w:r>
    </w:p>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noProof/>
          <w:sz w:val="22"/>
          <w:szCs w:val="22"/>
          <w:lang w:eastAsia="es-CO"/>
        </w:rPr>
        <w:drawing>
          <wp:inline distT="0" distB="0" distL="0" distR="0" wp14:anchorId="44CD5731" wp14:editId="1496BD95">
            <wp:extent cx="5212934" cy="34324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9-03-16 a la(s) 5.06.41 p. m..png"/>
                    <pic:cNvPicPr/>
                  </pic:nvPicPr>
                  <pic:blipFill rotWithShape="1">
                    <a:blip r:embed="rId11">
                      <a:extLst>
                        <a:ext uri="{28A0092B-C50C-407E-A947-70E740481C1C}">
                          <a14:useLocalDpi xmlns:a14="http://schemas.microsoft.com/office/drawing/2010/main" val="0"/>
                        </a:ext>
                      </a:extLst>
                    </a:blip>
                    <a:srcRect l="14619" t="11109" r="17958" b="2208"/>
                    <a:stretch/>
                  </pic:blipFill>
                  <pic:spPr bwMode="auto">
                    <a:xfrm>
                      <a:off x="0" y="0"/>
                      <a:ext cx="5227591" cy="3442145"/>
                    </a:xfrm>
                    <a:prstGeom prst="rect">
                      <a:avLst/>
                    </a:prstGeom>
                    <a:ln>
                      <a:noFill/>
                    </a:ln>
                    <a:extLst>
                      <a:ext uri="{53640926-AAD7-44D8-BBD7-CCE9431645EC}">
                        <a14:shadowObscured xmlns:a14="http://schemas.microsoft.com/office/drawing/2010/main"/>
                      </a:ext>
                    </a:extLst>
                  </pic:spPr>
                </pic:pic>
              </a:graphicData>
            </a:graphic>
          </wp:inline>
        </w:drawing>
      </w:r>
    </w:p>
    <w:p w:rsidR="00853709" w:rsidRPr="0043253A" w:rsidRDefault="00853709" w:rsidP="00853709">
      <w:pPr>
        <w:spacing w:line="276" w:lineRule="auto"/>
        <w:jc w:val="center"/>
        <w:rPr>
          <w:rFonts w:ascii="Arial" w:hAnsi="Arial" w:cs="Arial"/>
          <w:sz w:val="22"/>
          <w:szCs w:val="22"/>
          <w:lang w:val="es-ES"/>
        </w:rPr>
      </w:pPr>
      <w:r w:rsidRPr="0043253A">
        <w:rPr>
          <w:rFonts w:ascii="Arial" w:hAnsi="Arial" w:cs="Arial"/>
          <w:sz w:val="22"/>
          <w:szCs w:val="22"/>
          <w:lang w:val="es-ES"/>
        </w:rPr>
        <w:t xml:space="preserve">Fuente: </w:t>
      </w:r>
      <w:sdt>
        <w:sdtPr>
          <w:rPr>
            <w:rFonts w:ascii="Arial" w:hAnsi="Arial" w:cs="Arial"/>
            <w:sz w:val="22"/>
            <w:szCs w:val="22"/>
            <w:lang w:val="es-ES"/>
          </w:rPr>
          <w:id w:val="-655217734"/>
          <w:citation/>
        </w:sdtPr>
        <w:sdtEndPr/>
        <w:sdtContent>
          <w:r w:rsidRPr="0043253A">
            <w:rPr>
              <w:rFonts w:ascii="Arial" w:hAnsi="Arial" w:cs="Arial"/>
              <w:sz w:val="22"/>
              <w:szCs w:val="22"/>
              <w:lang w:val="es-ES"/>
            </w:rPr>
            <w:fldChar w:fldCharType="begin"/>
          </w:r>
          <w:r w:rsidRPr="0043253A">
            <w:rPr>
              <w:rFonts w:ascii="Arial" w:hAnsi="Arial" w:cs="Arial"/>
              <w:sz w:val="22"/>
              <w:szCs w:val="22"/>
              <w:lang w:val="es-ES"/>
            </w:rPr>
            <w:instrText xml:space="preserve"> CITATION Con18 \l 3082 </w:instrText>
          </w:r>
          <w:r w:rsidRPr="0043253A">
            <w:rPr>
              <w:rFonts w:ascii="Arial" w:hAnsi="Arial" w:cs="Arial"/>
              <w:sz w:val="22"/>
              <w:szCs w:val="22"/>
              <w:lang w:val="es-ES"/>
            </w:rPr>
            <w:fldChar w:fldCharType="separate"/>
          </w:r>
          <w:r w:rsidRPr="0043253A">
            <w:rPr>
              <w:rFonts w:ascii="Arial" w:hAnsi="Arial" w:cs="Arial"/>
              <w:noProof/>
              <w:sz w:val="22"/>
              <w:szCs w:val="22"/>
              <w:lang w:val="es-ES"/>
            </w:rPr>
            <w:t>(Consumer &amp; Insight, 2018)</w:t>
          </w:r>
          <w:r w:rsidRPr="0043253A">
            <w:rPr>
              <w:rFonts w:ascii="Arial" w:hAnsi="Arial" w:cs="Arial"/>
              <w:sz w:val="22"/>
              <w:szCs w:val="22"/>
              <w:lang w:val="es-ES"/>
            </w:rPr>
            <w:fldChar w:fldCharType="end"/>
          </w:r>
        </w:sdtContent>
      </w:sdt>
    </w:p>
    <w:p w:rsidR="00853709" w:rsidRPr="0043253A" w:rsidRDefault="00853709" w:rsidP="00853709">
      <w:pPr>
        <w:spacing w:line="276" w:lineRule="auto"/>
        <w:jc w:val="center"/>
        <w:rPr>
          <w:rFonts w:ascii="Arial" w:hAnsi="Arial" w:cs="Arial"/>
          <w:b/>
          <w:sz w:val="22"/>
          <w:szCs w:val="22"/>
          <w:lang w:val="es-ES"/>
        </w:rPr>
      </w:pPr>
    </w:p>
    <w:tbl>
      <w:tblPr>
        <w:tblW w:w="9062" w:type="dxa"/>
        <w:jc w:val="center"/>
        <w:tblCellMar>
          <w:left w:w="70" w:type="dxa"/>
          <w:right w:w="70" w:type="dxa"/>
        </w:tblCellMar>
        <w:tblLook w:val="04A0" w:firstRow="1" w:lastRow="0" w:firstColumn="1" w:lastColumn="0" w:noHBand="0" w:noVBand="1"/>
      </w:tblPr>
      <w:tblGrid>
        <w:gridCol w:w="3279"/>
        <w:gridCol w:w="1155"/>
        <w:gridCol w:w="1009"/>
        <w:gridCol w:w="1198"/>
        <w:gridCol w:w="1155"/>
        <w:gridCol w:w="1291"/>
      </w:tblGrid>
      <w:tr w:rsidR="00951564" w:rsidRPr="0043253A" w:rsidTr="00951564">
        <w:trPr>
          <w:trHeight w:val="960"/>
          <w:jc w:val="center"/>
        </w:trPr>
        <w:tc>
          <w:tcPr>
            <w:tcW w:w="3279"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PRODUCTO</w:t>
            </w:r>
          </w:p>
        </w:tc>
        <w:tc>
          <w:tcPr>
            <w:tcW w:w="1155"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PVP DANE 2018 </w:t>
            </w:r>
          </w:p>
        </w:tc>
        <w:tc>
          <w:tcPr>
            <w:tcW w:w="100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Ad valorem 18 </w:t>
            </w:r>
          </w:p>
        </w:tc>
        <w:tc>
          <w:tcPr>
            <w:tcW w:w="1198"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PVP DANE 2018 </w:t>
            </w:r>
          </w:p>
        </w:tc>
        <w:tc>
          <w:tcPr>
            <w:tcW w:w="113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Ad valorem 19</w:t>
            </w:r>
          </w:p>
        </w:tc>
        <w:tc>
          <w:tcPr>
            <w:tcW w:w="1291" w:type="dxa"/>
            <w:tcBorders>
              <w:top w:val="single" w:sz="8" w:space="0" w:color="auto"/>
              <w:left w:val="nil"/>
              <w:bottom w:val="single" w:sz="4" w:space="0" w:color="auto"/>
              <w:right w:val="single" w:sz="8" w:space="0" w:color="auto"/>
            </w:tcBorders>
            <w:shd w:val="clear" w:color="auto" w:fill="BDD6EE" w:themeFill="accent5" w:themeFillTint="66"/>
            <w:vAlign w:val="center"/>
            <w:hideMark/>
          </w:tcPr>
          <w:p w:rsidR="00853709" w:rsidRPr="0043253A" w:rsidRDefault="00853709" w:rsidP="00853709">
            <w:pPr>
              <w:jc w:val="center"/>
              <w:rPr>
                <w:rFonts w:ascii="Arial" w:hAnsi="Arial" w:cs="Arial"/>
                <w:b/>
                <w:bCs/>
                <w:sz w:val="22"/>
                <w:szCs w:val="22"/>
              </w:rPr>
            </w:pPr>
            <w:r w:rsidRPr="0043253A">
              <w:rPr>
                <w:rFonts w:ascii="Arial" w:hAnsi="Arial" w:cs="Arial"/>
                <w:b/>
                <w:bCs/>
                <w:sz w:val="22"/>
                <w:szCs w:val="22"/>
              </w:rPr>
              <w:t xml:space="preserve"> </w:t>
            </w:r>
            <w:r w:rsidR="00951564" w:rsidRPr="0043253A">
              <w:rPr>
                <w:rFonts w:ascii="Arial" w:hAnsi="Arial" w:cs="Arial"/>
                <w:b/>
                <w:bCs/>
                <w:sz w:val="22"/>
                <w:szCs w:val="22"/>
              </w:rPr>
              <w:t>Variación</w:t>
            </w:r>
            <w:r w:rsidRPr="0043253A">
              <w:rPr>
                <w:rFonts w:ascii="Arial" w:hAnsi="Arial" w:cs="Arial"/>
                <w:b/>
                <w:bCs/>
                <w:sz w:val="22"/>
                <w:szCs w:val="22"/>
              </w:rPr>
              <w:t xml:space="preserve"> en precio por Ad valorem </w:t>
            </w:r>
          </w:p>
        </w:tc>
      </w:tr>
      <w:tr w:rsidR="00853709" w:rsidRPr="0043253A" w:rsidTr="00951564">
        <w:trPr>
          <w:trHeight w:val="300"/>
          <w:jc w:val="center"/>
        </w:trPr>
        <w:tc>
          <w:tcPr>
            <w:tcW w:w="3279"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12 AÑOS PARCE RUM</w:t>
            </w:r>
          </w:p>
        </w:tc>
        <w:tc>
          <w:tcPr>
            <w:tcW w:w="1155"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$ 123.513 </w:t>
            </w:r>
          </w:p>
        </w:tc>
        <w:tc>
          <w:tcPr>
            <w:tcW w:w="10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$ 30.878 </w:t>
            </w:r>
          </w:p>
        </w:tc>
        <w:tc>
          <w:tcPr>
            <w:tcW w:w="1198"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$178.458 </w:t>
            </w:r>
          </w:p>
        </w:tc>
        <w:tc>
          <w:tcPr>
            <w:tcW w:w="113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$ 44.615 </w:t>
            </w:r>
          </w:p>
        </w:tc>
        <w:tc>
          <w:tcPr>
            <w:tcW w:w="1291"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$ 13.736 </w:t>
            </w:r>
          </w:p>
        </w:tc>
      </w:tr>
      <w:tr w:rsidR="00853709" w:rsidRPr="0043253A" w:rsidTr="00951564">
        <w:trPr>
          <w:trHeight w:val="300"/>
          <w:jc w:val="center"/>
        </w:trPr>
        <w:tc>
          <w:tcPr>
            <w:tcW w:w="3279"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8 AÑOS PARCE RUM</w:t>
            </w:r>
          </w:p>
        </w:tc>
        <w:tc>
          <w:tcPr>
            <w:tcW w:w="1155"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$ 87.137 </w:t>
            </w:r>
          </w:p>
        </w:tc>
        <w:tc>
          <w:tcPr>
            <w:tcW w:w="10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21.784 </w:t>
            </w:r>
          </w:p>
        </w:tc>
        <w:tc>
          <w:tcPr>
            <w:tcW w:w="1198"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$145.788 </w:t>
            </w:r>
          </w:p>
        </w:tc>
        <w:tc>
          <w:tcPr>
            <w:tcW w:w="113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$ 36.447 </w:t>
            </w:r>
          </w:p>
        </w:tc>
        <w:tc>
          <w:tcPr>
            <w:tcW w:w="1291"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$ 14.663 </w:t>
            </w:r>
          </w:p>
        </w:tc>
      </w:tr>
      <w:tr w:rsidR="00853709" w:rsidRPr="0043253A" w:rsidTr="00951564">
        <w:trPr>
          <w:trHeight w:val="300"/>
          <w:jc w:val="center"/>
        </w:trPr>
        <w:tc>
          <w:tcPr>
            <w:tcW w:w="3279"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GRAN RESERVA 35</w:t>
            </w:r>
          </w:p>
        </w:tc>
        <w:tc>
          <w:tcPr>
            <w:tcW w:w="1155"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$ 29.651 </w:t>
            </w:r>
          </w:p>
        </w:tc>
        <w:tc>
          <w:tcPr>
            <w:tcW w:w="10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7.413 </w:t>
            </w:r>
          </w:p>
        </w:tc>
        <w:tc>
          <w:tcPr>
            <w:tcW w:w="1198"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$50.741 </w:t>
            </w:r>
          </w:p>
        </w:tc>
        <w:tc>
          <w:tcPr>
            <w:tcW w:w="113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$ 12.685 </w:t>
            </w:r>
          </w:p>
        </w:tc>
        <w:tc>
          <w:tcPr>
            <w:tcW w:w="1291"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$ 5.273 </w:t>
            </w:r>
          </w:p>
        </w:tc>
      </w:tr>
      <w:tr w:rsidR="00853709" w:rsidRPr="0043253A" w:rsidTr="00951564">
        <w:trPr>
          <w:trHeight w:val="300"/>
          <w:jc w:val="center"/>
        </w:trPr>
        <w:tc>
          <w:tcPr>
            <w:tcW w:w="3279"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CALDAS 35°</w:t>
            </w:r>
          </w:p>
        </w:tc>
        <w:tc>
          <w:tcPr>
            <w:tcW w:w="1155"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$ 14.380 </w:t>
            </w:r>
          </w:p>
        </w:tc>
        <w:tc>
          <w:tcPr>
            <w:tcW w:w="10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$ 3.595 </w:t>
            </w:r>
          </w:p>
        </w:tc>
        <w:tc>
          <w:tcPr>
            <w:tcW w:w="1198"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$28.069 </w:t>
            </w:r>
          </w:p>
        </w:tc>
        <w:tc>
          <w:tcPr>
            <w:tcW w:w="113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$ 7.017 </w:t>
            </w:r>
          </w:p>
        </w:tc>
        <w:tc>
          <w:tcPr>
            <w:tcW w:w="1291"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$ 3.422 </w:t>
            </w:r>
          </w:p>
        </w:tc>
      </w:tr>
      <w:tr w:rsidR="00853709" w:rsidRPr="0043253A" w:rsidTr="00951564">
        <w:trPr>
          <w:trHeight w:val="300"/>
          <w:jc w:val="center"/>
        </w:trPr>
        <w:tc>
          <w:tcPr>
            <w:tcW w:w="3279"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CALDAS 35° 5 AÑOS</w:t>
            </w:r>
          </w:p>
        </w:tc>
        <w:tc>
          <w:tcPr>
            <w:tcW w:w="1155"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$ 18.369 </w:t>
            </w:r>
          </w:p>
        </w:tc>
        <w:tc>
          <w:tcPr>
            <w:tcW w:w="10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4.592 </w:t>
            </w:r>
          </w:p>
        </w:tc>
        <w:tc>
          <w:tcPr>
            <w:tcW w:w="1198"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$34.833 </w:t>
            </w:r>
          </w:p>
        </w:tc>
        <w:tc>
          <w:tcPr>
            <w:tcW w:w="113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$ 8.708 </w:t>
            </w:r>
          </w:p>
        </w:tc>
        <w:tc>
          <w:tcPr>
            <w:tcW w:w="1291"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$ 4.116 </w:t>
            </w:r>
          </w:p>
        </w:tc>
      </w:tr>
      <w:tr w:rsidR="00853709" w:rsidRPr="0043253A" w:rsidTr="00951564">
        <w:trPr>
          <w:trHeight w:val="300"/>
          <w:jc w:val="center"/>
        </w:trPr>
        <w:tc>
          <w:tcPr>
            <w:tcW w:w="3279" w:type="dxa"/>
            <w:tcBorders>
              <w:top w:val="nil"/>
              <w:left w:val="single" w:sz="8" w:space="0" w:color="auto"/>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CDS RES. ESPECIAL 35°</w:t>
            </w:r>
          </w:p>
        </w:tc>
        <w:tc>
          <w:tcPr>
            <w:tcW w:w="1155"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$ 38.967 </w:t>
            </w:r>
          </w:p>
        </w:tc>
        <w:tc>
          <w:tcPr>
            <w:tcW w:w="1009"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9.742 </w:t>
            </w:r>
          </w:p>
        </w:tc>
        <w:tc>
          <w:tcPr>
            <w:tcW w:w="1198"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$68.039 </w:t>
            </w:r>
          </w:p>
        </w:tc>
        <w:tc>
          <w:tcPr>
            <w:tcW w:w="1130" w:type="dxa"/>
            <w:tcBorders>
              <w:top w:val="nil"/>
              <w:left w:val="nil"/>
              <w:bottom w:val="single" w:sz="4"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$ 17.010 </w:t>
            </w:r>
          </w:p>
        </w:tc>
        <w:tc>
          <w:tcPr>
            <w:tcW w:w="1291" w:type="dxa"/>
            <w:tcBorders>
              <w:top w:val="nil"/>
              <w:left w:val="nil"/>
              <w:bottom w:val="single" w:sz="4"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$ 7.268 </w:t>
            </w:r>
          </w:p>
        </w:tc>
      </w:tr>
      <w:tr w:rsidR="00853709" w:rsidRPr="0043253A" w:rsidTr="00951564">
        <w:trPr>
          <w:trHeight w:val="320"/>
          <w:jc w:val="center"/>
        </w:trPr>
        <w:tc>
          <w:tcPr>
            <w:tcW w:w="3279" w:type="dxa"/>
            <w:tcBorders>
              <w:top w:val="nil"/>
              <w:left w:val="single" w:sz="8" w:space="0" w:color="auto"/>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RON VJO DE CALDAS LEON DORMIDO 40°</w:t>
            </w:r>
          </w:p>
        </w:tc>
        <w:tc>
          <w:tcPr>
            <w:tcW w:w="1155"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$ 90.000 </w:t>
            </w:r>
          </w:p>
        </w:tc>
        <w:tc>
          <w:tcPr>
            <w:tcW w:w="1009"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22.500 </w:t>
            </w:r>
          </w:p>
        </w:tc>
        <w:tc>
          <w:tcPr>
            <w:tcW w:w="1198"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$172.788 </w:t>
            </w:r>
          </w:p>
        </w:tc>
        <w:tc>
          <w:tcPr>
            <w:tcW w:w="1130" w:type="dxa"/>
            <w:tcBorders>
              <w:top w:val="nil"/>
              <w:left w:val="nil"/>
              <w:bottom w:val="single" w:sz="8" w:space="0" w:color="auto"/>
              <w:right w:val="single" w:sz="4" w:space="0" w:color="auto"/>
            </w:tcBorders>
            <w:shd w:val="clear" w:color="auto" w:fill="auto"/>
            <w:noWrap/>
            <w:vAlign w:val="bottom"/>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 xml:space="preserve"> $ 43.197 </w:t>
            </w:r>
          </w:p>
        </w:tc>
        <w:tc>
          <w:tcPr>
            <w:tcW w:w="1291" w:type="dxa"/>
            <w:tcBorders>
              <w:top w:val="nil"/>
              <w:left w:val="nil"/>
              <w:bottom w:val="single" w:sz="8"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$ 20.697 </w:t>
            </w:r>
          </w:p>
        </w:tc>
      </w:tr>
      <w:tr w:rsidR="00853709" w:rsidRPr="0043253A" w:rsidTr="00951564">
        <w:trPr>
          <w:trHeight w:val="320"/>
          <w:jc w:val="center"/>
        </w:trPr>
        <w:tc>
          <w:tcPr>
            <w:tcW w:w="6641" w:type="dxa"/>
            <w:gridSpan w:val="4"/>
            <w:tcBorders>
              <w:top w:val="single" w:sz="8" w:space="0" w:color="auto"/>
              <w:left w:val="nil"/>
              <w:bottom w:val="nil"/>
              <w:right w:val="single" w:sz="8" w:space="0" w:color="000000"/>
            </w:tcBorders>
            <w:shd w:val="clear" w:color="auto" w:fill="auto"/>
            <w:noWrap/>
            <w:vAlign w:val="bottom"/>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 </w:t>
            </w:r>
          </w:p>
        </w:tc>
        <w:tc>
          <w:tcPr>
            <w:tcW w:w="1130" w:type="dxa"/>
            <w:tcBorders>
              <w:top w:val="nil"/>
              <w:left w:val="nil"/>
              <w:bottom w:val="single" w:sz="8" w:space="0" w:color="auto"/>
              <w:right w:val="nil"/>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Promedio</w:t>
            </w:r>
          </w:p>
        </w:tc>
        <w:tc>
          <w:tcPr>
            <w:tcW w:w="1291" w:type="dxa"/>
            <w:tcBorders>
              <w:top w:val="nil"/>
              <w:left w:val="nil"/>
              <w:bottom w:val="single" w:sz="8" w:space="0" w:color="auto"/>
              <w:right w:val="single" w:sz="8" w:space="0" w:color="auto"/>
            </w:tcBorders>
            <w:shd w:val="clear" w:color="auto" w:fill="auto"/>
            <w:noWrap/>
            <w:vAlign w:val="bottom"/>
            <w:hideMark/>
          </w:tcPr>
          <w:p w:rsidR="00853709" w:rsidRPr="0043253A" w:rsidRDefault="00853709" w:rsidP="00853709">
            <w:pPr>
              <w:rPr>
                <w:rFonts w:ascii="Arial" w:hAnsi="Arial" w:cs="Arial"/>
                <w:b/>
                <w:bCs/>
                <w:color w:val="000000"/>
                <w:sz w:val="22"/>
                <w:szCs w:val="22"/>
              </w:rPr>
            </w:pPr>
            <w:r w:rsidRPr="0043253A">
              <w:rPr>
                <w:rFonts w:ascii="Arial" w:hAnsi="Arial" w:cs="Arial"/>
                <w:b/>
                <w:bCs/>
                <w:color w:val="000000"/>
                <w:sz w:val="22"/>
                <w:szCs w:val="22"/>
              </w:rPr>
              <w:t xml:space="preserve"> $ 9.882 </w:t>
            </w:r>
          </w:p>
        </w:tc>
      </w:tr>
    </w:tbl>
    <w:p w:rsidR="00853709" w:rsidRPr="0043253A" w:rsidRDefault="00853709" w:rsidP="00853709">
      <w:pPr>
        <w:spacing w:line="276" w:lineRule="auto"/>
        <w:ind w:firstLine="708"/>
        <w:jc w:val="both"/>
        <w:rPr>
          <w:rFonts w:ascii="Arial" w:hAnsi="Arial" w:cs="Arial"/>
          <w:sz w:val="22"/>
          <w:szCs w:val="22"/>
          <w:lang w:val="es-ES"/>
        </w:rPr>
      </w:pPr>
    </w:p>
    <w:p w:rsidR="00853709" w:rsidRPr="0043253A" w:rsidRDefault="00853709" w:rsidP="00951564">
      <w:pPr>
        <w:spacing w:line="276" w:lineRule="auto"/>
        <w:jc w:val="both"/>
        <w:rPr>
          <w:rFonts w:ascii="Arial" w:hAnsi="Arial" w:cs="Arial"/>
          <w:sz w:val="22"/>
          <w:szCs w:val="22"/>
          <w:lang w:val="es-ES"/>
        </w:rPr>
      </w:pPr>
      <w:r w:rsidRPr="0043253A">
        <w:rPr>
          <w:rFonts w:ascii="Arial" w:hAnsi="Arial" w:cs="Arial"/>
          <w:sz w:val="22"/>
          <w:szCs w:val="22"/>
          <w:lang w:val="es-ES"/>
        </w:rPr>
        <w:t>La probabilidad de consumo de una botella de ron cae si su precio aumento. Así, un aumento entre 8 a 9 mil pesos, podría generar una disminución en el consumo de alrededor del 31%.</w:t>
      </w:r>
    </w:p>
    <w:p w:rsidR="00951564" w:rsidRPr="0043253A" w:rsidRDefault="00951564" w:rsidP="00951564">
      <w:pPr>
        <w:pStyle w:val="Prrafodelista"/>
        <w:spacing w:line="276" w:lineRule="auto"/>
        <w:ind w:left="1080"/>
        <w:jc w:val="both"/>
        <w:rPr>
          <w:rFonts w:ascii="Arial" w:hAnsi="Arial" w:cs="Arial"/>
          <w:b/>
          <w:sz w:val="22"/>
          <w:szCs w:val="22"/>
          <w:lang w:val="es-ES"/>
        </w:rPr>
      </w:pPr>
    </w:p>
    <w:p w:rsidR="00951564" w:rsidRPr="0043253A" w:rsidRDefault="00951564" w:rsidP="00951564">
      <w:pPr>
        <w:pStyle w:val="Prrafodelista"/>
        <w:spacing w:line="276" w:lineRule="auto"/>
        <w:ind w:left="1080"/>
        <w:jc w:val="both"/>
        <w:rPr>
          <w:rFonts w:ascii="Arial" w:hAnsi="Arial" w:cs="Arial"/>
          <w:b/>
          <w:sz w:val="22"/>
          <w:szCs w:val="22"/>
          <w:lang w:val="es-ES"/>
        </w:rPr>
      </w:pPr>
    </w:p>
    <w:p w:rsidR="00951564" w:rsidRPr="0043253A" w:rsidRDefault="00951564" w:rsidP="00951564">
      <w:pPr>
        <w:pStyle w:val="Prrafodelista"/>
        <w:spacing w:line="276" w:lineRule="auto"/>
        <w:ind w:left="1080"/>
        <w:jc w:val="both"/>
        <w:rPr>
          <w:rFonts w:ascii="Arial" w:hAnsi="Arial" w:cs="Arial"/>
          <w:b/>
          <w:sz w:val="22"/>
          <w:szCs w:val="22"/>
          <w:lang w:val="es-ES"/>
        </w:rPr>
      </w:pPr>
    </w:p>
    <w:p w:rsidR="00853709" w:rsidRPr="0043253A" w:rsidRDefault="00853709" w:rsidP="00951564">
      <w:pPr>
        <w:pStyle w:val="Prrafodelista"/>
        <w:numPr>
          <w:ilvl w:val="1"/>
          <w:numId w:val="7"/>
        </w:numPr>
        <w:spacing w:line="276" w:lineRule="auto"/>
        <w:jc w:val="both"/>
        <w:rPr>
          <w:rFonts w:ascii="Arial" w:hAnsi="Arial" w:cs="Arial"/>
          <w:b/>
          <w:sz w:val="22"/>
          <w:szCs w:val="22"/>
          <w:lang w:val="es-ES"/>
        </w:rPr>
      </w:pPr>
      <w:r w:rsidRPr="0043253A">
        <w:rPr>
          <w:rFonts w:ascii="Arial" w:hAnsi="Arial" w:cs="Arial"/>
          <w:b/>
          <w:sz w:val="22"/>
          <w:szCs w:val="22"/>
          <w:lang w:val="es-ES"/>
        </w:rPr>
        <w:t xml:space="preserve">EXPLICACIÓN DEL ARTICULADO </w:t>
      </w:r>
      <w:r w:rsidR="00951564" w:rsidRPr="0043253A">
        <w:rPr>
          <w:rFonts w:ascii="Arial" w:hAnsi="Arial" w:cs="Arial"/>
          <w:b/>
          <w:sz w:val="22"/>
          <w:szCs w:val="22"/>
          <w:lang w:val="es-ES"/>
        </w:rPr>
        <w:t xml:space="preserve">(Capítulo </w:t>
      </w:r>
      <w:r w:rsidR="0099409E" w:rsidRPr="0043253A">
        <w:rPr>
          <w:rFonts w:ascii="Arial" w:hAnsi="Arial" w:cs="Arial"/>
          <w:b/>
          <w:sz w:val="22"/>
          <w:szCs w:val="22"/>
          <w:lang w:val="es-ES"/>
        </w:rPr>
        <w:t>II)</w:t>
      </w:r>
    </w:p>
    <w:p w:rsidR="00853709" w:rsidRPr="0043253A" w:rsidRDefault="00853709" w:rsidP="00853709">
      <w:pPr>
        <w:pStyle w:val="Prrafodelista"/>
        <w:spacing w:line="276" w:lineRule="auto"/>
        <w:ind w:left="1080"/>
        <w:jc w:val="both"/>
        <w:rPr>
          <w:rFonts w:ascii="Arial" w:hAnsi="Arial" w:cs="Arial"/>
          <w:b/>
          <w:sz w:val="22"/>
          <w:szCs w:val="22"/>
          <w:lang w:val="es-ES"/>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La propuesta se basa en modificar el esquema como actualmente se liquida el impuesto al consumo de licores, vinos, aperitivos y similares, para volver al esquema específico, en consideración a fijar una ta</w:t>
      </w:r>
      <w:r w:rsidR="005B67EB" w:rsidRPr="0043253A">
        <w:rPr>
          <w:rFonts w:ascii="Arial" w:hAnsi="Arial" w:cs="Arial"/>
          <w:sz w:val="22"/>
          <w:szCs w:val="22"/>
        </w:rPr>
        <w:t>rifa por grado alcoholimétrico.</w:t>
      </w:r>
    </w:p>
    <w:p w:rsidR="00853709" w:rsidRPr="0043253A" w:rsidRDefault="00853709" w:rsidP="00853709">
      <w:pPr>
        <w:spacing w:line="276" w:lineRule="auto"/>
        <w:jc w:val="both"/>
        <w:rPr>
          <w:rFonts w:ascii="Arial" w:hAnsi="Arial" w:cs="Arial"/>
          <w:sz w:val="22"/>
          <w:szCs w:val="22"/>
        </w:rPr>
      </w:pPr>
    </w:p>
    <w:p w:rsidR="00853709" w:rsidRPr="0043253A" w:rsidRDefault="005B67EB" w:rsidP="005B67EB">
      <w:pPr>
        <w:spacing w:line="276" w:lineRule="auto"/>
        <w:jc w:val="both"/>
        <w:rPr>
          <w:rFonts w:ascii="Arial" w:hAnsi="Arial" w:cs="Arial"/>
          <w:sz w:val="22"/>
          <w:szCs w:val="22"/>
        </w:rPr>
      </w:pPr>
      <w:r w:rsidRPr="0043253A">
        <w:rPr>
          <w:rFonts w:ascii="Arial" w:hAnsi="Arial" w:cs="Arial"/>
          <w:sz w:val="22"/>
          <w:szCs w:val="22"/>
        </w:rPr>
        <w:t>Adicionalmente</w:t>
      </w:r>
      <w:r w:rsidR="00853709" w:rsidRPr="0043253A">
        <w:rPr>
          <w:rFonts w:ascii="Arial" w:hAnsi="Arial" w:cs="Arial"/>
          <w:sz w:val="22"/>
          <w:szCs w:val="22"/>
        </w:rPr>
        <w:t xml:space="preserve"> se elimina el componente </w:t>
      </w:r>
      <w:r w:rsidR="00853709" w:rsidRPr="0043253A">
        <w:rPr>
          <w:rFonts w:ascii="Arial" w:hAnsi="Arial" w:cs="Arial"/>
          <w:i/>
          <w:sz w:val="22"/>
          <w:szCs w:val="22"/>
        </w:rPr>
        <w:t xml:space="preserve">ad valorem </w:t>
      </w:r>
      <w:r w:rsidR="00853709" w:rsidRPr="0043253A">
        <w:rPr>
          <w:rFonts w:ascii="Arial" w:hAnsi="Arial" w:cs="Arial"/>
          <w:sz w:val="22"/>
          <w:szCs w:val="22"/>
        </w:rPr>
        <w:t xml:space="preserve">del impuesto, y se fija la tarifa por grado alcoholimétrico, dividida en dos rangos, productos de hasta 35 grados y mayores a 35 grados alcholimétricos, retomando el esquema planteado en la </w:t>
      </w:r>
      <w:r w:rsidRPr="0043253A">
        <w:rPr>
          <w:rFonts w:ascii="Arial" w:hAnsi="Arial" w:cs="Arial"/>
          <w:sz w:val="22"/>
          <w:szCs w:val="22"/>
        </w:rPr>
        <w:t>L</w:t>
      </w:r>
      <w:r w:rsidR="00853709" w:rsidRPr="0043253A">
        <w:rPr>
          <w:rFonts w:ascii="Arial" w:hAnsi="Arial" w:cs="Arial"/>
          <w:sz w:val="22"/>
          <w:szCs w:val="22"/>
        </w:rPr>
        <w:t>ey 788 de 2002.</w:t>
      </w:r>
    </w:p>
    <w:p w:rsidR="00853709" w:rsidRPr="0043253A" w:rsidRDefault="00853709" w:rsidP="00853709">
      <w:pPr>
        <w:spacing w:line="276" w:lineRule="auto"/>
        <w:jc w:val="both"/>
        <w:rPr>
          <w:rFonts w:ascii="Arial" w:hAnsi="Arial" w:cs="Arial"/>
          <w:b/>
          <w:sz w:val="22"/>
          <w:szCs w:val="22"/>
          <w:lang w:val="es-ES"/>
        </w:rPr>
      </w:pPr>
    </w:p>
    <w:p w:rsidR="0021507E" w:rsidRPr="0043253A" w:rsidRDefault="0021507E" w:rsidP="00853709">
      <w:pPr>
        <w:spacing w:line="276" w:lineRule="auto"/>
        <w:jc w:val="both"/>
        <w:rPr>
          <w:rFonts w:ascii="Arial" w:hAnsi="Arial" w:cs="Arial"/>
          <w:b/>
          <w:sz w:val="22"/>
          <w:szCs w:val="22"/>
          <w:lang w:val="es-ES"/>
        </w:rPr>
      </w:pPr>
    </w:p>
    <w:p w:rsidR="00853709" w:rsidRPr="0043253A" w:rsidRDefault="00853709" w:rsidP="0021507E">
      <w:pPr>
        <w:pStyle w:val="Prrafodelista"/>
        <w:numPr>
          <w:ilvl w:val="1"/>
          <w:numId w:val="7"/>
        </w:numPr>
        <w:spacing w:line="276" w:lineRule="auto"/>
        <w:jc w:val="both"/>
        <w:rPr>
          <w:rFonts w:ascii="Arial" w:hAnsi="Arial" w:cs="Arial"/>
          <w:b/>
          <w:sz w:val="22"/>
          <w:szCs w:val="22"/>
          <w:lang w:val="es-ES"/>
        </w:rPr>
      </w:pPr>
      <w:r w:rsidRPr="0043253A">
        <w:rPr>
          <w:rFonts w:ascii="Arial" w:hAnsi="Arial" w:cs="Arial"/>
          <w:b/>
          <w:sz w:val="22"/>
          <w:szCs w:val="22"/>
          <w:lang w:val="es-ES"/>
        </w:rPr>
        <w:t>IMPLICACIONES EN EL RECAUDO IMPOSITIVO PARA LOS DEPARTAMENTOS</w:t>
      </w:r>
    </w:p>
    <w:p w:rsidR="0021507E" w:rsidRPr="0043253A" w:rsidRDefault="0021507E" w:rsidP="0021507E">
      <w:pPr>
        <w:spacing w:line="276" w:lineRule="auto"/>
        <w:jc w:val="both"/>
        <w:rPr>
          <w:rFonts w:ascii="Arial" w:hAnsi="Arial" w:cs="Arial"/>
          <w:b/>
          <w:sz w:val="22"/>
          <w:szCs w:val="22"/>
          <w:lang w:val="es-ES"/>
        </w:rPr>
      </w:pPr>
    </w:p>
    <w:p w:rsidR="00853709" w:rsidRPr="0043253A" w:rsidRDefault="00853709" w:rsidP="0021507E">
      <w:pPr>
        <w:spacing w:line="276" w:lineRule="auto"/>
        <w:jc w:val="both"/>
        <w:rPr>
          <w:rFonts w:ascii="Arial" w:hAnsi="Arial" w:cs="Arial"/>
          <w:sz w:val="22"/>
          <w:szCs w:val="22"/>
          <w:lang w:val="es-ES"/>
        </w:rPr>
      </w:pPr>
      <w:r w:rsidRPr="0043253A">
        <w:rPr>
          <w:rFonts w:ascii="Arial" w:hAnsi="Arial" w:cs="Arial"/>
          <w:sz w:val="22"/>
          <w:szCs w:val="22"/>
          <w:lang w:val="es-ES"/>
        </w:rPr>
        <w:t>A continuación, se hace la proyección para 2020</w:t>
      </w:r>
      <w:r w:rsidRPr="0043253A">
        <w:rPr>
          <w:rStyle w:val="Refdenotaalpie"/>
          <w:rFonts w:ascii="Arial" w:hAnsi="Arial" w:cs="Arial"/>
          <w:sz w:val="22"/>
          <w:szCs w:val="22"/>
          <w:lang w:val="es-ES"/>
        </w:rPr>
        <w:footnoteReference w:id="1"/>
      </w:r>
      <w:r w:rsidRPr="0043253A">
        <w:rPr>
          <w:rFonts w:ascii="Arial" w:hAnsi="Arial" w:cs="Arial"/>
          <w:sz w:val="22"/>
          <w:szCs w:val="22"/>
          <w:lang w:val="es-ES"/>
        </w:rPr>
        <w:t xml:space="preserve"> del valor del impuesto al consumo de licores, vinos, aperitivos y similares, discriminada por productos, comparando el valor del impuesto según el esquema de la ley 1816 de 2016 y la propuesta que se plantea, obteniendo los siguientes resultados:</w:t>
      </w:r>
    </w:p>
    <w:p w:rsidR="0021507E" w:rsidRPr="0043253A" w:rsidRDefault="0021507E" w:rsidP="0021507E">
      <w:pPr>
        <w:spacing w:line="276" w:lineRule="auto"/>
        <w:jc w:val="both"/>
        <w:rPr>
          <w:rFonts w:ascii="Arial" w:hAnsi="Arial" w:cs="Arial"/>
          <w:sz w:val="22"/>
          <w:szCs w:val="22"/>
          <w:lang w:val="es-ES"/>
        </w:rPr>
      </w:pPr>
    </w:p>
    <w:p w:rsidR="00853709" w:rsidRPr="0043253A" w:rsidRDefault="00853709" w:rsidP="00853709">
      <w:pPr>
        <w:spacing w:line="276" w:lineRule="auto"/>
        <w:jc w:val="both"/>
        <w:rPr>
          <w:rFonts w:ascii="Arial" w:hAnsi="Arial" w:cs="Arial"/>
          <w:b/>
          <w:sz w:val="22"/>
          <w:szCs w:val="22"/>
          <w:lang w:val="es-ES"/>
        </w:rPr>
      </w:pPr>
    </w:p>
    <w:p w:rsidR="00853709" w:rsidRPr="0043253A" w:rsidRDefault="00853709" w:rsidP="0085370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Tabla 5. </w:t>
      </w:r>
      <w:r w:rsidRPr="0043253A">
        <w:rPr>
          <w:rFonts w:ascii="Arial" w:hAnsi="Arial" w:cs="Arial"/>
          <w:i w:val="0"/>
          <w:color w:val="000000" w:themeColor="text1"/>
          <w:sz w:val="22"/>
          <w:szCs w:val="22"/>
        </w:rPr>
        <w:t>Escenario 2020 nacionales según ley 1816 vs propuesta.</w:t>
      </w:r>
    </w:p>
    <w:tbl>
      <w:tblPr>
        <w:tblStyle w:val="Tablaconcuadrcula"/>
        <w:tblW w:w="8823" w:type="dxa"/>
        <w:jc w:val="center"/>
        <w:tblLayout w:type="fixed"/>
        <w:tblLook w:val="04A0" w:firstRow="1" w:lastRow="0" w:firstColumn="1" w:lastColumn="0" w:noHBand="0" w:noVBand="1"/>
      </w:tblPr>
      <w:tblGrid>
        <w:gridCol w:w="3676"/>
        <w:gridCol w:w="1276"/>
        <w:gridCol w:w="1275"/>
        <w:gridCol w:w="709"/>
        <w:gridCol w:w="1134"/>
        <w:gridCol w:w="753"/>
      </w:tblGrid>
      <w:tr w:rsidR="00853709" w:rsidRPr="0043253A" w:rsidTr="0021507E">
        <w:trPr>
          <w:trHeight w:val="300"/>
          <w:jc w:val="center"/>
        </w:trPr>
        <w:tc>
          <w:tcPr>
            <w:tcW w:w="3676" w:type="dxa"/>
            <w:vMerge w:val="restart"/>
            <w:shd w:val="clear" w:color="auto" w:fill="BDD6EE" w:themeFill="accent5" w:themeFillTint="66"/>
            <w:hideMark/>
          </w:tcPr>
          <w:p w:rsidR="0021507E" w:rsidRPr="0043253A" w:rsidRDefault="0021507E" w:rsidP="00853709">
            <w:pPr>
              <w:jc w:val="center"/>
              <w:rPr>
                <w:rFonts w:ascii="Arial" w:hAnsi="Arial" w:cs="Arial"/>
                <w:b/>
                <w:bCs/>
                <w:color w:val="000000"/>
                <w:sz w:val="22"/>
                <w:szCs w:val="22"/>
              </w:rPr>
            </w:pPr>
          </w:p>
          <w:p w:rsidR="00853709" w:rsidRPr="0043253A" w:rsidRDefault="00853709" w:rsidP="00853709">
            <w:pPr>
              <w:jc w:val="center"/>
              <w:rPr>
                <w:rFonts w:ascii="Arial" w:hAnsi="Arial" w:cs="Arial"/>
                <w:b/>
                <w:bCs/>
                <w:color w:val="000000"/>
                <w:sz w:val="22"/>
                <w:szCs w:val="22"/>
              </w:rPr>
            </w:pPr>
            <w:r w:rsidRPr="0043253A">
              <w:rPr>
                <w:rFonts w:ascii="Arial" w:hAnsi="Arial" w:cs="Arial"/>
                <w:b/>
                <w:bCs/>
                <w:color w:val="000000"/>
                <w:sz w:val="22"/>
                <w:szCs w:val="22"/>
              </w:rPr>
              <w:t>SUPUESTOS</w:t>
            </w:r>
            <w:r w:rsidRPr="0043253A">
              <w:rPr>
                <w:rFonts w:ascii="Arial" w:hAnsi="Arial" w:cs="Arial"/>
                <w:b/>
                <w:bCs/>
                <w:color w:val="000000"/>
                <w:sz w:val="22"/>
                <w:szCs w:val="22"/>
              </w:rPr>
              <w:br/>
              <w:t>Proyectado 2020. (IPC 3,4%)</w:t>
            </w:r>
          </w:p>
        </w:tc>
        <w:tc>
          <w:tcPr>
            <w:tcW w:w="2551" w:type="dxa"/>
            <w:gridSpan w:val="2"/>
            <w:shd w:val="clear" w:color="auto" w:fill="BDD6EE" w:themeFill="accent5" w:themeFillTint="66"/>
            <w:noWrap/>
            <w:hideMark/>
          </w:tcPr>
          <w:p w:rsidR="00853709" w:rsidRPr="0043253A" w:rsidRDefault="00853709" w:rsidP="0021507E">
            <w:pPr>
              <w:jc w:val="center"/>
              <w:rPr>
                <w:rFonts w:ascii="Arial" w:hAnsi="Arial" w:cs="Arial"/>
                <w:b/>
                <w:bCs/>
                <w:color w:val="000000"/>
                <w:sz w:val="22"/>
                <w:szCs w:val="22"/>
              </w:rPr>
            </w:pPr>
            <w:r w:rsidRPr="0043253A">
              <w:rPr>
                <w:rFonts w:ascii="Arial" w:hAnsi="Arial" w:cs="Arial"/>
                <w:b/>
                <w:bCs/>
                <w:color w:val="000000"/>
                <w:sz w:val="22"/>
                <w:szCs w:val="22"/>
              </w:rPr>
              <w:t>Impuestos Ley 1816</w:t>
            </w:r>
            <w:r w:rsidR="0021507E" w:rsidRPr="0043253A">
              <w:rPr>
                <w:rFonts w:ascii="Arial" w:hAnsi="Arial" w:cs="Arial"/>
                <w:b/>
                <w:bCs/>
                <w:color w:val="000000"/>
                <w:sz w:val="22"/>
                <w:szCs w:val="22"/>
              </w:rPr>
              <w:t xml:space="preserve"> de 2016</w:t>
            </w:r>
          </w:p>
        </w:tc>
        <w:tc>
          <w:tcPr>
            <w:tcW w:w="709" w:type="dxa"/>
            <w:shd w:val="clear" w:color="auto" w:fill="BDD6EE" w:themeFill="accent5" w:themeFillTint="66"/>
            <w:noWrap/>
            <w:hideMark/>
          </w:tcPr>
          <w:p w:rsidR="00853709" w:rsidRPr="0043253A" w:rsidRDefault="00853709" w:rsidP="0021507E">
            <w:pPr>
              <w:jc w:val="center"/>
              <w:rPr>
                <w:rFonts w:ascii="Arial" w:hAnsi="Arial" w:cs="Arial"/>
                <w:b/>
                <w:bCs/>
                <w:color w:val="000000"/>
                <w:sz w:val="22"/>
                <w:szCs w:val="22"/>
              </w:rPr>
            </w:pPr>
            <w:r w:rsidRPr="0043253A">
              <w:rPr>
                <w:rFonts w:ascii="Arial" w:hAnsi="Arial" w:cs="Arial"/>
                <w:b/>
                <w:bCs/>
                <w:color w:val="000000"/>
                <w:sz w:val="22"/>
                <w:szCs w:val="22"/>
              </w:rPr>
              <w:t>IPC 2020</w:t>
            </w:r>
          </w:p>
        </w:tc>
        <w:tc>
          <w:tcPr>
            <w:tcW w:w="1887" w:type="dxa"/>
            <w:gridSpan w:val="2"/>
            <w:shd w:val="clear" w:color="auto" w:fill="BDD6EE" w:themeFill="accent5" w:themeFillTint="66"/>
            <w:noWrap/>
            <w:hideMark/>
          </w:tcPr>
          <w:p w:rsidR="00853709" w:rsidRPr="0043253A" w:rsidRDefault="00853709" w:rsidP="0021507E">
            <w:pPr>
              <w:jc w:val="center"/>
              <w:rPr>
                <w:rFonts w:ascii="Arial" w:hAnsi="Arial" w:cs="Arial"/>
                <w:b/>
                <w:bCs/>
                <w:color w:val="000000"/>
                <w:sz w:val="22"/>
                <w:szCs w:val="22"/>
              </w:rPr>
            </w:pPr>
            <w:r w:rsidRPr="0043253A">
              <w:rPr>
                <w:rFonts w:ascii="Arial" w:hAnsi="Arial" w:cs="Arial"/>
                <w:b/>
                <w:bCs/>
                <w:color w:val="000000"/>
                <w:sz w:val="22"/>
                <w:szCs w:val="22"/>
              </w:rPr>
              <w:t>Proyecto</w:t>
            </w:r>
          </w:p>
        </w:tc>
      </w:tr>
      <w:tr w:rsidR="00853709" w:rsidRPr="0043253A" w:rsidTr="0021507E">
        <w:trPr>
          <w:trHeight w:val="260"/>
          <w:jc w:val="center"/>
        </w:trPr>
        <w:tc>
          <w:tcPr>
            <w:tcW w:w="3676" w:type="dxa"/>
            <w:vMerge/>
            <w:hideMark/>
          </w:tcPr>
          <w:p w:rsidR="00853709" w:rsidRPr="0043253A" w:rsidRDefault="00853709" w:rsidP="00853709">
            <w:pPr>
              <w:rPr>
                <w:rFonts w:ascii="Arial" w:hAnsi="Arial" w:cs="Arial"/>
                <w:b/>
                <w:bCs/>
                <w:color w:val="000000"/>
                <w:sz w:val="22"/>
                <w:szCs w:val="22"/>
              </w:rPr>
            </w:pP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Específico</w:t>
            </w:r>
          </w:p>
        </w:tc>
        <w:tc>
          <w:tcPr>
            <w:tcW w:w="1275" w:type="dxa"/>
            <w:noWrap/>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244</w:t>
            </w:r>
          </w:p>
        </w:tc>
        <w:tc>
          <w:tcPr>
            <w:tcW w:w="709" w:type="dxa"/>
            <w:vMerge w:val="restart"/>
            <w:noWrap/>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3,4%</w:t>
            </w: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Específico&lt;35</w:t>
            </w:r>
          </w:p>
        </w:tc>
        <w:tc>
          <w:tcPr>
            <w:tcW w:w="753" w:type="dxa"/>
            <w:noWrap/>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395</w:t>
            </w:r>
          </w:p>
        </w:tc>
      </w:tr>
      <w:tr w:rsidR="00853709" w:rsidRPr="0043253A" w:rsidTr="0021507E">
        <w:trPr>
          <w:trHeight w:val="320"/>
          <w:jc w:val="center"/>
        </w:trPr>
        <w:tc>
          <w:tcPr>
            <w:tcW w:w="3676" w:type="dxa"/>
            <w:vMerge/>
            <w:hideMark/>
          </w:tcPr>
          <w:p w:rsidR="00853709" w:rsidRPr="0043253A" w:rsidRDefault="00853709" w:rsidP="00853709">
            <w:pPr>
              <w:rPr>
                <w:rFonts w:ascii="Arial" w:hAnsi="Arial" w:cs="Arial"/>
                <w:b/>
                <w:bCs/>
                <w:color w:val="000000"/>
                <w:sz w:val="22"/>
                <w:szCs w:val="22"/>
              </w:rPr>
            </w:pPr>
          </w:p>
        </w:tc>
        <w:tc>
          <w:tcPr>
            <w:tcW w:w="1276"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Advalorem</w:t>
            </w:r>
          </w:p>
        </w:tc>
        <w:tc>
          <w:tcPr>
            <w:tcW w:w="1275" w:type="dxa"/>
            <w:noWrap/>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25%</w:t>
            </w:r>
          </w:p>
        </w:tc>
        <w:tc>
          <w:tcPr>
            <w:tcW w:w="709" w:type="dxa"/>
            <w:vMerge/>
            <w:hideMark/>
          </w:tcPr>
          <w:p w:rsidR="00853709" w:rsidRPr="0043253A" w:rsidRDefault="00853709" w:rsidP="00853709">
            <w:pPr>
              <w:rPr>
                <w:rFonts w:ascii="Arial" w:hAnsi="Arial" w:cs="Arial"/>
                <w:color w:val="000000"/>
                <w:sz w:val="22"/>
                <w:szCs w:val="22"/>
              </w:rPr>
            </w:pPr>
          </w:p>
        </w:tc>
        <w:tc>
          <w:tcPr>
            <w:tcW w:w="1134" w:type="dxa"/>
            <w:noWrap/>
            <w:hideMark/>
          </w:tcPr>
          <w:p w:rsidR="00853709" w:rsidRPr="0043253A" w:rsidRDefault="00853709" w:rsidP="00853709">
            <w:pPr>
              <w:rPr>
                <w:rFonts w:ascii="Arial" w:hAnsi="Arial" w:cs="Arial"/>
                <w:color w:val="000000"/>
                <w:sz w:val="22"/>
                <w:szCs w:val="22"/>
              </w:rPr>
            </w:pPr>
            <w:r w:rsidRPr="0043253A">
              <w:rPr>
                <w:rFonts w:ascii="Arial" w:hAnsi="Arial" w:cs="Arial"/>
                <w:color w:val="000000"/>
                <w:sz w:val="22"/>
                <w:szCs w:val="22"/>
              </w:rPr>
              <w:t>Específico&gt;35</w:t>
            </w:r>
          </w:p>
        </w:tc>
        <w:tc>
          <w:tcPr>
            <w:tcW w:w="753" w:type="dxa"/>
            <w:noWrap/>
            <w:hideMark/>
          </w:tcPr>
          <w:p w:rsidR="00853709" w:rsidRPr="0043253A" w:rsidRDefault="00853709" w:rsidP="00853709">
            <w:pPr>
              <w:jc w:val="center"/>
              <w:rPr>
                <w:rFonts w:ascii="Arial" w:hAnsi="Arial" w:cs="Arial"/>
                <w:color w:val="000000"/>
                <w:sz w:val="22"/>
                <w:szCs w:val="22"/>
              </w:rPr>
            </w:pPr>
            <w:r w:rsidRPr="0043253A">
              <w:rPr>
                <w:rFonts w:ascii="Arial" w:hAnsi="Arial" w:cs="Arial"/>
                <w:color w:val="000000"/>
                <w:sz w:val="22"/>
                <w:szCs w:val="22"/>
              </w:rPr>
              <w:t xml:space="preserve">648 </w:t>
            </w:r>
          </w:p>
        </w:tc>
      </w:tr>
    </w:tbl>
    <w:p w:rsidR="0021507E" w:rsidRPr="0043253A" w:rsidRDefault="0021507E" w:rsidP="00853709">
      <w:pPr>
        <w:spacing w:line="276" w:lineRule="auto"/>
        <w:jc w:val="both"/>
        <w:rPr>
          <w:rFonts w:ascii="Arial" w:hAnsi="Arial" w:cs="Arial"/>
          <w:b/>
          <w:sz w:val="22"/>
          <w:szCs w:val="22"/>
          <w:lang w:val="es-ES"/>
        </w:rPr>
      </w:pPr>
    </w:p>
    <w:tbl>
      <w:tblPr>
        <w:tblStyle w:val="Tablaconcuadrcula"/>
        <w:tblW w:w="9351" w:type="dxa"/>
        <w:jc w:val="center"/>
        <w:tblLayout w:type="fixed"/>
        <w:tblLook w:val="04A0" w:firstRow="1" w:lastRow="0" w:firstColumn="1" w:lastColumn="0" w:noHBand="0" w:noVBand="1"/>
      </w:tblPr>
      <w:tblGrid>
        <w:gridCol w:w="3539"/>
        <w:gridCol w:w="709"/>
        <w:gridCol w:w="1701"/>
        <w:gridCol w:w="1276"/>
        <w:gridCol w:w="1417"/>
        <w:gridCol w:w="709"/>
      </w:tblGrid>
      <w:tr w:rsidR="0021507E" w:rsidRPr="0043253A" w:rsidTr="001F5062">
        <w:trPr>
          <w:trHeight w:val="940"/>
          <w:jc w:val="center"/>
        </w:trPr>
        <w:tc>
          <w:tcPr>
            <w:tcW w:w="3539" w:type="dxa"/>
            <w:shd w:val="clear" w:color="auto" w:fill="BDD6EE" w:themeFill="accent5" w:themeFillTint="66"/>
            <w:vAlign w:val="center"/>
            <w:hideMark/>
          </w:tcPr>
          <w:p w:rsidR="0021507E" w:rsidRPr="0043253A" w:rsidRDefault="0021507E" w:rsidP="001F5062">
            <w:pPr>
              <w:jc w:val="center"/>
              <w:rPr>
                <w:rFonts w:ascii="Arial" w:hAnsi="Arial" w:cs="Arial"/>
                <w:b/>
                <w:bCs/>
                <w:color w:val="000000"/>
                <w:sz w:val="22"/>
                <w:szCs w:val="22"/>
              </w:rPr>
            </w:pPr>
            <w:r w:rsidRPr="0043253A">
              <w:rPr>
                <w:rFonts w:ascii="Arial" w:hAnsi="Arial" w:cs="Arial"/>
                <w:b/>
                <w:bCs/>
                <w:color w:val="000000"/>
                <w:sz w:val="22"/>
                <w:szCs w:val="22"/>
              </w:rPr>
              <w:t>NOMBRE BEBIDA ALCOHÓLICA</w:t>
            </w:r>
          </w:p>
        </w:tc>
        <w:tc>
          <w:tcPr>
            <w:tcW w:w="709" w:type="dxa"/>
            <w:shd w:val="clear" w:color="auto" w:fill="BDD6EE" w:themeFill="accent5" w:themeFillTint="66"/>
            <w:vAlign w:val="center"/>
            <w:hideMark/>
          </w:tcPr>
          <w:p w:rsidR="0021507E" w:rsidRPr="0043253A" w:rsidRDefault="0021507E" w:rsidP="001F5062">
            <w:pPr>
              <w:jc w:val="center"/>
              <w:rPr>
                <w:rFonts w:ascii="Arial" w:hAnsi="Arial" w:cs="Arial"/>
                <w:b/>
                <w:bCs/>
                <w:color w:val="000000"/>
                <w:sz w:val="22"/>
                <w:szCs w:val="22"/>
              </w:rPr>
            </w:pPr>
            <w:r w:rsidRPr="0043253A">
              <w:rPr>
                <w:rFonts w:ascii="Arial" w:hAnsi="Arial" w:cs="Arial"/>
                <w:b/>
                <w:bCs/>
                <w:color w:val="000000"/>
                <w:sz w:val="22"/>
                <w:szCs w:val="22"/>
              </w:rPr>
              <w:t>G</w:t>
            </w:r>
          </w:p>
        </w:tc>
        <w:tc>
          <w:tcPr>
            <w:tcW w:w="1701" w:type="dxa"/>
            <w:shd w:val="clear" w:color="auto" w:fill="BDD6EE" w:themeFill="accent5" w:themeFillTint="66"/>
            <w:vAlign w:val="center"/>
            <w:hideMark/>
          </w:tcPr>
          <w:p w:rsidR="0021507E" w:rsidRPr="0043253A" w:rsidRDefault="0021507E" w:rsidP="001F5062">
            <w:pPr>
              <w:jc w:val="center"/>
              <w:rPr>
                <w:rFonts w:ascii="Arial" w:hAnsi="Arial" w:cs="Arial"/>
                <w:b/>
                <w:bCs/>
                <w:color w:val="000000"/>
                <w:sz w:val="22"/>
                <w:szCs w:val="22"/>
              </w:rPr>
            </w:pPr>
            <w:r w:rsidRPr="0043253A">
              <w:rPr>
                <w:rFonts w:ascii="Arial" w:hAnsi="Arial" w:cs="Arial"/>
                <w:b/>
                <w:bCs/>
                <w:color w:val="000000"/>
                <w:sz w:val="22"/>
                <w:szCs w:val="22"/>
              </w:rPr>
              <w:t>VALOR CERTIFICACIÓN</w:t>
            </w:r>
            <w:r w:rsidRPr="0043253A">
              <w:rPr>
                <w:rFonts w:ascii="Arial" w:hAnsi="Arial" w:cs="Arial"/>
                <w:b/>
                <w:bCs/>
                <w:color w:val="000000"/>
                <w:sz w:val="22"/>
                <w:szCs w:val="22"/>
              </w:rPr>
              <w:br/>
              <w:t>DANE 2020</w:t>
            </w:r>
          </w:p>
        </w:tc>
        <w:tc>
          <w:tcPr>
            <w:tcW w:w="1276" w:type="dxa"/>
            <w:shd w:val="clear" w:color="auto" w:fill="BDD6EE" w:themeFill="accent5" w:themeFillTint="66"/>
            <w:vAlign w:val="center"/>
            <w:hideMark/>
          </w:tcPr>
          <w:p w:rsidR="0021507E" w:rsidRPr="0043253A" w:rsidRDefault="0021507E" w:rsidP="001F5062">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LEY 1816</w:t>
            </w:r>
            <w:r w:rsidRPr="0043253A">
              <w:rPr>
                <w:rFonts w:ascii="Arial" w:hAnsi="Arial" w:cs="Arial"/>
                <w:b/>
                <w:bCs/>
                <w:color w:val="000000"/>
                <w:sz w:val="22"/>
                <w:szCs w:val="22"/>
              </w:rPr>
              <w:br/>
              <w:t>2019</w:t>
            </w:r>
          </w:p>
        </w:tc>
        <w:tc>
          <w:tcPr>
            <w:tcW w:w="1417" w:type="dxa"/>
            <w:shd w:val="clear" w:color="auto" w:fill="BDD6EE" w:themeFill="accent5" w:themeFillTint="66"/>
            <w:vAlign w:val="center"/>
            <w:hideMark/>
          </w:tcPr>
          <w:p w:rsidR="0021507E" w:rsidRPr="0043253A" w:rsidRDefault="0021507E" w:rsidP="001F5062">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PROPUESTA</w:t>
            </w:r>
            <w:r w:rsidRPr="0043253A">
              <w:rPr>
                <w:rFonts w:ascii="Arial" w:hAnsi="Arial" w:cs="Arial"/>
                <w:b/>
                <w:bCs/>
                <w:color w:val="000000"/>
                <w:sz w:val="22"/>
                <w:szCs w:val="22"/>
              </w:rPr>
              <w:br/>
              <w:t>2020</w:t>
            </w:r>
          </w:p>
        </w:tc>
        <w:tc>
          <w:tcPr>
            <w:tcW w:w="709" w:type="dxa"/>
            <w:shd w:val="clear" w:color="auto" w:fill="BDD6EE" w:themeFill="accent5" w:themeFillTint="66"/>
            <w:vAlign w:val="center"/>
            <w:hideMark/>
          </w:tcPr>
          <w:p w:rsidR="0021507E" w:rsidRPr="0043253A" w:rsidRDefault="0021507E" w:rsidP="001F5062">
            <w:pPr>
              <w:jc w:val="center"/>
              <w:rPr>
                <w:rFonts w:ascii="Arial" w:hAnsi="Arial" w:cs="Arial"/>
                <w:b/>
                <w:bCs/>
                <w:color w:val="000000"/>
                <w:sz w:val="22"/>
                <w:szCs w:val="22"/>
              </w:rPr>
            </w:pPr>
            <w:r w:rsidRPr="0043253A">
              <w:rPr>
                <w:rFonts w:ascii="Arial" w:hAnsi="Arial" w:cs="Arial"/>
                <w:b/>
                <w:bCs/>
                <w:color w:val="000000"/>
                <w:sz w:val="22"/>
                <w:szCs w:val="22"/>
              </w:rPr>
              <w:t>VAR%</w:t>
            </w:r>
            <w:r w:rsidRPr="0043253A">
              <w:rPr>
                <w:rFonts w:ascii="Arial" w:hAnsi="Arial" w:cs="Arial"/>
                <w:b/>
                <w:bCs/>
                <w:color w:val="000000"/>
                <w:sz w:val="22"/>
                <w:szCs w:val="22"/>
              </w:rPr>
              <w:br/>
              <w:t>LEY 1816</w:t>
            </w:r>
            <w:r w:rsidRPr="0043253A">
              <w:rPr>
                <w:rFonts w:ascii="Arial" w:hAnsi="Arial" w:cs="Arial"/>
                <w:b/>
                <w:bCs/>
                <w:color w:val="000000"/>
                <w:sz w:val="22"/>
                <w:szCs w:val="22"/>
              </w:rPr>
              <w:br/>
              <w:t>PND</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Extra Del Caquetá</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28.704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14.253</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Nariño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34.987</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15.823</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-27,6%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Nectar Club Sin Azúcar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22.455</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11.470</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9.480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Tapa Roja</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22.032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12.585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Marca Tapa Roja Especial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23.636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12.986</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Blanco Del Valle - Sin Azúcar 29 % Vol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24.928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13.309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-13,9%</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Blanco Del Valle 29 % Vol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23.750</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13.014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Lider Sin Azúcar 29°</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21.272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12.395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-7,6%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Llanero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19.238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11.886</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Marca Cristal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25.976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13.571</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Marca Extra Del Caqueta</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29.573</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14.470</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-20,8%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Antioqueño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34.788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15.774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-27,4%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Nariño Sin Azúcar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22.484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12.698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Nectar Azul Sin Azúcar 29°</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24.861</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13.292</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Antioqueño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31.720</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15.007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-23,7%</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Lider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20.887</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12.299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-6,9%</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Onix Sello Negro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19.930</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12.059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Nectar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21.968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12.569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-8,9%</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Aguardiente Real 1493 Silver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40.526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17.208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-33,4%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Amarillo De Manzanares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30</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29.258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14.635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11.850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Licor De Aguardiente Sin Azúcar Tapa Roja 24</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18.935</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10.590</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9.480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-10,5%</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Origen Del Valle</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26.244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13.638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-16,0%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Caucano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17.433</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11.435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0,2%</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Del Putumayo Sin Azúcar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26.557</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13.716</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-16,5%</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Nectar Premium</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43.656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17.991</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-36,3%</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Llanero Sin Azúcar Tapa Azul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28.483</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14.197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-19,3%</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Doble Anis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26.169</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13.619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-15,9%</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Cristal Sin Azúcar Xs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25.244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12.168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9.480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-22,1%</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Antioqueño 24° Sin Azúcar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25.514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12.235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9.480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-22,5%</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Onix Sello Negro Sin Azucar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22.908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12.804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-10,5%</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S Marca Aguardiente Cristal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44.228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18.134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-36,8%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Sin Azúcar Marca Aguardiente Cristal Sin Azúcar 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70.789</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24.774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-53,8%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Lider Sin Azucar 24° G.A.</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24</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17.660</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10.272</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9.480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-7,7%</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Antioqueño Real Sin Azucar Adicionado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42.524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17.708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-35,3%</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Nectar</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20.656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12.241</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-6,4%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Cristal 29°</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22.035</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12.585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Marca Nectar Azul 29°</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22.362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12.667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11.455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Viejo De Caldas Carta De Oro 35º</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52.466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21.657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-36,2%</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Añejo Boyaca</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27.685</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15.462</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-10,6%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Medellin Extra Añejo 12 Años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57.055</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22.805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-39,4%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Medellin Extra Añejo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44.696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19.715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-29,9%</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Viejo De Caldas-Juan De La Cruz 5 Años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36.017</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17.545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-21,2%</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Viejo De Caldas Tradicional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29.023</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15.797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-12,5%</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Santafe Añejo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26.424</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15.147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-8,7%</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Reserva Exclusiva 8 Años Marca Santafe</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52.788</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21.738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-36,4%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Viejo De Caldas Gran Reserva Especial 40 Grados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69.799</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27.211</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-4,7%</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Marqués Del Valle 8 Años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29.672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15.959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Marqués Del Valle 5 Años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30.256</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16.105</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-14,2%</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Santa Fe Nido De Condores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69.852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26.004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-46,8%</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12 Años Boyacá</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90.690</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31.213</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-55,7%</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Maestro Botero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77.412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27.894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-50,4%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Gorgona 8 Años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40.197</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18.590</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-25,6%</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Extra Añejo 12 Años Ron Maestro Gabo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78.721</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28.221</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-51,0%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Viejo De Caldas Gran Reserva Especial 35 Grados</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70.353</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26.129</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-47,1%</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Extra Añejo 5 Años Sin Azúcar Adicionado Ron Medellin</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34.067</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17.058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-19,0%</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Marques Del Valle 3 Años -35% Vol</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26.799</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15.241</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-9,3%</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Viejo De Caldas Leon Dormido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178.663</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54.427</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-52,4%</w:t>
            </w:r>
          </w:p>
        </w:tc>
      </w:tr>
      <w:tr w:rsidR="0021507E" w:rsidRPr="0043253A" w:rsidTr="001F5062">
        <w:trPr>
          <w:trHeight w:val="26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Aguardiente - Ron Marca Ron Medellin Dorado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51.332</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21.374</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-35,3%</w:t>
            </w:r>
          </w:p>
        </w:tc>
      </w:tr>
      <w:tr w:rsidR="0021507E" w:rsidRPr="0043253A" w:rsidTr="001F5062">
        <w:trPr>
          <w:trHeight w:val="280"/>
          <w:jc w:val="center"/>
        </w:trPr>
        <w:tc>
          <w:tcPr>
            <w:tcW w:w="353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Ron Medellin Añejo</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701"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26.789</w:t>
            </w:r>
          </w:p>
        </w:tc>
        <w:tc>
          <w:tcPr>
            <w:tcW w:w="1276"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15.238</w:t>
            </w:r>
          </w:p>
        </w:tc>
        <w:tc>
          <w:tcPr>
            <w:tcW w:w="1417"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709" w:type="dxa"/>
            <w:noWrap/>
            <w:vAlign w:val="center"/>
            <w:hideMark/>
          </w:tcPr>
          <w:p w:rsidR="0021507E" w:rsidRPr="0043253A" w:rsidRDefault="0021507E" w:rsidP="001F5062">
            <w:pPr>
              <w:jc w:val="center"/>
              <w:rPr>
                <w:rFonts w:ascii="Arial" w:hAnsi="Arial" w:cs="Arial"/>
                <w:color w:val="000000"/>
                <w:sz w:val="22"/>
                <w:szCs w:val="22"/>
              </w:rPr>
            </w:pPr>
            <w:r w:rsidRPr="0043253A">
              <w:rPr>
                <w:rFonts w:ascii="Arial" w:hAnsi="Arial" w:cs="Arial"/>
                <w:color w:val="000000"/>
                <w:sz w:val="22"/>
                <w:szCs w:val="22"/>
              </w:rPr>
              <w:t>-9,3%</w:t>
            </w:r>
          </w:p>
        </w:tc>
      </w:tr>
    </w:tbl>
    <w:p w:rsidR="0021507E" w:rsidRPr="0043253A" w:rsidRDefault="0021507E" w:rsidP="00853709">
      <w:pPr>
        <w:spacing w:line="276" w:lineRule="auto"/>
        <w:jc w:val="both"/>
        <w:rPr>
          <w:rFonts w:ascii="Arial" w:hAnsi="Arial" w:cs="Arial"/>
          <w:b/>
          <w:sz w:val="22"/>
          <w:szCs w:val="22"/>
          <w:lang w:val="es-ES"/>
        </w:rPr>
      </w:pPr>
    </w:p>
    <w:p w:rsidR="0021507E" w:rsidRDefault="0021507E"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Default="00447A8C" w:rsidP="00853709">
      <w:pPr>
        <w:spacing w:line="276" w:lineRule="auto"/>
        <w:jc w:val="both"/>
        <w:rPr>
          <w:rFonts w:ascii="Arial" w:hAnsi="Arial" w:cs="Arial"/>
          <w:b/>
          <w:sz w:val="22"/>
          <w:szCs w:val="22"/>
          <w:lang w:val="es-ES"/>
        </w:rPr>
      </w:pPr>
    </w:p>
    <w:p w:rsidR="00447A8C" w:rsidRPr="0043253A" w:rsidRDefault="00447A8C" w:rsidP="00853709">
      <w:pPr>
        <w:spacing w:line="276" w:lineRule="auto"/>
        <w:jc w:val="both"/>
        <w:rPr>
          <w:rFonts w:ascii="Arial" w:hAnsi="Arial" w:cs="Arial"/>
          <w:b/>
          <w:sz w:val="22"/>
          <w:szCs w:val="22"/>
          <w:lang w:val="es-ES"/>
        </w:rPr>
      </w:pPr>
    </w:p>
    <w:p w:rsidR="00853709" w:rsidRPr="0043253A" w:rsidRDefault="00853709" w:rsidP="0085370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Tabla 6. </w:t>
      </w:r>
      <w:r w:rsidRPr="0043253A">
        <w:rPr>
          <w:rFonts w:ascii="Arial" w:hAnsi="Arial" w:cs="Arial"/>
          <w:i w:val="0"/>
          <w:color w:val="000000" w:themeColor="text1"/>
          <w:sz w:val="22"/>
          <w:szCs w:val="22"/>
        </w:rPr>
        <w:t>Escenario 2020 importados según ley 1816 vs propuesta</w:t>
      </w:r>
    </w:p>
    <w:tbl>
      <w:tblPr>
        <w:tblStyle w:val="Tablaconcuadrcula"/>
        <w:tblW w:w="0" w:type="auto"/>
        <w:tblLook w:val="04A0" w:firstRow="1" w:lastRow="0" w:firstColumn="1" w:lastColumn="0" w:noHBand="0" w:noVBand="1"/>
      </w:tblPr>
      <w:tblGrid>
        <w:gridCol w:w="3098"/>
        <w:gridCol w:w="1268"/>
        <w:gridCol w:w="1232"/>
        <w:gridCol w:w="953"/>
        <w:gridCol w:w="1693"/>
        <w:gridCol w:w="584"/>
      </w:tblGrid>
      <w:tr w:rsidR="00853709" w:rsidRPr="0043253A" w:rsidTr="001F5062">
        <w:trPr>
          <w:trHeight w:val="280"/>
        </w:trPr>
        <w:tc>
          <w:tcPr>
            <w:tcW w:w="0" w:type="auto"/>
            <w:vMerge w:val="restart"/>
            <w:shd w:val="clear" w:color="auto" w:fill="BDD6EE" w:themeFill="accent5" w:themeFillTint="66"/>
            <w:vAlign w:val="center"/>
            <w:hideMark/>
          </w:tcPr>
          <w:p w:rsidR="00853709" w:rsidRPr="0043253A" w:rsidRDefault="00853709" w:rsidP="001F5062">
            <w:pPr>
              <w:jc w:val="center"/>
              <w:rPr>
                <w:rFonts w:ascii="Arial" w:hAnsi="Arial" w:cs="Arial"/>
                <w:b/>
                <w:bCs/>
                <w:color w:val="000000"/>
                <w:sz w:val="22"/>
                <w:szCs w:val="22"/>
              </w:rPr>
            </w:pPr>
            <w:r w:rsidRPr="0043253A">
              <w:rPr>
                <w:rFonts w:ascii="Arial" w:hAnsi="Arial" w:cs="Arial"/>
                <w:b/>
                <w:bCs/>
                <w:color w:val="000000"/>
                <w:sz w:val="22"/>
                <w:szCs w:val="22"/>
              </w:rPr>
              <w:t>SUPUESTOS</w:t>
            </w:r>
            <w:r w:rsidRPr="0043253A">
              <w:rPr>
                <w:rFonts w:ascii="Arial" w:hAnsi="Arial" w:cs="Arial"/>
                <w:b/>
                <w:bCs/>
                <w:color w:val="000000"/>
                <w:sz w:val="22"/>
                <w:szCs w:val="22"/>
              </w:rPr>
              <w:br/>
              <w:t>Proyectado 2020. (IPC 3,4%)</w:t>
            </w:r>
          </w:p>
        </w:tc>
        <w:tc>
          <w:tcPr>
            <w:tcW w:w="2500" w:type="dxa"/>
            <w:gridSpan w:val="2"/>
            <w:shd w:val="clear" w:color="auto" w:fill="BDD6EE" w:themeFill="accent5" w:themeFillTint="66"/>
            <w:noWrap/>
            <w:vAlign w:val="center"/>
            <w:hideMark/>
          </w:tcPr>
          <w:p w:rsidR="00853709" w:rsidRPr="0043253A" w:rsidRDefault="00853709" w:rsidP="001F5062">
            <w:pPr>
              <w:jc w:val="center"/>
              <w:rPr>
                <w:rFonts w:ascii="Arial" w:hAnsi="Arial" w:cs="Arial"/>
                <w:b/>
                <w:bCs/>
                <w:color w:val="000000"/>
                <w:sz w:val="22"/>
                <w:szCs w:val="22"/>
              </w:rPr>
            </w:pPr>
            <w:r w:rsidRPr="0043253A">
              <w:rPr>
                <w:rFonts w:ascii="Arial" w:hAnsi="Arial" w:cs="Arial"/>
                <w:b/>
                <w:bCs/>
                <w:color w:val="000000"/>
                <w:sz w:val="22"/>
                <w:szCs w:val="22"/>
              </w:rPr>
              <w:t>Impuestos Ley 1816</w:t>
            </w:r>
          </w:p>
        </w:tc>
        <w:tc>
          <w:tcPr>
            <w:tcW w:w="953" w:type="dxa"/>
            <w:shd w:val="clear" w:color="auto" w:fill="BDD6EE" w:themeFill="accent5" w:themeFillTint="66"/>
            <w:noWrap/>
            <w:vAlign w:val="center"/>
            <w:hideMark/>
          </w:tcPr>
          <w:p w:rsidR="00853709" w:rsidRPr="0043253A" w:rsidRDefault="00853709" w:rsidP="001F5062">
            <w:pPr>
              <w:jc w:val="center"/>
              <w:rPr>
                <w:rFonts w:ascii="Arial" w:hAnsi="Arial" w:cs="Arial"/>
                <w:b/>
                <w:bCs/>
                <w:color w:val="000000"/>
                <w:sz w:val="22"/>
                <w:szCs w:val="22"/>
              </w:rPr>
            </w:pPr>
            <w:r w:rsidRPr="0043253A">
              <w:rPr>
                <w:rFonts w:ascii="Arial" w:hAnsi="Arial" w:cs="Arial"/>
                <w:b/>
                <w:bCs/>
                <w:color w:val="000000"/>
                <w:sz w:val="22"/>
                <w:szCs w:val="22"/>
              </w:rPr>
              <w:t>IPC 2020</w:t>
            </w:r>
          </w:p>
        </w:tc>
        <w:tc>
          <w:tcPr>
            <w:tcW w:w="0" w:type="auto"/>
            <w:gridSpan w:val="2"/>
            <w:shd w:val="clear" w:color="auto" w:fill="BDD6EE" w:themeFill="accent5" w:themeFillTint="66"/>
            <w:noWrap/>
            <w:vAlign w:val="center"/>
            <w:hideMark/>
          </w:tcPr>
          <w:p w:rsidR="00853709" w:rsidRPr="0043253A" w:rsidRDefault="00853709" w:rsidP="001F5062">
            <w:pPr>
              <w:jc w:val="center"/>
              <w:rPr>
                <w:rFonts w:ascii="Arial" w:hAnsi="Arial" w:cs="Arial"/>
                <w:b/>
                <w:bCs/>
                <w:color w:val="000000"/>
                <w:sz w:val="22"/>
                <w:szCs w:val="22"/>
              </w:rPr>
            </w:pPr>
            <w:r w:rsidRPr="0043253A">
              <w:rPr>
                <w:rFonts w:ascii="Arial" w:hAnsi="Arial" w:cs="Arial"/>
                <w:b/>
                <w:bCs/>
                <w:color w:val="000000"/>
                <w:sz w:val="22"/>
                <w:szCs w:val="22"/>
              </w:rPr>
              <w:t>Proyecto</w:t>
            </w:r>
          </w:p>
        </w:tc>
      </w:tr>
      <w:tr w:rsidR="00853709" w:rsidRPr="0043253A" w:rsidTr="001F5062">
        <w:trPr>
          <w:trHeight w:val="260"/>
        </w:trPr>
        <w:tc>
          <w:tcPr>
            <w:tcW w:w="0" w:type="auto"/>
            <w:vMerge/>
            <w:vAlign w:val="center"/>
            <w:hideMark/>
          </w:tcPr>
          <w:p w:rsidR="00853709" w:rsidRPr="0043253A" w:rsidRDefault="00853709" w:rsidP="001F5062">
            <w:pPr>
              <w:jc w:val="center"/>
              <w:rPr>
                <w:rFonts w:ascii="Arial" w:hAnsi="Arial" w:cs="Arial"/>
                <w:b/>
                <w:bCs/>
                <w:color w:val="000000"/>
                <w:sz w:val="22"/>
                <w:szCs w:val="22"/>
              </w:rPr>
            </w:pPr>
          </w:p>
        </w:tc>
        <w:tc>
          <w:tcPr>
            <w:tcW w:w="1268" w:type="dxa"/>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Específico</w:t>
            </w:r>
          </w:p>
        </w:tc>
        <w:tc>
          <w:tcPr>
            <w:tcW w:w="1232" w:type="dxa"/>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244</w:t>
            </w:r>
          </w:p>
        </w:tc>
        <w:tc>
          <w:tcPr>
            <w:tcW w:w="953" w:type="dxa"/>
            <w:vMerge w:val="restart"/>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3,4%</w:t>
            </w:r>
          </w:p>
        </w:tc>
        <w:tc>
          <w:tcPr>
            <w:tcW w:w="0" w:type="auto"/>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Específico&lt;35°</w:t>
            </w:r>
          </w:p>
        </w:tc>
        <w:tc>
          <w:tcPr>
            <w:tcW w:w="0" w:type="auto"/>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395</w:t>
            </w:r>
          </w:p>
        </w:tc>
      </w:tr>
      <w:tr w:rsidR="00853709" w:rsidRPr="0043253A" w:rsidTr="001F5062">
        <w:trPr>
          <w:trHeight w:val="280"/>
        </w:trPr>
        <w:tc>
          <w:tcPr>
            <w:tcW w:w="0" w:type="auto"/>
            <w:vMerge/>
            <w:vAlign w:val="center"/>
            <w:hideMark/>
          </w:tcPr>
          <w:p w:rsidR="00853709" w:rsidRPr="0043253A" w:rsidRDefault="00853709" w:rsidP="001F5062">
            <w:pPr>
              <w:jc w:val="center"/>
              <w:rPr>
                <w:rFonts w:ascii="Arial" w:hAnsi="Arial" w:cs="Arial"/>
                <w:b/>
                <w:bCs/>
                <w:color w:val="000000"/>
                <w:sz w:val="22"/>
                <w:szCs w:val="22"/>
              </w:rPr>
            </w:pPr>
          </w:p>
        </w:tc>
        <w:tc>
          <w:tcPr>
            <w:tcW w:w="1268" w:type="dxa"/>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Advalorem</w:t>
            </w:r>
          </w:p>
        </w:tc>
        <w:tc>
          <w:tcPr>
            <w:tcW w:w="1232" w:type="dxa"/>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25%</w:t>
            </w:r>
          </w:p>
        </w:tc>
        <w:tc>
          <w:tcPr>
            <w:tcW w:w="953" w:type="dxa"/>
            <w:vMerge/>
            <w:vAlign w:val="center"/>
            <w:hideMark/>
          </w:tcPr>
          <w:p w:rsidR="00853709" w:rsidRPr="0043253A" w:rsidRDefault="00853709" w:rsidP="001F5062">
            <w:pPr>
              <w:jc w:val="center"/>
              <w:rPr>
                <w:rFonts w:ascii="Arial" w:hAnsi="Arial" w:cs="Arial"/>
                <w:color w:val="000000"/>
                <w:sz w:val="22"/>
                <w:szCs w:val="22"/>
              </w:rPr>
            </w:pPr>
          </w:p>
        </w:tc>
        <w:tc>
          <w:tcPr>
            <w:tcW w:w="0" w:type="auto"/>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Específico&gt;35°</w:t>
            </w:r>
          </w:p>
        </w:tc>
        <w:tc>
          <w:tcPr>
            <w:tcW w:w="0" w:type="auto"/>
            <w:noWrap/>
            <w:vAlign w:val="center"/>
            <w:hideMark/>
          </w:tcPr>
          <w:p w:rsidR="00853709" w:rsidRPr="0043253A" w:rsidRDefault="00853709" w:rsidP="001F5062">
            <w:pPr>
              <w:jc w:val="center"/>
              <w:rPr>
                <w:rFonts w:ascii="Arial" w:hAnsi="Arial" w:cs="Arial"/>
                <w:color w:val="000000"/>
                <w:sz w:val="22"/>
                <w:szCs w:val="22"/>
              </w:rPr>
            </w:pPr>
            <w:r w:rsidRPr="0043253A">
              <w:rPr>
                <w:rFonts w:ascii="Arial" w:hAnsi="Arial" w:cs="Arial"/>
                <w:color w:val="000000"/>
                <w:sz w:val="22"/>
                <w:szCs w:val="22"/>
              </w:rPr>
              <w:t>648</w:t>
            </w:r>
          </w:p>
        </w:tc>
      </w:tr>
    </w:tbl>
    <w:p w:rsidR="00853709" w:rsidRPr="0043253A" w:rsidRDefault="00853709" w:rsidP="00853709">
      <w:pPr>
        <w:spacing w:line="276" w:lineRule="auto"/>
        <w:jc w:val="both"/>
        <w:rPr>
          <w:rFonts w:ascii="Arial" w:hAnsi="Arial" w:cs="Arial"/>
          <w:b/>
          <w:sz w:val="22"/>
          <w:szCs w:val="22"/>
          <w:lang w:val="es-ES"/>
        </w:rPr>
      </w:pPr>
    </w:p>
    <w:p w:rsidR="001F5062" w:rsidRPr="0043253A" w:rsidRDefault="001F5062" w:rsidP="00853709">
      <w:pPr>
        <w:spacing w:line="276" w:lineRule="auto"/>
        <w:jc w:val="both"/>
        <w:rPr>
          <w:rFonts w:ascii="Arial" w:hAnsi="Arial" w:cs="Arial"/>
          <w:b/>
          <w:sz w:val="22"/>
          <w:szCs w:val="22"/>
          <w:lang w:val="es-ES"/>
        </w:rPr>
      </w:pPr>
    </w:p>
    <w:p w:rsidR="001F5062" w:rsidRPr="0043253A" w:rsidRDefault="001F5062" w:rsidP="00853709">
      <w:pPr>
        <w:spacing w:line="276" w:lineRule="auto"/>
        <w:jc w:val="both"/>
        <w:rPr>
          <w:rFonts w:ascii="Arial" w:hAnsi="Arial" w:cs="Arial"/>
          <w:b/>
          <w:sz w:val="22"/>
          <w:szCs w:val="22"/>
          <w:lang w:val="es-ES"/>
        </w:rPr>
      </w:pPr>
    </w:p>
    <w:tbl>
      <w:tblPr>
        <w:tblStyle w:val="Tablaconcuadrcula"/>
        <w:tblW w:w="9067" w:type="dxa"/>
        <w:jc w:val="center"/>
        <w:tblLook w:val="04A0" w:firstRow="1" w:lastRow="0" w:firstColumn="1" w:lastColumn="0" w:noHBand="0" w:noVBand="1"/>
      </w:tblPr>
      <w:tblGrid>
        <w:gridCol w:w="1961"/>
        <w:gridCol w:w="1182"/>
        <w:gridCol w:w="1940"/>
        <w:gridCol w:w="1406"/>
        <w:gridCol w:w="1586"/>
        <w:gridCol w:w="1129"/>
      </w:tblGrid>
      <w:tr w:rsidR="001F5062" w:rsidRPr="0043253A" w:rsidTr="001F5062">
        <w:trPr>
          <w:trHeight w:val="860"/>
          <w:jc w:val="center"/>
        </w:trPr>
        <w:tc>
          <w:tcPr>
            <w:tcW w:w="1961" w:type="dxa"/>
            <w:shd w:val="clear" w:color="auto" w:fill="BDD6EE" w:themeFill="accent5" w:themeFillTint="66"/>
            <w:vAlign w:val="center"/>
            <w:hideMark/>
          </w:tcPr>
          <w:p w:rsidR="001F5062" w:rsidRPr="0043253A" w:rsidRDefault="001F5062" w:rsidP="001F5062">
            <w:pPr>
              <w:jc w:val="center"/>
              <w:rPr>
                <w:rFonts w:ascii="Arial" w:hAnsi="Arial" w:cs="Arial"/>
                <w:b/>
                <w:bCs/>
                <w:color w:val="000000"/>
                <w:sz w:val="22"/>
                <w:szCs w:val="22"/>
              </w:rPr>
            </w:pPr>
            <w:r w:rsidRPr="0043253A">
              <w:rPr>
                <w:rFonts w:ascii="Arial" w:hAnsi="Arial" w:cs="Arial"/>
                <w:b/>
                <w:bCs/>
                <w:color w:val="000000"/>
                <w:sz w:val="22"/>
                <w:szCs w:val="22"/>
              </w:rPr>
              <w:t>NOMBRE BEBIDA ALCOHÓLICA</w:t>
            </w:r>
          </w:p>
        </w:tc>
        <w:tc>
          <w:tcPr>
            <w:tcW w:w="1149" w:type="dxa"/>
            <w:shd w:val="clear" w:color="auto" w:fill="BDD6EE" w:themeFill="accent5" w:themeFillTint="66"/>
            <w:vAlign w:val="center"/>
            <w:hideMark/>
          </w:tcPr>
          <w:p w:rsidR="001F5062" w:rsidRPr="0043253A" w:rsidRDefault="001F5062" w:rsidP="001F5062">
            <w:pPr>
              <w:jc w:val="center"/>
              <w:rPr>
                <w:rFonts w:ascii="Arial" w:hAnsi="Arial" w:cs="Arial"/>
                <w:b/>
                <w:bCs/>
                <w:color w:val="000000"/>
                <w:sz w:val="22"/>
                <w:szCs w:val="22"/>
              </w:rPr>
            </w:pPr>
            <w:r w:rsidRPr="0043253A">
              <w:rPr>
                <w:rFonts w:ascii="Arial" w:hAnsi="Arial" w:cs="Arial"/>
                <w:b/>
                <w:bCs/>
                <w:color w:val="000000"/>
                <w:sz w:val="22"/>
                <w:szCs w:val="22"/>
              </w:rPr>
              <w:t>GRADOS</w:t>
            </w:r>
          </w:p>
        </w:tc>
        <w:tc>
          <w:tcPr>
            <w:tcW w:w="1882" w:type="dxa"/>
            <w:shd w:val="clear" w:color="auto" w:fill="BDD6EE" w:themeFill="accent5" w:themeFillTint="66"/>
            <w:vAlign w:val="center"/>
            <w:hideMark/>
          </w:tcPr>
          <w:p w:rsidR="001F5062" w:rsidRPr="0043253A" w:rsidRDefault="001F5062" w:rsidP="001F5062">
            <w:pPr>
              <w:jc w:val="center"/>
              <w:rPr>
                <w:rFonts w:ascii="Arial" w:hAnsi="Arial" w:cs="Arial"/>
                <w:b/>
                <w:bCs/>
                <w:color w:val="000000"/>
                <w:sz w:val="22"/>
                <w:szCs w:val="22"/>
              </w:rPr>
            </w:pPr>
            <w:r w:rsidRPr="0043253A">
              <w:rPr>
                <w:rFonts w:ascii="Arial" w:hAnsi="Arial" w:cs="Arial"/>
                <w:b/>
                <w:bCs/>
                <w:color w:val="000000"/>
                <w:sz w:val="22"/>
                <w:szCs w:val="22"/>
              </w:rPr>
              <w:t>VALOR CERTIFICACIÓN</w:t>
            </w:r>
            <w:r w:rsidRPr="0043253A">
              <w:rPr>
                <w:rFonts w:ascii="Arial" w:hAnsi="Arial" w:cs="Arial"/>
                <w:b/>
                <w:bCs/>
                <w:color w:val="000000"/>
                <w:sz w:val="22"/>
                <w:szCs w:val="22"/>
              </w:rPr>
              <w:br/>
              <w:t>DANE 2020</w:t>
            </w:r>
          </w:p>
        </w:tc>
        <w:tc>
          <w:tcPr>
            <w:tcW w:w="1406" w:type="dxa"/>
            <w:shd w:val="clear" w:color="auto" w:fill="BDD6EE" w:themeFill="accent5" w:themeFillTint="66"/>
            <w:vAlign w:val="center"/>
            <w:hideMark/>
          </w:tcPr>
          <w:p w:rsidR="001F5062" w:rsidRPr="0043253A" w:rsidRDefault="001F5062" w:rsidP="001F5062">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LEY 1816</w:t>
            </w:r>
            <w:r w:rsidRPr="0043253A">
              <w:rPr>
                <w:rFonts w:ascii="Arial" w:hAnsi="Arial" w:cs="Arial"/>
                <w:b/>
                <w:bCs/>
                <w:color w:val="000000"/>
                <w:sz w:val="22"/>
                <w:szCs w:val="22"/>
              </w:rPr>
              <w:br/>
              <w:t>2020</w:t>
            </w:r>
          </w:p>
        </w:tc>
        <w:tc>
          <w:tcPr>
            <w:tcW w:w="1540" w:type="dxa"/>
            <w:shd w:val="clear" w:color="auto" w:fill="BDD6EE" w:themeFill="accent5" w:themeFillTint="66"/>
            <w:vAlign w:val="center"/>
            <w:hideMark/>
          </w:tcPr>
          <w:p w:rsidR="001F5062" w:rsidRPr="0043253A" w:rsidRDefault="001F5062" w:rsidP="001F5062">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PROPUESTA</w:t>
            </w:r>
          </w:p>
        </w:tc>
        <w:tc>
          <w:tcPr>
            <w:tcW w:w="1129" w:type="dxa"/>
            <w:shd w:val="clear" w:color="auto" w:fill="BDD6EE" w:themeFill="accent5" w:themeFillTint="66"/>
            <w:vAlign w:val="center"/>
            <w:hideMark/>
          </w:tcPr>
          <w:p w:rsidR="001F5062" w:rsidRPr="0043253A" w:rsidRDefault="001F5062" w:rsidP="001F5062">
            <w:pPr>
              <w:jc w:val="center"/>
              <w:rPr>
                <w:rFonts w:ascii="Arial" w:hAnsi="Arial" w:cs="Arial"/>
                <w:b/>
                <w:bCs/>
                <w:color w:val="000000"/>
                <w:sz w:val="22"/>
                <w:szCs w:val="22"/>
              </w:rPr>
            </w:pPr>
            <w:r w:rsidRPr="0043253A">
              <w:rPr>
                <w:rFonts w:ascii="Arial" w:hAnsi="Arial" w:cs="Arial"/>
                <w:b/>
                <w:bCs/>
                <w:color w:val="000000"/>
                <w:sz w:val="22"/>
                <w:szCs w:val="22"/>
              </w:rPr>
              <w:t>VAR%</w:t>
            </w:r>
            <w:r w:rsidRPr="0043253A">
              <w:rPr>
                <w:rFonts w:ascii="Arial" w:hAnsi="Arial" w:cs="Arial"/>
                <w:b/>
                <w:bCs/>
                <w:color w:val="000000"/>
                <w:sz w:val="22"/>
                <w:szCs w:val="22"/>
              </w:rPr>
              <w:br/>
              <w:t>LEY 1816</w:t>
            </w:r>
            <w:r w:rsidRPr="0043253A">
              <w:rPr>
                <w:rFonts w:ascii="Arial" w:hAnsi="Arial" w:cs="Arial"/>
                <w:b/>
                <w:bCs/>
                <w:color w:val="000000"/>
                <w:sz w:val="22"/>
                <w:szCs w:val="22"/>
              </w:rPr>
              <w:br/>
              <w:t>PND</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Reposado Jose Cuervo Tradicional</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79.665</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28.457</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-51,4%</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Reposado 100% De Agave Reserva De Don Julio</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38</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110.223</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36.829</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24.624</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-33,1%</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Blanco 100 % De Agave  Patron</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139.222</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44.566</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-41,8%</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Plata Jose Cuervo Especial</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38</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50.775</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21.967</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24.624</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12,1%</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Plata Jose Cuervo Especial</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38</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80.901</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29.498</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24.624</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-16,5%</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El Jimador Reposado 100% De Agave</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35</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77.654</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27.954</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13.825</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-50,5%</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Tequila Herradura Plata 100 % De Agave</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121.324</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40.092</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-35,3%</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Whiskey Jack Daniel'S Tennessee</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84.909</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30.988</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-16,4%</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Buchanan'S Red Seal Blended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410.287</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112.333</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-76,9%</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Chivas Regal 12 Year Old Blended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80.028</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29.768</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-12,9%</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Passport Blended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28.583</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16.907</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53,3%</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Something Special Blended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41.682</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20.182</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28,4%</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Chivas Regal 18 Years Old Blended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177.616</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54.165</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-52,1%</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Old Parr Superior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152.411</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47.864</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-45,8%</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Old Parr 12 Y/O Deluxe Scotch Whisky</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89.436</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32.120</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-19,3%</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Whisky Escoces Black And White 40%</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30.119</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17.291</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49,9%</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Vodka Ciroc</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97.443</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34.122</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-24,0%</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Absolut Country Of Sweden Vodka</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51.925</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22.742</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14,0%</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Absolut Mandrin</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55.058</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23.525</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10,2%</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Absolut Country Of Sweden Citron</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56.223</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23.817</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8,8%</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Smirnoff Red Label Vodka</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52.490</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22.884</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13,3%</w:t>
            </w:r>
          </w:p>
        </w:tc>
      </w:tr>
      <w:tr w:rsidR="001F5062" w:rsidRPr="0043253A" w:rsidTr="001F5062">
        <w:trPr>
          <w:trHeight w:val="26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Licor De Vodka Smirnoff X1 Sabor A Lulo</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25.927</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12.582</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9.875</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-21,5%</w:t>
            </w:r>
          </w:p>
        </w:tc>
      </w:tr>
      <w:tr w:rsidR="001F5062" w:rsidRPr="0043253A" w:rsidTr="001F5062">
        <w:trPr>
          <w:trHeight w:val="280"/>
          <w:jc w:val="center"/>
        </w:trPr>
        <w:tc>
          <w:tcPr>
            <w:tcW w:w="1961"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Ginebra Beefeater 24 London Dry Gin</w:t>
            </w:r>
          </w:p>
        </w:tc>
        <w:tc>
          <w:tcPr>
            <w:tcW w:w="114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w:t>
            </w:r>
          </w:p>
        </w:tc>
        <w:tc>
          <w:tcPr>
            <w:tcW w:w="1882"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124.079</w:t>
            </w:r>
          </w:p>
        </w:tc>
        <w:tc>
          <w:tcPr>
            <w:tcW w:w="1406"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40.781</w:t>
            </w:r>
          </w:p>
        </w:tc>
        <w:tc>
          <w:tcPr>
            <w:tcW w:w="1540"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25.920</w:t>
            </w:r>
          </w:p>
        </w:tc>
        <w:tc>
          <w:tcPr>
            <w:tcW w:w="1129" w:type="dxa"/>
            <w:noWrap/>
            <w:vAlign w:val="center"/>
            <w:hideMark/>
          </w:tcPr>
          <w:p w:rsidR="001F5062" w:rsidRPr="0043253A" w:rsidRDefault="001F5062" w:rsidP="001F5062">
            <w:pPr>
              <w:jc w:val="center"/>
              <w:rPr>
                <w:rFonts w:ascii="Arial" w:hAnsi="Arial" w:cs="Arial"/>
                <w:color w:val="000000"/>
                <w:sz w:val="22"/>
                <w:szCs w:val="22"/>
              </w:rPr>
            </w:pPr>
            <w:r w:rsidRPr="0043253A">
              <w:rPr>
                <w:rFonts w:ascii="Arial" w:hAnsi="Arial" w:cs="Arial"/>
                <w:color w:val="000000"/>
                <w:sz w:val="22"/>
                <w:szCs w:val="22"/>
              </w:rPr>
              <w:t>-36,4%</w:t>
            </w:r>
          </w:p>
        </w:tc>
      </w:tr>
    </w:tbl>
    <w:p w:rsidR="001F5062" w:rsidRPr="0043253A" w:rsidRDefault="001F5062" w:rsidP="001F5062">
      <w:pPr>
        <w:spacing w:line="276" w:lineRule="auto"/>
        <w:jc w:val="both"/>
        <w:rPr>
          <w:rFonts w:ascii="Arial" w:hAnsi="Arial" w:cs="Arial"/>
          <w:b/>
          <w:sz w:val="22"/>
          <w:szCs w:val="22"/>
          <w:lang w:val="es-ES"/>
        </w:rPr>
      </w:pPr>
    </w:p>
    <w:p w:rsidR="00853709" w:rsidRPr="0043253A" w:rsidRDefault="00853709" w:rsidP="001F5062">
      <w:pPr>
        <w:spacing w:line="276" w:lineRule="auto"/>
        <w:jc w:val="both"/>
        <w:rPr>
          <w:rFonts w:ascii="Arial" w:hAnsi="Arial" w:cs="Arial"/>
          <w:sz w:val="22"/>
          <w:szCs w:val="22"/>
          <w:lang w:val="es-ES"/>
        </w:rPr>
      </w:pPr>
      <w:r w:rsidRPr="0043253A">
        <w:rPr>
          <w:rFonts w:ascii="Arial" w:hAnsi="Arial" w:cs="Arial"/>
          <w:sz w:val="22"/>
          <w:szCs w:val="22"/>
          <w:lang w:val="es-ES"/>
        </w:rPr>
        <w:t>Si bien se observa una reducción general del valor del impuesto por producto, debe tenerse en cuenta que: i) los PVP certificados por el DANE para la vigencia 2019, que se tomó como base para el cálculo a 2020, tuvo un incremento considerable; ii) la certificación de PVP que expide el DANE ha tenido comportamientos disimiles en las tres vigencias en las que ha operado, por lo que es difícil proyectar o pronosticar su comportamiento para la vigencia 2020; iii) los PVP certificados por el DANE para 2019 aumentó considerablemente la carga impositiva de los licores, vinos, aperitivos y similares, por lo que se genera un fuerte incentivo para el contrabando.</w:t>
      </w:r>
    </w:p>
    <w:p w:rsidR="001F5062" w:rsidRPr="0043253A" w:rsidRDefault="001F5062" w:rsidP="001F5062">
      <w:pPr>
        <w:spacing w:line="276" w:lineRule="auto"/>
        <w:jc w:val="both"/>
        <w:rPr>
          <w:rFonts w:ascii="Arial" w:hAnsi="Arial" w:cs="Arial"/>
          <w:b/>
          <w:sz w:val="22"/>
          <w:szCs w:val="22"/>
          <w:lang w:val="es-ES"/>
        </w:rPr>
      </w:pPr>
    </w:p>
    <w:p w:rsidR="00853709" w:rsidRPr="0043253A" w:rsidRDefault="00853709" w:rsidP="001F5062">
      <w:pPr>
        <w:spacing w:line="276" w:lineRule="auto"/>
        <w:jc w:val="both"/>
        <w:rPr>
          <w:rFonts w:ascii="Arial" w:hAnsi="Arial" w:cs="Arial"/>
          <w:sz w:val="22"/>
          <w:szCs w:val="22"/>
          <w:lang w:val="es-ES"/>
        </w:rPr>
      </w:pPr>
      <w:r w:rsidRPr="0043253A">
        <w:rPr>
          <w:rFonts w:ascii="Arial" w:hAnsi="Arial" w:cs="Arial"/>
          <w:sz w:val="22"/>
          <w:szCs w:val="22"/>
          <w:lang w:val="es-ES"/>
        </w:rPr>
        <w:t>Existen diferentes estudios que ilustran el impacto que tiene la carga impositiva en el nivel de contrabando, por lo que se cita el estudio elaborado por la firma NIELSEN en el año 2015, donde expone el nivel de contrabando comparado con aumento en precio de la carga impositiva de impuesto al consumo de cigarrillo y el estudio desarrollado por INVAMER y COLTABACO donde se ilustra la relación existente entre carga impositiva y contrabando:</w:t>
      </w:r>
    </w:p>
    <w:p w:rsidR="00853709" w:rsidRPr="0043253A" w:rsidRDefault="00853709" w:rsidP="00853709">
      <w:pPr>
        <w:spacing w:line="276" w:lineRule="auto"/>
        <w:jc w:val="both"/>
        <w:rPr>
          <w:rFonts w:ascii="Arial" w:hAnsi="Arial" w:cs="Arial"/>
          <w:b/>
          <w:sz w:val="22"/>
          <w:szCs w:val="22"/>
          <w:lang w:val="es-ES"/>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447A8C" w:rsidRDefault="00447A8C" w:rsidP="00853709">
      <w:pPr>
        <w:pStyle w:val="Descripcin"/>
        <w:jc w:val="center"/>
        <w:rPr>
          <w:rFonts w:ascii="Arial" w:hAnsi="Arial" w:cs="Arial"/>
          <w:b/>
          <w:i w:val="0"/>
          <w:color w:val="000000" w:themeColor="text1"/>
          <w:sz w:val="22"/>
          <w:szCs w:val="22"/>
        </w:rPr>
      </w:pPr>
    </w:p>
    <w:p w:rsidR="00853709" w:rsidRPr="0043253A" w:rsidRDefault="00853709" w:rsidP="0085370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Ilustración </w:t>
      </w:r>
      <w:r w:rsidRPr="0043253A">
        <w:rPr>
          <w:rFonts w:ascii="Arial" w:hAnsi="Arial" w:cs="Arial"/>
          <w:b/>
          <w:i w:val="0"/>
          <w:color w:val="000000" w:themeColor="text1"/>
          <w:sz w:val="22"/>
          <w:szCs w:val="22"/>
        </w:rPr>
        <w:fldChar w:fldCharType="begin"/>
      </w:r>
      <w:r w:rsidRPr="0043253A">
        <w:rPr>
          <w:rFonts w:ascii="Arial" w:hAnsi="Arial" w:cs="Arial"/>
          <w:b/>
          <w:i w:val="0"/>
          <w:color w:val="000000" w:themeColor="text1"/>
          <w:sz w:val="22"/>
          <w:szCs w:val="22"/>
        </w:rPr>
        <w:instrText xml:space="preserve"> SEQ Ilustración \* ARABIC </w:instrText>
      </w:r>
      <w:r w:rsidRPr="0043253A">
        <w:rPr>
          <w:rFonts w:ascii="Arial" w:hAnsi="Arial" w:cs="Arial"/>
          <w:b/>
          <w:i w:val="0"/>
          <w:color w:val="000000" w:themeColor="text1"/>
          <w:sz w:val="22"/>
          <w:szCs w:val="22"/>
        </w:rPr>
        <w:fldChar w:fldCharType="separate"/>
      </w:r>
      <w:r w:rsidR="008E73CC">
        <w:rPr>
          <w:rFonts w:ascii="Arial" w:hAnsi="Arial" w:cs="Arial"/>
          <w:b/>
          <w:i w:val="0"/>
          <w:noProof/>
          <w:color w:val="000000" w:themeColor="text1"/>
          <w:sz w:val="22"/>
          <w:szCs w:val="22"/>
        </w:rPr>
        <w:t>2</w:t>
      </w:r>
      <w:r w:rsidRPr="0043253A">
        <w:rPr>
          <w:rFonts w:ascii="Arial" w:hAnsi="Arial" w:cs="Arial"/>
          <w:b/>
          <w:i w:val="0"/>
          <w:color w:val="000000" w:themeColor="text1"/>
          <w:sz w:val="22"/>
          <w:szCs w:val="22"/>
        </w:rPr>
        <w:fldChar w:fldCharType="end"/>
      </w:r>
      <w:r w:rsidRPr="0043253A">
        <w:rPr>
          <w:rFonts w:ascii="Arial" w:hAnsi="Arial" w:cs="Arial"/>
          <w:b/>
          <w:i w:val="0"/>
          <w:color w:val="000000" w:themeColor="text1"/>
          <w:sz w:val="22"/>
          <w:szCs w:val="22"/>
        </w:rPr>
        <w:t xml:space="preserve">. </w:t>
      </w:r>
      <w:r w:rsidRPr="0043253A">
        <w:rPr>
          <w:rFonts w:ascii="Arial" w:hAnsi="Arial" w:cs="Arial"/>
          <w:i w:val="0"/>
          <w:color w:val="000000" w:themeColor="text1"/>
          <w:sz w:val="22"/>
          <w:szCs w:val="22"/>
        </w:rPr>
        <w:t>Aumento de impuestos vs contrabando</w:t>
      </w:r>
    </w:p>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noProof/>
          <w:sz w:val="22"/>
          <w:szCs w:val="22"/>
          <w:lang w:eastAsia="es-CO"/>
        </w:rPr>
        <w:drawing>
          <wp:inline distT="0" distB="0" distL="0" distR="0" wp14:anchorId="75F3BB3E" wp14:editId="2263299E">
            <wp:extent cx="4279107" cy="3191789"/>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19-03-18 a la(s) 9.55.03 a. m..pdf"/>
                    <pic:cNvPicPr/>
                  </pic:nvPicPr>
                  <pic:blipFill>
                    <a:blip r:embed="rId12">
                      <a:extLst>
                        <a:ext uri="{28A0092B-C50C-407E-A947-70E740481C1C}">
                          <a14:useLocalDpi xmlns:a14="http://schemas.microsoft.com/office/drawing/2010/main" val="0"/>
                        </a:ext>
                      </a:extLst>
                    </a:blip>
                    <a:stretch>
                      <a:fillRect/>
                    </a:stretch>
                  </pic:blipFill>
                  <pic:spPr>
                    <a:xfrm>
                      <a:off x="0" y="0"/>
                      <a:ext cx="4285457" cy="3196525"/>
                    </a:xfrm>
                    <a:prstGeom prst="rect">
                      <a:avLst/>
                    </a:prstGeom>
                  </pic:spPr>
                </pic:pic>
              </a:graphicData>
            </a:graphic>
          </wp:inline>
        </w:drawing>
      </w:r>
    </w:p>
    <w:p w:rsidR="00853709" w:rsidRPr="0043253A" w:rsidRDefault="00853709" w:rsidP="00853709">
      <w:pPr>
        <w:pStyle w:val="Descripcin"/>
        <w:jc w:val="center"/>
        <w:rPr>
          <w:rFonts w:ascii="Arial" w:hAnsi="Arial" w:cs="Arial"/>
          <w:b/>
          <w:i w:val="0"/>
          <w:color w:val="000000" w:themeColor="text1"/>
          <w:sz w:val="22"/>
          <w:szCs w:val="22"/>
        </w:rPr>
      </w:pPr>
    </w:p>
    <w:p w:rsidR="00853709" w:rsidRPr="0043253A" w:rsidRDefault="00853709" w:rsidP="00853709">
      <w:pPr>
        <w:spacing w:line="276" w:lineRule="auto"/>
        <w:jc w:val="both"/>
        <w:rPr>
          <w:rFonts w:ascii="Arial" w:hAnsi="Arial" w:cs="Arial"/>
          <w:sz w:val="22"/>
          <w:szCs w:val="22"/>
        </w:rPr>
      </w:pPr>
      <w:r w:rsidRPr="0043253A">
        <w:rPr>
          <w:rFonts w:ascii="Arial" w:hAnsi="Arial" w:cs="Arial"/>
          <w:sz w:val="22"/>
          <w:szCs w:val="22"/>
        </w:rPr>
        <w:t>La ilustración 2 muestra claramente que a partir del aumento de la carga impositiva para los cigarrillos, el contrabando creció considerablemente. Por tratarse de un mercado y productos que tienen comportamientos similares, se afirma que el aumento impositivo en licores tiene igual impacto.</w:t>
      </w:r>
    </w:p>
    <w:p w:rsidR="001F5062" w:rsidRPr="0043253A" w:rsidRDefault="001F5062" w:rsidP="00853709">
      <w:pPr>
        <w:spacing w:line="276" w:lineRule="auto"/>
        <w:jc w:val="both"/>
        <w:rPr>
          <w:rFonts w:ascii="Arial" w:hAnsi="Arial" w:cs="Arial"/>
          <w:sz w:val="22"/>
          <w:szCs w:val="22"/>
        </w:rPr>
      </w:pPr>
    </w:p>
    <w:p w:rsidR="00853709" w:rsidRPr="0043253A" w:rsidRDefault="00853709" w:rsidP="00853709">
      <w:pPr>
        <w:jc w:val="both"/>
        <w:rPr>
          <w:rFonts w:ascii="Arial" w:hAnsi="Arial" w:cs="Arial"/>
          <w:sz w:val="22"/>
          <w:szCs w:val="22"/>
        </w:rPr>
      </w:pPr>
    </w:p>
    <w:p w:rsidR="00853709" w:rsidRPr="0043253A" w:rsidRDefault="00853709" w:rsidP="0085370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Ilustración </w:t>
      </w:r>
      <w:r w:rsidRPr="0043253A">
        <w:rPr>
          <w:rFonts w:ascii="Arial" w:hAnsi="Arial" w:cs="Arial"/>
          <w:b/>
          <w:i w:val="0"/>
          <w:color w:val="000000" w:themeColor="text1"/>
          <w:sz w:val="22"/>
          <w:szCs w:val="22"/>
        </w:rPr>
        <w:fldChar w:fldCharType="begin"/>
      </w:r>
      <w:r w:rsidRPr="0043253A">
        <w:rPr>
          <w:rFonts w:ascii="Arial" w:hAnsi="Arial" w:cs="Arial"/>
          <w:b/>
          <w:i w:val="0"/>
          <w:color w:val="000000" w:themeColor="text1"/>
          <w:sz w:val="22"/>
          <w:szCs w:val="22"/>
        </w:rPr>
        <w:instrText xml:space="preserve"> SEQ Ilustración \* ARABIC </w:instrText>
      </w:r>
      <w:r w:rsidRPr="0043253A">
        <w:rPr>
          <w:rFonts w:ascii="Arial" w:hAnsi="Arial" w:cs="Arial"/>
          <w:b/>
          <w:i w:val="0"/>
          <w:color w:val="000000" w:themeColor="text1"/>
          <w:sz w:val="22"/>
          <w:szCs w:val="22"/>
        </w:rPr>
        <w:fldChar w:fldCharType="separate"/>
      </w:r>
      <w:r w:rsidR="008E73CC">
        <w:rPr>
          <w:rFonts w:ascii="Arial" w:hAnsi="Arial" w:cs="Arial"/>
          <w:b/>
          <w:i w:val="0"/>
          <w:noProof/>
          <w:color w:val="000000" w:themeColor="text1"/>
          <w:sz w:val="22"/>
          <w:szCs w:val="22"/>
        </w:rPr>
        <w:t>3</w:t>
      </w:r>
      <w:r w:rsidRPr="0043253A">
        <w:rPr>
          <w:rFonts w:ascii="Arial" w:hAnsi="Arial" w:cs="Arial"/>
          <w:b/>
          <w:i w:val="0"/>
          <w:color w:val="000000" w:themeColor="text1"/>
          <w:sz w:val="22"/>
          <w:szCs w:val="22"/>
        </w:rPr>
        <w:fldChar w:fldCharType="end"/>
      </w:r>
      <w:r w:rsidRPr="0043253A">
        <w:rPr>
          <w:rFonts w:ascii="Arial" w:hAnsi="Arial" w:cs="Arial"/>
          <w:b/>
          <w:i w:val="0"/>
          <w:color w:val="000000" w:themeColor="text1"/>
          <w:sz w:val="22"/>
          <w:szCs w:val="22"/>
        </w:rPr>
        <w:t xml:space="preserve">. </w:t>
      </w:r>
      <w:r w:rsidRPr="0043253A">
        <w:rPr>
          <w:rFonts w:ascii="Arial" w:hAnsi="Arial" w:cs="Arial"/>
          <w:i w:val="0"/>
          <w:color w:val="000000" w:themeColor="text1"/>
          <w:sz w:val="22"/>
          <w:szCs w:val="22"/>
        </w:rPr>
        <w:t>Relación impuesto - contrabando</w:t>
      </w:r>
    </w:p>
    <w:p w:rsidR="00853709" w:rsidRPr="0043253A" w:rsidRDefault="00853709" w:rsidP="00853709">
      <w:pPr>
        <w:spacing w:line="276" w:lineRule="auto"/>
        <w:jc w:val="center"/>
        <w:rPr>
          <w:rFonts w:ascii="Arial" w:hAnsi="Arial" w:cs="Arial"/>
          <w:b/>
          <w:sz w:val="22"/>
          <w:szCs w:val="22"/>
          <w:lang w:val="es-ES"/>
        </w:rPr>
      </w:pPr>
      <w:r w:rsidRPr="0043253A">
        <w:rPr>
          <w:rFonts w:ascii="Arial" w:hAnsi="Arial" w:cs="Arial"/>
          <w:b/>
          <w:noProof/>
          <w:sz w:val="22"/>
          <w:szCs w:val="22"/>
          <w:lang w:eastAsia="es-CO"/>
        </w:rPr>
        <w:drawing>
          <wp:inline distT="0" distB="0" distL="0" distR="0" wp14:anchorId="5140620C" wp14:editId="2DFE436C">
            <wp:extent cx="3864769" cy="3284376"/>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03-18 a la(s) 9.55.58 a. m..pdf"/>
                    <pic:cNvPicPr/>
                  </pic:nvPicPr>
                  <pic:blipFill>
                    <a:blip r:embed="rId13">
                      <a:extLst>
                        <a:ext uri="{28A0092B-C50C-407E-A947-70E740481C1C}">
                          <a14:useLocalDpi xmlns:a14="http://schemas.microsoft.com/office/drawing/2010/main" val="0"/>
                        </a:ext>
                      </a:extLst>
                    </a:blip>
                    <a:stretch>
                      <a:fillRect/>
                    </a:stretch>
                  </pic:blipFill>
                  <pic:spPr>
                    <a:xfrm>
                      <a:off x="0" y="0"/>
                      <a:ext cx="3872985" cy="3291358"/>
                    </a:xfrm>
                    <a:prstGeom prst="rect">
                      <a:avLst/>
                    </a:prstGeom>
                  </pic:spPr>
                </pic:pic>
              </a:graphicData>
            </a:graphic>
          </wp:inline>
        </w:drawing>
      </w:r>
    </w:p>
    <w:p w:rsidR="00853709" w:rsidRPr="0043253A" w:rsidRDefault="00853709" w:rsidP="001F5062">
      <w:pPr>
        <w:spacing w:line="276" w:lineRule="auto"/>
        <w:jc w:val="both"/>
        <w:rPr>
          <w:rFonts w:ascii="Arial" w:hAnsi="Arial" w:cs="Arial"/>
          <w:sz w:val="22"/>
          <w:szCs w:val="22"/>
          <w:lang w:val="es-ES"/>
        </w:rPr>
      </w:pPr>
      <w:r w:rsidRPr="0043253A">
        <w:rPr>
          <w:rFonts w:ascii="Arial" w:hAnsi="Arial" w:cs="Arial"/>
          <w:sz w:val="22"/>
          <w:szCs w:val="22"/>
          <w:lang w:val="es-ES"/>
        </w:rPr>
        <w:t xml:space="preserve">Respecto al aumento impositivo se presenta una paradoja: el aumento de la carga fiscal se hace con el fin de obtener mayores recursos; empero, ello conlleva un efecto contrario, y es la disminución del recaudo por aumento del contrabando, tal como se observa en la ilustración 3. </w:t>
      </w:r>
    </w:p>
    <w:p w:rsidR="00140839" w:rsidRPr="0043253A" w:rsidRDefault="00140839" w:rsidP="001F5062">
      <w:pPr>
        <w:spacing w:line="276" w:lineRule="auto"/>
        <w:jc w:val="both"/>
        <w:rPr>
          <w:rFonts w:ascii="Arial" w:hAnsi="Arial" w:cs="Arial"/>
          <w:sz w:val="22"/>
          <w:szCs w:val="22"/>
          <w:lang w:val="es-ES"/>
        </w:rPr>
      </w:pPr>
    </w:p>
    <w:p w:rsidR="00140839" w:rsidRPr="0043253A" w:rsidRDefault="00140839" w:rsidP="001F5062">
      <w:pPr>
        <w:spacing w:line="276" w:lineRule="auto"/>
        <w:jc w:val="both"/>
        <w:rPr>
          <w:rFonts w:ascii="Arial" w:hAnsi="Arial" w:cs="Arial"/>
          <w:sz w:val="22"/>
          <w:szCs w:val="22"/>
          <w:lang w:val="es-ES"/>
        </w:rPr>
      </w:pPr>
    </w:p>
    <w:p w:rsidR="00140839" w:rsidRPr="0043253A" w:rsidRDefault="00140839" w:rsidP="001F5062">
      <w:pPr>
        <w:spacing w:line="276" w:lineRule="auto"/>
        <w:jc w:val="both"/>
        <w:rPr>
          <w:rFonts w:ascii="Arial" w:hAnsi="Arial" w:cs="Arial"/>
          <w:sz w:val="22"/>
          <w:szCs w:val="22"/>
          <w:lang w:val="es-ES"/>
        </w:rPr>
      </w:pPr>
    </w:p>
    <w:p w:rsidR="00853709" w:rsidRPr="0043253A" w:rsidRDefault="00853709" w:rsidP="0014083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Tabla 7. </w:t>
      </w:r>
      <w:r w:rsidRPr="0043253A">
        <w:rPr>
          <w:rFonts w:ascii="Arial" w:hAnsi="Arial" w:cs="Arial"/>
          <w:i w:val="0"/>
          <w:color w:val="000000" w:themeColor="text1"/>
          <w:sz w:val="22"/>
          <w:szCs w:val="22"/>
        </w:rPr>
        <w:t>Escenario 2020 nacionales según ley 1816 PVP 2018 indexado a 2020 vs propuesta.</w:t>
      </w:r>
    </w:p>
    <w:tbl>
      <w:tblPr>
        <w:tblStyle w:val="Tablaconcuadrcula"/>
        <w:tblW w:w="9493" w:type="dxa"/>
        <w:jc w:val="center"/>
        <w:tblLook w:val="04A0" w:firstRow="1" w:lastRow="0" w:firstColumn="1" w:lastColumn="0" w:noHBand="0" w:noVBand="1"/>
      </w:tblPr>
      <w:tblGrid>
        <w:gridCol w:w="2972"/>
        <w:gridCol w:w="1268"/>
        <w:gridCol w:w="1559"/>
        <w:gridCol w:w="1365"/>
        <w:gridCol w:w="1605"/>
        <w:gridCol w:w="1451"/>
      </w:tblGrid>
      <w:tr w:rsidR="00140839" w:rsidRPr="0043253A" w:rsidTr="0042398B">
        <w:trPr>
          <w:trHeight w:val="300"/>
          <w:jc w:val="center"/>
        </w:trPr>
        <w:tc>
          <w:tcPr>
            <w:tcW w:w="2972" w:type="dxa"/>
            <w:vMerge w:val="restart"/>
            <w:shd w:val="clear" w:color="auto" w:fill="DEEAF6" w:themeFill="accent5" w:themeFillTint="33"/>
            <w:hideMark/>
          </w:tcPr>
          <w:p w:rsidR="00140839" w:rsidRPr="0043253A" w:rsidRDefault="00140839" w:rsidP="00140839">
            <w:pPr>
              <w:jc w:val="center"/>
              <w:rPr>
                <w:rFonts w:ascii="Arial" w:hAnsi="Arial" w:cs="Arial"/>
                <w:b/>
                <w:bCs/>
                <w:color w:val="000000"/>
                <w:sz w:val="22"/>
                <w:szCs w:val="22"/>
              </w:rPr>
            </w:pPr>
            <w:r w:rsidRPr="0043253A">
              <w:rPr>
                <w:rFonts w:ascii="Arial" w:hAnsi="Arial" w:cs="Arial"/>
                <w:b/>
                <w:bCs/>
                <w:color w:val="000000"/>
                <w:sz w:val="22"/>
                <w:szCs w:val="22"/>
              </w:rPr>
              <w:t>SUPUESTOS</w:t>
            </w:r>
            <w:r w:rsidRPr="0043253A">
              <w:rPr>
                <w:rFonts w:ascii="Arial" w:hAnsi="Arial" w:cs="Arial"/>
                <w:b/>
                <w:bCs/>
                <w:color w:val="000000"/>
                <w:sz w:val="22"/>
                <w:szCs w:val="22"/>
              </w:rPr>
              <w:br/>
              <w:t xml:space="preserve">Proyectado </w:t>
            </w:r>
            <w:r w:rsidRPr="0043253A">
              <w:rPr>
                <w:rFonts w:ascii="Arial" w:hAnsi="Arial" w:cs="Arial"/>
                <w:b/>
                <w:bCs/>
                <w:color w:val="000000"/>
                <w:sz w:val="22"/>
                <w:szCs w:val="22"/>
              </w:rPr>
              <w:br/>
              <w:t>2018 (IPC 3,18%) 2019. (IPC 3,4%)</w:t>
            </w:r>
          </w:p>
        </w:tc>
        <w:tc>
          <w:tcPr>
            <w:tcW w:w="2693" w:type="dxa"/>
            <w:gridSpan w:val="2"/>
            <w:shd w:val="clear" w:color="auto" w:fill="DEEAF6" w:themeFill="accent5" w:themeFillTint="33"/>
            <w:noWrap/>
            <w:hideMark/>
          </w:tcPr>
          <w:p w:rsidR="00140839" w:rsidRPr="0043253A" w:rsidRDefault="00140839" w:rsidP="00140839">
            <w:pPr>
              <w:jc w:val="center"/>
              <w:rPr>
                <w:rFonts w:ascii="Arial" w:hAnsi="Arial" w:cs="Arial"/>
                <w:b/>
                <w:bCs/>
                <w:color w:val="000000"/>
                <w:sz w:val="22"/>
                <w:szCs w:val="22"/>
              </w:rPr>
            </w:pPr>
            <w:r w:rsidRPr="0043253A">
              <w:rPr>
                <w:rFonts w:ascii="Arial" w:hAnsi="Arial" w:cs="Arial"/>
                <w:b/>
                <w:bCs/>
                <w:color w:val="000000"/>
                <w:sz w:val="22"/>
                <w:szCs w:val="22"/>
              </w:rPr>
              <w:t>Impuestos Ley 1816</w:t>
            </w:r>
          </w:p>
        </w:tc>
        <w:tc>
          <w:tcPr>
            <w:tcW w:w="1276" w:type="dxa"/>
            <w:shd w:val="clear" w:color="auto" w:fill="DEEAF6" w:themeFill="accent5" w:themeFillTint="33"/>
            <w:noWrap/>
            <w:hideMark/>
          </w:tcPr>
          <w:p w:rsidR="00140839" w:rsidRPr="0043253A" w:rsidRDefault="00140839" w:rsidP="00140839">
            <w:pPr>
              <w:jc w:val="center"/>
              <w:rPr>
                <w:rFonts w:ascii="Arial" w:hAnsi="Arial" w:cs="Arial"/>
                <w:b/>
                <w:bCs/>
                <w:color w:val="000000"/>
                <w:sz w:val="22"/>
                <w:szCs w:val="22"/>
              </w:rPr>
            </w:pPr>
            <w:r w:rsidRPr="0043253A">
              <w:rPr>
                <w:rFonts w:ascii="Arial" w:hAnsi="Arial" w:cs="Arial"/>
                <w:b/>
                <w:bCs/>
                <w:color w:val="000000"/>
                <w:sz w:val="22"/>
                <w:szCs w:val="22"/>
              </w:rPr>
              <w:t>IPC 2020</w:t>
            </w:r>
          </w:p>
        </w:tc>
        <w:tc>
          <w:tcPr>
            <w:tcW w:w="2552" w:type="dxa"/>
            <w:gridSpan w:val="2"/>
            <w:shd w:val="clear" w:color="auto" w:fill="DEEAF6" w:themeFill="accent5" w:themeFillTint="33"/>
            <w:noWrap/>
            <w:hideMark/>
          </w:tcPr>
          <w:p w:rsidR="00140839" w:rsidRPr="0043253A" w:rsidRDefault="00140839" w:rsidP="00140839">
            <w:pPr>
              <w:jc w:val="center"/>
              <w:rPr>
                <w:rFonts w:ascii="Arial" w:hAnsi="Arial" w:cs="Arial"/>
                <w:b/>
                <w:bCs/>
                <w:color w:val="000000"/>
                <w:sz w:val="22"/>
                <w:szCs w:val="22"/>
              </w:rPr>
            </w:pPr>
            <w:r w:rsidRPr="0043253A">
              <w:rPr>
                <w:rFonts w:ascii="Arial" w:hAnsi="Arial" w:cs="Arial"/>
                <w:b/>
                <w:bCs/>
                <w:color w:val="000000"/>
                <w:sz w:val="22"/>
                <w:szCs w:val="22"/>
              </w:rPr>
              <w:t>Proyecto</w:t>
            </w:r>
          </w:p>
        </w:tc>
      </w:tr>
      <w:tr w:rsidR="0043253A" w:rsidRPr="0043253A" w:rsidTr="0042398B">
        <w:trPr>
          <w:trHeight w:val="340"/>
          <w:jc w:val="center"/>
        </w:trPr>
        <w:tc>
          <w:tcPr>
            <w:tcW w:w="2972" w:type="dxa"/>
            <w:vMerge/>
            <w:hideMark/>
          </w:tcPr>
          <w:p w:rsidR="00140839" w:rsidRPr="0043253A" w:rsidRDefault="00140839" w:rsidP="00140839">
            <w:pPr>
              <w:rPr>
                <w:rFonts w:ascii="Arial" w:hAnsi="Arial" w:cs="Arial"/>
                <w:b/>
                <w:bCs/>
                <w:color w:val="000000"/>
                <w:sz w:val="22"/>
                <w:szCs w:val="22"/>
              </w:rPr>
            </w:pPr>
          </w:p>
        </w:tc>
        <w:tc>
          <w:tcPr>
            <w:tcW w:w="1134"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Específico</w:t>
            </w:r>
          </w:p>
        </w:tc>
        <w:tc>
          <w:tcPr>
            <w:tcW w:w="1559" w:type="dxa"/>
            <w:noWrap/>
            <w:hideMark/>
          </w:tcPr>
          <w:p w:rsidR="00140839" w:rsidRPr="0043253A" w:rsidRDefault="00140839" w:rsidP="00140839">
            <w:pPr>
              <w:jc w:val="center"/>
              <w:rPr>
                <w:rFonts w:ascii="Arial" w:hAnsi="Arial" w:cs="Arial"/>
                <w:color w:val="000000"/>
                <w:sz w:val="22"/>
                <w:szCs w:val="22"/>
              </w:rPr>
            </w:pPr>
            <w:r w:rsidRPr="0043253A">
              <w:rPr>
                <w:rFonts w:ascii="Arial" w:hAnsi="Arial" w:cs="Arial"/>
                <w:color w:val="000000"/>
                <w:sz w:val="22"/>
                <w:szCs w:val="22"/>
              </w:rPr>
              <w:t>244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3,4%</w:t>
            </w:r>
          </w:p>
        </w:tc>
        <w:tc>
          <w:tcPr>
            <w:tcW w:w="1276"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Específico&lt;35</w:t>
            </w:r>
          </w:p>
        </w:tc>
        <w:tc>
          <w:tcPr>
            <w:tcW w:w="1276" w:type="dxa"/>
            <w:noWrap/>
            <w:hideMark/>
          </w:tcPr>
          <w:p w:rsidR="00140839" w:rsidRPr="0043253A" w:rsidRDefault="00140839" w:rsidP="00140839">
            <w:pPr>
              <w:jc w:val="center"/>
              <w:rPr>
                <w:rFonts w:ascii="Arial" w:hAnsi="Arial" w:cs="Arial"/>
                <w:color w:val="000000"/>
                <w:sz w:val="22"/>
                <w:szCs w:val="22"/>
              </w:rPr>
            </w:pPr>
            <w:r w:rsidRPr="0043253A">
              <w:rPr>
                <w:rFonts w:ascii="Arial" w:hAnsi="Arial" w:cs="Arial"/>
                <w:color w:val="000000"/>
                <w:sz w:val="22"/>
                <w:szCs w:val="22"/>
              </w:rPr>
              <w:t>395</w:t>
            </w:r>
          </w:p>
        </w:tc>
      </w:tr>
      <w:tr w:rsidR="0043253A" w:rsidRPr="0043253A" w:rsidTr="0042398B">
        <w:trPr>
          <w:trHeight w:val="280"/>
          <w:jc w:val="center"/>
        </w:trPr>
        <w:tc>
          <w:tcPr>
            <w:tcW w:w="2972" w:type="dxa"/>
            <w:vMerge/>
            <w:hideMark/>
          </w:tcPr>
          <w:p w:rsidR="00140839" w:rsidRPr="0043253A" w:rsidRDefault="00140839" w:rsidP="00140839">
            <w:pPr>
              <w:rPr>
                <w:rFonts w:ascii="Arial" w:hAnsi="Arial" w:cs="Arial"/>
                <w:b/>
                <w:bCs/>
                <w:color w:val="000000"/>
                <w:sz w:val="22"/>
                <w:szCs w:val="22"/>
              </w:rPr>
            </w:pPr>
          </w:p>
        </w:tc>
        <w:tc>
          <w:tcPr>
            <w:tcW w:w="1134"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Advalorem</w:t>
            </w:r>
          </w:p>
        </w:tc>
        <w:tc>
          <w:tcPr>
            <w:tcW w:w="1559" w:type="dxa"/>
            <w:noWrap/>
            <w:hideMark/>
          </w:tcPr>
          <w:p w:rsidR="00140839" w:rsidRPr="0043253A" w:rsidRDefault="00140839" w:rsidP="00140839">
            <w:pPr>
              <w:jc w:val="center"/>
              <w:rPr>
                <w:rFonts w:ascii="Arial" w:hAnsi="Arial" w:cs="Arial"/>
                <w:color w:val="000000"/>
                <w:sz w:val="22"/>
                <w:szCs w:val="22"/>
              </w:rPr>
            </w:pPr>
            <w:r w:rsidRPr="0043253A">
              <w:rPr>
                <w:rFonts w:ascii="Arial" w:hAnsi="Arial" w:cs="Arial"/>
                <w:color w:val="000000"/>
                <w:sz w:val="22"/>
                <w:szCs w:val="22"/>
              </w:rPr>
              <w:t>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3,18%</w:t>
            </w:r>
          </w:p>
        </w:tc>
        <w:tc>
          <w:tcPr>
            <w:tcW w:w="1276"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Específico&gt;35</w:t>
            </w:r>
          </w:p>
        </w:tc>
        <w:tc>
          <w:tcPr>
            <w:tcW w:w="1276" w:type="dxa"/>
            <w:noWrap/>
            <w:hideMark/>
          </w:tcPr>
          <w:p w:rsidR="00140839" w:rsidRPr="0043253A" w:rsidRDefault="00140839" w:rsidP="00140839">
            <w:pPr>
              <w:jc w:val="center"/>
              <w:rPr>
                <w:rFonts w:ascii="Arial" w:hAnsi="Arial" w:cs="Arial"/>
                <w:color w:val="000000"/>
                <w:sz w:val="22"/>
                <w:szCs w:val="22"/>
              </w:rPr>
            </w:pPr>
            <w:r w:rsidRPr="0043253A">
              <w:rPr>
                <w:rFonts w:ascii="Arial" w:hAnsi="Arial" w:cs="Arial"/>
                <w:color w:val="000000"/>
                <w:sz w:val="22"/>
                <w:szCs w:val="22"/>
              </w:rPr>
              <w:t xml:space="preserve">648 </w:t>
            </w:r>
          </w:p>
        </w:tc>
      </w:tr>
      <w:tr w:rsidR="0043253A" w:rsidRPr="0043253A" w:rsidTr="0042398B">
        <w:trPr>
          <w:trHeight w:val="280"/>
          <w:jc w:val="center"/>
        </w:trPr>
        <w:tc>
          <w:tcPr>
            <w:tcW w:w="2972" w:type="dxa"/>
            <w:noWrap/>
            <w:hideMark/>
          </w:tcPr>
          <w:p w:rsidR="00140839" w:rsidRPr="0043253A" w:rsidRDefault="00140839" w:rsidP="00140839">
            <w:pPr>
              <w:jc w:val="center"/>
              <w:rPr>
                <w:rFonts w:ascii="Arial" w:hAnsi="Arial" w:cs="Arial"/>
                <w:color w:val="000000"/>
                <w:sz w:val="22"/>
                <w:szCs w:val="22"/>
              </w:rPr>
            </w:pPr>
          </w:p>
        </w:tc>
        <w:tc>
          <w:tcPr>
            <w:tcW w:w="1134" w:type="dxa"/>
            <w:noWrap/>
            <w:hideMark/>
          </w:tcPr>
          <w:p w:rsidR="00140839" w:rsidRPr="0043253A" w:rsidRDefault="00140839" w:rsidP="00140839">
            <w:pPr>
              <w:rPr>
                <w:rFonts w:ascii="Arial" w:hAnsi="Arial" w:cs="Arial"/>
                <w:sz w:val="22"/>
                <w:szCs w:val="22"/>
              </w:rPr>
            </w:pPr>
          </w:p>
        </w:tc>
        <w:tc>
          <w:tcPr>
            <w:tcW w:w="1559" w:type="dxa"/>
            <w:noWrap/>
            <w:hideMark/>
          </w:tcPr>
          <w:p w:rsidR="00140839" w:rsidRPr="0043253A" w:rsidRDefault="00140839" w:rsidP="00140839">
            <w:pPr>
              <w:rPr>
                <w:rFonts w:ascii="Arial" w:hAnsi="Arial" w:cs="Arial"/>
                <w:sz w:val="22"/>
                <w:szCs w:val="22"/>
              </w:rPr>
            </w:pPr>
          </w:p>
        </w:tc>
        <w:tc>
          <w:tcPr>
            <w:tcW w:w="1276" w:type="dxa"/>
            <w:noWrap/>
            <w:hideMark/>
          </w:tcPr>
          <w:p w:rsidR="00140839" w:rsidRPr="0043253A" w:rsidRDefault="00140839" w:rsidP="00140839">
            <w:pPr>
              <w:rPr>
                <w:rFonts w:ascii="Arial" w:hAnsi="Arial" w:cs="Arial"/>
                <w:sz w:val="22"/>
                <w:szCs w:val="22"/>
              </w:rPr>
            </w:pPr>
          </w:p>
        </w:tc>
        <w:tc>
          <w:tcPr>
            <w:tcW w:w="1276" w:type="dxa"/>
            <w:noWrap/>
            <w:hideMark/>
          </w:tcPr>
          <w:p w:rsidR="00140839" w:rsidRPr="0043253A" w:rsidRDefault="00140839" w:rsidP="00140839">
            <w:pPr>
              <w:rPr>
                <w:rFonts w:ascii="Arial" w:hAnsi="Arial" w:cs="Arial"/>
                <w:sz w:val="22"/>
                <w:szCs w:val="22"/>
              </w:rPr>
            </w:pPr>
          </w:p>
        </w:tc>
        <w:tc>
          <w:tcPr>
            <w:tcW w:w="1276" w:type="dxa"/>
            <w:noWrap/>
            <w:hideMark/>
          </w:tcPr>
          <w:p w:rsidR="00140839" w:rsidRPr="0043253A" w:rsidRDefault="00140839" w:rsidP="00140839">
            <w:pPr>
              <w:rPr>
                <w:rFonts w:ascii="Arial" w:hAnsi="Arial" w:cs="Arial"/>
                <w:sz w:val="22"/>
                <w:szCs w:val="22"/>
              </w:rPr>
            </w:pPr>
          </w:p>
        </w:tc>
      </w:tr>
      <w:tr w:rsidR="0042398B" w:rsidRPr="0043253A" w:rsidTr="0042398B">
        <w:trPr>
          <w:trHeight w:val="1080"/>
          <w:jc w:val="center"/>
        </w:trPr>
        <w:tc>
          <w:tcPr>
            <w:tcW w:w="2972" w:type="dxa"/>
            <w:shd w:val="clear" w:color="auto" w:fill="DEEAF6" w:themeFill="accent5" w:themeFillTint="33"/>
            <w:vAlign w:val="center"/>
            <w:hideMark/>
          </w:tcPr>
          <w:p w:rsidR="00140839" w:rsidRPr="0043253A" w:rsidRDefault="00140839" w:rsidP="0042398B">
            <w:pPr>
              <w:jc w:val="center"/>
              <w:rPr>
                <w:rFonts w:ascii="Arial" w:hAnsi="Arial" w:cs="Arial"/>
                <w:b/>
                <w:bCs/>
                <w:color w:val="000000"/>
                <w:sz w:val="22"/>
                <w:szCs w:val="22"/>
              </w:rPr>
            </w:pPr>
            <w:r w:rsidRPr="0043253A">
              <w:rPr>
                <w:rFonts w:ascii="Arial" w:hAnsi="Arial" w:cs="Arial"/>
                <w:b/>
                <w:bCs/>
                <w:color w:val="000000"/>
                <w:sz w:val="22"/>
                <w:szCs w:val="22"/>
              </w:rPr>
              <w:t>NOMBRE BEBIDA ALCOHÓLICA</w:t>
            </w:r>
          </w:p>
        </w:tc>
        <w:tc>
          <w:tcPr>
            <w:tcW w:w="1134" w:type="dxa"/>
            <w:shd w:val="clear" w:color="auto" w:fill="DEEAF6" w:themeFill="accent5" w:themeFillTint="33"/>
            <w:vAlign w:val="center"/>
            <w:hideMark/>
          </w:tcPr>
          <w:p w:rsidR="00140839" w:rsidRPr="0043253A" w:rsidRDefault="00140839" w:rsidP="0042398B">
            <w:pPr>
              <w:jc w:val="center"/>
              <w:rPr>
                <w:rFonts w:ascii="Arial" w:hAnsi="Arial" w:cs="Arial"/>
                <w:b/>
                <w:bCs/>
                <w:color w:val="000000"/>
                <w:sz w:val="22"/>
                <w:szCs w:val="22"/>
              </w:rPr>
            </w:pPr>
            <w:r w:rsidRPr="0043253A">
              <w:rPr>
                <w:rFonts w:ascii="Arial" w:hAnsi="Arial" w:cs="Arial"/>
                <w:b/>
                <w:bCs/>
                <w:color w:val="000000"/>
                <w:sz w:val="22"/>
                <w:szCs w:val="22"/>
              </w:rPr>
              <w:t>G</w:t>
            </w:r>
          </w:p>
        </w:tc>
        <w:tc>
          <w:tcPr>
            <w:tcW w:w="1559" w:type="dxa"/>
            <w:shd w:val="clear" w:color="auto" w:fill="DEEAF6" w:themeFill="accent5" w:themeFillTint="33"/>
            <w:vAlign w:val="center"/>
            <w:hideMark/>
          </w:tcPr>
          <w:p w:rsidR="00140839" w:rsidRPr="0043253A" w:rsidRDefault="00140839" w:rsidP="0042398B">
            <w:pPr>
              <w:jc w:val="center"/>
              <w:rPr>
                <w:rFonts w:ascii="Arial" w:hAnsi="Arial" w:cs="Arial"/>
                <w:b/>
                <w:bCs/>
                <w:color w:val="000000"/>
                <w:sz w:val="22"/>
                <w:szCs w:val="22"/>
              </w:rPr>
            </w:pPr>
            <w:r w:rsidRPr="0043253A">
              <w:rPr>
                <w:rFonts w:ascii="Arial" w:hAnsi="Arial" w:cs="Arial"/>
                <w:b/>
                <w:bCs/>
                <w:color w:val="000000"/>
                <w:sz w:val="22"/>
                <w:szCs w:val="22"/>
              </w:rPr>
              <w:t>VALOR</w:t>
            </w:r>
            <w:r w:rsidRPr="0043253A">
              <w:rPr>
                <w:rFonts w:ascii="Arial" w:hAnsi="Arial" w:cs="Arial"/>
                <w:b/>
                <w:bCs/>
                <w:color w:val="000000"/>
                <w:sz w:val="22"/>
                <w:szCs w:val="22"/>
              </w:rPr>
              <w:br/>
              <w:t>CERTIF</w:t>
            </w:r>
            <w:r w:rsidRPr="0043253A">
              <w:rPr>
                <w:rFonts w:ascii="Arial" w:hAnsi="Arial" w:cs="Arial"/>
                <w:b/>
                <w:bCs/>
                <w:color w:val="000000"/>
                <w:sz w:val="22"/>
                <w:szCs w:val="22"/>
              </w:rPr>
              <w:br/>
              <w:t>DANE 2018+IPC18-19</w:t>
            </w:r>
          </w:p>
        </w:tc>
        <w:tc>
          <w:tcPr>
            <w:tcW w:w="1276" w:type="dxa"/>
            <w:shd w:val="clear" w:color="auto" w:fill="DEEAF6" w:themeFill="accent5" w:themeFillTint="33"/>
            <w:vAlign w:val="center"/>
            <w:hideMark/>
          </w:tcPr>
          <w:p w:rsidR="00140839" w:rsidRPr="0043253A" w:rsidRDefault="00140839" w:rsidP="0042398B">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LEY 1816</w:t>
            </w:r>
            <w:r w:rsidRPr="0043253A">
              <w:rPr>
                <w:rFonts w:ascii="Arial" w:hAnsi="Arial" w:cs="Arial"/>
                <w:b/>
                <w:bCs/>
                <w:color w:val="000000"/>
                <w:sz w:val="22"/>
                <w:szCs w:val="22"/>
              </w:rPr>
              <w:br/>
              <w:t>2020</w:t>
            </w:r>
          </w:p>
        </w:tc>
        <w:tc>
          <w:tcPr>
            <w:tcW w:w="1276" w:type="dxa"/>
            <w:shd w:val="clear" w:color="auto" w:fill="DEEAF6" w:themeFill="accent5" w:themeFillTint="33"/>
            <w:vAlign w:val="center"/>
            <w:hideMark/>
          </w:tcPr>
          <w:p w:rsidR="00140839" w:rsidRPr="0043253A" w:rsidRDefault="00140839" w:rsidP="0042398B">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PROPUESTA</w:t>
            </w:r>
            <w:r w:rsidRPr="0043253A">
              <w:rPr>
                <w:rFonts w:ascii="Arial" w:hAnsi="Arial" w:cs="Arial"/>
                <w:b/>
                <w:bCs/>
                <w:color w:val="000000"/>
                <w:sz w:val="22"/>
                <w:szCs w:val="22"/>
              </w:rPr>
              <w:br/>
              <w:t>2020</w:t>
            </w:r>
          </w:p>
        </w:tc>
        <w:tc>
          <w:tcPr>
            <w:tcW w:w="1276" w:type="dxa"/>
            <w:shd w:val="clear" w:color="auto" w:fill="DEEAF6" w:themeFill="accent5" w:themeFillTint="33"/>
            <w:vAlign w:val="center"/>
            <w:hideMark/>
          </w:tcPr>
          <w:p w:rsidR="00140839" w:rsidRPr="0043253A" w:rsidRDefault="00140839" w:rsidP="0042398B">
            <w:pPr>
              <w:jc w:val="center"/>
              <w:rPr>
                <w:rFonts w:ascii="Arial" w:hAnsi="Arial" w:cs="Arial"/>
                <w:b/>
                <w:bCs/>
                <w:color w:val="000000"/>
                <w:sz w:val="22"/>
                <w:szCs w:val="22"/>
              </w:rPr>
            </w:pPr>
            <w:r w:rsidRPr="0043253A">
              <w:rPr>
                <w:rFonts w:ascii="Arial" w:hAnsi="Arial" w:cs="Arial"/>
                <w:b/>
                <w:bCs/>
                <w:color w:val="000000"/>
                <w:sz w:val="22"/>
                <w:szCs w:val="22"/>
              </w:rPr>
              <w:t>VAR%</w:t>
            </w:r>
            <w:r w:rsidRPr="0043253A">
              <w:rPr>
                <w:rFonts w:ascii="Arial" w:hAnsi="Arial" w:cs="Arial"/>
                <w:b/>
                <w:bCs/>
                <w:color w:val="000000"/>
                <w:sz w:val="22"/>
                <w:szCs w:val="22"/>
              </w:rPr>
              <w:br/>
              <w:t>LEY 1816</w:t>
            </w:r>
            <w:r w:rsidRPr="0043253A">
              <w:rPr>
                <w:rFonts w:ascii="Arial" w:hAnsi="Arial" w:cs="Arial"/>
                <w:b/>
                <w:bCs/>
                <w:color w:val="000000"/>
                <w:sz w:val="22"/>
                <w:szCs w:val="22"/>
              </w:rPr>
              <w:br/>
              <w:t>VS PROYECTO</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Extra Del Caquetá</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13.424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10.433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9,8%</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Nariño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14.496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10.701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7,0%</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Nectar Club Sin Azúcar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24</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11.636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8.766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9.480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Tapa Roja</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14.745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10.763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6,4%</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Marca Tapa Roja Especial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14.873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10.795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Blanco Del Valle - Sin Azúcar 29 % Vol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15.932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11.060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3,6%</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Blanco Del Valle 29 % Vol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15.297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10.901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Lider Sin Azúcar 29°</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15.793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11.025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Llanero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15.274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10.895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Marca Cristal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12.187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10.124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13,2%</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Marca Extra Del Caqueta</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14.002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10.577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8,3%</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Antioqueño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15.181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10.872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5,4%</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Nariño Sin Azúcar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17.218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11.381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0,6%</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Nectar Azul Sin Azúcar 29°</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9.853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9.540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20,1%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Antioqueño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14.043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10.587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8,2%</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Lider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14.201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10.627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7,8%</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Onix Sello Negro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14.411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10.679</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7,3%</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Nectar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9.853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9.540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20,1%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Aguardiente Real 1493 Silver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21.910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12.554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-8,8%</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Amarillo De Manzanares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30</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14.608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10.973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11.850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8,0%</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Licor De Aguardiente Sin Azúcar Tapa Roja 24</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24</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13.648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9.268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9.480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2,3%</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Origen Del Valle</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18.983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11.822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Caucano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12.174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10.120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13,2%</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Del Putumayo Sin Azúcar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21.036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12.336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Nectar Premium</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21.755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12.515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-8,5%</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Llanero Sin Azúcar Tapa Azul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22.417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12.681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-9,7%</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Doble Anis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14.092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10.600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8,1%</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Cristal Sin Azúcar Xs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24</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9.878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8.326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9.480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Antioqueño 24° Sin Azúcar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24</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11.313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8.685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9.480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9,2%</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Onix Sello Negro Sin Azucar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13.785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10.523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S Marca Aguardiente Cristal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7.077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Sin Azúcar Marca Aguardiente Cristal Sin Azúcar 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7.077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Lider Sin Azucar 24° G.A.</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24</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5.857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9.480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Antioqueño Real Sin Azucar Adicionado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7.077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Nectar</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9.162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9.367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22,3%</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Cristal 29°</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14.986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10.823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5,8%</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Marca Nectar Azul 29°</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16.782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11.272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11.455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1,6%</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Viejo De Caldas Carta De Oro 35º</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31.602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16.441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Añejo Boyaca</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20.774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13.734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0,7%</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Medellin Extra Añejo 12 Años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35.540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17.426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-20,7%</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Medellin Extra Añejo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28.112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15.569</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-11,2%</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Viejo De Caldas-Juan De La Cruz 5 Años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19.578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13.435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Viejo De Caldas Tradicional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15.326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12.372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11,7%</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Santafe Añejo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12.504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11.667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18,5%</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Reserva Exclusiva 8 Años Marca Santafe</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31.444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16.402</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-15,7%</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Viejo De Caldas Gran Reserva Especial 40 Grados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40</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45.656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21.175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22,4%</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Marqués Del Valle 8 Años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18.735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13.224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4,5%</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Marqués Del Valle 5 Años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16.559</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12.681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9,0%</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Santa Fe Nido De Condores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40.047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18.553</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-25,5%</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12 Años Boyacá</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63.217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24.345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-43,2%</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Maestro Botero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53.100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21.816</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-36,6%</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Gorgona 8 Años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29.347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15.878</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Extra Añejo 12 Años Ron Maestro Gabo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57.719</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22.971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-39,8%</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Viejo De Caldas Gran Reserva Especial 35 Grados</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41.531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18.924</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-26,9%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Extra Añejo 5 Años Sin Azúcar Adicionado Ron Medellin</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21.157</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13.830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0,0%</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Marques Del Valle 3 Años -35% Vol</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8.541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61,9%</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Viejo De Caldas Leon Dormido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40</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9.761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165,5%</w:t>
            </w:r>
          </w:p>
        </w:tc>
      </w:tr>
      <w:tr w:rsidR="0043253A" w:rsidRPr="0043253A" w:rsidTr="0042398B">
        <w:trPr>
          <w:trHeight w:val="26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Aguardiente - Ron Marca Ron Medellin Dorado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8.541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61,9%</w:t>
            </w:r>
          </w:p>
        </w:tc>
      </w:tr>
      <w:tr w:rsidR="0043253A" w:rsidRPr="0043253A" w:rsidTr="0042398B">
        <w:trPr>
          <w:trHeight w:val="280"/>
          <w:jc w:val="center"/>
        </w:trPr>
        <w:tc>
          <w:tcPr>
            <w:tcW w:w="2972" w:type="dxa"/>
            <w:noWrap/>
            <w:hideMark/>
          </w:tcPr>
          <w:p w:rsidR="00140839" w:rsidRPr="0043253A" w:rsidRDefault="00140839" w:rsidP="00140839">
            <w:pPr>
              <w:rPr>
                <w:rFonts w:ascii="Arial" w:hAnsi="Arial" w:cs="Arial"/>
                <w:color w:val="000000"/>
                <w:sz w:val="22"/>
                <w:szCs w:val="22"/>
              </w:rPr>
            </w:pPr>
            <w:r w:rsidRPr="0043253A">
              <w:rPr>
                <w:rFonts w:ascii="Arial" w:hAnsi="Arial" w:cs="Arial"/>
                <w:color w:val="000000"/>
                <w:sz w:val="22"/>
                <w:szCs w:val="22"/>
              </w:rPr>
              <w:t>Ron Medellin Añejo</w:t>
            </w:r>
          </w:p>
        </w:tc>
        <w:tc>
          <w:tcPr>
            <w:tcW w:w="1134"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35</w:t>
            </w:r>
          </w:p>
        </w:tc>
        <w:tc>
          <w:tcPr>
            <w:tcW w:w="1559"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15.920</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12.521</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140839" w:rsidRPr="0043253A" w:rsidRDefault="00140839" w:rsidP="00140839">
            <w:pPr>
              <w:jc w:val="right"/>
              <w:rPr>
                <w:rFonts w:ascii="Arial" w:hAnsi="Arial" w:cs="Arial"/>
                <w:color w:val="000000"/>
                <w:sz w:val="22"/>
                <w:szCs w:val="22"/>
              </w:rPr>
            </w:pPr>
            <w:r w:rsidRPr="0043253A">
              <w:rPr>
                <w:rFonts w:ascii="Arial" w:hAnsi="Arial" w:cs="Arial"/>
                <w:color w:val="000000"/>
                <w:sz w:val="22"/>
                <w:szCs w:val="22"/>
              </w:rPr>
              <w:t>10,4%</w:t>
            </w:r>
          </w:p>
        </w:tc>
      </w:tr>
    </w:tbl>
    <w:p w:rsidR="00140839" w:rsidRPr="0043253A" w:rsidRDefault="00140839" w:rsidP="00140839">
      <w:pPr>
        <w:rPr>
          <w:rFonts w:ascii="Arial" w:hAnsi="Arial" w:cs="Arial"/>
          <w:sz w:val="22"/>
          <w:szCs w:val="22"/>
        </w:rPr>
      </w:pPr>
    </w:p>
    <w:p w:rsidR="00823B88" w:rsidRPr="0043253A" w:rsidRDefault="00823B88" w:rsidP="00881B6E">
      <w:pPr>
        <w:rPr>
          <w:rFonts w:ascii="Arial" w:hAnsi="Arial" w:cs="Arial"/>
          <w:sz w:val="22"/>
          <w:szCs w:val="22"/>
        </w:rPr>
      </w:pPr>
    </w:p>
    <w:p w:rsidR="00823B88" w:rsidRPr="0043253A" w:rsidRDefault="00823B88" w:rsidP="00881B6E">
      <w:pPr>
        <w:rPr>
          <w:rFonts w:ascii="Arial" w:hAnsi="Arial" w:cs="Arial"/>
          <w:sz w:val="22"/>
          <w:szCs w:val="22"/>
        </w:rPr>
      </w:pPr>
    </w:p>
    <w:p w:rsidR="00853709" w:rsidRPr="0043253A" w:rsidRDefault="00853709" w:rsidP="00853709">
      <w:pPr>
        <w:pStyle w:val="Descripcin"/>
        <w:jc w:val="center"/>
        <w:rPr>
          <w:rFonts w:ascii="Arial" w:hAnsi="Arial" w:cs="Arial"/>
          <w:i w:val="0"/>
          <w:color w:val="000000" w:themeColor="text1"/>
          <w:sz w:val="22"/>
          <w:szCs w:val="22"/>
        </w:rPr>
      </w:pPr>
      <w:r w:rsidRPr="0043253A">
        <w:rPr>
          <w:rFonts w:ascii="Arial" w:hAnsi="Arial" w:cs="Arial"/>
          <w:b/>
          <w:i w:val="0"/>
          <w:color w:val="000000" w:themeColor="text1"/>
          <w:sz w:val="22"/>
          <w:szCs w:val="22"/>
        </w:rPr>
        <w:t xml:space="preserve">Tabla 8. </w:t>
      </w:r>
      <w:r w:rsidRPr="0043253A">
        <w:rPr>
          <w:rFonts w:ascii="Arial" w:hAnsi="Arial" w:cs="Arial"/>
          <w:i w:val="0"/>
          <w:color w:val="000000" w:themeColor="text1"/>
          <w:sz w:val="22"/>
          <w:szCs w:val="22"/>
        </w:rPr>
        <w:t>Escenario 2020 importados según ley 1816 PVP 2018 indexado a 2020 vs propuesta</w:t>
      </w:r>
    </w:p>
    <w:tbl>
      <w:tblPr>
        <w:tblStyle w:val="Tablaconcuadrcula"/>
        <w:tblW w:w="9776" w:type="dxa"/>
        <w:jc w:val="center"/>
        <w:tblLook w:val="04A0" w:firstRow="1" w:lastRow="0" w:firstColumn="1" w:lastColumn="0" w:noHBand="0" w:noVBand="1"/>
      </w:tblPr>
      <w:tblGrid>
        <w:gridCol w:w="2689"/>
        <w:gridCol w:w="1559"/>
        <w:gridCol w:w="1519"/>
        <w:gridCol w:w="1365"/>
        <w:gridCol w:w="1693"/>
        <w:gridCol w:w="1451"/>
      </w:tblGrid>
      <w:tr w:rsidR="00881B6E" w:rsidRPr="0043253A" w:rsidTr="0042398B">
        <w:trPr>
          <w:trHeight w:val="280"/>
          <w:jc w:val="center"/>
        </w:trPr>
        <w:tc>
          <w:tcPr>
            <w:tcW w:w="2689" w:type="dxa"/>
            <w:vMerge w:val="restart"/>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SUPUESTOS</w:t>
            </w:r>
            <w:r w:rsidRPr="0043253A">
              <w:rPr>
                <w:rFonts w:ascii="Arial" w:hAnsi="Arial" w:cs="Arial"/>
                <w:b/>
                <w:bCs/>
                <w:color w:val="000000"/>
                <w:sz w:val="22"/>
                <w:szCs w:val="22"/>
              </w:rPr>
              <w:br/>
              <w:t xml:space="preserve">Proyectado </w:t>
            </w:r>
            <w:r w:rsidRPr="0043253A">
              <w:rPr>
                <w:rFonts w:ascii="Arial" w:hAnsi="Arial" w:cs="Arial"/>
                <w:b/>
                <w:bCs/>
                <w:color w:val="000000"/>
                <w:sz w:val="22"/>
                <w:szCs w:val="22"/>
              </w:rPr>
              <w:br/>
              <w:t>2018 (IPC 3,18%) 2019. (IPC 3,4%)</w:t>
            </w:r>
          </w:p>
        </w:tc>
        <w:tc>
          <w:tcPr>
            <w:tcW w:w="2960" w:type="dxa"/>
            <w:gridSpan w:val="2"/>
            <w:shd w:val="clear" w:color="auto" w:fill="DEEAF6" w:themeFill="accent5" w:themeFillTint="33"/>
            <w:noWrap/>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Impuestos Ley 1816</w:t>
            </w:r>
          </w:p>
        </w:tc>
        <w:tc>
          <w:tcPr>
            <w:tcW w:w="1292" w:type="dxa"/>
            <w:shd w:val="clear" w:color="auto" w:fill="DEEAF6" w:themeFill="accent5" w:themeFillTint="33"/>
            <w:noWrap/>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IPC 2020</w:t>
            </w:r>
          </w:p>
        </w:tc>
        <w:tc>
          <w:tcPr>
            <w:tcW w:w="2835" w:type="dxa"/>
            <w:gridSpan w:val="2"/>
            <w:shd w:val="clear" w:color="auto" w:fill="DEEAF6" w:themeFill="accent5" w:themeFillTint="33"/>
            <w:noWrap/>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Proyecto</w:t>
            </w:r>
          </w:p>
        </w:tc>
      </w:tr>
      <w:tr w:rsidR="00881B6E" w:rsidRPr="0043253A" w:rsidTr="0042398B">
        <w:trPr>
          <w:trHeight w:val="260"/>
          <w:jc w:val="center"/>
        </w:trPr>
        <w:tc>
          <w:tcPr>
            <w:tcW w:w="2689" w:type="dxa"/>
            <w:vMerge/>
            <w:hideMark/>
          </w:tcPr>
          <w:p w:rsidR="00881B6E" w:rsidRPr="0043253A" w:rsidRDefault="00881B6E" w:rsidP="00881B6E">
            <w:pPr>
              <w:rPr>
                <w:rFonts w:ascii="Arial" w:hAnsi="Arial" w:cs="Arial"/>
                <w:b/>
                <w:bCs/>
                <w:color w:val="000000"/>
                <w:sz w:val="22"/>
                <w:szCs w:val="22"/>
              </w:rPr>
            </w:pPr>
          </w:p>
        </w:tc>
        <w:tc>
          <w:tcPr>
            <w:tcW w:w="155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Específico</w:t>
            </w:r>
          </w:p>
        </w:tc>
        <w:tc>
          <w:tcPr>
            <w:tcW w:w="1401" w:type="dxa"/>
            <w:noWrap/>
            <w:hideMark/>
          </w:tcPr>
          <w:p w:rsidR="00881B6E" w:rsidRPr="0043253A" w:rsidRDefault="00881B6E" w:rsidP="00881B6E">
            <w:pPr>
              <w:jc w:val="center"/>
              <w:rPr>
                <w:rFonts w:ascii="Arial" w:hAnsi="Arial" w:cs="Arial"/>
                <w:color w:val="000000"/>
                <w:sz w:val="22"/>
                <w:szCs w:val="22"/>
              </w:rPr>
            </w:pPr>
            <w:r w:rsidRPr="0043253A">
              <w:rPr>
                <w:rFonts w:ascii="Arial" w:hAnsi="Arial" w:cs="Arial"/>
                <w:color w:val="000000"/>
                <w:sz w:val="22"/>
                <w:szCs w:val="22"/>
              </w:rPr>
              <w:t>244</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3,4%</w:t>
            </w:r>
          </w:p>
        </w:tc>
        <w:tc>
          <w:tcPr>
            <w:tcW w:w="155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Específico&lt;35°</w:t>
            </w:r>
          </w:p>
        </w:tc>
        <w:tc>
          <w:tcPr>
            <w:tcW w:w="1276" w:type="dxa"/>
            <w:noWrap/>
            <w:hideMark/>
          </w:tcPr>
          <w:p w:rsidR="00881B6E" w:rsidRPr="0043253A" w:rsidRDefault="00881B6E" w:rsidP="00881B6E">
            <w:pPr>
              <w:jc w:val="center"/>
              <w:rPr>
                <w:rFonts w:ascii="Arial" w:hAnsi="Arial" w:cs="Arial"/>
                <w:color w:val="000000"/>
                <w:sz w:val="22"/>
                <w:szCs w:val="22"/>
              </w:rPr>
            </w:pPr>
            <w:r w:rsidRPr="0043253A">
              <w:rPr>
                <w:rFonts w:ascii="Arial" w:hAnsi="Arial" w:cs="Arial"/>
                <w:color w:val="000000"/>
                <w:sz w:val="22"/>
                <w:szCs w:val="22"/>
              </w:rPr>
              <w:t>395</w:t>
            </w:r>
          </w:p>
        </w:tc>
      </w:tr>
      <w:tr w:rsidR="00881B6E" w:rsidRPr="0043253A" w:rsidTr="0042398B">
        <w:trPr>
          <w:trHeight w:val="280"/>
          <w:jc w:val="center"/>
        </w:trPr>
        <w:tc>
          <w:tcPr>
            <w:tcW w:w="2689" w:type="dxa"/>
            <w:vMerge/>
            <w:hideMark/>
          </w:tcPr>
          <w:p w:rsidR="00881B6E" w:rsidRPr="0043253A" w:rsidRDefault="00881B6E" w:rsidP="00881B6E">
            <w:pPr>
              <w:rPr>
                <w:rFonts w:ascii="Arial" w:hAnsi="Arial" w:cs="Arial"/>
                <w:b/>
                <w:bCs/>
                <w:color w:val="000000"/>
                <w:sz w:val="22"/>
                <w:szCs w:val="22"/>
              </w:rPr>
            </w:pPr>
          </w:p>
        </w:tc>
        <w:tc>
          <w:tcPr>
            <w:tcW w:w="155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Advalorem</w:t>
            </w:r>
          </w:p>
        </w:tc>
        <w:tc>
          <w:tcPr>
            <w:tcW w:w="1401" w:type="dxa"/>
            <w:noWrap/>
            <w:hideMark/>
          </w:tcPr>
          <w:p w:rsidR="00881B6E" w:rsidRPr="0043253A" w:rsidRDefault="00881B6E" w:rsidP="00881B6E">
            <w:pPr>
              <w:jc w:val="center"/>
              <w:rPr>
                <w:rFonts w:ascii="Arial" w:hAnsi="Arial" w:cs="Arial"/>
                <w:color w:val="000000"/>
                <w:sz w:val="22"/>
                <w:szCs w:val="22"/>
              </w:rPr>
            </w:pPr>
            <w:r w:rsidRPr="0043253A">
              <w:rPr>
                <w:rFonts w:ascii="Arial" w:hAnsi="Arial" w:cs="Arial"/>
                <w:color w:val="000000"/>
                <w:sz w:val="22"/>
                <w:szCs w:val="22"/>
              </w:rPr>
              <w:t>25%</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3,18%</w:t>
            </w:r>
          </w:p>
        </w:tc>
        <w:tc>
          <w:tcPr>
            <w:tcW w:w="155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Específico&gt;35°</w:t>
            </w:r>
          </w:p>
        </w:tc>
        <w:tc>
          <w:tcPr>
            <w:tcW w:w="1276" w:type="dxa"/>
            <w:noWrap/>
            <w:hideMark/>
          </w:tcPr>
          <w:p w:rsidR="00881B6E" w:rsidRPr="0043253A" w:rsidRDefault="00881B6E" w:rsidP="00881B6E">
            <w:pPr>
              <w:jc w:val="center"/>
              <w:rPr>
                <w:rFonts w:ascii="Arial" w:hAnsi="Arial" w:cs="Arial"/>
                <w:color w:val="000000"/>
                <w:sz w:val="22"/>
                <w:szCs w:val="22"/>
              </w:rPr>
            </w:pPr>
            <w:r w:rsidRPr="0043253A">
              <w:rPr>
                <w:rFonts w:ascii="Arial" w:hAnsi="Arial" w:cs="Arial"/>
                <w:color w:val="000000"/>
                <w:sz w:val="22"/>
                <w:szCs w:val="22"/>
              </w:rPr>
              <w:t xml:space="preserve">648 </w:t>
            </w:r>
          </w:p>
        </w:tc>
      </w:tr>
      <w:tr w:rsidR="00881B6E" w:rsidRPr="0043253A" w:rsidTr="0042398B">
        <w:trPr>
          <w:trHeight w:val="280"/>
          <w:jc w:val="center"/>
        </w:trPr>
        <w:tc>
          <w:tcPr>
            <w:tcW w:w="2689" w:type="dxa"/>
            <w:noWrap/>
            <w:hideMark/>
          </w:tcPr>
          <w:p w:rsidR="00881B6E" w:rsidRPr="0043253A" w:rsidRDefault="00881B6E" w:rsidP="00881B6E">
            <w:pPr>
              <w:jc w:val="center"/>
              <w:rPr>
                <w:rFonts w:ascii="Arial" w:hAnsi="Arial" w:cs="Arial"/>
                <w:color w:val="000000"/>
                <w:sz w:val="22"/>
                <w:szCs w:val="22"/>
              </w:rPr>
            </w:pPr>
          </w:p>
        </w:tc>
        <w:tc>
          <w:tcPr>
            <w:tcW w:w="1559" w:type="dxa"/>
            <w:noWrap/>
            <w:hideMark/>
          </w:tcPr>
          <w:p w:rsidR="00881B6E" w:rsidRPr="0043253A" w:rsidRDefault="00881B6E" w:rsidP="00881B6E">
            <w:pPr>
              <w:rPr>
                <w:rFonts w:ascii="Arial" w:hAnsi="Arial" w:cs="Arial"/>
                <w:sz w:val="22"/>
                <w:szCs w:val="22"/>
              </w:rPr>
            </w:pPr>
          </w:p>
        </w:tc>
        <w:tc>
          <w:tcPr>
            <w:tcW w:w="1401" w:type="dxa"/>
            <w:noWrap/>
            <w:hideMark/>
          </w:tcPr>
          <w:p w:rsidR="00881B6E" w:rsidRPr="0043253A" w:rsidRDefault="00881B6E" w:rsidP="00881B6E">
            <w:pPr>
              <w:rPr>
                <w:rFonts w:ascii="Arial" w:hAnsi="Arial" w:cs="Arial"/>
                <w:sz w:val="22"/>
                <w:szCs w:val="22"/>
              </w:rPr>
            </w:pPr>
          </w:p>
        </w:tc>
        <w:tc>
          <w:tcPr>
            <w:tcW w:w="1292" w:type="dxa"/>
            <w:noWrap/>
            <w:hideMark/>
          </w:tcPr>
          <w:p w:rsidR="00881B6E" w:rsidRPr="0043253A" w:rsidRDefault="00881B6E" w:rsidP="00881B6E">
            <w:pPr>
              <w:rPr>
                <w:rFonts w:ascii="Arial" w:hAnsi="Arial" w:cs="Arial"/>
                <w:sz w:val="22"/>
                <w:szCs w:val="22"/>
              </w:rPr>
            </w:pPr>
          </w:p>
        </w:tc>
        <w:tc>
          <w:tcPr>
            <w:tcW w:w="1559" w:type="dxa"/>
            <w:noWrap/>
            <w:hideMark/>
          </w:tcPr>
          <w:p w:rsidR="00881B6E" w:rsidRPr="0043253A" w:rsidRDefault="00881B6E" w:rsidP="00881B6E">
            <w:pPr>
              <w:rPr>
                <w:rFonts w:ascii="Arial" w:hAnsi="Arial" w:cs="Arial"/>
                <w:sz w:val="22"/>
                <w:szCs w:val="22"/>
              </w:rPr>
            </w:pPr>
          </w:p>
        </w:tc>
        <w:tc>
          <w:tcPr>
            <w:tcW w:w="1276" w:type="dxa"/>
            <w:noWrap/>
            <w:hideMark/>
          </w:tcPr>
          <w:p w:rsidR="00881B6E" w:rsidRPr="0043253A" w:rsidRDefault="00881B6E" w:rsidP="00881B6E">
            <w:pPr>
              <w:rPr>
                <w:rFonts w:ascii="Arial" w:hAnsi="Arial" w:cs="Arial"/>
                <w:sz w:val="22"/>
                <w:szCs w:val="22"/>
              </w:rPr>
            </w:pPr>
          </w:p>
        </w:tc>
      </w:tr>
      <w:tr w:rsidR="00881B6E" w:rsidRPr="0043253A" w:rsidTr="0042398B">
        <w:trPr>
          <w:trHeight w:val="1140"/>
          <w:jc w:val="center"/>
        </w:trPr>
        <w:tc>
          <w:tcPr>
            <w:tcW w:w="2689" w:type="dxa"/>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NOMBRE BEBIDA ALCOHÓLICA</w:t>
            </w:r>
          </w:p>
        </w:tc>
        <w:tc>
          <w:tcPr>
            <w:tcW w:w="1559" w:type="dxa"/>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GRADOS</w:t>
            </w:r>
          </w:p>
        </w:tc>
        <w:tc>
          <w:tcPr>
            <w:tcW w:w="1401" w:type="dxa"/>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VALOR</w:t>
            </w:r>
            <w:r w:rsidRPr="0043253A">
              <w:rPr>
                <w:rFonts w:ascii="Arial" w:hAnsi="Arial" w:cs="Arial"/>
                <w:b/>
                <w:bCs/>
                <w:color w:val="000000"/>
                <w:sz w:val="22"/>
                <w:szCs w:val="22"/>
              </w:rPr>
              <w:br/>
              <w:t>CERTIF</w:t>
            </w:r>
            <w:r w:rsidRPr="0043253A">
              <w:rPr>
                <w:rFonts w:ascii="Arial" w:hAnsi="Arial" w:cs="Arial"/>
                <w:b/>
                <w:bCs/>
                <w:color w:val="000000"/>
                <w:sz w:val="22"/>
                <w:szCs w:val="22"/>
              </w:rPr>
              <w:br/>
              <w:t>DANE 2018+IPC18-19</w:t>
            </w:r>
          </w:p>
        </w:tc>
        <w:tc>
          <w:tcPr>
            <w:tcW w:w="1292" w:type="dxa"/>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LEY 1816</w:t>
            </w:r>
            <w:r w:rsidRPr="0043253A">
              <w:rPr>
                <w:rFonts w:ascii="Arial" w:hAnsi="Arial" w:cs="Arial"/>
                <w:b/>
                <w:bCs/>
                <w:color w:val="000000"/>
                <w:sz w:val="22"/>
                <w:szCs w:val="22"/>
              </w:rPr>
              <w:br/>
              <w:t>2020</w:t>
            </w:r>
          </w:p>
        </w:tc>
        <w:tc>
          <w:tcPr>
            <w:tcW w:w="1559" w:type="dxa"/>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IMPUESTO</w:t>
            </w:r>
            <w:r w:rsidRPr="0043253A">
              <w:rPr>
                <w:rFonts w:ascii="Arial" w:hAnsi="Arial" w:cs="Arial"/>
                <w:b/>
                <w:bCs/>
                <w:color w:val="000000"/>
                <w:sz w:val="22"/>
                <w:szCs w:val="22"/>
              </w:rPr>
              <w:br/>
              <w:t>PROPUESTA</w:t>
            </w:r>
            <w:r w:rsidRPr="0043253A">
              <w:rPr>
                <w:rFonts w:ascii="Arial" w:hAnsi="Arial" w:cs="Arial"/>
                <w:b/>
                <w:bCs/>
                <w:color w:val="000000"/>
                <w:sz w:val="22"/>
                <w:szCs w:val="22"/>
              </w:rPr>
              <w:br/>
              <w:t>2020</w:t>
            </w:r>
          </w:p>
        </w:tc>
        <w:tc>
          <w:tcPr>
            <w:tcW w:w="1276" w:type="dxa"/>
            <w:shd w:val="clear" w:color="auto" w:fill="DEEAF6" w:themeFill="accent5" w:themeFillTint="33"/>
            <w:hideMark/>
          </w:tcPr>
          <w:p w:rsidR="00881B6E" w:rsidRPr="0043253A" w:rsidRDefault="00881B6E" w:rsidP="00881B6E">
            <w:pPr>
              <w:jc w:val="center"/>
              <w:rPr>
                <w:rFonts w:ascii="Arial" w:hAnsi="Arial" w:cs="Arial"/>
                <w:b/>
                <w:bCs/>
                <w:color w:val="000000"/>
                <w:sz w:val="22"/>
                <w:szCs w:val="22"/>
              </w:rPr>
            </w:pPr>
            <w:r w:rsidRPr="0043253A">
              <w:rPr>
                <w:rFonts w:ascii="Arial" w:hAnsi="Arial" w:cs="Arial"/>
                <w:b/>
                <w:bCs/>
                <w:color w:val="000000"/>
                <w:sz w:val="22"/>
                <w:szCs w:val="22"/>
              </w:rPr>
              <w:t>VAR%</w:t>
            </w:r>
            <w:r w:rsidRPr="0043253A">
              <w:rPr>
                <w:rFonts w:ascii="Arial" w:hAnsi="Arial" w:cs="Arial"/>
                <w:b/>
                <w:bCs/>
                <w:color w:val="000000"/>
                <w:sz w:val="22"/>
                <w:szCs w:val="22"/>
              </w:rPr>
              <w:br/>
              <w:t>LEY 1816</w:t>
            </w:r>
            <w:r w:rsidRPr="0043253A">
              <w:rPr>
                <w:rFonts w:ascii="Arial" w:hAnsi="Arial" w:cs="Arial"/>
                <w:b/>
                <w:bCs/>
                <w:color w:val="000000"/>
                <w:sz w:val="22"/>
                <w:szCs w:val="22"/>
              </w:rPr>
              <w:br/>
              <w:t>VS PROYECTO</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Reposado Jose Cuervo Tradicional</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35</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38.213</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18.094</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-23,6%</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Reposado 100% De Agave Reserva De Don Julio</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38</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58.311</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23.851</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24.624</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3,2%</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Blanco 100 % De Agave  Patron</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85.343</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31.097</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-16,6%</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Plata Jose Cuervo Especial</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38</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37.808</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18.725</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24.624</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31,5%</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Plata Jose Cuervo Especial</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38</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0</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9.273</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24.624</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165,5%</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El Jimador Reposado 100% De Agave</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35</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34.813</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17.244</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13.825</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-19,8%</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Tequila Herradura Plata 100 % De Agave</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79.687</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29.683</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-12,7%</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Whiskey Jack Daniel'S Tennessee</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58.153</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24.299</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6,7%</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Buchanan'S Red Seal Blended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254.947</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73.498</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-64,7%</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Chivas Regal 12 Year Old Blended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58.828</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24.468</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5,9%</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Passport Blended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19.912</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14.739</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75,9%</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Something Special Blended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28.418</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16.866</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53,7%</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Chivas Regal 18 Years Old Blended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120.383</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39.857</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-35,0%</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Old Parr Superior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94.161</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33.301</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-22,2%</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Old Parr 12 Y/O Deluxe Scotch Whisky</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58.204</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24.312</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6,6%</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Whisky Escoces Black And White 40%</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0</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9.761</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165,5%</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Vodka Ciroc</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53.603</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23.162</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11,9%</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Absolut Country Of Sweden Vodka</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48.097</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21.785</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19,0%</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Absolut Mandrin</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36.584</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18.907</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37,1%</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Absolut Country Of Sweden Citron</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36.028</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18.768</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38,1%</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Smirnoff Red Label Vodka</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31.036</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17.520</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47,9%</w:t>
            </w:r>
          </w:p>
        </w:tc>
      </w:tr>
      <w:tr w:rsidR="00881B6E" w:rsidRPr="0043253A" w:rsidTr="0042398B">
        <w:trPr>
          <w:trHeight w:val="26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Licor De Vodka Smirnoff X1 Sabor A Lulo</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0</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6.101</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9.875</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61,9%</w:t>
            </w:r>
          </w:p>
        </w:tc>
      </w:tr>
      <w:tr w:rsidR="00881B6E" w:rsidRPr="0043253A" w:rsidTr="0042398B">
        <w:trPr>
          <w:trHeight w:val="280"/>
          <w:jc w:val="center"/>
        </w:trPr>
        <w:tc>
          <w:tcPr>
            <w:tcW w:w="2689" w:type="dxa"/>
            <w:noWrap/>
            <w:hideMark/>
          </w:tcPr>
          <w:p w:rsidR="00881B6E" w:rsidRPr="0043253A" w:rsidRDefault="00881B6E" w:rsidP="00881B6E">
            <w:pPr>
              <w:rPr>
                <w:rFonts w:ascii="Arial" w:hAnsi="Arial" w:cs="Arial"/>
                <w:color w:val="000000"/>
                <w:sz w:val="22"/>
                <w:szCs w:val="22"/>
              </w:rPr>
            </w:pPr>
            <w:r w:rsidRPr="0043253A">
              <w:rPr>
                <w:rFonts w:ascii="Arial" w:hAnsi="Arial" w:cs="Arial"/>
                <w:color w:val="000000"/>
                <w:sz w:val="22"/>
                <w:szCs w:val="22"/>
              </w:rPr>
              <w:t>Ginebra Beefeater 24 London Dry Gin</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40</w:t>
            </w:r>
          </w:p>
        </w:tc>
        <w:tc>
          <w:tcPr>
            <w:tcW w:w="1401"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108.967</w:t>
            </w:r>
          </w:p>
        </w:tc>
        <w:tc>
          <w:tcPr>
            <w:tcW w:w="1292"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37.003</w:t>
            </w:r>
          </w:p>
        </w:tc>
        <w:tc>
          <w:tcPr>
            <w:tcW w:w="1559"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25.920</w:t>
            </w:r>
          </w:p>
        </w:tc>
        <w:tc>
          <w:tcPr>
            <w:tcW w:w="1276" w:type="dxa"/>
            <w:noWrap/>
            <w:hideMark/>
          </w:tcPr>
          <w:p w:rsidR="00881B6E" w:rsidRPr="0043253A" w:rsidRDefault="00881B6E" w:rsidP="00881B6E">
            <w:pPr>
              <w:jc w:val="right"/>
              <w:rPr>
                <w:rFonts w:ascii="Arial" w:hAnsi="Arial" w:cs="Arial"/>
                <w:color w:val="000000"/>
                <w:sz w:val="22"/>
                <w:szCs w:val="22"/>
              </w:rPr>
            </w:pPr>
            <w:r w:rsidRPr="0043253A">
              <w:rPr>
                <w:rFonts w:ascii="Arial" w:hAnsi="Arial" w:cs="Arial"/>
                <w:color w:val="000000"/>
                <w:sz w:val="22"/>
                <w:szCs w:val="22"/>
              </w:rPr>
              <w:t>-30,0%</w:t>
            </w:r>
          </w:p>
        </w:tc>
      </w:tr>
    </w:tbl>
    <w:p w:rsidR="00853709" w:rsidRPr="0043253A" w:rsidRDefault="00853709" w:rsidP="00853709">
      <w:pPr>
        <w:spacing w:line="276" w:lineRule="auto"/>
        <w:ind w:firstLine="708"/>
        <w:jc w:val="both"/>
        <w:rPr>
          <w:rFonts w:ascii="Arial" w:hAnsi="Arial" w:cs="Arial"/>
          <w:sz w:val="22"/>
          <w:szCs w:val="22"/>
          <w:lang w:val="es-ES"/>
        </w:rPr>
      </w:pPr>
    </w:p>
    <w:p w:rsidR="00853709" w:rsidRPr="0043253A" w:rsidRDefault="0042398B" w:rsidP="0042398B">
      <w:pPr>
        <w:spacing w:line="276" w:lineRule="auto"/>
        <w:jc w:val="both"/>
        <w:rPr>
          <w:rFonts w:ascii="Arial" w:hAnsi="Arial" w:cs="Arial"/>
          <w:sz w:val="22"/>
          <w:szCs w:val="22"/>
          <w:lang w:val="es-ES"/>
        </w:rPr>
      </w:pPr>
      <w:r w:rsidRPr="0043253A">
        <w:rPr>
          <w:rFonts w:ascii="Arial" w:hAnsi="Arial" w:cs="Arial"/>
          <w:sz w:val="22"/>
          <w:szCs w:val="22"/>
          <w:lang w:val="es-ES"/>
        </w:rPr>
        <w:t>De acuerdo con lo expuesto en precedencia, e</w:t>
      </w:r>
      <w:r w:rsidR="00853709" w:rsidRPr="0043253A">
        <w:rPr>
          <w:rFonts w:ascii="Arial" w:hAnsi="Arial" w:cs="Arial"/>
          <w:sz w:val="22"/>
          <w:szCs w:val="22"/>
          <w:lang w:val="es-ES"/>
        </w:rPr>
        <w:t>l presente proyecto trae consigo beneficios para todos los actores del m</w:t>
      </w:r>
      <w:r w:rsidRPr="0043253A">
        <w:rPr>
          <w:rFonts w:ascii="Arial" w:hAnsi="Arial" w:cs="Arial"/>
          <w:sz w:val="22"/>
          <w:szCs w:val="22"/>
          <w:lang w:val="es-ES"/>
        </w:rPr>
        <w:t>ercado, especialmente para los D</w:t>
      </w:r>
      <w:r w:rsidR="00853709" w:rsidRPr="0043253A">
        <w:rPr>
          <w:rFonts w:ascii="Arial" w:hAnsi="Arial" w:cs="Arial"/>
          <w:sz w:val="22"/>
          <w:szCs w:val="22"/>
          <w:lang w:val="es-ES"/>
        </w:rPr>
        <w:t xml:space="preserve">epartamentos, quienes no verán cambios abruptos en el valor presupuestado de recaudo derivado de las variaciones de los PVP certificados anualmente por el por el DANE y, de otro lado, un desincentivo al contrabando, derivado de la reducción de la carga impositiva conforme a 2019. </w:t>
      </w:r>
    </w:p>
    <w:p w:rsidR="00853709" w:rsidRPr="0043253A" w:rsidRDefault="00853709" w:rsidP="00853709">
      <w:pPr>
        <w:spacing w:line="276" w:lineRule="auto"/>
        <w:ind w:firstLine="708"/>
        <w:jc w:val="both"/>
        <w:rPr>
          <w:rFonts w:ascii="Arial" w:hAnsi="Arial" w:cs="Arial"/>
          <w:sz w:val="22"/>
          <w:szCs w:val="22"/>
          <w:lang w:val="es-ES"/>
        </w:rPr>
      </w:pPr>
    </w:p>
    <w:p w:rsidR="00853709" w:rsidRPr="0043253A" w:rsidRDefault="00853709" w:rsidP="0042398B">
      <w:pPr>
        <w:spacing w:line="276" w:lineRule="auto"/>
        <w:jc w:val="both"/>
        <w:rPr>
          <w:rFonts w:ascii="Arial" w:hAnsi="Arial" w:cs="Arial"/>
          <w:sz w:val="22"/>
          <w:szCs w:val="22"/>
          <w:lang w:val="es-ES"/>
        </w:rPr>
      </w:pPr>
      <w:r w:rsidRPr="0043253A">
        <w:rPr>
          <w:rFonts w:ascii="Arial" w:hAnsi="Arial" w:cs="Arial"/>
          <w:sz w:val="22"/>
          <w:szCs w:val="22"/>
          <w:lang w:val="es-ES"/>
        </w:rPr>
        <w:t>Respecto al recaudo, este aumenta respecto a la vigencia 2018 y tendrá un efecto de incremento constante año tras año. De igual manera, se generan beneficios para los demás actores del mercado en la medida que se genera estabilidad en el mercado, evitando alteraciones por intervención estatal en la fijación de los PVP. Las tarifas propuestas garantizan mayor recaudo que las tarifas que traía la ley 1393 de 2010, toda vez que estas se indexaron y tiene un incremento adicional del 10%. Al mi</w:t>
      </w:r>
      <w:r w:rsidR="0042398B" w:rsidRPr="0043253A">
        <w:rPr>
          <w:rFonts w:ascii="Arial" w:hAnsi="Arial" w:cs="Arial"/>
          <w:sz w:val="22"/>
          <w:szCs w:val="22"/>
          <w:lang w:val="es-ES"/>
        </w:rPr>
        <w:t>s</w:t>
      </w:r>
      <w:r w:rsidRPr="0043253A">
        <w:rPr>
          <w:rFonts w:ascii="Arial" w:hAnsi="Arial" w:cs="Arial"/>
          <w:sz w:val="22"/>
          <w:szCs w:val="22"/>
          <w:lang w:val="es-ES"/>
        </w:rPr>
        <w:t>mo tiempo, se obtiene un recaudo superior al mantener la tarifa del IVA del 5%.</w:t>
      </w:r>
    </w:p>
    <w:p w:rsidR="00853709" w:rsidRPr="0043253A" w:rsidRDefault="00853709" w:rsidP="00853709">
      <w:pPr>
        <w:spacing w:line="276" w:lineRule="auto"/>
        <w:rPr>
          <w:rFonts w:ascii="Arial" w:hAnsi="Arial" w:cs="Arial"/>
          <w:b/>
          <w:sz w:val="22"/>
          <w:szCs w:val="22"/>
          <w:lang w:val="es-ES"/>
        </w:rPr>
      </w:pPr>
    </w:p>
    <w:p w:rsidR="0042398B" w:rsidRPr="0043253A" w:rsidRDefault="0042398B" w:rsidP="0042398B">
      <w:pPr>
        <w:spacing w:line="276" w:lineRule="auto"/>
        <w:ind w:left="1560"/>
        <w:jc w:val="both"/>
        <w:rPr>
          <w:rFonts w:ascii="Arial" w:hAnsi="Arial" w:cs="Arial"/>
          <w:sz w:val="22"/>
          <w:szCs w:val="22"/>
          <w:lang w:val="es-ES"/>
        </w:rPr>
      </w:pPr>
    </w:p>
    <w:p w:rsidR="0042398B" w:rsidRPr="0043253A" w:rsidRDefault="0042398B" w:rsidP="0042398B">
      <w:pPr>
        <w:rPr>
          <w:rFonts w:ascii="Arial" w:eastAsia="Arial Unicode MS" w:hAnsi="Arial" w:cs="Arial"/>
          <w:b/>
          <w:sz w:val="22"/>
          <w:szCs w:val="22"/>
          <w:u w:color="222222"/>
        </w:rPr>
      </w:pPr>
    </w:p>
    <w:p w:rsidR="0042398B" w:rsidRPr="0043253A" w:rsidRDefault="0042398B" w:rsidP="0042398B">
      <w:pPr>
        <w:pStyle w:val="Prrafodelista"/>
        <w:numPr>
          <w:ilvl w:val="0"/>
          <w:numId w:val="7"/>
        </w:numPr>
        <w:jc w:val="center"/>
        <w:rPr>
          <w:rFonts w:ascii="Arial" w:eastAsia="Arial Unicode MS" w:hAnsi="Arial" w:cs="Arial"/>
          <w:b/>
          <w:sz w:val="22"/>
          <w:szCs w:val="22"/>
          <w:u w:color="222222"/>
        </w:rPr>
      </w:pPr>
      <w:r w:rsidRPr="0043253A">
        <w:rPr>
          <w:rFonts w:ascii="Arial" w:eastAsia="Arial Unicode MS" w:hAnsi="Arial" w:cs="Arial"/>
          <w:b/>
          <w:sz w:val="22"/>
          <w:szCs w:val="22"/>
          <w:u w:color="222222"/>
        </w:rPr>
        <w:t>MONOPOLIO RENTÍSTICO DEL CANNABIS</w:t>
      </w:r>
    </w:p>
    <w:p w:rsidR="00853709" w:rsidRPr="0043253A" w:rsidRDefault="00853709" w:rsidP="00853709">
      <w:pPr>
        <w:spacing w:line="276" w:lineRule="auto"/>
        <w:rPr>
          <w:rFonts w:ascii="Arial" w:hAnsi="Arial" w:cs="Arial"/>
          <w:b/>
          <w:sz w:val="22"/>
          <w:szCs w:val="22"/>
          <w:lang w:val="es-ES"/>
        </w:rPr>
      </w:pPr>
    </w:p>
    <w:p w:rsidR="0042398B" w:rsidRPr="0043253A" w:rsidRDefault="0042398B" w:rsidP="000F7CE5">
      <w:pPr>
        <w:pStyle w:val="Body1"/>
        <w:numPr>
          <w:ilvl w:val="1"/>
          <w:numId w:val="20"/>
        </w:numPr>
        <w:rPr>
          <w:rFonts w:ascii="Arial" w:hAnsi="Arial" w:cs="Arial"/>
          <w:b/>
          <w:sz w:val="22"/>
          <w:szCs w:val="22"/>
        </w:rPr>
      </w:pPr>
      <w:r w:rsidRPr="0043253A">
        <w:rPr>
          <w:rFonts w:ascii="Arial" w:hAnsi="Arial" w:cs="Arial"/>
          <w:b/>
          <w:sz w:val="22"/>
          <w:szCs w:val="22"/>
        </w:rPr>
        <w:t>Fundamento Constitucional y Legal</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 xml:space="preserve">El Acto Legislativo 02 de 2009, reformó el Artículo 49 de la Constitución Política de Colombia, en los siguientes términos: </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rPr>
        <w:t>La atención de la salud y el saneamiento ambiental son servicios públicos a cargo del Estado. Se garantiza a todas las personas el acceso a los servicios de promoción, protección y recuperación de la salud.</w:t>
      </w:r>
    </w:p>
    <w:p w:rsidR="0042398B" w:rsidRPr="0043253A" w:rsidRDefault="0042398B" w:rsidP="0042398B">
      <w:pPr>
        <w:pStyle w:val="Body1"/>
        <w:ind w:left="284"/>
        <w:rPr>
          <w:rFonts w:ascii="Arial" w:hAnsi="Arial" w:cs="Arial"/>
          <w:i/>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42398B" w:rsidRPr="0043253A" w:rsidRDefault="0042398B" w:rsidP="0042398B">
      <w:pPr>
        <w:pStyle w:val="Body1"/>
        <w:ind w:left="284"/>
        <w:rPr>
          <w:rFonts w:ascii="Arial" w:hAnsi="Arial" w:cs="Arial"/>
          <w:i/>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rPr>
        <w:t>Los servicios de salud se organizarán en forma descentralizada, por niveles de atención y con participación de la comunidad.</w:t>
      </w:r>
    </w:p>
    <w:p w:rsidR="0042398B" w:rsidRPr="0043253A" w:rsidRDefault="0042398B" w:rsidP="0042398B">
      <w:pPr>
        <w:pStyle w:val="Body1"/>
        <w:ind w:left="284"/>
        <w:rPr>
          <w:rFonts w:ascii="Arial" w:hAnsi="Arial" w:cs="Arial"/>
          <w:i/>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rPr>
        <w:t>La ley señalará los términos en los cuales la atención básica para todos los habitantes será gratuita y obligatoria.</w:t>
      </w:r>
    </w:p>
    <w:p w:rsidR="0042398B" w:rsidRPr="0043253A" w:rsidRDefault="0042398B" w:rsidP="0042398B">
      <w:pPr>
        <w:pStyle w:val="Body1"/>
        <w:ind w:left="284"/>
        <w:rPr>
          <w:rFonts w:ascii="Arial" w:hAnsi="Arial" w:cs="Arial"/>
          <w:i/>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rPr>
        <w:t>Toda persona tiene el deber de procurar el cuidado integral de su salud y de su comunidad.</w:t>
      </w:r>
    </w:p>
    <w:p w:rsidR="0042398B" w:rsidRPr="0043253A" w:rsidRDefault="0042398B" w:rsidP="0042398B">
      <w:pPr>
        <w:pStyle w:val="Body1"/>
        <w:ind w:left="284"/>
        <w:rPr>
          <w:rFonts w:ascii="Arial" w:hAnsi="Arial" w:cs="Arial"/>
          <w:i/>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u w:val="single"/>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r w:rsidRPr="0043253A">
        <w:rPr>
          <w:rFonts w:ascii="Arial" w:hAnsi="Arial" w:cs="Arial"/>
          <w:i/>
          <w:sz w:val="22"/>
          <w:szCs w:val="22"/>
        </w:rPr>
        <w:t>.</w:t>
      </w:r>
    </w:p>
    <w:p w:rsidR="0042398B" w:rsidRPr="0043253A" w:rsidRDefault="0042398B" w:rsidP="0042398B">
      <w:pPr>
        <w:pStyle w:val="Body1"/>
        <w:ind w:left="284"/>
        <w:rPr>
          <w:rFonts w:ascii="Arial" w:hAnsi="Arial" w:cs="Arial"/>
          <w:i/>
          <w:sz w:val="22"/>
          <w:szCs w:val="22"/>
        </w:rPr>
      </w:pPr>
    </w:p>
    <w:p w:rsidR="0042398B" w:rsidRPr="0043253A" w:rsidRDefault="0042398B" w:rsidP="0042398B">
      <w:pPr>
        <w:pStyle w:val="Body1"/>
        <w:ind w:left="284"/>
        <w:rPr>
          <w:rFonts w:ascii="Arial" w:hAnsi="Arial" w:cs="Arial"/>
          <w:i/>
          <w:sz w:val="22"/>
          <w:szCs w:val="22"/>
        </w:rPr>
      </w:pPr>
      <w:r w:rsidRPr="0043253A">
        <w:rPr>
          <w:rFonts w:ascii="Arial" w:hAnsi="Arial" w:cs="Arial"/>
          <w:i/>
          <w:sz w:val="22"/>
          <w:szCs w:val="22"/>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En virtud de lo anterior, el Congreso de la República profirió la Ley 1787 del 6 de julio de 2016, mediante la cual se reglamentó el Acto Legislativo 02 de 2009 y cuyo objeto fue la creación de un marco regulatorio que permita el acceso seguro e informado al uso médico y científico del cannabis y sus derivados en el territorio nacional colombiano.</w:t>
      </w:r>
    </w:p>
    <w:p w:rsidR="0042398B" w:rsidRPr="0043253A" w:rsidRDefault="0042398B" w:rsidP="0042398B">
      <w:pPr>
        <w:pStyle w:val="Body1"/>
        <w:rPr>
          <w:rFonts w:ascii="Arial" w:hAnsi="Arial" w:cs="Arial"/>
          <w:b/>
          <w:sz w:val="22"/>
          <w:szCs w:val="22"/>
        </w:rPr>
      </w:pPr>
    </w:p>
    <w:p w:rsidR="0042398B" w:rsidRPr="0043253A" w:rsidRDefault="000F7CE5" w:rsidP="0042398B">
      <w:pPr>
        <w:pStyle w:val="Body1"/>
        <w:rPr>
          <w:rFonts w:ascii="Arial" w:hAnsi="Arial" w:cs="Arial"/>
          <w:sz w:val="22"/>
          <w:szCs w:val="22"/>
        </w:rPr>
      </w:pPr>
      <w:r>
        <w:rPr>
          <w:rFonts w:ascii="Arial" w:hAnsi="Arial" w:cs="Arial"/>
          <w:sz w:val="22"/>
          <w:szCs w:val="22"/>
        </w:rPr>
        <w:t>El Artículo t</w:t>
      </w:r>
      <w:r w:rsidR="0042398B" w:rsidRPr="0043253A">
        <w:rPr>
          <w:rFonts w:ascii="Arial" w:hAnsi="Arial" w:cs="Arial"/>
          <w:sz w:val="22"/>
          <w:szCs w:val="22"/>
        </w:rPr>
        <w:t>ercero de la Ley 1787 de 2016 dispone que: El Estado asumirá el control y la regulación de las actividades de cultivo, producción, fabricación, adquisición a cualquier título, importación, exportación, almacenamiento, transporte, comercialización, distribución, uso y posesión de las semillas de la planta de cannabis, del cannabis, de sus derivados y de los productos que lo contengan con fines medicinales y científicos, en los términos y condiciones que al respecto fije la reglamentación.</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En virtud de lo anterior, los Ministerios de Salud y Protección Social, de Justicia y del Derecho, de Agricultura y Desarrollo Rural y el Departamento Administrativo de Presidencia de la República, profirieron el Decreto 613 de 2017, mediante el cual se reglamenta el acceso seguro e informado al uso médico y científico del cannabis.</w:t>
      </w:r>
    </w:p>
    <w:p w:rsidR="0042398B" w:rsidRPr="0043253A" w:rsidRDefault="0042398B" w:rsidP="0042398B">
      <w:pPr>
        <w:pStyle w:val="Body1"/>
        <w:rPr>
          <w:rFonts w:ascii="Arial" w:hAnsi="Arial" w:cs="Arial"/>
          <w:sz w:val="22"/>
          <w:szCs w:val="22"/>
        </w:rPr>
      </w:pPr>
    </w:p>
    <w:p w:rsidR="0042398B" w:rsidRPr="0043253A" w:rsidRDefault="0043253A" w:rsidP="0042398B">
      <w:pPr>
        <w:pStyle w:val="Body1"/>
        <w:rPr>
          <w:rFonts w:ascii="Arial" w:hAnsi="Arial" w:cs="Arial"/>
          <w:sz w:val="22"/>
          <w:szCs w:val="22"/>
        </w:rPr>
      </w:pPr>
      <w:r w:rsidRPr="0043253A">
        <w:rPr>
          <w:rFonts w:ascii="Arial" w:hAnsi="Arial" w:cs="Arial"/>
          <w:sz w:val="22"/>
          <w:szCs w:val="22"/>
        </w:rPr>
        <w:t>El mencionado decreto, creó</w:t>
      </w:r>
      <w:r w:rsidR="0042398B" w:rsidRPr="0043253A">
        <w:rPr>
          <w:rFonts w:ascii="Arial" w:hAnsi="Arial" w:cs="Arial"/>
          <w:sz w:val="22"/>
          <w:szCs w:val="22"/>
        </w:rPr>
        <w:t xml:space="preserve"> los cuatro tipos de licencias que existen actualmente en nuestro ordenamiento jurídico, a saber: </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numPr>
          <w:ilvl w:val="0"/>
          <w:numId w:val="18"/>
        </w:numPr>
        <w:rPr>
          <w:rFonts w:ascii="Arial" w:hAnsi="Arial" w:cs="Arial"/>
          <w:sz w:val="22"/>
          <w:szCs w:val="22"/>
        </w:rPr>
      </w:pPr>
      <w:r w:rsidRPr="0043253A">
        <w:rPr>
          <w:rFonts w:ascii="Arial" w:hAnsi="Arial" w:cs="Arial"/>
          <w:sz w:val="22"/>
          <w:szCs w:val="22"/>
        </w:rPr>
        <w:t xml:space="preserve">Licencia de fabricación de derivados de cannabis, a cargo del Ministerio de Salud y Protección Social. </w:t>
      </w:r>
    </w:p>
    <w:p w:rsidR="0042398B" w:rsidRPr="0043253A" w:rsidRDefault="0042398B" w:rsidP="0042398B">
      <w:pPr>
        <w:pStyle w:val="Body1"/>
        <w:ind w:left="780"/>
        <w:rPr>
          <w:rFonts w:ascii="Arial" w:hAnsi="Arial" w:cs="Arial"/>
          <w:sz w:val="22"/>
          <w:szCs w:val="22"/>
        </w:rPr>
      </w:pPr>
    </w:p>
    <w:p w:rsidR="0042398B" w:rsidRPr="0043253A" w:rsidRDefault="0042398B" w:rsidP="0042398B">
      <w:pPr>
        <w:pStyle w:val="Body1"/>
        <w:numPr>
          <w:ilvl w:val="0"/>
          <w:numId w:val="18"/>
        </w:numPr>
        <w:rPr>
          <w:rFonts w:ascii="Arial" w:hAnsi="Arial" w:cs="Arial"/>
          <w:sz w:val="22"/>
          <w:szCs w:val="22"/>
        </w:rPr>
      </w:pPr>
      <w:r w:rsidRPr="0043253A">
        <w:rPr>
          <w:rFonts w:ascii="Arial" w:hAnsi="Arial" w:cs="Arial"/>
          <w:sz w:val="22"/>
          <w:szCs w:val="22"/>
        </w:rPr>
        <w:t xml:space="preserve">Licencia de cultivo de plantas de cannabis psicoactivo, a cargo del Ministerio de Justicia y del Derecho. </w:t>
      </w:r>
    </w:p>
    <w:p w:rsidR="0042398B" w:rsidRPr="0043253A" w:rsidRDefault="0042398B" w:rsidP="0042398B">
      <w:pPr>
        <w:pStyle w:val="Prrafodelista"/>
        <w:rPr>
          <w:rFonts w:ascii="Arial" w:hAnsi="Arial" w:cs="Arial"/>
          <w:sz w:val="22"/>
          <w:szCs w:val="22"/>
        </w:rPr>
      </w:pPr>
    </w:p>
    <w:p w:rsidR="0042398B" w:rsidRPr="0043253A" w:rsidRDefault="0042398B" w:rsidP="0042398B">
      <w:pPr>
        <w:pStyle w:val="Body1"/>
        <w:numPr>
          <w:ilvl w:val="0"/>
          <w:numId w:val="18"/>
        </w:numPr>
        <w:rPr>
          <w:rFonts w:ascii="Arial" w:hAnsi="Arial" w:cs="Arial"/>
          <w:sz w:val="22"/>
          <w:szCs w:val="22"/>
        </w:rPr>
      </w:pPr>
      <w:r w:rsidRPr="0043253A">
        <w:rPr>
          <w:rFonts w:ascii="Arial" w:hAnsi="Arial" w:cs="Arial"/>
          <w:sz w:val="22"/>
          <w:szCs w:val="22"/>
        </w:rPr>
        <w:t xml:space="preserve">Licencia de cultivo de plantas de cannabis no psicoactivo, a cargo del Ministerio de Justicia y del Derecho. </w:t>
      </w:r>
    </w:p>
    <w:p w:rsidR="0042398B" w:rsidRPr="0043253A" w:rsidRDefault="0042398B" w:rsidP="0042398B">
      <w:pPr>
        <w:pStyle w:val="Prrafodelista"/>
        <w:rPr>
          <w:rFonts w:ascii="Arial" w:hAnsi="Arial" w:cs="Arial"/>
          <w:sz w:val="22"/>
          <w:szCs w:val="22"/>
        </w:rPr>
      </w:pPr>
    </w:p>
    <w:p w:rsidR="0042398B" w:rsidRPr="0043253A" w:rsidRDefault="0042398B" w:rsidP="0042398B">
      <w:pPr>
        <w:pStyle w:val="Body1"/>
        <w:numPr>
          <w:ilvl w:val="0"/>
          <w:numId w:val="18"/>
        </w:numPr>
        <w:rPr>
          <w:rFonts w:ascii="Arial" w:hAnsi="Arial" w:cs="Arial"/>
          <w:sz w:val="22"/>
          <w:szCs w:val="22"/>
        </w:rPr>
      </w:pPr>
      <w:r w:rsidRPr="0043253A">
        <w:rPr>
          <w:rFonts w:ascii="Arial" w:hAnsi="Arial" w:cs="Arial"/>
          <w:sz w:val="22"/>
          <w:szCs w:val="22"/>
        </w:rPr>
        <w:t xml:space="preserve">Licencia de uso de semillas para siembra, a cargo del Ministerio de Justicia y del Derecho. </w:t>
      </w:r>
    </w:p>
    <w:p w:rsidR="0042398B" w:rsidRPr="0043253A" w:rsidRDefault="0042398B" w:rsidP="0042398B">
      <w:pPr>
        <w:pStyle w:val="Prrafodelista"/>
        <w:rPr>
          <w:rFonts w:ascii="Arial" w:hAnsi="Arial" w:cs="Arial"/>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 xml:space="preserve">De igual forma, y en atención a lo establecido en la Convención Única sobre Estupefacientes de 1961, enmendada por el Protocolo de 1972 y aprobada en nuestro ordenamiento jurídico mediante la Ley 13 de 1974, se creó la figura de los cupos, y se permitió que cada uno de los Ministerios a cargo de proferir licencias relacionadas con cannabis psicoactivo, es decir aquel cuyo peso seco supera el 1% de THC, reglamentara los requisitos y formas de acceso a los cupos nacionales, con vista en el cupo internacional que la Junta Internacional de Fiscalización de Estupefacientes – JIFE, otorgue anualmente a Colombia para la producción de cannabis y sus derivados con contenido psicoactivo. </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i/>
          <w:sz w:val="22"/>
          <w:szCs w:val="22"/>
        </w:rPr>
      </w:pPr>
      <w:r w:rsidRPr="0043253A">
        <w:rPr>
          <w:rFonts w:ascii="Arial" w:hAnsi="Arial" w:cs="Arial"/>
          <w:sz w:val="22"/>
          <w:szCs w:val="22"/>
        </w:rPr>
        <w:t xml:space="preserve">De esta forma, el Ministerio de Salud y Protección Social profirió la Resolución 2892 de 2017 </w:t>
      </w:r>
      <w:r w:rsidRPr="0043253A">
        <w:rPr>
          <w:rFonts w:ascii="Arial" w:hAnsi="Arial" w:cs="Arial"/>
          <w:i/>
          <w:sz w:val="22"/>
          <w:szCs w:val="22"/>
        </w:rPr>
        <w:t xml:space="preserve">“Por medio de la cual se expide reglamentación técnica asociada al otorgamiento de la licencia para la producción y fabricación de derivados de Cannabis”. </w:t>
      </w:r>
    </w:p>
    <w:p w:rsidR="0042398B" w:rsidRPr="0043253A" w:rsidRDefault="0042398B" w:rsidP="0042398B">
      <w:pPr>
        <w:pStyle w:val="Body1"/>
        <w:rPr>
          <w:rFonts w:ascii="Arial" w:hAnsi="Arial" w:cs="Arial"/>
          <w:i/>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 xml:space="preserve">Por otra parte, el Ministerio de Justicia y del Derecho profirió la Resolución 577 de 2017, </w:t>
      </w:r>
      <w:r w:rsidRPr="0043253A">
        <w:rPr>
          <w:rFonts w:ascii="Arial" w:hAnsi="Arial" w:cs="Arial"/>
          <w:i/>
          <w:sz w:val="22"/>
          <w:szCs w:val="22"/>
        </w:rPr>
        <w:t>“Por la cual se regula técnicamente lo establecido en el Decreto 613 de 2017 (…)”</w:t>
      </w:r>
      <w:r w:rsidRPr="0043253A">
        <w:rPr>
          <w:rFonts w:ascii="Arial" w:hAnsi="Arial" w:cs="Arial"/>
          <w:sz w:val="22"/>
          <w:szCs w:val="22"/>
        </w:rPr>
        <w:t>.</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 xml:space="preserve">Adicionalmente, el Decreto 613 de 2017, en su Artículo 2.8.11.11.1. reguló la figura de la fuente semillera como una forma de inscribir en el Registro Nacional de Cultivares Comerciales las semillas de cannabis preexistentes en territorio colombiano. </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sz w:val="22"/>
          <w:szCs w:val="22"/>
        </w:rPr>
      </w:pPr>
      <w:r w:rsidRPr="0043253A">
        <w:rPr>
          <w:rFonts w:ascii="Arial" w:hAnsi="Arial" w:cs="Arial"/>
          <w:sz w:val="22"/>
          <w:szCs w:val="22"/>
        </w:rPr>
        <w:t xml:space="preserve">Dicha figura fue reglamentada de una forma más adecuada mediante el Decreto 631 de 2018, que reglamentó el procedimiento por remisión a la Resolución 3198 de 2015 proferida por el Instituto Colombiano Agropecuario – ICA. </w:t>
      </w:r>
    </w:p>
    <w:p w:rsidR="0042398B" w:rsidRPr="0043253A" w:rsidRDefault="0042398B" w:rsidP="0042398B">
      <w:pPr>
        <w:pStyle w:val="Body1"/>
        <w:rPr>
          <w:rFonts w:ascii="Arial" w:hAnsi="Arial" w:cs="Arial"/>
          <w:sz w:val="22"/>
          <w:szCs w:val="22"/>
        </w:rPr>
      </w:pPr>
    </w:p>
    <w:p w:rsidR="0042398B" w:rsidRPr="0043253A" w:rsidRDefault="0042398B" w:rsidP="0042398B">
      <w:pPr>
        <w:pStyle w:val="Body1"/>
        <w:rPr>
          <w:rFonts w:ascii="Arial" w:hAnsi="Arial" w:cs="Arial"/>
          <w:sz w:val="22"/>
          <w:szCs w:val="22"/>
        </w:rPr>
      </w:pPr>
    </w:p>
    <w:p w:rsidR="0042398B" w:rsidRPr="0043253A" w:rsidRDefault="0042398B" w:rsidP="000F7CE5">
      <w:pPr>
        <w:pStyle w:val="Body1"/>
        <w:numPr>
          <w:ilvl w:val="1"/>
          <w:numId w:val="20"/>
        </w:numPr>
        <w:rPr>
          <w:rFonts w:ascii="Arial" w:hAnsi="Arial" w:cs="Arial"/>
          <w:b/>
          <w:sz w:val="22"/>
          <w:szCs w:val="22"/>
        </w:rPr>
      </w:pPr>
      <w:r w:rsidRPr="0043253A">
        <w:rPr>
          <w:rFonts w:ascii="Arial" w:hAnsi="Arial" w:cs="Arial"/>
          <w:b/>
          <w:sz w:val="22"/>
          <w:szCs w:val="22"/>
        </w:rPr>
        <w:t xml:space="preserve">Justificación </w:t>
      </w:r>
      <w:r w:rsidR="0043253A" w:rsidRPr="0043253A">
        <w:rPr>
          <w:rFonts w:ascii="Arial" w:hAnsi="Arial" w:cs="Arial"/>
          <w:b/>
          <w:sz w:val="22"/>
          <w:szCs w:val="22"/>
        </w:rPr>
        <w:t>articulado (capítulo III)</w:t>
      </w:r>
    </w:p>
    <w:p w:rsidR="0042398B" w:rsidRPr="0043253A" w:rsidRDefault="0042398B" w:rsidP="0042398B">
      <w:pPr>
        <w:pStyle w:val="Body1"/>
        <w:rPr>
          <w:rFonts w:ascii="Arial" w:hAnsi="Arial" w:cs="Arial"/>
          <w:sz w:val="22"/>
          <w:szCs w:val="22"/>
        </w:rPr>
      </w:pPr>
    </w:p>
    <w:p w:rsidR="0042398B" w:rsidRPr="0043253A" w:rsidRDefault="0042398B" w:rsidP="0042398B">
      <w:pPr>
        <w:jc w:val="both"/>
        <w:rPr>
          <w:rFonts w:ascii="Arial" w:hAnsi="Arial" w:cs="Arial"/>
          <w:bCs/>
          <w:sz w:val="22"/>
          <w:szCs w:val="22"/>
          <w:u w:color="222222"/>
        </w:rPr>
      </w:pPr>
      <w:bookmarkStart w:id="2" w:name="_Hlk530408207"/>
      <w:r w:rsidRPr="0043253A">
        <w:rPr>
          <w:rFonts w:ascii="Arial" w:hAnsi="Arial" w:cs="Arial"/>
          <w:bCs/>
          <w:sz w:val="22"/>
          <w:szCs w:val="22"/>
          <w:u w:color="222222"/>
        </w:rPr>
        <w:t xml:space="preserve">El marco regulatorio anteriormente indicado ha permitido que en Colombia se desarrolle el mercado de cannabis con fines medicinales y/o científicos con bastante éxito. </w:t>
      </w:r>
    </w:p>
    <w:p w:rsidR="0042398B" w:rsidRPr="0043253A" w:rsidRDefault="0042398B" w:rsidP="0042398B">
      <w:pPr>
        <w:jc w:val="both"/>
        <w:rPr>
          <w:rFonts w:ascii="Arial" w:hAnsi="Arial" w:cs="Arial"/>
          <w:bCs/>
          <w:sz w:val="22"/>
          <w:szCs w:val="22"/>
          <w:u w:color="222222"/>
        </w:rPr>
      </w:pPr>
    </w:p>
    <w:p w:rsidR="0042398B" w:rsidRPr="0043253A" w:rsidRDefault="0042398B" w:rsidP="0042398B">
      <w:pPr>
        <w:jc w:val="both"/>
        <w:rPr>
          <w:rFonts w:ascii="Arial" w:hAnsi="Arial" w:cs="Arial"/>
          <w:bCs/>
          <w:sz w:val="22"/>
          <w:szCs w:val="22"/>
          <w:u w:color="222222"/>
        </w:rPr>
      </w:pPr>
      <w:r w:rsidRPr="0043253A">
        <w:rPr>
          <w:rFonts w:ascii="Arial" w:hAnsi="Arial" w:cs="Arial"/>
          <w:bCs/>
          <w:sz w:val="22"/>
          <w:szCs w:val="22"/>
          <w:u w:color="222222"/>
        </w:rPr>
        <w:t xml:space="preserve">A la fecha existen 84 licenciatarios de fabricación de derivados, 21 licenciatarios de uso de semillas para siembra, 71 licenciatarios de cultivo de plantas de cannabis psicoactivo, y 101 licenciatarios de cultivo de plantas no psicoactivo, para un total de </w:t>
      </w:r>
      <w:r w:rsidRPr="0043253A">
        <w:rPr>
          <w:rFonts w:ascii="Arial" w:hAnsi="Arial" w:cs="Arial"/>
          <w:sz w:val="22"/>
          <w:szCs w:val="22"/>
        </w:rPr>
        <w:t>193 licencias para el uso médico y científico del cannabis en el país, expedidas por</w:t>
      </w:r>
      <w:r w:rsidRPr="0043253A">
        <w:rPr>
          <w:rFonts w:ascii="Arial" w:hAnsi="Arial" w:cs="Arial"/>
          <w:bCs/>
          <w:sz w:val="22"/>
          <w:szCs w:val="22"/>
          <w:u w:color="222222"/>
        </w:rPr>
        <w:t xml:space="preserve"> </w:t>
      </w:r>
      <w:r w:rsidRPr="0043253A">
        <w:rPr>
          <w:rFonts w:ascii="Arial" w:hAnsi="Arial" w:cs="Arial"/>
          <w:sz w:val="22"/>
          <w:szCs w:val="22"/>
        </w:rPr>
        <w:t>la Subdirección de Control y Fiscalización de Sustancias Químicas y Estupefacientes del Ministerio de Justicia</w:t>
      </w:r>
      <w:r w:rsidRPr="0043253A">
        <w:rPr>
          <w:rStyle w:val="Refdenotaalpie"/>
          <w:rFonts w:ascii="Arial" w:hAnsi="Arial" w:cs="Arial"/>
          <w:bCs/>
          <w:sz w:val="22"/>
          <w:szCs w:val="22"/>
          <w:u w:color="222222"/>
        </w:rPr>
        <w:footnoteReference w:id="2"/>
      </w:r>
      <w:r w:rsidRPr="0043253A">
        <w:rPr>
          <w:rFonts w:ascii="Arial" w:hAnsi="Arial" w:cs="Arial"/>
          <w:bCs/>
          <w:sz w:val="22"/>
          <w:szCs w:val="22"/>
          <w:u w:color="222222"/>
        </w:rPr>
        <w:t xml:space="preserve">. </w:t>
      </w:r>
    </w:p>
    <w:p w:rsidR="0042398B" w:rsidRPr="0043253A" w:rsidRDefault="0042398B" w:rsidP="0042398B">
      <w:pPr>
        <w:jc w:val="both"/>
        <w:rPr>
          <w:rFonts w:ascii="Arial" w:hAnsi="Arial" w:cs="Arial"/>
          <w:bCs/>
          <w:sz w:val="22"/>
          <w:szCs w:val="22"/>
          <w:u w:color="222222"/>
        </w:rPr>
      </w:pPr>
    </w:p>
    <w:p w:rsidR="0042398B" w:rsidRPr="0043253A" w:rsidRDefault="0042398B" w:rsidP="0042398B">
      <w:pPr>
        <w:jc w:val="both"/>
        <w:rPr>
          <w:rFonts w:ascii="Arial" w:hAnsi="Arial" w:cs="Arial"/>
          <w:bCs/>
          <w:sz w:val="22"/>
          <w:szCs w:val="22"/>
          <w:u w:color="222222"/>
        </w:rPr>
      </w:pPr>
      <w:r w:rsidRPr="0043253A">
        <w:rPr>
          <w:rFonts w:ascii="Arial" w:hAnsi="Arial" w:cs="Arial"/>
          <w:bCs/>
          <w:sz w:val="22"/>
          <w:szCs w:val="22"/>
          <w:u w:color="222222"/>
        </w:rPr>
        <w:t xml:space="preserve">De igual forma, Colombia cuenta con el cupo más grande de producción de cannabis con contenido psicoactivo concedido por la Junta Internacional de Fiscalización de Estupefacientes - JIFE, lo que ha permitido que ingresen en territorio nacional una gran cantidad de inversionistas extranjeros que pretenden adelantar sus proyectos bajo los más altos estándares de calidad. </w:t>
      </w:r>
    </w:p>
    <w:p w:rsidR="0042398B" w:rsidRPr="0043253A" w:rsidRDefault="0042398B" w:rsidP="0042398B">
      <w:pPr>
        <w:jc w:val="both"/>
        <w:rPr>
          <w:rFonts w:ascii="Arial" w:hAnsi="Arial" w:cs="Arial"/>
          <w:bCs/>
          <w:sz w:val="22"/>
          <w:szCs w:val="22"/>
          <w:u w:color="222222"/>
        </w:rPr>
      </w:pPr>
    </w:p>
    <w:p w:rsidR="0042398B" w:rsidRPr="0043253A" w:rsidRDefault="0042398B" w:rsidP="0042398B">
      <w:pPr>
        <w:jc w:val="both"/>
        <w:rPr>
          <w:rFonts w:ascii="Arial" w:hAnsi="Arial" w:cs="Arial"/>
          <w:bCs/>
          <w:sz w:val="22"/>
          <w:szCs w:val="22"/>
          <w:u w:color="222222"/>
        </w:rPr>
      </w:pPr>
      <w:r w:rsidRPr="0043253A">
        <w:rPr>
          <w:rFonts w:ascii="Arial" w:hAnsi="Arial" w:cs="Arial"/>
          <w:bCs/>
          <w:sz w:val="22"/>
          <w:szCs w:val="22"/>
          <w:u w:color="222222"/>
        </w:rPr>
        <w:t xml:space="preserve">Sin embargo, no existe en Colombia un régimen tributario especial para la cadena de producción de derivados del cannabis. </w:t>
      </w:r>
      <w:r w:rsidRPr="0043253A">
        <w:rPr>
          <w:rFonts w:ascii="Arial" w:hAnsi="Arial" w:cs="Arial"/>
          <w:bCs/>
          <w:color w:val="000000" w:themeColor="text1"/>
          <w:sz w:val="22"/>
          <w:szCs w:val="22"/>
          <w:u w:color="222222"/>
        </w:rPr>
        <w:t>La ausencia de una regulación tributaria clara para el ejercicio de esta nueva actividad económica en Colombia genera como consecuencias:</w:t>
      </w:r>
    </w:p>
    <w:p w:rsidR="0042398B" w:rsidRPr="0043253A" w:rsidRDefault="0042398B" w:rsidP="0042398B">
      <w:pPr>
        <w:jc w:val="both"/>
        <w:rPr>
          <w:rFonts w:ascii="Arial" w:hAnsi="Arial" w:cs="Arial"/>
          <w:bCs/>
          <w:color w:val="000000" w:themeColor="text1"/>
          <w:sz w:val="22"/>
          <w:szCs w:val="22"/>
          <w:u w:color="222222"/>
        </w:rPr>
      </w:pPr>
    </w:p>
    <w:p w:rsidR="0042398B" w:rsidRPr="0043253A" w:rsidRDefault="0042398B" w:rsidP="0042398B">
      <w:pPr>
        <w:pStyle w:val="Prrafodelista"/>
        <w:numPr>
          <w:ilvl w:val="0"/>
          <w:numId w:val="19"/>
        </w:numPr>
        <w:jc w:val="both"/>
        <w:rPr>
          <w:rFonts w:ascii="Arial" w:hAnsi="Arial" w:cs="Arial"/>
          <w:bCs/>
          <w:color w:val="000000" w:themeColor="text1"/>
          <w:sz w:val="22"/>
          <w:szCs w:val="22"/>
          <w:u w:color="222222"/>
        </w:rPr>
      </w:pPr>
      <w:r w:rsidRPr="0043253A">
        <w:rPr>
          <w:rFonts w:ascii="Arial" w:hAnsi="Arial" w:cs="Arial"/>
          <w:bCs/>
          <w:color w:val="000000" w:themeColor="text1"/>
          <w:sz w:val="22"/>
          <w:szCs w:val="22"/>
          <w:u w:color="222222"/>
        </w:rPr>
        <w:t>Falta de confianza de inversionistas nacionales y extranjeros respecto al ejercicio de la actividad en Colombia.</w:t>
      </w:r>
    </w:p>
    <w:p w:rsidR="0042398B" w:rsidRPr="0043253A" w:rsidRDefault="0042398B" w:rsidP="0042398B">
      <w:pPr>
        <w:pStyle w:val="Prrafodelista"/>
        <w:numPr>
          <w:ilvl w:val="0"/>
          <w:numId w:val="19"/>
        </w:numPr>
        <w:jc w:val="both"/>
        <w:rPr>
          <w:rFonts w:ascii="Arial" w:hAnsi="Arial" w:cs="Arial"/>
          <w:bCs/>
          <w:color w:val="000000" w:themeColor="text1"/>
          <w:sz w:val="22"/>
          <w:szCs w:val="22"/>
          <w:u w:color="222222"/>
        </w:rPr>
      </w:pPr>
      <w:r w:rsidRPr="0043253A">
        <w:rPr>
          <w:rFonts w:ascii="Arial" w:hAnsi="Arial" w:cs="Arial"/>
          <w:bCs/>
          <w:color w:val="000000" w:themeColor="text1"/>
          <w:sz w:val="22"/>
          <w:szCs w:val="22"/>
          <w:u w:color="222222"/>
        </w:rPr>
        <w:t>Prevención dentro del sector financiero para apalancar las inversiones y apoyar a las nuevas empresas dedicadas al ejercicio de las distintas etapas de la cadena de producción de esta actividad económica.</w:t>
      </w:r>
    </w:p>
    <w:p w:rsidR="0042398B" w:rsidRPr="0043253A" w:rsidRDefault="0042398B" w:rsidP="0042398B">
      <w:pPr>
        <w:pStyle w:val="Prrafodelista"/>
        <w:numPr>
          <w:ilvl w:val="0"/>
          <w:numId w:val="19"/>
        </w:numPr>
        <w:jc w:val="both"/>
        <w:rPr>
          <w:rFonts w:ascii="Arial" w:hAnsi="Arial" w:cs="Arial"/>
          <w:bCs/>
          <w:color w:val="000000" w:themeColor="text1"/>
          <w:sz w:val="22"/>
          <w:szCs w:val="22"/>
          <w:u w:color="222222"/>
        </w:rPr>
      </w:pPr>
      <w:r w:rsidRPr="0043253A">
        <w:rPr>
          <w:rFonts w:ascii="Arial" w:hAnsi="Arial" w:cs="Arial"/>
          <w:bCs/>
          <w:color w:val="000000" w:themeColor="text1"/>
          <w:sz w:val="22"/>
          <w:szCs w:val="22"/>
          <w:u w:color="222222"/>
        </w:rPr>
        <w:t>Prevención de las autoridades públicas a nivel territorial frente al ingreso de cultivos, fábricas y empresas dedicadas a la producción de cannabis para uso médico.</w:t>
      </w:r>
    </w:p>
    <w:p w:rsidR="0042398B" w:rsidRPr="0043253A" w:rsidRDefault="0042398B" w:rsidP="0042398B">
      <w:pPr>
        <w:pStyle w:val="Prrafodelista"/>
        <w:numPr>
          <w:ilvl w:val="0"/>
          <w:numId w:val="19"/>
        </w:numPr>
        <w:jc w:val="both"/>
        <w:rPr>
          <w:rFonts w:ascii="Arial" w:hAnsi="Arial" w:cs="Arial"/>
          <w:bCs/>
          <w:sz w:val="22"/>
          <w:szCs w:val="22"/>
          <w:u w:color="222222"/>
        </w:rPr>
      </w:pPr>
      <w:r w:rsidRPr="0043253A">
        <w:rPr>
          <w:rFonts w:ascii="Arial" w:hAnsi="Arial" w:cs="Arial"/>
          <w:bCs/>
          <w:color w:val="000000" w:themeColor="text1"/>
          <w:sz w:val="22"/>
          <w:szCs w:val="22"/>
          <w:u w:color="222222"/>
        </w:rPr>
        <w:t>Dificultades por parte del Estado, a través de las entidades territoriales, para captar los recursos que, por concepto de tributos, impuestos, tasas y contribuciones aplicables a la producción de semillas para siembra, plantas y generación de productos derivados de las plantas de cannabis, pueden recaudarse en las respectivas entidades territoriales.</w:t>
      </w:r>
    </w:p>
    <w:p w:rsidR="0042398B" w:rsidRPr="0043253A" w:rsidRDefault="0042398B" w:rsidP="0042398B">
      <w:pPr>
        <w:pStyle w:val="Prrafodelista"/>
        <w:numPr>
          <w:ilvl w:val="0"/>
          <w:numId w:val="19"/>
        </w:numPr>
        <w:jc w:val="both"/>
        <w:rPr>
          <w:rFonts w:ascii="Arial" w:eastAsia="Arial Unicode MS" w:hAnsi="Arial" w:cs="Arial"/>
          <w:sz w:val="22"/>
          <w:szCs w:val="22"/>
        </w:rPr>
      </w:pPr>
      <w:r w:rsidRPr="0043253A">
        <w:rPr>
          <w:rFonts w:ascii="Arial" w:hAnsi="Arial" w:cs="Arial"/>
          <w:bCs/>
          <w:color w:val="000000" w:themeColor="text1"/>
          <w:sz w:val="22"/>
          <w:szCs w:val="22"/>
          <w:u w:color="222222"/>
        </w:rPr>
        <w:t>Imposibilidad de canalizar recursos provenientes del ejercicio de esta nueva actividad económica para el desarrollo de programas y proyectos enfocados en la educación y prevención del consumo de sustancias estupefacientes para uso recreativo, programas de rehabilitación del adicto, deporte y otro tipo de iniciativas específicas que atiendan las necesidades de cada uno de los departamentos.</w:t>
      </w:r>
      <w:r w:rsidRPr="0043253A">
        <w:rPr>
          <w:rFonts w:ascii="Arial" w:eastAsia="Arial Unicode MS" w:hAnsi="Arial" w:cs="Arial"/>
          <w:sz w:val="22"/>
          <w:szCs w:val="22"/>
        </w:rPr>
        <w:t xml:space="preserve"> </w:t>
      </w:r>
    </w:p>
    <w:p w:rsidR="0042398B" w:rsidRPr="0043253A" w:rsidRDefault="0042398B" w:rsidP="0042398B">
      <w:pPr>
        <w:jc w:val="both"/>
        <w:rPr>
          <w:rFonts w:ascii="Arial" w:hAnsi="Arial" w:cs="Arial"/>
          <w:bCs/>
          <w:sz w:val="22"/>
          <w:szCs w:val="22"/>
          <w:u w:color="222222"/>
        </w:rPr>
      </w:pPr>
      <w:r w:rsidRPr="0043253A">
        <w:rPr>
          <w:rFonts w:ascii="Arial" w:hAnsi="Arial" w:cs="Arial"/>
          <w:bCs/>
          <w:color w:val="000000" w:themeColor="text1"/>
          <w:sz w:val="22"/>
          <w:szCs w:val="22"/>
          <w:u w:color="222222"/>
        </w:rPr>
        <w:t xml:space="preserve">  </w:t>
      </w:r>
    </w:p>
    <w:p w:rsidR="0042398B" w:rsidRPr="0043253A" w:rsidRDefault="0042398B" w:rsidP="0042398B">
      <w:pPr>
        <w:jc w:val="both"/>
        <w:rPr>
          <w:rFonts w:ascii="Arial" w:hAnsi="Arial" w:cs="Arial"/>
          <w:bCs/>
          <w:color w:val="000000" w:themeColor="text1"/>
          <w:sz w:val="22"/>
          <w:szCs w:val="22"/>
          <w:u w:color="222222"/>
        </w:rPr>
      </w:pPr>
      <w:r w:rsidRPr="0043253A">
        <w:rPr>
          <w:rFonts w:ascii="Arial" w:hAnsi="Arial" w:cs="Arial"/>
          <w:bCs/>
          <w:color w:val="000000" w:themeColor="text1"/>
          <w:sz w:val="22"/>
          <w:szCs w:val="22"/>
          <w:u w:color="222222"/>
        </w:rPr>
        <w:t xml:space="preserve">Por las anteriores consideraciones se considera importante y urgente que el Honorable Congreso de la República revise e impulse </w:t>
      </w:r>
      <w:bookmarkStart w:id="3" w:name="_Hlk530413880"/>
      <w:bookmarkEnd w:id="2"/>
      <w:r w:rsidRPr="0043253A">
        <w:rPr>
          <w:rFonts w:ascii="Arial" w:hAnsi="Arial" w:cs="Arial"/>
          <w:bCs/>
          <w:color w:val="000000" w:themeColor="text1"/>
          <w:sz w:val="22"/>
          <w:szCs w:val="22"/>
          <w:u w:color="222222"/>
        </w:rPr>
        <w:t xml:space="preserve">una regulación tributaria clara para el ejercicio de </w:t>
      </w:r>
      <w:r w:rsidRPr="0043253A">
        <w:rPr>
          <w:rFonts w:ascii="Arial" w:eastAsia="Arial Unicode MS" w:hAnsi="Arial" w:cs="Arial"/>
          <w:sz w:val="22"/>
          <w:szCs w:val="22"/>
        </w:rPr>
        <w:t>la producción de semillas para siembra, para las plantas y cultivos de cannabis y derivados de cannabis con fines medicinales.</w:t>
      </w:r>
    </w:p>
    <w:bookmarkEnd w:id="3" w:displacedByCustomXml="next"/>
    <w:sdt>
      <w:sdtPr>
        <w:rPr>
          <w:rFonts w:ascii="Times New Roman" w:hAnsi="Times New Roman" w:cs="Times New Roman"/>
          <w:b w:val="0"/>
          <w:bCs w:val="0"/>
          <w:kern w:val="0"/>
          <w:sz w:val="22"/>
          <w:szCs w:val="22"/>
          <w:lang w:val="es-CO" w:eastAsia="es-ES_tradnl"/>
        </w:rPr>
        <w:id w:val="-2051755957"/>
        <w:docPartObj>
          <w:docPartGallery w:val="Bibliographies"/>
          <w:docPartUnique/>
        </w:docPartObj>
      </w:sdtPr>
      <w:sdtEndPr/>
      <w:sdtContent>
        <w:p w:rsidR="00853709" w:rsidRPr="0043253A" w:rsidRDefault="00853709" w:rsidP="00853709">
          <w:pPr>
            <w:pStyle w:val="Ttulo1"/>
            <w:spacing w:line="276" w:lineRule="auto"/>
            <w:jc w:val="both"/>
            <w:rPr>
              <w:sz w:val="22"/>
              <w:szCs w:val="22"/>
            </w:rPr>
          </w:pPr>
          <w:r w:rsidRPr="0043253A">
            <w:rPr>
              <w:sz w:val="22"/>
              <w:szCs w:val="22"/>
            </w:rPr>
            <w:t>Trabajos citados</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sz w:val="22"/>
              <w:szCs w:val="22"/>
            </w:rPr>
            <w:fldChar w:fldCharType="begin"/>
          </w:r>
          <w:r w:rsidRPr="0043253A">
            <w:rPr>
              <w:rFonts w:ascii="Arial" w:hAnsi="Arial" w:cs="Arial"/>
              <w:sz w:val="22"/>
              <w:szCs w:val="22"/>
            </w:rPr>
            <w:instrText>BIBLIOGRAPHY</w:instrText>
          </w:r>
          <w:r w:rsidRPr="0043253A">
            <w:rPr>
              <w:rFonts w:ascii="Arial" w:hAnsi="Arial" w:cs="Arial"/>
              <w:sz w:val="22"/>
              <w:szCs w:val="22"/>
            </w:rPr>
            <w:fldChar w:fldCharType="separate"/>
          </w:r>
          <w:r w:rsidRPr="0043253A">
            <w:rPr>
              <w:rFonts w:ascii="Arial" w:hAnsi="Arial" w:cs="Arial"/>
              <w:noProof/>
              <w:sz w:val="22"/>
              <w:szCs w:val="22"/>
              <w:lang w:val="es-ES"/>
            </w:rPr>
            <w:t xml:space="preserve">Corte Constitucional. (2013). C-615. </w:t>
          </w:r>
          <w:r w:rsidRPr="0043253A">
            <w:rPr>
              <w:rFonts w:ascii="Arial" w:hAnsi="Arial" w:cs="Arial"/>
              <w:i/>
              <w:iCs/>
              <w:noProof/>
              <w:sz w:val="22"/>
              <w:szCs w:val="22"/>
              <w:lang w:val="es-ES"/>
            </w:rPr>
            <w:t>C-615</w:t>
          </w:r>
          <w:r w:rsidRPr="0043253A">
            <w:rPr>
              <w:rFonts w:ascii="Arial" w:hAnsi="Arial" w:cs="Arial"/>
              <w:noProof/>
              <w:sz w:val="22"/>
              <w:szCs w:val="22"/>
              <w:lang w:val="es-ES"/>
            </w:rPr>
            <w:t>.</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Corte Constitucional. (2015). C-260. </w:t>
          </w:r>
          <w:r w:rsidRPr="0043253A">
            <w:rPr>
              <w:rFonts w:ascii="Arial" w:hAnsi="Arial" w:cs="Arial"/>
              <w:i/>
              <w:iCs/>
              <w:noProof/>
              <w:sz w:val="22"/>
              <w:szCs w:val="22"/>
              <w:lang w:val="es-ES"/>
            </w:rPr>
            <w:t>C-260</w:t>
          </w:r>
          <w:r w:rsidRPr="0043253A">
            <w:rPr>
              <w:rFonts w:ascii="Arial" w:hAnsi="Arial" w:cs="Arial"/>
              <w:noProof/>
              <w:sz w:val="22"/>
              <w:szCs w:val="22"/>
              <w:lang w:val="es-ES"/>
            </w:rPr>
            <w:t>.</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Sánchez Peña, M. C. (2012). Impuesto al consumo de licores, vinos, aperitivos y similares. En J. R. Piza Rodríguez, </w:t>
          </w:r>
          <w:r w:rsidRPr="0043253A">
            <w:rPr>
              <w:rFonts w:ascii="Arial" w:hAnsi="Arial" w:cs="Arial"/>
              <w:i/>
              <w:iCs/>
              <w:noProof/>
              <w:sz w:val="22"/>
              <w:szCs w:val="22"/>
              <w:lang w:val="es-ES"/>
            </w:rPr>
            <w:t>Régimen impositivo de la entidades territoriales en Colombia.</w:t>
          </w:r>
          <w:r w:rsidRPr="0043253A">
            <w:rPr>
              <w:rFonts w:ascii="Arial" w:hAnsi="Arial" w:cs="Arial"/>
              <w:noProof/>
              <w:sz w:val="22"/>
              <w:szCs w:val="22"/>
              <w:lang w:val="es-ES"/>
            </w:rPr>
            <w:t xml:space="preserve"> Bogotá: Universidad Externado de Colombia.</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Federación Nacional de Departamentos. (2018). </w:t>
          </w:r>
          <w:r w:rsidRPr="0043253A">
            <w:rPr>
              <w:rFonts w:ascii="Arial" w:hAnsi="Arial" w:cs="Arial"/>
              <w:i/>
              <w:iCs/>
              <w:noProof/>
              <w:sz w:val="22"/>
              <w:szCs w:val="22"/>
              <w:lang w:val="es-ES"/>
            </w:rPr>
            <w:t>Precio de venta de licores certificado por el DANE.</w:t>
          </w:r>
          <w:r w:rsidRPr="0043253A">
            <w:rPr>
              <w:rFonts w:ascii="Arial" w:hAnsi="Arial" w:cs="Arial"/>
              <w:noProof/>
              <w:sz w:val="22"/>
              <w:szCs w:val="22"/>
              <w:lang w:val="es-ES"/>
            </w:rPr>
            <w:t xml:space="preserve"> Bogotá.</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Vega, J. P. (11 de Septiembre de 2018). La fórmula para el cálculo del impuesto a licores deja en rojo a las regiones. </w:t>
          </w:r>
          <w:r w:rsidRPr="0043253A">
            <w:rPr>
              <w:rFonts w:ascii="Arial" w:hAnsi="Arial" w:cs="Arial"/>
              <w:i/>
              <w:iCs/>
              <w:noProof/>
              <w:sz w:val="22"/>
              <w:szCs w:val="22"/>
              <w:lang w:val="es-ES"/>
            </w:rPr>
            <w:t>La República</w:t>
          </w:r>
          <w:r w:rsidRPr="0043253A">
            <w:rPr>
              <w:rFonts w:ascii="Arial" w:hAnsi="Arial" w:cs="Arial"/>
              <w:noProof/>
              <w:sz w:val="22"/>
              <w:szCs w:val="22"/>
              <w:lang w:val="es-ES"/>
            </w:rPr>
            <w:t>.</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Montaño, J. (8 de septiembre de 2018). </w:t>
          </w:r>
          <w:r w:rsidRPr="0043253A">
            <w:rPr>
              <w:rFonts w:ascii="Arial" w:hAnsi="Arial" w:cs="Arial"/>
              <w:i/>
              <w:iCs/>
              <w:noProof/>
              <w:sz w:val="22"/>
              <w:szCs w:val="22"/>
              <w:lang w:val="es-ES"/>
            </w:rPr>
            <w:t>El Tiempo</w:t>
          </w:r>
          <w:r w:rsidRPr="0043253A">
            <w:rPr>
              <w:rFonts w:ascii="Arial" w:hAnsi="Arial" w:cs="Arial"/>
              <w:noProof/>
              <w:sz w:val="22"/>
              <w:szCs w:val="22"/>
              <w:lang w:val="es-ES"/>
            </w:rPr>
            <w:t>. Obtenido de El Tiempo: https://m.eltiempo.com/politica/gobierno/ivan-duque-autorizo-subir-impuestos-a-licores-265622</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Consumer &amp; Insight. (2018). </w:t>
          </w:r>
          <w:r w:rsidRPr="0043253A">
            <w:rPr>
              <w:rFonts w:ascii="Arial" w:hAnsi="Arial" w:cs="Arial"/>
              <w:i/>
              <w:iCs/>
              <w:noProof/>
              <w:sz w:val="22"/>
              <w:szCs w:val="22"/>
              <w:lang w:val="es-ES"/>
            </w:rPr>
            <w:t>Probabilidad de consumo de botellas aguardiente - Ron .</w:t>
          </w:r>
          <w:r w:rsidRPr="0043253A">
            <w:rPr>
              <w:rFonts w:ascii="Arial" w:hAnsi="Arial" w:cs="Arial"/>
              <w:noProof/>
              <w:sz w:val="22"/>
              <w:szCs w:val="22"/>
              <w:lang w:val="es-ES"/>
            </w:rPr>
            <w:t xml:space="preserve"> Bogotá .</w:t>
          </w:r>
        </w:p>
        <w:p w:rsidR="00853709" w:rsidRPr="0043253A" w:rsidRDefault="00853709" w:rsidP="00853709">
          <w:pPr>
            <w:pStyle w:val="Bibliografa"/>
            <w:spacing w:line="276" w:lineRule="auto"/>
            <w:ind w:left="720" w:hanging="720"/>
            <w:jc w:val="both"/>
            <w:rPr>
              <w:rFonts w:ascii="Arial" w:hAnsi="Arial" w:cs="Arial"/>
              <w:noProof/>
              <w:sz w:val="22"/>
              <w:szCs w:val="22"/>
              <w:lang w:val="es-ES"/>
            </w:rPr>
          </w:pPr>
          <w:r w:rsidRPr="0043253A">
            <w:rPr>
              <w:rFonts w:ascii="Arial" w:hAnsi="Arial" w:cs="Arial"/>
              <w:noProof/>
              <w:sz w:val="22"/>
              <w:szCs w:val="22"/>
              <w:lang w:val="es-ES"/>
            </w:rPr>
            <w:t xml:space="preserve">Banco de la República. (16 de marzo de 2019). </w:t>
          </w:r>
          <w:r w:rsidRPr="0043253A">
            <w:rPr>
              <w:rFonts w:ascii="Arial" w:hAnsi="Arial" w:cs="Arial"/>
              <w:i/>
              <w:iCs/>
              <w:noProof/>
              <w:sz w:val="22"/>
              <w:szCs w:val="22"/>
              <w:lang w:val="es-ES"/>
            </w:rPr>
            <w:t>Banco de la República</w:t>
          </w:r>
          <w:r w:rsidRPr="0043253A">
            <w:rPr>
              <w:rFonts w:ascii="Arial" w:hAnsi="Arial" w:cs="Arial"/>
              <w:noProof/>
              <w:sz w:val="22"/>
              <w:szCs w:val="22"/>
              <w:lang w:val="es-ES"/>
            </w:rPr>
            <w:t>. Obtenido de http://www.banrep.gov.co/es/encuesta-proyecciones-macroeconomicas</w:t>
          </w:r>
        </w:p>
        <w:p w:rsidR="00853709" w:rsidRPr="0043253A" w:rsidRDefault="00853709" w:rsidP="00853709">
          <w:pPr>
            <w:spacing w:line="276" w:lineRule="auto"/>
            <w:jc w:val="both"/>
            <w:rPr>
              <w:rFonts w:ascii="Arial" w:hAnsi="Arial" w:cs="Arial"/>
              <w:sz w:val="22"/>
              <w:szCs w:val="22"/>
            </w:rPr>
          </w:pPr>
          <w:r w:rsidRPr="0043253A">
            <w:rPr>
              <w:rFonts w:ascii="Arial" w:hAnsi="Arial" w:cs="Arial"/>
              <w:b/>
              <w:bCs/>
              <w:sz w:val="22"/>
              <w:szCs w:val="22"/>
            </w:rPr>
            <w:fldChar w:fldCharType="end"/>
          </w:r>
        </w:p>
      </w:sdtContent>
    </w:sdt>
    <w:p w:rsidR="00853709" w:rsidRDefault="00853709" w:rsidP="00853709">
      <w:pPr>
        <w:spacing w:line="276" w:lineRule="auto"/>
        <w:rPr>
          <w:rFonts w:ascii="Arial" w:hAnsi="Arial" w:cs="Arial"/>
          <w:b/>
          <w:sz w:val="22"/>
          <w:szCs w:val="22"/>
          <w:lang w:val="es-ES"/>
        </w:rPr>
      </w:pPr>
    </w:p>
    <w:p w:rsidR="0096275D" w:rsidRDefault="0096275D" w:rsidP="00853709">
      <w:pPr>
        <w:spacing w:line="276" w:lineRule="auto"/>
        <w:rPr>
          <w:rFonts w:ascii="Arial" w:hAnsi="Arial" w:cs="Arial"/>
          <w:b/>
          <w:sz w:val="22"/>
          <w:szCs w:val="22"/>
          <w:lang w:val="es-ES"/>
        </w:rPr>
      </w:pPr>
    </w:p>
    <w:p w:rsidR="0096275D" w:rsidRPr="0043253A" w:rsidRDefault="0096275D" w:rsidP="00853709">
      <w:pPr>
        <w:spacing w:line="276" w:lineRule="auto"/>
        <w:rPr>
          <w:rFonts w:ascii="Arial" w:hAnsi="Arial" w:cs="Arial"/>
          <w:b/>
          <w:sz w:val="22"/>
          <w:szCs w:val="22"/>
          <w:lang w:val="es-ES"/>
        </w:rPr>
      </w:pPr>
    </w:p>
    <w:p w:rsidR="0096275D" w:rsidRPr="0043253A" w:rsidRDefault="0096275D" w:rsidP="0096275D">
      <w:pPr>
        <w:rPr>
          <w:rFonts w:ascii="Arial" w:eastAsia="Arial Unicode MS" w:hAnsi="Arial" w:cs="Arial"/>
          <w:bCs/>
          <w:sz w:val="22"/>
          <w:szCs w:val="22"/>
        </w:rPr>
      </w:pPr>
      <w:r w:rsidRPr="0043253A">
        <w:rPr>
          <w:rFonts w:ascii="Arial" w:eastAsia="Arial Unicode MS" w:hAnsi="Arial" w:cs="Arial"/>
          <w:bCs/>
          <w:sz w:val="22"/>
          <w:szCs w:val="22"/>
        </w:rPr>
        <w:t xml:space="preserve">De los Honorables Congresistas, </w:t>
      </w:r>
    </w:p>
    <w:p w:rsidR="00853709" w:rsidRDefault="00853709" w:rsidP="00853709">
      <w:pPr>
        <w:spacing w:line="276" w:lineRule="auto"/>
        <w:rPr>
          <w:rFonts w:ascii="Arial" w:hAnsi="Arial" w:cs="Arial"/>
          <w:b/>
          <w:sz w:val="22"/>
          <w:szCs w:val="22"/>
          <w:lang w:val="es-ES"/>
        </w:rPr>
      </w:pPr>
    </w:p>
    <w:p w:rsidR="0096275D" w:rsidRDefault="0096275D" w:rsidP="00853709">
      <w:pPr>
        <w:spacing w:line="276" w:lineRule="auto"/>
        <w:rPr>
          <w:rFonts w:ascii="Arial" w:hAnsi="Arial" w:cs="Arial"/>
          <w:b/>
          <w:sz w:val="22"/>
          <w:szCs w:val="22"/>
          <w:lang w:val="es-ES"/>
        </w:rPr>
      </w:pPr>
    </w:p>
    <w:p w:rsidR="0096275D" w:rsidRDefault="0096275D" w:rsidP="00853709">
      <w:pPr>
        <w:spacing w:line="276" w:lineRule="auto"/>
        <w:rPr>
          <w:rFonts w:ascii="Arial" w:hAnsi="Arial" w:cs="Arial"/>
          <w:b/>
          <w:sz w:val="22"/>
          <w:szCs w:val="22"/>
          <w:lang w:val="es-ES"/>
        </w:rPr>
      </w:pPr>
    </w:p>
    <w:p w:rsidR="0096275D" w:rsidRPr="0043253A" w:rsidRDefault="0096275D" w:rsidP="0096275D">
      <w:pPr>
        <w:jc w:val="center"/>
        <w:rPr>
          <w:rFonts w:ascii="Arial" w:hAnsi="Arial" w:cs="Arial"/>
          <w:sz w:val="22"/>
          <w:szCs w:val="22"/>
          <w:lang w:val="es-ES"/>
        </w:rPr>
      </w:pPr>
    </w:p>
    <w:p w:rsidR="0096275D" w:rsidRPr="0043253A" w:rsidRDefault="0096275D" w:rsidP="0096275D">
      <w:pPr>
        <w:rPr>
          <w:rFonts w:ascii="Arial" w:hAnsi="Arial" w:cs="Arial"/>
          <w:b/>
          <w:sz w:val="22"/>
          <w:szCs w:val="22"/>
          <w:lang w:val="es-ES"/>
        </w:rPr>
        <w:sectPr w:rsidR="0096275D" w:rsidRPr="0043253A" w:rsidSect="000F7CE5">
          <w:headerReference w:type="default" r:id="rId14"/>
          <w:footerReference w:type="default" r:id="rId15"/>
          <w:type w:val="continuous"/>
          <w:pgSz w:w="12240" w:h="18720" w:code="14"/>
          <w:pgMar w:top="1417" w:right="1701" w:bottom="1417" w:left="1701" w:header="708" w:footer="708" w:gutter="0"/>
          <w:cols w:space="708"/>
          <w:docGrid w:linePitch="360"/>
        </w:sectPr>
      </w:pPr>
    </w:p>
    <w:p w:rsidR="0096275D" w:rsidRPr="0043253A" w:rsidRDefault="0096275D" w:rsidP="0096275D">
      <w:pPr>
        <w:jc w:val="center"/>
        <w:rPr>
          <w:rFonts w:ascii="Arial" w:hAnsi="Arial" w:cs="Arial"/>
          <w:b/>
          <w:sz w:val="22"/>
          <w:szCs w:val="22"/>
          <w:lang w:val="es-ES"/>
        </w:rPr>
      </w:pPr>
      <w:r w:rsidRPr="0043253A">
        <w:rPr>
          <w:rFonts w:ascii="Arial" w:hAnsi="Arial" w:cs="Arial"/>
          <w:b/>
          <w:sz w:val="22"/>
          <w:szCs w:val="22"/>
          <w:lang w:val="es-ES"/>
        </w:rPr>
        <w:t>CARLOS ABRAHAM JIMÉNEZ LÓPEZ</w:t>
      </w:r>
    </w:p>
    <w:p w:rsidR="0096275D" w:rsidRPr="0043253A" w:rsidRDefault="0096275D" w:rsidP="0096275D">
      <w:pPr>
        <w:jc w:val="center"/>
        <w:rPr>
          <w:rFonts w:ascii="Arial" w:hAnsi="Arial" w:cs="Arial"/>
          <w:sz w:val="22"/>
          <w:szCs w:val="22"/>
          <w:lang w:val="es-ES"/>
        </w:rPr>
      </w:pPr>
      <w:r w:rsidRPr="0043253A">
        <w:rPr>
          <w:rFonts w:ascii="Arial" w:hAnsi="Arial" w:cs="Arial"/>
          <w:sz w:val="22"/>
          <w:szCs w:val="22"/>
          <w:lang w:val="es-ES"/>
        </w:rPr>
        <w:t>Senador de la República</w:t>
      </w:r>
    </w:p>
    <w:p w:rsidR="0096275D" w:rsidRDefault="0096275D" w:rsidP="0096275D">
      <w:pPr>
        <w:jc w:val="center"/>
        <w:rPr>
          <w:rFonts w:ascii="Arial" w:hAnsi="Arial" w:cs="Arial"/>
          <w:sz w:val="22"/>
          <w:szCs w:val="22"/>
          <w:lang w:val="es-ES"/>
        </w:rPr>
      </w:pPr>
    </w:p>
    <w:p w:rsidR="00D524E4" w:rsidRDefault="00D524E4" w:rsidP="0096275D">
      <w:pPr>
        <w:jc w:val="center"/>
        <w:rPr>
          <w:rFonts w:ascii="Arial" w:hAnsi="Arial" w:cs="Arial"/>
          <w:sz w:val="22"/>
          <w:szCs w:val="22"/>
          <w:lang w:val="es-ES"/>
        </w:rPr>
      </w:pPr>
    </w:p>
    <w:p w:rsidR="00D524E4" w:rsidRDefault="00D524E4" w:rsidP="0096275D">
      <w:pPr>
        <w:jc w:val="center"/>
        <w:rPr>
          <w:rFonts w:ascii="Arial" w:hAnsi="Arial" w:cs="Arial"/>
          <w:sz w:val="22"/>
          <w:szCs w:val="22"/>
          <w:lang w:val="es-ES"/>
        </w:rPr>
      </w:pPr>
    </w:p>
    <w:p w:rsidR="00D524E4" w:rsidRDefault="00D524E4" w:rsidP="0096275D">
      <w:pPr>
        <w:jc w:val="center"/>
        <w:rPr>
          <w:rFonts w:ascii="Arial" w:hAnsi="Arial" w:cs="Arial"/>
          <w:sz w:val="22"/>
          <w:szCs w:val="22"/>
          <w:lang w:val="es-ES"/>
        </w:rPr>
      </w:pPr>
    </w:p>
    <w:p w:rsidR="00D524E4" w:rsidRPr="0043253A" w:rsidRDefault="00D524E4" w:rsidP="0096275D">
      <w:pPr>
        <w:jc w:val="center"/>
        <w:rPr>
          <w:rFonts w:ascii="Arial" w:hAnsi="Arial" w:cs="Arial"/>
          <w:sz w:val="22"/>
          <w:szCs w:val="22"/>
          <w:lang w:val="es-ES"/>
        </w:rPr>
      </w:pPr>
      <w:bookmarkStart w:id="4" w:name="_GoBack"/>
      <w:bookmarkEnd w:id="4"/>
    </w:p>
    <w:p w:rsidR="0096275D" w:rsidRPr="0043253A" w:rsidRDefault="0096275D" w:rsidP="0096275D">
      <w:pPr>
        <w:jc w:val="center"/>
        <w:rPr>
          <w:rFonts w:ascii="Arial" w:hAnsi="Arial" w:cs="Arial"/>
          <w:b/>
          <w:sz w:val="22"/>
          <w:szCs w:val="22"/>
        </w:rPr>
      </w:pPr>
      <w:r w:rsidRPr="0043253A">
        <w:rPr>
          <w:rFonts w:ascii="Arial" w:hAnsi="Arial" w:cs="Arial"/>
          <w:b/>
          <w:sz w:val="22"/>
          <w:szCs w:val="22"/>
        </w:rPr>
        <w:t>DAVID ERNESTO PULIDO NOVOA</w:t>
      </w:r>
    </w:p>
    <w:p w:rsidR="0096275D" w:rsidRPr="0043253A" w:rsidRDefault="0096275D" w:rsidP="0096275D">
      <w:pPr>
        <w:jc w:val="center"/>
        <w:rPr>
          <w:rFonts w:ascii="Arial" w:hAnsi="Arial" w:cs="Arial"/>
          <w:sz w:val="22"/>
          <w:szCs w:val="22"/>
          <w:lang w:val="es-ES"/>
        </w:rPr>
        <w:sectPr w:rsidR="0096275D" w:rsidRPr="0043253A" w:rsidSect="00120421">
          <w:type w:val="continuous"/>
          <w:pgSz w:w="12240" w:h="18720" w:code="14"/>
          <w:pgMar w:top="1417" w:right="1701" w:bottom="1417" w:left="1701" w:header="708" w:footer="708" w:gutter="0"/>
          <w:cols w:num="2" w:space="708"/>
          <w:docGrid w:linePitch="360"/>
        </w:sectPr>
      </w:pPr>
      <w:r w:rsidRPr="0043253A">
        <w:rPr>
          <w:rFonts w:ascii="Arial" w:hAnsi="Arial" w:cs="Arial"/>
          <w:sz w:val="22"/>
          <w:szCs w:val="22"/>
        </w:rPr>
        <w:t xml:space="preserve">Representante a la Cámara </w:t>
      </w:r>
    </w:p>
    <w:p w:rsidR="0096275D" w:rsidRDefault="0096275D" w:rsidP="00853709">
      <w:pPr>
        <w:spacing w:line="276" w:lineRule="auto"/>
        <w:rPr>
          <w:rFonts w:ascii="Arial" w:hAnsi="Arial" w:cs="Arial"/>
          <w:b/>
          <w:sz w:val="22"/>
          <w:szCs w:val="22"/>
          <w:lang w:val="es-ES"/>
        </w:rPr>
      </w:pPr>
    </w:p>
    <w:p w:rsidR="0096275D" w:rsidRDefault="0096275D" w:rsidP="00853709">
      <w:pPr>
        <w:spacing w:line="276" w:lineRule="auto"/>
        <w:rPr>
          <w:rFonts w:ascii="Arial" w:hAnsi="Arial" w:cs="Arial"/>
          <w:b/>
          <w:sz w:val="22"/>
          <w:szCs w:val="22"/>
          <w:lang w:val="es-ES"/>
        </w:rPr>
      </w:pPr>
    </w:p>
    <w:p w:rsidR="0096275D" w:rsidRPr="0043253A" w:rsidRDefault="0096275D" w:rsidP="00853709">
      <w:pPr>
        <w:spacing w:line="276" w:lineRule="auto"/>
        <w:rPr>
          <w:rFonts w:ascii="Arial" w:hAnsi="Arial" w:cs="Arial"/>
          <w:b/>
          <w:sz w:val="22"/>
          <w:szCs w:val="22"/>
          <w:lang w:val="es-ES"/>
        </w:rPr>
      </w:pPr>
    </w:p>
    <w:p w:rsidR="0096275D" w:rsidRDefault="0096275D" w:rsidP="0096275D">
      <w:pPr>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    H.S ANA MARÍA CASTAÑEDA</w:t>
      </w:r>
    </w:p>
    <w:p w:rsidR="0096275D" w:rsidRPr="00E13984" w:rsidRDefault="0096275D" w:rsidP="0096275D">
      <w:pPr>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    Partido Cambio Radical</w:t>
      </w: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Pr="00E13984" w:rsidRDefault="0096275D" w:rsidP="0096275D">
      <w:pPr>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 xml:space="preserve">H.S </w:t>
      </w:r>
      <w:r>
        <w:rPr>
          <w:rFonts w:ascii="Arial" w:eastAsia="Libre Baskerville" w:hAnsi="Arial" w:cs="Arial"/>
        </w:rPr>
        <w:t>RICHARD A. AGUILAR</w:t>
      </w:r>
      <w:r w:rsidRPr="00E13984">
        <w:rPr>
          <w:rFonts w:ascii="Arial" w:eastAsia="Libre Baskerville" w:hAnsi="Arial" w:cs="Arial"/>
        </w:rPr>
        <w:t>.</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E.DIAZ</w:t>
      </w:r>
      <w:r w:rsidRPr="00E13984">
        <w:rPr>
          <w:rFonts w:ascii="Arial" w:eastAsia="Libre Baskerville" w:hAnsi="Arial" w:cs="Arial"/>
        </w:rPr>
        <w:t>GRANADOS T.</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H.S DIDIER LOBO CHINCHILLA</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H.S GERMAN VARON COTRINO</w:t>
      </w:r>
    </w:p>
    <w:p w:rsidR="0096275D"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96275D" w:rsidRDefault="0096275D" w:rsidP="0096275D">
      <w:pPr>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96275D" w:rsidRPr="00E13984"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 xml:space="preserve">H.S TEMISTOCLES ORTEGA </w:t>
      </w:r>
    </w:p>
    <w:p w:rsidR="0096275D" w:rsidRDefault="0096275D" w:rsidP="0096275D">
      <w:pPr>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Default="0096275D" w:rsidP="0096275D">
      <w:pPr>
        <w:rPr>
          <w:rFonts w:ascii="Arial" w:eastAsia="Libre Baskerville" w:hAnsi="Arial" w:cs="Arial"/>
        </w:rPr>
      </w:pPr>
    </w:p>
    <w:p w:rsidR="0096275D" w:rsidRPr="00E13984" w:rsidRDefault="0096275D" w:rsidP="0096275D">
      <w:pPr>
        <w:rPr>
          <w:rFonts w:ascii="Arial" w:eastAsia="Libre Baskerville" w:hAnsi="Arial" w:cs="Arial"/>
        </w:rPr>
      </w:pPr>
      <w:r w:rsidRPr="00E13984">
        <w:rPr>
          <w:rFonts w:ascii="Arial" w:eastAsia="Libre Baskerville" w:hAnsi="Arial" w:cs="Arial"/>
          <w:i/>
        </w:rPr>
        <w:t xml:space="preserve">Y los Honorables Representantes firmantes: </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t>H.R JOSÉ IGNACIO MESA B</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H.R MODESTO E.</w:t>
      </w:r>
      <w:r w:rsidRPr="00E13984">
        <w:rPr>
          <w:rFonts w:ascii="Arial" w:eastAsia="Libre Baskerville" w:hAnsi="Arial" w:cs="Arial"/>
        </w:rPr>
        <w:t xml:space="preserve"> A</w:t>
      </w:r>
      <w:r>
        <w:rPr>
          <w:rFonts w:ascii="Arial" w:eastAsia="Libre Baskerville" w:hAnsi="Arial" w:cs="Arial"/>
        </w:rPr>
        <w:t>GUILERA</w:t>
      </w:r>
      <w:r w:rsidRPr="00E13984">
        <w:rPr>
          <w:rFonts w:ascii="Arial" w:eastAsia="Libre Baskerville" w:hAnsi="Arial" w:cs="Arial"/>
        </w:rPr>
        <w:t xml:space="preserve"> </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H.R GUSTAVO H PUENTES</w:t>
      </w:r>
      <w:r w:rsidRPr="00E13984">
        <w:rPr>
          <w:rFonts w:ascii="Arial" w:eastAsia="Libre Baskerville" w:hAnsi="Arial" w:cs="Arial"/>
        </w:rPr>
        <w:t>.</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Pr>
          <w:rFonts w:ascii="Arial" w:eastAsia="Libre Baskerville" w:hAnsi="Arial" w:cs="Arial"/>
        </w:rPr>
        <w:t xml:space="preserve">H.R NÉSTOR LEONARDO RICO RICO </w:t>
      </w:r>
      <w:r>
        <w:rPr>
          <w:rFonts w:ascii="Arial" w:eastAsia="Libre Baskerville" w:hAnsi="Arial" w:cs="Arial"/>
        </w:rPr>
        <w:tab/>
      </w:r>
      <w:r w:rsidRPr="00E13984">
        <w:rPr>
          <w:rFonts w:ascii="Arial" w:eastAsia="Libre Baskerville" w:hAnsi="Arial" w:cs="Arial"/>
        </w:rPr>
        <w:t xml:space="preserve">H.R GLORIA BETTY ZORRO </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OSCAR CAMILO ARANGO C</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t>H.R CARLOS FARELO DAZA</w:t>
      </w:r>
    </w:p>
    <w:p w:rsidR="0096275D"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t>H.R JAIME RODRIGUEZ C</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H.R JAIRO HUMBERTO CRISTO C.</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r>
        <w:rPr>
          <w:rFonts w:ascii="Arial" w:eastAsia="Libre Baskerville" w:hAnsi="Arial" w:cs="Arial"/>
        </w:rPr>
        <w:t>.</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p>
    <w:p w:rsidR="0096275D" w:rsidRPr="00E13984" w:rsidRDefault="0096275D" w:rsidP="0096275D">
      <w:pPr>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r>
    </w:p>
    <w:p w:rsidR="0096275D" w:rsidRPr="00E13984" w:rsidRDefault="0096275D" w:rsidP="0096275D">
      <w:pPr>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p>
    <w:p w:rsidR="00853709" w:rsidRPr="0043253A" w:rsidRDefault="00853709" w:rsidP="00BD0E8B">
      <w:pPr>
        <w:jc w:val="center"/>
        <w:rPr>
          <w:rFonts w:ascii="Arial" w:hAnsi="Arial" w:cs="Arial"/>
          <w:sz w:val="22"/>
          <w:szCs w:val="22"/>
          <w:lang w:val="es-ES"/>
        </w:rPr>
      </w:pPr>
    </w:p>
    <w:sectPr w:rsidR="00853709" w:rsidRPr="0043253A" w:rsidSect="008E73CC">
      <w:headerReference w:type="default" r:id="rId16"/>
      <w:footerReference w:type="default" r:id="rId1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DF" w:rsidRDefault="00457CDF" w:rsidP="00F2312C">
      <w:r>
        <w:separator/>
      </w:r>
    </w:p>
  </w:endnote>
  <w:endnote w:type="continuationSeparator" w:id="0">
    <w:p w:rsidR="00457CDF" w:rsidRDefault="00457CDF" w:rsidP="00F2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re Baskerville">
    <w:altName w:val="Yu Gothic"/>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39" w:rsidRPr="00886893" w:rsidRDefault="00140839" w:rsidP="00886893">
    <w:pPr>
      <w:pStyle w:val="Piedepgina"/>
      <w:jc w:val="right"/>
      <w:rPr>
        <w:rFonts w:ascii="Century Gothic" w:hAnsi="Century Gothic"/>
        <w:color w:val="000000" w:themeColor="text1"/>
        <w:sz w:val="20"/>
      </w:rPr>
    </w:pPr>
    <w:r w:rsidRPr="00886893">
      <w:rPr>
        <w:rFonts w:ascii="Century Gothic" w:hAnsi="Century Gothic"/>
        <w:color w:val="000000" w:themeColor="text1"/>
        <w:sz w:val="20"/>
      </w:rPr>
      <w:t xml:space="preserve">Pág. </w:t>
    </w:r>
    <w:r w:rsidRPr="00886893">
      <w:rPr>
        <w:rFonts w:ascii="Century Gothic" w:hAnsi="Century Gothic"/>
        <w:color w:val="000000" w:themeColor="text1"/>
        <w:sz w:val="20"/>
      </w:rPr>
      <w:fldChar w:fldCharType="begin"/>
    </w:r>
    <w:r w:rsidRPr="00886893">
      <w:rPr>
        <w:rFonts w:ascii="Century Gothic" w:hAnsi="Century Gothic"/>
        <w:color w:val="000000" w:themeColor="text1"/>
        <w:sz w:val="20"/>
      </w:rPr>
      <w:instrText>PAGE  \* Arabic  \* MERGEFORMAT</w:instrText>
    </w:r>
    <w:r w:rsidRPr="00886893">
      <w:rPr>
        <w:rFonts w:ascii="Century Gothic" w:hAnsi="Century Gothic"/>
        <w:color w:val="000000" w:themeColor="text1"/>
        <w:sz w:val="20"/>
      </w:rPr>
      <w:fldChar w:fldCharType="separate"/>
    </w:r>
    <w:r w:rsidR="00D524E4">
      <w:rPr>
        <w:rFonts w:ascii="Century Gothic" w:hAnsi="Century Gothic"/>
        <w:noProof/>
        <w:color w:val="000000" w:themeColor="text1"/>
        <w:sz w:val="20"/>
      </w:rPr>
      <w:t>4</w:t>
    </w:r>
    <w:r w:rsidRPr="00886893">
      <w:rPr>
        <w:rFonts w:ascii="Century Gothic" w:hAnsi="Century Gothic"/>
        <w:color w:val="000000" w:themeColor="text1"/>
        <w:sz w:val="20"/>
      </w:rPr>
      <w:fldChar w:fldCharType="end"/>
    </w:r>
    <w:r w:rsidRPr="00886893">
      <w:rPr>
        <w:rFonts w:ascii="Century Gothic" w:hAnsi="Century Gothic"/>
        <w:color w:val="000000" w:themeColor="text1"/>
        <w:sz w:val="20"/>
      </w:rPr>
      <w:t xml:space="preserve"> de </w:t>
    </w:r>
    <w:r w:rsidRPr="00886893">
      <w:rPr>
        <w:rFonts w:ascii="Century Gothic" w:hAnsi="Century Gothic"/>
        <w:color w:val="000000" w:themeColor="text1"/>
        <w:sz w:val="20"/>
      </w:rPr>
      <w:fldChar w:fldCharType="begin"/>
    </w:r>
    <w:r w:rsidRPr="00886893">
      <w:rPr>
        <w:rFonts w:ascii="Century Gothic" w:hAnsi="Century Gothic"/>
        <w:color w:val="000000" w:themeColor="text1"/>
        <w:sz w:val="20"/>
      </w:rPr>
      <w:instrText>NUMPAGES  \* Arabic  \* MERGEFORMAT</w:instrText>
    </w:r>
    <w:r w:rsidRPr="00886893">
      <w:rPr>
        <w:rFonts w:ascii="Century Gothic" w:hAnsi="Century Gothic"/>
        <w:color w:val="000000" w:themeColor="text1"/>
        <w:sz w:val="20"/>
      </w:rPr>
      <w:fldChar w:fldCharType="separate"/>
    </w:r>
    <w:r w:rsidR="00D524E4">
      <w:rPr>
        <w:rFonts w:ascii="Century Gothic" w:hAnsi="Century Gothic"/>
        <w:noProof/>
        <w:color w:val="000000" w:themeColor="text1"/>
        <w:sz w:val="20"/>
      </w:rPr>
      <w:t>35</w:t>
    </w:r>
    <w:r w:rsidRPr="00886893">
      <w:rPr>
        <w:rFonts w:ascii="Century Gothic" w:hAnsi="Century Gothic"/>
        <w:color w:val="000000" w:themeColor="text1"/>
        <w:sz w:val="20"/>
      </w:rPr>
      <w:fldChar w:fldCharType="end"/>
    </w:r>
  </w:p>
  <w:p w:rsidR="00140839" w:rsidRDefault="0014083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5D" w:rsidRPr="00886893" w:rsidRDefault="0096275D" w:rsidP="00886893">
    <w:pPr>
      <w:pStyle w:val="Piedepgina"/>
      <w:jc w:val="right"/>
      <w:rPr>
        <w:rFonts w:ascii="Century Gothic" w:hAnsi="Century Gothic"/>
        <w:color w:val="000000" w:themeColor="text1"/>
        <w:sz w:val="20"/>
      </w:rPr>
    </w:pPr>
    <w:r w:rsidRPr="00886893">
      <w:rPr>
        <w:rFonts w:ascii="Century Gothic" w:hAnsi="Century Gothic"/>
        <w:color w:val="000000" w:themeColor="text1"/>
        <w:sz w:val="20"/>
      </w:rPr>
      <w:t xml:space="preserve">Pág. </w:t>
    </w:r>
    <w:r w:rsidRPr="00886893">
      <w:rPr>
        <w:rFonts w:ascii="Century Gothic" w:hAnsi="Century Gothic"/>
        <w:color w:val="000000" w:themeColor="text1"/>
        <w:sz w:val="20"/>
      </w:rPr>
      <w:fldChar w:fldCharType="begin"/>
    </w:r>
    <w:r w:rsidRPr="00886893">
      <w:rPr>
        <w:rFonts w:ascii="Century Gothic" w:hAnsi="Century Gothic"/>
        <w:color w:val="000000" w:themeColor="text1"/>
        <w:sz w:val="20"/>
      </w:rPr>
      <w:instrText>PAGE  \* Arabic  \* MERGEFORMAT</w:instrText>
    </w:r>
    <w:r w:rsidRPr="00886893">
      <w:rPr>
        <w:rFonts w:ascii="Century Gothic" w:hAnsi="Century Gothic"/>
        <w:color w:val="000000" w:themeColor="text1"/>
        <w:sz w:val="20"/>
      </w:rPr>
      <w:fldChar w:fldCharType="separate"/>
    </w:r>
    <w:r w:rsidR="002B062B">
      <w:rPr>
        <w:rFonts w:ascii="Century Gothic" w:hAnsi="Century Gothic"/>
        <w:noProof/>
        <w:color w:val="000000" w:themeColor="text1"/>
        <w:sz w:val="20"/>
      </w:rPr>
      <w:t>31</w:t>
    </w:r>
    <w:r w:rsidRPr="00886893">
      <w:rPr>
        <w:rFonts w:ascii="Century Gothic" w:hAnsi="Century Gothic"/>
        <w:color w:val="000000" w:themeColor="text1"/>
        <w:sz w:val="20"/>
      </w:rPr>
      <w:fldChar w:fldCharType="end"/>
    </w:r>
    <w:r w:rsidRPr="00886893">
      <w:rPr>
        <w:rFonts w:ascii="Century Gothic" w:hAnsi="Century Gothic"/>
        <w:color w:val="000000" w:themeColor="text1"/>
        <w:sz w:val="20"/>
      </w:rPr>
      <w:t xml:space="preserve"> de </w:t>
    </w:r>
    <w:r w:rsidRPr="00886893">
      <w:rPr>
        <w:rFonts w:ascii="Century Gothic" w:hAnsi="Century Gothic"/>
        <w:color w:val="000000" w:themeColor="text1"/>
        <w:sz w:val="20"/>
      </w:rPr>
      <w:fldChar w:fldCharType="begin"/>
    </w:r>
    <w:r w:rsidRPr="00886893">
      <w:rPr>
        <w:rFonts w:ascii="Century Gothic" w:hAnsi="Century Gothic"/>
        <w:color w:val="000000" w:themeColor="text1"/>
        <w:sz w:val="20"/>
      </w:rPr>
      <w:instrText>NUMPAGES  \* Arabic  \* MERGEFORMAT</w:instrText>
    </w:r>
    <w:r w:rsidRPr="00886893">
      <w:rPr>
        <w:rFonts w:ascii="Century Gothic" w:hAnsi="Century Gothic"/>
        <w:color w:val="000000" w:themeColor="text1"/>
        <w:sz w:val="20"/>
      </w:rPr>
      <w:fldChar w:fldCharType="separate"/>
    </w:r>
    <w:r w:rsidR="002B062B">
      <w:rPr>
        <w:rFonts w:ascii="Century Gothic" w:hAnsi="Century Gothic"/>
        <w:noProof/>
        <w:color w:val="000000" w:themeColor="text1"/>
        <w:sz w:val="20"/>
      </w:rPr>
      <w:t>35</w:t>
    </w:r>
    <w:r w:rsidRPr="00886893">
      <w:rPr>
        <w:rFonts w:ascii="Century Gothic" w:hAnsi="Century Gothic"/>
        <w:color w:val="000000" w:themeColor="text1"/>
        <w:sz w:val="20"/>
      </w:rPr>
      <w:fldChar w:fldCharType="end"/>
    </w:r>
  </w:p>
  <w:p w:rsidR="0096275D" w:rsidRDefault="0096275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E5" w:rsidRPr="00886893" w:rsidRDefault="000F7CE5" w:rsidP="00886893">
    <w:pPr>
      <w:pStyle w:val="Piedepgina"/>
      <w:jc w:val="right"/>
      <w:rPr>
        <w:rFonts w:ascii="Century Gothic" w:hAnsi="Century Gothic"/>
        <w:color w:val="000000" w:themeColor="text1"/>
        <w:sz w:val="20"/>
      </w:rPr>
    </w:pPr>
    <w:r w:rsidRPr="00886893">
      <w:rPr>
        <w:rFonts w:ascii="Century Gothic" w:hAnsi="Century Gothic"/>
        <w:color w:val="000000" w:themeColor="text1"/>
        <w:sz w:val="20"/>
      </w:rPr>
      <w:t xml:space="preserve">Pág. </w:t>
    </w:r>
    <w:r w:rsidRPr="00886893">
      <w:rPr>
        <w:rFonts w:ascii="Century Gothic" w:hAnsi="Century Gothic"/>
        <w:color w:val="000000" w:themeColor="text1"/>
        <w:sz w:val="20"/>
      </w:rPr>
      <w:fldChar w:fldCharType="begin"/>
    </w:r>
    <w:r w:rsidRPr="00886893">
      <w:rPr>
        <w:rFonts w:ascii="Century Gothic" w:hAnsi="Century Gothic"/>
        <w:color w:val="000000" w:themeColor="text1"/>
        <w:sz w:val="20"/>
      </w:rPr>
      <w:instrText>PAGE  \* Arabic  \* MERGEFORMAT</w:instrText>
    </w:r>
    <w:r w:rsidRPr="00886893">
      <w:rPr>
        <w:rFonts w:ascii="Century Gothic" w:hAnsi="Century Gothic"/>
        <w:color w:val="000000" w:themeColor="text1"/>
        <w:sz w:val="20"/>
      </w:rPr>
      <w:fldChar w:fldCharType="separate"/>
    </w:r>
    <w:r w:rsidR="002B062B">
      <w:rPr>
        <w:rFonts w:ascii="Century Gothic" w:hAnsi="Century Gothic"/>
        <w:noProof/>
        <w:color w:val="000000" w:themeColor="text1"/>
        <w:sz w:val="20"/>
      </w:rPr>
      <w:t>32</w:t>
    </w:r>
    <w:r w:rsidRPr="00886893">
      <w:rPr>
        <w:rFonts w:ascii="Century Gothic" w:hAnsi="Century Gothic"/>
        <w:color w:val="000000" w:themeColor="text1"/>
        <w:sz w:val="20"/>
      </w:rPr>
      <w:fldChar w:fldCharType="end"/>
    </w:r>
    <w:r w:rsidRPr="00886893">
      <w:rPr>
        <w:rFonts w:ascii="Century Gothic" w:hAnsi="Century Gothic"/>
        <w:color w:val="000000" w:themeColor="text1"/>
        <w:sz w:val="20"/>
      </w:rPr>
      <w:t xml:space="preserve"> de </w:t>
    </w:r>
    <w:r w:rsidRPr="00886893">
      <w:rPr>
        <w:rFonts w:ascii="Century Gothic" w:hAnsi="Century Gothic"/>
        <w:color w:val="000000" w:themeColor="text1"/>
        <w:sz w:val="20"/>
      </w:rPr>
      <w:fldChar w:fldCharType="begin"/>
    </w:r>
    <w:r w:rsidRPr="00886893">
      <w:rPr>
        <w:rFonts w:ascii="Century Gothic" w:hAnsi="Century Gothic"/>
        <w:color w:val="000000" w:themeColor="text1"/>
        <w:sz w:val="20"/>
      </w:rPr>
      <w:instrText>NUMPAGES  \* Arabic  \* MERGEFORMAT</w:instrText>
    </w:r>
    <w:r w:rsidRPr="00886893">
      <w:rPr>
        <w:rFonts w:ascii="Century Gothic" w:hAnsi="Century Gothic"/>
        <w:color w:val="000000" w:themeColor="text1"/>
        <w:sz w:val="20"/>
      </w:rPr>
      <w:fldChar w:fldCharType="separate"/>
    </w:r>
    <w:r w:rsidR="002B062B">
      <w:rPr>
        <w:rFonts w:ascii="Century Gothic" w:hAnsi="Century Gothic"/>
        <w:noProof/>
        <w:color w:val="000000" w:themeColor="text1"/>
        <w:sz w:val="20"/>
      </w:rPr>
      <w:t>35</w:t>
    </w:r>
    <w:r w:rsidRPr="00886893">
      <w:rPr>
        <w:rFonts w:ascii="Century Gothic" w:hAnsi="Century Gothic"/>
        <w:color w:val="000000" w:themeColor="text1"/>
        <w:sz w:val="20"/>
      </w:rPr>
      <w:fldChar w:fldCharType="end"/>
    </w:r>
  </w:p>
  <w:p w:rsidR="000F7CE5" w:rsidRDefault="000F7C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DF" w:rsidRDefault="00457CDF" w:rsidP="00F2312C">
      <w:r>
        <w:separator/>
      </w:r>
    </w:p>
  </w:footnote>
  <w:footnote w:type="continuationSeparator" w:id="0">
    <w:p w:rsidR="00457CDF" w:rsidRDefault="00457CDF" w:rsidP="00F2312C">
      <w:r>
        <w:continuationSeparator/>
      </w:r>
    </w:p>
  </w:footnote>
  <w:footnote w:id="1">
    <w:p w:rsidR="00140839" w:rsidRPr="00341886" w:rsidRDefault="00140839" w:rsidP="00853709">
      <w:pPr>
        <w:pStyle w:val="Textonotapie"/>
        <w:rPr>
          <w:lang w:val="es-ES"/>
        </w:rPr>
      </w:pPr>
      <w:r>
        <w:rPr>
          <w:rStyle w:val="Refdenotaalpie"/>
        </w:rPr>
        <w:footnoteRef/>
      </w:r>
      <w:r>
        <w:t xml:space="preserve"> </w:t>
      </w:r>
      <w:r>
        <w:rPr>
          <w:lang w:val="es-ES"/>
        </w:rPr>
        <w:t xml:space="preserve">Para la proyección de la tarifa del componente específico y el PVP certificado por el DANE para la vigencia 2020, se tomó la información disponible para 2019 y se adicionó un IPC del 3,4%, según las proyecciones del Banco de la República. </w:t>
      </w:r>
      <w:sdt>
        <w:sdtPr>
          <w:rPr>
            <w:lang w:val="es-ES"/>
          </w:rPr>
          <w:id w:val="-916014399"/>
          <w:citation/>
        </w:sdtPr>
        <w:sdtEndPr/>
        <w:sdtContent>
          <w:r>
            <w:rPr>
              <w:lang w:val="es-ES"/>
            </w:rPr>
            <w:fldChar w:fldCharType="begin"/>
          </w:r>
          <w:r>
            <w:rPr>
              <w:lang w:val="es-ES"/>
            </w:rPr>
            <w:instrText xml:space="preserve"> CITATION Ban19 \l 3082 </w:instrText>
          </w:r>
          <w:r>
            <w:rPr>
              <w:lang w:val="es-ES"/>
            </w:rPr>
            <w:fldChar w:fldCharType="separate"/>
          </w:r>
          <w:r>
            <w:rPr>
              <w:noProof/>
              <w:lang w:val="es-ES"/>
            </w:rPr>
            <w:t>(Banco de la República, 2019)</w:t>
          </w:r>
          <w:r>
            <w:rPr>
              <w:lang w:val="es-ES"/>
            </w:rPr>
            <w:fldChar w:fldCharType="end"/>
          </w:r>
        </w:sdtContent>
      </w:sdt>
      <w:r>
        <w:rPr>
          <w:lang w:val="es-ES"/>
        </w:rPr>
        <w:t xml:space="preserve">. </w:t>
      </w:r>
    </w:p>
  </w:footnote>
  <w:footnote w:id="2">
    <w:p w:rsidR="0042398B" w:rsidRPr="00A555E9" w:rsidRDefault="0042398B" w:rsidP="0042398B">
      <w:pPr>
        <w:pStyle w:val="Textonotapie"/>
        <w:rPr>
          <w:sz w:val="18"/>
          <w:szCs w:val="18"/>
        </w:rPr>
      </w:pPr>
      <w:r>
        <w:rPr>
          <w:rStyle w:val="Refdenotaalpie"/>
        </w:rPr>
        <w:footnoteRef/>
      </w:r>
      <w:r>
        <w:t xml:space="preserve"> </w:t>
      </w:r>
      <w:r w:rsidRPr="00A555E9">
        <w:rPr>
          <w:sz w:val="18"/>
          <w:szCs w:val="18"/>
        </w:rPr>
        <w:t xml:space="preserve">Ministerio de Justicia. Subdirección de Control y Fiscalización de Sustancias Químicas y Estupefacientes. Acceso en: </w:t>
      </w:r>
      <w:hyperlink r:id="rId1" w:history="1">
        <w:r w:rsidRPr="00A555E9">
          <w:rPr>
            <w:rStyle w:val="Hipervnculo"/>
            <w:sz w:val="18"/>
            <w:szCs w:val="18"/>
          </w:rPr>
          <w:t>https://www.minjusticia.gov.co/Portals/0/Cannabis/Licencias%20de%20cannabis%20otorgadas%20MJD180219.pdf</w:t>
        </w:r>
      </w:hyperlink>
    </w:p>
    <w:p w:rsidR="0042398B" w:rsidRPr="009A5227" w:rsidRDefault="0042398B" w:rsidP="0042398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39" w:rsidRDefault="00140839" w:rsidP="00F2312C">
    <w:pPr>
      <w:pStyle w:val="Encabezado"/>
      <w:jc w:val="center"/>
    </w:pPr>
    <w:r>
      <w:rPr>
        <w:noProof/>
        <w:lang w:eastAsia="es-CO"/>
      </w:rPr>
      <w:drawing>
        <wp:inline distT="0" distB="0" distL="0" distR="0" wp14:anchorId="734F2008" wp14:editId="3D8CC446">
          <wp:extent cx="1885950" cy="990600"/>
          <wp:effectExtent l="19050" t="0" r="0" b="0"/>
          <wp:docPr id="6" name="Imagen 6"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a:srcRect/>
                  <a:stretch>
                    <a:fillRect/>
                  </a:stretch>
                </pic:blipFill>
                <pic:spPr bwMode="auto">
                  <a:xfrm>
                    <a:off x="0" y="0"/>
                    <a:ext cx="1885950" cy="990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5D" w:rsidRDefault="0096275D" w:rsidP="00F2312C">
    <w:pPr>
      <w:pStyle w:val="Encabezado"/>
      <w:jc w:val="center"/>
    </w:pPr>
    <w:r>
      <w:rPr>
        <w:noProof/>
        <w:lang w:eastAsia="es-CO"/>
      </w:rPr>
      <w:drawing>
        <wp:inline distT="0" distB="0" distL="0" distR="0" wp14:anchorId="2C3B5553" wp14:editId="7B451628">
          <wp:extent cx="1885950" cy="990600"/>
          <wp:effectExtent l="19050" t="0" r="0" b="0"/>
          <wp:docPr id="1" name="Imagen 1"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a:srcRect/>
                  <a:stretch>
                    <a:fillRect/>
                  </a:stretch>
                </pic:blipFill>
                <pic:spPr bwMode="auto">
                  <a:xfrm>
                    <a:off x="0" y="0"/>
                    <a:ext cx="1885950" cy="990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E5" w:rsidRDefault="000F7CE5" w:rsidP="00F2312C">
    <w:pPr>
      <w:pStyle w:val="Encabezado"/>
      <w:jc w:val="center"/>
    </w:pPr>
    <w:r>
      <w:rPr>
        <w:noProof/>
        <w:lang w:eastAsia="es-CO"/>
      </w:rPr>
      <w:drawing>
        <wp:inline distT="0" distB="0" distL="0" distR="0" wp14:anchorId="1398886D" wp14:editId="5DB683BB">
          <wp:extent cx="1885950" cy="990600"/>
          <wp:effectExtent l="19050" t="0" r="0" b="0"/>
          <wp:docPr id="7" name="Imagen 7"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a:srcRect/>
                  <a:stretch>
                    <a:fillRect/>
                  </a:stretch>
                </pic:blipFill>
                <pic:spPr bwMode="auto">
                  <a:xfrm>
                    <a:off x="0" y="0"/>
                    <a:ext cx="1885950"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C94"/>
    <w:multiLevelType w:val="hybridMultilevel"/>
    <w:tmpl w:val="EB42CE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992E01"/>
    <w:multiLevelType w:val="hybridMultilevel"/>
    <w:tmpl w:val="99F03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567788"/>
    <w:multiLevelType w:val="multilevel"/>
    <w:tmpl w:val="31DC1C80"/>
    <w:lvl w:ilvl="0">
      <w:start w:val="1"/>
      <w:numFmt w:val="decimal"/>
      <w:lvlText w:val="%1."/>
      <w:lvlJc w:val="left"/>
      <w:pPr>
        <w:ind w:left="720" w:hanging="360"/>
      </w:pPr>
      <w:rPr>
        <w:rFonts w:hint="default"/>
        <w:b w:val="0"/>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A75AAA"/>
    <w:multiLevelType w:val="hybridMultilevel"/>
    <w:tmpl w:val="BF48A3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C55A81"/>
    <w:multiLevelType w:val="hybridMultilevel"/>
    <w:tmpl w:val="A686CF2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3640C59"/>
    <w:multiLevelType w:val="hybridMultilevel"/>
    <w:tmpl w:val="FE049D24"/>
    <w:lvl w:ilvl="0" w:tplc="59069B8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134ACC"/>
    <w:multiLevelType w:val="hybridMultilevel"/>
    <w:tmpl w:val="22FA34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8C91EFE"/>
    <w:multiLevelType w:val="hybridMultilevel"/>
    <w:tmpl w:val="E6AAA2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AFC5B20"/>
    <w:multiLevelType w:val="multilevel"/>
    <w:tmpl w:val="31DC1C80"/>
    <w:lvl w:ilvl="0">
      <w:start w:val="1"/>
      <w:numFmt w:val="decimal"/>
      <w:lvlText w:val="%1."/>
      <w:lvlJc w:val="left"/>
      <w:pPr>
        <w:ind w:left="720" w:hanging="360"/>
      </w:pPr>
      <w:rPr>
        <w:rFonts w:hint="default"/>
        <w:b w:val="0"/>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3A34DC"/>
    <w:multiLevelType w:val="multilevel"/>
    <w:tmpl w:val="AC54B6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38303D"/>
    <w:multiLevelType w:val="multilevel"/>
    <w:tmpl w:val="AB02D6A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399C47AD"/>
    <w:multiLevelType w:val="multilevel"/>
    <w:tmpl w:val="67C8C9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D103CF1"/>
    <w:multiLevelType w:val="multilevel"/>
    <w:tmpl w:val="D45A037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92620C"/>
    <w:multiLevelType w:val="hybridMultilevel"/>
    <w:tmpl w:val="6D689AA6"/>
    <w:lvl w:ilvl="0" w:tplc="BCAE15B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9BE42BD"/>
    <w:multiLevelType w:val="multilevel"/>
    <w:tmpl w:val="8E6894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62675D"/>
    <w:multiLevelType w:val="multilevel"/>
    <w:tmpl w:val="9A36AA5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0C079A2"/>
    <w:multiLevelType w:val="hybridMultilevel"/>
    <w:tmpl w:val="D6261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B610CE"/>
    <w:multiLevelType w:val="hybridMultilevel"/>
    <w:tmpl w:val="EC16BA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A0201F2"/>
    <w:multiLevelType w:val="hybridMultilevel"/>
    <w:tmpl w:val="B5A4CA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8667E1"/>
    <w:multiLevelType w:val="hybridMultilevel"/>
    <w:tmpl w:val="45CAA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3"/>
  </w:num>
  <w:num w:numId="5">
    <w:abstractNumId w:val="7"/>
  </w:num>
  <w:num w:numId="6">
    <w:abstractNumId w:val="9"/>
  </w:num>
  <w:num w:numId="7">
    <w:abstractNumId w:val="11"/>
  </w:num>
  <w:num w:numId="8">
    <w:abstractNumId w:val="0"/>
  </w:num>
  <w:num w:numId="9">
    <w:abstractNumId w:val="15"/>
  </w:num>
  <w:num w:numId="10">
    <w:abstractNumId w:val="17"/>
  </w:num>
  <w:num w:numId="11">
    <w:abstractNumId w:val="1"/>
  </w:num>
  <w:num w:numId="12">
    <w:abstractNumId w:val="18"/>
  </w:num>
  <w:num w:numId="13">
    <w:abstractNumId w:val="8"/>
  </w:num>
  <w:num w:numId="14">
    <w:abstractNumId w:val="14"/>
  </w:num>
  <w:num w:numId="15">
    <w:abstractNumId w:val="12"/>
  </w:num>
  <w:num w:numId="16">
    <w:abstractNumId w:val="2"/>
  </w:num>
  <w:num w:numId="17">
    <w:abstractNumId w:val="16"/>
  </w:num>
  <w:num w:numId="18">
    <w:abstractNumId w:val="4"/>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1B"/>
    <w:rsid w:val="00006340"/>
    <w:rsid w:val="0002041B"/>
    <w:rsid w:val="0003547D"/>
    <w:rsid w:val="000879A9"/>
    <w:rsid w:val="000A5A82"/>
    <w:rsid w:val="000D346D"/>
    <w:rsid w:val="000F7CE5"/>
    <w:rsid w:val="0010620A"/>
    <w:rsid w:val="00116AFF"/>
    <w:rsid w:val="00116E92"/>
    <w:rsid w:val="00120421"/>
    <w:rsid w:val="00140265"/>
    <w:rsid w:val="00140839"/>
    <w:rsid w:val="001435B9"/>
    <w:rsid w:val="001649C7"/>
    <w:rsid w:val="0018352C"/>
    <w:rsid w:val="00185E53"/>
    <w:rsid w:val="001939AA"/>
    <w:rsid w:val="001B41B9"/>
    <w:rsid w:val="001C0F08"/>
    <w:rsid w:val="001C2F1D"/>
    <w:rsid w:val="001E6C5C"/>
    <w:rsid w:val="001F5062"/>
    <w:rsid w:val="0021507E"/>
    <w:rsid w:val="002500B9"/>
    <w:rsid w:val="0028444B"/>
    <w:rsid w:val="002A60D9"/>
    <w:rsid w:val="002B062B"/>
    <w:rsid w:val="002C09D7"/>
    <w:rsid w:val="002E0008"/>
    <w:rsid w:val="002E1D6D"/>
    <w:rsid w:val="00327821"/>
    <w:rsid w:val="00336E88"/>
    <w:rsid w:val="00341886"/>
    <w:rsid w:val="00360909"/>
    <w:rsid w:val="003670C7"/>
    <w:rsid w:val="00383BEE"/>
    <w:rsid w:val="003A3A1D"/>
    <w:rsid w:val="003A69F9"/>
    <w:rsid w:val="003D4A88"/>
    <w:rsid w:val="003E2A78"/>
    <w:rsid w:val="00402D6A"/>
    <w:rsid w:val="0042078A"/>
    <w:rsid w:val="0042398B"/>
    <w:rsid w:val="00424882"/>
    <w:rsid w:val="0043253A"/>
    <w:rsid w:val="00447A8C"/>
    <w:rsid w:val="00455E23"/>
    <w:rsid w:val="00457CDF"/>
    <w:rsid w:val="00461E21"/>
    <w:rsid w:val="004675E0"/>
    <w:rsid w:val="004744EA"/>
    <w:rsid w:val="004925A2"/>
    <w:rsid w:val="004A6A20"/>
    <w:rsid w:val="004B1061"/>
    <w:rsid w:val="004C5F7E"/>
    <w:rsid w:val="004E3339"/>
    <w:rsid w:val="005254E8"/>
    <w:rsid w:val="005434FD"/>
    <w:rsid w:val="0054442E"/>
    <w:rsid w:val="00555E8A"/>
    <w:rsid w:val="00570D1B"/>
    <w:rsid w:val="00581D49"/>
    <w:rsid w:val="005961B3"/>
    <w:rsid w:val="005B67EB"/>
    <w:rsid w:val="005C2C91"/>
    <w:rsid w:val="00613596"/>
    <w:rsid w:val="00614352"/>
    <w:rsid w:val="006147DD"/>
    <w:rsid w:val="00625BEA"/>
    <w:rsid w:val="006956FD"/>
    <w:rsid w:val="006E3187"/>
    <w:rsid w:val="006F2FCB"/>
    <w:rsid w:val="006F4F9A"/>
    <w:rsid w:val="006F6909"/>
    <w:rsid w:val="007005D5"/>
    <w:rsid w:val="00727199"/>
    <w:rsid w:val="007356F8"/>
    <w:rsid w:val="00744CA7"/>
    <w:rsid w:val="0076208C"/>
    <w:rsid w:val="00772460"/>
    <w:rsid w:val="0077320E"/>
    <w:rsid w:val="00792850"/>
    <w:rsid w:val="007A0993"/>
    <w:rsid w:val="007B06F4"/>
    <w:rsid w:val="007F5D22"/>
    <w:rsid w:val="00823B88"/>
    <w:rsid w:val="00853709"/>
    <w:rsid w:val="00881B6E"/>
    <w:rsid w:val="00886893"/>
    <w:rsid w:val="008C34A9"/>
    <w:rsid w:val="008E73CC"/>
    <w:rsid w:val="009303E0"/>
    <w:rsid w:val="0093550E"/>
    <w:rsid w:val="00951564"/>
    <w:rsid w:val="0096275D"/>
    <w:rsid w:val="009925CB"/>
    <w:rsid w:val="0099409E"/>
    <w:rsid w:val="009A6275"/>
    <w:rsid w:val="009D6D84"/>
    <w:rsid w:val="009E684F"/>
    <w:rsid w:val="009F6D44"/>
    <w:rsid w:val="00A61511"/>
    <w:rsid w:val="00A7022B"/>
    <w:rsid w:val="00AA7E5A"/>
    <w:rsid w:val="00AC4CA4"/>
    <w:rsid w:val="00AD031F"/>
    <w:rsid w:val="00B378C2"/>
    <w:rsid w:val="00B37BBB"/>
    <w:rsid w:val="00B55F3D"/>
    <w:rsid w:val="00B86284"/>
    <w:rsid w:val="00BD0E8B"/>
    <w:rsid w:val="00BD1C3F"/>
    <w:rsid w:val="00BE44A8"/>
    <w:rsid w:val="00C049C2"/>
    <w:rsid w:val="00C42ACA"/>
    <w:rsid w:val="00C50588"/>
    <w:rsid w:val="00C5756B"/>
    <w:rsid w:val="00C60E4D"/>
    <w:rsid w:val="00C96152"/>
    <w:rsid w:val="00CA31BD"/>
    <w:rsid w:val="00CA485E"/>
    <w:rsid w:val="00CE0CCD"/>
    <w:rsid w:val="00CF1507"/>
    <w:rsid w:val="00D524E4"/>
    <w:rsid w:val="00DB07D6"/>
    <w:rsid w:val="00DE6C20"/>
    <w:rsid w:val="00E41073"/>
    <w:rsid w:val="00E54E6F"/>
    <w:rsid w:val="00E65609"/>
    <w:rsid w:val="00E955E6"/>
    <w:rsid w:val="00EC2180"/>
    <w:rsid w:val="00F04308"/>
    <w:rsid w:val="00F1183D"/>
    <w:rsid w:val="00F163DB"/>
    <w:rsid w:val="00F2312C"/>
    <w:rsid w:val="00F53AC9"/>
    <w:rsid w:val="00F65899"/>
    <w:rsid w:val="00F70F9F"/>
    <w:rsid w:val="00F90825"/>
    <w:rsid w:val="00FF21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A5A82"/>
  <w15:chartTrackingRefBased/>
  <w15:docId w15:val="{E6D90D17-4569-BD4D-BBE5-79963A38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E6"/>
    <w:rPr>
      <w:rFonts w:ascii="Times New Roman" w:eastAsia="Times New Roman" w:hAnsi="Times New Roman" w:cs="Times New Roman"/>
      <w:lang w:eastAsia="es-ES_tradnl"/>
    </w:rPr>
  </w:style>
  <w:style w:type="paragraph" w:styleId="Ttulo1">
    <w:name w:val="heading 1"/>
    <w:basedOn w:val="Normal"/>
    <w:link w:val="Ttulo1Car"/>
    <w:autoRedefine/>
    <w:uiPriority w:val="9"/>
    <w:qFormat/>
    <w:rsid w:val="002E0008"/>
    <w:pPr>
      <w:spacing w:before="580" w:beforeAutospacing="1" w:after="580" w:afterAutospacing="1"/>
      <w:jc w:val="center"/>
      <w:outlineLvl w:val="0"/>
    </w:pPr>
    <w:rPr>
      <w:rFonts w:ascii="Arial" w:hAnsi="Arial" w:cs="Arial"/>
      <w:b/>
      <w:bCs/>
      <w:kern w:val="36"/>
      <w:szCs w:val="48"/>
      <w:lang w:val="es-ES" w:eastAsia="es-CO"/>
    </w:rPr>
  </w:style>
  <w:style w:type="paragraph" w:styleId="Ttulo2">
    <w:name w:val="heading 2"/>
    <w:basedOn w:val="Normal"/>
    <w:next w:val="Normal"/>
    <w:link w:val="Ttulo2Car"/>
    <w:autoRedefine/>
    <w:uiPriority w:val="9"/>
    <w:unhideWhenUsed/>
    <w:qFormat/>
    <w:rsid w:val="002E0008"/>
    <w:pPr>
      <w:keepNext/>
      <w:keepLines/>
      <w:spacing w:before="280" w:after="240"/>
      <w:outlineLvl w:val="1"/>
    </w:pPr>
    <w:rPr>
      <w:rFonts w:ascii="Arial" w:eastAsiaTheme="majorEastAsia" w:hAnsi="Arial" w:cstheme="majorBidi"/>
      <w:b/>
      <w:color w:val="000000" w:themeColor="text1"/>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4A9"/>
    <w:pPr>
      <w:ind w:left="720"/>
      <w:contextualSpacing/>
    </w:pPr>
  </w:style>
  <w:style w:type="paragraph" w:customStyle="1" w:styleId="centro">
    <w:name w:val="centro"/>
    <w:basedOn w:val="Normal"/>
    <w:rsid w:val="00E54E6F"/>
    <w:pPr>
      <w:spacing w:before="100" w:beforeAutospacing="1" w:after="100" w:afterAutospacing="1"/>
    </w:pPr>
  </w:style>
  <w:style w:type="character" w:customStyle="1" w:styleId="apple-converted-space">
    <w:name w:val="apple-converted-space"/>
    <w:basedOn w:val="Fuentedeprrafopredeter"/>
    <w:rsid w:val="00E54E6F"/>
  </w:style>
  <w:style w:type="paragraph" w:styleId="Textosinformato">
    <w:name w:val="Plain Text"/>
    <w:basedOn w:val="Normal"/>
    <w:link w:val="TextosinformatoCar"/>
    <w:uiPriority w:val="99"/>
    <w:semiHidden/>
    <w:unhideWhenUsed/>
    <w:rsid w:val="00E54E6F"/>
    <w:pPr>
      <w:spacing w:before="100" w:beforeAutospacing="1" w:after="100" w:afterAutospacing="1"/>
    </w:pPr>
  </w:style>
  <w:style w:type="character" w:customStyle="1" w:styleId="TextosinformatoCar">
    <w:name w:val="Texto sin formato Car"/>
    <w:basedOn w:val="Fuentedeprrafopredeter"/>
    <w:link w:val="Textosinformato"/>
    <w:uiPriority w:val="99"/>
    <w:semiHidden/>
    <w:rsid w:val="00E54E6F"/>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F2312C"/>
    <w:pPr>
      <w:tabs>
        <w:tab w:val="center" w:pos="4419"/>
        <w:tab w:val="right" w:pos="8838"/>
      </w:tabs>
    </w:pPr>
  </w:style>
  <w:style w:type="character" w:customStyle="1" w:styleId="EncabezadoCar">
    <w:name w:val="Encabezado Car"/>
    <w:basedOn w:val="Fuentedeprrafopredeter"/>
    <w:link w:val="Encabezado"/>
    <w:uiPriority w:val="99"/>
    <w:rsid w:val="00F2312C"/>
  </w:style>
  <w:style w:type="paragraph" w:styleId="Piedepgina">
    <w:name w:val="footer"/>
    <w:basedOn w:val="Normal"/>
    <w:link w:val="PiedepginaCar"/>
    <w:uiPriority w:val="99"/>
    <w:unhideWhenUsed/>
    <w:rsid w:val="00F2312C"/>
    <w:pPr>
      <w:tabs>
        <w:tab w:val="center" w:pos="4419"/>
        <w:tab w:val="right" w:pos="8838"/>
      </w:tabs>
    </w:pPr>
  </w:style>
  <w:style w:type="character" w:customStyle="1" w:styleId="PiedepginaCar">
    <w:name w:val="Pie de página Car"/>
    <w:basedOn w:val="Fuentedeprrafopredeter"/>
    <w:link w:val="Piedepgina"/>
    <w:uiPriority w:val="99"/>
    <w:rsid w:val="00F2312C"/>
  </w:style>
  <w:style w:type="table" w:styleId="Tablaconcuadrcula">
    <w:name w:val="Table Grid"/>
    <w:basedOn w:val="Tablanormal"/>
    <w:uiPriority w:val="39"/>
    <w:rsid w:val="0040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D6A"/>
    <w:pPr>
      <w:spacing w:before="100" w:beforeAutospacing="1" w:after="100" w:afterAutospacing="1"/>
    </w:pPr>
  </w:style>
  <w:style w:type="character" w:styleId="Textoennegrita">
    <w:name w:val="Strong"/>
    <w:basedOn w:val="Fuentedeprrafopredeter"/>
    <w:uiPriority w:val="22"/>
    <w:qFormat/>
    <w:rsid w:val="00402D6A"/>
    <w:rPr>
      <w:b/>
      <w:bCs/>
    </w:rPr>
  </w:style>
  <w:style w:type="paragraph" w:styleId="Textodeglobo">
    <w:name w:val="Balloon Text"/>
    <w:basedOn w:val="Normal"/>
    <w:link w:val="TextodegloboCar"/>
    <w:uiPriority w:val="99"/>
    <w:semiHidden/>
    <w:unhideWhenUsed/>
    <w:rsid w:val="00F70F9F"/>
    <w:rPr>
      <w:sz w:val="18"/>
      <w:szCs w:val="18"/>
    </w:rPr>
  </w:style>
  <w:style w:type="character" w:customStyle="1" w:styleId="TextodegloboCar">
    <w:name w:val="Texto de globo Car"/>
    <w:basedOn w:val="Fuentedeprrafopredeter"/>
    <w:link w:val="Textodeglobo"/>
    <w:uiPriority w:val="99"/>
    <w:semiHidden/>
    <w:rsid w:val="00F70F9F"/>
    <w:rPr>
      <w:rFonts w:ascii="Times New Roman" w:hAnsi="Times New Roman" w:cs="Times New Roman"/>
      <w:sz w:val="18"/>
      <w:szCs w:val="18"/>
    </w:rPr>
  </w:style>
  <w:style w:type="paragraph" w:styleId="Descripcin">
    <w:name w:val="caption"/>
    <w:basedOn w:val="Normal"/>
    <w:next w:val="Normal"/>
    <w:uiPriority w:val="35"/>
    <w:unhideWhenUsed/>
    <w:qFormat/>
    <w:rsid w:val="004675E0"/>
    <w:pPr>
      <w:spacing w:after="200"/>
    </w:pPr>
    <w:rPr>
      <w:i/>
      <w:iCs/>
      <w:color w:val="44546A" w:themeColor="text2"/>
      <w:sz w:val="18"/>
      <w:szCs w:val="18"/>
    </w:rPr>
  </w:style>
  <w:style w:type="character" w:customStyle="1" w:styleId="Ttulo1Car">
    <w:name w:val="Título 1 Car"/>
    <w:basedOn w:val="Fuentedeprrafopredeter"/>
    <w:link w:val="Ttulo1"/>
    <w:uiPriority w:val="9"/>
    <w:rsid w:val="002E0008"/>
    <w:rPr>
      <w:rFonts w:ascii="Arial" w:eastAsia="Times New Roman" w:hAnsi="Arial" w:cs="Arial"/>
      <w:b/>
      <w:bCs/>
      <w:kern w:val="36"/>
      <w:szCs w:val="48"/>
      <w:lang w:val="es-ES" w:eastAsia="es-CO"/>
    </w:rPr>
  </w:style>
  <w:style w:type="character" w:customStyle="1" w:styleId="Ttulo2Car">
    <w:name w:val="Título 2 Car"/>
    <w:basedOn w:val="Fuentedeprrafopredeter"/>
    <w:link w:val="Ttulo2"/>
    <w:uiPriority w:val="9"/>
    <w:rsid w:val="002E0008"/>
    <w:rPr>
      <w:rFonts w:ascii="Arial" w:eastAsiaTheme="majorEastAsia" w:hAnsi="Arial" w:cstheme="majorBidi"/>
      <w:b/>
      <w:color w:val="000000" w:themeColor="text1"/>
      <w:szCs w:val="26"/>
      <w:lang w:val="es-ES_tradnl"/>
    </w:rPr>
  </w:style>
  <w:style w:type="paragraph" w:customStyle="1" w:styleId="Estilo1">
    <w:name w:val="Estilo1"/>
    <w:basedOn w:val="Ttulo2"/>
    <w:autoRedefine/>
    <w:qFormat/>
    <w:rsid w:val="002E0008"/>
    <w:pPr>
      <w:spacing w:before="0" w:after="80"/>
      <w:ind w:left="709" w:hanging="709"/>
      <w:contextualSpacing/>
      <w:jc w:val="center"/>
      <w:outlineLvl w:val="0"/>
    </w:pPr>
    <w:rPr>
      <w:rFonts w:ascii="Times New Roman" w:hAnsi="Times New Roman" w:cs="Times New Roman"/>
      <w:b w:val="0"/>
      <w:bCs/>
      <w:szCs w:val="22"/>
    </w:rPr>
  </w:style>
  <w:style w:type="character" w:styleId="Refdecomentario">
    <w:name w:val="annotation reference"/>
    <w:basedOn w:val="Fuentedeprrafopredeter"/>
    <w:uiPriority w:val="99"/>
    <w:semiHidden/>
    <w:unhideWhenUsed/>
    <w:rsid w:val="00116E92"/>
    <w:rPr>
      <w:sz w:val="16"/>
      <w:szCs w:val="16"/>
    </w:rPr>
  </w:style>
  <w:style w:type="paragraph" w:styleId="Textocomentario">
    <w:name w:val="annotation text"/>
    <w:basedOn w:val="Normal"/>
    <w:link w:val="TextocomentarioCar"/>
    <w:uiPriority w:val="99"/>
    <w:semiHidden/>
    <w:unhideWhenUsed/>
    <w:rsid w:val="00116E92"/>
    <w:rPr>
      <w:sz w:val="20"/>
      <w:szCs w:val="20"/>
    </w:rPr>
  </w:style>
  <w:style w:type="character" w:customStyle="1" w:styleId="TextocomentarioCar">
    <w:name w:val="Texto comentario Car"/>
    <w:basedOn w:val="Fuentedeprrafopredeter"/>
    <w:link w:val="Textocomentario"/>
    <w:uiPriority w:val="99"/>
    <w:semiHidden/>
    <w:rsid w:val="00116E9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116E92"/>
    <w:rPr>
      <w:b/>
      <w:bCs/>
    </w:rPr>
  </w:style>
  <w:style w:type="character" w:customStyle="1" w:styleId="AsuntodelcomentarioCar">
    <w:name w:val="Asunto del comentario Car"/>
    <w:basedOn w:val="TextocomentarioCar"/>
    <w:link w:val="Asuntodelcomentario"/>
    <w:uiPriority w:val="99"/>
    <w:semiHidden/>
    <w:rsid w:val="00116E92"/>
    <w:rPr>
      <w:rFonts w:ascii="Times New Roman" w:eastAsia="Times New Roman" w:hAnsi="Times New Roman" w:cs="Times New Roman"/>
      <w:b/>
      <w:bCs/>
      <w:sz w:val="20"/>
      <w:szCs w:val="20"/>
      <w:lang w:eastAsia="es-ES_tradnl"/>
    </w:rPr>
  </w:style>
  <w:style w:type="paragraph" w:styleId="Textonotapie">
    <w:name w:val="footnote text"/>
    <w:basedOn w:val="Normal"/>
    <w:link w:val="TextonotapieCar"/>
    <w:uiPriority w:val="99"/>
    <w:semiHidden/>
    <w:unhideWhenUsed/>
    <w:rsid w:val="00341886"/>
    <w:rPr>
      <w:sz w:val="20"/>
      <w:szCs w:val="20"/>
    </w:rPr>
  </w:style>
  <w:style w:type="character" w:customStyle="1" w:styleId="TextonotapieCar">
    <w:name w:val="Texto nota pie Car"/>
    <w:basedOn w:val="Fuentedeprrafopredeter"/>
    <w:link w:val="Textonotapie"/>
    <w:uiPriority w:val="99"/>
    <w:semiHidden/>
    <w:rsid w:val="00341886"/>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41886"/>
    <w:rPr>
      <w:vertAlign w:val="superscript"/>
    </w:rPr>
  </w:style>
  <w:style w:type="paragraph" w:styleId="Bibliografa">
    <w:name w:val="Bibliography"/>
    <w:basedOn w:val="Normal"/>
    <w:next w:val="Normal"/>
    <w:uiPriority w:val="37"/>
    <w:unhideWhenUsed/>
    <w:rsid w:val="00CF1507"/>
  </w:style>
  <w:style w:type="character" w:styleId="Hipervnculo">
    <w:name w:val="Hyperlink"/>
    <w:basedOn w:val="Fuentedeprrafopredeter"/>
    <w:uiPriority w:val="99"/>
    <w:unhideWhenUsed/>
    <w:rsid w:val="003670C7"/>
    <w:rPr>
      <w:color w:val="0563C1" w:themeColor="hyperlink"/>
      <w:u w:val="single"/>
    </w:rPr>
  </w:style>
  <w:style w:type="character" w:customStyle="1" w:styleId="Mencinsinresolver1">
    <w:name w:val="Mención sin resolver1"/>
    <w:basedOn w:val="Fuentedeprrafopredeter"/>
    <w:uiPriority w:val="99"/>
    <w:semiHidden/>
    <w:unhideWhenUsed/>
    <w:rsid w:val="003670C7"/>
    <w:rPr>
      <w:color w:val="605E5C"/>
      <w:shd w:val="clear" w:color="auto" w:fill="E1DFDD"/>
    </w:rPr>
  </w:style>
  <w:style w:type="paragraph" w:customStyle="1" w:styleId="Body1">
    <w:name w:val="Body 1"/>
    <w:autoRedefine/>
    <w:rsid w:val="0042398B"/>
    <w:pPr>
      <w:tabs>
        <w:tab w:val="left" w:pos="284"/>
        <w:tab w:val="left" w:pos="426"/>
      </w:tabs>
      <w:jc w:val="both"/>
      <w:outlineLvl w:val="0"/>
    </w:pPr>
    <w:rPr>
      <w:rFonts w:ascii="Helvetica" w:eastAsia="Arial Unicode MS" w:hAnsi="Helvetica" w:cs="Helvetica"/>
      <w:u w:color="2222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199">
      <w:bodyDiv w:val="1"/>
      <w:marLeft w:val="0"/>
      <w:marRight w:val="0"/>
      <w:marTop w:val="0"/>
      <w:marBottom w:val="0"/>
      <w:divBdr>
        <w:top w:val="none" w:sz="0" w:space="0" w:color="auto"/>
        <w:left w:val="none" w:sz="0" w:space="0" w:color="auto"/>
        <w:bottom w:val="none" w:sz="0" w:space="0" w:color="auto"/>
        <w:right w:val="none" w:sz="0" w:space="0" w:color="auto"/>
      </w:divBdr>
    </w:div>
    <w:div w:id="81148411">
      <w:bodyDiv w:val="1"/>
      <w:marLeft w:val="0"/>
      <w:marRight w:val="0"/>
      <w:marTop w:val="0"/>
      <w:marBottom w:val="0"/>
      <w:divBdr>
        <w:top w:val="none" w:sz="0" w:space="0" w:color="auto"/>
        <w:left w:val="none" w:sz="0" w:space="0" w:color="auto"/>
        <w:bottom w:val="none" w:sz="0" w:space="0" w:color="auto"/>
        <w:right w:val="none" w:sz="0" w:space="0" w:color="auto"/>
      </w:divBdr>
    </w:div>
    <w:div w:id="108362163">
      <w:bodyDiv w:val="1"/>
      <w:marLeft w:val="0"/>
      <w:marRight w:val="0"/>
      <w:marTop w:val="0"/>
      <w:marBottom w:val="0"/>
      <w:divBdr>
        <w:top w:val="none" w:sz="0" w:space="0" w:color="auto"/>
        <w:left w:val="none" w:sz="0" w:space="0" w:color="auto"/>
        <w:bottom w:val="none" w:sz="0" w:space="0" w:color="auto"/>
        <w:right w:val="none" w:sz="0" w:space="0" w:color="auto"/>
      </w:divBdr>
    </w:div>
    <w:div w:id="109084626">
      <w:bodyDiv w:val="1"/>
      <w:marLeft w:val="0"/>
      <w:marRight w:val="0"/>
      <w:marTop w:val="0"/>
      <w:marBottom w:val="0"/>
      <w:divBdr>
        <w:top w:val="none" w:sz="0" w:space="0" w:color="auto"/>
        <w:left w:val="none" w:sz="0" w:space="0" w:color="auto"/>
        <w:bottom w:val="none" w:sz="0" w:space="0" w:color="auto"/>
        <w:right w:val="none" w:sz="0" w:space="0" w:color="auto"/>
      </w:divBdr>
    </w:div>
    <w:div w:id="150366792">
      <w:bodyDiv w:val="1"/>
      <w:marLeft w:val="0"/>
      <w:marRight w:val="0"/>
      <w:marTop w:val="0"/>
      <w:marBottom w:val="0"/>
      <w:divBdr>
        <w:top w:val="none" w:sz="0" w:space="0" w:color="auto"/>
        <w:left w:val="none" w:sz="0" w:space="0" w:color="auto"/>
        <w:bottom w:val="none" w:sz="0" w:space="0" w:color="auto"/>
        <w:right w:val="none" w:sz="0" w:space="0" w:color="auto"/>
      </w:divBdr>
    </w:div>
    <w:div w:id="159347521">
      <w:bodyDiv w:val="1"/>
      <w:marLeft w:val="0"/>
      <w:marRight w:val="0"/>
      <w:marTop w:val="0"/>
      <w:marBottom w:val="0"/>
      <w:divBdr>
        <w:top w:val="none" w:sz="0" w:space="0" w:color="auto"/>
        <w:left w:val="none" w:sz="0" w:space="0" w:color="auto"/>
        <w:bottom w:val="none" w:sz="0" w:space="0" w:color="auto"/>
        <w:right w:val="none" w:sz="0" w:space="0" w:color="auto"/>
      </w:divBdr>
    </w:div>
    <w:div w:id="162822462">
      <w:bodyDiv w:val="1"/>
      <w:marLeft w:val="0"/>
      <w:marRight w:val="0"/>
      <w:marTop w:val="0"/>
      <w:marBottom w:val="0"/>
      <w:divBdr>
        <w:top w:val="none" w:sz="0" w:space="0" w:color="auto"/>
        <w:left w:val="none" w:sz="0" w:space="0" w:color="auto"/>
        <w:bottom w:val="none" w:sz="0" w:space="0" w:color="auto"/>
        <w:right w:val="none" w:sz="0" w:space="0" w:color="auto"/>
      </w:divBdr>
    </w:div>
    <w:div w:id="189533478">
      <w:bodyDiv w:val="1"/>
      <w:marLeft w:val="0"/>
      <w:marRight w:val="0"/>
      <w:marTop w:val="0"/>
      <w:marBottom w:val="0"/>
      <w:divBdr>
        <w:top w:val="none" w:sz="0" w:space="0" w:color="auto"/>
        <w:left w:val="none" w:sz="0" w:space="0" w:color="auto"/>
        <w:bottom w:val="none" w:sz="0" w:space="0" w:color="auto"/>
        <w:right w:val="none" w:sz="0" w:space="0" w:color="auto"/>
      </w:divBdr>
    </w:div>
    <w:div w:id="190995068">
      <w:bodyDiv w:val="1"/>
      <w:marLeft w:val="0"/>
      <w:marRight w:val="0"/>
      <w:marTop w:val="0"/>
      <w:marBottom w:val="0"/>
      <w:divBdr>
        <w:top w:val="none" w:sz="0" w:space="0" w:color="auto"/>
        <w:left w:val="none" w:sz="0" w:space="0" w:color="auto"/>
        <w:bottom w:val="none" w:sz="0" w:space="0" w:color="auto"/>
        <w:right w:val="none" w:sz="0" w:space="0" w:color="auto"/>
      </w:divBdr>
    </w:div>
    <w:div w:id="223222071">
      <w:bodyDiv w:val="1"/>
      <w:marLeft w:val="0"/>
      <w:marRight w:val="0"/>
      <w:marTop w:val="0"/>
      <w:marBottom w:val="0"/>
      <w:divBdr>
        <w:top w:val="none" w:sz="0" w:space="0" w:color="auto"/>
        <w:left w:val="none" w:sz="0" w:space="0" w:color="auto"/>
        <w:bottom w:val="none" w:sz="0" w:space="0" w:color="auto"/>
        <w:right w:val="none" w:sz="0" w:space="0" w:color="auto"/>
      </w:divBdr>
    </w:div>
    <w:div w:id="298803880">
      <w:bodyDiv w:val="1"/>
      <w:marLeft w:val="0"/>
      <w:marRight w:val="0"/>
      <w:marTop w:val="0"/>
      <w:marBottom w:val="0"/>
      <w:divBdr>
        <w:top w:val="none" w:sz="0" w:space="0" w:color="auto"/>
        <w:left w:val="none" w:sz="0" w:space="0" w:color="auto"/>
        <w:bottom w:val="none" w:sz="0" w:space="0" w:color="auto"/>
        <w:right w:val="none" w:sz="0" w:space="0" w:color="auto"/>
      </w:divBdr>
    </w:div>
    <w:div w:id="303972404">
      <w:bodyDiv w:val="1"/>
      <w:marLeft w:val="0"/>
      <w:marRight w:val="0"/>
      <w:marTop w:val="0"/>
      <w:marBottom w:val="0"/>
      <w:divBdr>
        <w:top w:val="none" w:sz="0" w:space="0" w:color="auto"/>
        <w:left w:val="none" w:sz="0" w:space="0" w:color="auto"/>
        <w:bottom w:val="none" w:sz="0" w:space="0" w:color="auto"/>
        <w:right w:val="none" w:sz="0" w:space="0" w:color="auto"/>
      </w:divBdr>
      <w:divsChild>
        <w:div w:id="1666400221">
          <w:marLeft w:val="0"/>
          <w:marRight w:val="0"/>
          <w:marTop w:val="0"/>
          <w:marBottom w:val="0"/>
          <w:divBdr>
            <w:top w:val="none" w:sz="0" w:space="0" w:color="auto"/>
            <w:left w:val="none" w:sz="0" w:space="0" w:color="auto"/>
            <w:bottom w:val="none" w:sz="0" w:space="0" w:color="auto"/>
            <w:right w:val="none" w:sz="0" w:space="0" w:color="auto"/>
          </w:divBdr>
          <w:divsChild>
            <w:div w:id="1473329275">
              <w:marLeft w:val="0"/>
              <w:marRight w:val="0"/>
              <w:marTop w:val="0"/>
              <w:marBottom w:val="0"/>
              <w:divBdr>
                <w:top w:val="none" w:sz="0" w:space="0" w:color="auto"/>
                <w:left w:val="none" w:sz="0" w:space="0" w:color="auto"/>
                <w:bottom w:val="none" w:sz="0" w:space="0" w:color="auto"/>
                <w:right w:val="none" w:sz="0" w:space="0" w:color="auto"/>
              </w:divBdr>
              <w:divsChild>
                <w:div w:id="9792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4752">
      <w:bodyDiv w:val="1"/>
      <w:marLeft w:val="0"/>
      <w:marRight w:val="0"/>
      <w:marTop w:val="0"/>
      <w:marBottom w:val="0"/>
      <w:divBdr>
        <w:top w:val="none" w:sz="0" w:space="0" w:color="auto"/>
        <w:left w:val="none" w:sz="0" w:space="0" w:color="auto"/>
        <w:bottom w:val="none" w:sz="0" w:space="0" w:color="auto"/>
        <w:right w:val="none" w:sz="0" w:space="0" w:color="auto"/>
      </w:divBdr>
    </w:div>
    <w:div w:id="332074798">
      <w:bodyDiv w:val="1"/>
      <w:marLeft w:val="0"/>
      <w:marRight w:val="0"/>
      <w:marTop w:val="0"/>
      <w:marBottom w:val="0"/>
      <w:divBdr>
        <w:top w:val="none" w:sz="0" w:space="0" w:color="auto"/>
        <w:left w:val="none" w:sz="0" w:space="0" w:color="auto"/>
        <w:bottom w:val="none" w:sz="0" w:space="0" w:color="auto"/>
        <w:right w:val="none" w:sz="0" w:space="0" w:color="auto"/>
      </w:divBdr>
    </w:div>
    <w:div w:id="380446897">
      <w:bodyDiv w:val="1"/>
      <w:marLeft w:val="0"/>
      <w:marRight w:val="0"/>
      <w:marTop w:val="0"/>
      <w:marBottom w:val="0"/>
      <w:divBdr>
        <w:top w:val="none" w:sz="0" w:space="0" w:color="auto"/>
        <w:left w:val="none" w:sz="0" w:space="0" w:color="auto"/>
        <w:bottom w:val="none" w:sz="0" w:space="0" w:color="auto"/>
        <w:right w:val="none" w:sz="0" w:space="0" w:color="auto"/>
      </w:divBdr>
    </w:div>
    <w:div w:id="396975031">
      <w:bodyDiv w:val="1"/>
      <w:marLeft w:val="0"/>
      <w:marRight w:val="0"/>
      <w:marTop w:val="0"/>
      <w:marBottom w:val="0"/>
      <w:divBdr>
        <w:top w:val="none" w:sz="0" w:space="0" w:color="auto"/>
        <w:left w:val="none" w:sz="0" w:space="0" w:color="auto"/>
        <w:bottom w:val="none" w:sz="0" w:space="0" w:color="auto"/>
        <w:right w:val="none" w:sz="0" w:space="0" w:color="auto"/>
      </w:divBdr>
    </w:div>
    <w:div w:id="420032597">
      <w:bodyDiv w:val="1"/>
      <w:marLeft w:val="0"/>
      <w:marRight w:val="0"/>
      <w:marTop w:val="0"/>
      <w:marBottom w:val="0"/>
      <w:divBdr>
        <w:top w:val="none" w:sz="0" w:space="0" w:color="auto"/>
        <w:left w:val="none" w:sz="0" w:space="0" w:color="auto"/>
        <w:bottom w:val="none" w:sz="0" w:space="0" w:color="auto"/>
        <w:right w:val="none" w:sz="0" w:space="0" w:color="auto"/>
      </w:divBdr>
    </w:div>
    <w:div w:id="434716066">
      <w:bodyDiv w:val="1"/>
      <w:marLeft w:val="0"/>
      <w:marRight w:val="0"/>
      <w:marTop w:val="0"/>
      <w:marBottom w:val="0"/>
      <w:divBdr>
        <w:top w:val="none" w:sz="0" w:space="0" w:color="auto"/>
        <w:left w:val="none" w:sz="0" w:space="0" w:color="auto"/>
        <w:bottom w:val="none" w:sz="0" w:space="0" w:color="auto"/>
        <w:right w:val="none" w:sz="0" w:space="0" w:color="auto"/>
      </w:divBdr>
    </w:div>
    <w:div w:id="457064922">
      <w:bodyDiv w:val="1"/>
      <w:marLeft w:val="0"/>
      <w:marRight w:val="0"/>
      <w:marTop w:val="0"/>
      <w:marBottom w:val="0"/>
      <w:divBdr>
        <w:top w:val="none" w:sz="0" w:space="0" w:color="auto"/>
        <w:left w:val="none" w:sz="0" w:space="0" w:color="auto"/>
        <w:bottom w:val="none" w:sz="0" w:space="0" w:color="auto"/>
        <w:right w:val="none" w:sz="0" w:space="0" w:color="auto"/>
      </w:divBdr>
    </w:div>
    <w:div w:id="472218556">
      <w:bodyDiv w:val="1"/>
      <w:marLeft w:val="0"/>
      <w:marRight w:val="0"/>
      <w:marTop w:val="0"/>
      <w:marBottom w:val="0"/>
      <w:divBdr>
        <w:top w:val="none" w:sz="0" w:space="0" w:color="auto"/>
        <w:left w:val="none" w:sz="0" w:space="0" w:color="auto"/>
        <w:bottom w:val="none" w:sz="0" w:space="0" w:color="auto"/>
        <w:right w:val="none" w:sz="0" w:space="0" w:color="auto"/>
      </w:divBdr>
    </w:div>
    <w:div w:id="524025918">
      <w:bodyDiv w:val="1"/>
      <w:marLeft w:val="0"/>
      <w:marRight w:val="0"/>
      <w:marTop w:val="0"/>
      <w:marBottom w:val="0"/>
      <w:divBdr>
        <w:top w:val="none" w:sz="0" w:space="0" w:color="auto"/>
        <w:left w:val="none" w:sz="0" w:space="0" w:color="auto"/>
        <w:bottom w:val="none" w:sz="0" w:space="0" w:color="auto"/>
        <w:right w:val="none" w:sz="0" w:space="0" w:color="auto"/>
      </w:divBdr>
    </w:div>
    <w:div w:id="526600252">
      <w:bodyDiv w:val="1"/>
      <w:marLeft w:val="0"/>
      <w:marRight w:val="0"/>
      <w:marTop w:val="0"/>
      <w:marBottom w:val="0"/>
      <w:divBdr>
        <w:top w:val="none" w:sz="0" w:space="0" w:color="auto"/>
        <w:left w:val="none" w:sz="0" w:space="0" w:color="auto"/>
        <w:bottom w:val="none" w:sz="0" w:space="0" w:color="auto"/>
        <w:right w:val="none" w:sz="0" w:space="0" w:color="auto"/>
      </w:divBdr>
    </w:div>
    <w:div w:id="558707240">
      <w:bodyDiv w:val="1"/>
      <w:marLeft w:val="0"/>
      <w:marRight w:val="0"/>
      <w:marTop w:val="0"/>
      <w:marBottom w:val="0"/>
      <w:divBdr>
        <w:top w:val="none" w:sz="0" w:space="0" w:color="auto"/>
        <w:left w:val="none" w:sz="0" w:space="0" w:color="auto"/>
        <w:bottom w:val="none" w:sz="0" w:space="0" w:color="auto"/>
        <w:right w:val="none" w:sz="0" w:space="0" w:color="auto"/>
      </w:divBdr>
    </w:div>
    <w:div w:id="573899679">
      <w:bodyDiv w:val="1"/>
      <w:marLeft w:val="0"/>
      <w:marRight w:val="0"/>
      <w:marTop w:val="0"/>
      <w:marBottom w:val="0"/>
      <w:divBdr>
        <w:top w:val="none" w:sz="0" w:space="0" w:color="auto"/>
        <w:left w:val="none" w:sz="0" w:space="0" w:color="auto"/>
        <w:bottom w:val="none" w:sz="0" w:space="0" w:color="auto"/>
        <w:right w:val="none" w:sz="0" w:space="0" w:color="auto"/>
      </w:divBdr>
    </w:div>
    <w:div w:id="634485378">
      <w:bodyDiv w:val="1"/>
      <w:marLeft w:val="0"/>
      <w:marRight w:val="0"/>
      <w:marTop w:val="0"/>
      <w:marBottom w:val="0"/>
      <w:divBdr>
        <w:top w:val="none" w:sz="0" w:space="0" w:color="auto"/>
        <w:left w:val="none" w:sz="0" w:space="0" w:color="auto"/>
        <w:bottom w:val="none" w:sz="0" w:space="0" w:color="auto"/>
        <w:right w:val="none" w:sz="0" w:space="0" w:color="auto"/>
      </w:divBdr>
    </w:div>
    <w:div w:id="636229525">
      <w:bodyDiv w:val="1"/>
      <w:marLeft w:val="0"/>
      <w:marRight w:val="0"/>
      <w:marTop w:val="0"/>
      <w:marBottom w:val="0"/>
      <w:divBdr>
        <w:top w:val="none" w:sz="0" w:space="0" w:color="auto"/>
        <w:left w:val="none" w:sz="0" w:space="0" w:color="auto"/>
        <w:bottom w:val="none" w:sz="0" w:space="0" w:color="auto"/>
        <w:right w:val="none" w:sz="0" w:space="0" w:color="auto"/>
      </w:divBdr>
    </w:div>
    <w:div w:id="640768406">
      <w:bodyDiv w:val="1"/>
      <w:marLeft w:val="0"/>
      <w:marRight w:val="0"/>
      <w:marTop w:val="0"/>
      <w:marBottom w:val="0"/>
      <w:divBdr>
        <w:top w:val="none" w:sz="0" w:space="0" w:color="auto"/>
        <w:left w:val="none" w:sz="0" w:space="0" w:color="auto"/>
        <w:bottom w:val="none" w:sz="0" w:space="0" w:color="auto"/>
        <w:right w:val="none" w:sz="0" w:space="0" w:color="auto"/>
      </w:divBdr>
    </w:div>
    <w:div w:id="647713116">
      <w:bodyDiv w:val="1"/>
      <w:marLeft w:val="0"/>
      <w:marRight w:val="0"/>
      <w:marTop w:val="0"/>
      <w:marBottom w:val="0"/>
      <w:divBdr>
        <w:top w:val="none" w:sz="0" w:space="0" w:color="auto"/>
        <w:left w:val="none" w:sz="0" w:space="0" w:color="auto"/>
        <w:bottom w:val="none" w:sz="0" w:space="0" w:color="auto"/>
        <w:right w:val="none" w:sz="0" w:space="0" w:color="auto"/>
      </w:divBdr>
      <w:divsChild>
        <w:div w:id="160856864">
          <w:marLeft w:val="0"/>
          <w:marRight w:val="0"/>
          <w:marTop w:val="0"/>
          <w:marBottom w:val="0"/>
          <w:divBdr>
            <w:top w:val="none" w:sz="0" w:space="0" w:color="auto"/>
            <w:left w:val="none" w:sz="0" w:space="0" w:color="auto"/>
            <w:bottom w:val="none" w:sz="0" w:space="0" w:color="auto"/>
            <w:right w:val="none" w:sz="0" w:space="0" w:color="auto"/>
          </w:divBdr>
          <w:divsChild>
            <w:div w:id="1182478797">
              <w:marLeft w:val="0"/>
              <w:marRight w:val="0"/>
              <w:marTop w:val="0"/>
              <w:marBottom w:val="0"/>
              <w:divBdr>
                <w:top w:val="none" w:sz="0" w:space="0" w:color="auto"/>
                <w:left w:val="none" w:sz="0" w:space="0" w:color="auto"/>
                <w:bottom w:val="none" w:sz="0" w:space="0" w:color="auto"/>
                <w:right w:val="none" w:sz="0" w:space="0" w:color="auto"/>
              </w:divBdr>
              <w:divsChild>
                <w:div w:id="4368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3026">
      <w:bodyDiv w:val="1"/>
      <w:marLeft w:val="0"/>
      <w:marRight w:val="0"/>
      <w:marTop w:val="0"/>
      <w:marBottom w:val="0"/>
      <w:divBdr>
        <w:top w:val="none" w:sz="0" w:space="0" w:color="auto"/>
        <w:left w:val="none" w:sz="0" w:space="0" w:color="auto"/>
        <w:bottom w:val="none" w:sz="0" w:space="0" w:color="auto"/>
        <w:right w:val="none" w:sz="0" w:space="0" w:color="auto"/>
      </w:divBdr>
    </w:div>
    <w:div w:id="675767939">
      <w:bodyDiv w:val="1"/>
      <w:marLeft w:val="0"/>
      <w:marRight w:val="0"/>
      <w:marTop w:val="0"/>
      <w:marBottom w:val="0"/>
      <w:divBdr>
        <w:top w:val="none" w:sz="0" w:space="0" w:color="auto"/>
        <w:left w:val="none" w:sz="0" w:space="0" w:color="auto"/>
        <w:bottom w:val="none" w:sz="0" w:space="0" w:color="auto"/>
        <w:right w:val="none" w:sz="0" w:space="0" w:color="auto"/>
      </w:divBdr>
    </w:div>
    <w:div w:id="680818136">
      <w:bodyDiv w:val="1"/>
      <w:marLeft w:val="0"/>
      <w:marRight w:val="0"/>
      <w:marTop w:val="0"/>
      <w:marBottom w:val="0"/>
      <w:divBdr>
        <w:top w:val="none" w:sz="0" w:space="0" w:color="auto"/>
        <w:left w:val="none" w:sz="0" w:space="0" w:color="auto"/>
        <w:bottom w:val="none" w:sz="0" w:space="0" w:color="auto"/>
        <w:right w:val="none" w:sz="0" w:space="0" w:color="auto"/>
      </w:divBdr>
    </w:div>
    <w:div w:id="774980584">
      <w:bodyDiv w:val="1"/>
      <w:marLeft w:val="0"/>
      <w:marRight w:val="0"/>
      <w:marTop w:val="0"/>
      <w:marBottom w:val="0"/>
      <w:divBdr>
        <w:top w:val="none" w:sz="0" w:space="0" w:color="auto"/>
        <w:left w:val="none" w:sz="0" w:space="0" w:color="auto"/>
        <w:bottom w:val="none" w:sz="0" w:space="0" w:color="auto"/>
        <w:right w:val="none" w:sz="0" w:space="0" w:color="auto"/>
      </w:divBdr>
    </w:div>
    <w:div w:id="775978034">
      <w:bodyDiv w:val="1"/>
      <w:marLeft w:val="0"/>
      <w:marRight w:val="0"/>
      <w:marTop w:val="0"/>
      <w:marBottom w:val="0"/>
      <w:divBdr>
        <w:top w:val="none" w:sz="0" w:space="0" w:color="auto"/>
        <w:left w:val="none" w:sz="0" w:space="0" w:color="auto"/>
        <w:bottom w:val="none" w:sz="0" w:space="0" w:color="auto"/>
        <w:right w:val="none" w:sz="0" w:space="0" w:color="auto"/>
      </w:divBdr>
    </w:div>
    <w:div w:id="797530506">
      <w:bodyDiv w:val="1"/>
      <w:marLeft w:val="0"/>
      <w:marRight w:val="0"/>
      <w:marTop w:val="0"/>
      <w:marBottom w:val="0"/>
      <w:divBdr>
        <w:top w:val="none" w:sz="0" w:space="0" w:color="auto"/>
        <w:left w:val="none" w:sz="0" w:space="0" w:color="auto"/>
        <w:bottom w:val="none" w:sz="0" w:space="0" w:color="auto"/>
        <w:right w:val="none" w:sz="0" w:space="0" w:color="auto"/>
      </w:divBdr>
    </w:div>
    <w:div w:id="878472955">
      <w:bodyDiv w:val="1"/>
      <w:marLeft w:val="0"/>
      <w:marRight w:val="0"/>
      <w:marTop w:val="0"/>
      <w:marBottom w:val="0"/>
      <w:divBdr>
        <w:top w:val="none" w:sz="0" w:space="0" w:color="auto"/>
        <w:left w:val="none" w:sz="0" w:space="0" w:color="auto"/>
        <w:bottom w:val="none" w:sz="0" w:space="0" w:color="auto"/>
        <w:right w:val="none" w:sz="0" w:space="0" w:color="auto"/>
      </w:divBdr>
    </w:div>
    <w:div w:id="884023040">
      <w:bodyDiv w:val="1"/>
      <w:marLeft w:val="0"/>
      <w:marRight w:val="0"/>
      <w:marTop w:val="0"/>
      <w:marBottom w:val="0"/>
      <w:divBdr>
        <w:top w:val="none" w:sz="0" w:space="0" w:color="auto"/>
        <w:left w:val="none" w:sz="0" w:space="0" w:color="auto"/>
        <w:bottom w:val="none" w:sz="0" w:space="0" w:color="auto"/>
        <w:right w:val="none" w:sz="0" w:space="0" w:color="auto"/>
      </w:divBdr>
    </w:div>
    <w:div w:id="915818957">
      <w:bodyDiv w:val="1"/>
      <w:marLeft w:val="0"/>
      <w:marRight w:val="0"/>
      <w:marTop w:val="0"/>
      <w:marBottom w:val="0"/>
      <w:divBdr>
        <w:top w:val="none" w:sz="0" w:space="0" w:color="auto"/>
        <w:left w:val="none" w:sz="0" w:space="0" w:color="auto"/>
        <w:bottom w:val="none" w:sz="0" w:space="0" w:color="auto"/>
        <w:right w:val="none" w:sz="0" w:space="0" w:color="auto"/>
      </w:divBdr>
      <w:divsChild>
        <w:div w:id="523833360">
          <w:marLeft w:val="0"/>
          <w:marRight w:val="0"/>
          <w:marTop w:val="0"/>
          <w:marBottom w:val="0"/>
          <w:divBdr>
            <w:top w:val="none" w:sz="0" w:space="0" w:color="auto"/>
            <w:left w:val="none" w:sz="0" w:space="0" w:color="auto"/>
            <w:bottom w:val="none" w:sz="0" w:space="0" w:color="auto"/>
            <w:right w:val="none" w:sz="0" w:space="0" w:color="auto"/>
          </w:divBdr>
          <w:divsChild>
            <w:div w:id="1048843520">
              <w:marLeft w:val="0"/>
              <w:marRight w:val="0"/>
              <w:marTop w:val="0"/>
              <w:marBottom w:val="0"/>
              <w:divBdr>
                <w:top w:val="none" w:sz="0" w:space="0" w:color="auto"/>
                <w:left w:val="none" w:sz="0" w:space="0" w:color="auto"/>
                <w:bottom w:val="none" w:sz="0" w:space="0" w:color="auto"/>
                <w:right w:val="none" w:sz="0" w:space="0" w:color="auto"/>
              </w:divBdr>
              <w:divsChild>
                <w:div w:id="9257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5616">
      <w:bodyDiv w:val="1"/>
      <w:marLeft w:val="0"/>
      <w:marRight w:val="0"/>
      <w:marTop w:val="0"/>
      <w:marBottom w:val="0"/>
      <w:divBdr>
        <w:top w:val="none" w:sz="0" w:space="0" w:color="auto"/>
        <w:left w:val="none" w:sz="0" w:space="0" w:color="auto"/>
        <w:bottom w:val="none" w:sz="0" w:space="0" w:color="auto"/>
        <w:right w:val="none" w:sz="0" w:space="0" w:color="auto"/>
      </w:divBdr>
    </w:div>
    <w:div w:id="962614643">
      <w:bodyDiv w:val="1"/>
      <w:marLeft w:val="0"/>
      <w:marRight w:val="0"/>
      <w:marTop w:val="0"/>
      <w:marBottom w:val="0"/>
      <w:divBdr>
        <w:top w:val="none" w:sz="0" w:space="0" w:color="auto"/>
        <w:left w:val="none" w:sz="0" w:space="0" w:color="auto"/>
        <w:bottom w:val="none" w:sz="0" w:space="0" w:color="auto"/>
        <w:right w:val="none" w:sz="0" w:space="0" w:color="auto"/>
      </w:divBdr>
    </w:div>
    <w:div w:id="965505198">
      <w:bodyDiv w:val="1"/>
      <w:marLeft w:val="0"/>
      <w:marRight w:val="0"/>
      <w:marTop w:val="0"/>
      <w:marBottom w:val="0"/>
      <w:divBdr>
        <w:top w:val="none" w:sz="0" w:space="0" w:color="auto"/>
        <w:left w:val="none" w:sz="0" w:space="0" w:color="auto"/>
        <w:bottom w:val="none" w:sz="0" w:space="0" w:color="auto"/>
        <w:right w:val="none" w:sz="0" w:space="0" w:color="auto"/>
      </w:divBdr>
    </w:div>
    <w:div w:id="1021979772">
      <w:bodyDiv w:val="1"/>
      <w:marLeft w:val="0"/>
      <w:marRight w:val="0"/>
      <w:marTop w:val="0"/>
      <w:marBottom w:val="0"/>
      <w:divBdr>
        <w:top w:val="none" w:sz="0" w:space="0" w:color="auto"/>
        <w:left w:val="none" w:sz="0" w:space="0" w:color="auto"/>
        <w:bottom w:val="none" w:sz="0" w:space="0" w:color="auto"/>
        <w:right w:val="none" w:sz="0" w:space="0" w:color="auto"/>
      </w:divBdr>
    </w:div>
    <w:div w:id="1070271871">
      <w:bodyDiv w:val="1"/>
      <w:marLeft w:val="0"/>
      <w:marRight w:val="0"/>
      <w:marTop w:val="0"/>
      <w:marBottom w:val="0"/>
      <w:divBdr>
        <w:top w:val="none" w:sz="0" w:space="0" w:color="auto"/>
        <w:left w:val="none" w:sz="0" w:space="0" w:color="auto"/>
        <w:bottom w:val="none" w:sz="0" w:space="0" w:color="auto"/>
        <w:right w:val="none" w:sz="0" w:space="0" w:color="auto"/>
      </w:divBdr>
    </w:div>
    <w:div w:id="107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04663093">
          <w:marLeft w:val="0"/>
          <w:marRight w:val="0"/>
          <w:marTop w:val="0"/>
          <w:marBottom w:val="0"/>
          <w:divBdr>
            <w:top w:val="none" w:sz="0" w:space="0" w:color="auto"/>
            <w:left w:val="none" w:sz="0" w:space="0" w:color="auto"/>
            <w:bottom w:val="none" w:sz="0" w:space="0" w:color="auto"/>
            <w:right w:val="none" w:sz="0" w:space="0" w:color="auto"/>
          </w:divBdr>
          <w:divsChild>
            <w:div w:id="1013143874">
              <w:marLeft w:val="0"/>
              <w:marRight w:val="0"/>
              <w:marTop w:val="0"/>
              <w:marBottom w:val="0"/>
              <w:divBdr>
                <w:top w:val="none" w:sz="0" w:space="0" w:color="auto"/>
                <w:left w:val="none" w:sz="0" w:space="0" w:color="auto"/>
                <w:bottom w:val="none" w:sz="0" w:space="0" w:color="auto"/>
                <w:right w:val="none" w:sz="0" w:space="0" w:color="auto"/>
              </w:divBdr>
              <w:divsChild>
                <w:div w:id="11042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1611">
      <w:bodyDiv w:val="1"/>
      <w:marLeft w:val="0"/>
      <w:marRight w:val="0"/>
      <w:marTop w:val="0"/>
      <w:marBottom w:val="0"/>
      <w:divBdr>
        <w:top w:val="none" w:sz="0" w:space="0" w:color="auto"/>
        <w:left w:val="none" w:sz="0" w:space="0" w:color="auto"/>
        <w:bottom w:val="none" w:sz="0" w:space="0" w:color="auto"/>
        <w:right w:val="none" w:sz="0" w:space="0" w:color="auto"/>
      </w:divBdr>
      <w:divsChild>
        <w:div w:id="671493747">
          <w:marLeft w:val="0"/>
          <w:marRight w:val="0"/>
          <w:marTop w:val="0"/>
          <w:marBottom w:val="0"/>
          <w:divBdr>
            <w:top w:val="none" w:sz="0" w:space="0" w:color="auto"/>
            <w:left w:val="none" w:sz="0" w:space="0" w:color="auto"/>
            <w:bottom w:val="none" w:sz="0" w:space="0" w:color="auto"/>
            <w:right w:val="none" w:sz="0" w:space="0" w:color="auto"/>
          </w:divBdr>
          <w:divsChild>
            <w:div w:id="1289704491">
              <w:marLeft w:val="0"/>
              <w:marRight w:val="0"/>
              <w:marTop w:val="0"/>
              <w:marBottom w:val="0"/>
              <w:divBdr>
                <w:top w:val="none" w:sz="0" w:space="0" w:color="auto"/>
                <w:left w:val="none" w:sz="0" w:space="0" w:color="auto"/>
                <w:bottom w:val="none" w:sz="0" w:space="0" w:color="auto"/>
                <w:right w:val="none" w:sz="0" w:space="0" w:color="auto"/>
              </w:divBdr>
              <w:divsChild>
                <w:div w:id="6317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7668">
          <w:marLeft w:val="0"/>
          <w:marRight w:val="0"/>
          <w:marTop w:val="0"/>
          <w:marBottom w:val="0"/>
          <w:divBdr>
            <w:top w:val="none" w:sz="0" w:space="0" w:color="auto"/>
            <w:left w:val="none" w:sz="0" w:space="0" w:color="auto"/>
            <w:bottom w:val="none" w:sz="0" w:space="0" w:color="auto"/>
            <w:right w:val="none" w:sz="0" w:space="0" w:color="auto"/>
          </w:divBdr>
          <w:divsChild>
            <w:div w:id="2039349312">
              <w:marLeft w:val="0"/>
              <w:marRight w:val="0"/>
              <w:marTop w:val="0"/>
              <w:marBottom w:val="0"/>
              <w:divBdr>
                <w:top w:val="none" w:sz="0" w:space="0" w:color="auto"/>
                <w:left w:val="none" w:sz="0" w:space="0" w:color="auto"/>
                <w:bottom w:val="none" w:sz="0" w:space="0" w:color="auto"/>
                <w:right w:val="none" w:sz="0" w:space="0" w:color="auto"/>
              </w:divBdr>
              <w:divsChild>
                <w:div w:id="4168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453">
      <w:bodyDiv w:val="1"/>
      <w:marLeft w:val="0"/>
      <w:marRight w:val="0"/>
      <w:marTop w:val="0"/>
      <w:marBottom w:val="0"/>
      <w:divBdr>
        <w:top w:val="none" w:sz="0" w:space="0" w:color="auto"/>
        <w:left w:val="none" w:sz="0" w:space="0" w:color="auto"/>
        <w:bottom w:val="none" w:sz="0" w:space="0" w:color="auto"/>
        <w:right w:val="none" w:sz="0" w:space="0" w:color="auto"/>
      </w:divBdr>
    </w:div>
    <w:div w:id="1162696668">
      <w:bodyDiv w:val="1"/>
      <w:marLeft w:val="0"/>
      <w:marRight w:val="0"/>
      <w:marTop w:val="0"/>
      <w:marBottom w:val="0"/>
      <w:divBdr>
        <w:top w:val="none" w:sz="0" w:space="0" w:color="auto"/>
        <w:left w:val="none" w:sz="0" w:space="0" w:color="auto"/>
        <w:bottom w:val="none" w:sz="0" w:space="0" w:color="auto"/>
        <w:right w:val="none" w:sz="0" w:space="0" w:color="auto"/>
      </w:divBdr>
    </w:div>
    <w:div w:id="1182935492">
      <w:bodyDiv w:val="1"/>
      <w:marLeft w:val="0"/>
      <w:marRight w:val="0"/>
      <w:marTop w:val="0"/>
      <w:marBottom w:val="0"/>
      <w:divBdr>
        <w:top w:val="none" w:sz="0" w:space="0" w:color="auto"/>
        <w:left w:val="none" w:sz="0" w:space="0" w:color="auto"/>
        <w:bottom w:val="none" w:sz="0" w:space="0" w:color="auto"/>
        <w:right w:val="none" w:sz="0" w:space="0" w:color="auto"/>
      </w:divBdr>
    </w:div>
    <w:div w:id="1189752830">
      <w:bodyDiv w:val="1"/>
      <w:marLeft w:val="0"/>
      <w:marRight w:val="0"/>
      <w:marTop w:val="0"/>
      <w:marBottom w:val="0"/>
      <w:divBdr>
        <w:top w:val="none" w:sz="0" w:space="0" w:color="auto"/>
        <w:left w:val="none" w:sz="0" w:space="0" w:color="auto"/>
        <w:bottom w:val="none" w:sz="0" w:space="0" w:color="auto"/>
        <w:right w:val="none" w:sz="0" w:space="0" w:color="auto"/>
      </w:divBdr>
    </w:div>
    <w:div w:id="1205825550">
      <w:bodyDiv w:val="1"/>
      <w:marLeft w:val="0"/>
      <w:marRight w:val="0"/>
      <w:marTop w:val="0"/>
      <w:marBottom w:val="0"/>
      <w:divBdr>
        <w:top w:val="none" w:sz="0" w:space="0" w:color="auto"/>
        <w:left w:val="none" w:sz="0" w:space="0" w:color="auto"/>
        <w:bottom w:val="none" w:sz="0" w:space="0" w:color="auto"/>
        <w:right w:val="none" w:sz="0" w:space="0" w:color="auto"/>
      </w:divBdr>
    </w:div>
    <w:div w:id="1209756107">
      <w:bodyDiv w:val="1"/>
      <w:marLeft w:val="0"/>
      <w:marRight w:val="0"/>
      <w:marTop w:val="0"/>
      <w:marBottom w:val="0"/>
      <w:divBdr>
        <w:top w:val="none" w:sz="0" w:space="0" w:color="auto"/>
        <w:left w:val="none" w:sz="0" w:space="0" w:color="auto"/>
        <w:bottom w:val="none" w:sz="0" w:space="0" w:color="auto"/>
        <w:right w:val="none" w:sz="0" w:space="0" w:color="auto"/>
      </w:divBdr>
    </w:div>
    <w:div w:id="1223566600">
      <w:bodyDiv w:val="1"/>
      <w:marLeft w:val="0"/>
      <w:marRight w:val="0"/>
      <w:marTop w:val="0"/>
      <w:marBottom w:val="0"/>
      <w:divBdr>
        <w:top w:val="none" w:sz="0" w:space="0" w:color="auto"/>
        <w:left w:val="none" w:sz="0" w:space="0" w:color="auto"/>
        <w:bottom w:val="none" w:sz="0" w:space="0" w:color="auto"/>
        <w:right w:val="none" w:sz="0" w:space="0" w:color="auto"/>
      </w:divBdr>
    </w:div>
    <w:div w:id="1249075411">
      <w:bodyDiv w:val="1"/>
      <w:marLeft w:val="0"/>
      <w:marRight w:val="0"/>
      <w:marTop w:val="0"/>
      <w:marBottom w:val="0"/>
      <w:divBdr>
        <w:top w:val="none" w:sz="0" w:space="0" w:color="auto"/>
        <w:left w:val="none" w:sz="0" w:space="0" w:color="auto"/>
        <w:bottom w:val="none" w:sz="0" w:space="0" w:color="auto"/>
        <w:right w:val="none" w:sz="0" w:space="0" w:color="auto"/>
      </w:divBdr>
    </w:div>
    <w:div w:id="1272128269">
      <w:bodyDiv w:val="1"/>
      <w:marLeft w:val="0"/>
      <w:marRight w:val="0"/>
      <w:marTop w:val="0"/>
      <w:marBottom w:val="0"/>
      <w:divBdr>
        <w:top w:val="none" w:sz="0" w:space="0" w:color="auto"/>
        <w:left w:val="none" w:sz="0" w:space="0" w:color="auto"/>
        <w:bottom w:val="none" w:sz="0" w:space="0" w:color="auto"/>
        <w:right w:val="none" w:sz="0" w:space="0" w:color="auto"/>
      </w:divBdr>
    </w:div>
    <w:div w:id="1287590101">
      <w:bodyDiv w:val="1"/>
      <w:marLeft w:val="0"/>
      <w:marRight w:val="0"/>
      <w:marTop w:val="0"/>
      <w:marBottom w:val="0"/>
      <w:divBdr>
        <w:top w:val="none" w:sz="0" w:space="0" w:color="auto"/>
        <w:left w:val="none" w:sz="0" w:space="0" w:color="auto"/>
        <w:bottom w:val="none" w:sz="0" w:space="0" w:color="auto"/>
        <w:right w:val="none" w:sz="0" w:space="0" w:color="auto"/>
      </w:divBdr>
      <w:divsChild>
        <w:div w:id="2036884510">
          <w:marLeft w:val="0"/>
          <w:marRight w:val="0"/>
          <w:marTop w:val="0"/>
          <w:marBottom w:val="0"/>
          <w:divBdr>
            <w:top w:val="single" w:sz="2" w:space="0" w:color="auto"/>
            <w:left w:val="none" w:sz="0" w:space="0" w:color="auto"/>
            <w:bottom w:val="single" w:sz="2" w:space="0" w:color="auto"/>
            <w:right w:val="none" w:sz="0" w:space="0" w:color="auto"/>
          </w:divBdr>
        </w:div>
        <w:div w:id="2135442719">
          <w:marLeft w:val="0"/>
          <w:marRight w:val="0"/>
          <w:marTop w:val="0"/>
          <w:marBottom w:val="0"/>
          <w:divBdr>
            <w:top w:val="none" w:sz="0" w:space="0" w:color="auto"/>
            <w:left w:val="none" w:sz="0" w:space="0" w:color="auto"/>
            <w:bottom w:val="single" w:sz="2" w:space="0" w:color="auto"/>
            <w:right w:val="none" w:sz="0" w:space="0" w:color="auto"/>
          </w:divBdr>
        </w:div>
      </w:divsChild>
    </w:div>
    <w:div w:id="1300455956">
      <w:bodyDiv w:val="1"/>
      <w:marLeft w:val="0"/>
      <w:marRight w:val="0"/>
      <w:marTop w:val="0"/>
      <w:marBottom w:val="0"/>
      <w:divBdr>
        <w:top w:val="none" w:sz="0" w:space="0" w:color="auto"/>
        <w:left w:val="none" w:sz="0" w:space="0" w:color="auto"/>
        <w:bottom w:val="none" w:sz="0" w:space="0" w:color="auto"/>
        <w:right w:val="none" w:sz="0" w:space="0" w:color="auto"/>
      </w:divBdr>
    </w:div>
    <w:div w:id="1317219427">
      <w:bodyDiv w:val="1"/>
      <w:marLeft w:val="0"/>
      <w:marRight w:val="0"/>
      <w:marTop w:val="0"/>
      <w:marBottom w:val="0"/>
      <w:divBdr>
        <w:top w:val="none" w:sz="0" w:space="0" w:color="auto"/>
        <w:left w:val="none" w:sz="0" w:space="0" w:color="auto"/>
        <w:bottom w:val="none" w:sz="0" w:space="0" w:color="auto"/>
        <w:right w:val="none" w:sz="0" w:space="0" w:color="auto"/>
      </w:divBdr>
    </w:div>
    <w:div w:id="1338651385">
      <w:bodyDiv w:val="1"/>
      <w:marLeft w:val="0"/>
      <w:marRight w:val="0"/>
      <w:marTop w:val="0"/>
      <w:marBottom w:val="0"/>
      <w:divBdr>
        <w:top w:val="none" w:sz="0" w:space="0" w:color="auto"/>
        <w:left w:val="none" w:sz="0" w:space="0" w:color="auto"/>
        <w:bottom w:val="none" w:sz="0" w:space="0" w:color="auto"/>
        <w:right w:val="none" w:sz="0" w:space="0" w:color="auto"/>
      </w:divBdr>
    </w:div>
    <w:div w:id="1367944908">
      <w:bodyDiv w:val="1"/>
      <w:marLeft w:val="0"/>
      <w:marRight w:val="0"/>
      <w:marTop w:val="0"/>
      <w:marBottom w:val="0"/>
      <w:divBdr>
        <w:top w:val="none" w:sz="0" w:space="0" w:color="auto"/>
        <w:left w:val="none" w:sz="0" w:space="0" w:color="auto"/>
        <w:bottom w:val="none" w:sz="0" w:space="0" w:color="auto"/>
        <w:right w:val="none" w:sz="0" w:space="0" w:color="auto"/>
      </w:divBdr>
    </w:div>
    <w:div w:id="1369405184">
      <w:bodyDiv w:val="1"/>
      <w:marLeft w:val="0"/>
      <w:marRight w:val="0"/>
      <w:marTop w:val="0"/>
      <w:marBottom w:val="0"/>
      <w:divBdr>
        <w:top w:val="none" w:sz="0" w:space="0" w:color="auto"/>
        <w:left w:val="none" w:sz="0" w:space="0" w:color="auto"/>
        <w:bottom w:val="none" w:sz="0" w:space="0" w:color="auto"/>
        <w:right w:val="none" w:sz="0" w:space="0" w:color="auto"/>
      </w:divBdr>
    </w:div>
    <w:div w:id="1371415991">
      <w:bodyDiv w:val="1"/>
      <w:marLeft w:val="0"/>
      <w:marRight w:val="0"/>
      <w:marTop w:val="0"/>
      <w:marBottom w:val="0"/>
      <w:divBdr>
        <w:top w:val="none" w:sz="0" w:space="0" w:color="auto"/>
        <w:left w:val="none" w:sz="0" w:space="0" w:color="auto"/>
        <w:bottom w:val="none" w:sz="0" w:space="0" w:color="auto"/>
        <w:right w:val="none" w:sz="0" w:space="0" w:color="auto"/>
      </w:divBdr>
    </w:div>
    <w:div w:id="1391924261">
      <w:bodyDiv w:val="1"/>
      <w:marLeft w:val="0"/>
      <w:marRight w:val="0"/>
      <w:marTop w:val="0"/>
      <w:marBottom w:val="0"/>
      <w:divBdr>
        <w:top w:val="none" w:sz="0" w:space="0" w:color="auto"/>
        <w:left w:val="none" w:sz="0" w:space="0" w:color="auto"/>
        <w:bottom w:val="none" w:sz="0" w:space="0" w:color="auto"/>
        <w:right w:val="none" w:sz="0" w:space="0" w:color="auto"/>
      </w:divBdr>
    </w:div>
    <w:div w:id="1400710302">
      <w:bodyDiv w:val="1"/>
      <w:marLeft w:val="0"/>
      <w:marRight w:val="0"/>
      <w:marTop w:val="0"/>
      <w:marBottom w:val="0"/>
      <w:divBdr>
        <w:top w:val="none" w:sz="0" w:space="0" w:color="auto"/>
        <w:left w:val="none" w:sz="0" w:space="0" w:color="auto"/>
        <w:bottom w:val="none" w:sz="0" w:space="0" w:color="auto"/>
        <w:right w:val="none" w:sz="0" w:space="0" w:color="auto"/>
      </w:divBdr>
    </w:div>
    <w:div w:id="1433085815">
      <w:bodyDiv w:val="1"/>
      <w:marLeft w:val="0"/>
      <w:marRight w:val="0"/>
      <w:marTop w:val="0"/>
      <w:marBottom w:val="0"/>
      <w:divBdr>
        <w:top w:val="none" w:sz="0" w:space="0" w:color="auto"/>
        <w:left w:val="none" w:sz="0" w:space="0" w:color="auto"/>
        <w:bottom w:val="none" w:sz="0" w:space="0" w:color="auto"/>
        <w:right w:val="none" w:sz="0" w:space="0" w:color="auto"/>
      </w:divBdr>
    </w:div>
    <w:div w:id="1451973086">
      <w:bodyDiv w:val="1"/>
      <w:marLeft w:val="0"/>
      <w:marRight w:val="0"/>
      <w:marTop w:val="0"/>
      <w:marBottom w:val="0"/>
      <w:divBdr>
        <w:top w:val="none" w:sz="0" w:space="0" w:color="auto"/>
        <w:left w:val="none" w:sz="0" w:space="0" w:color="auto"/>
        <w:bottom w:val="none" w:sz="0" w:space="0" w:color="auto"/>
        <w:right w:val="none" w:sz="0" w:space="0" w:color="auto"/>
      </w:divBdr>
    </w:div>
    <w:div w:id="1461387380">
      <w:bodyDiv w:val="1"/>
      <w:marLeft w:val="0"/>
      <w:marRight w:val="0"/>
      <w:marTop w:val="0"/>
      <w:marBottom w:val="0"/>
      <w:divBdr>
        <w:top w:val="none" w:sz="0" w:space="0" w:color="auto"/>
        <w:left w:val="none" w:sz="0" w:space="0" w:color="auto"/>
        <w:bottom w:val="none" w:sz="0" w:space="0" w:color="auto"/>
        <w:right w:val="none" w:sz="0" w:space="0" w:color="auto"/>
      </w:divBdr>
    </w:div>
    <w:div w:id="1530753486">
      <w:bodyDiv w:val="1"/>
      <w:marLeft w:val="0"/>
      <w:marRight w:val="0"/>
      <w:marTop w:val="0"/>
      <w:marBottom w:val="0"/>
      <w:divBdr>
        <w:top w:val="none" w:sz="0" w:space="0" w:color="auto"/>
        <w:left w:val="none" w:sz="0" w:space="0" w:color="auto"/>
        <w:bottom w:val="none" w:sz="0" w:space="0" w:color="auto"/>
        <w:right w:val="none" w:sz="0" w:space="0" w:color="auto"/>
      </w:divBdr>
    </w:div>
    <w:div w:id="1569415608">
      <w:bodyDiv w:val="1"/>
      <w:marLeft w:val="0"/>
      <w:marRight w:val="0"/>
      <w:marTop w:val="0"/>
      <w:marBottom w:val="0"/>
      <w:divBdr>
        <w:top w:val="none" w:sz="0" w:space="0" w:color="auto"/>
        <w:left w:val="none" w:sz="0" w:space="0" w:color="auto"/>
        <w:bottom w:val="none" w:sz="0" w:space="0" w:color="auto"/>
        <w:right w:val="none" w:sz="0" w:space="0" w:color="auto"/>
      </w:divBdr>
    </w:div>
    <w:div w:id="1606957495">
      <w:bodyDiv w:val="1"/>
      <w:marLeft w:val="0"/>
      <w:marRight w:val="0"/>
      <w:marTop w:val="0"/>
      <w:marBottom w:val="0"/>
      <w:divBdr>
        <w:top w:val="none" w:sz="0" w:space="0" w:color="auto"/>
        <w:left w:val="none" w:sz="0" w:space="0" w:color="auto"/>
        <w:bottom w:val="none" w:sz="0" w:space="0" w:color="auto"/>
        <w:right w:val="none" w:sz="0" w:space="0" w:color="auto"/>
      </w:divBdr>
      <w:divsChild>
        <w:div w:id="1744335055">
          <w:marLeft w:val="0"/>
          <w:marRight w:val="0"/>
          <w:marTop w:val="0"/>
          <w:marBottom w:val="0"/>
          <w:divBdr>
            <w:top w:val="none" w:sz="0" w:space="0" w:color="auto"/>
            <w:left w:val="none" w:sz="0" w:space="0" w:color="auto"/>
            <w:bottom w:val="none" w:sz="0" w:space="0" w:color="auto"/>
            <w:right w:val="none" w:sz="0" w:space="0" w:color="auto"/>
          </w:divBdr>
          <w:divsChild>
            <w:div w:id="1148597318">
              <w:marLeft w:val="0"/>
              <w:marRight w:val="0"/>
              <w:marTop w:val="0"/>
              <w:marBottom w:val="0"/>
              <w:divBdr>
                <w:top w:val="none" w:sz="0" w:space="0" w:color="auto"/>
                <w:left w:val="none" w:sz="0" w:space="0" w:color="auto"/>
                <w:bottom w:val="none" w:sz="0" w:space="0" w:color="auto"/>
                <w:right w:val="none" w:sz="0" w:space="0" w:color="auto"/>
              </w:divBdr>
              <w:divsChild>
                <w:div w:id="795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6204">
      <w:bodyDiv w:val="1"/>
      <w:marLeft w:val="0"/>
      <w:marRight w:val="0"/>
      <w:marTop w:val="0"/>
      <w:marBottom w:val="0"/>
      <w:divBdr>
        <w:top w:val="none" w:sz="0" w:space="0" w:color="auto"/>
        <w:left w:val="none" w:sz="0" w:space="0" w:color="auto"/>
        <w:bottom w:val="none" w:sz="0" w:space="0" w:color="auto"/>
        <w:right w:val="none" w:sz="0" w:space="0" w:color="auto"/>
      </w:divBdr>
    </w:div>
    <w:div w:id="1617251767">
      <w:bodyDiv w:val="1"/>
      <w:marLeft w:val="0"/>
      <w:marRight w:val="0"/>
      <w:marTop w:val="0"/>
      <w:marBottom w:val="0"/>
      <w:divBdr>
        <w:top w:val="none" w:sz="0" w:space="0" w:color="auto"/>
        <w:left w:val="none" w:sz="0" w:space="0" w:color="auto"/>
        <w:bottom w:val="none" w:sz="0" w:space="0" w:color="auto"/>
        <w:right w:val="none" w:sz="0" w:space="0" w:color="auto"/>
      </w:divBdr>
    </w:div>
    <w:div w:id="1649439751">
      <w:bodyDiv w:val="1"/>
      <w:marLeft w:val="0"/>
      <w:marRight w:val="0"/>
      <w:marTop w:val="0"/>
      <w:marBottom w:val="0"/>
      <w:divBdr>
        <w:top w:val="none" w:sz="0" w:space="0" w:color="auto"/>
        <w:left w:val="none" w:sz="0" w:space="0" w:color="auto"/>
        <w:bottom w:val="none" w:sz="0" w:space="0" w:color="auto"/>
        <w:right w:val="none" w:sz="0" w:space="0" w:color="auto"/>
      </w:divBdr>
    </w:div>
    <w:div w:id="1653755393">
      <w:bodyDiv w:val="1"/>
      <w:marLeft w:val="0"/>
      <w:marRight w:val="0"/>
      <w:marTop w:val="0"/>
      <w:marBottom w:val="0"/>
      <w:divBdr>
        <w:top w:val="none" w:sz="0" w:space="0" w:color="auto"/>
        <w:left w:val="none" w:sz="0" w:space="0" w:color="auto"/>
        <w:bottom w:val="none" w:sz="0" w:space="0" w:color="auto"/>
        <w:right w:val="none" w:sz="0" w:space="0" w:color="auto"/>
      </w:divBdr>
    </w:div>
    <w:div w:id="1691636393">
      <w:bodyDiv w:val="1"/>
      <w:marLeft w:val="0"/>
      <w:marRight w:val="0"/>
      <w:marTop w:val="0"/>
      <w:marBottom w:val="0"/>
      <w:divBdr>
        <w:top w:val="none" w:sz="0" w:space="0" w:color="auto"/>
        <w:left w:val="none" w:sz="0" w:space="0" w:color="auto"/>
        <w:bottom w:val="none" w:sz="0" w:space="0" w:color="auto"/>
        <w:right w:val="none" w:sz="0" w:space="0" w:color="auto"/>
      </w:divBdr>
    </w:div>
    <w:div w:id="1727945222">
      <w:bodyDiv w:val="1"/>
      <w:marLeft w:val="0"/>
      <w:marRight w:val="0"/>
      <w:marTop w:val="0"/>
      <w:marBottom w:val="0"/>
      <w:divBdr>
        <w:top w:val="none" w:sz="0" w:space="0" w:color="auto"/>
        <w:left w:val="none" w:sz="0" w:space="0" w:color="auto"/>
        <w:bottom w:val="none" w:sz="0" w:space="0" w:color="auto"/>
        <w:right w:val="none" w:sz="0" w:space="0" w:color="auto"/>
      </w:divBdr>
    </w:div>
    <w:div w:id="1733577848">
      <w:bodyDiv w:val="1"/>
      <w:marLeft w:val="0"/>
      <w:marRight w:val="0"/>
      <w:marTop w:val="0"/>
      <w:marBottom w:val="0"/>
      <w:divBdr>
        <w:top w:val="none" w:sz="0" w:space="0" w:color="auto"/>
        <w:left w:val="none" w:sz="0" w:space="0" w:color="auto"/>
        <w:bottom w:val="none" w:sz="0" w:space="0" w:color="auto"/>
        <w:right w:val="none" w:sz="0" w:space="0" w:color="auto"/>
      </w:divBdr>
    </w:div>
    <w:div w:id="1747916372">
      <w:bodyDiv w:val="1"/>
      <w:marLeft w:val="0"/>
      <w:marRight w:val="0"/>
      <w:marTop w:val="0"/>
      <w:marBottom w:val="0"/>
      <w:divBdr>
        <w:top w:val="none" w:sz="0" w:space="0" w:color="auto"/>
        <w:left w:val="none" w:sz="0" w:space="0" w:color="auto"/>
        <w:bottom w:val="none" w:sz="0" w:space="0" w:color="auto"/>
        <w:right w:val="none" w:sz="0" w:space="0" w:color="auto"/>
      </w:divBdr>
    </w:div>
    <w:div w:id="1756051305">
      <w:bodyDiv w:val="1"/>
      <w:marLeft w:val="0"/>
      <w:marRight w:val="0"/>
      <w:marTop w:val="0"/>
      <w:marBottom w:val="0"/>
      <w:divBdr>
        <w:top w:val="none" w:sz="0" w:space="0" w:color="auto"/>
        <w:left w:val="none" w:sz="0" w:space="0" w:color="auto"/>
        <w:bottom w:val="none" w:sz="0" w:space="0" w:color="auto"/>
        <w:right w:val="none" w:sz="0" w:space="0" w:color="auto"/>
      </w:divBdr>
    </w:div>
    <w:div w:id="1756971080">
      <w:bodyDiv w:val="1"/>
      <w:marLeft w:val="0"/>
      <w:marRight w:val="0"/>
      <w:marTop w:val="0"/>
      <w:marBottom w:val="0"/>
      <w:divBdr>
        <w:top w:val="none" w:sz="0" w:space="0" w:color="auto"/>
        <w:left w:val="none" w:sz="0" w:space="0" w:color="auto"/>
        <w:bottom w:val="none" w:sz="0" w:space="0" w:color="auto"/>
        <w:right w:val="none" w:sz="0" w:space="0" w:color="auto"/>
      </w:divBdr>
    </w:div>
    <w:div w:id="1769496690">
      <w:bodyDiv w:val="1"/>
      <w:marLeft w:val="0"/>
      <w:marRight w:val="0"/>
      <w:marTop w:val="0"/>
      <w:marBottom w:val="0"/>
      <w:divBdr>
        <w:top w:val="none" w:sz="0" w:space="0" w:color="auto"/>
        <w:left w:val="none" w:sz="0" w:space="0" w:color="auto"/>
        <w:bottom w:val="none" w:sz="0" w:space="0" w:color="auto"/>
        <w:right w:val="none" w:sz="0" w:space="0" w:color="auto"/>
      </w:divBdr>
    </w:div>
    <w:div w:id="1819106828">
      <w:bodyDiv w:val="1"/>
      <w:marLeft w:val="0"/>
      <w:marRight w:val="0"/>
      <w:marTop w:val="0"/>
      <w:marBottom w:val="0"/>
      <w:divBdr>
        <w:top w:val="none" w:sz="0" w:space="0" w:color="auto"/>
        <w:left w:val="none" w:sz="0" w:space="0" w:color="auto"/>
        <w:bottom w:val="none" w:sz="0" w:space="0" w:color="auto"/>
        <w:right w:val="none" w:sz="0" w:space="0" w:color="auto"/>
      </w:divBdr>
    </w:div>
    <w:div w:id="1842046675">
      <w:bodyDiv w:val="1"/>
      <w:marLeft w:val="0"/>
      <w:marRight w:val="0"/>
      <w:marTop w:val="0"/>
      <w:marBottom w:val="0"/>
      <w:divBdr>
        <w:top w:val="none" w:sz="0" w:space="0" w:color="auto"/>
        <w:left w:val="none" w:sz="0" w:space="0" w:color="auto"/>
        <w:bottom w:val="none" w:sz="0" w:space="0" w:color="auto"/>
        <w:right w:val="none" w:sz="0" w:space="0" w:color="auto"/>
      </w:divBdr>
    </w:div>
    <w:div w:id="1851599799">
      <w:bodyDiv w:val="1"/>
      <w:marLeft w:val="0"/>
      <w:marRight w:val="0"/>
      <w:marTop w:val="0"/>
      <w:marBottom w:val="0"/>
      <w:divBdr>
        <w:top w:val="none" w:sz="0" w:space="0" w:color="auto"/>
        <w:left w:val="none" w:sz="0" w:space="0" w:color="auto"/>
        <w:bottom w:val="none" w:sz="0" w:space="0" w:color="auto"/>
        <w:right w:val="none" w:sz="0" w:space="0" w:color="auto"/>
      </w:divBdr>
      <w:divsChild>
        <w:div w:id="2120949528">
          <w:marLeft w:val="0"/>
          <w:marRight w:val="0"/>
          <w:marTop w:val="0"/>
          <w:marBottom w:val="0"/>
          <w:divBdr>
            <w:top w:val="none" w:sz="0" w:space="0" w:color="auto"/>
            <w:left w:val="none" w:sz="0" w:space="0" w:color="auto"/>
            <w:bottom w:val="none" w:sz="0" w:space="0" w:color="auto"/>
            <w:right w:val="none" w:sz="0" w:space="0" w:color="auto"/>
          </w:divBdr>
          <w:divsChild>
            <w:div w:id="44256952">
              <w:marLeft w:val="0"/>
              <w:marRight w:val="0"/>
              <w:marTop w:val="0"/>
              <w:marBottom w:val="0"/>
              <w:divBdr>
                <w:top w:val="none" w:sz="0" w:space="0" w:color="auto"/>
                <w:left w:val="none" w:sz="0" w:space="0" w:color="auto"/>
                <w:bottom w:val="none" w:sz="0" w:space="0" w:color="auto"/>
                <w:right w:val="none" w:sz="0" w:space="0" w:color="auto"/>
              </w:divBdr>
              <w:divsChild>
                <w:div w:id="2791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3612">
      <w:bodyDiv w:val="1"/>
      <w:marLeft w:val="0"/>
      <w:marRight w:val="0"/>
      <w:marTop w:val="0"/>
      <w:marBottom w:val="0"/>
      <w:divBdr>
        <w:top w:val="none" w:sz="0" w:space="0" w:color="auto"/>
        <w:left w:val="none" w:sz="0" w:space="0" w:color="auto"/>
        <w:bottom w:val="none" w:sz="0" w:space="0" w:color="auto"/>
        <w:right w:val="none" w:sz="0" w:space="0" w:color="auto"/>
      </w:divBdr>
    </w:div>
    <w:div w:id="1915243501">
      <w:bodyDiv w:val="1"/>
      <w:marLeft w:val="0"/>
      <w:marRight w:val="0"/>
      <w:marTop w:val="0"/>
      <w:marBottom w:val="0"/>
      <w:divBdr>
        <w:top w:val="none" w:sz="0" w:space="0" w:color="auto"/>
        <w:left w:val="none" w:sz="0" w:space="0" w:color="auto"/>
        <w:bottom w:val="none" w:sz="0" w:space="0" w:color="auto"/>
        <w:right w:val="none" w:sz="0" w:space="0" w:color="auto"/>
      </w:divBdr>
      <w:divsChild>
        <w:div w:id="1831747231">
          <w:marLeft w:val="0"/>
          <w:marRight w:val="0"/>
          <w:marTop w:val="0"/>
          <w:marBottom w:val="0"/>
          <w:divBdr>
            <w:top w:val="none" w:sz="0" w:space="0" w:color="auto"/>
            <w:left w:val="none" w:sz="0" w:space="0" w:color="auto"/>
            <w:bottom w:val="none" w:sz="0" w:space="0" w:color="auto"/>
            <w:right w:val="none" w:sz="0" w:space="0" w:color="auto"/>
          </w:divBdr>
          <w:divsChild>
            <w:div w:id="413236779">
              <w:marLeft w:val="0"/>
              <w:marRight w:val="0"/>
              <w:marTop w:val="0"/>
              <w:marBottom w:val="0"/>
              <w:divBdr>
                <w:top w:val="none" w:sz="0" w:space="0" w:color="auto"/>
                <w:left w:val="none" w:sz="0" w:space="0" w:color="auto"/>
                <w:bottom w:val="none" w:sz="0" w:space="0" w:color="auto"/>
                <w:right w:val="none" w:sz="0" w:space="0" w:color="auto"/>
              </w:divBdr>
              <w:divsChild>
                <w:div w:id="9274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5269">
      <w:bodyDiv w:val="1"/>
      <w:marLeft w:val="0"/>
      <w:marRight w:val="0"/>
      <w:marTop w:val="0"/>
      <w:marBottom w:val="0"/>
      <w:divBdr>
        <w:top w:val="none" w:sz="0" w:space="0" w:color="auto"/>
        <w:left w:val="none" w:sz="0" w:space="0" w:color="auto"/>
        <w:bottom w:val="none" w:sz="0" w:space="0" w:color="auto"/>
        <w:right w:val="none" w:sz="0" w:space="0" w:color="auto"/>
      </w:divBdr>
    </w:div>
    <w:div w:id="1922642262">
      <w:bodyDiv w:val="1"/>
      <w:marLeft w:val="0"/>
      <w:marRight w:val="0"/>
      <w:marTop w:val="0"/>
      <w:marBottom w:val="0"/>
      <w:divBdr>
        <w:top w:val="none" w:sz="0" w:space="0" w:color="auto"/>
        <w:left w:val="none" w:sz="0" w:space="0" w:color="auto"/>
        <w:bottom w:val="none" w:sz="0" w:space="0" w:color="auto"/>
        <w:right w:val="none" w:sz="0" w:space="0" w:color="auto"/>
      </w:divBdr>
    </w:div>
    <w:div w:id="1926111279">
      <w:bodyDiv w:val="1"/>
      <w:marLeft w:val="0"/>
      <w:marRight w:val="0"/>
      <w:marTop w:val="0"/>
      <w:marBottom w:val="0"/>
      <w:divBdr>
        <w:top w:val="none" w:sz="0" w:space="0" w:color="auto"/>
        <w:left w:val="none" w:sz="0" w:space="0" w:color="auto"/>
        <w:bottom w:val="none" w:sz="0" w:space="0" w:color="auto"/>
        <w:right w:val="none" w:sz="0" w:space="0" w:color="auto"/>
      </w:divBdr>
    </w:div>
    <w:div w:id="1927304601">
      <w:bodyDiv w:val="1"/>
      <w:marLeft w:val="0"/>
      <w:marRight w:val="0"/>
      <w:marTop w:val="0"/>
      <w:marBottom w:val="0"/>
      <w:divBdr>
        <w:top w:val="none" w:sz="0" w:space="0" w:color="auto"/>
        <w:left w:val="none" w:sz="0" w:space="0" w:color="auto"/>
        <w:bottom w:val="none" w:sz="0" w:space="0" w:color="auto"/>
        <w:right w:val="none" w:sz="0" w:space="0" w:color="auto"/>
      </w:divBdr>
    </w:div>
    <w:div w:id="1950622810">
      <w:bodyDiv w:val="1"/>
      <w:marLeft w:val="0"/>
      <w:marRight w:val="0"/>
      <w:marTop w:val="0"/>
      <w:marBottom w:val="0"/>
      <w:divBdr>
        <w:top w:val="none" w:sz="0" w:space="0" w:color="auto"/>
        <w:left w:val="none" w:sz="0" w:space="0" w:color="auto"/>
        <w:bottom w:val="none" w:sz="0" w:space="0" w:color="auto"/>
        <w:right w:val="none" w:sz="0" w:space="0" w:color="auto"/>
      </w:divBdr>
    </w:div>
    <w:div w:id="1995648293">
      <w:bodyDiv w:val="1"/>
      <w:marLeft w:val="0"/>
      <w:marRight w:val="0"/>
      <w:marTop w:val="0"/>
      <w:marBottom w:val="0"/>
      <w:divBdr>
        <w:top w:val="none" w:sz="0" w:space="0" w:color="auto"/>
        <w:left w:val="none" w:sz="0" w:space="0" w:color="auto"/>
        <w:bottom w:val="none" w:sz="0" w:space="0" w:color="auto"/>
        <w:right w:val="none" w:sz="0" w:space="0" w:color="auto"/>
      </w:divBdr>
      <w:divsChild>
        <w:div w:id="438376483">
          <w:marLeft w:val="0"/>
          <w:marRight w:val="0"/>
          <w:marTop w:val="0"/>
          <w:marBottom w:val="0"/>
          <w:divBdr>
            <w:top w:val="none" w:sz="0" w:space="0" w:color="auto"/>
            <w:left w:val="none" w:sz="0" w:space="0" w:color="auto"/>
            <w:bottom w:val="none" w:sz="0" w:space="0" w:color="auto"/>
            <w:right w:val="none" w:sz="0" w:space="0" w:color="auto"/>
          </w:divBdr>
          <w:divsChild>
            <w:div w:id="1945527183">
              <w:marLeft w:val="0"/>
              <w:marRight w:val="0"/>
              <w:marTop w:val="0"/>
              <w:marBottom w:val="0"/>
              <w:divBdr>
                <w:top w:val="none" w:sz="0" w:space="0" w:color="auto"/>
                <w:left w:val="none" w:sz="0" w:space="0" w:color="auto"/>
                <w:bottom w:val="none" w:sz="0" w:space="0" w:color="auto"/>
                <w:right w:val="none" w:sz="0" w:space="0" w:color="auto"/>
              </w:divBdr>
              <w:divsChild>
                <w:div w:id="18038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5733">
      <w:bodyDiv w:val="1"/>
      <w:marLeft w:val="0"/>
      <w:marRight w:val="0"/>
      <w:marTop w:val="0"/>
      <w:marBottom w:val="0"/>
      <w:divBdr>
        <w:top w:val="none" w:sz="0" w:space="0" w:color="auto"/>
        <w:left w:val="none" w:sz="0" w:space="0" w:color="auto"/>
        <w:bottom w:val="none" w:sz="0" w:space="0" w:color="auto"/>
        <w:right w:val="none" w:sz="0" w:space="0" w:color="auto"/>
      </w:divBdr>
    </w:div>
    <w:div w:id="2010867470">
      <w:bodyDiv w:val="1"/>
      <w:marLeft w:val="0"/>
      <w:marRight w:val="0"/>
      <w:marTop w:val="0"/>
      <w:marBottom w:val="0"/>
      <w:divBdr>
        <w:top w:val="none" w:sz="0" w:space="0" w:color="auto"/>
        <w:left w:val="none" w:sz="0" w:space="0" w:color="auto"/>
        <w:bottom w:val="none" w:sz="0" w:space="0" w:color="auto"/>
        <w:right w:val="none" w:sz="0" w:space="0" w:color="auto"/>
      </w:divBdr>
    </w:div>
    <w:div w:id="2045514760">
      <w:bodyDiv w:val="1"/>
      <w:marLeft w:val="0"/>
      <w:marRight w:val="0"/>
      <w:marTop w:val="0"/>
      <w:marBottom w:val="0"/>
      <w:divBdr>
        <w:top w:val="none" w:sz="0" w:space="0" w:color="auto"/>
        <w:left w:val="none" w:sz="0" w:space="0" w:color="auto"/>
        <w:bottom w:val="none" w:sz="0" w:space="0" w:color="auto"/>
        <w:right w:val="none" w:sz="0" w:space="0" w:color="auto"/>
      </w:divBdr>
    </w:div>
    <w:div w:id="2077631278">
      <w:bodyDiv w:val="1"/>
      <w:marLeft w:val="0"/>
      <w:marRight w:val="0"/>
      <w:marTop w:val="0"/>
      <w:marBottom w:val="0"/>
      <w:divBdr>
        <w:top w:val="none" w:sz="0" w:space="0" w:color="auto"/>
        <w:left w:val="none" w:sz="0" w:space="0" w:color="auto"/>
        <w:bottom w:val="none" w:sz="0" w:space="0" w:color="auto"/>
        <w:right w:val="none" w:sz="0" w:space="0" w:color="auto"/>
      </w:divBdr>
    </w:div>
    <w:div w:id="2078353897">
      <w:bodyDiv w:val="1"/>
      <w:marLeft w:val="0"/>
      <w:marRight w:val="0"/>
      <w:marTop w:val="0"/>
      <w:marBottom w:val="0"/>
      <w:divBdr>
        <w:top w:val="none" w:sz="0" w:space="0" w:color="auto"/>
        <w:left w:val="none" w:sz="0" w:space="0" w:color="auto"/>
        <w:bottom w:val="none" w:sz="0" w:space="0" w:color="auto"/>
        <w:right w:val="none" w:sz="0" w:space="0" w:color="auto"/>
      </w:divBdr>
    </w:div>
    <w:div w:id="2084376530">
      <w:bodyDiv w:val="1"/>
      <w:marLeft w:val="0"/>
      <w:marRight w:val="0"/>
      <w:marTop w:val="0"/>
      <w:marBottom w:val="0"/>
      <w:divBdr>
        <w:top w:val="none" w:sz="0" w:space="0" w:color="auto"/>
        <w:left w:val="none" w:sz="0" w:space="0" w:color="auto"/>
        <w:bottom w:val="none" w:sz="0" w:space="0" w:color="auto"/>
        <w:right w:val="none" w:sz="0" w:space="0" w:color="auto"/>
      </w:divBdr>
    </w:div>
    <w:div w:id="2126120966">
      <w:bodyDiv w:val="1"/>
      <w:marLeft w:val="0"/>
      <w:marRight w:val="0"/>
      <w:marTop w:val="0"/>
      <w:marBottom w:val="0"/>
      <w:divBdr>
        <w:top w:val="none" w:sz="0" w:space="0" w:color="auto"/>
        <w:left w:val="none" w:sz="0" w:space="0" w:color="auto"/>
        <w:bottom w:val="none" w:sz="0" w:space="0" w:color="auto"/>
        <w:right w:val="none" w:sz="0" w:space="0" w:color="auto"/>
      </w:divBdr>
      <w:divsChild>
        <w:div w:id="205609293">
          <w:marLeft w:val="0"/>
          <w:marRight w:val="0"/>
          <w:marTop w:val="0"/>
          <w:marBottom w:val="0"/>
          <w:divBdr>
            <w:top w:val="none" w:sz="0" w:space="0" w:color="auto"/>
            <w:left w:val="none" w:sz="0" w:space="0" w:color="auto"/>
            <w:bottom w:val="none" w:sz="0" w:space="0" w:color="auto"/>
            <w:right w:val="none" w:sz="0" w:space="0" w:color="auto"/>
          </w:divBdr>
          <w:divsChild>
            <w:div w:id="884410582">
              <w:marLeft w:val="0"/>
              <w:marRight w:val="0"/>
              <w:marTop w:val="0"/>
              <w:marBottom w:val="0"/>
              <w:divBdr>
                <w:top w:val="none" w:sz="0" w:space="0" w:color="auto"/>
                <w:left w:val="none" w:sz="0" w:space="0" w:color="auto"/>
                <w:bottom w:val="none" w:sz="0" w:space="0" w:color="auto"/>
                <w:right w:val="none" w:sz="0" w:space="0" w:color="auto"/>
              </w:divBdr>
              <w:divsChild>
                <w:div w:id="20184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9113">
          <w:marLeft w:val="0"/>
          <w:marRight w:val="0"/>
          <w:marTop w:val="0"/>
          <w:marBottom w:val="0"/>
          <w:divBdr>
            <w:top w:val="none" w:sz="0" w:space="0" w:color="auto"/>
            <w:left w:val="none" w:sz="0" w:space="0" w:color="auto"/>
            <w:bottom w:val="none" w:sz="0" w:space="0" w:color="auto"/>
            <w:right w:val="none" w:sz="0" w:space="0" w:color="auto"/>
          </w:divBdr>
          <w:divsChild>
            <w:div w:id="1438283975">
              <w:marLeft w:val="0"/>
              <w:marRight w:val="0"/>
              <w:marTop w:val="0"/>
              <w:marBottom w:val="0"/>
              <w:divBdr>
                <w:top w:val="none" w:sz="0" w:space="0" w:color="auto"/>
                <w:left w:val="none" w:sz="0" w:space="0" w:color="auto"/>
                <w:bottom w:val="none" w:sz="0" w:space="0" w:color="auto"/>
                <w:right w:val="none" w:sz="0" w:space="0" w:color="auto"/>
              </w:divBdr>
              <w:divsChild>
                <w:div w:id="2152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6511">
      <w:bodyDiv w:val="1"/>
      <w:marLeft w:val="0"/>
      <w:marRight w:val="0"/>
      <w:marTop w:val="0"/>
      <w:marBottom w:val="0"/>
      <w:divBdr>
        <w:top w:val="none" w:sz="0" w:space="0" w:color="auto"/>
        <w:left w:val="none" w:sz="0" w:space="0" w:color="auto"/>
        <w:bottom w:val="none" w:sz="0" w:space="0" w:color="auto"/>
        <w:right w:val="none" w:sz="0" w:space="0" w:color="auto"/>
      </w:divBdr>
    </w:div>
    <w:div w:id="2147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injusticia.gov.co/Portals/0/Cannabis/Licencias%20de%20cannabis%20otorgadas%20MJD1802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13C6</b:Tag>
    <b:SourceType>Misc</b:SourceType>
    <b:Guid>{E6AD51C4-F980-6F44-9563-A6905A60C4B6}</b:Guid>
    <b:Year>2013</b:Year>
    <b:CaseNumber>C-615</b:CaseNumber>
    <b:Court>Corte Constitucional</b:Court>
    <b:Title>C-615</b:Title>
    <b:Author>
      <b:Author>
        <b:Corporate>Corte Constitucional</b:Corporate>
      </b:Author>
    </b:Author>
    <b:PublicationTitle>C-615</b:PublicationTitle>
    <b:RefOrder>1</b:RefOrder>
  </b:Source>
  <b:Source>
    <b:Tag>Cor15</b:Tag>
    <b:SourceType>Misc</b:SourceType>
    <b:Guid>{2BDEE366-C226-B74D-A227-A4B95A77B414}</b:Guid>
    <b:Author>
      <b:Author>
        <b:Corporate>Corte Constitucional</b:Corporate>
      </b:Author>
    </b:Author>
    <b:Title>C-260</b:Title>
    <b:PublicationTitle>C-260</b:PublicationTitle>
    <b:Year>2015</b:Year>
    <b:RefOrder>2</b:RefOrder>
  </b:Source>
  <b:Source>
    <b:Tag>Sán12</b:Tag>
    <b:SourceType>BookSection</b:SourceType>
    <b:Guid>{CF12A68F-6B42-AA42-A443-3844F7890D5C}</b:Guid>
    <b:Title>Impuesto al consumo de licores, vinos, aperitivos y similares</b:Title>
    <b:Year>2012</b:Year>
    <b:City>Bogotá</b:City>
    <b:Publisher>Universidad Externado de Colombia</b:Publisher>
    <b:Author>
      <b:Author>
        <b:NameList>
          <b:Person>
            <b:Last>Sánchez Peña</b:Last>
            <b:First>Mary</b:First>
            <b:Middle>Claudia</b:Middle>
          </b:Person>
        </b:NameList>
      </b:Author>
      <b:BookAuthor>
        <b:NameList>
          <b:Person>
            <b:Last>Piza Rodríguez</b:Last>
            <b:First>Julio</b:First>
            <b:Middle>Roberto</b:Middle>
          </b:Person>
        </b:NameList>
      </b:BookAuthor>
    </b:Author>
    <b:BookTitle>Régimen impositivo de la entidades territoriales en Colombia.</b:BookTitle>
    <b:RefOrder>3</b:RefOrder>
  </b:Source>
  <b:Source>
    <b:Tag>Fed18</b:Tag>
    <b:SourceType>Report</b:SourceType>
    <b:Guid>{C58DA6F3-9788-A44D-AB2B-76F97DF3805F}</b:Guid>
    <b:Title>Precio de venta de licores certificado por el DANE</b:Title>
    <b:Year>2018</b:Year>
    <b:Author>
      <b:Author>
        <b:Corporate>Federación Nacional de Departamentos</b:Corporate>
      </b:Author>
    </b:Author>
    <b:City>Bogotá</b:City>
    <b:RefOrder>5</b:RefOrder>
  </b:Source>
  <b:Source>
    <b:Tag>Veg18</b:Tag>
    <b:SourceType>ArticleInAPeriodical</b:SourceType>
    <b:Guid>{89BE595D-53A0-9142-95EF-97ABBA505E9F}</b:Guid>
    <b:Title>La fórmula para el cálculo del impuesto a licores deja en rojo a las regiones</b:Title>
    <b:Year>2018</b:Year>
    <b:Month>Septiembre</b:Month>
    <b:Day>11</b:Day>
    <b:Author>
      <b:Author>
        <b:NameList>
          <b:Person>
            <b:Last>Vega</b:Last>
            <b:First>Juan</b:First>
            <b:Middle>Pablo</b:Middle>
          </b:Person>
        </b:NameList>
      </b:Author>
    </b:Author>
    <b:PeriodicalTitle>La República</b:PeriodicalTitle>
    <b:RefOrder>4</b:RefOrder>
  </b:Source>
  <b:Source>
    <b:Tag>Joh181</b:Tag>
    <b:SourceType>InternetSite</b:SourceType>
    <b:Guid>{1A2665D8-D463-7E45-9609-DFA10C7B4CAE}</b:Guid>
    <b:Title>El Tiempo</b:Title>
    <b:Year>2018</b:Year>
    <b:Month>septiembre</b:Month>
    <b:Day>8</b:Day>
    <b:Author>
      <b:Author>
        <b:NameList>
          <b:Person>
            <b:Last>Montaño</b:Last>
            <b:First>John</b:First>
          </b:Person>
        </b:NameList>
      </b:Author>
    </b:Author>
    <b:InternetSiteTitle>El Tiempo</b:InternetSiteTitle>
    <b:URL>https://m.eltiempo.com/politica/gobierno/ivan-duque-autorizo-subir-impuestos-a-licores-265622</b:URL>
    <b:RefOrder>6</b:RefOrder>
  </b:Source>
  <b:Source>
    <b:Tag>Con18</b:Tag>
    <b:SourceType>Report</b:SourceType>
    <b:Guid>{A3859D52-FB2C-D248-A3F9-B63200966BEE}</b:Guid>
    <b:Title>Probabilidad de consumo de botellas aguardiente - Ron </b:Title>
    <b:Year>2018</b:Year>
    <b:Author>
      <b:Author>
        <b:Corporate>Consumer &amp; Insight</b:Corporate>
      </b:Author>
    </b:Author>
    <b:City>Bogotá </b:City>
    <b:RefOrder>7</b:RefOrder>
  </b:Source>
  <b:Source>
    <b:Tag>Ban19</b:Tag>
    <b:SourceType>InternetSite</b:SourceType>
    <b:Guid>{92B355B6-5191-2942-8850-933C52617032}</b:Guid>
    <b:Title>Banco de la República</b:Title>
    <b:Year>2019</b:Year>
    <b:Author>
      <b:Author>
        <b:Corporate>Banco de la República</b:Corporate>
      </b:Author>
    </b:Author>
    <b:URL>http://www.banrep.gov.co/es/encuesta-proyecciones-macroeconomicas</b:URL>
    <b:Month>marzo</b:Month>
    <b:Day>16</b:Day>
    <b:RefOrder>8</b:RefOrder>
  </b:Source>
</b:Sources>
</file>

<file path=customXml/itemProps1.xml><?xml version="1.0" encoding="utf-8"?>
<ds:datastoreItem xmlns:ds="http://schemas.openxmlformats.org/officeDocument/2006/customXml" ds:itemID="{2E773F54-AC56-4886-A172-F2C93E5B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9873</Words>
  <Characters>54306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 Alzate Quiceno</dc:creator>
  <cp:keywords/>
  <dc:description/>
  <cp:lastModifiedBy>Ana Maria Santos Yepes</cp:lastModifiedBy>
  <cp:revision>2</cp:revision>
  <cp:lastPrinted>2019-03-20T15:17:00Z</cp:lastPrinted>
  <dcterms:created xsi:type="dcterms:W3CDTF">2019-03-20T15:41:00Z</dcterms:created>
  <dcterms:modified xsi:type="dcterms:W3CDTF">2019-03-20T15:41:00Z</dcterms:modified>
</cp:coreProperties>
</file>