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0E261" w14:textId="7BBA42AD" w:rsidR="003C3D68" w:rsidRPr="006503CC" w:rsidRDefault="003C3D68" w:rsidP="00A75277">
      <w:pPr>
        <w:spacing w:line="276" w:lineRule="auto"/>
        <w:jc w:val="center"/>
        <w:rPr>
          <w:rFonts w:cs="Segoe UI"/>
          <w:b/>
          <w:sz w:val="22"/>
          <w:szCs w:val="24"/>
        </w:rPr>
      </w:pPr>
      <w:bookmarkStart w:id="0" w:name="_GoBack"/>
      <w:bookmarkEnd w:id="0"/>
      <w:r w:rsidRPr="006503CC">
        <w:rPr>
          <w:rFonts w:cs="Segoe UI"/>
          <w:b/>
          <w:bCs/>
          <w:sz w:val="22"/>
          <w:szCs w:val="24"/>
        </w:rPr>
        <w:t xml:space="preserve">PROYECTO DE LEY No             Por medio del cual se adjudican terrenos </w:t>
      </w:r>
      <w:r w:rsidR="00352ABB" w:rsidRPr="006503CC">
        <w:rPr>
          <w:rFonts w:cs="Segoe UI"/>
          <w:b/>
          <w:bCs/>
          <w:sz w:val="22"/>
          <w:szCs w:val="24"/>
        </w:rPr>
        <w:t xml:space="preserve">baldíos </w:t>
      </w:r>
      <w:r w:rsidRPr="006503CC">
        <w:rPr>
          <w:rFonts w:cs="Segoe UI"/>
          <w:b/>
          <w:bCs/>
          <w:sz w:val="22"/>
          <w:szCs w:val="24"/>
        </w:rPr>
        <w:t xml:space="preserve">a pobladores rurales de escasos recursos en  </w:t>
      </w:r>
      <w:r w:rsidRPr="006503CC">
        <w:rPr>
          <w:rFonts w:cs="Segoe UI"/>
          <w:b/>
          <w:sz w:val="22"/>
          <w:szCs w:val="24"/>
        </w:rPr>
        <w:t>las zonas donde se adelanten procesos de explotación de recursos naturales no renovables.</w:t>
      </w:r>
    </w:p>
    <w:p w14:paraId="2B181713" w14:textId="0DAFDFB3" w:rsidR="003C3D68" w:rsidRPr="006503CC" w:rsidRDefault="00A34D6E" w:rsidP="00A34D6E">
      <w:pPr>
        <w:tabs>
          <w:tab w:val="center" w:pos="4702"/>
          <w:tab w:val="left" w:pos="6585"/>
        </w:tabs>
        <w:spacing w:line="276" w:lineRule="auto"/>
        <w:rPr>
          <w:rFonts w:cs="Segoe UI"/>
          <w:b/>
          <w:sz w:val="22"/>
          <w:szCs w:val="24"/>
        </w:rPr>
      </w:pPr>
      <w:r w:rsidRPr="006503CC">
        <w:rPr>
          <w:rFonts w:cs="Segoe UI"/>
          <w:b/>
          <w:sz w:val="22"/>
          <w:szCs w:val="24"/>
        </w:rPr>
        <w:tab/>
      </w:r>
      <w:r w:rsidR="003C3D68" w:rsidRPr="006503CC">
        <w:rPr>
          <w:rFonts w:cs="Segoe UI"/>
          <w:b/>
          <w:sz w:val="22"/>
          <w:szCs w:val="24"/>
        </w:rPr>
        <w:t>El Congreso de Colombia</w:t>
      </w:r>
      <w:r w:rsidRPr="006503CC">
        <w:rPr>
          <w:rFonts w:cs="Segoe UI"/>
          <w:b/>
          <w:sz w:val="22"/>
          <w:szCs w:val="24"/>
        </w:rPr>
        <w:tab/>
      </w:r>
    </w:p>
    <w:p w14:paraId="7AAAAE9D" w14:textId="00F9A81D" w:rsidR="003C3D68" w:rsidRPr="006503CC" w:rsidRDefault="003C3D68" w:rsidP="00A75277">
      <w:pPr>
        <w:spacing w:line="276" w:lineRule="auto"/>
        <w:jc w:val="center"/>
        <w:rPr>
          <w:rFonts w:cs="Segoe UI"/>
          <w:b/>
          <w:sz w:val="22"/>
          <w:szCs w:val="24"/>
        </w:rPr>
      </w:pPr>
      <w:r w:rsidRPr="006503CC">
        <w:rPr>
          <w:rFonts w:cs="Segoe UI"/>
          <w:b/>
          <w:sz w:val="22"/>
          <w:szCs w:val="24"/>
        </w:rPr>
        <w:t>DECRETA:</w:t>
      </w:r>
    </w:p>
    <w:p w14:paraId="1FCA1637" w14:textId="6CD2D44D" w:rsidR="00F95DEE" w:rsidRPr="006503CC" w:rsidRDefault="00F95DEE" w:rsidP="00F24578">
      <w:pPr>
        <w:spacing w:line="276" w:lineRule="auto"/>
        <w:jc w:val="both"/>
        <w:rPr>
          <w:rFonts w:cs="Segoe UI"/>
          <w:bCs/>
          <w:sz w:val="22"/>
          <w:szCs w:val="24"/>
        </w:rPr>
      </w:pPr>
      <w:r w:rsidRPr="006503CC">
        <w:rPr>
          <w:rFonts w:cs="Segoe UI"/>
          <w:b/>
          <w:bCs/>
          <w:sz w:val="22"/>
          <w:szCs w:val="24"/>
        </w:rPr>
        <w:t xml:space="preserve">Artículo 1. </w:t>
      </w:r>
      <w:r w:rsidRPr="006503CC">
        <w:rPr>
          <w:rFonts w:cs="Segoe UI"/>
          <w:bCs/>
          <w:sz w:val="22"/>
          <w:szCs w:val="24"/>
        </w:rPr>
        <w:t xml:space="preserve">La presente ley tiene como objeto, garantizar el acceso a la tierra de las familias rurales de escasos recursos que logren demostrar el derecho de posesión </w:t>
      </w:r>
      <w:r w:rsidR="007077C8" w:rsidRPr="006503CC">
        <w:rPr>
          <w:rFonts w:cs="Segoe UI"/>
          <w:bCs/>
          <w:sz w:val="22"/>
          <w:szCs w:val="24"/>
        </w:rPr>
        <w:t xml:space="preserve">sobre los predios baldíos que se encuentran en </w:t>
      </w:r>
      <w:r w:rsidR="007077C8" w:rsidRPr="006503CC">
        <w:rPr>
          <w:rFonts w:cs="Segoe UI"/>
          <w:sz w:val="22"/>
          <w:szCs w:val="24"/>
        </w:rPr>
        <w:t>un radio de quinientos (500) metros alrededor de las zonas donde se adelanten procesos de explotación de recursos naturales no renovables</w:t>
      </w:r>
    </w:p>
    <w:p w14:paraId="3767A4CE" w14:textId="7D7B2E0F" w:rsidR="003C3D68" w:rsidRPr="006503CC" w:rsidRDefault="00F95DEE" w:rsidP="00F24578">
      <w:pPr>
        <w:spacing w:line="276" w:lineRule="auto"/>
        <w:jc w:val="both"/>
        <w:rPr>
          <w:rFonts w:cs="Segoe UI"/>
          <w:b/>
          <w:bCs/>
          <w:sz w:val="22"/>
          <w:szCs w:val="24"/>
        </w:rPr>
      </w:pPr>
      <w:r w:rsidRPr="006503CC">
        <w:rPr>
          <w:rFonts w:cs="Segoe UI"/>
          <w:b/>
          <w:bCs/>
          <w:sz w:val="22"/>
          <w:szCs w:val="24"/>
        </w:rPr>
        <w:t>Artículo 2</w:t>
      </w:r>
      <w:r w:rsidR="00EA5407" w:rsidRPr="006503CC">
        <w:rPr>
          <w:rFonts w:cs="Segoe UI"/>
          <w:b/>
          <w:bCs/>
          <w:sz w:val="22"/>
          <w:szCs w:val="24"/>
        </w:rPr>
        <w:t xml:space="preserve">. </w:t>
      </w:r>
      <w:r w:rsidR="00EA5407" w:rsidRPr="006503CC">
        <w:rPr>
          <w:rFonts w:cs="Segoe UI"/>
          <w:bCs/>
          <w:sz w:val="22"/>
          <w:szCs w:val="24"/>
        </w:rPr>
        <w:t xml:space="preserve">Modifíquese el artículo </w:t>
      </w:r>
      <w:r w:rsidR="0081336E">
        <w:rPr>
          <w:rFonts w:cs="Segoe UI"/>
          <w:bCs/>
          <w:sz w:val="22"/>
          <w:szCs w:val="24"/>
        </w:rPr>
        <w:t xml:space="preserve">1 </w:t>
      </w:r>
      <w:r w:rsidR="00EA5407" w:rsidRPr="006503CC">
        <w:rPr>
          <w:rFonts w:cs="Segoe UI"/>
          <w:bCs/>
          <w:sz w:val="22"/>
          <w:szCs w:val="24"/>
        </w:rPr>
        <w:t>de la ley 1728 de 2014, cual quedará así:</w:t>
      </w:r>
    </w:p>
    <w:p w14:paraId="618B1C10" w14:textId="12DAB43E" w:rsidR="007E6D6D"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t xml:space="preserve">Artículo </w:t>
      </w:r>
      <w:r w:rsidR="00F95DEE" w:rsidRPr="006503CC">
        <w:rPr>
          <w:rFonts w:cs="Segoe UI"/>
          <w:sz w:val="22"/>
          <w:szCs w:val="24"/>
        </w:rPr>
        <w:t>67</w:t>
      </w:r>
      <w:r w:rsidRPr="006503CC">
        <w:rPr>
          <w:rFonts w:cs="Segoe UI"/>
          <w:sz w:val="22"/>
          <w:szCs w:val="24"/>
        </w:rPr>
        <w:t>°. La ANT determinará los criterios metodológicos para el cálculo de las extensiones constitutivas de Unidades Agrícolas Familiares (UAF) y para Relativamente Homogéneas.</w:t>
      </w:r>
    </w:p>
    <w:p w14:paraId="13838710" w14:textId="77777777" w:rsidR="00A46A0B" w:rsidRPr="006503CC" w:rsidRDefault="00A46A0B" w:rsidP="00F24578">
      <w:pPr>
        <w:autoSpaceDE w:val="0"/>
        <w:autoSpaceDN w:val="0"/>
        <w:adjustRightInd w:val="0"/>
        <w:spacing w:after="0" w:line="276" w:lineRule="auto"/>
        <w:jc w:val="both"/>
        <w:rPr>
          <w:rFonts w:cs="Segoe UI"/>
          <w:sz w:val="22"/>
          <w:szCs w:val="24"/>
        </w:rPr>
      </w:pPr>
    </w:p>
    <w:p w14:paraId="2057AE30" w14:textId="62A17642" w:rsidR="007E6D6D"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t>La ANT declarará, en caso de exceso del área permitida,</w:t>
      </w:r>
      <w:r w:rsidR="00A46A0B" w:rsidRPr="006503CC">
        <w:rPr>
          <w:rFonts w:cs="Segoe UI"/>
          <w:sz w:val="22"/>
          <w:szCs w:val="24"/>
        </w:rPr>
        <w:t xml:space="preserve"> </w:t>
      </w:r>
      <w:r w:rsidRPr="006503CC">
        <w:rPr>
          <w:rFonts w:cs="Segoe UI"/>
          <w:sz w:val="22"/>
          <w:szCs w:val="24"/>
        </w:rPr>
        <w:t>que hay indebida ocupación o apropiación de</w:t>
      </w:r>
      <w:r w:rsidR="00A46A0B" w:rsidRPr="006503CC">
        <w:rPr>
          <w:rFonts w:cs="Segoe UI"/>
          <w:sz w:val="22"/>
          <w:szCs w:val="24"/>
        </w:rPr>
        <w:t xml:space="preserve"> </w:t>
      </w:r>
      <w:r w:rsidRPr="006503CC">
        <w:rPr>
          <w:rFonts w:cs="Segoe UI"/>
          <w:sz w:val="22"/>
          <w:szCs w:val="24"/>
        </w:rPr>
        <w:t>las tierras de la Nación. En caso de existir áreas que</w:t>
      </w:r>
      <w:r w:rsidR="00A46A0B" w:rsidRPr="006503CC">
        <w:rPr>
          <w:rFonts w:cs="Segoe UI"/>
          <w:sz w:val="22"/>
          <w:szCs w:val="24"/>
        </w:rPr>
        <w:t xml:space="preserve"> </w:t>
      </w:r>
      <w:r w:rsidRPr="006503CC">
        <w:rPr>
          <w:rFonts w:cs="Segoe UI"/>
          <w:sz w:val="22"/>
          <w:szCs w:val="24"/>
        </w:rPr>
        <w:t>excedan el tamaño de la Unidad Agrícola Familiar establecidas</w:t>
      </w:r>
      <w:r w:rsidR="00A46A0B" w:rsidRPr="006503CC">
        <w:rPr>
          <w:rFonts w:cs="Segoe UI"/>
          <w:sz w:val="22"/>
          <w:szCs w:val="24"/>
        </w:rPr>
        <w:t xml:space="preserve"> </w:t>
      </w:r>
      <w:r w:rsidRPr="006503CC">
        <w:rPr>
          <w:rFonts w:cs="Segoe UI"/>
          <w:sz w:val="22"/>
          <w:szCs w:val="24"/>
        </w:rPr>
        <w:t>para las tierras en el municipio o zona a estas</w:t>
      </w:r>
      <w:r w:rsidR="00A46A0B" w:rsidRPr="006503CC">
        <w:rPr>
          <w:rFonts w:cs="Segoe UI"/>
          <w:sz w:val="22"/>
          <w:szCs w:val="24"/>
        </w:rPr>
        <w:t xml:space="preserve"> </w:t>
      </w:r>
      <w:r w:rsidRPr="006503CC">
        <w:rPr>
          <w:rFonts w:cs="Segoe UI"/>
          <w:sz w:val="22"/>
          <w:szCs w:val="24"/>
        </w:rPr>
        <w:t>áreas se les darán el carácter de predios rurales de</w:t>
      </w:r>
      <w:r w:rsidR="00A46A0B" w:rsidRPr="006503CC">
        <w:rPr>
          <w:rFonts w:cs="Segoe UI"/>
          <w:sz w:val="22"/>
          <w:szCs w:val="24"/>
        </w:rPr>
        <w:t xml:space="preserve"> </w:t>
      </w:r>
      <w:r w:rsidRPr="006503CC">
        <w:rPr>
          <w:rFonts w:cs="Segoe UI"/>
          <w:sz w:val="22"/>
          <w:szCs w:val="24"/>
        </w:rPr>
        <w:t>propiedad de la Nación o terrenos baldíos reservados,</w:t>
      </w:r>
      <w:r w:rsidR="00A46A0B" w:rsidRPr="006503CC">
        <w:rPr>
          <w:rFonts w:cs="Segoe UI"/>
          <w:sz w:val="22"/>
          <w:szCs w:val="24"/>
        </w:rPr>
        <w:t xml:space="preserve"> </w:t>
      </w:r>
      <w:r w:rsidRPr="006503CC">
        <w:rPr>
          <w:rFonts w:cs="Segoe UI"/>
          <w:sz w:val="22"/>
          <w:szCs w:val="24"/>
        </w:rPr>
        <w:t>susceptible de ser adjudicados a otros campesinos.</w:t>
      </w:r>
    </w:p>
    <w:p w14:paraId="6742B91C" w14:textId="77777777" w:rsidR="00A46A0B" w:rsidRPr="006503CC" w:rsidRDefault="00A46A0B" w:rsidP="00F24578">
      <w:pPr>
        <w:autoSpaceDE w:val="0"/>
        <w:autoSpaceDN w:val="0"/>
        <w:adjustRightInd w:val="0"/>
        <w:spacing w:after="0" w:line="276" w:lineRule="auto"/>
        <w:jc w:val="both"/>
        <w:rPr>
          <w:rFonts w:cs="Segoe UI"/>
          <w:sz w:val="22"/>
          <w:szCs w:val="24"/>
        </w:rPr>
      </w:pPr>
    </w:p>
    <w:p w14:paraId="2AF87490" w14:textId="1D2FC0B5" w:rsidR="007E6D6D"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t>Para expedir las reglamentaciones sobre las extensiones</w:t>
      </w:r>
      <w:r w:rsidR="00A46A0B" w:rsidRPr="006503CC">
        <w:rPr>
          <w:rFonts w:cs="Segoe UI"/>
          <w:sz w:val="22"/>
          <w:szCs w:val="24"/>
        </w:rPr>
        <w:t xml:space="preserve"> </w:t>
      </w:r>
      <w:r w:rsidRPr="006503CC">
        <w:rPr>
          <w:rFonts w:cs="Segoe UI"/>
          <w:sz w:val="22"/>
          <w:szCs w:val="24"/>
        </w:rPr>
        <w:t>máximas y mínimas adjudicables, la ANT deberá</w:t>
      </w:r>
      <w:r w:rsidR="00A46A0B" w:rsidRPr="006503CC">
        <w:rPr>
          <w:rFonts w:cs="Segoe UI"/>
          <w:sz w:val="22"/>
          <w:szCs w:val="24"/>
        </w:rPr>
        <w:t xml:space="preserve"> </w:t>
      </w:r>
      <w:r w:rsidRPr="006503CC">
        <w:rPr>
          <w:rFonts w:cs="Segoe UI"/>
          <w:sz w:val="22"/>
          <w:szCs w:val="24"/>
        </w:rPr>
        <w:t>tener en cuenta, entre otras, las condiciones agroló</w:t>
      </w:r>
      <w:r w:rsidR="00A46A0B" w:rsidRPr="006503CC">
        <w:rPr>
          <w:rFonts w:cs="Segoe UI"/>
          <w:sz w:val="22"/>
          <w:szCs w:val="24"/>
        </w:rPr>
        <w:t xml:space="preserve">gicas, fisiográficas, disponibilidad de agua, cercanía a </w:t>
      </w:r>
      <w:r w:rsidRPr="006503CC">
        <w:rPr>
          <w:rFonts w:cs="Segoe UI"/>
          <w:sz w:val="22"/>
          <w:szCs w:val="24"/>
        </w:rPr>
        <w:t>poblados de más de tres mil (3.000) habitantes, vías de</w:t>
      </w:r>
      <w:r w:rsidR="00A46A0B" w:rsidRPr="006503CC">
        <w:rPr>
          <w:rFonts w:cs="Segoe UI"/>
          <w:sz w:val="22"/>
          <w:szCs w:val="24"/>
        </w:rPr>
        <w:t xml:space="preserve"> </w:t>
      </w:r>
      <w:r w:rsidRPr="006503CC">
        <w:rPr>
          <w:rFonts w:cs="Segoe UI"/>
          <w:sz w:val="22"/>
          <w:szCs w:val="24"/>
        </w:rPr>
        <w:t>comunicación de las zonas correspondientes, la composición</w:t>
      </w:r>
      <w:r w:rsidR="00A46A0B" w:rsidRPr="006503CC">
        <w:rPr>
          <w:rFonts w:cs="Segoe UI"/>
          <w:sz w:val="22"/>
          <w:szCs w:val="24"/>
        </w:rPr>
        <w:t xml:space="preserve"> </w:t>
      </w:r>
      <w:r w:rsidRPr="006503CC">
        <w:rPr>
          <w:rFonts w:cs="Segoe UI"/>
          <w:sz w:val="22"/>
          <w:szCs w:val="24"/>
        </w:rPr>
        <w:t>y concentración de la propiedad territorial, los</w:t>
      </w:r>
      <w:r w:rsidR="00A46A0B" w:rsidRPr="006503CC">
        <w:rPr>
          <w:rFonts w:cs="Segoe UI"/>
          <w:sz w:val="22"/>
          <w:szCs w:val="24"/>
        </w:rPr>
        <w:t xml:space="preserve"> </w:t>
      </w:r>
      <w:r w:rsidRPr="006503CC">
        <w:rPr>
          <w:rFonts w:cs="Segoe UI"/>
          <w:sz w:val="22"/>
          <w:szCs w:val="24"/>
        </w:rPr>
        <w:t>índices de producción y productividad, la aptitud y las</w:t>
      </w:r>
      <w:r w:rsidR="00A46A0B" w:rsidRPr="006503CC">
        <w:rPr>
          <w:rFonts w:cs="Segoe UI"/>
          <w:sz w:val="22"/>
          <w:szCs w:val="24"/>
        </w:rPr>
        <w:t xml:space="preserve"> </w:t>
      </w:r>
      <w:r w:rsidRPr="006503CC">
        <w:rPr>
          <w:rFonts w:cs="Segoe UI"/>
          <w:sz w:val="22"/>
          <w:szCs w:val="24"/>
        </w:rPr>
        <w:t>características del desarrollo sostenible de la región, la</w:t>
      </w:r>
      <w:r w:rsidR="00A46A0B" w:rsidRPr="006503CC">
        <w:rPr>
          <w:rFonts w:cs="Segoe UI"/>
          <w:sz w:val="22"/>
          <w:szCs w:val="24"/>
        </w:rPr>
        <w:t xml:space="preserve"> </w:t>
      </w:r>
      <w:r w:rsidRPr="006503CC">
        <w:rPr>
          <w:rFonts w:cs="Segoe UI"/>
          <w:sz w:val="22"/>
          <w:szCs w:val="24"/>
        </w:rPr>
        <w:t>condición de aledaños de los predios rurales de propiedad</w:t>
      </w:r>
      <w:r w:rsidR="00A46A0B" w:rsidRPr="006503CC">
        <w:rPr>
          <w:rFonts w:cs="Segoe UI"/>
          <w:sz w:val="22"/>
          <w:szCs w:val="24"/>
        </w:rPr>
        <w:t xml:space="preserve"> </w:t>
      </w:r>
      <w:r w:rsidRPr="006503CC">
        <w:rPr>
          <w:rFonts w:cs="Segoe UI"/>
          <w:sz w:val="22"/>
          <w:szCs w:val="24"/>
        </w:rPr>
        <w:t>de la Nación y los terrenos baldíos, o la distancia</w:t>
      </w:r>
      <w:r w:rsidR="00A46A0B" w:rsidRPr="006503CC">
        <w:rPr>
          <w:rFonts w:cs="Segoe UI"/>
          <w:sz w:val="22"/>
          <w:szCs w:val="24"/>
        </w:rPr>
        <w:t xml:space="preserve"> </w:t>
      </w:r>
      <w:r w:rsidRPr="006503CC">
        <w:rPr>
          <w:rFonts w:cs="Segoe UI"/>
          <w:sz w:val="22"/>
          <w:szCs w:val="24"/>
        </w:rPr>
        <w:t>a carreteras transitables por vehículos automotores, ferrocarriles,</w:t>
      </w:r>
      <w:r w:rsidR="00A46A0B" w:rsidRPr="006503CC">
        <w:rPr>
          <w:rFonts w:cs="Segoe UI"/>
          <w:sz w:val="22"/>
          <w:szCs w:val="24"/>
        </w:rPr>
        <w:t xml:space="preserve"> </w:t>
      </w:r>
      <w:r w:rsidRPr="006503CC">
        <w:rPr>
          <w:rFonts w:cs="Segoe UI"/>
          <w:sz w:val="22"/>
          <w:szCs w:val="24"/>
        </w:rPr>
        <w:t>ríos navegables, a centros urbanos de más</w:t>
      </w:r>
      <w:r w:rsidR="00A46A0B" w:rsidRPr="006503CC">
        <w:rPr>
          <w:rFonts w:cs="Segoe UI"/>
          <w:sz w:val="22"/>
          <w:szCs w:val="24"/>
        </w:rPr>
        <w:t xml:space="preserve"> </w:t>
      </w:r>
      <w:r w:rsidRPr="006503CC">
        <w:rPr>
          <w:rFonts w:cs="Segoe UI"/>
          <w:sz w:val="22"/>
          <w:szCs w:val="24"/>
        </w:rPr>
        <w:t>de diez mil (10.000) habitantes, o a puertos marítimos.</w:t>
      </w:r>
    </w:p>
    <w:p w14:paraId="1DA6FB0B" w14:textId="7C194E0E" w:rsidR="00A46A0B"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t>La ANT está facultada para señalar zonas en las</w:t>
      </w:r>
      <w:r w:rsidR="00A46A0B" w:rsidRPr="006503CC">
        <w:rPr>
          <w:rFonts w:cs="Segoe UI"/>
          <w:sz w:val="22"/>
          <w:szCs w:val="24"/>
        </w:rPr>
        <w:t xml:space="preserve"> </w:t>
      </w:r>
      <w:r w:rsidRPr="006503CC">
        <w:rPr>
          <w:rFonts w:cs="Segoe UI"/>
          <w:sz w:val="22"/>
          <w:szCs w:val="24"/>
        </w:rPr>
        <w:t>cuales las adjudicaciones solo podrán hacerse con base</w:t>
      </w:r>
      <w:r w:rsidR="00A46A0B" w:rsidRPr="006503CC">
        <w:rPr>
          <w:rFonts w:cs="Segoe UI"/>
          <w:sz w:val="22"/>
          <w:szCs w:val="24"/>
        </w:rPr>
        <w:t xml:space="preserve"> </w:t>
      </w:r>
      <w:r w:rsidRPr="006503CC">
        <w:rPr>
          <w:rFonts w:cs="Segoe UI"/>
          <w:sz w:val="22"/>
          <w:szCs w:val="24"/>
        </w:rPr>
        <w:t>en producciones forestales o de conservación forestal,</w:t>
      </w:r>
      <w:r w:rsidR="00A46A0B" w:rsidRPr="006503CC">
        <w:rPr>
          <w:rFonts w:cs="Segoe UI"/>
          <w:sz w:val="22"/>
          <w:szCs w:val="24"/>
        </w:rPr>
        <w:t xml:space="preserve"> agrícolas o de ganadería intensiva y para definir, conforme a las circunstancias de la zona correspondiente, las características de estas últimas.</w:t>
      </w:r>
    </w:p>
    <w:p w14:paraId="6F62E846" w14:textId="7EA43148" w:rsidR="007E6D6D" w:rsidRPr="006503CC" w:rsidRDefault="007E6D6D" w:rsidP="00F24578">
      <w:pPr>
        <w:autoSpaceDE w:val="0"/>
        <w:autoSpaceDN w:val="0"/>
        <w:adjustRightInd w:val="0"/>
        <w:spacing w:after="0" w:line="276" w:lineRule="auto"/>
        <w:jc w:val="both"/>
        <w:rPr>
          <w:rFonts w:cs="Segoe UI"/>
          <w:sz w:val="22"/>
          <w:szCs w:val="24"/>
        </w:rPr>
      </w:pPr>
    </w:p>
    <w:p w14:paraId="2CBA7FC7" w14:textId="47144344" w:rsidR="007E6D6D"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lastRenderedPageBreak/>
        <w:t>Parágrafo 1</w:t>
      </w:r>
      <w:r w:rsidRPr="006503CC">
        <w:rPr>
          <w:rFonts w:cs="Segoe UI"/>
          <w:b/>
          <w:bCs/>
          <w:sz w:val="22"/>
          <w:szCs w:val="24"/>
        </w:rPr>
        <w:t>°</w:t>
      </w:r>
      <w:r w:rsidRPr="006503CC">
        <w:rPr>
          <w:rFonts w:cs="Segoe UI"/>
          <w:sz w:val="22"/>
          <w:szCs w:val="24"/>
        </w:rPr>
        <w:t>. No serán adjudicables los predios rurales</w:t>
      </w:r>
      <w:r w:rsidR="00A46A0B" w:rsidRPr="006503CC">
        <w:rPr>
          <w:rFonts w:cs="Segoe UI"/>
          <w:sz w:val="22"/>
          <w:szCs w:val="24"/>
        </w:rPr>
        <w:t xml:space="preserve"> </w:t>
      </w:r>
      <w:r w:rsidRPr="006503CC">
        <w:rPr>
          <w:rFonts w:cs="Segoe UI"/>
          <w:sz w:val="22"/>
          <w:szCs w:val="24"/>
        </w:rPr>
        <w:t>de propiedad de la Nación y los terrenos baldíos</w:t>
      </w:r>
      <w:r w:rsidR="00F95DEE" w:rsidRPr="006503CC">
        <w:rPr>
          <w:rFonts w:cs="Segoe UI"/>
          <w:sz w:val="22"/>
          <w:szCs w:val="24"/>
        </w:rPr>
        <w:t xml:space="preserve"> </w:t>
      </w:r>
      <w:r w:rsidRPr="006503CC">
        <w:rPr>
          <w:rFonts w:cs="Segoe UI"/>
          <w:sz w:val="22"/>
          <w:szCs w:val="24"/>
        </w:rPr>
        <w:t>que cuenten con las siguientes condiciones:</w:t>
      </w:r>
    </w:p>
    <w:p w14:paraId="09A2D7AD" w14:textId="77777777" w:rsidR="00A46A0B" w:rsidRPr="006503CC" w:rsidRDefault="00A46A0B" w:rsidP="00F24578">
      <w:pPr>
        <w:autoSpaceDE w:val="0"/>
        <w:autoSpaceDN w:val="0"/>
        <w:adjustRightInd w:val="0"/>
        <w:spacing w:after="0" w:line="276" w:lineRule="auto"/>
        <w:jc w:val="both"/>
        <w:rPr>
          <w:rFonts w:cs="Segoe UI"/>
          <w:sz w:val="22"/>
          <w:szCs w:val="24"/>
        </w:rPr>
      </w:pPr>
    </w:p>
    <w:p w14:paraId="6EC12BDA" w14:textId="1F6762A7" w:rsidR="00A46A0B"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t>a) Los predios rurales de propiedad de la Nación y</w:t>
      </w:r>
      <w:r w:rsidR="00A46A0B" w:rsidRPr="006503CC">
        <w:rPr>
          <w:rFonts w:cs="Segoe UI"/>
          <w:sz w:val="22"/>
          <w:szCs w:val="24"/>
        </w:rPr>
        <w:t xml:space="preserve"> </w:t>
      </w:r>
      <w:r w:rsidRPr="006503CC">
        <w:rPr>
          <w:rFonts w:cs="Segoe UI"/>
          <w:sz w:val="22"/>
          <w:szCs w:val="24"/>
        </w:rPr>
        <w:t xml:space="preserve">los terrenos baldíos </w:t>
      </w:r>
      <w:r w:rsidR="00A46A0B" w:rsidRPr="006503CC">
        <w:rPr>
          <w:rFonts w:cs="Segoe UI"/>
          <w:sz w:val="22"/>
          <w:szCs w:val="24"/>
        </w:rPr>
        <w:t>situados dentro de un radio de quinientos</w:t>
      </w:r>
      <w:r w:rsidR="00F95DEE" w:rsidRPr="006503CC">
        <w:rPr>
          <w:rFonts w:cs="Segoe UI"/>
          <w:sz w:val="22"/>
          <w:szCs w:val="24"/>
        </w:rPr>
        <w:t xml:space="preserve"> </w:t>
      </w:r>
      <w:r w:rsidRPr="006503CC">
        <w:rPr>
          <w:rFonts w:cs="Segoe UI"/>
          <w:sz w:val="22"/>
          <w:szCs w:val="24"/>
        </w:rPr>
        <w:t>(</w:t>
      </w:r>
      <w:r w:rsidR="00A46A0B" w:rsidRPr="006503CC">
        <w:rPr>
          <w:rFonts w:cs="Segoe UI"/>
          <w:sz w:val="22"/>
          <w:szCs w:val="24"/>
        </w:rPr>
        <w:t>500</w:t>
      </w:r>
      <w:r w:rsidRPr="006503CC">
        <w:rPr>
          <w:rFonts w:cs="Segoe UI"/>
          <w:sz w:val="22"/>
          <w:szCs w:val="24"/>
        </w:rPr>
        <w:t xml:space="preserve">) metros </w:t>
      </w:r>
      <w:r w:rsidR="00A46A0B" w:rsidRPr="006503CC">
        <w:rPr>
          <w:rFonts w:cs="Segoe UI"/>
          <w:sz w:val="22"/>
          <w:szCs w:val="24"/>
        </w:rPr>
        <w:t>alrededor de las zonas donde se adelanten procesos de explotación de recursos naturales no renovables; entendiéndose por estos, materiales fósiles útiles y aprovechable económicamente presentes en el suelo y el subsuelo, dejando por fuera los materiales de construcción y las salinas tomando como punto para contar la distancia la boca de la mina y/o el punto de explotación petrolera.</w:t>
      </w:r>
    </w:p>
    <w:p w14:paraId="680F0D5A" w14:textId="77777777" w:rsidR="00A46A0B" w:rsidRPr="006503CC" w:rsidRDefault="00A46A0B" w:rsidP="00F24578">
      <w:pPr>
        <w:autoSpaceDE w:val="0"/>
        <w:autoSpaceDN w:val="0"/>
        <w:adjustRightInd w:val="0"/>
        <w:spacing w:after="0" w:line="276" w:lineRule="auto"/>
        <w:jc w:val="both"/>
        <w:rPr>
          <w:rFonts w:cs="Segoe UI"/>
          <w:sz w:val="22"/>
          <w:szCs w:val="24"/>
        </w:rPr>
      </w:pPr>
    </w:p>
    <w:p w14:paraId="20EEFA7A" w14:textId="77777777" w:rsidR="00A46A0B" w:rsidRPr="006503CC" w:rsidRDefault="007E6D6D" w:rsidP="00F24578">
      <w:pPr>
        <w:autoSpaceDE w:val="0"/>
        <w:autoSpaceDN w:val="0"/>
        <w:adjustRightInd w:val="0"/>
        <w:spacing w:after="0" w:line="276" w:lineRule="auto"/>
        <w:jc w:val="both"/>
        <w:rPr>
          <w:rFonts w:cs="Segoe UI"/>
          <w:sz w:val="22"/>
          <w:szCs w:val="24"/>
        </w:rPr>
      </w:pPr>
      <w:r w:rsidRPr="006503CC">
        <w:rPr>
          <w:rFonts w:cs="Segoe UI"/>
          <w:sz w:val="22"/>
          <w:szCs w:val="24"/>
        </w:rPr>
        <w:t xml:space="preserve">b) </w:t>
      </w:r>
      <w:r w:rsidR="00A46A0B" w:rsidRPr="006503CC">
        <w:rPr>
          <w:rFonts w:cs="Segoe UI"/>
          <w:sz w:val="22"/>
          <w:szCs w:val="24"/>
        </w:rPr>
        <w:t xml:space="preserve">Los terrenos situados en colindancia a carreteras del sistema vial nacional, según las fajas mínimas de retiro obligatorio o áreas de exclusión, conforme fueron fijadas en la Ley </w:t>
      </w:r>
      <w:hyperlink r:id="rId8" w:anchor="Inicio" w:history="1">
        <w:r w:rsidR="00A46A0B" w:rsidRPr="006503CC">
          <w:rPr>
            <w:rStyle w:val="Hipervnculo"/>
            <w:rFonts w:cs="Segoe UI"/>
            <w:color w:val="auto"/>
            <w:sz w:val="22"/>
            <w:szCs w:val="24"/>
            <w:u w:val="none"/>
          </w:rPr>
          <w:t>1228</w:t>
        </w:r>
      </w:hyperlink>
      <w:r w:rsidR="00A46A0B" w:rsidRPr="006503CC">
        <w:rPr>
          <w:rFonts w:cs="Segoe UI"/>
          <w:sz w:val="22"/>
          <w:szCs w:val="24"/>
        </w:rPr>
        <w:t xml:space="preserve"> de 2008.</w:t>
      </w:r>
    </w:p>
    <w:p w14:paraId="62D0EF84" w14:textId="77777777" w:rsidR="00A46A0B" w:rsidRPr="006503CC" w:rsidRDefault="00A46A0B" w:rsidP="00F24578">
      <w:pPr>
        <w:autoSpaceDE w:val="0"/>
        <w:autoSpaceDN w:val="0"/>
        <w:adjustRightInd w:val="0"/>
        <w:spacing w:after="0" w:line="276" w:lineRule="auto"/>
        <w:jc w:val="both"/>
        <w:rPr>
          <w:rFonts w:cs="Segoe UI"/>
          <w:sz w:val="22"/>
          <w:szCs w:val="24"/>
        </w:rPr>
      </w:pPr>
    </w:p>
    <w:p w14:paraId="3173DB7A" w14:textId="10FFE647" w:rsidR="00EA5407" w:rsidRPr="006503CC" w:rsidRDefault="007E6D6D" w:rsidP="00F24578">
      <w:pPr>
        <w:autoSpaceDE w:val="0"/>
        <w:autoSpaceDN w:val="0"/>
        <w:adjustRightInd w:val="0"/>
        <w:spacing w:after="0" w:line="276" w:lineRule="auto"/>
        <w:jc w:val="both"/>
        <w:rPr>
          <w:rFonts w:cs="Segoe UI"/>
          <w:b/>
          <w:bCs/>
          <w:sz w:val="22"/>
          <w:szCs w:val="24"/>
        </w:rPr>
      </w:pPr>
      <w:r w:rsidRPr="006503CC">
        <w:rPr>
          <w:rFonts w:cs="Segoe UI"/>
          <w:sz w:val="22"/>
          <w:szCs w:val="24"/>
        </w:rPr>
        <w:t>Parágrafo 2</w:t>
      </w:r>
      <w:r w:rsidRPr="006503CC">
        <w:rPr>
          <w:rFonts w:cs="Segoe UI"/>
          <w:b/>
          <w:bCs/>
          <w:sz w:val="22"/>
          <w:szCs w:val="24"/>
        </w:rPr>
        <w:t>°</w:t>
      </w:r>
      <w:r w:rsidRPr="006503CC">
        <w:rPr>
          <w:rFonts w:cs="Segoe UI"/>
          <w:sz w:val="22"/>
          <w:szCs w:val="24"/>
        </w:rPr>
        <w:t>. Los predios rurales de propiedad de</w:t>
      </w:r>
      <w:r w:rsidR="00A46A0B" w:rsidRPr="006503CC">
        <w:rPr>
          <w:rFonts w:cs="Segoe UI"/>
          <w:sz w:val="22"/>
          <w:szCs w:val="24"/>
        </w:rPr>
        <w:t xml:space="preserve"> </w:t>
      </w:r>
      <w:r w:rsidRPr="006503CC">
        <w:rPr>
          <w:rFonts w:cs="Segoe UI"/>
          <w:sz w:val="22"/>
          <w:szCs w:val="24"/>
        </w:rPr>
        <w:t>la Nación y los terrenos baldíos serán adjudicados exclusivamente</w:t>
      </w:r>
      <w:r w:rsidR="00F95DEE" w:rsidRPr="006503CC">
        <w:rPr>
          <w:rFonts w:cs="Segoe UI"/>
          <w:sz w:val="22"/>
          <w:szCs w:val="24"/>
        </w:rPr>
        <w:t xml:space="preserve"> </w:t>
      </w:r>
      <w:r w:rsidRPr="006503CC">
        <w:rPr>
          <w:rFonts w:cs="Segoe UI"/>
          <w:sz w:val="22"/>
          <w:szCs w:val="24"/>
        </w:rPr>
        <w:t>a las personas que tengan la posesión y</w:t>
      </w:r>
      <w:r w:rsidR="00A46A0B" w:rsidRPr="006503CC">
        <w:rPr>
          <w:rFonts w:cs="Segoe UI"/>
          <w:sz w:val="22"/>
          <w:szCs w:val="24"/>
        </w:rPr>
        <w:t xml:space="preserve"> </w:t>
      </w:r>
      <w:r w:rsidRPr="006503CC">
        <w:rPr>
          <w:rFonts w:cs="Segoe UI"/>
          <w:sz w:val="22"/>
          <w:szCs w:val="24"/>
        </w:rPr>
        <w:t xml:space="preserve">tenencia de </w:t>
      </w:r>
      <w:r w:rsidR="00A46A0B" w:rsidRPr="006503CC">
        <w:rPr>
          <w:rFonts w:cs="Segoe UI"/>
          <w:sz w:val="22"/>
          <w:szCs w:val="24"/>
        </w:rPr>
        <w:t>los predios, como trabajadores y poblado</w:t>
      </w:r>
      <w:r w:rsidR="00F95DEE" w:rsidRPr="006503CC">
        <w:rPr>
          <w:rFonts w:cs="Segoe UI"/>
          <w:sz w:val="22"/>
          <w:szCs w:val="24"/>
        </w:rPr>
        <w:t>res rurales de escasos recursos con fines sociales y productivos</w:t>
      </w:r>
    </w:p>
    <w:p w14:paraId="44B7A6E5" w14:textId="77777777" w:rsidR="00EA5407" w:rsidRPr="006503CC" w:rsidRDefault="00EA5407" w:rsidP="00F24578">
      <w:pPr>
        <w:spacing w:line="276" w:lineRule="auto"/>
        <w:jc w:val="both"/>
        <w:rPr>
          <w:rFonts w:cs="Segoe UI"/>
          <w:b/>
          <w:bCs/>
          <w:sz w:val="22"/>
          <w:szCs w:val="24"/>
        </w:rPr>
      </w:pPr>
    </w:p>
    <w:p w14:paraId="1D0A7C58" w14:textId="6A14D9E6" w:rsidR="00F95DEE" w:rsidRPr="006503CC" w:rsidRDefault="00F95DEE" w:rsidP="00F24578">
      <w:pPr>
        <w:autoSpaceDE w:val="0"/>
        <w:autoSpaceDN w:val="0"/>
        <w:adjustRightInd w:val="0"/>
        <w:spacing w:after="0" w:line="276" w:lineRule="auto"/>
        <w:jc w:val="both"/>
        <w:rPr>
          <w:rFonts w:cs="Segoe UI"/>
          <w:sz w:val="22"/>
          <w:szCs w:val="24"/>
        </w:rPr>
      </w:pPr>
      <w:r w:rsidRPr="006503CC">
        <w:rPr>
          <w:rFonts w:cs="Segoe UI"/>
          <w:b/>
          <w:bCs/>
          <w:sz w:val="22"/>
          <w:szCs w:val="24"/>
        </w:rPr>
        <w:t xml:space="preserve">Artículo </w:t>
      </w:r>
      <w:r w:rsidR="007077C8" w:rsidRPr="006503CC">
        <w:rPr>
          <w:rFonts w:cs="Segoe UI"/>
          <w:b/>
          <w:bCs/>
          <w:sz w:val="22"/>
          <w:szCs w:val="24"/>
        </w:rPr>
        <w:t>3</w:t>
      </w:r>
      <w:r w:rsidRPr="006503CC">
        <w:rPr>
          <w:rFonts w:cs="Segoe UI"/>
          <w:b/>
          <w:bCs/>
          <w:sz w:val="22"/>
          <w:szCs w:val="24"/>
        </w:rPr>
        <w:t xml:space="preserve">. </w:t>
      </w:r>
      <w:r w:rsidRPr="006503CC">
        <w:rPr>
          <w:rFonts w:cs="Segoe UI"/>
          <w:sz w:val="22"/>
          <w:szCs w:val="24"/>
        </w:rPr>
        <w:t>La presente ley rige a partir del momento de su promulgación y deroga las normas que le sean contrarias y</w:t>
      </w:r>
    </w:p>
    <w:p w14:paraId="38E5A06F" w14:textId="77777777" w:rsidR="00EA5407" w:rsidRDefault="00EA5407" w:rsidP="00F24578">
      <w:pPr>
        <w:spacing w:line="276" w:lineRule="auto"/>
        <w:jc w:val="both"/>
        <w:rPr>
          <w:rFonts w:cs="Segoe UI"/>
          <w:b/>
          <w:bCs/>
          <w:sz w:val="22"/>
          <w:szCs w:val="24"/>
        </w:rPr>
      </w:pPr>
    </w:p>
    <w:p w14:paraId="648BCEDC" w14:textId="77777777" w:rsidR="006503CC" w:rsidRDefault="006503CC" w:rsidP="00F24578">
      <w:pPr>
        <w:spacing w:line="276" w:lineRule="auto"/>
        <w:jc w:val="both"/>
        <w:rPr>
          <w:rFonts w:cs="Segoe UI"/>
          <w:b/>
          <w:bCs/>
          <w:sz w:val="22"/>
          <w:szCs w:val="24"/>
        </w:rPr>
      </w:pPr>
    </w:p>
    <w:p w14:paraId="628BC92D" w14:textId="77777777" w:rsidR="006503CC" w:rsidRDefault="006503CC" w:rsidP="00F24578">
      <w:pPr>
        <w:spacing w:line="276" w:lineRule="auto"/>
        <w:jc w:val="both"/>
        <w:rPr>
          <w:rFonts w:cs="Segoe UI"/>
          <w:b/>
          <w:bCs/>
          <w:sz w:val="22"/>
          <w:szCs w:val="24"/>
        </w:rPr>
      </w:pPr>
    </w:p>
    <w:p w14:paraId="27B1BBD6" w14:textId="77777777" w:rsidR="006503CC" w:rsidRDefault="006503CC" w:rsidP="00F24578">
      <w:pPr>
        <w:spacing w:line="276" w:lineRule="auto"/>
        <w:jc w:val="both"/>
        <w:rPr>
          <w:rFonts w:cs="Segoe UI"/>
          <w:b/>
          <w:bCs/>
          <w:sz w:val="22"/>
          <w:szCs w:val="24"/>
        </w:rPr>
      </w:pPr>
    </w:p>
    <w:p w14:paraId="687FB737" w14:textId="77777777" w:rsidR="006503CC" w:rsidRDefault="006503CC" w:rsidP="00F24578">
      <w:pPr>
        <w:spacing w:line="276" w:lineRule="auto"/>
        <w:jc w:val="both"/>
        <w:rPr>
          <w:rFonts w:cs="Segoe UI"/>
          <w:b/>
          <w:bCs/>
          <w:sz w:val="22"/>
          <w:szCs w:val="24"/>
        </w:rPr>
      </w:pPr>
    </w:p>
    <w:p w14:paraId="06A494D9" w14:textId="77777777" w:rsidR="006503CC" w:rsidRPr="006503CC" w:rsidRDefault="006503CC" w:rsidP="00F24578">
      <w:pPr>
        <w:spacing w:line="276" w:lineRule="auto"/>
        <w:jc w:val="both"/>
        <w:rPr>
          <w:rFonts w:cs="Segoe UI"/>
          <w:b/>
          <w:bCs/>
          <w:sz w:val="22"/>
          <w:szCs w:val="24"/>
        </w:rPr>
      </w:pPr>
    </w:p>
    <w:p w14:paraId="4D75960C" w14:textId="77777777" w:rsidR="006503CC" w:rsidRPr="006503CC" w:rsidRDefault="006503CC" w:rsidP="006503CC">
      <w:pPr>
        <w:pStyle w:val="Sinespaciado"/>
      </w:pPr>
    </w:p>
    <w:p w14:paraId="330A2852" w14:textId="17B25FE8" w:rsidR="006503CC" w:rsidRPr="006503CC" w:rsidRDefault="006503CC" w:rsidP="006503CC">
      <w:pPr>
        <w:pStyle w:val="Sinespaciado"/>
        <w:rPr>
          <w:b/>
        </w:rPr>
      </w:pPr>
      <w:r w:rsidRPr="006503CC">
        <w:rPr>
          <w:b/>
        </w:rPr>
        <w:t>JAIRO CRISTANCHO TARACHE</w:t>
      </w:r>
    </w:p>
    <w:p w14:paraId="27B9A317" w14:textId="349AA6A1" w:rsidR="006503CC" w:rsidRPr="006503CC" w:rsidRDefault="006503CC" w:rsidP="006503CC">
      <w:pPr>
        <w:pStyle w:val="Sinespaciado"/>
      </w:pPr>
      <w:r w:rsidRPr="006503CC">
        <w:t>Representante por Casanare</w:t>
      </w:r>
    </w:p>
    <w:p w14:paraId="311603C0" w14:textId="14A6EF62" w:rsidR="006503CC" w:rsidRPr="006503CC" w:rsidRDefault="006503CC" w:rsidP="006503CC">
      <w:pPr>
        <w:pStyle w:val="Sinespaciado"/>
      </w:pPr>
      <w:r w:rsidRPr="006503CC">
        <w:t>Partido Centro Democrático</w:t>
      </w:r>
    </w:p>
    <w:p w14:paraId="5C48A7B3" w14:textId="77777777" w:rsidR="00EA5407" w:rsidRPr="006503CC" w:rsidRDefault="00EA5407" w:rsidP="00F24578">
      <w:pPr>
        <w:spacing w:line="276" w:lineRule="auto"/>
        <w:jc w:val="both"/>
        <w:rPr>
          <w:rFonts w:cs="Segoe UI"/>
          <w:b/>
          <w:bCs/>
          <w:sz w:val="22"/>
          <w:szCs w:val="24"/>
        </w:rPr>
      </w:pPr>
    </w:p>
    <w:p w14:paraId="6A567503" w14:textId="77777777" w:rsidR="00EA5407" w:rsidRPr="006503CC" w:rsidRDefault="00EA5407" w:rsidP="00F24578">
      <w:pPr>
        <w:spacing w:line="276" w:lineRule="auto"/>
        <w:jc w:val="both"/>
        <w:rPr>
          <w:rFonts w:cs="Segoe UI"/>
          <w:b/>
          <w:bCs/>
          <w:sz w:val="22"/>
          <w:szCs w:val="24"/>
        </w:rPr>
      </w:pPr>
    </w:p>
    <w:p w14:paraId="1815A195" w14:textId="77777777" w:rsidR="007F57CD" w:rsidRDefault="007F57CD" w:rsidP="00A75277">
      <w:pPr>
        <w:spacing w:line="276" w:lineRule="auto"/>
        <w:jc w:val="center"/>
        <w:rPr>
          <w:rFonts w:cs="Segoe UI"/>
          <w:b/>
          <w:bCs/>
          <w:sz w:val="22"/>
          <w:szCs w:val="24"/>
        </w:rPr>
      </w:pPr>
    </w:p>
    <w:p w14:paraId="3418079C" w14:textId="355E1F38" w:rsidR="002427DF" w:rsidRPr="006503CC" w:rsidRDefault="002427DF" w:rsidP="00A75277">
      <w:pPr>
        <w:spacing w:line="276" w:lineRule="auto"/>
        <w:jc w:val="center"/>
        <w:rPr>
          <w:rFonts w:cs="Segoe UI"/>
          <w:b/>
          <w:bCs/>
          <w:sz w:val="22"/>
          <w:szCs w:val="24"/>
        </w:rPr>
      </w:pPr>
      <w:r w:rsidRPr="006503CC">
        <w:rPr>
          <w:rFonts w:cs="Segoe UI"/>
          <w:b/>
          <w:bCs/>
          <w:sz w:val="22"/>
          <w:szCs w:val="24"/>
        </w:rPr>
        <w:t>EXPOSICIÓN DE MOTIVOS</w:t>
      </w:r>
    </w:p>
    <w:p w14:paraId="1E022198" w14:textId="77777777" w:rsidR="007F57CD" w:rsidRPr="006503CC" w:rsidRDefault="007F57CD" w:rsidP="007F57CD">
      <w:pPr>
        <w:spacing w:line="276" w:lineRule="auto"/>
        <w:jc w:val="both"/>
        <w:rPr>
          <w:rFonts w:cs="Segoe UI"/>
          <w:b/>
          <w:bCs/>
          <w:i/>
          <w:iCs/>
          <w:sz w:val="22"/>
          <w:szCs w:val="24"/>
        </w:rPr>
      </w:pPr>
      <w:r w:rsidRPr="006503CC">
        <w:rPr>
          <w:rFonts w:cs="Segoe UI"/>
          <w:b/>
          <w:bCs/>
          <w:sz w:val="22"/>
          <w:szCs w:val="24"/>
        </w:rPr>
        <w:t>Antecedentes</w:t>
      </w:r>
      <w:r w:rsidRPr="006503CC">
        <w:rPr>
          <w:rFonts w:cs="Segoe UI"/>
          <w:b/>
          <w:bCs/>
          <w:i/>
          <w:iCs/>
          <w:sz w:val="22"/>
          <w:szCs w:val="24"/>
        </w:rPr>
        <w:t xml:space="preserve"> Legislativos</w:t>
      </w:r>
    </w:p>
    <w:p w14:paraId="52CF98AA" w14:textId="77777777" w:rsidR="007F57CD" w:rsidRPr="006503CC" w:rsidRDefault="007F57CD" w:rsidP="007F57CD">
      <w:pPr>
        <w:spacing w:line="276" w:lineRule="auto"/>
        <w:jc w:val="both"/>
        <w:rPr>
          <w:rFonts w:cs="Segoe UI"/>
          <w:sz w:val="22"/>
          <w:szCs w:val="24"/>
        </w:rPr>
      </w:pPr>
      <w:r w:rsidRPr="006503CC">
        <w:rPr>
          <w:rFonts w:cs="Segoe UI"/>
          <w:sz w:val="22"/>
          <w:szCs w:val="24"/>
        </w:rPr>
        <w:t>Realizando la revisión frente al tema del presente proyecto de ley, encontramos que dicha iniciativa ha surtido en varias ocasiones trámite ante el Congreso de la República; las cuales se relacionan a continuación:</w:t>
      </w:r>
    </w:p>
    <w:p w14:paraId="01208070" w14:textId="77777777" w:rsidR="007F57CD" w:rsidRPr="006503CC" w:rsidRDefault="007F57CD" w:rsidP="007F57CD">
      <w:pPr>
        <w:pStyle w:val="Prrafodelista"/>
        <w:numPr>
          <w:ilvl w:val="0"/>
          <w:numId w:val="4"/>
        </w:numPr>
        <w:spacing w:line="276" w:lineRule="auto"/>
        <w:jc w:val="both"/>
        <w:rPr>
          <w:rFonts w:cs="Segoe UI"/>
          <w:b/>
          <w:bCs/>
          <w:sz w:val="22"/>
          <w:szCs w:val="24"/>
        </w:rPr>
      </w:pPr>
      <w:r w:rsidRPr="006503CC">
        <w:rPr>
          <w:rFonts w:cs="Segoe UI"/>
          <w:b/>
          <w:bCs/>
          <w:sz w:val="22"/>
          <w:szCs w:val="24"/>
        </w:rPr>
        <w:t>Proyecto de Ley 46 de 2011 Senado – 226 de 2012 Cámara</w:t>
      </w:r>
    </w:p>
    <w:p w14:paraId="56EBF186" w14:textId="77777777" w:rsidR="007F57CD" w:rsidRPr="006503CC" w:rsidRDefault="007F57CD" w:rsidP="007F57CD">
      <w:pPr>
        <w:spacing w:line="276" w:lineRule="auto"/>
        <w:jc w:val="both"/>
        <w:rPr>
          <w:rFonts w:cs="Segoe UI"/>
          <w:sz w:val="22"/>
          <w:szCs w:val="24"/>
        </w:rPr>
      </w:pPr>
      <w:r w:rsidRPr="006503CC">
        <w:rPr>
          <w:rFonts w:cs="Segoe UI"/>
          <w:sz w:val="22"/>
          <w:szCs w:val="24"/>
        </w:rPr>
        <w:t xml:space="preserve">Este proyecto surtió su tránsito bajo iniciativa de la Senadora </w:t>
      </w:r>
      <w:r w:rsidRPr="006503CC">
        <w:rPr>
          <w:rFonts w:cs="Segoe UI"/>
          <w:bCs/>
          <w:sz w:val="22"/>
          <w:szCs w:val="24"/>
        </w:rPr>
        <w:t xml:space="preserve">Alexandra Moreno Piraquive, </w:t>
      </w:r>
      <w:r w:rsidRPr="006503CC">
        <w:rPr>
          <w:rFonts w:cs="Segoe UI"/>
          <w:sz w:val="22"/>
          <w:szCs w:val="24"/>
        </w:rPr>
        <w:t xml:space="preserve">presentándolo en julio del 2011 a la Comisión Quinta de Senado; este proyecto, en su exposición de motivos </w:t>
      </w:r>
      <w:r w:rsidRPr="006503CC">
        <w:rPr>
          <w:rFonts w:cs="Segoe UI"/>
          <w:bCs/>
          <w:sz w:val="22"/>
          <w:szCs w:val="24"/>
        </w:rPr>
        <w:t>inclusive contaba con una mayor área de adjudicación de terrenos baldíos, limitándola a 500mts</w:t>
      </w:r>
      <w:r w:rsidRPr="006503CC">
        <w:rPr>
          <w:rFonts w:cs="Segoe UI"/>
          <w:b/>
          <w:bCs/>
          <w:sz w:val="22"/>
          <w:szCs w:val="24"/>
        </w:rPr>
        <w:t xml:space="preserve"> </w:t>
      </w:r>
      <w:r w:rsidRPr="006503CC">
        <w:rPr>
          <w:rFonts w:cs="Segoe UI"/>
          <w:sz w:val="22"/>
          <w:szCs w:val="24"/>
        </w:rPr>
        <w:t>alrededor de las zonas de explotación de recursos no renovables:</w:t>
      </w:r>
    </w:p>
    <w:p w14:paraId="349D7B4C" w14:textId="77777777" w:rsidR="007F57CD" w:rsidRPr="006503CC" w:rsidRDefault="007F57CD" w:rsidP="007F57CD">
      <w:pPr>
        <w:spacing w:line="276" w:lineRule="auto"/>
        <w:ind w:left="360"/>
        <w:jc w:val="both"/>
        <w:rPr>
          <w:rFonts w:cs="Segoe UI"/>
          <w:sz w:val="22"/>
          <w:szCs w:val="24"/>
        </w:rPr>
      </w:pPr>
      <w:r w:rsidRPr="006503CC">
        <w:rPr>
          <w:rFonts w:cs="Segoe UI"/>
          <w:b/>
          <w:bCs/>
          <w:sz w:val="22"/>
          <w:szCs w:val="24"/>
        </w:rPr>
        <w:t>Parágrafo.</w:t>
      </w:r>
      <w:r w:rsidRPr="006503CC">
        <w:rPr>
          <w:rFonts w:cs="Segoe UI"/>
          <w:sz w:val="22"/>
          <w:szCs w:val="24"/>
        </w:rPr>
        <w:t xml:space="preserve"> No serán adjudicables los terrenos baldíos que cuenten con las siguientes condiciones: </w:t>
      </w:r>
    </w:p>
    <w:p w14:paraId="188FDAD8" w14:textId="77777777" w:rsidR="007F57CD" w:rsidRPr="006503CC" w:rsidRDefault="007F57CD" w:rsidP="007F57CD">
      <w:pPr>
        <w:pStyle w:val="Prrafodelista"/>
        <w:numPr>
          <w:ilvl w:val="0"/>
          <w:numId w:val="3"/>
        </w:numPr>
        <w:spacing w:line="276" w:lineRule="auto"/>
        <w:ind w:left="1080"/>
        <w:jc w:val="both"/>
        <w:rPr>
          <w:rFonts w:cs="Segoe UI"/>
          <w:sz w:val="22"/>
          <w:szCs w:val="24"/>
        </w:rPr>
      </w:pPr>
      <w:r w:rsidRPr="006503CC">
        <w:rPr>
          <w:rFonts w:cs="Segoe UI"/>
          <w:b/>
          <w:bCs/>
          <w:sz w:val="22"/>
          <w:szCs w:val="24"/>
          <w:u w:val="single"/>
        </w:rPr>
        <w:t>Los terrenos baldíos situados dentro de un radio de quinientos (500) metros</w:t>
      </w:r>
      <w:r w:rsidRPr="006503CC">
        <w:rPr>
          <w:rFonts w:cs="Segoe UI"/>
          <w:sz w:val="22"/>
          <w:szCs w:val="24"/>
        </w:rPr>
        <w:t xml:space="preserve"> alrededor de las zonas donde se adelanten procesos de explotación de recursos naturales no renovables</w:t>
      </w:r>
      <w:sdt>
        <w:sdtPr>
          <w:rPr>
            <w:rFonts w:cs="Segoe UI"/>
            <w:sz w:val="22"/>
            <w:szCs w:val="24"/>
          </w:rPr>
          <w:id w:val="1746146318"/>
          <w:citation/>
        </w:sdtPr>
        <w:sdtEndPr/>
        <w:sdtContent>
          <w:r w:rsidRPr="006503CC">
            <w:rPr>
              <w:rFonts w:cs="Segoe UI"/>
              <w:sz w:val="22"/>
              <w:szCs w:val="24"/>
            </w:rPr>
            <w:fldChar w:fldCharType="begin"/>
          </w:r>
          <w:r w:rsidRPr="006503CC">
            <w:rPr>
              <w:rFonts w:cs="Segoe UI"/>
              <w:sz w:val="22"/>
              <w:szCs w:val="24"/>
            </w:rPr>
            <w:instrText xml:space="preserve"> CITATION Pir11 \l 9226 </w:instrText>
          </w:r>
          <w:r w:rsidRPr="006503CC">
            <w:rPr>
              <w:rFonts w:cs="Segoe UI"/>
              <w:sz w:val="22"/>
              <w:szCs w:val="24"/>
            </w:rPr>
            <w:fldChar w:fldCharType="separate"/>
          </w:r>
          <w:r w:rsidRPr="006503CC">
            <w:rPr>
              <w:rFonts w:cs="Segoe UI"/>
              <w:noProof/>
              <w:sz w:val="22"/>
              <w:szCs w:val="24"/>
            </w:rPr>
            <w:t xml:space="preserve"> (Piraquive, 2011)</w:t>
          </w:r>
          <w:r w:rsidRPr="006503CC">
            <w:rPr>
              <w:rFonts w:cs="Segoe UI"/>
              <w:sz w:val="22"/>
              <w:szCs w:val="24"/>
            </w:rPr>
            <w:fldChar w:fldCharType="end"/>
          </w:r>
        </w:sdtContent>
      </w:sdt>
      <w:r w:rsidRPr="006503CC">
        <w:rPr>
          <w:rFonts w:cs="Segoe UI"/>
          <w:sz w:val="22"/>
          <w:szCs w:val="24"/>
        </w:rPr>
        <w:t>.</w:t>
      </w:r>
    </w:p>
    <w:p w14:paraId="61CB47D7" w14:textId="77777777" w:rsidR="007F57CD" w:rsidRPr="006503CC" w:rsidRDefault="007F57CD" w:rsidP="007F57CD">
      <w:pPr>
        <w:spacing w:line="276" w:lineRule="auto"/>
        <w:jc w:val="both"/>
        <w:rPr>
          <w:rFonts w:cs="Segoe UI"/>
          <w:sz w:val="22"/>
          <w:szCs w:val="24"/>
        </w:rPr>
      </w:pPr>
      <w:r w:rsidRPr="006503CC">
        <w:rPr>
          <w:rFonts w:cs="Segoe UI"/>
          <w:sz w:val="22"/>
          <w:szCs w:val="24"/>
        </w:rPr>
        <w:t>La motivación de esta iniciativa era aplicar el concepto de reviviscencia</w:t>
      </w:r>
      <w:r w:rsidRPr="006503CC">
        <w:rPr>
          <w:rStyle w:val="Refdenotaalpie"/>
          <w:rFonts w:cs="Segoe UI"/>
          <w:sz w:val="22"/>
          <w:szCs w:val="24"/>
        </w:rPr>
        <w:footnoteReference w:id="1"/>
      </w:r>
      <w:r w:rsidRPr="006503CC">
        <w:rPr>
          <w:rFonts w:cs="Segoe UI"/>
          <w:sz w:val="22"/>
          <w:szCs w:val="24"/>
        </w:rPr>
        <w:t xml:space="preserve"> a la Ley 1152 de 2007, conocida como el Estatuto de Desarrollo Rural, declarada inexequible en su totalidad por fallo de la Corte Constitucional C-175/09</w:t>
      </w:r>
      <w:r w:rsidRPr="006503CC">
        <w:rPr>
          <w:rStyle w:val="Refdenotaalpie"/>
          <w:rFonts w:cs="Segoe UI"/>
          <w:sz w:val="22"/>
          <w:szCs w:val="24"/>
        </w:rPr>
        <w:footnoteReference w:id="2"/>
      </w:r>
      <w:r w:rsidRPr="006503CC">
        <w:rPr>
          <w:rFonts w:cs="Segoe UI"/>
          <w:sz w:val="22"/>
          <w:szCs w:val="24"/>
        </w:rPr>
        <w:t xml:space="preserve">  que en su artículo 156 presentaba esta misma delimitación.</w:t>
      </w:r>
    </w:p>
    <w:p w14:paraId="4E8FE5DC" w14:textId="77777777" w:rsidR="007F57CD" w:rsidRPr="006503CC" w:rsidRDefault="007F57CD" w:rsidP="007F57CD">
      <w:pPr>
        <w:spacing w:line="276" w:lineRule="auto"/>
        <w:jc w:val="both"/>
        <w:rPr>
          <w:rFonts w:cs="Segoe UI"/>
          <w:sz w:val="22"/>
          <w:szCs w:val="24"/>
        </w:rPr>
      </w:pPr>
      <w:r w:rsidRPr="006503CC">
        <w:rPr>
          <w:rFonts w:cs="Segoe UI"/>
          <w:sz w:val="22"/>
          <w:szCs w:val="24"/>
        </w:rPr>
        <w:t>La justificación del proyecto determinaba el porqué de esta delimitación a través de lo siguiente:</w:t>
      </w:r>
    </w:p>
    <w:p w14:paraId="01721233" w14:textId="77777777" w:rsidR="007F57CD" w:rsidRPr="006503CC" w:rsidRDefault="007F57CD" w:rsidP="007F57CD">
      <w:pPr>
        <w:spacing w:line="276" w:lineRule="auto"/>
        <w:ind w:left="708"/>
        <w:jc w:val="both"/>
        <w:rPr>
          <w:rFonts w:cs="Segoe UI"/>
          <w:b/>
          <w:bCs/>
          <w:sz w:val="22"/>
          <w:szCs w:val="24"/>
        </w:rPr>
      </w:pPr>
      <w:r w:rsidRPr="006503CC">
        <w:rPr>
          <w:rFonts w:cs="Segoe UI"/>
          <w:sz w:val="22"/>
          <w:szCs w:val="24"/>
        </w:rPr>
        <w:t>Hoy en día, La tecnología actual permite a las compañías petroleras detectar con una alta precisión el campo petrolero y dentro de él, los pozos, por ello no se requiere impedir la titulación en un área tan grande como son los 5km. alrededor área que es de 7.854 hectáreas</w:t>
      </w:r>
      <w:sdt>
        <w:sdtPr>
          <w:rPr>
            <w:rFonts w:cs="Segoe UI"/>
            <w:b/>
            <w:bCs/>
            <w:sz w:val="22"/>
            <w:szCs w:val="24"/>
          </w:rPr>
          <w:id w:val="-474450349"/>
          <w:citation/>
        </w:sdtPr>
        <w:sdtEndPr>
          <w:rPr>
            <w:b w:val="0"/>
            <w:bCs w:val="0"/>
          </w:rPr>
        </w:sdtEndPr>
        <w:sdtContent>
          <w:r w:rsidRPr="006503CC">
            <w:rPr>
              <w:rFonts w:cs="Segoe UI"/>
              <w:b/>
              <w:bCs/>
              <w:sz w:val="22"/>
              <w:szCs w:val="24"/>
            </w:rPr>
            <w:fldChar w:fldCharType="begin"/>
          </w:r>
          <w:r w:rsidRPr="006503CC">
            <w:rPr>
              <w:rFonts w:cs="Segoe UI"/>
              <w:b/>
              <w:bCs/>
              <w:sz w:val="22"/>
              <w:szCs w:val="24"/>
            </w:rPr>
            <w:instrText xml:space="preserve"> CITATION Pir11 \l 9226 </w:instrText>
          </w:r>
          <w:r w:rsidRPr="006503CC">
            <w:rPr>
              <w:rFonts w:cs="Segoe UI"/>
              <w:b/>
              <w:bCs/>
              <w:sz w:val="22"/>
              <w:szCs w:val="24"/>
            </w:rPr>
            <w:fldChar w:fldCharType="separate"/>
          </w:r>
          <w:r w:rsidRPr="006503CC">
            <w:rPr>
              <w:rFonts w:cs="Segoe UI"/>
              <w:b/>
              <w:bCs/>
              <w:noProof/>
              <w:sz w:val="22"/>
              <w:szCs w:val="24"/>
            </w:rPr>
            <w:t xml:space="preserve"> </w:t>
          </w:r>
          <w:r w:rsidRPr="006503CC">
            <w:rPr>
              <w:rFonts w:cs="Segoe UI"/>
              <w:noProof/>
              <w:sz w:val="22"/>
              <w:szCs w:val="24"/>
            </w:rPr>
            <w:t>(Piraquive, 2011)</w:t>
          </w:r>
          <w:r w:rsidRPr="006503CC">
            <w:rPr>
              <w:rFonts w:cs="Segoe UI"/>
              <w:b/>
              <w:bCs/>
              <w:sz w:val="22"/>
              <w:szCs w:val="24"/>
            </w:rPr>
            <w:fldChar w:fldCharType="end"/>
          </w:r>
        </w:sdtContent>
      </w:sdt>
      <w:r w:rsidRPr="006503CC">
        <w:rPr>
          <w:rFonts w:cs="Segoe UI"/>
          <w:sz w:val="22"/>
          <w:szCs w:val="24"/>
        </w:rPr>
        <w:t xml:space="preserve"> -subrayado fuera de texto-</w:t>
      </w:r>
    </w:p>
    <w:p w14:paraId="1030E9E0" w14:textId="77777777" w:rsidR="007F57CD" w:rsidRPr="006503CC" w:rsidRDefault="007F57CD" w:rsidP="007F57CD">
      <w:pPr>
        <w:spacing w:line="276" w:lineRule="auto"/>
        <w:jc w:val="both"/>
        <w:rPr>
          <w:rFonts w:cs="Segoe UI"/>
          <w:sz w:val="22"/>
          <w:szCs w:val="24"/>
        </w:rPr>
      </w:pPr>
      <w:r w:rsidRPr="006503CC">
        <w:rPr>
          <w:rFonts w:cs="Segoe UI"/>
          <w:sz w:val="22"/>
          <w:szCs w:val="24"/>
        </w:rPr>
        <w:t>Al convertirse en Ley exitosamente en 2014, la delimitación se incrementó hasta 2500mts. Es decir, 2000mts adicionales desde la presentación del proyecto original, aun así, se cumplió parcialmente el objetivo de reducir esta limitación de tierras inadjudicables, pasando de 5000mts a 2500mts:</w:t>
      </w:r>
    </w:p>
    <w:p w14:paraId="3F88E475" w14:textId="77777777" w:rsidR="007F57CD" w:rsidRPr="006503CC" w:rsidRDefault="007F57CD" w:rsidP="007F57CD">
      <w:pPr>
        <w:spacing w:line="276" w:lineRule="auto"/>
        <w:jc w:val="both"/>
        <w:rPr>
          <w:rFonts w:cs="Segoe UI"/>
          <w:bCs/>
          <w:sz w:val="22"/>
          <w:szCs w:val="24"/>
        </w:rPr>
      </w:pPr>
      <w:r w:rsidRPr="006503CC">
        <w:rPr>
          <w:rFonts w:cs="Segoe UI"/>
          <w:bCs/>
          <w:sz w:val="22"/>
          <w:szCs w:val="24"/>
        </w:rPr>
        <w:t>Ley 1728 de 2014 “Por la cual se dictan normas de distribución de terrenos baldíos a familias pobres del país con fines sociales y productivos y se dictan otras disposiciones”</w:t>
      </w:r>
    </w:p>
    <w:p w14:paraId="01B136AF" w14:textId="77777777" w:rsidR="007F57CD" w:rsidRPr="006503CC" w:rsidRDefault="007F57CD" w:rsidP="007F57CD">
      <w:pPr>
        <w:spacing w:line="276" w:lineRule="auto"/>
        <w:jc w:val="both"/>
        <w:rPr>
          <w:rFonts w:cs="Segoe UI"/>
          <w:sz w:val="22"/>
          <w:szCs w:val="24"/>
        </w:rPr>
      </w:pPr>
      <w:r w:rsidRPr="006503CC">
        <w:rPr>
          <w:rFonts w:cs="Segoe UI"/>
          <w:bCs/>
          <w:sz w:val="22"/>
          <w:szCs w:val="24"/>
        </w:rPr>
        <w:t>ARTÍCULO 1º</w:t>
      </w:r>
      <w:r w:rsidRPr="006503CC">
        <w:rPr>
          <w:rFonts w:cs="Segoe UI"/>
          <w:sz w:val="22"/>
          <w:szCs w:val="24"/>
        </w:rPr>
        <w:t xml:space="preserve">. El artículo 67 de la </w:t>
      </w:r>
      <w:r w:rsidRPr="006503CC">
        <w:rPr>
          <w:rFonts w:cs="Segoe UI"/>
          <w:bCs/>
          <w:sz w:val="22"/>
          <w:szCs w:val="24"/>
        </w:rPr>
        <w:t>Ley 160 de 1994</w:t>
      </w:r>
      <w:r w:rsidRPr="006503CC">
        <w:rPr>
          <w:rFonts w:cs="Segoe UI"/>
          <w:sz w:val="22"/>
          <w:szCs w:val="24"/>
        </w:rPr>
        <w:t xml:space="preserve"> </w:t>
      </w:r>
      <w:r w:rsidRPr="006503CC">
        <w:rPr>
          <w:rStyle w:val="Refdenotaalpie"/>
          <w:rFonts w:cs="Segoe UI"/>
          <w:sz w:val="22"/>
          <w:szCs w:val="24"/>
        </w:rPr>
        <w:footnoteReference w:id="3"/>
      </w:r>
      <w:r w:rsidRPr="006503CC">
        <w:rPr>
          <w:rFonts w:cs="Segoe UI"/>
          <w:sz w:val="22"/>
          <w:szCs w:val="24"/>
        </w:rPr>
        <w:t>quedará de la siguiente manera:</w:t>
      </w:r>
    </w:p>
    <w:p w14:paraId="068B8F06" w14:textId="77777777" w:rsidR="007F57CD" w:rsidRPr="006503CC" w:rsidRDefault="007F57CD" w:rsidP="007F57CD">
      <w:pPr>
        <w:spacing w:line="276" w:lineRule="auto"/>
        <w:jc w:val="both"/>
        <w:rPr>
          <w:rFonts w:cs="Segoe UI"/>
          <w:sz w:val="22"/>
          <w:szCs w:val="24"/>
        </w:rPr>
      </w:pPr>
      <w:r w:rsidRPr="006503CC">
        <w:rPr>
          <w:rFonts w:cs="Segoe UI"/>
          <w:bCs/>
          <w:sz w:val="22"/>
          <w:szCs w:val="24"/>
        </w:rPr>
        <w:t>PARÁGRAFO 1º.</w:t>
      </w:r>
      <w:r w:rsidRPr="006503CC">
        <w:rPr>
          <w:rFonts w:cs="Segoe UI"/>
          <w:sz w:val="22"/>
          <w:szCs w:val="24"/>
        </w:rPr>
        <w:t xml:space="preserve"> No serán adjudicables los terrenos baldíos que cuenten con las siguientes condiciones:</w:t>
      </w:r>
    </w:p>
    <w:p w14:paraId="32FA9C8B" w14:textId="77777777" w:rsidR="007F57CD" w:rsidRPr="006503CC" w:rsidRDefault="007F57CD" w:rsidP="007F57CD">
      <w:pPr>
        <w:pStyle w:val="Prrafodelista"/>
        <w:numPr>
          <w:ilvl w:val="0"/>
          <w:numId w:val="1"/>
        </w:numPr>
        <w:spacing w:line="276" w:lineRule="auto"/>
        <w:jc w:val="both"/>
        <w:rPr>
          <w:rFonts w:cs="Segoe UI"/>
          <w:sz w:val="22"/>
          <w:szCs w:val="24"/>
        </w:rPr>
      </w:pPr>
      <w:r w:rsidRPr="006503CC">
        <w:rPr>
          <w:rFonts w:cs="Segoe UI"/>
          <w:sz w:val="22"/>
          <w:szCs w:val="24"/>
        </w:rPr>
        <w:t xml:space="preserve">Los terrenos baldíos situados dentro de un radio </w:t>
      </w:r>
      <w:r w:rsidRPr="006503CC">
        <w:rPr>
          <w:rFonts w:cs="Segoe UI"/>
          <w:b/>
          <w:bCs/>
          <w:sz w:val="22"/>
          <w:szCs w:val="24"/>
          <w:u w:val="single"/>
        </w:rPr>
        <w:t>de dos mil quinientos (2.500) metros alrededor de las zonas donde se adelanten procesos de explotación de recursos naturales no renovables</w:t>
      </w:r>
      <w:r w:rsidRPr="006503CC">
        <w:rPr>
          <w:rFonts w:cs="Segoe UI"/>
          <w:b/>
          <w:bCs/>
          <w:sz w:val="22"/>
          <w:szCs w:val="24"/>
        </w:rPr>
        <w:t>;</w:t>
      </w:r>
      <w:r w:rsidRPr="006503CC">
        <w:rPr>
          <w:rFonts w:cs="Segoe UI"/>
          <w:b/>
          <w:sz w:val="22"/>
          <w:szCs w:val="24"/>
        </w:rPr>
        <w:t xml:space="preserve"> </w:t>
      </w:r>
      <w:r w:rsidRPr="006503CC">
        <w:rPr>
          <w:rFonts w:cs="Segoe UI"/>
          <w:sz w:val="22"/>
          <w:szCs w:val="24"/>
        </w:rPr>
        <w:t>entendiéndose por estos, materiales fósiles útiles y aprovechable económicamente presentes en el suelo y el subsuelo, dejando por fuera los materiales de construcción y las salinas tomando como punto para contar la distancia la boca de la mina y/o el punto de explotación petrolera</w:t>
      </w:r>
      <w:sdt>
        <w:sdtPr>
          <w:rPr>
            <w:rFonts w:cs="Segoe UI"/>
            <w:sz w:val="22"/>
            <w:szCs w:val="24"/>
          </w:rPr>
          <w:id w:val="2067445564"/>
          <w:citation/>
        </w:sdtPr>
        <w:sdtEndPr/>
        <w:sdtContent>
          <w:r w:rsidRPr="006503CC">
            <w:rPr>
              <w:rFonts w:cs="Segoe UI"/>
              <w:sz w:val="22"/>
              <w:szCs w:val="24"/>
            </w:rPr>
            <w:fldChar w:fldCharType="begin"/>
          </w:r>
          <w:r w:rsidRPr="006503CC">
            <w:rPr>
              <w:rFonts w:cs="Segoe UI"/>
              <w:sz w:val="22"/>
              <w:szCs w:val="24"/>
            </w:rPr>
            <w:instrText xml:space="preserve">CITATION Con14 \l 9226 </w:instrText>
          </w:r>
          <w:r w:rsidRPr="006503CC">
            <w:rPr>
              <w:rFonts w:cs="Segoe UI"/>
              <w:sz w:val="22"/>
              <w:szCs w:val="24"/>
            </w:rPr>
            <w:fldChar w:fldCharType="separate"/>
          </w:r>
          <w:r w:rsidRPr="006503CC">
            <w:rPr>
              <w:rFonts w:cs="Segoe UI"/>
              <w:noProof/>
              <w:sz w:val="22"/>
              <w:szCs w:val="24"/>
            </w:rPr>
            <w:t xml:space="preserve"> (Congreso de la República de Colombia, 2014)</w:t>
          </w:r>
          <w:r w:rsidRPr="006503CC">
            <w:rPr>
              <w:rFonts w:cs="Segoe UI"/>
              <w:sz w:val="22"/>
              <w:szCs w:val="24"/>
            </w:rPr>
            <w:fldChar w:fldCharType="end"/>
          </w:r>
        </w:sdtContent>
      </w:sdt>
      <w:r w:rsidRPr="006503CC">
        <w:rPr>
          <w:rFonts w:cs="Segoe UI"/>
          <w:sz w:val="22"/>
          <w:szCs w:val="24"/>
        </w:rPr>
        <w:t>.</w:t>
      </w:r>
    </w:p>
    <w:p w14:paraId="53545647" w14:textId="77777777" w:rsidR="007F57CD" w:rsidRPr="006503CC" w:rsidRDefault="007F57CD" w:rsidP="007F57CD">
      <w:pPr>
        <w:pStyle w:val="Prrafodelista"/>
        <w:spacing w:line="276" w:lineRule="auto"/>
        <w:jc w:val="both"/>
        <w:rPr>
          <w:rFonts w:cs="Segoe UI"/>
          <w:sz w:val="22"/>
          <w:szCs w:val="24"/>
        </w:rPr>
      </w:pPr>
    </w:p>
    <w:p w14:paraId="657ED1EC" w14:textId="77777777" w:rsidR="007F57CD" w:rsidRPr="006503CC" w:rsidRDefault="007F57CD" w:rsidP="007F57CD">
      <w:pPr>
        <w:pStyle w:val="Prrafodelista"/>
        <w:numPr>
          <w:ilvl w:val="0"/>
          <w:numId w:val="4"/>
        </w:numPr>
        <w:spacing w:line="276" w:lineRule="auto"/>
        <w:jc w:val="both"/>
        <w:rPr>
          <w:rFonts w:cs="Segoe UI"/>
          <w:b/>
          <w:bCs/>
          <w:sz w:val="22"/>
          <w:szCs w:val="24"/>
        </w:rPr>
      </w:pPr>
      <w:r w:rsidRPr="006503CC">
        <w:rPr>
          <w:rFonts w:cs="Segoe UI"/>
          <w:b/>
          <w:bCs/>
          <w:sz w:val="22"/>
          <w:szCs w:val="24"/>
        </w:rPr>
        <w:t>Proyecto de Ley 206 de 2016 Cámara – 124 de 2016 Senado</w:t>
      </w:r>
    </w:p>
    <w:p w14:paraId="4D483116" w14:textId="77777777" w:rsidR="007F57CD" w:rsidRPr="006503CC" w:rsidRDefault="007F57CD" w:rsidP="007F57CD">
      <w:pPr>
        <w:spacing w:line="276" w:lineRule="auto"/>
        <w:jc w:val="both"/>
        <w:rPr>
          <w:rFonts w:cs="Segoe UI"/>
          <w:sz w:val="22"/>
          <w:szCs w:val="24"/>
        </w:rPr>
      </w:pPr>
      <w:r w:rsidRPr="006503CC">
        <w:rPr>
          <w:rFonts w:cs="Segoe UI"/>
          <w:sz w:val="22"/>
          <w:szCs w:val="24"/>
        </w:rPr>
        <w:t>Este Proyecto fue presentado en 2016 por el Representante a La Cámara por el Putumayo Orlando Aníbal Guerra de la Rosa, con el objetivo de modificar la Ley 160 de 1994, derogando a su vez la Ley 1728 de 2014.</w:t>
      </w:r>
    </w:p>
    <w:p w14:paraId="658FF77A" w14:textId="77777777" w:rsidR="007F57CD" w:rsidRPr="006503CC" w:rsidRDefault="007F57CD" w:rsidP="007F57CD">
      <w:pPr>
        <w:spacing w:line="276" w:lineRule="auto"/>
        <w:jc w:val="both"/>
        <w:rPr>
          <w:rFonts w:cs="Segoe UI"/>
          <w:sz w:val="22"/>
          <w:szCs w:val="24"/>
        </w:rPr>
      </w:pPr>
      <w:r w:rsidRPr="006503CC">
        <w:rPr>
          <w:rFonts w:cs="Segoe UI"/>
          <w:sz w:val="22"/>
          <w:szCs w:val="24"/>
        </w:rPr>
        <w:t>Este proyecto buscaba actualizar las competencias del INCODER el cual, al momento de la presentación del proyecto había sido remplazado por la Agencia Nacional de Tierras – ANT como máxima autoridad de las tierras de la nación, al haberse suprimido la primera del orden institucional.</w:t>
      </w:r>
    </w:p>
    <w:p w14:paraId="5F15DF08" w14:textId="77777777" w:rsidR="007F57CD" w:rsidRPr="006503CC" w:rsidRDefault="007F57CD" w:rsidP="007F57CD">
      <w:pPr>
        <w:spacing w:line="276" w:lineRule="auto"/>
        <w:jc w:val="both"/>
        <w:rPr>
          <w:rFonts w:cs="Segoe UI"/>
          <w:sz w:val="22"/>
          <w:szCs w:val="24"/>
        </w:rPr>
      </w:pPr>
      <w:r w:rsidRPr="006503CC">
        <w:rPr>
          <w:rFonts w:cs="Segoe UI"/>
          <w:sz w:val="22"/>
          <w:szCs w:val="24"/>
        </w:rPr>
        <w:t>Respecto al objetivo de ampliar el terreno baldío adjudicable, la iniciativa legislativa pretendía que se redijera la delimitación pasando de  2500mts a 250mts alrededor de las zonas donde se adelanten procesos de exploración y explotación de materiales fósiles.</w:t>
      </w:r>
    </w:p>
    <w:p w14:paraId="651A1C55" w14:textId="77777777" w:rsidR="007F57CD" w:rsidRDefault="007F57CD" w:rsidP="007F57CD">
      <w:pPr>
        <w:tabs>
          <w:tab w:val="left" w:pos="1959"/>
        </w:tabs>
        <w:spacing w:line="276" w:lineRule="auto"/>
        <w:jc w:val="both"/>
        <w:rPr>
          <w:rFonts w:cs="Segoe UI"/>
          <w:bCs/>
          <w:sz w:val="22"/>
          <w:szCs w:val="24"/>
        </w:rPr>
      </w:pPr>
      <w:r w:rsidRPr="006503CC">
        <w:rPr>
          <w:rFonts w:cs="Segoe UI"/>
          <w:bCs/>
          <w:sz w:val="22"/>
          <w:szCs w:val="24"/>
        </w:rPr>
        <w:t>Dicho proyecto no alcanzo a culminar con éxito su trámite en el Senado y fue archivado.</w:t>
      </w:r>
    </w:p>
    <w:p w14:paraId="68A3B441" w14:textId="77777777" w:rsidR="007F57CD" w:rsidRDefault="007F57CD" w:rsidP="007F57CD">
      <w:pPr>
        <w:spacing w:line="276" w:lineRule="auto"/>
        <w:jc w:val="center"/>
        <w:rPr>
          <w:rFonts w:cs="Segoe UI"/>
          <w:b/>
          <w:bCs/>
          <w:sz w:val="22"/>
          <w:szCs w:val="24"/>
          <w:u w:val="single"/>
        </w:rPr>
      </w:pPr>
    </w:p>
    <w:p w14:paraId="4C601B3F" w14:textId="2D607636" w:rsidR="007F57CD" w:rsidRDefault="007F57CD" w:rsidP="007F57CD">
      <w:pPr>
        <w:spacing w:line="276" w:lineRule="auto"/>
        <w:jc w:val="center"/>
        <w:rPr>
          <w:rFonts w:cs="Segoe UI"/>
          <w:b/>
          <w:bCs/>
          <w:sz w:val="22"/>
          <w:szCs w:val="24"/>
          <w:u w:val="single"/>
        </w:rPr>
      </w:pPr>
      <w:r w:rsidRPr="007F57CD">
        <w:rPr>
          <w:rFonts w:cs="Segoe UI"/>
          <w:b/>
          <w:bCs/>
          <w:sz w:val="22"/>
          <w:szCs w:val="24"/>
          <w:u w:val="single"/>
        </w:rPr>
        <w:t>JUSTIFICACIÓN</w:t>
      </w:r>
    </w:p>
    <w:p w14:paraId="6B471C1E" w14:textId="77777777" w:rsidR="007F57CD" w:rsidRDefault="007F57CD" w:rsidP="007F57CD">
      <w:pPr>
        <w:spacing w:line="276" w:lineRule="auto"/>
        <w:jc w:val="center"/>
        <w:rPr>
          <w:rFonts w:cs="Segoe UI"/>
          <w:b/>
          <w:bCs/>
          <w:sz w:val="22"/>
          <w:szCs w:val="24"/>
          <w:u w:val="single"/>
        </w:rPr>
      </w:pPr>
    </w:p>
    <w:p w14:paraId="236049BA" w14:textId="39306843" w:rsidR="007077C8" w:rsidRPr="006503CC" w:rsidRDefault="007A4501" w:rsidP="00F24578">
      <w:pPr>
        <w:spacing w:line="276" w:lineRule="auto"/>
        <w:jc w:val="both"/>
        <w:rPr>
          <w:rFonts w:cs="Segoe UI"/>
          <w:bCs/>
          <w:sz w:val="22"/>
          <w:szCs w:val="24"/>
        </w:rPr>
      </w:pPr>
      <w:r w:rsidRPr="006503CC">
        <w:rPr>
          <w:rFonts w:cs="Segoe UI"/>
          <w:bCs/>
          <w:sz w:val="22"/>
          <w:szCs w:val="24"/>
        </w:rPr>
        <w:t>E</w:t>
      </w:r>
      <w:r w:rsidR="00F6078F" w:rsidRPr="006503CC">
        <w:rPr>
          <w:rFonts w:cs="Segoe UI"/>
          <w:bCs/>
          <w:sz w:val="22"/>
          <w:szCs w:val="24"/>
        </w:rPr>
        <w:t>n Colombia</w:t>
      </w:r>
      <w:r w:rsidR="00271BB8" w:rsidRPr="006503CC">
        <w:rPr>
          <w:rFonts w:cs="Segoe UI"/>
          <w:bCs/>
          <w:sz w:val="22"/>
          <w:szCs w:val="24"/>
        </w:rPr>
        <w:t xml:space="preserve"> históricamente,</w:t>
      </w:r>
      <w:r w:rsidR="00F6078F" w:rsidRPr="006503CC">
        <w:rPr>
          <w:rFonts w:cs="Segoe UI"/>
          <w:bCs/>
          <w:sz w:val="22"/>
          <w:szCs w:val="24"/>
        </w:rPr>
        <w:t xml:space="preserve"> la </w:t>
      </w:r>
      <w:r w:rsidRPr="006503CC">
        <w:rPr>
          <w:rFonts w:cs="Segoe UI"/>
          <w:bCs/>
          <w:sz w:val="22"/>
          <w:szCs w:val="24"/>
        </w:rPr>
        <w:t xml:space="preserve">política de distribución </w:t>
      </w:r>
      <w:r w:rsidR="00271BB8" w:rsidRPr="006503CC">
        <w:rPr>
          <w:rFonts w:cs="Segoe UI"/>
          <w:bCs/>
          <w:sz w:val="22"/>
          <w:szCs w:val="24"/>
        </w:rPr>
        <w:t>de la tierra</w:t>
      </w:r>
      <w:r w:rsidRPr="006503CC">
        <w:rPr>
          <w:rFonts w:cs="Segoe UI"/>
          <w:bCs/>
          <w:sz w:val="22"/>
          <w:szCs w:val="24"/>
        </w:rPr>
        <w:t xml:space="preserve"> se ha planteado como una herramienta para el desarrollo </w:t>
      </w:r>
      <w:r w:rsidR="00BB3F6B" w:rsidRPr="006503CC">
        <w:rPr>
          <w:rFonts w:cs="Segoe UI"/>
          <w:bCs/>
          <w:sz w:val="22"/>
          <w:szCs w:val="24"/>
        </w:rPr>
        <w:t>económico</w:t>
      </w:r>
      <w:r w:rsidRPr="006503CC">
        <w:rPr>
          <w:rFonts w:cs="Segoe UI"/>
          <w:bCs/>
          <w:sz w:val="22"/>
          <w:szCs w:val="24"/>
        </w:rPr>
        <w:t xml:space="preserve"> y social del país</w:t>
      </w:r>
      <w:r w:rsidR="00271BB8" w:rsidRPr="006503CC">
        <w:rPr>
          <w:rFonts w:cs="Segoe UI"/>
          <w:bCs/>
          <w:sz w:val="22"/>
          <w:szCs w:val="24"/>
        </w:rPr>
        <w:t>; es así como durante el siglo XIX</w:t>
      </w:r>
      <w:r w:rsidR="00BB3F6B" w:rsidRPr="006503CC">
        <w:rPr>
          <w:rFonts w:cs="Segoe UI"/>
          <w:bCs/>
          <w:sz w:val="22"/>
          <w:szCs w:val="24"/>
        </w:rPr>
        <w:t xml:space="preserve"> y XX</w:t>
      </w:r>
      <w:r w:rsidR="00271BB8" w:rsidRPr="006503CC">
        <w:rPr>
          <w:rFonts w:cs="Segoe UI"/>
          <w:bCs/>
          <w:sz w:val="22"/>
          <w:szCs w:val="24"/>
        </w:rPr>
        <w:t xml:space="preserve">, </w:t>
      </w:r>
      <w:r w:rsidRPr="006503CC">
        <w:rPr>
          <w:rFonts w:cs="Segoe UI"/>
          <w:bCs/>
          <w:sz w:val="22"/>
          <w:szCs w:val="24"/>
        </w:rPr>
        <w:t xml:space="preserve">la distribución de la propiedad rural </w:t>
      </w:r>
      <w:r w:rsidR="00271BB8" w:rsidRPr="006503CC">
        <w:rPr>
          <w:rFonts w:cs="Segoe UI"/>
          <w:bCs/>
          <w:sz w:val="22"/>
          <w:szCs w:val="24"/>
        </w:rPr>
        <w:t>se caracterizó</w:t>
      </w:r>
      <w:r w:rsidRPr="006503CC">
        <w:rPr>
          <w:rFonts w:cs="Segoe UI"/>
          <w:bCs/>
          <w:sz w:val="22"/>
          <w:szCs w:val="24"/>
        </w:rPr>
        <w:t xml:space="preserve"> por la expansión de la producción agrícola para la exportación de sus productos, los mecanismos utilizados para esto fue</w:t>
      </w:r>
      <w:r w:rsidR="00352ABB" w:rsidRPr="006503CC">
        <w:rPr>
          <w:rFonts w:cs="Segoe UI"/>
          <w:bCs/>
          <w:sz w:val="22"/>
          <w:szCs w:val="24"/>
        </w:rPr>
        <w:t>:  a)</w:t>
      </w:r>
      <w:r w:rsidRPr="006503CC">
        <w:rPr>
          <w:rFonts w:cs="Segoe UI"/>
          <w:bCs/>
          <w:sz w:val="22"/>
          <w:szCs w:val="24"/>
        </w:rPr>
        <w:t xml:space="preserve">la asignación de baldíos </w:t>
      </w:r>
      <w:r w:rsidR="00BB3F6B" w:rsidRPr="006503CC">
        <w:rPr>
          <w:rFonts w:cs="Segoe UI"/>
          <w:bCs/>
          <w:sz w:val="22"/>
          <w:szCs w:val="24"/>
        </w:rPr>
        <w:t>a</w:t>
      </w:r>
      <w:r w:rsidRPr="006503CC">
        <w:rPr>
          <w:rFonts w:cs="Segoe UI"/>
          <w:bCs/>
          <w:sz w:val="22"/>
          <w:szCs w:val="24"/>
        </w:rPr>
        <w:t xml:space="preserve"> terrat</w:t>
      </w:r>
      <w:r w:rsidR="00352ABB" w:rsidRPr="006503CC">
        <w:rPr>
          <w:rFonts w:cs="Segoe UI"/>
          <w:bCs/>
          <w:sz w:val="22"/>
          <w:szCs w:val="24"/>
        </w:rPr>
        <w:t>enientes que tenían el musculo económico</w:t>
      </w:r>
      <w:r w:rsidRPr="006503CC">
        <w:rPr>
          <w:rFonts w:cs="Segoe UI"/>
          <w:bCs/>
          <w:sz w:val="22"/>
          <w:szCs w:val="24"/>
        </w:rPr>
        <w:t xml:space="preserve"> para la explotación de la tierra, dicha venta sirvió </w:t>
      </w:r>
      <w:r w:rsidR="00271BB8" w:rsidRPr="006503CC">
        <w:rPr>
          <w:rFonts w:cs="Segoe UI"/>
          <w:bCs/>
          <w:sz w:val="22"/>
          <w:szCs w:val="24"/>
        </w:rPr>
        <w:t>para el pago de</w:t>
      </w:r>
      <w:r w:rsidRPr="006503CC">
        <w:rPr>
          <w:rFonts w:cs="Segoe UI"/>
          <w:bCs/>
          <w:sz w:val="22"/>
          <w:szCs w:val="24"/>
        </w:rPr>
        <w:t xml:space="preserve"> deuda pública</w:t>
      </w:r>
      <w:r w:rsidR="00352ABB" w:rsidRPr="006503CC">
        <w:rPr>
          <w:rFonts w:cs="Segoe UI"/>
          <w:bCs/>
          <w:sz w:val="22"/>
          <w:szCs w:val="24"/>
        </w:rPr>
        <w:t xml:space="preserve"> b)</w:t>
      </w:r>
      <w:r w:rsidR="00271BB8" w:rsidRPr="006503CC">
        <w:rPr>
          <w:rFonts w:cs="Segoe UI"/>
          <w:bCs/>
          <w:sz w:val="22"/>
          <w:szCs w:val="24"/>
        </w:rPr>
        <w:t xml:space="preserve"> </w:t>
      </w:r>
      <w:r w:rsidRPr="006503CC">
        <w:rPr>
          <w:rFonts w:cs="Segoe UI"/>
          <w:bCs/>
          <w:sz w:val="22"/>
          <w:szCs w:val="24"/>
        </w:rPr>
        <w:t>entrega</w:t>
      </w:r>
      <w:r w:rsidR="00352ABB" w:rsidRPr="006503CC">
        <w:rPr>
          <w:rFonts w:cs="Segoe UI"/>
          <w:bCs/>
          <w:sz w:val="22"/>
          <w:szCs w:val="24"/>
        </w:rPr>
        <w:t xml:space="preserve"> de</w:t>
      </w:r>
      <w:r w:rsidRPr="006503CC">
        <w:rPr>
          <w:rFonts w:cs="Segoe UI"/>
          <w:bCs/>
          <w:sz w:val="22"/>
          <w:szCs w:val="24"/>
        </w:rPr>
        <w:t xml:space="preserve"> </w:t>
      </w:r>
      <w:r w:rsidR="00271BB8" w:rsidRPr="006503CC">
        <w:rPr>
          <w:rFonts w:cs="Segoe UI"/>
          <w:bCs/>
          <w:sz w:val="22"/>
          <w:szCs w:val="24"/>
        </w:rPr>
        <w:t>baldíos</w:t>
      </w:r>
      <w:r w:rsidRPr="006503CC">
        <w:rPr>
          <w:rFonts w:cs="Segoe UI"/>
          <w:bCs/>
          <w:sz w:val="22"/>
          <w:szCs w:val="24"/>
        </w:rPr>
        <w:t xml:space="preserve"> como </w:t>
      </w:r>
      <w:r w:rsidR="00271BB8" w:rsidRPr="006503CC">
        <w:rPr>
          <w:rFonts w:cs="Segoe UI"/>
          <w:bCs/>
          <w:sz w:val="22"/>
          <w:szCs w:val="24"/>
        </w:rPr>
        <w:t>compensación</w:t>
      </w:r>
      <w:r w:rsidRPr="006503CC">
        <w:rPr>
          <w:rFonts w:cs="Segoe UI"/>
          <w:bCs/>
          <w:sz w:val="22"/>
          <w:szCs w:val="24"/>
        </w:rPr>
        <w:t xml:space="preserve"> a militares e inmigrantes</w:t>
      </w:r>
      <w:r w:rsidR="00271BB8" w:rsidRPr="006503CC">
        <w:rPr>
          <w:rFonts w:cs="Segoe UI"/>
          <w:bCs/>
          <w:sz w:val="22"/>
          <w:szCs w:val="24"/>
        </w:rPr>
        <w:t xml:space="preserve"> extranjeros</w:t>
      </w:r>
      <w:r w:rsidR="00352ABB" w:rsidRPr="006503CC">
        <w:rPr>
          <w:rFonts w:cs="Segoe UI"/>
          <w:bCs/>
          <w:sz w:val="22"/>
          <w:szCs w:val="24"/>
        </w:rPr>
        <w:t xml:space="preserve"> para su explotación agrícola</w:t>
      </w:r>
      <w:r w:rsidRPr="006503CC">
        <w:rPr>
          <w:rFonts w:cs="Segoe UI"/>
          <w:bCs/>
          <w:sz w:val="22"/>
          <w:szCs w:val="24"/>
        </w:rPr>
        <w:t xml:space="preserve">, </w:t>
      </w:r>
      <w:r w:rsidR="00352ABB" w:rsidRPr="006503CC">
        <w:rPr>
          <w:rFonts w:cs="Segoe UI"/>
          <w:bCs/>
          <w:sz w:val="22"/>
          <w:szCs w:val="24"/>
        </w:rPr>
        <w:t xml:space="preserve">c) entrega </w:t>
      </w:r>
      <w:r w:rsidRPr="006503CC">
        <w:rPr>
          <w:rFonts w:cs="Segoe UI"/>
          <w:bCs/>
          <w:sz w:val="22"/>
          <w:szCs w:val="24"/>
        </w:rPr>
        <w:t xml:space="preserve">de </w:t>
      </w:r>
      <w:r w:rsidR="00271BB8" w:rsidRPr="006503CC">
        <w:rPr>
          <w:rFonts w:cs="Segoe UI"/>
          <w:bCs/>
          <w:sz w:val="22"/>
          <w:szCs w:val="24"/>
        </w:rPr>
        <w:t>baldíos</w:t>
      </w:r>
      <w:r w:rsidRPr="006503CC">
        <w:rPr>
          <w:rFonts w:cs="Segoe UI"/>
          <w:bCs/>
          <w:sz w:val="22"/>
          <w:szCs w:val="24"/>
        </w:rPr>
        <w:t xml:space="preserve"> a colonos para fomentar el crecimiento rural </w:t>
      </w:r>
      <w:r w:rsidR="00271BB8" w:rsidRPr="006503CC">
        <w:rPr>
          <w:rFonts w:cs="Segoe UI"/>
          <w:bCs/>
          <w:sz w:val="22"/>
          <w:szCs w:val="24"/>
        </w:rPr>
        <w:t xml:space="preserve">y </w:t>
      </w:r>
      <w:r w:rsidRPr="006503CC">
        <w:rPr>
          <w:rFonts w:cs="Segoe UI"/>
          <w:bCs/>
          <w:sz w:val="22"/>
          <w:szCs w:val="24"/>
        </w:rPr>
        <w:t xml:space="preserve">asignación de </w:t>
      </w:r>
      <w:r w:rsidR="00271BB8" w:rsidRPr="006503CC">
        <w:rPr>
          <w:rFonts w:cs="Segoe UI"/>
          <w:bCs/>
          <w:sz w:val="22"/>
          <w:szCs w:val="24"/>
        </w:rPr>
        <w:t>tierras</w:t>
      </w:r>
      <w:r w:rsidRPr="006503CC">
        <w:rPr>
          <w:rFonts w:cs="Segoe UI"/>
          <w:bCs/>
          <w:sz w:val="22"/>
          <w:szCs w:val="24"/>
        </w:rPr>
        <w:t xml:space="preserve"> para </w:t>
      </w:r>
      <w:r w:rsidR="00271BB8" w:rsidRPr="006503CC">
        <w:rPr>
          <w:rFonts w:cs="Segoe UI"/>
          <w:bCs/>
          <w:sz w:val="22"/>
          <w:szCs w:val="24"/>
        </w:rPr>
        <w:t>la</w:t>
      </w:r>
      <w:r w:rsidRPr="006503CC">
        <w:rPr>
          <w:rFonts w:cs="Segoe UI"/>
          <w:bCs/>
          <w:sz w:val="22"/>
          <w:szCs w:val="24"/>
        </w:rPr>
        <w:t xml:space="preserve"> explotación petrolera, entre otros.</w:t>
      </w:r>
    </w:p>
    <w:p w14:paraId="4F07CEE5" w14:textId="51C7358F" w:rsidR="00271BB8" w:rsidRPr="006503CC" w:rsidRDefault="00271BB8" w:rsidP="00F24578">
      <w:pPr>
        <w:spacing w:line="276" w:lineRule="auto"/>
        <w:jc w:val="both"/>
        <w:rPr>
          <w:rFonts w:cs="Segoe UI"/>
          <w:bCs/>
          <w:sz w:val="22"/>
          <w:szCs w:val="24"/>
        </w:rPr>
      </w:pPr>
      <w:r w:rsidRPr="006503CC">
        <w:rPr>
          <w:rFonts w:cs="Segoe UI"/>
          <w:bCs/>
          <w:sz w:val="22"/>
          <w:szCs w:val="24"/>
        </w:rPr>
        <w:t xml:space="preserve">Este modelo de asignación de tierra ha creado un sistema que favorece a la concentración </w:t>
      </w:r>
      <w:r w:rsidR="00352ABB" w:rsidRPr="006503CC">
        <w:rPr>
          <w:rFonts w:cs="Segoe UI"/>
          <w:bCs/>
          <w:sz w:val="22"/>
          <w:szCs w:val="24"/>
        </w:rPr>
        <w:t xml:space="preserve">de esta </w:t>
      </w:r>
      <w:r w:rsidR="00BB3F6B" w:rsidRPr="006503CC">
        <w:rPr>
          <w:rFonts w:cs="Segoe UI"/>
          <w:bCs/>
          <w:sz w:val="22"/>
          <w:szCs w:val="24"/>
        </w:rPr>
        <w:t xml:space="preserve">en </w:t>
      </w:r>
      <w:r w:rsidR="00E438E9" w:rsidRPr="006503CC">
        <w:rPr>
          <w:rFonts w:cs="Segoe UI"/>
          <w:bCs/>
          <w:sz w:val="22"/>
          <w:szCs w:val="24"/>
        </w:rPr>
        <w:t>man</w:t>
      </w:r>
      <w:r w:rsidRPr="006503CC">
        <w:rPr>
          <w:rFonts w:cs="Segoe UI"/>
          <w:bCs/>
          <w:sz w:val="22"/>
          <w:szCs w:val="24"/>
        </w:rPr>
        <w:t>os de latifundistas</w:t>
      </w:r>
      <w:r w:rsidR="00352ABB" w:rsidRPr="006503CC">
        <w:rPr>
          <w:rFonts w:cs="Segoe UI"/>
          <w:bCs/>
          <w:sz w:val="22"/>
          <w:szCs w:val="24"/>
        </w:rPr>
        <w:t>, generando</w:t>
      </w:r>
      <w:r w:rsidR="00BB3F6B" w:rsidRPr="006503CC">
        <w:rPr>
          <w:rFonts w:cs="Segoe UI"/>
          <w:bCs/>
          <w:sz w:val="22"/>
          <w:szCs w:val="24"/>
        </w:rPr>
        <w:t xml:space="preserve"> desigualdades para lograr un verdadero desarrollo económico en las zonas rurales.</w:t>
      </w:r>
    </w:p>
    <w:p w14:paraId="21AAE2C6" w14:textId="09B3BA89" w:rsidR="007A4501" w:rsidRPr="006503CC" w:rsidRDefault="00271BB8" w:rsidP="00F24578">
      <w:pPr>
        <w:spacing w:line="276" w:lineRule="auto"/>
        <w:jc w:val="both"/>
        <w:rPr>
          <w:rFonts w:cs="Segoe UI"/>
          <w:sz w:val="22"/>
          <w:szCs w:val="24"/>
        </w:rPr>
      </w:pPr>
      <w:r w:rsidRPr="006503CC">
        <w:rPr>
          <w:rFonts w:cs="Segoe UI"/>
          <w:i/>
          <w:sz w:val="22"/>
          <w:szCs w:val="24"/>
        </w:rPr>
        <w:t>"Las décadas del veinte y treinta del siglo XX fueron quizás las más convulsionadas en la historia de la primera mitad del siglo, por los diversos procesos que ocurrieron y los cambios que generaron. En particular, el problema agrario se tomó la escena política y se visualizó por primera vez como un problema nacional que merecía la atención del Estado en la medida que constituía un obstáculo al incipiente proceso de industrialización y ampliación del mercado interno."(</w:t>
      </w:r>
      <w:r w:rsidRPr="006503CC">
        <w:rPr>
          <w:rFonts w:cs="Segoe UI"/>
          <w:sz w:val="22"/>
          <w:szCs w:val="24"/>
        </w:rPr>
        <w:t>Machado, Ensayos para la historia de la política de tierras en Colombia, 2009)</w:t>
      </w:r>
    </w:p>
    <w:p w14:paraId="0DCC3E40" w14:textId="62A8CDBF" w:rsidR="00E438E9" w:rsidRPr="006503CC" w:rsidRDefault="00BB3F6B" w:rsidP="00F24578">
      <w:pPr>
        <w:spacing w:line="276" w:lineRule="auto"/>
        <w:jc w:val="both"/>
        <w:rPr>
          <w:rFonts w:cs="Segoe UI"/>
          <w:sz w:val="22"/>
          <w:szCs w:val="24"/>
          <w:u w:val="double"/>
        </w:rPr>
      </w:pPr>
      <w:r w:rsidRPr="006503CC">
        <w:rPr>
          <w:rFonts w:cs="Segoe UI"/>
          <w:sz w:val="22"/>
          <w:szCs w:val="24"/>
        </w:rPr>
        <w:t xml:space="preserve">Con la </w:t>
      </w:r>
      <w:r w:rsidR="001C0308" w:rsidRPr="006503CC">
        <w:rPr>
          <w:rFonts w:cs="Segoe UI"/>
          <w:sz w:val="22"/>
          <w:szCs w:val="24"/>
        </w:rPr>
        <w:t>Constitución</w:t>
      </w:r>
      <w:r w:rsidR="00E438E9" w:rsidRPr="006503CC">
        <w:rPr>
          <w:rFonts w:cs="Segoe UI"/>
          <w:sz w:val="22"/>
          <w:szCs w:val="24"/>
        </w:rPr>
        <w:t xml:space="preserve"> de 1991, se estableció </w:t>
      </w:r>
      <w:r w:rsidR="0033791A" w:rsidRPr="006503CC">
        <w:rPr>
          <w:rFonts w:cs="Segoe UI"/>
          <w:sz w:val="22"/>
          <w:szCs w:val="24"/>
        </w:rPr>
        <w:t>dentro del marco normativo un sin número de disposiciones para garantizar el desarrollo social, económico y rural del país, de este modo en su artículo 64, fijo como deber constitucional el acceso a la tierra</w:t>
      </w:r>
      <w:r w:rsidR="0033791A" w:rsidRPr="006503CC">
        <w:rPr>
          <w:rStyle w:val="Refdenotaalpie"/>
          <w:rFonts w:cs="Segoe UI"/>
          <w:sz w:val="22"/>
          <w:szCs w:val="24"/>
        </w:rPr>
        <w:footnoteReference w:id="4"/>
      </w:r>
      <w:r w:rsidR="0033791A" w:rsidRPr="006503CC">
        <w:rPr>
          <w:rFonts w:cs="Segoe UI"/>
          <w:sz w:val="22"/>
          <w:szCs w:val="24"/>
        </w:rPr>
        <w:t xml:space="preserve">, y más adelante determino dentro del mismo marco constitucional </w:t>
      </w:r>
      <w:r w:rsidR="00E438E9" w:rsidRPr="006503CC">
        <w:rPr>
          <w:rFonts w:cs="Segoe UI"/>
          <w:sz w:val="22"/>
          <w:szCs w:val="24"/>
        </w:rPr>
        <w:t xml:space="preserve">un trato diferenciado </w:t>
      </w:r>
      <w:r w:rsidR="0033791A" w:rsidRPr="006503CC">
        <w:rPr>
          <w:rFonts w:cs="Segoe UI"/>
          <w:sz w:val="22"/>
          <w:szCs w:val="24"/>
        </w:rPr>
        <w:t xml:space="preserve">a </w:t>
      </w:r>
      <w:r w:rsidR="00E438E9" w:rsidRPr="006503CC">
        <w:rPr>
          <w:rFonts w:cs="Segoe UI"/>
          <w:sz w:val="22"/>
          <w:szCs w:val="24"/>
        </w:rPr>
        <w:t>los terrenos baldíos en razón a</w:t>
      </w:r>
      <w:r w:rsidR="0033791A" w:rsidRPr="006503CC">
        <w:rPr>
          <w:rFonts w:cs="Segoe UI"/>
          <w:sz w:val="22"/>
          <w:szCs w:val="24"/>
        </w:rPr>
        <w:t xml:space="preserve"> la destinación de estos bienes </w:t>
      </w:r>
      <w:r w:rsidR="00E438E9" w:rsidRPr="006503CC">
        <w:rPr>
          <w:rFonts w:cs="Segoe UI"/>
          <w:sz w:val="22"/>
          <w:szCs w:val="24"/>
        </w:rPr>
        <w:t>“</w:t>
      </w:r>
      <w:r w:rsidR="00E438E9" w:rsidRPr="006503CC">
        <w:rPr>
          <w:rFonts w:cs="Segoe UI"/>
          <w:i/>
          <w:sz w:val="22"/>
          <w:szCs w:val="24"/>
        </w:rPr>
        <w:t xml:space="preserve">El territorio, con los bienes públicos que de él forman parte, pertenecen a la Nación” </w:t>
      </w:r>
      <w:r w:rsidR="00E438E9" w:rsidRPr="006503CC">
        <w:rPr>
          <w:rStyle w:val="Refdenotaalpie"/>
          <w:rFonts w:cs="Segoe UI"/>
          <w:i/>
          <w:sz w:val="22"/>
          <w:szCs w:val="24"/>
        </w:rPr>
        <w:footnoteReference w:id="5"/>
      </w:r>
      <w:r w:rsidR="00E438E9" w:rsidRPr="006503CC">
        <w:rPr>
          <w:rFonts w:cs="Segoe UI"/>
          <w:sz w:val="22"/>
          <w:szCs w:val="24"/>
        </w:rPr>
        <w:t xml:space="preserve">, lo que estableció el constituyente </w:t>
      </w:r>
      <w:r w:rsidR="00A75277" w:rsidRPr="006503CC">
        <w:rPr>
          <w:rFonts w:cs="Segoe UI"/>
          <w:sz w:val="22"/>
          <w:szCs w:val="24"/>
        </w:rPr>
        <w:t xml:space="preserve">a través de estos preceptos, </w:t>
      </w:r>
      <w:r w:rsidR="00F24578" w:rsidRPr="006503CC">
        <w:rPr>
          <w:rFonts w:cs="Segoe UI"/>
          <w:sz w:val="22"/>
          <w:szCs w:val="24"/>
        </w:rPr>
        <w:t>fue que</w:t>
      </w:r>
      <w:r w:rsidR="00E438E9" w:rsidRPr="006503CC">
        <w:rPr>
          <w:rFonts w:cs="Segoe UI"/>
          <w:sz w:val="22"/>
          <w:szCs w:val="24"/>
        </w:rPr>
        <w:t xml:space="preserve"> el Estado es soberano sobre todos los bienes situados dentro del territorio nacional y como consecuencia tiene la facultad para regular el derecho de propiedad.</w:t>
      </w:r>
    </w:p>
    <w:p w14:paraId="62A0DE62" w14:textId="62E6F368" w:rsidR="00BB3F6B" w:rsidRPr="006503CC" w:rsidRDefault="00C24280" w:rsidP="00F24578">
      <w:pPr>
        <w:spacing w:line="276" w:lineRule="auto"/>
        <w:jc w:val="both"/>
        <w:rPr>
          <w:rFonts w:cs="Segoe UI"/>
          <w:i/>
          <w:sz w:val="22"/>
          <w:szCs w:val="24"/>
        </w:rPr>
      </w:pPr>
      <w:r w:rsidRPr="006503CC">
        <w:rPr>
          <w:rFonts w:cs="Segoe UI"/>
          <w:sz w:val="22"/>
          <w:szCs w:val="24"/>
        </w:rPr>
        <w:t>E</w:t>
      </w:r>
      <w:r w:rsidR="00BB3F6B" w:rsidRPr="006503CC">
        <w:rPr>
          <w:rFonts w:cs="Segoe UI"/>
          <w:sz w:val="22"/>
          <w:szCs w:val="24"/>
        </w:rPr>
        <w:t>n desarrollo de los precept</w:t>
      </w:r>
      <w:r w:rsidR="001C0308" w:rsidRPr="006503CC">
        <w:rPr>
          <w:rFonts w:cs="Segoe UI"/>
          <w:sz w:val="22"/>
          <w:szCs w:val="24"/>
        </w:rPr>
        <w:t>os constitucionales, nace la ley</w:t>
      </w:r>
      <w:r w:rsidR="00BB3F6B" w:rsidRPr="006503CC">
        <w:rPr>
          <w:rFonts w:cs="Segoe UI"/>
          <w:sz w:val="22"/>
          <w:szCs w:val="24"/>
        </w:rPr>
        <w:t xml:space="preserve"> 160 de 1994 en materia de tierras</w:t>
      </w:r>
      <w:r w:rsidR="001C0308" w:rsidRPr="006503CC">
        <w:rPr>
          <w:rFonts w:cs="Segoe UI"/>
          <w:sz w:val="22"/>
          <w:szCs w:val="24"/>
        </w:rPr>
        <w:t>, la cual busco</w:t>
      </w:r>
      <w:r w:rsidR="00352ABB" w:rsidRPr="006503CC">
        <w:rPr>
          <w:rFonts w:cs="Segoe UI"/>
          <w:sz w:val="22"/>
          <w:szCs w:val="24"/>
        </w:rPr>
        <w:t xml:space="preserve"> promover el acceso progresivo </w:t>
      </w:r>
      <w:r w:rsidR="001C0308" w:rsidRPr="006503CC">
        <w:rPr>
          <w:rFonts w:cs="Segoe UI"/>
          <w:sz w:val="22"/>
          <w:szCs w:val="24"/>
        </w:rPr>
        <w:t>a la propiedad de la tierra de los campesino con el fin de mejorar su calidad de vida. Según Machado en su libro ensayos para la historia de la política de tierras en Colombia, la ley “</w:t>
      </w:r>
      <w:r w:rsidR="001C0308" w:rsidRPr="006503CC">
        <w:rPr>
          <w:rFonts w:cs="Segoe UI"/>
          <w:i/>
          <w:sz w:val="22"/>
          <w:szCs w:val="24"/>
        </w:rPr>
        <w:t>Impulso el funcionamiento de mercados de tierras</w:t>
      </w:r>
      <w:r w:rsidR="001C0308" w:rsidRPr="006503CC">
        <w:rPr>
          <w:rFonts w:cs="Segoe UI"/>
          <w:sz w:val="22"/>
          <w:szCs w:val="24"/>
        </w:rPr>
        <w:t xml:space="preserve">” Otros autores afirman que </w:t>
      </w:r>
      <w:r w:rsidR="001C0308" w:rsidRPr="006503CC">
        <w:rPr>
          <w:rFonts w:cs="Segoe UI"/>
          <w:i/>
          <w:sz w:val="22"/>
          <w:szCs w:val="24"/>
        </w:rPr>
        <w:t xml:space="preserve">“(...) la Ley 160 de 1994, </w:t>
      </w:r>
      <w:r w:rsidR="001C0308" w:rsidRPr="007F57CD">
        <w:rPr>
          <w:rFonts w:cs="Segoe UI"/>
          <w:i/>
          <w:sz w:val="22"/>
          <w:szCs w:val="24"/>
        </w:rPr>
        <w:t>buscó dinamizar la redistribución a partir de un subsidio para que los campesinos compraran tierras. Este subsidio equivalía al 70% del precio de la propiedad, y el 30% restante podía ser financiado por medio de una línea de crédito especial (Belalcázar &amp; otros, 2001). (Salas Noguera, 2014)</w:t>
      </w:r>
      <w:r w:rsidR="001C0308" w:rsidRPr="006503CC">
        <w:rPr>
          <w:rFonts w:cs="Segoe UI"/>
          <w:i/>
          <w:sz w:val="22"/>
          <w:szCs w:val="24"/>
        </w:rPr>
        <w:t xml:space="preserve"> </w:t>
      </w:r>
    </w:p>
    <w:p w14:paraId="5CFDA38F" w14:textId="5E12A2F2" w:rsidR="000842E8" w:rsidRPr="006503CC" w:rsidRDefault="00A3480B" w:rsidP="000842E8">
      <w:pPr>
        <w:spacing w:line="276" w:lineRule="auto"/>
        <w:jc w:val="both"/>
        <w:rPr>
          <w:rFonts w:cs="Segoe UI"/>
          <w:bCs/>
          <w:sz w:val="22"/>
          <w:szCs w:val="24"/>
        </w:rPr>
      </w:pPr>
      <w:r w:rsidRPr="006503CC">
        <w:rPr>
          <w:rFonts w:cs="Segoe UI"/>
          <w:bCs/>
          <w:sz w:val="22"/>
          <w:szCs w:val="24"/>
        </w:rPr>
        <w:t>El manejo de los baldíos en la política pública de tierras, ha buscado garantizar el acceso a la propiedad por parte</w:t>
      </w:r>
      <w:r w:rsidR="000842E8" w:rsidRPr="006503CC">
        <w:rPr>
          <w:rFonts w:cs="Segoe UI"/>
          <w:bCs/>
          <w:sz w:val="22"/>
          <w:szCs w:val="24"/>
        </w:rPr>
        <w:t xml:space="preserve"> de los campesinos de Colombia; el artículo 1 de la ley 160 de 1994 en su literal noveno establece como objetivo de la ley. “…</w:t>
      </w:r>
      <w:r w:rsidR="000842E8" w:rsidRPr="006503CC">
        <w:rPr>
          <w:rFonts w:cs="Segoe UI"/>
          <w:bCs/>
          <w:i/>
          <w:sz w:val="22"/>
          <w:szCs w:val="24"/>
        </w:rPr>
        <w:t xml:space="preserve"> r</w:t>
      </w:r>
      <w:r w:rsidR="000842E8" w:rsidRPr="006503CC">
        <w:rPr>
          <w:i/>
          <w:sz w:val="22"/>
        </w:rPr>
        <w:t xml:space="preserve">egular la ocupación y aprovechamiento de las tierras baldías de la Nación, dando preferencia en su adjudicación a los campesinos de escasos recursos, y establecer Zonas de Reserva Campesina para el fomento de la pequeña propiedad rural, con sujeción a las políticas de conservación del medio ambiente y los recursos naturales renovables y a los criterios de ordenamiento territorial y de la propiedad rural que se señalen” </w:t>
      </w:r>
    </w:p>
    <w:p w14:paraId="1391EC9C" w14:textId="655697FC" w:rsidR="00E438E9" w:rsidRPr="006503CC" w:rsidRDefault="000842E8" w:rsidP="00F24578">
      <w:pPr>
        <w:spacing w:line="276" w:lineRule="auto"/>
        <w:jc w:val="both"/>
        <w:rPr>
          <w:rFonts w:cs="Segoe UI"/>
          <w:sz w:val="22"/>
          <w:szCs w:val="24"/>
        </w:rPr>
      </w:pPr>
      <w:r w:rsidRPr="006503CC">
        <w:rPr>
          <w:rFonts w:cs="Segoe UI"/>
          <w:bCs/>
          <w:sz w:val="22"/>
          <w:szCs w:val="24"/>
        </w:rPr>
        <w:t>S</w:t>
      </w:r>
      <w:r w:rsidR="00A3480B" w:rsidRPr="006503CC">
        <w:rPr>
          <w:rFonts w:cs="Segoe UI"/>
          <w:bCs/>
          <w:sz w:val="22"/>
          <w:szCs w:val="24"/>
        </w:rPr>
        <w:t>egún</w:t>
      </w:r>
      <w:r w:rsidR="00A3480B" w:rsidRPr="006503CC">
        <w:rPr>
          <w:rFonts w:cs="Segoe UI"/>
          <w:sz w:val="22"/>
          <w:szCs w:val="24"/>
        </w:rPr>
        <w:t xml:space="preserve"> datos de</w:t>
      </w:r>
      <w:r w:rsidRPr="006503CC">
        <w:rPr>
          <w:rFonts w:cs="Segoe UI"/>
          <w:sz w:val="22"/>
          <w:szCs w:val="24"/>
        </w:rPr>
        <w:t>l académico</w:t>
      </w:r>
      <w:r w:rsidR="00A3480B" w:rsidRPr="006503CC">
        <w:rPr>
          <w:rFonts w:cs="Segoe UI"/>
          <w:sz w:val="22"/>
          <w:szCs w:val="24"/>
        </w:rPr>
        <w:t xml:space="preserve"> Uprymmy en su intervención realizada ante la corte</w:t>
      </w:r>
      <w:r w:rsidR="00A75277" w:rsidRPr="006503CC">
        <w:rPr>
          <w:rFonts w:cs="Segoe UI"/>
          <w:sz w:val="22"/>
          <w:szCs w:val="24"/>
        </w:rPr>
        <w:t xml:space="preserve"> en la audiencia pública sobre baldíos, señala que</w:t>
      </w:r>
      <w:r w:rsidR="00A3480B" w:rsidRPr="006503CC">
        <w:rPr>
          <w:rStyle w:val="Refdenotaalpie"/>
          <w:rFonts w:cs="Segoe UI"/>
          <w:sz w:val="22"/>
          <w:szCs w:val="24"/>
        </w:rPr>
        <w:footnoteReference w:id="6"/>
      </w:r>
      <w:r w:rsidR="00A3480B" w:rsidRPr="006503CC">
        <w:rPr>
          <w:rFonts w:cs="Segoe UI"/>
          <w:sz w:val="22"/>
          <w:szCs w:val="24"/>
        </w:rPr>
        <w:t xml:space="preserve"> “ </w:t>
      </w:r>
      <w:r w:rsidR="00A3480B" w:rsidRPr="006503CC">
        <w:rPr>
          <w:rFonts w:cs="Segoe UI"/>
          <w:i/>
          <w:sz w:val="22"/>
          <w:szCs w:val="24"/>
        </w:rPr>
        <w:t>… de acuerdo con estimaciones de la Procuraduría General de la Nación Delegada para Asuntos Ambientales y Agrarios, entre 1994 y 2014, la autoridad agraria entregó 145.565 baldíos a particulares, lo que equivale a 5.512.299 de hectáreas; mientras que las otras herramientas de la reforma –el Fondo Nacional Agrario, la compra directa a través de subsidios y DNE-reportaron 33.291 adjudicaciones, que corresponden a 430.699 hectáreas, para el mismo periodo…”</w:t>
      </w:r>
      <w:r w:rsidR="00A3480B" w:rsidRPr="006503CC">
        <w:rPr>
          <w:rFonts w:cs="Segoe UI"/>
          <w:sz w:val="22"/>
          <w:szCs w:val="24"/>
        </w:rPr>
        <w:t xml:space="preserve"> lo anterior indica que de la adjudicación de baldíos han sido el instrumento de reforma agraria más potente con que ha contado el Estado colombiano a lo largo de la historia.</w:t>
      </w:r>
    </w:p>
    <w:p w14:paraId="2B045472" w14:textId="77777777" w:rsidR="000842E8" w:rsidRPr="006503CC" w:rsidRDefault="000842E8" w:rsidP="000842E8">
      <w:pPr>
        <w:spacing w:line="276" w:lineRule="auto"/>
        <w:jc w:val="both"/>
        <w:rPr>
          <w:rFonts w:cs="Segoe UI"/>
          <w:bCs/>
          <w:sz w:val="22"/>
          <w:szCs w:val="24"/>
        </w:rPr>
      </w:pPr>
      <w:r w:rsidRPr="006503CC">
        <w:rPr>
          <w:rFonts w:cs="Segoe UI"/>
          <w:bCs/>
          <w:sz w:val="22"/>
          <w:szCs w:val="24"/>
        </w:rPr>
        <w:t>A pesar que la ley 160 de 1994 es una herramienta histórica favorable en materia de acceso a la tierra esta tiene ciertos vacíos, que hace necesario buscar nuevas herramientas para garantizar el derecho de titulación de tierras a familias de escasos recursos, principalmente campesinos que ocupan un territorio para su subsistencia o sobrevivencia.</w:t>
      </w:r>
    </w:p>
    <w:p w14:paraId="03FED7D7" w14:textId="35AF9886" w:rsidR="003D7E45" w:rsidRPr="006503CC" w:rsidRDefault="003D7E45" w:rsidP="000842E8">
      <w:pPr>
        <w:spacing w:line="276" w:lineRule="auto"/>
        <w:jc w:val="both"/>
        <w:rPr>
          <w:rFonts w:cs="Segoe UI"/>
          <w:bCs/>
          <w:sz w:val="22"/>
          <w:szCs w:val="24"/>
        </w:rPr>
      </w:pPr>
      <w:r w:rsidRPr="006503CC">
        <w:rPr>
          <w:rFonts w:cs="Segoe UI"/>
          <w:bCs/>
          <w:sz w:val="22"/>
          <w:szCs w:val="24"/>
        </w:rPr>
        <w:t xml:space="preserve">Igualmente dentro de la potestad del estado de administrar los terrenitos baldíos este, ha hecho una clasificación y fijado unos límites para su adjudicación y explotación de los mismos, razón por la cual encontramos dentro del marco normativo que los terrenos baldíos no se pueden adjudicar si hacen parte de zona de reserva forestal, parques nacionales naturales y los predios baldíos que están cerca de la zona de influencia de explotación de recursos naturales, como petróleo, gas, minería entre otros. </w:t>
      </w:r>
    </w:p>
    <w:p w14:paraId="6EB3AF94" w14:textId="2D94EC1D" w:rsidR="00B1016B" w:rsidRPr="006503CC" w:rsidRDefault="00A34D6E" w:rsidP="000842E8">
      <w:pPr>
        <w:spacing w:line="276" w:lineRule="auto"/>
        <w:jc w:val="both"/>
        <w:rPr>
          <w:rFonts w:cs="Segoe UI"/>
          <w:bCs/>
          <w:sz w:val="22"/>
          <w:szCs w:val="24"/>
        </w:rPr>
      </w:pPr>
      <w:r w:rsidRPr="006503CC">
        <w:rPr>
          <w:rFonts w:cs="Segoe UI"/>
          <w:bCs/>
          <w:sz w:val="22"/>
          <w:szCs w:val="24"/>
        </w:rPr>
        <w:t>De acuerdo con lo establecido por la ley 1728 de 2014, dentro de la clasificación de los predios baldíos inadjudicables se encuentran aquellos predios que estén dentro de un radio de 2.5 kilómetros alrededor de las zonas donde se exploten recursos naturales no renovables  como es la explotación de materiales fósiles.</w:t>
      </w:r>
    </w:p>
    <w:p w14:paraId="4532D799" w14:textId="0CF47EF8" w:rsidR="00A34D6E" w:rsidRPr="006503CC" w:rsidRDefault="00A34D6E" w:rsidP="000842E8">
      <w:pPr>
        <w:spacing w:line="276" w:lineRule="auto"/>
        <w:jc w:val="both"/>
        <w:rPr>
          <w:rFonts w:cs="Segoe UI"/>
          <w:bCs/>
          <w:sz w:val="22"/>
          <w:szCs w:val="24"/>
        </w:rPr>
      </w:pPr>
      <w:r w:rsidRPr="006503CC">
        <w:rPr>
          <w:rFonts w:cs="Segoe UI"/>
          <w:bCs/>
          <w:sz w:val="22"/>
          <w:szCs w:val="24"/>
        </w:rPr>
        <w:t>Esta delimitación ha generado que muchos de los campesinos que se ubicaron en esas zonas por diversas razones propias de las realidades políticas, sociales del país y que hoy cuentan con el derecho a la titulación vía posesión no puedan sanear sus predios y a la vez el Estado no pueda cumplir con su deber de garantizar el acceso a la tierra por los campesinos.</w:t>
      </w:r>
    </w:p>
    <w:p w14:paraId="78D6B7A3" w14:textId="7A971AB6" w:rsidR="00F77A75" w:rsidRPr="006503CC" w:rsidRDefault="00F77A75" w:rsidP="00F77A75">
      <w:pPr>
        <w:spacing w:line="276" w:lineRule="auto"/>
        <w:jc w:val="both"/>
        <w:rPr>
          <w:rFonts w:cs="Segoe UI"/>
          <w:bCs/>
          <w:sz w:val="22"/>
          <w:szCs w:val="24"/>
        </w:rPr>
      </w:pPr>
      <w:r w:rsidRPr="006503CC">
        <w:rPr>
          <w:rFonts w:cs="Segoe UI"/>
          <w:bCs/>
          <w:sz w:val="22"/>
          <w:szCs w:val="24"/>
        </w:rPr>
        <w:t>Según el informe del centro de memoria histórica de Colombia, publicado en el 2016</w:t>
      </w:r>
      <w:r w:rsidRPr="006503CC">
        <w:rPr>
          <w:rStyle w:val="Refdenotaalpie"/>
          <w:rFonts w:cs="Segoe UI"/>
          <w:bCs/>
          <w:sz w:val="22"/>
          <w:szCs w:val="24"/>
        </w:rPr>
        <w:footnoteReference w:id="7"/>
      </w:r>
      <w:r w:rsidRPr="006503CC">
        <w:rPr>
          <w:rFonts w:cs="Segoe UI"/>
          <w:bCs/>
          <w:sz w:val="22"/>
          <w:szCs w:val="24"/>
        </w:rPr>
        <w:t xml:space="preserve">, donde se analiza el comportamiento de la propiedad rural en el país, este concluye dentro del capítulo sexto del informe, que: </w:t>
      </w:r>
    </w:p>
    <w:p w14:paraId="1369803D" w14:textId="676864AA" w:rsidR="00F77A75" w:rsidRPr="006503CC" w:rsidRDefault="00F77A75" w:rsidP="00F77A75">
      <w:pPr>
        <w:spacing w:line="276" w:lineRule="auto"/>
        <w:jc w:val="both"/>
        <w:rPr>
          <w:rFonts w:cs="Segoe UI"/>
          <w:i/>
          <w:sz w:val="22"/>
          <w:szCs w:val="24"/>
        </w:rPr>
      </w:pPr>
      <w:r w:rsidRPr="006503CC">
        <w:rPr>
          <w:rFonts w:cs="Segoe UI"/>
          <w:bCs/>
          <w:sz w:val="22"/>
          <w:szCs w:val="24"/>
        </w:rPr>
        <w:t>“</w:t>
      </w:r>
      <w:r w:rsidRPr="006503CC">
        <w:rPr>
          <w:rFonts w:cs="Segoe UI"/>
          <w:i/>
          <w:sz w:val="22"/>
          <w:szCs w:val="24"/>
        </w:rPr>
        <w:t>la distribución de la propiedad privada rural, corresponde a las  siguientes tendencias:</w:t>
      </w:r>
    </w:p>
    <w:p w14:paraId="372E3EC5" w14:textId="1008E86A" w:rsidR="00F77A75" w:rsidRPr="006503CC" w:rsidRDefault="00F77A75" w:rsidP="00F77A75">
      <w:pPr>
        <w:autoSpaceDE w:val="0"/>
        <w:autoSpaceDN w:val="0"/>
        <w:adjustRightInd w:val="0"/>
        <w:spacing w:after="0" w:line="240" w:lineRule="auto"/>
        <w:jc w:val="both"/>
        <w:rPr>
          <w:rFonts w:cs="Segoe UI"/>
          <w:i/>
          <w:sz w:val="22"/>
          <w:szCs w:val="24"/>
        </w:rPr>
      </w:pPr>
      <w:r w:rsidRPr="006503CC">
        <w:rPr>
          <w:rFonts w:cs="Segoe UI"/>
          <w:i/>
          <w:sz w:val="22"/>
          <w:szCs w:val="24"/>
        </w:rPr>
        <w:t>• La desigualdad en la distribución de la propiedad privada rural disminuyó gradualmente en la segunda mitad del siglo</w:t>
      </w:r>
      <w:r w:rsidR="007F57CD">
        <w:rPr>
          <w:rFonts w:cs="Segoe UI"/>
          <w:i/>
          <w:sz w:val="22"/>
          <w:szCs w:val="24"/>
        </w:rPr>
        <w:t xml:space="preserve"> </w:t>
      </w:r>
      <w:r w:rsidRPr="006503CC">
        <w:rPr>
          <w:rFonts w:cs="Segoe UI"/>
          <w:i/>
          <w:sz w:val="22"/>
          <w:szCs w:val="24"/>
        </w:rPr>
        <w:t>XX, gracias a la combinación de varios factores, entre estos la adjudicación de baldíos a colonos, la parcelación de haciendas para el reparto de tierras de reforma agraria, la fragmentación de grandes propiedades y la agregación de pequeños predios.</w:t>
      </w:r>
    </w:p>
    <w:p w14:paraId="25ED64F1" w14:textId="77777777" w:rsidR="00F77A75" w:rsidRPr="006503CC" w:rsidRDefault="00F77A75" w:rsidP="00F77A75">
      <w:pPr>
        <w:autoSpaceDE w:val="0"/>
        <w:autoSpaceDN w:val="0"/>
        <w:adjustRightInd w:val="0"/>
        <w:spacing w:after="0" w:line="240" w:lineRule="auto"/>
        <w:jc w:val="both"/>
        <w:rPr>
          <w:rFonts w:cs="Segoe UI"/>
          <w:i/>
          <w:sz w:val="22"/>
          <w:szCs w:val="24"/>
        </w:rPr>
      </w:pPr>
    </w:p>
    <w:p w14:paraId="30EF726A" w14:textId="09764AC9" w:rsidR="00F77A75" w:rsidRPr="006503CC" w:rsidRDefault="00F77A75" w:rsidP="00F77A75">
      <w:pPr>
        <w:autoSpaceDE w:val="0"/>
        <w:autoSpaceDN w:val="0"/>
        <w:adjustRightInd w:val="0"/>
        <w:spacing w:after="0" w:line="240" w:lineRule="auto"/>
        <w:jc w:val="both"/>
        <w:rPr>
          <w:rFonts w:cs="Segoe UI"/>
          <w:i/>
          <w:sz w:val="22"/>
          <w:szCs w:val="24"/>
        </w:rPr>
      </w:pPr>
      <w:r w:rsidRPr="006503CC">
        <w:rPr>
          <w:rFonts w:cs="Segoe UI"/>
          <w:i/>
          <w:sz w:val="22"/>
          <w:szCs w:val="24"/>
        </w:rPr>
        <w:t>• No obstante lo anterior, la inequidad en la distribución de la tierra sigue siendo muy acentuada. La persistencia de la desigualdad se explica por factores como:</w:t>
      </w:r>
    </w:p>
    <w:p w14:paraId="1A1FC954" w14:textId="77777777" w:rsidR="00F77A75" w:rsidRPr="006503CC" w:rsidRDefault="00F77A75" w:rsidP="00F77A75">
      <w:pPr>
        <w:autoSpaceDE w:val="0"/>
        <w:autoSpaceDN w:val="0"/>
        <w:adjustRightInd w:val="0"/>
        <w:spacing w:after="0" w:line="240" w:lineRule="auto"/>
        <w:jc w:val="both"/>
        <w:rPr>
          <w:rFonts w:cs="Segoe UI"/>
          <w:i/>
          <w:sz w:val="22"/>
          <w:szCs w:val="24"/>
        </w:rPr>
      </w:pPr>
    </w:p>
    <w:p w14:paraId="77025991" w14:textId="1836C76F" w:rsidR="00F77A75" w:rsidRPr="006503CC" w:rsidRDefault="00F77A75" w:rsidP="00F77A75">
      <w:pPr>
        <w:pStyle w:val="Prrafodelista"/>
        <w:numPr>
          <w:ilvl w:val="0"/>
          <w:numId w:val="5"/>
        </w:numPr>
        <w:autoSpaceDE w:val="0"/>
        <w:autoSpaceDN w:val="0"/>
        <w:adjustRightInd w:val="0"/>
        <w:spacing w:after="0" w:line="240" w:lineRule="auto"/>
        <w:jc w:val="both"/>
        <w:rPr>
          <w:rFonts w:cs="Segoe UI"/>
          <w:i/>
          <w:sz w:val="22"/>
          <w:szCs w:val="24"/>
        </w:rPr>
      </w:pPr>
      <w:r w:rsidRPr="006503CC">
        <w:rPr>
          <w:rFonts w:cs="Segoe UI"/>
          <w:i/>
          <w:sz w:val="22"/>
          <w:szCs w:val="24"/>
        </w:rPr>
        <w:t>El reducido alcance de los programas de dotación de tierras a los campesinos sin tierra o con tierra insuficiente, y de recursos necesarios para la adecuada explotación de Los departamentos que, según el Atlas, en 2012 tenían los índices más altos de desigualdad en la propiedad privada rural eran: Sucre (0,95), Cauca (0,84) Valle del Cauca (0,84), Arauca (0,84), Meta (0,83), Huila (0,83), Nariño (0,82), Caldas (0,81), Santander (0,80), Casanare (0,80). (subrayado fuera del texto)</w:t>
      </w:r>
    </w:p>
    <w:p w14:paraId="79EEC457" w14:textId="23B53AA2" w:rsidR="00F77A75" w:rsidRPr="006503CC" w:rsidRDefault="00F77A75" w:rsidP="00F77A75">
      <w:pPr>
        <w:pStyle w:val="Prrafodelista"/>
        <w:numPr>
          <w:ilvl w:val="0"/>
          <w:numId w:val="5"/>
        </w:numPr>
        <w:autoSpaceDE w:val="0"/>
        <w:autoSpaceDN w:val="0"/>
        <w:adjustRightInd w:val="0"/>
        <w:spacing w:after="0" w:line="276" w:lineRule="auto"/>
        <w:jc w:val="both"/>
        <w:rPr>
          <w:rFonts w:cs="Segoe UI"/>
          <w:i/>
          <w:sz w:val="22"/>
          <w:szCs w:val="24"/>
        </w:rPr>
      </w:pPr>
      <w:r w:rsidRPr="006503CC">
        <w:rPr>
          <w:rFonts w:cs="Segoe UI"/>
          <w:i/>
          <w:sz w:val="22"/>
          <w:szCs w:val="24"/>
        </w:rPr>
        <w:t>Los departamentos con menores índices de desigualdad son: Vaupés (0,39), Vichada (0,46), Guainía (0,46) Guaviare (0,51) y Caquetá (0,54).”</w:t>
      </w:r>
    </w:p>
    <w:p w14:paraId="3B5915EA" w14:textId="77777777" w:rsidR="00F77A75" w:rsidRDefault="00F77A75" w:rsidP="007F57CD">
      <w:pPr>
        <w:autoSpaceDE w:val="0"/>
        <w:autoSpaceDN w:val="0"/>
        <w:adjustRightInd w:val="0"/>
        <w:spacing w:after="0" w:line="276" w:lineRule="auto"/>
        <w:jc w:val="both"/>
        <w:rPr>
          <w:rFonts w:cs="Segoe UI"/>
          <w:i/>
          <w:sz w:val="22"/>
          <w:szCs w:val="24"/>
        </w:rPr>
      </w:pPr>
    </w:p>
    <w:p w14:paraId="0A05650D" w14:textId="49B37658" w:rsidR="00F77A75" w:rsidRPr="006503CC" w:rsidRDefault="00F77A75" w:rsidP="00F77A75">
      <w:pPr>
        <w:spacing w:line="276" w:lineRule="auto"/>
        <w:jc w:val="both"/>
        <w:rPr>
          <w:rFonts w:cs="Segoe UI"/>
          <w:bCs/>
          <w:sz w:val="22"/>
          <w:szCs w:val="24"/>
        </w:rPr>
      </w:pPr>
      <w:r w:rsidRPr="006503CC">
        <w:rPr>
          <w:rFonts w:cs="Segoe UI"/>
          <w:bCs/>
          <w:sz w:val="22"/>
          <w:szCs w:val="24"/>
        </w:rPr>
        <w:t>Por las razones expuestas anteriormente es que se hace necesario, delimitar nuevamente el área de baldíos que hacen parte de la explotación de recursos naturales, con el fin de permitir que los campesinos ubicados en esas zonas puedan tener acceso a la propiedad privada ocupada y así mejorar su calidad de vida y aportar desarrollo económico a su departamento.</w:t>
      </w:r>
    </w:p>
    <w:p w14:paraId="40C8F5D0" w14:textId="77777777" w:rsidR="007F57CD" w:rsidRDefault="007F57CD" w:rsidP="00F24578">
      <w:pPr>
        <w:tabs>
          <w:tab w:val="left" w:pos="1959"/>
        </w:tabs>
        <w:spacing w:line="276" w:lineRule="auto"/>
        <w:jc w:val="both"/>
        <w:rPr>
          <w:rFonts w:cs="Segoe UI"/>
          <w:bCs/>
          <w:sz w:val="22"/>
          <w:szCs w:val="24"/>
        </w:rPr>
      </w:pPr>
    </w:p>
    <w:p w14:paraId="788AF517" w14:textId="77777777" w:rsidR="007F57CD" w:rsidRPr="006503CC" w:rsidRDefault="007F57CD" w:rsidP="00F24578">
      <w:pPr>
        <w:tabs>
          <w:tab w:val="left" w:pos="1959"/>
        </w:tabs>
        <w:spacing w:line="276" w:lineRule="auto"/>
        <w:jc w:val="both"/>
        <w:rPr>
          <w:rFonts w:cs="Segoe UI"/>
          <w:bCs/>
          <w:sz w:val="22"/>
          <w:szCs w:val="24"/>
        </w:rPr>
      </w:pPr>
    </w:p>
    <w:sdt>
      <w:sdtPr>
        <w:rPr>
          <w:rFonts w:ascii="Segoe UI" w:eastAsiaTheme="minorHAnsi" w:hAnsi="Segoe UI" w:cs="Segoe UI"/>
          <w:color w:val="auto"/>
          <w:sz w:val="22"/>
          <w:szCs w:val="24"/>
          <w:lang w:val="es-ES" w:eastAsia="en-US"/>
        </w:rPr>
        <w:id w:val="-1622834751"/>
        <w:docPartObj>
          <w:docPartGallery w:val="Bibliographies"/>
          <w:docPartUnique/>
        </w:docPartObj>
      </w:sdtPr>
      <w:sdtEndPr>
        <w:rPr>
          <w:lang w:val="es-CO"/>
        </w:rPr>
      </w:sdtEndPr>
      <w:sdtContent>
        <w:p w14:paraId="21FAAE46" w14:textId="77777777" w:rsidR="009978B6" w:rsidRPr="006503CC" w:rsidRDefault="009978B6" w:rsidP="00F24578">
          <w:pPr>
            <w:pStyle w:val="Ttulo1"/>
            <w:spacing w:line="276" w:lineRule="auto"/>
            <w:jc w:val="both"/>
            <w:rPr>
              <w:rFonts w:ascii="Segoe UI" w:hAnsi="Segoe UI" w:cs="Segoe UI"/>
              <w:b/>
              <w:bCs/>
              <w:color w:val="auto"/>
              <w:sz w:val="22"/>
              <w:szCs w:val="24"/>
            </w:rPr>
          </w:pPr>
          <w:r w:rsidRPr="006503CC">
            <w:rPr>
              <w:rFonts w:ascii="Segoe UI" w:hAnsi="Segoe UI" w:cs="Segoe UI"/>
              <w:b/>
              <w:bCs/>
              <w:color w:val="auto"/>
              <w:sz w:val="22"/>
              <w:szCs w:val="24"/>
              <w:lang w:val="es-ES"/>
            </w:rPr>
            <w:t>Referencias</w:t>
          </w:r>
        </w:p>
        <w:sdt>
          <w:sdtPr>
            <w:rPr>
              <w:rFonts w:cs="Segoe UI"/>
              <w:sz w:val="22"/>
              <w:szCs w:val="24"/>
            </w:rPr>
            <w:id w:val="-573587230"/>
            <w:bibliography/>
          </w:sdtPr>
          <w:sdtEndPr/>
          <w:sdtContent>
            <w:p w14:paraId="5BACC01E" w14:textId="77777777" w:rsidR="0028338E" w:rsidRPr="006503CC" w:rsidRDefault="009978B6" w:rsidP="00F24578">
              <w:pPr>
                <w:pStyle w:val="Bibliografa"/>
                <w:ind w:left="720" w:hanging="720"/>
                <w:jc w:val="both"/>
                <w:rPr>
                  <w:rFonts w:cs="Segoe UI"/>
                  <w:noProof/>
                  <w:sz w:val="22"/>
                  <w:szCs w:val="24"/>
                  <w:lang w:val="es-ES"/>
                </w:rPr>
              </w:pPr>
              <w:r w:rsidRPr="006503CC">
                <w:rPr>
                  <w:rFonts w:cs="Segoe UI"/>
                  <w:sz w:val="22"/>
                  <w:szCs w:val="24"/>
                </w:rPr>
                <w:fldChar w:fldCharType="begin"/>
              </w:r>
              <w:r w:rsidRPr="006503CC">
                <w:rPr>
                  <w:rFonts w:cs="Segoe UI"/>
                  <w:sz w:val="22"/>
                  <w:szCs w:val="24"/>
                </w:rPr>
                <w:instrText>BIBLIOGRAPHY</w:instrText>
              </w:r>
              <w:r w:rsidRPr="006503CC">
                <w:rPr>
                  <w:rFonts w:cs="Segoe UI"/>
                  <w:sz w:val="22"/>
                  <w:szCs w:val="24"/>
                </w:rPr>
                <w:fldChar w:fldCharType="separate"/>
              </w:r>
              <w:r w:rsidR="0028338E" w:rsidRPr="006503CC">
                <w:rPr>
                  <w:rFonts w:cs="Segoe UI"/>
                  <w:noProof/>
                  <w:sz w:val="22"/>
                  <w:szCs w:val="24"/>
                  <w:lang w:val="es-ES"/>
                </w:rPr>
                <w:t xml:space="preserve">Congreso de la República de Colombia. (2014). Ley 1728 de 2014. En </w:t>
              </w:r>
              <w:r w:rsidR="0028338E" w:rsidRPr="006503CC">
                <w:rPr>
                  <w:rFonts w:cs="Segoe UI"/>
                  <w:i/>
                  <w:iCs/>
                  <w:noProof/>
                  <w:sz w:val="22"/>
                  <w:szCs w:val="24"/>
                  <w:lang w:val="es-ES"/>
                </w:rPr>
                <w:t>Por la cual se dictan normas de distribución de terrenos baldíos a familias pobres del país con fines sociales y productivos y se dictan otras disposiciones.</w:t>
              </w:r>
              <w:r w:rsidR="0028338E" w:rsidRPr="006503CC">
                <w:rPr>
                  <w:rFonts w:cs="Segoe UI"/>
                  <w:noProof/>
                  <w:sz w:val="22"/>
                  <w:szCs w:val="24"/>
                  <w:lang w:val="es-ES"/>
                </w:rPr>
                <w:t xml:space="preserve"> Bogotá D.C. Obtenido de http://www.secretariasenado.gov.co/senado/basedoc/ley_1728_2014.html</w:t>
              </w:r>
            </w:p>
            <w:p w14:paraId="0D5312E5" w14:textId="77777777" w:rsidR="0028338E" w:rsidRPr="006503CC" w:rsidRDefault="0028338E" w:rsidP="00F24578">
              <w:pPr>
                <w:pStyle w:val="Bibliografa"/>
                <w:ind w:left="720" w:hanging="720"/>
                <w:jc w:val="both"/>
                <w:rPr>
                  <w:rFonts w:cs="Segoe UI"/>
                  <w:noProof/>
                  <w:sz w:val="22"/>
                  <w:szCs w:val="24"/>
                  <w:lang w:val="es-ES"/>
                </w:rPr>
              </w:pPr>
              <w:r w:rsidRPr="006503CC">
                <w:rPr>
                  <w:rFonts w:cs="Segoe UI"/>
                  <w:noProof/>
                  <w:sz w:val="22"/>
                  <w:szCs w:val="24"/>
                  <w:lang w:val="es-ES"/>
                </w:rPr>
                <w:t xml:space="preserve">Ibáñez, F. J. (2011). </w:t>
              </w:r>
              <w:r w:rsidRPr="006503CC">
                <w:rPr>
                  <w:rFonts w:cs="Segoe UI"/>
                  <w:i/>
                  <w:iCs/>
                  <w:noProof/>
                  <w:sz w:val="22"/>
                  <w:szCs w:val="24"/>
                  <w:lang w:val="es-ES"/>
                </w:rPr>
                <w:t>Ponencia para Primer Debate al Proyecto de Ley 46 de 2011 Senado.</w:t>
              </w:r>
              <w:r w:rsidRPr="006503CC">
                <w:rPr>
                  <w:rFonts w:cs="Segoe UI"/>
                  <w:noProof/>
                  <w:sz w:val="22"/>
                  <w:szCs w:val="24"/>
                  <w:lang w:val="es-ES"/>
                </w:rPr>
                <w:t xml:space="preserve"> Bogotá D.C. Obtenido de Gaceta 803 de 2011 </w:t>
              </w:r>
            </w:p>
            <w:p w14:paraId="4708A66B" w14:textId="77777777" w:rsidR="0028338E" w:rsidRPr="006503CC" w:rsidRDefault="0028338E" w:rsidP="00F24578">
              <w:pPr>
                <w:pStyle w:val="Bibliografa"/>
                <w:ind w:left="720" w:hanging="720"/>
                <w:jc w:val="both"/>
                <w:rPr>
                  <w:rFonts w:cs="Segoe UI"/>
                  <w:noProof/>
                  <w:sz w:val="22"/>
                  <w:szCs w:val="24"/>
                  <w:lang w:val="es-ES"/>
                </w:rPr>
              </w:pPr>
              <w:r w:rsidRPr="006503CC">
                <w:rPr>
                  <w:rFonts w:cs="Segoe UI"/>
                  <w:noProof/>
                  <w:sz w:val="22"/>
                  <w:szCs w:val="24"/>
                  <w:lang w:val="es-ES"/>
                </w:rPr>
                <w:t xml:space="preserve">Ibáñez, F. J. (2011). </w:t>
              </w:r>
              <w:r w:rsidRPr="006503CC">
                <w:rPr>
                  <w:rFonts w:cs="Segoe UI"/>
                  <w:i/>
                  <w:iCs/>
                  <w:noProof/>
                  <w:sz w:val="22"/>
                  <w:szCs w:val="24"/>
                  <w:lang w:val="es-ES"/>
                </w:rPr>
                <w:t>Ponencia para Segundo Debate al Proyecto de Ley 46 de 2011 Senado.</w:t>
              </w:r>
              <w:r w:rsidRPr="006503CC">
                <w:rPr>
                  <w:rFonts w:cs="Segoe UI"/>
                  <w:noProof/>
                  <w:sz w:val="22"/>
                  <w:szCs w:val="24"/>
                  <w:lang w:val="es-ES"/>
                </w:rPr>
                <w:t xml:space="preserve"> Bogotá D.C. Obtenido de Gaceta 605 de 2011</w:t>
              </w:r>
            </w:p>
            <w:p w14:paraId="42A6EF7A" w14:textId="77777777" w:rsidR="0028338E" w:rsidRPr="006503CC" w:rsidRDefault="0028338E" w:rsidP="00F24578">
              <w:pPr>
                <w:pStyle w:val="Bibliografa"/>
                <w:ind w:left="720" w:hanging="720"/>
                <w:jc w:val="both"/>
                <w:rPr>
                  <w:rFonts w:cs="Segoe UI"/>
                  <w:noProof/>
                  <w:sz w:val="22"/>
                  <w:szCs w:val="24"/>
                  <w:lang w:val="es-ES"/>
                </w:rPr>
              </w:pPr>
              <w:r w:rsidRPr="006503CC">
                <w:rPr>
                  <w:rFonts w:cs="Segoe UI"/>
                  <w:noProof/>
                  <w:sz w:val="22"/>
                  <w:szCs w:val="24"/>
                  <w:lang w:val="es-ES"/>
                </w:rPr>
                <w:t xml:space="preserve">Piraquive, A. M. (2011). </w:t>
              </w:r>
              <w:r w:rsidRPr="006503CC">
                <w:rPr>
                  <w:rFonts w:cs="Segoe UI"/>
                  <w:i/>
                  <w:iCs/>
                  <w:noProof/>
                  <w:sz w:val="22"/>
                  <w:szCs w:val="24"/>
                  <w:lang w:val="es-ES"/>
                </w:rPr>
                <w:t>Proyecto de Ley 46 de 2011 Senado: por la cual se dictan normas de distribución de terrenos baldíos a familias pobres del país con fines sociales y productivos y se dictan otras disposiciones.</w:t>
              </w:r>
              <w:r w:rsidRPr="006503CC">
                <w:rPr>
                  <w:rFonts w:cs="Segoe UI"/>
                  <w:noProof/>
                  <w:sz w:val="22"/>
                  <w:szCs w:val="24"/>
                  <w:lang w:val="es-ES"/>
                </w:rPr>
                <w:t xml:space="preserve"> Bogotá D.C. Obtenido de Gaceta 548 de 2011</w:t>
              </w:r>
            </w:p>
            <w:p w14:paraId="193DED38" w14:textId="77777777" w:rsidR="0028338E" w:rsidRPr="006503CC" w:rsidRDefault="0028338E" w:rsidP="00F24578">
              <w:pPr>
                <w:pStyle w:val="Bibliografa"/>
                <w:ind w:left="720" w:hanging="720"/>
                <w:jc w:val="both"/>
                <w:rPr>
                  <w:rFonts w:cs="Segoe UI"/>
                  <w:noProof/>
                  <w:sz w:val="22"/>
                  <w:szCs w:val="24"/>
                  <w:lang w:val="es-ES"/>
                </w:rPr>
              </w:pPr>
              <w:r w:rsidRPr="006503CC">
                <w:rPr>
                  <w:rFonts w:cs="Segoe UI"/>
                  <w:noProof/>
                  <w:sz w:val="22"/>
                  <w:szCs w:val="24"/>
                  <w:lang w:val="es-ES"/>
                </w:rPr>
                <w:t xml:space="preserve">Romero, T. G. (2016). </w:t>
              </w:r>
              <w:r w:rsidRPr="006503CC">
                <w:rPr>
                  <w:rFonts w:cs="Segoe UI"/>
                  <w:i/>
                  <w:iCs/>
                  <w:noProof/>
                  <w:sz w:val="22"/>
                  <w:szCs w:val="24"/>
                  <w:lang w:val="es-ES"/>
                </w:rPr>
                <w:t>Ponencia para Primer Debate ante la Comisión Quinta de Senado Proyecto de Ley 124 de 2016 Senado - 206 de 2016 Cámara.</w:t>
              </w:r>
              <w:r w:rsidRPr="006503CC">
                <w:rPr>
                  <w:rFonts w:cs="Segoe UI"/>
                  <w:noProof/>
                  <w:sz w:val="22"/>
                  <w:szCs w:val="24"/>
                  <w:lang w:val="es-ES"/>
                </w:rPr>
                <w:t xml:space="preserve"> Bogotá D.C.</w:t>
              </w:r>
            </w:p>
            <w:p w14:paraId="208812AF" w14:textId="6DEE84E2" w:rsidR="0028338E" w:rsidRPr="006503CC" w:rsidRDefault="0028338E" w:rsidP="00F24578">
              <w:pPr>
                <w:jc w:val="both"/>
                <w:rPr>
                  <w:rFonts w:cs="Segoe UI"/>
                  <w:sz w:val="22"/>
                  <w:szCs w:val="24"/>
                  <w:lang w:val="es-ES"/>
                </w:rPr>
              </w:pPr>
              <w:r w:rsidRPr="006503CC">
                <w:rPr>
                  <w:rFonts w:cs="Segoe UI"/>
                  <w:sz w:val="22"/>
                  <w:szCs w:val="24"/>
                </w:rPr>
                <w:t>Machado, A. (2009). La reforma rural una deuda social y política. Bogotá: CID</w:t>
              </w:r>
            </w:p>
            <w:p w14:paraId="0C4203D3" w14:textId="6F76516B" w:rsidR="0028338E" w:rsidRPr="006503CC" w:rsidRDefault="0028338E" w:rsidP="00F24578">
              <w:pPr>
                <w:jc w:val="both"/>
                <w:rPr>
                  <w:rFonts w:cs="Segoe UI"/>
                  <w:sz w:val="22"/>
                  <w:szCs w:val="24"/>
                  <w:lang w:val="es-ES"/>
                </w:rPr>
              </w:pPr>
              <w:r w:rsidRPr="006503CC">
                <w:rPr>
                  <w:rFonts w:cs="Segoe UI"/>
                  <w:sz w:val="22"/>
                  <w:szCs w:val="24"/>
                </w:rPr>
                <w:t>Red Juristas. (1936). Red Juristas.Recuperado el 18 de enero de 2015, de Documentos: www.redjurista.com/Documents/l0200_36.aspxSalas Noguera, L. E. (Junio de 2014). De la Reforma Agraria al desplazamiento forzado en Colombia, 1900-2010. . Documentos CEDE</w:t>
              </w:r>
            </w:p>
            <w:p w14:paraId="7A2F13F8" w14:textId="77777777" w:rsidR="009978B6" w:rsidRPr="006503CC" w:rsidRDefault="009978B6" w:rsidP="00F24578">
              <w:pPr>
                <w:spacing w:line="276" w:lineRule="auto"/>
                <w:jc w:val="both"/>
                <w:rPr>
                  <w:rFonts w:cs="Segoe UI"/>
                  <w:sz w:val="22"/>
                  <w:szCs w:val="24"/>
                </w:rPr>
              </w:pPr>
              <w:r w:rsidRPr="006503CC">
                <w:rPr>
                  <w:rFonts w:cs="Segoe UI"/>
                  <w:b/>
                  <w:bCs/>
                  <w:sz w:val="22"/>
                  <w:szCs w:val="24"/>
                </w:rPr>
                <w:fldChar w:fldCharType="end"/>
              </w:r>
            </w:p>
          </w:sdtContent>
        </w:sdt>
      </w:sdtContent>
    </w:sdt>
    <w:p w14:paraId="305EDA91" w14:textId="77777777" w:rsidR="0028338E" w:rsidRPr="006503CC" w:rsidRDefault="0028338E" w:rsidP="00F24578">
      <w:pPr>
        <w:spacing w:line="276" w:lineRule="auto"/>
        <w:jc w:val="both"/>
        <w:rPr>
          <w:rFonts w:cs="Segoe UI"/>
          <w:sz w:val="22"/>
          <w:szCs w:val="24"/>
        </w:rPr>
      </w:pPr>
    </w:p>
    <w:p w14:paraId="71967DBE" w14:textId="77777777" w:rsidR="00A34D6E" w:rsidRPr="006503CC" w:rsidRDefault="00A34D6E" w:rsidP="00F24578">
      <w:pPr>
        <w:spacing w:line="276" w:lineRule="auto"/>
        <w:jc w:val="both"/>
        <w:rPr>
          <w:rFonts w:cs="Segoe UI"/>
          <w:sz w:val="22"/>
          <w:szCs w:val="24"/>
        </w:rPr>
      </w:pPr>
    </w:p>
    <w:p w14:paraId="3562E287" w14:textId="77777777" w:rsidR="00A34D6E" w:rsidRPr="006503CC" w:rsidRDefault="00A34D6E" w:rsidP="00F24578">
      <w:pPr>
        <w:spacing w:line="276" w:lineRule="auto"/>
        <w:jc w:val="both"/>
        <w:rPr>
          <w:rFonts w:cs="Segoe UI"/>
          <w:sz w:val="22"/>
          <w:szCs w:val="24"/>
        </w:rPr>
      </w:pPr>
    </w:p>
    <w:p w14:paraId="2D991C4D" w14:textId="77777777" w:rsidR="00A34D6E" w:rsidRPr="006503CC" w:rsidRDefault="00A34D6E" w:rsidP="00F24578">
      <w:pPr>
        <w:spacing w:line="276" w:lineRule="auto"/>
        <w:jc w:val="both"/>
        <w:rPr>
          <w:rFonts w:cs="Segoe UI"/>
          <w:sz w:val="22"/>
          <w:szCs w:val="24"/>
        </w:rPr>
      </w:pPr>
    </w:p>
    <w:sectPr w:rsidR="00A34D6E" w:rsidRPr="006503CC" w:rsidSect="00845DC8">
      <w:head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3873B" w14:textId="77777777" w:rsidR="00641D99" w:rsidRDefault="00641D99" w:rsidP="008B05A9">
      <w:pPr>
        <w:spacing w:after="0" w:line="240" w:lineRule="auto"/>
      </w:pPr>
      <w:r>
        <w:separator/>
      </w:r>
    </w:p>
  </w:endnote>
  <w:endnote w:type="continuationSeparator" w:id="0">
    <w:p w14:paraId="73861671" w14:textId="77777777" w:rsidR="00641D99" w:rsidRDefault="00641D99" w:rsidP="008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CAA56" w14:textId="77777777" w:rsidR="00641D99" w:rsidRDefault="00641D99" w:rsidP="008B05A9">
      <w:pPr>
        <w:spacing w:after="0" w:line="240" w:lineRule="auto"/>
      </w:pPr>
      <w:r>
        <w:separator/>
      </w:r>
    </w:p>
  </w:footnote>
  <w:footnote w:type="continuationSeparator" w:id="0">
    <w:p w14:paraId="422DA94E" w14:textId="77777777" w:rsidR="00641D99" w:rsidRDefault="00641D99" w:rsidP="008B05A9">
      <w:pPr>
        <w:spacing w:after="0" w:line="240" w:lineRule="auto"/>
      </w:pPr>
      <w:r>
        <w:continuationSeparator/>
      </w:r>
    </w:p>
  </w:footnote>
  <w:footnote w:id="1">
    <w:p w14:paraId="35BDCE55" w14:textId="77777777" w:rsidR="007F57CD" w:rsidRDefault="007F57CD" w:rsidP="007F57CD">
      <w:pPr>
        <w:pStyle w:val="Textonotapie"/>
      </w:pPr>
      <w:r>
        <w:rPr>
          <w:rStyle w:val="Refdenotaalpie"/>
        </w:rPr>
        <w:footnoteRef/>
      </w:r>
      <w:r>
        <w:t xml:space="preserve"> </w:t>
      </w:r>
      <w:r w:rsidRPr="00A47356">
        <w:rPr>
          <w:rFonts w:cs="Segoe UI"/>
          <w:szCs w:val="24"/>
        </w:rPr>
        <w:t>Efecto por el que recobran la vigencia normas que habían sido derogadas</w:t>
      </w:r>
      <w:r>
        <w:rPr>
          <w:rFonts w:cs="Segoe UI"/>
          <w:szCs w:val="24"/>
        </w:rPr>
        <w:t xml:space="preserve"> </w:t>
      </w:r>
    </w:p>
  </w:footnote>
  <w:footnote w:id="2">
    <w:p w14:paraId="4DA16A78" w14:textId="77777777" w:rsidR="007F57CD" w:rsidRPr="008029EF" w:rsidRDefault="007F57CD" w:rsidP="007F57CD">
      <w:pPr>
        <w:pStyle w:val="Textonotapie"/>
        <w:jc w:val="both"/>
        <w:rPr>
          <w:i/>
          <w:iCs/>
        </w:rPr>
      </w:pPr>
      <w:r w:rsidRPr="008029EF">
        <w:rPr>
          <w:rStyle w:val="Refdenotaalpie"/>
          <w:i/>
          <w:iCs/>
        </w:rPr>
        <w:footnoteRef/>
      </w:r>
      <w:r w:rsidRPr="008029EF">
        <w:rPr>
          <w:i/>
          <w:iCs/>
        </w:rPr>
        <w:t xml:space="preserve"> </w:t>
      </w:r>
      <w:r>
        <w:t xml:space="preserve">El argumento de la Corte para la declaración de inexequibilidad se soporta en la omisión de la Consulta Previa en la mencionada ley: </w:t>
      </w:r>
      <w:r w:rsidRPr="008029EF">
        <w:rPr>
          <w:i/>
          <w:iCs/>
        </w:rPr>
        <w:t xml:space="preserve">La omisión del deber de consulta previa es un vicio de inconstitucionalidad que concurre con anterioridad al trámite legislativo y que se proyecta sobre el contenido material de la norma objeto de examen. A partir de la necesidad de preservar correlativamente el derecho fundamental a la consulta a las comunidades indígenas y afrodescendientes y el principio de conservación del derecho legislado, la Corte ha considerado que si bien el incumplimiento del deber de consulta lleva prima facie a la inexequibilidad de la norma acusada, esta circunstancia debe evaluarse a la luz del grado de mayor o menor generalidad de la medida legislativa y el grado de incidencia de los contenidos de la disposición en los intereses que atañen a las comunidades indígenas y tribales. </w:t>
      </w:r>
    </w:p>
  </w:footnote>
  <w:footnote w:id="3">
    <w:p w14:paraId="447E6465" w14:textId="77777777" w:rsidR="007F57CD" w:rsidRPr="008B05A9" w:rsidRDefault="007F57CD" w:rsidP="007F57CD">
      <w:pPr>
        <w:jc w:val="both"/>
        <w:rPr>
          <w:i/>
          <w:iCs/>
          <w:sz w:val="20"/>
          <w:szCs w:val="20"/>
        </w:rPr>
      </w:pPr>
      <w:r w:rsidRPr="008B05A9">
        <w:rPr>
          <w:rStyle w:val="Refdenotaalpie"/>
          <w:i/>
          <w:iCs/>
          <w:sz w:val="20"/>
          <w:szCs w:val="20"/>
        </w:rPr>
        <w:footnoteRef/>
      </w:r>
      <w:r w:rsidRPr="008B05A9">
        <w:rPr>
          <w:i/>
          <w:iCs/>
          <w:sz w:val="20"/>
          <w:szCs w:val="20"/>
        </w:rPr>
        <w:t xml:space="preserve"> Por la cual se crea el Sistema Nacional de Reforma Agraria y Desarrollo Rural Campesino, se establece un subsidio para la adquisición de tierras, se reforma el Instituto Colombiano de la Reforma Agrari</w:t>
      </w:r>
      <w:r>
        <w:rPr>
          <w:i/>
          <w:iCs/>
          <w:sz w:val="20"/>
          <w:szCs w:val="20"/>
        </w:rPr>
        <w:t xml:space="preserve">a </w:t>
      </w:r>
      <w:r w:rsidRPr="008B05A9">
        <w:rPr>
          <w:i/>
          <w:iCs/>
          <w:sz w:val="20"/>
          <w:szCs w:val="20"/>
        </w:rPr>
        <w:t>y se dictan otras disposiciones.</w:t>
      </w:r>
    </w:p>
  </w:footnote>
  <w:footnote w:id="4">
    <w:p w14:paraId="0F0DCE96" w14:textId="30A09510" w:rsidR="0033791A" w:rsidRDefault="0033791A" w:rsidP="00C12095">
      <w:pPr>
        <w:pStyle w:val="Textonotapie"/>
        <w:jc w:val="both"/>
      </w:pPr>
      <w:r>
        <w:rPr>
          <w:rStyle w:val="Refdenotaalpie"/>
        </w:rPr>
        <w:footnoteRef/>
      </w:r>
      <w:r>
        <w:t xml:space="preserve"> </w:t>
      </w:r>
      <w:r w:rsidRPr="0033791A">
        <w:rPr>
          <w:b/>
        </w:rPr>
        <w:t xml:space="preserve">Constitución Política </w:t>
      </w:r>
      <w:r w:rsidRPr="0033791A">
        <w:rPr>
          <w:rFonts w:cs="Segoe UI"/>
          <w:b/>
          <w:szCs w:val="24"/>
        </w:rPr>
        <w:t>Articulo 64</w:t>
      </w:r>
      <w:r>
        <w:rPr>
          <w:rFonts w:cs="Segoe UI"/>
          <w:szCs w:val="24"/>
        </w:rPr>
        <w:t xml:space="preserve">, </w:t>
      </w:r>
      <w:r w:rsidRPr="0033791A">
        <w:rPr>
          <w:i/>
        </w:rPr>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r w:rsidRPr="0033791A">
        <w:rPr>
          <w:rFonts w:cs="Segoe UI"/>
          <w:i/>
          <w:szCs w:val="24"/>
        </w:rPr>
        <w:t>”</w:t>
      </w:r>
    </w:p>
  </w:footnote>
  <w:footnote w:id="5">
    <w:p w14:paraId="1D914504" w14:textId="303589ED" w:rsidR="00E438E9" w:rsidRDefault="00E438E9" w:rsidP="00C12095">
      <w:pPr>
        <w:pStyle w:val="Textonotapie"/>
        <w:jc w:val="both"/>
      </w:pPr>
      <w:r>
        <w:rPr>
          <w:rStyle w:val="Refdenotaalpie"/>
        </w:rPr>
        <w:footnoteRef/>
      </w:r>
      <w:r>
        <w:t xml:space="preserve"> </w:t>
      </w:r>
      <w:r w:rsidR="0033791A">
        <w:t>Articulo</w:t>
      </w:r>
      <w:r>
        <w:t xml:space="preserve"> 102 Constitución política de Colombia.</w:t>
      </w:r>
    </w:p>
  </w:footnote>
  <w:footnote w:id="6">
    <w:p w14:paraId="2DD51FF7" w14:textId="704357F6" w:rsidR="00A3480B" w:rsidRDefault="00A3480B">
      <w:pPr>
        <w:pStyle w:val="Textonotapie"/>
      </w:pPr>
      <w:r w:rsidRPr="00A3480B">
        <w:rPr>
          <w:rStyle w:val="Refdenotaalpie"/>
        </w:rPr>
        <w:footnoteRef/>
      </w:r>
      <w:r w:rsidRPr="00A3480B">
        <w:t xml:space="preserve"> </w:t>
      </w:r>
      <w:r w:rsidRPr="00A3480B">
        <w:rPr>
          <w:rFonts w:ascii="Arial" w:hAnsi="Arial" w:cs="Arial"/>
        </w:rPr>
        <w:t>intervención audiencia pública en los casos T-6.091.370, T-6.154.475, T-6.343.152, T-6.379.131, T-6.387.749, T-6.390.673, T-6.489.549, T-6.489.741 y T-6.688.471</w:t>
      </w:r>
    </w:p>
  </w:footnote>
  <w:footnote w:id="7">
    <w:p w14:paraId="11E8AB5C" w14:textId="3F9A15B6" w:rsidR="00F77A75" w:rsidRDefault="00F77A75">
      <w:pPr>
        <w:pStyle w:val="Textonotapie"/>
      </w:pPr>
      <w:r>
        <w:rPr>
          <w:rStyle w:val="Refdenotaalpie"/>
        </w:rPr>
        <w:footnoteRef/>
      </w:r>
      <w:r>
        <w:t xml:space="preserve"> Centro de Memoria Histórica, 2016. Informe tierra y conflictos rurales. Consultado el 27 de enero de 2020 </w:t>
      </w:r>
      <w:hyperlink r:id="rId1" w:history="1">
        <w:r w:rsidRPr="0032645E">
          <w:rPr>
            <w:rStyle w:val="Hipervnculo"/>
          </w:rPr>
          <w:t>https://www.google.com/search?client=firefox-b-d&amp;q=mapa+tenencia+de+tierra+colombia</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BAD0" w14:textId="622AEC31" w:rsidR="006503CC" w:rsidRDefault="006503CC" w:rsidP="006503CC">
    <w:pPr>
      <w:pStyle w:val="Encabezado"/>
      <w:jc w:val="center"/>
    </w:pPr>
    <w:r>
      <w:rPr>
        <w:noProof/>
        <w:lang w:eastAsia="es-CO"/>
      </w:rPr>
      <w:drawing>
        <wp:inline distT="0" distB="0" distL="0" distR="0" wp14:anchorId="23B3F0CA" wp14:editId="492938D1">
          <wp:extent cx="2816352" cy="832566"/>
          <wp:effectExtent l="0" t="0" r="317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090" cy="852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C10F8"/>
    <w:multiLevelType w:val="hybridMultilevel"/>
    <w:tmpl w:val="D820C7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DF5BF7"/>
    <w:multiLevelType w:val="hybridMultilevel"/>
    <w:tmpl w:val="4CE686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C034A1"/>
    <w:multiLevelType w:val="hybridMultilevel"/>
    <w:tmpl w:val="F2B48D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B624B17"/>
    <w:multiLevelType w:val="hybridMultilevel"/>
    <w:tmpl w:val="5C58322C"/>
    <w:lvl w:ilvl="0" w:tplc="CE9A8B4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73555B6E"/>
    <w:multiLevelType w:val="hybridMultilevel"/>
    <w:tmpl w:val="2862A7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A9"/>
    <w:rsid w:val="0002392D"/>
    <w:rsid w:val="000337CA"/>
    <w:rsid w:val="000842E8"/>
    <w:rsid w:val="000914F1"/>
    <w:rsid w:val="000A798D"/>
    <w:rsid w:val="000A7A30"/>
    <w:rsid w:val="000C30AD"/>
    <w:rsid w:val="000C7B1A"/>
    <w:rsid w:val="000E7026"/>
    <w:rsid w:val="000F12EC"/>
    <w:rsid w:val="001C0308"/>
    <w:rsid w:val="001C418C"/>
    <w:rsid w:val="00235346"/>
    <w:rsid w:val="002427DF"/>
    <w:rsid w:val="00271BB8"/>
    <w:rsid w:val="0028338E"/>
    <w:rsid w:val="002A4367"/>
    <w:rsid w:val="002C1E2F"/>
    <w:rsid w:val="002E450A"/>
    <w:rsid w:val="003110A2"/>
    <w:rsid w:val="0033791A"/>
    <w:rsid w:val="00352ABB"/>
    <w:rsid w:val="00392DCB"/>
    <w:rsid w:val="003C3D68"/>
    <w:rsid w:val="003D7E45"/>
    <w:rsid w:val="00406B50"/>
    <w:rsid w:val="00410850"/>
    <w:rsid w:val="004360AE"/>
    <w:rsid w:val="00464575"/>
    <w:rsid w:val="00473450"/>
    <w:rsid w:val="004B6E39"/>
    <w:rsid w:val="004F4987"/>
    <w:rsid w:val="0051734A"/>
    <w:rsid w:val="00544499"/>
    <w:rsid w:val="00582883"/>
    <w:rsid w:val="00596C04"/>
    <w:rsid w:val="005A2C8F"/>
    <w:rsid w:val="005C3174"/>
    <w:rsid w:val="0060376D"/>
    <w:rsid w:val="00616038"/>
    <w:rsid w:val="006359F0"/>
    <w:rsid w:val="00637740"/>
    <w:rsid w:val="00641D99"/>
    <w:rsid w:val="006503CC"/>
    <w:rsid w:val="006A1140"/>
    <w:rsid w:val="006C491D"/>
    <w:rsid w:val="007038CA"/>
    <w:rsid w:val="007077C8"/>
    <w:rsid w:val="00723632"/>
    <w:rsid w:val="007626B3"/>
    <w:rsid w:val="00780946"/>
    <w:rsid w:val="00791407"/>
    <w:rsid w:val="007A4501"/>
    <w:rsid w:val="007E6D6D"/>
    <w:rsid w:val="007F57CD"/>
    <w:rsid w:val="008029EF"/>
    <w:rsid w:val="008035B0"/>
    <w:rsid w:val="0080520D"/>
    <w:rsid w:val="0081336E"/>
    <w:rsid w:val="00827425"/>
    <w:rsid w:val="00827970"/>
    <w:rsid w:val="00845DC8"/>
    <w:rsid w:val="008A180F"/>
    <w:rsid w:val="008A1AB8"/>
    <w:rsid w:val="008B05A9"/>
    <w:rsid w:val="008E1A37"/>
    <w:rsid w:val="009067F8"/>
    <w:rsid w:val="00932DAF"/>
    <w:rsid w:val="00971A2B"/>
    <w:rsid w:val="00991229"/>
    <w:rsid w:val="009978B6"/>
    <w:rsid w:val="009B22E5"/>
    <w:rsid w:val="009E5D56"/>
    <w:rsid w:val="00A00A27"/>
    <w:rsid w:val="00A047D2"/>
    <w:rsid w:val="00A123AC"/>
    <w:rsid w:val="00A266E6"/>
    <w:rsid w:val="00A3480B"/>
    <w:rsid w:val="00A34D6E"/>
    <w:rsid w:val="00A46A0B"/>
    <w:rsid w:val="00A532F6"/>
    <w:rsid w:val="00A55E1D"/>
    <w:rsid w:val="00A619FD"/>
    <w:rsid w:val="00A67D22"/>
    <w:rsid w:val="00A75277"/>
    <w:rsid w:val="00A80A3E"/>
    <w:rsid w:val="00AD0424"/>
    <w:rsid w:val="00AE1751"/>
    <w:rsid w:val="00B1016B"/>
    <w:rsid w:val="00B34343"/>
    <w:rsid w:val="00BB3F6B"/>
    <w:rsid w:val="00BD50AE"/>
    <w:rsid w:val="00C111E6"/>
    <w:rsid w:val="00C12095"/>
    <w:rsid w:val="00C24280"/>
    <w:rsid w:val="00C62A19"/>
    <w:rsid w:val="00C66331"/>
    <w:rsid w:val="00C66534"/>
    <w:rsid w:val="00C82976"/>
    <w:rsid w:val="00CB7810"/>
    <w:rsid w:val="00D4255F"/>
    <w:rsid w:val="00D61C7E"/>
    <w:rsid w:val="00D72B30"/>
    <w:rsid w:val="00D7434A"/>
    <w:rsid w:val="00D9015B"/>
    <w:rsid w:val="00E15AAF"/>
    <w:rsid w:val="00E37991"/>
    <w:rsid w:val="00E438E9"/>
    <w:rsid w:val="00EA5407"/>
    <w:rsid w:val="00EB793A"/>
    <w:rsid w:val="00F04851"/>
    <w:rsid w:val="00F214DC"/>
    <w:rsid w:val="00F24578"/>
    <w:rsid w:val="00F35BE5"/>
    <w:rsid w:val="00F37467"/>
    <w:rsid w:val="00F6078F"/>
    <w:rsid w:val="00F77A75"/>
    <w:rsid w:val="00F87F34"/>
    <w:rsid w:val="00F95DEE"/>
    <w:rsid w:val="00FA2E3B"/>
    <w:rsid w:val="00FB5935"/>
    <w:rsid w:val="00FF2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30115"/>
  <w15:chartTrackingRefBased/>
  <w15:docId w15:val="{262217A5-9C29-4D1F-A903-E6C5061B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4"/>
        <w:szCs w:val="22"/>
        <w:lang w:val="es-CO"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498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B05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05A9"/>
    <w:rPr>
      <w:sz w:val="20"/>
      <w:szCs w:val="20"/>
    </w:rPr>
  </w:style>
  <w:style w:type="character" w:styleId="Refdenotaalpie">
    <w:name w:val="footnote reference"/>
    <w:basedOn w:val="Fuentedeprrafopredeter"/>
    <w:uiPriority w:val="99"/>
    <w:semiHidden/>
    <w:unhideWhenUsed/>
    <w:rsid w:val="008B05A9"/>
    <w:rPr>
      <w:vertAlign w:val="superscript"/>
    </w:rPr>
  </w:style>
  <w:style w:type="paragraph" w:styleId="Prrafodelista">
    <w:name w:val="List Paragraph"/>
    <w:basedOn w:val="Normal"/>
    <w:uiPriority w:val="34"/>
    <w:qFormat/>
    <w:rsid w:val="008B05A9"/>
    <w:pPr>
      <w:ind w:left="720"/>
      <w:contextualSpacing/>
    </w:pPr>
  </w:style>
  <w:style w:type="paragraph" w:styleId="Encabezado">
    <w:name w:val="header"/>
    <w:basedOn w:val="Normal"/>
    <w:link w:val="EncabezadoCar"/>
    <w:uiPriority w:val="99"/>
    <w:unhideWhenUsed/>
    <w:rsid w:val="00E15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AAF"/>
  </w:style>
  <w:style w:type="paragraph" w:styleId="Piedepgina">
    <w:name w:val="footer"/>
    <w:basedOn w:val="Normal"/>
    <w:link w:val="PiedepginaCar"/>
    <w:uiPriority w:val="99"/>
    <w:unhideWhenUsed/>
    <w:rsid w:val="00E15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AAF"/>
  </w:style>
  <w:style w:type="character" w:customStyle="1" w:styleId="Ttulo1Car">
    <w:name w:val="Título 1 Car"/>
    <w:basedOn w:val="Fuentedeprrafopredeter"/>
    <w:link w:val="Ttulo1"/>
    <w:uiPriority w:val="9"/>
    <w:rsid w:val="004F4987"/>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4F4987"/>
  </w:style>
  <w:style w:type="paragraph" w:styleId="Descripcin">
    <w:name w:val="caption"/>
    <w:basedOn w:val="Normal"/>
    <w:next w:val="Normal"/>
    <w:uiPriority w:val="35"/>
    <w:unhideWhenUsed/>
    <w:qFormat/>
    <w:rsid w:val="009978B6"/>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A46A0B"/>
    <w:rPr>
      <w:color w:val="0000FF"/>
      <w:u w:val="single"/>
    </w:rPr>
  </w:style>
  <w:style w:type="character" w:styleId="Hipervnculovisitado">
    <w:name w:val="FollowedHyperlink"/>
    <w:basedOn w:val="Fuentedeprrafopredeter"/>
    <w:uiPriority w:val="99"/>
    <w:semiHidden/>
    <w:unhideWhenUsed/>
    <w:rsid w:val="003D7E45"/>
    <w:rPr>
      <w:color w:val="954F72" w:themeColor="followedHyperlink"/>
      <w:u w:val="single"/>
    </w:rPr>
  </w:style>
  <w:style w:type="paragraph" w:styleId="Sinespaciado">
    <w:name w:val="No Spacing"/>
    <w:uiPriority w:val="1"/>
    <w:qFormat/>
    <w:rsid w:val="006503CC"/>
    <w:pPr>
      <w:spacing w:after="0" w:line="240" w:lineRule="auto"/>
    </w:pPr>
  </w:style>
  <w:style w:type="paragraph" w:styleId="Textodeglobo">
    <w:name w:val="Balloon Text"/>
    <w:basedOn w:val="Normal"/>
    <w:link w:val="TextodegloboCar"/>
    <w:uiPriority w:val="99"/>
    <w:semiHidden/>
    <w:unhideWhenUsed/>
    <w:rsid w:val="006503CC"/>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6503CC"/>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7437">
      <w:bodyDiv w:val="1"/>
      <w:marLeft w:val="0"/>
      <w:marRight w:val="0"/>
      <w:marTop w:val="0"/>
      <w:marBottom w:val="0"/>
      <w:divBdr>
        <w:top w:val="none" w:sz="0" w:space="0" w:color="auto"/>
        <w:left w:val="none" w:sz="0" w:space="0" w:color="auto"/>
        <w:bottom w:val="none" w:sz="0" w:space="0" w:color="auto"/>
        <w:right w:val="none" w:sz="0" w:space="0" w:color="auto"/>
      </w:divBdr>
    </w:div>
    <w:div w:id="88284558">
      <w:bodyDiv w:val="1"/>
      <w:marLeft w:val="0"/>
      <w:marRight w:val="0"/>
      <w:marTop w:val="0"/>
      <w:marBottom w:val="0"/>
      <w:divBdr>
        <w:top w:val="none" w:sz="0" w:space="0" w:color="auto"/>
        <w:left w:val="none" w:sz="0" w:space="0" w:color="auto"/>
        <w:bottom w:val="none" w:sz="0" w:space="0" w:color="auto"/>
        <w:right w:val="none" w:sz="0" w:space="0" w:color="auto"/>
      </w:divBdr>
    </w:div>
    <w:div w:id="106436998">
      <w:bodyDiv w:val="1"/>
      <w:marLeft w:val="0"/>
      <w:marRight w:val="0"/>
      <w:marTop w:val="0"/>
      <w:marBottom w:val="0"/>
      <w:divBdr>
        <w:top w:val="none" w:sz="0" w:space="0" w:color="auto"/>
        <w:left w:val="none" w:sz="0" w:space="0" w:color="auto"/>
        <w:bottom w:val="none" w:sz="0" w:space="0" w:color="auto"/>
        <w:right w:val="none" w:sz="0" w:space="0" w:color="auto"/>
      </w:divBdr>
    </w:div>
    <w:div w:id="133303052">
      <w:bodyDiv w:val="1"/>
      <w:marLeft w:val="0"/>
      <w:marRight w:val="0"/>
      <w:marTop w:val="0"/>
      <w:marBottom w:val="0"/>
      <w:divBdr>
        <w:top w:val="none" w:sz="0" w:space="0" w:color="auto"/>
        <w:left w:val="none" w:sz="0" w:space="0" w:color="auto"/>
        <w:bottom w:val="none" w:sz="0" w:space="0" w:color="auto"/>
        <w:right w:val="none" w:sz="0" w:space="0" w:color="auto"/>
      </w:divBdr>
    </w:div>
    <w:div w:id="145362372">
      <w:bodyDiv w:val="1"/>
      <w:marLeft w:val="0"/>
      <w:marRight w:val="0"/>
      <w:marTop w:val="0"/>
      <w:marBottom w:val="0"/>
      <w:divBdr>
        <w:top w:val="none" w:sz="0" w:space="0" w:color="auto"/>
        <w:left w:val="none" w:sz="0" w:space="0" w:color="auto"/>
        <w:bottom w:val="none" w:sz="0" w:space="0" w:color="auto"/>
        <w:right w:val="none" w:sz="0" w:space="0" w:color="auto"/>
      </w:divBdr>
    </w:div>
    <w:div w:id="176428316">
      <w:bodyDiv w:val="1"/>
      <w:marLeft w:val="0"/>
      <w:marRight w:val="0"/>
      <w:marTop w:val="0"/>
      <w:marBottom w:val="0"/>
      <w:divBdr>
        <w:top w:val="none" w:sz="0" w:space="0" w:color="auto"/>
        <w:left w:val="none" w:sz="0" w:space="0" w:color="auto"/>
        <w:bottom w:val="none" w:sz="0" w:space="0" w:color="auto"/>
        <w:right w:val="none" w:sz="0" w:space="0" w:color="auto"/>
      </w:divBdr>
    </w:div>
    <w:div w:id="258607304">
      <w:bodyDiv w:val="1"/>
      <w:marLeft w:val="0"/>
      <w:marRight w:val="0"/>
      <w:marTop w:val="0"/>
      <w:marBottom w:val="0"/>
      <w:divBdr>
        <w:top w:val="none" w:sz="0" w:space="0" w:color="auto"/>
        <w:left w:val="none" w:sz="0" w:space="0" w:color="auto"/>
        <w:bottom w:val="none" w:sz="0" w:space="0" w:color="auto"/>
        <w:right w:val="none" w:sz="0" w:space="0" w:color="auto"/>
      </w:divBdr>
    </w:div>
    <w:div w:id="280385589">
      <w:bodyDiv w:val="1"/>
      <w:marLeft w:val="0"/>
      <w:marRight w:val="0"/>
      <w:marTop w:val="0"/>
      <w:marBottom w:val="0"/>
      <w:divBdr>
        <w:top w:val="none" w:sz="0" w:space="0" w:color="auto"/>
        <w:left w:val="none" w:sz="0" w:space="0" w:color="auto"/>
        <w:bottom w:val="none" w:sz="0" w:space="0" w:color="auto"/>
        <w:right w:val="none" w:sz="0" w:space="0" w:color="auto"/>
      </w:divBdr>
    </w:div>
    <w:div w:id="287588893">
      <w:bodyDiv w:val="1"/>
      <w:marLeft w:val="0"/>
      <w:marRight w:val="0"/>
      <w:marTop w:val="0"/>
      <w:marBottom w:val="0"/>
      <w:divBdr>
        <w:top w:val="none" w:sz="0" w:space="0" w:color="auto"/>
        <w:left w:val="none" w:sz="0" w:space="0" w:color="auto"/>
        <w:bottom w:val="none" w:sz="0" w:space="0" w:color="auto"/>
        <w:right w:val="none" w:sz="0" w:space="0" w:color="auto"/>
      </w:divBdr>
    </w:div>
    <w:div w:id="307396131">
      <w:bodyDiv w:val="1"/>
      <w:marLeft w:val="0"/>
      <w:marRight w:val="0"/>
      <w:marTop w:val="0"/>
      <w:marBottom w:val="0"/>
      <w:divBdr>
        <w:top w:val="none" w:sz="0" w:space="0" w:color="auto"/>
        <w:left w:val="none" w:sz="0" w:space="0" w:color="auto"/>
        <w:bottom w:val="none" w:sz="0" w:space="0" w:color="auto"/>
        <w:right w:val="none" w:sz="0" w:space="0" w:color="auto"/>
      </w:divBdr>
    </w:div>
    <w:div w:id="314064525">
      <w:bodyDiv w:val="1"/>
      <w:marLeft w:val="0"/>
      <w:marRight w:val="0"/>
      <w:marTop w:val="0"/>
      <w:marBottom w:val="0"/>
      <w:divBdr>
        <w:top w:val="none" w:sz="0" w:space="0" w:color="auto"/>
        <w:left w:val="none" w:sz="0" w:space="0" w:color="auto"/>
        <w:bottom w:val="none" w:sz="0" w:space="0" w:color="auto"/>
        <w:right w:val="none" w:sz="0" w:space="0" w:color="auto"/>
      </w:divBdr>
    </w:div>
    <w:div w:id="321010675">
      <w:bodyDiv w:val="1"/>
      <w:marLeft w:val="0"/>
      <w:marRight w:val="0"/>
      <w:marTop w:val="0"/>
      <w:marBottom w:val="0"/>
      <w:divBdr>
        <w:top w:val="none" w:sz="0" w:space="0" w:color="auto"/>
        <w:left w:val="none" w:sz="0" w:space="0" w:color="auto"/>
        <w:bottom w:val="none" w:sz="0" w:space="0" w:color="auto"/>
        <w:right w:val="none" w:sz="0" w:space="0" w:color="auto"/>
      </w:divBdr>
    </w:div>
    <w:div w:id="367142819">
      <w:bodyDiv w:val="1"/>
      <w:marLeft w:val="0"/>
      <w:marRight w:val="0"/>
      <w:marTop w:val="0"/>
      <w:marBottom w:val="0"/>
      <w:divBdr>
        <w:top w:val="none" w:sz="0" w:space="0" w:color="auto"/>
        <w:left w:val="none" w:sz="0" w:space="0" w:color="auto"/>
        <w:bottom w:val="none" w:sz="0" w:space="0" w:color="auto"/>
        <w:right w:val="none" w:sz="0" w:space="0" w:color="auto"/>
      </w:divBdr>
    </w:div>
    <w:div w:id="385226770">
      <w:bodyDiv w:val="1"/>
      <w:marLeft w:val="0"/>
      <w:marRight w:val="0"/>
      <w:marTop w:val="0"/>
      <w:marBottom w:val="0"/>
      <w:divBdr>
        <w:top w:val="none" w:sz="0" w:space="0" w:color="auto"/>
        <w:left w:val="none" w:sz="0" w:space="0" w:color="auto"/>
        <w:bottom w:val="none" w:sz="0" w:space="0" w:color="auto"/>
        <w:right w:val="none" w:sz="0" w:space="0" w:color="auto"/>
      </w:divBdr>
    </w:div>
    <w:div w:id="411435011">
      <w:bodyDiv w:val="1"/>
      <w:marLeft w:val="0"/>
      <w:marRight w:val="0"/>
      <w:marTop w:val="0"/>
      <w:marBottom w:val="0"/>
      <w:divBdr>
        <w:top w:val="none" w:sz="0" w:space="0" w:color="auto"/>
        <w:left w:val="none" w:sz="0" w:space="0" w:color="auto"/>
        <w:bottom w:val="none" w:sz="0" w:space="0" w:color="auto"/>
        <w:right w:val="none" w:sz="0" w:space="0" w:color="auto"/>
      </w:divBdr>
    </w:div>
    <w:div w:id="416170802">
      <w:bodyDiv w:val="1"/>
      <w:marLeft w:val="0"/>
      <w:marRight w:val="0"/>
      <w:marTop w:val="0"/>
      <w:marBottom w:val="0"/>
      <w:divBdr>
        <w:top w:val="none" w:sz="0" w:space="0" w:color="auto"/>
        <w:left w:val="none" w:sz="0" w:space="0" w:color="auto"/>
        <w:bottom w:val="none" w:sz="0" w:space="0" w:color="auto"/>
        <w:right w:val="none" w:sz="0" w:space="0" w:color="auto"/>
      </w:divBdr>
    </w:div>
    <w:div w:id="428627655">
      <w:bodyDiv w:val="1"/>
      <w:marLeft w:val="0"/>
      <w:marRight w:val="0"/>
      <w:marTop w:val="0"/>
      <w:marBottom w:val="0"/>
      <w:divBdr>
        <w:top w:val="none" w:sz="0" w:space="0" w:color="auto"/>
        <w:left w:val="none" w:sz="0" w:space="0" w:color="auto"/>
        <w:bottom w:val="none" w:sz="0" w:space="0" w:color="auto"/>
        <w:right w:val="none" w:sz="0" w:space="0" w:color="auto"/>
      </w:divBdr>
    </w:div>
    <w:div w:id="454451736">
      <w:bodyDiv w:val="1"/>
      <w:marLeft w:val="0"/>
      <w:marRight w:val="0"/>
      <w:marTop w:val="0"/>
      <w:marBottom w:val="0"/>
      <w:divBdr>
        <w:top w:val="none" w:sz="0" w:space="0" w:color="auto"/>
        <w:left w:val="none" w:sz="0" w:space="0" w:color="auto"/>
        <w:bottom w:val="none" w:sz="0" w:space="0" w:color="auto"/>
        <w:right w:val="none" w:sz="0" w:space="0" w:color="auto"/>
      </w:divBdr>
    </w:div>
    <w:div w:id="489711242">
      <w:bodyDiv w:val="1"/>
      <w:marLeft w:val="0"/>
      <w:marRight w:val="0"/>
      <w:marTop w:val="0"/>
      <w:marBottom w:val="0"/>
      <w:divBdr>
        <w:top w:val="none" w:sz="0" w:space="0" w:color="auto"/>
        <w:left w:val="none" w:sz="0" w:space="0" w:color="auto"/>
        <w:bottom w:val="none" w:sz="0" w:space="0" w:color="auto"/>
        <w:right w:val="none" w:sz="0" w:space="0" w:color="auto"/>
      </w:divBdr>
    </w:div>
    <w:div w:id="501554686">
      <w:bodyDiv w:val="1"/>
      <w:marLeft w:val="0"/>
      <w:marRight w:val="0"/>
      <w:marTop w:val="0"/>
      <w:marBottom w:val="0"/>
      <w:divBdr>
        <w:top w:val="none" w:sz="0" w:space="0" w:color="auto"/>
        <w:left w:val="none" w:sz="0" w:space="0" w:color="auto"/>
        <w:bottom w:val="none" w:sz="0" w:space="0" w:color="auto"/>
        <w:right w:val="none" w:sz="0" w:space="0" w:color="auto"/>
      </w:divBdr>
    </w:div>
    <w:div w:id="506680228">
      <w:bodyDiv w:val="1"/>
      <w:marLeft w:val="0"/>
      <w:marRight w:val="0"/>
      <w:marTop w:val="0"/>
      <w:marBottom w:val="0"/>
      <w:divBdr>
        <w:top w:val="none" w:sz="0" w:space="0" w:color="auto"/>
        <w:left w:val="none" w:sz="0" w:space="0" w:color="auto"/>
        <w:bottom w:val="none" w:sz="0" w:space="0" w:color="auto"/>
        <w:right w:val="none" w:sz="0" w:space="0" w:color="auto"/>
      </w:divBdr>
    </w:div>
    <w:div w:id="551038898">
      <w:bodyDiv w:val="1"/>
      <w:marLeft w:val="0"/>
      <w:marRight w:val="0"/>
      <w:marTop w:val="0"/>
      <w:marBottom w:val="0"/>
      <w:divBdr>
        <w:top w:val="none" w:sz="0" w:space="0" w:color="auto"/>
        <w:left w:val="none" w:sz="0" w:space="0" w:color="auto"/>
        <w:bottom w:val="none" w:sz="0" w:space="0" w:color="auto"/>
        <w:right w:val="none" w:sz="0" w:space="0" w:color="auto"/>
      </w:divBdr>
    </w:div>
    <w:div w:id="559095992">
      <w:bodyDiv w:val="1"/>
      <w:marLeft w:val="0"/>
      <w:marRight w:val="0"/>
      <w:marTop w:val="0"/>
      <w:marBottom w:val="0"/>
      <w:divBdr>
        <w:top w:val="none" w:sz="0" w:space="0" w:color="auto"/>
        <w:left w:val="none" w:sz="0" w:space="0" w:color="auto"/>
        <w:bottom w:val="none" w:sz="0" w:space="0" w:color="auto"/>
        <w:right w:val="none" w:sz="0" w:space="0" w:color="auto"/>
      </w:divBdr>
    </w:div>
    <w:div w:id="571819173">
      <w:bodyDiv w:val="1"/>
      <w:marLeft w:val="0"/>
      <w:marRight w:val="0"/>
      <w:marTop w:val="0"/>
      <w:marBottom w:val="0"/>
      <w:divBdr>
        <w:top w:val="none" w:sz="0" w:space="0" w:color="auto"/>
        <w:left w:val="none" w:sz="0" w:space="0" w:color="auto"/>
        <w:bottom w:val="none" w:sz="0" w:space="0" w:color="auto"/>
        <w:right w:val="none" w:sz="0" w:space="0" w:color="auto"/>
      </w:divBdr>
    </w:div>
    <w:div w:id="574628502">
      <w:bodyDiv w:val="1"/>
      <w:marLeft w:val="0"/>
      <w:marRight w:val="0"/>
      <w:marTop w:val="0"/>
      <w:marBottom w:val="0"/>
      <w:divBdr>
        <w:top w:val="none" w:sz="0" w:space="0" w:color="auto"/>
        <w:left w:val="none" w:sz="0" w:space="0" w:color="auto"/>
        <w:bottom w:val="none" w:sz="0" w:space="0" w:color="auto"/>
        <w:right w:val="none" w:sz="0" w:space="0" w:color="auto"/>
      </w:divBdr>
    </w:div>
    <w:div w:id="601913786">
      <w:bodyDiv w:val="1"/>
      <w:marLeft w:val="0"/>
      <w:marRight w:val="0"/>
      <w:marTop w:val="0"/>
      <w:marBottom w:val="0"/>
      <w:divBdr>
        <w:top w:val="none" w:sz="0" w:space="0" w:color="auto"/>
        <w:left w:val="none" w:sz="0" w:space="0" w:color="auto"/>
        <w:bottom w:val="none" w:sz="0" w:space="0" w:color="auto"/>
        <w:right w:val="none" w:sz="0" w:space="0" w:color="auto"/>
      </w:divBdr>
    </w:div>
    <w:div w:id="685643074">
      <w:bodyDiv w:val="1"/>
      <w:marLeft w:val="0"/>
      <w:marRight w:val="0"/>
      <w:marTop w:val="0"/>
      <w:marBottom w:val="0"/>
      <w:divBdr>
        <w:top w:val="none" w:sz="0" w:space="0" w:color="auto"/>
        <w:left w:val="none" w:sz="0" w:space="0" w:color="auto"/>
        <w:bottom w:val="none" w:sz="0" w:space="0" w:color="auto"/>
        <w:right w:val="none" w:sz="0" w:space="0" w:color="auto"/>
      </w:divBdr>
    </w:div>
    <w:div w:id="689717306">
      <w:bodyDiv w:val="1"/>
      <w:marLeft w:val="0"/>
      <w:marRight w:val="0"/>
      <w:marTop w:val="0"/>
      <w:marBottom w:val="0"/>
      <w:divBdr>
        <w:top w:val="none" w:sz="0" w:space="0" w:color="auto"/>
        <w:left w:val="none" w:sz="0" w:space="0" w:color="auto"/>
        <w:bottom w:val="none" w:sz="0" w:space="0" w:color="auto"/>
        <w:right w:val="none" w:sz="0" w:space="0" w:color="auto"/>
      </w:divBdr>
    </w:div>
    <w:div w:id="713625791">
      <w:bodyDiv w:val="1"/>
      <w:marLeft w:val="0"/>
      <w:marRight w:val="0"/>
      <w:marTop w:val="0"/>
      <w:marBottom w:val="0"/>
      <w:divBdr>
        <w:top w:val="none" w:sz="0" w:space="0" w:color="auto"/>
        <w:left w:val="none" w:sz="0" w:space="0" w:color="auto"/>
        <w:bottom w:val="none" w:sz="0" w:space="0" w:color="auto"/>
        <w:right w:val="none" w:sz="0" w:space="0" w:color="auto"/>
      </w:divBdr>
    </w:div>
    <w:div w:id="715467000">
      <w:bodyDiv w:val="1"/>
      <w:marLeft w:val="0"/>
      <w:marRight w:val="0"/>
      <w:marTop w:val="0"/>
      <w:marBottom w:val="0"/>
      <w:divBdr>
        <w:top w:val="none" w:sz="0" w:space="0" w:color="auto"/>
        <w:left w:val="none" w:sz="0" w:space="0" w:color="auto"/>
        <w:bottom w:val="none" w:sz="0" w:space="0" w:color="auto"/>
        <w:right w:val="none" w:sz="0" w:space="0" w:color="auto"/>
      </w:divBdr>
    </w:div>
    <w:div w:id="724067786">
      <w:bodyDiv w:val="1"/>
      <w:marLeft w:val="0"/>
      <w:marRight w:val="0"/>
      <w:marTop w:val="0"/>
      <w:marBottom w:val="0"/>
      <w:divBdr>
        <w:top w:val="none" w:sz="0" w:space="0" w:color="auto"/>
        <w:left w:val="none" w:sz="0" w:space="0" w:color="auto"/>
        <w:bottom w:val="none" w:sz="0" w:space="0" w:color="auto"/>
        <w:right w:val="none" w:sz="0" w:space="0" w:color="auto"/>
      </w:divBdr>
    </w:div>
    <w:div w:id="748355916">
      <w:bodyDiv w:val="1"/>
      <w:marLeft w:val="0"/>
      <w:marRight w:val="0"/>
      <w:marTop w:val="0"/>
      <w:marBottom w:val="0"/>
      <w:divBdr>
        <w:top w:val="none" w:sz="0" w:space="0" w:color="auto"/>
        <w:left w:val="none" w:sz="0" w:space="0" w:color="auto"/>
        <w:bottom w:val="none" w:sz="0" w:space="0" w:color="auto"/>
        <w:right w:val="none" w:sz="0" w:space="0" w:color="auto"/>
      </w:divBdr>
    </w:div>
    <w:div w:id="763040426">
      <w:bodyDiv w:val="1"/>
      <w:marLeft w:val="0"/>
      <w:marRight w:val="0"/>
      <w:marTop w:val="0"/>
      <w:marBottom w:val="0"/>
      <w:divBdr>
        <w:top w:val="none" w:sz="0" w:space="0" w:color="auto"/>
        <w:left w:val="none" w:sz="0" w:space="0" w:color="auto"/>
        <w:bottom w:val="none" w:sz="0" w:space="0" w:color="auto"/>
        <w:right w:val="none" w:sz="0" w:space="0" w:color="auto"/>
      </w:divBdr>
    </w:div>
    <w:div w:id="809399315">
      <w:bodyDiv w:val="1"/>
      <w:marLeft w:val="0"/>
      <w:marRight w:val="0"/>
      <w:marTop w:val="0"/>
      <w:marBottom w:val="0"/>
      <w:divBdr>
        <w:top w:val="none" w:sz="0" w:space="0" w:color="auto"/>
        <w:left w:val="none" w:sz="0" w:space="0" w:color="auto"/>
        <w:bottom w:val="none" w:sz="0" w:space="0" w:color="auto"/>
        <w:right w:val="none" w:sz="0" w:space="0" w:color="auto"/>
      </w:divBdr>
    </w:div>
    <w:div w:id="871108777">
      <w:bodyDiv w:val="1"/>
      <w:marLeft w:val="0"/>
      <w:marRight w:val="0"/>
      <w:marTop w:val="0"/>
      <w:marBottom w:val="0"/>
      <w:divBdr>
        <w:top w:val="none" w:sz="0" w:space="0" w:color="auto"/>
        <w:left w:val="none" w:sz="0" w:space="0" w:color="auto"/>
        <w:bottom w:val="none" w:sz="0" w:space="0" w:color="auto"/>
        <w:right w:val="none" w:sz="0" w:space="0" w:color="auto"/>
      </w:divBdr>
    </w:div>
    <w:div w:id="907806005">
      <w:bodyDiv w:val="1"/>
      <w:marLeft w:val="0"/>
      <w:marRight w:val="0"/>
      <w:marTop w:val="0"/>
      <w:marBottom w:val="0"/>
      <w:divBdr>
        <w:top w:val="none" w:sz="0" w:space="0" w:color="auto"/>
        <w:left w:val="none" w:sz="0" w:space="0" w:color="auto"/>
        <w:bottom w:val="none" w:sz="0" w:space="0" w:color="auto"/>
        <w:right w:val="none" w:sz="0" w:space="0" w:color="auto"/>
      </w:divBdr>
    </w:div>
    <w:div w:id="910584612">
      <w:bodyDiv w:val="1"/>
      <w:marLeft w:val="0"/>
      <w:marRight w:val="0"/>
      <w:marTop w:val="0"/>
      <w:marBottom w:val="0"/>
      <w:divBdr>
        <w:top w:val="none" w:sz="0" w:space="0" w:color="auto"/>
        <w:left w:val="none" w:sz="0" w:space="0" w:color="auto"/>
        <w:bottom w:val="none" w:sz="0" w:space="0" w:color="auto"/>
        <w:right w:val="none" w:sz="0" w:space="0" w:color="auto"/>
      </w:divBdr>
    </w:div>
    <w:div w:id="920257924">
      <w:bodyDiv w:val="1"/>
      <w:marLeft w:val="0"/>
      <w:marRight w:val="0"/>
      <w:marTop w:val="0"/>
      <w:marBottom w:val="0"/>
      <w:divBdr>
        <w:top w:val="none" w:sz="0" w:space="0" w:color="auto"/>
        <w:left w:val="none" w:sz="0" w:space="0" w:color="auto"/>
        <w:bottom w:val="none" w:sz="0" w:space="0" w:color="auto"/>
        <w:right w:val="none" w:sz="0" w:space="0" w:color="auto"/>
      </w:divBdr>
    </w:div>
    <w:div w:id="988052979">
      <w:bodyDiv w:val="1"/>
      <w:marLeft w:val="0"/>
      <w:marRight w:val="0"/>
      <w:marTop w:val="0"/>
      <w:marBottom w:val="0"/>
      <w:divBdr>
        <w:top w:val="none" w:sz="0" w:space="0" w:color="auto"/>
        <w:left w:val="none" w:sz="0" w:space="0" w:color="auto"/>
        <w:bottom w:val="none" w:sz="0" w:space="0" w:color="auto"/>
        <w:right w:val="none" w:sz="0" w:space="0" w:color="auto"/>
      </w:divBdr>
    </w:div>
    <w:div w:id="988172354">
      <w:bodyDiv w:val="1"/>
      <w:marLeft w:val="0"/>
      <w:marRight w:val="0"/>
      <w:marTop w:val="0"/>
      <w:marBottom w:val="0"/>
      <w:divBdr>
        <w:top w:val="none" w:sz="0" w:space="0" w:color="auto"/>
        <w:left w:val="none" w:sz="0" w:space="0" w:color="auto"/>
        <w:bottom w:val="none" w:sz="0" w:space="0" w:color="auto"/>
        <w:right w:val="none" w:sz="0" w:space="0" w:color="auto"/>
      </w:divBdr>
    </w:div>
    <w:div w:id="1008554405">
      <w:bodyDiv w:val="1"/>
      <w:marLeft w:val="0"/>
      <w:marRight w:val="0"/>
      <w:marTop w:val="0"/>
      <w:marBottom w:val="0"/>
      <w:divBdr>
        <w:top w:val="none" w:sz="0" w:space="0" w:color="auto"/>
        <w:left w:val="none" w:sz="0" w:space="0" w:color="auto"/>
        <w:bottom w:val="none" w:sz="0" w:space="0" w:color="auto"/>
        <w:right w:val="none" w:sz="0" w:space="0" w:color="auto"/>
      </w:divBdr>
    </w:div>
    <w:div w:id="1057510174">
      <w:bodyDiv w:val="1"/>
      <w:marLeft w:val="0"/>
      <w:marRight w:val="0"/>
      <w:marTop w:val="0"/>
      <w:marBottom w:val="0"/>
      <w:divBdr>
        <w:top w:val="none" w:sz="0" w:space="0" w:color="auto"/>
        <w:left w:val="none" w:sz="0" w:space="0" w:color="auto"/>
        <w:bottom w:val="none" w:sz="0" w:space="0" w:color="auto"/>
        <w:right w:val="none" w:sz="0" w:space="0" w:color="auto"/>
      </w:divBdr>
    </w:div>
    <w:div w:id="1063795736">
      <w:bodyDiv w:val="1"/>
      <w:marLeft w:val="0"/>
      <w:marRight w:val="0"/>
      <w:marTop w:val="0"/>
      <w:marBottom w:val="0"/>
      <w:divBdr>
        <w:top w:val="none" w:sz="0" w:space="0" w:color="auto"/>
        <w:left w:val="none" w:sz="0" w:space="0" w:color="auto"/>
        <w:bottom w:val="none" w:sz="0" w:space="0" w:color="auto"/>
        <w:right w:val="none" w:sz="0" w:space="0" w:color="auto"/>
      </w:divBdr>
    </w:div>
    <w:div w:id="1064375949">
      <w:bodyDiv w:val="1"/>
      <w:marLeft w:val="0"/>
      <w:marRight w:val="0"/>
      <w:marTop w:val="0"/>
      <w:marBottom w:val="0"/>
      <w:divBdr>
        <w:top w:val="none" w:sz="0" w:space="0" w:color="auto"/>
        <w:left w:val="none" w:sz="0" w:space="0" w:color="auto"/>
        <w:bottom w:val="none" w:sz="0" w:space="0" w:color="auto"/>
        <w:right w:val="none" w:sz="0" w:space="0" w:color="auto"/>
      </w:divBdr>
    </w:div>
    <w:div w:id="1078133879">
      <w:bodyDiv w:val="1"/>
      <w:marLeft w:val="0"/>
      <w:marRight w:val="0"/>
      <w:marTop w:val="0"/>
      <w:marBottom w:val="0"/>
      <w:divBdr>
        <w:top w:val="none" w:sz="0" w:space="0" w:color="auto"/>
        <w:left w:val="none" w:sz="0" w:space="0" w:color="auto"/>
        <w:bottom w:val="none" w:sz="0" w:space="0" w:color="auto"/>
        <w:right w:val="none" w:sz="0" w:space="0" w:color="auto"/>
      </w:divBdr>
    </w:div>
    <w:div w:id="1088967394">
      <w:bodyDiv w:val="1"/>
      <w:marLeft w:val="0"/>
      <w:marRight w:val="0"/>
      <w:marTop w:val="0"/>
      <w:marBottom w:val="0"/>
      <w:divBdr>
        <w:top w:val="none" w:sz="0" w:space="0" w:color="auto"/>
        <w:left w:val="none" w:sz="0" w:space="0" w:color="auto"/>
        <w:bottom w:val="none" w:sz="0" w:space="0" w:color="auto"/>
        <w:right w:val="none" w:sz="0" w:space="0" w:color="auto"/>
      </w:divBdr>
    </w:div>
    <w:div w:id="1146976290">
      <w:bodyDiv w:val="1"/>
      <w:marLeft w:val="0"/>
      <w:marRight w:val="0"/>
      <w:marTop w:val="0"/>
      <w:marBottom w:val="0"/>
      <w:divBdr>
        <w:top w:val="none" w:sz="0" w:space="0" w:color="auto"/>
        <w:left w:val="none" w:sz="0" w:space="0" w:color="auto"/>
        <w:bottom w:val="none" w:sz="0" w:space="0" w:color="auto"/>
        <w:right w:val="none" w:sz="0" w:space="0" w:color="auto"/>
      </w:divBdr>
    </w:div>
    <w:div w:id="1165125031">
      <w:bodyDiv w:val="1"/>
      <w:marLeft w:val="0"/>
      <w:marRight w:val="0"/>
      <w:marTop w:val="0"/>
      <w:marBottom w:val="0"/>
      <w:divBdr>
        <w:top w:val="none" w:sz="0" w:space="0" w:color="auto"/>
        <w:left w:val="none" w:sz="0" w:space="0" w:color="auto"/>
        <w:bottom w:val="none" w:sz="0" w:space="0" w:color="auto"/>
        <w:right w:val="none" w:sz="0" w:space="0" w:color="auto"/>
      </w:divBdr>
    </w:div>
    <w:div w:id="1188831729">
      <w:bodyDiv w:val="1"/>
      <w:marLeft w:val="0"/>
      <w:marRight w:val="0"/>
      <w:marTop w:val="0"/>
      <w:marBottom w:val="0"/>
      <w:divBdr>
        <w:top w:val="none" w:sz="0" w:space="0" w:color="auto"/>
        <w:left w:val="none" w:sz="0" w:space="0" w:color="auto"/>
        <w:bottom w:val="none" w:sz="0" w:space="0" w:color="auto"/>
        <w:right w:val="none" w:sz="0" w:space="0" w:color="auto"/>
      </w:divBdr>
    </w:div>
    <w:div w:id="1262372633">
      <w:bodyDiv w:val="1"/>
      <w:marLeft w:val="0"/>
      <w:marRight w:val="0"/>
      <w:marTop w:val="0"/>
      <w:marBottom w:val="0"/>
      <w:divBdr>
        <w:top w:val="none" w:sz="0" w:space="0" w:color="auto"/>
        <w:left w:val="none" w:sz="0" w:space="0" w:color="auto"/>
        <w:bottom w:val="none" w:sz="0" w:space="0" w:color="auto"/>
        <w:right w:val="none" w:sz="0" w:space="0" w:color="auto"/>
      </w:divBdr>
    </w:div>
    <w:div w:id="1270699539">
      <w:bodyDiv w:val="1"/>
      <w:marLeft w:val="0"/>
      <w:marRight w:val="0"/>
      <w:marTop w:val="0"/>
      <w:marBottom w:val="0"/>
      <w:divBdr>
        <w:top w:val="none" w:sz="0" w:space="0" w:color="auto"/>
        <w:left w:val="none" w:sz="0" w:space="0" w:color="auto"/>
        <w:bottom w:val="none" w:sz="0" w:space="0" w:color="auto"/>
        <w:right w:val="none" w:sz="0" w:space="0" w:color="auto"/>
      </w:divBdr>
    </w:div>
    <w:div w:id="1315454659">
      <w:bodyDiv w:val="1"/>
      <w:marLeft w:val="0"/>
      <w:marRight w:val="0"/>
      <w:marTop w:val="0"/>
      <w:marBottom w:val="0"/>
      <w:divBdr>
        <w:top w:val="none" w:sz="0" w:space="0" w:color="auto"/>
        <w:left w:val="none" w:sz="0" w:space="0" w:color="auto"/>
        <w:bottom w:val="none" w:sz="0" w:space="0" w:color="auto"/>
        <w:right w:val="none" w:sz="0" w:space="0" w:color="auto"/>
      </w:divBdr>
    </w:div>
    <w:div w:id="1323850942">
      <w:bodyDiv w:val="1"/>
      <w:marLeft w:val="0"/>
      <w:marRight w:val="0"/>
      <w:marTop w:val="0"/>
      <w:marBottom w:val="0"/>
      <w:divBdr>
        <w:top w:val="none" w:sz="0" w:space="0" w:color="auto"/>
        <w:left w:val="none" w:sz="0" w:space="0" w:color="auto"/>
        <w:bottom w:val="none" w:sz="0" w:space="0" w:color="auto"/>
        <w:right w:val="none" w:sz="0" w:space="0" w:color="auto"/>
      </w:divBdr>
    </w:div>
    <w:div w:id="1352877851">
      <w:bodyDiv w:val="1"/>
      <w:marLeft w:val="0"/>
      <w:marRight w:val="0"/>
      <w:marTop w:val="0"/>
      <w:marBottom w:val="0"/>
      <w:divBdr>
        <w:top w:val="none" w:sz="0" w:space="0" w:color="auto"/>
        <w:left w:val="none" w:sz="0" w:space="0" w:color="auto"/>
        <w:bottom w:val="none" w:sz="0" w:space="0" w:color="auto"/>
        <w:right w:val="none" w:sz="0" w:space="0" w:color="auto"/>
      </w:divBdr>
    </w:div>
    <w:div w:id="1361935890">
      <w:bodyDiv w:val="1"/>
      <w:marLeft w:val="0"/>
      <w:marRight w:val="0"/>
      <w:marTop w:val="0"/>
      <w:marBottom w:val="0"/>
      <w:divBdr>
        <w:top w:val="none" w:sz="0" w:space="0" w:color="auto"/>
        <w:left w:val="none" w:sz="0" w:space="0" w:color="auto"/>
        <w:bottom w:val="none" w:sz="0" w:space="0" w:color="auto"/>
        <w:right w:val="none" w:sz="0" w:space="0" w:color="auto"/>
      </w:divBdr>
    </w:div>
    <w:div w:id="1372147479">
      <w:bodyDiv w:val="1"/>
      <w:marLeft w:val="0"/>
      <w:marRight w:val="0"/>
      <w:marTop w:val="0"/>
      <w:marBottom w:val="0"/>
      <w:divBdr>
        <w:top w:val="none" w:sz="0" w:space="0" w:color="auto"/>
        <w:left w:val="none" w:sz="0" w:space="0" w:color="auto"/>
        <w:bottom w:val="none" w:sz="0" w:space="0" w:color="auto"/>
        <w:right w:val="none" w:sz="0" w:space="0" w:color="auto"/>
      </w:divBdr>
    </w:div>
    <w:div w:id="1435175211">
      <w:bodyDiv w:val="1"/>
      <w:marLeft w:val="0"/>
      <w:marRight w:val="0"/>
      <w:marTop w:val="0"/>
      <w:marBottom w:val="0"/>
      <w:divBdr>
        <w:top w:val="none" w:sz="0" w:space="0" w:color="auto"/>
        <w:left w:val="none" w:sz="0" w:space="0" w:color="auto"/>
        <w:bottom w:val="none" w:sz="0" w:space="0" w:color="auto"/>
        <w:right w:val="none" w:sz="0" w:space="0" w:color="auto"/>
      </w:divBdr>
    </w:div>
    <w:div w:id="1437946174">
      <w:bodyDiv w:val="1"/>
      <w:marLeft w:val="0"/>
      <w:marRight w:val="0"/>
      <w:marTop w:val="0"/>
      <w:marBottom w:val="0"/>
      <w:divBdr>
        <w:top w:val="none" w:sz="0" w:space="0" w:color="auto"/>
        <w:left w:val="none" w:sz="0" w:space="0" w:color="auto"/>
        <w:bottom w:val="none" w:sz="0" w:space="0" w:color="auto"/>
        <w:right w:val="none" w:sz="0" w:space="0" w:color="auto"/>
      </w:divBdr>
    </w:div>
    <w:div w:id="1445691387">
      <w:bodyDiv w:val="1"/>
      <w:marLeft w:val="0"/>
      <w:marRight w:val="0"/>
      <w:marTop w:val="0"/>
      <w:marBottom w:val="0"/>
      <w:divBdr>
        <w:top w:val="none" w:sz="0" w:space="0" w:color="auto"/>
        <w:left w:val="none" w:sz="0" w:space="0" w:color="auto"/>
        <w:bottom w:val="none" w:sz="0" w:space="0" w:color="auto"/>
        <w:right w:val="none" w:sz="0" w:space="0" w:color="auto"/>
      </w:divBdr>
    </w:div>
    <w:div w:id="1458719793">
      <w:bodyDiv w:val="1"/>
      <w:marLeft w:val="0"/>
      <w:marRight w:val="0"/>
      <w:marTop w:val="0"/>
      <w:marBottom w:val="0"/>
      <w:divBdr>
        <w:top w:val="none" w:sz="0" w:space="0" w:color="auto"/>
        <w:left w:val="none" w:sz="0" w:space="0" w:color="auto"/>
        <w:bottom w:val="none" w:sz="0" w:space="0" w:color="auto"/>
        <w:right w:val="none" w:sz="0" w:space="0" w:color="auto"/>
      </w:divBdr>
    </w:div>
    <w:div w:id="1482577977">
      <w:bodyDiv w:val="1"/>
      <w:marLeft w:val="0"/>
      <w:marRight w:val="0"/>
      <w:marTop w:val="0"/>
      <w:marBottom w:val="0"/>
      <w:divBdr>
        <w:top w:val="none" w:sz="0" w:space="0" w:color="auto"/>
        <w:left w:val="none" w:sz="0" w:space="0" w:color="auto"/>
        <w:bottom w:val="none" w:sz="0" w:space="0" w:color="auto"/>
        <w:right w:val="none" w:sz="0" w:space="0" w:color="auto"/>
      </w:divBdr>
    </w:div>
    <w:div w:id="1508590505">
      <w:bodyDiv w:val="1"/>
      <w:marLeft w:val="0"/>
      <w:marRight w:val="0"/>
      <w:marTop w:val="0"/>
      <w:marBottom w:val="0"/>
      <w:divBdr>
        <w:top w:val="none" w:sz="0" w:space="0" w:color="auto"/>
        <w:left w:val="none" w:sz="0" w:space="0" w:color="auto"/>
        <w:bottom w:val="none" w:sz="0" w:space="0" w:color="auto"/>
        <w:right w:val="none" w:sz="0" w:space="0" w:color="auto"/>
      </w:divBdr>
    </w:div>
    <w:div w:id="1566451542">
      <w:bodyDiv w:val="1"/>
      <w:marLeft w:val="0"/>
      <w:marRight w:val="0"/>
      <w:marTop w:val="0"/>
      <w:marBottom w:val="0"/>
      <w:divBdr>
        <w:top w:val="none" w:sz="0" w:space="0" w:color="auto"/>
        <w:left w:val="none" w:sz="0" w:space="0" w:color="auto"/>
        <w:bottom w:val="none" w:sz="0" w:space="0" w:color="auto"/>
        <w:right w:val="none" w:sz="0" w:space="0" w:color="auto"/>
      </w:divBdr>
    </w:div>
    <w:div w:id="1574048759">
      <w:bodyDiv w:val="1"/>
      <w:marLeft w:val="0"/>
      <w:marRight w:val="0"/>
      <w:marTop w:val="0"/>
      <w:marBottom w:val="0"/>
      <w:divBdr>
        <w:top w:val="none" w:sz="0" w:space="0" w:color="auto"/>
        <w:left w:val="none" w:sz="0" w:space="0" w:color="auto"/>
        <w:bottom w:val="none" w:sz="0" w:space="0" w:color="auto"/>
        <w:right w:val="none" w:sz="0" w:space="0" w:color="auto"/>
      </w:divBdr>
    </w:div>
    <w:div w:id="1589195951">
      <w:bodyDiv w:val="1"/>
      <w:marLeft w:val="0"/>
      <w:marRight w:val="0"/>
      <w:marTop w:val="0"/>
      <w:marBottom w:val="0"/>
      <w:divBdr>
        <w:top w:val="none" w:sz="0" w:space="0" w:color="auto"/>
        <w:left w:val="none" w:sz="0" w:space="0" w:color="auto"/>
        <w:bottom w:val="none" w:sz="0" w:space="0" w:color="auto"/>
        <w:right w:val="none" w:sz="0" w:space="0" w:color="auto"/>
      </w:divBdr>
    </w:div>
    <w:div w:id="1616400015">
      <w:bodyDiv w:val="1"/>
      <w:marLeft w:val="0"/>
      <w:marRight w:val="0"/>
      <w:marTop w:val="0"/>
      <w:marBottom w:val="0"/>
      <w:divBdr>
        <w:top w:val="none" w:sz="0" w:space="0" w:color="auto"/>
        <w:left w:val="none" w:sz="0" w:space="0" w:color="auto"/>
        <w:bottom w:val="none" w:sz="0" w:space="0" w:color="auto"/>
        <w:right w:val="none" w:sz="0" w:space="0" w:color="auto"/>
      </w:divBdr>
    </w:div>
    <w:div w:id="1678538523">
      <w:bodyDiv w:val="1"/>
      <w:marLeft w:val="0"/>
      <w:marRight w:val="0"/>
      <w:marTop w:val="0"/>
      <w:marBottom w:val="0"/>
      <w:divBdr>
        <w:top w:val="none" w:sz="0" w:space="0" w:color="auto"/>
        <w:left w:val="none" w:sz="0" w:space="0" w:color="auto"/>
        <w:bottom w:val="none" w:sz="0" w:space="0" w:color="auto"/>
        <w:right w:val="none" w:sz="0" w:space="0" w:color="auto"/>
      </w:divBdr>
    </w:div>
    <w:div w:id="1683361190">
      <w:bodyDiv w:val="1"/>
      <w:marLeft w:val="0"/>
      <w:marRight w:val="0"/>
      <w:marTop w:val="0"/>
      <w:marBottom w:val="0"/>
      <w:divBdr>
        <w:top w:val="none" w:sz="0" w:space="0" w:color="auto"/>
        <w:left w:val="none" w:sz="0" w:space="0" w:color="auto"/>
        <w:bottom w:val="none" w:sz="0" w:space="0" w:color="auto"/>
        <w:right w:val="none" w:sz="0" w:space="0" w:color="auto"/>
      </w:divBdr>
    </w:div>
    <w:div w:id="1686250946">
      <w:bodyDiv w:val="1"/>
      <w:marLeft w:val="0"/>
      <w:marRight w:val="0"/>
      <w:marTop w:val="0"/>
      <w:marBottom w:val="0"/>
      <w:divBdr>
        <w:top w:val="none" w:sz="0" w:space="0" w:color="auto"/>
        <w:left w:val="none" w:sz="0" w:space="0" w:color="auto"/>
        <w:bottom w:val="none" w:sz="0" w:space="0" w:color="auto"/>
        <w:right w:val="none" w:sz="0" w:space="0" w:color="auto"/>
      </w:divBdr>
    </w:div>
    <w:div w:id="1702432332">
      <w:bodyDiv w:val="1"/>
      <w:marLeft w:val="0"/>
      <w:marRight w:val="0"/>
      <w:marTop w:val="0"/>
      <w:marBottom w:val="0"/>
      <w:divBdr>
        <w:top w:val="none" w:sz="0" w:space="0" w:color="auto"/>
        <w:left w:val="none" w:sz="0" w:space="0" w:color="auto"/>
        <w:bottom w:val="none" w:sz="0" w:space="0" w:color="auto"/>
        <w:right w:val="none" w:sz="0" w:space="0" w:color="auto"/>
      </w:divBdr>
    </w:div>
    <w:div w:id="1746144641">
      <w:bodyDiv w:val="1"/>
      <w:marLeft w:val="0"/>
      <w:marRight w:val="0"/>
      <w:marTop w:val="0"/>
      <w:marBottom w:val="0"/>
      <w:divBdr>
        <w:top w:val="none" w:sz="0" w:space="0" w:color="auto"/>
        <w:left w:val="none" w:sz="0" w:space="0" w:color="auto"/>
        <w:bottom w:val="none" w:sz="0" w:space="0" w:color="auto"/>
        <w:right w:val="none" w:sz="0" w:space="0" w:color="auto"/>
      </w:divBdr>
    </w:div>
    <w:div w:id="1752239295">
      <w:bodyDiv w:val="1"/>
      <w:marLeft w:val="0"/>
      <w:marRight w:val="0"/>
      <w:marTop w:val="0"/>
      <w:marBottom w:val="0"/>
      <w:divBdr>
        <w:top w:val="none" w:sz="0" w:space="0" w:color="auto"/>
        <w:left w:val="none" w:sz="0" w:space="0" w:color="auto"/>
        <w:bottom w:val="none" w:sz="0" w:space="0" w:color="auto"/>
        <w:right w:val="none" w:sz="0" w:space="0" w:color="auto"/>
      </w:divBdr>
    </w:div>
    <w:div w:id="1755129881">
      <w:bodyDiv w:val="1"/>
      <w:marLeft w:val="0"/>
      <w:marRight w:val="0"/>
      <w:marTop w:val="0"/>
      <w:marBottom w:val="0"/>
      <w:divBdr>
        <w:top w:val="none" w:sz="0" w:space="0" w:color="auto"/>
        <w:left w:val="none" w:sz="0" w:space="0" w:color="auto"/>
        <w:bottom w:val="none" w:sz="0" w:space="0" w:color="auto"/>
        <w:right w:val="none" w:sz="0" w:space="0" w:color="auto"/>
      </w:divBdr>
    </w:div>
    <w:div w:id="1765302453">
      <w:bodyDiv w:val="1"/>
      <w:marLeft w:val="0"/>
      <w:marRight w:val="0"/>
      <w:marTop w:val="0"/>
      <w:marBottom w:val="0"/>
      <w:divBdr>
        <w:top w:val="none" w:sz="0" w:space="0" w:color="auto"/>
        <w:left w:val="none" w:sz="0" w:space="0" w:color="auto"/>
        <w:bottom w:val="none" w:sz="0" w:space="0" w:color="auto"/>
        <w:right w:val="none" w:sz="0" w:space="0" w:color="auto"/>
      </w:divBdr>
    </w:div>
    <w:div w:id="1795516537">
      <w:bodyDiv w:val="1"/>
      <w:marLeft w:val="0"/>
      <w:marRight w:val="0"/>
      <w:marTop w:val="0"/>
      <w:marBottom w:val="0"/>
      <w:divBdr>
        <w:top w:val="none" w:sz="0" w:space="0" w:color="auto"/>
        <w:left w:val="none" w:sz="0" w:space="0" w:color="auto"/>
        <w:bottom w:val="none" w:sz="0" w:space="0" w:color="auto"/>
        <w:right w:val="none" w:sz="0" w:space="0" w:color="auto"/>
      </w:divBdr>
    </w:div>
    <w:div w:id="1805006188">
      <w:bodyDiv w:val="1"/>
      <w:marLeft w:val="0"/>
      <w:marRight w:val="0"/>
      <w:marTop w:val="0"/>
      <w:marBottom w:val="0"/>
      <w:divBdr>
        <w:top w:val="none" w:sz="0" w:space="0" w:color="auto"/>
        <w:left w:val="none" w:sz="0" w:space="0" w:color="auto"/>
        <w:bottom w:val="none" w:sz="0" w:space="0" w:color="auto"/>
        <w:right w:val="none" w:sz="0" w:space="0" w:color="auto"/>
      </w:divBdr>
    </w:div>
    <w:div w:id="1813791673">
      <w:bodyDiv w:val="1"/>
      <w:marLeft w:val="0"/>
      <w:marRight w:val="0"/>
      <w:marTop w:val="0"/>
      <w:marBottom w:val="0"/>
      <w:divBdr>
        <w:top w:val="none" w:sz="0" w:space="0" w:color="auto"/>
        <w:left w:val="none" w:sz="0" w:space="0" w:color="auto"/>
        <w:bottom w:val="none" w:sz="0" w:space="0" w:color="auto"/>
        <w:right w:val="none" w:sz="0" w:space="0" w:color="auto"/>
      </w:divBdr>
    </w:div>
    <w:div w:id="1824153200">
      <w:bodyDiv w:val="1"/>
      <w:marLeft w:val="0"/>
      <w:marRight w:val="0"/>
      <w:marTop w:val="0"/>
      <w:marBottom w:val="0"/>
      <w:divBdr>
        <w:top w:val="none" w:sz="0" w:space="0" w:color="auto"/>
        <w:left w:val="none" w:sz="0" w:space="0" w:color="auto"/>
        <w:bottom w:val="none" w:sz="0" w:space="0" w:color="auto"/>
        <w:right w:val="none" w:sz="0" w:space="0" w:color="auto"/>
      </w:divBdr>
    </w:div>
    <w:div w:id="1841852532">
      <w:bodyDiv w:val="1"/>
      <w:marLeft w:val="0"/>
      <w:marRight w:val="0"/>
      <w:marTop w:val="0"/>
      <w:marBottom w:val="0"/>
      <w:divBdr>
        <w:top w:val="none" w:sz="0" w:space="0" w:color="auto"/>
        <w:left w:val="none" w:sz="0" w:space="0" w:color="auto"/>
        <w:bottom w:val="none" w:sz="0" w:space="0" w:color="auto"/>
        <w:right w:val="none" w:sz="0" w:space="0" w:color="auto"/>
      </w:divBdr>
    </w:div>
    <w:div w:id="1855268618">
      <w:bodyDiv w:val="1"/>
      <w:marLeft w:val="0"/>
      <w:marRight w:val="0"/>
      <w:marTop w:val="0"/>
      <w:marBottom w:val="0"/>
      <w:divBdr>
        <w:top w:val="none" w:sz="0" w:space="0" w:color="auto"/>
        <w:left w:val="none" w:sz="0" w:space="0" w:color="auto"/>
        <w:bottom w:val="none" w:sz="0" w:space="0" w:color="auto"/>
        <w:right w:val="none" w:sz="0" w:space="0" w:color="auto"/>
      </w:divBdr>
      <w:divsChild>
        <w:div w:id="372463327">
          <w:marLeft w:val="0"/>
          <w:marRight w:val="0"/>
          <w:marTop w:val="0"/>
          <w:marBottom w:val="0"/>
          <w:divBdr>
            <w:top w:val="single" w:sz="6" w:space="3" w:color="808080"/>
            <w:left w:val="single" w:sz="6" w:space="15" w:color="808080"/>
            <w:bottom w:val="single" w:sz="6" w:space="8" w:color="808080"/>
            <w:right w:val="single" w:sz="6" w:space="15" w:color="808080"/>
          </w:divBdr>
          <w:divsChild>
            <w:div w:id="2077362524">
              <w:marLeft w:val="0"/>
              <w:marRight w:val="0"/>
              <w:marTop w:val="0"/>
              <w:marBottom w:val="0"/>
              <w:divBdr>
                <w:top w:val="none" w:sz="0" w:space="0" w:color="auto"/>
                <w:left w:val="none" w:sz="0" w:space="0" w:color="auto"/>
                <w:bottom w:val="none" w:sz="0" w:space="0" w:color="auto"/>
                <w:right w:val="none" w:sz="0" w:space="0" w:color="auto"/>
              </w:divBdr>
            </w:div>
          </w:divsChild>
        </w:div>
        <w:div w:id="1486630149">
          <w:marLeft w:val="0"/>
          <w:marRight w:val="0"/>
          <w:marTop w:val="0"/>
          <w:marBottom w:val="0"/>
          <w:divBdr>
            <w:top w:val="none" w:sz="0" w:space="0" w:color="auto"/>
            <w:left w:val="none" w:sz="0" w:space="0" w:color="auto"/>
            <w:bottom w:val="none" w:sz="0" w:space="0" w:color="auto"/>
            <w:right w:val="none" w:sz="0" w:space="0" w:color="auto"/>
          </w:divBdr>
        </w:div>
      </w:divsChild>
    </w:div>
    <w:div w:id="1887788078">
      <w:bodyDiv w:val="1"/>
      <w:marLeft w:val="0"/>
      <w:marRight w:val="0"/>
      <w:marTop w:val="0"/>
      <w:marBottom w:val="0"/>
      <w:divBdr>
        <w:top w:val="none" w:sz="0" w:space="0" w:color="auto"/>
        <w:left w:val="none" w:sz="0" w:space="0" w:color="auto"/>
        <w:bottom w:val="none" w:sz="0" w:space="0" w:color="auto"/>
        <w:right w:val="none" w:sz="0" w:space="0" w:color="auto"/>
      </w:divBdr>
    </w:div>
    <w:div w:id="1897278197">
      <w:bodyDiv w:val="1"/>
      <w:marLeft w:val="0"/>
      <w:marRight w:val="0"/>
      <w:marTop w:val="0"/>
      <w:marBottom w:val="0"/>
      <w:divBdr>
        <w:top w:val="none" w:sz="0" w:space="0" w:color="auto"/>
        <w:left w:val="none" w:sz="0" w:space="0" w:color="auto"/>
        <w:bottom w:val="none" w:sz="0" w:space="0" w:color="auto"/>
        <w:right w:val="none" w:sz="0" w:space="0" w:color="auto"/>
      </w:divBdr>
    </w:div>
    <w:div w:id="1940719399">
      <w:bodyDiv w:val="1"/>
      <w:marLeft w:val="0"/>
      <w:marRight w:val="0"/>
      <w:marTop w:val="0"/>
      <w:marBottom w:val="0"/>
      <w:divBdr>
        <w:top w:val="none" w:sz="0" w:space="0" w:color="auto"/>
        <w:left w:val="none" w:sz="0" w:space="0" w:color="auto"/>
        <w:bottom w:val="none" w:sz="0" w:space="0" w:color="auto"/>
        <w:right w:val="none" w:sz="0" w:space="0" w:color="auto"/>
      </w:divBdr>
    </w:div>
    <w:div w:id="1989045090">
      <w:bodyDiv w:val="1"/>
      <w:marLeft w:val="0"/>
      <w:marRight w:val="0"/>
      <w:marTop w:val="0"/>
      <w:marBottom w:val="0"/>
      <w:divBdr>
        <w:top w:val="none" w:sz="0" w:space="0" w:color="auto"/>
        <w:left w:val="none" w:sz="0" w:space="0" w:color="auto"/>
        <w:bottom w:val="none" w:sz="0" w:space="0" w:color="auto"/>
        <w:right w:val="none" w:sz="0" w:space="0" w:color="auto"/>
      </w:divBdr>
    </w:div>
    <w:div w:id="2005939337">
      <w:bodyDiv w:val="1"/>
      <w:marLeft w:val="0"/>
      <w:marRight w:val="0"/>
      <w:marTop w:val="0"/>
      <w:marBottom w:val="0"/>
      <w:divBdr>
        <w:top w:val="none" w:sz="0" w:space="0" w:color="auto"/>
        <w:left w:val="none" w:sz="0" w:space="0" w:color="auto"/>
        <w:bottom w:val="none" w:sz="0" w:space="0" w:color="auto"/>
        <w:right w:val="none" w:sz="0" w:space="0" w:color="auto"/>
      </w:divBdr>
    </w:div>
    <w:div w:id="2045669234">
      <w:bodyDiv w:val="1"/>
      <w:marLeft w:val="0"/>
      <w:marRight w:val="0"/>
      <w:marTop w:val="0"/>
      <w:marBottom w:val="0"/>
      <w:divBdr>
        <w:top w:val="none" w:sz="0" w:space="0" w:color="auto"/>
        <w:left w:val="none" w:sz="0" w:space="0" w:color="auto"/>
        <w:bottom w:val="none" w:sz="0" w:space="0" w:color="auto"/>
        <w:right w:val="none" w:sz="0" w:space="0" w:color="auto"/>
      </w:divBdr>
    </w:div>
    <w:div w:id="2045858633">
      <w:bodyDiv w:val="1"/>
      <w:marLeft w:val="0"/>
      <w:marRight w:val="0"/>
      <w:marTop w:val="0"/>
      <w:marBottom w:val="0"/>
      <w:divBdr>
        <w:top w:val="none" w:sz="0" w:space="0" w:color="auto"/>
        <w:left w:val="none" w:sz="0" w:space="0" w:color="auto"/>
        <w:bottom w:val="none" w:sz="0" w:space="0" w:color="auto"/>
        <w:right w:val="none" w:sz="0" w:space="0" w:color="auto"/>
      </w:divBdr>
    </w:div>
    <w:div w:id="2070838603">
      <w:bodyDiv w:val="1"/>
      <w:marLeft w:val="0"/>
      <w:marRight w:val="0"/>
      <w:marTop w:val="0"/>
      <w:marBottom w:val="0"/>
      <w:divBdr>
        <w:top w:val="none" w:sz="0" w:space="0" w:color="auto"/>
        <w:left w:val="none" w:sz="0" w:space="0" w:color="auto"/>
        <w:bottom w:val="none" w:sz="0" w:space="0" w:color="auto"/>
        <w:right w:val="none" w:sz="0" w:space="0" w:color="auto"/>
      </w:divBdr>
    </w:div>
    <w:div w:id="2088765428">
      <w:bodyDiv w:val="1"/>
      <w:marLeft w:val="0"/>
      <w:marRight w:val="0"/>
      <w:marTop w:val="0"/>
      <w:marBottom w:val="0"/>
      <w:divBdr>
        <w:top w:val="none" w:sz="0" w:space="0" w:color="auto"/>
        <w:left w:val="none" w:sz="0" w:space="0" w:color="auto"/>
        <w:bottom w:val="none" w:sz="0" w:space="0" w:color="auto"/>
        <w:right w:val="none" w:sz="0" w:space="0" w:color="auto"/>
      </w:divBdr>
    </w:div>
    <w:div w:id="2112117639">
      <w:bodyDiv w:val="1"/>
      <w:marLeft w:val="0"/>
      <w:marRight w:val="0"/>
      <w:marTop w:val="0"/>
      <w:marBottom w:val="0"/>
      <w:divBdr>
        <w:top w:val="none" w:sz="0" w:space="0" w:color="auto"/>
        <w:left w:val="none" w:sz="0" w:space="0" w:color="auto"/>
        <w:bottom w:val="none" w:sz="0" w:space="0" w:color="auto"/>
        <w:right w:val="none" w:sz="0" w:space="0" w:color="auto"/>
      </w:divBdr>
    </w:div>
    <w:div w:id="2126072934">
      <w:bodyDiv w:val="1"/>
      <w:marLeft w:val="0"/>
      <w:marRight w:val="0"/>
      <w:marTop w:val="0"/>
      <w:marBottom w:val="0"/>
      <w:divBdr>
        <w:top w:val="none" w:sz="0" w:space="0" w:color="auto"/>
        <w:left w:val="none" w:sz="0" w:space="0" w:color="auto"/>
        <w:bottom w:val="none" w:sz="0" w:space="0" w:color="auto"/>
        <w:right w:val="none" w:sz="0" w:space="0" w:color="auto"/>
      </w:divBdr>
    </w:div>
    <w:div w:id="2130709103">
      <w:bodyDiv w:val="1"/>
      <w:marLeft w:val="0"/>
      <w:marRight w:val="0"/>
      <w:marTop w:val="0"/>
      <w:marBottom w:val="0"/>
      <w:divBdr>
        <w:top w:val="none" w:sz="0" w:space="0" w:color="auto"/>
        <w:left w:val="none" w:sz="0" w:space="0" w:color="auto"/>
        <w:bottom w:val="none" w:sz="0" w:space="0" w:color="auto"/>
        <w:right w:val="none" w:sz="0" w:space="0" w:color="auto"/>
      </w:divBdr>
    </w:div>
    <w:div w:id="21443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228_200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client=firefox-b-d&amp;q=mapa+tenencia+de+tierra+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Pir11</b:Tag>
    <b:SourceType>Book</b:SourceType>
    <b:Guid>{1C732F06-5151-4010-9EFC-F50B740774A5}</b:Guid>
    <b:Author>
      <b:Author>
        <b:NameList>
          <b:Person>
            <b:Last>Piraquive</b:Last>
            <b:First>Alexandra</b:First>
            <b:Middle>Moreno</b:Middle>
          </b:Person>
        </b:NameList>
      </b:Author>
    </b:Author>
    <b:Title>Proyecto de Ley 46 de 2011 Senado: por la cual se dictan normas de distribución de terrenos baldíos a familias pobres del país con fines sociales y productivos y se dictan otras disposiciones</b:Title>
    <b:Year>2011</b:Year>
    <b:City>Bogotá D.C</b:City>
    <b:URL>Gaceta 548 de 2011</b:URL>
    <b:RefOrder>2</b:RefOrder>
  </b:Source>
  <b:Source>
    <b:Tag>Ibá11</b:Tag>
    <b:SourceType>Book</b:SourceType>
    <b:Guid>{FD29AE69-FA34-4344-8936-4BDA30BE929E}</b:Guid>
    <b:Author>
      <b:Author>
        <b:NameList>
          <b:Person>
            <b:Last>Ibáñez</b:Last>
            <b:First>Félix</b:First>
            <b:Middle>José Valera</b:Middle>
          </b:Person>
        </b:NameList>
      </b:Author>
    </b:Author>
    <b:Title>Ponencia para Primer Debate al Proyecto de Ley 46 de 2011 Senado</b:Title>
    <b:Year>2011</b:Year>
    <b:City>Bogotá D.C</b:City>
    <b:NumberVolumes>
		</b:NumberVolumes>
    <b:URL>Gaceta 803 de 2011 </b:URL>
    <b:RefOrder>4</b:RefOrder>
  </b:Source>
  <b:Source>
    <b:Tag>Ibá111</b:Tag>
    <b:SourceType>Book</b:SourceType>
    <b:Guid>{32D783D1-A93A-4C6B-BD50-D3FA1FEFEB7A}</b:Guid>
    <b:Author>
      <b:Author>
        <b:NameList>
          <b:Person>
            <b:Last>Ibáñez</b:Last>
            <b:First>Félix</b:First>
            <b:Middle>José Valera</b:Middle>
          </b:Person>
        </b:NameList>
      </b:Author>
    </b:Author>
    <b:Title>Ponencia para Segundo Debate al Proyecto de Ley 46 de 2011 Senado</b:Title>
    <b:Year>2011</b:Year>
    <b:City>Bogotá D.C</b:City>
    <b:URL>Gaceta 605 de 2011</b:URL>
    <b:RefOrder>5</b:RefOrder>
  </b:Source>
  <b:Source>
    <b:Tag>Con14</b:Tag>
    <b:SourceType>BookSection</b:SourceType>
    <b:Guid>{8D094091-1819-4CBB-99C4-3C19A6C39AB6}</b:Guid>
    <b:Author>
      <b:Author>
        <b:Corporate>Congreso de la República de Colombia</b:Corporate>
      </b:Author>
    </b:Author>
    <b:Title>Ley 1728 de 2014</b:Title>
    <b:Year>2014</b:Year>
    <b:City>Bogotá D.C</b:City>
    <b:BookTitle>Por la cual se dictan normas de distribución de terrenos baldíos a familias pobres del país con fines sociales y productivos y se dictan otras disposiciones.</b:BookTitle>
    <b:URL>http://www.secretariasenado.gov.co/senado/basedoc/ley_1728_2014.html</b:URL>
    <b:RefOrder>3</b:RefOrder>
  </b:Source>
  <b:Source>
    <b:Tag>Ter16</b:Tag>
    <b:SourceType>Book</b:SourceType>
    <b:Guid>{6D34BB71-697E-4367-9992-BBBE29DB1075}</b:Guid>
    <b:Title>Ponencia para Primer Debate ante la Comisión Quinta de Senado Proyecto de Ley 124 de 2016 Senado - 206 de 2016 Cámara</b:Title>
    <b:Year>2016</b:Year>
    <b:City>Bogotá D.C</b:City>
    <b:Author>
      <b:Author>
        <b:NameList>
          <b:Person>
            <b:Last>Romero</b:Last>
            <b:First>Teresita</b:First>
            <b:Middle>García</b:Middle>
          </b:Person>
        </b:NameList>
      </b:Author>
    </b:Author>
    <b:RefOrder>6</b:RefOrder>
  </b:Source>
  <b:Source>
    <b:Tag>OXF17</b:Tag>
    <b:SourceType>Book</b:SourceType>
    <b:Guid>{F00C3572-6504-4234-ABEF-68CCC834E0E7}</b:Guid>
    <b:Author>
      <b:Author>
        <b:Corporate>OXFAM Américas</b:Corporate>
      </b:Author>
    </b:Author>
    <b:Title>Radiografía de la Desigualdad: Lo que nos dice el último censo agropecuario sobre la distribución de la tierra en Colombia</b:Title>
    <b:Year>2017</b:Year>
    <b:City>Edición Digital</b:City>
    <b:Publisher>OXFAM International</b:Publisher>
    <b:URL>https://www.oxfam.org/es/informes/radiografia-de-la-desigualdad</b:URL>
    <b:RefOrder>1</b:RefOrder>
  </b:Source>
</b:Sources>
</file>

<file path=customXml/itemProps1.xml><?xml version="1.0" encoding="utf-8"?>
<ds:datastoreItem xmlns:ds="http://schemas.openxmlformats.org/officeDocument/2006/customXml" ds:itemID="{028C5BB6-4C44-4F02-87CC-C9E6E85E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14221</Characters>
  <Application>Microsoft Office Word</Application>
  <DocSecurity>4</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García</dc:creator>
  <cp:keywords/>
  <dc:description/>
  <cp:lastModifiedBy>hasbleidy suarez</cp:lastModifiedBy>
  <cp:revision>2</cp:revision>
  <cp:lastPrinted>2020-03-17T13:44:00Z</cp:lastPrinted>
  <dcterms:created xsi:type="dcterms:W3CDTF">2020-03-17T14:58:00Z</dcterms:created>
  <dcterms:modified xsi:type="dcterms:W3CDTF">2020-03-17T14:58:00Z</dcterms:modified>
</cp:coreProperties>
</file>