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2FA0" w14:textId="77777777" w:rsidR="00D6755A" w:rsidRDefault="00D6755A" w:rsidP="00DF2A93">
      <w:pPr>
        <w:jc w:val="both"/>
        <w:rPr>
          <w:rFonts w:ascii="FUTURA MEDIUM" w:hAnsi="FUTURA MEDIUM"/>
          <w:b/>
          <w:sz w:val="28"/>
          <w:szCs w:val="28"/>
          <w:u w:val="single"/>
        </w:rPr>
      </w:pPr>
    </w:p>
    <w:p w14:paraId="349FB7EC" w14:textId="49E4F38F" w:rsidR="00834253" w:rsidRPr="008C1C6A" w:rsidRDefault="006B0F25" w:rsidP="00D57559">
      <w:pPr>
        <w:jc w:val="center"/>
        <w:rPr>
          <w:rFonts w:ascii="FUTURA MEDIUM" w:hAnsi="FUTURA MEDIUM"/>
          <w:b/>
          <w:sz w:val="28"/>
          <w:szCs w:val="28"/>
          <w:u w:val="single"/>
        </w:rPr>
      </w:pPr>
      <w:r>
        <w:rPr>
          <w:rFonts w:ascii="FUTURA MEDIUM" w:hAnsi="FUTURA MEDIUM"/>
          <w:b/>
          <w:sz w:val="28"/>
          <w:szCs w:val="28"/>
          <w:u w:val="single"/>
        </w:rPr>
        <w:t>PROYECTO</w:t>
      </w:r>
      <w:r w:rsidR="00834253" w:rsidRPr="008C1C6A">
        <w:rPr>
          <w:rFonts w:ascii="FUTURA MEDIUM" w:hAnsi="FUTURA MEDIUM"/>
          <w:b/>
          <w:sz w:val="28"/>
          <w:szCs w:val="28"/>
          <w:u w:val="single"/>
        </w:rPr>
        <w:t xml:space="preserve"> DE LEY</w:t>
      </w:r>
      <w:r>
        <w:rPr>
          <w:rFonts w:ascii="FUTURA MEDIUM" w:hAnsi="FUTURA MEDIUM"/>
          <w:b/>
          <w:sz w:val="28"/>
          <w:szCs w:val="28"/>
          <w:u w:val="single"/>
        </w:rPr>
        <w:t xml:space="preserve">          de 201</w:t>
      </w:r>
      <w:r w:rsidR="005E3D71">
        <w:rPr>
          <w:rFonts w:ascii="FUTURA MEDIUM" w:hAnsi="FUTURA MEDIUM"/>
          <w:b/>
          <w:sz w:val="28"/>
          <w:szCs w:val="28"/>
          <w:u w:val="single"/>
        </w:rPr>
        <w:t>9</w:t>
      </w:r>
    </w:p>
    <w:p w14:paraId="6E5FA0D0" w14:textId="670F59C8" w:rsidR="00350854" w:rsidRPr="008C1C6A" w:rsidRDefault="00350854" w:rsidP="00D57559">
      <w:pPr>
        <w:jc w:val="center"/>
        <w:rPr>
          <w:rFonts w:ascii="FUTURA MEDIUM" w:hAnsi="FUTURA MEDIUM"/>
          <w:b/>
          <w:sz w:val="28"/>
          <w:szCs w:val="28"/>
          <w:u w:val="single"/>
        </w:rPr>
      </w:pPr>
      <w:r w:rsidRPr="008C1C6A">
        <w:rPr>
          <w:rFonts w:ascii="FUTURA MEDIUM" w:hAnsi="FUTURA MEDIUM"/>
          <w:b/>
          <w:sz w:val="28"/>
          <w:szCs w:val="28"/>
          <w:u w:val="single"/>
        </w:rPr>
        <w:t xml:space="preserve">Alivio para </w:t>
      </w:r>
      <w:r w:rsidR="00B41A92">
        <w:rPr>
          <w:rFonts w:ascii="FUTURA MEDIUM" w:hAnsi="FUTURA MEDIUM"/>
          <w:b/>
          <w:sz w:val="28"/>
          <w:szCs w:val="28"/>
          <w:u w:val="single"/>
        </w:rPr>
        <w:t>pequeño productor, jóvenes</w:t>
      </w:r>
      <w:r w:rsidR="006B0F25">
        <w:rPr>
          <w:rFonts w:ascii="FUTURA MEDIUM" w:hAnsi="FUTURA MEDIUM"/>
          <w:b/>
          <w:sz w:val="28"/>
          <w:szCs w:val="28"/>
          <w:u w:val="single"/>
        </w:rPr>
        <w:t xml:space="preserve"> y mujeres </w:t>
      </w:r>
      <w:r w:rsidR="00B41A92">
        <w:rPr>
          <w:rFonts w:ascii="FUTURA MEDIUM" w:hAnsi="FUTURA MEDIUM"/>
          <w:b/>
          <w:sz w:val="28"/>
          <w:szCs w:val="28"/>
          <w:u w:val="single"/>
        </w:rPr>
        <w:t>rurales.</w:t>
      </w:r>
    </w:p>
    <w:p w14:paraId="65A941B9" w14:textId="25C256C4" w:rsidR="00130B97" w:rsidRPr="008C1C6A" w:rsidRDefault="00130B97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Por medio de la cual se </w:t>
      </w:r>
      <w:r w:rsidR="00350854"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agrega un parágrafo a la Ley 1266 de 2008</w:t>
      </w:r>
    </w:p>
    <w:p w14:paraId="294B4148" w14:textId="7D60AE69" w:rsidR="00834253" w:rsidRPr="008C1C6A" w:rsidRDefault="004C05F8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5D5A10">
        <w:rPr>
          <w:rFonts w:ascii="Arial" w:hAnsi="Arial" w:cs="Arial"/>
          <w:noProof/>
          <w:color w:val="0070C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7BE94FC" wp14:editId="4B8EFC8D">
            <wp:simplePos x="0" y="0"/>
            <wp:positionH relativeFrom="page">
              <wp:posOffset>927735</wp:posOffset>
            </wp:positionH>
            <wp:positionV relativeFrom="page">
              <wp:posOffset>2920365</wp:posOffset>
            </wp:positionV>
            <wp:extent cx="6400800" cy="480949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253"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EXPOSICIÓN DE MOTIVOS</w:t>
      </w:r>
    </w:p>
    <w:p w14:paraId="47143049" w14:textId="1FE3B342" w:rsidR="00834253" w:rsidRPr="008C1C6A" w:rsidRDefault="0083425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I. CONTEXTO. </w:t>
      </w:r>
    </w:p>
    <w:p w14:paraId="6C8D4525" w14:textId="18613D23" w:rsidR="00834253" w:rsidRPr="008C1C6A" w:rsidRDefault="0083425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OBJETO DEL PROYECTO</w:t>
      </w:r>
      <w:r w:rsidR="002256B4"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 Y FUNDAMENTOS LEGALES Y DE CONVENIENCIA.</w:t>
      </w:r>
      <w:r w:rsidR="00D6755A" w:rsidRPr="00D6755A">
        <w:rPr>
          <w:rFonts w:ascii="Arial" w:hAnsi="Arial" w:cs="Arial"/>
          <w:noProof/>
          <w:color w:val="0070C0"/>
          <w:lang w:eastAsia="es-CO"/>
        </w:rPr>
        <w:t xml:space="preserve"> </w:t>
      </w:r>
    </w:p>
    <w:p w14:paraId="02A29A7A" w14:textId="2388F0BA" w:rsidR="00350854" w:rsidRPr="004C788A" w:rsidRDefault="00350854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Actualmente, y dada la expedición de la ley de Habeas Data (1266 de 2008), se </w:t>
      </w:r>
      <w:r w:rsidR="005E3D7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les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permite a las entidades bancarias presentar reportes negativos a las personas que </w:t>
      </w:r>
      <w:r w:rsidR="00286FD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ostenten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moras en los pagos de sus obligaciones con los bancos o entidades financieras, esto con el fin que </w:t>
      </w:r>
      <w:r w:rsidR="00286FD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otras entidades sepan de la deuda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y eviten darle cualquier clase de beneficio</w:t>
      </w:r>
      <w:r w:rsidR="00286FD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económico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. </w:t>
      </w:r>
    </w:p>
    <w:p w14:paraId="330CDB84" w14:textId="789132C6" w:rsidR="00350854" w:rsidRPr="004C788A" w:rsidRDefault="00F77701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Complementando </w:t>
      </w:r>
      <w:r w:rsidR="00350854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lo anterior, el decreto 2952 del 6 de </w:t>
      </w:r>
      <w:r w:rsidR="00A2385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agosto</w:t>
      </w:r>
      <w:r w:rsidR="00350854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2010,</w:t>
      </w:r>
      <w:r w:rsidR="0020610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compilado por el artículo 2.2.2.28.3 del decreto 1074 </w:t>
      </w:r>
      <w:r w:rsidR="00A2385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de 2015</w:t>
      </w:r>
      <w:r w:rsidR="00350854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reglamenta el tiempo máximo y mínimo en el que puede permanecer la información negativa</w:t>
      </w:r>
      <w:r w:rsidR="00286FD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en las plataformas</w:t>
      </w:r>
      <w:r w:rsidR="00350854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si la mora se presenta en menos de dos años, la información negativa durará reportada el doble de los meses en que se presente el no pago de la obligación</w:t>
      </w:r>
      <w:r w:rsidR="00963B97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. En los casos que superen 2 años, el tiempo en el que permanecerá la información negativa es de 4 años contados a partir de la fecha en la que se reguistra el pago de la obligación. </w:t>
      </w:r>
    </w:p>
    <w:p w14:paraId="1C17E7B8" w14:textId="5F3A61CE" w:rsidR="00A23850" w:rsidRPr="004C788A" w:rsidRDefault="00963B97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El presente proye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cto de ley, tiene como </w:t>
      </w:r>
      <w:r w:rsidR="0020610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fin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="0020610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dar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un alivio a aquellos </w:t>
      </w:r>
      <w:r w:rsidR="00A55BA9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pequeños productores</w:t>
      </w:r>
      <w:r w:rsidR="003506CE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, así </w:t>
      </w:r>
      <w:r w:rsidR="00B41A9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como a los jóvenes y mujer</w:t>
      </w:r>
      <w:r w:rsidR="0020610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es</w:t>
      </w:r>
      <w:r w:rsidR="00B41A9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rurales</w:t>
      </w:r>
      <w:r w:rsidR="003506CE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que ya se encuentran al día en sus deudas con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  <w:r w:rsidR="00F87C7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el Sector financiero después de haber sido beneficiarios de créditos agropecuarios según la clasificación de créditos de FINAGRO</w:t>
      </w:r>
      <w:r w:rsidR="00A55BA9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pero que por los reportes negativos que presentan por el</w:t>
      </w:r>
      <w:r w:rsidRPr="008C1C6A">
        <w:rPr>
          <w:rFonts w:ascii="FUTURA MEDIUM" w:eastAsia="Times New Roman" w:hAnsi="FUTURA MEDIUM" w:cs="Arial"/>
          <w:bCs/>
          <w:color w:val="000000"/>
          <w:sz w:val="28"/>
          <w:szCs w:val="28"/>
          <w:lang w:eastAsia="es-CO"/>
        </w:rPr>
        <w:t xml:space="preserve"> 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incumplimiento de la(s) obligación(es) </w:t>
      </w:r>
      <w:r w:rsidR="0020610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pecuniaria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(s) aún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no pueden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aplicar y 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ser beneficiarios de nuevas líneas de crédito.</w:t>
      </w:r>
      <w:r w:rsidR="00A2385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</w:p>
    <w:p w14:paraId="42A71E3E" w14:textId="38845B2A" w:rsidR="00DE17BE" w:rsidRPr="004C788A" w:rsidRDefault="00DE17BE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lastRenderedPageBreak/>
        <w:t>Las cifras de FINAGRO nos muestran que el monto de los créditos es relativamente bajo (grafica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1) y que 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el r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iesgo financiero es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cubierto por los seguros agropecuarios que existen en el mercado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pero que debe dárseles seguridad jurídica para que se masifiquen y se reduzcan sus costos.</w:t>
      </w:r>
    </w:p>
    <w:p w14:paraId="66B44644" w14:textId="50A6D5DD" w:rsidR="00DE17BE" w:rsidRDefault="00DE17BE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8"/>
          <w:szCs w:val="28"/>
          <w:lang w:eastAsia="es-CO"/>
        </w:rPr>
      </w:pPr>
      <w:r>
        <w:rPr>
          <w:rFonts w:ascii="FUTURA MEDIUM" w:eastAsia="Times New Roman" w:hAnsi="FUTURA MEDIUM" w:cs="Arial"/>
          <w:bCs/>
          <w:noProof/>
          <w:color w:val="000000"/>
          <w:sz w:val="28"/>
          <w:szCs w:val="28"/>
          <w:lang w:val="es-CO" w:eastAsia="es-CO"/>
        </w:rPr>
        <w:drawing>
          <wp:inline distT="0" distB="0" distL="0" distR="0" wp14:anchorId="0D12C73D" wp14:editId="29840B52">
            <wp:extent cx="5607050" cy="14408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="FUTURA MEDIUM" w:eastAsia="Times New Roman" w:hAnsi="FUTURA MEDIUM" w:cs="Arial"/>
          <w:bCs/>
          <w:color w:val="000000"/>
          <w:sz w:val="28"/>
          <w:szCs w:val="28"/>
          <w:lang w:eastAsia="es-CO"/>
        </w:rPr>
        <w:footnoteReference w:id="1"/>
      </w:r>
    </w:p>
    <w:p w14:paraId="2B67645D" w14:textId="2884E670" w:rsidR="00840CAC" w:rsidRPr="004C788A" w:rsidRDefault="00840CAC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Si bien existen los consolidados anuales sobre los préstamos a los pequeños productores, las mujeres y 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los jóvenes, no se encuentra un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estimativo del número de afectados por el reporte nega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tivo en las centrales de riesgo, ya que, 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por 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estar en dicha base, los trabajadores rurales no solicitan 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nuevos cré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ditos, convirtiendo la situación en una trampa de pobreza que impide</w:t>
      </w:r>
      <w:r w:rsidR="00F77701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se logren desarrollar estructuras de progreso económico y social en</w:t>
      </w:r>
      <w:r w:rsidR="00283769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el sector agropecuario.</w:t>
      </w:r>
    </w:p>
    <w:p w14:paraId="0F4E1C58" w14:textId="26769A28" w:rsidR="00963B97" w:rsidRPr="004C788A" w:rsidRDefault="00A23850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Así como lo expusieron </w:t>
      </w:r>
      <w:proofErr w:type="spellStart"/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Bardhan</w:t>
      </w:r>
      <w:proofErr w:type="spellEnd"/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y </w:t>
      </w:r>
      <w:proofErr w:type="spellStart"/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Mookherjee</w:t>
      </w:r>
      <w:proofErr w:type="spellEnd"/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(2004), el crédito es una institución fundamental para el desarrollo agrario</w:t>
      </w:r>
      <w:r w:rsidRPr="004C788A"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2"/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por otro lado</w:t>
      </w:r>
      <w:r w:rsidR="0036687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la OCDE ha manifestado la importancia del crédito con el fin de lograr inno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vación tecnológica, pues es fundamental para</w:t>
      </w:r>
      <w:r w:rsidR="0036687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mejorar la competitividad del sector agropecuario y poder red</w:t>
      </w:r>
      <w:r w:rsidR="00881606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ucir los costos de producción junto a </w:t>
      </w:r>
      <w:r w:rsidR="0036687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los resultados en materia de productividad agropecuaria. </w:t>
      </w:r>
    </w:p>
    <w:p w14:paraId="42A207BA" w14:textId="3BF08947" w:rsidR="00A55BA9" w:rsidRPr="004C788A" w:rsidRDefault="003506CE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Las líneas de crédito de FINAGRO, están dirigidas a “</w:t>
      </w:r>
      <w:r w:rsidRPr="004C788A">
        <w:rPr>
          <w:rFonts w:ascii="FUTURA MEDIUM" w:eastAsia="Times New Roman" w:hAnsi="FUTURA MEDIUM" w:cs="Arial"/>
          <w:bCs/>
          <w:i/>
          <w:color w:val="000000"/>
          <w:sz w:val="26"/>
          <w:szCs w:val="26"/>
          <w:lang w:eastAsia="es-CO"/>
        </w:rPr>
        <w:t xml:space="preserve">los productores, personas naturales o jurídicas, clasificadas y definidas por FINAGRO como pequeño, </w:t>
      </w:r>
      <w:r w:rsidRPr="004C788A">
        <w:rPr>
          <w:rFonts w:ascii="FUTURA MEDIUM" w:eastAsia="Times New Roman" w:hAnsi="FUTURA MEDIUM" w:cs="Arial"/>
          <w:bCs/>
          <w:i/>
          <w:color w:val="000000"/>
          <w:sz w:val="26"/>
          <w:szCs w:val="26"/>
          <w:lang w:eastAsia="es-CO"/>
        </w:rPr>
        <w:lastRenderedPageBreak/>
        <w:t>mediano, gran productor,</w:t>
      </w:r>
      <w:r w:rsidR="00B41A92" w:rsidRPr="004C788A">
        <w:rPr>
          <w:rFonts w:ascii="FUTURA MEDIUM" w:eastAsia="Times New Roman" w:hAnsi="FUTURA MEDIUM" w:cs="Arial"/>
          <w:bCs/>
          <w:i/>
          <w:color w:val="000000"/>
          <w:sz w:val="26"/>
          <w:szCs w:val="26"/>
          <w:lang w:eastAsia="es-CO"/>
        </w:rPr>
        <w:t xml:space="preserve"> jóvenes,</w:t>
      </w:r>
      <w:r w:rsidRPr="004C788A">
        <w:rPr>
          <w:rFonts w:ascii="FUTURA MEDIUM" w:eastAsia="Times New Roman" w:hAnsi="FUTURA MEDIUM" w:cs="Arial"/>
          <w:bCs/>
          <w:i/>
          <w:color w:val="000000"/>
          <w:sz w:val="26"/>
          <w:szCs w:val="26"/>
          <w:lang w:eastAsia="es-CO"/>
        </w:rPr>
        <w:t xml:space="preserve"> mujeres rurales y mipymes que desarrollen proyectos agrícolas, pecuarios, pesqueros, acuícolas, forestales y actividades rurales como artesanías, turismo rural y comercialización de metales y piedras preciosas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”</w:t>
      </w:r>
      <w:r w:rsidR="00131363" w:rsidRPr="004C788A"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3"/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. El presente proyecto de ley, 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busca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brindar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alivio a los pequeños</w:t>
      </w:r>
      <w:r w:rsidR="00B41A9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productores, así como a los jóvenes y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</w:t>
      </w:r>
      <w:r w:rsidR="00B41A92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ujeres rurales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que según definición de FINAGRO son:</w:t>
      </w:r>
    </w:p>
    <w:tbl>
      <w:tblPr>
        <w:tblStyle w:val="Tabladecuadrcula5oscura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1A92" w14:paraId="199CF7BD" w14:textId="77777777" w:rsidTr="00B4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8945BA1" w14:textId="497C671C" w:rsidR="00B41A92" w:rsidRDefault="00B41A92" w:rsidP="00DF2A93">
            <w:pPr>
              <w:spacing w:before="100" w:beforeAutospacing="1" w:after="100" w:afterAutospacing="1"/>
              <w:jc w:val="both"/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  <w:t>Tipo de productor</w:t>
            </w:r>
          </w:p>
        </w:tc>
        <w:tc>
          <w:tcPr>
            <w:tcW w:w="4414" w:type="dxa"/>
          </w:tcPr>
          <w:p w14:paraId="3E8BF0AD" w14:textId="5BFC3E78" w:rsidR="00B41A92" w:rsidRDefault="00B41A92" w:rsidP="00DF2A93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  <w:t>Activos hasta</w:t>
            </w:r>
          </w:p>
        </w:tc>
      </w:tr>
      <w:tr w:rsidR="00B41A92" w14:paraId="3833EFE1" w14:textId="77777777" w:rsidTr="00B4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5D8CDCD" w14:textId="1B00E7E4" w:rsidR="00B41A92" w:rsidRDefault="00B41A92" w:rsidP="00DF2A93">
            <w:pPr>
              <w:spacing w:before="100" w:beforeAutospacing="1" w:after="100" w:afterAutospacing="1"/>
              <w:jc w:val="both"/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  <w:t>Pequeño</w:t>
            </w:r>
          </w:p>
        </w:tc>
        <w:tc>
          <w:tcPr>
            <w:tcW w:w="4414" w:type="dxa"/>
          </w:tcPr>
          <w:p w14:paraId="595BF788" w14:textId="369A633E" w:rsidR="00B41A92" w:rsidRDefault="00206103" w:rsidP="00DF2A9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  <w:t>235.184.944</w:t>
            </w:r>
          </w:p>
        </w:tc>
      </w:tr>
      <w:tr w:rsidR="00B41A92" w14:paraId="5928A198" w14:textId="77777777" w:rsidTr="00B4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B864B8D" w14:textId="152351AF" w:rsidR="00B41A92" w:rsidRDefault="00B41A92" w:rsidP="00DF2A93">
            <w:pPr>
              <w:spacing w:before="100" w:beforeAutospacing="1" w:after="100" w:afterAutospacing="1"/>
              <w:jc w:val="both"/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  <w:t>Jóven Rural</w:t>
            </w:r>
          </w:p>
        </w:tc>
        <w:tc>
          <w:tcPr>
            <w:tcW w:w="4414" w:type="dxa"/>
          </w:tcPr>
          <w:p w14:paraId="2A0D3EA2" w14:textId="4A33F2A4" w:rsidR="00B41A92" w:rsidRDefault="00206103" w:rsidP="00DF2A9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  <w:t>164.629.461</w:t>
            </w:r>
          </w:p>
        </w:tc>
      </w:tr>
      <w:tr w:rsidR="00B41A92" w14:paraId="25D07745" w14:textId="77777777" w:rsidTr="00B4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CC2EC5" w14:textId="070167EA" w:rsidR="00B41A92" w:rsidRDefault="00B41A92" w:rsidP="00DF2A93">
            <w:pPr>
              <w:spacing w:before="100" w:beforeAutospacing="1" w:after="100" w:afterAutospacing="1"/>
              <w:jc w:val="both"/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 w:val="0"/>
                <w:color w:val="000000"/>
                <w:sz w:val="28"/>
                <w:szCs w:val="28"/>
                <w:lang w:eastAsia="es-CO"/>
              </w:rPr>
              <w:t>Mujer Rural</w:t>
            </w:r>
          </w:p>
        </w:tc>
        <w:tc>
          <w:tcPr>
            <w:tcW w:w="4414" w:type="dxa"/>
          </w:tcPr>
          <w:p w14:paraId="622AFA48" w14:textId="27D5CB16" w:rsidR="00B41A92" w:rsidRDefault="00206103" w:rsidP="00DF2A9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FUTURA MEDIUM" w:eastAsia="Times New Roman" w:hAnsi="FUTURA MEDIUM" w:cs="Arial"/>
                <w:bCs/>
                <w:color w:val="000000"/>
                <w:sz w:val="28"/>
                <w:szCs w:val="28"/>
                <w:lang w:eastAsia="es-CO"/>
              </w:rPr>
              <w:t>164.629.461</w:t>
            </w:r>
          </w:p>
        </w:tc>
      </w:tr>
    </w:tbl>
    <w:p w14:paraId="2E333CA5" w14:textId="72F6BDD8" w:rsidR="001D3D81" w:rsidRPr="004C788A" w:rsidRDefault="001A155A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Arial" w:hAnsi="Arial" w:cs="Arial"/>
          <w:noProof/>
          <w:color w:val="0070C0"/>
          <w:sz w:val="26"/>
          <w:szCs w:val="26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5D0CE25" wp14:editId="37E800B7">
            <wp:simplePos x="0" y="0"/>
            <wp:positionH relativeFrom="page">
              <wp:posOffset>813435</wp:posOffset>
            </wp:positionH>
            <wp:positionV relativeFrom="page">
              <wp:posOffset>1751965</wp:posOffset>
            </wp:positionV>
            <wp:extent cx="6400800" cy="480949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Así pues, observamos que tan</w:t>
      </w:r>
      <w:r w:rsidR="00723D2B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to el pequeño productor, como lo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</w:t>
      </w:r>
      <w:r w:rsidR="00723D2B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jóvenes y</w:t>
      </w:r>
      <w:r w:rsidR="00F302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mujeres rurales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son personas que dependen de forma directa de su actividad agraria, y que necesitan de este t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ipo de incentivos para acu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dir a </w:t>
      </w:r>
      <w:r w:rsidR="00DF2A9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líneas</w:t>
      </w:r>
      <w:r w:rsidR="00BA5733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crédito.</w:t>
      </w:r>
      <w:r w:rsidR="00B2790D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La pertinencia del presente Proyecto de Le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y radica en incentivar a jóvenes </w:t>
      </w:r>
      <w:proofErr w:type="gramStart"/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y </w:t>
      </w:r>
      <w:r w:rsidR="00B2790D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mujeres</w:t>
      </w:r>
      <w:proofErr w:type="gramEnd"/>
      <w:r w:rsidR="00B2790D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rurales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a  permanecer en sus actividades agrícolas.</w:t>
      </w:r>
    </w:p>
    <w:p w14:paraId="7EAA53F0" w14:textId="1AD642B5" w:rsidR="00BA5733" w:rsidRPr="004C788A" w:rsidRDefault="00BA573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Según los resultados del</w:t>
      </w:r>
      <w:r w:rsidR="00CC54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más reciente</w:t>
      </w:r>
      <w:r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Cen</w:t>
      </w:r>
      <w:r w:rsidR="00CC54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so Nacional Agropecuario, Tan solo el 16,4% de los productores demandó algún tipo de crédito para el desarrollo de sus actividades agropecuarias. Al campesino hay que acercarlo a l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os créditos agrarios y alejarlo de los reportes negativos; en </w:t>
      </w:r>
      <w:proofErr w:type="gramStart"/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consecuencia</w:t>
      </w:r>
      <w:proofErr w:type="gramEnd"/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se incentiva</w:t>
      </w:r>
      <w:r w:rsidR="00CC54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la inversión de los pequeños productores</w:t>
      </w:r>
      <w:r w:rsidR="00F302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los jóvenes</w:t>
      </w:r>
      <w:r w:rsidR="003D71F0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y las mujeres rurales en el</w:t>
      </w:r>
      <w:r w:rsidR="00CC54D5" w:rsidRPr="004C788A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campo colombiano.</w:t>
      </w:r>
    </w:p>
    <w:p w14:paraId="61130E2E" w14:textId="01C02143" w:rsidR="00834253" w:rsidRPr="00BA5733" w:rsidRDefault="00350854" w:rsidP="004C788A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BA5733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II. </w:t>
      </w:r>
      <w:r w:rsidR="00834253" w:rsidRPr="00BA5733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IMPACTO FISCAL.</w:t>
      </w:r>
    </w:p>
    <w:p w14:paraId="3313DA78" w14:textId="609E6D1B" w:rsidR="00834253" w:rsidRPr="004C788A" w:rsidRDefault="0083425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Dando cumplimiento a lo señalado en el Artículo 7o. de la Ley 819 de 2003, la presente iniciativa tiene un efecto nulo para las finanzas </w:t>
      </w:r>
      <w:r w:rsidR="00E218C7"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del gobierno</w:t>
      </w:r>
      <w:r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 por consiguiente no representa</w:t>
      </w:r>
      <w:r w:rsidR="003D71F0"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 ningún</w:t>
      </w:r>
      <w:r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 impacto fiscal.</w:t>
      </w:r>
    </w:p>
    <w:p w14:paraId="1BB10CAE" w14:textId="1B711CF2" w:rsidR="00834253" w:rsidRPr="00BA5733" w:rsidRDefault="0083425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i/>
          <w:iCs/>
          <w:color w:val="000000"/>
          <w:sz w:val="28"/>
          <w:szCs w:val="28"/>
          <w:lang w:eastAsia="es-CO"/>
        </w:rPr>
      </w:pPr>
      <w:r w:rsidRPr="00BA5733">
        <w:rPr>
          <w:rFonts w:ascii="FUTURA MEDIUM" w:eastAsia="Times New Roman" w:hAnsi="FUTURA MEDIUM" w:cs="Arial"/>
          <w:b/>
          <w:bCs/>
          <w:i/>
          <w:iCs/>
          <w:color w:val="000000"/>
          <w:sz w:val="28"/>
          <w:szCs w:val="28"/>
          <w:lang w:eastAsia="es-CO"/>
        </w:rPr>
        <w:t>"ARTÍCULO 7°. Análisis del impacto fiscal de las normas.</w:t>
      </w:r>
    </w:p>
    <w:p w14:paraId="724035F1" w14:textId="26CC6C1A" w:rsidR="00834253" w:rsidRPr="004C788A" w:rsidRDefault="001A155A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</w:pPr>
      <w:r w:rsidRPr="004C788A">
        <w:rPr>
          <w:rFonts w:ascii="Arial" w:hAnsi="Arial" w:cs="Arial"/>
          <w:noProof/>
          <w:color w:val="0070C0"/>
          <w:sz w:val="26"/>
          <w:szCs w:val="26"/>
          <w:lang w:val="es-CO" w:eastAsia="es-CO"/>
        </w:rPr>
        <w:lastRenderedPageBreak/>
        <w:drawing>
          <wp:anchor distT="0" distB="0" distL="114300" distR="114300" simplePos="0" relativeHeight="251665408" behindDoc="1" locked="0" layoutInCell="1" allowOverlap="1" wp14:anchorId="1F6C134B" wp14:editId="6C766738">
            <wp:simplePos x="0" y="0"/>
            <wp:positionH relativeFrom="margin">
              <wp:align>center</wp:align>
            </wp:positionH>
            <wp:positionV relativeFrom="page">
              <wp:posOffset>1948180</wp:posOffset>
            </wp:positionV>
            <wp:extent cx="6400800" cy="4809490"/>
            <wp:effectExtent l="0" t="0" r="0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253" w:rsidRPr="004C788A">
        <w:rPr>
          <w:rFonts w:ascii="FUTURA MEDIUM" w:eastAsia="Times New Roman" w:hAnsi="FUTURA MEDIUM" w:cs="Arial"/>
          <w:i/>
          <w:iCs/>
          <w:color w:val="000000"/>
          <w:sz w:val="26"/>
          <w:szCs w:val="26"/>
          <w:lang w:eastAsia="es-CO"/>
        </w:rPr>
        <w:t xml:space="preserve">Los proyectos de ley de iniciativa gubernamental, que planteen un gasto adicional o una reducción de ingresos, deberá contener la correspondiente fuente sustitutiva por disminución de gasto o aumentos de ingresos, lo cual deberá ser analizado y aprobado por el Ministerio de Hacienda y Crédito Público. </w:t>
      </w:r>
    </w:p>
    <w:p w14:paraId="24624A60" w14:textId="4BC3145C" w:rsidR="00BA5733" w:rsidRPr="004C788A" w:rsidRDefault="00834253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i/>
          <w:iCs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i/>
          <w:iCs/>
          <w:color w:val="000000"/>
          <w:sz w:val="26"/>
          <w:szCs w:val="26"/>
          <w:lang w:eastAsia="es-CO"/>
        </w:rPr>
        <w:t>En las entidades territoriales, el trámite previsto en el inciso anterior será surtido ante la respectiva Secretaría de Hacienda o quien haga sus veces."</w:t>
      </w:r>
    </w:p>
    <w:p w14:paraId="69CC0709" w14:textId="0125980B" w:rsidR="00560D26" w:rsidRPr="008C1C6A" w:rsidRDefault="00560D26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i/>
          <w:iCs/>
          <w:color w:val="000000"/>
          <w:sz w:val="28"/>
          <w:szCs w:val="28"/>
          <w:lang w:eastAsia="es-CO"/>
        </w:rPr>
      </w:pPr>
    </w:p>
    <w:p w14:paraId="61600253" w14:textId="77777777" w:rsidR="00B95733" w:rsidRDefault="00B95733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0853361B" w14:textId="77777777" w:rsidR="00B95733" w:rsidRDefault="00B95733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2C92A406" w14:textId="77777777" w:rsidR="00B95733" w:rsidRDefault="00B95733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158FAED7" w14:textId="38CC8CBC" w:rsidR="00B95733" w:rsidRDefault="00B95733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1A3FDFAA" w14:textId="1F744EA8" w:rsidR="003D71F0" w:rsidRDefault="003D71F0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4BFA4AF6" w14:textId="5C1AA797" w:rsidR="003D71F0" w:rsidRDefault="003D71F0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059C3F19" w14:textId="562D637E" w:rsidR="003D71F0" w:rsidRDefault="003D71F0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264EC891" w14:textId="37713CD1" w:rsidR="003D71F0" w:rsidRDefault="003D71F0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0E36E51C" w14:textId="6B002C13" w:rsidR="003D71F0" w:rsidRDefault="003D71F0" w:rsidP="00DF2A93">
      <w:pPr>
        <w:jc w:val="both"/>
        <w:rPr>
          <w:rFonts w:ascii="FUTURA MEDIUM" w:eastAsia="Times New Roman" w:hAnsi="FUTURA MEDIUM" w:cs="Arial"/>
          <w:b/>
          <w:i/>
          <w:color w:val="000000"/>
          <w:szCs w:val="28"/>
          <w:u w:val="single"/>
          <w:lang w:eastAsia="es-CO"/>
        </w:rPr>
      </w:pPr>
    </w:p>
    <w:p w14:paraId="2829E752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7BEAB632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5B3AC4A2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3D15FB2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2E1BE9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3D7EBB1B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50E7C9B1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6BC2D61A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FBD8EF3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70AD881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66AC298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9FE3F0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5DE9A994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297A027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0B20F116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2D564BFC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3E9425B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64FBA310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4659D363" w14:textId="77777777" w:rsidR="004C788A" w:rsidRDefault="004C788A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</w:pPr>
    </w:p>
    <w:p w14:paraId="7864101B" w14:textId="7A55BDA8" w:rsidR="006B0F25" w:rsidRPr="004C788A" w:rsidRDefault="00834253" w:rsidP="00DF2A93">
      <w:pPr>
        <w:jc w:val="both"/>
        <w:rPr>
          <w:rFonts w:ascii="FUTURA MEDIUM" w:eastAsia="Times New Roman" w:hAnsi="FUTURA MEDIUM" w:cs="Arial"/>
          <w:b/>
          <w:i/>
          <w:color w:val="000000"/>
          <w:sz w:val="26"/>
          <w:szCs w:val="28"/>
          <w:lang w:eastAsia="es-CO"/>
        </w:rPr>
      </w:pPr>
      <w:r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>Con base en lo expuesto anteriormente, ponemos a disposición de</w:t>
      </w:r>
      <w:r w:rsidR="00B01136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 </w:t>
      </w:r>
      <w:r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>l</w:t>
      </w:r>
      <w:r w:rsidR="00B01136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>a</w:t>
      </w:r>
      <w:r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 Honorable </w:t>
      </w:r>
      <w:r w:rsidR="00B01136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>Cámara de Representantes</w:t>
      </w:r>
      <w:r w:rsidR="00E218C7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 de la Republica</w:t>
      </w:r>
      <w:r w:rsidR="00B01136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 de Colombia,</w:t>
      </w:r>
      <w:r w:rsidR="00E218C7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 </w:t>
      </w:r>
      <w:r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 xml:space="preserve">la discusión y aprobación del presente Proyecto de </w:t>
      </w:r>
      <w:r w:rsidR="00E218C7" w:rsidRPr="004C788A">
        <w:rPr>
          <w:rFonts w:ascii="FUTURA MEDIUM" w:eastAsia="Times New Roman" w:hAnsi="FUTURA MEDIUM" w:cs="Arial"/>
          <w:b/>
          <w:i/>
          <w:color w:val="000000"/>
          <w:sz w:val="22"/>
          <w:szCs w:val="28"/>
          <w:u w:val="single"/>
          <w:lang w:eastAsia="es-CO"/>
        </w:rPr>
        <w:t>Ley</w:t>
      </w:r>
      <w:r w:rsidRPr="004C788A">
        <w:rPr>
          <w:rFonts w:ascii="FUTURA MEDIUM" w:eastAsia="Times New Roman" w:hAnsi="FUTURA MEDIUM" w:cs="Arial"/>
          <w:b/>
          <w:bCs/>
          <w:i/>
          <w:color w:val="000000"/>
          <w:sz w:val="22"/>
          <w:szCs w:val="28"/>
          <w:u w:val="single"/>
          <w:lang w:eastAsia="es-CO"/>
        </w:rPr>
        <w:t>.</w:t>
      </w:r>
    </w:p>
    <w:p w14:paraId="56A03CB0" w14:textId="77777777" w:rsidR="00B95733" w:rsidRPr="004C788A" w:rsidRDefault="00B95733" w:rsidP="00B95733">
      <w:pPr>
        <w:jc w:val="center"/>
        <w:rPr>
          <w:rFonts w:ascii="FUTURA MEDIUM" w:hAnsi="FUTURA MEDIUM"/>
          <w:b/>
          <w:sz w:val="22"/>
          <w:szCs w:val="28"/>
          <w:u w:val="single"/>
        </w:rPr>
      </w:pPr>
    </w:p>
    <w:p w14:paraId="31CACD1A" w14:textId="3FEDFC2D" w:rsidR="006B0F25" w:rsidRPr="004C788A" w:rsidRDefault="001A155A" w:rsidP="00B95733">
      <w:pPr>
        <w:jc w:val="center"/>
        <w:rPr>
          <w:rFonts w:ascii="FUTURA MEDIUM" w:hAnsi="FUTURA MEDIUM"/>
          <w:b/>
          <w:sz w:val="22"/>
          <w:szCs w:val="28"/>
          <w:u w:val="single"/>
        </w:rPr>
      </w:pPr>
      <w:r w:rsidRPr="004C788A">
        <w:rPr>
          <w:rFonts w:ascii="Arial" w:hAnsi="Arial" w:cs="Arial"/>
          <w:noProof/>
          <w:color w:val="0070C0"/>
          <w:sz w:val="22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05EFD72A" wp14:editId="03CA3151">
            <wp:simplePos x="0" y="0"/>
            <wp:positionH relativeFrom="page">
              <wp:posOffset>832485</wp:posOffset>
            </wp:positionH>
            <wp:positionV relativeFrom="page">
              <wp:posOffset>2116455</wp:posOffset>
            </wp:positionV>
            <wp:extent cx="6400800" cy="480949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F0" w:rsidRPr="004C788A">
        <w:rPr>
          <w:rFonts w:ascii="FUTURA MEDIUM" w:hAnsi="FUTURA MEDIUM"/>
          <w:b/>
          <w:sz w:val="22"/>
          <w:szCs w:val="28"/>
          <w:u w:val="single"/>
        </w:rPr>
        <w:t>PROYECTO DE LEY No.</w:t>
      </w:r>
      <w:r w:rsidR="006B0F25" w:rsidRPr="004C788A">
        <w:rPr>
          <w:rFonts w:ascii="FUTURA MEDIUM" w:hAnsi="FUTURA MEDIUM"/>
          <w:b/>
          <w:sz w:val="22"/>
          <w:szCs w:val="28"/>
          <w:u w:val="single"/>
        </w:rPr>
        <w:t xml:space="preserve">    </w:t>
      </w:r>
      <w:r w:rsidR="005B18EB" w:rsidRPr="004C788A">
        <w:rPr>
          <w:rFonts w:ascii="FUTURA MEDIUM" w:hAnsi="FUTURA MEDIUM"/>
          <w:b/>
          <w:sz w:val="22"/>
          <w:szCs w:val="28"/>
          <w:u w:val="single"/>
        </w:rPr>
        <w:t xml:space="preserve">       </w:t>
      </w:r>
      <w:r w:rsidR="00B2790D" w:rsidRPr="004C788A">
        <w:rPr>
          <w:rFonts w:ascii="FUTURA MEDIUM" w:hAnsi="FUTURA MEDIUM"/>
          <w:b/>
          <w:sz w:val="22"/>
          <w:szCs w:val="28"/>
          <w:u w:val="single"/>
        </w:rPr>
        <w:t xml:space="preserve">    de 2019</w:t>
      </w:r>
    </w:p>
    <w:p w14:paraId="379970D7" w14:textId="402E7DC8" w:rsidR="00F302D5" w:rsidRPr="004C788A" w:rsidRDefault="00F302D5" w:rsidP="003D71F0">
      <w:pPr>
        <w:jc w:val="center"/>
        <w:rPr>
          <w:rFonts w:ascii="FUTURA MEDIUM" w:hAnsi="FUTURA MEDIUM"/>
          <w:b/>
          <w:sz w:val="22"/>
          <w:szCs w:val="28"/>
          <w:u w:val="single"/>
        </w:rPr>
      </w:pPr>
      <w:r w:rsidRPr="004C788A">
        <w:rPr>
          <w:rFonts w:ascii="FUTURA MEDIUM" w:hAnsi="FUTURA MEDIUM"/>
          <w:b/>
          <w:sz w:val="22"/>
          <w:szCs w:val="28"/>
          <w:u w:val="single"/>
        </w:rPr>
        <w:t>Alivio para pequeño productor, jóvenes y mujeres rurales.</w:t>
      </w:r>
    </w:p>
    <w:p w14:paraId="455C5D8C" w14:textId="77777777" w:rsidR="003D71F0" w:rsidRPr="004C788A" w:rsidRDefault="00BA5733" w:rsidP="003D71F0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2"/>
          <w:szCs w:val="28"/>
          <w:lang w:eastAsia="es-CO"/>
        </w:rPr>
      </w:pPr>
      <w:r w:rsidRPr="004C788A">
        <w:rPr>
          <w:rFonts w:ascii="FUTURA MEDIUM" w:eastAsia="Times New Roman" w:hAnsi="FUTURA MEDIUM" w:cs="Arial"/>
          <w:b/>
          <w:bCs/>
          <w:color w:val="000000"/>
          <w:sz w:val="22"/>
          <w:szCs w:val="28"/>
          <w:lang w:eastAsia="es-CO"/>
        </w:rPr>
        <w:t>Por medio de la cual se agrega un parágrafo a la Ley 1266 de 2008</w:t>
      </w:r>
    </w:p>
    <w:p w14:paraId="2F0A31FD" w14:textId="0FB8F359" w:rsidR="006B0F25" w:rsidRPr="004C788A" w:rsidRDefault="002F3174" w:rsidP="00DF2A93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2"/>
          <w:szCs w:val="28"/>
          <w:lang w:eastAsia="es-CO"/>
        </w:rPr>
      </w:pPr>
      <w:r w:rsidRPr="004C788A"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 xml:space="preserve">Artículo 1. 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Modifíquese el artí</w:t>
      </w:r>
      <w:r w:rsidR="00560D26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culo 13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 de la ley </w:t>
      </w:r>
      <w:r w:rsidR="00560D26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1266 de 2008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 </w:t>
      </w:r>
      <w:r w:rsidR="004357C9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la 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cual quedará </w:t>
      </w:r>
      <w:r w:rsidR="00ED7881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así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:  </w:t>
      </w:r>
    </w:p>
    <w:p w14:paraId="352C874F" w14:textId="1EC02B9F" w:rsidR="00560D26" w:rsidRPr="004C788A" w:rsidRDefault="00560D26" w:rsidP="003D71F0">
      <w:pPr>
        <w:spacing w:before="100" w:beforeAutospacing="1" w:after="100" w:afterAutospacing="1"/>
        <w:ind w:left="708"/>
        <w:jc w:val="both"/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</w:pPr>
      <w:r w:rsidRPr="004C788A"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Artículo 13. Permanencia de la información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. La información de carácter positivo permanecerá́ de manera indefinida en los bancos de datos de los operadores de información. </w:t>
      </w:r>
    </w:p>
    <w:p w14:paraId="084FB7B8" w14:textId="61383C07" w:rsidR="00560D26" w:rsidRPr="004C788A" w:rsidRDefault="00560D26" w:rsidP="003D71F0">
      <w:pPr>
        <w:spacing w:before="100" w:beforeAutospacing="1" w:after="100" w:afterAutospacing="1"/>
        <w:ind w:left="708"/>
        <w:jc w:val="both"/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</w:pP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Los datos cuyo contenido haga referencia al tiempo de mora, tipo de cobro, estado de la cartera, y en general, aquellos datos referentes a una situación de incumplimiento de obligaciones, se regirán por u</w:t>
      </w:r>
      <w:r w:rsidR="003D71F0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n término máximo de permanencia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 vencido</w:t>
      </w:r>
      <w:r w:rsidR="003D71F0"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>, el cual deberá́ ser retirado</w:t>
      </w:r>
      <w:r w:rsidRPr="004C788A">
        <w:rPr>
          <w:rFonts w:ascii="FUTURA MEDIUM" w:eastAsia="Times New Roman" w:hAnsi="FUTURA MEDIUM" w:cs="Arial"/>
          <w:bCs/>
          <w:color w:val="000000" w:themeColor="text1"/>
          <w:sz w:val="22"/>
          <w:szCs w:val="28"/>
          <w:lang w:eastAsia="es-CO"/>
        </w:rPr>
        <w:t xml:space="preserve"> de los bancos de datos por el operador, de forma que los usuarios no puedan acceder o consultar dicha información. El término de permanencia de esta información será́ de cuatro (4) años contados a partir de la fecha en que sean pagadas las cuotas vencidas o sea pagada la obligación vencida. </w:t>
      </w:r>
    </w:p>
    <w:p w14:paraId="74A5A6D1" w14:textId="77777777" w:rsidR="003D71F0" w:rsidRPr="004C788A" w:rsidRDefault="003D71F0" w:rsidP="003D71F0">
      <w:pPr>
        <w:spacing w:before="100" w:beforeAutospacing="1" w:after="100" w:afterAutospacing="1"/>
        <w:ind w:left="708"/>
        <w:jc w:val="both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u w:val="single"/>
          <w:lang w:eastAsia="es-CO"/>
        </w:rPr>
      </w:pPr>
      <w:r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>PARÁ</w:t>
      </w:r>
      <w:r w:rsidR="002F3174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 xml:space="preserve">GRAFO: </w:t>
      </w:r>
      <w:r w:rsidR="000D67F1" w:rsidRPr="004C788A"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u w:val="single"/>
          <w:lang w:eastAsia="es-CO"/>
        </w:rPr>
        <w:t xml:space="preserve">El término de permanencia de la información negativa, </w:t>
      </w:r>
      <w:r w:rsidR="00723D2B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>de</w:t>
      </w:r>
      <w:r w:rsidR="000D67F1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 xml:space="preserve"> los pequeños productores</w:t>
      </w:r>
      <w:r w:rsidR="00723D2B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>, los</w:t>
      </w:r>
      <w:r w:rsidR="000D67F1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 xml:space="preserve"> </w:t>
      </w:r>
      <w:r w:rsidR="00723D2B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 xml:space="preserve">jóvenes </w:t>
      </w:r>
      <w:r w:rsidR="000D67F1" w:rsidRPr="004C788A">
        <w:rPr>
          <w:rFonts w:ascii="FUTURA MEDIUM" w:eastAsia="Times New Roman" w:hAnsi="FUTURA MEDIUM" w:cs="Arial"/>
          <w:b/>
          <w:color w:val="000000" w:themeColor="text1"/>
          <w:sz w:val="22"/>
          <w:szCs w:val="28"/>
          <w:u w:val="single"/>
          <w:lang w:eastAsia="es-CO"/>
        </w:rPr>
        <w:t xml:space="preserve">y </w:t>
      </w:r>
      <w:r w:rsidR="000D67F1" w:rsidRPr="004C788A">
        <w:rPr>
          <w:rFonts w:ascii="FUTURA MEDIUM" w:eastAsia="Times New Roman" w:hAnsi="FUTURA MEDIUM" w:cs="Arial"/>
          <w:b/>
          <w:bCs/>
          <w:color w:val="000000"/>
          <w:sz w:val="22"/>
          <w:szCs w:val="28"/>
          <w:u w:val="single"/>
          <w:lang w:eastAsia="es-CO"/>
        </w:rPr>
        <w:t xml:space="preserve">las mujeres rurales definidos por FINAGRO, </w:t>
      </w:r>
      <w:r w:rsidR="000D67F1" w:rsidRPr="004C788A"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u w:val="single"/>
          <w:lang w:eastAsia="es-CO"/>
        </w:rPr>
        <w:t xml:space="preserve">será́ de un (1) mes contados a partir de la fecha en que sean pagadas las cuotas vencidas o sea pagada la obligación vencida. </w:t>
      </w:r>
    </w:p>
    <w:p w14:paraId="3728D22B" w14:textId="2284DE80" w:rsidR="00607E67" w:rsidRDefault="00ED7881" w:rsidP="003D71F0">
      <w:pPr>
        <w:spacing w:before="100" w:beforeAutospacing="1" w:after="100" w:afterAutospacing="1"/>
        <w:jc w:val="both"/>
        <w:rPr>
          <w:rFonts w:ascii="FUTURA MEDIUM" w:hAnsi="FUTURA MEDIUM" w:cs="Arial"/>
          <w:bCs/>
          <w:sz w:val="22"/>
          <w:szCs w:val="28"/>
        </w:rPr>
      </w:pPr>
      <w:r w:rsidRPr="004C788A">
        <w:rPr>
          <w:rFonts w:ascii="FUTURA MEDIUM" w:hAnsi="FUTURA MEDIUM" w:cs="Arial"/>
          <w:b/>
          <w:bCs/>
          <w:sz w:val="22"/>
          <w:szCs w:val="28"/>
        </w:rPr>
        <w:t xml:space="preserve">Artículo 2. </w:t>
      </w:r>
      <w:r w:rsidRPr="004C788A">
        <w:rPr>
          <w:rFonts w:ascii="FUTURA MEDIUM" w:hAnsi="FUTURA MEDIUM" w:cs="Arial"/>
          <w:bCs/>
          <w:sz w:val="22"/>
          <w:szCs w:val="28"/>
        </w:rPr>
        <w:t>La presente ley rige a partir de su fecha de promulgación.</w:t>
      </w:r>
    </w:p>
    <w:p w14:paraId="47F8487D" w14:textId="1B01B1F0" w:rsidR="004C788A" w:rsidRPr="004C788A" w:rsidRDefault="004C788A" w:rsidP="003D71F0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u w:val="single"/>
          <w:lang w:eastAsia="es-CO"/>
        </w:rPr>
      </w:pPr>
    </w:p>
    <w:p w14:paraId="77341072" w14:textId="77777777" w:rsidR="00702CD1" w:rsidRDefault="00702CD1" w:rsidP="00702CD1">
      <w:pPr>
        <w:rPr>
          <w:rFonts w:ascii="Arial" w:hAnsi="Arial" w:cs="Arial"/>
        </w:rPr>
      </w:pPr>
    </w:p>
    <w:p w14:paraId="542AF0BA" w14:textId="282A95B4" w:rsidR="00607E67" w:rsidRPr="005D5A10" w:rsidRDefault="004C788A" w:rsidP="00702CD1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607E67">
        <w:rPr>
          <w:rFonts w:ascii="Arial" w:hAnsi="Arial" w:cs="Arial"/>
        </w:rPr>
        <w:t>______</w:t>
      </w:r>
      <w:r w:rsidR="00607E67" w:rsidRPr="005D5A10">
        <w:rPr>
          <w:rFonts w:ascii="Arial" w:hAnsi="Arial" w:cs="Arial"/>
        </w:rPr>
        <w:t>___________________</w:t>
      </w:r>
      <w:r w:rsidR="00702CD1">
        <w:rPr>
          <w:rFonts w:ascii="Arial" w:hAnsi="Arial" w:cs="Arial"/>
        </w:rPr>
        <w:tab/>
        <w:t>_______________________________</w:t>
      </w:r>
      <w:bookmarkStart w:id="0" w:name="_GoBack"/>
      <w:bookmarkEnd w:id="0"/>
    </w:p>
    <w:p w14:paraId="0E61F1CE" w14:textId="5D44758D" w:rsidR="00607E67" w:rsidRPr="005D5A10" w:rsidRDefault="00702CD1" w:rsidP="00702C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DEL ROSARIO GUERRA </w:t>
      </w:r>
      <w:r>
        <w:rPr>
          <w:rFonts w:ascii="Arial" w:hAnsi="Arial" w:cs="Arial"/>
          <w:b/>
        </w:rPr>
        <w:tab/>
        <w:t xml:space="preserve">EDWIN </w:t>
      </w:r>
      <w:r w:rsidR="00607E67" w:rsidRPr="005D5A10">
        <w:rPr>
          <w:rFonts w:ascii="Arial" w:hAnsi="Arial" w:cs="Arial"/>
          <w:b/>
        </w:rPr>
        <w:t>BALLESTEROS ARCHILA</w:t>
      </w:r>
    </w:p>
    <w:p w14:paraId="5E862455" w14:textId="61262F7F" w:rsidR="00607E67" w:rsidRPr="005D5A10" w:rsidRDefault="00702CD1" w:rsidP="00702CD1">
      <w:pPr>
        <w:rPr>
          <w:rFonts w:ascii="Arial" w:hAnsi="Arial" w:cs="Arial"/>
        </w:rPr>
      </w:pPr>
      <w:r>
        <w:rPr>
          <w:rFonts w:ascii="Arial" w:hAnsi="Arial" w:cs="Arial"/>
        </w:rPr>
        <w:t>Senadora de la Republica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E67" w:rsidRPr="005D5A10">
        <w:rPr>
          <w:rFonts w:ascii="Arial" w:hAnsi="Arial" w:cs="Arial"/>
        </w:rPr>
        <w:t>Representante a la Cámara</w:t>
      </w:r>
    </w:p>
    <w:p w14:paraId="26B694A2" w14:textId="77777777" w:rsidR="003D71F0" w:rsidRDefault="00607E67" w:rsidP="00702CD1">
      <w:pPr>
        <w:ind w:left="2124" w:firstLine="708"/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Departamento de Santander</w:t>
      </w:r>
    </w:p>
    <w:p w14:paraId="77FED7EB" w14:textId="3C79C63B" w:rsidR="00607E67" w:rsidRPr="003D71F0" w:rsidRDefault="00607E67" w:rsidP="003D71F0">
      <w:pPr>
        <w:rPr>
          <w:rFonts w:ascii="FUTURA MEDIUM" w:hAnsi="FUTURA MEDIUM" w:cs="Arial"/>
          <w:bCs/>
          <w:sz w:val="12"/>
          <w:szCs w:val="28"/>
        </w:rPr>
      </w:pPr>
      <w:r w:rsidRPr="003D71F0">
        <w:rPr>
          <w:rFonts w:ascii="FUTURA MEDIUM" w:hAnsi="FUTURA MEDIUM" w:cs="Arial"/>
          <w:bCs/>
          <w:sz w:val="12"/>
          <w:szCs w:val="28"/>
        </w:rPr>
        <w:t>Proyectó: JFI,</w:t>
      </w:r>
      <w:r w:rsidR="00DF2A93" w:rsidRPr="003D71F0">
        <w:rPr>
          <w:rFonts w:ascii="FUTURA MEDIUM" w:hAnsi="FUTURA MEDIUM" w:cs="Arial"/>
          <w:bCs/>
          <w:sz w:val="12"/>
          <w:szCs w:val="28"/>
        </w:rPr>
        <w:t xml:space="preserve"> </w:t>
      </w:r>
      <w:r w:rsidRPr="003D71F0">
        <w:rPr>
          <w:rFonts w:ascii="FUTURA MEDIUM" w:hAnsi="FUTURA MEDIUM" w:cs="Arial"/>
          <w:bCs/>
          <w:sz w:val="12"/>
          <w:szCs w:val="28"/>
        </w:rPr>
        <w:t>DL, PAR</w:t>
      </w:r>
    </w:p>
    <w:sectPr w:rsidR="00607E67" w:rsidRPr="003D71F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904F" w14:textId="77777777" w:rsidR="00460BB5" w:rsidRDefault="00460BB5" w:rsidP="003506CE">
      <w:r>
        <w:separator/>
      </w:r>
    </w:p>
  </w:endnote>
  <w:endnote w:type="continuationSeparator" w:id="0">
    <w:p w14:paraId="7D13FD6C" w14:textId="77777777" w:rsidR="00460BB5" w:rsidRDefault="00460BB5" w:rsidP="0035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826F" w14:textId="77777777" w:rsidR="00D6755A" w:rsidRDefault="00D6755A" w:rsidP="00D6755A">
    <w:pPr>
      <w:tabs>
        <w:tab w:val="center" w:pos="4252"/>
        <w:tab w:val="right" w:pos="8504"/>
      </w:tabs>
      <w:jc w:val="center"/>
      <w:rPr>
        <w:rFonts w:ascii="HP Simplified" w:hAnsi="HP Simplified"/>
        <w:sz w:val="18"/>
        <w:szCs w:val="18"/>
        <w:lang w:val="es-ES" w:eastAsia="es-ES"/>
      </w:rPr>
    </w:pPr>
    <w:r>
      <w:rPr>
        <w:rFonts w:ascii="HP Simplified Light" w:hAnsi="HP Simplified Light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B047A" wp14:editId="296776B1">
              <wp:simplePos x="0" y="0"/>
              <wp:positionH relativeFrom="column">
                <wp:posOffset>971358</wp:posOffset>
              </wp:positionH>
              <wp:positionV relativeFrom="paragraph">
                <wp:posOffset>57905</wp:posOffset>
              </wp:positionV>
              <wp:extent cx="5269546" cy="0"/>
              <wp:effectExtent l="0" t="19050" r="2667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6954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0E881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4.55pt" to="49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" strokecolor="#ffdd4b" strokeweight="2.25pt"/>
          </w:pict>
        </mc:Fallback>
      </mc:AlternateContent>
    </w:r>
    <w:r>
      <w:rPr>
        <w:rFonts w:ascii="HP Simplified Light" w:hAnsi="HP Simplified Light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12AE3" wp14:editId="3C16FDFD">
              <wp:simplePos x="0" y="0"/>
              <wp:positionH relativeFrom="column">
                <wp:posOffset>-250383</wp:posOffset>
              </wp:positionH>
              <wp:positionV relativeFrom="paragraph">
                <wp:posOffset>57905</wp:posOffset>
              </wp:positionV>
              <wp:extent cx="1222089" cy="0"/>
              <wp:effectExtent l="0" t="19050" r="3556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208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63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F12FF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pt,4.55pt" to="76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" strokecolor="#f63b00" strokeweight="2.25pt"/>
          </w:pict>
        </mc:Fallback>
      </mc:AlternateContent>
    </w:r>
  </w:p>
  <w:p w14:paraId="481D9FE9" w14:textId="77777777" w:rsidR="00D6755A" w:rsidRDefault="00D6755A" w:rsidP="00D6755A">
    <w:pPr>
      <w:rPr>
        <w:rFonts w:ascii="HP Simplified" w:hAnsi="HP Simplified"/>
        <w:color w:val="002142"/>
        <w:sz w:val="18"/>
        <w:szCs w:val="18"/>
        <w:lang w:val="es-ES" w:eastAsia="es-ES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91A9D3D" wp14:editId="6D0F19A7">
          <wp:simplePos x="0" y="0"/>
          <wp:positionH relativeFrom="column">
            <wp:posOffset>4110355</wp:posOffset>
          </wp:positionH>
          <wp:positionV relativeFrom="paragraph">
            <wp:posOffset>45085</wp:posOffset>
          </wp:positionV>
          <wp:extent cx="1805305" cy="807085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ANCO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2050" r="7960" b="30559"/>
                  <a:stretch/>
                </pic:blipFill>
                <pic:spPr bwMode="auto">
                  <a:xfrm>
                    <a:off x="0" y="0"/>
                    <a:ext cx="1805305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P Simplified" w:hAnsi="HP Simplified"/>
        <w:color w:val="002142"/>
        <w:sz w:val="18"/>
        <w:szCs w:val="18"/>
        <w:lang w:val="es-ES" w:eastAsia="es-ES"/>
      </w:rPr>
      <w:t>Twitter: @</w:t>
    </w:r>
    <w:proofErr w:type="spellStart"/>
    <w:r>
      <w:rPr>
        <w:rFonts w:ascii="HP Simplified" w:hAnsi="HP Simplified"/>
        <w:color w:val="002142"/>
        <w:sz w:val="18"/>
        <w:szCs w:val="18"/>
        <w:lang w:val="es-ES" w:eastAsia="es-ES"/>
      </w:rPr>
      <w:t>EdwBallesteros</w:t>
    </w:r>
    <w:proofErr w:type="spellEnd"/>
  </w:p>
  <w:p w14:paraId="338C8157" w14:textId="77777777" w:rsidR="00D6755A" w:rsidRDefault="00D6755A" w:rsidP="00D6755A">
    <w:pPr>
      <w:rPr>
        <w:rFonts w:ascii="HP Simplified" w:hAnsi="HP Simplified"/>
        <w:color w:val="002142"/>
        <w:sz w:val="18"/>
        <w:szCs w:val="18"/>
        <w:lang w:val="es-ES" w:eastAsia="es-ES"/>
      </w:rPr>
    </w:pPr>
    <w:r>
      <w:rPr>
        <w:rFonts w:ascii="HP Simplified" w:hAnsi="HP Simplified"/>
        <w:color w:val="002142"/>
        <w:sz w:val="18"/>
        <w:szCs w:val="18"/>
        <w:lang w:val="es-ES" w:eastAsia="es-ES"/>
      </w:rPr>
      <w:t>Instagram: edwinballesteros4</w:t>
    </w:r>
  </w:p>
  <w:p w14:paraId="304ABC53" w14:textId="77777777" w:rsidR="00D6755A" w:rsidRPr="00C24FA4" w:rsidRDefault="00D6755A" w:rsidP="00D6755A">
    <w:pPr>
      <w:rPr>
        <w:rFonts w:ascii="HP Simplified" w:hAnsi="HP Simplified"/>
        <w:color w:val="002142"/>
        <w:sz w:val="18"/>
        <w:szCs w:val="18"/>
        <w:lang w:val="es-ES" w:eastAsia="es-ES"/>
      </w:rPr>
    </w:pPr>
    <w:r>
      <w:rPr>
        <w:rFonts w:ascii="HP Simplified" w:hAnsi="HP Simplified"/>
        <w:color w:val="002142"/>
        <w:sz w:val="18"/>
        <w:szCs w:val="18"/>
        <w:lang w:val="es-ES" w:eastAsia="es-ES"/>
      </w:rPr>
      <w:t xml:space="preserve">Facebook: Edwin Ballesteros </w:t>
    </w:r>
  </w:p>
  <w:p w14:paraId="3E278E33" w14:textId="77777777" w:rsidR="00D6755A" w:rsidRPr="00AD786D" w:rsidRDefault="00D6755A" w:rsidP="00D6755A">
    <w:pPr>
      <w:tabs>
        <w:tab w:val="center" w:pos="4252"/>
        <w:tab w:val="right" w:pos="8504"/>
      </w:tabs>
      <w:rPr>
        <w:rFonts w:ascii="HP Simplified" w:hAnsi="HP Simplified"/>
        <w:color w:val="002142"/>
        <w:sz w:val="18"/>
        <w:szCs w:val="18"/>
        <w:lang w:val="es-ES" w:eastAsia="es-ES"/>
      </w:rPr>
    </w:pPr>
    <w:r w:rsidRPr="00AD786D">
      <w:rPr>
        <w:rFonts w:ascii="HP Simplified" w:hAnsi="HP Simplified"/>
        <w:color w:val="002142"/>
        <w:sz w:val="18"/>
        <w:szCs w:val="18"/>
        <w:lang w:val="es-ES" w:eastAsia="es-ES"/>
      </w:rPr>
      <w:t>Carrera 7 No. 8 – 68 Oficina 346B Edificio Nuevo del Congreso</w:t>
    </w:r>
  </w:p>
  <w:p w14:paraId="0E871066" w14:textId="77777777" w:rsidR="00D6755A" w:rsidRPr="00AD786D" w:rsidRDefault="00D6755A" w:rsidP="00D6755A">
    <w:pPr>
      <w:tabs>
        <w:tab w:val="center" w:pos="4252"/>
        <w:tab w:val="right" w:pos="8504"/>
      </w:tabs>
      <w:rPr>
        <w:rFonts w:ascii="HP Simplified" w:hAnsi="HP Simplified"/>
        <w:color w:val="002142"/>
        <w:sz w:val="18"/>
        <w:szCs w:val="18"/>
        <w:lang w:val="pt-BR" w:eastAsia="es-ES"/>
      </w:rPr>
    </w:pPr>
    <w:r w:rsidRPr="00AD786D">
      <w:rPr>
        <w:rFonts w:ascii="HP Simplified" w:hAnsi="HP Simplified"/>
        <w:color w:val="002142"/>
        <w:sz w:val="18"/>
        <w:szCs w:val="18"/>
        <w:lang w:val="pt-BR" w:eastAsia="es-ES"/>
      </w:rPr>
      <w:t>Telefono 4325100 – Ext. 4307/03</w:t>
    </w:r>
  </w:p>
  <w:p w14:paraId="6E8CD2AC" w14:textId="77777777" w:rsidR="00D6755A" w:rsidRDefault="00D6755A" w:rsidP="00D6755A">
    <w:pPr>
      <w:rPr>
        <w:rFonts w:ascii="HP Simplified" w:hAnsi="HP Simplified"/>
        <w:color w:val="002142"/>
        <w:sz w:val="18"/>
        <w:szCs w:val="18"/>
        <w:lang w:val="es-ES" w:eastAsia="es-ES"/>
      </w:rPr>
    </w:pPr>
    <w:r>
      <w:rPr>
        <w:rFonts w:ascii="HP Simplified" w:hAnsi="HP Simplified"/>
        <w:color w:val="002142"/>
        <w:sz w:val="18"/>
        <w:szCs w:val="18"/>
        <w:lang w:val="es-ES" w:eastAsia="es-ES"/>
      </w:rPr>
      <w:t>Bogotá</w:t>
    </w:r>
    <w:r w:rsidRPr="00AD786D">
      <w:rPr>
        <w:rFonts w:ascii="HP Simplified" w:hAnsi="HP Simplified"/>
        <w:color w:val="002142"/>
        <w:sz w:val="18"/>
        <w:szCs w:val="18"/>
        <w:lang w:val="es-ES" w:eastAsia="es-ES"/>
      </w:rPr>
      <w:t>, Colombia</w:t>
    </w:r>
  </w:p>
  <w:p w14:paraId="173ABA23" w14:textId="77777777" w:rsidR="00D6755A" w:rsidRDefault="00D67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D889" w14:textId="77777777" w:rsidR="00460BB5" w:rsidRDefault="00460BB5" w:rsidP="003506CE">
      <w:r>
        <w:separator/>
      </w:r>
    </w:p>
  </w:footnote>
  <w:footnote w:type="continuationSeparator" w:id="0">
    <w:p w14:paraId="7953245E" w14:textId="77777777" w:rsidR="00460BB5" w:rsidRDefault="00460BB5" w:rsidP="003506CE">
      <w:r>
        <w:continuationSeparator/>
      </w:r>
    </w:p>
  </w:footnote>
  <w:footnote w:id="1">
    <w:p w14:paraId="2E372841" w14:textId="144AF918" w:rsidR="00DE17BE" w:rsidRDefault="00DE17BE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05106">
          <w:rPr>
            <w:rStyle w:val="Hipervnculo"/>
          </w:rPr>
          <w:t>https://www.finagro.com.co/sites/default/files/portafoliofinagro2019.pdf</w:t>
        </w:r>
      </w:hyperlink>
      <w:r>
        <w:t xml:space="preserve"> Página 10</w:t>
      </w:r>
    </w:p>
  </w:footnote>
  <w:footnote w:id="2">
    <w:p w14:paraId="035666F8" w14:textId="41A42185" w:rsidR="00A23850" w:rsidRDefault="00A23850">
      <w:pPr>
        <w:pStyle w:val="Textonotapie"/>
      </w:pPr>
      <w:r>
        <w:rPr>
          <w:rStyle w:val="Refdenotaalpie"/>
        </w:rPr>
        <w:footnoteRef/>
      </w:r>
      <w:r w:rsidRPr="00A23850">
        <w:t>http://www.banrep.gov.co/sites/default/files/publicaciones/archivos/borradores_de_economia_1020.pdf</w:t>
      </w:r>
    </w:p>
  </w:footnote>
  <w:footnote w:id="3">
    <w:p w14:paraId="559BD7FE" w14:textId="601A2768" w:rsidR="00131363" w:rsidRPr="00131363" w:rsidRDefault="0013136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97435">
        <w:rPr>
          <w:noProof/>
          <w:lang w:val="es-ES"/>
        </w:rPr>
        <w:t>(FINAGRO, s.f.)</w:t>
      </w:r>
      <w:r w:rsidR="00B41A92">
        <w:rPr>
          <w:noProof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2442" w14:textId="77777777" w:rsidR="004C788A" w:rsidRDefault="004C788A">
    <w:pPr>
      <w:pStyle w:val="Encabezado"/>
    </w:pPr>
  </w:p>
  <w:p w14:paraId="7E7DDF3B" w14:textId="32F3020B" w:rsidR="00D6755A" w:rsidRDefault="00D6755A">
    <w:pPr>
      <w:pStyle w:val="Encabezado"/>
    </w:pPr>
    <w:r w:rsidRPr="00F82431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4F6E755" wp14:editId="62A56EE5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2667600" cy="788400"/>
          <wp:effectExtent l="0" t="0" r="0" b="0"/>
          <wp:wrapSquare wrapText="bothSides"/>
          <wp:docPr id="1" name="Imagen 1" descr="C:\Users\blancacorre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orrea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1B1"/>
    <w:multiLevelType w:val="hybridMultilevel"/>
    <w:tmpl w:val="ED4E6EAC"/>
    <w:lvl w:ilvl="0" w:tplc="FD8435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6529"/>
    <w:multiLevelType w:val="hybridMultilevel"/>
    <w:tmpl w:val="4704E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04858"/>
    <w:multiLevelType w:val="multilevel"/>
    <w:tmpl w:val="1D7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D303D"/>
    <w:multiLevelType w:val="hybridMultilevel"/>
    <w:tmpl w:val="FE72EA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0498"/>
    <w:multiLevelType w:val="multilevel"/>
    <w:tmpl w:val="E86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53"/>
    <w:rsid w:val="000539D7"/>
    <w:rsid w:val="00072A38"/>
    <w:rsid w:val="000D67F1"/>
    <w:rsid w:val="000D7219"/>
    <w:rsid w:val="000E4F40"/>
    <w:rsid w:val="00103D16"/>
    <w:rsid w:val="00120285"/>
    <w:rsid w:val="00130B97"/>
    <w:rsid w:val="00131363"/>
    <w:rsid w:val="001621A4"/>
    <w:rsid w:val="00166E2F"/>
    <w:rsid w:val="001A155A"/>
    <w:rsid w:val="001D3099"/>
    <w:rsid w:val="001D3D81"/>
    <w:rsid w:val="001E4D3F"/>
    <w:rsid w:val="001F177C"/>
    <w:rsid w:val="00206103"/>
    <w:rsid w:val="002256B4"/>
    <w:rsid w:val="00283769"/>
    <w:rsid w:val="00286FD1"/>
    <w:rsid w:val="00297435"/>
    <w:rsid w:val="002A0F73"/>
    <w:rsid w:val="002C42E6"/>
    <w:rsid w:val="002E00B7"/>
    <w:rsid w:val="002F3174"/>
    <w:rsid w:val="0033724A"/>
    <w:rsid w:val="003506CE"/>
    <w:rsid w:val="00350854"/>
    <w:rsid w:val="00366872"/>
    <w:rsid w:val="00385210"/>
    <w:rsid w:val="003D71F0"/>
    <w:rsid w:val="003F04D5"/>
    <w:rsid w:val="003F16EF"/>
    <w:rsid w:val="00416D5A"/>
    <w:rsid w:val="004357C9"/>
    <w:rsid w:val="00460BB5"/>
    <w:rsid w:val="00463BB3"/>
    <w:rsid w:val="004715AA"/>
    <w:rsid w:val="00487AFD"/>
    <w:rsid w:val="00494567"/>
    <w:rsid w:val="004C05F8"/>
    <w:rsid w:val="004C788A"/>
    <w:rsid w:val="004D42F5"/>
    <w:rsid w:val="00515D69"/>
    <w:rsid w:val="00517FA6"/>
    <w:rsid w:val="00523EF3"/>
    <w:rsid w:val="00560D26"/>
    <w:rsid w:val="005A28F2"/>
    <w:rsid w:val="005B18EB"/>
    <w:rsid w:val="005E3D71"/>
    <w:rsid w:val="005F1550"/>
    <w:rsid w:val="00607E67"/>
    <w:rsid w:val="0062213D"/>
    <w:rsid w:val="006B0F25"/>
    <w:rsid w:val="006E6191"/>
    <w:rsid w:val="00702CD1"/>
    <w:rsid w:val="00705018"/>
    <w:rsid w:val="007159A4"/>
    <w:rsid w:val="00723D2B"/>
    <w:rsid w:val="0075349F"/>
    <w:rsid w:val="0076564F"/>
    <w:rsid w:val="0078602E"/>
    <w:rsid w:val="007B7961"/>
    <w:rsid w:val="007E77E6"/>
    <w:rsid w:val="00834253"/>
    <w:rsid w:val="00840CAC"/>
    <w:rsid w:val="00881606"/>
    <w:rsid w:val="008C1C6A"/>
    <w:rsid w:val="008D0F84"/>
    <w:rsid w:val="0090013B"/>
    <w:rsid w:val="00963B97"/>
    <w:rsid w:val="00A23850"/>
    <w:rsid w:val="00A55BA9"/>
    <w:rsid w:val="00B01136"/>
    <w:rsid w:val="00B0601F"/>
    <w:rsid w:val="00B2790D"/>
    <w:rsid w:val="00B41A92"/>
    <w:rsid w:val="00B95733"/>
    <w:rsid w:val="00BA5733"/>
    <w:rsid w:val="00C36C08"/>
    <w:rsid w:val="00C5404E"/>
    <w:rsid w:val="00C755D7"/>
    <w:rsid w:val="00C96065"/>
    <w:rsid w:val="00CC54D5"/>
    <w:rsid w:val="00D46DC1"/>
    <w:rsid w:val="00D57559"/>
    <w:rsid w:val="00D61159"/>
    <w:rsid w:val="00D6755A"/>
    <w:rsid w:val="00DE17BE"/>
    <w:rsid w:val="00DE3A34"/>
    <w:rsid w:val="00DE4A37"/>
    <w:rsid w:val="00DF2A93"/>
    <w:rsid w:val="00E0097A"/>
    <w:rsid w:val="00E146C5"/>
    <w:rsid w:val="00E218C7"/>
    <w:rsid w:val="00E23194"/>
    <w:rsid w:val="00E6054B"/>
    <w:rsid w:val="00ED17C4"/>
    <w:rsid w:val="00ED7881"/>
    <w:rsid w:val="00EE0A32"/>
    <w:rsid w:val="00F15998"/>
    <w:rsid w:val="00F21B69"/>
    <w:rsid w:val="00F302D5"/>
    <w:rsid w:val="00F401BA"/>
    <w:rsid w:val="00F44DAF"/>
    <w:rsid w:val="00F77701"/>
    <w:rsid w:val="00F87C70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ABA2"/>
  <w15:docId w15:val="{16770D4A-2975-4D37-A44F-AE3B3E00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6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ED78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25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834253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53"/>
    <w:rPr>
      <w:rFonts w:ascii="Tahoma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5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146C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E3A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788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nfasis">
    <w:name w:val="Emphasis"/>
    <w:basedOn w:val="Fuentedeprrafopredeter"/>
    <w:uiPriority w:val="20"/>
    <w:qFormat/>
    <w:rsid w:val="008D0F84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3506CE"/>
    <w:rPr>
      <w:rFonts w:asciiTheme="minorHAnsi" w:hAnsiTheme="minorHAnsi" w:cstheme="minorBid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506C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3506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C42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42E6"/>
  </w:style>
  <w:style w:type="paragraph" w:styleId="Piedepgina">
    <w:name w:val="footer"/>
    <w:basedOn w:val="Normal"/>
    <w:link w:val="PiedepginaCar"/>
    <w:uiPriority w:val="99"/>
    <w:unhideWhenUsed/>
    <w:rsid w:val="002C42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E6"/>
  </w:style>
  <w:style w:type="table" w:styleId="Tablaconcuadrcula">
    <w:name w:val="Table Grid"/>
    <w:basedOn w:val="Tablanormal"/>
    <w:uiPriority w:val="59"/>
    <w:rsid w:val="00B4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B41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gro.com.co/sites/default/files/portafoliofinagro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FIN16</b:Tag>
    <b:SourceType>InternetSite</b:SourceType>
    <b:Guid>{BF53B2CC-6D05-0141-8147-E8A087D1B715}</b:Guid>
    <b:Title>FINAGRO</b:Title>
    <b:Author>
      <b:Author>
        <b:Corporate>FINAGRO</b:Corporate>
      </b:Author>
    </b:Author>
    <b:InternetSiteTitle>FINAGRO</b:InternetSiteTitle>
    <b:URL>https://www.finagro.com.co/productos-y-servicios/l%C3%ADneas-de-crédito</b:URL>
    <b:YearAccessed>2016</b:YearAccessed>
    <b:MonthAccessed>Junio</b:MonthAccessed>
    <b:DayAccessed>24</b:DayAccessed>
    <b:RefOrder>1</b:RefOrder>
  </b:Source>
</b:Sources>
</file>

<file path=customXml/itemProps1.xml><?xml version="1.0" encoding="utf-8"?>
<ds:datastoreItem xmlns:ds="http://schemas.openxmlformats.org/officeDocument/2006/customXml" ds:itemID="{1D2D5DA8-BE34-43CE-B0BD-39D50ABA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Ardila Franco</dc:creator>
  <cp:lastModifiedBy>camilo acuna</cp:lastModifiedBy>
  <cp:revision>2</cp:revision>
  <cp:lastPrinted>2019-03-05T15:03:00Z</cp:lastPrinted>
  <dcterms:created xsi:type="dcterms:W3CDTF">2019-03-06T17:31:00Z</dcterms:created>
  <dcterms:modified xsi:type="dcterms:W3CDTF">2019-03-06T17:31:00Z</dcterms:modified>
</cp:coreProperties>
</file>