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A49237" w14:textId="77777777" w:rsidR="00DB686A" w:rsidRDefault="00DB686A" w:rsidP="00DB686A">
      <w:pPr>
        <w:jc w:val="center"/>
        <w:rPr>
          <w:rFonts w:ascii="Arial" w:hAnsi="Arial" w:cs="Arial"/>
          <w:sz w:val="24"/>
          <w:szCs w:val="24"/>
        </w:rPr>
      </w:pPr>
      <w:bookmarkStart w:id="0" w:name="_GoBack"/>
      <w:bookmarkEnd w:id="0"/>
      <w:r w:rsidRPr="001F48D3">
        <w:rPr>
          <w:rFonts w:ascii="Arial" w:hAnsi="Arial" w:cs="Arial"/>
          <w:b/>
          <w:sz w:val="24"/>
          <w:szCs w:val="24"/>
        </w:rPr>
        <w:t>PR</w:t>
      </w:r>
      <w:r>
        <w:rPr>
          <w:rFonts w:ascii="Arial" w:hAnsi="Arial" w:cs="Arial"/>
          <w:b/>
          <w:sz w:val="24"/>
          <w:szCs w:val="24"/>
        </w:rPr>
        <w:t>OYECTO DE LEY NÚMERO ____ DE 2020</w:t>
      </w:r>
      <w:r w:rsidRPr="001F48D3">
        <w:rPr>
          <w:rFonts w:ascii="Arial" w:hAnsi="Arial" w:cs="Arial"/>
          <w:b/>
          <w:sz w:val="24"/>
          <w:szCs w:val="24"/>
        </w:rPr>
        <w:t xml:space="preserve"> </w:t>
      </w:r>
      <w:r w:rsidR="002B6006">
        <w:rPr>
          <w:rFonts w:ascii="Arial" w:hAnsi="Arial" w:cs="Arial"/>
          <w:b/>
          <w:sz w:val="24"/>
          <w:szCs w:val="24"/>
        </w:rPr>
        <w:t>CÁ</w:t>
      </w:r>
      <w:r>
        <w:rPr>
          <w:rFonts w:ascii="Arial" w:hAnsi="Arial" w:cs="Arial"/>
          <w:b/>
          <w:sz w:val="24"/>
          <w:szCs w:val="24"/>
        </w:rPr>
        <w:t>MARA</w:t>
      </w:r>
    </w:p>
    <w:p w14:paraId="3689F8C2" w14:textId="77777777" w:rsidR="00DB686A" w:rsidRDefault="00DB686A" w:rsidP="00DB686A">
      <w:pPr>
        <w:jc w:val="center"/>
        <w:rPr>
          <w:rFonts w:ascii="Arial" w:hAnsi="Arial" w:cs="Arial"/>
          <w:sz w:val="24"/>
          <w:szCs w:val="24"/>
        </w:rPr>
      </w:pPr>
      <w:r w:rsidRPr="001F48D3">
        <w:rPr>
          <w:rFonts w:ascii="Arial" w:hAnsi="Arial" w:cs="Arial"/>
          <w:sz w:val="24"/>
          <w:szCs w:val="24"/>
        </w:rPr>
        <w:t>“</w:t>
      </w:r>
      <w:r w:rsidRPr="001F48D3">
        <w:rPr>
          <w:rFonts w:ascii="Arial" w:hAnsi="Arial" w:cs="Arial"/>
          <w:i/>
          <w:sz w:val="24"/>
          <w:szCs w:val="24"/>
        </w:rPr>
        <w:t>Por medio de la cual se</w:t>
      </w:r>
      <w:r w:rsidR="002B6006">
        <w:rPr>
          <w:rFonts w:ascii="Arial" w:hAnsi="Arial" w:cs="Arial"/>
          <w:i/>
          <w:sz w:val="24"/>
          <w:szCs w:val="24"/>
        </w:rPr>
        <w:t xml:space="preserve"> fortalece el emprendimiento y escalamiento de </w:t>
      </w:r>
      <w:r w:rsidR="00A1229B">
        <w:rPr>
          <w:rFonts w:ascii="Arial" w:hAnsi="Arial" w:cs="Arial"/>
          <w:i/>
          <w:sz w:val="24"/>
          <w:szCs w:val="24"/>
        </w:rPr>
        <w:t xml:space="preserve">la </w:t>
      </w:r>
      <w:r w:rsidR="002B6006">
        <w:rPr>
          <w:rFonts w:ascii="Arial" w:hAnsi="Arial" w:cs="Arial"/>
          <w:i/>
          <w:sz w:val="24"/>
          <w:szCs w:val="24"/>
        </w:rPr>
        <w:t>micro, pequeña y mediana empresa</w:t>
      </w:r>
      <w:r w:rsidR="00A1229B">
        <w:rPr>
          <w:rFonts w:ascii="Arial" w:hAnsi="Arial" w:cs="Arial"/>
          <w:i/>
          <w:sz w:val="24"/>
          <w:szCs w:val="24"/>
        </w:rPr>
        <w:t xml:space="preserve"> en Colombia</w:t>
      </w:r>
      <w:r>
        <w:rPr>
          <w:rFonts w:ascii="Arial" w:hAnsi="Arial" w:cs="Arial"/>
          <w:i/>
          <w:sz w:val="24"/>
          <w:szCs w:val="24"/>
        </w:rPr>
        <w:t>”</w:t>
      </w:r>
      <w:r w:rsidRPr="001F48D3">
        <w:rPr>
          <w:rFonts w:ascii="Arial" w:hAnsi="Arial" w:cs="Arial"/>
          <w:sz w:val="24"/>
          <w:szCs w:val="24"/>
        </w:rPr>
        <w:t>”</w:t>
      </w:r>
    </w:p>
    <w:p w14:paraId="66190DD4" w14:textId="7FEE83D7" w:rsidR="00DB686A" w:rsidRDefault="00DB686A" w:rsidP="00DB686A">
      <w:pPr>
        <w:jc w:val="both"/>
        <w:rPr>
          <w:rFonts w:ascii="Arial" w:hAnsi="Arial" w:cs="Arial"/>
          <w:sz w:val="24"/>
          <w:szCs w:val="24"/>
        </w:rPr>
      </w:pPr>
      <w:r>
        <w:rPr>
          <w:rFonts w:ascii="Arial" w:hAnsi="Arial" w:cs="Arial"/>
          <w:sz w:val="24"/>
          <w:szCs w:val="24"/>
        </w:rPr>
        <w:t xml:space="preserve">Bogotá D.C., </w:t>
      </w:r>
      <w:r w:rsidR="00AB44B0">
        <w:rPr>
          <w:rFonts w:ascii="Arial" w:hAnsi="Arial" w:cs="Arial"/>
          <w:sz w:val="24"/>
          <w:szCs w:val="24"/>
        </w:rPr>
        <w:t>4</w:t>
      </w:r>
      <w:r>
        <w:rPr>
          <w:rFonts w:ascii="Arial" w:hAnsi="Arial" w:cs="Arial"/>
          <w:sz w:val="24"/>
          <w:szCs w:val="24"/>
        </w:rPr>
        <w:t xml:space="preserve"> de </w:t>
      </w:r>
      <w:r w:rsidR="0077515E">
        <w:rPr>
          <w:rFonts w:ascii="Arial" w:hAnsi="Arial" w:cs="Arial"/>
          <w:sz w:val="24"/>
          <w:szCs w:val="24"/>
        </w:rPr>
        <w:t>febrero</w:t>
      </w:r>
      <w:r>
        <w:rPr>
          <w:rFonts w:ascii="Arial" w:hAnsi="Arial" w:cs="Arial"/>
          <w:sz w:val="24"/>
          <w:szCs w:val="24"/>
        </w:rPr>
        <w:t xml:space="preserve"> de 20</w:t>
      </w:r>
      <w:r w:rsidR="00A1229B">
        <w:rPr>
          <w:rFonts w:ascii="Arial" w:hAnsi="Arial" w:cs="Arial"/>
          <w:sz w:val="24"/>
          <w:szCs w:val="24"/>
        </w:rPr>
        <w:t>20</w:t>
      </w:r>
      <w:r>
        <w:rPr>
          <w:rFonts w:ascii="Arial" w:hAnsi="Arial" w:cs="Arial"/>
          <w:sz w:val="24"/>
          <w:szCs w:val="24"/>
        </w:rPr>
        <w:t>.</w:t>
      </w:r>
    </w:p>
    <w:p w14:paraId="6A3478AC" w14:textId="77777777" w:rsidR="00DB686A" w:rsidRDefault="00DB686A" w:rsidP="00DB686A">
      <w:pPr>
        <w:spacing w:after="0"/>
        <w:jc w:val="both"/>
        <w:rPr>
          <w:rFonts w:ascii="Arial" w:hAnsi="Arial" w:cs="Arial"/>
          <w:sz w:val="24"/>
          <w:szCs w:val="24"/>
        </w:rPr>
      </w:pPr>
      <w:r>
        <w:rPr>
          <w:rFonts w:ascii="Arial" w:hAnsi="Arial" w:cs="Arial"/>
          <w:sz w:val="24"/>
          <w:szCs w:val="24"/>
        </w:rPr>
        <w:t xml:space="preserve">Honorable </w:t>
      </w:r>
      <w:r w:rsidR="002B6006">
        <w:rPr>
          <w:rFonts w:ascii="Arial" w:hAnsi="Arial" w:cs="Arial"/>
          <w:sz w:val="24"/>
          <w:szCs w:val="24"/>
        </w:rPr>
        <w:t>Representante</w:t>
      </w:r>
      <w:r>
        <w:rPr>
          <w:rFonts w:ascii="Arial" w:hAnsi="Arial" w:cs="Arial"/>
          <w:sz w:val="24"/>
          <w:szCs w:val="24"/>
        </w:rPr>
        <w:t>:</w:t>
      </w:r>
    </w:p>
    <w:p w14:paraId="7A064595" w14:textId="77777777" w:rsidR="00DB686A" w:rsidRPr="001F48D3" w:rsidRDefault="002B6006" w:rsidP="00DB686A">
      <w:pPr>
        <w:spacing w:after="0"/>
        <w:jc w:val="both"/>
        <w:rPr>
          <w:rFonts w:ascii="Arial" w:hAnsi="Arial" w:cs="Arial"/>
          <w:b/>
          <w:sz w:val="24"/>
          <w:szCs w:val="24"/>
        </w:rPr>
      </w:pPr>
      <w:r>
        <w:rPr>
          <w:rFonts w:ascii="Arial" w:hAnsi="Arial" w:cs="Arial"/>
          <w:b/>
          <w:sz w:val="24"/>
          <w:szCs w:val="24"/>
        </w:rPr>
        <w:t>CARLOS ALBERTO CUENCA</w:t>
      </w:r>
      <w:r w:rsidR="00DB686A" w:rsidRPr="001F48D3">
        <w:rPr>
          <w:rFonts w:ascii="Arial" w:hAnsi="Arial" w:cs="Arial"/>
          <w:b/>
          <w:sz w:val="24"/>
          <w:szCs w:val="24"/>
        </w:rPr>
        <w:t>.</w:t>
      </w:r>
    </w:p>
    <w:p w14:paraId="5DA862EF" w14:textId="77777777" w:rsidR="00DB686A" w:rsidRDefault="00DB686A" w:rsidP="00DB686A">
      <w:pPr>
        <w:spacing w:after="0"/>
        <w:jc w:val="both"/>
        <w:rPr>
          <w:rFonts w:ascii="Arial" w:hAnsi="Arial" w:cs="Arial"/>
          <w:sz w:val="24"/>
          <w:szCs w:val="24"/>
        </w:rPr>
      </w:pPr>
      <w:r>
        <w:rPr>
          <w:rFonts w:ascii="Arial" w:hAnsi="Arial" w:cs="Arial"/>
          <w:sz w:val="24"/>
          <w:szCs w:val="24"/>
        </w:rPr>
        <w:t>Presidente.</w:t>
      </w:r>
    </w:p>
    <w:p w14:paraId="1FE843C4" w14:textId="77777777" w:rsidR="00DB686A" w:rsidRDefault="002B6006" w:rsidP="00DB686A">
      <w:pPr>
        <w:spacing w:after="0"/>
        <w:jc w:val="both"/>
        <w:rPr>
          <w:rFonts w:ascii="Arial" w:hAnsi="Arial" w:cs="Arial"/>
          <w:sz w:val="24"/>
          <w:szCs w:val="24"/>
        </w:rPr>
      </w:pPr>
      <w:r>
        <w:rPr>
          <w:rFonts w:ascii="Arial" w:hAnsi="Arial" w:cs="Arial"/>
          <w:sz w:val="24"/>
          <w:szCs w:val="24"/>
        </w:rPr>
        <w:t>CÁMARA DE REPRESENTANTES</w:t>
      </w:r>
      <w:r w:rsidR="00DB686A">
        <w:rPr>
          <w:rFonts w:ascii="Arial" w:hAnsi="Arial" w:cs="Arial"/>
          <w:sz w:val="24"/>
          <w:szCs w:val="24"/>
        </w:rPr>
        <w:t>.</w:t>
      </w:r>
    </w:p>
    <w:p w14:paraId="2C7C80FC" w14:textId="77777777" w:rsidR="00DB686A" w:rsidRDefault="00DB686A" w:rsidP="00DB686A">
      <w:pPr>
        <w:spacing w:after="0"/>
        <w:jc w:val="both"/>
        <w:rPr>
          <w:rFonts w:ascii="Arial" w:hAnsi="Arial" w:cs="Arial"/>
          <w:sz w:val="24"/>
          <w:szCs w:val="24"/>
        </w:rPr>
      </w:pPr>
      <w:r>
        <w:rPr>
          <w:rFonts w:ascii="Arial" w:hAnsi="Arial" w:cs="Arial"/>
          <w:sz w:val="24"/>
          <w:szCs w:val="24"/>
        </w:rPr>
        <w:t>La ciudad.</w:t>
      </w:r>
    </w:p>
    <w:p w14:paraId="3F6D01AA" w14:textId="77777777" w:rsidR="00DB686A" w:rsidRDefault="00DB686A" w:rsidP="00DB686A">
      <w:pPr>
        <w:jc w:val="right"/>
        <w:rPr>
          <w:rFonts w:ascii="Arial" w:hAnsi="Arial" w:cs="Arial"/>
          <w:b/>
          <w:sz w:val="24"/>
          <w:szCs w:val="24"/>
        </w:rPr>
      </w:pPr>
    </w:p>
    <w:p w14:paraId="53E5A07D" w14:textId="77777777" w:rsidR="00DB686A" w:rsidRDefault="00DB686A" w:rsidP="00DB686A">
      <w:pPr>
        <w:jc w:val="right"/>
        <w:rPr>
          <w:rFonts w:ascii="Arial" w:hAnsi="Arial" w:cs="Arial"/>
          <w:sz w:val="24"/>
          <w:szCs w:val="24"/>
        </w:rPr>
      </w:pPr>
      <w:r w:rsidRPr="001F48D3">
        <w:rPr>
          <w:rFonts w:ascii="Arial" w:hAnsi="Arial" w:cs="Arial"/>
          <w:b/>
          <w:sz w:val="24"/>
          <w:szCs w:val="24"/>
        </w:rPr>
        <w:t>REFERENCIA:</w:t>
      </w:r>
      <w:r>
        <w:rPr>
          <w:rFonts w:ascii="Arial" w:hAnsi="Arial" w:cs="Arial"/>
          <w:b/>
          <w:sz w:val="24"/>
          <w:szCs w:val="24"/>
        </w:rPr>
        <w:t xml:space="preserve"> </w:t>
      </w:r>
      <w:r>
        <w:rPr>
          <w:rFonts w:ascii="Arial" w:hAnsi="Arial" w:cs="Arial"/>
          <w:sz w:val="24"/>
          <w:szCs w:val="24"/>
        </w:rPr>
        <w:t>Presentación Proyecto de Ley número _____ de 20</w:t>
      </w:r>
      <w:r w:rsidR="00A1229B">
        <w:rPr>
          <w:rFonts w:ascii="Arial" w:hAnsi="Arial" w:cs="Arial"/>
          <w:sz w:val="24"/>
          <w:szCs w:val="24"/>
        </w:rPr>
        <w:t>20</w:t>
      </w:r>
      <w:r>
        <w:rPr>
          <w:rFonts w:ascii="Arial" w:hAnsi="Arial" w:cs="Arial"/>
          <w:sz w:val="24"/>
          <w:szCs w:val="24"/>
        </w:rPr>
        <w:t xml:space="preserve"> </w:t>
      </w:r>
      <w:r w:rsidR="00A1229B">
        <w:rPr>
          <w:rFonts w:ascii="Arial" w:hAnsi="Arial" w:cs="Arial"/>
          <w:sz w:val="24"/>
          <w:szCs w:val="24"/>
        </w:rPr>
        <w:t>Cámara</w:t>
      </w:r>
      <w:r>
        <w:rPr>
          <w:rFonts w:ascii="Arial" w:hAnsi="Arial" w:cs="Arial"/>
          <w:sz w:val="24"/>
          <w:szCs w:val="24"/>
        </w:rPr>
        <w:t xml:space="preserve"> </w:t>
      </w:r>
      <w:r w:rsidRPr="00BD2C03">
        <w:rPr>
          <w:rFonts w:ascii="Arial" w:hAnsi="Arial" w:cs="Arial"/>
          <w:i/>
          <w:sz w:val="24"/>
          <w:szCs w:val="24"/>
        </w:rPr>
        <w:t>“</w:t>
      </w:r>
      <w:r w:rsidR="00A1229B" w:rsidRPr="001F48D3">
        <w:rPr>
          <w:rFonts w:ascii="Arial" w:hAnsi="Arial" w:cs="Arial"/>
          <w:i/>
          <w:sz w:val="24"/>
          <w:szCs w:val="24"/>
        </w:rPr>
        <w:t>Por medio de la cual se</w:t>
      </w:r>
      <w:r w:rsidR="00A1229B">
        <w:rPr>
          <w:rFonts w:ascii="Arial" w:hAnsi="Arial" w:cs="Arial"/>
          <w:i/>
          <w:sz w:val="24"/>
          <w:szCs w:val="24"/>
        </w:rPr>
        <w:t xml:space="preserve"> fortalece el emprendimiento y escalamiento de la micro, pequeña y mediana empresa en Colombia</w:t>
      </w:r>
      <w:r w:rsidRPr="00BD2C03">
        <w:rPr>
          <w:rFonts w:ascii="Arial" w:hAnsi="Arial" w:cs="Arial"/>
          <w:i/>
          <w:sz w:val="24"/>
          <w:szCs w:val="24"/>
        </w:rPr>
        <w:t>”</w:t>
      </w:r>
    </w:p>
    <w:p w14:paraId="2B4AAB0F" w14:textId="77777777" w:rsidR="00DB686A" w:rsidRDefault="00DB686A" w:rsidP="00DB686A">
      <w:pPr>
        <w:jc w:val="both"/>
        <w:rPr>
          <w:rFonts w:ascii="Arial" w:hAnsi="Arial" w:cs="Arial"/>
          <w:sz w:val="24"/>
          <w:szCs w:val="24"/>
        </w:rPr>
      </w:pPr>
      <w:r>
        <w:rPr>
          <w:rFonts w:ascii="Arial" w:hAnsi="Arial" w:cs="Arial"/>
          <w:sz w:val="24"/>
          <w:szCs w:val="24"/>
        </w:rPr>
        <w:t>Respetado Señor Presidente:</w:t>
      </w:r>
    </w:p>
    <w:p w14:paraId="6A913B82" w14:textId="77777777" w:rsidR="00255F8E" w:rsidRDefault="00DB686A" w:rsidP="00DB686A">
      <w:pPr>
        <w:jc w:val="both"/>
        <w:rPr>
          <w:rFonts w:ascii="Arial" w:hAnsi="Arial" w:cs="Arial"/>
          <w:sz w:val="24"/>
          <w:szCs w:val="24"/>
        </w:rPr>
      </w:pPr>
      <w:r>
        <w:rPr>
          <w:rFonts w:ascii="Arial" w:hAnsi="Arial" w:cs="Arial"/>
          <w:sz w:val="24"/>
          <w:szCs w:val="24"/>
        </w:rPr>
        <w:t>Por medio de la presente y de conformidad con lo establecido en el artículo 154 de la Constitución Política y el artículo 140 de la Ley 5 de 1992 “</w:t>
      </w:r>
      <w:r w:rsidRPr="00ED36F2">
        <w:rPr>
          <w:rFonts w:ascii="Arial" w:hAnsi="Arial" w:cs="Arial"/>
          <w:i/>
          <w:sz w:val="24"/>
          <w:szCs w:val="24"/>
        </w:rPr>
        <w:t>Por la cual se expide el Reglamento del Congreso; el Senado y la Cámara de Representantes</w:t>
      </w:r>
      <w:r>
        <w:rPr>
          <w:rFonts w:ascii="Arial" w:hAnsi="Arial" w:cs="Arial"/>
          <w:sz w:val="24"/>
          <w:szCs w:val="24"/>
        </w:rPr>
        <w:t xml:space="preserve">”, </w:t>
      </w:r>
      <w:r w:rsidR="007A414F">
        <w:rPr>
          <w:rFonts w:ascii="Arial" w:hAnsi="Arial" w:cs="Arial"/>
          <w:sz w:val="24"/>
          <w:szCs w:val="24"/>
        </w:rPr>
        <w:t>me</w:t>
      </w:r>
      <w:r>
        <w:rPr>
          <w:rFonts w:ascii="Arial" w:hAnsi="Arial" w:cs="Arial"/>
          <w:sz w:val="24"/>
          <w:szCs w:val="24"/>
        </w:rPr>
        <w:t xml:space="preserve"> permit</w:t>
      </w:r>
      <w:r w:rsidR="007A414F">
        <w:rPr>
          <w:rFonts w:ascii="Arial" w:hAnsi="Arial" w:cs="Arial"/>
          <w:sz w:val="24"/>
          <w:szCs w:val="24"/>
        </w:rPr>
        <w:t>o</w:t>
      </w:r>
      <w:r>
        <w:rPr>
          <w:rFonts w:ascii="Arial" w:hAnsi="Arial" w:cs="Arial"/>
          <w:sz w:val="24"/>
          <w:szCs w:val="24"/>
        </w:rPr>
        <w:t xml:space="preserve"> someter a consideración del Honorable Congreso de la República el Proyecto de Ley </w:t>
      </w:r>
      <w:r w:rsidRPr="006B087B">
        <w:rPr>
          <w:rFonts w:ascii="Arial" w:hAnsi="Arial" w:cs="Arial"/>
          <w:sz w:val="24"/>
          <w:szCs w:val="24"/>
        </w:rPr>
        <w:t>“</w:t>
      </w:r>
      <w:r w:rsidR="007A414F" w:rsidRPr="007A414F">
        <w:rPr>
          <w:rFonts w:ascii="Arial" w:hAnsi="Arial" w:cs="Arial"/>
          <w:i/>
          <w:sz w:val="24"/>
          <w:szCs w:val="24"/>
        </w:rPr>
        <w:t>Por medio de la cual se fortalece el emprendimiento y escalamiento de la micro, pequeña y mediana empresa en Colombia</w:t>
      </w:r>
      <w:r w:rsidRPr="006B087B">
        <w:rPr>
          <w:rFonts w:ascii="Arial" w:hAnsi="Arial" w:cs="Arial"/>
          <w:sz w:val="24"/>
          <w:szCs w:val="24"/>
        </w:rPr>
        <w:t>”</w:t>
      </w:r>
      <w:r>
        <w:rPr>
          <w:rFonts w:ascii="Arial" w:hAnsi="Arial" w:cs="Arial"/>
          <w:sz w:val="24"/>
          <w:szCs w:val="24"/>
        </w:rPr>
        <w:t xml:space="preserve">, el cual tiene como objetivo </w:t>
      </w:r>
      <w:r w:rsidR="00255F8E">
        <w:rPr>
          <w:rFonts w:ascii="Arial" w:hAnsi="Arial" w:cs="Arial"/>
          <w:sz w:val="24"/>
          <w:szCs w:val="24"/>
        </w:rPr>
        <w:t xml:space="preserve">incentivar </w:t>
      </w:r>
      <w:r w:rsidR="00255F8E" w:rsidRPr="00255F8E">
        <w:rPr>
          <w:rFonts w:ascii="Arial" w:hAnsi="Arial" w:cs="Arial"/>
          <w:sz w:val="24"/>
          <w:szCs w:val="24"/>
        </w:rPr>
        <w:t>el emprendimiento y escalamiento de la micro, peque</w:t>
      </w:r>
      <w:r w:rsidR="00255F8E">
        <w:rPr>
          <w:rFonts w:ascii="Arial" w:hAnsi="Arial" w:cs="Arial"/>
          <w:sz w:val="24"/>
          <w:szCs w:val="24"/>
        </w:rPr>
        <w:t xml:space="preserve">ña y mediana empresa en el país, a través del fortalecimiento de los fondos de capital privado </w:t>
      </w:r>
      <w:r w:rsidR="004845F9">
        <w:rPr>
          <w:rFonts w:ascii="Arial" w:hAnsi="Arial" w:cs="Arial"/>
          <w:sz w:val="24"/>
          <w:szCs w:val="24"/>
        </w:rPr>
        <w:t>nacionales</w:t>
      </w:r>
      <w:r w:rsidR="00E441C6">
        <w:rPr>
          <w:rFonts w:ascii="Arial" w:hAnsi="Arial" w:cs="Arial"/>
          <w:sz w:val="24"/>
          <w:szCs w:val="24"/>
        </w:rPr>
        <w:t>.</w:t>
      </w:r>
    </w:p>
    <w:p w14:paraId="60A4DAFE" w14:textId="77777777" w:rsidR="00E441C6" w:rsidRDefault="00E441C6" w:rsidP="00E441C6">
      <w:pPr>
        <w:jc w:val="both"/>
        <w:rPr>
          <w:rFonts w:ascii="Arial" w:hAnsi="Arial" w:cs="Arial"/>
          <w:sz w:val="24"/>
          <w:szCs w:val="24"/>
        </w:rPr>
      </w:pPr>
    </w:p>
    <w:p w14:paraId="2F722A46" w14:textId="77777777" w:rsidR="00E441C6" w:rsidRDefault="00E441C6" w:rsidP="00E441C6">
      <w:pPr>
        <w:jc w:val="both"/>
        <w:rPr>
          <w:rFonts w:ascii="Arial" w:hAnsi="Arial" w:cs="Arial"/>
          <w:sz w:val="24"/>
          <w:szCs w:val="24"/>
        </w:rPr>
      </w:pPr>
      <w:r>
        <w:rPr>
          <w:rFonts w:ascii="Arial" w:hAnsi="Arial" w:cs="Arial"/>
          <w:sz w:val="24"/>
          <w:szCs w:val="24"/>
        </w:rPr>
        <w:t>Del Señor presidente de la Honorable Cámara de Representantes,</w:t>
      </w:r>
    </w:p>
    <w:p w14:paraId="49CC9DC4" w14:textId="77777777" w:rsidR="00E441C6" w:rsidRDefault="00E441C6" w:rsidP="00E441C6">
      <w:pPr>
        <w:jc w:val="both"/>
        <w:rPr>
          <w:rFonts w:ascii="Arial" w:hAnsi="Arial" w:cs="Arial"/>
          <w:sz w:val="24"/>
          <w:szCs w:val="24"/>
        </w:rPr>
      </w:pPr>
    </w:p>
    <w:p w14:paraId="49CD35FA" w14:textId="77777777" w:rsidR="00E441C6" w:rsidRDefault="00E441C6" w:rsidP="00E441C6">
      <w:pPr>
        <w:jc w:val="both"/>
        <w:rPr>
          <w:rFonts w:ascii="Arial" w:hAnsi="Arial" w:cs="Arial"/>
          <w:sz w:val="24"/>
          <w:szCs w:val="24"/>
        </w:rPr>
      </w:pPr>
    </w:p>
    <w:p w14:paraId="609CA67D" w14:textId="77777777" w:rsidR="00E441C6" w:rsidRDefault="00E441C6" w:rsidP="00E441C6">
      <w:pPr>
        <w:spacing w:after="0"/>
        <w:jc w:val="both"/>
        <w:rPr>
          <w:rFonts w:ascii="Arial" w:hAnsi="Arial" w:cs="Arial"/>
          <w:b/>
          <w:sz w:val="24"/>
          <w:szCs w:val="24"/>
        </w:rPr>
      </w:pPr>
      <w:r>
        <w:rPr>
          <w:rFonts w:ascii="Arial" w:hAnsi="Arial" w:cs="Arial"/>
          <w:b/>
          <w:sz w:val="24"/>
          <w:szCs w:val="24"/>
        </w:rPr>
        <w:t>ERASMO ELÍAS ZULETA BECHARA</w:t>
      </w:r>
    </w:p>
    <w:p w14:paraId="74ABEE1C" w14:textId="77777777" w:rsidR="00E441C6" w:rsidRDefault="00E441C6" w:rsidP="00E441C6">
      <w:pPr>
        <w:spacing w:after="0"/>
        <w:jc w:val="both"/>
        <w:rPr>
          <w:rFonts w:ascii="Arial" w:hAnsi="Arial" w:cs="Arial"/>
          <w:sz w:val="24"/>
          <w:szCs w:val="24"/>
        </w:rPr>
      </w:pPr>
      <w:r>
        <w:rPr>
          <w:rFonts w:ascii="Arial" w:hAnsi="Arial" w:cs="Arial"/>
          <w:b/>
          <w:sz w:val="24"/>
          <w:szCs w:val="24"/>
        </w:rPr>
        <w:t>Representante a la Cámara por el Departamento de Córdoba</w:t>
      </w:r>
    </w:p>
    <w:p w14:paraId="02DAAD2C" w14:textId="77777777" w:rsidR="00E441C6" w:rsidRDefault="00E441C6" w:rsidP="00DB686A">
      <w:pPr>
        <w:jc w:val="both"/>
        <w:rPr>
          <w:rFonts w:ascii="Arial" w:hAnsi="Arial" w:cs="Arial"/>
          <w:sz w:val="24"/>
          <w:szCs w:val="24"/>
        </w:rPr>
      </w:pPr>
    </w:p>
    <w:p w14:paraId="03EDA025" w14:textId="77777777" w:rsidR="00455C77" w:rsidRDefault="00455C77" w:rsidP="00DB686A">
      <w:pPr>
        <w:jc w:val="both"/>
        <w:rPr>
          <w:rFonts w:ascii="Arial" w:hAnsi="Arial" w:cs="Arial"/>
          <w:sz w:val="24"/>
          <w:szCs w:val="24"/>
        </w:rPr>
      </w:pPr>
    </w:p>
    <w:p w14:paraId="1A323459" w14:textId="77777777" w:rsidR="00DB686A" w:rsidRPr="009423B0" w:rsidRDefault="00DB686A" w:rsidP="00DB686A">
      <w:pPr>
        <w:jc w:val="center"/>
        <w:rPr>
          <w:rFonts w:ascii="Arial" w:hAnsi="Arial" w:cs="Arial"/>
          <w:sz w:val="24"/>
          <w:szCs w:val="24"/>
        </w:rPr>
      </w:pPr>
      <w:bookmarkStart w:id="1" w:name="_Hlk31566632"/>
      <w:r w:rsidRPr="009423B0">
        <w:rPr>
          <w:rFonts w:ascii="Arial" w:hAnsi="Arial" w:cs="Arial"/>
          <w:b/>
          <w:sz w:val="24"/>
          <w:szCs w:val="24"/>
        </w:rPr>
        <w:lastRenderedPageBreak/>
        <w:t xml:space="preserve">PROYECTO DE LEY NÚMERO ____ DE </w:t>
      </w:r>
      <w:r w:rsidR="00E441C6" w:rsidRPr="009423B0">
        <w:rPr>
          <w:rFonts w:ascii="Arial" w:hAnsi="Arial" w:cs="Arial"/>
          <w:b/>
          <w:sz w:val="24"/>
          <w:szCs w:val="24"/>
        </w:rPr>
        <w:t>20</w:t>
      </w:r>
      <w:r w:rsidR="00E441C6">
        <w:rPr>
          <w:rFonts w:ascii="Arial" w:hAnsi="Arial" w:cs="Arial"/>
          <w:b/>
          <w:sz w:val="24"/>
          <w:szCs w:val="24"/>
        </w:rPr>
        <w:t>20</w:t>
      </w:r>
      <w:r w:rsidR="00E441C6" w:rsidRPr="009423B0">
        <w:rPr>
          <w:rFonts w:ascii="Arial" w:hAnsi="Arial" w:cs="Arial"/>
          <w:b/>
          <w:sz w:val="24"/>
          <w:szCs w:val="24"/>
        </w:rPr>
        <w:t xml:space="preserve"> </w:t>
      </w:r>
      <w:r w:rsidR="00E441C6">
        <w:rPr>
          <w:rFonts w:ascii="Arial" w:hAnsi="Arial" w:cs="Arial"/>
          <w:b/>
          <w:sz w:val="24"/>
          <w:szCs w:val="24"/>
        </w:rPr>
        <w:t>CÁMARA</w:t>
      </w:r>
    </w:p>
    <w:p w14:paraId="130EF921" w14:textId="77777777" w:rsidR="00DB686A" w:rsidRDefault="00DB686A" w:rsidP="00DB686A">
      <w:pPr>
        <w:jc w:val="center"/>
        <w:rPr>
          <w:rFonts w:ascii="Arial" w:hAnsi="Arial" w:cs="Arial"/>
          <w:sz w:val="24"/>
          <w:szCs w:val="24"/>
        </w:rPr>
      </w:pPr>
      <w:r w:rsidRPr="001F48D3">
        <w:rPr>
          <w:rFonts w:ascii="Arial" w:hAnsi="Arial" w:cs="Arial"/>
          <w:sz w:val="24"/>
          <w:szCs w:val="24"/>
        </w:rPr>
        <w:t>“</w:t>
      </w:r>
      <w:r w:rsidR="00E441C6" w:rsidRPr="001F48D3">
        <w:rPr>
          <w:rFonts w:ascii="Arial" w:hAnsi="Arial" w:cs="Arial"/>
          <w:i/>
          <w:sz w:val="24"/>
          <w:szCs w:val="24"/>
        </w:rPr>
        <w:t>Por medio de la cual se</w:t>
      </w:r>
      <w:r w:rsidR="00E441C6">
        <w:rPr>
          <w:rFonts w:ascii="Arial" w:hAnsi="Arial" w:cs="Arial"/>
          <w:i/>
          <w:sz w:val="24"/>
          <w:szCs w:val="24"/>
        </w:rPr>
        <w:t xml:space="preserve"> fortalece el emprendimiento y escalamiento de la micro, pequeña y mediana empresa en Colombia</w:t>
      </w:r>
      <w:r w:rsidRPr="001F48D3">
        <w:rPr>
          <w:rFonts w:ascii="Arial" w:hAnsi="Arial" w:cs="Arial"/>
          <w:sz w:val="24"/>
          <w:szCs w:val="24"/>
        </w:rPr>
        <w:t>”</w:t>
      </w:r>
    </w:p>
    <w:p w14:paraId="40781359" w14:textId="3BE26B11" w:rsidR="00DB686A" w:rsidRPr="00025044" w:rsidRDefault="00163C22" w:rsidP="00DB686A">
      <w:pPr>
        <w:jc w:val="center"/>
        <w:rPr>
          <w:rFonts w:ascii="Arial" w:hAnsi="Arial" w:cs="Arial"/>
          <w:sz w:val="24"/>
          <w:szCs w:val="24"/>
        </w:rPr>
      </w:pPr>
      <w:r>
        <w:rPr>
          <w:rFonts w:ascii="Arial" w:hAnsi="Arial" w:cs="Arial"/>
          <w:sz w:val="24"/>
          <w:szCs w:val="24"/>
        </w:rPr>
        <w:t>El Congreso de la R</w:t>
      </w:r>
      <w:r w:rsidR="00DB686A" w:rsidRPr="00025044">
        <w:rPr>
          <w:rFonts w:ascii="Arial" w:hAnsi="Arial" w:cs="Arial"/>
          <w:sz w:val="24"/>
          <w:szCs w:val="24"/>
        </w:rPr>
        <w:t>epública de Colombia</w:t>
      </w:r>
    </w:p>
    <w:p w14:paraId="598B0530" w14:textId="77777777" w:rsidR="00DB686A" w:rsidRPr="00025044" w:rsidRDefault="00DB686A" w:rsidP="00DB686A">
      <w:pPr>
        <w:jc w:val="center"/>
        <w:rPr>
          <w:rFonts w:ascii="Arial" w:hAnsi="Arial" w:cs="Arial"/>
          <w:sz w:val="24"/>
          <w:szCs w:val="24"/>
        </w:rPr>
      </w:pPr>
      <w:r w:rsidRPr="00025044">
        <w:rPr>
          <w:rFonts w:ascii="Arial" w:hAnsi="Arial" w:cs="Arial"/>
          <w:sz w:val="24"/>
          <w:szCs w:val="24"/>
        </w:rPr>
        <w:t>DECRETA:</w:t>
      </w:r>
    </w:p>
    <w:p w14:paraId="4552E3B2" w14:textId="77777777" w:rsidR="00DB686A" w:rsidRPr="00025044" w:rsidRDefault="00DB686A" w:rsidP="00DB686A">
      <w:pPr>
        <w:jc w:val="both"/>
        <w:rPr>
          <w:rFonts w:ascii="Arial" w:hAnsi="Arial" w:cs="Arial"/>
          <w:sz w:val="24"/>
          <w:szCs w:val="24"/>
        </w:rPr>
      </w:pPr>
      <w:r w:rsidRPr="00025044">
        <w:rPr>
          <w:rFonts w:ascii="Arial" w:hAnsi="Arial" w:cs="Arial"/>
          <w:b/>
          <w:sz w:val="24"/>
          <w:szCs w:val="24"/>
        </w:rPr>
        <w:t>ARTÍCULO 1°. OBJETIVO.</w:t>
      </w:r>
      <w:r w:rsidRPr="00025044">
        <w:rPr>
          <w:rFonts w:ascii="Arial" w:hAnsi="Arial" w:cs="Arial"/>
          <w:sz w:val="24"/>
          <w:szCs w:val="24"/>
        </w:rPr>
        <w:t xml:space="preserve"> La presente ley tiene como objeti</w:t>
      </w:r>
      <w:r w:rsidRPr="006B087B">
        <w:rPr>
          <w:rFonts w:ascii="Arial" w:hAnsi="Arial" w:cs="Arial"/>
          <w:sz w:val="24"/>
          <w:szCs w:val="24"/>
        </w:rPr>
        <w:t xml:space="preserve">vo </w:t>
      </w:r>
      <w:r w:rsidR="001F3A68">
        <w:rPr>
          <w:rFonts w:ascii="Arial" w:hAnsi="Arial" w:cs="Arial"/>
          <w:sz w:val="24"/>
          <w:szCs w:val="24"/>
        </w:rPr>
        <w:t xml:space="preserve">incentivar </w:t>
      </w:r>
      <w:r w:rsidR="001F3A68" w:rsidRPr="00255F8E">
        <w:rPr>
          <w:rFonts w:ascii="Arial" w:hAnsi="Arial" w:cs="Arial"/>
          <w:sz w:val="24"/>
          <w:szCs w:val="24"/>
        </w:rPr>
        <w:t>el emprendimiento y escalamiento de la micro, peque</w:t>
      </w:r>
      <w:r w:rsidR="001F3A68">
        <w:rPr>
          <w:rFonts w:ascii="Arial" w:hAnsi="Arial" w:cs="Arial"/>
          <w:sz w:val="24"/>
          <w:szCs w:val="24"/>
        </w:rPr>
        <w:t>ña y mediana empresa en el país, a través del fortalecimiento de los fondos de capital privado nacionales.</w:t>
      </w:r>
    </w:p>
    <w:p w14:paraId="17F5F4AA" w14:textId="77777777" w:rsidR="00DB686A" w:rsidRDefault="00DB686A" w:rsidP="00DB686A">
      <w:pPr>
        <w:jc w:val="both"/>
        <w:rPr>
          <w:rFonts w:ascii="Arial" w:hAnsi="Arial" w:cs="Arial"/>
          <w:sz w:val="24"/>
          <w:szCs w:val="24"/>
        </w:rPr>
      </w:pPr>
      <w:r w:rsidRPr="00025044">
        <w:rPr>
          <w:rFonts w:ascii="Arial" w:hAnsi="Arial" w:cs="Arial"/>
          <w:b/>
          <w:sz w:val="24"/>
          <w:szCs w:val="24"/>
        </w:rPr>
        <w:t>ARTÍCULO 2°. ÁMBITO DE APLICACIÓN.</w:t>
      </w:r>
      <w:r w:rsidRPr="00025044">
        <w:rPr>
          <w:rFonts w:ascii="Arial" w:hAnsi="Arial" w:cs="Arial"/>
          <w:sz w:val="24"/>
          <w:szCs w:val="24"/>
        </w:rPr>
        <w:t xml:space="preserve"> Las disposiciones contenidas en la presente ley regirán pa</w:t>
      </w:r>
      <w:r w:rsidR="00C805E9">
        <w:rPr>
          <w:rFonts w:ascii="Arial" w:hAnsi="Arial" w:cs="Arial"/>
          <w:sz w:val="24"/>
          <w:szCs w:val="24"/>
        </w:rPr>
        <w:t>ra todo el territorio nacional.</w:t>
      </w:r>
    </w:p>
    <w:p w14:paraId="57A29F93" w14:textId="77777777" w:rsidR="00F9046C" w:rsidRDefault="00DB686A" w:rsidP="00DB686A">
      <w:pPr>
        <w:jc w:val="both"/>
        <w:rPr>
          <w:rFonts w:ascii="Arial" w:hAnsi="Arial" w:cs="Arial"/>
          <w:sz w:val="24"/>
          <w:szCs w:val="24"/>
        </w:rPr>
      </w:pPr>
      <w:r w:rsidRPr="00025044">
        <w:rPr>
          <w:rFonts w:ascii="Arial" w:hAnsi="Arial" w:cs="Arial"/>
          <w:b/>
          <w:sz w:val="24"/>
          <w:szCs w:val="24"/>
        </w:rPr>
        <w:t>ARTÍCU</w:t>
      </w:r>
      <w:r w:rsidR="00C805E9">
        <w:rPr>
          <w:rFonts w:ascii="Arial" w:hAnsi="Arial" w:cs="Arial"/>
          <w:b/>
          <w:sz w:val="24"/>
          <w:szCs w:val="24"/>
        </w:rPr>
        <w:t xml:space="preserve">LO </w:t>
      </w:r>
      <w:r w:rsidR="00147CD1">
        <w:rPr>
          <w:rFonts w:ascii="Arial" w:hAnsi="Arial" w:cs="Arial"/>
          <w:b/>
          <w:sz w:val="24"/>
          <w:szCs w:val="24"/>
        </w:rPr>
        <w:t>3</w:t>
      </w:r>
      <w:r w:rsidR="00907BEA">
        <w:rPr>
          <w:rFonts w:ascii="Arial" w:hAnsi="Arial" w:cs="Arial"/>
          <w:b/>
          <w:sz w:val="24"/>
          <w:szCs w:val="24"/>
        </w:rPr>
        <w:t>°. INVERSIONES ADMISIBLES</w:t>
      </w:r>
      <w:r w:rsidR="00232CF0">
        <w:rPr>
          <w:rFonts w:ascii="Arial" w:hAnsi="Arial" w:cs="Arial"/>
          <w:b/>
          <w:sz w:val="24"/>
          <w:szCs w:val="24"/>
        </w:rPr>
        <w:t xml:space="preserve"> EN LOS FONDOS DE PENSIÓNES OBLIGATORIAS Y DE CESANTÍA. </w:t>
      </w:r>
      <w:r w:rsidR="00232CF0" w:rsidRPr="00232CF0">
        <w:rPr>
          <w:rFonts w:ascii="Arial" w:hAnsi="Arial" w:cs="Arial"/>
          <w:sz w:val="24"/>
          <w:szCs w:val="24"/>
        </w:rPr>
        <w:t>Con el propósito de que los recursos de los diferentes tipos de fondos de pensiones obligatorias en el régimen de ahorro individual con solidaridad y los recursos de los fondos de cesantía y sus portafolios de corto y largo plazo, se encuentren respaldados por activos que cuenten con la requerida seguridad, r</w:t>
      </w:r>
      <w:r w:rsidR="00232CF0">
        <w:rPr>
          <w:rFonts w:ascii="Arial" w:hAnsi="Arial" w:cs="Arial"/>
          <w:sz w:val="24"/>
          <w:szCs w:val="24"/>
        </w:rPr>
        <w:t>entabilidad y liquidez, las Administradoras de los Fondos de Pensiones y Cesantía (AFP) podrán invertir los recursos de los diferentes tipos de fondos en</w:t>
      </w:r>
      <w:r w:rsidR="00F9046C">
        <w:rPr>
          <w:rFonts w:ascii="Arial" w:hAnsi="Arial" w:cs="Arial"/>
          <w:sz w:val="24"/>
          <w:szCs w:val="24"/>
        </w:rPr>
        <w:t>:</w:t>
      </w:r>
    </w:p>
    <w:p w14:paraId="51B7DECB" w14:textId="6B177CC4" w:rsidR="00232CF0" w:rsidRPr="00501E2D" w:rsidRDefault="00F9046C" w:rsidP="00743BDD">
      <w:pPr>
        <w:pStyle w:val="Prrafodelista"/>
        <w:numPr>
          <w:ilvl w:val="0"/>
          <w:numId w:val="20"/>
        </w:numPr>
        <w:ind w:left="360"/>
        <w:jc w:val="both"/>
        <w:rPr>
          <w:rFonts w:ascii="Arial" w:hAnsi="Arial" w:cs="Arial"/>
          <w:sz w:val="24"/>
          <w:szCs w:val="24"/>
        </w:rPr>
      </w:pPr>
      <w:r w:rsidRPr="00501E2D">
        <w:rPr>
          <w:rFonts w:ascii="Arial" w:hAnsi="Arial" w:cs="Arial"/>
          <w:sz w:val="24"/>
          <w:szCs w:val="24"/>
        </w:rPr>
        <w:t>F</w:t>
      </w:r>
      <w:r w:rsidR="00232CF0" w:rsidRPr="00501E2D">
        <w:rPr>
          <w:rFonts w:ascii="Arial" w:hAnsi="Arial" w:cs="Arial"/>
          <w:sz w:val="24"/>
          <w:szCs w:val="24"/>
        </w:rPr>
        <w:t>ondo</w:t>
      </w:r>
      <w:r w:rsidRPr="00501E2D">
        <w:rPr>
          <w:rFonts w:ascii="Arial" w:hAnsi="Arial" w:cs="Arial"/>
          <w:sz w:val="24"/>
          <w:szCs w:val="24"/>
        </w:rPr>
        <w:t xml:space="preserve">s de capital privado nacionales </w:t>
      </w:r>
      <w:r w:rsidR="00630EAD" w:rsidRPr="00501E2D">
        <w:rPr>
          <w:rFonts w:ascii="Arial" w:hAnsi="Arial" w:cs="Arial"/>
          <w:sz w:val="24"/>
          <w:szCs w:val="24"/>
        </w:rPr>
        <w:t xml:space="preserve">que tengan por finalidad invertir en empresas o proyectos productivos en los términos que reglamente el Gobierno Nacional, </w:t>
      </w:r>
      <w:r w:rsidR="00232CF0" w:rsidRPr="00501E2D">
        <w:rPr>
          <w:rFonts w:ascii="Arial" w:hAnsi="Arial" w:cs="Arial"/>
          <w:sz w:val="24"/>
          <w:szCs w:val="24"/>
        </w:rPr>
        <w:t>incluidos los fondos que invierten en fondos de capital privado, conocidos como "fondos de fondos" y los fondos de capital privado inmobiliario. Las AFP podrán adquirir compromisos para participar o entregar dinero, sujetos a plazo o condición, para realizar la</w:t>
      </w:r>
      <w:r w:rsidR="00DA5782" w:rsidRPr="00501E2D">
        <w:rPr>
          <w:rFonts w:ascii="Arial" w:hAnsi="Arial" w:cs="Arial"/>
          <w:sz w:val="24"/>
          <w:szCs w:val="24"/>
        </w:rPr>
        <w:t>s</w:t>
      </w:r>
      <w:r w:rsidR="00232CF0" w:rsidRPr="00501E2D">
        <w:rPr>
          <w:rFonts w:ascii="Arial" w:hAnsi="Arial" w:cs="Arial"/>
          <w:sz w:val="24"/>
          <w:szCs w:val="24"/>
        </w:rPr>
        <w:t xml:space="preserve"> </w:t>
      </w:r>
      <w:r w:rsidR="00DA5782" w:rsidRPr="00501E2D">
        <w:rPr>
          <w:rFonts w:ascii="Arial" w:hAnsi="Arial" w:cs="Arial"/>
          <w:sz w:val="24"/>
          <w:szCs w:val="24"/>
        </w:rPr>
        <w:t>inversiones</w:t>
      </w:r>
      <w:r w:rsidR="00D4302D" w:rsidRPr="00501E2D">
        <w:rPr>
          <w:rFonts w:ascii="Arial" w:hAnsi="Arial" w:cs="Arial"/>
          <w:sz w:val="24"/>
          <w:szCs w:val="24"/>
        </w:rPr>
        <w:t xml:space="preserve"> prevista</w:t>
      </w:r>
      <w:r w:rsidR="00DA5782" w:rsidRPr="00501E2D">
        <w:rPr>
          <w:rFonts w:ascii="Arial" w:hAnsi="Arial" w:cs="Arial"/>
          <w:sz w:val="24"/>
          <w:szCs w:val="24"/>
        </w:rPr>
        <w:t>s</w:t>
      </w:r>
      <w:r w:rsidR="00D4302D" w:rsidRPr="00501E2D">
        <w:rPr>
          <w:rFonts w:ascii="Arial" w:hAnsi="Arial" w:cs="Arial"/>
          <w:sz w:val="24"/>
          <w:szCs w:val="24"/>
        </w:rPr>
        <w:t xml:space="preserve"> en este </w:t>
      </w:r>
      <w:r w:rsidRPr="00501E2D">
        <w:rPr>
          <w:rFonts w:ascii="Arial" w:hAnsi="Arial" w:cs="Arial"/>
          <w:sz w:val="24"/>
          <w:szCs w:val="24"/>
        </w:rPr>
        <w:t>numeral</w:t>
      </w:r>
      <w:r w:rsidR="00232CF0" w:rsidRPr="00501E2D">
        <w:rPr>
          <w:rFonts w:ascii="Arial" w:hAnsi="Arial" w:cs="Arial"/>
          <w:sz w:val="24"/>
          <w:szCs w:val="24"/>
        </w:rPr>
        <w:t>.</w:t>
      </w:r>
    </w:p>
    <w:p w14:paraId="08ED6ADC" w14:textId="77506439" w:rsidR="00501E2D" w:rsidRPr="00501E2D" w:rsidRDefault="00501E2D" w:rsidP="00743BDD">
      <w:pPr>
        <w:pStyle w:val="Prrafodelista"/>
        <w:numPr>
          <w:ilvl w:val="0"/>
          <w:numId w:val="20"/>
        </w:numPr>
        <w:ind w:left="360"/>
        <w:jc w:val="both"/>
        <w:rPr>
          <w:rFonts w:ascii="Arial" w:hAnsi="Arial" w:cs="Arial"/>
          <w:sz w:val="24"/>
          <w:szCs w:val="24"/>
        </w:rPr>
      </w:pPr>
      <w:r w:rsidRPr="00501E2D">
        <w:rPr>
          <w:rFonts w:ascii="Arial" w:hAnsi="Arial" w:cs="Arial"/>
          <w:sz w:val="24"/>
          <w:szCs w:val="24"/>
        </w:rPr>
        <w:t>Participaciones en fondos de capital privado constituidos en el exterior, incluidos los fondos que invierten en fondos de capital privado, conocidos como "fondos de fondos" y los fondos de capital privado inmobiliarios. Las AFP podrán adquirir compromisos para participar o entregar dinero, sujetos a plazo o condición, para realizar la inversión prevista en este numeral.</w:t>
      </w:r>
    </w:p>
    <w:p w14:paraId="7F338C2A" w14:textId="77952536" w:rsidR="00501E2D" w:rsidRDefault="00501E2D" w:rsidP="00743BDD">
      <w:pPr>
        <w:jc w:val="both"/>
        <w:rPr>
          <w:rFonts w:ascii="Arial" w:hAnsi="Arial" w:cs="Arial"/>
          <w:sz w:val="24"/>
          <w:szCs w:val="24"/>
        </w:rPr>
      </w:pPr>
    </w:p>
    <w:p w14:paraId="103E6481" w14:textId="77777777" w:rsidR="00F9046C" w:rsidRDefault="00F9046C" w:rsidP="00DB686A">
      <w:pPr>
        <w:jc w:val="both"/>
        <w:rPr>
          <w:rFonts w:ascii="Arial" w:hAnsi="Arial" w:cs="Arial"/>
          <w:sz w:val="24"/>
          <w:szCs w:val="24"/>
        </w:rPr>
      </w:pPr>
    </w:p>
    <w:p w14:paraId="21E4D20C" w14:textId="56C44DD7" w:rsidR="00501E2D" w:rsidRPr="00501E2D" w:rsidRDefault="00232CF0" w:rsidP="0023134C">
      <w:pPr>
        <w:jc w:val="both"/>
        <w:rPr>
          <w:rFonts w:ascii="Arial" w:hAnsi="Arial" w:cs="Arial"/>
          <w:sz w:val="24"/>
          <w:szCs w:val="24"/>
        </w:rPr>
      </w:pPr>
      <w:r w:rsidRPr="00025044">
        <w:rPr>
          <w:rFonts w:ascii="Arial" w:hAnsi="Arial" w:cs="Arial"/>
          <w:b/>
          <w:sz w:val="24"/>
          <w:szCs w:val="24"/>
        </w:rPr>
        <w:lastRenderedPageBreak/>
        <w:t>ARTÍCU</w:t>
      </w:r>
      <w:r>
        <w:rPr>
          <w:rFonts w:ascii="Arial" w:hAnsi="Arial" w:cs="Arial"/>
          <w:b/>
          <w:sz w:val="24"/>
          <w:szCs w:val="24"/>
        </w:rPr>
        <w:t xml:space="preserve">LO </w:t>
      </w:r>
      <w:r w:rsidR="00147CD1">
        <w:rPr>
          <w:rFonts w:ascii="Arial" w:hAnsi="Arial" w:cs="Arial"/>
          <w:b/>
          <w:sz w:val="24"/>
          <w:szCs w:val="24"/>
        </w:rPr>
        <w:t>4</w:t>
      </w:r>
      <w:r>
        <w:rPr>
          <w:rFonts w:ascii="Arial" w:hAnsi="Arial" w:cs="Arial"/>
          <w:b/>
          <w:sz w:val="24"/>
          <w:szCs w:val="24"/>
        </w:rPr>
        <w:t xml:space="preserve">°. </w:t>
      </w:r>
      <w:r w:rsidR="0023134C" w:rsidRPr="00232CF0">
        <w:rPr>
          <w:rFonts w:ascii="Arial" w:hAnsi="Arial" w:cs="Arial"/>
          <w:b/>
          <w:sz w:val="24"/>
          <w:szCs w:val="24"/>
        </w:rPr>
        <w:t>LÍMITE</w:t>
      </w:r>
      <w:r w:rsidR="0023134C">
        <w:rPr>
          <w:rFonts w:ascii="Arial" w:hAnsi="Arial" w:cs="Arial"/>
          <w:b/>
          <w:sz w:val="24"/>
          <w:szCs w:val="24"/>
        </w:rPr>
        <w:t xml:space="preserve"> </w:t>
      </w:r>
      <w:r w:rsidR="0023134C" w:rsidRPr="00232CF0">
        <w:rPr>
          <w:rFonts w:ascii="Arial" w:hAnsi="Arial" w:cs="Arial"/>
          <w:b/>
          <w:sz w:val="24"/>
          <w:szCs w:val="24"/>
        </w:rPr>
        <w:t>DE INVERSIÓN PARA EL FONDO MODERADO.</w:t>
      </w:r>
      <w:r w:rsidR="0023134C">
        <w:rPr>
          <w:rFonts w:ascii="Arial" w:hAnsi="Arial" w:cs="Arial"/>
          <w:b/>
          <w:sz w:val="24"/>
          <w:szCs w:val="24"/>
        </w:rPr>
        <w:t xml:space="preserve"> </w:t>
      </w:r>
      <w:r w:rsidR="00501E2D" w:rsidRPr="00501E2D">
        <w:rPr>
          <w:rFonts w:ascii="Arial" w:hAnsi="Arial" w:cs="Arial"/>
          <w:sz w:val="24"/>
          <w:szCs w:val="24"/>
        </w:rPr>
        <w:t xml:space="preserve">La inversión del Fondo Moderado en los distintos activos señalados en el artículo </w:t>
      </w:r>
      <w:r w:rsidR="00501E2D">
        <w:rPr>
          <w:rFonts w:ascii="Arial" w:hAnsi="Arial" w:cs="Arial"/>
          <w:sz w:val="24"/>
          <w:szCs w:val="24"/>
        </w:rPr>
        <w:t xml:space="preserve">3° </w:t>
      </w:r>
      <w:r w:rsidR="00501E2D" w:rsidRPr="00501E2D">
        <w:rPr>
          <w:rFonts w:ascii="Arial" w:hAnsi="Arial" w:cs="Arial"/>
          <w:sz w:val="24"/>
          <w:szCs w:val="24"/>
        </w:rPr>
        <w:t>de</w:t>
      </w:r>
      <w:r w:rsidR="00501E2D">
        <w:rPr>
          <w:rFonts w:ascii="Arial" w:hAnsi="Arial" w:cs="Arial"/>
          <w:sz w:val="24"/>
          <w:szCs w:val="24"/>
        </w:rPr>
        <w:t xml:space="preserve"> </w:t>
      </w:r>
      <w:r w:rsidR="00501E2D" w:rsidRPr="00501E2D">
        <w:rPr>
          <w:rFonts w:ascii="Arial" w:hAnsi="Arial" w:cs="Arial"/>
          <w:sz w:val="24"/>
          <w:szCs w:val="24"/>
        </w:rPr>
        <w:t>l</w:t>
      </w:r>
      <w:r w:rsidR="00501E2D">
        <w:rPr>
          <w:rFonts w:ascii="Arial" w:hAnsi="Arial" w:cs="Arial"/>
          <w:sz w:val="24"/>
          <w:szCs w:val="24"/>
        </w:rPr>
        <w:t>a</w:t>
      </w:r>
      <w:r w:rsidR="00501E2D" w:rsidRPr="00501E2D">
        <w:rPr>
          <w:rFonts w:ascii="Arial" w:hAnsi="Arial" w:cs="Arial"/>
          <w:sz w:val="24"/>
          <w:szCs w:val="24"/>
        </w:rPr>
        <w:t xml:space="preserve"> presente </w:t>
      </w:r>
      <w:r w:rsidR="00501E2D">
        <w:rPr>
          <w:rFonts w:ascii="Arial" w:hAnsi="Arial" w:cs="Arial"/>
          <w:sz w:val="24"/>
          <w:szCs w:val="24"/>
        </w:rPr>
        <w:t xml:space="preserve">ley, </w:t>
      </w:r>
      <w:r w:rsidR="00501E2D" w:rsidRPr="00501E2D">
        <w:rPr>
          <w:rFonts w:ascii="Arial" w:hAnsi="Arial" w:cs="Arial"/>
          <w:sz w:val="24"/>
          <w:szCs w:val="24"/>
        </w:rPr>
        <w:t>estará sujeta a los límites máximos previstos a continuación con respecto al valor del Fondo Moderado:</w:t>
      </w:r>
    </w:p>
    <w:p w14:paraId="2D590900" w14:textId="5BCFB011" w:rsidR="00501E2D" w:rsidRPr="002857DA" w:rsidRDefault="00501E2D" w:rsidP="00743BDD">
      <w:pPr>
        <w:pStyle w:val="Prrafodelista"/>
        <w:numPr>
          <w:ilvl w:val="0"/>
          <w:numId w:val="21"/>
        </w:numPr>
        <w:ind w:left="360"/>
        <w:jc w:val="both"/>
        <w:rPr>
          <w:rFonts w:ascii="Arial" w:hAnsi="Arial" w:cs="Arial"/>
          <w:sz w:val="24"/>
          <w:szCs w:val="24"/>
        </w:rPr>
      </w:pPr>
      <w:r w:rsidRPr="002857DA">
        <w:rPr>
          <w:rFonts w:ascii="Arial" w:hAnsi="Arial" w:cs="Arial"/>
          <w:sz w:val="24"/>
          <w:szCs w:val="24"/>
        </w:rPr>
        <w:t>Hasta en un cinco por ciento (5%) para los instrumentos d</w:t>
      </w:r>
      <w:r w:rsidR="002857DA">
        <w:rPr>
          <w:rFonts w:ascii="Arial" w:hAnsi="Arial" w:cs="Arial"/>
          <w:sz w:val="24"/>
          <w:szCs w:val="24"/>
        </w:rPr>
        <w:t>escritos en el literal a) del artículo 3° de la presente ley.</w:t>
      </w:r>
    </w:p>
    <w:p w14:paraId="5364E13A" w14:textId="7BE0EBF4" w:rsidR="00501E2D" w:rsidRDefault="00501E2D" w:rsidP="00743BDD">
      <w:pPr>
        <w:ind w:left="348"/>
        <w:jc w:val="both"/>
        <w:rPr>
          <w:rFonts w:ascii="Arial" w:hAnsi="Arial" w:cs="Arial"/>
          <w:sz w:val="24"/>
          <w:szCs w:val="24"/>
        </w:rPr>
      </w:pPr>
      <w:r w:rsidRPr="00501E2D">
        <w:rPr>
          <w:rFonts w:ascii="Arial" w:hAnsi="Arial" w:cs="Arial"/>
          <w:sz w:val="24"/>
          <w:szCs w:val="24"/>
        </w:rPr>
        <w:t xml:space="preserve">En el evento en que </w:t>
      </w:r>
      <w:r w:rsidR="005C7E7A">
        <w:rPr>
          <w:rFonts w:ascii="Arial" w:hAnsi="Arial" w:cs="Arial"/>
          <w:sz w:val="24"/>
          <w:szCs w:val="24"/>
        </w:rPr>
        <w:t xml:space="preserve">las inversiones descritas en el </w:t>
      </w:r>
      <w:r w:rsidR="002857DA">
        <w:rPr>
          <w:rFonts w:ascii="Arial" w:hAnsi="Arial" w:cs="Arial"/>
          <w:sz w:val="24"/>
          <w:szCs w:val="24"/>
        </w:rPr>
        <w:t>literal a) del artículo 3° de la presente ley</w:t>
      </w:r>
      <w:r w:rsidR="002857DA" w:rsidRPr="00501E2D">
        <w:rPr>
          <w:rFonts w:ascii="Arial" w:hAnsi="Arial" w:cs="Arial"/>
          <w:sz w:val="24"/>
          <w:szCs w:val="24"/>
        </w:rPr>
        <w:t xml:space="preserve"> </w:t>
      </w:r>
      <w:r w:rsidRPr="00501E2D">
        <w:rPr>
          <w:rFonts w:ascii="Arial" w:hAnsi="Arial" w:cs="Arial"/>
          <w:sz w:val="24"/>
          <w:szCs w:val="24"/>
        </w:rPr>
        <w:t>cuenten con inversiones de emisores del exterior o participaciones en fondos de capital privado constituidos en el exterior, estas no computarán para efectos de este límite sino para el es</w:t>
      </w:r>
      <w:r w:rsidR="002857DA">
        <w:rPr>
          <w:rFonts w:ascii="Arial" w:hAnsi="Arial" w:cs="Arial"/>
          <w:sz w:val="24"/>
          <w:szCs w:val="24"/>
        </w:rPr>
        <w:t>tablecido a las inversiones del literal b) del artículo 3° de la presente ley.</w:t>
      </w:r>
    </w:p>
    <w:p w14:paraId="15EB0510" w14:textId="71D8FB94" w:rsidR="00232CF0" w:rsidRDefault="00391ED4" w:rsidP="00743BDD">
      <w:pPr>
        <w:ind w:left="348"/>
        <w:jc w:val="both"/>
        <w:rPr>
          <w:rFonts w:ascii="Arial" w:hAnsi="Arial" w:cs="Arial"/>
          <w:sz w:val="24"/>
          <w:szCs w:val="24"/>
        </w:rPr>
      </w:pPr>
      <w:r>
        <w:rPr>
          <w:rFonts w:ascii="Arial" w:hAnsi="Arial" w:cs="Arial"/>
          <w:sz w:val="24"/>
          <w:szCs w:val="24"/>
        </w:rPr>
        <w:t xml:space="preserve">Para el </w:t>
      </w:r>
      <w:r w:rsidR="00B42716">
        <w:rPr>
          <w:rFonts w:ascii="Arial" w:hAnsi="Arial" w:cs="Arial"/>
          <w:sz w:val="24"/>
          <w:szCs w:val="24"/>
        </w:rPr>
        <w:t>cómputo</w:t>
      </w:r>
      <w:r>
        <w:rPr>
          <w:rFonts w:ascii="Arial" w:hAnsi="Arial" w:cs="Arial"/>
          <w:sz w:val="24"/>
          <w:szCs w:val="24"/>
        </w:rPr>
        <w:t xml:space="preserve"> de este límite no se tendrá</w:t>
      </w:r>
      <w:r w:rsidR="0007024F">
        <w:rPr>
          <w:rFonts w:ascii="Arial" w:hAnsi="Arial" w:cs="Arial"/>
          <w:sz w:val="24"/>
          <w:szCs w:val="24"/>
        </w:rPr>
        <w:t>n</w:t>
      </w:r>
      <w:r>
        <w:rPr>
          <w:rFonts w:ascii="Arial" w:hAnsi="Arial" w:cs="Arial"/>
          <w:sz w:val="24"/>
          <w:szCs w:val="24"/>
        </w:rPr>
        <w:t xml:space="preserve"> en cuenta</w:t>
      </w:r>
      <w:r w:rsidR="0007024F">
        <w:rPr>
          <w:rFonts w:ascii="Arial" w:hAnsi="Arial" w:cs="Arial"/>
          <w:sz w:val="24"/>
          <w:szCs w:val="24"/>
        </w:rPr>
        <w:t xml:space="preserve"> ni los fondos de capital privado inmobiliarios, ni </w:t>
      </w:r>
      <w:r>
        <w:rPr>
          <w:rFonts w:ascii="Arial" w:hAnsi="Arial" w:cs="Arial"/>
          <w:sz w:val="24"/>
          <w:szCs w:val="24"/>
        </w:rPr>
        <w:t xml:space="preserve">el </w:t>
      </w:r>
      <w:r w:rsidR="00B42716">
        <w:rPr>
          <w:rFonts w:ascii="Arial" w:hAnsi="Arial" w:cs="Arial"/>
          <w:sz w:val="24"/>
          <w:szCs w:val="24"/>
        </w:rPr>
        <w:t>límite porcentual de</w:t>
      </w:r>
      <w:r>
        <w:rPr>
          <w:rFonts w:ascii="Arial" w:hAnsi="Arial" w:cs="Arial"/>
          <w:sz w:val="24"/>
          <w:szCs w:val="24"/>
        </w:rPr>
        <w:t xml:space="preserve"> las inversiones </w:t>
      </w:r>
      <w:r w:rsidR="00D17C6C">
        <w:rPr>
          <w:rFonts w:ascii="Arial" w:hAnsi="Arial" w:cs="Arial"/>
          <w:sz w:val="24"/>
          <w:szCs w:val="24"/>
        </w:rPr>
        <w:t xml:space="preserve">en instrumentos que destinen al menos dos terceras (2/3) partes </w:t>
      </w:r>
      <w:r w:rsidR="00D17C6C" w:rsidRPr="00D17C6C">
        <w:rPr>
          <w:rFonts w:ascii="Arial" w:hAnsi="Arial" w:cs="Arial"/>
          <w:sz w:val="24"/>
          <w:szCs w:val="24"/>
        </w:rPr>
        <w:t>de los aportes de sus inversionistas a proyectos de infraestructura bajo el esquema de Asociaciones Público Privadas (APP) descrito en la Ley 1508 de 2012.</w:t>
      </w:r>
      <w:r w:rsidR="0023134C">
        <w:rPr>
          <w:rFonts w:ascii="Arial" w:hAnsi="Arial" w:cs="Arial"/>
          <w:sz w:val="24"/>
          <w:szCs w:val="24"/>
        </w:rPr>
        <w:t xml:space="preserve"> </w:t>
      </w:r>
    </w:p>
    <w:p w14:paraId="0700A1E0" w14:textId="65335E80" w:rsidR="002857DA" w:rsidRDefault="002857DA" w:rsidP="00743BDD">
      <w:pPr>
        <w:pStyle w:val="Prrafodelista"/>
        <w:numPr>
          <w:ilvl w:val="0"/>
          <w:numId w:val="21"/>
        </w:numPr>
        <w:ind w:left="360"/>
        <w:jc w:val="both"/>
        <w:rPr>
          <w:rFonts w:ascii="Arial" w:hAnsi="Arial" w:cs="Arial"/>
          <w:sz w:val="24"/>
          <w:szCs w:val="24"/>
        </w:rPr>
      </w:pPr>
      <w:r w:rsidRPr="002857DA">
        <w:rPr>
          <w:rFonts w:ascii="Arial" w:hAnsi="Arial" w:cs="Arial"/>
          <w:sz w:val="24"/>
          <w:szCs w:val="24"/>
        </w:rPr>
        <w:t>Hasta en un cinco por ciento (5%) para los instrumentos d</w:t>
      </w:r>
      <w:r>
        <w:rPr>
          <w:rFonts w:ascii="Arial" w:hAnsi="Arial" w:cs="Arial"/>
          <w:sz w:val="24"/>
          <w:szCs w:val="24"/>
        </w:rPr>
        <w:t xml:space="preserve">escritos en el literal </w:t>
      </w:r>
      <w:r w:rsidR="002F00DF">
        <w:rPr>
          <w:rFonts w:ascii="Arial" w:hAnsi="Arial" w:cs="Arial"/>
          <w:sz w:val="24"/>
          <w:szCs w:val="24"/>
        </w:rPr>
        <w:t>b</w:t>
      </w:r>
      <w:r>
        <w:rPr>
          <w:rFonts w:ascii="Arial" w:hAnsi="Arial" w:cs="Arial"/>
          <w:sz w:val="24"/>
          <w:szCs w:val="24"/>
        </w:rPr>
        <w:t>) del artículo 3° de la presente ley.</w:t>
      </w:r>
    </w:p>
    <w:p w14:paraId="48B6812D" w14:textId="166ED336" w:rsidR="002857DA" w:rsidRDefault="005C7E7A" w:rsidP="00743BDD">
      <w:pPr>
        <w:pStyle w:val="Prrafodelista"/>
        <w:ind w:left="360"/>
        <w:jc w:val="both"/>
        <w:rPr>
          <w:rFonts w:ascii="Arial" w:hAnsi="Arial" w:cs="Arial"/>
          <w:sz w:val="24"/>
          <w:szCs w:val="24"/>
        </w:rPr>
      </w:pPr>
      <w:r w:rsidRPr="005C7E7A">
        <w:rPr>
          <w:rFonts w:ascii="Arial" w:hAnsi="Arial" w:cs="Arial"/>
          <w:sz w:val="24"/>
          <w:szCs w:val="24"/>
        </w:rPr>
        <w:t xml:space="preserve">En el evento en que las inversiones descritas en el </w:t>
      </w:r>
      <w:r>
        <w:rPr>
          <w:rFonts w:ascii="Arial" w:hAnsi="Arial" w:cs="Arial"/>
          <w:sz w:val="24"/>
          <w:szCs w:val="24"/>
        </w:rPr>
        <w:t xml:space="preserve">literal b) del artículo 3° de la presente ley </w:t>
      </w:r>
      <w:r w:rsidRPr="005C7E7A">
        <w:rPr>
          <w:rFonts w:ascii="Arial" w:hAnsi="Arial" w:cs="Arial"/>
          <w:sz w:val="24"/>
          <w:szCs w:val="24"/>
        </w:rPr>
        <w:t xml:space="preserve">cuenten con inversiones de emisores nacionales estas no computarán para efectos de este límite sino para el establecido a las inversiones del </w:t>
      </w:r>
      <w:r>
        <w:rPr>
          <w:rFonts w:ascii="Arial" w:hAnsi="Arial" w:cs="Arial"/>
          <w:sz w:val="24"/>
          <w:szCs w:val="24"/>
        </w:rPr>
        <w:t>literal a) del artículo 3° de la presente ley.</w:t>
      </w:r>
    </w:p>
    <w:p w14:paraId="45D6AD91" w14:textId="6FCF01F5" w:rsidR="00322921" w:rsidRPr="00501E2D" w:rsidRDefault="0023134C" w:rsidP="00322921">
      <w:pPr>
        <w:jc w:val="both"/>
        <w:rPr>
          <w:rFonts w:ascii="Arial" w:hAnsi="Arial" w:cs="Arial"/>
          <w:sz w:val="24"/>
          <w:szCs w:val="24"/>
        </w:rPr>
      </w:pPr>
      <w:r w:rsidRPr="00025044">
        <w:rPr>
          <w:rFonts w:ascii="Arial" w:hAnsi="Arial" w:cs="Arial"/>
          <w:b/>
          <w:sz w:val="24"/>
          <w:szCs w:val="24"/>
        </w:rPr>
        <w:t>ARTÍCU</w:t>
      </w:r>
      <w:r w:rsidR="00DC4CF1">
        <w:rPr>
          <w:rFonts w:ascii="Arial" w:hAnsi="Arial" w:cs="Arial"/>
          <w:b/>
          <w:sz w:val="24"/>
          <w:szCs w:val="24"/>
        </w:rPr>
        <w:t>LO 5</w:t>
      </w:r>
      <w:r>
        <w:rPr>
          <w:rFonts w:ascii="Arial" w:hAnsi="Arial" w:cs="Arial"/>
          <w:b/>
          <w:sz w:val="24"/>
          <w:szCs w:val="24"/>
        </w:rPr>
        <w:t xml:space="preserve">°. </w:t>
      </w:r>
      <w:r w:rsidRPr="00232CF0">
        <w:rPr>
          <w:rFonts w:ascii="Arial" w:hAnsi="Arial" w:cs="Arial"/>
          <w:b/>
          <w:sz w:val="24"/>
          <w:szCs w:val="24"/>
        </w:rPr>
        <w:t>LÍMITE</w:t>
      </w:r>
      <w:r>
        <w:rPr>
          <w:rFonts w:ascii="Arial" w:hAnsi="Arial" w:cs="Arial"/>
          <w:b/>
          <w:sz w:val="24"/>
          <w:szCs w:val="24"/>
        </w:rPr>
        <w:t xml:space="preserve"> </w:t>
      </w:r>
      <w:r w:rsidRPr="00232CF0">
        <w:rPr>
          <w:rFonts w:ascii="Arial" w:hAnsi="Arial" w:cs="Arial"/>
          <w:b/>
          <w:sz w:val="24"/>
          <w:szCs w:val="24"/>
        </w:rPr>
        <w:t xml:space="preserve">DE </w:t>
      </w:r>
      <w:r>
        <w:rPr>
          <w:rFonts w:ascii="Arial" w:hAnsi="Arial" w:cs="Arial"/>
          <w:b/>
          <w:sz w:val="24"/>
          <w:szCs w:val="24"/>
        </w:rPr>
        <w:t>INVERSIÓN PARA EL FONDO DE MAYOR RIESGO</w:t>
      </w:r>
      <w:r w:rsidRPr="00232CF0">
        <w:rPr>
          <w:rFonts w:ascii="Arial" w:hAnsi="Arial" w:cs="Arial"/>
          <w:b/>
          <w:sz w:val="24"/>
          <w:szCs w:val="24"/>
        </w:rPr>
        <w:t>.</w:t>
      </w:r>
      <w:r>
        <w:rPr>
          <w:rFonts w:ascii="Arial" w:hAnsi="Arial" w:cs="Arial"/>
          <w:b/>
          <w:sz w:val="24"/>
          <w:szCs w:val="24"/>
        </w:rPr>
        <w:t xml:space="preserve"> </w:t>
      </w:r>
      <w:r w:rsidR="00322921" w:rsidRPr="00501E2D">
        <w:rPr>
          <w:rFonts w:ascii="Arial" w:hAnsi="Arial" w:cs="Arial"/>
          <w:sz w:val="24"/>
          <w:szCs w:val="24"/>
        </w:rPr>
        <w:t xml:space="preserve">La inversión del Fondo </w:t>
      </w:r>
      <w:r w:rsidR="00322921">
        <w:rPr>
          <w:rFonts w:ascii="Arial" w:hAnsi="Arial" w:cs="Arial"/>
          <w:sz w:val="24"/>
          <w:szCs w:val="24"/>
        </w:rPr>
        <w:t xml:space="preserve">de Mayor Riesgo </w:t>
      </w:r>
      <w:r w:rsidR="00322921" w:rsidRPr="00501E2D">
        <w:rPr>
          <w:rFonts w:ascii="Arial" w:hAnsi="Arial" w:cs="Arial"/>
          <w:sz w:val="24"/>
          <w:szCs w:val="24"/>
        </w:rPr>
        <w:t xml:space="preserve">en los distintos activos señalados en el artículo </w:t>
      </w:r>
      <w:r w:rsidR="00322921">
        <w:rPr>
          <w:rFonts w:ascii="Arial" w:hAnsi="Arial" w:cs="Arial"/>
          <w:sz w:val="24"/>
          <w:szCs w:val="24"/>
        </w:rPr>
        <w:t xml:space="preserve">3° </w:t>
      </w:r>
      <w:r w:rsidR="00322921" w:rsidRPr="00501E2D">
        <w:rPr>
          <w:rFonts w:ascii="Arial" w:hAnsi="Arial" w:cs="Arial"/>
          <w:sz w:val="24"/>
          <w:szCs w:val="24"/>
        </w:rPr>
        <w:t>de</w:t>
      </w:r>
      <w:r w:rsidR="00322921">
        <w:rPr>
          <w:rFonts w:ascii="Arial" w:hAnsi="Arial" w:cs="Arial"/>
          <w:sz w:val="24"/>
          <w:szCs w:val="24"/>
        </w:rPr>
        <w:t xml:space="preserve"> </w:t>
      </w:r>
      <w:r w:rsidR="00322921" w:rsidRPr="00501E2D">
        <w:rPr>
          <w:rFonts w:ascii="Arial" w:hAnsi="Arial" w:cs="Arial"/>
          <w:sz w:val="24"/>
          <w:szCs w:val="24"/>
        </w:rPr>
        <w:t>l</w:t>
      </w:r>
      <w:r w:rsidR="00322921">
        <w:rPr>
          <w:rFonts w:ascii="Arial" w:hAnsi="Arial" w:cs="Arial"/>
          <w:sz w:val="24"/>
          <w:szCs w:val="24"/>
        </w:rPr>
        <w:t>a</w:t>
      </w:r>
      <w:r w:rsidR="00322921" w:rsidRPr="00501E2D">
        <w:rPr>
          <w:rFonts w:ascii="Arial" w:hAnsi="Arial" w:cs="Arial"/>
          <w:sz w:val="24"/>
          <w:szCs w:val="24"/>
        </w:rPr>
        <w:t xml:space="preserve"> presente </w:t>
      </w:r>
      <w:r w:rsidR="00322921">
        <w:rPr>
          <w:rFonts w:ascii="Arial" w:hAnsi="Arial" w:cs="Arial"/>
          <w:sz w:val="24"/>
          <w:szCs w:val="24"/>
        </w:rPr>
        <w:t xml:space="preserve">ley, </w:t>
      </w:r>
      <w:r w:rsidR="00322921" w:rsidRPr="00501E2D">
        <w:rPr>
          <w:rFonts w:ascii="Arial" w:hAnsi="Arial" w:cs="Arial"/>
          <w:sz w:val="24"/>
          <w:szCs w:val="24"/>
        </w:rPr>
        <w:t>estará sujeta a los límites máximos previstos a continuación con resp</w:t>
      </w:r>
      <w:r w:rsidR="00322921">
        <w:rPr>
          <w:rFonts w:ascii="Arial" w:hAnsi="Arial" w:cs="Arial"/>
          <w:sz w:val="24"/>
          <w:szCs w:val="24"/>
        </w:rPr>
        <w:t>ecto al valor del Fondo de Mayor Riesgo</w:t>
      </w:r>
      <w:r w:rsidR="00322921" w:rsidRPr="00501E2D">
        <w:rPr>
          <w:rFonts w:ascii="Arial" w:hAnsi="Arial" w:cs="Arial"/>
          <w:sz w:val="24"/>
          <w:szCs w:val="24"/>
        </w:rPr>
        <w:t>:</w:t>
      </w:r>
    </w:p>
    <w:p w14:paraId="57CD61E6" w14:textId="5284566C" w:rsidR="00322921" w:rsidRPr="002857DA" w:rsidRDefault="00322921" w:rsidP="00743BDD">
      <w:pPr>
        <w:pStyle w:val="Prrafodelista"/>
        <w:numPr>
          <w:ilvl w:val="0"/>
          <w:numId w:val="22"/>
        </w:numPr>
        <w:ind w:left="360"/>
        <w:jc w:val="both"/>
        <w:rPr>
          <w:rFonts w:ascii="Arial" w:hAnsi="Arial" w:cs="Arial"/>
          <w:sz w:val="24"/>
          <w:szCs w:val="24"/>
        </w:rPr>
      </w:pPr>
      <w:r w:rsidRPr="002857DA">
        <w:rPr>
          <w:rFonts w:ascii="Arial" w:hAnsi="Arial" w:cs="Arial"/>
          <w:sz w:val="24"/>
          <w:szCs w:val="24"/>
        </w:rPr>
        <w:t xml:space="preserve">Hasta en un </w:t>
      </w:r>
      <w:r>
        <w:rPr>
          <w:rFonts w:ascii="Arial" w:hAnsi="Arial" w:cs="Arial"/>
          <w:sz w:val="24"/>
          <w:szCs w:val="24"/>
        </w:rPr>
        <w:t xml:space="preserve">siete punto </w:t>
      </w:r>
      <w:r w:rsidRPr="002857DA">
        <w:rPr>
          <w:rFonts w:ascii="Arial" w:hAnsi="Arial" w:cs="Arial"/>
          <w:sz w:val="24"/>
          <w:szCs w:val="24"/>
        </w:rPr>
        <w:t>cinco por ciento (</w:t>
      </w:r>
      <w:r>
        <w:rPr>
          <w:rFonts w:ascii="Arial" w:hAnsi="Arial" w:cs="Arial"/>
          <w:sz w:val="24"/>
          <w:szCs w:val="24"/>
        </w:rPr>
        <w:t>7.5</w:t>
      </w:r>
      <w:r w:rsidRPr="002857DA">
        <w:rPr>
          <w:rFonts w:ascii="Arial" w:hAnsi="Arial" w:cs="Arial"/>
          <w:sz w:val="24"/>
          <w:szCs w:val="24"/>
        </w:rPr>
        <w:t>%) para los instrumentos d</w:t>
      </w:r>
      <w:r>
        <w:rPr>
          <w:rFonts w:ascii="Arial" w:hAnsi="Arial" w:cs="Arial"/>
          <w:sz w:val="24"/>
          <w:szCs w:val="24"/>
        </w:rPr>
        <w:t>escritos en el literal a) del artículo 3° de la presente ley.</w:t>
      </w:r>
    </w:p>
    <w:p w14:paraId="7D31A6AB" w14:textId="77777777" w:rsidR="00322921" w:rsidRDefault="00322921" w:rsidP="00743BDD">
      <w:pPr>
        <w:ind w:left="348"/>
        <w:jc w:val="both"/>
        <w:rPr>
          <w:rFonts w:ascii="Arial" w:hAnsi="Arial" w:cs="Arial"/>
          <w:sz w:val="24"/>
          <w:szCs w:val="24"/>
        </w:rPr>
      </w:pPr>
      <w:r w:rsidRPr="00501E2D">
        <w:rPr>
          <w:rFonts w:ascii="Arial" w:hAnsi="Arial" w:cs="Arial"/>
          <w:sz w:val="24"/>
          <w:szCs w:val="24"/>
        </w:rPr>
        <w:t xml:space="preserve">En el evento en que </w:t>
      </w:r>
      <w:r>
        <w:rPr>
          <w:rFonts w:ascii="Arial" w:hAnsi="Arial" w:cs="Arial"/>
          <w:sz w:val="24"/>
          <w:szCs w:val="24"/>
        </w:rPr>
        <w:t>las inversiones descritas en el literal a) del artículo 3° de la presente ley</w:t>
      </w:r>
      <w:r w:rsidRPr="00501E2D">
        <w:rPr>
          <w:rFonts w:ascii="Arial" w:hAnsi="Arial" w:cs="Arial"/>
          <w:sz w:val="24"/>
          <w:szCs w:val="24"/>
        </w:rPr>
        <w:t xml:space="preserve"> cuenten con inversiones de emisores del exterior o participaciones en fondos de capital privado constituidos en el exterior, estas no computarán para efectos de este límite sino para el es</w:t>
      </w:r>
      <w:r>
        <w:rPr>
          <w:rFonts w:ascii="Arial" w:hAnsi="Arial" w:cs="Arial"/>
          <w:sz w:val="24"/>
          <w:szCs w:val="24"/>
        </w:rPr>
        <w:t>tablecido a las inversiones del literal b) del artículo 3° de la presente ley.</w:t>
      </w:r>
    </w:p>
    <w:p w14:paraId="74D3E075" w14:textId="702E33F4" w:rsidR="00322921" w:rsidRDefault="00322921" w:rsidP="00743BDD">
      <w:pPr>
        <w:ind w:left="348"/>
        <w:jc w:val="both"/>
        <w:rPr>
          <w:rFonts w:ascii="Arial" w:hAnsi="Arial" w:cs="Arial"/>
          <w:sz w:val="24"/>
          <w:szCs w:val="24"/>
        </w:rPr>
      </w:pPr>
      <w:r>
        <w:rPr>
          <w:rFonts w:ascii="Arial" w:hAnsi="Arial" w:cs="Arial"/>
          <w:sz w:val="24"/>
          <w:szCs w:val="24"/>
        </w:rPr>
        <w:lastRenderedPageBreak/>
        <w:t xml:space="preserve">Para el cómputo de este límite </w:t>
      </w:r>
      <w:r w:rsidR="0007024F">
        <w:rPr>
          <w:rFonts w:ascii="Arial" w:hAnsi="Arial" w:cs="Arial"/>
          <w:sz w:val="24"/>
          <w:szCs w:val="24"/>
        </w:rPr>
        <w:t xml:space="preserve">no se tendrán en cuenta ni los fondos de capital privado inmobiliarios, ni </w:t>
      </w:r>
      <w:r>
        <w:rPr>
          <w:rFonts w:ascii="Arial" w:hAnsi="Arial" w:cs="Arial"/>
          <w:sz w:val="24"/>
          <w:szCs w:val="24"/>
        </w:rPr>
        <w:t xml:space="preserve">el límite porcentual de las inversiones en instrumentos que destinen al menos dos terceras (2/3) partes </w:t>
      </w:r>
      <w:r w:rsidRPr="00D17C6C">
        <w:rPr>
          <w:rFonts w:ascii="Arial" w:hAnsi="Arial" w:cs="Arial"/>
          <w:sz w:val="24"/>
          <w:szCs w:val="24"/>
        </w:rPr>
        <w:t>de los aportes de sus inversionistas a proyectos de infraestructura bajo el esquema de Asociaciones Público Privadas (APP) descrito en la Ley 1508 de 2012.</w:t>
      </w:r>
      <w:r>
        <w:rPr>
          <w:rFonts w:ascii="Arial" w:hAnsi="Arial" w:cs="Arial"/>
          <w:sz w:val="24"/>
          <w:szCs w:val="24"/>
        </w:rPr>
        <w:t xml:space="preserve"> </w:t>
      </w:r>
    </w:p>
    <w:p w14:paraId="7F56EFE5" w14:textId="3B70C83A" w:rsidR="00322921" w:rsidRDefault="00322921" w:rsidP="00743BDD">
      <w:pPr>
        <w:pStyle w:val="Prrafodelista"/>
        <w:numPr>
          <w:ilvl w:val="0"/>
          <w:numId w:val="22"/>
        </w:numPr>
        <w:ind w:left="360"/>
        <w:jc w:val="both"/>
        <w:rPr>
          <w:rFonts w:ascii="Arial" w:hAnsi="Arial" w:cs="Arial"/>
          <w:sz w:val="24"/>
          <w:szCs w:val="24"/>
        </w:rPr>
      </w:pPr>
      <w:r w:rsidRPr="002857DA">
        <w:rPr>
          <w:rFonts w:ascii="Arial" w:hAnsi="Arial" w:cs="Arial"/>
          <w:sz w:val="24"/>
          <w:szCs w:val="24"/>
        </w:rPr>
        <w:t xml:space="preserve">Hasta en un </w:t>
      </w:r>
      <w:r w:rsidR="0007024F">
        <w:rPr>
          <w:rFonts w:ascii="Arial" w:hAnsi="Arial" w:cs="Arial"/>
          <w:sz w:val="24"/>
          <w:szCs w:val="24"/>
        </w:rPr>
        <w:t>siete punto cinco por</w:t>
      </w:r>
      <w:r w:rsidRPr="002857DA">
        <w:rPr>
          <w:rFonts w:ascii="Arial" w:hAnsi="Arial" w:cs="Arial"/>
          <w:sz w:val="24"/>
          <w:szCs w:val="24"/>
        </w:rPr>
        <w:t xml:space="preserve"> ciento (</w:t>
      </w:r>
      <w:r w:rsidR="0007024F">
        <w:rPr>
          <w:rFonts w:ascii="Arial" w:hAnsi="Arial" w:cs="Arial"/>
          <w:sz w:val="24"/>
          <w:szCs w:val="24"/>
        </w:rPr>
        <w:t>7.</w:t>
      </w:r>
      <w:r w:rsidRPr="002857DA">
        <w:rPr>
          <w:rFonts w:ascii="Arial" w:hAnsi="Arial" w:cs="Arial"/>
          <w:sz w:val="24"/>
          <w:szCs w:val="24"/>
        </w:rPr>
        <w:t>5%) para los instrumentos d</w:t>
      </w:r>
      <w:r>
        <w:rPr>
          <w:rFonts w:ascii="Arial" w:hAnsi="Arial" w:cs="Arial"/>
          <w:sz w:val="24"/>
          <w:szCs w:val="24"/>
        </w:rPr>
        <w:t xml:space="preserve">escritos en el literal </w:t>
      </w:r>
      <w:r w:rsidR="002F00DF">
        <w:rPr>
          <w:rFonts w:ascii="Arial" w:hAnsi="Arial" w:cs="Arial"/>
          <w:sz w:val="24"/>
          <w:szCs w:val="24"/>
        </w:rPr>
        <w:t>b</w:t>
      </w:r>
      <w:r>
        <w:rPr>
          <w:rFonts w:ascii="Arial" w:hAnsi="Arial" w:cs="Arial"/>
          <w:sz w:val="24"/>
          <w:szCs w:val="24"/>
        </w:rPr>
        <w:t>) del artículo 3° de la presente ley.</w:t>
      </w:r>
    </w:p>
    <w:p w14:paraId="453E2D16" w14:textId="77777777" w:rsidR="00322921" w:rsidRDefault="00322921" w:rsidP="00743BDD">
      <w:pPr>
        <w:pStyle w:val="Prrafodelista"/>
        <w:ind w:left="360"/>
        <w:jc w:val="both"/>
        <w:rPr>
          <w:rFonts w:ascii="Arial" w:hAnsi="Arial" w:cs="Arial"/>
          <w:sz w:val="24"/>
          <w:szCs w:val="24"/>
        </w:rPr>
      </w:pPr>
      <w:r w:rsidRPr="005C7E7A">
        <w:rPr>
          <w:rFonts w:ascii="Arial" w:hAnsi="Arial" w:cs="Arial"/>
          <w:sz w:val="24"/>
          <w:szCs w:val="24"/>
        </w:rPr>
        <w:t xml:space="preserve">En el evento en que las inversiones descritas en el </w:t>
      </w:r>
      <w:r>
        <w:rPr>
          <w:rFonts w:ascii="Arial" w:hAnsi="Arial" w:cs="Arial"/>
          <w:sz w:val="24"/>
          <w:szCs w:val="24"/>
        </w:rPr>
        <w:t xml:space="preserve">literal b) del artículo 3° de la presente ley </w:t>
      </w:r>
      <w:r w:rsidRPr="005C7E7A">
        <w:rPr>
          <w:rFonts w:ascii="Arial" w:hAnsi="Arial" w:cs="Arial"/>
          <w:sz w:val="24"/>
          <w:szCs w:val="24"/>
        </w:rPr>
        <w:t xml:space="preserve">cuenten con inversiones de emisores nacionales estas no computarán para efectos de este límite sino para el establecido a las inversiones del </w:t>
      </w:r>
      <w:r>
        <w:rPr>
          <w:rFonts w:ascii="Arial" w:hAnsi="Arial" w:cs="Arial"/>
          <w:sz w:val="24"/>
          <w:szCs w:val="24"/>
        </w:rPr>
        <w:t>literal a) del artículo 3° de la presente ley.</w:t>
      </w:r>
    </w:p>
    <w:p w14:paraId="4A4BC8A9" w14:textId="77777777" w:rsidR="00EF755F" w:rsidRDefault="00EF755F" w:rsidP="00743BDD">
      <w:pPr>
        <w:pStyle w:val="Prrafodelista"/>
        <w:ind w:left="360"/>
        <w:jc w:val="both"/>
        <w:rPr>
          <w:rFonts w:ascii="Arial" w:hAnsi="Arial" w:cs="Arial"/>
          <w:sz w:val="24"/>
          <w:szCs w:val="24"/>
        </w:rPr>
      </w:pPr>
    </w:p>
    <w:p w14:paraId="251775F5" w14:textId="7CF5AA01" w:rsidR="00EF755F" w:rsidRPr="00501E2D" w:rsidRDefault="00EF755F" w:rsidP="00EF755F">
      <w:pPr>
        <w:jc w:val="both"/>
        <w:rPr>
          <w:rFonts w:ascii="Arial" w:hAnsi="Arial" w:cs="Arial"/>
          <w:sz w:val="24"/>
          <w:szCs w:val="24"/>
        </w:rPr>
      </w:pPr>
      <w:r w:rsidRPr="00025044">
        <w:rPr>
          <w:rFonts w:ascii="Arial" w:hAnsi="Arial" w:cs="Arial"/>
          <w:b/>
          <w:sz w:val="24"/>
          <w:szCs w:val="24"/>
        </w:rPr>
        <w:t>ARTÍCU</w:t>
      </w:r>
      <w:r>
        <w:rPr>
          <w:rFonts w:ascii="Arial" w:hAnsi="Arial" w:cs="Arial"/>
          <w:b/>
          <w:sz w:val="24"/>
          <w:szCs w:val="24"/>
        </w:rPr>
        <w:t xml:space="preserve">LO 6°. </w:t>
      </w:r>
      <w:r w:rsidRPr="00232CF0">
        <w:rPr>
          <w:rFonts w:ascii="Arial" w:hAnsi="Arial" w:cs="Arial"/>
          <w:b/>
          <w:sz w:val="24"/>
          <w:szCs w:val="24"/>
        </w:rPr>
        <w:t>LÍMITE</w:t>
      </w:r>
      <w:r>
        <w:rPr>
          <w:rFonts w:ascii="Arial" w:hAnsi="Arial" w:cs="Arial"/>
          <w:b/>
          <w:sz w:val="24"/>
          <w:szCs w:val="24"/>
        </w:rPr>
        <w:t xml:space="preserve"> </w:t>
      </w:r>
      <w:r w:rsidRPr="00232CF0">
        <w:rPr>
          <w:rFonts w:ascii="Arial" w:hAnsi="Arial" w:cs="Arial"/>
          <w:b/>
          <w:sz w:val="24"/>
          <w:szCs w:val="24"/>
        </w:rPr>
        <w:t xml:space="preserve">DE </w:t>
      </w:r>
      <w:r>
        <w:rPr>
          <w:rFonts w:ascii="Arial" w:hAnsi="Arial" w:cs="Arial"/>
          <w:b/>
          <w:sz w:val="24"/>
          <w:szCs w:val="24"/>
        </w:rPr>
        <w:t xml:space="preserve">INVERSIÓN PARA EL FONDO </w:t>
      </w:r>
      <w:r w:rsidR="00684006">
        <w:rPr>
          <w:rFonts w:ascii="Arial" w:hAnsi="Arial" w:cs="Arial"/>
          <w:b/>
          <w:sz w:val="24"/>
          <w:szCs w:val="24"/>
        </w:rPr>
        <w:t xml:space="preserve">ESPECIAL DE RETIRO PROGRAMADO. </w:t>
      </w:r>
      <w:r w:rsidRPr="00501E2D">
        <w:rPr>
          <w:rFonts w:ascii="Arial" w:hAnsi="Arial" w:cs="Arial"/>
          <w:sz w:val="24"/>
          <w:szCs w:val="24"/>
        </w:rPr>
        <w:t xml:space="preserve">La inversión del Fondo </w:t>
      </w:r>
      <w:r w:rsidR="00684006">
        <w:rPr>
          <w:rFonts w:ascii="Arial" w:hAnsi="Arial" w:cs="Arial"/>
          <w:sz w:val="24"/>
          <w:szCs w:val="24"/>
        </w:rPr>
        <w:t xml:space="preserve">Especial de Retiro Programado </w:t>
      </w:r>
      <w:r w:rsidRPr="00501E2D">
        <w:rPr>
          <w:rFonts w:ascii="Arial" w:hAnsi="Arial" w:cs="Arial"/>
          <w:sz w:val="24"/>
          <w:szCs w:val="24"/>
        </w:rPr>
        <w:t xml:space="preserve">en los distintos activos señalados en el artículo </w:t>
      </w:r>
      <w:r>
        <w:rPr>
          <w:rFonts w:ascii="Arial" w:hAnsi="Arial" w:cs="Arial"/>
          <w:sz w:val="24"/>
          <w:szCs w:val="24"/>
        </w:rPr>
        <w:t xml:space="preserve">3° </w:t>
      </w:r>
      <w:r w:rsidRPr="00501E2D">
        <w:rPr>
          <w:rFonts w:ascii="Arial" w:hAnsi="Arial" w:cs="Arial"/>
          <w:sz w:val="24"/>
          <w:szCs w:val="24"/>
        </w:rPr>
        <w:t>de</w:t>
      </w:r>
      <w:r>
        <w:rPr>
          <w:rFonts w:ascii="Arial" w:hAnsi="Arial" w:cs="Arial"/>
          <w:sz w:val="24"/>
          <w:szCs w:val="24"/>
        </w:rPr>
        <w:t xml:space="preserve"> </w:t>
      </w:r>
      <w:r w:rsidRPr="00501E2D">
        <w:rPr>
          <w:rFonts w:ascii="Arial" w:hAnsi="Arial" w:cs="Arial"/>
          <w:sz w:val="24"/>
          <w:szCs w:val="24"/>
        </w:rPr>
        <w:t>l</w:t>
      </w:r>
      <w:r>
        <w:rPr>
          <w:rFonts w:ascii="Arial" w:hAnsi="Arial" w:cs="Arial"/>
          <w:sz w:val="24"/>
          <w:szCs w:val="24"/>
        </w:rPr>
        <w:t>a</w:t>
      </w:r>
      <w:r w:rsidRPr="00501E2D">
        <w:rPr>
          <w:rFonts w:ascii="Arial" w:hAnsi="Arial" w:cs="Arial"/>
          <w:sz w:val="24"/>
          <w:szCs w:val="24"/>
        </w:rPr>
        <w:t xml:space="preserve"> presente </w:t>
      </w:r>
      <w:r>
        <w:rPr>
          <w:rFonts w:ascii="Arial" w:hAnsi="Arial" w:cs="Arial"/>
          <w:sz w:val="24"/>
          <w:szCs w:val="24"/>
        </w:rPr>
        <w:t xml:space="preserve">ley, </w:t>
      </w:r>
      <w:r w:rsidRPr="00501E2D">
        <w:rPr>
          <w:rFonts w:ascii="Arial" w:hAnsi="Arial" w:cs="Arial"/>
          <w:sz w:val="24"/>
          <w:szCs w:val="24"/>
        </w:rPr>
        <w:t>estará sujeta a los límites máximos previstos a continuación con resp</w:t>
      </w:r>
      <w:r>
        <w:rPr>
          <w:rFonts w:ascii="Arial" w:hAnsi="Arial" w:cs="Arial"/>
          <w:sz w:val="24"/>
          <w:szCs w:val="24"/>
        </w:rPr>
        <w:t>ecto al valor del Fondo</w:t>
      </w:r>
      <w:r w:rsidR="00684006">
        <w:rPr>
          <w:rFonts w:ascii="Arial" w:hAnsi="Arial" w:cs="Arial"/>
          <w:sz w:val="24"/>
          <w:szCs w:val="24"/>
        </w:rPr>
        <w:t xml:space="preserve"> Especial de Retiro Programado</w:t>
      </w:r>
      <w:r w:rsidRPr="00501E2D">
        <w:rPr>
          <w:rFonts w:ascii="Arial" w:hAnsi="Arial" w:cs="Arial"/>
          <w:sz w:val="24"/>
          <w:szCs w:val="24"/>
        </w:rPr>
        <w:t>:</w:t>
      </w:r>
    </w:p>
    <w:p w14:paraId="10151093" w14:textId="75641DC3" w:rsidR="00EF755F" w:rsidRPr="002857DA" w:rsidRDefault="00EF755F" w:rsidP="00743BDD">
      <w:pPr>
        <w:pStyle w:val="Prrafodelista"/>
        <w:numPr>
          <w:ilvl w:val="0"/>
          <w:numId w:val="24"/>
        </w:numPr>
        <w:ind w:left="360"/>
        <w:jc w:val="both"/>
        <w:rPr>
          <w:rFonts w:ascii="Arial" w:hAnsi="Arial" w:cs="Arial"/>
          <w:sz w:val="24"/>
          <w:szCs w:val="24"/>
        </w:rPr>
      </w:pPr>
      <w:r w:rsidRPr="002857DA">
        <w:rPr>
          <w:rFonts w:ascii="Arial" w:hAnsi="Arial" w:cs="Arial"/>
          <w:sz w:val="24"/>
          <w:szCs w:val="24"/>
        </w:rPr>
        <w:t xml:space="preserve">Hasta en un </w:t>
      </w:r>
      <w:r w:rsidR="00684006">
        <w:rPr>
          <w:rFonts w:ascii="Arial" w:hAnsi="Arial" w:cs="Arial"/>
          <w:sz w:val="24"/>
          <w:szCs w:val="24"/>
        </w:rPr>
        <w:t>dos</w:t>
      </w:r>
      <w:r>
        <w:rPr>
          <w:rFonts w:ascii="Arial" w:hAnsi="Arial" w:cs="Arial"/>
          <w:sz w:val="24"/>
          <w:szCs w:val="24"/>
        </w:rPr>
        <w:t xml:space="preserve"> punto </w:t>
      </w:r>
      <w:r w:rsidRPr="002857DA">
        <w:rPr>
          <w:rFonts w:ascii="Arial" w:hAnsi="Arial" w:cs="Arial"/>
          <w:sz w:val="24"/>
          <w:szCs w:val="24"/>
        </w:rPr>
        <w:t>cinco por ciento (</w:t>
      </w:r>
      <w:r w:rsidR="00684006">
        <w:rPr>
          <w:rFonts w:ascii="Arial" w:hAnsi="Arial" w:cs="Arial"/>
          <w:sz w:val="24"/>
          <w:szCs w:val="24"/>
        </w:rPr>
        <w:t>2</w:t>
      </w:r>
      <w:r>
        <w:rPr>
          <w:rFonts w:ascii="Arial" w:hAnsi="Arial" w:cs="Arial"/>
          <w:sz w:val="24"/>
          <w:szCs w:val="24"/>
        </w:rPr>
        <w:t>.5</w:t>
      </w:r>
      <w:r w:rsidRPr="002857DA">
        <w:rPr>
          <w:rFonts w:ascii="Arial" w:hAnsi="Arial" w:cs="Arial"/>
          <w:sz w:val="24"/>
          <w:szCs w:val="24"/>
        </w:rPr>
        <w:t>%) para los instrumentos d</w:t>
      </w:r>
      <w:r>
        <w:rPr>
          <w:rFonts w:ascii="Arial" w:hAnsi="Arial" w:cs="Arial"/>
          <w:sz w:val="24"/>
          <w:szCs w:val="24"/>
        </w:rPr>
        <w:t>escritos en el literal a) del artículo 3° de la presente ley.</w:t>
      </w:r>
    </w:p>
    <w:p w14:paraId="13297F58" w14:textId="77777777" w:rsidR="00EF755F" w:rsidRDefault="00EF755F" w:rsidP="00743BDD">
      <w:pPr>
        <w:ind w:left="348"/>
        <w:jc w:val="both"/>
        <w:rPr>
          <w:rFonts w:ascii="Arial" w:hAnsi="Arial" w:cs="Arial"/>
          <w:sz w:val="24"/>
          <w:szCs w:val="24"/>
        </w:rPr>
      </w:pPr>
      <w:r w:rsidRPr="00501E2D">
        <w:rPr>
          <w:rFonts w:ascii="Arial" w:hAnsi="Arial" w:cs="Arial"/>
          <w:sz w:val="24"/>
          <w:szCs w:val="24"/>
        </w:rPr>
        <w:t xml:space="preserve">En el evento en que </w:t>
      </w:r>
      <w:r>
        <w:rPr>
          <w:rFonts w:ascii="Arial" w:hAnsi="Arial" w:cs="Arial"/>
          <w:sz w:val="24"/>
          <w:szCs w:val="24"/>
        </w:rPr>
        <w:t>las inversiones descritas en el literal a) del artículo 3° de la presente ley</w:t>
      </w:r>
      <w:r w:rsidRPr="00501E2D">
        <w:rPr>
          <w:rFonts w:ascii="Arial" w:hAnsi="Arial" w:cs="Arial"/>
          <w:sz w:val="24"/>
          <w:szCs w:val="24"/>
        </w:rPr>
        <w:t xml:space="preserve"> cuenten con inversiones de emisores del exterior o participaciones en fondos de capital privado constituidos en el exterior, estas no computarán para efectos de este límite sino para el es</w:t>
      </w:r>
      <w:r>
        <w:rPr>
          <w:rFonts w:ascii="Arial" w:hAnsi="Arial" w:cs="Arial"/>
          <w:sz w:val="24"/>
          <w:szCs w:val="24"/>
        </w:rPr>
        <w:t>tablecido a las inversiones del literal b) del artículo 3° de la presente ley.</w:t>
      </w:r>
    </w:p>
    <w:p w14:paraId="3A06FF54" w14:textId="77777777" w:rsidR="00EF755F" w:rsidRDefault="00EF755F" w:rsidP="00743BDD">
      <w:pPr>
        <w:ind w:left="348"/>
        <w:jc w:val="both"/>
        <w:rPr>
          <w:rFonts w:ascii="Arial" w:hAnsi="Arial" w:cs="Arial"/>
          <w:sz w:val="24"/>
          <w:szCs w:val="24"/>
        </w:rPr>
      </w:pPr>
      <w:r>
        <w:rPr>
          <w:rFonts w:ascii="Arial" w:hAnsi="Arial" w:cs="Arial"/>
          <w:sz w:val="24"/>
          <w:szCs w:val="24"/>
        </w:rPr>
        <w:t xml:space="preserve">Para el cómputo de este límite no se tendrán en cuenta ni los fondos de capital privado inmobiliarios, ni el límite porcentual de las inversiones en instrumentos que destinen al menos dos terceras (2/3) partes </w:t>
      </w:r>
      <w:r w:rsidRPr="00D17C6C">
        <w:rPr>
          <w:rFonts w:ascii="Arial" w:hAnsi="Arial" w:cs="Arial"/>
          <w:sz w:val="24"/>
          <w:szCs w:val="24"/>
        </w:rPr>
        <w:t>de los aportes de sus inversionistas a proyectos de infraestructura bajo el esquema de Asociaciones Público Privadas (APP) descrito en la Ley 1508 de 2012.</w:t>
      </w:r>
      <w:r>
        <w:rPr>
          <w:rFonts w:ascii="Arial" w:hAnsi="Arial" w:cs="Arial"/>
          <w:sz w:val="24"/>
          <w:szCs w:val="24"/>
        </w:rPr>
        <w:t xml:space="preserve"> </w:t>
      </w:r>
    </w:p>
    <w:p w14:paraId="397E015F" w14:textId="48A6097E" w:rsidR="00EF755F" w:rsidRDefault="00EF755F" w:rsidP="00743BDD">
      <w:pPr>
        <w:pStyle w:val="Prrafodelista"/>
        <w:numPr>
          <w:ilvl w:val="0"/>
          <w:numId w:val="24"/>
        </w:numPr>
        <w:ind w:left="360"/>
        <w:jc w:val="both"/>
        <w:rPr>
          <w:rFonts w:ascii="Arial" w:hAnsi="Arial" w:cs="Arial"/>
          <w:sz w:val="24"/>
          <w:szCs w:val="24"/>
        </w:rPr>
      </w:pPr>
      <w:r w:rsidRPr="002857DA">
        <w:rPr>
          <w:rFonts w:ascii="Arial" w:hAnsi="Arial" w:cs="Arial"/>
          <w:sz w:val="24"/>
          <w:szCs w:val="24"/>
        </w:rPr>
        <w:t xml:space="preserve">Hasta en un </w:t>
      </w:r>
      <w:r w:rsidR="00684006">
        <w:rPr>
          <w:rFonts w:ascii="Arial" w:hAnsi="Arial" w:cs="Arial"/>
          <w:sz w:val="24"/>
          <w:szCs w:val="24"/>
        </w:rPr>
        <w:t>dos</w:t>
      </w:r>
      <w:r>
        <w:rPr>
          <w:rFonts w:ascii="Arial" w:hAnsi="Arial" w:cs="Arial"/>
          <w:sz w:val="24"/>
          <w:szCs w:val="24"/>
        </w:rPr>
        <w:t xml:space="preserve"> punto cinco por</w:t>
      </w:r>
      <w:r w:rsidRPr="002857DA">
        <w:rPr>
          <w:rFonts w:ascii="Arial" w:hAnsi="Arial" w:cs="Arial"/>
          <w:sz w:val="24"/>
          <w:szCs w:val="24"/>
        </w:rPr>
        <w:t xml:space="preserve"> ciento (</w:t>
      </w:r>
      <w:r w:rsidR="00684006">
        <w:rPr>
          <w:rFonts w:ascii="Arial" w:hAnsi="Arial" w:cs="Arial"/>
          <w:sz w:val="24"/>
          <w:szCs w:val="24"/>
        </w:rPr>
        <w:t>2</w:t>
      </w:r>
      <w:r>
        <w:rPr>
          <w:rFonts w:ascii="Arial" w:hAnsi="Arial" w:cs="Arial"/>
          <w:sz w:val="24"/>
          <w:szCs w:val="24"/>
        </w:rPr>
        <w:t>.</w:t>
      </w:r>
      <w:r w:rsidRPr="002857DA">
        <w:rPr>
          <w:rFonts w:ascii="Arial" w:hAnsi="Arial" w:cs="Arial"/>
          <w:sz w:val="24"/>
          <w:szCs w:val="24"/>
        </w:rPr>
        <w:t>5%) para los instrumentos d</w:t>
      </w:r>
      <w:r>
        <w:rPr>
          <w:rFonts w:ascii="Arial" w:hAnsi="Arial" w:cs="Arial"/>
          <w:sz w:val="24"/>
          <w:szCs w:val="24"/>
        </w:rPr>
        <w:t xml:space="preserve">escritos en el literal </w:t>
      </w:r>
      <w:r w:rsidR="002F00DF">
        <w:rPr>
          <w:rFonts w:ascii="Arial" w:hAnsi="Arial" w:cs="Arial"/>
          <w:sz w:val="24"/>
          <w:szCs w:val="24"/>
        </w:rPr>
        <w:t>b</w:t>
      </w:r>
      <w:r>
        <w:rPr>
          <w:rFonts w:ascii="Arial" w:hAnsi="Arial" w:cs="Arial"/>
          <w:sz w:val="24"/>
          <w:szCs w:val="24"/>
        </w:rPr>
        <w:t>) del artículo 3° de la presente ley.</w:t>
      </w:r>
    </w:p>
    <w:p w14:paraId="32077AC5" w14:textId="77777777" w:rsidR="00EF755F" w:rsidRDefault="00EF755F" w:rsidP="00743BDD">
      <w:pPr>
        <w:pStyle w:val="Prrafodelista"/>
        <w:ind w:left="360"/>
        <w:jc w:val="both"/>
        <w:rPr>
          <w:rFonts w:ascii="Arial" w:hAnsi="Arial" w:cs="Arial"/>
          <w:sz w:val="24"/>
          <w:szCs w:val="24"/>
        </w:rPr>
      </w:pPr>
      <w:r w:rsidRPr="005C7E7A">
        <w:rPr>
          <w:rFonts w:ascii="Arial" w:hAnsi="Arial" w:cs="Arial"/>
          <w:sz w:val="24"/>
          <w:szCs w:val="24"/>
        </w:rPr>
        <w:t xml:space="preserve">En el evento en que las inversiones descritas en el </w:t>
      </w:r>
      <w:r>
        <w:rPr>
          <w:rFonts w:ascii="Arial" w:hAnsi="Arial" w:cs="Arial"/>
          <w:sz w:val="24"/>
          <w:szCs w:val="24"/>
        </w:rPr>
        <w:t xml:space="preserve">literal b) del artículo 3° de la presente ley </w:t>
      </w:r>
      <w:r w:rsidRPr="005C7E7A">
        <w:rPr>
          <w:rFonts w:ascii="Arial" w:hAnsi="Arial" w:cs="Arial"/>
          <w:sz w:val="24"/>
          <w:szCs w:val="24"/>
        </w:rPr>
        <w:t xml:space="preserve">cuenten con inversiones de emisores nacionales estas no </w:t>
      </w:r>
      <w:r w:rsidRPr="005C7E7A">
        <w:rPr>
          <w:rFonts w:ascii="Arial" w:hAnsi="Arial" w:cs="Arial"/>
          <w:sz w:val="24"/>
          <w:szCs w:val="24"/>
        </w:rPr>
        <w:lastRenderedPageBreak/>
        <w:t xml:space="preserve">computarán para efectos de este límite sino para el establecido a las inversiones del </w:t>
      </w:r>
      <w:r>
        <w:rPr>
          <w:rFonts w:ascii="Arial" w:hAnsi="Arial" w:cs="Arial"/>
          <w:sz w:val="24"/>
          <w:szCs w:val="24"/>
        </w:rPr>
        <w:t>literal a) del artículo 3° de la presente ley.</w:t>
      </w:r>
    </w:p>
    <w:p w14:paraId="585DE498" w14:textId="77777777" w:rsidR="00EF755F" w:rsidRDefault="00EF755F" w:rsidP="00743BDD">
      <w:pPr>
        <w:pStyle w:val="Prrafodelista"/>
        <w:ind w:left="360"/>
        <w:jc w:val="both"/>
        <w:rPr>
          <w:rFonts w:ascii="Arial" w:hAnsi="Arial" w:cs="Arial"/>
          <w:sz w:val="24"/>
          <w:szCs w:val="24"/>
        </w:rPr>
      </w:pPr>
    </w:p>
    <w:p w14:paraId="23A3E67A" w14:textId="437C7022" w:rsidR="0040590A" w:rsidRDefault="00684006" w:rsidP="0023134C">
      <w:pPr>
        <w:jc w:val="both"/>
        <w:rPr>
          <w:rFonts w:ascii="Arial" w:hAnsi="Arial" w:cs="Arial"/>
          <w:sz w:val="24"/>
          <w:szCs w:val="24"/>
        </w:rPr>
      </w:pPr>
      <w:r>
        <w:rPr>
          <w:rFonts w:ascii="Arial" w:hAnsi="Arial" w:cs="Arial"/>
          <w:b/>
          <w:sz w:val="24"/>
          <w:szCs w:val="24"/>
        </w:rPr>
        <w:t>ARTÍCULO 7</w:t>
      </w:r>
      <w:r w:rsidR="00B9738B" w:rsidRPr="00B9738B">
        <w:rPr>
          <w:rFonts w:ascii="Arial" w:hAnsi="Arial" w:cs="Arial"/>
          <w:b/>
          <w:sz w:val="24"/>
          <w:szCs w:val="24"/>
        </w:rPr>
        <w:t>°. EXCESOS EN LAS INVERSIONES U OPERACIONES Y TRANSICIÓN.</w:t>
      </w:r>
      <w:r w:rsidR="00B9738B">
        <w:rPr>
          <w:rFonts w:ascii="Arial" w:hAnsi="Arial" w:cs="Arial"/>
          <w:sz w:val="24"/>
          <w:szCs w:val="24"/>
        </w:rPr>
        <w:t xml:space="preserve"> </w:t>
      </w:r>
      <w:r w:rsidR="0040590A">
        <w:rPr>
          <w:rFonts w:ascii="Arial" w:hAnsi="Arial" w:cs="Arial"/>
          <w:sz w:val="24"/>
          <w:szCs w:val="24"/>
        </w:rPr>
        <w:t>Si como consecuencia de la entrada en vigencia de la presente ley, se presenta</w:t>
      </w:r>
      <w:r w:rsidR="0040590A" w:rsidRPr="0040590A">
        <w:rPr>
          <w:rFonts w:ascii="Arial" w:hAnsi="Arial" w:cs="Arial"/>
          <w:sz w:val="24"/>
          <w:szCs w:val="24"/>
        </w:rPr>
        <w:t xml:space="preserve">n excesos en los límites previstos en </w:t>
      </w:r>
      <w:r w:rsidR="0040590A">
        <w:rPr>
          <w:rFonts w:ascii="Arial" w:hAnsi="Arial" w:cs="Arial"/>
          <w:sz w:val="24"/>
          <w:szCs w:val="24"/>
        </w:rPr>
        <w:t>la misma</w:t>
      </w:r>
      <w:r w:rsidR="0040590A" w:rsidRPr="0040590A">
        <w:rPr>
          <w:rFonts w:ascii="Arial" w:hAnsi="Arial" w:cs="Arial"/>
          <w:sz w:val="24"/>
          <w:szCs w:val="24"/>
        </w:rPr>
        <w:t>, las AFP deberán reportar este evento a la Superintendencia Financiera de Colombia y proceder al desmonte de dichas inversiones u operaciones dentro</w:t>
      </w:r>
      <w:r w:rsidR="0040590A">
        <w:rPr>
          <w:rFonts w:ascii="Arial" w:hAnsi="Arial" w:cs="Arial"/>
          <w:sz w:val="24"/>
          <w:szCs w:val="24"/>
        </w:rPr>
        <w:t xml:space="preserve"> de un plazo no superior a dos (2</w:t>
      </w:r>
      <w:r w:rsidR="0040590A" w:rsidRPr="0040590A">
        <w:rPr>
          <w:rFonts w:ascii="Arial" w:hAnsi="Arial" w:cs="Arial"/>
          <w:sz w:val="24"/>
          <w:szCs w:val="24"/>
        </w:rPr>
        <w:t>) año</w:t>
      </w:r>
      <w:r w:rsidR="0040590A">
        <w:rPr>
          <w:rFonts w:ascii="Arial" w:hAnsi="Arial" w:cs="Arial"/>
          <w:sz w:val="24"/>
          <w:szCs w:val="24"/>
        </w:rPr>
        <w:t xml:space="preserve">s. </w:t>
      </w:r>
      <w:r w:rsidR="0040590A" w:rsidRPr="0040590A">
        <w:rPr>
          <w:rFonts w:ascii="Arial" w:hAnsi="Arial" w:cs="Arial"/>
          <w:sz w:val="24"/>
          <w:szCs w:val="24"/>
        </w:rPr>
        <w:t>La Superintendencia Financiera de Colombia podrá prorrogar el plazo de ajuste definido en el presente inciso, previo análisis de las razones, evidencias y evaluaciones de riesgo e impacto suministradas por la AFP en su solicitud de prórroga, con las cuales justifique el no haberse ajustado a los límites legales dentro del plazo antes mencionado.</w:t>
      </w:r>
    </w:p>
    <w:p w14:paraId="32BD4DBD" w14:textId="04E08F60" w:rsidR="0007024F" w:rsidRDefault="00DA5782" w:rsidP="0023134C">
      <w:pPr>
        <w:jc w:val="both"/>
        <w:rPr>
          <w:rFonts w:ascii="Arial" w:hAnsi="Arial" w:cs="Arial"/>
          <w:sz w:val="24"/>
          <w:szCs w:val="24"/>
        </w:rPr>
      </w:pPr>
      <w:r>
        <w:rPr>
          <w:rFonts w:ascii="Arial" w:hAnsi="Arial" w:cs="Arial"/>
          <w:b/>
          <w:sz w:val="24"/>
          <w:szCs w:val="24"/>
        </w:rPr>
        <w:t>ARTÍCUL</w:t>
      </w:r>
      <w:r w:rsidR="00684006">
        <w:rPr>
          <w:rFonts w:ascii="Arial" w:hAnsi="Arial" w:cs="Arial"/>
          <w:b/>
          <w:sz w:val="24"/>
          <w:szCs w:val="24"/>
        </w:rPr>
        <w:t>O 8</w:t>
      </w:r>
      <w:r>
        <w:rPr>
          <w:rFonts w:ascii="Arial" w:hAnsi="Arial" w:cs="Arial"/>
          <w:b/>
          <w:sz w:val="24"/>
          <w:szCs w:val="24"/>
        </w:rPr>
        <w:t>°. REGLAMENTACIÓN</w:t>
      </w:r>
      <w:r w:rsidRPr="00B9738B">
        <w:rPr>
          <w:rFonts w:ascii="Arial" w:hAnsi="Arial" w:cs="Arial"/>
          <w:b/>
          <w:sz w:val="24"/>
          <w:szCs w:val="24"/>
        </w:rPr>
        <w:t>.</w:t>
      </w:r>
      <w:r>
        <w:rPr>
          <w:rFonts w:ascii="Arial" w:hAnsi="Arial" w:cs="Arial"/>
          <w:b/>
          <w:sz w:val="24"/>
          <w:szCs w:val="24"/>
        </w:rPr>
        <w:t xml:space="preserve"> </w:t>
      </w:r>
      <w:r w:rsidRPr="00DA5782">
        <w:rPr>
          <w:rFonts w:ascii="Arial" w:hAnsi="Arial" w:cs="Arial"/>
          <w:sz w:val="24"/>
          <w:szCs w:val="24"/>
        </w:rPr>
        <w:t xml:space="preserve">El </w:t>
      </w:r>
      <w:r>
        <w:rPr>
          <w:rFonts w:ascii="Arial" w:hAnsi="Arial" w:cs="Arial"/>
          <w:sz w:val="24"/>
          <w:szCs w:val="24"/>
        </w:rPr>
        <w:t xml:space="preserve">Gobierno Nacional reglamentará las características técnicas y demás condiciones necesarias que deberán cumplir los fondos de capital de que trata la presente ley a fin de considerarse como inversiones admisibles en los </w:t>
      </w:r>
      <w:r w:rsidR="00200C68">
        <w:rPr>
          <w:rFonts w:ascii="Arial" w:hAnsi="Arial" w:cs="Arial"/>
          <w:sz w:val="24"/>
          <w:szCs w:val="24"/>
        </w:rPr>
        <w:t>términos</w:t>
      </w:r>
      <w:r>
        <w:rPr>
          <w:rFonts w:ascii="Arial" w:hAnsi="Arial" w:cs="Arial"/>
          <w:sz w:val="24"/>
          <w:szCs w:val="24"/>
        </w:rPr>
        <w:t xml:space="preserve"> de que trata el artículo 3</w:t>
      </w:r>
      <w:r w:rsidR="00200C68">
        <w:rPr>
          <w:rFonts w:ascii="Arial" w:hAnsi="Arial" w:cs="Arial"/>
          <w:sz w:val="24"/>
          <w:szCs w:val="24"/>
        </w:rPr>
        <w:t>°</w:t>
      </w:r>
      <w:r w:rsidR="0007024F">
        <w:rPr>
          <w:rFonts w:ascii="Arial" w:hAnsi="Arial" w:cs="Arial"/>
          <w:sz w:val="24"/>
          <w:szCs w:val="24"/>
        </w:rPr>
        <w:t>.</w:t>
      </w:r>
    </w:p>
    <w:p w14:paraId="45B5EA38" w14:textId="090482D2" w:rsidR="00DA5782" w:rsidRPr="00DA5782" w:rsidRDefault="0007024F" w:rsidP="0023134C">
      <w:pPr>
        <w:jc w:val="both"/>
        <w:rPr>
          <w:rFonts w:ascii="Arial" w:hAnsi="Arial" w:cs="Arial"/>
          <w:sz w:val="24"/>
          <w:szCs w:val="24"/>
        </w:rPr>
      </w:pPr>
      <w:r>
        <w:rPr>
          <w:rFonts w:ascii="Arial" w:hAnsi="Arial" w:cs="Arial"/>
          <w:sz w:val="24"/>
          <w:szCs w:val="24"/>
        </w:rPr>
        <w:t>Así mismo, reglamentar</w:t>
      </w:r>
      <w:r w:rsidR="009C7085">
        <w:rPr>
          <w:rFonts w:ascii="Arial" w:hAnsi="Arial" w:cs="Arial"/>
          <w:sz w:val="24"/>
          <w:szCs w:val="24"/>
        </w:rPr>
        <w:t>á</w:t>
      </w:r>
      <w:r>
        <w:rPr>
          <w:rFonts w:ascii="Arial" w:hAnsi="Arial" w:cs="Arial"/>
          <w:sz w:val="24"/>
          <w:szCs w:val="24"/>
        </w:rPr>
        <w:t xml:space="preserve"> </w:t>
      </w:r>
      <w:r w:rsidR="009C7085">
        <w:rPr>
          <w:rFonts w:ascii="Arial" w:hAnsi="Arial" w:cs="Arial"/>
          <w:sz w:val="24"/>
          <w:szCs w:val="24"/>
        </w:rPr>
        <w:t xml:space="preserve">los demás </w:t>
      </w:r>
      <w:r w:rsidR="00015E3A">
        <w:rPr>
          <w:rFonts w:ascii="Arial" w:hAnsi="Arial" w:cs="Arial"/>
          <w:sz w:val="24"/>
          <w:szCs w:val="24"/>
        </w:rPr>
        <w:t xml:space="preserve">asuntos, condiciones y límites </w:t>
      </w:r>
      <w:r w:rsidR="009C73A1">
        <w:rPr>
          <w:rFonts w:ascii="Arial" w:hAnsi="Arial" w:cs="Arial"/>
          <w:sz w:val="24"/>
          <w:szCs w:val="24"/>
        </w:rPr>
        <w:t>relativos al régimen de inversión de los fondos de pensiones obligatorias y de cesantía</w:t>
      </w:r>
      <w:r w:rsidR="00501E2D">
        <w:rPr>
          <w:rFonts w:ascii="Arial" w:hAnsi="Arial" w:cs="Arial"/>
          <w:sz w:val="24"/>
          <w:szCs w:val="24"/>
        </w:rPr>
        <w:t xml:space="preserve"> y </w:t>
      </w:r>
      <w:r w:rsidR="009C7085">
        <w:rPr>
          <w:rFonts w:ascii="Arial" w:hAnsi="Arial" w:cs="Arial"/>
          <w:sz w:val="24"/>
          <w:szCs w:val="24"/>
        </w:rPr>
        <w:t xml:space="preserve">otros </w:t>
      </w:r>
      <w:r w:rsidR="00501E2D">
        <w:rPr>
          <w:rFonts w:ascii="Arial" w:hAnsi="Arial" w:cs="Arial"/>
          <w:sz w:val="24"/>
          <w:szCs w:val="24"/>
        </w:rPr>
        <w:t>activos admisibles.</w:t>
      </w:r>
    </w:p>
    <w:p w14:paraId="78E57CF3" w14:textId="475ADBE7" w:rsidR="00DB686A" w:rsidRDefault="00DB686A" w:rsidP="00DB686A">
      <w:pPr>
        <w:spacing w:after="0" w:line="240" w:lineRule="auto"/>
        <w:jc w:val="both"/>
        <w:rPr>
          <w:rFonts w:ascii="Arial" w:hAnsi="Arial" w:cs="Arial"/>
          <w:b/>
          <w:bCs/>
          <w:sz w:val="24"/>
          <w:szCs w:val="24"/>
        </w:rPr>
      </w:pPr>
      <w:r w:rsidRPr="000A7C3F">
        <w:rPr>
          <w:rFonts w:ascii="Arial" w:hAnsi="Arial" w:cs="Arial"/>
          <w:b/>
          <w:sz w:val="24"/>
          <w:szCs w:val="24"/>
        </w:rPr>
        <w:t xml:space="preserve">ARTÍCULO </w:t>
      </w:r>
      <w:r w:rsidR="00684006">
        <w:rPr>
          <w:rFonts w:ascii="Arial" w:hAnsi="Arial" w:cs="Arial"/>
          <w:b/>
          <w:sz w:val="24"/>
          <w:szCs w:val="24"/>
        </w:rPr>
        <w:t>9</w:t>
      </w:r>
      <w:r w:rsidRPr="000A7C3F">
        <w:rPr>
          <w:rFonts w:ascii="Arial" w:hAnsi="Arial" w:cs="Arial"/>
          <w:b/>
          <w:sz w:val="24"/>
          <w:szCs w:val="24"/>
        </w:rPr>
        <w:t>°. VIGENCIA.</w:t>
      </w:r>
      <w:r w:rsidRPr="000A7C3F">
        <w:rPr>
          <w:rFonts w:ascii="Arial" w:hAnsi="Arial" w:cs="Arial"/>
          <w:sz w:val="24"/>
          <w:szCs w:val="24"/>
        </w:rPr>
        <w:t xml:space="preserve"> La presente ley rige a partir de su publicación y deroga todas las disposiciones que le sean contrarias.</w:t>
      </w:r>
    </w:p>
    <w:p w14:paraId="16F76E9D" w14:textId="77777777" w:rsidR="00DB686A" w:rsidRDefault="00DB686A" w:rsidP="00DB686A">
      <w:pPr>
        <w:spacing w:after="0" w:line="240" w:lineRule="auto"/>
        <w:jc w:val="both"/>
        <w:rPr>
          <w:rFonts w:ascii="Arial" w:hAnsi="Arial" w:cs="Arial"/>
          <w:b/>
          <w:bCs/>
          <w:sz w:val="24"/>
          <w:szCs w:val="24"/>
        </w:rPr>
      </w:pPr>
    </w:p>
    <w:p w14:paraId="2D5B4C16" w14:textId="77777777" w:rsidR="00DB686A" w:rsidRDefault="00DB686A" w:rsidP="00DB686A">
      <w:pPr>
        <w:spacing w:after="0" w:line="240" w:lineRule="auto"/>
        <w:jc w:val="both"/>
        <w:rPr>
          <w:rFonts w:ascii="Arial" w:hAnsi="Arial" w:cs="Arial"/>
          <w:b/>
          <w:bCs/>
          <w:sz w:val="24"/>
          <w:szCs w:val="24"/>
        </w:rPr>
      </w:pPr>
    </w:p>
    <w:p w14:paraId="3C422D67" w14:textId="77777777" w:rsidR="00743BDD" w:rsidRDefault="00743BDD" w:rsidP="00DB686A">
      <w:pPr>
        <w:spacing w:after="0" w:line="240" w:lineRule="auto"/>
        <w:jc w:val="both"/>
        <w:rPr>
          <w:rFonts w:ascii="Arial" w:hAnsi="Arial" w:cs="Arial"/>
          <w:b/>
          <w:bCs/>
          <w:sz w:val="24"/>
          <w:szCs w:val="24"/>
        </w:rPr>
      </w:pPr>
    </w:p>
    <w:p w14:paraId="51D49B10" w14:textId="77777777" w:rsidR="00743BDD" w:rsidRPr="000A7C3F" w:rsidRDefault="00743BDD" w:rsidP="00DB686A">
      <w:pPr>
        <w:spacing w:after="0" w:line="240" w:lineRule="auto"/>
        <w:jc w:val="both"/>
        <w:rPr>
          <w:rFonts w:ascii="Arial" w:hAnsi="Arial" w:cs="Arial"/>
          <w:b/>
          <w:bCs/>
          <w:sz w:val="24"/>
          <w:szCs w:val="24"/>
        </w:rPr>
      </w:pPr>
    </w:p>
    <w:p w14:paraId="0B33927F" w14:textId="77777777" w:rsidR="002060E4" w:rsidRDefault="002060E4" w:rsidP="002060E4">
      <w:pPr>
        <w:spacing w:after="0"/>
        <w:jc w:val="both"/>
        <w:rPr>
          <w:rFonts w:ascii="Arial" w:hAnsi="Arial" w:cs="Arial"/>
          <w:b/>
          <w:sz w:val="24"/>
          <w:szCs w:val="24"/>
        </w:rPr>
      </w:pPr>
      <w:r>
        <w:rPr>
          <w:rFonts w:ascii="Arial" w:hAnsi="Arial" w:cs="Arial"/>
          <w:b/>
          <w:sz w:val="24"/>
          <w:szCs w:val="24"/>
        </w:rPr>
        <w:t>ERASMO ELÍAS ZULETA BECHARA</w:t>
      </w:r>
    </w:p>
    <w:p w14:paraId="5487D0C7" w14:textId="77777777" w:rsidR="002060E4" w:rsidRDefault="002060E4" w:rsidP="002060E4">
      <w:pPr>
        <w:spacing w:after="0"/>
        <w:jc w:val="both"/>
        <w:rPr>
          <w:rFonts w:ascii="Arial" w:hAnsi="Arial" w:cs="Arial"/>
          <w:b/>
          <w:sz w:val="24"/>
          <w:szCs w:val="24"/>
        </w:rPr>
      </w:pPr>
      <w:r>
        <w:rPr>
          <w:rFonts w:ascii="Arial" w:hAnsi="Arial" w:cs="Arial"/>
          <w:b/>
          <w:sz w:val="24"/>
          <w:szCs w:val="24"/>
        </w:rPr>
        <w:t>Representante a la Cámara por el Departamento de Córdoba</w:t>
      </w:r>
    </w:p>
    <w:bookmarkEnd w:id="1"/>
    <w:p w14:paraId="2C5D90F7" w14:textId="77777777" w:rsidR="00163C22" w:rsidRDefault="00163C22" w:rsidP="002060E4">
      <w:pPr>
        <w:spacing w:after="0"/>
        <w:jc w:val="both"/>
        <w:rPr>
          <w:rFonts w:ascii="Arial" w:hAnsi="Arial" w:cs="Arial"/>
          <w:sz w:val="24"/>
          <w:szCs w:val="24"/>
        </w:rPr>
      </w:pPr>
    </w:p>
    <w:p w14:paraId="644D9C10" w14:textId="77777777" w:rsidR="00743BDD" w:rsidRDefault="00743BDD" w:rsidP="00DB686A">
      <w:pPr>
        <w:tabs>
          <w:tab w:val="left" w:pos="3165"/>
        </w:tabs>
        <w:jc w:val="center"/>
        <w:rPr>
          <w:rFonts w:ascii="Arial" w:hAnsi="Arial" w:cs="Arial"/>
          <w:b/>
          <w:sz w:val="24"/>
          <w:szCs w:val="24"/>
        </w:rPr>
      </w:pPr>
    </w:p>
    <w:p w14:paraId="1068F732" w14:textId="77777777" w:rsidR="00743BDD" w:rsidRDefault="00743BDD" w:rsidP="00DB686A">
      <w:pPr>
        <w:tabs>
          <w:tab w:val="left" w:pos="3165"/>
        </w:tabs>
        <w:jc w:val="center"/>
        <w:rPr>
          <w:rFonts w:ascii="Arial" w:hAnsi="Arial" w:cs="Arial"/>
          <w:b/>
          <w:sz w:val="24"/>
          <w:szCs w:val="24"/>
        </w:rPr>
      </w:pPr>
    </w:p>
    <w:p w14:paraId="25DFE36D" w14:textId="77777777" w:rsidR="00743BDD" w:rsidRDefault="00743BDD" w:rsidP="00DB686A">
      <w:pPr>
        <w:tabs>
          <w:tab w:val="left" w:pos="3165"/>
        </w:tabs>
        <w:jc w:val="center"/>
        <w:rPr>
          <w:rFonts w:ascii="Arial" w:hAnsi="Arial" w:cs="Arial"/>
          <w:b/>
          <w:sz w:val="24"/>
          <w:szCs w:val="24"/>
        </w:rPr>
      </w:pPr>
    </w:p>
    <w:p w14:paraId="19249129" w14:textId="77777777" w:rsidR="00743BDD" w:rsidRDefault="00743BDD" w:rsidP="00DB686A">
      <w:pPr>
        <w:tabs>
          <w:tab w:val="left" w:pos="3165"/>
        </w:tabs>
        <w:jc w:val="center"/>
        <w:rPr>
          <w:rFonts w:ascii="Arial" w:hAnsi="Arial" w:cs="Arial"/>
          <w:b/>
          <w:sz w:val="24"/>
          <w:szCs w:val="24"/>
        </w:rPr>
      </w:pPr>
    </w:p>
    <w:p w14:paraId="5FF02A91" w14:textId="77777777" w:rsidR="00DB686A" w:rsidRDefault="00DB686A" w:rsidP="00DB686A">
      <w:pPr>
        <w:tabs>
          <w:tab w:val="left" w:pos="3165"/>
        </w:tabs>
        <w:jc w:val="center"/>
        <w:rPr>
          <w:rFonts w:ascii="Arial" w:hAnsi="Arial" w:cs="Arial"/>
          <w:b/>
          <w:sz w:val="24"/>
          <w:szCs w:val="24"/>
        </w:rPr>
      </w:pPr>
      <w:r w:rsidRPr="006720B4">
        <w:rPr>
          <w:rFonts w:ascii="Arial" w:hAnsi="Arial" w:cs="Arial"/>
          <w:b/>
          <w:sz w:val="24"/>
          <w:szCs w:val="24"/>
        </w:rPr>
        <w:lastRenderedPageBreak/>
        <w:t>EXPOSICIÓN DE MOTIVOS</w:t>
      </w:r>
    </w:p>
    <w:p w14:paraId="1B9DE0DC" w14:textId="3FAA6AC5" w:rsidR="00DB686A" w:rsidRDefault="00DB686A" w:rsidP="00DB686A">
      <w:pPr>
        <w:pStyle w:val="Prrafodelista"/>
        <w:numPr>
          <w:ilvl w:val="0"/>
          <w:numId w:val="8"/>
        </w:numPr>
        <w:jc w:val="both"/>
        <w:rPr>
          <w:rFonts w:ascii="Arial" w:hAnsi="Arial" w:cs="Arial"/>
          <w:b/>
          <w:sz w:val="24"/>
          <w:szCs w:val="24"/>
        </w:rPr>
      </w:pPr>
      <w:r w:rsidRPr="007A50E5">
        <w:rPr>
          <w:rFonts w:ascii="Arial" w:hAnsi="Arial" w:cs="Arial"/>
          <w:b/>
          <w:sz w:val="24"/>
          <w:szCs w:val="24"/>
        </w:rPr>
        <w:t>Objetivo</w:t>
      </w:r>
      <w:r>
        <w:rPr>
          <w:rFonts w:ascii="Arial" w:hAnsi="Arial" w:cs="Arial"/>
          <w:b/>
          <w:sz w:val="24"/>
          <w:szCs w:val="24"/>
        </w:rPr>
        <w:t xml:space="preserve"> </w:t>
      </w:r>
      <w:r w:rsidR="00F11064">
        <w:rPr>
          <w:rFonts w:ascii="Arial" w:hAnsi="Arial" w:cs="Arial"/>
          <w:b/>
          <w:sz w:val="24"/>
          <w:szCs w:val="24"/>
        </w:rPr>
        <w:t xml:space="preserve">y relevancia </w:t>
      </w:r>
      <w:r>
        <w:rPr>
          <w:rFonts w:ascii="Arial" w:hAnsi="Arial" w:cs="Arial"/>
          <w:b/>
          <w:sz w:val="24"/>
          <w:szCs w:val="24"/>
        </w:rPr>
        <w:t>del proyecto de ley</w:t>
      </w:r>
      <w:r w:rsidRPr="007A50E5">
        <w:rPr>
          <w:rFonts w:ascii="Arial" w:hAnsi="Arial" w:cs="Arial"/>
          <w:b/>
          <w:sz w:val="24"/>
          <w:szCs w:val="24"/>
        </w:rPr>
        <w:t>.</w:t>
      </w:r>
    </w:p>
    <w:p w14:paraId="12C805C8" w14:textId="77777777" w:rsidR="00DB686A" w:rsidRDefault="00DB686A" w:rsidP="00DB686A">
      <w:pPr>
        <w:autoSpaceDE w:val="0"/>
        <w:autoSpaceDN w:val="0"/>
        <w:adjustRightInd w:val="0"/>
        <w:spacing w:after="0" w:line="240" w:lineRule="auto"/>
        <w:jc w:val="center"/>
        <w:rPr>
          <w:rFonts w:ascii="Cambria" w:hAnsi="Cambria" w:cs="Cambria"/>
          <w:b/>
          <w:i/>
          <w:sz w:val="24"/>
          <w:szCs w:val="24"/>
          <w:u w:val="single"/>
        </w:rPr>
      </w:pPr>
    </w:p>
    <w:p w14:paraId="3C46B0A5" w14:textId="77777777" w:rsidR="007F68B2" w:rsidRDefault="004075D1" w:rsidP="00DB686A">
      <w:pPr>
        <w:jc w:val="both"/>
        <w:rPr>
          <w:rFonts w:ascii="Arial" w:hAnsi="Arial" w:cs="Arial"/>
          <w:sz w:val="24"/>
          <w:szCs w:val="24"/>
        </w:rPr>
      </w:pPr>
      <w:r w:rsidRPr="00025044">
        <w:rPr>
          <w:rFonts w:ascii="Arial" w:hAnsi="Arial" w:cs="Arial"/>
          <w:sz w:val="24"/>
          <w:szCs w:val="24"/>
        </w:rPr>
        <w:t>La presente ley tiene como objeti</w:t>
      </w:r>
      <w:r w:rsidRPr="006B087B">
        <w:rPr>
          <w:rFonts w:ascii="Arial" w:hAnsi="Arial" w:cs="Arial"/>
          <w:sz w:val="24"/>
          <w:szCs w:val="24"/>
        </w:rPr>
        <w:t xml:space="preserve">vo </w:t>
      </w:r>
      <w:r>
        <w:rPr>
          <w:rFonts w:ascii="Arial" w:hAnsi="Arial" w:cs="Arial"/>
          <w:sz w:val="24"/>
          <w:szCs w:val="24"/>
        </w:rPr>
        <w:t xml:space="preserve">incentivar </w:t>
      </w:r>
      <w:r w:rsidRPr="00255F8E">
        <w:rPr>
          <w:rFonts w:ascii="Arial" w:hAnsi="Arial" w:cs="Arial"/>
          <w:sz w:val="24"/>
          <w:szCs w:val="24"/>
        </w:rPr>
        <w:t>el emprendimiento y escalamiento de la micro, peque</w:t>
      </w:r>
      <w:r>
        <w:rPr>
          <w:rFonts w:ascii="Arial" w:hAnsi="Arial" w:cs="Arial"/>
          <w:sz w:val="24"/>
          <w:szCs w:val="24"/>
        </w:rPr>
        <w:t>ña y mediana empresa en el país, a través del fortalecimiento de los fondo</w:t>
      </w:r>
      <w:r w:rsidR="007F68B2">
        <w:rPr>
          <w:rFonts w:ascii="Arial" w:hAnsi="Arial" w:cs="Arial"/>
          <w:sz w:val="24"/>
          <w:szCs w:val="24"/>
        </w:rPr>
        <w:t xml:space="preserve">s de capital privado nacionales, convirtiendo a estos instrumentos en una fuente de financiamiento adicional relevante en el tejido empresarial del país. </w:t>
      </w:r>
    </w:p>
    <w:p w14:paraId="00512CBC" w14:textId="49C9371B" w:rsidR="007F68B2" w:rsidRDefault="007F68B2" w:rsidP="00DB686A">
      <w:pPr>
        <w:jc w:val="both"/>
        <w:rPr>
          <w:rFonts w:ascii="Arial" w:hAnsi="Arial" w:cs="Arial"/>
          <w:sz w:val="24"/>
          <w:szCs w:val="24"/>
        </w:rPr>
      </w:pPr>
      <w:r w:rsidRPr="007F68B2">
        <w:rPr>
          <w:rFonts w:ascii="Arial" w:hAnsi="Arial" w:cs="Arial"/>
          <w:sz w:val="24"/>
          <w:szCs w:val="24"/>
        </w:rPr>
        <w:t>A continuación se describe la importancia del emprendimiento y las micro, pequeñas y medianas empresas (Mipyme) en el país</w:t>
      </w:r>
      <w:r>
        <w:rPr>
          <w:rFonts w:ascii="Arial" w:hAnsi="Arial" w:cs="Arial"/>
          <w:sz w:val="24"/>
          <w:szCs w:val="24"/>
        </w:rPr>
        <w:t xml:space="preserve"> y la importancia de crear fuentes de financiamiento alternativas para la consolidación y crecimiento de emprendimientos y escalamiento de Mipymes.</w:t>
      </w:r>
    </w:p>
    <w:p w14:paraId="177F6FC6" w14:textId="77777777" w:rsidR="007F68B2" w:rsidRDefault="007F68B2" w:rsidP="00DB686A">
      <w:pPr>
        <w:jc w:val="both"/>
        <w:rPr>
          <w:rFonts w:ascii="Arial" w:hAnsi="Arial" w:cs="Arial"/>
          <w:sz w:val="24"/>
          <w:szCs w:val="24"/>
        </w:rPr>
      </w:pPr>
    </w:p>
    <w:p w14:paraId="2D3D74B2" w14:textId="77777777" w:rsidR="007F68B2" w:rsidRDefault="007F68B2" w:rsidP="007F68B2">
      <w:pPr>
        <w:pStyle w:val="Prrafodelista"/>
        <w:numPr>
          <w:ilvl w:val="1"/>
          <w:numId w:val="18"/>
        </w:numPr>
        <w:jc w:val="both"/>
        <w:rPr>
          <w:rFonts w:ascii="Arial" w:hAnsi="Arial" w:cs="Arial"/>
          <w:sz w:val="24"/>
          <w:szCs w:val="24"/>
        </w:rPr>
      </w:pPr>
      <w:r>
        <w:rPr>
          <w:rFonts w:ascii="Arial" w:hAnsi="Arial" w:cs="Arial"/>
          <w:sz w:val="24"/>
          <w:szCs w:val="24"/>
        </w:rPr>
        <w:t>R</w:t>
      </w:r>
      <w:r w:rsidR="005A5485" w:rsidRPr="007F68B2">
        <w:rPr>
          <w:rFonts w:ascii="Arial" w:hAnsi="Arial" w:cs="Arial"/>
          <w:sz w:val="24"/>
          <w:szCs w:val="24"/>
        </w:rPr>
        <w:t>ele</w:t>
      </w:r>
      <w:r w:rsidRPr="007F68B2">
        <w:rPr>
          <w:rFonts w:ascii="Arial" w:hAnsi="Arial" w:cs="Arial"/>
          <w:sz w:val="24"/>
          <w:szCs w:val="24"/>
        </w:rPr>
        <w:t xml:space="preserve">vancia del emprendimiento y las </w:t>
      </w:r>
      <w:r w:rsidR="005A5485" w:rsidRPr="007F68B2">
        <w:rPr>
          <w:rFonts w:ascii="Arial" w:hAnsi="Arial" w:cs="Arial"/>
          <w:sz w:val="24"/>
          <w:szCs w:val="24"/>
        </w:rPr>
        <w:t>micro, pequeñas y medianas empresas (Mipyme) en el país</w:t>
      </w:r>
      <w:r>
        <w:rPr>
          <w:rFonts w:ascii="Arial" w:hAnsi="Arial" w:cs="Arial"/>
          <w:sz w:val="24"/>
          <w:szCs w:val="24"/>
        </w:rPr>
        <w:t xml:space="preserve">. </w:t>
      </w:r>
    </w:p>
    <w:p w14:paraId="4753D196" w14:textId="77777777" w:rsidR="007F68B2" w:rsidRDefault="007F68B2" w:rsidP="007F68B2">
      <w:pPr>
        <w:pStyle w:val="Prrafodelista"/>
        <w:jc w:val="both"/>
        <w:rPr>
          <w:rFonts w:ascii="Arial" w:hAnsi="Arial" w:cs="Arial"/>
          <w:sz w:val="24"/>
          <w:szCs w:val="24"/>
        </w:rPr>
      </w:pPr>
    </w:p>
    <w:p w14:paraId="30DC8E5F" w14:textId="4C6E9513" w:rsidR="00DB686A" w:rsidRPr="007F68B2" w:rsidRDefault="007F68B2" w:rsidP="007F68B2">
      <w:pPr>
        <w:jc w:val="both"/>
        <w:rPr>
          <w:rFonts w:ascii="Arial" w:hAnsi="Arial" w:cs="Arial"/>
          <w:sz w:val="24"/>
          <w:szCs w:val="24"/>
        </w:rPr>
      </w:pPr>
      <w:r>
        <w:rPr>
          <w:rFonts w:ascii="Arial" w:hAnsi="Arial" w:cs="Arial"/>
          <w:sz w:val="24"/>
          <w:szCs w:val="24"/>
        </w:rPr>
        <w:t>La r</w:t>
      </w:r>
      <w:r w:rsidRPr="007F68B2">
        <w:rPr>
          <w:rFonts w:ascii="Arial" w:hAnsi="Arial" w:cs="Arial"/>
          <w:sz w:val="24"/>
          <w:szCs w:val="24"/>
        </w:rPr>
        <w:t>ele</w:t>
      </w:r>
      <w:r>
        <w:rPr>
          <w:rFonts w:ascii="Arial" w:hAnsi="Arial" w:cs="Arial"/>
          <w:sz w:val="24"/>
          <w:szCs w:val="24"/>
        </w:rPr>
        <w:t xml:space="preserve">vancia del emprendimiento y las </w:t>
      </w:r>
      <w:r w:rsidRPr="007F68B2">
        <w:rPr>
          <w:rFonts w:ascii="Arial" w:hAnsi="Arial" w:cs="Arial"/>
          <w:sz w:val="24"/>
          <w:szCs w:val="24"/>
        </w:rPr>
        <w:t>micro, pequeñas y medianas empresas (Mipyme) en el país</w:t>
      </w:r>
      <w:r w:rsidR="005A5485" w:rsidRPr="007F68B2">
        <w:rPr>
          <w:rFonts w:ascii="Arial" w:hAnsi="Arial" w:cs="Arial"/>
          <w:sz w:val="24"/>
          <w:szCs w:val="24"/>
        </w:rPr>
        <w:t>, se puede sintetizar en los siguientes aspectos:</w:t>
      </w:r>
    </w:p>
    <w:p w14:paraId="35A2AFC5" w14:textId="77777777" w:rsidR="00A60935" w:rsidRDefault="00A60935" w:rsidP="00DB686A">
      <w:pPr>
        <w:jc w:val="both"/>
        <w:rPr>
          <w:rFonts w:ascii="Arial" w:hAnsi="Arial" w:cs="Arial"/>
          <w:sz w:val="24"/>
          <w:szCs w:val="24"/>
        </w:rPr>
      </w:pPr>
    </w:p>
    <w:p w14:paraId="053B74EF" w14:textId="40EBF1EE" w:rsidR="00A60935" w:rsidRDefault="005A5485" w:rsidP="00DB686A">
      <w:pPr>
        <w:jc w:val="both"/>
        <w:rPr>
          <w:rFonts w:ascii="Arial" w:hAnsi="Arial" w:cs="Arial"/>
          <w:sz w:val="24"/>
          <w:szCs w:val="24"/>
          <w:u w:val="single"/>
        </w:rPr>
      </w:pPr>
      <w:r w:rsidRPr="00A60935">
        <w:rPr>
          <w:rFonts w:ascii="Arial" w:hAnsi="Arial" w:cs="Arial"/>
          <w:sz w:val="24"/>
          <w:szCs w:val="24"/>
          <w:u w:val="single"/>
        </w:rPr>
        <w:t>1.1</w:t>
      </w:r>
      <w:r w:rsidR="007F68B2">
        <w:rPr>
          <w:rFonts w:ascii="Arial" w:hAnsi="Arial" w:cs="Arial"/>
          <w:sz w:val="24"/>
          <w:szCs w:val="24"/>
          <w:u w:val="single"/>
        </w:rPr>
        <w:t>.1</w:t>
      </w:r>
      <w:r w:rsidRPr="00A60935">
        <w:rPr>
          <w:rFonts w:ascii="Arial" w:hAnsi="Arial" w:cs="Arial"/>
          <w:sz w:val="24"/>
          <w:szCs w:val="24"/>
          <w:u w:val="single"/>
        </w:rPr>
        <w:t xml:space="preserve">. </w:t>
      </w:r>
      <w:r w:rsidR="00A60935" w:rsidRPr="00A60935">
        <w:rPr>
          <w:rFonts w:ascii="Arial" w:hAnsi="Arial" w:cs="Arial"/>
          <w:sz w:val="24"/>
          <w:szCs w:val="24"/>
          <w:u w:val="single"/>
        </w:rPr>
        <w:t>Obtención de mayor productividad.</w:t>
      </w:r>
    </w:p>
    <w:p w14:paraId="67CA2BF7" w14:textId="5C9450C8" w:rsidR="00A60935" w:rsidRPr="00027B60" w:rsidRDefault="00CA32F2" w:rsidP="00027B60">
      <w:pPr>
        <w:pStyle w:val="Prrafodelista"/>
        <w:numPr>
          <w:ilvl w:val="0"/>
          <w:numId w:val="15"/>
        </w:numPr>
        <w:jc w:val="both"/>
        <w:rPr>
          <w:rFonts w:ascii="Arial" w:hAnsi="Arial" w:cs="Arial"/>
          <w:sz w:val="24"/>
          <w:szCs w:val="24"/>
        </w:rPr>
      </w:pPr>
      <w:r w:rsidRPr="00027B60">
        <w:rPr>
          <w:rFonts w:ascii="Arial" w:hAnsi="Arial" w:cs="Arial"/>
          <w:sz w:val="24"/>
          <w:szCs w:val="24"/>
        </w:rPr>
        <w:t>En el ensayo titulado “</w:t>
      </w:r>
      <w:r w:rsidRPr="00027B60">
        <w:rPr>
          <w:rFonts w:ascii="Arial" w:hAnsi="Arial" w:cs="Arial"/>
          <w:i/>
          <w:iCs/>
          <w:sz w:val="24"/>
          <w:szCs w:val="24"/>
        </w:rPr>
        <w:t>La naturaleza de la firma</w:t>
      </w:r>
      <w:r w:rsidRPr="00027B60">
        <w:rPr>
          <w:rFonts w:ascii="Arial" w:hAnsi="Arial" w:cs="Arial"/>
          <w:sz w:val="24"/>
          <w:szCs w:val="24"/>
        </w:rPr>
        <w:t>”, Coase (1937)</w:t>
      </w:r>
      <w:r>
        <w:rPr>
          <w:rStyle w:val="Refdenotaalpie"/>
          <w:rFonts w:ascii="Arial" w:hAnsi="Arial" w:cs="Arial"/>
          <w:sz w:val="24"/>
          <w:szCs w:val="24"/>
        </w:rPr>
        <w:footnoteReference w:id="1"/>
      </w:r>
      <w:r w:rsidR="00EA2714" w:rsidRPr="00027B60">
        <w:rPr>
          <w:rFonts w:ascii="Arial" w:hAnsi="Arial" w:cs="Arial"/>
          <w:sz w:val="24"/>
          <w:szCs w:val="24"/>
        </w:rPr>
        <w:t>, identifico la razón por</w:t>
      </w:r>
      <w:r w:rsidR="00724234" w:rsidRPr="00027B60">
        <w:rPr>
          <w:rFonts w:ascii="Arial" w:hAnsi="Arial" w:cs="Arial"/>
          <w:sz w:val="24"/>
          <w:szCs w:val="24"/>
        </w:rPr>
        <w:t xml:space="preserve"> </w:t>
      </w:r>
      <w:r w:rsidR="00EA2714" w:rsidRPr="00027B60">
        <w:rPr>
          <w:rFonts w:ascii="Arial" w:hAnsi="Arial" w:cs="Arial"/>
          <w:sz w:val="24"/>
          <w:szCs w:val="24"/>
        </w:rPr>
        <w:t>la cual las firmas se conforman: es más económico direccionar tareas por mandato al interior de una compañía, que a través de la negociación de contratos por separado</w:t>
      </w:r>
      <w:r w:rsidR="00724234" w:rsidRPr="00027B60">
        <w:rPr>
          <w:rFonts w:ascii="Arial" w:hAnsi="Arial" w:cs="Arial"/>
          <w:sz w:val="24"/>
          <w:szCs w:val="24"/>
        </w:rPr>
        <w:t xml:space="preserve"> para cada transacción en el mercado. Así</w:t>
      </w:r>
      <w:r w:rsidR="007F68B2">
        <w:rPr>
          <w:rFonts w:ascii="Arial" w:hAnsi="Arial" w:cs="Arial"/>
          <w:sz w:val="24"/>
          <w:szCs w:val="24"/>
        </w:rPr>
        <w:t xml:space="preserve">, </w:t>
      </w:r>
      <w:r w:rsidR="00724234" w:rsidRPr="00027B60">
        <w:rPr>
          <w:rFonts w:ascii="Arial" w:hAnsi="Arial" w:cs="Arial"/>
          <w:sz w:val="24"/>
          <w:szCs w:val="24"/>
        </w:rPr>
        <w:t xml:space="preserve">la creación de las </w:t>
      </w:r>
      <w:r w:rsidR="008741DE" w:rsidRPr="00027B60">
        <w:rPr>
          <w:rFonts w:ascii="Arial" w:hAnsi="Arial" w:cs="Arial"/>
          <w:sz w:val="24"/>
          <w:szCs w:val="24"/>
        </w:rPr>
        <w:t>firmas</w:t>
      </w:r>
      <w:r w:rsidR="00724234" w:rsidRPr="00027B60">
        <w:rPr>
          <w:rFonts w:ascii="Arial" w:hAnsi="Arial" w:cs="Arial"/>
          <w:sz w:val="24"/>
          <w:szCs w:val="24"/>
        </w:rPr>
        <w:t xml:space="preserve"> minimiza los costos de transacción</w:t>
      </w:r>
      <w:r w:rsidR="00724234">
        <w:rPr>
          <w:rStyle w:val="Refdenotaalpie"/>
          <w:rFonts w:ascii="Arial" w:hAnsi="Arial" w:cs="Arial"/>
          <w:sz w:val="24"/>
          <w:szCs w:val="24"/>
        </w:rPr>
        <w:footnoteReference w:id="2"/>
      </w:r>
      <w:r w:rsidR="007F68B2">
        <w:rPr>
          <w:rFonts w:ascii="Arial" w:hAnsi="Arial" w:cs="Arial"/>
          <w:sz w:val="24"/>
          <w:szCs w:val="24"/>
        </w:rPr>
        <w:t xml:space="preserve"> e incrementa la productividad del aparato productivo.</w:t>
      </w:r>
    </w:p>
    <w:p w14:paraId="3AE9F7C9" w14:textId="684099FC" w:rsidR="00A60935" w:rsidRDefault="00A04B70" w:rsidP="00027B60">
      <w:pPr>
        <w:pStyle w:val="Prrafodelista"/>
        <w:numPr>
          <w:ilvl w:val="0"/>
          <w:numId w:val="15"/>
        </w:numPr>
        <w:jc w:val="both"/>
        <w:rPr>
          <w:rFonts w:ascii="Arial" w:hAnsi="Arial" w:cs="Arial"/>
          <w:sz w:val="24"/>
          <w:szCs w:val="24"/>
          <w:u w:val="single"/>
        </w:rPr>
      </w:pPr>
      <w:r w:rsidRPr="00027B60">
        <w:rPr>
          <w:rFonts w:ascii="Arial" w:hAnsi="Arial" w:cs="Arial"/>
          <w:sz w:val="24"/>
          <w:szCs w:val="24"/>
        </w:rPr>
        <w:t>Estudios recientes de Cornwell, Schmutte y Scur (2019)</w:t>
      </w:r>
      <w:r>
        <w:rPr>
          <w:rStyle w:val="Refdenotaalpie"/>
          <w:rFonts w:ascii="Arial" w:hAnsi="Arial" w:cs="Arial"/>
          <w:sz w:val="24"/>
          <w:szCs w:val="24"/>
        </w:rPr>
        <w:footnoteReference w:id="3"/>
      </w:r>
      <w:r w:rsidRPr="00027B60">
        <w:rPr>
          <w:rFonts w:ascii="Arial" w:hAnsi="Arial" w:cs="Arial"/>
          <w:sz w:val="24"/>
          <w:szCs w:val="24"/>
        </w:rPr>
        <w:t xml:space="preserve">, demuestran que las prácticas de gestión de una empresa (firma) pueden verse como un tipo de </w:t>
      </w:r>
      <w:r w:rsidRPr="00027B60">
        <w:rPr>
          <w:rFonts w:ascii="Arial" w:hAnsi="Arial" w:cs="Arial"/>
          <w:sz w:val="24"/>
          <w:szCs w:val="24"/>
        </w:rPr>
        <w:lastRenderedPageBreak/>
        <w:t>tecnología que puede influir en su productividad y que un canal importante de influencia es la calidad de la fuerza laboral.</w:t>
      </w:r>
    </w:p>
    <w:p w14:paraId="1177AB3E" w14:textId="06DFD43C" w:rsidR="00EA4DCB" w:rsidRPr="00EA4DCB" w:rsidRDefault="00EA4DCB" w:rsidP="00D568A8">
      <w:pPr>
        <w:pStyle w:val="Prrafodelista"/>
        <w:numPr>
          <w:ilvl w:val="0"/>
          <w:numId w:val="15"/>
        </w:numPr>
        <w:jc w:val="both"/>
        <w:rPr>
          <w:rFonts w:ascii="Arial" w:hAnsi="Arial" w:cs="Arial"/>
          <w:sz w:val="24"/>
          <w:szCs w:val="24"/>
        </w:rPr>
      </w:pPr>
      <w:r w:rsidRPr="00EA4DCB">
        <w:rPr>
          <w:rFonts w:ascii="Arial" w:hAnsi="Arial" w:cs="Arial"/>
          <w:sz w:val="24"/>
          <w:szCs w:val="24"/>
        </w:rPr>
        <w:t xml:space="preserve">Los emprendimientos y las micro, pequeñas y medianas empresas formales incrementan la productividad. </w:t>
      </w:r>
      <w:r w:rsidR="00027B60" w:rsidRPr="00EA4DCB">
        <w:rPr>
          <w:rFonts w:ascii="Arial" w:hAnsi="Arial" w:cs="Arial"/>
          <w:sz w:val="24"/>
          <w:szCs w:val="24"/>
        </w:rPr>
        <w:t>Conforme a estudios basados en la evidencia del Comité de Donantes para el Desarrollo Empresarial, De Vries (2010)</w:t>
      </w:r>
      <w:r>
        <w:rPr>
          <w:rStyle w:val="Refdenotaalpie"/>
          <w:rFonts w:ascii="Arial" w:hAnsi="Arial" w:cs="Arial"/>
          <w:sz w:val="24"/>
          <w:szCs w:val="24"/>
        </w:rPr>
        <w:footnoteReference w:id="4"/>
      </w:r>
      <w:r w:rsidR="00027B60" w:rsidRPr="00EA4DCB">
        <w:rPr>
          <w:rFonts w:ascii="Arial" w:hAnsi="Arial" w:cs="Arial"/>
          <w:sz w:val="24"/>
          <w:szCs w:val="24"/>
        </w:rPr>
        <w:t>, utilizando un conjunto de datos de 11,000 empresas en Brasil, encuentra que los pequeños minoristas formales son en promedio 65% más productivos que sus contrapartes informales. De Vries sugiere que esto puede deberse a</w:t>
      </w:r>
      <w:r w:rsidRPr="00EA4DCB">
        <w:rPr>
          <w:rFonts w:ascii="Arial" w:hAnsi="Arial" w:cs="Arial"/>
          <w:sz w:val="24"/>
          <w:szCs w:val="24"/>
        </w:rPr>
        <w:t>:</w:t>
      </w:r>
    </w:p>
    <w:p w14:paraId="258B997D" w14:textId="77777777" w:rsidR="00EA4DCB" w:rsidRDefault="00EA4DCB" w:rsidP="00EA4DCB">
      <w:pPr>
        <w:pStyle w:val="Prrafodelista"/>
        <w:numPr>
          <w:ilvl w:val="1"/>
          <w:numId w:val="15"/>
        </w:numPr>
        <w:jc w:val="both"/>
        <w:rPr>
          <w:rFonts w:ascii="Arial" w:hAnsi="Arial" w:cs="Arial"/>
          <w:sz w:val="24"/>
          <w:szCs w:val="24"/>
        </w:rPr>
      </w:pPr>
      <w:r>
        <w:rPr>
          <w:rFonts w:ascii="Arial" w:hAnsi="Arial" w:cs="Arial"/>
          <w:sz w:val="24"/>
          <w:szCs w:val="24"/>
        </w:rPr>
        <w:t>L</w:t>
      </w:r>
      <w:r w:rsidR="00027B60" w:rsidRPr="00027B60">
        <w:rPr>
          <w:rFonts w:ascii="Arial" w:hAnsi="Arial" w:cs="Arial"/>
          <w:sz w:val="24"/>
          <w:szCs w:val="24"/>
        </w:rPr>
        <w:t>os beneficios del acceso al crédito formal</w:t>
      </w:r>
      <w:r>
        <w:rPr>
          <w:rFonts w:ascii="Arial" w:hAnsi="Arial" w:cs="Arial"/>
          <w:sz w:val="24"/>
          <w:szCs w:val="24"/>
        </w:rPr>
        <w:t>.</w:t>
      </w:r>
    </w:p>
    <w:p w14:paraId="20D51F06" w14:textId="77777777" w:rsidR="00EA4DCB" w:rsidRDefault="00EA4DCB" w:rsidP="00EA4DCB">
      <w:pPr>
        <w:pStyle w:val="Prrafodelista"/>
        <w:numPr>
          <w:ilvl w:val="1"/>
          <w:numId w:val="15"/>
        </w:numPr>
        <w:jc w:val="both"/>
        <w:rPr>
          <w:rFonts w:ascii="Arial" w:hAnsi="Arial" w:cs="Arial"/>
          <w:sz w:val="24"/>
          <w:szCs w:val="24"/>
        </w:rPr>
      </w:pPr>
      <w:r>
        <w:rPr>
          <w:rFonts w:ascii="Arial" w:hAnsi="Arial" w:cs="Arial"/>
          <w:sz w:val="24"/>
          <w:szCs w:val="24"/>
        </w:rPr>
        <w:t>L</w:t>
      </w:r>
      <w:r w:rsidR="00027B60" w:rsidRPr="00027B60">
        <w:rPr>
          <w:rFonts w:ascii="Arial" w:hAnsi="Arial" w:cs="Arial"/>
          <w:sz w:val="24"/>
          <w:szCs w:val="24"/>
        </w:rPr>
        <w:t>os bienes públicos como los contratos legales</w:t>
      </w:r>
      <w:r>
        <w:rPr>
          <w:rFonts w:ascii="Arial" w:hAnsi="Arial" w:cs="Arial"/>
          <w:sz w:val="24"/>
          <w:szCs w:val="24"/>
        </w:rPr>
        <w:t>.</w:t>
      </w:r>
    </w:p>
    <w:p w14:paraId="2345715C" w14:textId="23546A56" w:rsidR="00EA4DCB" w:rsidRDefault="00EA4DCB" w:rsidP="00EA4DCB">
      <w:pPr>
        <w:pStyle w:val="Prrafodelista"/>
        <w:numPr>
          <w:ilvl w:val="1"/>
          <w:numId w:val="15"/>
        </w:numPr>
        <w:jc w:val="both"/>
        <w:rPr>
          <w:rFonts w:ascii="Arial" w:hAnsi="Arial" w:cs="Arial"/>
          <w:sz w:val="24"/>
          <w:szCs w:val="24"/>
        </w:rPr>
      </w:pPr>
      <w:r>
        <w:rPr>
          <w:rFonts w:ascii="Arial" w:hAnsi="Arial" w:cs="Arial"/>
          <w:sz w:val="24"/>
          <w:szCs w:val="24"/>
        </w:rPr>
        <w:t>L</w:t>
      </w:r>
      <w:r w:rsidR="00027B60" w:rsidRPr="00027B60">
        <w:rPr>
          <w:rFonts w:ascii="Arial" w:hAnsi="Arial" w:cs="Arial"/>
          <w:sz w:val="24"/>
          <w:szCs w:val="24"/>
        </w:rPr>
        <w:t>a capacidad de anunciar</w:t>
      </w:r>
      <w:r>
        <w:rPr>
          <w:rFonts w:ascii="Arial" w:hAnsi="Arial" w:cs="Arial"/>
          <w:sz w:val="24"/>
          <w:szCs w:val="24"/>
        </w:rPr>
        <w:t xml:space="preserve"> o publicitar.</w:t>
      </w:r>
    </w:p>
    <w:p w14:paraId="7497F6A4" w14:textId="0464F158" w:rsidR="00027B60" w:rsidRDefault="00EA4DCB" w:rsidP="00EA4DCB">
      <w:pPr>
        <w:pStyle w:val="Prrafodelista"/>
        <w:numPr>
          <w:ilvl w:val="1"/>
          <w:numId w:val="15"/>
        </w:numPr>
        <w:jc w:val="both"/>
        <w:rPr>
          <w:rFonts w:ascii="Arial" w:hAnsi="Arial" w:cs="Arial"/>
          <w:sz w:val="24"/>
          <w:szCs w:val="24"/>
        </w:rPr>
      </w:pPr>
      <w:r>
        <w:rPr>
          <w:rFonts w:ascii="Arial" w:hAnsi="Arial" w:cs="Arial"/>
          <w:sz w:val="24"/>
          <w:szCs w:val="24"/>
        </w:rPr>
        <w:t>L</w:t>
      </w:r>
      <w:r w:rsidR="00027B60" w:rsidRPr="00027B60">
        <w:rPr>
          <w:rFonts w:ascii="Arial" w:hAnsi="Arial" w:cs="Arial"/>
          <w:sz w:val="24"/>
          <w:szCs w:val="24"/>
        </w:rPr>
        <w:t>a posibilidad de aumentar la base de clientes mediante la emisión de recibos de impuestos.</w:t>
      </w:r>
    </w:p>
    <w:p w14:paraId="69D5C736" w14:textId="716EDC19" w:rsidR="006E06EF" w:rsidRPr="006E06EF" w:rsidRDefault="00E87109" w:rsidP="006E06EF">
      <w:pPr>
        <w:pStyle w:val="Prrafodelista"/>
        <w:numPr>
          <w:ilvl w:val="0"/>
          <w:numId w:val="15"/>
        </w:numPr>
        <w:jc w:val="both"/>
        <w:rPr>
          <w:rFonts w:ascii="Arial" w:hAnsi="Arial" w:cs="Arial"/>
          <w:sz w:val="24"/>
          <w:szCs w:val="24"/>
        </w:rPr>
      </w:pPr>
      <w:r>
        <w:rPr>
          <w:rFonts w:ascii="Arial" w:hAnsi="Arial" w:cs="Arial"/>
          <w:sz w:val="24"/>
          <w:szCs w:val="24"/>
        </w:rPr>
        <w:t>Para el caso colombiano, d</w:t>
      </w:r>
      <w:r w:rsidR="006E06EF" w:rsidRPr="006E06EF">
        <w:rPr>
          <w:rFonts w:ascii="Arial" w:hAnsi="Arial" w:cs="Arial"/>
          <w:sz w:val="24"/>
          <w:szCs w:val="24"/>
        </w:rPr>
        <w:t>e acuerdo a Fedesarrollo</w:t>
      </w:r>
      <w:r w:rsidR="006E06EF">
        <w:rPr>
          <w:rFonts w:ascii="Arial" w:hAnsi="Arial" w:cs="Arial"/>
          <w:sz w:val="24"/>
          <w:szCs w:val="24"/>
        </w:rPr>
        <w:t xml:space="preserve">, </w:t>
      </w:r>
      <w:r w:rsidRPr="006E06EF">
        <w:rPr>
          <w:rFonts w:ascii="Arial" w:hAnsi="Arial" w:cs="Arial"/>
          <w:sz w:val="24"/>
          <w:szCs w:val="24"/>
        </w:rPr>
        <w:t>Fernández</w:t>
      </w:r>
      <w:r w:rsidR="006E06EF">
        <w:rPr>
          <w:rFonts w:ascii="Arial" w:hAnsi="Arial" w:cs="Arial"/>
          <w:sz w:val="24"/>
          <w:szCs w:val="24"/>
        </w:rPr>
        <w:t xml:space="preserve"> (</w:t>
      </w:r>
      <w:r w:rsidR="006E06EF" w:rsidRPr="006E06EF">
        <w:rPr>
          <w:rFonts w:ascii="Arial" w:hAnsi="Arial" w:cs="Arial"/>
          <w:sz w:val="24"/>
          <w:szCs w:val="24"/>
        </w:rPr>
        <w:t>2017)</w:t>
      </w:r>
      <w:r w:rsidR="006E06EF">
        <w:rPr>
          <w:rStyle w:val="Refdenotaalpie"/>
          <w:rFonts w:ascii="Arial" w:hAnsi="Arial" w:cs="Arial"/>
          <w:sz w:val="24"/>
          <w:szCs w:val="24"/>
        </w:rPr>
        <w:footnoteReference w:id="5"/>
      </w:r>
      <w:r w:rsidR="006E06EF" w:rsidRPr="006E06EF">
        <w:rPr>
          <w:rFonts w:ascii="Arial" w:hAnsi="Arial" w:cs="Arial"/>
          <w:sz w:val="24"/>
          <w:szCs w:val="24"/>
        </w:rPr>
        <w:t>: “</w:t>
      </w:r>
      <w:r w:rsidR="006E06EF" w:rsidRPr="00E87109">
        <w:rPr>
          <w:rFonts w:ascii="Arial" w:hAnsi="Arial" w:cs="Arial"/>
          <w:i/>
          <w:iCs/>
          <w:sz w:val="24"/>
          <w:szCs w:val="24"/>
        </w:rPr>
        <w:t>el sector informal en las principales 24 ciudades comprende: el 59% de las firmas, el 37% de los trabajadores y el 33% del producto. Esta alta informalidad es perjudicial para el país en términos de: satisfacción laboral e ingresos percibidos de los trabajadores; menor probabilidad de cumplimiento de la normativa tributaria, sanitaria, ambiental y de calidad; competencia desleal y corrupción, y bajos niveles de productividad.</w:t>
      </w:r>
      <w:r w:rsidR="006E06EF" w:rsidRPr="006E06EF">
        <w:rPr>
          <w:rFonts w:ascii="Arial" w:hAnsi="Arial" w:cs="Arial"/>
          <w:sz w:val="24"/>
          <w:szCs w:val="24"/>
        </w:rPr>
        <w:t>”</w:t>
      </w:r>
      <w:r>
        <w:rPr>
          <w:rFonts w:ascii="Arial" w:hAnsi="Arial" w:cs="Arial"/>
          <w:sz w:val="24"/>
          <w:szCs w:val="24"/>
        </w:rPr>
        <w:t>.</w:t>
      </w:r>
    </w:p>
    <w:p w14:paraId="3B04916A" w14:textId="7EF14E06" w:rsidR="00E33DF6" w:rsidRDefault="00E20D72" w:rsidP="00E33DF6">
      <w:pPr>
        <w:pStyle w:val="Prrafodelista"/>
        <w:numPr>
          <w:ilvl w:val="0"/>
          <w:numId w:val="16"/>
        </w:numPr>
        <w:jc w:val="both"/>
        <w:rPr>
          <w:rFonts w:ascii="Arial" w:hAnsi="Arial" w:cs="Arial"/>
          <w:sz w:val="24"/>
          <w:szCs w:val="24"/>
        </w:rPr>
      </w:pPr>
      <w:r w:rsidRPr="00E33DF6">
        <w:rPr>
          <w:rFonts w:ascii="Arial" w:hAnsi="Arial" w:cs="Arial"/>
          <w:sz w:val="24"/>
          <w:szCs w:val="24"/>
        </w:rPr>
        <w:t xml:space="preserve">Mejorar la productividad en Colombia es un imperativo. Conforme a información del </w:t>
      </w:r>
      <w:r w:rsidR="00E33DF6" w:rsidRPr="00E33DF6">
        <w:rPr>
          <w:rFonts w:ascii="Arial" w:hAnsi="Arial" w:cs="Arial"/>
          <w:sz w:val="24"/>
          <w:szCs w:val="24"/>
        </w:rPr>
        <w:t xml:space="preserve">consignada en </w:t>
      </w:r>
      <w:r w:rsidRPr="00E33DF6">
        <w:rPr>
          <w:rFonts w:ascii="Arial" w:hAnsi="Arial" w:cs="Arial"/>
          <w:sz w:val="24"/>
          <w:szCs w:val="24"/>
        </w:rPr>
        <w:t>The Conference Board</w:t>
      </w:r>
      <w:r w:rsidR="00E33DF6">
        <w:rPr>
          <w:rStyle w:val="Refdenotaalpie"/>
          <w:rFonts w:ascii="Arial" w:hAnsi="Arial" w:cs="Arial"/>
          <w:sz w:val="24"/>
          <w:szCs w:val="24"/>
        </w:rPr>
        <w:footnoteReference w:id="6"/>
      </w:r>
      <w:r w:rsidR="00E33DF6">
        <w:rPr>
          <w:rFonts w:ascii="Arial" w:hAnsi="Arial" w:cs="Arial"/>
          <w:sz w:val="24"/>
          <w:szCs w:val="24"/>
        </w:rPr>
        <w:t>, d</w:t>
      </w:r>
      <w:r w:rsidR="00E33DF6" w:rsidRPr="00E33DF6">
        <w:rPr>
          <w:rFonts w:ascii="Arial" w:hAnsi="Arial" w:cs="Arial"/>
          <w:sz w:val="24"/>
          <w:szCs w:val="24"/>
        </w:rPr>
        <w:t>el 2010 al 2018 el promedio de crecimiento de la Productividad Total de los Factores</w:t>
      </w:r>
      <w:r w:rsidR="00E33DF6">
        <w:rPr>
          <w:rFonts w:ascii="Arial" w:hAnsi="Arial" w:cs="Arial"/>
          <w:sz w:val="24"/>
          <w:szCs w:val="24"/>
        </w:rPr>
        <w:t xml:space="preserve"> </w:t>
      </w:r>
      <w:r w:rsidR="00E33DF6" w:rsidRPr="00E33DF6">
        <w:rPr>
          <w:rFonts w:ascii="Arial" w:hAnsi="Arial" w:cs="Arial"/>
          <w:sz w:val="24"/>
          <w:szCs w:val="24"/>
        </w:rPr>
        <w:t>(PTF) a nivel mundial fue de 0.05%, a nivel Latinoamérica fue de -0.8% y en Colombia fue de -1.2% (A modo de comparación en Chile fue de -1.6%, Brasil -0.93%, Argentina -0,3%, Perú 0,29% y México 0,36%.)</w:t>
      </w:r>
      <w:r w:rsidR="00492A69">
        <w:rPr>
          <w:rFonts w:ascii="Arial" w:hAnsi="Arial" w:cs="Arial"/>
          <w:sz w:val="24"/>
          <w:szCs w:val="24"/>
        </w:rPr>
        <w:t>.</w:t>
      </w:r>
    </w:p>
    <w:p w14:paraId="5A19C21E" w14:textId="77777777" w:rsidR="00455C77" w:rsidRDefault="00455C77" w:rsidP="00455C77">
      <w:pPr>
        <w:jc w:val="both"/>
        <w:rPr>
          <w:rFonts w:ascii="Arial" w:hAnsi="Arial" w:cs="Arial"/>
          <w:sz w:val="24"/>
          <w:szCs w:val="24"/>
        </w:rPr>
      </w:pPr>
    </w:p>
    <w:p w14:paraId="5FE434FC" w14:textId="77777777" w:rsidR="00455C77" w:rsidRDefault="00455C77" w:rsidP="00455C77">
      <w:pPr>
        <w:jc w:val="both"/>
        <w:rPr>
          <w:rFonts w:ascii="Arial" w:hAnsi="Arial" w:cs="Arial"/>
          <w:sz w:val="24"/>
          <w:szCs w:val="24"/>
        </w:rPr>
      </w:pPr>
    </w:p>
    <w:p w14:paraId="50D19744" w14:textId="77777777" w:rsidR="00455C77" w:rsidRDefault="00455C77" w:rsidP="00455C77">
      <w:pPr>
        <w:jc w:val="both"/>
        <w:rPr>
          <w:rFonts w:ascii="Arial" w:hAnsi="Arial" w:cs="Arial"/>
          <w:sz w:val="24"/>
          <w:szCs w:val="24"/>
        </w:rPr>
      </w:pPr>
    </w:p>
    <w:p w14:paraId="29748222" w14:textId="6235B9B7" w:rsidR="00E33DF6" w:rsidRPr="00E33DF6" w:rsidRDefault="00E33DF6" w:rsidP="00E33DF6">
      <w:pPr>
        <w:jc w:val="center"/>
        <w:rPr>
          <w:rFonts w:ascii="Arial" w:hAnsi="Arial" w:cs="Arial"/>
          <w:sz w:val="24"/>
          <w:szCs w:val="24"/>
        </w:rPr>
      </w:pPr>
      <w:r w:rsidRPr="00E33DF6">
        <w:rPr>
          <w:noProof/>
          <w:lang w:eastAsia="es-CO"/>
        </w:rPr>
        <w:lastRenderedPageBreak/>
        <w:drawing>
          <wp:anchor distT="0" distB="0" distL="114300" distR="114300" simplePos="0" relativeHeight="251659264" behindDoc="0" locked="0" layoutInCell="1" allowOverlap="1" wp14:anchorId="0CDCE6E9" wp14:editId="31B4F6A6">
            <wp:simplePos x="0" y="0"/>
            <wp:positionH relativeFrom="column">
              <wp:posOffset>15240</wp:posOffset>
            </wp:positionH>
            <wp:positionV relativeFrom="paragraph">
              <wp:posOffset>168910</wp:posOffset>
            </wp:positionV>
            <wp:extent cx="2705100" cy="1258671"/>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12586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3DF6">
        <w:rPr>
          <w:noProof/>
          <w:lang w:eastAsia="es-CO"/>
        </w:rPr>
        <w:drawing>
          <wp:anchor distT="0" distB="0" distL="114300" distR="114300" simplePos="0" relativeHeight="251658240" behindDoc="0" locked="0" layoutInCell="1" allowOverlap="1" wp14:anchorId="7F654917" wp14:editId="0A49CDBA">
            <wp:simplePos x="0" y="0"/>
            <wp:positionH relativeFrom="column">
              <wp:posOffset>2977515</wp:posOffset>
            </wp:positionH>
            <wp:positionV relativeFrom="paragraph">
              <wp:posOffset>140335</wp:posOffset>
            </wp:positionV>
            <wp:extent cx="2967421" cy="2133600"/>
            <wp:effectExtent l="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7421" cy="2133600"/>
                    </a:xfrm>
                    <a:prstGeom prst="rect">
                      <a:avLst/>
                    </a:prstGeom>
                    <a:noFill/>
                    <a:ln>
                      <a:noFill/>
                    </a:ln>
                  </pic:spPr>
                </pic:pic>
              </a:graphicData>
            </a:graphic>
          </wp:anchor>
        </w:drawing>
      </w:r>
    </w:p>
    <w:p w14:paraId="756EED37" w14:textId="37877239" w:rsidR="006E06EF" w:rsidRPr="00027B60" w:rsidRDefault="006E06EF" w:rsidP="006E06EF">
      <w:pPr>
        <w:pStyle w:val="Prrafodelista"/>
        <w:numPr>
          <w:ilvl w:val="0"/>
          <w:numId w:val="16"/>
        </w:numPr>
        <w:jc w:val="both"/>
        <w:rPr>
          <w:rFonts w:ascii="Arial" w:hAnsi="Arial" w:cs="Arial"/>
          <w:sz w:val="24"/>
          <w:szCs w:val="24"/>
        </w:rPr>
      </w:pPr>
    </w:p>
    <w:p w14:paraId="752E71DE" w14:textId="014EF8B4" w:rsidR="00027B60" w:rsidRDefault="00E33DF6" w:rsidP="00027B60">
      <w:pPr>
        <w:pStyle w:val="Prrafodelista"/>
        <w:numPr>
          <w:ilvl w:val="0"/>
          <w:numId w:val="15"/>
        </w:numPr>
        <w:jc w:val="both"/>
        <w:rPr>
          <w:rFonts w:ascii="Arial" w:hAnsi="Arial" w:cs="Arial"/>
          <w:sz w:val="24"/>
          <w:szCs w:val="24"/>
        </w:rPr>
      </w:pPr>
      <w:r w:rsidRPr="00E33DF6">
        <w:rPr>
          <w:rFonts w:ascii="Arial" w:hAnsi="Arial" w:cs="Arial"/>
          <w:noProof/>
          <w:sz w:val="24"/>
          <w:szCs w:val="24"/>
          <w:lang w:eastAsia="es-CO"/>
        </w:rPr>
        <mc:AlternateContent>
          <mc:Choice Requires="wps">
            <w:drawing>
              <wp:anchor distT="45720" distB="45720" distL="114300" distR="114300" simplePos="0" relativeHeight="251661312" behindDoc="0" locked="0" layoutInCell="1" allowOverlap="1" wp14:anchorId="0731339F" wp14:editId="640B0164">
                <wp:simplePos x="0" y="0"/>
                <wp:positionH relativeFrom="margin">
                  <wp:align>left</wp:align>
                </wp:positionH>
                <wp:positionV relativeFrom="paragraph">
                  <wp:posOffset>1125855</wp:posOffset>
                </wp:positionV>
                <wp:extent cx="2360930" cy="1404620"/>
                <wp:effectExtent l="0" t="0" r="3175" b="63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6ED1D32" w14:textId="1EE86A6E" w:rsidR="00E33DF6" w:rsidRPr="00E33DF6" w:rsidRDefault="00E33DF6">
                            <w:pPr>
                              <w:rPr>
                                <w:lang w:val="en-US"/>
                              </w:rPr>
                            </w:pPr>
                            <w:r w:rsidRPr="00E33DF6">
                              <w:rPr>
                                <w:sz w:val="16"/>
                                <w:szCs w:val="16"/>
                                <w:lang w:val="en-US"/>
                              </w:rPr>
                              <w:t>Fuente: The Conference Board Total Economy Database™ (Original version), April 2019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731339F" id="_x0000_t202" coordsize="21600,21600" o:spt="202" path="m,l,21600r21600,l21600,xe">
                <v:stroke joinstyle="miter"/>
                <v:path gradientshapeok="t" o:connecttype="rect"/>
              </v:shapetype>
              <v:shape id="Cuadro de texto 2" o:spid="_x0000_s1026" type="#_x0000_t202" style="position:absolute;left:0;text-align:left;margin-left:0;margin-top:88.65pt;width:185.9pt;height:110.6pt;z-index:25166131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GPJgIAACUEAAAOAAAAZHJzL2Uyb0RvYy54bWysU9tuGyEQfa/Uf0C813uJ7cQrr6PUqatK&#10;6UVK+wEssF5UlqGAvZt+fQfWcaz0rSoPCJjhcObMYX079pocpfMKTE2LWU6JNByEMvua/vi+e3dD&#10;iQ/MCKbByJo+SU9vN2/frAdbyRI60EI6giDGV4OtaReCrbLM8072zM/ASoPBFlzPAm7dPhOODYje&#10;66zM82U2gBPWAZfe4+n9FKSbhN+2koevbetlILqmyC2k2aW5iXO2WbNq75jtFD/RYP/AomfK4KNn&#10;qHsWGDk49RdUr7gDD22YcegzaFvFZaoBqynyV9U8dszKVAuK4+1ZJv//YPmX4zdHlKhpWVxTYliP&#10;TdoemHBAhCRBjgFIGWUarK8w+9Fifhjfw4jtTiV7+wD8pycGth0ze3nnHAydZAJpFvFmdnF1wvER&#10;pBk+g8DX2CFAAhpb10cNURWC6Niup3OLkAfheFheLfPVFYY4xop5Pl+WqYkZq56vW+fDRwk9iYua&#10;OvRAgmfHBx8iHVY9p8TXPGgldkrrtHH7ZqsdOTL0yy6NVMGrNG3IUNPVolwkZAPxfrJSrwL6Wau+&#10;pjd5HJPDohwfjEgpgSk9rZGJNid9oiSTOGFsRkyMojUgnlApB5Nv8Z/hogP3m5IBPVtT/+vAnKRE&#10;fzKo9qqYz6PJ02a+uEZpiLuMNJcRZjhC1TRQMi23IX2MpIO9w67sVNLrhcmJK3oxyXj6N9Hsl/uU&#10;9fK7N38AAAD//wMAUEsDBBQABgAIAAAAIQAzUtUL3wAAAAgBAAAPAAAAZHJzL2Rvd25yZXYueG1s&#10;TI/NTsNADITvSLzDykhcEN0kFaSEbKryd+mtJUgc3cRNAtndKOu2gafHnOBme0bjb/LlZHt1pDF0&#10;3hmIZxEocpWvO9cYKF9frhegAqOrsfeODHxRgGVxfpZjVvuT29Bxy42SEBcyNNAyD5nWoWrJYpj5&#10;gZxoez9aZFnHRtcjniTc9jqJolttsXPyocWBHluqPrcHa+D7oXxaPV9xvE/4PXnb2HVZfaAxlxfT&#10;6h4U08R/ZvjFF3QohGnnD64OqjcgRViuaToHJfI8jaXJToa7xQ3oItf/CxQ/AAAA//8DAFBLAQIt&#10;ABQABgAIAAAAIQC2gziS/gAAAOEBAAATAAAAAAAAAAAAAAAAAAAAAABbQ29udGVudF9UeXBlc10u&#10;eG1sUEsBAi0AFAAGAAgAAAAhADj9If/WAAAAlAEAAAsAAAAAAAAAAAAAAAAALwEAAF9yZWxzLy5y&#10;ZWxzUEsBAi0AFAAGAAgAAAAhADBbwY8mAgAAJQQAAA4AAAAAAAAAAAAAAAAALgIAAGRycy9lMm9E&#10;b2MueG1sUEsBAi0AFAAGAAgAAAAhADNS1QvfAAAACAEAAA8AAAAAAAAAAAAAAAAAgAQAAGRycy9k&#10;b3ducmV2LnhtbFBLBQYAAAAABAAEAPMAAACMBQAAAAA=&#10;" stroked="f">
                <v:textbox style="mso-fit-shape-to-text:t">
                  <w:txbxContent>
                    <w:p w14:paraId="66ED1D32" w14:textId="1EE86A6E" w:rsidR="00E33DF6" w:rsidRPr="00E33DF6" w:rsidRDefault="00E33DF6">
                      <w:pPr>
                        <w:rPr>
                          <w:lang w:val="en-US"/>
                        </w:rPr>
                      </w:pPr>
                      <w:r w:rsidRPr="00E33DF6">
                        <w:rPr>
                          <w:sz w:val="16"/>
                          <w:szCs w:val="16"/>
                          <w:lang w:val="en-US"/>
                        </w:rPr>
                        <w:t>Fuente: The Conference Board Total Economy Database™ (Original version), April 2019</w:t>
                      </w:r>
                    </w:p>
                  </w:txbxContent>
                </v:textbox>
                <w10:wrap anchorx="margin"/>
              </v:shape>
            </w:pict>
          </mc:Fallback>
        </mc:AlternateContent>
      </w:r>
    </w:p>
    <w:p w14:paraId="4DA7B3A2" w14:textId="54D52457" w:rsidR="00864674" w:rsidRPr="00864674" w:rsidRDefault="00864674" w:rsidP="00864674"/>
    <w:p w14:paraId="0FE01113" w14:textId="21FBB5DC" w:rsidR="00864674" w:rsidRPr="00864674" w:rsidRDefault="00864674" w:rsidP="00864674"/>
    <w:p w14:paraId="507C75FD" w14:textId="51C7462C" w:rsidR="00864674" w:rsidRPr="00864674" w:rsidRDefault="00864674" w:rsidP="00864674"/>
    <w:p w14:paraId="64DBE8F6" w14:textId="6385238B" w:rsidR="00864674" w:rsidRPr="00864674" w:rsidRDefault="00864674" w:rsidP="00864674"/>
    <w:p w14:paraId="05B18735" w14:textId="069CAB76" w:rsidR="00864674" w:rsidRPr="00864674" w:rsidRDefault="00864674" w:rsidP="00864674"/>
    <w:p w14:paraId="3F28AC93" w14:textId="77777777" w:rsidR="00492A69" w:rsidRDefault="00492A69" w:rsidP="00864674">
      <w:pPr>
        <w:jc w:val="both"/>
        <w:rPr>
          <w:rFonts w:ascii="Arial" w:hAnsi="Arial" w:cs="Arial"/>
          <w:sz w:val="24"/>
          <w:szCs w:val="24"/>
        </w:rPr>
      </w:pPr>
    </w:p>
    <w:p w14:paraId="3FA9E6B2" w14:textId="16715527" w:rsidR="00864674" w:rsidRDefault="00864674" w:rsidP="00864674">
      <w:pPr>
        <w:jc w:val="both"/>
        <w:rPr>
          <w:rFonts w:ascii="Arial" w:hAnsi="Arial" w:cs="Arial"/>
          <w:sz w:val="24"/>
          <w:szCs w:val="24"/>
        </w:rPr>
      </w:pPr>
      <w:r w:rsidRPr="00864674">
        <w:rPr>
          <w:rFonts w:ascii="Arial" w:hAnsi="Arial" w:cs="Arial"/>
          <w:sz w:val="24"/>
          <w:szCs w:val="24"/>
        </w:rPr>
        <w:t xml:space="preserve">Cabe destacar, </w:t>
      </w:r>
      <w:r>
        <w:rPr>
          <w:rFonts w:ascii="Arial" w:hAnsi="Arial" w:cs="Arial"/>
          <w:sz w:val="24"/>
          <w:szCs w:val="24"/>
        </w:rPr>
        <w:t>que la variación porcentual de la PTF de Colombia del periodo 2010-2018 es menor a la de las 2 décadas anteriores (-1.2% Vs -1.13% y 0.17% respectivamente)</w:t>
      </w:r>
      <w:r w:rsidR="00B647E3">
        <w:rPr>
          <w:rFonts w:ascii="Arial" w:hAnsi="Arial" w:cs="Arial"/>
          <w:sz w:val="24"/>
          <w:szCs w:val="24"/>
        </w:rPr>
        <w:t>.</w:t>
      </w:r>
    </w:p>
    <w:p w14:paraId="7EECBF22" w14:textId="5D5BF6C9" w:rsidR="00492A69" w:rsidRDefault="00492A69" w:rsidP="00864674">
      <w:pPr>
        <w:jc w:val="both"/>
        <w:rPr>
          <w:rFonts w:ascii="Arial" w:hAnsi="Arial" w:cs="Arial"/>
          <w:sz w:val="24"/>
          <w:szCs w:val="24"/>
        </w:rPr>
      </w:pPr>
      <w:r>
        <w:rPr>
          <w:rFonts w:ascii="Arial" w:hAnsi="Arial" w:cs="Arial"/>
          <w:sz w:val="24"/>
          <w:szCs w:val="24"/>
        </w:rPr>
        <w:t xml:space="preserve">De lo anterior se puede concluir que </w:t>
      </w:r>
      <w:r w:rsidRPr="00492A69">
        <w:rPr>
          <w:rFonts w:ascii="Arial" w:hAnsi="Arial" w:cs="Arial"/>
          <w:sz w:val="24"/>
          <w:szCs w:val="24"/>
        </w:rPr>
        <w:t>la presente iniciativa al promover el emprendimiento y las Mipymes,</w:t>
      </w:r>
      <w:r>
        <w:rPr>
          <w:rFonts w:ascii="Arial" w:hAnsi="Arial" w:cs="Arial"/>
          <w:sz w:val="24"/>
          <w:szCs w:val="24"/>
        </w:rPr>
        <w:t xml:space="preserve"> está incentivando la formalidad y de esta forma la productividad, que como se describió anteriormente, presenta en términos comparativos, bajas tasas de crecimiento, e inclusive para el periodo 2010-2018, es inferior con respecto a las tasas promedio de crecimiento de las dos décadas anteriores.</w:t>
      </w:r>
    </w:p>
    <w:p w14:paraId="759C4BF8" w14:textId="77777777" w:rsidR="007F68B2" w:rsidRDefault="007F68B2" w:rsidP="00B647E3">
      <w:pPr>
        <w:jc w:val="both"/>
        <w:rPr>
          <w:rFonts w:ascii="Arial" w:hAnsi="Arial" w:cs="Arial"/>
          <w:sz w:val="24"/>
          <w:szCs w:val="24"/>
          <w:u w:val="single"/>
        </w:rPr>
      </w:pPr>
    </w:p>
    <w:p w14:paraId="7E12AB0B" w14:textId="36AD192B" w:rsidR="00B647E3" w:rsidRPr="007B2BD6" w:rsidRDefault="00B647E3" w:rsidP="00B647E3">
      <w:pPr>
        <w:jc w:val="both"/>
        <w:rPr>
          <w:rFonts w:ascii="Arial" w:hAnsi="Arial" w:cs="Arial"/>
          <w:sz w:val="24"/>
          <w:szCs w:val="24"/>
          <w:u w:val="single"/>
        </w:rPr>
      </w:pPr>
      <w:r w:rsidRPr="007B2BD6">
        <w:rPr>
          <w:rFonts w:ascii="Arial" w:hAnsi="Arial" w:cs="Arial"/>
          <w:sz w:val="24"/>
          <w:szCs w:val="24"/>
          <w:u w:val="single"/>
        </w:rPr>
        <w:t>1.</w:t>
      </w:r>
      <w:r w:rsidR="007F68B2">
        <w:rPr>
          <w:rFonts w:ascii="Arial" w:hAnsi="Arial" w:cs="Arial"/>
          <w:sz w:val="24"/>
          <w:szCs w:val="24"/>
          <w:u w:val="single"/>
        </w:rPr>
        <w:t>1.</w:t>
      </w:r>
      <w:r w:rsidRPr="007B2BD6">
        <w:rPr>
          <w:rFonts w:ascii="Arial" w:hAnsi="Arial" w:cs="Arial"/>
          <w:sz w:val="24"/>
          <w:szCs w:val="24"/>
          <w:u w:val="single"/>
        </w:rPr>
        <w:t>2. Conformación del tejido empresarial del país.</w:t>
      </w:r>
    </w:p>
    <w:p w14:paraId="0EC6ACB5" w14:textId="0092B9E2" w:rsidR="00164D01" w:rsidRDefault="0068271F" w:rsidP="0068271F">
      <w:pPr>
        <w:pStyle w:val="Prrafodelista"/>
        <w:numPr>
          <w:ilvl w:val="0"/>
          <w:numId w:val="17"/>
        </w:numPr>
        <w:jc w:val="both"/>
        <w:rPr>
          <w:rFonts w:ascii="Arial" w:hAnsi="Arial" w:cs="Arial"/>
          <w:sz w:val="24"/>
          <w:szCs w:val="24"/>
        </w:rPr>
      </w:pPr>
      <w:r>
        <w:rPr>
          <w:rFonts w:ascii="Arial" w:hAnsi="Arial" w:cs="Arial"/>
          <w:sz w:val="24"/>
          <w:szCs w:val="24"/>
        </w:rPr>
        <w:t xml:space="preserve">El fortalecimiento del </w:t>
      </w:r>
      <w:r w:rsidRPr="00255F8E">
        <w:rPr>
          <w:rFonts w:ascii="Arial" w:hAnsi="Arial" w:cs="Arial"/>
          <w:sz w:val="24"/>
          <w:szCs w:val="24"/>
        </w:rPr>
        <w:t>emprendimiento y escalamiento de la micro, peque</w:t>
      </w:r>
      <w:r>
        <w:rPr>
          <w:rFonts w:ascii="Arial" w:hAnsi="Arial" w:cs="Arial"/>
          <w:sz w:val="24"/>
          <w:szCs w:val="24"/>
        </w:rPr>
        <w:t xml:space="preserve">ña y mediana empresa es relevante por cuanto el mayor número de empresas existentes en Colombia, corresponde a estos tamaños.  </w:t>
      </w:r>
      <w:r w:rsidR="00B26996" w:rsidRPr="0068271F">
        <w:rPr>
          <w:rFonts w:ascii="Arial" w:hAnsi="Arial" w:cs="Arial"/>
          <w:sz w:val="24"/>
          <w:szCs w:val="24"/>
        </w:rPr>
        <w:t>Con base en información reportada por Confec</w:t>
      </w:r>
      <w:r w:rsidR="00F11064">
        <w:rPr>
          <w:rFonts w:ascii="Arial" w:hAnsi="Arial" w:cs="Arial"/>
          <w:sz w:val="24"/>
          <w:szCs w:val="24"/>
        </w:rPr>
        <w:t>á</w:t>
      </w:r>
      <w:r w:rsidR="00B26996" w:rsidRPr="0068271F">
        <w:rPr>
          <w:rFonts w:ascii="Arial" w:hAnsi="Arial" w:cs="Arial"/>
          <w:sz w:val="24"/>
          <w:szCs w:val="24"/>
        </w:rPr>
        <w:t>maras, a dic-18 el n</w:t>
      </w:r>
      <w:r w:rsidR="00FB6A4F">
        <w:rPr>
          <w:rFonts w:ascii="Arial" w:hAnsi="Arial" w:cs="Arial"/>
          <w:sz w:val="24"/>
          <w:szCs w:val="24"/>
        </w:rPr>
        <w:t>ú</w:t>
      </w:r>
      <w:r w:rsidR="00B26996" w:rsidRPr="0068271F">
        <w:rPr>
          <w:rFonts w:ascii="Arial" w:hAnsi="Arial" w:cs="Arial"/>
          <w:sz w:val="24"/>
          <w:szCs w:val="24"/>
        </w:rPr>
        <w:t xml:space="preserve">mero total de empresas formales en </w:t>
      </w:r>
      <w:r w:rsidR="00261566" w:rsidRPr="0068271F">
        <w:rPr>
          <w:rFonts w:ascii="Arial" w:hAnsi="Arial" w:cs="Arial"/>
          <w:sz w:val="24"/>
          <w:szCs w:val="24"/>
        </w:rPr>
        <w:t>Colombia</w:t>
      </w:r>
      <w:r w:rsidR="00B26996" w:rsidRPr="0068271F">
        <w:rPr>
          <w:rFonts w:ascii="Arial" w:hAnsi="Arial" w:cs="Arial"/>
          <w:sz w:val="24"/>
          <w:szCs w:val="24"/>
        </w:rPr>
        <w:t xml:space="preserve"> ascendió a 1.580.097, de las cuales el 99.5%, fueron Mipymes, con una distribución del </w:t>
      </w:r>
      <w:r w:rsidRPr="0068271F">
        <w:rPr>
          <w:rFonts w:ascii="Arial" w:hAnsi="Arial" w:cs="Arial"/>
          <w:sz w:val="24"/>
          <w:szCs w:val="24"/>
        </w:rPr>
        <w:t>92.3% para microempresas (1.458.329), 5.7% pequeñas empresas (90.388) y 1.5% medianas empresas (24.007)</w:t>
      </w:r>
      <w:r>
        <w:rPr>
          <w:rFonts w:ascii="Arial" w:hAnsi="Arial" w:cs="Arial"/>
          <w:sz w:val="24"/>
          <w:szCs w:val="24"/>
        </w:rPr>
        <w:t>.</w:t>
      </w:r>
    </w:p>
    <w:p w14:paraId="1C395617" w14:textId="77777777" w:rsidR="007F68B2" w:rsidRDefault="007F68B2" w:rsidP="007F68B2">
      <w:pPr>
        <w:pStyle w:val="Prrafodelista"/>
        <w:ind w:left="360"/>
        <w:jc w:val="both"/>
        <w:rPr>
          <w:rFonts w:ascii="Arial" w:hAnsi="Arial" w:cs="Arial"/>
          <w:sz w:val="24"/>
          <w:szCs w:val="24"/>
        </w:rPr>
      </w:pPr>
    </w:p>
    <w:p w14:paraId="5EA8670D" w14:textId="77777777" w:rsidR="007F68B2" w:rsidRDefault="007F68B2" w:rsidP="007F68B2">
      <w:pPr>
        <w:pStyle w:val="Prrafodelista"/>
        <w:ind w:left="360"/>
        <w:jc w:val="both"/>
        <w:rPr>
          <w:rFonts w:ascii="Arial" w:hAnsi="Arial" w:cs="Arial"/>
          <w:sz w:val="24"/>
          <w:szCs w:val="24"/>
        </w:rPr>
      </w:pPr>
    </w:p>
    <w:p w14:paraId="22FE95BE" w14:textId="77777777" w:rsidR="00455C77" w:rsidRDefault="00455C77" w:rsidP="007F68B2">
      <w:pPr>
        <w:pStyle w:val="Prrafodelista"/>
        <w:ind w:left="360"/>
        <w:jc w:val="both"/>
        <w:rPr>
          <w:rFonts w:ascii="Arial" w:hAnsi="Arial" w:cs="Arial"/>
          <w:sz w:val="24"/>
          <w:szCs w:val="24"/>
        </w:rPr>
      </w:pPr>
    </w:p>
    <w:p w14:paraId="6F2DEDC8" w14:textId="36453E2A" w:rsidR="00FB6A4F" w:rsidRPr="00FB6A4F" w:rsidRDefault="00FB6A4F" w:rsidP="00FB6A4F">
      <w:pPr>
        <w:spacing w:after="0" w:line="240" w:lineRule="auto"/>
        <w:jc w:val="center"/>
        <w:rPr>
          <w:rFonts w:ascii="Arial" w:hAnsi="Arial" w:cs="Arial"/>
          <w:b/>
          <w:bCs/>
          <w:sz w:val="24"/>
          <w:szCs w:val="24"/>
        </w:rPr>
      </w:pPr>
      <w:r w:rsidRPr="00FB6A4F">
        <w:rPr>
          <w:rFonts w:ascii="Arial" w:hAnsi="Arial" w:cs="Arial"/>
          <w:b/>
          <w:bCs/>
          <w:sz w:val="24"/>
          <w:szCs w:val="24"/>
        </w:rPr>
        <w:lastRenderedPageBreak/>
        <w:t>N</w:t>
      </w:r>
      <w:r>
        <w:rPr>
          <w:rFonts w:ascii="Arial" w:hAnsi="Arial" w:cs="Arial"/>
          <w:b/>
          <w:bCs/>
          <w:sz w:val="24"/>
          <w:szCs w:val="24"/>
        </w:rPr>
        <w:t>Ú</w:t>
      </w:r>
      <w:r w:rsidRPr="00FB6A4F">
        <w:rPr>
          <w:rFonts w:ascii="Arial" w:hAnsi="Arial" w:cs="Arial"/>
          <w:b/>
          <w:bCs/>
          <w:sz w:val="24"/>
          <w:szCs w:val="24"/>
        </w:rPr>
        <w:t xml:space="preserve">MERO TOTAL DE EMPRESAS FORMALES </w:t>
      </w:r>
    </w:p>
    <w:p w14:paraId="363B9133" w14:textId="223D21AB" w:rsidR="0068271F" w:rsidRDefault="00FB6A4F" w:rsidP="00FB6A4F">
      <w:pPr>
        <w:spacing w:after="0" w:line="240" w:lineRule="auto"/>
        <w:jc w:val="center"/>
        <w:rPr>
          <w:rFonts w:ascii="Arial" w:hAnsi="Arial" w:cs="Arial"/>
          <w:b/>
          <w:bCs/>
          <w:sz w:val="24"/>
          <w:szCs w:val="24"/>
        </w:rPr>
      </w:pPr>
      <w:r w:rsidRPr="00FB6A4F">
        <w:rPr>
          <w:rFonts w:ascii="Arial" w:hAnsi="Arial" w:cs="Arial"/>
          <w:b/>
          <w:bCs/>
          <w:sz w:val="24"/>
          <w:szCs w:val="24"/>
        </w:rPr>
        <w:t>POR TAMAÑO DIC-18</w:t>
      </w:r>
    </w:p>
    <w:p w14:paraId="1E4168E0" w14:textId="77777777" w:rsidR="00FB6A4F" w:rsidRPr="00FB6A4F" w:rsidRDefault="00FB6A4F" w:rsidP="00FB6A4F">
      <w:pPr>
        <w:spacing w:after="0" w:line="240" w:lineRule="auto"/>
        <w:jc w:val="center"/>
        <w:rPr>
          <w:rFonts w:ascii="Arial" w:hAnsi="Arial" w:cs="Arial"/>
          <w:b/>
          <w:bCs/>
          <w:sz w:val="24"/>
          <w:szCs w:val="24"/>
        </w:rPr>
      </w:pPr>
    </w:p>
    <w:p w14:paraId="7FACBB83" w14:textId="18AEF74A" w:rsidR="00164D01" w:rsidRDefault="0068271F" w:rsidP="0068271F">
      <w:pPr>
        <w:jc w:val="center"/>
        <w:rPr>
          <w:rFonts w:ascii="Arial" w:hAnsi="Arial" w:cs="Arial"/>
          <w:b/>
          <w:bCs/>
          <w:sz w:val="24"/>
          <w:szCs w:val="24"/>
        </w:rPr>
      </w:pPr>
      <w:r>
        <w:rPr>
          <w:rFonts w:ascii="Arial" w:hAnsi="Arial" w:cs="Arial"/>
          <w:b/>
          <w:bCs/>
          <w:noProof/>
          <w:sz w:val="24"/>
          <w:szCs w:val="24"/>
          <w:lang w:eastAsia="es-CO"/>
        </w:rPr>
        <w:drawing>
          <wp:inline distT="0" distB="0" distL="0" distR="0" wp14:anchorId="2EEC017A" wp14:editId="47BA47C8">
            <wp:extent cx="2790825" cy="223519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5451" cy="2238897"/>
                    </a:xfrm>
                    <a:prstGeom prst="rect">
                      <a:avLst/>
                    </a:prstGeom>
                    <a:noFill/>
                  </pic:spPr>
                </pic:pic>
              </a:graphicData>
            </a:graphic>
          </wp:inline>
        </w:drawing>
      </w:r>
    </w:p>
    <w:p w14:paraId="172692AB" w14:textId="503F370C" w:rsidR="00164D01" w:rsidRDefault="00C62439" w:rsidP="00B647E3">
      <w:pPr>
        <w:jc w:val="both"/>
        <w:rPr>
          <w:rFonts w:ascii="Arial" w:hAnsi="Arial" w:cs="Arial"/>
          <w:sz w:val="16"/>
          <w:szCs w:val="16"/>
        </w:rPr>
      </w:pPr>
      <w:r>
        <w:rPr>
          <w:rFonts w:ascii="Arial" w:hAnsi="Arial" w:cs="Arial"/>
          <w:sz w:val="16"/>
          <w:szCs w:val="16"/>
        </w:rPr>
        <w:t xml:space="preserve">                                       </w:t>
      </w:r>
      <w:r w:rsidRPr="00C62439">
        <w:rPr>
          <w:rFonts w:ascii="Arial" w:hAnsi="Arial" w:cs="Arial"/>
          <w:sz w:val="16"/>
          <w:szCs w:val="16"/>
        </w:rPr>
        <w:t>FUENTE: Confec</w:t>
      </w:r>
      <w:r w:rsidR="00F11064">
        <w:rPr>
          <w:rFonts w:ascii="Arial" w:hAnsi="Arial" w:cs="Arial"/>
          <w:sz w:val="16"/>
          <w:szCs w:val="16"/>
        </w:rPr>
        <w:t>á</w:t>
      </w:r>
      <w:r w:rsidRPr="00C62439">
        <w:rPr>
          <w:rFonts w:ascii="Arial" w:hAnsi="Arial" w:cs="Arial"/>
          <w:sz w:val="16"/>
          <w:szCs w:val="16"/>
        </w:rPr>
        <w:t>maras.</w:t>
      </w:r>
    </w:p>
    <w:p w14:paraId="309B561B" w14:textId="50E1BE96" w:rsidR="00261566" w:rsidRDefault="00261566" w:rsidP="00261566">
      <w:pPr>
        <w:spacing w:after="0" w:line="240" w:lineRule="auto"/>
        <w:jc w:val="both"/>
        <w:rPr>
          <w:rFonts w:ascii="Arial" w:hAnsi="Arial" w:cs="Arial"/>
          <w:sz w:val="24"/>
          <w:szCs w:val="24"/>
        </w:rPr>
      </w:pPr>
      <w:r w:rsidRPr="00261566">
        <w:rPr>
          <w:rFonts w:ascii="Arial" w:hAnsi="Arial" w:cs="Arial"/>
          <w:sz w:val="24"/>
          <w:szCs w:val="24"/>
        </w:rPr>
        <w:t xml:space="preserve">Si se analiza por rama de la actividad económica, </w:t>
      </w:r>
      <w:r>
        <w:rPr>
          <w:rFonts w:ascii="Arial" w:hAnsi="Arial" w:cs="Arial"/>
          <w:sz w:val="24"/>
          <w:szCs w:val="24"/>
        </w:rPr>
        <w:t>la distribución de</w:t>
      </w:r>
      <w:r w:rsidR="006844E5">
        <w:rPr>
          <w:rFonts w:ascii="Arial" w:hAnsi="Arial" w:cs="Arial"/>
          <w:sz w:val="24"/>
          <w:szCs w:val="24"/>
        </w:rPr>
        <w:t xml:space="preserve">l </w:t>
      </w:r>
      <w:r w:rsidR="007F68B2">
        <w:rPr>
          <w:rFonts w:ascii="Arial" w:hAnsi="Arial" w:cs="Arial"/>
          <w:sz w:val="24"/>
          <w:szCs w:val="24"/>
        </w:rPr>
        <w:t>número</w:t>
      </w:r>
      <w:r w:rsidR="006844E5">
        <w:rPr>
          <w:rFonts w:ascii="Arial" w:hAnsi="Arial" w:cs="Arial"/>
          <w:sz w:val="24"/>
          <w:szCs w:val="24"/>
        </w:rPr>
        <w:t xml:space="preserve"> total de empresas en Colombia a dic-18 fue la siguiente:</w:t>
      </w:r>
    </w:p>
    <w:p w14:paraId="7D864E7C" w14:textId="77777777" w:rsidR="007F68B2" w:rsidRDefault="007F68B2" w:rsidP="00261566">
      <w:pPr>
        <w:spacing w:after="0" w:line="240" w:lineRule="auto"/>
        <w:jc w:val="both"/>
        <w:rPr>
          <w:rFonts w:ascii="Arial" w:hAnsi="Arial" w:cs="Arial"/>
          <w:sz w:val="24"/>
          <w:szCs w:val="24"/>
        </w:rPr>
      </w:pPr>
    </w:p>
    <w:p w14:paraId="247DF96A" w14:textId="77777777" w:rsidR="007F68B2" w:rsidRDefault="007F68B2" w:rsidP="00261566">
      <w:pPr>
        <w:spacing w:after="0" w:line="240" w:lineRule="auto"/>
        <w:jc w:val="both"/>
        <w:rPr>
          <w:rFonts w:ascii="Arial" w:hAnsi="Arial" w:cs="Arial"/>
          <w:sz w:val="24"/>
          <w:szCs w:val="24"/>
        </w:rPr>
      </w:pPr>
    </w:p>
    <w:p w14:paraId="0FD60F7C" w14:textId="77777777" w:rsidR="007F68B2" w:rsidRDefault="007F68B2" w:rsidP="00261566">
      <w:pPr>
        <w:spacing w:after="0" w:line="240" w:lineRule="auto"/>
        <w:jc w:val="both"/>
        <w:rPr>
          <w:rFonts w:ascii="Arial" w:hAnsi="Arial" w:cs="Arial"/>
          <w:sz w:val="24"/>
          <w:szCs w:val="24"/>
        </w:rPr>
      </w:pPr>
    </w:p>
    <w:p w14:paraId="221CAF76" w14:textId="77777777" w:rsidR="007F68B2" w:rsidRDefault="007F68B2" w:rsidP="00261566">
      <w:pPr>
        <w:spacing w:after="0" w:line="240" w:lineRule="auto"/>
        <w:jc w:val="both"/>
        <w:rPr>
          <w:rFonts w:ascii="Arial" w:hAnsi="Arial" w:cs="Arial"/>
          <w:sz w:val="24"/>
          <w:szCs w:val="24"/>
        </w:rPr>
      </w:pPr>
    </w:p>
    <w:p w14:paraId="41840A2C" w14:textId="77777777" w:rsidR="007F68B2" w:rsidRDefault="007F68B2" w:rsidP="00261566">
      <w:pPr>
        <w:spacing w:after="0" w:line="240" w:lineRule="auto"/>
        <w:jc w:val="both"/>
        <w:rPr>
          <w:rFonts w:ascii="Arial" w:hAnsi="Arial" w:cs="Arial"/>
          <w:sz w:val="24"/>
          <w:szCs w:val="24"/>
        </w:rPr>
      </w:pPr>
    </w:p>
    <w:p w14:paraId="01871EB1" w14:textId="77777777" w:rsidR="007F68B2" w:rsidRDefault="007F68B2" w:rsidP="00261566">
      <w:pPr>
        <w:spacing w:after="0" w:line="240" w:lineRule="auto"/>
        <w:jc w:val="both"/>
        <w:rPr>
          <w:rFonts w:ascii="Arial" w:hAnsi="Arial" w:cs="Arial"/>
          <w:sz w:val="24"/>
          <w:szCs w:val="24"/>
        </w:rPr>
      </w:pPr>
    </w:p>
    <w:p w14:paraId="37B12493" w14:textId="77777777" w:rsidR="007F68B2" w:rsidRDefault="007F68B2" w:rsidP="00261566">
      <w:pPr>
        <w:spacing w:after="0" w:line="240" w:lineRule="auto"/>
        <w:jc w:val="both"/>
        <w:rPr>
          <w:rFonts w:ascii="Arial" w:hAnsi="Arial" w:cs="Arial"/>
          <w:sz w:val="24"/>
          <w:szCs w:val="24"/>
        </w:rPr>
      </w:pPr>
    </w:p>
    <w:p w14:paraId="21D4DEB1" w14:textId="77777777" w:rsidR="007F68B2" w:rsidRDefault="007F68B2" w:rsidP="00261566">
      <w:pPr>
        <w:spacing w:after="0" w:line="240" w:lineRule="auto"/>
        <w:jc w:val="both"/>
        <w:rPr>
          <w:rFonts w:ascii="Arial" w:hAnsi="Arial" w:cs="Arial"/>
          <w:sz w:val="24"/>
          <w:szCs w:val="24"/>
        </w:rPr>
      </w:pPr>
    </w:p>
    <w:p w14:paraId="7E6FEF95" w14:textId="77777777" w:rsidR="007F68B2" w:rsidRDefault="007F68B2" w:rsidP="00261566">
      <w:pPr>
        <w:spacing w:after="0" w:line="240" w:lineRule="auto"/>
        <w:jc w:val="both"/>
        <w:rPr>
          <w:rFonts w:ascii="Arial" w:hAnsi="Arial" w:cs="Arial"/>
          <w:sz w:val="24"/>
          <w:szCs w:val="24"/>
        </w:rPr>
      </w:pPr>
    </w:p>
    <w:p w14:paraId="27472BAE" w14:textId="77777777" w:rsidR="007F68B2" w:rsidRDefault="007F68B2" w:rsidP="00261566">
      <w:pPr>
        <w:spacing w:after="0" w:line="240" w:lineRule="auto"/>
        <w:jc w:val="both"/>
        <w:rPr>
          <w:rFonts w:ascii="Arial" w:hAnsi="Arial" w:cs="Arial"/>
          <w:sz w:val="24"/>
          <w:szCs w:val="24"/>
        </w:rPr>
      </w:pPr>
    </w:p>
    <w:p w14:paraId="7063721F" w14:textId="77777777" w:rsidR="007F68B2" w:rsidRDefault="007F68B2" w:rsidP="00261566">
      <w:pPr>
        <w:spacing w:after="0" w:line="240" w:lineRule="auto"/>
        <w:jc w:val="both"/>
        <w:rPr>
          <w:rFonts w:ascii="Arial" w:hAnsi="Arial" w:cs="Arial"/>
          <w:sz w:val="24"/>
          <w:szCs w:val="24"/>
        </w:rPr>
      </w:pPr>
    </w:p>
    <w:p w14:paraId="321E0D24" w14:textId="77777777" w:rsidR="007F68B2" w:rsidRDefault="007F68B2" w:rsidP="00261566">
      <w:pPr>
        <w:spacing w:after="0" w:line="240" w:lineRule="auto"/>
        <w:jc w:val="both"/>
        <w:rPr>
          <w:rFonts w:ascii="Arial" w:hAnsi="Arial" w:cs="Arial"/>
          <w:sz w:val="24"/>
          <w:szCs w:val="24"/>
        </w:rPr>
      </w:pPr>
    </w:p>
    <w:p w14:paraId="45EAFDE9" w14:textId="77777777" w:rsidR="007F68B2" w:rsidRDefault="007F68B2" w:rsidP="00261566">
      <w:pPr>
        <w:spacing w:after="0" w:line="240" w:lineRule="auto"/>
        <w:jc w:val="both"/>
        <w:rPr>
          <w:rFonts w:ascii="Arial" w:hAnsi="Arial" w:cs="Arial"/>
          <w:sz w:val="24"/>
          <w:szCs w:val="24"/>
        </w:rPr>
      </w:pPr>
    </w:p>
    <w:p w14:paraId="631BB9B2" w14:textId="77777777" w:rsidR="007F68B2" w:rsidRDefault="007F68B2" w:rsidP="00261566">
      <w:pPr>
        <w:spacing w:after="0" w:line="240" w:lineRule="auto"/>
        <w:jc w:val="both"/>
        <w:rPr>
          <w:rFonts w:ascii="Arial" w:hAnsi="Arial" w:cs="Arial"/>
          <w:sz w:val="24"/>
          <w:szCs w:val="24"/>
        </w:rPr>
      </w:pPr>
    </w:p>
    <w:p w14:paraId="39AFCAA4" w14:textId="77777777" w:rsidR="007F68B2" w:rsidRDefault="007F68B2" w:rsidP="00261566">
      <w:pPr>
        <w:spacing w:after="0" w:line="240" w:lineRule="auto"/>
        <w:jc w:val="both"/>
        <w:rPr>
          <w:rFonts w:ascii="Arial" w:hAnsi="Arial" w:cs="Arial"/>
          <w:sz w:val="24"/>
          <w:szCs w:val="24"/>
        </w:rPr>
      </w:pPr>
    </w:p>
    <w:p w14:paraId="27FDBB6A" w14:textId="77777777" w:rsidR="007F68B2" w:rsidRDefault="007F68B2" w:rsidP="00261566">
      <w:pPr>
        <w:spacing w:after="0" w:line="240" w:lineRule="auto"/>
        <w:jc w:val="both"/>
        <w:rPr>
          <w:rFonts w:ascii="Arial" w:hAnsi="Arial" w:cs="Arial"/>
          <w:sz w:val="24"/>
          <w:szCs w:val="24"/>
        </w:rPr>
      </w:pPr>
    </w:p>
    <w:p w14:paraId="4C0B9013" w14:textId="77777777" w:rsidR="007F68B2" w:rsidRDefault="007F68B2" w:rsidP="00261566">
      <w:pPr>
        <w:spacing w:after="0" w:line="240" w:lineRule="auto"/>
        <w:jc w:val="both"/>
        <w:rPr>
          <w:rFonts w:ascii="Arial" w:hAnsi="Arial" w:cs="Arial"/>
          <w:sz w:val="24"/>
          <w:szCs w:val="24"/>
        </w:rPr>
      </w:pPr>
    </w:p>
    <w:p w14:paraId="72A2F613" w14:textId="77777777" w:rsidR="007F68B2" w:rsidRPr="00261566" w:rsidRDefault="007F68B2" w:rsidP="00261566">
      <w:pPr>
        <w:spacing w:after="0" w:line="240" w:lineRule="auto"/>
        <w:jc w:val="both"/>
        <w:rPr>
          <w:rFonts w:ascii="Arial" w:hAnsi="Arial" w:cs="Arial"/>
          <w:sz w:val="24"/>
          <w:szCs w:val="24"/>
        </w:rPr>
      </w:pPr>
    </w:p>
    <w:p w14:paraId="4157DB1E" w14:textId="627DE796" w:rsidR="00261566" w:rsidRDefault="00261566" w:rsidP="00261566">
      <w:pPr>
        <w:spacing w:after="0" w:line="240" w:lineRule="auto"/>
        <w:jc w:val="both"/>
        <w:rPr>
          <w:rFonts w:ascii="Arial" w:hAnsi="Arial" w:cs="Arial"/>
          <w:b/>
          <w:bCs/>
          <w:sz w:val="24"/>
          <w:szCs w:val="24"/>
        </w:rPr>
      </w:pPr>
    </w:p>
    <w:p w14:paraId="132A4F98" w14:textId="77777777" w:rsidR="00261566" w:rsidRDefault="00261566" w:rsidP="00261566">
      <w:pPr>
        <w:spacing w:after="0" w:line="240" w:lineRule="auto"/>
        <w:jc w:val="both"/>
        <w:rPr>
          <w:rFonts w:ascii="Arial" w:hAnsi="Arial" w:cs="Arial"/>
          <w:b/>
          <w:bCs/>
          <w:sz w:val="24"/>
          <w:szCs w:val="24"/>
        </w:rPr>
      </w:pPr>
    </w:p>
    <w:p w14:paraId="4A81DC0B" w14:textId="17F1C18F" w:rsidR="00FB6A4F" w:rsidRPr="00FB6A4F" w:rsidRDefault="00FB6A4F" w:rsidP="00FB6A4F">
      <w:pPr>
        <w:spacing w:after="0" w:line="240" w:lineRule="auto"/>
        <w:jc w:val="center"/>
        <w:rPr>
          <w:rFonts w:ascii="Arial" w:hAnsi="Arial" w:cs="Arial"/>
          <w:b/>
          <w:bCs/>
          <w:sz w:val="24"/>
          <w:szCs w:val="24"/>
        </w:rPr>
      </w:pPr>
      <w:r w:rsidRPr="00FB6A4F">
        <w:rPr>
          <w:rFonts w:ascii="Arial" w:hAnsi="Arial" w:cs="Arial"/>
          <w:b/>
          <w:bCs/>
          <w:sz w:val="24"/>
          <w:szCs w:val="24"/>
        </w:rPr>
        <w:lastRenderedPageBreak/>
        <w:t>N</w:t>
      </w:r>
      <w:r>
        <w:rPr>
          <w:rFonts w:ascii="Arial" w:hAnsi="Arial" w:cs="Arial"/>
          <w:b/>
          <w:bCs/>
          <w:sz w:val="24"/>
          <w:szCs w:val="24"/>
        </w:rPr>
        <w:t>Ú</w:t>
      </w:r>
      <w:r w:rsidRPr="00FB6A4F">
        <w:rPr>
          <w:rFonts w:ascii="Arial" w:hAnsi="Arial" w:cs="Arial"/>
          <w:b/>
          <w:bCs/>
          <w:sz w:val="24"/>
          <w:szCs w:val="24"/>
        </w:rPr>
        <w:t xml:space="preserve">MERO TOTAL DE EMPRESAS FORMALES </w:t>
      </w:r>
    </w:p>
    <w:p w14:paraId="72E36324" w14:textId="00C6F0A0" w:rsidR="00FB6A4F" w:rsidRDefault="00FB6A4F" w:rsidP="00FB6A4F">
      <w:pPr>
        <w:spacing w:after="0" w:line="240" w:lineRule="auto"/>
        <w:jc w:val="center"/>
        <w:rPr>
          <w:rFonts w:ascii="Arial" w:hAnsi="Arial" w:cs="Arial"/>
          <w:b/>
          <w:bCs/>
          <w:sz w:val="24"/>
          <w:szCs w:val="24"/>
        </w:rPr>
      </w:pPr>
      <w:r w:rsidRPr="00FB6A4F">
        <w:rPr>
          <w:rFonts w:ascii="Arial" w:hAnsi="Arial" w:cs="Arial"/>
          <w:b/>
          <w:bCs/>
          <w:sz w:val="24"/>
          <w:szCs w:val="24"/>
        </w:rPr>
        <w:t>POR TAMAÑO</w:t>
      </w:r>
      <w:r>
        <w:rPr>
          <w:rFonts w:ascii="Arial" w:hAnsi="Arial" w:cs="Arial"/>
          <w:b/>
          <w:bCs/>
          <w:sz w:val="24"/>
          <w:szCs w:val="24"/>
        </w:rPr>
        <w:t xml:space="preserve"> Y RAMA DE LA ACTIVIDAD ECONÓMICA</w:t>
      </w:r>
      <w:r w:rsidRPr="00FB6A4F">
        <w:rPr>
          <w:rFonts w:ascii="Arial" w:hAnsi="Arial" w:cs="Arial"/>
          <w:b/>
          <w:bCs/>
          <w:sz w:val="24"/>
          <w:szCs w:val="24"/>
        </w:rPr>
        <w:t xml:space="preserve"> DIC-18</w:t>
      </w:r>
    </w:p>
    <w:p w14:paraId="21BBA76B" w14:textId="77777777" w:rsidR="00FB6A4F" w:rsidRPr="00C62439" w:rsidRDefault="00FB6A4F" w:rsidP="00B647E3">
      <w:pPr>
        <w:jc w:val="both"/>
        <w:rPr>
          <w:rFonts w:ascii="Arial" w:hAnsi="Arial" w:cs="Arial"/>
          <w:sz w:val="16"/>
          <w:szCs w:val="16"/>
        </w:rPr>
      </w:pPr>
    </w:p>
    <w:p w14:paraId="6064F335" w14:textId="002C8812" w:rsidR="00082A0C" w:rsidRDefault="00F11064" w:rsidP="00B647E3">
      <w:pPr>
        <w:jc w:val="both"/>
        <w:rPr>
          <w:rFonts w:ascii="Arial" w:hAnsi="Arial" w:cs="Arial"/>
          <w:sz w:val="24"/>
          <w:szCs w:val="24"/>
        </w:rPr>
      </w:pPr>
      <w:r w:rsidRPr="00F11064">
        <w:rPr>
          <w:noProof/>
          <w:lang w:eastAsia="es-CO"/>
        </w:rPr>
        <w:drawing>
          <wp:inline distT="0" distB="0" distL="0" distR="0" wp14:anchorId="0C98A10B" wp14:editId="05ECE0C5">
            <wp:extent cx="5612130" cy="491998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919980"/>
                    </a:xfrm>
                    <a:prstGeom prst="rect">
                      <a:avLst/>
                    </a:prstGeom>
                    <a:noFill/>
                    <a:ln>
                      <a:noFill/>
                    </a:ln>
                  </pic:spPr>
                </pic:pic>
              </a:graphicData>
            </a:graphic>
          </wp:inline>
        </w:drawing>
      </w:r>
    </w:p>
    <w:p w14:paraId="5AFD02DB" w14:textId="376371B0" w:rsidR="00492A69" w:rsidRDefault="00492A69" w:rsidP="00B647E3">
      <w:pPr>
        <w:jc w:val="both"/>
        <w:rPr>
          <w:rFonts w:ascii="Arial" w:hAnsi="Arial" w:cs="Arial"/>
          <w:sz w:val="24"/>
          <w:szCs w:val="24"/>
        </w:rPr>
      </w:pPr>
      <w:r w:rsidRPr="00C62439">
        <w:rPr>
          <w:rFonts w:ascii="Arial" w:hAnsi="Arial" w:cs="Arial"/>
          <w:sz w:val="16"/>
          <w:szCs w:val="16"/>
        </w:rPr>
        <w:t>FUENTE: Confec</w:t>
      </w:r>
      <w:r>
        <w:rPr>
          <w:rFonts w:ascii="Arial" w:hAnsi="Arial" w:cs="Arial"/>
          <w:sz w:val="16"/>
          <w:szCs w:val="16"/>
        </w:rPr>
        <w:t>á</w:t>
      </w:r>
      <w:r w:rsidRPr="00C62439">
        <w:rPr>
          <w:rFonts w:ascii="Arial" w:hAnsi="Arial" w:cs="Arial"/>
          <w:sz w:val="16"/>
          <w:szCs w:val="16"/>
        </w:rPr>
        <w:t>maras.</w:t>
      </w:r>
    </w:p>
    <w:p w14:paraId="267B37D1" w14:textId="3CC25449" w:rsidR="00E956AC" w:rsidRDefault="00E956AC" w:rsidP="00B647E3">
      <w:pPr>
        <w:jc w:val="both"/>
        <w:rPr>
          <w:rFonts w:ascii="Arial" w:hAnsi="Arial" w:cs="Arial"/>
          <w:sz w:val="24"/>
          <w:szCs w:val="24"/>
        </w:rPr>
      </w:pPr>
      <w:r>
        <w:rPr>
          <w:rFonts w:ascii="Arial" w:hAnsi="Arial" w:cs="Arial"/>
          <w:sz w:val="24"/>
          <w:szCs w:val="24"/>
        </w:rPr>
        <w:t xml:space="preserve">De lo anterior, se concluye que la población empresarial objetivo de la presente iniciativa es bastante relevante, dado que el 99.5% de </w:t>
      </w:r>
      <w:r w:rsidR="008B5601">
        <w:rPr>
          <w:rFonts w:ascii="Arial" w:hAnsi="Arial" w:cs="Arial"/>
          <w:sz w:val="24"/>
          <w:szCs w:val="24"/>
        </w:rPr>
        <w:t>l</w:t>
      </w:r>
      <w:r>
        <w:rPr>
          <w:rFonts w:ascii="Arial" w:hAnsi="Arial" w:cs="Arial"/>
          <w:sz w:val="24"/>
          <w:szCs w:val="24"/>
        </w:rPr>
        <w:t>as empresas existentes en el país son Mipymes y esta participación se mantiene en las diversas ramas de la actividad económica.</w:t>
      </w:r>
    </w:p>
    <w:p w14:paraId="43587790" w14:textId="77777777" w:rsidR="007F68B2" w:rsidRDefault="007F68B2" w:rsidP="00B647E3">
      <w:pPr>
        <w:jc w:val="both"/>
        <w:rPr>
          <w:rFonts w:ascii="Arial" w:hAnsi="Arial" w:cs="Arial"/>
          <w:sz w:val="24"/>
          <w:szCs w:val="24"/>
        </w:rPr>
      </w:pPr>
    </w:p>
    <w:p w14:paraId="344A8F41" w14:textId="47C744D5" w:rsidR="00CF23B9" w:rsidRPr="00CF23B9" w:rsidRDefault="00CF23B9" w:rsidP="00CF23B9">
      <w:pPr>
        <w:pStyle w:val="Prrafodelista"/>
        <w:numPr>
          <w:ilvl w:val="1"/>
          <w:numId w:val="18"/>
        </w:numPr>
        <w:jc w:val="both"/>
        <w:rPr>
          <w:rFonts w:ascii="Arial" w:hAnsi="Arial" w:cs="Arial"/>
          <w:sz w:val="24"/>
          <w:szCs w:val="24"/>
        </w:rPr>
      </w:pPr>
      <w:r w:rsidRPr="00CF23B9">
        <w:rPr>
          <w:rFonts w:ascii="Arial" w:hAnsi="Arial" w:cs="Arial"/>
          <w:sz w:val="24"/>
          <w:szCs w:val="24"/>
        </w:rPr>
        <w:lastRenderedPageBreak/>
        <w:t>Importancia de crear fuentes de financiamiento alternativas para la consolidación y crecimiento de emprendimientos y escalamiento de Mipymes.</w:t>
      </w:r>
    </w:p>
    <w:p w14:paraId="2A7B144C" w14:textId="77777777" w:rsidR="00CF23B9" w:rsidRDefault="00CF23B9" w:rsidP="007F68B2">
      <w:pPr>
        <w:jc w:val="both"/>
        <w:rPr>
          <w:rFonts w:ascii="Arial" w:hAnsi="Arial" w:cs="Arial"/>
          <w:sz w:val="24"/>
          <w:szCs w:val="24"/>
          <w:u w:val="single"/>
        </w:rPr>
      </w:pPr>
    </w:p>
    <w:p w14:paraId="2D38D2C3" w14:textId="1816A717" w:rsidR="00B647E3" w:rsidRPr="00CF23B9" w:rsidRDefault="00E956AC" w:rsidP="00CF23B9">
      <w:pPr>
        <w:pStyle w:val="Prrafodelista"/>
        <w:numPr>
          <w:ilvl w:val="2"/>
          <w:numId w:val="18"/>
        </w:numPr>
        <w:jc w:val="both"/>
        <w:rPr>
          <w:rFonts w:ascii="Arial" w:hAnsi="Arial" w:cs="Arial"/>
          <w:sz w:val="24"/>
          <w:szCs w:val="24"/>
          <w:u w:val="single"/>
        </w:rPr>
      </w:pPr>
      <w:r w:rsidRPr="00CF23B9">
        <w:rPr>
          <w:rFonts w:ascii="Arial" w:hAnsi="Arial" w:cs="Arial"/>
          <w:sz w:val="24"/>
          <w:szCs w:val="24"/>
          <w:u w:val="single"/>
        </w:rPr>
        <w:t>Supervivencia de las empresas en Colombia</w:t>
      </w:r>
      <w:r w:rsidR="00B647E3" w:rsidRPr="00CF23B9">
        <w:rPr>
          <w:rFonts w:ascii="Arial" w:hAnsi="Arial" w:cs="Arial"/>
          <w:sz w:val="24"/>
          <w:szCs w:val="24"/>
          <w:u w:val="single"/>
        </w:rPr>
        <w:t>.</w:t>
      </w:r>
    </w:p>
    <w:p w14:paraId="37A858D3" w14:textId="74EE487F" w:rsidR="00B647E3" w:rsidRDefault="001D1439" w:rsidP="00864674">
      <w:pPr>
        <w:jc w:val="both"/>
        <w:rPr>
          <w:rFonts w:ascii="Arial" w:hAnsi="Arial" w:cs="Arial"/>
          <w:sz w:val="24"/>
          <w:szCs w:val="24"/>
        </w:rPr>
      </w:pPr>
      <w:r>
        <w:rPr>
          <w:rFonts w:ascii="Arial" w:hAnsi="Arial" w:cs="Arial"/>
          <w:sz w:val="24"/>
          <w:szCs w:val="24"/>
        </w:rPr>
        <w:t xml:space="preserve">El proyecto de </w:t>
      </w:r>
      <w:r w:rsidR="005B002A">
        <w:rPr>
          <w:rFonts w:ascii="Arial" w:hAnsi="Arial" w:cs="Arial"/>
          <w:sz w:val="24"/>
          <w:szCs w:val="24"/>
        </w:rPr>
        <w:t>ley</w:t>
      </w:r>
      <w:r>
        <w:rPr>
          <w:rFonts w:ascii="Arial" w:hAnsi="Arial" w:cs="Arial"/>
          <w:sz w:val="24"/>
          <w:szCs w:val="24"/>
        </w:rPr>
        <w:t xml:space="preserve"> </w:t>
      </w:r>
      <w:r w:rsidRPr="00025044">
        <w:rPr>
          <w:rFonts w:ascii="Arial" w:hAnsi="Arial" w:cs="Arial"/>
          <w:sz w:val="24"/>
          <w:szCs w:val="24"/>
        </w:rPr>
        <w:t>tiene como objeti</w:t>
      </w:r>
      <w:r w:rsidRPr="006B087B">
        <w:rPr>
          <w:rFonts w:ascii="Arial" w:hAnsi="Arial" w:cs="Arial"/>
          <w:sz w:val="24"/>
          <w:szCs w:val="24"/>
        </w:rPr>
        <w:t xml:space="preserve">vo </w:t>
      </w:r>
      <w:r>
        <w:rPr>
          <w:rFonts w:ascii="Arial" w:hAnsi="Arial" w:cs="Arial"/>
          <w:sz w:val="24"/>
          <w:szCs w:val="24"/>
        </w:rPr>
        <w:t xml:space="preserve">incentivar </w:t>
      </w:r>
      <w:r w:rsidRPr="00255F8E">
        <w:rPr>
          <w:rFonts w:ascii="Arial" w:hAnsi="Arial" w:cs="Arial"/>
          <w:sz w:val="24"/>
          <w:szCs w:val="24"/>
        </w:rPr>
        <w:t>el emprendimiento y escalamiento de</w:t>
      </w:r>
      <w:r>
        <w:rPr>
          <w:rFonts w:ascii="Arial" w:hAnsi="Arial" w:cs="Arial"/>
          <w:sz w:val="24"/>
          <w:szCs w:val="24"/>
        </w:rPr>
        <w:t xml:space="preserve"> las Mipymes del país, a través del fortalecimiento de los fondos de capital privado nacionales haciendo que estos </w:t>
      </w:r>
      <w:r w:rsidR="005B002A">
        <w:rPr>
          <w:rFonts w:ascii="Arial" w:hAnsi="Arial" w:cs="Arial"/>
          <w:sz w:val="24"/>
          <w:szCs w:val="24"/>
        </w:rPr>
        <w:t xml:space="preserve">instrumentos </w:t>
      </w:r>
      <w:r>
        <w:rPr>
          <w:rFonts w:ascii="Arial" w:hAnsi="Arial" w:cs="Arial"/>
          <w:sz w:val="24"/>
          <w:szCs w:val="24"/>
        </w:rPr>
        <w:t xml:space="preserve">se constituyan </w:t>
      </w:r>
      <w:r w:rsidR="005B002A">
        <w:rPr>
          <w:rFonts w:ascii="Arial" w:hAnsi="Arial" w:cs="Arial"/>
          <w:sz w:val="24"/>
          <w:szCs w:val="24"/>
        </w:rPr>
        <w:t>en un mecanismo de financiación alternativo relevante en el empresariado colombiano.</w:t>
      </w:r>
    </w:p>
    <w:p w14:paraId="0BCEA145" w14:textId="0E42275D" w:rsidR="005B002A" w:rsidRDefault="005B002A" w:rsidP="00864674">
      <w:pPr>
        <w:jc w:val="both"/>
        <w:rPr>
          <w:rFonts w:ascii="Arial" w:hAnsi="Arial" w:cs="Arial"/>
          <w:sz w:val="24"/>
          <w:szCs w:val="24"/>
        </w:rPr>
      </w:pPr>
      <w:r>
        <w:rPr>
          <w:rFonts w:ascii="Arial" w:hAnsi="Arial" w:cs="Arial"/>
          <w:sz w:val="24"/>
          <w:szCs w:val="24"/>
        </w:rPr>
        <w:t>Lo anterior puede incidir directamente en la supervivencia de las empresas en el país. Según Confecámaras (2018)</w:t>
      </w:r>
      <w:r>
        <w:rPr>
          <w:rStyle w:val="Refdenotaalpie"/>
          <w:rFonts w:ascii="Arial" w:hAnsi="Arial" w:cs="Arial"/>
          <w:sz w:val="24"/>
          <w:szCs w:val="24"/>
        </w:rPr>
        <w:footnoteReference w:id="7"/>
      </w:r>
      <w:r>
        <w:rPr>
          <w:rFonts w:ascii="Arial" w:hAnsi="Arial" w:cs="Arial"/>
          <w:sz w:val="24"/>
          <w:szCs w:val="24"/>
        </w:rPr>
        <w:t xml:space="preserve">, de cada 100 empresas creadas formalmente en 2012, </w:t>
      </w:r>
      <w:r w:rsidR="00CF23B9">
        <w:rPr>
          <w:rFonts w:ascii="Arial" w:hAnsi="Arial" w:cs="Arial"/>
          <w:sz w:val="24"/>
          <w:szCs w:val="24"/>
        </w:rPr>
        <w:t>tan</w:t>
      </w:r>
      <w:r w:rsidR="008A4ADC">
        <w:rPr>
          <w:rFonts w:ascii="Arial" w:hAnsi="Arial" w:cs="Arial"/>
          <w:sz w:val="24"/>
          <w:szCs w:val="24"/>
        </w:rPr>
        <w:t xml:space="preserve"> solo sobrevivieron </w:t>
      </w:r>
      <w:r>
        <w:rPr>
          <w:rFonts w:ascii="Arial" w:hAnsi="Arial" w:cs="Arial"/>
          <w:sz w:val="24"/>
          <w:szCs w:val="24"/>
        </w:rPr>
        <w:t xml:space="preserve">34 al </w:t>
      </w:r>
      <w:r w:rsidR="007F68B2">
        <w:rPr>
          <w:rFonts w:ascii="Arial" w:hAnsi="Arial" w:cs="Arial"/>
          <w:sz w:val="24"/>
          <w:szCs w:val="24"/>
        </w:rPr>
        <w:t>término</w:t>
      </w:r>
      <w:r w:rsidR="008A4ADC">
        <w:rPr>
          <w:rFonts w:ascii="Arial" w:hAnsi="Arial" w:cs="Arial"/>
          <w:sz w:val="24"/>
          <w:szCs w:val="24"/>
        </w:rPr>
        <w:t xml:space="preserve"> de 5 años, y esta cifra representa una mejora con respecto a la métrica de las empresas nacidas en el 2011, donde tan solo 29 sobrevivieron después de 5 años de creadas.</w:t>
      </w:r>
    </w:p>
    <w:p w14:paraId="7A121B9A" w14:textId="31F064F2" w:rsidR="00D61F59" w:rsidRDefault="00D61F59" w:rsidP="00D61F59">
      <w:pPr>
        <w:spacing w:after="0" w:line="240" w:lineRule="auto"/>
        <w:jc w:val="center"/>
        <w:rPr>
          <w:rFonts w:ascii="Arial" w:hAnsi="Arial" w:cs="Arial"/>
          <w:b/>
          <w:bCs/>
          <w:sz w:val="24"/>
          <w:szCs w:val="24"/>
        </w:rPr>
      </w:pPr>
    </w:p>
    <w:p w14:paraId="09B17D34" w14:textId="229F200C" w:rsidR="00D61F59" w:rsidRDefault="00D61F59" w:rsidP="00D61F59">
      <w:pPr>
        <w:spacing w:after="0" w:line="240" w:lineRule="auto"/>
        <w:jc w:val="center"/>
        <w:rPr>
          <w:rFonts w:ascii="Arial" w:hAnsi="Arial" w:cs="Arial"/>
          <w:b/>
          <w:bCs/>
          <w:sz w:val="24"/>
          <w:szCs w:val="24"/>
        </w:rPr>
      </w:pPr>
      <w:r>
        <w:rPr>
          <w:rFonts w:ascii="Arial" w:hAnsi="Arial" w:cs="Arial"/>
          <w:b/>
          <w:bCs/>
          <w:sz w:val="24"/>
          <w:szCs w:val="24"/>
        </w:rPr>
        <w:t>TASA DE SUPERVIVENCIA DE LAS EMPRESAS A 5 AÑOS SEGÚN ORGANIZACIÓN JURÍDICA</w:t>
      </w:r>
    </w:p>
    <w:p w14:paraId="6C440CF1" w14:textId="138E9D87" w:rsidR="00D61F59" w:rsidRDefault="00D61F59" w:rsidP="00864674">
      <w:pPr>
        <w:jc w:val="both"/>
        <w:rPr>
          <w:rFonts w:ascii="Arial" w:hAnsi="Arial" w:cs="Arial"/>
          <w:sz w:val="24"/>
          <w:szCs w:val="24"/>
        </w:rPr>
      </w:pPr>
      <w:r>
        <w:rPr>
          <w:noProof/>
          <w:lang w:eastAsia="es-CO"/>
        </w:rPr>
        <w:drawing>
          <wp:anchor distT="0" distB="0" distL="114300" distR="114300" simplePos="0" relativeHeight="251662336" behindDoc="0" locked="0" layoutInCell="1" allowOverlap="1" wp14:anchorId="23B9E34D" wp14:editId="72904B4F">
            <wp:simplePos x="0" y="0"/>
            <wp:positionH relativeFrom="column">
              <wp:posOffset>584892</wp:posOffset>
            </wp:positionH>
            <wp:positionV relativeFrom="paragraph">
              <wp:posOffset>12672</wp:posOffset>
            </wp:positionV>
            <wp:extent cx="4585648" cy="2555539"/>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132" t="40762" r="30107" b="20832"/>
                    <a:stretch/>
                  </pic:blipFill>
                  <pic:spPr bwMode="auto">
                    <a:xfrm>
                      <a:off x="0" y="0"/>
                      <a:ext cx="4596229" cy="25614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B8BC68" w14:textId="42B980BD" w:rsidR="00D61F59" w:rsidRDefault="00D61F59" w:rsidP="00864674">
      <w:pPr>
        <w:jc w:val="both"/>
        <w:rPr>
          <w:rFonts w:ascii="Arial" w:hAnsi="Arial" w:cs="Arial"/>
          <w:sz w:val="24"/>
          <w:szCs w:val="24"/>
        </w:rPr>
      </w:pPr>
    </w:p>
    <w:p w14:paraId="5A5ADB99" w14:textId="77777777" w:rsidR="00D61F59" w:rsidRDefault="00D61F59" w:rsidP="00864674">
      <w:pPr>
        <w:jc w:val="both"/>
        <w:rPr>
          <w:rFonts w:ascii="Arial" w:hAnsi="Arial" w:cs="Arial"/>
          <w:sz w:val="24"/>
          <w:szCs w:val="24"/>
        </w:rPr>
      </w:pPr>
    </w:p>
    <w:p w14:paraId="6AA7543F" w14:textId="77777777" w:rsidR="00D61F59" w:rsidRDefault="00D61F59" w:rsidP="00864674">
      <w:pPr>
        <w:jc w:val="both"/>
        <w:rPr>
          <w:rFonts w:ascii="Arial" w:hAnsi="Arial" w:cs="Arial"/>
          <w:sz w:val="24"/>
          <w:szCs w:val="24"/>
        </w:rPr>
      </w:pPr>
    </w:p>
    <w:p w14:paraId="3057E2A8" w14:textId="77777777" w:rsidR="00D61F59" w:rsidRDefault="00D61F59" w:rsidP="00864674">
      <w:pPr>
        <w:jc w:val="both"/>
        <w:rPr>
          <w:rFonts w:ascii="Arial" w:hAnsi="Arial" w:cs="Arial"/>
          <w:sz w:val="24"/>
          <w:szCs w:val="24"/>
        </w:rPr>
      </w:pPr>
    </w:p>
    <w:p w14:paraId="369F24D8" w14:textId="77777777" w:rsidR="00D61F59" w:rsidRDefault="00D61F59" w:rsidP="00864674">
      <w:pPr>
        <w:jc w:val="both"/>
        <w:rPr>
          <w:rFonts w:ascii="Arial" w:hAnsi="Arial" w:cs="Arial"/>
          <w:sz w:val="24"/>
          <w:szCs w:val="24"/>
        </w:rPr>
      </w:pPr>
    </w:p>
    <w:p w14:paraId="125535D5" w14:textId="77777777" w:rsidR="00D61F59" w:rsidRDefault="00D61F59" w:rsidP="00864674">
      <w:pPr>
        <w:jc w:val="both"/>
        <w:rPr>
          <w:rFonts w:ascii="Arial" w:hAnsi="Arial" w:cs="Arial"/>
          <w:sz w:val="24"/>
          <w:szCs w:val="24"/>
        </w:rPr>
      </w:pPr>
    </w:p>
    <w:p w14:paraId="69FEEB2B" w14:textId="77777777" w:rsidR="00D61F59" w:rsidRDefault="00D61F59" w:rsidP="00864674">
      <w:pPr>
        <w:jc w:val="both"/>
        <w:rPr>
          <w:rFonts w:ascii="Arial" w:hAnsi="Arial" w:cs="Arial"/>
          <w:sz w:val="24"/>
          <w:szCs w:val="24"/>
        </w:rPr>
      </w:pPr>
    </w:p>
    <w:p w14:paraId="7390B2B3" w14:textId="62C150BB" w:rsidR="00EF4DD8" w:rsidRDefault="00EF4DD8" w:rsidP="00864674">
      <w:pPr>
        <w:jc w:val="both"/>
        <w:rPr>
          <w:rFonts w:ascii="Arial" w:hAnsi="Arial" w:cs="Arial"/>
          <w:sz w:val="24"/>
          <w:szCs w:val="24"/>
        </w:rPr>
      </w:pPr>
    </w:p>
    <w:p w14:paraId="2FF99805" w14:textId="3AA8B8DE" w:rsidR="00EF4DD8" w:rsidRDefault="00EF4DD8" w:rsidP="00EF4DD8">
      <w:pPr>
        <w:jc w:val="both"/>
        <w:rPr>
          <w:rFonts w:ascii="Arial" w:hAnsi="Arial" w:cs="Arial"/>
          <w:sz w:val="24"/>
          <w:szCs w:val="24"/>
        </w:rPr>
      </w:pPr>
      <w:r>
        <w:rPr>
          <w:rFonts w:ascii="Arial" w:hAnsi="Arial" w:cs="Arial"/>
          <w:sz w:val="24"/>
          <w:szCs w:val="24"/>
        </w:rPr>
        <w:tab/>
      </w:r>
      <w:r w:rsidRPr="00C62439">
        <w:rPr>
          <w:rFonts w:ascii="Arial" w:hAnsi="Arial" w:cs="Arial"/>
          <w:sz w:val="16"/>
          <w:szCs w:val="16"/>
        </w:rPr>
        <w:t>FUENTE: Confec</w:t>
      </w:r>
      <w:r>
        <w:rPr>
          <w:rFonts w:ascii="Arial" w:hAnsi="Arial" w:cs="Arial"/>
          <w:sz w:val="16"/>
          <w:szCs w:val="16"/>
        </w:rPr>
        <w:t>á</w:t>
      </w:r>
      <w:r w:rsidRPr="00C62439">
        <w:rPr>
          <w:rFonts w:ascii="Arial" w:hAnsi="Arial" w:cs="Arial"/>
          <w:sz w:val="16"/>
          <w:szCs w:val="16"/>
        </w:rPr>
        <w:t>maras.</w:t>
      </w:r>
    </w:p>
    <w:p w14:paraId="0C930905" w14:textId="37A2B3B6" w:rsidR="00D61F59" w:rsidRDefault="00D61F59" w:rsidP="00864674">
      <w:pPr>
        <w:jc w:val="both"/>
        <w:rPr>
          <w:rFonts w:ascii="Arial" w:hAnsi="Arial" w:cs="Arial"/>
          <w:sz w:val="24"/>
          <w:szCs w:val="24"/>
        </w:rPr>
      </w:pPr>
      <w:r>
        <w:rPr>
          <w:rFonts w:ascii="Arial" w:hAnsi="Arial" w:cs="Arial"/>
          <w:sz w:val="24"/>
          <w:szCs w:val="24"/>
        </w:rPr>
        <w:lastRenderedPageBreak/>
        <w:t xml:space="preserve">En la anterior grafica </w:t>
      </w:r>
      <w:r w:rsidR="008F5DFE">
        <w:rPr>
          <w:rFonts w:ascii="Arial" w:hAnsi="Arial" w:cs="Arial"/>
          <w:sz w:val="24"/>
          <w:szCs w:val="24"/>
        </w:rPr>
        <w:t>se muestra que después de un año de creadas 100 compañías, tan solo sobreviven 62, al cabo de 2 años 55, al cabo de 3 años 49, al cabo de 4 años 40 y al cabo de 5 años 34.</w:t>
      </w:r>
    </w:p>
    <w:p w14:paraId="77D512F3" w14:textId="3529E53B" w:rsidR="008F5DFE" w:rsidRDefault="008F5DFE" w:rsidP="00832101">
      <w:pPr>
        <w:jc w:val="both"/>
        <w:rPr>
          <w:rFonts w:ascii="Arial" w:hAnsi="Arial" w:cs="Arial"/>
          <w:sz w:val="24"/>
          <w:szCs w:val="24"/>
        </w:rPr>
      </w:pPr>
      <w:r>
        <w:rPr>
          <w:rFonts w:ascii="Arial" w:hAnsi="Arial" w:cs="Arial"/>
          <w:sz w:val="24"/>
          <w:szCs w:val="24"/>
        </w:rPr>
        <w:t>En términos comparativos</w:t>
      </w:r>
      <w:r w:rsidR="00EF4DD8">
        <w:rPr>
          <w:rFonts w:ascii="Arial" w:hAnsi="Arial" w:cs="Arial"/>
          <w:sz w:val="24"/>
          <w:szCs w:val="24"/>
        </w:rPr>
        <w:t xml:space="preserve"> la posición relativa de Colombia en términos de supervivencia empresarial no es la mejor. Con estadísticas del año 2016, según Confecámaras</w:t>
      </w:r>
      <w:r w:rsidR="00E846AD">
        <w:rPr>
          <w:rFonts w:ascii="Arial" w:hAnsi="Arial" w:cs="Arial"/>
          <w:sz w:val="24"/>
          <w:szCs w:val="24"/>
        </w:rPr>
        <w:t xml:space="preserve"> (2017)</w:t>
      </w:r>
      <w:r w:rsidR="00EF4DD8">
        <w:rPr>
          <w:rStyle w:val="Refdenotaalpie"/>
          <w:rFonts w:ascii="Arial" w:hAnsi="Arial" w:cs="Arial"/>
          <w:sz w:val="24"/>
          <w:szCs w:val="24"/>
        </w:rPr>
        <w:footnoteReference w:id="8"/>
      </w:r>
      <w:r w:rsidR="00EF4DD8">
        <w:rPr>
          <w:rFonts w:ascii="Arial" w:hAnsi="Arial" w:cs="Arial"/>
          <w:sz w:val="24"/>
          <w:szCs w:val="24"/>
        </w:rPr>
        <w:t xml:space="preserve">, mientras en </w:t>
      </w:r>
      <w:r w:rsidR="00832101" w:rsidRPr="00832101">
        <w:rPr>
          <w:rFonts w:ascii="Arial" w:hAnsi="Arial" w:cs="Arial"/>
          <w:sz w:val="24"/>
          <w:szCs w:val="24"/>
        </w:rPr>
        <w:t>Chile y Argentina, de</w:t>
      </w:r>
      <w:r w:rsidR="00832101">
        <w:rPr>
          <w:rFonts w:ascii="Arial" w:hAnsi="Arial" w:cs="Arial"/>
          <w:sz w:val="24"/>
          <w:szCs w:val="24"/>
        </w:rPr>
        <w:t xml:space="preserve"> </w:t>
      </w:r>
      <w:r w:rsidR="00832101" w:rsidRPr="00832101">
        <w:rPr>
          <w:rFonts w:ascii="Arial" w:hAnsi="Arial" w:cs="Arial"/>
          <w:sz w:val="24"/>
          <w:szCs w:val="24"/>
        </w:rPr>
        <w:t>cada 10 sociedades creadas, 5</w:t>
      </w:r>
      <w:r w:rsidR="00832101">
        <w:rPr>
          <w:rFonts w:ascii="Arial" w:hAnsi="Arial" w:cs="Arial"/>
          <w:sz w:val="24"/>
          <w:szCs w:val="24"/>
        </w:rPr>
        <w:t xml:space="preserve"> </w:t>
      </w:r>
      <w:r w:rsidR="00832101" w:rsidRPr="00832101">
        <w:rPr>
          <w:rFonts w:ascii="Arial" w:hAnsi="Arial" w:cs="Arial"/>
          <w:sz w:val="24"/>
          <w:szCs w:val="24"/>
        </w:rPr>
        <w:t>siguen activas después de cinco</w:t>
      </w:r>
      <w:r w:rsidR="00832101">
        <w:rPr>
          <w:rFonts w:ascii="Arial" w:hAnsi="Arial" w:cs="Arial"/>
          <w:sz w:val="24"/>
          <w:szCs w:val="24"/>
        </w:rPr>
        <w:t xml:space="preserve"> </w:t>
      </w:r>
      <w:r w:rsidR="00832101" w:rsidRPr="00832101">
        <w:rPr>
          <w:rFonts w:ascii="Arial" w:hAnsi="Arial" w:cs="Arial"/>
          <w:sz w:val="24"/>
          <w:szCs w:val="24"/>
        </w:rPr>
        <w:t>años de operación, en Colombia</w:t>
      </w:r>
      <w:r w:rsidR="00832101">
        <w:rPr>
          <w:rFonts w:ascii="Arial" w:hAnsi="Arial" w:cs="Arial"/>
          <w:sz w:val="24"/>
          <w:szCs w:val="24"/>
        </w:rPr>
        <w:t xml:space="preserve"> </w:t>
      </w:r>
      <w:r w:rsidR="00EF4DD8">
        <w:rPr>
          <w:rFonts w:ascii="Arial" w:hAnsi="Arial" w:cs="Arial"/>
          <w:sz w:val="24"/>
          <w:szCs w:val="24"/>
        </w:rPr>
        <w:t xml:space="preserve">tan solo 4 y </w:t>
      </w:r>
      <w:r w:rsidR="00832101" w:rsidRPr="00832101">
        <w:rPr>
          <w:rFonts w:ascii="Arial" w:hAnsi="Arial" w:cs="Arial"/>
          <w:sz w:val="24"/>
          <w:szCs w:val="24"/>
        </w:rPr>
        <w:t>en México solo</w:t>
      </w:r>
      <w:r w:rsidR="00832101">
        <w:rPr>
          <w:rFonts w:ascii="Arial" w:hAnsi="Arial" w:cs="Arial"/>
          <w:sz w:val="24"/>
          <w:szCs w:val="24"/>
        </w:rPr>
        <w:t xml:space="preserve"> </w:t>
      </w:r>
      <w:r w:rsidR="00832101" w:rsidRPr="00832101">
        <w:rPr>
          <w:rFonts w:ascii="Arial" w:hAnsi="Arial" w:cs="Arial"/>
          <w:sz w:val="24"/>
          <w:szCs w:val="24"/>
        </w:rPr>
        <w:t>lo hacen 3.</w:t>
      </w:r>
    </w:p>
    <w:p w14:paraId="6C5510A3" w14:textId="0A5A3158" w:rsidR="008F5DFE" w:rsidRDefault="008F5DFE" w:rsidP="00864674">
      <w:pPr>
        <w:jc w:val="both"/>
        <w:rPr>
          <w:rFonts w:ascii="Arial" w:hAnsi="Arial" w:cs="Arial"/>
          <w:sz w:val="24"/>
          <w:szCs w:val="24"/>
        </w:rPr>
      </w:pPr>
      <w:r>
        <w:rPr>
          <w:noProof/>
          <w:lang w:eastAsia="es-CO"/>
        </w:rPr>
        <w:drawing>
          <wp:inline distT="0" distB="0" distL="0" distR="0" wp14:anchorId="4123AE0C" wp14:editId="0A76D358">
            <wp:extent cx="5705475" cy="421715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645" t="25698" r="28504" b="20619"/>
                    <a:stretch/>
                  </pic:blipFill>
                  <pic:spPr bwMode="auto">
                    <a:xfrm>
                      <a:off x="0" y="0"/>
                      <a:ext cx="5733195" cy="4237647"/>
                    </a:xfrm>
                    <a:prstGeom prst="rect">
                      <a:avLst/>
                    </a:prstGeom>
                    <a:ln>
                      <a:noFill/>
                    </a:ln>
                    <a:extLst>
                      <a:ext uri="{53640926-AAD7-44D8-BBD7-CCE9431645EC}">
                        <a14:shadowObscured xmlns:a14="http://schemas.microsoft.com/office/drawing/2010/main"/>
                      </a:ext>
                    </a:extLst>
                  </pic:spPr>
                </pic:pic>
              </a:graphicData>
            </a:graphic>
          </wp:inline>
        </w:drawing>
      </w:r>
    </w:p>
    <w:p w14:paraId="4444D935" w14:textId="03B1AFA9" w:rsidR="008F5DFE" w:rsidRDefault="00EF4DD8" w:rsidP="00864674">
      <w:pPr>
        <w:jc w:val="both"/>
        <w:rPr>
          <w:rFonts w:ascii="Arial" w:hAnsi="Arial" w:cs="Arial"/>
          <w:sz w:val="24"/>
          <w:szCs w:val="24"/>
        </w:rPr>
      </w:pPr>
      <w:r w:rsidRPr="00C62439">
        <w:rPr>
          <w:rFonts w:ascii="Arial" w:hAnsi="Arial" w:cs="Arial"/>
          <w:sz w:val="16"/>
          <w:szCs w:val="16"/>
        </w:rPr>
        <w:t>FUENTE: Confec</w:t>
      </w:r>
      <w:r>
        <w:rPr>
          <w:rFonts w:ascii="Arial" w:hAnsi="Arial" w:cs="Arial"/>
          <w:sz w:val="16"/>
          <w:szCs w:val="16"/>
        </w:rPr>
        <w:t>á</w:t>
      </w:r>
      <w:r w:rsidRPr="00C62439">
        <w:rPr>
          <w:rFonts w:ascii="Arial" w:hAnsi="Arial" w:cs="Arial"/>
          <w:sz w:val="16"/>
          <w:szCs w:val="16"/>
        </w:rPr>
        <w:t>maras.</w:t>
      </w:r>
    </w:p>
    <w:p w14:paraId="427A3FD2" w14:textId="0DD22338" w:rsidR="00C101CF" w:rsidRDefault="006D3ABD" w:rsidP="00864674">
      <w:pPr>
        <w:jc w:val="both"/>
        <w:rPr>
          <w:rFonts w:ascii="Arial" w:hAnsi="Arial" w:cs="Arial"/>
          <w:sz w:val="24"/>
          <w:szCs w:val="24"/>
        </w:rPr>
      </w:pPr>
      <w:r>
        <w:rPr>
          <w:rFonts w:ascii="Arial" w:hAnsi="Arial" w:cs="Arial"/>
          <w:sz w:val="24"/>
          <w:szCs w:val="24"/>
        </w:rPr>
        <w:t xml:space="preserve">Como corolario de lo anterior, hay que </w:t>
      </w:r>
      <w:r w:rsidR="00C101CF">
        <w:rPr>
          <w:rFonts w:ascii="Arial" w:hAnsi="Arial" w:cs="Arial"/>
          <w:sz w:val="24"/>
          <w:szCs w:val="24"/>
        </w:rPr>
        <w:t xml:space="preserve">reconocer en este apartado que aunque como resultado favorable para el desempeño económico el país, la mayoría de las </w:t>
      </w:r>
      <w:r w:rsidR="00C101CF">
        <w:rPr>
          <w:rFonts w:ascii="Arial" w:hAnsi="Arial" w:cs="Arial"/>
          <w:sz w:val="24"/>
          <w:szCs w:val="24"/>
        </w:rPr>
        <w:lastRenderedPageBreak/>
        <w:t>veces se habla de nuevas empresas creadas, también se presenta una salida importante de compañías del tejido empresarial.</w:t>
      </w:r>
    </w:p>
    <w:p w14:paraId="6EA2B6CD" w14:textId="152C62FD" w:rsidR="00166361" w:rsidRDefault="00C71D6E" w:rsidP="00864674">
      <w:pPr>
        <w:jc w:val="both"/>
        <w:rPr>
          <w:rFonts w:ascii="Arial" w:hAnsi="Arial" w:cs="Arial"/>
          <w:sz w:val="24"/>
          <w:szCs w:val="24"/>
        </w:rPr>
      </w:pPr>
      <w:r>
        <w:rPr>
          <w:rFonts w:ascii="Arial" w:hAnsi="Arial" w:cs="Arial"/>
          <w:sz w:val="24"/>
          <w:szCs w:val="24"/>
        </w:rPr>
        <w:t>Así por ejemplo, mientras entre 2013 y 2017 fueron creadas un total de 1.075.908 empresas</w:t>
      </w:r>
      <w:r w:rsidR="006D3ABD">
        <w:rPr>
          <w:rFonts w:ascii="Arial" w:hAnsi="Arial" w:cs="Arial"/>
          <w:sz w:val="24"/>
          <w:szCs w:val="24"/>
        </w:rPr>
        <w:t xml:space="preserve">, </w:t>
      </w:r>
      <w:r>
        <w:rPr>
          <w:rFonts w:ascii="Arial" w:hAnsi="Arial" w:cs="Arial"/>
          <w:sz w:val="24"/>
          <w:szCs w:val="24"/>
        </w:rPr>
        <w:t>a su vez</w:t>
      </w:r>
      <w:r w:rsidR="006D3ABD">
        <w:rPr>
          <w:rFonts w:ascii="Arial" w:hAnsi="Arial" w:cs="Arial"/>
          <w:sz w:val="24"/>
          <w:szCs w:val="24"/>
        </w:rPr>
        <w:t xml:space="preserve">, </w:t>
      </w:r>
      <w:r>
        <w:rPr>
          <w:rFonts w:ascii="Arial" w:hAnsi="Arial" w:cs="Arial"/>
          <w:sz w:val="24"/>
          <w:szCs w:val="24"/>
        </w:rPr>
        <w:t>salieron del mercado 1.011.613, lo que equivale a una tasa de entrada neta promedio de 1.1%.</w:t>
      </w:r>
    </w:p>
    <w:p w14:paraId="7275C4D2" w14:textId="77777777" w:rsidR="00166361" w:rsidRDefault="00166361" w:rsidP="00864674">
      <w:pPr>
        <w:jc w:val="both"/>
        <w:rPr>
          <w:rFonts w:ascii="Arial" w:hAnsi="Arial" w:cs="Arial"/>
          <w:sz w:val="24"/>
          <w:szCs w:val="24"/>
        </w:rPr>
      </w:pPr>
    </w:p>
    <w:p w14:paraId="3DA8B17E" w14:textId="50C27DCE" w:rsidR="00166361" w:rsidRDefault="00166361" w:rsidP="00166361">
      <w:pPr>
        <w:spacing w:after="0" w:line="240" w:lineRule="auto"/>
        <w:jc w:val="center"/>
        <w:rPr>
          <w:rFonts w:ascii="Arial" w:hAnsi="Arial" w:cs="Arial"/>
          <w:b/>
          <w:bCs/>
          <w:sz w:val="24"/>
          <w:szCs w:val="24"/>
        </w:rPr>
      </w:pPr>
      <w:r>
        <w:rPr>
          <w:rFonts w:ascii="Arial" w:hAnsi="Arial" w:cs="Arial"/>
          <w:b/>
          <w:bCs/>
          <w:sz w:val="24"/>
          <w:szCs w:val="24"/>
        </w:rPr>
        <w:t>FLUJO DE EMPRESAS EN COLOMBIA (2013-2017)</w:t>
      </w:r>
    </w:p>
    <w:p w14:paraId="50613156" w14:textId="77777777" w:rsidR="00166361" w:rsidRDefault="00166361" w:rsidP="00166361">
      <w:pPr>
        <w:spacing w:after="0" w:line="240" w:lineRule="auto"/>
        <w:jc w:val="center"/>
        <w:rPr>
          <w:rFonts w:ascii="Arial" w:hAnsi="Arial" w:cs="Arial"/>
          <w:sz w:val="24"/>
          <w:szCs w:val="24"/>
        </w:rPr>
      </w:pPr>
    </w:p>
    <w:p w14:paraId="5212CC02" w14:textId="2828A9B7" w:rsidR="00C101CF" w:rsidRDefault="008A4ADC" w:rsidP="00484DF2">
      <w:pPr>
        <w:jc w:val="center"/>
        <w:rPr>
          <w:rFonts w:ascii="Arial" w:hAnsi="Arial" w:cs="Arial"/>
          <w:sz w:val="24"/>
          <w:szCs w:val="24"/>
        </w:rPr>
      </w:pPr>
      <w:r w:rsidRPr="008A4ADC">
        <w:rPr>
          <w:noProof/>
          <w:lang w:eastAsia="es-CO"/>
        </w:rPr>
        <w:drawing>
          <wp:inline distT="0" distB="0" distL="0" distR="0" wp14:anchorId="0950FCDF" wp14:editId="14C0166A">
            <wp:extent cx="4763135" cy="22929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3135" cy="2292985"/>
                    </a:xfrm>
                    <a:prstGeom prst="rect">
                      <a:avLst/>
                    </a:prstGeom>
                    <a:noFill/>
                    <a:ln>
                      <a:noFill/>
                    </a:ln>
                  </pic:spPr>
                </pic:pic>
              </a:graphicData>
            </a:graphic>
          </wp:inline>
        </w:drawing>
      </w:r>
    </w:p>
    <w:p w14:paraId="1DE778DA" w14:textId="77777777" w:rsidR="00C71D6E" w:rsidRDefault="00C71D6E" w:rsidP="00C71D6E">
      <w:pPr>
        <w:jc w:val="both"/>
        <w:rPr>
          <w:rFonts w:ascii="Arial" w:hAnsi="Arial" w:cs="Arial"/>
          <w:sz w:val="24"/>
          <w:szCs w:val="24"/>
        </w:rPr>
      </w:pPr>
      <w:r w:rsidRPr="00C62439">
        <w:rPr>
          <w:rFonts w:ascii="Arial" w:hAnsi="Arial" w:cs="Arial"/>
          <w:sz w:val="16"/>
          <w:szCs w:val="16"/>
        </w:rPr>
        <w:t>FUENTE: Confec</w:t>
      </w:r>
      <w:r>
        <w:rPr>
          <w:rFonts w:ascii="Arial" w:hAnsi="Arial" w:cs="Arial"/>
          <w:sz w:val="16"/>
          <w:szCs w:val="16"/>
        </w:rPr>
        <w:t>á</w:t>
      </w:r>
      <w:r w:rsidRPr="00C62439">
        <w:rPr>
          <w:rFonts w:ascii="Arial" w:hAnsi="Arial" w:cs="Arial"/>
          <w:sz w:val="16"/>
          <w:szCs w:val="16"/>
        </w:rPr>
        <w:t>maras.</w:t>
      </w:r>
    </w:p>
    <w:p w14:paraId="4E0D3D11" w14:textId="1A335823" w:rsidR="005B002A" w:rsidRDefault="00E846AD" w:rsidP="00864674">
      <w:pPr>
        <w:jc w:val="both"/>
        <w:rPr>
          <w:rFonts w:ascii="Arial" w:hAnsi="Arial" w:cs="Arial"/>
          <w:sz w:val="24"/>
          <w:szCs w:val="24"/>
        </w:rPr>
      </w:pPr>
      <w:r>
        <w:rPr>
          <w:rFonts w:ascii="Arial" w:hAnsi="Arial" w:cs="Arial"/>
          <w:sz w:val="24"/>
          <w:szCs w:val="24"/>
        </w:rPr>
        <w:t>Al analizar las variables que explican la supervivencia empresarial, Confecámaras (2017)</w:t>
      </w:r>
      <w:r w:rsidR="00A95CA2">
        <w:rPr>
          <w:rFonts w:ascii="Arial" w:hAnsi="Arial" w:cs="Arial"/>
          <w:sz w:val="24"/>
          <w:szCs w:val="24"/>
        </w:rPr>
        <w:t xml:space="preserve"> encontró que una de ellas era el acceso a crédito</w:t>
      </w:r>
      <w:r w:rsidR="00A95CA2">
        <w:rPr>
          <w:rStyle w:val="Refdenotaalpie"/>
          <w:rFonts w:ascii="Arial" w:hAnsi="Arial" w:cs="Arial"/>
          <w:sz w:val="24"/>
          <w:szCs w:val="24"/>
        </w:rPr>
        <w:footnoteReference w:id="9"/>
      </w:r>
      <w:r w:rsidR="00A95CA2">
        <w:rPr>
          <w:rFonts w:ascii="Arial" w:hAnsi="Arial" w:cs="Arial"/>
          <w:sz w:val="24"/>
          <w:szCs w:val="24"/>
        </w:rPr>
        <w:t>.</w:t>
      </w:r>
    </w:p>
    <w:p w14:paraId="37C17C14" w14:textId="795C1C54" w:rsidR="00551FF2" w:rsidRDefault="00551FF2" w:rsidP="00864674">
      <w:pPr>
        <w:jc w:val="both"/>
        <w:rPr>
          <w:rFonts w:ascii="Arial" w:hAnsi="Arial" w:cs="Arial"/>
          <w:sz w:val="24"/>
          <w:szCs w:val="24"/>
        </w:rPr>
      </w:pPr>
      <w:r>
        <w:rPr>
          <w:rFonts w:ascii="Arial" w:hAnsi="Arial" w:cs="Arial"/>
          <w:sz w:val="24"/>
          <w:szCs w:val="24"/>
        </w:rPr>
        <w:t xml:space="preserve">Por ende, la presente iniciativa al fortalecer los fondos de capital privado nacionales y convertirlos como una importante fuente de financiamiento para los emprendimientos y Mipymes, contribuye a mejorar la supervivencia empresarial de estas entidades en Colombia. </w:t>
      </w:r>
    </w:p>
    <w:p w14:paraId="574AE8A1" w14:textId="77777777" w:rsidR="002F095E" w:rsidRDefault="002F095E" w:rsidP="00864674">
      <w:pPr>
        <w:jc w:val="both"/>
        <w:rPr>
          <w:rFonts w:ascii="Arial" w:hAnsi="Arial" w:cs="Arial"/>
          <w:sz w:val="24"/>
          <w:szCs w:val="24"/>
        </w:rPr>
      </w:pPr>
    </w:p>
    <w:p w14:paraId="37452E91" w14:textId="7B9BDB49" w:rsidR="00B647E3" w:rsidRPr="00663A33" w:rsidRDefault="002A5993" w:rsidP="005923DE">
      <w:pPr>
        <w:pStyle w:val="Prrafodelista"/>
        <w:numPr>
          <w:ilvl w:val="2"/>
          <w:numId w:val="18"/>
        </w:numPr>
        <w:jc w:val="both"/>
        <w:rPr>
          <w:rFonts w:ascii="Arial" w:hAnsi="Arial" w:cs="Arial"/>
          <w:sz w:val="24"/>
          <w:szCs w:val="24"/>
        </w:rPr>
      </w:pPr>
      <w:r w:rsidRPr="002A5993">
        <w:rPr>
          <w:rFonts w:ascii="Arial" w:hAnsi="Arial" w:cs="Arial"/>
          <w:sz w:val="24"/>
          <w:szCs w:val="24"/>
          <w:u w:val="single"/>
        </w:rPr>
        <w:lastRenderedPageBreak/>
        <w:t xml:space="preserve">Panorama en materia de financiamiento de los emprendimientos y Mipymes en Colombia. </w:t>
      </w:r>
    </w:p>
    <w:p w14:paraId="2A8CF1CF" w14:textId="1A4150DC" w:rsidR="00663A33" w:rsidRDefault="00663A33" w:rsidP="00663A33">
      <w:pPr>
        <w:pStyle w:val="Prrafodelista"/>
        <w:ind w:left="390"/>
        <w:jc w:val="both"/>
        <w:rPr>
          <w:rFonts w:ascii="Arial" w:hAnsi="Arial" w:cs="Arial"/>
          <w:sz w:val="24"/>
          <w:szCs w:val="24"/>
          <w:u w:val="single"/>
        </w:rPr>
      </w:pPr>
    </w:p>
    <w:p w14:paraId="7C254E10" w14:textId="1C94BAF7" w:rsidR="00663A33" w:rsidRDefault="00663A33" w:rsidP="00841DDB">
      <w:pPr>
        <w:pStyle w:val="Prrafodelista"/>
        <w:numPr>
          <w:ilvl w:val="0"/>
          <w:numId w:val="19"/>
        </w:numPr>
        <w:jc w:val="both"/>
        <w:rPr>
          <w:rFonts w:ascii="Arial" w:hAnsi="Arial" w:cs="Arial"/>
          <w:sz w:val="24"/>
          <w:szCs w:val="24"/>
        </w:rPr>
      </w:pPr>
      <w:r w:rsidRPr="00663A33">
        <w:rPr>
          <w:rFonts w:ascii="Arial" w:hAnsi="Arial" w:cs="Arial"/>
          <w:sz w:val="24"/>
          <w:szCs w:val="24"/>
        </w:rPr>
        <w:t xml:space="preserve">En materia de emprendimiento, </w:t>
      </w:r>
      <w:r>
        <w:rPr>
          <w:rFonts w:ascii="Arial" w:hAnsi="Arial" w:cs="Arial"/>
          <w:sz w:val="24"/>
          <w:szCs w:val="24"/>
        </w:rPr>
        <w:t xml:space="preserve">su financiación en el país, necesita ser fortalecida. Conforme al </w:t>
      </w:r>
      <w:r w:rsidR="006362F1">
        <w:rPr>
          <w:rFonts w:ascii="Arial" w:hAnsi="Arial" w:cs="Arial"/>
          <w:sz w:val="24"/>
          <w:szCs w:val="24"/>
        </w:rPr>
        <w:t xml:space="preserve">Índice de Contexto de Emprendimiento Nacional que desarrolla el </w:t>
      </w:r>
      <w:r>
        <w:rPr>
          <w:rFonts w:ascii="Arial" w:hAnsi="Arial" w:cs="Arial"/>
          <w:sz w:val="24"/>
          <w:szCs w:val="24"/>
        </w:rPr>
        <w:t>Global Entrepreneurship Monitor (2018-2019)</w:t>
      </w:r>
      <w:r>
        <w:rPr>
          <w:rStyle w:val="Refdenotaalpie"/>
          <w:rFonts w:ascii="Arial" w:hAnsi="Arial" w:cs="Arial"/>
          <w:sz w:val="24"/>
          <w:szCs w:val="24"/>
        </w:rPr>
        <w:footnoteReference w:id="10"/>
      </w:r>
      <w:r w:rsidR="006362F1">
        <w:rPr>
          <w:rFonts w:ascii="Arial" w:hAnsi="Arial" w:cs="Arial"/>
          <w:sz w:val="24"/>
          <w:szCs w:val="24"/>
        </w:rPr>
        <w:t xml:space="preserve"> y que evalúa 12 condiciones marco del entorno para el emprendimiento en una economía</w:t>
      </w:r>
      <w:r w:rsidR="006362F1">
        <w:rPr>
          <w:rStyle w:val="Refdenotaalpie"/>
          <w:rFonts w:ascii="Arial" w:hAnsi="Arial" w:cs="Arial"/>
          <w:sz w:val="24"/>
          <w:szCs w:val="24"/>
        </w:rPr>
        <w:footnoteReference w:id="11"/>
      </w:r>
      <w:r w:rsidR="006362F1">
        <w:rPr>
          <w:rFonts w:ascii="Arial" w:hAnsi="Arial" w:cs="Arial"/>
          <w:sz w:val="24"/>
          <w:szCs w:val="24"/>
        </w:rPr>
        <w:t>, entre 54 países, Colombia se encuentra en la posición número 32, por debajo de países de la región como Argentina (posición 21), México (Posición 23) y Chile (Posición 26).</w:t>
      </w:r>
    </w:p>
    <w:p w14:paraId="2F01ABBF" w14:textId="22323DBC" w:rsidR="00640C49" w:rsidRDefault="00185481" w:rsidP="00841DDB">
      <w:pPr>
        <w:ind w:left="360"/>
        <w:jc w:val="both"/>
        <w:rPr>
          <w:rFonts w:ascii="Arial" w:hAnsi="Arial" w:cs="Arial"/>
          <w:sz w:val="24"/>
          <w:szCs w:val="24"/>
        </w:rPr>
      </w:pPr>
      <w:r w:rsidRPr="00A11EE1">
        <w:rPr>
          <w:rFonts w:ascii="Arial" w:hAnsi="Arial" w:cs="Arial"/>
          <w:sz w:val="24"/>
          <w:szCs w:val="24"/>
        </w:rPr>
        <w:t>A pesar que según el punto de vista de la institución “</w:t>
      </w:r>
      <w:r w:rsidRPr="00ED7A72">
        <w:rPr>
          <w:rFonts w:ascii="Arial" w:hAnsi="Arial" w:cs="Arial"/>
          <w:i/>
          <w:sz w:val="24"/>
          <w:szCs w:val="24"/>
        </w:rPr>
        <w:t xml:space="preserve">El impacto positivo de la nueva </w:t>
      </w:r>
      <w:r w:rsidR="00A11EE1" w:rsidRPr="00ED7A72">
        <w:rPr>
          <w:rFonts w:ascii="Arial" w:hAnsi="Arial" w:cs="Arial"/>
          <w:i/>
          <w:sz w:val="24"/>
          <w:szCs w:val="24"/>
        </w:rPr>
        <w:t xml:space="preserve">administración del </w:t>
      </w:r>
      <w:r w:rsidRPr="00ED7A72">
        <w:rPr>
          <w:rFonts w:ascii="Arial" w:hAnsi="Arial" w:cs="Arial"/>
          <w:i/>
          <w:sz w:val="24"/>
          <w:szCs w:val="24"/>
        </w:rPr>
        <w:t xml:space="preserve">presidente </w:t>
      </w:r>
      <w:r w:rsidR="00A054DD" w:rsidRPr="00ED7A72">
        <w:rPr>
          <w:rFonts w:ascii="Arial" w:hAnsi="Arial" w:cs="Arial"/>
          <w:i/>
          <w:sz w:val="24"/>
          <w:szCs w:val="24"/>
        </w:rPr>
        <w:t>Iván</w:t>
      </w:r>
      <w:r w:rsidRPr="00ED7A72">
        <w:rPr>
          <w:rFonts w:ascii="Arial" w:hAnsi="Arial" w:cs="Arial"/>
          <w:i/>
          <w:sz w:val="24"/>
          <w:szCs w:val="24"/>
        </w:rPr>
        <w:t xml:space="preserve"> Duque, cuya visión se centra en</w:t>
      </w:r>
      <w:r w:rsidR="00A11EE1" w:rsidRPr="00ED7A72">
        <w:rPr>
          <w:rFonts w:ascii="Arial" w:hAnsi="Arial" w:cs="Arial"/>
          <w:i/>
          <w:sz w:val="24"/>
          <w:szCs w:val="24"/>
        </w:rPr>
        <w:t xml:space="preserve"> </w:t>
      </w:r>
      <w:r w:rsidRPr="00ED7A72">
        <w:rPr>
          <w:rFonts w:ascii="Arial" w:hAnsi="Arial" w:cs="Arial"/>
          <w:i/>
          <w:sz w:val="24"/>
          <w:szCs w:val="24"/>
        </w:rPr>
        <w:t>el emprendimiento como uno de sus pilares de crecimiento,</w:t>
      </w:r>
      <w:r w:rsidR="00A11EE1" w:rsidRPr="00ED7A72">
        <w:rPr>
          <w:rFonts w:ascii="Arial" w:hAnsi="Arial" w:cs="Arial"/>
          <w:i/>
          <w:sz w:val="24"/>
          <w:szCs w:val="24"/>
        </w:rPr>
        <w:t xml:space="preserve"> </w:t>
      </w:r>
      <w:r w:rsidRPr="00ED7A72">
        <w:rPr>
          <w:rFonts w:ascii="Arial" w:hAnsi="Arial" w:cs="Arial"/>
          <w:i/>
          <w:sz w:val="24"/>
          <w:szCs w:val="24"/>
        </w:rPr>
        <w:t xml:space="preserve">se puede ver en nuestros resultados GEM 2018. </w:t>
      </w:r>
      <w:r w:rsidR="00A11EE1" w:rsidRPr="00ED7A72">
        <w:rPr>
          <w:rFonts w:ascii="Arial" w:hAnsi="Arial" w:cs="Arial"/>
          <w:i/>
          <w:sz w:val="24"/>
          <w:szCs w:val="24"/>
        </w:rPr>
        <w:t>La actividad de emprendimientos en etapa temprana en un 13% más alta en 2018 con respecto a 2017</w:t>
      </w:r>
      <w:r w:rsidRPr="00ED7A72">
        <w:rPr>
          <w:rFonts w:ascii="Arial" w:hAnsi="Arial" w:cs="Arial"/>
          <w:i/>
          <w:sz w:val="24"/>
          <w:szCs w:val="24"/>
        </w:rPr>
        <w:t>y se espera que crezca en los próximos cuatro años</w:t>
      </w:r>
      <w:r w:rsidR="00A11EE1" w:rsidRPr="00ED7A72">
        <w:rPr>
          <w:rFonts w:ascii="Arial" w:hAnsi="Arial" w:cs="Arial"/>
          <w:i/>
          <w:sz w:val="24"/>
          <w:szCs w:val="24"/>
        </w:rPr>
        <w:t xml:space="preserve"> </w:t>
      </w:r>
      <w:r w:rsidRPr="00ED7A72">
        <w:rPr>
          <w:rFonts w:ascii="Arial" w:hAnsi="Arial" w:cs="Arial"/>
          <w:i/>
          <w:sz w:val="24"/>
          <w:szCs w:val="24"/>
        </w:rPr>
        <w:t xml:space="preserve">debido a las nuevas políticas </w:t>
      </w:r>
      <w:r w:rsidR="00A11EE1" w:rsidRPr="00ED7A72">
        <w:rPr>
          <w:rFonts w:ascii="Arial" w:hAnsi="Arial" w:cs="Arial"/>
          <w:i/>
          <w:sz w:val="24"/>
          <w:szCs w:val="24"/>
        </w:rPr>
        <w:t xml:space="preserve">y programas de </w:t>
      </w:r>
      <w:r w:rsidRPr="00ED7A72">
        <w:rPr>
          <w:rFonts w:ascii="Arial" w:hAnsi="Arial" w:cs="Arial"/>
          <w:i/>
          <w:sz w:val="24"/>
          <w:szCs w:val="24"/>
        </w:rPr>
        <w:t>apoyo del gobierno</w:t>
      </w:r>
      <w:r w:rsidR="00ED7A72">
        <w:rPr>
          <w:rFonts w:ascii="Arial" w:hAnsi="Arial" w:cs="Arial"/>
          <w:sz w:val="24"/>
          <w:szCs w:val="24"/>
        </w:rPr>
        <w:t xml:space="preserve">.”, </w:t>
      </w:r>
      <w:r w:rsidR="00904234">
        <w:rPr>
          <w:rFonts w:ascii="Arial" w:hAnsi="Arial" w:cs="Arial"/>
          <w:sz w:val="24"/>
          <w:szCs w:val="24"/>
        </w:rPr>
        <w:t>el pilar de financiamiento es el de segundo peor comportamiento (posición 47 entre 54) después del de dinámica del mercado interno (posición 50 entre 54).</w:t>
      </w:r>
    </w:p>
    <w:p w14:paraId="6E267C46" w14:textId="4066332B" w:rsidR="00640C49" w:rsidRPr="00663A33" w:rsidRDefault="00640C49" w:rsidP="00663A33">
      <w:pPr>
        <w:pStyle w:val="Prrafodelista"/>
        <w:ind w:left="0"/>
        <w:jc w:val="both"/>
        <w:rPr>
          <w:rFonts w:ascii="Arial" w:hAnsi="Arial" w:cs="Arial"/>
          <w:sz w:val="24"/>
          <w:szCs w:val="24"/>
        </w:rPr>
      </w:pPr>
      <w:r>
        <w:rPr>
          <w:rFonts w:ascii="Arial" w:hAnsi="Arial" w:cs="Arial"/>
          <w:sz w:val="24"/>
          <w:szCs w:val="24"/>
        </w:rPr>
        <w:br w:type="textWrapping" w:clear="all"/>
      </w:r>
    </w:p>
    <w:p w14:paraId="643CEC9F" w14:textId="70F4D1AB" w:rsidR="00B647E3" w:rsidRDefault="00B647E3" w:rsidP="00864674">
      <w:pPr>
        <w:jc w:val="both"/>
        <w:rPr>
          <w:rFonts w:ascii="Arial" w:hAnsi="Arial" w:cs="Arial"/>
          <w:sz w:val="24"/>
          <w:szCs w:val="24"/>
        </w:rPr>
      </w:pPr>
    </w:p>
    <w:p w14:paraId="723A02BA" w14:textId="0862ED5E" w:rsidR="00ED0735" w:rsidRDefault="00640C49" w:rsidP="00ED0735">
      <w:pPr>
        <w:jc w:val="both"/>
        <w:rPr>
          <w:rFonts w:ascii="Arial" w:hAnsi="Arial" w:cs="Arial"/>
          <w:sz w:val="24"/>
          <w:szCs w:val="24"/>
        </w:rPr>
      </w:pPr>
      <w:r>
        <w:rPr>
          <w:noProof/>
          <w:lang w:eastAsia="es-CO"/>
        </w:rPr>
        <w:lastRenderedPageBreak/>
        <w:drawing>
          <wp:anchor distT="0" distB="0" distL="114300" distR="114300" simplePos="0" relativeHeight="251664384" behindDoc="0" locked="0" layoutInCell="1" allowOverlap="1" wp14:anchorId="6AD334B4" wp14:editId="311887A5">
            <wp:simplePos x="0" y="0"/>
            <wp:positionH relativeFrom="column">
              <wp:posOffset>709684</wp:posOffset>
            </wp:positionH>
            <wp:positionV relativeFrom="paragraph">
              <wp:posOffset>22851</wp:posOffset>
            </wp:positionV>
            <wp:extent cx="4094329" cy="4094329"/>
            <wp:effectExtent l="0" t="0" r="1905" b="190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6046" t="28464" r="25615" b="21152"/>
                    <a:stretch/>
                  </pic:blipFill>
                  <pic:spPr bwMode="auto">
                    <a:xfrm>
                      <a:off x="0" y="0"/>
                      <a:ext cx="4094329" cy="40943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78851" w14:textId="77777777" w:rsidR="00ED0735" w:rsidRDefault="00ED0735" w:rsidP="00ED0735">
      <w:pPr>
        <w:jc w:val="both"/>
        <w:rPr>
          <w:rFonts w:ascii="Arial" w:hAnsi="Arial" w:cs="Arial"/>
          <w:sz w:val="24"/>
          <w:szCs w:val="24"/>
        </w:rPr>
      </w:pPr>
    </w:p>
    <w:p w14:paraId="088550E3" w14:textId="77777777" w:rsidR="00ED0735" w:rsidRPr="002F095E" w:rsidRDefault="00ED0735" w:rsidP="00ED0735">
      <w:pPr>
        <w:jc w:val="both"/>
        <w:rPr>
          <w:rFonts w:ascii="Arial" w:hAnsi="Arial" w:cs="Arial"/>
          <w:sz w:val="24"/>
          <w:szCs w:val="24"/>
        </w:rPr>
      </w:pPr>
    </w:p>
    <w:p w14:paraId="25A73CFD" w14:textId="77777777" w:rsidR="002F095E" w:rsidRPr="002F095E" w:rsidRDefault="002F095E" w:rsidP="002F095E">
      <w:pPr>
        <w:rPr>
          <w:rFonts w:ascii="Arial" w:hAnsi="Arial" w:cs="Arial"/>
          <w:sz w:val="24"/>
          <w:szCs w:val="24"/>
        </w:rPr>
      </w:pPr>
    </w:p>
    <w:p w14:paraId="4F6EBE35" w14:textId="77777777" w:rsidR="002F095E" w:rsidRPr="002F095E" w:rsidRDefault="002F095E" w:rsidP="002F095E">
      <w:pPr>
        <w:rPr>
          <w:rFonts w:ascii="Arial" w:hAnsi="Arial" w:cs="Arial"/>
          <w:sz w:val="24"/>
          <w:szCs w:val="24"/>
        </w:rPr>
      </w:pPr>
    </w:p>
    <w:p w14:paraId="6C691B53" w14:textId="77777777" w:rsidR="002F095E" w:rsidRPr="002F095E" w:rsidRDefault="002F095E" w:rsidP="002F095E">
      <w:pPr>
        <w:rPr>
          <w:rFonts w:ascii="Arial" w:hAnsi="Arial" w:cs="Arial"/>
          <w:sz w:val="24"/>
          <w:szCs w:val="24"/>
        </w:rPr>
      </w:pPr>
    </w:p>
    <w:p w14:paraId="14930D39" w14:textId="77777777" w:rsidR="002F095E" w:rsidRPr="002F095E" w:rsidRDefault="002F095E" w:rsidP="002F095E">
      <w:pPr>
        <w:rPr>
          <w:rFonts w:ascii="Arial" w:hAnsi="Arial" w:cs="Arial"/>
          <w:sz w:val="24"/>
          <w:szCs w:val="24"/>
        </w:rPr>
      </w:pPr>
    </w:p>
    <w:p w14:paraId="047DB2B5" w14:textId="77777777" w:rsidR="002F095E" w:rsidRPr="002F095E" w:rsidRDefault="002F095E" w:rsidP="002F095E">
      <w:pPr>
        <w:rPr>
          <w:rFonts w:ascii="Arial" w:hAnsi="Arial" w:cs="Arial"/>
          <w:sz w:val="24"/>
          <w:szCs w:val="24"/>
        </w:rPr>
      </w:pPr>
    </w:p>
    <w:p w14:paraId="01D1FF6E" w14:textId="77777777" w:rsidR="002F095E" w:rsidRPr="002F095E" w:rsidRDefault="002F095E" w:rsidP="002F095E">
      <w:pPr>
        <w:rPr>
          <w:rFonts w:ascii="Arial" w:hAnsi="Arial" w:cs="Arial"/>
          <w:sz w:val="24"/>
          <w:szCs w:val="24"/>
        </w:rPr>
      </w:pPr>
    </w:p>
    <w:p w14:paraId="022380E0" w14:textId="77777777" w:rsidR="002F095E" w:rsidRPr="002F095E" w:rsidRDefault="002F095E" w:rsidP="002F095E">
      <w:pPr>
        <w:rPr>
          <w:rFonts w:ascii="Arial" w:hAnsi="Arial" w:cs="Arial"/>
          <w:sz w:val="24"/>
          <w:szCs w:val="24"/>
        </w:rPr>
      </w:pPr>
    </w:p>
    <w:p w14:paraId="3AA7C590" w14:textId="77777777" w:rsidR="002F095E" w:rsidRPr="002F095E" w:rsidRDefault="002F095E" w:rsidP="002F095E">
      <w:pPr>
        <w:rPr>
          <w:rFonts w:ascii="Arial" w:hAnsi="Arial" w:cs="Arial"/>
          <w:sz w:val="24"/>
          <w:szCs w:val="24"/>
        </w:rPr>
      </w:pPr>
    </w:p>
    <w:p w14:paraId="76C8BBB6" w14:textId="77777777" w:rsidR="002F095E" w:rsidRPr="002F095E" w:rsidRDefault="002F095E" w:rsidP="002F095E">
      <w:pPr>
        <w:rPr>
          <w:rFonts w:ascii="Arial" w:hAnsi="Arial" w:cs="Arial"/>
          <w:sz w:val="24"/>
          <w:szCs w:val="24"/>
        </w:rPr>
      </w:pPr>
    </w:p>
    <w:p w14:paraId="344C3B89" w14:textId="0DD61C12" w:rsidR="002F095E" w:rsidRDefault="002F095E" w:rsidP="002F095E">
      <w:pPr>
        <w:rPr>
          <w:rFonts w:ascii="Arial" w:hAnsi="Arial" w:cs="Arial"/>
          <w:sz w:val="24"/>
          <w:szCs w:val="24"/>
        </w:rPr>
      </w:pPr>
    </w:p>
    <w:p w14:paraId="2654BA95" w14:textId="77777777" w:rsidR="001F52D0" w:rsidRDefault="001F52D0" w:rsidP="001F52D0">
      <w:pPr>
        <w:jc w:val="both"/>
        <w:rPr>
          <w:rFonts w:ascii="Arial" w:hAnsi="Arial" w:cs="Arial"/>
          <w:sz w:val="16"/>
          <w:szCs w:val="16"/>
        </w:rPr>
      </w:pPr>
    </w:p>
    <w:p w14:paraId="5638DFED" w14:textId="77777777" w:rsidR="00D370CC" w:rsidRDefault="00D370CC" w:rsidP="001F52D0">
      <w:pPr>
        <w:jc w:val="both"/>
        <w:rPr>
          <w:rFonts w:ascii="Arial" w:hAnsi="Arial" w:cs="Arial"/>
          <w:sz w:val="16"/>
          <w:szCs w:val="16"/>
        </w:rPr>
      </w:pPr>
    </w:p>
    <w:p w14:paraId="6A85B3EF" w14:textId="0DF8DD67" w:rsidR="001F52D0" w:rsidRDefault="001F52D0" w:rsidP="001F52D0">
      <w:pPr>
        <w:jc w:val="both"/>
        <w:rPr>
          <w:rFonts w:ascii="Arial" w:hAnsi="Arial" w:cs="Arial"/>
          <w:sz w:val="24"/>
          <w:szCs w:val="24"/>
        </w:rPr>
      </w:pPr>
      <w:r>
        <w:rPr>
          <w:rFonts w:ascii="Arial" w:hAnsi="Arial" w:cs="Arial"/>
          <w:sz w:val="16"/>
          <w:szCs w:val="16"/>
        </w:rPr>
        <w:t>FUENTE: GEM.</w:t>
      </w:r>
    </w:p>
    <w:p w14:paraId="406A4246" w14:textId="2512A4D9" w:rsidR="002F095E" w:rsidRDefault="002F095E" w:rsidP="00841DDB">
      <w:pPr>
        <w:spacing w:after="0" w:line="240" w:lineRule="auto"/>
        <w:ind w:left="360"/>
        <w:jc w:val="both"/>
        <w:rPr>
          <w:rFonts w:ascii="Arial" w:hAnsi="Arial" w:cs="Arial"/>
          <w:sz w:val="24"/>
          <w:szCs w:val="24"/>
        </w:rPr>
      </w:pPr>
      <w:r>
        <w:rPr>
          <w:rFonts w:ascii="Arial" w:hAnsi="Arial" w:cs="Arial"/>
          <w:sz w:val="24"/>
          <w:szCs w:val="24"/>
        </w:rPr>
        <w:t>A nivel regional, en el componente de financiamiento, el puntaje de Colombia (puntaje de 3.56/9) es el peor con nuestros comparables y es superado por países como Brasil (puntaje de 5.34/9), Chile (puntaje de 4.26/9), México (puntaje de 4.44/9), Perú (puntaje de 3.96/9) y Uruguay (3.91/9).</w:t>
      </w:r>
    </w:p>
    <w:p w14:paraId="78403F5F" w14:textId="77777777" w:rsidR="009F665B" w:rsidRDefault="009F665B" w:rsidP="002F095E">
      <w:pPr>
        <w:spacing w:after="0" w:line="240" w:lineRule="auto"/>
        <w:jc w:val="both"/>
        <w:rPr>
          <w:rFonts w:ascii="Arial" w:hAnsi="Arial" w:cs="Arial"/>
          <w:sz w:val="24"/>
          <w:szCs w:val="24"/>
        </w:rPr>
      </w:pPr>
    </w:p>
    <w:p w14:paraId="53CC1047" w14:textId="147CCE10" w:rsidR="009F665B" w:rsidRDefault="009F665B" w:rsidP="00841DDB">
      <w:pPr>
        <w:pStyle w:val="Prrafodelista"/>
        <w:numPr>
          <w:ilvl w:val="0"/>
          <w:numId w:val="19"/>
        </w:numPr>
        <w:spacing w:after="0" w:line="240" w:lineRule="auto"/>
        <w:jc w:val="both"/>
        <w:rPr>
          <w:rFonts w:ascii="Arial" w:hAnsi="Arial" w:cs="Arial"/>
          <w:sz w:val="24"/>
          <w:szCs w:val="24"/>
        </w:rPr>
      </w:pPr>
      <w:r w:rsidRPr="00841DDB">
        <w:rPr>
          <w:rFonts w:ascii="Arial" w:hAnsi="Arial" w:cs="Arial"/>
          <w:sz w:val="24"/>
          <w:szCs w:val="24"/>
        </w:rPr>
        <w:t>De otra parte, en lo que respecta a financiamiento para Pymes, conforme al Global Competitiveness Report 20</w:t>
      </w:r>
      <w:r w:rsidR="001672B9" w:rsidRPr="00841DDB">
        <w:rPr>
          <w:rFonts w:ascii="Arial" w:hAnsi="Arial" w:cs="Arial"/>
          <w:sz w:val="24"/>
          <w:szCs w:val="24"/>
        </w:rPr>
        <w:t>19 elaborado por el Foro Económico Mundial</w:t>
      </w:r>
      <w:r w:rsidRPr="00841DDB">
        <w:rPr>
          <w:rFonts w:ascii="Arial" w:hAnsi="Arial" w:cs="Arial"/>
          <w:sz w:val="24"/>
          <w:szCs w:val="24"/>
        </w:rPr>
        <w:t xml:space="preserve">, el país ocupa la posición 73 entre 141 </w:t>
      </w:r>
      <w:r w:rsidR="001672B9" w:rsidRPr="00841DDB">
        <w:rPr>
          <w:rFonts w:ascii="Arial" w:hAnsi="Arial" w:cs="Arial"/>
          <w:sz w:val="24"/>
          <w:szCs w:val="24"/>
        </w:rPr>
        <w:t>economías, superado por países de la región como Chile (47/141),</w:t>
      </w:r>
      <w:r w:rsidR="00446450">
        <w:rPr>
          <w:rFonts w:ascii="Arial" w:hAnsi="Arial" w:cs="Arial"/>
          <w:sz w:val="24"/>
          <w:szCs w:val="24"/>
        </w:rPr>
        <w:t xml:space="preserve"> Uruguay (57/141), Panamá (44/1</w:t>
      </w:r>
      <w:r w:rsidR="001672B9" w:rsidRPr="00841DDB">
        <w:rPr>
          <w:rFonts w:ascii="Arial" w:hAnsi="Arial" w:cs="Arial"/>
          <w:sz w:val="24"/>
          <w:szCs w:val="24"/>
        </w:rPr>
        <w:t>4</w:t>
      </w:r>
      <w:r w:rsidR="00446450">
        <w:rPr>
          <w:rFonts w:ascii="Arial" w:hAnsi="Arial" w:cs="Arial"/>
          <w:sz w:val="24"/>
          <w:szCs w:val="24"/>
        </w:rPr>
        <w:t>1) y Paraguay (67/141</w:t>
      </w:r>
      <w:r w:rsidR="001672B9" w:rsidRPr="00841DDB">
        <w:rPr>
          <w:rFonts w:ascii="Arial" w:hAnsi="Arial" w:cs="Arial"/>
          <w:sz w:val="24"/>
          <w:szCs w:val="24"/>
        </w:rPr>
        <w:t>).</w:t>
      </w:r>
    </w:p>
    <w:p w14:paraId="5EF36A73" w14:textId="3DB82450" w:rsidR="00D370CC" w:rsidRDefault="00D370CC" w:rsidP="00D370CC">
      <w:pPr>
        <w:pStyle w:val="Prrafodelista"/>
        <w:spacing w:after="0" w:line="240" w:lineRule="auto"/>
        <w:ind w:left="360"/>
        <w:jc w:val="both"/>
        <w:rPr>
          <w:rFonts w:ascii="Arial" w:hAnsi="Arial" w:cs="Arial"/>
          <w:sz w:val="24"/>
          <w:szCs w:val="24"/>
        </w:rPr>
      </w:pPr>
    </w:p>
    <w:p w14:paraId="5C55D35F" w14:textId="77777777" w:rsidR="00D370CC" w:rsidRDefault="00D370CC" w:rsidP="00D370CC">
      <w:pPr>
        <w:pStyle w:val="Prrafodelista"/>
        <w:spacing w:after="0" w:line="240" w:lineRule="auto"/>
        <w:ind w:left="360"/>
        <w:jc w:val="both"/>
        <w:rPr>
          <w:rFonts w:ascii="Arial" w:hAnsi="Arial" w:cs="Arial"/>
          <w:sz w:val="24"/>
          <w:szCs w:val="24"/>
        </w:rPr>
      </w:pPr>
    </w:p>
    <w:p w14:paraId="639ADA32" w14:textId="77777777" w:rsidR="00D370CC" w:rsidRDefault="00D370CC" w:rsidP="00D370CC">
      <w:pPr>
        <w:pStyle w:val="Prrafodelista"/>
        <w:spacing w:after="0" w:line="240" w:lineRule="auto"/>
        <w:ind w:left="360"/>
        <w:jc w:val="both"/>
        <w:rPr>
          <w:rFonts w:ascii="Arial" w:hAnsi="Arial" w:cs="Arial"/>
          <w:sz w:val="24"/>
          <w:szCs w:val="24"/>
        </w:rPr>
      </w:pPr>
    </w:p>
    <w:p w14:paraId="46B1A594" w14:textId="77777777" w:rsidR="00D370CC" w:rsidRDefault="00D370CC" w:rsidP="00D370CC">
      <w:pPr>
        <w:pStyle w:val="Prrafodelista"/>
        <w:spacing w:after="0" w:line="240" w:lineRule="auto"/>
        <w:ind w:left="360"/>
        <w:jc w:val="both"/>
        <w:rPr>
          <w:rFonts w:ascii="Arial" w:hAnsi="Arial" w:cs="Arial"/>
          <w:sz w:val="24"/>
          <w:szCs w:val="24"/>
        </w:rPr>
      </w:pPr>
    </w:p>
    <w:p w14:paraId="1BC36D45" w14:textId="77777777" w:rsidR="00455C77" w:rsidRDefault="00910568" w:rsidP="00910568">
      <w:pPr>
        <w:pStyle w:val="Prrafodelista"/>
        <w:numPr>
          <w:ilvl w:val="0"/>
          <w:numId w:val="19"/>
        </w:numPr>
        <w:spacing w:after="0" w:line="240" w:lineRule="auto"/>
        <w:jc w:val="both"/>
        <w:rPr>
          <w:rFonts w:ascii="Arial" w:hAnsi="Arial" w:cs="Arial"/>
          <w:sz w:val="24"/>
          <w:szCs w:val="24"/>
        </w:rPr>
      </w:pPr>
      <w:r>
        <w:rPr>
          <w:rFonts w:ascii="Arial" w:hAnsi="Arial" w:cs="Arial"/>
          <w:sz w:val="24"/>
          <w:szCs w:val="24"/>
        </w:rPr>
        <w:lastRenderedPageBreak/>
        <w:t xml:space="preserve">El limitado acceso a financiamiento para la transformación productiva del país, ha sido reconocido por el gobierno nacional en diferentes instancias. Por ejemplo en el CONPES 3866 de Política Nacional de Desarrollo Productivo, citando al Consejo Privado de Competitividad, se reconoció que </w:t>
      </w:r>
    </w:p>
    <w:p w14:paraId="49834804" w14:textId="77777777" w:rsidR="00455C77" w:rsidRDefault="00455C77" w:rsidP="00455C77">
      <w:pPr>
        <w:pStyle w:val="Prrafodelista"/>
        <w:spacing w:after="0" w:line="240" w:lineRule="auto"/>
        <w:ind w:left="360"/>
        <w:jc w:val="both"/>
        <w:rPr>
          <w:rFonts w:ascii="Arial" w:hAnsi="Arial" w:cs="Arial"/>
          <w:sz w:val="24"/>
          <w:szCs w:val="24"/>
        </w:rPr>
      </w:pPr>
    </w:p>
    <w:p w14:paraId="3B47B870" w14:textId="3343C257" w:rsidR="00D370CC" w:rsidRPr="00841DDB" w:rsidRDefault="00910568" w:rsidP="00455C77">
      <w:pPr>
        <w:pStyle w:val="Prrafodelista"/>
        <w:spacing w:after="0" w:line="240" w:lineRule="auto"/>
        <w:ind w:left="708"/>
        <w:jc w:val="both"/>
        <w:rPr>
          <w:rFonts w:ascii="Arial" w:hAnsi="Arial" w:cs="Arial"/>
          <w:sz w:val="24"/>
          <w:szCs w:val="24"/>
        </w:rPr>
      </w:pPr>
      <w:r>
        <w:rPr>
          <w:rFonts w:ascii="Arial" w:hAnsi="Arial" w:cs="Arial"/>
          <w:sz w:val="24"/>
          <w:szCs w:val="24"/>
        </w:rPr>
        <w:t>“</w:t>
      </w:r>
      <w:r w:rsidRPr="00910568">
        <w:rPr>
          <w:rFonts w:ascii="Arial" w:hAnsi="Arial" w:cs="Arial"/>
          <w:i/>
          <w:sz w:val="24"/>
          <w:szCs w:val="24"/>
        </w:rPr>
        <w:t>La falta de acceso a financiamiento es uno de los principales obstáculos para incrementar la productividad, inyectar capital a las unidades productivas más eficientes y permitir la entrada de nuevos negocios. Al respecto, los empresarios colombianos consideran que las tasas de intermediación son muy altas, lo cual suele limitar sus decisiones de inversión. De acuerdo con datos del Enterprise Survey del Banco Mundial, los empresarios en Colombia perciben que el acceso a financiamiento es el mayor obstáculo en el ambiente de negocios. Dicho obstáculo afecta principalmente a las pymes, a los pequeños productores agropecuarios, a los nuevos emprendimientos y a los emprendimientos en sectores modernos, donde los niveles de riesgo son mayores y los colaterales son menos tangibles</w:t>
      </w:r>
      <w:r>
        <w:rPr>
          <w:rFonts w:ascii="Arial" w:hAnsi="Arial" w:cs="Arial"/>
          <w:sz w:val="24"/>
          <w:szCs w:val="24"/>
        </w:rPr>
        <w:t>”</w:t>
      </w:r>
    </w:p>
    <w:p w14:paraId="1DC684A7" w14:textId="4AF1F379" w:rsidR="001A4655" w:rsidRDefault="001A4655" w:rsidP="00A04B70">
      <w:pPr>
        <w:jc w:val="both"/>
        <w:rPr>
          <w:rFonts w:ascii="Arial" w:hAnsi="Arial" w:cs="Arial"/>
          <w:sz w:val="24"/>
          <w:szCs w:val="24"/>
          <w:u w:val="single"/>
        </w:rPr>
      </w:pPr>
    </w:p>
    <w:p w14:paraId="7C05E43A" w14:textId="591D2004" w:rsidR="00B41695" w:rsidRDefault="00B41695" w:rsidP="00A04B70">
      <w:pPr>
        <w:jc w:val="both"/>
        <w:rPr>
          <w:rFonts w:ascii="Arial" w:hAnsi="Arial" w:cs="Arial"/>
          <w:sz w:val="24"/>
          <w:szCs w:val="24"/>
          <w:u w:val="single"/>
        </w:rPr>
      </w:pPr>
    </w:p>
    <w:p w14:paraId="184EB053" w14:textId="2E62504A" w:rsidR="00DB686A" w:rsidRDefault="00DB686A" w:rsidP="00DB686A">
      <w:pPr>
        <w:pStyle w:val="Prrafodelista"/>
        <w:numPr>
          <w:ilvl w:val="0"/>
          <w:numId w:val="8"/>
        </w:numPr>
        <w:jc w:val="both"/>
        <w:rPr>
          <w:rFonts w:ascii="Arial" w:hAnsi="Arial" w:cs="Arial"/>
          <w:b/>
          <w:sz w:val="24"/>
          <w:szCs w:val="24"/>
        </w:rPr>
      </w:pPr>
      <w:r w:rsidRPr="007A50E5">
        <w:rPr>
          <w:rFonts w:ascii="Arial" w:hAnsi="Arial" w:cs="Arial"/>
          <w:b/>
          <w:sz w:val="24"/>
          <w:szCs w:val="24"/>
        </w:rPr>
        <w:t>Antecedentes.</w:t>
      </w:r>
    </w:p>
    <w:p w14:paraId="1DCF2384" w14:textId="21C4F836" w:rsidR="00DB686A" w:rsidRDefault="00DB686A" w:rsidP="00DB686A">
      <w:pPr>
        <w:pStyle w:val="Prrafodelista"/>
        <w:ind w:left="1080"/>
        <w:jc w:val="both"/>
        <w:rPr>
          <w:rFonts w:ascii="Arial" w:hAnsi="Arial" w:cs="Arial"/>
          <w:b/>
          <w:sz w:val="24"/>
          <w:szCs w:val="24"/>
        </w:rPr>
      </w:pPr>
    </w:p>
    <w:p w14:paraId="2E923DBF" w14:textId="5D11EF8D" w:rsidR="00DB686A" w:rsidRDefault="00DB686A" w:rsidP="00DB686A">
      <w:pPr>
        <w:jc w:val="both"/>
        <w:rPr>
          <w:rFonts w:ascii="Arial" w:hAnsi="Arial" w:cs="Arial"/>
          <w:b/>
          <w:sz w:val="24"/>
          <w:szCs w:val="24"/>
        </w:rPr>
      </w:pPr>
      <w:r w:rsidRPr="00235EB5">
        <w:rPr>
          <w:rFonts w:ascii="Arial" w:hAnsi="Arial" w:cs="Arial"/>
          <w:b/>
          <w:sz w:val="24"/>
          <w:szCs w:val="24"/>
        </w:rPr>
        <w:t>Normatividad</w:t>
      </w:r>
      <w:r>
        <w:rPr>
          <w:rFonts w:ascii="Arial" w:hAnsi="Arial" w:cs="Arial"/>
          <w:b/>
          <w:sz w:val="24"/>
          <w:szCs w:val="24"/>
        </w:rPr>
        <w:t xml:space="preserve"> </w:t>
      </w:r>
      <w:r w:rsidRPr="00235EB5">
        <w:rPr>
          <w:rFonts w:ascii="Arial" w:hAnsi="Arial" w:cs="Arial"/>
          <w:b/>
          <w:sz w:val="24"/>
          <w:szCs w:val="24"/>
        </w:rPr>
        <w:t>relevante.</w:t>
      </w:r>
    </w:p>
    <w:p w14:paraId="565BEDC7" w14:textId="487EEAE8" w:rsidR="005C1EAF" w:rsidRPr="000942E3" w:rsidRDefault="005C1EAF" w:rsidP="00DB686A">
      <w:pPr>
        <w:jc w:val="both"/>
        <w:rPr>
          <w:rFonts w:ascii="Arial" w:hAnsi="Arial" w:cs="Arial"/>
          <w:sz w:val="24"/>
          <w:szCs w:val="24"/>
        </w:rPr>
      </w:pPr>
      <w:r w:rsidRPr="005C1EAF">
        <w:rPr>
          <w:rFonts w:ascii="Arial" w:hAnsi="Arial" w:cs="Arial"/>
          <w:sz w:val="24"/>
          <w:szCs w:val="24"/>
        </w:rPr>
        <w:t>La ley 100 de 1993 “</w:t>
      </w:r>
      <w:r w:rsidR="00CA04C4" w:rsidRPr="00CA04C4">
        <w:rPr>
          <w:rFonts w:ascii="Arial" w:hAnsi="Arial" w:cs="Arial"/>
          <w:i/>
          <w:sz w:val="24"/>
          <w:szCs w:val="24"/>
        </w:rPr>
        <w:t>Por la cual se crea el sistema de seguridad social integral y se dictan otras disposiciones</w:t>
      </w:r>
      <w:r w:rsidRPr="005C1EAF">
        <w:rPr>
          <w:rFonts w:ascii="Arial" w:hAnsi="Arial" w:cs="Arial"/>
          <w:sz w:val="24"/>
          <w:szCs w:val="24"/>
        </w:rPr>
        <w:t>”</w:t>
      </w:r>
      <w:r>
        <w:rPr>
          <w:rFonts w:ascii="Arial" w:hAnsi="Arial" w:cs="Arial"/>
          <w:sz w:val="24"/>
          <w:szCs w:val="24"/>
        </w:rPr>
        <w:t xml:space="preserve"> </w:t>
      </w:r>
      <w:r w:rsidR="00AE681F">
        <w:rPr>
          <w:rFonts w:ascii="Arial" w:hAnsi="Arial" w:cs="Arial"/>
          <w:sz w:val="24"/>
          <w:szCs w:val="24"/>
        </w:rPr>
        <w:t>estableció</w:t>
      </w:r>
      <w:r>
        <w:rPr>
          <w:rFonts w:ascii="Arial" w:hAnsi="Arial" w:cs="Arial"/>
          <w:sz w:val="24"/>
          <w:szCs w:val="24"/>
        </w:rPr>
        <w:t xml:space="preserve"> en su </w:t>
      </w:r>
      <w:r w:rsidR="00AE681F">
        <w:rPr>
          <w:rFonts w:ascii="Arial" w:hAnsi="Arial" w:cs="Arial"/>
          <w:sz w:val="24"/>
          <w:szCs w:val="24"/>
        </w:rPr>
        <w:t>artículo</w:t>
      </w:r>
      <w:r>
        <w:rPr>
          <w:rFonts w:ascii="Arial" w:hAnsi="Arial" w:cs="Arial"/>
          <w:sz w:val="24"/>
          <w:szCs w:val="24"/>
        </w:rPr>
        <w:t xml:space="preserve"> 12</w:t>
      </w:r>
      <w:r w:rsidR="00AE681F">
        <w:rPr>
          <w:rFonts w:ascii="Arial" w:hAnsi="Arial" w:cs="Arial"/>
          <w:sz w:val="24"/>
          <w:szCs w:val="24"/>
        </w:rPr>
        <w:t xml:space="preserve"> que el Sistema General de Pensiones, estaría compuesto por 2 regímenes excluyentes que coexistirían: El régimen solidario de prima media con prestación </w:t>
      </w:r>
      <w:r w:rsidR="001A56CB">
        <w:rPr>
          <w:rFonts w:ascii="Arial" w:hAnsi="Arial" w:cs="Arial"/>
          <w:sz w:val="24"/>
          <w:szCs w:val="24"/>
        </w:rPr>
        <w:t>definida y el régimen de ahorro individual con solidaridad.</w:t>
      </w:r>
    </w:p>
    <w:p w14:paraId="5C7CA79B" w14:textId="0D693ACF" w:rsidR="005C1EAF" w:rsidRDefault="000942E3" w:rsidP="00DB686A">
      <w:pPr>
        <w:jc w:val="both"/>
        <w:rPr>
          <w:rFonts w:ascii="Arial" w:hAnsi="Arial" w:cs="Arial"/>
          <w:sz w:val="24"/>
          <w:szCs w:val="24"/>
        </w:rPr>
      </w:pPr>
      <w:r w:rsidRPr="000942E3">
        <w:rPr>
          <w:rFonts w:ascii="Arial" w:hAnsi="Arial" w:cs="Arial"/>
          <w:sz w:val="24"/>
          <w:szCs w:val="24"/>
        </w:rPr>
        <w:t>Para el caso del</w:t>
      </w:r>
      <w:r>
        <w:rPr>
          <w:rFonts w:ascii="Arial" w:hAnsi="Arial" w:cs="Arial"/>
          <w:sz w:val="24"/>
          <w:szCs w:val="24"/>
        </w:rPr>
        <w:t xml:space="preserve"> régimen de ahorro individual con solidaridad, se </w:t>
      </w:r>
      <w:r w:rsidR="00163C22">
        <w:rPr>
          <w:rFonts w:ascii="Arial" w:hAnsi="Arial" w:cs="Arial"/>
          <w:sz w:val="24"/>
          <w:szCs w:val="24"/>
        </w:rPr>
        <w:t>estableció</w:t>
      </w:r>
      <w:r>
        <w:rPr>
          <w:rFonts w:ascii="Arial" w:hAnsi="Arial" w:cs="Arial"/>
          <w:sz w:val="24"/>
          <w:szCs w:val="24"/>
        </w:rPr>
        <w:t xml:space="preserve"> en el artículo 90 de la misma ley, que este régimen </w:t>
      </w:r>
      <w:r w:rsidR="00163C22">
        <w:rPr>
          <w:rFonts w:ascii="Arial" w:hAnsi="Arial" w:cs="Arial"/>
          <w:sz w:val="24"/>
          <w:szCs w:val="24"/>
        </w:rPr>
        <w:t>seria</w:t>
      </w:r>
      <w:r>
        <w:rPr>
          <w:rFonts w:ascii="Arial" w:hAnsi="Arial" w:cs="Arial"/>
          <w:sz w:val="24"/>
          <w:szCs w:val="24"/>
        </w:rPr>
        <w:t xml:space="preserve"> administrado por las </w:t>
      </w:r>
      <w:r w:rsidRPr="000942E3">
        <w:rPr>
          <w:rFonts w:ascii="Arial" w:hAnsi="Arial" w:cs="Arial"/>
          <w:sz w:val="24"/>
          <w:szCs w:val="24"/>
        </w:rPr>
        <w:t>Sociedades Administradoras de Fondos de Pensiones</w:t>
      </w:r>
      <w:r w:rsidR="00857A4A">
        <w:rPr>
          <w:rFonts w:ascii="Arial" w:hAnsi="Arial" w:cs="Arial"/>
          <w:sz w:val="24"/>
          <w:szCs w:val="24"/>
        </w:rPr>
        <w:t xml:space="preserve"> (AFP)</w:t>
      </w:r>
      <w:r>
        <w:rPr>
          <w:rFonts w:ascii="Arial" w:hAnsi="Arial" w:cs="Arial"/>
          <w:sz w:val="24"/>
          <w:szCs w:val="24"/>
        </w:rPr>
        <w:t>.</w:t>
      </w:r>
    </w:p>
    <w:p w14:paraId="438D8640" w14:textId="558EAF24" w:rsidR="00163C22" w:rsidRPr="000942E3" w:rsidRDefault="00163C22" w:rsidP="00DB686A">
      <w:pPr>
        <w:jc w:val="both"/>
        <w:rPr>
          <w:rFonts w:ascii="Arial" w:hAnsi="Arial" w:cs="Arial"/>
          <w:sz w:val="24"/>
          <w:szCs w:val="24"/>
        </w:rPr>
      </w:pPr>
      <w:r>
        <w:rPr>
          <w:rFonts w:ascii="Arial" w:hAnsi="Arial" w:cs="Arial"/>
          <w:sz w:val="24"/>
          <w:szCs w:val="24"/>
        </w:rPr>
        <w:t>Posteriormente, el literal d</w:t>
      </w:r>
      <w:r w:rsidR="00857A4A">
        <w:rPr>
          <w:rFonts w:ascii="Arial" w:hAnsi="Arial" w:cs="Arial"/>
          <w:sz w:val="24"/>
          <w:szCs w:val="24"/>
        </w:rPr>
        <w:t>)</w:t>
      </w:r>
      <w:r>
        <w:rPr>
          <w:rFonts w:ascii="Arial" w:hAnsi="Arial" w:cs="Arial"/>
          <w:sz w:val="24"/>
          <w:szCs w:val="24"/>
        </w:rPr>
        <w:t xml:space="preserve"> del </w:t>
      </w:r>
      <w:r w:rsidR="00857A4A">
        <w:rPr>
          <w:rFonts w:ascii="Arial" w:hAnsi="Arial" w:cs="Arial"/>
          <w:sz w:val="24"/>
          <w:szCs w:val="24"/>
        </w:rPr>
        <w:t>artículo</w:t>
      </w:r>
      <w:r>
        <w:rPr>
          <w:rFonts w:ascii="Arial" w:hAnsi="Arial" w:cs="Arial"/>
          <w:sz w:val="24"/>
          <w:szCs w:val="24"/>
        </w:rPr>
        <w:t xml:space="preserve"> 14 del Decreto Ley 656 de 1994, </w:t>
      </w:r>
      <w:r w:rsidR="00343D09">
        <w:rPr>
          <w:rFonts w:ascii="Arial" w:hAnsi="Arial" w:cs="Arial"/>
          <w:sz w:val="24"/>
          <w:szCs w:val="24"/>
        </w:rPr>
        <w:t xml:space="preserve">modificado por el artículo 55 de la Ley 1328 de 2009, </w:t>
      </w:r>
      <w:r w:rsidR="00857A4A">
        <w:rPr>
          <w:rFonts w:ascii="Arial" w:hAnsi="Arial" w:cs="Arial"/>
          <w:sz w:val="24"/>
          <w:szCs w:val="24"/>
        </w:rPr>
        <w:t>estableció</w:t>
      </w:r>
      <w:r>
        <w:rPr>
          <w:rFonts w:ascii="Arial" w:hAnsi="Arial" w:cs="Arial"/>
          <w:sz w:val="24"/>
          <w:szCs w:val="24"/>
        </w:rPr>
        <w:t xml:space="preserve"> como obligación </w:t>
      </w:r>
      <w:r w:rsidR="00857A4A">
        <w:rPr>
          <w:rFonts w:ascii="Arial" w:hAnsi="Arial" w:cs="Arial"/>
          <w:sz w:val="24"/>
          <w:szCs w:val="24"/>
        </w:rPr>
        <w:t xml:space="preserve">de las AFP invertir los recursos del sistema en las condiciones y con </w:t>
      </w:r>
      <w:r w:rsidR="00343D09">
        <w:rPr>
          <w:rFonts w:ascii="Arial" w:hAnsi="Arial" w:cs="Arial"/>
          <w:sz w:val="24"/>
          <w:szCs w:val="24"/>
        </w:rPr>
        <w:t xml:space="preserve">sujeción </w:t>
      </w:r>
      <w:r w:rsidR="00343D09" w:rsidRPr="00343D09">
        <w:rPr>
          <w:rFonts w:ascii="Arial" w:hAnsi="Arial" w:cs="Arial"/>
          <w:sz w:val="24"/>
          <w:szCs w:val="24"/>
        </w:rPr>
        <w:t>a los límit</w:t>
      </w:r>
      <w:r w:rsidR="00343D09">
        <w:rPr>
          <w:rFonts w:ascii="Arial" w:hAnsi="Arial" w:cs="Arial"/>
          <w:sz w:val="24"/>
          <w:szCs w:val="24"/>
        </w:rPr>
        <w:t xml:space="preserve">es que para el efecto estableciere </w:t>
      </w:r>
      <w:r w:rsidR="00343D09" w:rsidRPr="00343D09">
        <w:rPr>
          <w:rFonts w:ascii="Arial" w:hAnsi="Arial" w:cs="Arial"/>
          <w:sz w:val="24"/>
          <w:szCs w:val="24"/>
        </w:rPr>
        <w:t>el Gobierno Nacional.</w:t>
      </w:r>
    </w:p>
    <w:p w14:paraId="68DDD0EF" w14:textId="739A3181" w:rsidR="00DB686A" w:rsidRDefault="00DB686A" w:rsidP="00DB686A">
      <w:pPr>
        <w:jc w:val="both"/>
        <w:rPr>
          <w:rFonts w:ascii="Arial" w:hAnsi="Arial" w:cs="Arial"/>
          <w:sz w:val="24"/>
          <w:szCs w:val="24"/>
        </w:rPr>
      </w:pPr>
    </w:p>
    <w:p w14:paraId="2EE33154" w14:textId="56676961" w:rsidR="00244BA5" w:rsidRDefault="00343D09" w:rsidP="00DB686A">
      <w:pPr>
        <w:jc w:val="both"/>
        <w:rPr>
          <w:rFonts w:ascii="Arial" w:hAnsi="Arial" w:cs="Arial"/>
          <w:sz w:val="24"/>
          <w:szCs w:val="24"/>
        </w:rPr>
      </w:pPr>
      <w:r>
        <w:rPr>
          <w:rFonts w:ascii="Arial" w:hAnsi="Arial" w:cs="Arial"/>
          <w:sz w:val="24"/>
          <w:szCs w:val="24"/>
        </w:rPr>
        <w:t>En la actualidad, la reglamentación de las condiciones y parámetros del régimen de inversión de los Fondos de Pensiones Obligatorias (FPO) se encuentra integrada en el decreto 2555 de 2010 “</w:t>
      </w:r>
      <w:r w:rsidRPr="00343D09">
        <w:rPr>
          <w:rFonts w:ascii="Arial" w:hAnsi="Arial" w:cs="Arial"/>
          <w:i/>
          <w:sz w:val="24"/>
          <w:szCs w:val="24"/>
        </w:rPr>
        <w:t>Por el cual se recogen y reexpiden las normas en materia del sector financiero, asegurador y del mercado de valores y se dictan otras disposiciones</w:t>
      </w:r>
      <w:r>
        <w:rPr>
          <w:rFonts w:ascii="Arial" w:hAnsi="Arial" w:cs="Arial"/>
          <w:sz w:val="24"/>
          <w:szCs w:val="24"/>
        </w:rPr>
        <w:t>”, particularmente en el titulo 12 del libro 6 de la parte 2.</w:t>
      </w:r>
    </w:p>
    <w:p w14:paraId="06BBEB45" w14:textId="7117B3DB" w:rsidR="00CC5EAD" w:rsidRDefault="00CC5EAD" w:rsidP="00DB686A">
      <w:pPr>
        <w:jc w:val="both"/>
        <w:rPr>
          <w:rFonts w:ascii="Arial" w:hAnsi="Arial" w:cs="Arial"/>
          <w:sz w:val="24"/>
          <w:szCs w:val="24"/>
        </w:rPr>
      </w:pPr>
      <w:r>
        <w:rPr>
          <w:rFonts w:ascii="Arial" w:hAnsi="Arial" w:cs="Arial"/>
          <w:sz w:val="24"/>
          <w:szCs w:val="24"/>
        </w:rPr>
        <w:t>En lo que respecta a las inversiones admisibles y límites de que trata el presente Proyecto de Ley</w:t>
      </w:r>
      <w:r w:rsidR="009B6BF2">
        <w:rPr>
          <w:rFonts w:ascii="Arial" w:hAnsi="Arial" w:cs="Arial"/>
          <w:sz w:val="24"/>
          <w:szCs w:val="24"/>
        </w:rPr>
        <w:t xml:space="preserve">, dichos asuntos son </w:t>
      </w:r>
      <w:r w:rsidR="0094186E">
        <w:rPr>
          <w:rFonts w:ascii="Arial" w:hAnsi="Arial" w:cs="Arial"/>
          <w:sz w:val="24"/>
          <w:szCs w:val="24"/>
        </w:rPr>
        <w:t xml:space="preserve">tratados en los artículos 2.6.12.1.1, 2.6.12.1.2, 2.6.12.1.6 y 2.6.12.1.7 </w:t>
      </w:r>
      <w:r w:rsidR="009B6BF2">
        <w:rPr>
          <w:rFonts w:ascii="Arial" w:hAnsi="Arial" w:cs="Arial"/>
          <w:sz w:val="24"/>
          <w:szCs w:val="24"/>
        </w:rPr>
        <w:t>del decreto 2555 de 2010, recientemente modificados por el decreto 765 de 2016. En el siguiente cuadro comparativo se resumen las disposiciones de interés previas al decreto 765 de 2016 y las de este (vigentes):</w:t>
      </w:r>
    </w:p>
    <w:p w14:paraId="797AC631" w14:textId="77777777" w:rsidR="00661F23" w:rsidRDefault="00661F23" w:rsidP="00DB686A">
      <w:pPr>
        <w:jc w:val="both"/>
        <w:rPr>
          <w:rFonts w:ascii="Arial" w:hAnsi="Arial" w:cs="Arial"/>
          <w:sz w:val="24"/>
          <w:szCs w:val="24"/>
        </w:rPr>
      </w:pPr>
    </w:p>
    <w:tbl>
      <w:tblPr>
        <w:tblStyle w:val="Tablaconcuadrcula"/>
        <w:tblW w:w="0" w:type="auto"/>
        <w:tblLayout w:type="fixed"/>
        <w:tblLook w:val="04A0" w:firstRow="1" w:lastRow="0" w:firstColumn="1" w:lastColumn="0" w:noHBand="0" w:noVBand="1"/>
      </w:tblPr>
      <w:tblGrid>
        <w:gridCol w:w="5240"/>
        <w:gridCol w:w="3588"/>
      </w:tblGrid>
      <w:tr w:rsidR="00661F23" w:rsidRPr="00661F23" w14:paraId="54C574AE" w14:textId="77777777" w:rsidTr="005232DD">
        <w:tc>
          <w:tcPr>
            <w:tcW w:w="5240" w:type="dxa"/>
          </w:tcPr>
          <w:p w14:paraId="081D28D3" w14:textId="77777777" w:rsidR="00F7711D" w:rsidRDefault="00F7711D" w:rsidP="000E26C2">
            <w:pPr>
              <w:jc w:val="center"/>
              <w:rPr>
                <w:rFonts w:ascii="Arial" w:hAnsi="Arial" w:cs="Arial"/>
                <w:b/>
                <w:sz w:val="20"/>
                <w:szCs w:val="20"/>
              </w:rPr>
            </w:pPr>
            <w:r w:rsidRPr="000E26C2">
              <w:rPr>
                <w:rFonts w:ascii="Arial" w:hAnsi="Arial" w:cs="Arial"/>
                <w:b/>
                <w:sz w:val="20"/>
                <w:szCs w:val="20"/>
              </w:rPr>
              <w:t>NORMATIVIDAD VIGENTE</w:t>
            </w:r>
          </w:p>
          <w:p w14:paraId="344F4313" w14:textId="1CDDE815" w:rsidR="00661F23" w:rsidRPr="000E26C2" w:rsidRDefault="00F7711D" w:rsidP="000E26C2">
            <w:pPr>
              <w:jc w:val="center"/>
              <w:rPr>
                <w:rFonts w:ascii="Arial" w:hAnsi="Arial" w:cs="Arial"/>
                <w:b/>
                <w:sz w:val="20"/>
                <w:szCs w:val="20"/>
              </w:rPr>
            </w:pPr>
            <w:r>
              <w:rPr>
                <w:rFonts w:ascii="Arial" w:hAnsi="Arial" w:cs="Arial"/>
                <w:b/>
                <w:sz w:val="20"/>
                <w:szCs w:val="20"/>
              </w:rPr>
              <w:t xml:space="preserve"> (</w:t>
            </w:r>
            <w:r w:rsidRPr="00F7711D">
              <w:rPr>
                <w:rFonts w:ascii="Arial" w:hAnsi="Arial" w:cs="Arial"/>
                <w:b/>
                <w:sz w:val="20"/>
                <w:szCs w:val="20"/>
              </w:rPr>
              <w:t>DECRETO 2555 DE 2010</w:t>
            </w:r>
            <w:r>
              <w:rPr>
                <w:rFonts w:ascii="Arial" w:hAnsi="Arial" w:cs="Arial"/>
                <w:b/>
                <w:sz w:val="20"/>
                <w:szCs w:val="20"/>
              </w:rPr>
              <w:t>)</w:t>
            </w:r>
          </w:p>
        </w:tc>
        <w:tc>
          <w:tcPr>
            <w:tcW w:w="3588" w:type="dxa"/>
          </w:tcPr>
          <w:p w14:paraId="5FCCF44F" w14:textId="1FB5CF49" w:rsidR="00661F23" w:rsidRPr="000E26C2" w:rsidRDefault="00F7711D" w:rsidP="000E26C2">
            <w:pPr>
              <w:jc w:val="center"/>
              <w:rPr>
                <w:rFonts w:ascii="Arial" w:hAnsi="Arial" w:cs="Arial"/>
                <w:b/>
                <w:sz w:val="20"/>
                <w:szCs w:val="20"/>
              </w:rPr>
            </w:pPr>
            <w:r w:rsidRPr="000E26C2">
              <w:rPr>
                <w:rFonts w:ascii="Arial" w:hAnsi="Arial" w:cs="Arial"/>
                <w:b/>
                <w:sz w:val="20"/>
                <w:szCs w:val="20"/>
              </w:rPr>
              <w:t>NORMATIVIDAD ANTERIOR AL DECRETO 765 DE 2016</w:t>
            </w:r>
          </w:p>
        </w:tc>
      </w:tr>
      <w:tr w:rsidR="00661F23" w:rsidRPr="00661F23" w14:paraId="54B41948" w14:textId="77777777" w:rsidTr="005232DD">
        <w:tc>
          <w:tcPr>
            <w:tcW w:w="5240" w:type="dxa"/>
          </w:tcPr>
          <w:p w14:paraId="6CF26D03" w14:textId="77777777" w:rsidR="00661F23" w:rsidRPr="00661F23" w:rsidRDefault="00661F23" w:rsidP="00661F23">
            <w:pPr>
              <w:jc w:val="both"/>
              <w:rPr>
                <w:rFonts w:ascii="Arial" w:hAnsi="Arial" w:cs="Arial"/>
                <w:sz w:val="20"/>
                <w:szCs w:val="20"/>
              </w:rPr>
            </w:pPr>
            <w:r w:rsidRPr="00661F23">
              <w:rPr>
                <w:rFonts w:ascii="Arial" w:hAnsi="Arial" w:cs="Arial"/>
                <w:sz w:val="20"/>
                <w:szCs w:val="20"/>
              </w:rPr>
              <w:t>Artículo 2.6.12.1.1 Características del régimen de inversión de los tipos de fondos de pensiones obligatorias. (Sustituido por el artículo 1° del Decreto 857 del 23 de marzo de 2011. Véase régimen de transición previsto en los artículos 3° y 4° de la misma disposición)</w:t>
            </w:r>
          </w:p>
          <w:p w14:paraId="2B4CEBB3" w14:textId="77777777" w:rsidR="00661F23" w:rsidRPr="00661F23" w:rsidRDefault="00661F23" w:rsidP="00661F23">
            <w:pPr>
              <w:jc w:val="both"/>
              <w:rPr>
                <w:rFonts w:ascii="Arial" w:hAnsi="Arial" w:cs="Arial"/>
                <w:sz w:val="20"/>
                <w:szCs w:val="20"/>
              </w:rPr>
            </w:pPr>
          </w:p>
          <w:p w14:paraId="40FB032D" w14:textId="77777777" w:rsidR="00661F23" w:rsidRPr="00661F23" w:rsidRDefault="00661F23" w:rsidP="00661F23">
            <w:pPr>
              <w:jc w:val="both"/>
              <w:rPr>
                <w:rFonts w:ascii="Arial" w:hAnsi="Arial" w:cs="Arial"/>
                <w:sz w:val="20"/>
                <w:szCs w:val="20"/>
              </w:rPr>
            </w:pPr>
            <w:r w:rsidRPr="00661F23">
              <w:rPr>
                <w:rFonts w:ascii="Arial" w:hAnsi="Arial" w:cs="Arial"/>
                <w:sz w:val="20"/>
                <w:szCs w:val="20"/>
              </w:rPr>
              <w:t>Los tipos de fondos de pensiones obligatorias tendrán las siguientes características:</w:t>
            </w:r>
          </w:p>
          <w:p w14:paraId="78B5A452" w14:textId="77777777" w:rsidR="00661F23" w:rsidRPr="00661F23" w:rsidRDefault="00661F23" w:rsidP="00661F23">
            <w:pPr>
              <w:jc w:val="both"/>
              <w:rPr>
                <w:rFonts w:ascii="Arial" w:hAnsi="Arial" w:cs="Arial"/>
                <w:sz w:val="20"/>
                <w:szCs w:val="20"/>
              </w:rPr>
            </w:pPr>
            <w:r w:rsidRPr="00661F23">
              <w:rPr>
                <w:rFonts w:ascii="Arial" w:hAnsi="Arial" w:cs="Arial"/>
                <w:sz w:val="20"/>
                <w:szCs w:val="20"/>
              </w:rPr>
              <w:t>Fondo Conservador: Tipo de fondo que a través de la gestión eficiente de sus recursos por parte de la AFP procura el mejor retorno posible al final del periodo de acumulación de aportes con baja exposición al riesgo.</w:t>
            </w:r>
          </w:p>
          <w:p w14:paraId="6B6DC8DC" w14:textId="77777777" w:rsidR="00661F23" w:rsidRPr="00661F23" w:rsidRDefault="00661F23" w:rsidP="00661F23">
            <w:pPr>
              <w:jc w:val="both"/>
              <w:rPr>
                <w:rFonts w:ascii="Arial" w:hAnsi="Arial" w:cs="Arial"/>
                <w:sz w:val="20"/>
                <w:szCs w:val="20"/>
              </w:rPr>
            </w:pPr>
            <w:r w:rsidRPr="00B04DE1">
              <w:rPr>
                <w:rFonts w:ascii="Arial" w:hAnsi="Arial" w:cs="Arial"/>
                <w:b/>
                <w:sz w:val="20"/>
                <w:szCs w:val="20"/>
              </w:rPr>
              <w:t>Fondo Moderado:</w:t>
            </w:r>
            <w:r w:rsidRPr="00661F23">
              <w:rPr>
                <w:rFonts w:ascii="Arial" w:hAnsi="Arial" w:cs="Arial"/>
                <w:sz w:val="20"/>
                <w:szCs w:val="20"/>
              </w:rPr>
              <w:t xml:space="preserve"> Tipo de fondo que a través de la gestión eficiente de sus recursos por parte de la AFP procura el mejor retorno posible al final del periodo de acumulación de aportes con moderada exposición al riesgo.</w:t>
            </w:r>
          </w:p>
          <w:p w14:paraId="6DBF8F7D" w14:textId="77777777" w:rsidR="00661F23" w:rsidRPr="00661F23" w:rsidRDefault="00661F23" w:rsidP="00661F23">
            <w:pPr>
              <w:jc w:val="both"/>
              <w:rPr>
                <w:rFonts w:ascii="Arial" w:hAnsi="Arial" w:cs="Arial"/>
                <w:sz w:val="20"/>
                <w:szCs w:val="20"/>
              </w:rPr>
            </w:pPr>
            <w:r w:rsidRPr="00B04DE1">
              <w:rPr>
                <w:rFonts w:ascii="Arial" w:hAnsi="Arial" w:cs="Arial"/>
                <w:b/>
                <w:sz w:val="20"/>
                <w:szCs w:val="20"/>
              </w:rPr>
              <w:t>Fondo de Mayor Riesgo:</w:t>
            </w:r>
            <w:r w:rsidRPr="00661F23">
              <w:rPr>
                <w:rFonts w:ascii="Arial" w:hAnsi="Arial" w:cs="Arial"/>
                <w:sz w:val="20"/>
                <w:szCs w:val="20"/>
              </w:rPr>
              <w:t xml:space="preserve"> Tipo de fondo que a través de la gestión eficiente de sus recursos por parte de la AFP procura el mejor retorno posible al final del periodo de acumulación de aportes con mayor exposición al riesgo.</w:t>
            </w:r>
          </w:p>
          <w:p w14:paraId="361A2C53" w14:textId="68F09A14" w:rsidR="00661F23" w:rsidRPr="00661F23" w:rsidRDefault="00661F23" w:rsidP="00661F23">
            <w:pPr>
              <w:jc w:val="both"/>
              <w:rPr>
                <w:rFonts w:ascii="Arial" w:hAnsi="Arial" w:cs="Arial"/>
                <w:sz w:val="20"/>
                <w:szCs w:val="20"/>
              </w:rPr>
            </w:pPr>
            <w:r w:rsidRPr="00DA4B89">
              <w:rPr>
                <w:rFonts w:ascii="Arial" w:hAnsi="Arial" w:cs="Arial"/>
                <w:b/>
                <w:sz w:val="20"/>
                <w:szCs w:val="20"/>
              </w:rPr>
              <w:t>Fondo Especial de Retiro Programado:</w:t>
            </w:r>
            <w:r w:rsidRPr="00661F23">
              <w:rPr>
                <w:rFonts w:ascii="Arial" w:hAnsi="Arial" w:cs="Arial"/>
                <w:sz w:val="20"/>
                <w:szCs w:val="20"/>
              </w:rPr>
              <w:t xml:space="preserve"> Tipo de fondo con el cual se busca una administración orientada al pago de las pensiones.</w:t>
            </w:r>
          </w:p>
        </w:tc>
        <w:tc>
          <w:tcPr>
            <w:tcW w:w="3588" w:type="dxa"/>
          </w:tcPr>
          <w:p w14:paraId="25234252" w14:textId="77777777" w:rsidR="00661F23" w:rsidRPr="00661F23" w:rsidRDefault="00661F23" w:rsidP="00DB686A">
            <w:pPr>
              <w:jc w:val="both"/>
              <w:rPr>
                <w:rFonts w:ascii="Arial" w:hAnsi="Arial" w:cs="Arial"/>
                <w:sz w:val="20"/>
                <w:szCs w:val="20"/>
              </w:rPr>
            </w:pPr>
          </w:p>
        </w:tc>
      </w:tr>
      <w:tr w:rsidR="00661F23" w:rsidRPr="00661F23" w14:paraId="6D406BFB" w14:textId="77777777" w:rsidTr="005232DD">
        <w:tc>
          <w:tcPr>
            <w:tcW w:w="5240" w:type="dxa"/>
          </w:tcPr>
          <w:p w14:paraId="46D9638D" w14:textId="77777777" w:rsidR="00661F23" w:rsidRPr="00661F23" w:rsidRDefault="00661F23" w:rsidP="00661F23">
            <w:pPr>
              <w:jc w:val="both"/>
              <w:rPr>
                <w:rFonts w:ascii="Arial" w:hAnsi="Arial" w:cs="Arial"/>
                <w:sz w:val="20"/>
                <w:szCs w:val="20"/>
              </w:rPr>
            </w:pPr>
            <w:r w:rsidRPr="00661F23">
              <w:rPr>
                <w:rFonts w:ascii="Arial" w:hAnsi="Arial" w:cs="Arial"/>
                <w:sz w:val="20"/>
                <w:szCs w:val="20"/>
              </w:rPr>
              <w:t>Artículo 2.6.12.1.2 Inversiones admisibles. (Sustituido por el artículo 1° del Decreto 857 del 23 de marzo de 2011. Véase régimen de transición previsto en los artículos 3° y 4° de la misma disposición)</w:t>
            </w:r>
          </w:p>
          <w:p w14:paraId="1CCCFE47" w14:textId="77777777" w:rsidR="00661F23" w:rsidRPr="00661F23" w:rsidRDefault="00661F23" w:rsidP="00661F23">
            <w:pPr>
              <w:jc w:val="both"/>
              <w:rPr>
                <w:rFonts w:ascii="Arial" w:hAnsi="Arial" w:cs="Arial"/>
                <w:sz w:val="20"/>
                <w:szCs w:val="20"/>
              </w:rPr>
            </w:pPr>
          </w:p>
          <w:p w14:paraId="7F43AC67" w14:textId="77777777" w:rsidR="00661F23" w:rsidRPr="00661F23" w:rsidRDefault="00661F23" w:rsidP="00661F23">
            <w:pPr>
              <w:jc w:val="both"/>
              <w:rPr>
                <w:rFonts w:ascii="Arial" w:hAnsi="Arial" w:cs="Arial"/>
                <w:sz w:val="20"/>
                <w:szCs w:val="20"/>
              </w:rPr>
            </w:pPr>
            <w:r w:rsidRPr="00661F23">
              <w:rPr>
                <w:rFonts w:ascii="Arial" w:hAnsi="Arial" w:cs="Arial"/>
                <w:sz w:val="20"/>
                <w:szCs w:val="20"/>
              </w:rPr>
              <w:t>Con el propósito de que los recursos de los diferentes tipos de fondos de pensiones obligatorias en el régimen de ahorro individual con solidaridad y los recursos de los fondos de cesantía y sus portafolios de corto y largo plazo, se encuentren respaldados por activos que cuenten con la requerida seguridad, rentabilidad y liquidez, las AFP deben invertir dichos recursos en las condiciones y con sujeción a los límites que se establecen en los Títulos 12 y 13 del Libro 6 de la Parte 2 del presente decreto.</w:t>
            </w:r>
          </w:p>
          <w:p w14:paraId="6239D79D" w14:textId="77777777" w:rsidR="00661F23" w:rsidRPr="00661F23" w:rsidRDefault="00661F23" w:rsidP="00661F23">
            <w:pPr>
              <w:jc w:val="both"/>
              <w:rPr>
                <w:rFonts w:ascii="Arial" w:hAnsi="Arial" w:cs="Arial"/>
                <w:sz w:val="20"/>
                <w:szCs w:val="20"/>
              </w:rPr>
            </w:pPr>
          </w:p>
          <w:p w14:paraId="601186F6" w14:textId="77777777" w:rsidR="00661F23" w:rsidRPr="00661F23" w:rsidRDefault="00661F23" w:rsidP="00661F23">
            <w:pPr>
              <w:jc w:val="both"/>
              <w:rPr>
                <w:rFonts w:ascii="Arial" w:hAnsi="Arial" w:cs="Arial"/>
                <w:sz w:val="20"/>
                <w:szCs w:val="20"/>
              </w:rPr>
            </w:pPr>
            <w:r w:rsidRPr="00661F23">
              <w:rPr>
                <w:rFonts w:ascii="Arial" w:hAnsi="Arial" w:cs="Arial"/>
                <w:sz w:val="20"/>
                <w:szCs w:val="20"/>
              </w:rPr>
              <w:t>De acuerdo con lo anterior, los recursos de los diferentes tipos de fondos de pensiones obligatorias y los portafolios de los fondos de cesantía se pueden invertir en los activos que se señalan a continuación:</w:t>
            </w:r>
          </w:p>
          <w:p w14:paraId="1B737EE9" w14:textId="77777777" w:rsidR="00661F23" w:rsidRPr="00661F23" w:rsidRDefault="00661F23" w:rsidP="00661F23">
            <w:pPr>
              <w:jc w:val="both"/>
              <w:rPr>
                <w:rFonts w:ascii="Arial" w:hAnsi="Arial" w:cs="Arial"/>
                <w:sz w:val="20"/>
                <w:szCs w:val="20"/>
              </w:rPr>
            </w:pPr>
          </w:p>
          <w:p w14:paraId="50191F1F" w14:textId="38D86791" w:rsidR="00661F23" w:rsidRDefault="00661F23" w:rsidP="00661F23">
            <w:pPr>
              <w:jc w:val="both"/>
              <w:rPr>
                <w:rFonts w:ascii="Arial" w:hAnsi="Arial" w:cs="Arial"/>
                <w:sz w:val="20"/>
                <w:szCs w:val="20"/>
              </w:rPr>
            </w:pPr>
            <w:r w:rsidRPr="00B04DE1">
              <w:rPr>
                <w:rFonts w:ascii="Arial" w:hAnsi="Arial" w:cs="Arial"/>
                <w:b/>
                <w:sz w:val="20"/>
                <w:szCs w:val="20"/>
              </w:rPr>
              <w:t>1. Títulos, valores o participaciones de emisores nacionales</w:t>
            </w:r>
            <w:r w:rsidRPr="00661F23">
              <w:rPr>
                <w:rFonts w:ascii="Arial" w:hAnsi="Arial" w:cs="Arial"/>
                <w:sz w:val="20"/>
                <w:szCs w:val="20"/>
              </w:rPr>
              <w:t>:</w:t>
            </w:r>
          </w:p>
          <w:p w14:paraId="2944E044" w14:textId="0F09A024" w:rsidR="00661F23" w:rsidRDefault="00661F23" w:rsidP="00661F23">
            <w:pPr>
              <w:jc w:val="both"/>
              <w:rPr>
                <w:rFonts w:ascii="Arial" w:hAnsi="Arial" w:cs="Arial"/>
                <w:sz w:val="20"/>
                <w:szCs w:val="20"/>
              </w:rPr>
            </w:pPr>
          </w:p>
          <w:p w14:paraId="7F513F12" w14:textId="1717177F" w:rsidR="00661F23" w:rsidRDefault="00661F23" w:rsidP="00661F23">
            <w:pPr>
              <w:jc w:val="both"/>
              <w:rPr>
                <w:rFonts w:ascii="Arial" w:hAnsi="Arial" w:cs="Arial"/>
                <w:sz w:val="20"/>
                <w:szCs w:val="20"/>
              </w:rPr>
            </w:pPr>
            <w:r>
              <w:rPr>
                <w:rFonts w:ascii="Arial" w:hAnsi="Arial" w:cs="Arial"/>
                <w:sz w:val="20"/>
                <w:szCs w:val="20"/>
              </w:rPr>
              <w:t>(…)</w:t>
            </w:r>
          </w:p>
          <w:p w14:paraId="525C6A3E" w14:textId="77777777" w:rsidR="00661F23" w:rsidRDefault="00661F23" w:rsidP="00661F23">
            <w:pPr>
              <w:jc w:val="both"/>
              <w:rPr>
                <w:rFonts w:ascii="Arial" w:hAnsi="Arial" w:cs="Arial"/>
                <w:sz w:val="20"/>
                <w:szCs w:val="20"/>
              </w:rPr>
            </w:pPr>
          </w:p>
          <w:p w14:paraId="7C89DA77" w14:textId="77777777" w:rsidR="00661F23" w:rsidRDefault="00661F23" w:rsidP="00DB686A">
            <w:pPr>
              <w:jc w:val="both"/>
              <w:rPr>
                <w:rFonts w:ascii="Arial" w:hAnsi="Arial" w:cs="Arial"/>
                <w:sz w:val="20"/>
                <w:szCs w:val="20"/>
              </w:rPr>
            </w:pPr>
            <w:r w:rsidRPr="00661F23">
              <w:rPr>
                <w:rFonts w:ascii="Arial" w:hAnsi="Arial" w:cs="Arial"/>
                <w:sz w:val="20"/>
                <w:szCs w:val="20"/>
              </w:rPr>
              <w:t>1.10 (Modificado por el artículo 1° del Decreto 765 del 6 de mayo de 2016. Comenzó a regir a partir del 6 de mayo de 2016. Ver régimen de transición del artículo 20) Inversiones en fondos de capital privado que tengan por finalidad invertir en empresas o proyectos productivos en los términos previstos en la Parte 3 del presente decreto o demás normas que lo modifiquen o sustituyan, incluidos los fondos que invierten en fondos de capital privado, conocidos como "fondos de fondos" y los fondos de capital privado inmobiliario. Las AFP podrán adquirir compromisos para participar o entregar dinero, sujetos a plazo o condición, para realizar la inversión prevista en este numeral.</w:t>
            </w:r>
          </w:p>
          <w:p w14:paraId="16BA0555" w14:textId="77777777" w:rsidR="00661F23" w:rsidRPr="00661F23" w:rsidRDefault="00661F23" w:rsidP="00661F23">
            <w:pPr>
              <w:jc w:val="both"/>
              <w:rPr>
                <w:rFonts w:ascii="Arial" w:hAnsi="Arial" w:cs="Arial"/>
                <w:sz w:val="20"/>
                <w:szCs w:val="20"/>
              </w:rPr>
            </w:pPr>
            <w:r w:rsidRPr="00661F23">
              <w:rPr>
                <w:rFonts w:ascii="Arial" w:hAnsi="Arial" w:cs="Arial"/>
                <w:sz w:val="20"/>
                <w:szCs w:val="20"/>
              </w:rPr>
              <w:t xml:space="preserve">Considerando la naturaleza de los fondos de capital privado, la AFP debe tener a disposición de la Superintendencia Financiera de Colombia: a) los criterios de inversión y riesgo que se tuvieron en cuenta para realizar la inversión y las evaluaciones de la relación riesgo-retorno de los mismos frente a los resultados esperados, y b) la documentación relacionada con la inversión o su participación. La obligación aquí prevista deberá estar incluida dentro de sus políticas de inversión. </w:t>
            </w:r>
          </w:p>
          <w:p w14:paraId="796B55F5" w14:textId="77777777" w:rsidR="00661F23" w:rsidRPr="00661F23" w:rsidRDefault="00661F23" w:rsidP="00661F23">
            <w:pPr>
              <w:jc w:val="both"/>
              <w:rPr>
                <w:rFonts w:ascii="Arial" w:hAnsi="Arial" w:cs="Arial"/>
                <w:sz w:val="20"/>
                <w:szCs w:val="20"/>
              </w:rPr>
            </w:pPr>
            <w:r w:rsidRPr="00661F23">
              <w:rPr>
                <w:rFonts w:ascii="Arial" w:hAnsi="Arial" w:cs="Arial"/>
                <w:sz w:val="20"/>
                <w:szCs w:val="20"/>
              </w:rPr>
              <w:tab/>
            </w:r>
          </w:p>
          <w:p w14:paraId="25CD8E2B" w14:textId="77777777" w:rsidR="00661F23" w:rsidRPr="00661F23" w:rsidRDefault="00661F23" w:rsidP="00661F23">
            <w:pPr>
              <w:jc w:val="both"/>
              <w:rPr>
                <w:rFonts w:ascii="Arial" w:hAnsi="Arial" w:cs="Arial"/>
                <w:sz w:val="20"/>
                <w:szCs w:val="20"/>
              </w:rPr>
            </w:pPr>
            <w:r w:rsidRPr="00661F23">
              <w:rPr>
                <w:rFonts w:ascii="Arial" w:hAnsi="Arial" w:cs="Arial"/>
                <w:sz w:val="20"/>
                <w:szCs w:val="20"/>
              </w:rPr>
              <w:t>La Sociedad Administradora del fondo de capital privado o el Gestor Profesional, en caso de que exista, deberá tener a disposición de sus inversionistas toda la información relevante acerca de la constitución de los portafolios de inversión, la valoración de los activos subyacentes y los elementos que permitan conocer, identificar y valorar, entre otras, cada una de sus inversiones. De acuerdo con lo anterior, la política de inversión de los fondos de capital privado deberá estar definida de manera previa y clara en su reglamento, deberá contemplar el plan de inversiones, indicando el tipo de activos subyacentes y los criterios para su selección. Adicionalmente, el reglamento deberá establecer el tipo de inversionistas permitidos en el fondo de capital privado.</w:t>
            </w:r>
          </w:p>
          <w:p w14:paraId="59D3CC54" w14:textId="77777777" w:rsidR="00661F23" w:rsidRPr="00661F23" w:rsidRDefault="00661F23" w:rsidP="00661F23">
            <w:pPr>
              <w:jc w:val="both"/>
              <w:rPr>
                <w:rFonts w:ascii="Arial" w:hAnsi="Arial" w:cs="Arial"/>
                <w:sz w:val="20"/>
                <w:szCs w:val="20"/>
              </w:rPr>
            </w:pPr>
          </w:p>
          <w:p w14:paraId="2D52A203" w14:textId="77777777" w:rsidR="00661F23" w:rsidRPr="00661F23" w:rsidRDefault="00661F23" w:rsidP="00661F23">
            <w:pPr>
              <w:jc w:val="both"/>
              <w:rPr>
                <w:rFonts w:ascii="Arial" w:hAnsi="Arial" w:cs="Arial"/>
                <w:sz w:val="20"/>
                <w:szCs w:val="20"/>
              </w:rPr>
            </w:pPr>
            <w:r w:rsidRPr="00661F23">
              <w:rPr>
                <w:rFonts w:ascii="Arial" w:hAnsi="Arial" w:cs="Arial"/>
                <w:sz w:val="20"/>
                <w:szCs w:val="20"/>
              </w:rPr>
              <w:t>Al momento de realizar la inversión y durante la vigencia de la misma, la AFP deberá verificar que el gerente del fondo de capital privado cuando haga las veces de gestor profesional, o el gestor profesional, según sea el caso, acredite por lo menos cinco (5) años en la administración o gestión del (los) activo(s) subyacente(s) del fondo, dentro o fuera de Colombia. Tratándose de fondos de capital privado que cuenten con un gestor profesional que sea una persona jurídica, dicha experiencia también podrá ser acreditada por su representante legal o su matriz. En el caso de los fondos subyacentes en los denominados “fondos de fondos”, para dichos fondos subyacentes será igualmente exigible el requisito de experiencia del gerente o del gestor.</w:t>
            </w:r>
          </w:p>
          <w:p w14:paraId="561E0B5B" w14:textId="77777777" w:rsidR="00661F23" w:rsidRPr="00661F23" w:rsidRDefault="00661F23" w:rsidP="00661F23">
            <w:pPr>
              <w:jc w:val="both"/>
              <w:rPr>
                <w:rFonts w:ascii="Arial" w:hAnsi="Arial" w:cs="Arial"/>
                <w:sz w:val="20"/>
                <w:szCs w:val="20"/>
              </w:rPr>
            </w:pPr>
          </w:p>
          <w:p w14:paraId="59A679B9" w14:textId="77777777" w:rsidR="00661F23" w:rsidRPr="00661F23" w:rsidRDefault="00661F23" w:rsidP="00661F23">
            <w:pPr>
              <w:jc w:val="both"/>
              <w:rPr>
                <w:rFonts w:ascii="Arial" w:hAnsi="Arial" w:cs="Arial"/>
                <w:sz w:val="20"/>
                <w:szCs w:val="20"/>
              </w:rPr>
            </w:pPr>
            <w:r w:rsidRPr="00661F23">
              <w:rPr>
                <w:rFonts w:ascii="Arial" w:hAnsi="Arial" w:cs="Arial"/>
                <w:sz w:val="20"/>
                <w:szCs w:val="20"/>
              </w:rPr>
              <w:t>No serán admisibles las inversiones en fondos de capital privado que inviertan en activos, participaciones y títulos cuyo emisor, aceptante, garante o propietario sea la AFP, las filiales o subsidiarias de la misma, su matriz o las filiales o subsidiarias de ésta, salvo que se trate de fondos de capital privado que destinen al menos dos terceras (2/3) partes de los aportes de sus inversionistas a proyectos de infraestructura, bajo el esquema de Asociaciones Público Privadas (APP) descrito en la Ley 1508 de 2012, y cuyas inversiones sean aprobadas por la Junta Directiva de la AFP. Órgano que al momento de realizar la inversión y durante la vigencia de la misma deberá garantizar que:</w:t>
            </w:r>
          </w:p>
          <w:p w14:paraId="62989BFA" w14:textId="77777777" w:rsidR="00661F23" w:rsidRPr="00661F23" w:rsidRDefault="00661F23" w:rsidP="00661F23">
            <w:pPr>
              <w:jc w:val="both"/>
              <w:rPr>
                <w:rFonts w:ascii="Arial" w:hAnsi="Arial" w:cs="Arial"/>
                <w:sz w:val="20"/>
                <w:szCs w:val="20"/>
              </w:rPr>
            </w:pPr>
          </w:p>
          <w:p w14:paraId="13A4A3A2" w14:textId="77777777" w:rsidR="00661F23" w:rsidRPr="00661F23" w:rsidRDefault="00661F23" w:rsidP="00661F23">
            <w:pPr>
              <w:jc w:val="both"/>
              <w:rPr>
                <w:rFonts w:ascii="Arial" w:hAnsi="Arial" w:cs="Arial"/>
                <w:sz w:val="20"/>
                <w:szCs w:val="20"/>
              </w:rPr>
            </w:pPr>
            <w:r w:rsidRPr="00661F23">
              <w:rPr>
                <w:rFonts w:ascii="Arial" w:hAnsi="Arial" w:cs="Arial"/>
                <w:sz w:val="20"/>
                <w:szCs w:val="20"/>
              </w:rPr>
              <w:t>i.</w:t>
            </w:r>
            <w:r w:rsidRPr="00661F23">
              <w:rPr>
                <w:rFonts w:ascii="Arial" w:hAnsi="Arial" w:cs="Arial"/>
                <w:sz w:val="20"/>
                <w:szCs w:val="20"/>
              </w:rPr>
              <w:tab/>
              <w:t>El gerente del fondo de capital privado cuando haga las veces de gestor profesional, o el gestor profesional, según sea el caso, y los miembros del comité de inversiones tengan la calidad de independientes de la AFP, conforme a lo previsto en el parágrafo segundo del artículo 44 de la Ley 964 de 2005. En los casos en los que el gestor profesional sea una persona jurídica, el mismo no deberá ser vinculado a la AFP, aplicando la definición contenida en el artículo 2.6.12.1.15 del presente Decreto.</w:t>
            </w:r>
          </w:p>
          <w:p w14:paraId="2E264137" w14:textId="77777777" w:rsidR="00661F23" w:rsidRPr="00661F23" w:rsidRDefault="00661F23" w:rsidP="00661F23">
            <w:pPr>
              <w:jc w:val="both"/>
              <w:rPr>
                <w:rFonts w:ascii="Arial" w:hAnsi="Arial" w:cs="Arial"/>
                <w:sz w:val="20"/>
                <w:szCs w:val="20"/>
              </w:rPr>
            </w:pPr>
          </w:p>
          <w:p w14:paraId="0CA099C6" w14:textId="77777777" w:rsidR="00661F23" w:rsidRPr="00661F23" w:rsidRDefault="00661F23" w:rsidP="00661F23">
            <w:pPr>
              <w:jc w:val="both"/>
              <w:rPr>
                <w:rFonts w:ascii="Arial" w:hAnsi="Arial" w:cs="Arial"/>
                <w:sz w:val="20"/>
                <w:szCs w:val="20"/>
              </w:rPr>
            </w:pPr>
            <w:r w:rsidRPr="00661F23">
              <w:rPr>
                <w:rFonts w:ascii="Arial" w:hAnsi="Arial" w:cs="Arial"/>
                <w:sz w:val="20"/>
                <w:szCs w:val="20"/>
              </w:rPr>
              <w:t>ii.</w:t>
            </w:r>
            <w:r w:rsidRPr="00661F23">
              <w:rPr>
                <w:rFonts w:ascii="Arial" w:hAnsi="Arial" w:cs="Arial"/>
                <w:sz w:val="20"/>
                <w:szCs w:val="20"/>
              </w:rPr>
              <w:tab/>
              <w:t xml:space="preserve">La suma de las participaciones de los fondos administrados por la AFP, de la AFP y de sus vinculados, sea menor al cincuenta por ciento (50%) del valor del patrimonio del fondo de capital privado. Para la aplicación de este límite deberá tenerse en cuenta la definición de vinculado contenida en el artículo 2.6.12.1.15 del presente Decreto y entenderse como patrimonio del fondo de capital privado el valor total de los compromisos de capital y los aportes al mismo.   </w:t>
            </w:r>
          </w:p>
          <w:p w14:paraId="0837FCA7" w14:textId="77777777" w:rsidR="00661F23" w:rsidRPr="00661F23" w:rsidRDefault="00661F23" w:rsidP="00661F23">
            <w:pPr>
              <w:jc w:val="both"/>
              <w:rPr>
                <w:rFonts w:ascii="Arial" w:hAnsi="Arial" w:cs="Arial"/>
                <w:sz w:val="20"/>
                <w:szCs w:val="20"/>
              </w:rPr>
            </w:pPr>
          </w:p>
          <w:p w14:paraId="66E43D3A" w14:textId="77777777" w:rsidR="00661F23" w:rsidRPr="00661F23" w:rsidRDefault="00661F23" w:rsidP="00661F23">
            <w:pPr>
              <w:jc w:val="both"/>
              <w:rPr>
                <w:rFonts w:ascii="Arial" w:hAnsi="Arial" w:cs="Arial"/>
                <w:sz w:val="20"/>
                <w:szCs w:val="20"/>
              </w:rPr>
            </w:pPr>
            <w:r w:rsidRPr="00661F23">
              <w:rPr>
                <w:rFonts w:ascii="Arial" w:hAnsi="Arial" w:cs="Arial"/>
                <w:sz w:val="20"/>
                <w:szCs w:val="20"/>
              </w:rPr>
              <w:t>La Sociedad Administradora del fondo de capital privado deberá verificar que se dé cumplimiento a lo dispuesto en los literales i) y ii) antes citados, informarlo al comité de vigilancia del fondo de capital privado para el cumplimiento de sus funciones y mantener dicha verificación a disposición de la Superintendencia Financiera de Colombia.</w:t>
            </w:r>
          </w:p>
          <w:p w14:paraId="1C3AC2AA" w14:textId="1636DCAD" w:rsidR="00661F23" w:rsidRPr="00661F23" w:rsidRDefault="00661F23" w:rsidP="00DB686A">
            <w:pPr>
              <w:jc w:val="both"/>
              <w:rPr>
                <w:rFonts w:ascii="Arial" w:hAnsi="Arial" w:cs="Arial"/>
                <w:sz w:val="20"/>
                <w:szCs w:val="20"/>
              </w:rPr>
            </w:pPr>
          </w:p>
        </w:tc>
        <w:tc>
          <w:tcPr>
            <w:tcW w:w="3588" w:type="dxa"/>
          </w:tcPr>
          <w:p w14:paraId="154AAFA1" w14:textId="77777777" w:rsidR="00661F23" w:rsidRPr="00661F23" w:rsidRDefault="00661F23" w:rsidP="00DB686A">
            <w:pPr>
              <w:jc w:val="both"/>
              <w:rPr>
                <w:rFonts w:ascii="Arial" w:hAnsi="Arial" w:cs="Arial"/>
                <w:sz w:val="20"/>
                <w:szCs w:val="20"/>
              </w:rPr>
            </w:pPr>
          </w:p>
        </w:tc>
      </w:tr>
      <w:tr w:rsidR="00661F23" w:rsidRPr="00661F23" w14:paraId="177113E2" w14:textId="77777777" w:rsidTr="005232DD">
        <w:tc>
          <w:tcPr>
            <w:tcW w:w="5240" w:type="dxa"/>
          </w:tcPr>
          <w:p w14:paraId="24745C79" w14:textId="5BA48D57" w:rsidR="00661F23" w:rsidRPr="00661F23" w:rsidRDefault="00661F23" w:rsidP="00661F23">
            <w:pPr>
              <w:jc w:val="both"/>
              <w:rPr>
                <w:rFonts w:ascii="Arial" w:hAnsi="Arial" w:cs="Arial"/>
                <w:sz w:val="20"/>
                <w:szCs w:val="20"/>
              </w:rPr>
            </w:pPr>
            <w:r w:rsidRPr="00661F23">
              <w:rPr>
                <w:rFonts w:ascii="Arial" w:hAnsi="Arial" w:cs="Arial"/>
                <w:sz w:val="20"/>
                <w:szCs w:val="20"/>
              </w:rPr>
              <w:t>Artículo 2.6.12.1.2 Inversiones admisibles. (Sustituido por el artículo 1° del Decreto 857 del 23 de marzo de 2011. Véase régimen de transición previsto en los artículos 3° y 4° de la misma disposición)</w:t>
            </w:r>
          </w:p>
          <w:p w14:paraId="1F0C57B0" w14:textId="77777777" w:rsidR="00661F23" w:rsidRPr="00661F23" w:rsidRDefault="00661F23" w:rsidP="00661F23">
            <w:pPr>
              <w:jc w:val="both"/>
              <w:rPr>
                <w:rFonts w:ascii="Arial" w:hAnsi="Arial" w:cs="Arial"/>
                <w:sz w:val="20"/>
                <w:szCs w:val="20"/>
              </w:rPr>
            </w:pPr>
          </w:p>
          <w:p w14:paraId="378CCA96" w14:textId="77777777" w:rsidR="00661F23" w:rsidRPr="00661F23" w:rsidRDefault="00661F23" w:rsidP="00661F23">
            <w:pPr>
              <w:jc w:val="both"/>
              <w:rPr>
                <w:rFonts w:ascii="Arial" w:hAnsi="Arial" w:cs="Arial"/>
                <w:sz w:val="20"/>
                <w:szCs w:val="20"/>
              </w:rPr>
            </w:pPr>
            <w:r w:rsidRPr="00661F23">
              <w:rPr>
                <w:rFonts w:ascii="Arial" w:hAnsi="Arial" w:cs="Arial"/>
                <w:sz w:val="20"/>
                <w:szCs w:val="20"/>
              </w:rPr>
              <w:t>Con el propósito de que los recursos de los diferentes tipos de fondos de pensiones obligatorias en el régimen de ahorro individual con solidaridad y los recursos de los fondos de cesantía y sus portafolios de corto y largo plazo, se encuentren respaldados por activos que cuenten con la requerida seguridad, rentabilidad y liquidez, las AFP deben invertir dichos recursos en las condiciones y con sujeción a los límites que se establecen en los Títulos 12 y 13 del Libro 6 de la Parte 2 del presente decreto.</w:t>
            </w:r>
          </w:p>
          <w:p w14:paraId="2F44B98E" w14:textId="77777777" w:rsidR="00661F23" w:rsidRPr="00661F23" w:rsidRDefault="00661F23" w:rsidP="00661F23">
            <w:pPr>
              <w:jc w:val="both"/>
              <w:rPr>
                <w:rFonts w:ascii="Arial" w:hAnsi="Arial" w:cs="Arial"/>
                <w:sz w:val="20"/>
                <w:szCs w:val="20"/>
              </w:rPr>
            </w:pPr>
          </w:p>
          <w:p w14:paraId="65A33FE9" w14:textId="77777777" w:rsidR="00661F23" w:rsidRDefault="00661F23" w:rsidP="00661F23">
            <w:pPr>
              <w:jc w:val="both"/>
              <w:rPr>
                <w:rFonts w:ascii="Arial" w:hAnsi="Arial" w:cs="Arial"/>
                <w:sz w:val="20"/>
                <w:szCs w:val="20"/>
              </w:rPr>
            </w:pPr>
            <w:r w:rsidRPr="00661F23">
              <w:rPr>
                <w:rFonts w:ascii="Arial" w:hAnsi="Arial" w:cs="Arial"/>
                <w:sz w:val="20"/>
                <w:szCs w:val="20"/>
              </w:rPr>
              <w:t>De acuerdo con lo anterior, los recursos de los diferentes tipos de fondos de pensiones obligatorias y los portafolios de los fondos de cesantía se pueden invertir en los activos que se señalan a continuación:</w:t>
            </w:r>
          </w:p>
          <w:p w14:paraId="42D7ABFB" w14:textId="77777777" w:rsidR="00661F23" w:rsidRDefault="00661F23" w:rsidP="00661F23">
            <w:pPr>
              <w:jc w:val="both"/>
              <w:rPr>
                <w:rFonts w:ascii="Arial" w:hAnsi="Arial" w:cs="Arial"/>
                <w:sz w:val="20"/>
                <w:szCs w:val="20"/>
              </w:rPr>
            </w:pPr>
          </w:p>
          <w:p w14:paraId="51F96912" w14:textId="77777777" w:rsidR="00661F23" w:rsidRDefault="00661F23" w:rsidP="00661F23">
            <w:pPr>
              <w:jc w:val="center"/>
              <w:rPr>
                <w:rFonts w:ascii="Arial" w:hAnsi="Arial" w:cs="Arial"/>
                <w:sz w:val="20"/>
                <w:szCs w:val="20"/>
              </w:rPr>
            </w:pPr>
            <w:r>
              <w:rPr>
                <w:rFonts w:ascii="Arial" w:hAnsi="Arial" w:cs="Arial"/>
                <w:sz w:val="20"/>
                <w:szCs w:val="20"/>
              </w:rPr>
              <w:t>(….)</w:t>
            </w:r>
          </w:p>
          <w:p w14:paraId="17402CA0" w14:textId="7CF56AD5" w:rsidR="00661F23" w:rsidRPr="00B04DE1" w:rsidRDefault="00661F23" w:rsidP="00B04DE1">
            <w:pPr>
              <w:rPr>
                <w:rFonts w:ascii="Arial" w:hAnsi="Arial" w:cs="Arial"/>
                <w:b/>
                <w:sz w:val="20"/>
                <w:szCs w:val="20"/>
              </w:rPr>
            </w:pPr>
            <w:r w:rsidRPr="00B04DE1">
              <w:rPr>
                <w:rFonts w:ascii="Arial" w:hAnsi="Arial" w:cs="Arial"/>
                <w:b/>
                <w:sz w:val="20"/>
                <w:szCs w:val="20"/>
              </w:rPr>
              <w:t>2. Títulos, valores o participaciones de emisores del exterior.</w:t>
            </w:r>
          </w:p>
          <w:p w14:paraId="6E1055C0" w14:textId="77777777" w:rsidR="00661F23" w:rsidRDefault="00661F23" w:rsidP="00661F23">
            <w:pPr>
              <w:jc w:val="center"/>
              <w:rPr>
                <w:rFonts w:ascii="Arial" w:hAnsi="Arial" w:cs="Arial"/>
                <w:sz w:val="20"/>
                <w:szCs w:val="20"/>
              </w:rPr>
            </w:pPr>
          </w:p>
          <w:p w14:paraId="52F5F0DE" w14:textId="2F44372D" w:rsidR="00661F23" w:rsidRDefault="00661F23" w:rsidP="00661F23">
            <w:pPr>
              <w:jc w:val="center"/>
              <w:rPr>
                <w:rFonts w:ascii="Arial" w:hAnsi="Arial" w:cs="Arial"/>
                <w:sz w:val="20"/>
                <w:szCs w:val="20"/>
              </w:rPr>
            </w:pPr>
            <w:r>
              <w:rPr>
                <w:rFonts w:ascii="Arial" w:hAnsi="Arial" w:cs="Arial"/>
                <w:sz w:val="20"/>
                <w:szCs w:val="20"/>
              </w:rPr>
              <w:t>(….)</w:t>
            </w:r>
          </w:p>
          <w:p w14:paraId="67059150" w14:textId="77777777" w:rsidR="00661F23" w:rsidRDefault="00661F23" w:rsidP="00661F23">
            <w:pPr>
              <w:jc w:val="center"/>
              <w:rPr>
                <w:rFonts w:ascii="Arial" w:hAnsi="Arial" w:cs="Arial"/>
                <w:sz w:val="20"/>
                <w:szCs w:val="20"/>
              </w:rPr>
            </w:pPr>
          </w:p>
          <w:p w14:paraId="52CF364B" w14:textId="059F1989" w:rsidR="00661F23" w:rsidRDefault="00661F23" w:rsidP="00661F23">
            <w:pPr>
              <w:jc w:val="center"/>
              <w:rPr>
                <w:rFonts w:ascii="Arial" w:hAnsi="Arial" w:cs="Arial"/>
                <w:sz w:val="20"/>
                <w:szCs w:val="20"/>
              </w:rPr>
            </w:pPr>
            <w:r w:rsidRPr="00661F23">
              <w:rPr>
                <w:rFonts w:ascii="Arial" w:hAnsi="Arial" w:cs="Arial"/>
                <w:sz w:val="20"/>
                <w:szCs w:val="20"/>
              </w:rPr>
              <w:t>2.7 (Modificado por el artículo 3° del Decreto 765 del 6 de mayo de 2016. Comenzó a regir a partir del 6 de mayo de 2016. Ver régimen de transición del artículo 20) Participaciones en fondos de capital privado constituidos en el exterior, incluidos los fondos que invierten en fondos de capital privado, conocidos como "fondos de fondos" y los fondos de capital privado inmobiliarios. Las AFP podrán adquirir compromisos para participar o entregar dinero, sujetos a plazo o condición, para realizar la inversión prevista en este numeral.</w:t>
            </w:r>
          </w:p>
          <w:p w14:paraId="1207966A" w14:textId="77777777" w:rsidR="00661F23" w:rsidRPr="00661F23" w:rsidRDefault="00661F23" w:rsidP="00661F23">
            <w:pPr>
              <w:jc w:val="center"/>
              <w:rPr>
                <w:rFonts w:ascii="Arial" w:hAnsi="Arial" w:cs="Arial"/>
                <w:sz w:val="20"/>
                <w:szCs w:val="20"/>
              </w:rPr>
            </w:pPr>
            <w:r w:rsidRPr="00661F23">
              <w:rPr>
                <w:rFonts w:ascii="Arial" w:hAnsi="Arial" w:cs="Arial"/>
                <w:sz w:val="20"/>
                <w:szCs w:val="20"/>
              </w:rPr>
              <w:t>Para todos los efectos, se debe entender como fondos de capital privado constituidos en el exterior, aquellos fondos creados por fuera de Colombia que, de conformidad con la regulación aplicable en su domicilio se consideren o tengan la naturaleza de fondos de capital privado, independientemente de la denominación, de la forma organizacional, legal o corporativa que dichos fondos asuman según la ley en su jurisdicción y de los instrumentos de inversión subyacentes en que estos inviertan. Cuando no haya regulación aplicable, en el prospecto o reglamento del fondo objeto de inversión deberá informarse que se trata de esta clase de inversión o, en su defecto, podrá acreditarse que se trata de un fondo de capital privado por medio de una certificación expedida por su administrador o gestor.</w:t>
            </w:r>
          </w:p>
          <w:p w14:paraId="482215C8" w14:textId="77777777" w:rsidR="00661F23" w:rsidRPr="00661F23" w:rsidRDefault="00661F23" w:rsidP="00661F23">
            <w:pPr>
              <w:jc w:val="center"/>
              <w:rPr>
                <w:rFonts w:ascii="Arial" w:hAnsi="Arial" w:cs="Arial"/>
                <w:sz w:val="20"/>
                <w:szCs w:val="20"/>
              </w:rPr>
            </w:pPr>
            <w:r w:rsidRPr="00661F23">
              <w:rPr>
                <w:rFonts w:ascii="Arial" w:hAnsi="Arial" w:cs="Arial"/>
                <w:sz w:val="20"/>
                <w:szCs w:val="20"/>
              </w:rPr>
              <w:t>Considerando la naturaleza de estos fondos, la AFP debe tener a disposición de la Superintendencia Financiera de Colombia:</w:t>
            </w:r>
          </w:p>
          <w:p w14:paraId="5EAA791D" w14:textId="77777777" w:rsidR="00661F23" w:rsidRPr="00661F23" w:rsidRDefault="00661F23" w:rsidP="00661F23">
            <w:pPr>
              <w:jc w:val="center"/>
              <w:rPr>
                <w:rFonts w:ascii="Arial" w:hAnsi="Arial" w:cs="Arial"/>
                <w:sz w:val="20"/>
                <w:szCs w:val="20"/>
              </w:rPr>
            </w:pPr>
          </w:p>
          <w:p w14:paraId="4CF5371C" w14:textId="77777777" w:rsidR="00661F23" w:rsidRPr="00661F23" w:rsidRDefault="00661F23" w:rsidP="00661F23">
            <w:pPr>
              <w:jc w:val="center"/>
              <w:rPr>
                <w:rFonts w:ascii="Arial" w:hAnsi="Arial" w:cs="Arial"/>
                <w:sz w:val="20"/>
                <w:szCs w:val="20"/>
              </w:rPr>
            </w:pPr>
            <w:r w:rsidRPr="00661F23">
              <w:rPr>
                <w:rFonts w:ascii="Arial" w:hAnsi="Arial" w:cs="Arial"/>
                <w:sz w:val="20"/>
                <w:szCs w:val="20"/>
              </w:rPr>
              <w:t>i) Los criterios de inversión y riesgo que se tuvieron en cuenta para realizar la inversión y las evaluaciones de la relación riesgo-retorno de los mismos frente a los resultados esperados, y</w:t>
            </w:r>
          </w:p>
          <w:p w14:paraId="76500463" w14:textId="77777777" w:rsidR="00661F23" w:rsidRPr="00661F23" w:rsidRDefault="00661F23" w:rsidP="00661F23">
            <w:pPr>
              <w:jc w:val="center"/>
              <w:rPr>
                <w:rFonts w:ascii="Arial" w:hAnsi="Arial" w:cs="Arial"/>
                <w:sz w:val="20"/>
                <w:szCs w:val="20"/>
              </w:rPr>
            </w:pPr>
          </w:p>
          <w:p w14:paraId="76C53449" w14:textId="77777777" w:rsidR="00661F23" w:rsidRPr="00661F23" w:rsidRDefault="00661F23" w:rsidP="00661F23">
            <w:pPr>
              <w:jc w:val="center"/>
              <w:rPr>
                <w:rFonts w:ascii="Arial" w:hAnsi="Arial" w:cs="Arial"/>
                <w:sz w:val="20"/>
                <w:szCs w:val="20"/>
              </w:rPr>
            </w:pPr>
            <w:r w:rsidRPr="00661F23">
              <w:rPr>
                <w:rFonts w:ascii="Arial" w:hAnsi="Arial" w:cs="Arial"/>
                <w:sz w:val="20"/>
                <w:szCs w:val="20"/>
              </w:rPr>
              <w:t>ii) La documentación relacionada con la inversión o su participación. La obligación aquí prevista deberá estar incluida dentro de sus políticas de inversión.</w:t>
            </w:r>
          </w:p>
          <w:p w14:paraId="0673CB23" w14:textId="77777777" w:rsidR="00661F23" w:rsidRPr="00661F23" w:rsidRDefault="00661F23" w:rsidP="00661F23">
            <w:pPr>
              <w:jc w:val="center"/>
              <w:rPr>
                <w:rFonts w:ascii="Arial" w:hAnsi="Arial" w:cs="Arial"/>
                <w:sz w:val="20"/>
                <w:szCs w:val="20"/>
              </w:rPr>
            </w:pPr>
            <w:r w:rsidRPr="00661F23">
              <w:rPr>
                <w:rFonts w:ascii="Arial" w:hAnsi="Arial" w:cs="Arial"/>
                <w:sz w:val="20"/>
                <w:szCs w:val="20"/>
              </w:rPr>
              <w:t>Así mismo, al momento de realizar la inversión y durante la vigencia de la misma, la AFP deberá verificar el cumplimiento de los siguientes requisitos:</w:t>
            </w:r>
          </w:p>
          <w:p w14:paraId="23449F82" w14:textId="77777777" w:rsidR="00661F23" w:rsidRPr="00661F23" w:rsidRDefault="00661F23" w:rsidP="00661F23">
            <w:pPr>
              <w:jc w:val="center"/>
              <w:rPr>
                <w:rFonts w:ascii="Arial" w:hAnsi="Arial" w:cs="Arial"/>
                <w:sz w:val="20"/>
                <w:szCs w:val="20"/>
              </w:rPr>
            </w:pPr>
          </w:p>
          <w:p w14:paraId="1AA814FF" w14:textId="77777777" w:rsidR="00661F23" w:rsidRPr="00661F23" w:rsidRDefault="00661F23" w:rsidP="00661F23">
            <w:pPr>
              <w:jc w:val="center"/>
              <w:rPr>
                <w:rFonts w:ascii="Arial" w:hAnsi="Arial" w:cs="Arial"/>
                <w:sz w:val="20"/>
                <w:szCs w:val="20"/>
              </w:rPr>
            </w:pPr>
            <w:r w:rsidRPr="00661F23">
              <w:rPr>
                <w:rFonts w:ascii="Arial" w:hAnsi="Arial" w:cs="Arial"/>
                <w:sz w:val="20"/>
                <w:szCs w:val="20"/>
              </w:rPr>
              <w:t>a) Las entidades que tengan responsabilidad por la administración y gestión del fondo de capital privado o sus matrices deberán estar constituidas en una jurisdicción con grado de inversión según las escalas de calificación de una sociedad calificadora reconocida internacionalmente.</w:t>
            </w:r>
          </w:p>
          <w:p w14:paraId="3D3A3B27" w14:textId="77777777" w:rsidR="00661F23" w:rsidRPr="00661F23" w:rsidRDefault="00661F23" w:rsidP="00661F23">
            <w:pPr>
              <w:jc w:val="center"/>
              <w:rPr>
                <w:rFonts w:ascii="Arial" w:hAnsi="Arial" w:cs="Arial"/>
                <w:sz w:val="20"/>
                <w:szCs w:val="20"/>
              </w:rPr>
            </w:pPr>
          </w:p>
          <w:p w14:paraId="5487DFDA" w14:textId="7DFC09B3" w:rsidR="00661F23" w:rsidRDefault="00661F23" w:rsidP="00661F23">
            <w:pPr>
              <w:jc w:val="center"/>
              <w:rPr>
                <w:rFonts w:ascii="Arial" w:hAnsi="Arial" w:cs="Arial"/>
                <w:sz w:val="20"/>
                <w:szCs w:val="20"/>
              </w:rPr>
            </w:pPr>
            <w:r w:rsidRPr="00661F23">
              <w:rPr>
                <w:rFonts w:ascii="Arial" w:hAnsi="Arial" w:cs="Arial"/>
                <w:sz w:val="20"/>
                <w:szCs w:val="20"/>
              </w:rPr>
              <w:t>b) (Modificado por el artículo 3° del Decreto 765 del 6 de mayo de 2016. Comenzó a regir a partir del 6 de mayo de 2016. Ver régimen de transición del artículo 20) La entidad administradora del fondo del capital privado, el gestor profesional o la matriz del gestor profesional, acrediten un mínimo de mil millones de dólares (US$1.000 millones) en inversiones o activos administrados que puedan catalogarse como de capital privado.</w:t>
            </w:r>
          </w:p>
          <w:p w14:paraId="647B269D" w14:textId="77777777" w:rsidR="005232DD" w:rsidRPr="005232DD" w:rsidRDefault="005232DD" w:rsidP="005232DD">
            <w:pPr>
              <w:jc w:val="center"/>
              <w:rPr>
                <w:rFonts w:ascii="Arial" w:hAnsi="Arial" w:cs="Arial"/>
                <w:sz w:val="20"/>
                <w:szCs w:val="20"/>
              </w:rPr>
            </w:pPr>
            <w:r w:rsidRPr="005232DD">
              <w:rPr>
                <w:rFonts w:ascii="Arial" w:hAnsi="Arial" w:cs="Arial"/>
                <w:sz w:val="20"/>
                <w:szCs w:val="20"/>
              </w:rPr>
              <w:t>c) El gestor del fondo, ya sea persona jurídica o persona natural, deberá acreditar por lo menos cinco (5) años de operación en la administración o gestión del (los) activo(s) subyacente(s) del fondo. Tratándose de fondos de capital privado que cuenten con un gestor profesional que sea una persona jurídica, dicha experiencia podrá ser acreditada por su representante legal o quien haga sus veces. En el caso de los fondos subyacentes en los denominados “fondos de fondos”, para dichos fondos subyacentes será igualmente exigible el requisito de experiencia del gestor.</w:t>
            </w:r>
          </w:p>
          <w:p w14:paraId="638541AE" w14:textId="77777777" w:rsidR="005232DD" w:rsidRPr="005232DD" w:rsidRDefault="005232DD" w:rsidP="005232DD">
            <w:pPr>
              <w:jc w:val="center"/>
              <w:rPr>
                <w:rFonts w:ascii="Arial" w:hAnsi="Arial" w:cs="Arial"/>
                <w:sz w:val="20"/>
                <w:szCs w:val="20"/>
              </w:rPr>
            </w:pPr>
          </w:p>
          <w:p w14:paraId="0A359897" w14:textId="77777777" w:rsidR="005232DD" w:rsidRPr="005232DD" w:rsidRDefault="005232DD" w:rsidP="005232DD">
            <w:pPr>
              <w:jc w:val="center"/>
              <w:rPr>
                <w:rFonts w:ascii="Arial" w:hAnsi="Arial" w:cs="Arial"/>
                <w:sz w:val="20"/>
                <w:szCs w:val="20"/>
              </w:rPr>
            </w:pPr>
            <w:r w:rsidRPr="005232DD">
              <w:rPr>
                <w:rFonts w:ascii="Arial" w:hAnsi="Arial" w:cs="Arial"/>
                <w:sz w:val="20"/>
                <w:szCs w:val="20"/>
              </w:rPr>
              <w:t>d) En el prospecto o reglamento del fondo se debe especificar claramente los objetivos del mismo, sus políticas de inversión y de administración de riesgos, así como el funcionamiento de los órganos de control y de gobierno.</w:t>
            </w:r>
          </w:p>
          <w:p w14:paraId="452B8D4E" w14:textId="77777777" w:rsidR="005232DD" w:rsidRPr="005232DD" w:rsidRDefault="005232DD" w:rsidP="005232DD">
            <w:pPr>
              <w:jc w:val="center"/>
              <w:rPr>
                <w:rFonts w:ascii="Arial" w:hAnsi="Arial" w:cs="Arial"/>
                <w:sz w:val="20"/>
                <w:szCs w:val="20"/>
              </w:rPr>
            </w:pPr>
          </w:p>
          <w:p w14:paraId="32D8C8DF" w14:textId="77777777" w:rsidR="005232DD" w:rsidRPr="005232DD" w:rsidRDefault="005232DD" w:rsidP="005232DD">
            <w:pPr>
              <w:jc w:val="center"/>
              <w:rPr>
                <w:rFonts w:ascii="Arial" w:hAnsi="Arial" w:cs="Arial"/>
                <w:sz w:val="20"/>
                <w:szCs w:val="20"/>
              </w:rPr>
            </w:pPr>
            <w:r w:rsidRPr="005232DD">
              <w:rPr>
                <w:rFonts w:ascii="Arial" w:hAnsi="Arial" w:cs="Arial"/>
                <w:sz w:val="20"/>
                <w:szCs w:val="20"/>
              </w:rPr>
              <w:t>e) La sociedad administradora o el gestor profesional del fondo tienen la obligación de tener a disposición de los inversionistas toda la información relevante acerca de la constitución de los portafolios de inversión y los elementos que permitan conocer, identificar y valorar, entre otras, cada una de sus inversiones.</w:t>
            </w:r>
          </w:p>
          <w:p w14:paraId="419EDD31" w14:textId="77777777" w:rsidR="005232DD" w:rsidRPr="005232DD" w:rsidRDefault="005232DD" w:rsidP="005232DD">
            <w:pPr>
              <w:jc w:val="center"/>
              <w:rPr>
                <w:rFonts w:ascii="Arial" w:hAnsi="Arial" w:cs="Arial"/>
                <w:sz w:val="20"/>
                <w:szCs w:val="20"/>
              </w:rPr>
            </w:pPr>
          </w:p>
          <w:p w14:paraId="7F60CBB5" w14:textId="069873E6" w:rsidR="00661F23" w:rsidRDefault="005232DD" w:rsidP="005232DD">
            <w:pPr>
              <w:jc w:val="center"/>
              <w:rPr>
                <w:rFonts w:ascii="Arial" w:hAnsi="Arial" w:cs="Arial"/>
                <w:sz w:val="20"/>
                <w:szCs w:val="20"/>
              </w:rPr>
            </w:pPr>
            <w:r w:rsidRPr="005232DD">
              <w:rPr>
                <w:rFonts w:ascii="Arial" w:hAnsi="Arial" w:cs="Arial"/>
                <w:sz w:val="20"/>
                <w:szCs w:val="20"/>
              </w:rPr>
              <w:t>Los requisitos y condiciones establecidas en los literales a), b), c) y e) anteriores pueden acreditarse a través del reglamento o prospecto del fondo de capital privado o por medio de carta o certificación expedida por la sociedad administradora del fondo de capital privado o el gestor profesional según corresponda.</w:t>
            </w:r>
          </w:p>
          <w:p w14:paraId="5B7B7ABC" w14:textId="40532D30" w:rsidR="00661F23" w:rsidRPr="00661F23" w:rsidRDefault="00661F23" w:rsidP="00661F23">
            <w:pPr>
              <w:jc w:val="center"/>
              <w:rPr>
                <w:rFonts w:ascii="Arial" w:hAnsi="Arial" w:cs="Arial"/>
                <w:sz w:val="20"/>
                <w:szCs w:val="20"/>
              </w:rPr>
            </w:pPr>
          </w:p>
        </w:tc>
        <w:tc>
          <w:tcPr>
            <w:tcW w:w="3588" w:type="dxa"/>
          </w:tcPr>
          <w:p w14:paraId="2B20768F" w14:textId="77777777" w:rsidR="00661F23" w:rsidRPr="00661F23" w:rsidRDefault="00661F23" w:rsidP="00DB686A">
            <w:pPr>
              <w:jc w:val="both"/>
              <w:rPr>
                <w:rFonts w:ascii="Arial" w:hAnsi="Arial" w:cs="Arial"/>
                <w:sz w:val="20"/>
                <w:szCs w:val="20"/>
              </w:rPr>
            </w:pPr>
          </w:p>
        </w:tc>
      </w:tr>
      <w:tr w:rsidR="00661F23" w:rsidRPr="00661F23" w14:paraId="3A27E816" w14:textId="77777777" w:rsidTr="005232DD">
        <w:tc>
          <w:tcPr>
            <w:tcW w:w="5240" w:type="dxa"/>
          </w:tcPr>
          <w:p w14:paraId="0E866CDF" w14:textId="25841A96" w:rsidR="000E26C2" w:rsidRPr="000E26C2" w:rsidRDefault="000E26C2" w:rsidP="000E26C2">
            <w:pPr>
              <w:jc w:val="center"/>
              <w:rPr>
                <w:rFonts w:ascii="Arial" w:hAnsi="Arial" w:cs="Arial"/>
                <w:sz w:val="20"/>
                <w:szCs w:val="20"/>
              </w:rPr>
            </w:pPr>
          </w:p>
          <w:p w14:paraId="560B7204" w14:textId="77777777" w:rsidR="000E26C2" w:rsidRPr="000E26C2" w:rsidRDefault="000E26C2" w:rsidP="000E26C2">
            <w:pPr>
              <w:jc w:val="center"/>
              <w:rPr>
                <w:rFonts w:ascii="Arial" w:hAnsi="Arial" w:cs="Arial"/>
                <w:sz w:val="20"/>
                <w:szCs w:val="20"/>
              </w:rPr>
            </w:pPr>
            <w:r w:rsidRPr="000E26C2">
              <w:rPr>
                <w:rFonts w:ascii="Arial" w:hAnsi="Arial" w:cs="Arial"/>
                <w:sz w:val="20"/>
                <w:szCs w:val="20"/>
              </w:rPr>
              <w:t>Artículo 2.6.12.1.6 Límites globales de inversión para el Fondo Moderado. (Sustituido por el artículo 1° del Decreto 857 del 23 de marzo de 2011. Véase régimen de transición previsto en los artículos 3° y 4° de la misma disposición)</w:t>
            </w:r>
          </w:p>
          <w:p w14:paraId="2840E47F" w14:textId="77777777" w:rsidR="000E26C2" w:rsidRPr="000E26C2" w:rsidRDefault="000E26C2" w:rsidP="000E26C2">
            <w:pPr>
              <w:rPr>
                <w:rFonts w:ascii="Arial" w:hAnsi="Arial" w:cs="Arial"/>
                <w:sz w:val="20"/>
                <w:szCs w:val="20"/>
              </w:rPr>
            </w:pPr>
            <w:r w:rsidRPr="000E26C2">
              <w:rPr>
                <w:rFonts w:ascii="Arial" w:hAnsi="Arial" w:cs="Arial"/>
                <w:sz w:val="20"/>
                <w:szCs w:val="20"/>
              </w:rPr>
              <w:t>La inversión del Fondo Moderado en los distintos activos señalados en el artículo 2.6.12.1.2 del presente decreto estará sujeta a los límites máximos previstos a continuación con respecto al valor del Fondo Moderado:</w:t>
            </w:r>
          </w:p>
          <w:p w14:paraId="3DCABB66" w14:textId="77777777" w:rsidR="00661F23" w:rsidRDefault="000E26C2" w:rsidP="000E26C2">
            <w:pPr>
              <w:jc w:val="center"/>
              <w:rPr>
                <w:rFonts w:ascii="Arial" w:hAnsi="Arial" w:cs="Arial"/>
                <w:sz w:val="20"/>
                <w:szCs w:val="20"/>
              </w:rPr>
            </w:pPr>
            <w:r>
              <w:rPr>
                <w:rFonts w:ascii="Arial" w:hAnsi="Arial" w:cs="Arial"/>
                <w:sz w:val="20"/>
                <w:szCs w:val="20"/>
              </w:rPr>
              <w:t>(….)</w:t>
            </w:r>
          </w:p>
          <w:p w14:paraId="62949A5E" w14:textId="77777777" w:rsidR="000E26C2" w:rsidRDefault="000E26C2" w:rsidP="000E26C2">
            <w:pPr>
              <w:jc w:val="center"/>
              <w:rPr>
                <w:rFonts w:ascii="Arial" w:hAnsi="Arial" w:cs="Arial"/>
                <w:sz w:val="20"/>
                <w:szCs w:val="20"/>
              </w:rPr>
            </w:pPr>
            <w:r w:rsidRPr="000E26C2">
              <w:rPr>
                <w:rFonts w:ascii="Arial" w:hAnsi="Arial" w:cs="Arial"/>
                <w:sz w:val="20"/>
                <w:szCs w:val="20"/>
              </w:rPr>
              <w:t xml:space="preserve">9. (Modificado por el artículo 9 del Decreto 765 de 2016. Entró a regir el 6 de mayo de 2016. Ver régimen de transición del artículo 20) </w:t>
            </w:r>
            <w:r w:rsidRPr="00B04DE1">
              <w:rPr>
                <w:rFonts w:ascii="Arial" w:hAnsi="Arial" w:cs="Arial"/>
                <w:b/>
                <w:sz w:val="20"/>
                <w:szCs w:val="20"/>
              </w:rPr>
              <w:t>Hasta un diez por ciento (10%) para la suma de los instrumentos descritos en los subnumerales 1.10 y 2.7,</w:t>
            </w:r>
            <w:r w:rsidRPr="000E26C2">
              <w:rPr>
                <w:rFonts w:ascii="Arial" w:hAnsi="Arial" w:cs="Arial"/>
                <w:sz w:val="20"/>
                <w:szCs w:val="20"/>
              </w:rPr>
              <w:t xml:space="preserve"> exceptuando a los fondos de capital privado inmobiliarios. Así mismo, para el computo de este límite no se tendrá en cuenta el porcentaje de las inversiones cuyo límite se describe en el numeral 19 del presente artículo.</w:t>
            </w:r>
          </w:p>
          <w:p w14:paraId="677E7B36" w14:textId="746F7C81" w:rsidR="007E3471" w:rsidRDefault="007E3471" w:rsidP="000E26C2">
            <w:pPr>
              <w:jc w:val="center"/>
              <w:rPr>
                <w:rFonts w:ascii="Arial" w:hAnsi="Arial" w:cs="Arial"/>
                <w:sz w:val="20"/>
                <w:szCs w:val="20"/>
              </w:rPr>
            </w:pPr>
          </w:p>
          <w:p w14:paraId="681486F6" w14:textId="242CD89B" w:rsidR="007E3471" w:rsidRPr="00661F23" w:rsidRDefault="007E3471" w:rsidP="000E26C2">
            <w:pPr>
              <w:jc w:val="center"/>
              <w:rPr>
                <w:rFonts w:ascii="Arial" w:hAnsi="Arial" w:cs="Arial"/>
                <w:sz w:val="20"/>
                <w:szCs w:val="20"/>
              </w:rPr>
            </w:pPr>
          </w:p>
        </w:tc>
        <w:tc>
          <w:tcPr>
            <w:tcW w:w="3588" w:type="dxa"/>
          </w:tcPr>
          <w:p w14:paraId="53DA68F1" w14:textId="77777777" w:rsidR="000E26C2" w:rsidRPr="000E26C2" w:rsidRDefault="000E26C2" w:rsidP="000E26C2">
            <w:pPr>
              <w:jc w:val="both"/>
              <w:rPr>
                <w:rFonts w:ascii="Arial" w:hAnsi="Arial" w:cs="Arial"/>
                <w:sz w:val="20"/>
                <w:szCs w:val="20"/>
              </w:rPr>
            </w:pPr>
          </w:p>
          <w:p w14:paraId="7CF8B56C" w14:textId="77777777" w:rsidR="000E26C2" w:rsidRPr="000E26C2" w:rsidRDefault="000E26C2" w:rsidP="000E26C2">
            <w:pPr>
              <w:jc w:val="both"/>
              <w:rPr>
                <w:rFonts w:ascii="Arial" w:hAnsi="Arial" w:cs="Arial"/>
                <w:sz w:val="20"/>
                <w:szCs w:val="20"/>
              </w:rPr>
            </w:pPr>
            <w:r w:rsidRPr="000E26C2">
              <w:rPr>
                <w:rFonts w:ascii="Arial" w:hAnsi="Arial" w:cs="Arial"/>
                <w:sz w:val="20"/>
                <w:szCs w:val="20"/>
              </w:rPr>
              <w:t xml:space="preserve">El numeral 9 del artículo 2.6.12.1.6 antes de ser modificado por el artículo 9° del Decreto 765 del 6 de mayo de 2016, era el siguiente: </w:t>
            </w:r>
          </w:p>
          <w:p w14:paraId="6C54E233" w14:textId="77777777" w:rsidR="000E26C2" w:rsidRPr="000E26C2" w:rsidRDefault="000E26C2" w:rsidP="000E26C2">
            <w:pPr>
              <w:jc w:val="both"/>
              <w:rPr>
                <w:rFonts w:ascii="Arial" w:hAnsi="Arial" w:cs="Arial"/>
                <w:sz w:val="20"/>
                <w:szCs w:val="20"/>
              </w:rPr>
            </w:pPr>
          </w:p>
          <w:p w14:paraId="0F76A302" w14:textId="77777777" w:rsidR="000E26C2" w:rsidRPr="000E26C2" w:rsidRDefault="000E26C2" w:rsidP="000E26C2">
            <w:pPr>
              <w:jc w:val="both"/>
              <w:rPr>
                <w:rFonts w:ascii="Arial" w:hAnsi="Arial" w:cs="Arial"/>
                <w:sz w:val="20"/>
                <w:szCs w:val="20"/>
              </w:rPr>
            </w:pPr>
            <w:r w:rsidRPr="000E26C2">
              <w:rPr>
                <w:rFonts w:ascii="Arial" w:hAnsi="Arial" w:cs="Arial"/>
                <w:sz w:val="20"/>
                <w:szCs w:val="20"/>
              </w:rPr>
              <w:t xml:space="preserve">9. </w:t>
            </w:r>
            <w:r w:rsidRPr="00B04DE1">
              <w:rPr>
                <w:rFonts w:ascii="Arial" w:hAnsi="Arial" w:cs="Arial"/>
                <w:b/>
                <w:sz w:val="20"/>
                <w:szCs w:val="20"/>
              </w:rPr>
              <w:t>Hasta en un cinco por ciento (5%) para los instrumentos descritos en el subnumeral 1.10.</w:t>
            </w:r>
            <w:r w:rsidRPr="000E26C2">
              <w:rPr>
                <w:rFonts w:ascii="Arial" w:hAnsi="Arial" w:cs="Arial"/>
                <w:sz w:val="20"/>
                <w:szCs w:val="20"/>
              </w:rPr>
              <w:t xml:space="preserve"> </w:t>
            </w:r>
          </w:p>
          <w:p w14:paraId="6D3BA5DC" w14:textId="77777777" w:rsidR="00661F23" w:rsidRDefault="000E26C2" w:rsidP="000E26C2">
            <w:pPr>
              <w:jc w:val="both"/>
              <w:rPr>
                <w:rFonts w:ascii="Arial" w:hAnsi="Arial" w:cs="Arial"/>
                <w:sz w:val="20"/>
                <w:szCs w:val="20"/>
              </w:rPr>
            </w:pPr>
            <w:r w:rsidRPr="000E26C2">
              <w:rPr>
                <w:rFonts w:ascii="Arial" w:hAnsi="Arial" w:cs="Arial"/>
                <w:sz w:val="20"/>
                <w:szCs w:val="20"/>
              </w:rPr>
              <w:t>En el evento en que las inversiones descritas en el subnumeral 1.10 cuenten con inversiones de emisores del exterior o participaciones en fondos de capital privado constituidos en el exterior, estas no computarán para efectos de este límite sino para el establecido a las inversiones del subnumeral 2.7. Además, los citados fondos de capital privado constituidos en el exterior deberán cumplir con los requisitos previstos en el subnumeral 2.7 antes mencionado.</w:t>
            </w:r>
          </w:p>
          <w:p w14:paraId="11F3A03D" w14:textId="648469AD" w:rsidR="007E3471" w:rsidRDefault="007E3471" w:rsidP="000E26C2">
            <w:pPr>
              <w:jc w:val="both"/>
              <w:rPr>
                <w:rFonts w:ascii="Arial" w:hAnsi="Arial" w:cs="Arial"/>
                <w:sz w:val="20"/>
                <w:szCs w:val="20"/>
              </w:rPr>
            </w:pPr>
            <w:r>
              <w:rPr>
                <w:rFonts w:ascii="Arial" w:hAnsi="Arial" w:cs="Arial"/>
                <w:sz w:val="20"/>
                <w:szCs w:val="20"/>
              </w:rPr>
              <w:t>(….)</w:t>
            </w:r>
          </w:p>
          <w:p w14:paraId="46D6F162" w14:textId="77777777" w:rsidR="007E3471" w:rsidRDefault="007E3471" w:rsidP="000E26C2">
            <w:pPr>
              <w:jc w:val="both"/>
              <w:rPr>
                <w:rFonts w:ascii="Arial" w:hAnsi="Arial" w:cs="Arial"/>
                <w:sz w:val="20"/>
                <w:szCs w:val="20"/>
              </w:rPr>
            </w:pPr>
          </w:p>
          <w:p w14:paraId="2A779756" w14:textId="77777777" w:rsidR="007E3471" w:rsidRPr="007E3471" w:rsidRDefault="007E3471" w:rsidP="007E3471">
            <w:pPr>
              <w:jc w:val="both"/>
              <w:rPr>
                <w:rFonts w:ascii="Arial" w:hAnsi="Arial" w:cs="Arial"/>
                <w:sz w:val="20"/>
                <w:szCs w:val="20"/>
              </w:rPr>
            </w:pPr>
            <w:r w:rsidRPr="007E3471">
              <w:rPr>
                <w:rFonts w:ascii="Arial" w:hAnsi="Arial" w:cs="Arial"/>
                <w:sz w:val="20"/>
                <w:szCs w:val="20"/>
              </w:rPr>
              <w:t xml:space="preserve">El numeral 11 del artículo 2.6.12.1.6 antes de ser modificado por el artículo 9° del Decreto 765 del 6 de mayo de 2016, era el siguiente: </w:t>
            </w:r>
          </w:p>
          <w:p w14:paraId="48F577DD" w14:textId="77777777" w:rsidR="007E3471" w:rsidRPr="007E3471" w:rsidRDefault="007E3471" w:rsidP="007E3471">
            <w:pPr>
              <w:jc w:val="both"/>
              <w:rPr>
                <w:rFonts w:ascii="Arial" w:hAnsi="Arial" w:cs="Arial"/>
                <w:sz w:val="20"/>
                <w:szCs w:val="20"/>
              </w:rPr>
            </w:pPr>
          </w:p>
          <w:p w14:paraId="0C0426EA" w14:textId="77777777" w:rsidR="007E3471" w:rsidRPr="00BA49E6" w:rsidRDefault="007E3471" w:rsidP="007E3471">
            <w:pPr>
              <w:jc w:val="both"/>
              <w:rPr>
                <w:rFonts w:ascii="Arial" w:hAnsi="Arial" w:cs="Arial"/>
                <w:b/>
                <w:bCs/>
                <w:sz w:val="20"/>
                <w:szCs w:val="20"/>
              </w:rPr>
            </w:pPr>
            <w:r w:rsidRPr="00BA49E6">
              <w:rPr>
                <w:rFonts w:ascii="Arial" w:hAnsi="Arial" w:cs="Arial"/>
                <w:b/>
                <w:bCs/>
                <w:sz w:val="20"/>
                <w:szCs w:val="20"/>
              </w:rPr>
              <w:t>11. Hasta en un cinco por ciento (5%) para los instrumentos descritos en el subnumeral 2.7.</w:t>
            </w:r>
          </w:p>
          <w:p w14:paraId="768A7E9B" w14:textId="16559961" w:rsidR="007E3471" w:rsidRPr="00661F23" w:rsidRDefault="007E3471" w:rsidP="007E3471">
            <w:pPr>
              <w:jc w:val="both"/>
              <w:rPr>
                <w:rFonts w:ascii="Arial" w:hAnsi="Arial" w:cs="Arial"/>
                <w:sz w:val="20"/>
                <w:szCs w:val="20"/>
              </w:rPr>
            </w:pPr>
            <w:r w:rsidRPr="007E3471">
              <w:rPr>
                <w:rFonts w:ascii="Arial" w:hAnsi="Arial" w:cs="Arial"/>
                <w:sz w:val="20"/>
                <w:szCs w:val="20"/>
              </w:rPr>
              <w:t>En el evento en que las inversiones descritas en el subnumeral 2.7 cuenten con inversiones de emisores nacionales estas no computarán para efectos de este límite sino para el establecido a las inversiones del numeral 1.10.</w:t>
            </w:r>
          </w:p>
        </w:tc>
      </w:tr>
      <w:tr w:rsidR="00661F23" w:rsidRPr="00661F23" w14:paraId="046CDDF4" w14:textId="77777777" w:rsidTr="005232DD">
        <w:tc>
          <w:tcPr>
            <w:tcW w:w="5240" w:type="dxa"/>
          </w:tcPr>
          <w:p w14:paraId="46FA6E5D" w14:textId="0C7353A6" w:rsidR="000E26C2" w:rsidRPr="000E26C2" w:rsidRDefault="000E26C2" w:rsidP="000E26C2">
            <w:pPr>
              <w:jc w:val="both"/>
              <w:rPr>
                <w:rFonts w:ascii="Arial" w:hAnsi="Arial" w:cs="Arial"/>
                <w:sz w:val="20"/>
                <w:szCs w:val="20"/>
              </w:rPr>
            </w:pPr>
            <w:r w:rsidRPr="000E26C2">
              <w:rPr>
                <w:rFonts w:ascii="Arial" w:hAnsi="Arial" w:cs="Arial"/>
                <w:sz w:val="20"/>
                <w:szCs w:val="20"/>
              </w:rPr>
              <w:t>Artículo 2.6.12.1.7 Límites globales de inversión para el Fondo de Mayor Riesgo. (Sustituido por el artículo 1° del Decreto 857 del 23 de marzo de 2011. Véase régimen de transición previsto en los artículos 3° y 4° de la misma disposición)</w:t>
            </w:r>
          </w:p>
          <w:p w14:paraId="1068CCD1" w14:textId="77777777" w:rsidR="000E26C2" w:rsidRPr="000E26C2" w:rsidRDefault="000E26C2" w:rsidP="000E26C2">
            <w:pPr>
              <w:jc w:val="both"/>
              <w:rPr>
                <w:rFonts w:ascii="Arial" w:hAnsi="Arial" w:cs="Arial"/>
                <w:sz w:val="20"/>
                <w:szCs w:val="20"/>
              </w:rPr>
            </w:pPr>
          </w:p>
          <w:p w14:paraId="33451D6A" w14:textId="77777777" w:rsidR="00661F23" w:rsidRDefault="000E26C2" w:rsidP="000E26C2">
            <w:pPr>
              <w:jc w:val="both"/>
              <w:rPr>
                <w:rFonts w:ascii="Arial" w:hAnsi="Arial" w:cs="Arial"/>
                <w:sz w:val="20"/>
                <w:szCs w:val="20"/>
              </w:rPr>
            </w:pPr>
            <w:r w:rsidRPr="000E26C2">
              <w:rPr>
                <w:rFonts w:ascii="Arial" w:hAnsi="Arial" w:cs="Arial"/>
                <w:sz w:val="20"/>
                <w:szCs w:val="20"/>
              </w:rPr>
              <w:t>La inversión del Fondo de Mayor Riesgo en los distintos activos señalados en el artículo 2.6.12.1.2 del presente decreto estará sujeta a los límites máximos previstos a continuación con respecto al valor del Fondo de Mayor Riesgo:</w:t>
            </w:r>
          </w:p>
          <w:p w14:paraId="01D967E4" w14:textId="77777777" w:rsidR="000E26C2" w:rsidRDefault="000E26C2" w:rsidP="00B04DE1">
            <w:pPr>
              <w:jc w:val="center"/>
              <w:rPr>
                <w:rFonts w:ascii="Arial" w:hAnsi="Arial" w:cs="Arial"/>
                <w:sz w:val="20"/>
                <w:szCs w:val="20"/>
              </w:rPr>
            </w:pPr>
            <w:r>
              <w:rPr>
                <w:rFonts w:ascii="Arial" w:hAnsi="Arial" w:cs="Arial"/>
                <w:sz w:val="20"/>
                <w:szCs w:val="20"/>
              </w:rPr>
              <w:t>(….)</w:t>
            </w:r>
          </w:p>
          <w:p w14:paraId="27FF5D80" w14:textId="5982C768" w:rsidR="000E26C2" w:rsidRPr="00661F23" w:rsidRDefault="000E26C2" w:rsidP="000E26C2">
            <w:pPr>
              <w:jc w:val="both"/>
              <w:rPr>
                <w:rFonts w:ascii="Arial" w:hAnsi="Arial" w:cs="Arial"/>
                <w:sz w:val="20"/>
                <w:szCs w:val="20"/>
              </w:rPr>
            </w:pPr>
            <w:r w:rsidRPr="000E26C2">
              <w:rPr>
                <w:rFonts w:ascii="Arial" w:hAnsi="Arial" w:cs="Arial"/>
                <w:sz w:val="20"/>
                <w:szCs w:val="20"/>
              </w:rPr>
              <w:t xml:space="preserve">9. (Modificado por el artículo 11 del Decreto 765 de 2016. Entró a regir el 6 de mayo de 2016. Ver régimen de transición del artículo 20) </w:t>
            </w:r>
            <w:r w:rsidRPr="00B04DE1">
              <w:rPr>
                <w:rFonts w:ascii="Arial" w:hAnsi="Arial" w:cs="Arial"/>
                <w:b/>
                <w:sz w:val="20"/>
                <w:szCs w:val="20"/>
              </w:rPr>
              <w:t>Hasta un quince por ciento (15%) para la suma de los instrumentos descritos en los subnumerales 1.10 y 2.7,</w:t>
            </w:r>
            <w:r w:rsidRPr="000E26C2">
              <w:rPr>
                <w:rFonts w:ascii="Arial" w:hAnsi="Arial" w:cs="Arial"/>
                <w:sz w:val="20"/>
                <w:szCs w:val="20"/>
              </w:rPr>
              <w:t xml:space="preserve"> exceptuando a los fondos de capital privado inmobiliarios. Así mismo, para el cómputo de este límite no se tendrá en cuenta el porcentaje de las inversiones cuyo límite se describe en el numeral 19 del presente artículo.</w:t>
            </w:r>
          </w:p>
        </w:tc>
        <w:tc>
          <w:tcPr>
            <w:tcW w:w="3588" w:type="dxa"/>
          </w:tcPr>
          <w:p w14:paraId="181F6572" w14:textId="77777777" w:rsidR="000E26C2" w:rsidRPr="000E26C2" w:rsidRDefault="000E26C2" w:rsidP="000E26C2">
            <w:pPr>
              <w:jc w:val="both"/>
              <w:rPr>
                <w:rFonts w:ascii="Arial" w:hAnsi="Arial" w:cs="Arial"/>
                <w:sz w:val="20"/>
                <w:szCs w:val="20"/>
              </w:rPr>
            </w:pPr>
            <w:r w:rsidRPr="000E26C2">
              <w:rPr>
                <w:rFonts w:ascii="Arial" w:hAnsi="Arial" w:cs="Arial"/>
                <w:sz w:val="20"/>
                <w:szCs w:val="20"/>
              </w:rPr>
              <w:t xml:space="preserve">El numeral 9 del artículo 2.6.12.1.7 antes de ser modificado por el artículo 11° del Decreto 765 del 6 de mayo de 2016, era el siguiente: </w:t>
            </w:r>
          </w:p>
          <w:p w14:paraId="0783959E" w14:textId="06E2553B" w:rsidR="000E26C2" w:rsidRDefault="000E26C2" w:rsidP="000E26C2">
            <w:pPr>
              <w:jc w:val="both"/>
              <w:rPr>
                <w:rFonts w:ascii="Arial" w:hAnsi="Arial" w:cs="Arial"/>
                <w:sz w:val="20"/>
                <w:szCs w:val="20"/>
              </w:rPr>
            </w:pPr>
          </w:p>
          <w:p w14:paraId="33EC7CEB" w14:textId="38917ADB" w:rsidR="00D72B7A" w:rsidRDefault="00D72B7A" w:rsidP="000E26C2">
            <w:pPr>
              <w:jc w:val="both"/>
              <w:rPr>
                <w:rFonts w:ascii="Arial" w:hAnsi="Arial" w:cs="Arial"/>
                <w:sz w:val="20"/>
                <w:szCs w:val="20"/>
              </w:rPr>
            </w:pPr>
          </w:p>
          <w:p w14:paraId="40230112" w14:textId="0D66AD85" w:rsidR="00D72B7A" w:rsidRDefault="00D72B7A" w:rsidP="000E26C2">
            <w:pPr>
              <w:jc w:val="both"/>
              <w:rPr>
                <w:rFonts w:ascii="Arial" w:hAnsi="Arial" w:cs="Arial"/>
                <w:sz w:val="20"/>
                <w:szCs w:val="20"/>
              </w:rPr>
            </w:pPr>
          </w:p>
          <w:p w14:paraId="371B8E46" w14:textId="7BA74B19" w:rsidR="00D72B7A" w:rsidRDefault="00D72B7A" w:rsidP="000E26C2">
            <w:pPr>
              <w:jc w:val="both"/>
              <w:rPr>
                <w:rFonts w:ascii="Arial" w:hAnsi="Arial" w:cs="Arial"/>
                <w:sz w:val="20"/>
                <w:szCs w:val="20"/>
              </w:rPr>
            </w:pPr>
          </w:p>
          <w:p w14:paraId="5BF8F60A" w14:textId="6651282C" w:rsidR="00D72B7A" w:rsidRDefault="00D72B7A" w:rsidP="000E26C2">
            <w:pPr>
              <w:jc w:val="both"/>
              <w:rPr>
                <w:rFonts w:ascii="Arial" w:hAnsi="Arial" w:cs="Arial"/>
                <w:sz w:val="20"/>
                <w:szCs w:val="20"/>
              </w:rPr>
            </w:pPr>
          </w:p>
          <w:p w14:paraId="527F0849" w14:textId="77777777" w:rsidR="00D72B7A" w:rsidRPr="000E26C2" w:rsidRDefault="00D72B7A" w:rsidP="000E26C2">
            <w:pPr>
              <w:jc w:val="both"/>
              <w:rPr>
                <w:rFonts w:ascii="Arial" w:hAnsi="Arial" w:cs="Arial"/>
                <w:sz w:val="20"/>
                <w:szCs w:val="20"/>
              </w:rPr>
            </w:pPr>
          </w:p>
          <w:p w14:paraId="5E0F81A6" w14:textId="2F2F92D8" w:rsidR="000E26C2" w:rsidRDefault="000E26C2" w:rsidP="000E26C2">
            <w:pPr>
              <w:jc w:val="both"/>
              <w:rPr>
                <w:rFonts w:ascii="Arial" w:hAnsi="Arial" w:cs="Arial"/>
                <w:b/>
                <w:sz w:val="20"/>
                <w:szCs w:val="20"/>
              </w:rPr>
            </w:pPr>
            <w:r w:rsidRPr="00B04DE1">
              <w:rPr>
                <w:rFonts w:ascii="Arial" w:hAnsi="Arial" w:cs="Arial"/>
                <w:b/>
                <w:sz w:val="20"/>
                <w:szCs w:val="20"/>
              </w:rPr>
              <w:t>9. Hasta en un siete por ciento (7%) para los instrumentos descritos en el subnumeral 1.10.</w:t>
            </w:r>
          </w:p>
          <w:p w14:paraId="4F212D07" w14:textId="148EF64F" w:rsidR="00D72B7A" w:rsidRDefault="00D72B7A" w:rsidP="000E26C2">
            <w:pPr>
              <w:jc w:val="both"/>
              <w:rPr>
                <w:rFonts w:ascii="Arial" w:hAnsi="Arial" w:cs="Arial"/>
                <w:b/>
                <w:sz w:val="20"/>
                <w:szCs w:val="20"/>
              </w:rPr>
            </w:pPr>
          </w:p>
          <w:p w14:paraId="71F2DF79" w14:textId="4616FDAD" w:rsidR="00661F23" w:rsidRDefault="000E26C2" w:rsidP="000E26C2">
            <w:pPr>
              <w:jc w:val="both"/>
              <w:rPr>
                <w:rFonts w:ascii="Arial" w:hAnsi="Arial" w:cs="Arial"/>
                <w:sz w:val="20"/>
                <w:szCs w:val="20"/>
              </w:rPr>
            </w:pPr>
            <w:r w:rsidRPr="000E26C2">
              <w:rPr>
                <w:rFonts w:ascii="Arial" w:hAnsi="Arial" w:cs="Arial"/>
                <w:sz w:val="20"/>
                <w:szCs w:val="20"/>
              </w:rPr>
              <w:t>En el evento en que las inversiones descritas en el subnumeral 1.10 cuenten con inversiones de emisores del exterior o participaciones en fondos de capital privado constituidos en el exterior, estas no computarán para efectos de este límite sino para el establecido a las inversiones del subnumeral 2.7. Además, los citados fondos de capital privado constituidos en el exterior deberán cumplir con los requisitos previstos en el subnumeral 2.7 antes mencionado.</w:t>
            </w:r>
          </w:p>
          <w:p w14:paraId="7B0EB3CE" w14:textId="744987A9" w:rsidR="00BA49E6" w:rsidRDefault="00BA49E6" w:rsidP="000E26C2">
            <w:pPr>
              <w:jc w:val="both"/>
              <w:rPr>
                <w:rFonts w:ascii="Arial" w:hAnsi="Arial" w:cs="Arial"/>
                <w:sz w:val="20"/>
                <w:szCs w:val="20"/>
              </w:rPr>
            </w:pPr>
            <w:r>
              <w:rPr>
                <w:rFonts w:ascii="Arial" w:hAnsi="Arial" w:cs="Arial"/>
                <w:sz w:val="20"/>
                <w:szCs w:val="20"/>
              </w:rPr>
              <w:t>(….)</w:t>
            </w:r>
          </w:p>
          <w:p w14:paraId="06BB21CC" w14:textId="0985EB33" w:rsidR="00BA49E6" w:rsidRPr="00BA49E6" w:rsidRDefault="00BA49E6" w:rsidP="00BA49E6">
            <w:pPr>
              <w:jc w:val="both"/>
              <w:rPr>
                <w:rFonts w:ascii="Arial" w:hAnsi="Arial" w:cs="Arial"/>
                <w:sz w:val="20"/>
                <w:szCs w:val="20"/>
                <w:lang w:val="es-ES"/>
              </w:rPr>
            </w:pPr>
            <w:r w:rsidRPr="00BA49E6">
              <w:rPr>
                <w:rFonts w:ascii="Arial" w:hAnsi="Arial" w:cs="Arial"/>
                <w:b/>
                <w:bCs/>
                <w:sz w:val="20"/>
                <w:szCs w:val="20"/>
              </w:rPr>
              <w:t xml:space="preserve">11. </w:t>
            </w:r>
            <w:r w:rsidRPr="00BA49E6">
              <w:rPr>
                <w:rFonts w:ascii="Arial" w:hAnsi="Arial" w:cs="Arial"/>
                <w:b/>
                <w:bCs/>
                <w:sz w:val="20"/>
                <w:szCs w:val="20"/>
                <w:lang w:val="es-ES"/>
              </w:rPr>
              <w:t>Hasta en un siete por ciento (7%) para los instrumentos descritos en el subnumeral 2.7.</w:t>
            </w:r>
            <w:r w:rsidRPr="00BA49E6">
              <w:rPr>
                <w:rFonts w:ascii="Arial" w:hAnsi="Arial" w:cs="Arial"/>
                <w:sz w:val="20"/>
                <w:szCs w:val="20"/>
                <w:lang w:val="es-ES"/>
              </w:rPr>
              <w:t xml:space="preserve"> </w:t>
            </w:r>
          </w:p>
          <w:p w14:paraId="540C33D3" w14:textId="77777777" w:rsidR="00BA49E6" w:rsidRPr="00BA49E6" w:rsidRDefault="00BA49E6" w:rsidP="00BA49E6">
            <w:pPr>
              <w:jc w:val="both"/>
              <w:rPr>
                <w:rFonts w:ascii="Arial" w:hAnsi="Arial" w:cs="Arial"/>
                <w:sz w:val="20"/>
                <w:szCs w:val="20"/>
                <w:lang w:val="es-ES"/>
              </w:rPr>
            </w:pPr>
          </w:p>
          <w:p w14:paraId="0AB2B23F" w14:textId="719CBF9E" w:rsidR="007E3471" w:rsidRPr="00661F23" w:rsidRDefault="00BA49E6" w:rsidP="00BA49E6">
            <w:pPr>
              <w:jc w:val="both"/>
              <w:rPr>
                <w:rFonts w:ascii="Arial" w:hAnsi="Arial" w:cs="Arial"/>
                <w:sz w:val="20"/>
                <w:szCs w:val="20"/>
              </w:rPr>
            </w:pPr>
            <w:r w:rsidRPr="00BA49E6">
              <w:rPr>
                <w:rFonts w:ascii="Arial" w:hAnsi="Arial" w:cs="Arial"/>
                <w:sz w:val="20"/>
                <w:szCs w:val="20"/>
                <w:lang w:val="es-ES"/>
              </w:rPr>
              <w:t>En el evento en que las inversiones descritas en el subnumeral 2.7 cuenten con inversiones de emisores nacionales estas no computarán para efectos de este límite sino para el establecido a las inversiones del numeral 1.10.</w:t>
            </w:r>
          </w:p>
        </w:tc>
      </w:tr>
      <w:tr w:rsidR="00EF755F" w:rsidRPr="00661F23" w14:paraId="57BFACAC" w14:textId="77777777" w:rsidTr="005232DD">
        <w:tc>
          <w:tcPr>
            <w:tcW w:w="5240" w:type="dxa"/>
          </w:tcPr>
          <w:p w14:paraId="07903C6D" w14:textId="7BD05923" w:rsidR="00EF755F" w:rsidRDefault="00EF755F" w:rsidP="000E26C2">
            <w:pPr>
              <w:jc w:val="both"/>
              <w:rPr>
                <w:rFonts w:ascii="Arial" w:hAnsi="Arial" w:cs="Arial"/>
                <w:sz w:val="20"/>
                <w:szCs w:val="20"/>
              </w:rPr>
            </w:pPr>
            <w:r w:rsidRPr="00EF755F">
              <w:rPr>
                <w:rFonts w:ascii="Arial" w:hAnsi="Arial" w:cs="Arial"/>
                <w:sz w:val="20"/>
                <w:szCs w:val="20"/>
              </w:rPr>
              <w:t>Artículo 2.6.12.1.24 Límites globales de inversión para el Fondo Especial de Retiro Programado. (Modificado por el artículo 5° del Decreto 59 de 2018. Entró a regir el 17 de enero de 2018. Ver régimen de transición previsto en el artículo 7º del Decreto 59 de 2018) La inversión del Fondo Especial de Retiro Programado en los distintos activos señalados en el artículo 2.6.12.1.2. del presente decreto estará sujeta a los límites máximos previstos a continuación con respecto al valor del Fondo Especial de Retiro Programado:</w:t>
            </w:r>
          </w:p>
          <w:p w14:paraId="54B340F8" w14:textId="77777777" w:rsidR="00EF755F" w:rsidRDefault="00EF755F" w:rsidP="000E26C2">
            <w:pPr>
              <w:jc w:val="both"/>
              <w:rPr>
                <w:rFonts w:ascii="Arial" w:hAnsi="Arial" w:cs="Arial"/>
                <w:sz w:val="20"/>
                <w:szCs w:val="20"/>
              </w:rPr>
            </w:pPr>
            <w:r>
              <w:rPr>
                <w:rFonts w:ascii="Arial" w:hAnsi="Arial" w:cs="Arial"/>
                <w:sz w:val="20"/>
                <w:szCs w:val="20"/>
              </w:rPr>
              <w:t>(….)</w:t>
            </w:r>
          </w:p>
          <w:p w14:paraId="3F4503E5" w14:textId="48841DC7" w:rsidR="00EF755F" w:rsidRPr="000E26C2" w:rsidRDefault="00EF755F" w:rsidP="00EF755F">
            <w:pPr>
              <w:jc w:val="both"/>
              <w:rPr>
                <w:rFonts w:ascii="Arial" w:hAnsi="Arial" w:cs="Arial"/>
                <w:sz w:val="20"/>
                <w:szCs w:val="20"/>
              </w:rPr>
            </w:pPr>
            <w:r w:rsidRPr="00EF755F">
              <w:rPr>
                <w:rFonts w:ascii="Arial" w:hAnsi="Arial" w:cs="Arial"/>
                <w:sz w:val="20"/>
                <w:szCs w:val="20"/>
              </w:rPr>
              <w:t>16.</w:t>
            </w:r>
            <w:r w:rsidRPr="00EF755F">
              <w:rPr>
                <w:rFonts w:ascii="Arial" w:hAnsi="Arial" w:cs="Arial"/>
                <w:sz w:val="20"/>
                <w:szCs w:val="20"/>
              </w:rPr>
              <w:tab/>
              <w:t>Hasta un cinco por ciento (5%) para la suma de los instrumentos descritos en los subnumerales 1.10 y 2.7, exceptuando los fondos de capital privado inmobiliarios. Así mismo, para el cómputo de este límite no se tendrá en cuenta el porcentaje de las inversiones cuyo límite se describe en el numeral 17 del presente artículo.</w:t>
            </w:r>
          </w:p>
        </w:tc>
        <w:tc>
          <w:tcPr>
            <w:tcW w:w="3588" w:type="dxa"/>
          </w:tcPr>
          <w:p w14:paraId="218EB616" w14:textId="77777777" w:rsidR="00EF755F" w:rsidRDefault="00FD4B3E" w:rsidP="00FD4B3E">
            <w:pPr>
              <w:jc w:val="center"/>
              <w:rPr>
                <w:rFonts w:ascii="Arial" w:hAnsi="Arial" w:cs="Arial"/>
                <w:sz w:val="20"/>
                <w:szCs w:val="20"/>
              </w:rPr>
            </w:pPr>
            <w:r>
              <w:rPr>
                <w:rFonts w:ascii="Arial" w:hAnsi="Arial" w:cs="Arial"/>
                <w:sz w:val="20"/>
                <w:szCs w:val="20"/>
              </w:rPr>
              <w:t>Vigente</w:t>
            </w:r>
          </w:p>
          <w:p w14:paraId="55B339DD" w14:textId="77777777" w:rsidR="00FD4B3E" w:rsidRPr="000E26C2" w:rsidRDefault="00FD4B3E" w:rsidP="000E26C2">
            <w:pPr>
              <w:jc w:val="both"/>
              <w:rPr>
                <w:rFonts w:ascii="Arial" w:hAnsi="Arial" w:cs="Arial"/>
                <w:sz w:val="20"/>
                <w:szCs w:val="20"/>
              </w:rPr>
            </w:pPr>
          </w:p>
        </w:tc>
      </w:tr>
    </w:tbl>
    <w:p w14:paraId="5395C586" w14:textId="7AEC307F" w:rsidR="00CC5EAD" w:rsidRDefault="00CC5EAD" w:rsidP="00DB686A">
      <w:pPr>
        <w:jc w:val="both"/>
        <w:rPr>
          <w:rFonts w:ascii="Arial" w:hAnsi="Arial" w:cs="Arial"/>
          <w:sz w:val="24"/>
          <w:szCs w:val="24"/>
        </w:rPr>
      </w:pPr>
    </w:p>
    <w:p w14:paraId="7FD7C139" w14:textId="4DB86566" w:rsidR="00DD191A" w:rsidRDefault="00DD191A" w:rsidP="00DD191A">
      <w:pPr>
        <w:pStyle w:val="Prrafodelista"/>
        <w:numPr>
          <w:ilvl w:val="0"/>
          <w:numId w:val="8"/>
        </w:numPr>
        <w:jc w:val="both"/>
        <w:rPr>
          <w:rFonts w:ascii="Arial" w:hAnsi="Arial" w:cs="Arial"/>
          <w:b/>
          <w:sz w:val="24"/>
          <w:szCs w:val="24"/>
        </w:rPr>
      </w:pPr>
      <w:r>
        <w:rPr>
          <w:rFonts w:ascii="Arial" w:hAnsi="Arial" w:cs="Arial"/>
          <w:b/>
          <w:sz w:val="24"/>
          <w:szCs w:val="24"/>
        </w:rPr>
        <w:t>Problemática a resolver.</w:t>
      </w:r>
    </w:p>
    <w:p w14:paraId="23CCF78D" w14:textId="6D6B411C" w:rsidR="00D22734" w:rsidRDefault="00D22734" w:rsidP="00D22734">
      <w:pPr>
        <w:jc w:val="both"/>
        <w:rPr>
          <w:rFonts w:ascii="Arial" w:hAnsi="Arial" w:cs="Arial"/>
          <w:sz w:val="24"/>
          <w:szCs w:val="24"/>
        </w:rPr>
      </w:pPr>
      <w:r>
        <w:rPr>
          <w:rFonts w:ascii="Arial" w:hAnsi="Arial" w:cs="Arial"/>
          <w:sz w:val="24"/>
          <w:szCs w:val="24"/>
        </w:rPr>
        <w:t xml:space="preserve">En concreto, con el objetivo de incentivar </w:t>
      </w:r>
      <w:r w:rsidRPr="00255F8E">
        <w:rPr>
          <w:rFonts w:ascii="Arial" w:hAnsi="Arial" w:cs="Arial"/>
          <w:sz w:val="24"/>
          <w:szCs w:val="24"/>
        </w:rPr>
        <w:t>el emprendimiento y escalamiento de la</w:t>
      </w:r>
      <w:r>
        <w:rPr>
          <w:rFonts w:ascii="Arial" w:hAnsi="Arial" w:cs="Arial"/>
          <w:sz w:val="24"/>
          <w:szCs w:val="24"/>
        </w:rPr>
        <w:t xml:space="preserve">s </w:t>
      </w:r>
      <w:r w:rsidRPr="00255F8E">
        <w:rPr>
          <w:rFonts w:ascii="Arial" w:hAnsi="Arial" w:cs="Arial"/>
          <w:sz w:val="24"/>
          <w:szCs w:val="24"/>
        </w:rPr>
        <w:t xml:space="preserve"> </w:t>
      </w:r>
      <w:r>
        <w:rPr>
          <w:rFonts w:ascii="Arial" w:hAnsi="Arial" w:cs="Arial"/>
          <w:sz w:val="24"/>
          <w:szCs w:val="24"/>
        </w:rPr>
        <w:t xml:space="preserve">Mipymes en el país, el proyecto pretende fortalecer los fondos de capital privado nacionales modificando el régimen de inversiones de los FPO y </w:t>
      </w:r>
      <w:r w:rsidR="006C5137">
        <w:rPr>
          <w:rFonts w:ascii="Arial" w:hAnsi="Arial" w:cs="Arial"/>
          <w:sz w:val="24"/>
          <w:szCs w:val="24"/>
        </w:rPr>
        <w:t>estableciendo</w:t>
      </w:r>
      <w:r>
        <w:rPr>
          <w:rFonts w:ascii="Arial" w:hAnsi="Arial" w:cs="Arial"/>
          <w:sz w:val="24"/>
          <w:szCs w:val="24"/>
        </w:rPr>
        <w:t xml:space="preserve"> unos </w:t>
      </w:r>
      <w:r w:rsidR="006C5137">
        <w:rPr>
          <w:rFonts w:ascii="Arial" w:hAnsi="Arial" w:cs="Arial"/>
          <w:sz w:val="24"/>
          <w:szCs w:val="24"/>
        </w:rPr>
        <w:t>límites</w:t>
      </w:r>
      <w:r>
        <w:rPr>
          <w:rFonts w:ascii="Arial" w:hAnsi="Arial" w:cs="Arial"/>
          <w:sz w:val="24"/>
          <w:szCs w:val="24"/>
        </w:rPr>
        <w:t xml:space="preserve"> de inversión</w:t>
      </w:r>
      <w:r w:rsidR="006C5137">
        <w:rPr>
          <w:rFonts w:ascii="Arial" w:hAnsi="Arial" w:cs="Arial"/>
          <w:sz w:val="24"/>
          <w:szCs w:val="24"/>
        </w:rPr>
        <w:t xml:space="preserve"> por separado para las inversiones de estos, en fondos de capital privado nacionales y aquellos constituidos en el exterior.</w:t>
      </w:r>
    </w:p>
    <w:p w14:paraId="1BEA8E6F" w14:textId="472BAEF5" w:rsidR="00743BDD" w:rsidRDefault="0084567F" w:rsidP="00D22734">
      <w:pPr>
        <w:jc w:val="both"/>
        <w:rPr>
          <w:rFonts w:ascii="Arial" w:hAnsi="Arial" w:cs="Arial"/>
          <w:sz w:val="24"/>
          <w:szCs w:val="24"/>
        </w:rPr>
      </w:pPr>
      <w:r>
        <w:rPr>
          <w:rFonts w:ascii="Arial" w:hAnsi="Arial" w:cs="Arial"/>
          <w:sz w:val="24"/>
          <w:szCs w:val="24"/>
        </w:rPr>
        <w:t>En primer lugar vale destacar que a dic-19 el valor de los portafolios de inversión de los fondos de pensiones obligatorias moderado, conservador, de mayor riesgo y de retiro programado, ascendieron  a los COP$ 281.3 billones de pesos, de los cuales el 75% de los recursos (COP$ 211.0 billones) corresponden al fondo de pensiones obligatorio moderado, el 9.8% al fondo de retiro programado (COP$ 27.6 billones), el 9.5% al fondo de pensiones obligatorias conservador (</w:t>
      </w:r>
      <w:r w:rsidR="005F7DAA">
        <w:rPr>
          <w:rFonts w:ascii="Arial" w:hAnsi="Arial" w:cs="Arial"/>
          <w:sz w:val="24"/>
          <w:szCs w:val="24"/>
        </w:rPr>
        <w:t>COP$ 26.8 billones) y el 5.6% al fondo de pensiones obligatorias de mayor riesgo (COP$ 15.8 billones)</w:t>
      </w:r>
    </w:p>
    <w:p w14:paraId="71E3CFC2" w14:textId="77777777" w:rsidR="00BA49E6" w:rsidRDefault="00BA49E6" w:rsidP="00D22734">
      <w:pPr>
        <w:jc w:val="both"/>
        <w:rPr>
          <w:rFonts w:ascii="Arial" w:hAnsi="Arial" w:cs="Arial"/>
          <w:sz w:val="24"/>
          <w:szCs w:val="24"/>
        </w:rPr>
      </w:pPr>
    </w:p>
    <w:p w14:paraId="0D4864BE" w14:textId="2AE18D17" w:rsidR="005F7DAA" w:rsidRDefault="005F7DAA" w:rsidP="005F7DAA">
      <w:pPr>
        <w:spacing w:after="0" w:line="240" w:lineRule="auto"/>
        <w:jc w:val="center"/>
        <w:rPr>
          <w:rFonts w:ascii="Arial" w:hAnsi="Arial" w:cs="Arial"/>
          <w:b/>
          <w:bCs/>
          <w:sz w:val="24"/>
          <w:szCs w:val="24"/>
        </w:rPr>
      </w:pPr>
      <w:r>
        <w:rPr>
          <w:rFonts w:ascii="Arial" w:hAnsi="Arial" w:cs="Arial"/>
          <w:b/>
          <w:bCs/>
          <w:sz w:val="24"/>
          <w:szCs w:val="24"/>
        </w:rPr>
        <w:t>PORTAFOLIO DE INVERSIÓN FONDOS DE PENSIONES OBLIGATORIAS (2012-2019</w:t>
      </w:r>
      <w:r w:rsidR="00743BDD">
        <w:rPr>
          <w:rFonts w:ascii="Arial" w:hAnsi="Arial" w:cs="Arial"/>
          <w:b/>
          <w:bCs/>
          <w:sz w:val="24"/>
          <w:szCs w:val="24"/>
        </w:rPr>
        <w:t>, COP$ Billones</w:t>
      </w:r>
      <w:r>
        <w:rPr>
          <w:rFonts w:ascii="Arial" w:hAnsi="Arial" w:cs="Arial"/>
          <w:b/>
          <w:bCs/>
          <w:sz w:val="24"/>
          <w:szCs w:val="24"/>
        </w:rPr>
        <w:t>)</w:t>
      </w:r>
    </w:p>
    <w:p w14:paraId="18ABDF68" w14:textId="70C1DBC2" w:rsidR="0084567F" w:rsidRDefault="005F7DAA" w:rsidP="005F7DAA">
      <w:pPr>
        <w:jc w:val="center"/>
        <w:rPr>
          <w:rFonts w:ascii="Arial" w:hAnsi="Arial" w:cs="Arial"/>
          <w:sz w:val="24"/>
          <w:szCs w:val="24"/>
        </w:rPr>
      </w:pPr>
      <w:r>
        <w:rPr>
          <w:rFonts w:ascii="Arial" w:hAnsi="Arial" w:cs="Arial"/>
          <w:noProof/>
          <w:sz w:val="24"/>
          <w:szCs w:val="24"/>
          <w:lang w:eastAsia="es-CO"/>
        </w:rPr>
        <w:drawing>
          <wp:inline distT="0" distB="0" distL="0" distR="0" wp14:anchorId="0092735B" wp14:editId="4A011719">
            <wp:extent cx="3870251" cy="307749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0931" cy="3085991"/>
                    </a:xfrm>
                    <a:prstGeom prst="rect">
                      <a:avLst/>
                    </a:prstGeom>
                    <a:noFill/>
                  </pic:spPr>
                </pic:pic>
              </a:graphicData>
            </a:graphic>
          </wp:inline>
        </w:drawing>
      </w:r>
    </w:p>
    <w:p w14:paraId="06E61C83" w14:textId="5A20B104" w:rsidR="002155B6" w:rsidRDefault="002155B6" w:rsidP="002155B6">
      <w:pPr>
        <w:jc w:val="both"/>
        <w:rPr>
          <w:rFonts w:ascii="Arial" w:hAnsi="Arial" w:cs="Arial"/>
          <w:sz w:val="24"/>
          <w:szCs w:val="24"/>
        </w:rPr>
      </w:pPr>
      <w:r>
        <w:rPr>
          <w:rFonts w:ascii="Arial" w:hAnsi="Arial" w:cs="Arial"/>
          <w:sz w:val="16"/>
          <w:szCs w:val="16"/>
        </w:rPr>
        <w:t>FUENTE: Superintendencia Financiera de Colombia – Cálculos propios.</w:t>
      </w:r>
    </w:p>
    <w:p w14:paraId="5D44E211" w14:textId="44AAE40D" w:rsidR="00DA4B89" w:rsidRDefault="0026324F" w:rsidP="0026324F">
      <w:pPr>
        <w:jc w:val="both"/>
        <w:rPr>
          <w:rFonts w:ascii="Arial" w:hAnsi="Arial" w:cs="Arial"/>
          <w:sz w:val="24"/>
          <w:szCs w:val="24"/>
        </w:rPr>
      </w:pPr>
      <w:r>
        <w:rPr>
          <w:rFonts w:ascii="Arial" w:hAnsi="Arial" w:cs="Arial"/>
          <w:sz w:val="24"/>
          <w:szCs w:val="24"/>
        </w:rPr>
        <w:t>Conforme se destaca en la parte 2 “Antecedentes” de la presente iniciativa</w:t>
      </w:r>
      <w:r w:rsidR="00FC0EBA">
        <w:rPr>
          <w:rFonts w:ascii="Arial" w:hAnsi="Arial" w:cs="Arial"/>
          <w:sz w:val="24"/>
          <w:szCs w:val="24"/>
        </w:rPr>
        <w:t>, de los 4 fondos, tan solo 3 pueden invertir en fondos de capital privado nacionales o del exterior</w:t>
      </w:r>
      <w:r w:rsidR="00DA4B89">
        <w:rPr>
          <w:rFonts w:ascii="Arial" w:hAnsi="Arial" w:cs="Arial"/>
          <w:sz w:val="24"/>
          <w:szCs w:val="24"/>
        </w:rPr>
        <w:t>. Con la expedición de decreto 675 de mayo de 2016, algunos de los límites de inversión de los fondos de pensiones en Fondos de Capital Privado nacionales y extranjeros fueron modificados así:</w:t>
      </w:r>
    </w:p>
    <w:tbl>
      <w:tblPr>
        <w:tblW w:w="9000" w:type="dxa"/>
        <w:tblCellMar>
          <w:left w:w="70" w:type="dxa"/>
          <w:right w:w="70" w:type="dxa"/>
        </w:tblCellMar>
        <w:tblLook w:val="04A0" w:firstRow="1" w:lastRow="0" w:firstColumn="1" w:lastColumn="0" w:noHBand="0" w:noVBand="1"/>
      </w:tblPr>
      <w:tblGrid>
        <w:gridCol w:w="2405"/>
        <w:gridCol w:w="1559"/>
        <w:gridCol w:w="1701"/>
        <w:gridCol w:w="1695"/>
        <w:gridCol w:w="1640"/>
      </w:tblGrid>
      <w:tr w:rsidR="00FE76E2" w:rsidRPr="00FE76E2" w14:paraId="79C37921" w14:textId="77777777" w:rsidTr="00FE76E2">
        <w:trPr>
          <w:trHeight w:val="780"/>
        </w:trPr>
        <w:tc>
          <w:tcPr>
            <w:tcW w:w="2405" w:type="dxa"/>
            <w:vMerge w:val="restart"/>
            <w:tcBorders>
              <w:top w:val="single" w:sz="4" w:space="0" w:color="auto"/>
              <w:left w:val="single" w:sz="4" w:space="0" w:color="auto"/>
              <w:bottom w:val="single" w:sz="4" w:space="0" w:color="000000"/>
              <w:right w:val="single" w:sz="4" w:space="0" w:color="auto"/>
            </w:tcBorders>
            <w:shd w:val="clear" w:color="FFFFFF" w:fill="FFFFFF"/>
            <w:vAlign w:val="center"/>
            <w:hideMark/>
          </w:tcPr>
          <w:p w14:paraId="79E7F471" w14:textId="77777777" w:rsidR="00FE76E2" w:rsidRPr="00FE76E2" w:rsidRDefault="00FE76E2" w:rsidP="00FE76E2">
            <w:pPr>
              <w:spacing w:after="0" w:line="240" w:lineRule="auto"/>
              <w:jc w:val="center"/>
              <w:rPr>
                <w:rFonts w:ascii="Arial" w:eastAsia="Times New Roman" w:hAnsi="Arial" w:cs="Arial"/>
                <w:b/>
                <w:bCs/>
                <w:color w:val="000000"/>
                <w:sz w:val="16"/>
                <w:szCs w:val="16"/>
                <w:lang w:val="es-ES" w:eastAsia="es-ES"/>
              </w:rPr>
            </w:pPr>
            <w:r w:rsidRPr="00FE76E2">
              <w:rPr>
                <w:rFonts w:ascii="Arial" w:eastAsia="Times New Roman" w:hAnsi="Arial" w:cs="Arial"/>
                <w:b/>
                <w:bCs/>
                <w:color w:val="000000"/>
                <w:sz w:val="16"/>
                <w:szCs w:val="16"/>
                <w:lang w:val="es-ES" w:eastAsia="es-ES"/>
              </w:rPr>
              <w:t>TIPO DE FONDO</w:t>
            </w:r>
          </w:p>
        </w:tc>
        <w:tc>
          <w:tcPr>
            <w:tcW w:w="3260" w:type="dxa"/>
            <w:gridSpan w:val="2"/>
            <w:tcBorders>
              <w:top w:val="single" w:sz="4" w:space="0" w:color="auto"/>
              <w:left w:val="single" w:sz="4" w:space="0" w:color="auto"/>
              <w:bottom w:val="single" w:sz="4" w:space="0" w:color="auto"/>
              <w:right w:val="single" w:sz="4" w:space="0" w:color="000000"/>
            </w:tcBorders>
            <w:shd w:val="clear" w:color="FFFFFF" w:fill="FFFFFF"/>
            <w:vAlign w:val="center"/>
            <w:hideMark/>
          </w:tcPr>
          <w:p w14:paraId="52998B63" w14:textId="23864462" w:rsidR="00FE76E2" w:rsidRPr="00FE76E2" w:rsidRDefault="00FE76E2" w:rsidP="00FE76E2">
            <w:pPr>
              <w:spacing w:after="0" w:line="240" w:lineRule="auto"/>
              <w:jc w:val="center"/>
              <w:rPr>
                <w:rFonts w:ascii="Arial" w:eastAsia="Times New Roman" w:hAnsi="Arial" w:cs="Arial"/>
                <w:b/>
                <w:bCs/>
                <w:color w:val="000000"/>
                <w:sz w:val="16"/>
                <w:szCs w:val="16"/>
                <w:lang w:val="es-ES" w:eastAsia="es-ES"/>
              </w:rPr>
            </w:pPr>
            <w:r w:rsidRPr="00FE76E2">
              <w:rPr>
                <w:rFonts w:ascii="Arial" w:eastAsia="Times New Roman" w:hAnsi="Arial" w:cs="Arial"/>
                <w:b/>
                <w:bCs/>
                <w:color w:val="000000"/>
                <w:sz w:val="16"/>
                <w:szCs w:val="16"/>
                <w:lang w:val="es-ES" w:eastAsia="es-ES"/>
              </w:rPr>
              <w:t>Límites de inversión Fondos de Capital Privado hasta Decreto 765 de may-16</w:t>
            </w:r>
          </w:p>
        </w:tc>
        <w:tc>
          <w:tcPr>
            <w:tcW w:w="3335" w:type="dxa"/>
            <w:gridSpan w:val="2"/>
            <w:tcBorders>
              <w:top w:val="single" w:sz="4" w:space="0" w:color="auto"/>
              <w:left w:val="nil"/>
              <w:bottom w:val="single" w:sz="4" w:space="0" w:color="auto"/>
              <w:right w:val="single" w:sz="4" w:space="0" w:color="000000"/>
            </w:tcBorders>
            <w:shd w:val="clear" w:color="FFFFFF" w:fill="FFFFFF"/>
            <w:vAlign w:val="center"/>
            <w:hideMark/>
          </w:tcPr>
          <w:p w14:paraId="67852403" w14:textId="459928D5" w:rsidR="00FE76E2" w:rsidRPr="00FE76E2" w:rsidRDefault="00FE76E2" w:rsidP="00FE76E2">
            <w:pPr>
              <w:spacing w:after="0" w:line="240" w:lineRule="auto"/>
              <w:jc w:val="center"/>
              <w:rPr>
                <w:rFonts w:ascii="Arial" w:eastAsia="Times New Roman" w:hAnsi="Arial" w:cs="Arial"/>
                <w:b/>
                <w:bCs/>
                <w:color w:val="000000"/>
                <w:sz w:val="16"/>
                <w:szCs w:val="16"/>
                <w:lang w:val="es-ES" w:eastAsia="es-ES"/>
              </w:rPr>
            </w:pPr>
            <w:r w:rsidRPr="00FE76E2">
              <w:rPr>
                <w:rFonts w:ascii="Arial" w:eastAsia="Times New Roman" w:hAnsi="Arial" w:cs="Arial"/>
                <w:b/>
                <w:bCs/>
                <w:color w:val="000000"/>
                <w:sz w:val="16"/>
                <w:szCs w:val="16"/>
                <w:lang w:val="es-ES" w:eastAsia="es-ES"/>
              </w:rPr>
              <w:t>Límites de inversión Fondos de Capital Privado posteriores a D 765 de may-16 (Vigente)</w:t>
            </w:r>
          </w:p>
        </w:tc>
      </w:tr>
      <w:tr w:rsidR="00FE76E2" w:rsidRPr="00FE76E2" w14:paraId="241E28C0" w14:textId="77777777" w:rsidTr="00FE76E2">
        <w:trPr>
          <w:trHeight w:val="450"/>
        </w:trPr>
        <w:tc>
          <w:tcPr>
            <w:tcW w:w="2405" w:type="dxa"/>
            <w:vMerge/>
            <w:tcBorders>
              <w:top w:val="single" w:sz="4" w:space="0" w:color="auto"/>
              <w:left w:val="single" w:sz="4" w:space="0" w:color="auto"/>
              <w:bottom w:val="single" w:sz="4" w:space="0" w:color="000000"/>
              <w:right w:val="single" w:sz="4" w:space="0" w:color="auto"/>
            </w:tcBorders>
            <w:vAlign w:val="center"/>
            <w:hideMark/>
          </w:tcPr>
          <w:p w14:paraId="5B0AD25C" w14:textId="77777777" w:rsidR="00FE76E2" w:rsidRPr="00FE76E2" w:rsidRDefault="00FE76E2" w:rsidP="00FE76E2">
            <w:pPr>
              <w:spacing w:after="0" w:line="240" w:lineRule="auto"/>
              <w:rPr>
                <w:rFonts w:ascii="Arial" w:eastAsia="Times New Roman" w:hAnsi="Arial" w:cs="Arial"/>
                <w:b/>
                <w:bCs/>
                <w:color w:val="000000"/>
                <w:sz w:val="16"/>
                <w:szCs w:val="16"/>
                <w:lang w:val="es-ES" w:eastAsia="es-ES"/>
              </w:rPr>
            </w:pPr>
          </w:p>
        </w:tc>
        <w:tc>
          <w:tcPr>
            <w:tcW w:w="1559" w:type="dxa"/>
            <w:tcBorders>
              <w:top w:val="nil"/>
              <w:left w:val="single" w:sz="4" w:space="0" w:color="auto"/>
              <w:bottom w:val="single" w:sz="4" w:space="0" w:color="auto"/>
              <w:right w:val="single" w:sz="4" w:space="0" w:color="auto"/>
            </w:tcBorders>
            <w:shd w:val="clear" w:color="FFFFFF" w:fill="FFFFFF"/>
            <w:vAlign w:val="center"/>
            <w:hideMark/>
          </w:tcPr>
          <w:p w14:paraId="4934F880" w14:textId="77777777" w:rsidR="00FE76E2" w:rsidRPr="00FE76E2" w:rsidRDefault="00FE76E2" w:rsidP="00FE76E2">
            <w:pPr>
              <w:spacing w:after="0" w:line="240" w:lineRule="auto"/>
              <w:jc w:val="center"/>
              <w:rPr>
                <w:rFonts w:ascii="Arial" w:eastAsia="Times New Roman" w:hAnsi="Arial" w:cs="Arial"/>
                <w:b/>
                <w:bCs/>
                <w:color w:val="000000"/>
                <w:sz w:val="16"/>
                <w:szCs w:val="16"/>
                <w:lang w:val="es-ES" w:eastAsia="es-ES"/>
              </w:rPr>
            </w:pPr>
            <w:r w:rsidRPr="00FE76E2">
              <w:rPr>
                <w:rFonts w:ascii="Arial" w:eastAsia="Times New Roman" w:hAnsi="Arial" w:cs="Arial"/>
                <w:b/>
                <w:bCs/>
                <w:color w:val="000000"/>
                <w:sz w:val="16"/>
                <w:szCs w:val="16"/>
                <w:lang w:val="es-ES" w:eastAsia="es-ES"/>
              </w:rPr>
              <w:t>Nacionales (1.10)</w:t>
            </w:r>
          </w:p>
        </w:tc>
        <w:tc>
          <w:tcPr>
            <w:tcW w:w="1701" w:type="dxa"/>
            <w:tcBorders>
              <w:top w:val="nil"/>
              <w:left w:val="nil"/>
              <w:bottom w:val="single" w:sz="4" w:space="0" w:color="auto"/>
              <w:right w:val="single" w:sz="4" w:space="0" w:color="auto"/>
            </w:tcBorders>
            <w:shd w:val="clear" w:color="FFFFFF" w:fill="FFFFFF"/>
            <w:vAlign w:val="center"/>
            <w:hideMark/>
          </w:tcPr>
          <w:p w14:paraId="102E219E" w14:textId="77777777" w:rsidR="00FE76E2" w:rsidRPr="00FE76E2" w:rsidRDefault="00FE76E2" w:rsidP="00FE76E2">
            <w:pPr>
              <w:spacing w:after="0" w:line="240" w:lineRule="auto"/>
              <w:jc w:val="center"/>
              <w:rPr>
                <w:rFonts w:ascii="Arial" w:eastAsia="Times New Roman" w:hAnsi="Arial" w:cs="Arial"/>
                <w:b/>
                <w:bCs/>
                <w:color w:val="000000"/>
                <w:sz w:val="16"/>
                <w:szCs w:val="16"/>
                <w:lang w:val="es-ES" w:eastAsia="es-ES"/>
              </w:rPr>
            </w:pPr>
            <w:r w:rsidRPr="00FE76E2">
              <w:rPr>
                <w:rFonts w:ascii="Arial" w:eastAsia="Times New Roman" w:hAnsi="Arial" w:cs="Arial"/>
                <w:b/>
                <w:bCs/>
                <w:color w:val="000000"/>
                <w:sz w:val="16"/>
                <w:szCs w:val="16"/>
                <w:lang w:val="es-ES" w:eastAsia="es-ES"/>
              </w:rPr>
              <w:t>Extranjeros (2.7)</w:t>
            </w:r>
          </w:p>
        </w:tc>
        <w:tc>
          <w:tcPr>
            <w:tcW w:w="1695" w:type="dxa"/>
            <w:tcBorders>
              <w:top w:val="nil"/>
              <w:left w:val="nil"/>
              <w:bottom w:val="single" w:sz="4" w:space="0" w:color="auto"/>
              <w:right w:val="single" w:sz="4" w:space="0" w:color="auto"/>
            </w:tcBorders>
            <w:shd w:val="clear" w:color="FFFFFF" w:fill="FFFFFF"/>
            <w:vAlign w:val="center"/>
            <w:hideMark/>
          </w:tcPr>
          <w:p w14:paraId="54CC5914" w14:textId="77777777" w:rsidR="00FE76E2" w:rsidRPr="00FE76E2" w:rsidRDefault="00FE76E2" w:rsidP="00FE76E2">
            <w:pPr>
              <w:spacing w:after="0" w:line="240" w:lineRule="auto"/>
              <w:jc w:val="center"/>
              <w:rPr>
                <w:rFonts w:ascii="Arial" w:eastAsia="Times New Roman" w:hAnsi="Arial" w:cs="Arial"/>
                <w:b/>
                <w:bCs/>
                <w:color w:val="000000"/>
                <w:sz w:val="16"/>
                <w:szCs w:val="16"/>
                <w:lang w:val="es-ES" w:eastAsia="es-ES"/>
              </w:rPr>
            </w:pPr>
            <w:r w:rsidRPr="00FE76E2">
              <w:rPr>
                <w:rFonts w:ascii="Arial" w:eastAsia="Times New Roman" w:hAnsi="Arial" w:cs="Arial"/>
                <w:b/>
                <w:bCs/>
                <w:color w:val="000000"/>
                <w:sz w:val="16"/>
                <w:szCs w:val="16"/>
                <w:lang w:val="es-ES" w:eastAsia="es-ES"/>
              </w:rPr>
              <w:t>Nacionales (1.10)</w:t>
            </w:r>
          </w:p>
        </w:tc>
        <w:tc>
          <w:tcPr>
            <w:tcW w:w="1640" w:type="dxa"/>
            <w:tcBorders>
              <w:top w:val="nil"/>
              <w:left w:val="nil"/>
              <w:bottom w:val="single" w:sz="4" w:space="0" w:color="auto"/>
              <w:right w:val="single" w:sz="4" w:space="0" w:color="auto"/>
            </w:tcBorders>
            <w:shd w:val="clear" w:color="FFFFFF" w:fill="FFFFFF"/>
            <w:vAlign w:val="center"/>
            <w:hideMark/>
          </w:tcPr>
          <w:p w14:paraId="3E823453" w14:textId="77777777" w:rsidR="00FE76E2" w:rsidRPr="00FE76E2" w:rsidRDefault="00FE76E2" w:rsidP="00FE76E2">
            <w:pPr>
              <w:spacing w:after="0" w:line="240" w:lineRule="auto"/>
              <w:jc w:val="center"/>
              <w:rPr>
                <w:rFonts w:ascii="Arial" w:eastAsia="Times New Roman" w:hAnsi="Arial" w:cs="Arial"/>
                <w:b/>
                <w:bCs/>
                <w:color w:val="000000"/>
                <w:sz w:val="16"/>
                <w:szCs w:val="16"/>
                <w:lang w:val="es-ES" w:eastAsia="es-ES"/>
              </w:rPr>
            </w:pPr>
            <w:r w:rsidRPr="00FE76E2">
              <w:rPr>
                <w:rFonts w:ascii="Arial" w:eastAsia="Times New Roman" w:hAnsi="Arial" w:cs="Arial"/>
                <w:b/>
                <w:bCs/>
                <w:color w:val="000000"/>
                <w:sz w:val="16"/>
                <w:szCs w:val="16"/>
                <w:lang w:val="es-ES" w:eastAsia="es-ES"/>
              </w:rPr>
              <w:t>Extranjeros (2.7)</w:t>
            </w:r>
          </w:p>
        </w:tc>
      </w:tr>
      <w:tr w:rsidR="00FE76E2" w:rsidRPr="00FE76E2" w14:paraId="003E293D" w14:textId="77777777" w:rsidTr="00FE76E2">
        <w:trPr>
          <w:trHeight w:val="225"/>
        </w:trPr>
        <w:tc>
          <w:tcPr>
            <w:tcW w:w="2405" w:type="dxa"/>
            <w:tcBorders>
              <w:top w:val="single" w:sz="4" w:space="0" w:color="auto"/>
              <w:left w:val="single" w:sz="4" w:space="0" w:color="auto"/>
              <w:bottom w:val="single" w:sz="4" w:space="0" w:color="auto"/>
              <w:right w:val="nil"/>
            </w:tcBorders>
            <w:shd w:val="clear" w:color="FFFFFF" w:fill="FFFFFF"/>
            <w:vAlign w:val="center"/>
            <w:hideMark/>
          </w:tcPr>
          <w:p w14:paraId="340E0400" w14:textId="77777777" w:rsidR="00FE76E2" w:rsidRPr="00FE76E2" w:rsidRDefault="00FE76E2" w:rsidP="00FE76E2">
            <w:pPr>
              <w:spacing w:after="0" w:line="240" w:lineRule="auto"/>
              <w:jc w:val="center"/>
              <w:rPr>
                <w:rFonts w:ascii="Arial" w:eastAsia="Times New Roman" w:hAnsi="Arial" w:cs="Arial"/>
                <w:b/>
                <w:bCs/>
                <w:color w:val="000000"/>
                <w:sz w:val="16"/>
                <w:szCs w:val="16"/>
                <w:lang w:val="es-ES" w:eastAsia="es-ES"/>
              </w:rPr>
            </w:pPr>
            <w:r w:rsidRPr="00FE76E2">
              <w:rPr>
                <w:rFonts w:ascii="Arial" w:eastAsia="Times New Roman" w:hAnsi="Arial" w:cs="Arial"/>
                <w:b/>
                <w:bCs/>
                <w:color w:val="000000"/>
                <w:sz w:val="16"/>
                <w:szCs w:val="16"/>
                <w:lang w:val="es-ES" w:eastAsia="es-ES"/>
              </w:rPr>
              <w:t>Fondo conservador</w:t>
            </w:r>
          </w:p>
        </w:tc>
        <w:tc>
          <w:tcPr>
            <w:tcW w:w="3260"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14:paraId="18BC3AF6" w14:textId="77777777" w:rsidR="00FE76E2" w:rsidRPr="00FE76E2" w:rsidRDefault="00FE76E2" w:rsidP="00FE76E2">
            <w:pPr>
              <w:spacing w:after="0" w:line="240" w:lineRule="auto"/>
              <w:jc w:val="center"/>
              <w:rPr>
                <w:rFonts w:ascii="Arial" w:eastAsia="Times New Roman" w:hAnsi="Arial" w:cs="Arial"/>
                <w:color w:val="000000"/>
                <w:sz w:val="16"/>
                <w:szCs w:val="16"/>
                <w:lang w:val="es-ES" w:eastAsia="es-ES"/>
              </w:rPr>
            </w:pPr>
            <w:r w:rsidRPr="00FE76E2">
              <w:rPr>
                <w:rFonts w:ascii="Arial" w:eastAsia="Times New Roman" w:hAnsi="Arial" w:cs="Arial"/>
                <w:color w:val="000000"/>
                <w:sz w:val="16"/>
                <w:szCs w:val="16"/>
                <w:lang w:val="es-ES" w:eastAsia="es-ES"/>
              </w:rPr>
              <w:t>Prohibido</w:t>
            </w:r>
          </w:p>
        </w:tc>
        <w:tc>
          <w:tcPr>
            <w:tcW w:w="3335" w:type="dxa"/>
            <w:gridSpan w:val="2"/>
            <w:tcBorders>
              <w:top w:val="single" w:sz="4" w:space="0" w:color="auto"/>
              <w:left w:val="nil"/>
              <w:bottom w:val="single" w:sz="4" w:space="0" w:color="auto"/>
              <w:right w:val="single" w:sz="4" w:space="0" w:color="auto"/>
            </w:tcBorders>
            <w:shd w:val="clear" w:color="FFFFFF" w:fill="FFFFFF"/>
            <w:vAlign w:val="center"/>
            <w:hideMark/>
          </w:tcPr>
          <w:p w14:paraId="082EA35F" w14:textId="77777777" w:rsidR="00FE76E2" w:rsidRPr="00FE76E2" w:rsidRDefault="00FE76E2" w:rsidP="00FE76E2">
            <w:pPr>
              <w:spacing w:after="0" w:line="240" w:lineRule="auto"/>
              <w:jc w:val="center"/>
              <w:rPr>
                <w:rFonts w:ascii="Arial" w:eastAsia="Times New Roman" w:hAnsi="Arial" w:cs="Arial"/>
                <w:color w:val="000000"/>
                <w:sz w:val="16"/>
                <w:szCs w:val="16"/>
                <w:lang w:val="es-ES" w:eastAsia="es-ES"/>
              </w:rPr>
            </w:pPr>
            <w:r w:rsidRPr="00FE76E2">
              <w:rPr>
                <w:rFonts w:ascii="Arial" w:eastAsia="Times New Roman" w:hAnsi="Arial" w:cs="Arial"/>
                <w:color w:val="000000"/>
                <w:sz w:val="16"/>
                <w:szCs w:val="16"/>
                <w:lang w:val="es-ES" w:eastAsia="es-ES"/>
              </w:rPr>
              <w:t>Prohibido</w:t>
            </w:r>
          </w:p>
        </w:tc>
      </w:tr>
      <w:tr w:rsidR="00FE76E2" w:rsidRPr="00FE76E2" w14:paraId="178F8552" w14:textId="77777777" w:rsidTr="00FE76E2">
        <w:trPr>
          <w:trHeight w:val="225"/>
        </w:trPr>
        <w:tc>
          <w:tcPr>
            <w:tcW w:w="2405" w:type="dxa"/>
            <w:tcBorders>
              <w:top w:val="nil"/>
              <w:left w:val="single" w:sz="4" w:space="0" w:color="auto"/>
              <w:bottom w:val="single" w:sz="4" w:space="0" w:color="auto"/>
              <w:right w:val="nil"/>
            </w:tcBorders>
            <w:shd w:val="clear" w:color="FFFFFF" w:fill="FFFFFF"/>
            <w:vAlign w:val="center"/>
            <w:hideMark/>
          </w:tcPr>
          <w:p w14:paraId="6BC0C5B3" w14:textId="77777777" w:rsidR="00FE76E2" w:rsidRPr="00FE76E2" w:rsidRDefault="00FE76E2" w:rsidP="00FE76E2">
            <w:pPr>
              <w:spacing w:after="0" w:line="240" w:lineRule="auto"/>
              <w:jc w:val="center"/>
              <w:rPr>
                <w:rFonts w:ascii="Arial" w:eastAsia="Times New Roman" w:hAnsi="Arial" w:cs="Arial"/>
                <w:b/>
                <w:bCs/>
                <w:color w:val="000000"/>
                <w:sz w:val="16"/>
                <w:szCs w:val="16"/>
                <w:lang w:val="es-ES" w:eastAsia="es-ES"/>
              </w:rPr>
            </w:pPr>
            <w:r w:rsidRPr="00FE76E2">
              <w:rPr>
                <w:rFonts w:ascii="Arial" w:eastAsia="Times New Roman" w:hAnsi="Arial" w:cs="Arial"/>
                <w:b/>
                <w:bCs/>
                <w:color w:val="000000"/>
                <w:sz w:val="16"/>
                <w:szCs w:val="16"/>
                <w:lang w:val="es-ES" w:eastAsia="es-ES"/>
              </w:rPr>
              <w:t>Fondo moderado</w:t>
            </w:r>
          </w:p>
        </w:tc>
        <w:tc>
          <w:tcPr>
            <w:tcW w:w="1559" w:type="dxa"/>
            <w:tcBorders>
              <w:top w:val="nil"/>
              <w:left w:val="single" w:sz="4" w:space="0" w:color="auto"/>
              <w:bottom w:val="single" w:sz="4" w:space="0" w:color="auto"/>
              <w:right w:val="single" w:sz="4" w:space="0" w:color="auto"/>
            </w:tcBorders>
            <w:shd w:val="clear" w:color="FFFFFF" w:fill="FFFFFF"/>
            <w:vAlign w:val="center"/>
            <w:hideMark/>
          </w:tcPr>
          <w:p w14:paraId="5D6D5B3D" w14:textId="77777777" w:rsidR="00FE76E2" w:rsidRPr="00FE76E2" w:rsidRDefault="00FE76E2" w:rsidP="00FE76E2">
            <w:pPr>
              <w:spacing w:after="0" w:line="240" w:lineRule="auto"/>
              <w:jc w:val="center"/>
              <w:rPr>
                <w:rFonts w:ascii="Arial" w:eastAsia="Times New Roman" w:hAnsi="Arial" w:cs="Arial"/>
                <w:color w:val="000000"/>
                <w:sz w:val="16"/>
                <w:szCs w:val="16"/>
                <w:lang w:val="es-ES" w:eastAsia="es-ES"/>
              </w:rPr>
            </w:pPr>
            <w:r w:rsidRPr="00FE76E2">
              <w:rPr>
                <w:rFonts w:ascii="Arial" w:eastAsia="Times New Roman" w:hAnsi="Arial" w:cs="Arial"/>
                <w:color w:val="000000"/>
                <w:sz w:val="16"/>
                <w:szCs w:val="16"/>
                <w:lang w:val="es-ES" w:eastAsia="es-ES"/>
              </w:rPr>
              <w:t>Hasta 5%</w:t>
            </w:r>
          </w:p>
        </w:tc>
        <w:tc>
          <w:tcPr>
            <w:tcW w:w="1701" w:type="dxa"/>
            <w:tcBorders>
              <w:top w:val="nil"/>
              <w:left w:val="nil"/>
              <w:bottom w:val="single" w:sz="4" w:space="0" w:color="auto"/>
              <w:right w:val="single" w:sz="4" w:space="0" w:color="auto"/>
            </w:tcBorders>
            <w:shd w:val="clear" w:color="FFFFFF" w:fill="FFFFFF"/>
            <w:vAlign w:val="center"/>
            <w:hideMark/>
          </w:tcPr>
          <w:p w14:paraId="47521B16" w14:textId="77777777" w:rsidR="00FE76E2" w:rsidRPr="00FE76E2" w:rsidRDefault="00FE76E2" w:rsidP="00FE76E2">
            <w:pPr>
              <w:spacing w:after="0" w:line="240" w:lineRule="auto"/>
              <w:jc w:val="center"/>
              <w:rPr>
                <w:rFonts w:ascii="Arial" w:eastAsia="Times New Roman" w:hAnsi="Arial" w:cs="Arial"/>
                <w:color w:val="000000"/>
                <w:sz w:val="16"/>
                <w:szCs w:val="16"/>
                <w:lang w:val="es-ES" w:eastAsia="es-ES"/>
              </w:rPr>
            </w:pPr>
            <w:r w:rsidRPr="00FE76E2">
              <w:rPr>
                <w:rFonts w:ascii="Arial" w:eastAsia="Times New Roman" w:hAnsi="Arial" w:cs="Arial"/>
                <w:color w:val="000000"/>
                <w:sz w:val="16"/>
                <w:szCs w:val="16"/>
                <w:lang w:val="es-ES" w:eastAsia="es-ES"/>
              </w:rPr>
              <w:t>Hasta 5%</w:t>
            </w:r>
          </w:p>
        </w:tc>
        <w:tc>
          <w:tcPr>
            <w:tcW w:w="3335" w:type="dxa"/>
            <w:gridSpan w:val="2"/>
            <w:tcBorders>
              <w:top w:val="single" w:sz="4" w:space="0" w:color="auto"/>
              <w:left w:val="nil"/>
              <w:bottom w:val="single" w:sz="4" w:space="0" w:color="auto"/>
              <w:right w:val="single" w:sz="4" w:space="0" w:color="auto"/>
            </w:tcBorders>
            <w:shd w:val="clear" w:color="FFFFFF" w:fill="FFFFFF"/>
            <w:vAlign w:val="center"/>
            <w:hideMark/>
          </w:tcPr>
          <w:p w14:paraId="33E5F25C" w14:textId="77777777" w:rsidR="00FE76E2" w:rsidRPr="00FE76E2" w:rsidRDefault="00FE76E2" w:rsidP="00FE76E2">
            <w:pPr>
              <w:spacing w:after="0" w:line="240" w:lineRule="auto"/>
              <w:jc w:val="center"/>
              <w:rPr>
                <w:rFonts w:ascii="Arial" w:eastAsia="Times New Roman" w:hAnsi="Arial" w:cs="Arial"/>
                <w:color w:val="000000"/>
                <w:sz w:val="16"/>
                <w:szCs w:val="16"/>
                <w:lang w:val="es-ES" w:eastAsia="es-ES"/>
              </w:rPr>
            </w:pPr>
            <w:r w:rsidRPr="00FE76E2">
              <w:rPr>
                <w:rFonts w:ascii="Arial" w:eastAsia="Times New Roman" w:hAnsi="Arial" w:cs="Arial"/>
                <w:color w:val="000000"/>
                <w:sz w:val="16"/>
                <w:szCs w:val="16"/>
                <w:lang w:val="es-ES" w:eastAsia="es-ES"/>
              </w:rPr>
              <w:t>Hasta un diez por ciento (10%) para la suma de los FCP nacionales y extranjeros</w:t>
            </w:r>
          </w:p>
        </w:tc>
      </w:tr>
      <w:tr w:rsidR="00FE76E2" w:rsidRPr="00FE76E2" w14:paraId="1377A5D8" w14:textId="77777777" w:rsidTr="00FE76E2">
        <w:trPr>
          <w:trHeight w:val="675"/>
        </w:trPr>
        <w:tc>
          <w:tcPr>
            <w:tcW w:w="2405" w:type="dxa"/>
            <w:tcBorders>
              <w:top w:val="nil"/>
              <w:left w:val="single" w:sz="4" w:space="0" w:color="auto"/>
              <w:bottom w:val="single" w:sz="4" w:space="0" w:color="auto"/>
              <w:right w:val="nil"/>
            </w:tcBorders>
            <w:shd w:val="clear" w:color="FFFFFF" w:fill="FFFFFF"/>
            <w:vAlign w:val="center"/>
            <w:hideMark/>
          </w:tcPr>
          <w:p w14:paraId="77FA62B8" w14:textId="77777777" w:rsidR="00FE76E2" w:rsidRPr="00FE76E2" w:rsidRDefault="00FE76E2" w:rsidP="00FE76E2">
            <w:pPr>
              <w:spacing w:after="0" w:line="240" w:lineRule="auto"/>
              <w:jc w:val="center"/>
              <w:rPr>
                <w:rFonts w:ascii="Arial" w:eastAsia="Times New Roman" w:hAnsi="Arial" w:cs="Arial"/>
                <w:b/>
                <w:bCs/>
                <w:color w:val="000000"/>
                <w:sz w:val="16"/>
                <w:szCs w:val="16"/>
                <w:lang w:val="es-ES" w:eastAsia="es-ES"/>
              </w:rPr>
            </w:pPr>
            <w:r w:rsidRPr="00FE76E2">
              <w:rPr>
                <w:rFonts w:ascii="Arial" w:eastAsia="Times New Roman" w:hAnsi="Arial" w:cs="Arial"/>
                <w:b/>
                <w:bCs/>
                <w:color w:val="000000"/>
                <w:sz w:val="16"/>
                <w:szCs w:val="16"/>
                <w:lang w:val="es-ES" w:eastAsia="es-ES"/>
              </w:rPr>
              <w:t>Fondo de mayor riesgo</w:t>
            </w:r>
          </w:p>
        </w:tc>
        <w:tc>
          <w:tcPr>
            <w:tcW w:w="1559" w:type="dxa"/>
            <w:tcBorders>
              <w:top w:val="nil"/>
              <w:left w:val="single" w:sz="4" w:space="0" w:color="auto"/>
              <w:bottom w:val="single" w:sz="4" w:space="0" w:color="auto"/>
              <w:right w:val="single" w:sz="4" w:space="0" w:color="auto"/>
            </w:tcBorders>
            <w:shd w:val="clear" w:color="FFFFFF" w:fill="FFFFFF"/>
            <w:vAlign w:val="center"/>
            <w:hideMark/>
          </w:tcPr>
          <w:p w14:paraId="5BAA1511" w14:textId="77777777" w:rsidR="00FE76E2" w:rsidRPr="00FE76E2" w:rsidRDefault="00FE76E2" w:rsidP="00FE76E2">
            <w:pPr>
              <w:spacing w:after="0" w:line="240" w:lineRule="auto"/>
              <w:jc w:val="center"/>
              <w:rPr>
                <w:rFonts w:ascii="Arial" w:eastAsia="Times New Roman" w:hAnsi="Arial" w:cs="Arial"/>
                <w:color w:val="000000"/>
                <w:sz w:val="16"/>
                <w:szCs w:val="16"/>
                <w:lang w:val="es-ES" w:eastAsia="es-ES"/>
              </w:rPr>
            </w:pPr>
            <w:r w:rsidRPr="00FE76E2">
              <w:rPr>
                <w:rFonts w:ascii="Arial" w:eastAsia="Times New Roman" w:hAnsi="Arial" w:cs="Arial"/>
                <w:color w:val="000000"/>
                <w:sz w:val="16"/>
                <w:szCs w:val="16"/>
                <w:lang w:val="es-ES" w:eastAsia="es-ES"/>
              </w:rPr>
              <w:t>Hasta 7%</w:t>
            </w:r>
          </w:p>
        </w:tc>
        <w:tc>
          <w:tcPr>
            <w:tcW w:w="1701" w:type="dxa"/>
            <w:tcBorders>
              <w:top w:val="nil"/>
              <w:left w:val="nil"/>
              <w:bottom w:val="single" w:sz="4" w:space="0" w:color="auto"/>
              <w:right w:val="single" w:sz="4" w:space="0" w:color="auto"/>
            </w:tcBorders>
            <w:shd w:val="clear" w:color="FFFFFF" w:fill="FFFFFF"/>
            <w:vAlign w:val="center"/>
            <w:hideMark/>
          </w:tcPr>
          <w:p w14:paraId="26F7207E" w14:textId="77777777" w:rsidR="00FE76E2" w:rsidRPr="00FE76E2" w:rsidRDefault="00FE76E2" w:rsidP="00FE76E2">
            <w:pPr>
              <w:spacing w:after="0" w:line="240" w:lineRule="auto"/>
              <w:jc w:val="center"/>
              <w:rPr>
                <w:rFonts w:ascii="Arial" w:eastAsia="Times New Roman" w:hAnsi="Arial" w:cs="Arial"/>
                <w:color w:val="000000"/>
                <w:sz w:val="16"/>
                <w:szCs w:val="16"/>
                <w:lang w:val="es-ES" w:eastAsia="es-ES"/>
              </w:rPr>
            </w:pPr>
            <w:r w:rsidRPr="00FE76E2">
              <w:rPr>
                <w:rFonts w:ascii="Arial" w:eastAsia="Times New Roman" w:hAnsi="Arial" w:cs="Arial"/>
                <w:color w:val="000000"/>
                <w:sz w:val="16"/>
                <w:szCs w:val="16"/>
                <w:lang w:val="es-ES" w:eastAsia="es-ES"/>
              </w:rPr>
              <w:t>Hasta 25% con suma de FCP nacionales y otros instrumentos</w:t>
            </w:r>
          </w:p>
        </w:tc>
        <w:tc>
          <w:tcPr>
            <w:tcW w:w="3335" w:type="dxa"/>
            <w:gridSpan w:val="2"/>
            <w:tcBorders>
              <w:top w:val="single" w:sz="4" w:space="0" w:color="auto"/>
              <w:left w:val="nil"/>
              <w:bottom w:val="single" w:sz="4" w:space="0" w:color="auto"/>
              <w:right w:val="single" w:sz="4" w:space="0" w:color="auto"/>
            </w:tcBorders>
            <w:shd w:val="clear" w:color="FFFFFF" w:fill="FFFFFF"/>
            <w:vAlign w:val="center"/>
            <w:hideMark/>
          </w:tcPr>
          <w:p w14:paraId="71A64A27" w14:textId="7FAB135F" w:rsidR="00FE76E2" w:rsidRPr="00FE76E2" w:rsidRDefault="00F86374" w:rsidP="00F86374">
            <w:pPr>
              <w:spacing w:after="0" w:line="240" w:lineRule="auto"/>
              <w:jc w:val="center"/>
              <w:rPr>
                <w:rFonts w:ascii="Arial" w:eastAsia="Times New Roman" w:hAnsi="Arial" w:cs="Arial"/>
                <w:color w:val="000000"/>
                <w:sz w:val="16"/>
                <w:szCs w:val="16"/>
                <w:lang w:val="es-ES" w:eastAsia="es-ES"/>
              </w:rPr>
            </w:pPr>
            <w:r>
              <w:rPr>
                <w:rFonts w:ascii="Arial" w:eastAsia="Times New Roman" w:hAnsi="Arial" w:cs="Arial"/>
                <w:color w:val="000000"/>
                <w:sz w:val="16"/>
                <w:szCs w:val="16"/>
                <w:lang w:val="es-ES" w:eastAsia="es-ES"/>
              </w:rPr>
              <w:t xml:space="preserve">Hasta un quince </w:t>
            </w:r>
            <w:r w:rsidR="00FE76E2" w:rsidRPr="00FE76E2">
              <w:rPr>
                <w:rFonts w:ascii="Arial" w:eastAsia="Times New Roman" w:hAnsi="Arial" w:cs="Arial"/>
                <w:color w:val="000000"/>
                <w:sz w:val="16"/>
                <w:szCs w:val="16"/>
                <w:lang w:val="es-ES" w:eastAsia="es-ES"/>
              </w:rPr>
              <w:t>por ciento (15%) para la suma de los FCP nacionales y extranjeros</w:t>
            </w:r>
          </w:p>
        </w:tc>
      </w:tr>
      <w:tr w:rsidR="00FE76E2" w:rsidRPr="00FE76E2" w14:paraId="7F957C5A" w14:textId="77777777" w:rsidTr="00FE76E2">
        <w:trPr>
          <w:trHeight w:val="720"/>
        </w:trPr>
        <w:tc>
          <w:tcPr>
            <w:tcW w:w="2405" w:type="dxa"/>
            <w:tcBorders>
              <w:top w:val="nil"/>
              <w:left w:val="single" w:sz="4" w:space="0" w:color="auto"/>
              <w:bottom w:val="single" w:sz="4" w:space="0" w:color="auto"/>
              <w:right w:val="nil"/>
            </w:tcBorders>
            <w:shd w:val="clear" w:color="FFFFFF" w:fill="FFFFFF"/>
            <w:vAlign w:val="center"/>
            <w:hideMark/>
          </w:tcPr>
          <w:p w14:paraId="702203B1" w14:textId="77777777" w:rsidR="00FE76E2" w:rsidRPr="00FE76E2" w:rsidRDefault="00FE76E2" w:rsidP="00FE76E2">
            <w:pPr>
              <w:spacing w:after="0" w:line="240" w:lineRule="auto"/>
              <w:jc w:val="center"/>
              <w:rPr>
                <w:rFonts w:ascii="Arial" w:eastAsia="Times New Roman" w:hAnsi="Arial" w:cs="Arial"/>
                <w:b/>
                <w:bCs/>
                <w:color w:val="000000"/>
                <w:sz w:val="16"/>
                <w:szCs w:val="16"/>
                <w:lang w:val="es-ES" w:eastAsia="es-ES"/>
              </w:rPr>
            </w:pPr>
            <w:r w:rsidRPr="00FE76E2">
              <w:rPr>
                <w:rFonts w:ascii="Arial" w:eastAsia="Times New Roman" w:hAnsi="Arial" w:cs="Arial"/>
                <w:b/>
                <w:bCs/>
                <w:color w:val="000000"/>
                <w:sz w:val="16"/>
                <w:szCs w:val="16"/>
                <w:lang w:val="es-ES" w:eastAsia="es-ES"/>
              </w:rPr>
              <w:t>Fondo especial de retiro programado</w:t>
            </w:r>
          </w:p>
        </w:tc>
        <w:tc>
          <w:tcPr>
            <w:tcW w:w="3260"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14:paraId="63F48E4A" w14:textId="77777777" w:rsidR="00FE76E2" w:rsidRPr="00FE76E2" w:rsidRDefault="00FE76E2" w:rsidP="00FE76E2">
            <w:pPr>
              <w:spacing w:after="0" w:line="240" w:lineRule="auto"/>
              <w:jc w:val="center"/>
              <w:rPr>
                <w:rFonts w:ascii="Arial" w:eastAsia="Times New Roman" w:hAnsi="Arial" w:cs="Arial"/>
                <w:color w:val="000000"/>
                <w:sz w:val="16"/>
                <w:szCs w:val="16"/>
                <w:lang w:val="es-ES" w:eastAsia="es-ES"/>
              </w:rPr>
            </w:pPr>
            <w:r w:rsidRPr="00FE76E2">
              <w:rPr>
                <w:rFonts w:ascii="Arial" w:eastAsia="Times New Roman" w:hAnsi="Arial" w:cs="Arial"/>
                <w:color w:val="000000"/>
                <w:sz w:val="16"/>
                <w:szCs w:val="16"/>
                <w:lang w:val="es-ES" w:eastAsia="es-ES"/>
              </w:rPr>
              <w:t>Hasta un cinco por ciento (5%) para la suma de los FCP nacionales y extranjeros</w:t>
            </w:r>
          </w:p>
        </w:tc>
        <w:tc>
          <w:tcPr>
            <w:tcW w:w="3335" w:type="dxa"/>
            <w:gridSpan w:val="2"/>
            <w:tcBorders>
              <w:top w:val="single" w:sz="4" w:space="0" w:color="auto"/>
              <w:left w:val="nil"/>
              <w:bottom w:val="single" w:sz="4" w:space="0" w:color="auto"/>
              <w:right w:val="single" w:sz="4" w:space="0" w:color="auto"/>
            </w:tcBorders>
            <w:shd w:val="clear" w:color="FFFFFF" w:fill="FFFFFF"/>
            <w:vAlign w:val="center"/>
            <w:hideMark/>
          </w:tcPr>
          <w:p w14:paraId="3803A9CA" w14:textId="77777777" w:rsidR="00FE76E2" w:rsidRPr="00FE76E2" w:rsidRDefault="00FE76E2" w:rsidP="00FE76E2">
            <w:pPr>
              <w:spacing w:after="0" w:line="240" w:lineRule="auto"/>
              <w:jc w:val="center"/>
              <w:rPr>
                <w:rFonts w:ascii="Arial" w:eastAsia="Times New Roman" w:hAnsi="Arial" w:cs="Arial"/>
                <w:color w:val="000000"/>
                <w:sz w:val="16"/>
                <w:szCs w:val="16"/>
                <w:lang w:val="es-ES" w:eastAsia="es-ES"/>
              </w:rPr>
            </w:pPr>
            <w:r w:rsidRPr="00FE76E2">
              <w:rPr>
                <w:rFonts w:ascii="Arial" w:eastAsia="Times New Roman" w:hAnsi="Arial" w:cs="Arial"/>
                <w:color w:val="000000"/>
                <w:sz w:val="16"/>
                <w:szCs w:val="16"/>
                <w:lang w:val="es-ES" w:eastAsia="es-ES"/>
              </w:rPr>
              <w:t>Vigente</w:t>
            </w:r>
          </w:p>
        </w:tc>
      </w:tr>
    </w:tbl>
    <w:p w14:paraId="062843A6" w14:textId="77777777" w:rsidR="008B5601" w:rsidRDefault="008B5601" w:rsidP="00DB686A">
      <w:pPr>
        <w:jc w:val="both"/>
        <w:rPr>
          <w:rFonts w:ascii="Arial" w:hAnsi="Arial" w:cs="Arial"/>
          <w:sz w:val="24"/>
          <w:szCs w:val="24"/>
        </w:rPr>
      </w:pPr>
    </w:p>
    <w:p w14:paraId="3BCB3C7C" w14:textId="3E8D6A4A" w:rsidR="00244BA5" w:rsidRDefault="002D0DD2" w:rsidP="00DB686A">
      <w:pPr>
        <w:jc w:val="both"/>
        <w:rPr>
          <w:rFonts w:ascii="Arial" w:hAnsi="Arial" w:cs="Arial"/>
          <w:sz w:val="24"/>
          <w:szCs w:val="24"/>
        </w:rPr>
      </w:pPr>
      <w:r>
        <w:rPr>
          <w:rFonts w:ascii="Arial" w:hAnsi="Arial" w:cs="Arial"/>
          <w:sz w:val="24"/>
          <w:szCs w:val="24"/>
        </w:rPr>
        <w:t xml:space="preserve">El efecto de la modificación de los límites, y muy especialmente del fondo moderado por su tamaño (equivalente al 75% del total del portafolio de inversión de los fondos de </w:t>
      </w:r>
      <w:r w:rsidR="003028BE">
        <w:rPr>
          <w:rFonts w:ascii="Arial" w:hAnsi="Arial" w:cs="Arial"/>
          <w:sz w:val="24"/>
          <w:szCs w:val="24"/>
        </w:rPr>
        <w:t>pensiones</w:t>
      </w:r>
      <w:r>
        <w:rPr>
          <w:rFonts w:ascii="Arial" w:hAnsi="Arial" w:cs="Arial"/>
          <w:sz w:val="24"/>
          <w:szCs w:val="24"/>
        </w:rPr>
        <w:t>, es decir</w:t>
      </w:r>
      <w:r w:rsidR="003028BE">
        <w:rPr>
          <w:rFonts w:ascii="Arial" w:hAnsi="Arial" w:cs="Arial"/>
          <w:sz w:val="24"/>
          <w:szCs w:val="24"/>
        </w:rPr>
        <w:t xml:space="preserve"> COP$ 211 billones), hizo que </w:t>
      </w:r>
      <w:r w:rsidR="00743BDD">
        <w:rPr>
          <w:rFonts w:ascii="Arial" w:hAnsi="Arial" w:cs="Arial"/>
          <w:sz w:val="24"/>
          <w:szCs w:val="24"/>
        </w:rPr>
        <w:t>los FPO</w:t>
      </w:r>
      <w:r w:rsidR="003028BE">
        <w:rPr>
          <w:rFonts w:ascii="Arial" w:hAnsi="Arial" w:cs="Arial"/>
          <w:sz w:val="24"/>
          <w:szCs w:val="24"/>
        </w:rPr>
        <w:t xml:space="preserve"> dejaran de invertir en</w:t>
      </w:r>
      <w:r w:rsidR="00B718A3">
        <w:rPr>
          <w:rFonts w:ascii="Arial" w:hAnsi="Arial" w:cs="Arial"/>
          <w:sz w:val="24"/>
          <w:szCs w:val="24"/>
        </w:rPr>
        <w:t xml:space="preserve"> los </w:t>
      </w:r>
      <w:r w:rsidR="003028BE">
        <w:rPr>
          <w:rFonts w:ascii="Arial" w:hAnsi="Arial" w:cs="Arial"/>
          <w:sz w:val="24"/>
          <w:szCs w:val="24"/>
        </w:rPr>
        <w:t xml:space="preserve">FCP nacionales y pasaran a invertir en FCP del extranjero. En las siguientes graficas se muestra como desde el año 2016 las asignaciones del portafolio moderado en FCP del extranjero pasaron de representar un </w:t>
      </w:r>
      <w:r w:rsidR="00B718A3">
        <w:rPr>
          <w:rFonts w:ascii="Arial" w:hAnsi="Arial" w:cs="Arial"/>
          <w:sz w:val="24"/>
          <w:szCs w:val="24"/>
        </w:rPr>
        <w:t>4.66% del fondo moderado en may-16 a representar un 8.65% en dic-19, lo que representó un incremento en FCP del extranjero de COP$ 6.96 billones a COP$ 18.25 billones respectivamente.</w:t>
      </w:r>
    </w:p>
    <w:p w14:paraId="568039EB" w14:textId="4BA62EC0" w:rsidR="00B718A3" w:rsidRDefault="00B718A3" w:rsidP="00B718A3">
      <w:pPr>
        <w:jc w:val="both"/>
        <w:rPr>
          <w:rFonts w:ascii="Arial" w:hAnsi="Arial" w:cs="Arial"/>
          <w:sz w:val="24"/>
          <w:szCs w:val="24"/>
        </w:rPr>
      </w:pPr>
      <w:r>
        <w:rPr>
          <w:rFonts w:ascii="Arial" w:hAnsi="Arial" w:cs="Arial"/>
          <w:sz w:val="24"/>
          <w:szCs w:val="24"/>
        </w:rPr>
        <w:t>Entretanto, y afectando negativamente a los FCP nacionales, las asignaciones del portafolio moderado en estos instrumentos pasaron de representar un 2.1% del fondo moderado en may-16 a representar un 1% en dic-19, lo que representó una caída en FCP nacionales de COP$ 3.1 billones a COP$ 2.2 billones respectivamente.</w:t>
      </w:r>
    </w:p>
    <w:p w14:paraId="415C5D88" w14:textId="0F7D05D2" w:rsidR="00BA49E6" w:rsidRDefault="00BA49E6" w:rsidP="00B718A3">
      <w:pPr>
        <w:jc w:val="both"/>
        <w:rPr>
          <w:rFonts w:ascii="Arial" w:hAnsi="Arial" w:cs="Arial"/>
          <w:sz w:val="24"/>
          <w:szCs w:val="24"/>
        </w:rPr>
      </w:pPr>
    </w:p>
    <w:p w14:paraId="4A5513D8" w14:textId="3CE7150B" w:rsidR="00BA49E6" w:rsidRDefault="00BA49E6" w:rsidP="00B718A3">
      <w:pPr>
        <w:jc w:val="both"/>
        <w:rPr>
          <w:rFonts w:ascii="Arial" w:hAnsi="Arial" w:cs="Arial"/>
          <w:sz w:val="24"/>
          <w:szCs w:val="24"/>
        </w:rPr>
      </w:pPr>
    </w:p>
    <w:p w14:paraId="081F1D18" w14:textId="77777777" w:rsidR="00BA49E6" w:rsidRDefault="00BA49E6" w:rsidP="00B718A3">
      <w:pPr>
        <w:jc w:val="both"/>
        <w:rPr>
          <w:rFonts w:ascii="Arial" w:hAnsi="Arial" w:cs="Arial"/>
          <w:sz w:val="24"/>
          <w:szCs w:val="24"/>
        </w:rPr>
      </w:pPr>
    </w:p>
    <w:p w14:paraId="23EA481A" w14:textId="7F79B602" w:rsidR="00CC7743" w:rsidRPr="00CC7743" w:rsidRDefault="00A54D34" w:rsidP="00CC7743">
      <w:pPr>
        <w:jc w:val="center"/>
        <w:rPr>
          <w:rFonts w:ascii="Arial" w:hAnsi="Arial" w:cs="Arial"/>
          <w:b/>
          <w:sz w:val="24"/>
          <w:szCs w:val="24"/>
        </w:rPr>
      </w:pPr>
      <w:r w:rsidRPr="00CC7743">
        <w:rPr>
          <w:rFonts w:ascii="Arial" w:hAnsi="Arial" w:cs="Arial"/>
          <w:b/>
          <w:sz w:val="24"/>
          <w:szCs w:val="24"/>
        </w:rPr>
        <w:t xml:space="preserve">PORTAFOLIO DE INVERSIÓN DEL FONDO </w:t>
      </w:r>
      <w:r>
        <w:rPr>
          <w:rFonts w:ascii="Arial" w:hAnsi="Arial" w:cs="Arial"/>
          <w:b/>
          <w:sz w:val="24"/>
          <w:szCs w:val="24"/>
        </w:rPr>
        <w:t xml:space="preserve">DE PENSIONES </w:t>
      </w:r>
      <w:r w:rsidRPr="00CC7743">
        <w:rPr>
          <w:rFonts w:ascii="Arial" w:hAnsi="Arial" w:cs="Arial"/>
          <w:b/>
          <w:sz w:val="24"/>
          <w:szCs w:val="24"/>
        </w:rPr>
        <w:t>MODERADO EN FONDOS DE CAPITAL PRIVADO NACIONALES (1.10) Y EXTRANJEROS (2.7)</w:t>
      </w:r>
      <w:r>
        <w:rPr>
          <w:rFonts w:ascii="Arial" w:hAnsi="Arial" w:cs="Arial"/>
          <w:b/>
          <w:sz w:val="24"/>
          <w:szCs w:val="24"/>
        </w:rPr>
        <w:t xml:space="preserve"> </w:t>
      </w:r>
      <w:r w:rsidR="00CC7743">
        <w:rPr>
          <w:rFonts w:ascii="Arial" w:hAnsi="Arial" w:cs="Arial"/>
          <w:b/>
          <w:sz w:val="24"/>
          <w:szCs w:val="24"/>
        </w:rPr>
        <w:t>(% del portafolio y COP$ Billones)</w:t>
      </w:r>
    </w:p>
    <w:p w14:paraId="492C569B" w14:textId="3BC93CBC" w:rsidR="00244BA5" w:rsidRDefault="00B9278E" w:rsidP="00DB686A">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71552" behindDoc="0" locked="0" layoutInCell="1" allowOverlap="1" wp14:anchorId="5FCA6BA6" wp14:editId="4874705A">
            <wp:simplePos x="0" y="0"/>
            <wp:positionH relativeFrom="margin">
              <wp:posOffset>3405134</wp:posOffset>
            </wp:positionH>
            <wp:positionV relativeFrom="paragraph">
              <wp:posOffset>105685</wp:posOffset>
            </wp:positionV>
            <wp:extent cx="2570480" cy="2881630"/>
            <wp:effectExtent l="0" t="0" r="127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0480" cy="2881630"/>
                    </a:xfrm>
                    <a:prstGeom prst="rect">
                      <a:avLst/>
                    </a:prstGeom>
                    <a:noFill/>
                  </pic:spPr>
                </pic:pic>
              </a:graphicData>
            </a:graphic>
            <wp14:sizeRelH relativeFrom="margin">
              <wp14:pctWidth>0</wp14:pctWidth>
            </wp14:sizeRelH>
            <wp14:sizeRelV relativeFrom="margin">
              <wp14:pctHeight>0</wp14:pctHeight>
            </wp14:sizeRelV>
          </wp:anchor>
        </w:drawing>
      </w:r>
      <w:r w:rsidR="00B718A3">
        <w:rPr>
          <w:rFonts w:ascii="Arial" w:hAnsi="Arial" w:cs="Arial"/>
          <w:noProof/>
          <w:sz w:val="24"/>
          <w:szCs w:val="24"/>
          <w:lang w:eastAsia="es-CO"/>
        </w:rPr>
        <w:drawing>
          <wp:anchor distT="0" distB="0" distL="114300" distR="114300" simplePos="0" relativeHeight="251670528" behindDoc="0" locked="0" layoutInCell="1" allowOverlap="1" wp14:anchorId="02254B4A" wp14:editId="322BBCDC">
            <wp:simplePos x="0" y="0"/>
            <wp:positionH relativeFrom="margin">
              <wp:align>left</wp:align>
            </wp:positionH>
            <wp:positionV relativeFrom="paragraph">
              <wp:posOffset>7404</wp:posOffset>
            </wp:positionV>
            <wp:extent cx="2743200" cy="3063491"/>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3063491"/>
                    </a:xfrm>
                    <a:prstGeom prst="rect">
                      <a:avLst/>
                    </a:prstGeom>
                    <a:noFill/>
                  </pic:spPr>
                </pic:pic>
              </a:graphicData>
            </a:graphic>
            <wp14:sizeRelH relativeFrom="margin">
              <wp14:pctWidth>0</wp14:pctWidth>
            </wp14:sizeRelH>
            <wp14:sizeRelV relativeFrom="margin">
              <wp14:pctHeight>0</wp14:pctHeight>
            </wp14:sizeRelV>
          </wp:anchor>
        </w:drawing>
      </w:r>
    </w:p>
    <w:p w14:paraId="4503488F" w14:textId="498051C6" w:rsidR="00244BA5" w:rsidRDefault="00244BA5" w:rsidP="00DB686A">
      <w:pPr>
        <w:jc w:val="both"/>
        <w:rPr>
          <w:rFonts w:ascii="Arial" w:hAnsi="Arial" w:cs="Arial"/>
          <w:sz w:val="24"/>
          <w:szCs w:val="24"/>
        </w:rPr>
      </w:pPr>
    </w:p>
    <w:p w14:paraId="2A035E08" w14:textId="249F88B0" w:rsidR="00244BA5" w:rsidRDefault="00244BA5" w:rsidP="00DB686A">
      <w:pPr>
        <w:jc w:val="both"/>
        <w:rPr>
          <w:rFonts w:ascii="Arial" w:hAnsi="Arial" w:cs="Arial"/>
          <w:sz w:val="24"/>
          <w:szCs w:val="24"/>
        </w:rPr>
      </w:pPr>
    </w:p>
    <w:p w14:paraId="5E3B28B4" w14:textId="4CBC2FB9" w:rsidR="00244BA5" w:rsidRDefault="00244BA5" w:rsidP="00DB686A">
      <w:pPr>
        <w:jc w:val="both"/>
        <w:rPr>
          <w:rFonts w:ascii="Arial" w:hAnsi="Arial" w:cs="Arial"/>
          <w:sz w:val="24"/>
          <w:szCs w:val="24"/>
        </w:rPr>
      </w:pPr>
    </w:p>
    <w:p w14:paraId="7BF5EA42" w14:textId="114C3711" w:rsidR="00244BA5" w:rsidRDefault="00244BA5" w:rsidP="00DB686A">
      <w:pPr>
        <w:jc w:val="both"/>
        <w:rPr>
          <w:rFonts w:ascii="Arial" w:hAnsi="Arial" w:cs="Arial"/>
          <w:sz w:val="24"/>
          <w:szCs w:val="24"/>
        </w:rPr>
      </w:pPr>
    </w:p>
    <w:p w14:paraId="1E956C64" w14:textId="75C161DE" w:rsidR="00244BA5" w:rsidRDefault="00244BA5" w:rsidP="00DB686A">
      <w:pPr>
        <w:jc w:val="both"/>
        <w:rPr>
          <w:rFonts w:ascii="Arial" w:hAnsi="Arial" w:cs="Arial"/>
          <w:sz w:val="24"/>
          <w:szCs w:val="24"/>
        </w:rPr>
      </w:pPr>
    </w:p>
    <w:p w14:paraId="656BFA7D" w14:textId="7122AA34" w:rsidR="00244BA5" w:rsidRDefault="00244BA5" w:rsidP="00DB686A">
      <w:pPr>
        <w:jc w:val="both"/>
        <w:rPr>
          <w:rFonts w:ascii="Arial" w:hAnsi="Arial" w:cs="Arial"/>
          <w:sz w:val="24"/>
          <w:szCs w:val="24"/>
        </w:rPr>
      </w:pPr>
    </w:p>
    <w:p w14:paraId="7A757628" w14:textId="50E2BD24" w:rsidR="00244BA5" w:rsidRDefault="00244BA5" w:rsidP="00DB686A">
      <w:pPr>
        <w:jc w:val="both"/>
        <w:rPr>
          <w:rFonts w:ascii="Arial" w:hAnsi="Arial" w:cs="Arial"/>
          <w:sz w:val="24"/>
          <w:szCs w:val="24"/>
        </w:rPr>
      </w:pPr>
    </w:p>
    <w:p w14:paraId="0742DA31" w14:textId="12FDF9F8" w:rsidR="00244BA5" w:rsidRDefault="00244BA5" w:rsidP="00DB686A">
      <w:pPr>
        <w:jc w:val="both"/>
        <w:rPr>
          <w:rFonts w:ascii="Arial" w:hAnsi="Arial" w:cs="Arial"/>
          <w:sz w:val="24"/>
          <w:szCs w:val="24"/>
        </w:rPr>
      </w:pPr>
    </w:p>
    <w:p w14:paraId="2AB92E71" w14:textId="30AA7F63" w:rsidR="00244BA5" w:rsidRDefault="00244BA5" w:rsidP="00DB686A">
      <w:pPr>
        <w:jc w:val="both"/>
        <w:rPr>
          <w:rFonts w:ascii="Arial" w:hAnsi="Arial" w:cs="Arial"/>
          <w:sz w:val="24"/>
          <w:szCs w:val="24"/>
        </w:rPr>
      </w:pPr>
    </w:p>
    <w:p w14:paraId="67AD7371" w14:textId="77777777" w:rsidR="002155B6" w:rsidRDefault="002155B6" w:rsidP="002155B6">
      <w:pPr>
        <w:jc w:val="both"/>
        <w:rPr>
          <w:rFonts w:ascii="Arial" w:hAnsi="Arial" w:cs="Arial"/>
          <w:sz w:val="16"/>
          <w:szCs w:val="16"/>
        </w:rPr>
      </w:pPr>
    </w:p>
    <w:p w14:paraId="2BE768D5" w14:textId="77777777" w:rsidR="002155B6" w:rsidRDefault="002155B6" w:rsidP="002155B6">
      <w:pPr>
        <w:jc w:val="both"/>
        <w:rPr>
          <w:rFonts w:ascii="Arial" w:hAnsi="Arial" w:cs="Arial"/>
          <w:sz w:val="24"/>
          <w:szCs w:val="24"/>
        </w:rPr>
      </w:pPr>
      <w:r>
        <w:rPr>
          <w:rFonts w:ascii="Arial" w:hAnsi="Arial" w:cs="Arial"/>
          <w:sz w:val="16"/>
          <w:szCs w:val="16"/>
        </w:rPr>
        <w:t>FUENTE: Superintendencia Financiera de Colombia – Cálculos propios.</w:t>
      </w:r>
    </w:p>
    <w:p w14:paraId="6A45CA79" w14:textId="1BB4BF86" w:rsidR="006E1A90" w:rsidRDefault="006E1A90" w:rsidP="006E1A90">
      <w:pPr>
        <w:jc w:val="both"/>
        <w:rPr>
          <w:rFonts w:ascii="Arial" w:hAnsi="Arial" w:cs="Arial"/>
          <w:sz w:val="24"/>
          <w:szCs w:val="24"/>
        </w:rPr>
      </w:pPr>
      <w:r>
        <w:rPr>
          <w:rFonts w:ascii="Arial" w:hAnsi="Arial" w:cs="Arial"/>
          <w:sz w:val="24"/>
          <w:szCs w:val="24"/>
        </w:rPr>
        <w:t xml:space="preserve">De igual forma, en el caso del fondo de mayor riesgo se presentó el mismo patrón. En las siguientes graficas se muestra como desde el año 2016 las asignaciones del portafolio de mayor riesgo en FCP del extranjero pasaron de representar un </w:t>
      </w:r>
      <w:r w:rsidR="00A87B91">
        <w:rPr>
          <w:rFonts w:ascii="Arial" w:hAnsi="Arial" w:cs="Arial"/>
          <w:sz w:val="24"/>
          <w:szCs w:val="24"/>
        </w:rPr>
        <w:t>4.6</w:t>
      </w:r>
      <w:r>
        <w:rPr>
          <w:rFonts w:ascii="Arial" w:hAnsi="Arial" w:cs="Arial"/>
          <w:sz w:val="24"/>
          <w:szCs w:val="24"/>
        </w:rPr>
        <w:t xml:space="preserve">% del fondo </w:t>
      </w:r>
      <w:r w:rsidR="00A87B91">
        <w:rPr>
          <w:rFonts w:ascii="Arial" w:hAnsi="Arial" w:cs="Arial"/>
          <w:sz w:val="24"/>
          <w:szCs w:val="24"/>
        </w:rPr>
        <w:t xml:space="preserve">de alto riesgo </w:t>
      </w:r>
      <w:r>
        <w:rPr>
          <w:rFonts w:ascii="Arial" w:hAnsi="Arial" w:cs="Arial"/>
          <w:sz w:val="24"/>
          <w:szCs w:val="24"/>
        </w:rPr>
        <w:t xml:space="preserve">en may-16 a representar un </w:t>
      </w:r>
      <w:r w:rsidR="00A87B91">
        <w:rPr>
          <w:rFonts w:ascii="Arial" w:hAnsi="Arial" w:cs="Arial"/>
          <w:sz w:val="24"/>
          <w:szCs w:val="24"/>
        </w:rPr>
        <w:t>4.2</w:t>
      </w:r>
      <w:r>
        <w:rPr>
          <w:rFonts w:ascii="Arial" w:hAnsi="Arial" w:cs="Arial"/>
          <w:sz w:val="24"/>
          <w:szCs w:val="24"/>
        </w:rPr>
        <w:t>% en dic-19, lo que representó un incremento en</w:t>
      </w:r>
      <w:r w:rsidR="007007FF">
        <w:rPr>
          <w:rFonts w:ascii="Arial" w:hAnsi="Arial" w:cs="Arial"/>
          <w:sz w:val="24"/>
          <w:szCs w:val="24"/>
        </w:rPr>
        <w:t xml:space="preserve"> FCP del extranjero de COP$ 86.2 mil millones a COP$ 664.9 mil m</w:t>
      </w:r>
      <w:r>
        <w:rPr>
          <w:rFonts w:ascii="Arial" w:hAnsi="Arial" w:cs="Arial"/>
          <w:sz w:val="24"/>
          <w:szCs w:val="24"/>
        </w:rPr>
        <w:t>illones respectivamente.</w:t>
      </w:r>
    </w:p>
    <w:p w14:paraId="12757D92" w14:textId="2CABC9E2" w:rsidR="006E1A90" w:rsidRDefault="006E1A90" w:rsidP="006E1A90">
      <w:pPr>
        <w:jc w:val="both"/>
        <w:rPr>
          <w:rFonts w:ascii="Arial" w:hAnsi="Arial" w:cs="Arial"/>
          <w:sz w:val="24"/>
          <w:szCs w:val="24"/>
        </w:rPr>
      </w:pPr>
      <w:r>
        <w:rPr>
          <w:rFonts w:ascii="Arial" w:hAnsi="Arial" w:cs="Arial"/>
          <w:sz w:val="24"/>
          <w:szCs w:val="24"/>
        </w:rPr>
        <w:t>Entretanto, y afectando negativamente a los FCP nacionales, las asig</w:t>
      </w:r>
      <w:r w:rsidR="002A4A36">
        <w:rPr>
          <w:rFonts w:ascii="Arial" w:hAnsi="Arial" w:cs="Arial"/>
          <w:sz w:val="24"/>
          <w:szCs w:val="24"/>
        </w:rPr>
        <w:t xml:space="preserve">naciones del portafolio de mayor riesgo </w:t>
      </w:r>
      <w:r>
        <w:rPr>
          <w:rFonts w:ascii="Arial" w:hAnsi="Arial" w:cs="Arial"/>
          <w:sz w:val="24"/>
          <w:szCs w:val="24"/>
        </w:rPr>
        <w:t xml:space="preserve">en estos instrumentos pasaron de representar un </w:t>
      </w:r>
      <w:r w:rsidR="007764D1">
        <w:rPr>
          <w:rFonts w:ascii="Arial" w:hAnsi="Arial" w:cs="Arial"/>
          <w:sz w:val="24"/>
          <w:szCs w:val="24"/>
        </w:rPr>
        <w:t>0.9% del fondo de mayor riesgo</w:t>
      </w:r>
      <w:r>
        <w:rPr>
          <w:rFonts w:ascii="Arial" w:hAnsi="Arial" w:cs="Arial"/>
          <w:sz w:val="24"/>
          <w:szCs w:val="24"/>
        </w:rPr>
        <w:t xml:space="preserve"> en may-16 a representar un </w:t>
      </w:r>
      <w:r w:rsidR="007764D1">
        <w:rPr>
          <w:rFonts w:ascii="Arial" w:hAnsi="Arial" w:cs="Arial"/>
          <w:sz w:val="24"/>
          <w:szCs w:val="24"/>
        </w:rPr>
        <w:t>0.1</w:t>
      </w:r>
      <w:r>
        <w:rPr>
          <w:rFonts w:ascii="Arial" w:hAnsi="Arial" w:cs="Arial"/>
          <w:sz w:val="24"/>
          <w:szCs w:val="24"/>
        </w:rPr>
        <w:t>% en dic-19, lo que representó una caída en FCP nacionales</w:t>
      </w:r>
      <w:r w:rsidR="007764D1">
        <w:rPr>
          <w:rFonts w:ascii="Arial" w:hAnsi="Arial" w:cs="Arial"/>
          <w:sz w:val="24"/>
          <w:szCs w:val="24"/>
        </w:rPr>
        <w:t xml:space="preserve"> de COP$ 17 mil m</w:t>
      </w:r>
      <w:r w:rsidR="002A4A36">
        <w:rPr>
          <w:rFonts w:ascii="Arial" w:hAnsi="Arial" w:cs="Arial"/>
          <w:sz w:val="24"/>
          <w:szCs w:val="24"/>
        </w:rPr>
        <w:t>illones a COP$ 16.9</w:t>
      </w:r>
      <w:r w:rsidR="007764D1">
        <w:rPr>
          <w:rFonts w:ascii="Arial" w:hAnsi="Arial" w:cs="Arial"/>
          <w:sz w:val="24"/>
          <w:szCs w:val="24"/>
        </w:rPr>
        <w:t xml:space="preserve"> mil m</w:t>
      </w:r>
      <w:r>
        <w:rPr>
          <w:rFonts w:ascii="Arial" w:hAnsi="Arial" w:cs="Arial"/>
          <w:sz w:val="24"/>
          <w:szCs w:val="24"/>
        </w:rPr>
        <w:t>illones respectivamente.</w:t>
      </w:r>
    </w:p>
    <w:p w14:paraId="556CA45D" w14:textId="43EA65A4" w:rsidR="00BA49E6" w:rsidRDefault="00BA49E6" w:rsidP="006E1A90">
      <w:pPr>
        <w:jc w:val="both"/>
        <w:rPr>
          <w:rFonts w:ascii="Arial" w:hAnsi="Arial" w:cs="Arial"/>
          <w:sz w:val="24"/>
          <w:szCs w:val="24"/>
        </w:rPr>
      </w:pPr>
    </w:p>
    <w:p w14:paraId="124A26F6" w14:textId="77777777" w:rsidR="00BA49E6" w:rsidRDefault="00BA49E6" w:rsidP="006E1A90">
      <w:pPr>
        <w:jc w:val="both"/>
        <w:rPr>
          <w:rFonts w:ascii="Arial" w:hAnsi="Arial" w:cs="Arial"/>
          <w:sz w:val="24"/>
          <w:szCs w:val="24"/>
        </w:rPr>
      </w:pPr>
    </w:p>
    <w:p w14:paraId="160E2FB1" w14:textId="49DEB2CF" w:rsidR="006E1A90" w:rsidRPr="00CC7743" w:rsidRDefault="00A87B91" w:rsidP="006E1A90">
      <w:pPr>
        <w:jc w:val="center"/>
        <w:rPr>
          <w:rFonts w:ascii="Arial" w:hAnsi="Arial" w:cs="Arial"/>
          <w:b/>
          <w:sz w:val="24"/>
          <w:szCs w:val="24"/>
        </w:rPr>
      </w:pPr>
      <w:r>
        <w:rPr>
          <w:rFonts w:ascii="Arial" w:hAnsi="Arial" w:cs="Arial"/>
          <w:noProof/>
          <w:sz w:val="24"/>
          <w:szCs w:val="24"/>
          <w:lang w:eastAsia="es-CO"/>
        </w:rPr>
        <w:drawing>
          <wp:anchor distT="0" distB="0" distL="114300" distR="114300" simplePos="0" relativeHeight="251672576" behindDoc="0" locked="0" layoutInCell="1" allowOverlap="1" wp14:anchorId="2D4C11DE" wp14:editId="1B9125A0">
            <wp:simplePos x="0" y="0"/>
            <wp:positionH relativeFrom="margin">
              <wp:posOffset>-60385</wp:posOffset>
            </wp:positionH>
            <wp:positionV relativeFrom="paragraph">
              <wp:posOffset>643926</wp:posOffset>
            </wp:positionV>
            <wp:extent cx="2932981" cy="2602694"/>
            <wp:effectExtent l="0" t="0" r="1270" b="762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2981" cy="2602694"/>
                    </a:xfrm>
                    <a:prstGeom prst="rect">
                      <a:avLst/>
                    </a:prstGeom>
                    <a:noFill/>
                  </pic:spPr>
                </pic:pic>
              </a:graphicData>
            </a:graphic>
            <wp14:sizeRelH relativeFrom="margin">
              <wp14:pctWidth>0</wp14:pctWidth>
            </wp14:sizeRelH>
            <wp14:sizeRelV relativeFrom="margin">
              <wp14:pctHeight>0</wp14:pctHeight>
            </wp14:sizeRelV>
          </wp:anchor>
        </w:drawing>
      </w:r>
      <w:r w:rsidR="00A54D34" w:rsidRPr="00CC7743">
        <w:rPr>
          <w:rFonts w:ascii="Arial" w:hAnsi="Arial" w:cs="Arial"/>
          <w:b/>
          <w:sz w:val="24"/>
          <w:szCs w:val="24"/>
        </w:rPr>
        <w:t xml:space="preserve">PORTAFOLIO DE INVERSIÓN DEL FONDO </w:t>
      </w:r>
      <w:r w:rsidR="00A54D34">
        <w:rPr>
          <w:rFonts w:ascii="Arial" w:hAnsi="Arial" w:cs="Arial"/>
          <w:b/>
          <w:sz w:val="24"/>
          <w:szCs w:val="24"/>
        </w:rPr>
        <w:t xml:space="preserve">DE PENSIONES DE MAYOR RIESGO </w:t>
      </w:r>
      <w:r w:rsidR="00A54D34" w:rsidRPr="00CC7743">
        <w:rPr>
          <w:rFonts w:ascii="Arial" w:hAnsi="Arial" w:cs="Arial"/>
          <w:b/>
          <w:sz w:val="24"/>
          <w:szCs w:val="24"/>
        </w:rPr>
        <w:t>EN FONDOS DE CAPITAL PRIVADO NACIONALES (1.10) Y EXTRANJEROS (2.7)</w:t>
      </w:r>
      <w:r w:rsidR="00A54D34">
        <w:rPr>
          <w:rFonts w:ascii="Arial" w:hAnsi="Arial" w:cs="Arial"/>
          <w:b/>
          <w:sz w:val="24"/>
          <w:szCs w:val="24"/>
        </w:rPr>
        <w:t xml:space="preserve"> (% del portafolio y COP$ millones)</w:t>
      </w:r>
    </w:p>
    <w:p w14:paraId="1D377813" w14:textId="2E4BB751" w:rsidR="00244BA5" w:rsidRDefault="00244BA5" w:rsidP="00DB686A">
      <w:pPr>
        <w:jc w:val="both"/>
        <w:rPr>
          <w:rFonts w:ascii="Arial" w:hAnsi="Arial" w:cs="Arial"/>
          <w:sz w:val="24"/>
          <w:szCs w:val="24"/>
        </w:rPr>
      </w:pPr>
    </w:p>
    <w:p w14:paraId="74062E44" w14:textId="6C1233CB" w:rsidR="00244BA5" w:rsidRDefault="00B9278E" w:rsidP="00DB686A">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73600" behindDoc="0" locked="0" layoutInCell="1" allowOverlap="1" wp14:anchorId="7990BCBB" wp14:editId="421ACDFD">
            <wp:simplePos x="0" y="0"/>
            <wp:positionH relativeFrom="margin">
              <wp:posOffset>3254375</wp:posOffset>
            </wp:positionH>
            <wp:positionV relativeFrom="paragraph">
              <wp:posOffset>10352</wp:posOffset>
            </wp:positionV>
            <wp:extent cx="2523964" cy="2087593"/>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3964" cy="2087593"/>
                    </a:xfrm>
                    <a:prstGeom prst="rect">
                      <a:avLst/>
                    </a:prstGeom>
                    <a:noFill/>
                  </pic:spPr>
                </pic:pic>
              </a:graphicData>
            </a:graphic>
            <wp14:sizeRelH relativeFrom="margin">
              <wp14:pctWidth>0</wp14:pctWidth>
            </wp14:sizeRelH>
            <wp14:sizeRelV relativeFrom="margin">
              <wp14:pctHeight>0</wp14:pctHeight>
            </wp14:sizeRelV>
          </wp:anchor>
        </w:drawing>
      </w:r>
    </w:p>
    <w:p w14:paraId="2C29DDD7" w14:textId="74D93AC6" w:rsidR="00244BA5" w:rsidRDefault="00244BA5" w:rsidP="00DB686A">
      <w:pPr>
        <w:jc w:val="both"/>
        <w:rPr>
          <w:rFonts w:ascii="Arial" w:hAnsi="Arial" w:cs="Arial"/>
          <w:sz w:val="24"/>
          <w:szCs w:val="24"/>
        </w:rPr>
      </w:pPr>
    </w:p>
    <w:p w14:paraId="1477EE7D" w14:textId="0C1AEE5F" w:rsidR="00380589" w:rsidRDefault="00380589" w:rsidP="00DB686A">
      <w:pPr>
        <w:jc w:val="both"/>
        <w:rPr>
          <w:rFonts w:ascii="Arial" w:hAnsi="Arial" w:cs="Arial"/>
          <w:sz w:val="24"/>
          <w:szCs w:val="24"/>
        </w:rPr>
      </w:pPr>
    </w:p>
    <w:p w14:paraId="5804EFAD" w14:textId="14A98624" w:rsidR="00380589" w:rsidRDefault="00380589" w:rsidP="00DB686A">
      <w:pPr>
        <w:jc w:val="both"/>
        <w:rPr>
          <w:rFonts w:ascii="Arial" w:hAnsi="Arial" w:cs="Arial"/>
          <w:sz w:val="24"/>
          <w:szCs w:val="24"/>
        </w:rPr>
      </w:pPr>
    </w:p>
    <w:p w14:paraId="506B9783" w14:textId="4A8C9709" w:rsidR="00380589" w:rsidRDefault="00380589" w:rsidP="00DB686A">
      <w:pPr>
        <w:jc w:val="both"/>
        <w:rPr>
          <w:rFonts w:ascii="Arial" w:hAnsi="Arial" w:cs="Arial"/>
          <w:sz w:val="24"/>
          <w:szCs w:val="24"/>
        </w:rPr>
      </w:pPr>
    </w:p>
    <w:p w14:paraId="4AA06A5C" w14:textId="77777777" w:rsidR="00380589" w:rsidRDefault="00380589" w:rsidP="00DB686A">
      <w:pPr>
        <w:jc w:val="both"/>
        <w:rPr>
          <w:rFonts w:ascii="Arial" w:hAnsi="Arial" w:cs="Arial"/>
          <w:sz w:val="24"/>
          <w:szCs w:val="24"/>
        </w:rPr>
      </w:pPr>
    </w:p>
    <w:p w14:paraId="071D293C" w14:textId="572643C7" w:rsidR="00380589" w:rsidRDefault="00380589" w:rsidP="00DB686A">
      <w:pPr>
        <w:jc w:val="both"/>
        <w:rPr>
          <w:rFonts w:ascii="Arial" w:hAnsi="Arial" w:cs="Arial"/>
          <w:sz w:val="24"/>
          <w:szCs w:val="24"/>
        </w:rPr>
      </w:pPr>
    </w:p>
    <w:p w14:paraId="75285EB3" w14:textId="0C16C27D" w:rsidR="00380589" w:rsidRDefault="00380589" w:rsidP="00DB686A">
      <w:pPr>
        <w:jc w:val="both"/>
        <w:rPr>
          <w:rFonts w:ascii="Arial" w:hAnsi="Arial" w:cs="Arial"/>
          <w:sz w:val="24"/>
          <w:szCs w:val="24"/>
        </w:rPr>
      </w:pPr>
    </w:p>
    <w:p w14:paraId="019C87D3" w14:textId="1B93D471" w:rsidR="002A4A36" w:rsidRDefault="002A4A36" w:rsidP="002A4A36">
      <w:pPr>
        <w:jc w:val="both"/>
        <w:rPr>
          <w:rFonts w:ascii="Arial" w:hAnsi="Arial" w:cs="Arial"/>
          <w:sz w:val="24"/>
          <w:szCs w:val="24"/>
        </w:rPr>
      </w:pPr>
      <w:r>
        <w:rPr>
          <w:rFonts w:ascii="Arial" w:hAnsi="Arial" w:cs="Arial"/>
          <w:sz w:val="16"/>
          <w:szCs w:val="16"/>
        </w:rPr>
        <w:t>FUENTE: Superintendencia Financiera de Colombia – Cálculos propios.</w:t>
      </w:r>
    </w:p>
    <w:p w14:paraId="6DC9A3FD" w14:textId="6A684123" w:rsidR="002A4A36" w:rsidRDefault="002A4A36" w:rsidP="00DB686A">
      <w:pPr>
        <w:jc w:val="both"/>
        <w:rPr>
          <w:rFonts w:ascii="Arial" w:hAnsi="Arial" w:cs="Arial"/>
          <w:sz w:val="24"/>
          <w:szCs w:val="24"/>
        </w:rPr>
      </w:pPr>
    </w:p>
    <w:p w14:paraId="6D000FF5" w14:textId="5E5592CA" w:rsidR="00380589" w:rsidRDefault="002A4A36" w:rsidP="00DB686A">
      <w:pPr>
        <w:jc w:val="both"/>
        <w:rPr>
          <w:rFonts w:ascii="Arial" w:hAnsi="Arial" w:cs="Arial"/>
          <w:sz w:val="24"/>
          <w:szCs w:val="24"/>
        </w:rPr>
      </w:pPr>
      <w:r w:rsidRPr="009D374B">
        <w:rPr>
          <w:rFonts w:ascii="Arial" w:hAnsi="Arial" w:cs="Arial"/>
          <w:sz w:val="24"/>
          <w:szCs w:val="24"/>
        </w:rPr>
        <w:t>En el Fondo especial de retiro programado</w:t>
      </w:r>
      <w:r w:rsidR="009D374B">
        <w:rPr>
          <w:rFonts w:ascii="Arial" w:hAnsi="Arial" w:cs="Arial"/>
          <w:sz w:val="24"/>
          <w:szCs w:val="24"/>
        </w:rPr>
        <w:t xml:space="preserve">, </w:t>
      </w:r>
      <w:r w:rsidR="00B9278E" w:rsidRPr="009D374B">
        <w:rPr>
          <w:rFonts w:ascii="Arial" w:hAnsi="Arial" w:cs="Arial"/>
          <w:sz w:val="24"/>
          <w:szCs w:val="24"/>
        </w:rPr>
        <w:t>se present</w:t>
      </w:r>
      <w:r w:rsidR="009D374B">
        <w:rPr>
          <w:rFonts w:ascii="Arial" w:hAnsi="Arial" w:cs="Arial"/>
          <w:sz w:val="24"/>
          <w:szCs w:val="24"/>
        </w:rPr>
        <w:t>a</w:t>
      </w:r>
      <w:r w:rsidR="00B9278E" w:rsidRPr="009D374B">
        <w:rPr>
          <w:rFonts w:ascii="Arial" w:hAnsi="Arial" w:cs="Arial"/>
          <w:sz w:val="24"/>
          <w:szCs w:val="24"/>
        </w:rPr>
        <w:t xml:space="preserve"> el mismo patrón de </w:t>
      </w:r>
      <w:r w:rsidR="009D374B">
        <w:rPr>
          <w:rFonts w:ascii="Arial" w:hAnsi="Arial" w:cs="Arial"/>
          <w:sz w:val="24"/>
          <w:szCs w:val="24"/>
        </w:rPr>
        <w:t xml:space="preserve">sobre ponderación en las inversiones de </w:t>
      </w:r>
      <w:r w:rsidR="00B9278E" w:rsidRPr="009D374B">
        <w:rPr>
          <w:rFonts w:ascii="Arial" w:hAnsi="Arial" w:cs="Arial"/>
          <w:sz w:val="24"/>
          <w:szCs w:val="24"/>
        </w:rPr>
        <w:t>los FCP extranjeros</w:t>
      </w:r>
      <w:r w:rsidR="009D374B">
        <w:rPr>
          <w:rFonts w:ascii="Arial" w:hAnsi="Arial" w:cs="Arial"/>
          <w:sz w:val="24"/>
          <w:szCs w:val="24"/>
        </w:rPr>
        <w:t xml:space="preserve"> con respecto a los </w:t>
      </w:r>
      <w:r w:rsidR="00B9278E" w:rsidRPr="009D374B">
        <w:rPr>
          <w:rFonts w:ascii="Arial" w:hAnsi="Arial" w:cs="Arial"/>
          <w:sz w:val="24"/>
          <w:szCs w:val="24"/>
        </w:rPr>
        <w:t>FCP nacionales</w:t>
      </w:r>
      <w:r w:rsidR="009D374B">
        <w:rPr>
          <w:rFonts w:ascii="Arial" w:hAnsi="Arial" w:cs="Arial"/>
          <w:sz w:val="24"/>
          <w:szCs w:val="24"/>
        </w:rPr>
        <w:t>:</w:t>
      </w:r>
    </w:p>
    <w:p w14:paraId="451F91A4" w14:textId="646C0F97" w:rsidR="005D65CA" w:rsidRDefault="005D65CA" w:rsidP="00DB686A">
      <w:pPr>
        <w:jc w:val="both"/>
        <w:rPr>
          <w:rFonts w:ascii="Arial" w:hAnsi="Arial" w:cs="Arial"/>
          <w:sz w:val="24"/>
          <w:szCs w:val="24"/>
        </w:rPr>
      </w:pPr>
    </w:p>
    <w:p w14:paraId="209F0EE4" w14:textId="110AFE0C" w:rsidR="005D65CA" w:rsidRDefault="005D65CA" w:rsidP="00DB686A">
      <w:pPr>
        <w:jc w:val="both"/>
        <w:rPr>
          <w:rFonts w:ascii="Arial" w:hAnsi="Arial" w:cs="Arial"/>
          <w:sz w:val="24"/>
          <w:szCs w:val="24"/>
        </w:rPr>
      </w:pPr>
    </w:p>
    <w:p w14:paraId="6DC0D531" w14:textId="19BFB9E8" w:rsidR="005D65CA" w:rsidRDefault="005D65CA" w:rsidP="00DB686A">
      <w:pPr>
        <w:jc w:val="both"/>
        <w:rPr>
          <w:rFonts w:ascii="Arial" w:hAnsi="Arial" w:cs="Arial"/>
          <w:sz w:val="24"/>
          <w:szCs w:val="24"/>
        </w:rPr>
      </w:pPr>
    </w:p>
    <w:p w14:paraId="6B4BAB8E" w14:textId="51016238" w:rsidR="005D65CA" w:rsidRDefault="005D65CA" w:rsidP="00DB686A">
      <w:pPr>
        <w:jc w:val="both"/>
        <w:rPr>
          <w:rFonts w:ascii="Arial" w:hAnsi="Arial" w:cs="Arial"/>
          <w:sz w:val="24"/>
          <w:szCs w:val="24"/>
        </w:rPr>
      </w:pPr>
    </w:p>
    <w:p w14:paraId="3D21CD18" w14:textId="54C5E7E3" w:rsidR="005D65CA" w:rsidRDefault="005D65CA" w:rsidP="00DB686A">
      <w:pPr>
        <w:jc w:val="both"/>
        <w:rPr>
          <w:rFonts w:ascii="Arial" w:hAnsi="Arial" w:cs="Arial"/>
          <w:sz w:val="24"/>
          <w:szCs w:val="24"/>
        </w:rPr>
      </w:pPr>
    </w:p>
    <w:p w14:paraId="475DC4F5" w14:textId="7359CE82" w:rsidR="005D65CA" w:rsidRDefault="005D65CA" w:rsidP="00DB686A">
      <w:pPr>
        <w:jc w:val="both"/>
        <w:rPr>
          <w:rFonts w:ascii="Arial" w:hAnsi="Arial" w:cs="Arial"/>
          <w:sz w:val="24"/>
          <w:szCs w:val="24"/>
        </w:rPr>
      </w:pPr>
    </w:p>
    <w:p w14:paraId="57543375" w14:textId="5446EE70" w:rsidR="005D65CA" w:rsidRDefault="005D65CA" w:rsidP="00DB686A">
      <w:pPr>
        <w:jc w:val="both"/>
        <w:rPr>
          <w:rFonts w:ascii="Arial" w:hAnsi="Arial" w:cs="Arial"/>
          <w:sz w:val="24"/>
          <w:szCs w:val="24"/>
        </w:rPr>
      </w:pPr>
    </w:p>
    <w:p w14:paraId="40361DD9" w14:textId="77777777" w:rsidR="005D65CA" w:rsidRDefault="005D65CA" w:rsidP="00DB686A">
      <w:pPr>
        <w:jc w:val="both"/>
        <w:rPr>
          <w:rFonts w:ascii="Arial" w:hAnsi="Arial" w:cs="Arial"/>
          <w:sz w:val="24"/>
          <w:szCs w:val="24"/>
        </w:rPr>
      </w:pPr>
    </w:p>
    <w:p w14:paraId="6C40053E" w14:textId="7F4ACE29" w:rsidR="005D65CA" w:rsidRPr="00CC7743" w:rsidRDefault="009D374B" w:rsidP="005D65CA">
      <w:pPr>
        <w:jc w:val="center"/>
        <w:rPr>
          <w:rFonts w:ascii="Arial" w:hAnsi="Arial" w:cs="Arial"/>
          <w:b/>
          <w:sz w:val="24"/>
          <w:szCs w:val="24"/>
        </w:rPr>
      </w:pPr>
      <w:r>
        <w:rPr>
          <w:rFonts w:ascii="Arial" w:hAnsi="Arial" w:cs="Arial"/>
          <w:noProof/>
          <w:sz w:val="24"/>
          <w:szCs w:val="24"/>
          <w:lang w:eastAsia="es-CO"/>
        </w:rPr>
        <w:drawing>
          <wp:anchor distT="0" distB="0" distL="114300" distR="114300" simplePos="0" relativeHeight="251674624" behindDoc="0" locked="0" layoutInCell="1" allowOverlap="1" wp14:anchorId="7CD66C13" wp14:editId="6399F8B9">
            <wp:simplePos x="0" y="0"/>
            <wp:positionH relativeFrom="margin">
              <wp:posOffset>2792730</wp:posOffset>
            </wp:positionH>
            <wp:positionV relativeFrom="paragraph">
              <wp:posOffset>627542</wp:posOffset>
            </wp:positionV>
            <wp:extent cx="2817495" cy="2093595"/>
            <wp:effectExtent l="0" t="0" r="190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7495" cy="2093595"/>
                    </a:xfrm>
                    <a:prstGeom prst="rect">
                      <a:avLst/>
                    </a:prstGeom>
                    <a:noFill/>
                  </pic:spPr>
                </pic:pic>
              </a:graphicData>
            </a:graphic>
            <wp14:sizeRelH relativeFrom="margin">
              <wp14:pctWidth>0</wp14:pctWidth>
            </wp14:sizeRelH>
            <wp14:sizeRelV relativeFrom="margin">
              <wp14:pctHeight>0</wp14:pctHeight>
            </wp14:sizeRelV>
          </wp:anchor>
        </w:drawing>
      </w:r>
      <w:r w:rsidR="005D65CA" w:rsidRPr="00CC7743">
        <w:rPr>
          <w:rFonts w:ascii="Arial" w:hAnsi="Arial" w:cs="Arial"/>
          <w:b/>
          <w:sz w:val="24"/>
          <w:szCs w:val="24"/>
        </w:rPr>
        <w:t xml:space="preserve">PORTAFOLIO DE INVERSIÓN DEL FONDO </w:t>
      </w:r>
      <w:r w:rsidR="005D65CA">
        <w:rPr>
          <w:rFonts w:ascii="Arial" w:hAnsi="Arial" w:cs="Arial"/>
          <w:b/>
          <w:sz w:val="24"/>
          <w:szCs w:val="24"/>
        </w:rPr>
        <w:t xml:space="preserve">DE PENSIONES </w:t>
      </w:r>
      <w:r>
        <w:rPr>
          <w:rFonts w:ascii="Arial" w:hAnsi="Arial" w:cs="Arial"/>
          <w:b/>
          <w:sz w:val="24"/>
          <w:szCs w:val="24"/>
        </w:rPr>
        <w:t xml:space="preserve">DE RETIRO PROGRAMADO </w:t>
      </w:r>
      <w:r w:rsidR="005D65CA" w:rsidRPr="00CC7743">
        <w:rPr>
          <w:rFonts w:ascii="Arial" w:hAnsi="Arial" w:cs="Arial"/>
          <w:b/>
          <w:sz w:val="24"/>
          <w:szCs w:val="24"/>
        </w:rPr>
        <w:t>EN FONDOS DE CAPITAL PRIVADO NACIONALES (1.10) Y EXTRANJEROS (2.7)</w:t>
      </w:r>
      <w:r w:rsidR="005D65CA">
        <w:rPr>
          <w:rFonts w:ascii="Arial" w:hAnsi="Arial" w:cs="Arial"/>
          <w:b/>
          <w:sz w:val="24"/>
          <w:szCs w:val="24"/>
        </w:rPr>
        <w:t xml:space="preserve"> (% del portafolio y COP$ millones)</w:t>
      </w:r>
    </w:p>
    <w:p w14:paraId="482C72E1" w14:textId="1EC7F688" w:rsidR="005D65CA" w:rsidRPr="00B9278E" w:rsidRDefault="009D374B" w:rsidP="00DB686A">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75648" behindDoc="0" locked="0" layoutInCell="1" allowOverlap="1" wp14:anchorId="4D0C8A90" wp14:editId="1CD2A7AA">
            <wp:simplePos x="0" y="0"/>
            <wp:positionH relativeFrom="margin">
              <wp:posOffset>-495300</wp:posOffset>
            </wp:positionH>
            <wp:positionV relativeFrom="paragraph">
              <wp:posOffset>42707</wp:posOffset>
            </wp:positionV>
            <wp:extent cx="2827655" cy="209804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7655" cy="2098040"/>
                    </a:xfrm>
                    <a:prstGeom prst="rect">
                      <a:avLst/>
                    </a:prstGeom>
                    <a:noFill/>
                  </pic:spPr>
                </pic:pic>
              </a:graphicData>
            </a:graphic>
            <wp14:sizeRelH relativeFrom="margin">
              <wp14:pctWidth>0</wp14:pctWidth>
            </wp14:sizeRelH>
            <wp14:sizeRelV relativeFrom="margin">
              <wp14:pctHeight>0</wp14:pctHeight>
            </wp14:sizeRelV>
          </wp:anchor>
        </w:drawing>
      </w:r>
    </w:p>
    <w:p w14:paraId="36711E85" w14:textId="36F3ABD0" w:rsidR="00380589" w:rsidRDefault="00380589" w:rsidP="00DB686A">
      <w:pPr>
        <w:jc w:val="both"/>
        <w:rPr>
          <w:rFonts w:ascii="Arial" w:hAnsi="Arial" w:cs="Arial"/>
          <w:sz w:val="24"/>
          <w:szCs w:val="24"/>
        </w:rPr>
      </w:pPr>
    </w:p>
    <w:p w14:paraId="4EAB956C" w14:textId="279022CF" w:rsidR="00BA49E6" w:rsidRDefault="00BA49E6" w:rsidP="00DB686A">
      <w:pPr>
        <w:jc w:val="both"/>
        <w:rPr>
          <w:rFonts w:ascii="Arial" w:hAnsi="Arial" w:cs="Arial"/>
          <w:sz w:val="24"/>
          <w:szCs w:val="24"/>
        </w:rPr>
      </w:pPr>
    </w:p>
    <w:p w14:paraId="5F94191E" w14:textId="7972461A" w:rsidR="00BA49E6" w:rsidRDefault="00BA49E6" w:rsidP="00DB686A">
      <w:pPr>
        <w:jc w:val="both"/>
        <w:rPr>
          <w:rFonts w:ascii="Arial" w:hAnsi="Arial" w:cs="Arial"/>
          <w:sz w:val="24"/>
          <w:szCs w:val="24"/>
        </w:rPr>
      </w:pPr>
    </w:p>
    <w:p w14:paraId="0E9B824E" w14:textId="5EC25655" w:rsidR="00BA49E6" w:rsidRDefault="00BA49E6" w:rsidP="00DB686A">
      <w:pPr>
        <w:jc w:val="both"/>
        <w:rPr>
          <w:rFonts w:ascii="Arial" w:hAnsi="Arial" w:cs="Arial"/>
          <w:sz w:val="24"/>
          <w:szCs w:val="24"/>
        </w:rPr>
      </w:pPr>
    </w:p>
    <w:p w14:paraId="59E382AB" w14:textId="0818C533" w:rsidR="00BA49E6" w:rsidRDefault="00BA49E6" w:rsidP="00DB686A">
      <w:pPr>
        <w:jc w:val="both"/>
        <w:rPr>
          <w:rFonts w:ascii="Arial" w:hAnsi="Arial" w:cs="Arial"/>
          <w:sz w:val="24"/>
          <w:szCs w:val="24"/>
        </w:rPr>
      </w:pPr>
    </w:p>
    <w:p w14:paraId="3951D84B" w14:textId="093C2305" w:rsidR="00BA49E6" w:rsidRDefault="00BA49E6" w:rsidP="00DB686A">
      <w:pPr>
        <w:jc w:val="both"/>
        <w:rPr>
          <w:rFonts w:ascii="Arial" w:hAnsi="Arial" w:cs="Arial"/>
          <w:sz w:val="24"/>
          <w:szCs w:val="24"/>
        </w:rPr>
      </w:pPr>
    </w:p>
    <w:p w14:paraId="1D92FE0B" w14:textId="2B28B368" w:rsidR="00BA49E6" w:rsidRDefault="00BA49E6" w:rsidP="00DB686A">
      <w:pPr>
        <w:jc w:val="both"/>
        <w:rPr>
          <w:rFonts w:ascii="Arial" w:hAnsi="Arial" w:cs="Arial"/>
          <w:sz w:val="24"/>
          <w:szCs w:val="24"/>
        </w:rPr>
      </w:pPr>
    </w:p>
    <w:p w14:paraId="16A2D8BF" w14:textId="77777777" w:rsidR="008B5601" w:rsidRDefault="008B5601" w:rsidP="008B5601">
      <w:pPr>
        <w:jc w:val="both"/>
        <w:rPr>
          <w:rFonts w:ascii="Arial" w:hAnsi="Arial" w:cs="Arial"/>
          <w:sz w:val="24"/>
          <w:szCs w:val="24"/>
        </w:rPr>
      </w:pPr>
      <w:r>
        <w:rPr>
          <w:rFonts w:ascii="Arial" w:hAnsi="Arial" w:cs="Arial"/>
          <w:sz w:val="16"/>
          <w:szCs w:val="16"/>
        </w:rPr>
        <w:t>FUENTE: Superintendencia Financiera de Colombia – Cálculos propios.</w:t>
      </w:r>
    </w:p>
    <w:p w14:paraId="749536E5" w14:textId="77777777" w:rsidR="00BA49E6" w:rsidRDefault="00BA49E6" w:rsidP="00DB686A">
      <w:pPr>
        <w:jc w:val="both"/>
        <w:rPr>
          <w:rFonts w:ascii="Arial" w:hAnsi="Arial" w:cs="Arial"/>
          <w:sz w:val="24"/>
          <w:szCs w:val="24"/>
        </w:rPr>
      </w:pPr>
    </w:p>
    <w:p w14:paraId="2CAC992D" w14:textId="2E48EFC1" w:rsidR="00380589" w:rsidRDefault="00230321" w:rsidP="00DB686A">
      <w:pPr>
        <w:jc w:val="both"/>
        <w:rPr>
          <w:rFonts w:ascii="Arial" w:hAnsi="Arial" w:cs="Arial"/>
          <w:sz w:val="24"/>
          <w:szCs w:val="24"/>
        </w:rPr>
      </w:pPr>
      <w:r>
        <w:rPr>
          <w:rFonts w:ascii="Arial" w:hAnsi="Arial" w:cs="Arial"/>
          <w:sz w:val="24"/>
          <w:szCs w:val="24"/>
        </w:rPr>
        <w:t xml:space="preserve">Esta sustitución de inversiones de los portafolios de </w:t>
      </w:r>
      <w:r w:rsidR="005950BB">
        <w:rPr>
          <w:rFonts w:ascii="Arial" w:hAnsi="Arial" w:cs="Arial"/>
          <w:sz w:val="24"/>
          <w:szCs w:val="24"/>
        </w:rPr>
        <w:t>inversión</w:t>
      </w:r>
      <w:r>
        <w:rPr>
          <w:rFonts w:ascii="Arial" w:hAnsi="Arial" w:cs="Arial"/>
          <w:sz w:val="24"/>
          <w:szCs w:val="24"/>
        </w:rPr>
        <w:t xml:space="preserve"> de los FPO</w:t>
      </w:r>
      <w:r w:rsidR="004C3965">
        <w:rPr>
          <w:rFonts w:ascii="Arial" w:hAnsi="Arial" w:cs="Arial"/>
          <w:sz w:val="24"/>
          <w:szCs w:val="24"/>
        </w:rPr>
        <w:t xml:space="preserve"> de FCP nacionales por FCP extranjeros, trajo como consecuencia que el </w:t>
      </w:r>
      <w:r w:rsidR="00BF5B1E">
        <w:rPr>
          <w:rFonts w:ascii="Arial" w:hAnsi="Arial" w:cs="Arial"/>
          <w:sz w:val="24"/>
          <w:szCs w:val="24"/>
        </w:rPr>
        <w:t>número</w:t>
      </w:r>
      <w:r w:rsidR="004C3965">
        <w:rPr>
          <w:rFonts w:ascii="Arial" w:hAnsi="Arial" w:cs="Arial"/>
          <w:sz w:val="24"/>
          <w:szCs w:val="24"/>
        </w:rPr>
        <w:t xml:space="preserve"> de nuevos FCP nacionales disminuyera. </w:t>
      </w:r>
      <w:r w:rsidR="0031676A">
        <w:rPr>
          <w:rFonts w:ascii="Arial" w:hAnsi="Arial" w:cs="Arial"/>
          <w:sz w:val="24"/>
          <w:szCs w:val="24"/>
        </w:rPr>
        <w:t>Así,</w:t>
      </w:r>
      <w:r w:rsidR="004C3965">
        <w:rPr>
          <w:rFonts w:ascii="Arial" w:hAnsi="Arial" w:cs="Arial"/>
          <w:sz w:val="24"/>
          <w:szCs w:val="24"/>
        </w:rPr>
        <w:t xml:space="preserve"> por ejemplo, mientras el promedio de nuevos FCP nacionales de 2010 a 2015 fue de 6.3 por año, este cay</w:t>
      </w:r>
      <w:r w:rsidR="0031676A">
        <w:rPr>
          <w:rFonts w:ascii="Arial" w:hAnsi="Arial" w:cs="Arial"/>
          <w:sz w:val="24"/>
          <w:szCs w:val="24"/>
        </w:rPr>
        <w:t>ó</w:t>
      </w:r>
      <w:r w:rsidR="004C3965">
        <w:rPr>
          <w:rFonts w:ascii="Arial" w:hAnsi="Arial" w:cs="Arial"/>
          <w:sz w:val="24"/>
          <w:szCs w:val="24"/>
        </w:rPr>
        <w:t xml:space="preserve"> de 2016 a 2018</w:t>
      </w:r>
      <w:r w:rsidR="00FB587E">
        <w:rPr>
          <w:rFonts w:ascii="Arial" w:hAnsi="Arial" w:cs="Arial"/>
          <w:sz w:val="24"/>
          <w:szCs w:val="24"/>
        </w:rPr>
        <w:t xml:space="preserve"> (periodo de vigencia del decreto </w:t>
      </w:r>
      <w:r w:rsidR="00FB587E" w:rsidRPr="00FB587E">
        <w:rPr>
          <w:rFonts w:ascii="Arial" w:hAnsi="Arial" w:cs="Arial"/>
          <w:sz w:val="24"/>
          <w:szCs w:val="24"/>
        </w:rPr>
        <w:t>765 de may-16</w:t>
      </w:r>
      <w:r w:rsidR="00FB587E">
        <w:rPr>
          <w:rFonts w:ascii="Arial" w:hAnsi="Arial" w:cs="Arial"/>
          <w:sz w:val="24"/>
          <w:szCs w:val="24"/>
        </w:rPr>
        <w:t xml:space="preserve">) </w:t>
      </w:r>
      <w:r w:rsidR="004C3965">
        <w:rPr>
          <w:rFonts w:ascii="Arial" w:hAnsi="Arial" w:cs="Arial"/>
          <w:sz w:val="24"/>
          <w:szCs w:val="24"/>
        </w:rPr>
        <w:t>a 5.0, el mínimo</w:t>
      </w:r>
      <w:r w:rsidR="0031676A">
        <w:rPr>
          <w:rFonts w:ascii="Arial" w:hAnsi="Arial" w:cs="Arial"/>
          <w:sz w:val="24"/>
          <w:szCs w:val="24"/>
        </w:rPr>
        <w:t xml:space="preserve"> nivel </w:t>
      </w:r>
      <w:r w:rsidR="004C3965">
        <w:rPr>
          <w:rFonts w:ascii="Arial" w:hAnsi="Arial" w:cs="Arial"/>
          <w:sz w:val="24"/>
          <w:szCs w:val="24"/>
        </w:rPr>
        <w:t>con respecto a su misma historia.</w:t>
      </w:r>
      <w:r w:rsidR="00DF0FCE">
        <w:rPr>
          <w:rFonts w:ascii="Arial" w:hAnsi="Arial" w:cs="Arial"/>
          <w:sz w:val="24"/>
          <w:szCs w:val="24"/>
        </w:rPr>
        <w:t xml:space="preserve"> Cabe destacar que el total de FCP nacionales de 2005 a 2018 es de 71, de los cuales a dic-18, 61 son activos y 10 finalizados.</w:t>
      </w:r>
    </w:p>
    <w:p w14:paraId="6D1C29AE" w14:textId="0835FA7F" w:rsidR="00380589" w:rsidRDefault="005950BB" w:rsidP="005950BB">
      <w:pPr>
        <w:jc w:val="center"/>
        <w:rPr>
          <w:rFonts w:ascii="Arial" w:hAnsi="Arial" w:cs="Arial"/>
          <w:sz w:val="24"/>
          <w:szCs w:val="24"/>
        </w:rPr>
      </w:pPr>
      <w:r>
        <w:rPr>
          <w:noProof/>
          <w:lang w:eastAsia="es-CO"/>
        </w:rPr>
        <w:drawing>
          <wp:inline distT="0" distB="0" distL="0" distR="0" wp14:anchorId="19D796D5" wp14:editId="67145EDD">
            <wp:extent cx="4181475" cy="2647950"/>
            <wp:effectExtent l="0" t="0" r="0" b="0"/>
            <wp:docPr id="2" name="Gráfico 2">
              <a:extLst xmlns:a="http://schemas.openxmlformats.org/drawingml/2006/main">
                <a:ext uri="{FF2B5EF4-FFF2-40B4-BE49-F238E27FC236}">
                  <a16:creationId xmlns:a16="http://schemas.microsoft.com/office/drawing/2014/main" id="{C330B577-D96F-4D0A-A427-AB6EDCBBBB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B735C9" w14:textId="39F64BA1" w:rsidR="004C3965" w:rsidRDefault="004C3965" w:rsidP="004C3965">
      <w:pPr>
        <w:jc w:val="both"/>
        <w:rPr>
          <w:rFonts w:ascii="Arial" w:hAnsi="Arial" w:cs="Arial"/>
          <w:sz w:val="24"/>
          <w:szCs w:val="24"/>
        </w:rPr>
      </w:pPr>
      <w:r>
        <w:rPr>
          <w:rFonts w:ascii="Arial" w:hAnsi="Arial" w:cs="Arial"/>
          <w:sz w:val="16"/>
          <w:szCs w:val="16"/>
        </w:rPr>
        <w:t>FUENTE: ColCapital.</w:t>
      </w:r>
    </w:p>
    <w:p w14:paraId="0017AA69" w14:textId="77777777" w:rsidR="00C11552" w:rsidRDefault="00C11552" w:rsidP="00DB686A">
      <w:pPr>
        <w:jc w:val="both"/>
        <w:rPr>
          <w:rFonts w:ascii="Arial" w:hAnsi="Arial" w:cs="Arial"/>
          <w:sz w:val="24"/>
          <w:szCs w:val="24"/>
        </w:rPr>
      </w:pPr>
    </w:p>
    <w:p w14:paraId="0D431B5D" w14:textId="262DE831" w:rsidR="00C11552" w:rsidRDefault="00C11552" w:rsidP="00DB686A">
      <w:pPr>
        <w:jc w:val="both"/>
        <w:rPr>
          <w:rFonts w:ascii="Arial" w:hAnsi="Arial" w:cs="Arial"/>
          <w:sz w:val="24"/>
          <w:szCs w:val="24"/>
        </w:rPr>
      </w:pPr>
      <w:r>
        <w:rPr>
          <w:rFonts w:ascii="Arial" w:hAnsi="Arial" w:cs="Arial"/>
          <w:sz w:val="24"/>
          <w:szCs w:val="24"/>
        </w:rPr>
        <w:t>Al comparar la jurisdicción de los fondos de capital privado</w:t>
      </w:r>
      <w:r w:rsidR="00FB587E">
        <w:rPr>
          <w:rFonts w:ascii="Arial" w:hAnsi="Arial" w:cs="Arial"/>
          <w:sz w:val="24"/>
          <w:szCs w:val="24"/>
        </w:rPr>
        <w:t xml:space="preserve"> históricos</w:t>
      </w:r>
      <w:r>
        <w:rPr>
          <w:rFonts w:ascii="Arial" w:hAnsi="Arial" w:cs="Arial"/>
          <w:sz w:val="24"/>
          <w:szCs w:val="24"/>
        </w:rPr>
        <w:t xml:space="preserve"> en el país, se destaca que </w:t>
      </w:r>
      <w:r w:rsidR="005B2731">
        <w:rPr>
          <w:rFonts w:ascii="Arial" w:hAnsi="Arial" w:cs="Arial"/>
          <w:sz w:val="24"/>
          <w:szCs w:val="24"/>
        </w:rPr>
        <w:t xml:space="preserve">para dic-18 </w:t>
      </w:r>
      <w:r>
        <w:rPr>
          <w:rFonts w:ascii="Arial" w:hAnsi="Arial" w:cs="Arial"/>
          <w:sz w:val="24"/>
          <w:szCs w:val="24"/>
        </w:rPr>
        <w:t>de</w:t>
      </w:r>
      <w:r w:rsidR="00FB587E">
        <w:rPr>
          <w:rFonts w:ascii="Arial" w:hAnsi="Arial" w:cs="Arial"/>
          <w:sz w:val="24"/>
          <w:szCs w:val="24"/>
        </w:rPr>
        <w:t xml:space="preserve">l total de </w:t>
      </w:r>
      <w:r>
        <w:rPr>
          <w:rFonts w:ascii="Arial" w:hAnsi="Arial" w:cs="Arial"/>
          <w:sz w:val="24"/>
          <w:szCs w:val="24"/>
        </w:rPr>
        <w:t>135 fondos</w:t>
      </w:r>
      <w:r w:rsidR="00FB587E">
        <w:rPr>
          <w:rFonts w:ascii="Arial" w:hAnsi="Arial" w:cs="Arial"/>
          <w:sz w:val="24"/>
          <w:szCs w:val="24"/>
        </w:rPr>
        <w:t xml:space="preserve">, </w:t>
      </w:r>
      <w:r>
        <w:rPr>
          <w:rFonts w:ascii="Arial" w:hAnsi="Arial" w:cs="Arial"/>
          <w:sz w:val="24"/>
          <w:szCs w:val="24"/>
        </w:rPr>
        <w:t xml:space="preserve">61 tienen </w:t>
      </w:r>
      <w:r w:rsidR="005B2731">
        <w:rPr>
          <w:rFonts w:ascii="Arial" w:hAnsi="Arial" w:cs="Arial"/>
          <w:sz w:val="24"/>
          <w:szCs w:val="24"/>
        </w:rPr>
        <w:t>jurisdicción colombiana</w:t>
      </w:r>
      <w:r w:rsidR="00FB587E">
        <w:rPr>
          <w:rFonts w:ascii="Arial" w:hAnsi="Arial" w:cs="Arial"/>
          <w:sz w:val="24"/>
          <w:szCs w:val="24"/>
        </w:rPr>
        <w:t xml:space="preserve"> </w:t>
      </w:r>
      <w:r w:rsidR="005B2731">
        <w:rPr>
          <w:rFonts w:ascii="Arial" w:hAnsi="Arial" w:cs="Arial"/>
          <w:sz w:val="24"/>
          <w:szCs w:val="24"/>
        </w:rPr>
        <w:t>(52.6%</w:t>
      </w:r>
      <w:r w:rsidR="00FB587E">
        <w:rPr>
          <w:rFonts w:ascii="Arial" w:hAnsi="Arial" w:cs="Arial"/>
          <w:sz w:val="24"/>
          <w:szCs w:val="24"/>
        </w:rPr>
        <w:t>, excluyendo a los finalizados</w:t>
      </w:r>
      <w:r w:rsidR="005B2731">
        <w:rPr>
          <w:rFonts w:ascii="Arial" w:hAnsi="Arial" w:cs="Arial"/>
          <w:sz w:val="24"/>
          <w:szCs w:val="24"/>
        </w:rPr>
        <w:t xml:space="preserve">) Vs 56.8% que tenían a dic-17. </w:t>
      </w:r>
    </w:p>
    <w:p w14:paraId="160FA03D" w14:textId="70831049" w:rsidR="005B2731" w:rsidRDefault="005B2731" w:rsidP="00DB686A">
      <w:pPr>
        <w:jc w:val="both"/>
        <w:rPr>
          <w:rFonts w:ascii="Arial" w:hAnsi="Arial" w:cs="Arial"/>
          <w:sz w:val="24"/>
          <w:szCs w:val="24"/>
        </w:rPr>
      </w:pPr>
    </w:p>
    <w:p w14:paraId="6F14AF56" w14:textId="65F93CC0" w:rsidR="005B2731" w:rsidRDefault="005B2731" w:rsidP="005B2731">
      <w:pPr>
        <w:jc w:val="center"/>
        <w:rPr>
          <w:rFonts w:ascii="Arial" w:hAnsi="Arial" w:cs="Arial"/>
          <w:sz w:val="24"/>
          <w:szCs w:val="24"/>
        </w:rPr>
      </w:pPr>
      <w:r>
        <w:rPr>
          <w:noProof/>
          <w:lang w:eastAsia="es-CO"/>
        </w:rPr>
        <w:drawing>
          <wp:inline distT="0" distB="0" distL="0" distR="0" wp14:anchorId="259C8B6F" wp14:editId="28BF64CC">
            <wp:extent cx="3467100" cy="3363383"/>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573" t="25045" r="37712" b="6457"/>
                    <a:stretch/>
                  </pic:blipFill>
                  <pic:spPr bwMode="auto">
                    <a:xfrm>
                      <a:off x="0" y="0"/>
                      <a:ext cx="3470464" cy="3366646"/>
                    </a:xfrm>
                    <a:prstGeom prst="rect">
                      <a:avLst/>
                    </a:prstGeom>
                    <a:ln>
                      <a:noFill/>
                    </a:ln>
                    <a:extLst>
                      <a:ext uri="{53640926-AAD7-44D8-BBD7-CCE9431645EC}">
                        <a14:shadowObscured xmlns:a14="http://schemas.microsoft.com/office/drawing/2010/main"/>
                      </a:ext>
                    </a:extLst>
                  </pic:spPr>
                </pic:pic>
              </a:graphicData>
            </a:graphic>
          </wp:inline>
        </w:drawing>
      </w:r>
    </w:p>
    <w:p w14:paraId="002DF62E" w14:textId="77777777" w:rsidR="00C11552" w:rsidRDefault="00C11552" w:rsidP="00DB686A">
      <w:pPr>
        <w:jc w:val="both"/>
        <w:rPr>
          <w:rFonts w:ascii="Arial" w:hAnsi="Arial" w:cs="Arial"/>
          <w:sz w:val="24"/>
          <w:szCs w:val="24"/>
        </w:rPr>
      </w:pPr>
    </w:p>
    <w:p w14:paraId="1D169A1E" w14:textId="6935B28A" w:rsidR="00AE2240" w:rsidRDefault="00C11552" w:rsidP="005B2731">
      <w:pPr>
        <w:jc w:val="both"/>
        <w:rPr>
          <w:rFonts w:ascii="Arial" w:hAnsi="Arial" w:cs="Arial"/>
          <w:sz w:val="24"/>
          <w:szCs w:val="24"/>
        </w:rPr>
      </w:pPr>
      <w:r>
        <w:rPr>
          <w:rFonts w:ascii="Arial" w:hAnsi="Arial" w:cs="Arial"/>
          <w:sz w:val="24"/>
          <w:szCs w:val="24"/>
        </w:rPr>
        <w:t xml:space="preserve">El hecho que </w:t>
      </w:r>
      <w:r w:rsidR="005B2731">
        <w:rPr>
          <w:rFonts w:ascii="Arial" w:hAnsi="Arial" w:cs="Arial"/>
          <w:sz w:val="24"/>
          <w:szCs w:val="24"/>
        </w:rPr>
        <w:t xml:space="preserve">los FCP hayan perdido participación </w:t>
      </w:r>
      <w:r>
        <w:rPr>
          <w:rFonts w:ascii="Arial" w:hAnsi="Arial" w:cs="Arial"/>
          <w:sz w:val="24"/>
          <w:szCs w:val="24"/>
        </w:rPr>
        <w:t>en el país es preocupante. A</w:t>
      </w:r>
      <w:r w:rsidR="00AE2240">
        <w:rPr>
          <w:rFonts w:ascii="Arial" w:hAnsi="Arial" w:cs="Arial"/>
          <w:sz w:val="24"/>
          <w:szCs w:val="24"/>
        </w:rPr>
        <w:t xml:space="preserve"> dic-18</w:t>
      </w:r>
      <w:r>
        <w:rPr>
          <w:rFonts w:ascii="Arial" w:hAnsi="Arial" w:cs="Arial"/>
          <w:sz w:val="24"/>
          <w:szCs w:val="24"/>
        </w:rPr>
        <w:t>, según ColCapital</w:t>
      </w:r>
      <w:r w:rsidR="005B2731">
        <w:rPr>
          <w:rStyle w:val="Refdenotaalpie"/>
          <w:rFonts w:ascii="Arial" w:hAnsi="Arial" w:cs="Arial"/>
          <w:sz w:val="24"/>
          <w:szCs w:val="24"/>
        </w:rPr>
        <w:footnoteReference w:id="12"/>
      </w:r>
      <w:r>
        <w:rPr>
          <w:rFonts w:ascii="Arial" w:hAnsi="Arial" w:cs="Arial"/>
          <w:sz w:val="24"/>
          <w:szCs w:val="24"/>
        </w:rPr>
        <w:t>,</w:t>
      </w:r>
      <w:r w:rsidR="00AE2240">
        <w:rPr>
          <w:rFonts w:ascii="Arial" w:hAnsi="Arial" w:cs="Arial"/>
          <w:sz w:val="24"/>
          <w:szCs w:val="24"/>
        </w:rPr>
        <w:t xml:space="preserve"> </w:t>
      </w:r>
      <w:r w:rsidR="005B2731" w:rsidRPr="005B2731">
        <w:rPr>
          <w:rFonts w:ascii="Arial" w:hAnsi="Arial" w:cs="Arial"/>
          <w:sz w:val="24"/>
          <w:szCs w:val="24"/>
        </w:rPr>
        <w:t>los fondos de capital</w:t>
      </w:r>
      <w:r w:rsidR="005B2731">
        <w:rPr>
          <w:rFonts w:ascii="Arial" w:hAnsi="Arial" w:cs="Arial"/>
          <w:sz w:val="24"/>
          <w:szCs w:val="24"/>
        </w:rPr>
        <w:t xml:space="preserve"> </w:t>
      </w:r>
      <w:r w:rsidR="005B2731" w:rsidRPr="005B2731">
        <w:rPr>
          <w:rFonts w:ascii="Arial" w:hAnsi="Arial" w:cs="Arial"/>
          <w:sz w:val="24"/>
          <w:szCs w:val="24"/>
        </w:rPr>
        <w:t>privado colombianos han logrado movilizar</w:t>
      </w:r>
      <w:r w:rsidR="005B2731">
        <w:rPr>
          <w:rFonts w:ascii="Arial" w:hAnsi="Arial" w:cs="Arial"/>
          <w:sz w:val="24"/>
          <w:szCs w:val="24"/>
        </w:rPr>
        <w:t xml:space="preserve"> </w:t>
      </w:r>
      <w:r w:rsidR="005B2731" w:rsidRPr="005B2731">
        <w:rPr>
          <w:rFonts w:ascii="Arial" w:hAnsi="Arial" w:cs="Arial"/>
          <w:sz w:val="24"/>
          <w:szCs w:val="24"/>
        </w:rPr>
        <w:t>compromisos de capital por USD 7.736,7</w:t>
      </w:r>
      <w:r w:rsidR="005B2731">
        <w:rPr>
          <w:rFonts w:ascii="Arial" w:hAnsi="Arial" w:cs="Arial"/>
          <w:sz w:val="24"/>
          <w:szCs w:val="24"/>
        </w:rPr>
        <w:t xml:space="preserve"> </w:t>
      </w:r>
      <w:r w:rsidR="005B2731" w:rsidRPr="005B2731">
        <w:rPr>
          <w:rFonts w:ascii="Arial" w:hAnsi="Arial" w:cs="Arial"/>
          <w:sz w:val="24"/>
          <w:szCs w:val="24"/>
        </w:rPr>
        <w:t>millones representados principalmente</w:t>
      </w:r>
      <w:r w:rsidR="005B2731">
        <w:rPr>
          <w:rFonts w:ascii="Arial" w:hAnsi="Arial" w:cs="Arial"/>
          <w:sz w:val="24"/>
          <w:szCs w:val="24"/>
        </w:rPr>
        <w:t xml:space="preserve"> </w:t>
      </w:r>
      <w:r w:rsidR="005B2731" w:rsidRPr="005B2731">
        <w:rPr>
          <w:rFonts w:ascii="Arial" w:hAnsi="Arial" w:cs="Arial"/>
          <w:sz w:val="24"/>
          <w:szCs w:val="24"/>
        </w:rPr>
        <w:t>por los fondos inmobiliarios</w:t>
      </w:r>
      <w:r w:rsidR="00DF0FCE">
        <w:rPr>
          <w:rFonts w:ascii="Arial" w:hAnsi="Arial" w:cs="Arial"/>
          <w:sz w:val="24"/>
          <w:szCs w:val="24"/>
        </w:rPr>
        <w:t xml:space="preserve"> (movilizando USD 3.170,8 millones)</w:t>
      </w:r>
      <w:r w:rsidR="005B2731" w:rsidRPr="005B2731">
        <w:rPr>
          <w:rFonts w:ascii="Arial" w:hAnsi="Arial" w:cs="Arial"/>
          <w:sz w:val="24"/>
          <w:szCs w:val="24"/>
        </w:rPr>
        <w:t xml:space="preserve"> y de</w:t>
      </w:r>
      <w:r w:rsidR="005B2731">
        <w:rPr>
          <w:rFonts w:ascii="Arial" w:hAnsi="Arial" w:cs="Arial"/>
          <w:sz w:val="24"/>
          <w:szCs w:val="24"/>
        </w:rPr>
        <w:t xml:space="preserve"> </w:t>
      </w:r>
      <w:r w:rsidR="005B2731" w:rsidRPr="005B2731">
        <w:rPr>
          <w:rFonts w:ascii="Arial" w:hAnsi="Arial" w:cs="Arial"/>
          <w:sz w:val="24"/>
          <w:szCs w:val="24"/>
        </w:rPr>
        <w:t>infraestructura</w:t>
      </w:r>
      <w:r w:rsidR="00DF0FCE">
        <w:rPr>
          <w:rFonts w:ascii="Arial" w:hAnsi="Arial" w:cs="Arial"/>
          <w:sz w:val="24"/>
          <w:szCs w:val="24"/>
        </w:rPr>
        <w:t xml:space="preserve"> (movilizando USD 2.798,5 millones)</w:t>
      </w:r>
      <w:r w:rsidR="00AE2240">
        <w:rPr>
          <w:rFonts w:ascii="Arial" w:hAnsi="Arial" w:cs="Arial"/>
          <w:sz w:val="24"/>
          <w:szCs w:val="24"/>
        </w:rPr>
        <w:t>, seguido de USD 1.134,7 millones para fondos de adquisición/crecimiento, USD 538,4 millones para fondos de recursos naturales y USD 80 millones para capital emprendedor.</w:t>
      </w:r>
    </w:p>
    <w:p w14:paraId="4C0F3591" w14:textId="16A494F7" w:rsidR="005E6F74" w:rsidRDefault="005E6F74" w:rsidP="005B2731">
      <w:pPr>
        <w:jc w:val="both"/>
        <w:rPr>
          <w:rFonts w:ascii="Arial" w:hAnsi="Arial" w:cs="Arial"/>
          <w:sz w:val="24"/>
          <w:szCs w:val="24"/>
        </w:rPr>
      </w:pPr>
      <w:r>
        <w:rPr>
          <w:rFonts w:ascii="Arial" w:hAnsi="Arial" w:cs="Arial"/>
          <w:sz w:val="24"/>
          <w:szCs w:val="24"/>
        </w:rPr>
        <w:t>De otra parte, los compromisos de capital invertidos a dic-18 ascendieron a USD 4.817 millones, correspondiendo USD 2.621 millones a fondos inmobiliarios, USD 899 a fondos de adquisición/crecimiento y USD 871 millones a fondos de infraestructura</w:t>
      </w:r>
      <w:r w:rsidR="0077515E">
        <w:rPr>
          <w:rFonts w:ascii="Arial" w:hAnsi="Arial" w:cs="Arial"/>
          <w:sz w:val="24"/>
          <w:szCs w:val="24"/>
        </w:rPr>
        <w:t>, principalmente.</w:t>
      </w:r>
    </w:p>
    <w:p w14:paraId="42F384F2" w14:textId="53F89270" w:rsidR="0077515E" w:rsidRDefault="0077515E" w:rsidP="005B2731">
      <w:pPr>
        <w:jc w:val="both"/>
        <w:rPr>
          <w:rFonts w:ascii="Arial" w:hAnsi="Arial" w:cs="Arial"/>
          <w:sz w:val="24"/>
          <w:szCs w:val="24"/>
        </w:rPr>
      </w:pPr>
      <w:r>
        <w:rPr>
          <w:rFonts w:ascii="Arial" w:hAnsi="Arial" w:cs="Arial"/>
          <w:sz w:val="24"/>
          <w:szCs w:val="24"/>
        </w:rPr>
        <w:t>De los compromisos de capital disponibles a dic-18, del total de USD 2.841 millones, USD 1927 corresponden a fondos de infraestructura, USD 536 a fondos inmobiliarios, USD 228.9 a fondos de adquisición/crecimiento y USD 26 millones a fondos de capital emprendedor.</w:t>
      </w:r>
    </w:p>
    <w:p w14:paraId="0216BB71" w14:textId="3D218EFB" w:rsidR="0077515E" w:rsidRDefault="0077515E" w:rsidP="005B2731">
      <w:pPr>
        <w:jc w:val="both"/>
        <w:rPr>
          <w:rFonts w:ascii="Arial" w:hAnsi="Arial" w:cs="Arial"/>
          <w:sz w:val="24"/>
          <w:szCs w:val="24"/>
        </w:rPr>
      </w:pPr>
    </w:p>
    <w:p w14:paraId="4B76FE1D" w14:textId="04BE5917" w:rsidR="0077515E" w:rsidRDefault="0077515E" w:rsidP="0077515E">
      <w:pPr>
        <w:jc w:val="center"/>
        <w:rPr>
          <w:rFonts w:ascii="Arial" w:hAnsi="Arial" w:cs="Arial"/>
          <w:sz w:val="24"/>
          <w:szCs w:val="24"/>
        </w:rPr>
      </w:pPr>
      <w:r>
        <w:rPr>
          <w:noProof/>
          <w:lang w:eastAsia="es-CO"/>
        </w:rPr>
        <w:drawing>
          <wp:inline distT="0" distB="0" distL="0" distR="0" wp14:anchorId="156C84BA" wp14:editId="31DD8041">
            <wp:extent cx="4657725" cy="459749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834" t="22331" r="32790" b="8569"/>
                    <a:stretch/>
                  </pic:blipFill>
                  <pic:spPr bwMode="auto">
                    <a:xfrm>
                      <a:off x="0" y="0"/>
                      <a:ext cx="4662187" cy="4601900"/>
                    </a:xfrm>
                    <a:prstGeom prst="rect">
                      <a:avLst/>
                    </a:prstGeom>
                    <a:ln>
                      <a:noFill/>
                    </a:ln>
                    <a:extLst>
                      <a:ext uri="{53640926-AAD7-44D8-BBD7-CCE9431645EC}">
                        <a14:shadowObscured xmlns:a14="http://schemas.microsoft.com/office/drawing/2010/main"/>
                      </a:ext>
                    </a:extLst>
                  </pic:spPr>
                </pic:pic>
              </a:graphicData>
            </a:graphic>
          </wp:inline>
        </w:drawing>
      </w:r>
    </w:p>
    <w:p w14:paraId="17B0F5CA" w14:textId="77777777" w:rsidR="0077515E" w:rsidRDefault="0077515E" w:rsidP="0077515E">
      <w:pPr>
        <w:jc w:val="both"/>
        <w:rPr>
          <w:rFonts w:ascii="Arial" w:hAnsi="Arial" w:cs="Arial"/>
          <w:sz w:val="24"/>
          <w:szCs w:val="24"/>
        </w:rPr>
      </w:pPr>
      <w:r>
        <w:rPr>
          <w:rFonts w:ascii="Arial" w:hAnsi="Arial" w:cs="Arial"/>
          <w:sz w:val="16"/>
          <w:szCs w:val="16"/>
        </w:rPr>
        <w:t>FUENTE: ColCapital.</w:t>
      </w:r>
    </w:p>
    <w:p w14:paraId="1B1B5CA4" w14:textId="03BDD0CE" w:rsidR="0077515E" w:rsidRDefault="0077515E" w:rsidP="005B2731">
      <w:pPr>
        <w:jc w:val="both"/>
        <w:rPr>
          <w:rFonts w:ascii="Arial" w:hAnsi="Arial" w:cs="Arial"/>
          <w:sz w:val="24"/>
          <w:szCs w:val="24"/>
        </w:rPr>
      </w:pPr>
    </w:p>
    <w:p w14:paraId="24001E6B" w14:textId="41047979" w:rsidR="0077515E" w:rsidRDefault="00B81396" w:rsidP="005B2731">
      <w:pPr>
        <w:jc w:val="both"/>
        <w:rPr>
          <w:rFonts w:ascii="Arial" w:hAnsi="Arial" w:cs="Arial"/>
          <w:sz w:val="24"/>
          <w:szCs w:val="24"/>
        </w:rPr>
      </w:pPr>
      <w:r>
        <w:rPr>
          <w:rFonts w:ascii="Arial" w:hAnsi="Arial" w:cs="Arial"/>
          <w:sz w:val="24"/>
          <w:szCs w:val="24"/>
        </w:rPr>
        <w:t>Muy en particular, en lo que respecta a los fondos de capital emprendedor (8 fondos), se destaca que sus compromisos de capital ascendieron a dic-18 a USD 80 millones, sus inversiones a USD 53.2 millones y los compromisos de capital disponibles a USD 26.7 millones</w:t>
      </w:r>
      <w:r w:rsidR="00006DCC">
        <w:rPr>
          <w:rFonts w:ascii="Arial" w:hAnsi="Arial" w:cs="Arial"/>
          <w:sz w:val="24"/>
          <w:szCs w:val="24"/>
        </w:rPr>
        <w:t>. Los sectores a los cuales fueron destinados los recursos invertidos fueron principal</w:t>
      </w:r>
      <w:r w:rsidR="003F2AC8">
        <w:rPr>
          <w:rFonts w:ascii="Arial" w:hAnsi="Arial" w:cs="Arial"/>
          <w:sz w:val="24"/>
          <w:szCs w:val="24"/>
        </w:rPr>
        <w:t>mente medios y entretenimiento y tecnología e información. La desagregación sectorial de las inversiones en emprendimientos se muestra a continuación:</w:t>
      </w:r>
    </w:p>
    <w:p w14:paraId="769B5361" w14:textId="5A52B9E2" w:rsidR="00006DCC" w:rsidRDefault="00621A23" w:rsidP="005B2731">
      <w:pPr>
        <w:jc w:val="both"/>
        <w:rPr>
          <w:rFonts w:ascii="Arial" w:hAnsi="Arial" w:cs="Arial"/>
          <w:sz w:val="24"/>
          <w:szCs w:val="24"/>
        </w:rPr>
      </w:pPr>
      <w:r>
        <w:rPr>
          <w:rFonts w:ascii="Arial" w:hAnsi="Arial" w:cs="Arial"/>
          <w:sz w:val="24"/>
          <w:szCs w:val="24"/>
        </w:rPr>
        <w:t>(USD millones)</w:t>
      </w:r>
    </w:p>
    <w:p w14:paraId="44EEC284" w14:textId="4B72E6F9" w:rsidR="00006DCC" w:rsidRDefault="00006DCC" w:rsidP="00006DCC">
      <w:pPr>
        <w:jc w:val="center"/>
        <w:rPr>
          <w:rFonts w:ascii="Arial" w:hAnsi="Arial" w:cs="Arial"/>
          <w:sz w:val="24"/>
          <w:szCs w:val="24"/>
        </w:rPr>
      </w:pPr>
      <w:r w:rsidRPr="00006DCC">
        <w:rPr>
          <w:noProof/>
          <w:lang w:eastAsia="es-CO"/>
        </w:rPr>
        <w:drawing>
          <wp:inline distT="0" distB="0" distL="0" distR="0" wp14:anchorId="0D383FB0" wp14:editId="3DE4DECE">
            <wp:extent cx="5612130" cy="2566035"/>
            <wp:effectExtent l="0" t="0" r="762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2566035"/>
                    </a:xfrm>
                    <a:prstGeom prst="rect">
                      <a:avLst/>
                    </a:prstGeom>
                    <a:noFill/>
                    <a:ln>
                      <a:noFill/>
                    </a:ln>
                  </pic:spPr>
                </pic:pic>
              </a:graphicData>
            </a:graphic>
          </wp:inline>
        </w:drawing>
      </w:r>
    </w:p>
    <w:p w14:paraId="2BF92D1D" w14:textId="7E157AB9" w:rsidR="00006DCC" w:rsidRDefault="00006DCC" w:rsidP="00006DCC">
      <w:pPr>
        <w:jc w:val="both"/>
        <w:rPr>
          <w:rFonts w:ascii="Arial" w:hAnsi="Arial" w:cs="Arial"/>
          <w:sz w:val="24"/>
          <w:szCs w:val="24"/>
        </w:rPr>
      </w:pPr>
      <w:r>
        <w:rPr>
          <w:rFonts w:ascii="Arial" w:hAnsi="Arial" w:cs="Arial"/>
          <w:sz w:val="16"/>
          <w:szCs w:val="16"/>
        </w:rPr>
        <w:t xml:space="preserve">FUENTE: ColCapital. </w:t>
      </w:r>
      <w:r w:rsidRPr="00006DCC">
        <w:rPr>
          <w:rFonts w:ascii="Arial" w:hAnsi="Arial" w:cs="Arial"/>
          <w:sz w:val="16"/>
          <w:szCs w:val="16"/>
        </w:rPr>
        <w:t>Muestra: 52 inversiones de un total de 59 (88,1%)</w:t>
      </w:r>
    </w:p>
    <w:p w14:paraId="06A6FEAE" w14:textId="139E12B5" w:rsidR="007C28CC" w:rsidRDefault="007C28CC" w:rsidP="00DB686A">
      <w:pPr>
        <w:jc w:val="both"/>
        <w:rPr>
          <w:rFonts w:ascii="Arial" w:hAnsi="Arial" w:cs="Arial"/>
          <w:sz w:val="24"/>
          <w:szCs w:val="24"/>
        </w:rPr>
      </w:pPr>
    </w:p>
    <w:p w14:paraId="7174D072" w14:textId="6B58D93F" w:rsidR="00A507D1" w:rsidRDefault="00A507D1" w:rsidP="00DB686A">
      <w:pPr>
        <w:jc w:val="both"/>
        <w:rPr>
          <w:rFonts w:ascii="Arial" w:hAnsi="Arial" w:cs="Arial"/>
          <w:sz w:val="24"/>
          <w:szCs w:val="24"/>
        </w:rPr>
      </w:pPr>
      <w:r>
        <w:rPr>
          <w:rFonts w:ascii="Arial" w:hAnsi="Arial" w:cs="Arial"/>
          <w:sz w:val="24"/>
          <w:szCs w:val="24"/>
        </w:rPr>
        <w:t xml:space="preserve">Por último, y muy relevante para la coyuntura del mercado laboral colombiano, es muy importante resaltar que los empleos generados por </w:t>
      </w:r>
      <w:r w:rsidR="006A7EF2">
        <w:rPr>
          <w:rFonts w:ascii="Arial" w:hAnsi="Arial" w:cs="Arial"/>
          <w:sz w:val="24"/>
          <w:szCs w:val="24"/>
        </w:rPr>
        <w:t xml:space="preserve">las inversiones de </w:t>
      </w:r>
      <w:r>
        <w:rPr>
          <w:rFonts w:ascii="Arial" w:hAnsi="Arial" w:cs="Arial"/>
          <w:sz w:val="24"/>
          <w:szCs w:val="24"/>
        </w:rPr>
        <w:t xml:space="preserve">los </w:t>
      </w:r>
      <w:r w:rsidR="0034431C">
        <w:rPr>
          <w:rFonts w:ascii="Arial" w:hAnsi="Arial" w:cs="Arial"/>
          <w:sz w:val="24"/>
          <w:szCs w:val="24"/>
        </w:rPr>
        <w:t xml:space="preserve">FCP </w:t>
      </w:r>
      <w:r>
        <w:rPr>
          <w:rFonts w:ascii="Arial" w:hAnsi="Arial" w:cs="Arial"/>
          <w:sz w:val="24"/>
          <w:szCs w:val="24"/>
        </w:rPr>
        <w:t>nacionales</w:t>
      </w:r>
      <w:r w:rsidR="006A7EF2">
        <w:rPr>
          <w:rFonts w:ascii="Arial" w:hAnsi="Arial" w:cs="Arial"/>
          <w:sz w:val="24"/>
          <w:szCs w:val="24"/>
        </w:rPr>
        <w:t xml:space="preserve"> </w:t>
      </w:r>
      <w:r>
        <w:rPr>
          <w:rFonts w:ascii="Arial" w:hAnsi="Arial" w:cs="Arial"/>
          <w:sz w:val="24"/>
          <w:szCs w:val="24"/>
        </w:rPr>
        <w:t>en el país a dic-18 ascendían a 79.308, discriminados por tipo de fondo como se muestra a continuación:</w:t>
      </w:r>
    </w:p>
    <w:p w14:paraId="728144AA" w14:textId="296D8746" w:rsidR="00A507D1" w:rsidRDefault="00A507D1" w:rsidP="00A507D1">
      <w:pPr>
        <w:jc w:val="center"/>
        <w:rPr>
          <w:rFonts w:ascii="Arial" w:hAnsi="Arial" w:cs="Arial"/>
          <w:sz w:val="24"/>
          <w:szCs w:val="24"/>
        </w:rPr>
      </w:pPr>
      <w:r w:rsidRPr="00A507D1">
        <w:rPr>
          <w:noProof/>
          <w:lang w:eastAsia="es-CO"/>
        </w:rPr>
        <w:drawing>
          <wp:inline distT="0" distB="0" distL="0" distR="0" wp14:anchorId="72CE113D" wp14:editId="007C785C">
            <wp:extent cx="2340864" cy="1348953"/>
            <wp:effectExtent l="0" t="0" r="254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9740" cy="1354068"/>
                    </a:xfrm>
                    <a:prstGeom prst="rect">
                      <a:avLst/>
                    </a:prstGeom>
                    <a:noFill/>
                    <a:ln>
                      <a:noFill/>
                    </a:ln>
                  </pic:spPr>
                </pic:pic>
              </a:graphicData>
            </a:graphic>
          </wp:inline>
        </w:drawing>
      </w:r>
    </w:p>
    <w:p w14:paraId="2B3BDA03" w14:textId="27DE3012" w:rsidR="00A507D1" w:rsidRDefault="00A507D1" w:rsidP="00DB686A">
      <w:pPr>
        <w:jc w:val="both"/>
        <w:rPr>
          <w:rFonts w:ascii="Arial" w:hAnsi="Arial" w:cs="Arial"/>
          <w:sz w:val="24"/>
          <w:szCs w:val="24"/>
        </w:rPr>
      </w:pPr>
      <w:r>
        <w:rPr>
          <w:rFonts w:ascii="Arial" w:hAnsi="Arial" w:cs="Arial"/>
          <w:sz w:val="16"/>
          <w:szCs w:val="16"/>
        </w:rPr>
        <w:t xml:space="preserve">FUENTE: ColCapital. </w:t>
      </w:r>
      <w:r w:rsidRPr="00A507D1">
        <w:rPr>
          <w:rFonts w:ascii="Arial" w:hAnsi="Arial" w:cs="Arial"/>
          <w:sz w:val="16"/>
          <w:szCs w:val="16"/>
        </w:rPr>
        <w:t>Muestra: 151 inversiones de un total de 596 (25,3%)</w:t>
      </w:r>
    </w:p>
    <w:p w14:paraId="4EBBD7A9" w14:textId="08FB44B5" w:rsidR="00380589" w:rsidRDefault="00A507D1" w:rsidP="00DB686A">
      <w:pPr>
        <w:jc w:val="both"/>
        <w:rPr>
          <w:rFonts w:ascii="Arial" w:hAnsi="Arial" w:cs="Arial"/>
          <w:sz w:val="24"/>
          <w:szCs w:val="24"/>
        </w:rPr>
      </w:pPr>
      <w:r>
        <w:rPr>
          <w:rFonts w:ascii="Arial" w:hAnsi="Arial" w:cs="Arial"/>
          <w:sz w:val="24"/>
          <w:szCs w:val="24"/>
        </w:rPr>
        <w:t xml:space="preserve">De los 79.308 empleos directos generados por las inversiones de los FCP nacionales, 14.715 </w:t>
      </w:r>
      <w:r w:rsidR="006A7EF2">
        <w:rPr>
          <w:rFonts w:ascii="Arial" w:hAnsi="Arial" w:cs="Arial"/>
          <w:sz w:val="24"/>
          <w:szCs w:val="24"/>
        </w:rPr>
        <w:t xml:space="preserve">correspondieron a empleos para </w:t>
      </w:r>
      <w:r>
        <w:rPr>
          <w:rFonts w:ascii="Arial" w:hAnsi="Arial" w:cs="Arial"/>
          <w:sz w:val="24"/>
          <w:szCs w:val="24"/>
        </w:rPr>
        <w:t>mujeres así:</w:t>
      </w:r>
    </w:p>
    <w:p w14:paraId="6204C8B0" w14:textId="597517B9" w:rsidR="00A507D1" w:rsidRDefault="00A507D1" w:rsidP="00A507D1">
      <w:pPr>
        <w:jc w:val="center"/>
        <w:rPr>
          <w:rFonts w:ascii="Arial" w:hAnsi="Arial" w:cs="Arial"/>
          <w:sz w:val="24"/>
          <w:szCs w:val="24"/>
        </w:rPr>
      </w:pPr>
      <w:r w:rsidRPr="00A507D1">
        <w:rPr>
          <w:noProof/>
          <w:lang w:eastAsia="es-CO"/>
        </w:rPr>
        <w:drawing>
          <wp:inline distT="0" distB="0" distL="0" distR="0" wp14:anchorId="429EAC20" wp14:editId="0FA509DD">
            <wp:extent cx="2619782" cy="1272845"/>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1510" cy="1283402"/>
                    </a:xfrm>
                    <a:prstGeom prst="rect">
                      <a:avLst/>
                    </a:prstGeom>
                    <a:noFill/>
                    <a:ln>
                      <a:noFill/>
                    </a:ln>
                  </pic:spPr>
                </pic:pic>
              </a:graphicData>
            </a:graphic>
          </wp:inline>
        </w:drawing>
      </w:r>
    </w:p>
    <w:p w14:paraId="02A7E5AE" w14:textId="0A690FCE" w:rsidR="00A507D1" w:rsidRDefault="00A507D1" w:rsidP="00DB686A">
      <w:pPr>
        <w:jc w:val="both"/>
        <w:rPr>
          <w:rFonts w:ascii="Arial" w:hAnsi="Arial" w:cs="Arial"/>
          <w:sz w:val="24"/>
          <w:szCs w:val="24"/>
        </w:rPr>
      </w:pPr>
      <w:r>
        <w:rPr>
          <w:rFonts w:ascii="Arial" w:hAnsi="Arial" w:cs="Arial"/>
          <w:sz w:val="16"/>
          <w:szCs w:val="16"/>
        </w:rPr>
        <w:t xml:space="preserve">FUENTE: ColCapital. </w:t>
      </w:r>
      <w:r w:rsidRPr="00A507D1">
        <w:rPr>
          <w:rFonts w:ascii="Arial" w:hAnsi="Arial" w:cs="Arial"/>
          <w:sz w:val="16"/>
          <w:szCs w:val="16"/>
        </w:rPr>
        <w:t>Muestra: 85 inversiones de un total de 596 (14,3%)</w:t>
      </w:r>
    </w:p>
    <w:p w14:paraId="4E10FCF1" w14:textId="77777777" w:rsidR="00380589" w:rsidRDefault="00380589" w:rsidP="00DB686A">
      <w:pPr>
        <w:jc w:val="both"/>
        <w:rPr>
          <w:rFonts w:ascii="Arial" w:hAnsi="Arial" w:cs="Arial"/>
          <w:sz w:val="24"/>
          <w:szCs w:val="24"/>
        </w:rPr>
      </w:pPr>
    </w:p>
    <w:p w14:paraId="50D035A1" w14:textId="2867A847" w:rsidR="00DB686A" w:rsidRDefault="00DB686A" w:rsidP="00DD191A">
      <w:pPr>
        <w:pStyle w:val="Prrafodelista"/>
        <w:numPr>
          <w:ilvl w:val="0"/>
          <w:numId w:val="8"/>
        </w:numPr>
        <w:jc w:val="both"/>
        <w:rPr>
          <w:rFonts w:ascii="Arial" w:hAnsi="Arial" w:cs="Arial"/>
          <w:sz w:val="24"/>
          <w:szCs w:val="24"/>
        </w:rPr>
      </w:pPr>
      <w:r>
        <w:rPr>
          <w:rFonts w:ascii="Arial" w:hAnsi="Arial" w:cs="Arial"/>
          <w:b/>
          <w:sz w:val="24"/>
          <w:szCs w:val="24"/>
        </w:rPr>
        <w:t>Beneficios de la iniciativa.</w:t>
      </w:r>
      <w:r w:rsidR="00484DF2">
        <w:rPr>
          <w:rFonts w:ascii="Arial" w:hAnsi="Arial" w:cs="Arial"/>
          <w:sz w:val="24"/>
          <w:szCs w:val="24"/>
        </w:rPr>
        <w:t xml:space="preserve"> </w:t>
      </w:r>
    </w:p>
    <w:p w14:paraId="2BAF7E5E" w14:textId="166FAF88" w:rsidR="00CE1285" w:rsidRDefault="000E58CC" w:rsidP="00CE1285">
      <w:pPr>
        <w:jc w:val="both"/>
        <w:rPr>
          <w:rFonts w:ascii="Arial" w:hAnsi="Arial" w:cs="Arial"/>
          <w:sz w:val="24"/>
          <w:szCs w:val="24"/>
        </w:rPr>
      </w:pPr>
      <w:r>
        <w:rPr>
          <w:rFonts w:ascii="Arial" w:hAnsi="Arial" w:cs="Arial"/>
          <w:sz w:val="24"/>
          <w:szCs w:val="24"/>
        </w:rPr>
        <w:t>Con las anteriores consideraciones de objetivo y relevancia del proyecto de ley, antecedentes y descripción de la problemática a resolver</w:t>
      </w:r>
      <w:r w:rsidR="00216205">
        <w:rPr>
          <w:rFonts w:ascii="Arial" w:hAnsi="Arial" w:cs="Arial"/>
          <w:sz w:val="24"/>
          <w:szCs w:val="24"/>
        </w:rPr>
        <w:t xml:space="preserve">, </w:t>
      </w:r>
      <w:r>
        <w:rPr>
          <w:rFonts w:ascii="Arial" w:hAnsi="Arial" w:cs="Arial"/>
          <w:sz w:val="24"/>
          <w:szCs w:val="24"/>
        </w:rPr>
        <w:t xml:space="preserve">a </w:t>
      </w:r>
      <w:r w:rsidR="00BD5D87">
        <w:rPr>
          <w:rFonts w:ascii="Arial" w:hAnsi="Arial" w:cs="Arial"/>
          <w:sz w:val="24"/>
          <w:szCs w:val="24"/>
        </w:rPr>
        <w:t>continuación,</w:t>
      </w:r>
      <w:r w:rsidR="00216205">
        <w:rPr>
          <w:rFonts w:ascii="Arial" w:hAnsi="Arial" w:cs="Arial"/>
          <w:sz w:val="24"/>
          <w:szCs w:val="24"/>
        </w:rPr>
        <w:t xml:space="preserve"> </w:t>
      </w:r>
      <w:r>
        <w:rPr>
          <w:rFonts w:ascii="Arial" w:hAnsi="Arial" w:cs="Arial"/>
          <w:sz w:val="24"/>
          <w:szCs w:val="24"/>
        </w:rPr>
        <w:t>se sintetizan los principales beneficios que se obtendrían de ser aprobado este proyecto:</w:t>
      </w:r>
    </w:p>
    <w:p w14:paraId="42F79376" w14:textId="7E8F71BA" w:rsidR="000E58CC" w:rsidRPr="00BD5D87" w:rsidRDefault="00BE4932" w:rsidP="00BD5D87">
      <w:pPr>
        <w:jc w:val="both"/>
        <w:rPr>
          <w:rFonts w:ascii="Arial" w:hAnsi="Arial" w:cs="Arial"/>
          <w:sz w:val="24"/>
          <w:szCs w:val="24"/>
        </w:rPr>
      </w:pPr>
      <w:r w:rsidRPr="00BD5D87">
        <w:rPr>
          <w:rFonts w:ascii="Arial" w:hAnsi="Arial" w:cs="Arial"/>
          <w:sz w:val="24"/>
          <w:szCs w:val="24"/>
        </w:rPr>
        <w:t>4.1. Mejoramiento de la productividad</w:t>
      </w:r>
      <w:r w:rsidR="00FC1F8F">
        <w:rPr>
          <w:rFonts w:ascii="Arial" w:hAnsi="Arial" w:cs="Arial"/>
          <w:sz w:val="24"/>
          <w:szCs w:val="24"/>
        </w:rPr>
        <w:t xml:space="preserve"> y mayor formalización.</w:t>
      </w:r>
    </w:p>
    <w:p w14:paraId="2B7C45BA" w14:textId="36375ADC" w:rsidR="00BD5D87" w:rsidRDefault="00BD5D87" w:rsidP="00BD5D87">
      <w:pPr>
        <w:jc w:val="both"/>
        <w:rPr>
          <w:rFonts w:ascii="Arial" w:hAnsi="Arial" w:cs="Arial"/>
          <w:sz w:val="24"/>
          <w:szCs w:val="24"/>
        </w:rPr>
      </w:pPr>
      <w:r w:rsidRPr="00BD5D87">
        <w:rPr>
          <w:rFonts w:ascii="Arial" w:hAnsi="Arial" w:cs="Arial"/>
          <w:sz w:val="24"/>
          <w:szCs w:val="24"/>
        </w:rPr>
        <w:t>Como fue descrito anteriormente, en términos comparativos, durante el periodo 2010-2018, la PTF de Colombia, presentó una tasa de crecimiento promedio de -1.2%, muy por debajo de la de países de la región tales como Brasil de -0.93%, Argentina de -0,3%, Perú de 0,29% y México de 0,36%. También es muy inferior a la de países de otras latitudes como China -0.44%, Corea del Sur 0.61% y Estados Unidos de 0.08%.</w:t>
      </w:r>
    </w:p>
    <w:p w14:paraId="04A56B0A" w14:textId="05E3E432" w:rsidR="00FC1F8F" w:rsidRDefault="00FC1F8F" w:rsidP="00BD5D87">
      <w:pPr>
        <w:jc w:val="both"/>
        <w:rPr>
          <w:rFonts w:ascii="Arial" w:hAnsi="Arial" w:cs="Arial"/>
          <w:sz w:val="24"/>
          <w:szCs w:val="24"/>
        </w:rPr>
      </w:pPr>
      <w:r>
        <w:rPr>
          <w:rFonts w:ascii="Arial" w:hAnsi="Arial" w:cs="Arial"/>
          <w:sz w:val="24"/>
          <w:szCs w:val="24"/>
        </w:rPr>
        <w:t>Así mismo el 59% de las firmas, 37% de los trabajadores y 33% del producto es informal, según estudios recientes de Fedesarrollo.</w:t>
      </w:r>
    </w:p>
    <w:p w14:paraId="12B6057E" w14:textId="24AC910A" w:rsidR="00907C88" w:rsidRDefault="00907C88" w:rsidP="00BD5D87">
      <w:pPr>
        <w:jc w:val="both"/>
        <w:rPr>
          <w:rFonts w:ascii="Arial" w:hAnsi="Arial" w:cs="Arial"/>
          <w:sz w:val="24"/>
          <w:szCs w:val="24"/>
        </w:rPr>
      </w:pPr>
      <w:r>
        <w:rPr>
          <w:rFonts w:ascii="Arial" w:hAnsi="Arial" w:cs="Arial"/>
          <w:sz w:val="24"/>
          <w:szCs w:val="24"/>
        </w:rPr>
        <w:t>Por último, el Informe Nacional de Competitividad 2018-2019 elaborado por el Consejo Privado de Competitividad</w:t>
      </w:r>
      <w:r>
        <w:rPr>
          <w:rStyle w:val="Refdenotaalpie"/>
          <w:rFonts w:ascii="Arial" w:hAnsi="Arial" w:cs="Arial"/>
          <w:sz w:val="24"/>
          <w:szCs w:val="24"/>
        </w:rPr>
        <w:footnoteReference w:id="13"/>
      </w:r>
      <w:r>
        <w:rPr>
          <w:rFonts w:ascii="Arial" w:hAnsi="Arial" w:cs="Arial"/>
          <w:sz w:val="24"/>
          <w:szCs w:val="24"/>
        </w:rPr>
        <w:t xml:space="preserve">, en uno de sus factores de evaluación del índice global de competitividad, </w:t>
      </w:r>
      <w:r w:rsidR="00865588">
        <w:rPr>
          <w:rFonts w:ascii="Arial" w:hAnsi="Arial" w:cs="Arial"/>
          <w:sz w:val="24"/>
          <w:szCs w:val="24"/>
        </w:rPr>
        <w:t>evaluó</w:t>
      </w:r>
      <w:r>
        <w:rPr>
          <w:rFonts w:ascii="Arial" w:hAnsi="Arial" w:cs="Arial"/>
          <w:sz w:val="24"/>
          <w:szCs w:val="24"/>
        </w:rPr>
        <w:t xml:space="preserve"> el pilar de financiamiento </w:t>
      </w:r>
      <w:r w:rsidR="00865588">
        <w:rPr>
          <w:rFonts w:ascii="Arial" w:hAnsi="Arial" w:cs="Arial"/>
          <w:sz w:val="24"/>
          <w:szCs w:val="24"/>
        </w:rPr>
        <w:t>empresarial</w:t>
      </w:r>
      <w:r>
        <w:rPr>
          <w:rFonts w:ascii="Arial" w:hAnsi="Arial" w:cs="Arial"/>
          <w:sz w:val="24"/>
          <w:szCs w:val="24"/>
        </w:rPr>
        <w:t xml:space="preserve"> </w:t>
      </w:r>
      <w:r w:rsidR="00865588">
        <w:rPr>
          <w:rFonts w:ascii="Arial" w:hAnsi="Arial" w:cs="Arial"/>
          <w:sz w:val="24"/>
          <w:szCs w:val="24"/>
        </w:rPr>
        <w:t xml:space="preserve">y </w:t>
      </w:r>
      <w:r>
        <w:rPr>
          <w:rFonts w:ascii="Arial" w:hAnsi="Arial" w:cs="Arial"/>
          <w:sz w:val="24"/>
          <w:szCs w:val="24"/>
        </w:rPr>
        <w:t xml:space="preserve">en </w:t>
      </w:r>
      <w:r w:rsidR="00865588">
        <w:rPr>
          <w:rFonts w:ascii="Arial" w:hAnsi="Arial" w:cs="Arial"/>
          <w:sz w:val="24"/>
          <w:szCs w:val="24"/>
        </w:rPr>
        <w:t xml:space="preserve">una de </w:t>
      </w:r>
      <w:r>
        <w:rPr>
          <w:rFonts w:ascii="Arial" w:hAnsi="Arial" w:cs="Arial"/>
          <w:sz w:val="24"/>
          <w:szCs w:val="24"/>
        </w:rPr>
        <w:t xml:space="preserve">sus recomendaciones manifestó: </w:t>
      </w:r>
    </w:p>
    <w:p w14:paraId="719E83DB" w14:textId="2F62500B" w:rsidR="00865588" w:rsidRDefault="00865588" w:rsidP="00865588">
      <w:pPr>
        <w:jc w:val="center"/>
        <w:rPr>
          <w:rFonts w:ascii="Arial" w:hAnsi="Arial" w:cs="Arial"/>
          <w:sz w:val="24"/>
          <w:szCs w:val="24"/>
        </w:rPr>
      </w:pPr>
      <w:r>
        <w:rPr>
          <w:noProof/>
          <w:lang w:eastAsia="es-CO"/>
        </w:rPr>
        <w:drawing>
          <wp:inline distT="0" distB="0" distL="0" distR="0" wp14:anchorId="69A58CC3" wp14:editId="26D29F6C">
            <wp:extent cx="3396762" cy="23241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1765" t="36512" r="19213" b="28184"/>
                    <a:stretch/>
                  </pic:blipFill>
                  <pic:spPr bwMode="auto">
                    <a:xfrm>
                      <a:off x="0" y="0"/>
                      <a:ext cx="3398775" cy="2325477"/>
                    </a:xfrm>
                    <a:prstGeom prst="rect">
                      <a:avLst/>
                    </a:prstGeom>
                    <a:ln>
                      <a:noFill/>
                    </a:ln>
                    <a:extLst>
                      <a:ext uri="{53640926-AAD7-44D8-BBD7-CCE9431645EC}">
                        <a14:shadowObscured xmlns:a14="http://schemas.microsoft.com/office/drawing/2010/main"/>
                      </a:ext>
                    </a:extLst>
                  </pic:spPr>
                </pic:pic>
              </a:graphicData>
            </a:graphic>
          </wp:inline>
        </w:drawing>
      </w:r>
    </w:p>
    <w:p w14:paraId="08EC76F2" w14:textId="729BE2E0" w:rsidR="00907C88" w:rsidRDefault="00907C88" w:rsidP="00BD5D87">
      <w:pPr>
        <w:jc w:val="both"/>
        <w:rPr>
          <w:rFonts w:ascii="Arial" w:hAnsi="Arial" w:cs="Arial"/>
          <w:sz w:val="24"/>
          <w:szCs w:val="24"/>
        </w:rPr>
      </w:pPr>
    </w:p>
    <w:p w14:paraId="297840DB" w14:textId="44961378" w:rsidR="00FC1F8F" w:rsidRDefault="00FC1F8F" w:rsidP="00FC1F8F">
      <w:pPr>
        <w:jc w:val="both"/>
        <w:rPr>
          <w:rFonts w:ascii="Arial" w:hAnsi="Arial" w:cs="Arial"/>
          <w:sz w:val="24"/>
          <w:szCs w:val="24"/>
        </w:rPr>
      </w:pPr>
      <w:r>
        <w:rPr>
          <w:rFonts w:ascii="Arial" w:hAnsi="Arial" w:cs="Arial"/>
          <w:sz w:val="24"/>
          <w:szCs w:val="24"/>
        </w:rPr>
        <w:t xml:space="preserve">La presente iniciativa cuyo objetivo es fortalecer e incentivar el emprendimiento y escalamiento de las micro, pequeñas y medianas empresas, </w:t>
      </w:r>
      <w:r w:rsidR="00865588">
        <w:rPr>
          <w:rFonts w:ascii="Arial" w:hAnsi="Arial" w:cs="Arial"/>
          <w:sz w:val="24"/>
          <w:szCs w:val="24"/>
        </w:rPr>
        <w:t xml:space="preserve">recoge la recomendación del Consejo Privado de Competitividad y </w:t>
      </w:r>
      <w:r>
        <w:rPr>
          <w:rFonts w:ascii="Arial" w:hAnsi="Arial" w:cs="Arial"/>
          <w:sz w:val="24"/>
          <w:szCs w:val="24"/>
        </w:rPr>
        <w:t xml:space="preserve">mejoraría la productividad y formalización del mercado. Como lo sugieren los estudios citados, una empresa formal puede ser hasta un 65% </w:t>
      </w:r>
      <w:r w:rsidR="00104897">
        <w:rPr>
          <w:rFonts w:ascii="Arial" w:hAnsi="Arial" w:cs="Arial"/>
          <w:sz w:val="24"/>
          <w:szCs w:val="24"/>
        </w:rPr>
        <w:t>más</w:t>
      </w:r>
      <w:r>
        <w:rPr>
          <w:rFonts w:ascii="Arial" w:hAnsi="Arial" w:cs="Arial"/>
          <w:sz w:val="24"/>
          <w:szCs w:val="24"/>
        </w:rPr>
        <w:t xml:space="preserve"> productiva que sus contrapartes informales por razones como l</w:t>
      </w:r>
      <w:r w:rsidRPr="00027B60">
        <w:rPr>
          <w:rFonts w:ascii="Arial" w:hAnsi="Arial" w:cs="Arial"/>
          <w:sz w:val="24"/>
          <w:szCs w:val="24"/>
        </w:rPr>
        <w:t>os beneficios del acceso al crédito formal</w:t>
      </w:r>
      <w:r>
        <w:rPr>
          <w:rFonts w:ascii="Arial" w:hAnsi="Arial" w:cs="Arial"/>
          <w:sz w:val="24"/>
          <w:szCs w:val="24"/>
        </w:rPr>
        <w:t>, l</w:t>
      </w:r>
      <w:r w:rsidRPr="00027B60">
        <w:rPr>
          <w:rFonts w:ascii="Arial" w:hAnsi="Arial" w:cs="Arial"/>
          <w:sz w:val="24"/>
          <w:szCs w:val="24"/>
        </w:rPr>
        <w:t>os bienes públicos como los contratos legales</w:t>
      </w:r>
      <w:r>
        <w:rPr>
          <w:rFonts w:ascii="Arial" w:hAnsi="Arial" w:cs="Arial"/>
          <w:sz w:val="24"/>
          <w:szCs w:val="24"/>
        </w:rPr>
        <w:t>, l</w:t>
      </w:r>
      <w:r w:rsidRPr="00027B60">
        <w:rPr>
          <w:rFonts w:ascii="Arial" w:hAnsi="Arial" w:cs="Arial"/>
          <w:sz w:val="24"/>
          <w:szCs w:val="24"/>
        </w:rPr>
        <w:t>a capacidad de anunciar</w:t>
      </w:r>
      <w:r>
        <w:rPr>
          <w:rFonts w:ascii="Arial" w:hAnsi="Arial" w:cs="Arial"/>
          <w:sz w:val="24"/>
          <w:szCs w:val="24"/>
        </w:rPr>
        <w:t xml:space="preserve"> o publicitar y l</w:t>
      </w:r>
      <w:r w:rsidRPr="00027B60">
        <w:rPr>
          <w:rFonts w:ascii="Arial" w:hAnsi="Arial" w:cs="Arial"/>
          <w:sz w:val="24"/>
          <w:szCs w:val="24"/>
        </w:rPr>
        <w:t>a posibilidad de aumentar la base de clientes mediante la emisión de recibos de impuestos.</w:t>
      </w:r>
    </w:p>
    <w:p w14:paraId="6F370CD1" w14:textId="77777777" w:rsidR="00EB5994" w:rsidRDefault="00EB5994" w:rsidP="00CE1285">
      <w:pPr>
        <w:jc w:val="both"/>
        <w:rPr>
          <w:rFonts w:ascii="Arial" w:hAnsi="Arial" w:cs="Arial"/>
          <w:sz w:val="24"/>
          <w:szCs w:val="24"/>
        </w:rPr>
      </w:pPr>
    </w:p>
    <w:p w14:paraId="2274FBD0" w14:textId="08BF2B67" w:rsidR="00BE4932" w:rsidRDefault="00BE4932" w:rsidP="00CE1285">
      <w:pPr>
        <w:jc w:val="both"/>
        <w:rPr>
          <w:rFonts w:ascii="Arial" w:hAnsi="Arial" w:cs="Arial"/>
          <w:sz w:val="24"/>
          <w:szCs w:val="24"/>
        </w:rPr>
      </w:pPr>
      <w:r>
        <w:rPr>
          <w:rFonts w:ascii="Arial" w:hAnsi="Arial" w:cs="Arial"/>
          <w:sz w:val="24"/>
          <w:szCs w:val="24"/>
        </w:rPr>
        <w:t>4.2. Fortalecimiento al tejido empresarial colombiano.</w:t>
      </w:r>
    </w:p>
    <w:p w14:paraId="28F0C0B2" w14:textId="65B8309F" w:rsidR="00E4534E" w:rsidRDefault="00E4534E" w:rsidP="00CE1285">
      <w:pPr>
        <w:jc w:val="both"/>
        <w:rPr>
          <w:rFonts w:ascii="Arial" w:hAnsi="Arial" w:cs="Arial"/>
          <w:sz w:val="24"/>
          <w:szCs w:val="24"/>
        </w:rPr>
      </w:pPr>
      <w:r>
        <w:rPr>
          <w:rFonts w:ascii="Arial" w:hAnsi="Arial" w:cs="Arial"/>
          <w:sz w:val="24"/>
          <w:szCs w:val="24"/>
        </w:rPr>
        <w:t>Como se describió anteriormente, la población objetivo de la presente iniciativa corresponde a los emprendimientos y a 1.572.724 micro, pequeñas y medianas empresas del país de todos los sectores económicos susceptibles de inversiones por parte de los FCP nacionales.</w:t>
      </w:r>
      <w:r w:rsidR="00F1567D">
        <w:rPr>
          <w:rFonts w:ascii="Arial" w:hAnsi="Arial" w:cs="Arial"/>
          <w:sz w:val="24"/>
          <w:szCs w:val="24"/>
        </w:rPr>
        <w:t xml:space="preserve"> Esta cifra equivale a un 99.5% del total del tejido empresarial del país.</w:t>
      </w:r>
    </w:p>
    <w:p w14:paraId="662E422A" w14:textId="77777777" w:rsidR="00FE7E7A" w:rsidRDefault="00FE7E7A" w:rsidP="00CE1285">
      <w:pPr>
        <w:jc w:val="both"/>
        <w:rPr>
          <w:rFonts w:ascii="Arial" w:hAnsi="Arial" w:cs="Arial"/>
          <w:sz w:val="24"/>
          <w:szCs w:val="24"/>
        </w:rPr>
      </w:pPr>
    </w:p>
    <w:p w14:paraId="793530AE" w14:textId="7EB0FF7C" w:rsidR="00EB5994" w:rsidRDefault="00EB5994" w:rsidP="00CE1285">
      <w:pPr>
        <w:jc w:val="both"/>
        <w:rPr>
          <w:rFonts w:ascii="Arial" w:hAnsi="Arial" w:cs="Arial"/>
          <w:sz w:val="24"/>
          <w:szCs w:val="24"/>
        </w:rPr>
      </w:pPr>
    </w:p>
    <w:p w14:paraId="67463D0B" w14:textId="5498CBB8" w:rsidR="00DD33EE" w:rsidRDefault="00DD33EE" w:rsidP="00CE1285">
      <w:pPr>
        <w:jc w:val="both"/>
        <w:rPr>
          <w:rFonts w:ascii="Arial" w:hAnsi="Arial" w:cs="Arial"/>
          <w:sz w:val="24"/>
          <w:szCs w:val="24"/>
        </w:rPr>
      </w:pPr>
    </w:p>
    <w:p w14:paraId="04CC22C5" w14:textId="77777777" w:rsidR="00DD33EE" w:rsidRDefault="00DD33EE" w:rsidP="00CE1285">
      <w:pPr>
        <w:jc w:val="both"/>
        <w:rPr>
          <w:rFonts w:ascii="Arial" w:hAnsi="Arial" w:cs="Arial"/>
          <w:sz w:val="24"/>
          <w:szCs w:val="24"/>
        </w:rPr>
      </w:pPr>
    </w:p>
    <w:p w14:paraId="597D8D39" w14:textId="30BB8ABE" w:rsidR="00BE4932" w:rsidRDefault="00BE4932" w:rsidP="00CE1285">
      <w:pPr>
        <w:jc w:val="both"/>
        <w:rPr>
          <w:rFonts w:ascii="Arial" w:hAnsi="Arial" w:cs="Arial"/>
          <w:sz w:val="24"/>
          <w:szCs w:val="24"/>
        </w:rPr>
      </w:pPr>
      <w:r>
        <w:rPr>
          <w:rFonts w:ascii="Arial" w:hAnsi="Arial" w:cs="Arial"/>
          <w:sz w:val="24"/>
          <w:szCs w:val="24"/>
        </w:rPr>
        <w:t>4.3. Empleo.</w:t>
      </w:r>
    </w:p>
    <w:p w14:paraId="25C65EFC" w14:textId="382BA701" w:rsidR="00D0789E" w:rsidRDefault="00E372E1" w:rsidP="00CE1285">
      <w:pPr>
        <w:jc w:val="both"/>
        <w:rPr>
          <w:rFonts w:ascii="Arial" w:hAnsi="Arial" w:cs="Arial"/>
          <w:sz w:val="24"/>
          <w:szCs w:val="24"/>
        </w:rPr>
      </w:pPr>
      <w:r>
        <w:rPr>
          <w:rFonts w:ascii="Arial" w:hAnsi="Arial" w:cs="Arial"/>
          <w:sz w:val="24"/>
          <w:szCs w:val="24"/>
        </w:rPr>
        <w:t xml:space="preserve">Tal como se puede observar en la siguiente </w:t>
      </w:r>
      <w:r w:rsidR="000B3100">
        <w:rPr>
          <w:rFonts w:ascii="Arial" w:hAnsi="Arial" w:cs="Arial"/>
          <w:sz w:val="24"/>
          <w:szCs w:val="24"/>
        </w:rPr>
        <w:t>gráfica, la tasa de desempleo nacional ha venido presentando una tendencia creciente desde nov-1</w:t>
      </w:r>
      <w:r w:rsidR="001A6394">
        <w:rPr>
          <w:rFonts w:ascii="Arial" w:hAnsi="Arial" w:cs="Arial"/>
          <w:sz w:val="24"/>
          <w:szCs w:val="24"/>
        </w:rPr>
        <w:t>5</w:t>
      </w:r>
      <w:r w:rsidR="000B3100">
        <w:rPr>
          <w:rFonts w:ascii="Arial" w:hAnsi="Arial" w:cs="Arial"/>
          <w:sz w:val="24"/>
          <w:szCs w:val="24"/>
        </w:rPr>
        <w:t xml:space="preserve"> cuando fue del </w:t>
      </w:r>
      <w:r w:rsidR="001A6394">
        <w:rPr>
          <w:rFonts w:ascii="Arial" w:hAnsi="Arial" w:cs="Arial"/>
          <w:sz w:val="24"/>
          <w:szCs w:val="24"/>
        </w:rPr>
        <w:t>7.3</w:t>
      </w:r>
      <w:r w:rsidR="000B3100">
        <w:rPr>
          <w:rFonts w:ascii="Arial" w:hAnsi="Arial" w:cs="Arial"/>
          <w:sz w:val="24"/>
          <w:szCs w:val="24"/>
        </w:rPr>
        <w:t xml:space="preserve">%, hasta alcanzar niveles del </w:t>
      </w:r>
      <w:r w:rsidR="001A6394">
        <w:rPr>
          <w:rFonts w:ascii="Arial" w:hAnsi="Arial" w:cs="Arial"/>
          <w:sz w:val="24"/>
          <w:szCs w:val="24"/>
        </w:rPr>
        <w:t>9.5</w:t>
      </w:r>
      <w:r w:rsidR="000B3100">
        <w:rPr>
          <w:rFonts w:ascii="Arial" w:hAnsi="Arial" w:cs="Arial"/>
          <w:sz w:val="24"/>
          <w:szCs w:val="24"/>
        </w:rPr>
        <w:t xml:space="preserve">% en </w:t>
      </w:r>
      <w:r w:rsidR="001A6394">
        <w:rPr>
          <w:rFonts w:ascii="Arial" w:hAnsi="Arial" w:cs="Arial"/>
          <w:sz w:val="24"/>
          <w:szCs w:val="24"/>
        </w:rPr>
        <w:t>dic-19.</w:t>
      </w:r>
      <w:r w:rsidR="000F4E93">
        <w:rPr>
          <w:rFonts w:ascii="Arial" w:hAnsi="Arial" w:cs="Arial"/>
          <w:sz w:val="24"/>
          <w:szCs w:val="24"/>
        </w:rPr>
        <w:t xml:space="preserve"> En ese mismo periodo, el </w:t>
      </w:r>
      <w:r w:rsidR="00EE20BC">
        <w:rPr>
          <w:rFonts w:ascii="Arial" w:hAnsi="Arial" w:cs="Arial"/>
          <w:sz w:val="24"/>
          <w:szCs w:val="24"/>
        </w:rPr>
        <w:t>número</w:t>
      </w:r>
      <w:r w:rsidR="000F4E93">
        <w:rPr>
          <w:rFonts w:ascii="Arial" w:hAnsi="Arial" w:cs="Arial"/>
          <w:sz w:val="24"/>
          <w:szCs w:val="24"/>
        </w:rPr>
        <w:t xml:space="preserve"> de desempleados a nivel nacional ascendió de 1.792 mil personas a 2.398 mil personas.</w:t>
      </w:r>
    </w:p>
    <w:p w14:paraId="3C7FAF52" w14:textId="3449EFE2" w:rsidR="00D0789E" w:rsidRDefault="000F4E93" w:rsidP="00CE1285">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77696" behindDoc="0" locked="0" layoutInCell="1" allowOverlap="1" wp14:anchorId="11AE7910" wp14:editId="2BC70A02">
            <wp:simplePos x="0" y="0"/>
            <wp:positionH relativeFrom="column">
              <wp:posOffset>3155998</wp:posOffset>
            </wp:positionH>
            <wp:positionV relativeFrom="paragraph">
              <wp:posOffset>9777</wp:posOffset>
            </wp:positionV>
            <wp:extent cx="2855343" cy="1659834"/>
            <wp:effectExtent l="0" t="0" r="254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5343" cy="1659834"/>
                    </a:xfrm>
                    <a:prstGeom prst="rect">
                      <a:avLst/>
                    </a:prstGeom>
                    <a:noFill/>
                  </pic:spPr>
                </pic:pic>
              </a:graphicData>
            </a:graphic>
          </wp:anchor>
        </w:drawing>
      </w:r>
      <w:r>
        <w:rPr>
          <w:rFonts w:ascii="Arial" w:hAnsi="Arial" w:cs="Arial"/>
          <w:noProof/>
          <w:sz w:val="24"/>
          <w:szCs w:val="24"/>
          <w:lang w:eastAsia="es-CO"/>
        </w:rPr>
        <w:drawing>
          <wp:anchor distT="0" distB="0" distL="114300" distR="114300" simplePos="0" relativeHeight="251676672" behindDoc="0" locked="0" layoutInCell="1" allowOverlap="1" wp14:anchorId="08FDE315" wp14:editId="344A2159">
            <wp:simplePos x="0" y="0"/>
            <wp:positionH relativeFrom="column">
              <wp:posOffset>-1833</wp:posOffset>
            </wp:positionH>
            <wp:positionV relativeFrom="paragraph">
              <wp:posOffset>982</wp:posOffset>
            </wp:positionV>
            <wp:extent cx="2760178" cy="1604514"/>
            <wp:effectExtent l="0" t="0" r="254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0178" cy="1604514"/>
                    </a:xfrm>
                    <a:prstGeom prst="rect">
                      <a:avLst/>
                    </a:prstGeom>
                    <a:noFill/>
                  </pic:spPr>
                </pic:pic>
              </a:graphicData>
            </a:graphic>
          </wp:anchor>
        </w:drawing>
      </w:r>
    </w:p>
    <w:p w14:paraId="0A87FD09" w14:textId="0FBEDF4D" w:rsidR="000F4E93" w:rsidRDefault="000F4E93" w:rsidP="00CE1285">
      <w:pPr>
        <w:jc w:val="both"/>
        <w:rPr>
          <w:rFonts w:ascii="Arial" w:hAnsi="Arial" w:cs="Arial"/>
          <w:sz w:val="24"/>
          <w:szCs w:val="24"/>
        </w:rPr>
      </w:pPr>
    </w:p>
    <w:p w14:paraId="7221CE7B" w14:textId="197EE5FE" w:rsidR="000F4E93" w:rsidRDefault="000F4E93" w:rsidP="00CE1285">
      <w:pPr>
        <w:jc w:val="both"/>
        <w:rPr>
          <w:rFonts w:ascii="Arial" w:hAnsi="Arial" w:cs="Arial"/>
          <w:sz w:val="24"/>
          <w:szCs w:val="24"/>
        </w:rPr>
      </w:pPr>
    </w:p>
    <w:p w14:paraId="62C9A31B" w14:textId="6C833466" w:rsidR="000F4E93" w:rsidRDefault="000F4E93" w:rsidP="00CE1285">
      <w:pPr>
        <w:jc w:val="both"/>
        <w:rPr>
          <w:rFonts w:ascii="Arial" w:hAnsi="Arial" w:cs="Arial"/>
          <w:sz w:val="24"/>
          <w:szCs w:val="24"/>
        </w:rPr>
      </w:pPr>
    </w:p>
    <w:p w14:paraId="007E14FC" w14:textId="7FF7B89F" w:rsidR="000F4E93" w:rsidRDefault="000F4E93" w:rsidP="00CE1285">
      <w:pPr>
        <w:jc w:val="both"/>
        <w:rPr>
          <w:rFonts w:ascii="Arial" w:hAnsi="Arial" w:cs="Arial"/>
          <w:sz w:val="24"/>
          <w:szCs w:val="24"/>
        </w:rPr>
      </w:pPr>
    </w:p>
    <w:p w14:paraId="5D72AAFD" w14:textId="3606B6C0" w:rsidR="000F4E93" w:rsidRDefault="000F4E93" w:rsidP="00CE1285">
      <w:pPr>
        <w:jc w:val="both"/>
        <w:rPr>
          <w:rFonts w:ascii="Arial" w:hAnsi="Arial" w:cs="Arial"/>
          <w:sz w:val="24"/>
          <w:szCs w:val="24"/>
        </w:rPr>
      </w:pPr>
    </w:p>
    <w:p w14:paraId="74D92D37" w14:textId="32808627" w:rsidR="00CA71A8" w:rsidRDefault="00CA71A8" w:rsidP="00351808">
      <w:pPr>
        <w:jc w:val="both"/>
        <w:rPr>
          <w:rFonts w:ascii="Arial" w:hAnsi="Arial" w:cs="Arial"/>
          <w:sz w:val="24"/>
          <w:szCs w:val="24"/>
        </w:rPr>
      </w:pPr>
      <w:r>
        <w:rPr>
          <w:rFonts w:ascii="Arial" w:hAnsi="Arial" w:cs="Arial"/>
          <w:sz w:val="16"/>
          <w:szCs w:val="16"/>
        </w:rPr>
        <w:t>FUENTE: DANE.</w:t>
      </w:r>
    </w:p>
    <w:p w14:paraId="0308FA62" w14:textId="72C6CDC2" w:rsidR="00D0789E" w:rsidRDefault="00351808" w:rsidP="00351808">
      <w:pPr>
        <w:jc w:val="both"/>
        <w:rPr>
          <w:rFonts w:ascii="Arial" w:hAnsi="Arial" w:cs="Arial"/>
          <w:sz w:val="24"/>
          <w:szCs w:val="24"/>
        </w:rPr>
      </w:pPr>
      <w:r>
        <w:rPr>
          <w:rFonts w:ascii="Arial" w:hAnsi="Arial" w:cs="Arial"/>
          <w:sz w:val="24"/>
          <w:szCs w:val="24"/>
        </w:rPr>
        <w:t xml:space="preserve">Particular atención merece que para el año 2019 el </w:t>
      </w:r>
      <w:r w:rsidR="00BF5B1E">
        <w:rPr>
          <w:rFonts w:ascii="Arial" w:hAnsi="Arial" w:cs="Arial"/>
          <w:sz w:val="24"/>
          <w:szCs w:val="24"/>
        </w:rPr>
        <w:t>número</w:t>
      </w:r>
      <w:r>
        <w:rPr>
          <w:rFonts w:ascii="Arial" w:hAnsi="Arial" w:cs="Arial"/>
          <w:sz w:val="24"/>
          <w:szCs w:val="24"/>
        </w:rPr>
        <w:t xml:space="preserve"> de ocupados cay</w:t>
      </w:r>
      <w:r w:rsidR="00BF5B1E">
        <w:rPr>
          <w:rFonts w:ascii="Arial" w:hAnsi="Arial" w:cs="Arial"/>
          <w:sz w:val="24"/>
          <w:szCs w:val="24"/>
        </w:rPr>
        <w:t>ó</w:t>
      </w:r>
      <w:r>
        <w:rPr>
          <w:rFonts w:ascii="Arial" w:hAnsi="Arial" w:cs="Arial"/>
          <w:sz w:val="24"/>
          <w:szCs w:val="24"/>
        </w:rPr>
        <w:t xml:space="preserve"> en 165 mil, comparado con el año inmediatamente anterior, siendo los sectores con principales caídas en el n</w:t>
      </w:r>
      <w:r w:rsidR="00BF5B1E">
        <w:rPr>
          <w:rFonts w:ascii="Arial" w:hAnsi="Arial" w:cs="Arial"/>
          <w:sz w:val="24"/>
          <w:szCs w:val="24"/>
        </w:rPr>
        <w:t>ú</w:t>
      </w:r>
      <w:r>
        <w:rPr>
          <w:rFonts w:ascii="Arial" w:hAnsi="Arial" w:cs="Arial"/>
          <w:sz w:val="24"/>
          <w:szCs w:val="24"/>
        </w:rPr>
        <w:t>mero de ocupados, el sector agricultura, seguido del sector de actividades inmobiliarias e industria.</w:t>
      </w:r>
    </w:p>
    <w:p w14:paraId="4FD07A25" w14:textId="77777777" w:rsidR="00CA71A8" w:rsidRPr="00CA71A8" w:rsidRDefault="00CA71A8" w:rsidP="00351808">
      <w:pPr>
        <w:jc w:val="both"/>
        <w:rPr>
          <w:rFonts w:ascii="Arial" w:hAnsi="Arial" w:cs="Arial"/>
          <w:b/>
          <w:bCs/>
          <w:sz w:val="24"/>
          <w:szCs w:val="24"/>
        </w:rPr>
      </w:pPr>
    </w:p>
    <w:p w14:paraId="4C1EE275" w14:textId="25DC5EB2" w:rsidR="00351808" w:rsidRPr="00CA71A8" w:rsidRDefault="00CA71A8" w:rsidP="00CA71A8">
      <w:pPr>
        <w:jc w:val="center"/>
        <w:rPr>
          <w:rFonts w:ascii="Arial" w:hAnsi="Arial" w:cs="Arial"/>
          <w:b/>
          <w:bCs/>
          <w:sz w:val="24"/>
          <w:szCs w:val="24"/>
        </w:rPr>
      </w:pPr>
      <w:r w:rsidRPr="00CA71A8">
        <w:rPr>
          <w:rFonts w:ascii="Arial" w:hAnsi="Arial" w:cs="Arial"/>
          <w:b/>
          <w:bCs/>
          <w:sz w:val="24"/>
          <w:szCs w:val="24"/>
        </w:rPr>
        <w:t>PROMEDIO POBLACIÓN OCUPADA POR RAMAS DE ACTIVIDAD (000)</w:t>
      </w:r>
    </w:p>
    <w:p w14:paraId="24F1A2DA" w14:textId="2AD3317C" w:rsidR="00351808" w:rsidRDefault="00351808" w:rsidP="00CA71A8">
      <w:pPr>
        <w:jc w:val="center"/>
        <w:rPr>
          <w:rFonts w:ascii="Arial" w:hAnsi="Arial" w:cs="Arial"/>
          <w:sz w:val="24"/>
          <w:szCs w:val="24"/>
        </w:rPr>
      </w:pPr>
      <w:r w:rsidRPr="00351808">
        <w:rPr>
          <w:noProof/>
          <w:lang w:eastAsia="es-CO"/>
        </w:rPr>
        <w:drawing>
          <wp:inline distT="0" distB="0" distL="0" distR="0" wp14:anchorId="099A5D45" wp14:editId="655BE55C">
            <wp:extent cx="4899804" cy="181178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6068" cy="1814101"/>
                    </a:xfrm>
                    <a:prstGeom prst="rect">
                      <a:avLst/>
                    </a:prstGeom>
                    <a:noFill/>
                    <a:ln>
                      <a:noFill/>
                    </a:ln>
                  </pic:spPr>
                </pic:pic>
              </a:graphicData>
            </a:graphic>
          </wp:inline>
        </w:drawing>
      </w:r>
    </w:p>
    <w:p w14:paraId="377A882C" w14:textId="77777777" w:rsidR="00CA71A8" w:rsidRDefault="00CA71A8" w:rsidP="00CA71A8">
      <w:pPr>
        <w:jc w:val="both"/>
        <w:rPr>
          <w:rFonts w:ascii="Arial" w:hAnsi="Arial" w:cs="Arial"/>
          <w:sz w:val="24"/>
          <w:szCs w:val="24"/>
        </w:rPr>
      </w:pPr>
      <w:r>
        <w:rPr>
          <w:rFonts w:ascii="Arial" w:hAnsi="Arial" w:cs="Arial"/>
          <w:sz w:val="16"/>
          <w:szCs w:val="16"/>
        </w:rPr>
        <w:t>FUENTE: DANE.</w:t>
      </w:r>
    </w:p>
    <w:p w14:paraId="2B667732" w14:textId="0BEAC239" w:rsidR="00351808" w:rsidRDefault="00351808" w:rsidP="00CA71A8">
      <w:pPr>
        <w:jc w:val="both"/>
        <w:rPr>
          <w:rFonts w:ascii="Arial" w:hAnsi="Arial" w:cs="Arial"/>
          <w:sz w:val="24"/>
          <w:szCs w:val="24"/>
        </w:rPr>
      </w:pPr>
    </w:p>
    <w:p w14:paraId="08E544A2" w14:textId="54D38ADD" w:rsidR="00CA71A8" w:rsidRDefault="00CA71A8" w:rsidP="00CA71A8">
      <w:pPr>
        <w:jc w:val="both"/>
        <w:rPr>
          <w:rFonts w:ascii="Arial" w:hAnsi="Arial" w:cs="Arial"/>
          <w:sz w:val="24"/>
          <w:szCs w:val="24"/>
        </w:rPr>
      </w:pPr>
      <w:r>
        <w:rPr>
          <w:rFonts w:ascii="Arial" w:hAnsi="Arial" w:cs="Arial"/>
          <w:sz w:val="24"/>
          <w:szCs w:val="24"/>
        </w:rPr>
        <w:t>Con el anterior panorama, y considerando que las inversiones de los FCP nacionales han generado 79.308 empleos directos por las inversiones</w:t>
      </w:r>
      <w:r w:rsidR="008673C7">
        <w:rPr>
          <w:rFonts w:ascii="Arial" w:hAnsi="Arial" w:cs="Arial"/>
          <w:sz w:val="24"/>
          <w:szCs w:val="24"/>
        </w:rPr>
        <w:t xml:space="preserve"> </w:t>
      </w:r>
      <w:r>
        <w:rPr>
          <w:rFonts w:ascii="Arial" w:hAnsi="Arial" w:cs="Arial"/>
          <w:sz w:val="24"/>
          <w:szCs w:val="24"/>
        </w:rPr>
        <w:t>que han realizado</w:t>
      </w:r>
      <w:r w:rsidR="008673C7">
        <w:rPr>
          <w:rFonts w:ascii="Arial" w:hAnsi="Arial" w:cs="Arial"/>
          <w:sz w:val="24"/>
          <w:szCs w:val="24"/>
        </w:rPr>
        <w:t xml:space="preserve">, </w:t>
      </w:r>
      <w:r>
        <w:rPr>
          <w:rFonts w:ascii="Arial" w:hAnsi="Arial" w:cs="Arial"/>
          <w:sz w:val="24"/>
          <w:szCs w:val="24"/>
        </w:rPr>
        <w:t>de los cuales 14.715 correspondieron a empleos para mujeres</w:t>
      </w:r>
      <w:r w:rsidR="008673C7">
        <w:rPr>
          <w:rFonts w:ascii="Arial" w:hAnsi="Arial" w:cs="Arial"/>
          <w:sz w:val="24"/>
          <w:szCs w:val="24"/>
        </w:rPr>
        <w:t>, fomentando la equidad de género, la presente iniciativa solo apunta a continuar con este aporte de los FCP para con la economía colombiana.</w:t>
      </w:r>
    </w:p>
    <w:p w14:paraId="76233DD0" w14:textId="77777777" w:rsidR="00351808" w:rsidRDefault="00351808" w:rsidP="001A6394">
      <w:pPr>
        <w:jc w:val="center"/>
        <w:rPr>
          <w:rFonts w:ascii="Arial" w:hAnsi="Arial" w:cs="Arial"/>
          <w:sz w:val="24"/>
          <w:szCs w:val="24"/>
        </w:rPr>
      </w:pPr>
    </w:p>
    <w:p w14:paraId="07E979DC" w14:textId="528311BB" w:rsidR="00BE4932" w:rsidRDefault="00BE4932" w:rsidP="00CE1285">
      <w:pPr>
        <w:jc w:val="both"/>
        <w:rPr>
          <w:rFonts w:ascii="Arial" w:hAnsi="Arial" w:cs="Arial"/>
          <w:sz w:val="24"/>
          <w:szCs w:val="24"/>
        </w:rPr>
      </w:pPr>
      <w:r>
        <w:rPr>
          <w:rFonts w:ascii="Arial" w:hAnsi="Arial" w:cs="Arial"/>
          <w:sz w:val="24"/>
          <w:szCs w:val="24"/>
        </w:rPr>
        <w:t>4.4. Impulso a una mayor supervivencia de las empresas en el país a través de la ampliación de oferta de fuentes de financiación del empresariado nacional.</w:t>
      </w:r>
    </w:p>
    <w:p w14:paraId="094C1DC9" w14:textId="34D64B90" w:rsidR="008673C7" w:rsidRDefault="008673C7" w:rsidP="00CE1285">
      <w:pPr>
        <w:jc w:val="both"/>
        <w:rPr>
          <w:rFonts w:ascii="Arial" w:hAnsi="Arial" w:cs="Arial"/>
          <w:sz w:val="24"/>
          <w:szCs w:val="24"/>
        </w:rPr>
      </w:pPr>
      <w:r>
        <w:rPr>
          <w:rFonts w:ascii="Arial" w:hAnsi="Arial" w:cs="Arial"/>
          <w:sz w:val="24"/>
          <w:szCs w:val="24"/>
        </w:rPr>
        <w:t xml:space="preserve">Como se enuncio anteriormente, en el país el 38% de las empresas desaparecen en su primer año y al cabo de 5 años solo sobrevive el 34% de las empresas creadas. Los factores financieros y de escalamiento influyen </w:t>
      </w:r>
      <w:r w:rsidR="00292734">
        <w:rPr>
          <w:rFonts w:ascii="Arial" w:hAnsi="Arial" w:cs="Arial"/>
          <w:sz w:val="24"/>
          <w:szCs w:val="24"/>
        </w:rPr>
        <w:t>en las tasas de supervivencia de las compañías.</w:t>
      </w:r>
    </w:p>
    <w:p w14:paraId="1C1DA1D7" w14:textId="5CA4B5B3" w:rsidR="00292734" w:rsidRDefault="00292734" w:rsidP="00CE1285">
      <w:pPr>
        <w:jc w:val="both"/>
        <w:rPr>
          <w:rFonts w:ascii="Arial" w:hAnsi="Arial" w:cs="Arial"/>
          <w:sz w:val="24"/>
          <w:szCs w:val="24"/>
        </w:rPr>
      </w:pPr>
      <w:r>
        <w:rPr>
          <w:rFonts w:ascii="Arial" w:hAnsi="Arial" w:cs="Arial"/>
          <w:sz w:val="24"/>
          <w:szCs w:val="24"/>
        </w:rPr>
        <w:t>Es así como según el Global Entrepreneurship Monitor (2018-2019) a</w:t>
      </w:r>
      <w:r w:rsidR="00DD33EE">
        <w:rPr>
          <w:rFonts w:ascii="Arial" w:hAnsi="Arial" w:cs="Arial"/>
          <w:sz w:val="24"/>
          <w:szCs w:val="24"/>
        </w:rPr>
        <w:t>l</w:t>
      </w:r>
      <w:r>
        <w:rPr>
          <w:rFonts w:ascii="Arial" w:hAnsi="Arial" w:cs="Arial"/>
          <w:sz w:val="24"/>
          <w:szCs w:val="24"/>
        </w:rPr>
        <w:t xml:space="preserve"> evaluar las condiciones para el emprendimiento de 54 </w:t>
      </w:r>
      <w:r w:rsidR="0033002D">
        <w:rPr>
          <w:rFonts w:ascii="Arial" w:hAnsi="Arial" w:cs="Arial"/>
          <w:sz w:val="24"/>
          <w:szCs w:val="24"/>
        </w:rPr>
        <w:t>países</w:t>
      </w:r>
      <w:r>
        <w:rPr>
          <w:rFonts w:ascii="Arial" w:hAnsi="Arial" w:cs="Arial"/>
          <w:sz w:val="24"/>
          <w:szCs w:val="24"/>
        </w:rPr>
        <w:t xml:space="preserve">, posiciona a Colombia con unas condiciones </w:t>
      </w:r>
      <w:r w:rsidR="00EE20BC">
        <w:rPr>
          <w:rFonts w:ascii="Arial" w:hAnsi="Arial" w:cs="Arial"/>
          <w:sz w:val="24"/>
          <w:szCs w:val="24"/>
        </w:rPr>
        <w:t>más</w:t>
      </w:r>
      <w:r>
        <w:rPr>
          <w:rFonts w:ascii="Arial" w:hAnsi="Arial" w:cs="Arial"/>
          <w:sz w:val="24"/>
          <w:szCs w:val="24"/>
        </w:rPr>
        <w:t xml:space="preserve"> desfavorables de las que tienen países comparables de la región como Argentina, </w:t>
      </w:r>
      <w:r w:rsidR="0033002D">
        <w:rPr>
          <w:rFonts w:ascii="Arial" w:hAnsi="Arial" w:cs="Arial"/>
          <w:sz w:val="24"/>
          <w:szCs w:val="24"/>
        </w:rPr>
        <w:t>México</w:t>
      </w:r>
      <w:r>
        <w:rPr>
          <w:rFonts w:ascii="Arial" w:hAnsi="Arial" w:cs="Arial"/>
          <w:sz w:val="24"/>
          <w:szCs w:val="24"/>
        </w:rPr>
        <w:t xml:space="preserve"> y Chile. Particularmente en el pilar de financiamiento para emprendimientos, otros países de la región cuentan con condiciones </w:t>
      </w:r>
      <w:r w:rsidR="00EE20BC">
        <w:rPr>
          <w:rFonts w:ascii="Arial" w:hAnsi="Arial" w:cs="Arial"/>
          <w:sz w:val="24"/>
          <w:szCs w:val="24"/>
        </w:rPr>
        <w:t>más</w:t>
      </w:r>
      <w:r>
        <w:rPr>
          <w:rFonts w:ascii="Arial" w:hAnsi="Arial" w:cs="Arial"/>
          <w:sz w:val="24"/>
          <w:szCs w:val="24"/>
        </w:rPr>
        <w:t xml:space="preserve"> favorables como Brasil, Chile, </w:t>
      </w:r>
      <w:r w:rsidR="0033002D">
        <w:rPr>
          <w:rFonts w:ascii="Arial" w:hAnsi="Arial" w:cs="Arial"/>
          <w:sz w:val="24"/>
          <w:szCs w:val="24"/>
        </w:rPr>
        <w:t>México</w:t>
      </w:r>
      <w:r>
        <w:rPr>
          <w:rFonts w:ascii="Arial" w:hAnsi="Arial" w:cs="Arial"/>
          <w:sz w:val="24"/>
          <w:szCs w:val="24"/>
        </w:rPr>
        <w:t xml:space="preserve">, </w:t>
      </w:r>
      <w:r w:rsidR="0033002D">
        <w:rPr>
          <w:rFonts w:ascii="Arial" w:hAnsi="Arial" w:cs="Arial"/>
          <w:sz w:val="24"/>
          <w:szCs w:val="24"/>
        </w:rPr>
        <w:t>Perú</w:t>
      </w:r>
      <w:r>
        <w:rPr>
          <w:rFonts w:ascii="Arial" w:hAnsi="Arial" w:cs="Arial"/>
          <w:sz w:val="24"/>
          <w:szCs w:val="24"/>
        </w:rPr>
        <w:t xml:space="preserve"> y Uruguay</w:t>
      </w:r>
      <w:r w:rsidR="0033002D">
        <w:rPr>
          <w:rFonts w:ascii="Arial" w:hAnsi="Arial" w:cs="Arial"/>
          <w:sz w:val="24"/>
          <w:szCs w:val="24"/>
        </w:rPr>
        <w:t>.</w:t>
      </w:r>
    </w:p>
    <w:p w14:paraId="7F3AC223" w14:textId="36C165AF" w:rsidR="0033002D" w:rsidRDefault="0033002D" w:rsidP="00CE1285">
      <w:pPr>
        <w:jc w:val="both"/>
        <w:rPr>
          <w:rFonts w:ascii="Arial" w:hAnsi="Arial" w:cs="Arial"/>
          <w:sz w:val="24"/>
          <w:szCs w:val="24"/>
        </w:rPr>
      </w:pPr>
      <w:r w:rsidRPr="0033002D">
        <w:rPr>
          <w:rFonts w:ascii="Arial" w:hAnsi="Arial" w:cs="Arial"/>
          <w:sz w:val="24"/>
          <w:szCs w:val="24"/>
        </w:rPr>
        <w:t>De otra parte, en lo que respecta a financiamiento para Pymes, conforme al Global Competitiveness Report 2019 elaborado por el Foro Económico Mundial, el país ocupa la posición 73 entre 141 economías, superado por países de la región como Chile (47/141)</w:t>
      </w:r>
      <w:r w:rsidR="009742B9">
        <w:rPr>
          <w:rFonts w:ascii="Arial" w:hAnsi="Arial" w:cs="Arial"/>
          <w:sz w:val="24"/>
          <w:szCs w:val="24"/>
        </w:rPr>
        <w:t>, Uruguay (57/141), Panamá (44/</w:t>
      </w:r>
      <w:r w:rsidRPr="0033002D">
        <w:rPr>
          <w:rFonts w:ascii="Arial" w:hAnsi="Arial" w:cs="Arial"/>
          <w:sz w:val="24"/>
          <w:szCs w:val="24"/>
        </w:rPr>
        <w:t>14</w:t>
      </w:r>
      <w:r w:rsidR="009742B9">
        <w:rPr>
          <w:rFonts w:ascii="Arial" w:hAnsi="Arial" w:cs="Arial"/>
          <w:sz w:val="24"/>
          <w:szCs w:val="24"/>
        </w:rPr>
        <w:t>1</w:t>
      </w:r>
      <w:r w:rsidRPr="0033002D">
        <w:rPr>
          <w:rFonts w:ascii="Arial" w:hAnsi="Arial" w:cs="Arial"/>
          <w:sz w:val="24"/>
          <w:szCs w:val="24"/>
        </w:rPr>
        <w:t xml:space="preserve">) y </w:t>
      </w:r>
      <w:r w:rsidR="009742B9">
        <w:rPr>
          <w:rFonts w:ascii="Arial" w:hAnsi="Arial" w:cs="Arial"/>
          <w:sz w:val="24"/>
          <w:szCs w:val="24"/>
        </w:rPr>
        <w:t>Paraguay (67/</w:t>
      </w:r>
      <w:r w:rsidRPr="00DD33EE">
        <w:rPr>
          <w:rFonts w:ascii="Arial" w:hAnsi="Arial" w:cs="Arial"/>
          <w:sz w:val="24"/>
          <w:szCs w:val="24"/>
        </w:rPr>
        <w:t>14</w:t>
      </w:r>
      <w:r w:rsidR="009742B9">
        <w:rPr>
          <w:rFonts w:ascii="Arial" w:hAnsi="Arial" w:cs="Arial"/>
          <w:sz w:val="24"/>
          <w:szCs w:val="24"/>
        </w:rPr>
        <w:t>1</w:t>
      </w:r>
      <w:r w:rsidRPr="00DD33EE">
        <w:rPr>
          <w:rFonts w:ascii="Arial" w:hAnsi="Arial" w:cs="Arial"/>
          <w:sz w:val="24"/>
          <w:szCs w:val="24"/>
        </w:rPr>
        <w:t>).</w:t>
      </w:r>
    </w:p>
    <w:p w14:paraId="36DDD027" w14:textId="4889D9A7" w:rsidR="00DD33EE" w:rsidRDefault="00DD33EE" w:rsidP="00CE1285">
      <w:pPr>
        <w:jc w:val="both"/>
        <w:rPr>
          <w:rFonts w:ascii="Arial" w:hAnsi="Arial" w:cs="Arial"/>
          <w:sz w:val="24"/>
          <w:szCs w:val="24"/>
        </w:rPr>
      </w:pPr>
      <w:r>
        <w:rPr>
          <w:rFonts w:ascii="Arial" w:hAnsi="Arial" w:cs="Arial"/>
          <w:sz w:val="24"/>
          <w:szCs w:val="24"/>
        </w:rPr>
        <w:t xml:space="preserve">Con los limites propuestos en el presente proyecto para las inversiones en FCP nacionales y extranjeros para los diferentes FPO, y suponiendo que los ajustes en estos </w:t>
      </w:r>
      <w:r w:rsidR="00EE20BC">
        <w:rPr>
          <w:rFonts w:ascii="Arial" w:hAnsi="Arial" w:cs="Arial"/>
          <w:sz w:val="24"/>
          <w:szCs w:val="24"/>
        </w:rPr>
        <w:t>límites</w:t>
      </w:r>
      <w:r>
        <w:rPr>
          <w:rFonts w:ascii="Arial" w:hAnsi="Arial" w:cs="Arial"/>
          <w:sz w:val="24"/>
          <w:szCs w:val="24"/>
        </w:rPr>
        <w:t xml:space="preserve"> se dieran de forma inmediata (análisis que se hace en forma hipotética, ya que en el </w:t>
      </w:r>
      <w:r w:rsidR="00CF123D">
        <w:rPr>
          <w:rFonts w:ascii="Arial" w:hAnsi="Arial" w:cs="Arial"/>
          <w:sz w:val="24"/>
          <w:szCs w:val="24"/>
        </w:rPr>
        <w:t xml:space="preserve">articulado del proyecto se establece un régimen de transición para el ajuste a los nuevos </w:t>
      </w:r>
      <w:r w:rsidR="00EE20BC">
        <w:rPr>
          <w:rFonts w:ascii="Arial" w:hAnsi="Arial" w:cs="Arial"/>
          <w:sz w:val="24"/>
          <w:szCs w:val="24"/>
        </w:rPr>
        <w:t>límites</w:t>
      </w:r>
      <w:r w:rsidR="00CF123D">
        <w:rPr>
          <w:rFonts w:ascii="Arial" w:hAnsi="Arial" w:cs="Arial"/>
          <w:sz w:val="24"/>
          <w:szCs w:val="24"/>
        </w:rPr>
        <w:t xml:space="preserve"> de hasta 2 años a partir de entrada en vigencia de la ley, prorrogable por la Superintendencia Financiera de Colombia, previas justificaciones), y suponiendo que el excedente de los limites invertidos en los FCP extranjeros se asignan a los FCP nacionales, estos últimos tendrían una inyección de COP$ 7.6 billones de pesos, alcanzando COP$ 9.9 billones (si se suman a los recursos asignados a dic-19).</w:t>
      </w:r>
    </w:p>
    <w:p w14:paraId="10BD6190" w14:textId="77777777" w:rsidR="00CF123D" w:rsidRDefault="00CF123D" w:rsidP="00CE1285">
      <w:pPr>
        <w:jc w:val="both"/>
        <w:rPr>
          <w:rFonts w:ascii="Arial" w:hAnsi="Arial" w:cs="Arial"/>
          <w:sz w:val="24"/>
          <w:szCs w:val="24"/>
        </w:rPr>
      </w:pPr>
    </w:p>
    <w:p w14:paraId="41B8B9FA" w14:textId="3ADC6DC2" w:rsidR="00DD33EE" w:rsidRDefault="00CF123D" w:rsidP="00CE1285">
      <w:pPr>
        <w:jc w:val="both"/>
        <w:rPr>
          <w:rFonts w:ascii="Arial" w:hAnsi="Arial" w:cs="Arial"/>
          <w:sz w:val="24"/>
          <w:szCs w:val="24"/>
        </w:rPr>
      </w:pPr>
      <w:r>
        <w:rPr>
          <w:rFonts w:ascii="Arial" w:hAnsi="Arial" w:cs="Arial"/>
          <w:sz w:val="24"/>
          <w:szCs w:val="24"/>
        </w:rPr>
        <w:t>(COP$ Millones)</w:t>
      </w:r>
    </w:p>
    <w:p w14:paraId="7613B441" w14:textId="4909DDA6" w:rsidR="00DD33EE" w:rsidRDefault="00DD33EE" w:rsidP="00CE1285">
      <w:pPr>
        <w:jc w:val="both"/>
        <w:rPr>
          <w:rFonts w:ascii="Arial" w:hAnsi="Arial" w:cs="Arial"/>
          <w:sz w:val="24"/>
          <w:szCs w:val="24"/>
        </w:rPr>
      </w:pPr>
      <w:r w:rsidRPr="00DD33EE">
        <w:rPr>
          <w:noProof/>
          <w:lang w:eastAsia="es-CO"/>
        </w:rPr>
        <w:drawing>
          <wp:inline distT="0" distB="0" distL="0" distR="0" wp14:anchorId="69E5DB43" wp14:editId="3CD6275D">
            <wp:extent cx="5612130" cy="1618615"/>
            <wp:effectExtent l="0" t="0" r="762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1618615"/>
                    </a:xfrm>
                    <a:prstGeom prst="rect">
                      <a:avLst/>
                    </a:prstGeom>
                    <a:noFill/>
                    <a:ln>
                      <a:noFill/>
                    </a:ln>
                  </pic:spPr>
                </pic:pic>
              </a:graphicData>
            </a:graphic>
          </wp:inline>
        </w:drawing>
      </w:r>
    </w:p>
    <w:p w14:paraId="5CE242D0" w14:textId="6F2A13C8" w:rsidR="00DD33EE" w:rsidRDefault="00DD33EE" w:rsidP="00CE1285">
      <w:pPr>
        <w:jc w:val="both"/>
        <w:rPr>
          <w:rFonts w:ascii="Arial" w:hAnsi="Arial" w:cs="Arial"/>
          <w:sz w:val="24"/>
          <w:szCs w:val="24"/>
        </w:rPr>
      </w:pPr>
    </w:p>
    <w:p w14:paraId="3691D3B7" w14:textId="4C85AF63" w:rsidR="00BE4932" w:rsidRDefault="00BE4932" w:rsidP="00CE1285">
      <w:pPr>
        <w:jc w:val="both"/>
        <w:rPr>
          <w:rFonts w:ascii="Arial" w:hAnsi="Arial" w:cs="Arial"/>
          <w:sz w:val="24"/>
          <w:szCs w:val="24"/>
        </w:rPr>
      </w:pPr>
      <w:r>
        <w:rPr>
          <w:rFonts w:ascii="Arial" w:hAnsi="Arial" w:cs="Arial"/>
          <w:sz w:val="24"/>
          <w:szCs w:val="24"/>
        </w:rPr>
        <w:t xml:space="preserve">4.5. </w:t>
      </w:r>
      <w:r w:rsidR="006A62E9">
        <w:rPr>
          <w:rFonts w:ascii="Arial" w:hAnsi="Arial" w:cs="Arial"/>
          <w:sz w:val="24"/>
          <w:szCs w:val="24"/>
        </w:rPr>
        <w:t>Diversificación de las inversiones de los FPO.</w:t>
      </w:r>
    </w:p>
    <w:p w14:paraId="3FA64188" w14:textId="12828450" w:rsidR="0081601C" w:rsidRDefault="006D6294" w:rsidP="00CE1285">
      <w:pPr>
        <w:jc w:val="both"/>
        <w:rPr>
          <w:rFonts w:ascii="Arial" w:hAnsi="Arial" w:cs="Arial"/>
          <w:sz w:val="24"/>
          <w:szCs w:val="24"/>
        </w:rPr>
      </w:pPr>
      <w:r>
        <w:rPr>
          <w:rFonts w:ascii="Arial" w:hAnsi="Arial" w:cs="Arial"/>
          <w:sz w:val="24"/>
          <w:szCs w:val="24"/>
        </w:rPr>
        <w:t xml:space="preserve">Como se puede observar en la tabla del apartado 4.4, el 8.6% del portafolio moderado, equivalente a COP$ 18.2 billones de pesos, se encuentra invertido en fondos del exterior a dic-19, y tan solo el 1.1% en fondos nacionales, equivalente a COP$ 2.2 billones de pesos. </w:t>
      </w:r>
    </w:p>
    <w:p w14:paraId="341ABE77" w14:textId="58386131" w:rsidR="006D6294" w:rsidRDefault="00AC48EC" w:rsidP="00CE1285">
      <w:pPr>
        <w:jc w:val="both"/>
        <w:rPr>
          <w:rFonts w:ascii="Arial" w:hAnsi="Arial" w:cs="Arial"/>
          <w:sz w:val="24"/>
          <w:szCs w:val="24"/>
        </w:rPr>
      </w:pPr>
      <w:r>
        <w:rPr>
          <w:rFonts w:ascii="Arial" w:hAnsi="Arial" w:cs="Arial"/>
          <w:sz w:val="24"/>
          <w:szCs w:val="24"/>
        </w:rPr>
        <w:t xml:space="preserve">Considerando que el </w:t>
      </w:r>
      <w:r w:rsidR="00EE20BC">
        <w:rPr>
          <w:rFonts w:ascii="Arial" w:hAnsi="Arial" w:cs="Arial"/>
          <w:sz w:val="24"/>
          <w:szCs w:val="24"/>
        </w:rPr>
        <w:t>límite</w:t>
      </w:r>
      <w:r>
        <w:rPr>
          <w:rFonts w:ascii="Arial" w:hAnsi="Arial" w:cs="Arial"/>
          <w:sz w:val="24"/>
          <w:szCs w:val="24"/>
        </w:rPr>
        <w:t xml:space="preserve"> actual para invertir en FCP nacionales y extranjeros combinado es del 10%, se puede decir que estas inversiones presentan una sobre exposición</w:t>
      </w:r>
      <w:r w:rsidR="00472FB1">
        <w:rPr>
          <w:rFonts w:ascii="Arial" w:hAnsi="Arial" w:cs="Arial"/>
          <w:sz w:val="24"/>
          <w:szCs w:val="24"/>
        </w:rPr>
        <w:t xml:space="preserve"> a los mercados internacionales, y muy particularmente tendrían una sobre exposición al riesgo cambiario, entre otros. Por lo anterior, se considera que el establecimiento de unos </w:t>
      </w:r>
      <w:r w:rsidR="00EE20BC">
        <w:rPr>
          <w:rFonts w:ascii="Arial" w:hAnsi="Arial" w:cs="Arial"/>
          <w:sz w:val="24"/>
          <w:szCs w:val="24"/>
        </w:rPr>
        <w:t>límites</w:t>
      </w:r>
      <w:r w:rsidR="00472FB1">
        <w:rPr>
          <w:rFonts w:ascii="Arial" w:hAnsi="Arial" w:cs="Arial"/>
          <w:sz w:val="24"/>
          <w:szCs w:val="24"/>
        </w:rPr>
        <w:t xml:space="preserve"> equitativos entre inversiones en FCP nacionales y extranjeros, contribuye a una mayor diversificación</w:t>
      </w:r>
      <w:r w:rsidR="00472FB1">
        <w:rPr>
          <w:rStyle w:val="Refdenotaalpie"/>
          <w:rFonts w:ascii="Arial" w:hAnsi="Arial" w:cs="Arial"/>
          <w:sz w:val="24"/>
          <w:szCs w:val="24"/>
        </w:rPr>
        <w:footnoteReference w:id="14"/>
      </w:r>
      <w:r w:rsidR="00472FB1">
        <w:rPr>
          <w:rFonts w:ascii="Arial" w:hAnsi="Arial" w:cs="Arial"/>
          <w:sz w:val="24"/>
          <w:szCs w:val="24"/>
        </w:rPr>
        <w:t>.</w:t>
      </w:r>
    </w:p>
    <w:p w14:paraId="6FB0B630" w14:textId="694A4140" w:rsidR="00472FB1" w:rsidRDefault="00472FB1" w:rsidP="00CE1285">
      <w:pPr>
        <w:jc w:val="both"/>
        <w:rPr>
          <w:rFonts w:ascii="Arial" w:hAnsi="Arial" w:cs="Arial"/>
          <w:sz w:val="24"/>
          <w:szCs w:val="24"/>
        </w:rPr>
      </w:pPr>
    </w:p>
    <w:p w14:paraId="60B63127" w14:textId="77777777" w:rsidR="00472FB1" w:rsidRDefault="00472FB1" w:rsidP="00CE1285">
      <w:pPr>
        <w:jc w:val="both"/>
        <w:rPr>
          <w:rFonts w:ascii="Arial" w:hAnsi="Arial" w:cs="Arial"/>
          <w:sz w:val="24"/>
          <w:szCs w:val="24"/>
        </w:rPr>
      </w:pPr>
    </w:p>
    <w:p w14:paraId="19B60E7A" w14:textId="77777777" w:rsidR="0081601C" w:rsidRDefault="0081601C" w:rsidP="00CE1285">
      <w:pPr>
        <w:jc w:val="both"/>
        <w:rPr>
          <w:rFonts w:ascii="Arial" w:hAnsi="Arial" w:cs="Arial"/>
          <w:sz w:val="24"/>
          <w:szCs w:val="24"/>
        </w:rPr>
      </w:pPr>
    </w:p>
    <w:p w14:paraId="77AF9C80" w14:textId="77777777" w:rsidR="00BE4932" w:rsidRDefault="00BE4932" w:rsidP="00CE1285">
      <w:pPr>
        <w:jc w:val="both"/>
        <w:rPr>
          <w:rFonts w:ascii="Arial" w:hAnsi="Arial" w:cs="Arial"/>
          <w:sz w:val="24"/>
          <w:szCs w:val="24"/>
        </w:rPr>
      </w:pPr>
    </w:p>
    <w:p w14:paraId="08472E2F" w14:textId="77777777" w:rsidR="000E58CC" w:rsidRPr="00CE1285" w:rsidRDefault="000E58CC" w:rsidP="00CE1285">
      <w:pPr>
        <w:jc w:val="both"/>
        <w:rPr>
          <w:rFonts w:ascii="Arial" w:hAnsi="Arial" w:cs="Arial"/>
          <w:sz w:val="24"/>
          <w:szCs w:val="24"/>
        </w:rPr>
      </w:pPr>
    </w:p>
    <w:p w14:paraId="5EA635C8" w14:textId="3839D30E" w:rsidR="00DB686A" w:rsidRPr="007C6A99" w:rsidRDefault="00DB686A" w:rsidP="00DB686A">
      <w:pPr>
        <w:jc w:val="center"/>
        <w:rPr>
          <w:rFonts w:ascii="Arial" w:hAnsi="Arial" w:cs="Arial"/>
          <w:sz w:val="24"/>
          <w:szCs w:val="24"/>
          <w:lang w:val="es-ES"/>
        </w:rPr>
      </w:pPr>
    </w:p>
    <w:p w14:paraId="6FF2D53C" w14:textId="77777777" w:rsidR="00DB686A" w:rsidRDefault="00DB686A" w:rsidP="00DB686A">
      <w:pPr>
        <w:pStyle w:val="Prrafodelista"/>
        <w:ind w:left="1080"/>
        <w:jc w:val="both"/>
        <w:rPr>
          <w:rFonts w:ascii="Arial" w:hAnsi="Arial" w:cs="Arial"/>
          <w:b/>
          <w:sz w:val="24"/>
          <w:szCs w:val="24"/>
        </w:rPr>
      </w:pPr>
    </w:p>
    <w:p w14:paraId="4A5B3AC5" w14:textId="77777777" w:rsidR="00DB686A" w:rsidRDefault="00DB686A" w:rsidP="00DD191A">
      <w:pPr>
        <w:pStyle w:val="Prrafodelista"/>
        <w:numPr>
          <w:ilvl w:val="0"/>
          <w:numId w:val="8"/>
        </w:numPr>
        <w:jc w:val="both"/>
        <w:rPr>
          <w:rFonts w:ascii="Arial" w:hAnsi="Arial" w:cs="Arial"/>
          <w:b/>
          <w:sz w:val="24"/>
          <w:szCs w:val="24"/>
        </w:rPr>
      </w:pPr>
      <w:r>
        <w:rPr>
          <w:rFonts w:ascii="Arial" w:hAnsi="Arial" w:cs="Arial"/>
          <w:b/>
          <w:sz w:val="24"/>
          <w:szCs w:val="24"/>
        </w:rPr>
        <w:t>Contenido del proyecto de ley.</w:t>
      </w:r>
    </w:p>
    <w:p w14:paraId="59B3912E" w14:textId="5DB9C356" w:rsidR="00DB686A" w:rsidRDefault="00351AA0" w:rsidP="00DB686A">
      <w:pPr>
        <w:jc w:val="both"/>
        <w:rPr>
          <w:rFonts w:ascii="Arial" w:hAnsi="Arial" w:cs="Arial"/>
          <w:sz w:val="24"/>
          <w:szCs w:val="24"/>
        </w:rPr>
      </w:pPr>
      <w:r>
        <w:rPr>
          <w:rFonts w:ascii="Arial" w:hAnsi="Arial" w:cs="Arial"/>
          <w:sz w:val="24"/>
          <w:szCs w:val="24"/>
        </w:rPr>
        <w:t>La presente iniciativa consta de 9 artículos.</w:t>
      </w:r>
    </w:p>
    <w:p w14:paraId="7CF53A05" w14:textId="1D85E1C6" w:rsidR="006E0C14" w:rsidRDefault="006E0C14" w:rsidP="00DB686A">
      <w:pPr>
        <w:jc w:val="both"/>
        <w:rPr>
          <w:rFonts w:ascii="Arial" w:hAnsi="Arial" w:cs="Arial"/>
          <w:sz w:val="24"/>
          <w:szCs w:val="24"/>
        </w:rPr>
      </w:pPr>
      <w:r>
        <w:rPr>
          <w:rFonts w:ascii="Arial" w:hAnsi="Arial" w:cs="Arial"/>
          <w:sz w:val="24"/>
          <w:szCs w:val="24"/>
        </w:rPr>
        <w:t xml:space="preserve">El artículo 1° trata sobre el objetivo de la ley que corresponde al de incentivar el </w:t>
      </w:r>
      <w:r w:rsidRPr="00255F8E">
        <w:rPr>
          <w:rFonts w:ascii="Arial" w:hAnsi="Arial" w:cs="Arial"/>
          <w:sz w:val="24"/>
          <w:szCs w:val="24"/>
        </w:rPr>
        <w:t>emprendimiento y escalamiento de la micro, peque</w:t>
      </w:r>
      <w:r>
        <w:rPr>
          <w:rFonts w:ascii="Arial" w:hAnsi="Arial" w:cs="Arial"/>
          <w:sz w:val="24"/>
          <w:szCs w:val="24"/>
        </w:rPr>
        <w:t>ña y mediana empresa en el país, a través del fortalecimiento de los fondos de capital privado nacionales.</w:t>
      </w:r>
    </w:p>
    <w:p w14:paraId="34333B5A" w14:textId="769F3434" w:rsidR="006E0C14" w:rsidRDefault="006E0C14" w:rsidP="00DB686A">
      <w:pPr>
        <w:jc w:val="both"/>
        <w:rPr>
          <w:rFonts w:ascii="Arial" w:hAnsi="Arial" w:cs="Arial"/>
          <w:sz w:val="24"/>
          <w:szCs w:val="24"/>
        </w:rPr>
      </w:pPr>
      <w:r>
        <w:rPr>
          <w:rFonts w:ascii="Arial" w:hAnsi="Arial" w:cs="Arial"/>
          <w:sz w:val="24"/>
          <w:szCs w:val="24"/>
        </w:rPr>
        <w:t>El artículo 2°, ámbito de aplicación, señala que las disposiciones contenidas en esta, aplicaran en todo el territorio nacional.</w:t>
      </w:r>
    </w:p>
    <w:p w14:paraId="18025F87" w14:textId="10AECB26" w:rsidR="00351AA0" w:rsidRDefault="00351AA0" w:rsidP="00DB686A">
      <w:pPr>
        <w:jc w:val="both"/>
        <w:rPr>
          <w:rFonts w:ascii="Arial" w:hAnsi="Arial" w:cs="Arial"/>
          <w:sz w:val="24"/>
          <w:szCs w:val="24"/>
        </w:rPr>
      </w:pPr>
      <w:r>
        <w:rPr>
          <w:rFonts w:ascii="Arial" w:hAnsi="Arial" w:cs="Arial"/>
          <w:sz w:val="24"/>
          <w:szCs w:val="24"/>
        </w:rPr>
        <w:t xml:space="preserve">El </w:t>
      </w:r>
      <w:r w:rsidR="00E16826">
        <w:rPr>
          <w:rFonts w:ascii="Arial" w:hAnsi="Arial" w:cs="Arial"/>
          <w:sz w:val="24"/>
          <w:szCs w:val="24"/>
        </w:rPr>
        <w:t>artículo</w:t>
      </w:r>
      <w:r>
        <w:rPr>
          <w:rFonts w:ascii="Arial" w:hAnsi="Arial" w:cs="Arial"/>
          <w:sz w:val="24"/>
          <w:szCs w:val="24"/>
        </w:rPr>
        <w:t xml:space="preserve"> 3º, trata sobre</w:t>
      </w:r>
      <w:r w:rsidR="006E0C14">
        <w:rPr>
          <w:rFonts w:ascii="Arial" w:hAnsi="Arial" w:cs="Arial"/>
          <w:sz w:val="24"/>
          <w:szCs w:val="24"/>
        </w:rPr>
        <w:t xml:space="preserve"> las inversiones admisibles en los fondos de pensiones obligatorias y cesantía, haciendo relación directa a los fondos de capital privados nacionales y aquellos constituidos en el exterior. El presente artículo se complementa con el de “Reglamentación”, que establece que el Gobierno Nacional reglamentara las condiciones que deberán cumplir los FCP de los que trata este artículo y los demás activos admisibles.</w:t>
      </w:r>
    </w:p>
    <w:p w14:paraId="07E47138" w14:textId="23CE087F" w:rsidR="00351AA0" w:rsidRDefault="00351AA0" w:rsidP="00DB686A">
      <w:pPr>
        <w:jc w:val="both"/>
        <w:rPr>
          <w:rFonts w:ascii="Arial" w:hAnsi="Arial" w:cs="Arial"/>
          <w:sz w:val="24"/>
          <w:szCs w:val="24"/>
        </w:rPr>
      </w:pPr>
      <w:r>
        <w:rPr>
          <w:rFonts w:ascii="Arial" w:hAnsi="Arial" w:cs="Arial"/>
          <w:sz w:val="24"/>
          <w:szCs w:val="24"/>
        </w:rPr>
        <w:t xml:space="preserve">Los </w:t>
      </w:r>
      <w:r w:rsidR="00E16826">
        <w:rPr>
          <w:rFonts w:ascii="Arial" w:hAnsi="Arial" w:cs="Arial"/>
          <w:sz w:val="24"/>
          <w:szCs w:val="24"/>
        </w:rPr>
        <w:t>artículos</w:t>
      </w:r>
      <w:r>
        <w:rPr>
          <w:rFonts w:ascii="Arial" w:hAnsi="Arial" w:cs="Arial"/>
          <w:sz w:val="24"/>
          <w:szCs w:val="24"/>
        </w:rPr>
        <w:t xml:space="preserve"> 4º, 5º y 6º tratan sobre </w:t>
      </w:r>
      <w:r w:rsidR="006E0C14">
        <w:rPr>
          <w:rFonts w:ascii="Arial" w:hAnsi="Arial" w:cs="Arial"/>
          <w:sz w:val="24"/>
          <w:szCs w:val="24"/>
        </w:rPr>
        <w:t xml:space="preserve">los </w:t>
      </w:r>
      <w:r w:rsidR="00873166">
        <w:rPr>
          <w:rFonts w:ascii="Arial" w:hAnsi="Arial" w:cs="Arial"/>
          <w:sz w:val="24"/>
          <w:szCs w:val="24"/>
        </w:rPr>
        <w:t>límites</w:t>
      </w:r>
      <w:r w:rsidR="006E0C14">
        <w:rPr>
          <w:rFonts w:ascii="Arial" w:hAnsi="Arial" w:cs="Arial"/>
          <w:sz w:val="24"/>
          <w:szCs w:val="24"/>
        </w:rPr>
        <w:t xml:space="preserve"> de inversión para los FPO moderados, de mayor riesgo y el fondo especial de retiro programado, creando de manera separada</w:t>
      </w:r>
      <w:r w:rsidR="00873166">
        <w:rPr>
          <w:rFonts w:ascii="Arial" w:hAnsi="Arial" w:cs="Arial"/>
          <w:sz w:val="24"/>
          <w:szCs w:val="24"/>
        </w:rPr>
        <w:t xml:space="preserve">, límites para cada uno de los FCP de que trata la iniciativa: un límite para los FCP nacionales y otro para los FCP extranjeros. </w:t>
      </w:r>
    </w:p>
    <w:p w14:paraId="21891A98" w14:textId="5EDDD58F" w:rsidR="00873166" w:rsidRDefault="00873166" w:rsidP="00DB686A">
      <w:pPr>
        <w:jc w:val="both"/>
        <w:rPr>
          <w:rFonts w:ascii="Arial" w:hAnsi="Arial" w:cs="Arial"/>
          <w:sz w:val="24"/>
          <w:szCs w:val="24"/>
        </w:rPr>
      </w:pPr>
      <w:r>
        <w:rPr>
          <w:rFonts w:ascii="Arial" w:hAnsi="Arial" w:cs="Arial"/>
          <w:sz w:val="24"/>
          <w:szCs w:val="24"/>
        </w:rPr>
        <w:t>Para el cómputo de cada uno de estos límites, se mantienen las condicione</w:t>
      </w:r>
      <w:r w:rsidR="00602437">
        <w:rPr>
          <w:rFonts w:ascii="Arial" w:hAnsi="Arial" w:cs="Arial"/>
          <w:sz w:val="24"/>
          <w:szCs w:val="24"/>
        </w:rPr>
        <w:t>s establecidas en la actualidad para los 3 FPO.</w:t>
      </w:r>
    </w:p>
    <w:p w14:paraId="6EAD1760" w14:textId="5AD3BB7D" w:rsidR="00602437" w:rsidRDefault="00602437" w:rsidP="00602437">
      <w:pPr>
        <w:jc w:val="both"/>
        <w:rPr>
          <w:rFonts w:ascii="Arial" w:hAnsi="Arial" w:cs="Arial"/>
          <w:sz w:val="24"/>
          <w:szCs w:val="24"/>
        </w:rPr>
      </w:pPr>
      <w:r>
        <w:rPr>
          <w:rFonts w:ascii="Arial" w:hAnsi="Arial" w:cs="Arial"/>
          <w:sz w:val="24"/>
          <w:szCs w:val="24"/>
        </w:rPr>
        <w:t>Suponiendo que los ajustes en estos límites se dieran de forma inmediata (análisis que se hace en forma hipotética, ya que en el articulado del proyecto se establece un régimen de transición para el ajuste a los nuevos límites de hasta 2 años a partir de entrada en vigencia de la ley, prorrogable por la Superintendencia Financiera de Colombia, previas justificaciones), y suponiendo que el excedente de los limites invertidos en los FCP extranjeros se asignan a los FCP nacionales, estos últimos tendrían una inyección de COP$ 7.6 billones de pesos, alcanzando COP$ 9.9 billones (si se suman a los recursos asignados a dic-19).</w:t>
      </w:r>
    </w:p>
    <w:p w14:paraId="4C115BE3" w14:textId="54009C3C" w:rsidR="00602437" w:rsidRDefault="00602437" w:rsidP="00602437">
      <w:pPr>
        <w:jc w:val="both"/>
        <w:rPr>
          <w:rFonts w:ascii="Arial" w:hAnsi="Arial" w:cs="Arial"/>
          <w:sz w:val="24"/>
          <w:szCs w:val="24"/>
        </w:rPr>
      </w:pPr>
      <w:r>
        <w:rPr>
          <w:rFonts w:ascii="Arial" w:hAnsi="Arial" w:cs="Arial"/>
          <w:sz w:val="24"/>
          <w:szCs w:val="24"/>
        </w:rPr>
        <w:t>Por su lado, los fondos de mayor riesgo y de retiro programado, a como están distribuidas las inversiones a dic-19, no se verían afectadas, dado que se encuentran cumpliendo con los limites propuestos.</w:t>
      </w:r>
    </w:p>
    <w:p w14:paraId="36768091" w14:textId="77777777" w:rsidR="00602437" w:rsidRDefault="00602437" w:rsidP="00602437">
      <w:pPr>
        <w:jc w:val="both"/>
        <w:rPr>
          <w:rFonts w:ascii="Arial" w:hAnsi="Arial" w:cs="Arial"/>
          <w:sz w:val="24"/>
          <w:szCs w:val="24"/>
        </w:rPr>
      </w:pPr>
    </w:p>
    <w:p w14:paraId="3CC1B1BF" w14:textId="77777777" w:rsidR="00602437" w:rsidRDefault="00602437" w:rsidP="00DB686A">
      <w:pPr>
        <w:jc w:val="both"/>
        <w:rPr>
          <w:rFonts w:ascii="Arial" w:hAnsi="Arial" w:cs="Arial"/>
          <w:sz w:val="24"/>
          <w:szCs w:val="24"/>
        </w:rPr>
      </w:pPr>
    </w:p>
    <w:p w14:paraId="529D792C" w14:textId="77777777" w:rsidR="00602437" w:rsidRDefault="00602437" w:rsidP="00602437">
      <w:pPr>
        <w:jc w:val="both"/>
        <w:rPr>
          <w:rFonts w:ascii="Arial" w:hAnsi="Arial" w:cs="Arial"/>
          <w:sz w:val="24"/>
          <w:szCs w:val="24"/>
        </w:rPr>
      </w:pPr>
      <w:r>
        <w:rPr>
          <w:rFonts w:ascii="Arial" w:hAnsi="Arial" w:cs="Arial"/>
          <w:sz w:val="24"/>
          <w:szCs w:val="24"/>
        </w:rPr>
        <w:t>(COP$ Millones)</w:t>
      </w:r>
    </w:p>
    <w:p w14:paraId="7E3E5BE1" w14:textId="77777777" w:rsidR="00602437" w:rsidRDefault="00602437" w:rsidP="00602437">
      <w:pPr>
        <w:jc w:val="both"/>
        <w:rPr>
          <w:rFonts w:ascii="Arial" w:hAnsi="Arial" w:cs="Arial"/>
          <w:sz w:val="24"/>
          <w:szCs w:val="24"/>
        </w:rPr>
      </w:pPr>
      <w:r w:rsidRPr="00DD33EE">
        <w:rPr>
          <w:noProof/>
          <w:lang w:eastAsia="es-CO"/>
        </w:rPr>
        <w:drawing>
          <wp:inline distT="0" distB="0" distL="0" distR="0" wp14:anchorId="7901AB80" wp14:editId="501D581E">
            <wp:extent cx="5612130" cy="1618615"/>
            <wp:effectExtent l="0" t="0" r="762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1618615"/>
                    </a:xfrm>
                    <a:prstGeom prst="rect">
                      <a:avLst/>
                    </a:prstGeom>
                    <a:noFill/>
                    <a:ln>
                      <a:noFill/>
                    </a:ln>
                  </pic:spPr>
                </pic:pic>
              </a:graphicData>
            </a:graphic>
          </wp:inline>
        </w:drawing>
      </w:r>
    </w:p>
    <w:p w14:paraId="3957D135" w14:textId="77777777" w:rsidR="00602437" w:rsidRDefault="00602437" w:rsidP="00602437">
      <w:pPr>
        <w:jc w:val="both"/>
        <w:rPr>
          <w:rFonts w:ascii="Arial" w:hAnsi="Arial" w:cs="Arial"/>
          <w:sz w:val="24"/>
          <w:szCs w:val="24"/>
        </w:rPr>
      </w:pPr>
    </w:p>
    <w:p w14:paraId="1E257CA1" w14:textId="0736CD32" w:rsidR="00707894" w:rsidRDefault="00707894" w:rsidP="00602437">
      <w:pPr>
        <w:jc w:val="both"/>
        <w:rPr>
          <w:rFonts w:ascii="Arial" w:hAnsi="Arial" w:cs="Arial"/>
          <w:sz w:val="24"/>
          <w:szCs w:val="24"/>
        </w:rPr>
      </w:pPr>
      <w:r>
        <w:rPr>
          <w:rFonts w:ascii="Arial" w:hAnsi="Arial" w:cs="Arial"/>
          <w:sz w:val="24"/>
          <w:szCs w:val="24"/>
        </w:rPr>
        <w:t xml:space="preserve">El </w:t>
      </w:r>
      <w:r w:rsidR="007E1C2E">
        <w:rPr>
          <w:rFonts w:ascii="Arial" w:hAnsi="Arial" w:cs="Arial"/>
          <w:sz w:val="24"/>
          <w:szCs w:val="24"/>
        </w:rPr>
        <w:t>artículo</w:t>
      </w:r>
      <w:r>
        <w:rPr>
          <w:rFonts w:ascii="Arial" w:hAnsi="Arial" w:cs="Arial"/>
          <w:sz w:val="24"/>
          <w:szCs w:val="24"/>
        </w:rPr>
        <w:t xml:space="preserve"> 7°</w:t>
      </w:r>
      <w:r w:rsidR="007E1C2E">
        <w:rPr>
          <w:rFonts w:ascii="Arial" w:hAnsi="Arial" w:cs="Arial"/>
          <w:sz w:val="24"/>
          <w:szCs w:val="24"/>
        </w:rPr>
        <w:t xml:space="preserve"> establece un régimen de transición para el cumplimiento de los límites de inversión de que trata el proyecto, siendo este como se enuncio anteriormente, de 2 años a partir de entrada en vigencia del proyecto, prorrogables por la Superfinanciera, previa justificación.</w:t>
      </w:r>
    </w:p>
    <w:p w14:paraId="65388982" w14:textId="5FB449BF" w:rsidR="007E1C2E" w:rsidRDefault="007E1C2E" w:rsidP="007E1C2E">
      <w:pPr>
        <w:jc w:val="both"/>
        <w:rPr>
          <w:rFonts w:ascii="Arial" w:hAnsi="Arial" w:cs="Arial"/>
          <w:sz w:val="24"/>
          <w:szCs w:val="24"/>
        </w:rPr>
      </w:pPr>
      <w:r>
        <w:rPr>
          <w:rFonts w:ascii="Arial" w:hAnsi="Arial" w:cs="Arial"/>
          <w:sz w:val="24"/>
          <w:szCs w:val="24"/>
        </w:rPr>
        <w:t>El artículo 8° establece que el gobierno nacional, reglamentara las características de los FCP de que trata la iniciativa, a fin de salvaguardar el valor de las inversiones, así como los demás asuntos, condiciones y límites relativos al régimen de inversión de los fondos de pensiones obligatorias y de cesantía y los otros activos admisibles.</w:t>
      </w:r>
    </w:p>
    <w:p w14:paraId="227E0DF6" w14:textId="67A84D50" w:rsidR="007E1C2E" w:rsidRPr="00DA5782" w:rsidRDefault="007E1C2E" w:rsidP="007E1C2E">
      <w:pPr>
        <w:jc w:val="both"/>
        <w:rPr>
          <w:rFonts w:ascii="Arial" w:hAnsi="Arial" w:cs="Arial"/>
          <w:sz w:val="24"/>
          <w:szCs w:val="24"/>
        </w:rPr>
      </w:pPr>
      <w:r>
        <w:rPr>
          <w:rFonts w:ascii="Arial" w:hAnsi="Arial" w:cs="Arial"/>
          <w:sz w:val="24"/>
          <w:szCs w:val="24"/>
        </w:rPr>
        <w:t>Finalmente el artículo 9° trata sobre la vigencia de la ley.</w:t>
      </w:r>
    </w:p>
    <w:p w14:paraId="5C6AAA6A" w14:textId="02B3B016" w:rsidR="007E1C2E" w:rsidRDefault="007E1C2E" w:rsidP="00602437">
      <w:pPr>
        <w:jc w:val="both"/>
        <w:rPr>
          <w:rFonts w:ascii="Arial" w:hAnsi="Arial" w:cs="Arial"/>
          <w:sz w:val="24"/>
          <w:szCs w:val="24"/>
        </w:rPr>
      </w:pPr>
    </w:p>
    <w:p w14:paraId="0A9A0AD0" w14:textId="77777777" w:rsidR="00602437" w:rsidRDefault="00602437" w:rsidP="00DB686A">
      <w:pPr>
        <w:jc w:val="both"/>
        <w:rPr>
          <w:rFonts w:ascii="Arial" w:hAnsi="Arial" w:cs="Arial"/>
          <w:sz w:val="24"/>
          <w:szCs w:val="24"/>
        </w:rPr>
      </w:pPr>
    </w:p>
    <w:p w14:paraId="62EB0E0A" w14:textId="77777777" w:rsidR="00602437" w:rsidRDefault="00602437" w:rsidP="00DB686A">
      <w:pPr>
        <w:jc w:val="both"/>
        <w:rPr>
          <w:rFonts w:ascii="Arial" w:hAnsi="Arial" w:cs="Arial"/>
          <w:sz w:val="24"/>
          <w:szCs w:val="24"/>
        </w:rPr>
      </w:pPr>
    </w:p>
    <w:p w14:paraId="3CB26E64" w14:textId="77777777" w:rsidR="00351AA0" w:rsidRDefault="00351AA0" w:rsidP="00DB686A">
      <w:pPr>
        <w:jc w:val="both"/>
        <w:rPr>
          <w:rFonts w:ascii="Arial" w:hAnsi="Arial" w:cs="Arial"/>
          <w:sz w:val="24"/>
          <w:szCs w:val="24"/>
        </w:rPr>
      </w:pPr>
    </w:p>
    <w:p w14:paraId="1088B203" w14:textId="77777777" w:rsidR="002060E4" w:rsidRDefault="002060E4" w:rsidP="002060E4">
      <w:pPr>
        <w:jc w:val="both"/>
        <w:rPr>
          <w:rFonts w:ascii="Arial" w:hAnsi="Arial" w:cs="Arial"/>
          <w:sz w:val="24"/>
          <w:szCs w:val="24"/>
        </w:rPr>
      </w:pPr>
    </w:p>
    <w:p w14:paraId="6721C686" w14:textId="77777777" w:rsidR="002060E4" w:rsidRDefault="002060E4" w:rsidP="002060E4">
      <w:pPr>
        <w:spacing w:after="0"/>
        <w:jc w:val="both"/>
        <w:rPr>
          <w:rFonts w:ascii="Arial" w:hAnsi="Arial" w:cs="Arial"/>
          <w:b/>
          <w:sz w:val="24"/>
          <w:szCs w:val="24"/>
        </w:rPr>
      </w:pPr>
      <w:r>
        <w:rPr>
          <w:rFonts w:ascii="Arial" w:hAnsi="Arial" w:cs="Arial"/>
          <w:b/>
          <w:sz w:val="24"/>
          <w:szCs w:val="24"/>
        </w:rPr>
        <w:t>ERASMO ELÍAS ZULETA BECHARA</w:t>
      </w:r>
    </w:p>
    <w:p w14:paraId="3E589B43" w14:textId="3C01CB0E" w:rsidR="00A53260" w:rsidRPr="00D84626" w:rsidRDefault="002060E4" w:rsidP="007E1C2E">
      <w:pPr>
        <w:spacing w:after="0"/>
        <w:jc w:val="both"/>
        <w:rPr>
          <w:sz w:val="24"/>
          <w:szCs w:val="24"/>
        </w:rPr>
      </w:pPr>
      <w:r>
        <w:rPr>
          <w:rFonts w:ascii="Arial" w:hAnsi="Arial" w:cs="Arial"/>
          <w:b/>
          <w:sz w:val="24"/>
          <w:szCs w:val="24"/>
        </w:rPr>
        <w:t>Representante a la Cámara por el Departamento de Córdoba</w:t>
      </w:r>
    </w:p>
    <w:sectPr w:rsidR="00A53260" w:rsidRPr="00D84626" w:rsidSect="00455C77">
      <w:headerReference w:type="default" r:id="rId34"/>
      <w:footerReference w:type="default" r:id="rId35"/>
      <w:type w:val="continuous"/>
      <w:pgSz w:w="12240" w:h="15840"/>
      <w:pgMar w:top="85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3669D6" w14:textId="77777777" w:rsidR="00A226C2" w:rsidRDefault="00A226C2" w:rsidP="003F0C37">
      <w:pPr>
        <w:spacing w:after="0" w:line="240" w:lineRule="auto"/>
      </w:pPr>
      <w:r>
        <w:separator/>
      </w:r>
    </w:p>
  </w:endnote>
  <w:endnote w:type="continuationSeparator" w:id="0">
    <w:p w14:paraId="33ADD4A3" w14:textId="77777777" w:rsidR="00A226C2" w:rsidRDefault="00A226C2" w:rsidP="003F0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905274"/>
      <w:docPartObj>
        <w:docPartGallery w:val="Page Numbers (Bottom of Page)"/>
        <w:docPartUnique/>
      </w:docPartObj>
    </w:sdtPr>
    <w:sdtEndPr/>
    <w:sdtContent>
      <w:p w14:paraId="2BE8D6D1" w14:textId="43043188" w:rsidR="008A4ADC" w:rsidRDefault="008A4ADC">
        <w:pPr>
          <w:pStyle w:val="Piedepgina"/>
          <w:jc w:val="right"/>
        </w:pPr>
        <w:r>
          <w:fldChar w:fldCharType="begin"/>
        </w:r>
        <w:r>
          <w:instrText>PAGE   \* MERGEFORMAT</w:instrText>
        </w:r>
        <w:r>
          <w:fldChar w:fldCharType="separate"/>
        </w:r>
        <w:r w:rsidR="00AA4870" w:rsidRPr="00AA4870">
          <w:rPr>
            <w:noProof/>
            <w:lang w:val="es-ES"/>
          </w:rPr>
          <w:t>1</w:t>
        </w:r>
        <w:r>
          <w:fldChar w:fldCharType="end"/>
        </w:r>
      </w:p>
    </w:sdtContent>
  </w:sdt>
  <w:p w14:paraId="52730054" w14:textId="77777777" w:rsidR="008A4ADC" w:rsidRDefault="008A4AD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BA6595" w14:textId="77777777" w:rsidR="00A226C2" w:rsidRDefault="00A226C2" w:rsidP="003F0C37">
      <w:pPr>
        <w:spacing w:after="0" w:line="240" w:lineRule="auto"/>
      </w:pPr>
      <w:r>
        <w:separator/>
      </w:r>
    </w:p>
  </w:footnote>
  <w:footnote w:type="continuationSeparator" w:id="0">
    <w:p w14:paraId="788CE715" w14:textId="77777777" w:rsidR="00A226C2" w:rsidRDefault="00A226C2" w:rsidP="003F0C37">
      <w:pPr>
        <w:spacing w:after="0" w:line="240" w:lineRule="auto"/>
      </w:pPr>
      <w:r>
        <w:continuationSeparator/>
      </w:r>
    </w:p>
  </w:footnote>
  <w:footnote w:id="1">
    <w:p w14:paraId="3373FD97" w14:textId="77C6A772" w:rsidR="00CA32F2" w:rsidRPr="00724234" w:rsidRDefault="00CA32F2" w:rsidP="00B647E3">
      <w:pPr>
        <w:pStyle w:val="Textonotapie"/>
        <w:jc w:val="both"/>
        <w:rPr>
          <w:lang w:val="es-ES"/>
        </w:rPr>
      </w:pPr>
      <w:r>
        <w:rPr>
          <w:rStyle w:val="Refdenotaalpie"/>
        </w:rPr>
        <w:footnoteRef/>
      </w:r>
      <w:r w:rsidRPr="00CA32F2">
        <w:rPr>
          <w:lang w:val="en-US"/>
        </w:rPr>
        <w:t xml:space="preserve"> </w:t>
      </w:r>
      <w:r>
        <w:rPr>
          <w:lang w:val="en-US"/>
        </w:rPr>
        <w:t xml:space="preserve">Coase R.H. (1937). </w:t>
      </w:r>
      <w:r w:rsidRPr="00CA32F2">
        <w:rPr>
          <w:lang w:val="en-US"/>
        </w:rPr>
        <w:t>“The Nature of the Firm”</w:t>
      </w:r>
      <w:r>
        <w:rPr>
          <w:lang w:val="en-US"/>
        </w:rPr>
        <w:t xml:space="preserve">. </w:t>
      </w:r>
      <w:r w:rsidRPr="00724234">
        <w:rPr>
          <w:lang w:val="es-ES"/>
        </w:rPr>
        <w:t>Economica.</w:t>
      </w:r>
    </w:p>
  </w:footnote>
  <w:footnote w:id="2">
    <w:p w14:paraId="2337B4AF" w14:textId="0D461673" w:rsidR="00724234" w:rsidRPr="00724234" w:rsidRDefault="00724234" w:rsidP="00B647E3">
      <w:pPr>
        <w:pStyle w:val="Textonotapie"/>
        <w:jc w:val="both"/>
      </w:pPr>
      <w:r>
        <w:rPr>
          <w:rStyle w:val="Refdenotaalpie"/>
        </w:rPr>
        <w:footnoteRef/>
      </w:r>
      <w:r>
        <w:t xml:space="preserve"> </w:t>
      </w:r>
      <w:r w:rsidR="008741DE">
        <w:t xml:space="preserve">Según C.O. Matthews (1986) , los costros de transacción </w:t>
      </w:r>
      <w:r>
        <w:t>son aquellos costos en los cuales se incurre por perfeccionar los contratos ex ante</w:t>
      </w:r>
      <w:r w:rsidR="008741DE">
        <w:t>, monitorearlos y hacerlos cumplir ex post. Se diferencian de los costos de producción porque solo se refieren a los costos de ejecutar un contrato.</w:t>
      </w:r>
    </w:p>
  </w:footnote>
  <w:footnote w:id="3">
    <w:p w14:paraId="1D72A26E" w14:textId="77777777" w:rsidR="00A04B70" w:rsidRPr="00A04B70" w:rsidRDefault="00A04B70" w:rsidP="00B647E3">
      <w:pPr>
        <w:pStyle w:val="Textonotapie"/>
        <w:jc w:val="both"/>
        <w:rPr>
          <w:lang w:val="en-US"/>
        </w:rPr>
      </w:pPr>
      <w:r>
        <w:rPr>
          <w:rStyle w:val="Refdenotaalpie"/>
        </w:rPr>
        <w:footnoteRef/>
      </w:r>
      <w:r w:rsidRPr="00A04B70">
        <w:rPr>
          <w:lang w:val="en-US"/>
        </w:rPr>
        <w:t xml:space="preserve"> Cornwell C, Schmutte I. M</w:t>
      </w:r>
      <w:r>
        <w:rPr>
          <w:lang w:val="en-US"/>
        </w:rPr>
        <w:t>., y Scur D (2019), “</w:t>
      </w:r>
      <w:r w:rsidRPr="00A04B70">
        <w:rPr>
          <w:lang w:val="en-US"/>
        </w:rPr>
        <w:t>Building a Productive Workforce: The Role of Structured</w:t>
      </w:r>
    </w:p>
    <w:p w14:paraId="60A76B57" w14:textId="7C995ACC" w:rsidR="00A04B70" w:rsidRPr="00A04B70" w:rsidRDefault="00A04B70" w:rsidP="00B647E3">
      <w:pPr>
        <w:pStyle w:val="Textonotapie"/>
        <w:jc w:val="both"/>
        <w:rPr>
          <w:lang w:val="en-US"/>
        </w:rPr>
      </w:pPr>
      <w:r w:rsidRPr="00A04B70">
        <w:rPr>
          <w:lang w:val="en-US"/>
        </w:rPr>
        <w:t>Management Practices</w:t>
      </w:r>
      <w:r>
        <w:rPr>
          <w:lang w:val="en-US"/>
        </w:rPr>
        <w:t>”, LSE.</w:t>
      </w:r>
    </w:p>
  </w:footnote>
  <w:footnote w:id="4">
    <w:p w14:paraId="53DDC408" w14:textId="556C2FC9" w:rsidR="00EA4DCB" w:rsidRPr="006E06EF" w:rsidRDefault="00EA4DCB" w:rsidP="00B647E3">
      <w:pPr>
        <w:pStyle w:val="Textonotapie"/>
        <w:jc w:val="both"/>
        <w:rPr>
          <w:lang w:val="es-ES"/>
        </w:rPr>
      </w:pPr>
      <w:r>
        <w:rPr>
          <w:rStyle w:val="Refdenotaalpie"/>
        </w:rPr>
        <w:footnoteRef/>
      </w:r>
      <w:r w:rsidRPr="006E06EF">
        <w:rPr>
          <w:lang w:val="en-US"/>
        </w:rPr>
        <w:t xml:space="preserve"> </w:t>
      </w:r>
      <w:r w:rsidR="006E06EF" w:rsidRPr="006E06EF">
        <w:rPr>
          <w:lang w:val="en-US"/>
        </w:rPr>
        <w:t>De Vries (2010). “Small Retailers in Brazil: Are Formal Firms Really More Productive?</w:t>
      </w:r>
      <w:r w:rsidR="006E06EF">
        <w:rPr>
          <w:lang w:val="en-US"/>
        </w:rPr>
        <w:t xml:space="preserve">”. </w:t>
      </w:r>
      <w:r w:rsidR="006E06EF" w:rsidRPr="006E06EF">
        <w:rPr>
          <w:lang w:val="es-ES"/>
        </w:rPr>
        <w:t xml:space="preserve">Disponible en </w:t>
      </w:r>
      <w:hyperlink r:id="rId1" w:anchor=".UrMwdScV-So" w:history="1">
        <w:r w:rsidR="006E06EF">
          <w:rPr>
            <w:rStyle w:val="Hipervnculo"/>
          </w:rPr>
          <w:t>https://www.tandfonline.com/doi/abs/10.1080/00220380903147668#.UrMwdScV-So</w:t>
        </w:r>
      </w:hyperlink>
    </w:p>
  </w:footnote>
  <w:footnote w:id="5">
    <w:p w14:paraId="6A181E55" w14:textId="5CF67511" w:rsidR="006E06EF" w:rsidRPr="006E06EF" w:rsidRDefault="006E06EF" w:rsidP="00E33DF6">
      <w:pPr>
        <w:pStyle w:val="Textonotapie"/>
        <w:jc w:val="both"/>
      </w:pPr>
      <w:r>
        <w:rPr>
          <w:rStyle w:val="Refdenotaalpie"/>
        </w:rPr>
        <w:footnoteRef/>
      </w:r>
      <w:r>
        <w:t xml:space="preserve"> Fernández C. (2018). “Informalidad empresarial en Colombia). Fedesarrollo.</w:t>
      </w:r>
    </w:p>
  </w:footnote>
  <w:footnote w:id="6">
    <w:p w14:paraId="00DC7BAF" w14:textId="15512066" w:rsidR="00E33DF6" w:rsidRPr="00E33DF6" w:rsidRDefault="00E33DF6" w:rsidP="00E33DF6">
      <w:pPr>
        <w:pStyle w:val="Textonotapie"/>
        <w:jc w:val="both"/>
      </w:pPr>
      <w:r>
        <w:rPr>
          <w:rStyle w:val="Refdenotaalpie"/>
        </w:rPr>
        <w:footnoteRef/>
      </w:r>
      <w:r>
        <w:t xml:space="preserve"> Esta institución es un Think tank conformado por académicos y representantes de diferentes multinacionales a nivel global. Su base de datos es elaborada en cooperación con la </w:t>
      </w:r>
      <w:r w:rsidRPr="00EB77C0">
        <w:t>University of Groningen</w:t>
      </w:r>
      <w:r>
        <w:t>.</w:t>
      </w:r>
    </w:p>
  </w:footnote>
  <w:footnote w:id="7">
    <w:p w14:paraId="5B852CEB" w14:textId="40B1277E" w:rsidR="005B002A" w:rsidRPr="005B002A" w:rsidRDefault="005B002A">
      <w:pPr>
        <w:pStyle w:val="Textonotapie"/>
        <w:rPr>
          <w:lang w:val="es-ES"/>
        </w:rPr>
      </w:pPr>
      <w:r>
        <w:rPr>
          <w:rStyle w:val="Refdenotaalpie"/>
        </w:rPr>
        <w:footnoteRef/>
      </w:r>
      <w:r>
        <w:t xml:space="preserve"> </w:t>
      </w:r>
      <w:r>
        <w:rPr>
          <w:lang w:val="es-ES"/>
        </w:rPr>
        <w:t>Confecámaras (2018). “</w:t>
      </w:r>
      <w:r w:rsidRPr="005B002A">
        <w:rPr>
          <w:i/>
          <w:iCs/>
          <w:lang w:val="es-ES"/>
        </w:rPr>
        <w:t>Nuevos hallazgos de la supervivencia y crecimiento de las empresas en Colombia</w:t>
      </w:r>
      <w:r>
        <w:rPr>
          <w:lang w:val="es-ES"/>
        </w:rPr>
        <w:t>”.</w:t>
      </w:r>
    </w:p>
  </w:footnote>
  <w:footnote w:id="8">
    <w:p w14:paraId="13C618D3" w14:textId="3CB8E813" w:rsidR="00EF4DD8" w:rsidRDefault="00EF4DD8">
      <w:pPr>
        <w:pStyle w:val="Textonotapie"/>
      </w:pPr>
      <w:r>
        <w:rPr>
          <w:rStyle w:val="Refdenotaalpie"/>
        </w:rPr>
        <w:footnoteRef/>
      </w:r>
      <w:r>
        <w:t xml:space="preserve"> Confecámaras (2017). “Determinantes de la supervivencia empresarial en Colombia”. Confecámaras.</w:t>
      </w:r>
    </w:p>
  </w:footnote>
  <w:footnote w:id="9">
    <w:p w14:paraId="3D7F818E" w14:textId="4972174D" w:rsidR="00A95CA2" w:rsidRDefault="00A95CA2" w:rsidP="00A95CA2">
      <w:pPr>
        <w:pStyle w:val="Textonotapie"/>
        <w:jc w:val="both"/>
      </w:pPr>
      <w:r>
        <w:rPr>
          <w:rStyle w:val="Refdenotaalpie"/>
        </w:rPr>
        <w:footnoteRef/>
      </w:r>
      <w:r>
        <w:t xml:space="preserve"> Las variables analizadas por Confecámaras (2017) fueron el tamaño de la empresa, sector al que pertenece la empresa, si la empresa cuenta con multi establecimientos, si es exportadora, si tiene acceso al crédito centrado en garantías mobiliarias, la tasa de entrada neta de empresas del sector, el crecimiento del sector, el grado de desarrollo de la región donde se localiza la compañía y si esta corresponde o no al área metropolitana.</w:t>
      </w:r>
    </w:p>
  </w:footnote>
  <w:footnote w:id="10">
    <w:p w14:paraId="3514ADFF" w14:textId="4513113C" w:rsidR="00663A33" w:rsidRDefault="00663A33" w:rsidP="006362F1">
      <w:pPr>
        <w:pStyle w:val="Textonotapie"/>
        <w:jc w:val="both"/>
      </w:pPr>
      <w:r>
        <w:rPr>
          <w:rStyle w:val="Refdenotaalpie"/>
        </w:rPr>
        <w:footnoteRef/>
      </w:r>
      <w:r>
        <w:t xml:space="preserve"> Global Entrepreneurship Monitor (2018-2019). “2018-2019 Global Report”. Global Entrepreneurship Monitor. El GEM es un emprendimiento social sin ánimo de lucro fundado por el London Business School y Babson College.</w:t>
      </w:r>
    </w:p>
  </w:footnote>
  <w:footnote w:id="11">
    <w:p w14:paraId="745F6FFA" w14:textId="75A8B4B7" w:rsidR="006362F1" w:rsidRDefault="006362F1" w:rsidP="006362F1">
      <w:pPr>
        <w:pStyle w:val="Textonotapie"/>
        <w:jc w:val="both"/>
      </w:pPr>
      <w:r>
        <w:rPr>
          <w:rStyle w:val="Refdenotaalpie"/>
        </w:rPr>
        <w:footnoteRef/>
      </w:r>
      <w:r>
        <w:t xml:space="preserve"> Las 12 condiciones marco analizadas son: Financiamiento, apoyo y relevancia de las políticas gubernamentales, </w:t>
      </w:r>
      <w:r w:rsidR="00640C49">
        <w:t xml:space="preserve">impuestos y burocracia gubernamental, </w:t>
      </w:r>
      <w:r>
        <w:t>programas de emprendimiento gubernamentales, educación escolar en emprendimiento, educación avanzada en emprendimiento, transferencias para investigación de desarrollo, infraestructura comercial y legal, dinámica del mercado interno, regulaciones de entrada, infraestructura física y normas culturales y sociales.</w:t>
      </w:r>
    </w:p>
  </w:footnote>
  <w:footnote w:id="12">
    <w:p w14:paraId="12DA313C" w14:textId="2394C981" w:rsidR="005B2731" w:rsidRPr="005B2731" w:rsidRDefault="005B2731">
      <w:pPr>
        <w:pStyle w:val="Textonotapie"/>
        <w:rPr>
          <w:lang w:val="es-ES"/>
        </w:rPr>
      </w:pPr>
      <w:r>
        <w:rPr>
          <w:rStyle w:val="Refdenotaalpie"/>
        </w:rPr>
        <w:footnoteRef/>
      </w:r>
      <w:r w:rsidR="0077515E" w:rsidRPr="0006119E">
        <w:rPr>
          <w:lang w:val="es-ES"/>
        </w:rPr>
        <w:t>ColCapital</w:t>
      </w:r>
      <w:r w:rsidR="0006119E" w:rsidRPr="0006119E">
        <w:rPr>
          <w:lang w:val="es-ES"/>
        </w:rPr>
        <w:t>, EY</w:t>
      </w:r>
      <w:r w:rsidR="0077515E" w:rsidRPr="0006119E">
        <w:rPr>
          <w:lang w:val="es-ES"/>
        </w:rPr>
        <w:t xml:space="preserve"> (</w:t>
      </w:r>
      <w:r w:rsidR="0006119E" w:rsidRPr="0006119E">
        <w:rPr>
          <w:lang w:val="es-ES"/>
        </w:rPr>
        <w:t>2018</w:t>
      </w:r>
      <w:r w:rsidR="0077515E" w:rsidRPr="0006119E">
        <w:rPr>
          <w:lang w:val="es-ES"/>
        </w:rPr>
        <w:t>). “</w:t>
      </w:r>
      <w:r w:rsidR="0006119E" w:rsidRPr="0006119E">
        <w:rPr>
          <w:lang w:val="es-ES"/>
        </w:rPr>
        <w:t>Potenciando la economía colombiana</w:t>
      </w:r>
      <w:r w:rsidR="0077515E" w:rsidRPr="0006119E">
        <w:rPr>
          <w:lang w:val="es-ES"/>
        </w:rPr>
        <w:t xml:space="preserve">”. </w:t>
      </w:r>
      <w:r w:rsidR="0006119E" w:rsidRPr="0006119E">
        <w:rPr>
          <w:lang w:val="es-ES"/>
        </w:rPr>
        <w:t>ColCapital, EY</w:t>
      </w:r>
      <w:r w:rsidR="0077515E" w:rsidRPr="00724234">
        <w:rPr>
          <w:lang w:val="es-ES"/>
        </w:rPr>
        <w:t>.</w:t>
      </w:r>
    </w:p>
  </w:footnote>
  <w:footnote w:id="13">
    <w:p w14:paraId="625EE196" w14:textId="6AFFC22A" w:rsidR="00907C88" w:rsidRPr="00907C88" w:rsidRDefault="00907C88">
      <w:pPr>
        <w:pStyle w:val="Textonotapie"/>
        <w:rPr>
          <w:lang w:val="es-ES"/>
        </w:rPr>
      </w:pPr>
      <w:r>
        <w:rPr>
          <w:rStyle w:val="Refdenotaalpie"/>
        </w:rPr>
        <w:footnoteRef/>
      </w:r>
      <w:r>
        <w:t xml:space="preserve"> </w:t>
      </w:r>
      <w:r>
        <w:rPr>
          <w:lang w:val="es-ES"/>
        </w:rPr>
        <w:t>Consejo Privado de Competitividad (2018). “</w:t>
      </w:r>
      <w:r w:rsidRPr="00907C88">
        <w:rPr>
          <w:lang w:val="es-ES"/>
        </w:rPr>
        <w:t>Informe Nacional de Competitividad 2018-2019</w:t>
      </w:r>
      <w:r>
        <w:rPr>
          <w:lang w:val="es-ES"/>
        </w:rPr>
        <w:t xml:space="preserve">”. </w:t>
      </w:r>
    </w:p>
  </w:footnote>
  <w:footnote w:id="14">
    <w:p w14:paraId="129ED83D" w14:textId="36023683" w:rsidR="00472FB1" w:rsidRPr="00472FB1" w:rsidRDefault="00472FB1" w:rsidP="006450C1">
      <w:pPr>
        <w:pStyle w:val="Textonotapie"/>
        <w:jc w:val="both"/>
        <w:rPr>
          <w:lang w:val="es-ES"/>
        </w:rPr>
      </w:pPr>
      <w:r>
        <w:rPr>
          <w:rStyle w:val="Refdenotaalpie"/>
        </w:rPr>
        <w:footnoteRef/>
      </w:r>
      <w:r>
        <w:t xml:space="preserve"> </w:t>
      </w:r>
      <w:r>
        <w:rPr>
          <w:lang w:val="es-ES"/>
        </w:rPr>
        <w:t xml:space="preserve">Entendida esta como la distribución de </w:t>
      </w:r>
      <w:r w:rsidRPr="00472FB1">
        <w:rPr>
          <w:lang w:val="es-ES"/>
        </w:rPr>
        <w:t>un</w:t>
      </w:r>
      <w:r>
        <w:rPr>
          <w:lang w:val="es-ES"/>
        </w:rPr>
        <w:t xml:space="preserve"> portafolio entre </w:t>
      </w:r>
      <w:r w:rsidR="006450C1">
        <w:rPr>
          <w:lang w:val="es-ES"/>
        </w:rPr>
        <w:t xml:space="preserve">diferentes clases de activos o activos </w:t>
      </w:r>
      <w:r w:rsidRPr="00472FB1">
        <w:rPr>
          <w:lang w:val="es-ES"/>
        </w:rPr>
        <w:t>para evitar la exposición excesiva a cualquier fuente de riesgo.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9230D" w14:textId="77777777" w:rsidR="003F0C37" w:rsidRDefault="00A1229B" w:rsidP="00A1229B">
    <w:pPr>
      <w:keepLines/>
      <w:tabs>
        <w:tab w:val="center" w:pos="4419"/>
        <w:tab w:val="left" w:pos="7626"/>
      </w:tabs>
      <w:rPr>
        <w:rFonts w:ascii="Garamond" w:eastAsia="Batang" w:hAnsi="Garamond"/>
        <w:b/>
        <w:spacing w:val="75"/>
        <w:kern w:val="18"/>
        <w:sz w:val="28"/>
        <w:szCs w:val="28"/>
      </w:rPr>
    </w:pPr>
    <w:r>
      <w:rPr>
        <w:rFonts w:ascii="Garamond" w:eastAsia="Batang" w:hAnsi="Garamond"/>
        <w:b/>
        <w:spacing w:val="75"/>
        <w:kern w:val="18"/>
        <w:sz w:val="28"/>
        <w:szCs w:val="28"/>
      </w:rPr>
      <w:tab/>
    </w:r>
    <w:r w:rsidR="003F0C37">
      <w:rPr>
        <w:noProof/>
        <w:lang w:eastAsia="es-CO"/>
      </w:rPr>
      <w:drawing>
        <wp:inline distT="0" distB="0" distL="0" distR="0" wp14:anchorId="5CCE2FEF" wp14:editId="6D11DCFB">
          <wp:extent cx="3048000" cy="904240"/>
          <wp:effectExtent l="0" t="0" r="0" b="10160"/>
          <wp:docPr id="1" name="Imagen 1" descr="logo+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ngre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0" cy="904240"/>
                  </a:xfrm>
                  <a:prstGeom prst="rect">
                    <a:avLst/>
                  </a:prstGeom>
                  <a:noFill/>
                  <a:ln>
                    <a:noFill/>
                  </a:ln>
                </pic:spPr>
              </pic:pic>
            </a:graphicData>
          </a:graphic>
        </wp:inline>
      </w:drawing>
    </w:r>
    <w:r>
      <w:rPr>
        <w:rFonts w:ascii="Garamond" w:eastAsia="Batang" w:hAnsi="Garamond"/>
        <w:b/>
        <w:spacing w:val="75"/>
        <w:kern w:val="18"/>
        <w:sz w:val="28"/>
        <w:szCs w:val="28"/>
      </w:rPr>
      <w:tab/>
    </w:r>
  </w:p>
  <w:p w14:paraId="39128177" w14:textId="77777777" w:rsidR="003F0C37" w:rsidRPr="00DB686A" w:rsidRDefault="003F0C37" w:rsidP="003F0C37">
    <w:pPr>
      <w:keepLines/>
      <w:jc w:val="center"/>
      <w:rPr>
        <w:rFonts w:ascii="Arial" w:eastAsia="Batang" w:hAnsi="Arial" w:cs="Arial"/>
        <w:b/>
        <w:caps/>
        <w:spacing w:val="75"/>
        <w:kern w:val="18"/>
        <w:sz w:val="28"/>
        <w:szCs w:val="28"/>
      </w:rPr>
    </w:pPr>
    <w:r w:rsidRPr="00DB686A">
      <w:rPr>
        <w:rFonts w:ascii="Arial" w:eastAsia="Batang" w:hAnsi="Arial" w:cs="Arial"/>
        <w:b/>
        <w:spacing w:val="75"/>
        <w:kern w:val="18"/>
        <w:sz w:val="28"/>
        <w:szCs w:val="28"/>
      </w:rPr>
      <w:t>ERASMO EL</w:t>
    </w:r>
    <w:r w:rsidR="00A1229B">
      <w:rPr>
        <w:rFonts w:ascii="Arial" w:eastAsia="Batang" w:hAnsi="Arial" w:cs="Arial"/>
        <w:b/>
        <w:spacing w:val="75"/>
        <w:kern w:val="18"/>
        <w:sz w:val="28"/>
        <w:szCs w:val="28"/>
      </w:rPr>
      <w:t>Í</w:t>
    </w:r>
    <w:r w:rsidRPr="00DB686A">
      <w:rPr>
        <w:rFonts w:ascii="Arial" w:eastAsia="Batang" w:hAnsi="Arial" w:cs="Arial"/>
        <w:b/>
        <w:spacing w:val="75"/>
        <w:kern w:val="18"/>
        <w:sz w:val="28"/>
        <w:szCs w:val="28"/>
      </w:rPr>
      <w:t xml:space="preserve">AS ZULETA BECHARA  </w:t>
    </w:r>
  </w:p>
  <w:p w14:paraId="393B9400" w14:textId="6A42135C" w:rsidR="003F0C37" w:rsidRDefault="003F0C37" w:rsidP="00455C77">
    <w:pPr>
      <w:keepLines/>
      <w:jc w:val="center"/>
    </w:pPr>
    <w:r w:rsidRPr="00DB686A">
      <w:rPr>
        <w:rFonts w:ascii="Arial" w:eastAsia="Batang" w:hAnsi="Arial" w:cs="Arial"/>
        <w:b/>
        <w:spacing w:val="75"/>
        <w:kern w:val="18"/>
        <w:sz w:val="16"/>
        <w:szCs w:val="16"/>
      </w:rPr>
      <w:t>REPRESENTANTE A LA C</w:t>
    </w:r>
    <w:r w:rsidR="00A1229B">
      <w:rPr>
        <w:rFonts w:ascii="Arial" w:eastAsia="Batang" w:hAnsi="Arial" w:cs="Arial"/>
        <w:b/>
        <w:spacing w:val="75"/>
        <w:kern w:val="18"/>
        <w:sz w:val="16"/>
        <w:szCs w:val="16"/>
      </w:rPr>
      <w:t>Á</w:t>
    </w:r>
    <w:r w:rsidRPr="00DB686A">
      <w:rPr>
        <w:rFonts w:ascii="Arial" w:eastAsia="Batang" w:hAnsi="Arial" w:cs="Arial"/>
        <w:b/>
        <w:spacing w:val="75"/>
        <w:kern w:val="18"/>
        <w:sz w:val="16"/>
        <w:szCs w:val="16"/>
      </w:rPr>
      <w:t>MARA - CÓRDOBA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53111"/>
    <w:multiLevelType w:val="hybridMultilevel"/>
    <w:tmpl w:val="F6E69A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7B3D0E"/>
    <w:multiLevelType w:val="hybridMultilevel"/>
    <w:tmpl w:val="0E3EA0D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B86F64"/>
    <w:multiLevelType w:val="hybridMultilevel"/>
    <w:tmpl w:val="55CE4EB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E23E93"/>
    <w:multiLevelType w:val="hybridMultilevel"/>
    <w:tmpl w:val="7AE4FF3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3043658"/>
    <w:multiLevelType w:val="hybridMultilevel"/>
    <w:tmpl w:val="CB9E1B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3B3664E"/>
    <w:multiLevelType w:val="hybridMultilevel"/>
    <w:tmpl w:val="19F65A8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59B1C6D"/>
    <w:multiLevelType w:val="hybridMultilevel"/>
    <w:tmpl w:val="6DD624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2611FB5"/>
    <w:multiLevelType w:val="hybridMultilevel"/>
    <w:tmpl w:val="9E8E5EB6"/>
    <w:lvl w:ilvl="0" w:tplc="EB2C802A">
      <w:start w:val="1"/>
      <w:numFmt w:val="upperRoman"/>
      <w:lvlText w:val="%1."/>
      <w:lvlJc w:val="left"/>
      <w:pPr>
        <w:ind w:left="1080" w:hanging="720"/>
      </w:pPr>
      <w:rPr>
        <w:rFonts w:hint="default"/>
      </w:r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7965440"/>
    <w:multiLevelType w:val="hybridMultilevel"/>
    <w:tmpl w:val="EB1AE67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F7E201B"/>
    <w:multiLevelType w:val="hybridMultilevel"/>
    <w:tmpl w:val="E13680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FB61CC6"/>
    <w:multiLevelType w:val="hybridMultilevel"/>
    <w:tmpl w:val="31C26C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0795D43"/>
    <w:multiLevelType w:val="hybridMultilevel"/>
    <w:tmpl w:val="B4C8CD1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339D4548"/>
    <w:multiLevelType w:val="hybridMultilevel"/>
    <w:tmpl w:val="9E8E5EB6"/>
    <w:lvl w:ilvl="0" w:tplc="EB2C802A">
      <w:start w:val="1"/>
      <w:numFmt w:val="upperRoman"/>
      <w:lvlText w:val="%1."/>
      <w:lvlJc w:val="left"/>
      <w:pPr>
        <w:ind w:left="1080" w:hanging="720"/>
      </w:pPr>
      <w:rPr>
        <w:rFonts w:hint="default"/>
      </w:r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4211045"/>
    <w:multiLevelType w:val="hybridMultilevel"/>
    <w:tmpl w:val="6152E63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B2B1C3B"/>
    <w:multiLevelType w:val="hybridMultilevel"/>
    <w:tmpl w:val="69F099A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B8E00C9"/>
    <w:multiLevelType w:val="hybridMultilevel"/>
    <w:tmpl w:val="8A10FF9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4ED92616"/>
    <w:multiLevelType w:val="hybridMultilevel"/>
    <w:tmpl w:val="AB242CA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5544E61"/>
    <w:multiLevelType w:val="hybridMultilevel"/>
    <w:tmpl w:val="6988F93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DF83674"/>
    <w:multiLevelType w:val="hybridMultilevel"/>
    <w:tmpl w:val="6152E63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15B1D8E"/>
    <w:multiLevelType w:val="multilevel"/>
    <w:tmpl w:val="24CA9C5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C7B77DB"/>
    <w:multiLevelType w:val="hybridMultilevel"/>
    <w:tmpl w:val="9E56F91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CF07088"/>
    <w:multiLevelType w:val="multilevel"/>
    <w:tmpl w:val="D13C78A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F4D2DAF"/>
    <w:multiLevelType w:val="hybridMultilevel"/>
    <w:tmpl w:val="8738DE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72A85F0D"/>
    <w:multiLevelType w:val="hybridMultilevel"/>
    <w:tmpl w:val="506A7B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9562ED6"/>
    <w:multiLevelType w:val="multilevel"/>
    <w:tmpl w:val="BDD29614"/>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D532CC3"/>
    <w:multiLevelType w:val="hybridMultilevel"/>
    <w:tmpl w:val="6152E63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4"/>
  </w:num>
  <w:num w:numId="3">
    <w:abstractNumId w:val="6"/>
  </w:num>
  <w:num w:numId="4">
    <w:abstractNumId w:val="23"/>
  </w:num>
  <w:num w:numId="5">
    <w:abstractNumId w:val="5"/>
  </w:num>
  <w:num w:numId="6">
    <w:abstractNumId w:val="16"/>
  </w:num>
  <w:num w:numId="7">
    <w:abstractNumId w:val="0"/>
  </w:num>
  <w:num w:numId="8">
    <w:abstractNumId w:val="12"/>
  </w:num>
  <w:num w:numId="9">
    <w:abstractNumId w:val="17"/>
  </w:num>
  <w:num w:numId="10">
    <w:abstractNumId w:val="14"/>
  </w:num>
  <w:num w:numId="11">
    <w:abstractNumId w:val="8"/>
  </w:num>
  <w:num w:numId="12">
    <w:abstractNumId w:val="1"/>
  </w:num>
  <w:num w:numId="13">
    <w:abstractNumId w:val="20"/>
  </w:num>
  <w:num w:numId="14">
    <w:abstractNumId w:val="19"/>
  </w:num>
  <w:num w:numId="15">
    <w:abstractNumId w:val="11"/>
  </w:num>
  <w:num w:numId="16">
    <w:abstractNumId w:val="15"/>
  </w:num>
  <w:num w:numId="17">
    <w:abstractNumId w:val="22"/>
  </w:num>
  <w:num w:numId="18">
    <w:abstractNumId w:val="21"/>
  </w:num>
  <w:num w:numId="19">
    <w:abstractNumId w:val="3"/>
  </w:num>
  <w:num w:numId="20">
    <w:abstractNumId w:val="2"/>
  </w:num>
  <w:num w:numId="21">
    <w:abstractNumId w:val="18"/>
  </w:num>
  <w:num w:numId="22">
    <w:abstractNumId w:val="25"/>
  </w:num>
  <w:num w:numId="23">
    <w:abstractNumId w:val="7"/>
  </w:num>
  <w:num w:numId="24">
    <w:abstractNumId w:val="13"/>
  </w:num>
  <w:num w:numId="25">
    <w:abstractNumId w:val="24"/>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5A7"/>
    <w:rsid w:val="000028C0"/>
    <w:rsid w:val="00006DCC"/>
    <w:rsid w:val="00015E3A"/>
    <w:rsid w:val="00023CC0"/>
    <w:rsid w:val="00027B60"/>
    <w:rsid w:val="00037ED4"/>
    <w:rsid w:val="0006119E"/>
    <w:rsid w:val="0007024F"/>
    <w:rsid w:val="00076DB8"/>
    <w:rsid w:val="00082A0C"/>
    <w:rsid w:val="000942E3"/>
    <w:rsid w:val="000B3100"/>
    <w:rsid w:val="000B3DA1"/>
    <w:rsid w:val="000E26C2"/>
    <w:rsid w:val="000E58CC"/>
    <w:rsid w:val="000F4E93"/>
    <w:rsid w:val="00104897"/>
    <w:rsid w:val="00147CD1"/>
    <w:rsid w:val="00163C22"/>
    <w:rsid w:val="00164D01"/>
    <w:rsid w:val="00166361"/>
    <w:rsid w:val="001672B9"/>
    <w:rsid w:val="0017087C"/>
    <w:rsid w:val="00185481"/>
    <w:rsid w:val="001A4655"/>
    <w:rsid w:val="001A5134"/>
    <w:rsid w:val="001A56CB"/>
    <w:rsid w:val="001A6394"/>
    <w:rsid w:val="001D1439"/>
    <w:rsid w:val="001D3FF0"/>
    <w:rsid w:val="001F3A68"/>
    <w:rsid w:val="001F52D0"/>
    <w:rsid w:val="00200C68"/>
    <w:rsid w:val="002060E4"/>
    <w:rsid w:val="002155B6"/>
    <w:rsid w:val="00216205"/>
    <w:rsid w:val="00230321"/>
    <w:rsid w:val="0023134C"/>
    <w:rsid w:val="00232CF0"/>
    <w:rsid w:val="00244BA5"/>
    <w:rsid w:val="00255F8E"/>
    <w:rsid w:val="00261566"/>
    <w:rsid w:val="0026324F"/>
    <w:rsid w:val="002857DA"/>
    <w:rsid w:val="00292734"/>
    <w:rsid w:val="002A4A36"/>
    <w:rsid w:val="002A5993"/>
    <w:rsid w:val="002B6006"/>
    <w:rsid w:val="002C743A"/>
    <w:rsid w:val="002D0DD2"/>
    <w:rsid w:val="002E5166"/>
    <w:rsid w:val="002E56E3"/>
    <w:rsid w:val="002E6F72"/>
    <w:rsid w:val="002F00DF"/>
    <w:rsid w:val="002F095E"/>
    <w:rsid w:val="003028BE"/>
    <w:rsid w:val="0031676A"/>
    <w:rsid w:val="00322921"/>
    <w:rsid w:val="0033002D"/>
    <w:rsid w:val="00343D09"/>
    <w:rsid w:val="00343E35"/>
    <w:rsid w:val="0034431C"/>
    <w:rsid w:val="00351808"/>
    <w:rsid w:val="00351AA0"/>
    <w:rsid w:val="00380589"/>
    <w:rsid w:val="00391ED4"/>
    <w:rsid w:val="00397C0F"/>
    <w:rsid w:val="003B58BF"/>
    <w:rsid w:val="003E161A"/>
    <w:rsid w:val="003F0C37"/>
    <w:rsid w:val="003F2AC8"/>
    <w:rsid w:val="0040590A"/>
    <w:rsid w:val="004075D1"/>
    <w:rsid w:val="00446450"/>
    <w:rsid w:val="00455C77"/>
    <w:rsid w:val="00472FB1"/>
    <w:rsid w:val="004845F9"/>
    <w:rsid w:val="00484DF2"/>
    <w:rsid w:val="00492A69"/>
    <w:rsid w:val="004C3965"/>
    <w:rsid w:val="004D3CDE"/>
    <w:rsid w:val="004F01B6"/>
    <w:rsid w:val="004F13CA"/>
    <w:rsid w:val="00501E2D"/>
    <w:rsid w:val="005232DD"/>
    <w:rsid w:val="0054207A"/>
    <w:rsid w:val="00551FF2"/>
    <w:rsid w:val="005950BB"/>
    <w:rsid w:val="005A5485"/>
    <w:rsid w:val="005B002A"/>
    <w:rsid w:val="005B0C5E"/>
    <w:rsid w:val="005B2731"/>
    <w:rsid w:val="005C1EAF"/>
    <w:rsid w:val="005C771A"/>
    <w:rsid w:val="005C7E7A"/>
    <w:rsid w:val="005D65CA"/>
    <w:rsid w:val="005D7DF6"/>
    <w:rsid w:val="005E6F74"/>
    <w:rsid w:val="005F14C0"/>
    <w:rsid w:val="005F7DAA"/>
    <w:rsid w:val="00602437"/>
    <w:rsid w:val="00621A23"/>
    <w:rsid w:val="006247BE"/>
    <w:rsid w:val="00630EAD"/>
    <w:rsid w:val="006362F1"/>
    <w:rsid w:val="00640C49"/>
    <w:rsid w:val="006450C1"/>
    <w:rsid w:val="00661F23"/>
    <w:rsid w:val="00663A33"/>
    <w:rsid w:val="0068271F"/>
    <w:rsid w:val="00684006"/>
    <w:rsid w:val="006844E5"/>
    <w:rsid w:val="00693DA2"/>
    <w:rsid w:val="006A44D4"/>
    <w:rsid w:val="006A62E9"/>
    <w:rsid w:val="006A7EF2"/>
    <w:rsid w:val="006C5137"/>
    <w:rsid w:val="006D230C"/>
    <w:rsid w:val="006D3ABD"/>
    <w:rsid w:val="006D6294"/>
    <w:rsid w:val="006E06EF"/>
    <w:rsid w:val="006E0C14"/>
    <w:rsid w:val="006E1A90"/>
    <w:rsid w:val="006E6498"/>
    <w:rsid w:val="006E7AB5"/>
    <w:rsid w:val="006F29EA"/>
    <w:rsid w:val="007007FF"/>
    <w:rsid w:val="00707894"/>
    <w:rsid w:val="00724234"/>
    <w:rsid w:val="007309DF"/>
    <w:rsid w:val="00743BDD"/>
    <w:rsid w:val="0077050F"/>
    <w:rsid w:val="007725A7"/>
    <w:rsid w:val="0077515E"/>
    <w:rsid w:val="007764D1"/>
    <w:rsid w:val="00780F26"/>
    <w:rsid w:val="007A414F"/>
    <w:rsid w:val="007B26F9"/>
    <w:rsid w:val="007B2BD6"/>
    <w:rsid w:val="007C28CC"/>
    <w:rsid w:val="007E1C2E"/>
    <w:rsid w:val="007E3471"/>
    <w:rsid w:val="007F68B2"/>
    <w:rsid w:val="00805921"/>
    <w:rsid w:val="0081601C"/>
    <w:rsid w:val="00826F12"/>
    <w:rsid w:val="00832101"/>
    <w:rsid w:val="00834879"/>
    <w:rsid w:val="00841DDB"/>
    <w:rsid w:val="0084567F"/>
    <w:rsid w:val="00857A4A"/>
    <w:rsid w:val="00864674"/>
    <w:rsid w:val="00865588"/>
    <w:rsid w:val="008673C7"/>
    <w:rsid w:val="00870351"/>
    <w:rsid w:val="00870F0F"/>
    <w:rsid w:val="00873166"/>
    <w:rsid w:val="008741DE"/>
    <w:rsid w:val="00885281"/>
    <w:rsid w:val="008A4ADC"/>
    <w:rsid w:val="008B19A5"/>
    <w:rsid w:val="008B5601"/>
    <w:rsid w:val="008F5DFE"/>
    <w:rsid w:val="00904234"/>
    <w:rsid w:val="00907BEA"/>
    <w:rsid w:val="00907C88"/>
    <w:rsid w:val="00910568"/>
    <w:rsid w:val="0094186E"/>
    <w:rsid w:val="0094211C"/>
    <w:rsid w:val="00966F42"/>
    <w:rsid w:val="009742B9"/>
    <w:rsid w:val="009A3512"/>
    <w:rsid w:val="009B6BF2"/>
    <w:rsid w:val="009C6F4A"/>
    <w:rsid w:val="009C7085"/>
    <w:rsid w:val="009C73A1"/>
    <w:rsid w:val="009D374B"/>
    <w:rsid w:val="009D69CB"/>
    <w:rsid w:val="009F665B"/>
    <w:rsid w:val="00A04B70"/>
    <w:rsid w:val="00A054DD"/>
    <w:rsid w:val="00A11BC5"/>
    <w:rsid w:val="00A11EE1"/>
    <w:rsid w:val="00A1229B"/>
    <w:rsid w:val="00A226C2"/>
    <w:rsid w:val="00A24A8E"/>
    <w:rsid w:val="00A31EF3"/>
    <w:rsid w:val="00A369B0"/>
    <w:rsid w:val="00A507D1"/>
    <w:rsid w:val="00A53260"/>
    <w:rsid w:val="00A54D34"/>
    <w:rsid w:val="00A60935"/>
    <w:rsid w:val="00A87B91"/>
    <w:rsid w:val="00A95CA2"/>
    <w:rsid w:val="00AA4870"/>
    <w:rsid w:val="00AA4F07"/>
    <w:rsid w:val="00AB44B0"/>
    <w:rsid w:val="00AB58C5"/>
    <w:rsid w:val="00AB6FBB"/>
    <w:rsid w:val="00AC48EC"/>
    <w:rsid w:val="00AE2240"/>
    <w:rsid w:val="00AE681F"/>
    <w:rsid w:val="00B04DE1"/>
    <w:rsid w:val="00B26996"/>
    <w:rsid w:val="00B41695"/>
    <w:rsid w:val="00B42716"/>
    <w:rsid w:val="00B47064"/>
    <w:rsid w:val="00B647E3"/>
    <w:rsid w:val="00B718A3"/>
    <w:rsid w:val="00B81396"/>
    <w:rsid w:val="00B9278E"/>
    <w:rsid w:val="00B9738B"/>
    <w:rsid w:val="00BA49E6"/>
    <w:rsid w:val="00BA550A"/>
    <w:rsid w:val="00BA6A38"/>
    <w:rsid w:val="00BB0938"/>
    <w:rsid w:val="00BC06EB"/>
    <w:rsid w:val="00BD1B64"/>
    <w:rsid w:val="00BD5D87"/>
    <w:rsid w:val="00BD65FD"/>
    <w:rsid w:val="00BD6816"/>
    <w:rsid w:val="00BE4932"/>
    <w:rsid w:val="00BF1B27"/>
    <w:rsid w:val="00BF5B1E"/>
    <w:rsid w:val="00C101CF"/>
    <w:rsid w:val="00C11552"/>
    <w:rsid w:val="00C306D4"/>
    <w:rsid w:val="00C31C87"/>
    <w:rsid w:val="00C41364"/>
    <w:rsid w:val="00C62439"/>
    <w:rsid w:val="00C63C3C"/>
    <w:rsid w:val="00C71D6E"/>
    <w:rsid w:val="00C805E9"/>
    <w:rsid w:val="00C84AEA"/>
    <w:rsid w:val="00CA04C4"/>
    <w:rsid w:val="00CA32F2"/>
    <w:rsid w:val="00CA71A8"/>
    <w:rsid w:val="00CC5EAD"/>
    <w:rsid w:val="00CC7652"/>
    <w:rsid w:val="00CC7743"/>
    <w:rsid w:val="00CE1285"/>
    <w:rsid w:val="00CF123D"/>
    <w:rsid w:val="00CF23B9"/>
    <w:rsid w:val="00CF31F5"/>
    <w:rsid w:val="00D06DA1"/>
    <w:rsid w:val="00D0789E"/>
    <w:rsid w:val="00D17C6C"/>
    <w:rsid w:val="00D21CE9"/>
    <w:rsid w:val="00D22734"/>
    <w:rsid w:val="00D309A7"/>
    <w:rsid w:val="00D370CC"/>
    <w:rsid w:val="00D4302D"/>
    <w:rsid w:val="00D45C24"/>
    <w:rsid w:val="00D61F59"/>
    <w:rsid w:val="00D72B7A"/>
    <w:rsid w:val="00D77DFD"/>
    <w:rsid w:val="00D84626"/>
    <w:rsid w:val="00D97BE8"/>
    <w:rsid w:val="00DA4B89"/>
    <w:rsid w:val="00DA5782"/>
    <w:rsid w:val="00DB4B57"/>
    <w:rsid w:val="00DB686A"/>
    <w:rsid w:val="00DC4CF1"/>
    <w:rsid w:val="00DD1534"/>
    <w:rsid w:val="00DD191A"/>
    <w:rsid w:val="00DD33EE"/>
    <w:rsid w:val="00DE00EF"/>
    <w:rsid w:val="00DF0FCE"/>
    <w:rsid w:val="00E16826"/>
    <w:rsid w:val="00E20D72"/>
    <w:rsid w:val="00E33DF6"/>
    <w:rsid w:val="00E372E1"/>
    <w:rsid w:val="00E441C6"/>
    <w:rsid w:val="00E4534E"/>
    <w:rsid w:val="00E45479"/>
    <w:rsid w:val="00E45D4E"/>
    <w:rsid w:val="00E846AD"/>
    <w:rsid w:val="00E87109"/>
    <w:rsid w:val="00E956AC"/>
    <w:rsid w:val="00EA2714"/>
    <w:rsid w:val="00EA4DCB"/>
    <w:rsid w:val="00EB5994"/>
    <w:rsid w:val="00EC3498"/>
    <w:rsid w:val="00ED0735"/>
    <w:rsid w:val="00ED7A72"/>
    <w:rsid w:val="00EE20BC"/>
    <w:rsid w:val="00EF316D"/>
    <w:rsid w:val="00EF4DD8"/>
    <w:rsid w:val="00EF755F"/>
    <w:rsid w:val="00F11064"/>
    <w:rsid w:val="00F1567D"/>
    <w:rsid w:val="00F401BE"/>
    <w:rsid w:val="00F7711D"/>
    <w:rsid w:val="00F86374"/>
    <w:rsid w:val="00F9046C"/>
    <w:rsid w:val="00FB587E"/>
    <w:rsid w:val="00FB6A4F"/>
    <w:rsid w:val="00FC0EBA"/>
    <w:rsid w:val="00FC1F8F"/>
    <w:rsid w:val="00FC3D9F"/>
    <w:rsid w:val="00FD4B3E"/>
    <w:rsid w:val="00FD7281"/>
    <w:rsid w:val="00FE41D0"/>
    <w:rsid w:val="00FE76E2"/>
    <w:rsid w:val="00FE7E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DE0C8"/>
  <w15:chartTrackingRefBased/>
  <w15:docId w15:val="{A5CF4238-C328-475F-9525-528D609D0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86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B6FBB"/>
    <w:pPr>
      <w:ind w:left="720"/>
      <w:contextualSpacing/>
    </w:pPr>
  </w:style>
  <w:style w:type="paragraph" w:styleId="Encabezado">
    <w:name w:val="header"/>
    <w:basedOn w:val="Normal"/>
    <w:link w:val="EncabezadoCar"/>
    <w:uiPriority w:val="99"/>
    <w:unhideWhenUsed/>
    <w:rsid w:val="003F0C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0C37"/>
  </w:style>
  <w:style w:type="paragraph" w:styleId="Piedepgina">
    <w:name w:val="footer"/>
    <w:basedOn w:val="Normal"/>
    <w:link w:val="PiedepginaCar"/>
    <w:uiPriority w:val="99"/>
    <w:unhideWhenUsed/>
    <w:rsid w:val="003F0C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0C37"/>
  </w:style>
  <w:style w:type="paragraph" w:styleId="Textonotapie">
    <w:name w:val="footnote text"/>
    <w:basedOn w:val="Normal"/>
    <w:link w:val="TextonotapieCar"/>
    <w:uiPriority w:val="99"/>
    <w:semiHidden/>
    <w:unhideWhenUsed/>
    <w:rsid w:val="00DB68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B686A"/>
    <w:rPr>
      <w:sz w:val="20"/>
      <w:szCs w:val="20"/>
    </w:rPr>
  </w:style>
  <w:style w:type="character" w:styleId="Refdenotaalpie">
    <w:name w:val="footnote reference"/>
    <w:basedOn w:val="Fuentedeprrafopredeter"/>
    <w:uiPriority w:val="99"/>
    <w:semiHidden/>
    <w:unhideWhenUsed/>
    <w:rsid w:val="00DB686A"/>
    <w:rPr>
      <w:vertAlign w:val="superscript"/>
    </w:rPr>
  </w:style>
  <w:style w:type="paragraph" w:styleId="NormalWeb">
    <w:name w:val="Normal (Web)"/>
    <w:basedOn w:val="Normal"/>
    <w:uiPriority w:val="99"/>
    <w:semiHidden/>
    <w:unhideWhenUsed/>
    <w:rsid w:val="00DB686A"/>
    <w:rPr>
      <w:rFonts w:ascii="Times New Roman" w:hAnsi="Times New Roman" w:cs="Times New Roman"/>
      <w:sz w:val="24"/>
      <w:szCs w:val="24"/>
    </w:rPr>
  </w:style>
  <w:style w:type="character" w:styleId="Hipervnculo">
    <w:name w:val="Hyperlink"/>
    <w:basedOn w:val="Fuentedeprrafopredeter"/>
    <w:uiPriority w:val="99"/>
    <w:unhideWhenUsed/>
    <w:rsid w:val="00DB686A"/>
    <w:rPr>
      <w:color w:val="0563C1" w:themeColor="hyperlink"/>
      <w:u w:val="single"/>
    </w:rPr>
  </w:style>
  <w:style w:type="paragraph" w:styleId="Textonotaalfinal">
    <w:name w:val="endnote text"/>
    <w:basedOn w:val="Normal"/>
    <w:link w:val="TextonotaalfinalCar"/>
    <w:uiPriority w:val="99"/>
    <w:semiHidden/>
    <w:unhideWhenUsed/>
    <w:rsid w:val="00EF4DD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F4DD8"/>
    <w:rPr>
      <w:sz w:val="20"/>
      <w:szCs w:val="20"/>
    </w:rPr>
  </w:style>
  <w:style w:type="character" w:styleId="Refdenotaalfinal">
    <w:name w:val="endnote reference"/>
    <w:basedOn w:val="Fuentedeprrafopredeter"/>
    <w:uiPriority w:val="99"/>
    <w:semiHidden/>
    <w:unhideWhenUsed/>
    <w:rsid w:val="00EF4DD8"/>
    <w:rPr>
      <w:vertAlign w:val="superscript"/>
    </w:rPr>
  </w:style>
  <w:style w:type="table" w:styleId="Tablaconcuadrcula">
    <w:name w:val="Table Grid"/>
    <w:basedOn w:val="Tablanormal"/>
    <w:uiPriority w:val="39"/>
    <w:rsid w:val="00661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D1B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1B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869179">
      <w:bodyDiv w:val="1"/>
      <w:marLeft w:val="0"/>
      <w:marRight w:val="0"/>
      <w:marTop w:val="0"/>
      <w:marBottom w:val="0"/>
      <w:divBdr>
        <w:top w:val="none" w:sz="0" w:space="0" w:color="auto"/>
        <w:left w:val="none" w:sz="0" w:space="0" w:color="auto"/>
        <w:bottom w:val="none" w:sz="0" w:space="0" w:color="auto"/>
        <w:right w:val="none" w:sz="0" w:space="0" w:color="auto"/>
      </w:divBdr>
    </w:div>
    <w:div w:id="407389424">
      <w:bodyDiv w:val="1"/>
      <w:marLeft w:val="0"/>
      <w:marRight w:val="0"/>
      <w:marTop w:val="0"/>
      <w:marBottom w:val="0"/>
      <w:divBdr>
        <w:top w:val="none" w:sz="0" w:space="0" w:color="auto"/>
        <w:left w:val="none" w:sz="0" w:space="0" w:color="auto"/>
        <w:bottom w:val="none" w:sz="0" w:space="0" w:color="auto"/>
        <w:right w:val="none" w:sz="0" w:space="0" w:color="auto"/>
      </w:divBdr>
    </w:div>
    <w:div w:id="493302600">
      <w:bodyDiv w:val="1"/>
      <w:marLeft w:val="0"/>
      <w:marRight w:val="0"/>
      <w:marTop w:val="0"/>
      <w:marBottom w:val="0"/>
      <w:divBdr>
        <w:top w:val="none" w:sz="0" w:space="0" w:color="auto"/>
        <w:left w:val="none" w:sz="0" w:space="0" w:color="auto"/>
        <w:bottom w:val="none" w:sz="0" w:space="0" w:color="auto"/>
        <w:right w:val="none" w:sz="0" w:space="0" w:color="auto"/>
      </w:divBdr>
    </w:div>
    <w:div w:id="699207542">
      <w:bodyDiv w:val="1"/>
      <w:marLeft w:val="0"/>
      <w:marRight w:val="0"/>
      <w:marTop w:val="0"/>
      <w:marBottom w:val="0"/>
      <w:divBdr>
        <w:top w:val="none" w:sz="0" w:space="0" w:color="auto"/>
        <w:left w:val="none" w:sz="0" w:space="0" w:color="auto"/>
        <w:bottom w:val="none" w:sz="0" w:space="0" w:color="auto"/>
        <w:right w:val="none" w:sz="0" w:space="0" w:color="auto"/>
      </w:divBdr>
    </w:div>
    <w:div w:id="882598163">
      <w:bodyDiv w:val="1"/>
      <w:marLeft w:val="0"/>
      <w:marRight w:val="0"/>
      <w:marTop w:val="0"/>
      <w:marBottom w:val="0"/>
      <w:divBdr>
        <w:top w:val="none" w:sz="0" w:space="0" w:color="auto"/>
        <w:left w:val="none" w:sz="0" w:space="0" w:color="auto"/>
        <w:bottom w:val="none" w:sz="0" w:space="0" w:color="auto"/>
        <w:right w:val="none" w:sz="0" w:space="0" w:color="auto"/>
      </w:divBdr>
    </w:div>
    <w:div w:id="1081373060">
      <w:bodyDiv w:val="1"/>
      <w:marLeft w:val="0"/>
      <w:marRight w:val="0"/>
      <w:marTop w:val="0"/>
      <w:marBottom w:val="0"/>
      <w:divBdr>
        <w:top w:val="none" w:sz="0" w:space="0" w:color="auto"/>
        <w:left w:val="none" w:sz="0" w:space="0" w:color="auto"/>
        <w:bottom w:val="none" w:sz="0" w:space="0" w:color="auto"/>
        <w:right w:val="none" w:sz="0" w:space="0" w:color="auto"/>
      </w:divBdr>
    </w:div>
    <w:div w:id="1201554847">
      <w:bodyDiv w:val="1"/>
      <w:marLeft w:val="0"/>
      <w:marRight w:val="0"/>
      <w:marTop w:val="0"/>
      <w:marBottom w:val="0"/>
      <w:divBdr>
        <w:top w:val="none" w:sz="0" w:space="0" w:color="auto"/>
        <w:left w:val="none" w:sz="0" w:space="0" w:color="auto"/>
        <w:bottom w:val="none" w:sz="0" w:space="0" w:color="auto"/>
        <w:right w:val="none" w:sz="0" w:space="0" w:color="auto"/>
      </w:divBdr>
    </w:div>
    <w:div w:id="1237786662">
      <w:bodyDiv w:val="1"/>
      <w:marLeft w:val="0"/>
      <w:marRight w:val="0"/>
      <w:marTop w:val="0"/>
      <w:marBottom w:val="0"/>
      <w:divBdr>
        <w:top w:val="none" w:sz="0" w:space="0" w:color="auto"/>
        <w:left w:val="none" w:sz="0" w:space="0" w:color="auto"/>
        <w:bottom w:val="none" w:sz="0" w:space="0" w:color="auto"/>
        <w:right w:val="none" w:sz="0" w:space="0" w:color="auto"/>
      </w:divBdr>
    </w:div>
    <w:div w:id="1431242929">
      <w:bodyDiv w:val="1"/>
      <w:marLeft w:val="0"/>
      <w:marRight w:val="0"/>
      <w:marTop w:val="0"/>
      <w:marBottom w:val="0"/>
      <w:divBdr>
        <w:top w:val="none" w:sz="0" w:space="0" w:color="auto"/>
        <w:left w:val="none" w:sz="0" w:space="0" w:color="auto"/>
        <w:bottom w:val="none" w:sz="0" w:space="0" w:color="auto"/>
        <w:right w:val="none" w:sz="0" w:space="0" w:color="auto"/>
      </w:divBdr>
    </w:div>
    <w:div w:id="1541357781">
      <w:bodyDiv w:val="1"/>
      <w:marLeft w:val="0"/>
      <w:marRight w:val="0"/>
      <w:marTop w:val="0"/>
      <w:marBottom w:val="0"/>
      <w:divBdr>
        <w:top w:val="none" w:sz="0" w:space="0" w:color="auto"/>
        <w:left w:val="none" w:sz="0" w:space="0" w:color="auto"/>
        <w:bottom w:val="none" w:sz="0" w:space="0" w:color="auto"/>
        <w:right w:val="none" w:sz="0" w:space="0" w:color="auto"/>
      </w:divBdr>
    </w:div>
    <w:div w:id="1558399594">
      <w:bodyDiv w:val="1"/>
      <w:marLeft w:val="0"/>
      <w:marRight w:val="0"/>
      <w:marTop w:val="0"/>
      <w:marBottom w:val="0"/>
      <w:divBdr>
        <w:top w:val="none" w:sz="0" w:space="0" w:color="auto"/>
        <w:left w:val="none" w:sz="0" w:space="0" w:color="auto"/>
        <w:bottom w:val="none" w:sz="0" w:space="0" w:color="auto"/>
        <w:right w:val="none" w:sz="0" w:space="0" w:color="auto"/>
      </w:divBdr>
    </w:div>
    <w:div w:id="1608001602">
      <w:bodyDiv w:val="1"/>
      <w:marLeft w:val="0"/>
      <w:marRight w:val="0"/>
      <w:marTop w:val="0"/>
      <w:marBottom w:val="0"/>
      <w:divBdr>
        <w:top w:val="none" w:sz="0" w:space="0" w:color="auto"/>
        <w:left w:val="none" w:sz="0" w:space="0" w:color="auto"/>
        <w:bottom w:val="none" w:sz="0" w:space="0" w:color="auto"/>
        <w:right w:val="none" w:sz="0" w:space="0" w:color="auto"/>
      </w:divBdr>
    </w:div>
    <w:div w:id="1620605698">
      <w:bodyDiv w:val="1"/>
      <w:marLeft w:val="0"/>
      <w:marRight w:val="0"/>
      <w:marTop w:val="0"/>
      <w:marBottom w:val="0"/>
      <w:divBdr>
        <w:top w:val="none" w:sz="0" w:space="0" w:color="auto"/>
        <w:left w:val="none" w:sz="0" w:space="0" w:color="auto"/>
        <w:bottom w:val="none" w:sz="0" w:space="0" w:color="auto"/>
        <w:right w:val="none" w:sz="0" w:space="0" w:color="auto"/>
      </w:divBdr>
    </w:div>
    <w:div w:id="1653757171">
      <w:bodyDiv w:val="1"/>
      <w:marLeft w:val="0"/>
      <w:marRight w:val="0"/>
      <w:marTop w:val="0"/>
      <w:marBottom w:val="0"/>
      <w:divBdr>
        <w:top w:val="none" w:sz="0" w:space="0" w:color="auto"/>
        <w:left w:val="none" w:sz="0" w:space="0" w:color="auto"/>
        <w:bottom w:val="none" w:sz="0" w:space="0" w:color="auto"/>
        <w:right w:val="none" w:sz="0" w:space="0" w:color="auto"/>
      </w:divBdr>
    </w:div>
    <w:div w:id="1679696615">
      <w:bodyDiv w:val="1"/>
      <w:marLeft w:val="0"/>
      <w:marRight w:val="0"/>
      <w:marTop w:val="0"/>
      <w:marBottom w:val="0"/>
      <w:divBdr>
        <w:top w:val="none" w:sz="0" w:space="0" w:color="auto"/>
        <w:left w:val="none" w:sz="0" w:space="0" w:color="auto"/>
        <w:bottom w:val="none" w:sz="0" w:space="0" w:color="auto"/>
        <w:right w:val="none" w:sz="0" w:space="0" w:color="auto"/>
      </w:divBdr>
    </w:div>
    <w:div w:id="1869173718">
      <w:bodyDiv w:val="1"/>
      <w:marLeft w:val="0"/>
      <w:marRight w:val="0"/>
      <w:marTop w:val="0"/>
      <w:marBottom w:val="0"/>
      <w:divBdr>
        <w:top w:val="none" w:sz="0" w:space="0" w:color="auto"/>
        <w:left w:val="none" w:sz="0" w:space="0" w:color="auto"/>
        <w:bottom w:val="none" w:sz="0" w:space="0" w:color="auto"/>
        <w:right w:val="none" w:sz="0" w:space="0" w:color="auto"/>
      </w:divBdr>
    </w:div>
    <w:div w:id="1995602676">
      <w:bodyDiv w:val="1"/>
      <w:marLeft w:val="0"/>
      <w:marRight w:val="0"/>
      <w:marTop w:val="0"/>
      <w:marBottom w:val="0"/>
      <w:divBdr>
        <w:top w:val="none" w:sz="0" w:space="0" w:color="auto"/>
        <w:left w:val="none" w:sz="0" w:space="0" w:color="auto"/>
        <w:bottom w:val="none" w:sz="0" w:space="0" w:color="auto"/>
        <w:right w:val="none" w:sz="0" w:space="0" w:color="auto"/>
      </w:divBdr>
    </w:div>
    <w:div w:id="2064285568">
      <w:bodyDiv w:val="1"/>
      <w:marLeft w:val="0"/>
      <w:marRight w:val="0"/>
      <w:marTop w:val="0"/>
      <w:marBottom w:val="0"/>
      <w:divBdr>
        <w:top w:val="none" w:sz="0" w:space="0" w:color="auto"/>
        <w:left w:val="none" w:sz="0" w:space="0" w:color="auto"/>
        <w:bottom w:val="none" w:sz="0" w:space="0" w:color="auto"/>
        <w:right w:val="none" w:sz="0" w:space="0" w:color="auto"/>
      </w:divBdr>
    </w:div>
    <w:div w:id="210718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tandfonline.com/doi/abs/10.1080/0022038090314766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ASTIBLANCO%20RAMIREZ\Desktop\HR%20Erasmo%20Zuleta%20Bechara\Flujos%20Pensiones%20Extranjero1\Portafolio%20FPC%20consolidad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s-ES" sz="1200" b="1"/>
              <a:t>Nuevos</a:t>
            </a:r>
            <a:r>
              <a:rPr lang="es-ES" sz="1200" b="1" baseline="0"/>
              <a:t> Fondos de Capital Privado Colombianos por Año</a:t>
            </a:r>
            <a:endParaRPr lang="es-E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01-4082-95AC-FB1D80F8D57E}"/>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01-4082-95AC-FB1D80F8D57E}"/>
                </c:ext>
              </c:extLst>
            </c:dLbl>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01-4082-95AC-FB1D80F8D5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'Cuadro limites'!$AR$69:$AR$81</c:f>
              <c:numCache>
                <c:formatCode>m/d/yyyy</c:formatCode>
                <c:ptCount val="13"/>
                <c:pt idx="0">
                  <c:v>38718</c:v>
                </c:pt>
                <c:pt idx="1">
                  <c:v>39083</c:v>
                </c:pt>
                <c:pt idx="2">
                  <c:v>39448</c:v>
                </c:pt>
                <c:pt idx="3">
                  <c:v>39814</c:v>
                </c:pt>
                <c:pt idx="4">
                  <c:v>40179</c:v>
                </c:pt>
                <c:pt idx="5">
                  <c:v>40544</c:v>
                </c:pt>
                <c:pt idx="6">
                  <c:v>40909</c:v>
                </c:pt>
                <c:pt idx="7">
                  <c:v>41275</c:v>
                </c:pt>
                <c:pt idx="8">
                  <c:v>41640</c:v>
                </c:pt>
                <c:pt idx="9">
                  <c:v>42005</c:v>
                </c:pt>
                <c:pt idx="10">
                  <c:v>42370</c:v>
                </c:pt>
                <c:pt idx="11">
                  <c:v>42736</c:v>
                </c:pt>
                <c:pt idx="12">
                  <c:v>43101</c:v>
                </c:pt>
              </c:numCache>
            </c:numRef>
          </c:cat>
          <c:val>
            <c:numRef>
              <c:f>'Cuadro limites'!$AS$69:$AS$81</c:f>
              <c:numCache>
                <c:formatCode>General</c:formatCode>
                <c:ptCount val="13"/>
                <c:pt idx="0">
                  <c:v>2</c:v>
                </c:pt>
                <c:pt idx="1">
                  <c:v>6</c:v>
                </c:pt>
                <c:pt idx="2">
                  <c:v>4</c:v>
                </c:pt>
                <c:pt idx="3">
                  <c:v>6</c:v>
                </c:pt>
                <c:pt idx="4">
                  <c:v>9</c:v>
                </c:pt>
                <c:pt idx="5">
                  <c:v>6</c:v>
                </c:pt>
                <c:pt idx="6">
                  <c:v>4</c:v>
                </c:pt>
                <c:pt idx="7">
                  <c:v>6</c:v>
                </c:pt>
                <c:pt idx="8">
                  <c:v>8</c:v>
                </c:pt>
                <c:pt idx="9">
                  <c:v>5</c:v>
                </c:pt>
                <c:pt idx="10">
                  <c:v>4</c:v>
                </c:pt>
                <c:pt idx="11">
                  <c:v>5</c:v>
                </c:pt>
                <c:pt idx="12">
                  <c:v>6</c:v>
                </c:pt>
              </c:numCache>
            </c:numRef>
          </c:val>
          <c:extLst>
            <c:ext xmlns:c16="http://schemas.microsoft.com/office/drawing/2014/chart" uri="{C3380CC4-5D6E-409C-BE32-E72D297353CC}">
              <c16:uniqueId val="{00000003-CA01-4082-95AC-FB1D80F8D57E}"/>
            </c:ext>
          </c:extLst>
        </c:ser>
        <c:dLbls>
          <c:showLegendKey val="0"/>
          <c:showVal val="0"/>
          <c:showCatName val="0"/>
          <c:showSerName val="0"/>
          <c:showPercent val="0"/>
          <c:showBubbleSize val="0"/>
        </c:dLbls>
        <c:gapWidth val="75"/>
        <c:overlap val="-25"/>
        <c:axId val="-1217722800"/>
        <c:axId val="-1217720624"/>
      </c:barChart>
      <c:lineChart>
        <c:grouping val="standard"/>
        <c:varyColors val="0"/>
        <c:ser>
          <c:idx val="1"/>
          <c:order val="1"/>
          <c:tx>
            <c:strRef>
              <c:f>'Cuadro limites'!$AT$68</c:f>
              <c:strCache>
                <c:ptCount val="1"/>
                <c:pt idx="0">
                  <c:v>Promedio 3 años</c:v>
                </c:pt>
              </c:strCache>
            </c:strRef>
          </c:tx>
          <c:spPr>
            <a:ln w="38100" cap="rnd">
              <a:solidFill>
                <a:srgbClr val="FF6600"/>
              </a:solidFill>
              <a:prstDash val="sysDash"/>
              <a:round/>
            </a:ln>
            <a:effectLst/>
          </c:spPr>
          <c:marker>
            <c:symbol val="none"/>
          </c:marker>
          <c:dLbls>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01-4082-95AC-FB1D80F8D5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6600"/>
                    </a:solidFill>
                    <a:latin typeface="+mn-lt"/>
                    <a:ea typeface="+mn-ea"/>
                    <a:cs typeface="+mn-cs"/>
                  </a:defRPr>
                </a:pPr>
                <a:endParaRPr lang="es-CO"/>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'Cuadro limites'!$AR$69:$AR$81</c:f>
              <c:numCache>
                <c:formatCode>m/d/yyyy</c:formatCode>
                <c:ptCount val="13"/>
                <c:pt idx="0">
                  <c:v>38718</c:v>
                </c:pt>
                <c:pt idx="1">
                  <c:v>39083</c:v>
                </c:pt>
                <c:pt idx="2">
                  <c:v>39448</c:v>
                </c:pt>
                <c:pt idx="3">
                  <c:v>39814</c:v>
                </c:pt>
                <c:pt idx="4">
                  <c:v>40179</c:v>
                </c:pt>
                <c:pt idx="5">
                  <c:v>40544</c:v>
                </c:pt>
                <c:pt idx="6">
                  <c:v>40909</c:v>
                </c:pt>
                <c:pt idx="7">
                  <c:v>41275</c:v>
                </c:pt>
                <c:pt idx="8">
                  <c:v>41640</c:v>
                </c:pt>
                <c:pt idx="9">
                  <c:v>42005</c:v>
                </c:pt>
                <c:pt idx="10">
                  <c:v>42370</c:v>
                </c:pt>
                <c:pt idx="11">
                  <c:v>42736</c:v>
                </c:pt>
                <c:pt idx="12">
                  <c:v>43101</c:v>
                </c:pt>
              </c:numCache>
            </c:numRef>
          </c:cat>
          <c:val>
            <c:numRef>
              <c:f>'Cuadro limites'!$AT$69:$AT$81</c:f>
              <c:numCache>
                <c:formatCode>General</c:formatCode>
                <c:ptCount val="13"/>
                <c:pt idx="10" formatCode="0.0">
                  <c:v>5</c:v>
                </c:pt>
                <c:pt idx="11" formatCode="0.0">
                  <c:v>5</c:v>
                </c:pt>
                <c:pt idx="12" formatCode="0.0">
                  <c:v>5</c:v>
                </c:pt>
              </c:numCache>
            </c:numRef>
          </c:val>
          <c:smooth val="0"/>
          <c:extLst>
            <c:ext xmlns:c16="http://schemas.microsoft.com/office/drawing/2014/chart" uri="{C3380CC4-5D6E-409C-BE32-E72D297353CC}">
              <c16:uniqueId val="{00000005-CA01-4082-95AC-FB1D80F8D57E}"/>
            </c:ext>
          </c:extLst>
        </c:ser>
        <c:ser>
          <c:idx val="2"/>
          <c:order val="2"/>
          <c:tx>
            <c:strRef>
              <c:f>'Cuadro limites'!$AT$68</c:f>
              <c:strCache>
                <c:ptCount val="1"/>
                <c:pt idx="0">
                  <c:v>Promedio 3 años</c:v>
                </c:pt>
              </c:strCache>
            </c:strRef>
          </c:tx>
          <c:spPr>
            <a:ln w="38100" cap="rnd">
              <a:solidFill>
                <a:srgbClr val="FF6600"/>
              </a:solidFill>
              <a:prstDash val="sysDash"/>
              <a:round/>
            </a:ln>
            <a:effectLst/>
          </c:spPr>
          <c:marker>
            <c:symbol val="none"/>
          </c:marker>
          <c:dLbls>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01-4082-95AC-FB1D80F8D5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6600"/>
                    </a:solidFill>
                    <a:latin typeface="+mn-lt"/>
                    <a:ea typeface="+mn-ea"/>
                    <a:cs typeface="+mn-cs"/>
                  </a:defRPr>
                </a:pPr>
                <a:endParaRPr lang="es-CO"/>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'Cuadro limites'!$AR$69:$AR$81</c:f>
              <c:numCache>
                <c:formatCode>m/d/yyyy</c:formatCode>
                <c:ptCount val="13"/>
                <c:pt idx="0">
                  <c:v>38718</c:v>
                </c:pt>
                <c:pt idx="1">
                  <c:v>39083</c:v>
                </c:pt>
                <c:pt idx="2">
                  <c:v>39448</c:v>
                </c:pt>
                <c:pt idx="3">
                  <c:v>39814</c:v>
                </c:pt>
                <c:pt idx="4">
                  <c:v>40179</c:v>
                </c:pt>
                <c:pt idx="5">
                  <c:v>40544</c:v>
                </c:pt>
                <c:pt idx="6">
                  <c:v>40909</c:v>
                </c:pt>
                <c:pt idx="7">
                  <c:v>41275</c:v>
                </c:pt>
                <c:pt idx="8">
                  <c:v>41640</c:v>
                </c:pt>
                <c:pt idx="9">
                  <c:v>42005</c:v>
                </c:pt>
                <c:pt idx="10">
                  <c:v>42370</c:v>
                </c:pt>
                <c:pt idx="11">
                  <c:v>42736</c:v>
                </c:pt>
                <c:pt idx="12">
                  <c:v>43101</c:v>
                </c:pt>
              </c:numCache>
            </c:numRef>
          </c:cat>
          <c:val>
            <c:numRef>
              <c:f>'Cuadro limites'!$AU$69:$AU$81</c:f>
              <c:numCache>
                <c:formatCode>General</c:formatCode>
                <c:ptCount val="13"/>
                <c:pt idx="7" formatCode="0.0">
                  <c:v>6.333333333333333</c:v>
                </c:pt>
                <c:pt idx="8" formatCode="0.0">
                  <c:v>6.333333333333333</c:v>
                </c:pt>
                <c:pt idx="9" formatCode="0.0">
                  <c:v>6.333333333333333</c:v>
                </c:pt>
              </c:numCache>
            </c:numRef>
          </c:val>
          <c:smooth val="0"/>
          <c:extLst>
            <c:ext xmlns:c16="http://schemas.microsoft.com/office/drawing/2014/chart" uri="{C3380CC4-5D6E-409C-BE32-E72D297353CC}">
              <c16:uniqueId val="{00000007-CA01-4082-95AC-FB1D80F8D57E}"/>
            </c:ext>
          </c:extLst>
        </c:ser>
        <c:ser>
          <c:idx val="3"/>
          <c:order val="3"/>
          <c:tx>
            <c:strRef>
              <c:f>'Cuadro limites'!$AT$68</c:f>
              <c:strCache>
                <c:ptCount val="1"/>
                <c:pt idx="0">
                  <c:v>Promedio 3 años</c:v>
                </c:pt>
              </c:strCache>
            </c:strRef>
          </c:tx>
          <c:spPr>
            <a:ln w="38100" cap="rnd">
              <a:solidFill>
                <a:srgbClr val="FF6600"/>
              </a:solidFill>
              <a:prstDash val="sysDash"/>
              <a:round/>
            </a:ln>
            <a:effectLst/>
          </c:spPr>
          <c:marker>
            <c:symbol val="none"/>
          </c:marker>
          <c:dLbls>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A01-4082-95AC-FB1D80F8D5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6600"/>
                    </a:solidFill>
                    <a:latin typeface="+mn-lt"/>
                    <a:ea typeface="+mn-ea"/>
                    <a:cs typeface="+mn-cs"/>
                  </a:defRPr>
                </a:pPr>
                <a:endParaRPr lang="es-CO"/>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'Cuadro limites'!$AR$69:$AR$81</c:f>
              <c:numCache>
                <c:formatCode>m/d/yyyy</c:formatCode>
                <c:ptCount val="13"/>
                <c:pt idx="0">
                  <c:v>38718</c:v>
                </c:pt>
                <c:pt idx="1">
                  <c:v>39083</c:v>
                </c:pt>
                <c:pt idx="2">
                  <c:v>39448</c:v>
                </c:pt>
                <c:pt idx="3">
                  <c:v>39814</c:v>
                </c:pt>
                <c:pt idx="4">
                  <c:v>40179</c:v>
                </c:pt>
                <c:pt idx="5">
                  <c:v>40544</c:v>
                </c:pt>
                <c:pt idx="6">
                  <c:v>40909</c:v>
                </c:pt>
                <c:pt idx="7">
                  <c:v>41275</c:v>
                </c:pt>
                <c:pt idx="8">
                  <c:v>41640</c:v>
                </c:pt>
                <c:pt idx="9">
                  <c:v>42005</c:v>
                </c:pt>
                <c:pt idx="10">
                  <c:v>42370</c:v>
                </c:pt>
                <c:pt idx="11">
                  <c:v>42736</c:v>
                </c:pt>
                <c:pt idx="12">
                  <c:v>43101</c:v>
                </c:pt>
              </c:numCache>
            </c:numRef>
          </c:cat>
          <c:val>
            <c:numRef>
              <c:f>'Cuadro limites'!$AV$69:$AV$81</c:f>
              <c:numCache>
                <c:formatCode>General</c:formatCode>
                <c:ptCount val="13"/>
                <c:pt idx="4" formatCode="0.0">
                  <c:v>6.333333333333333</c:v>
                </c:pt>
                <c:pt idx="5" formatCode="0.0">
                  <c:v>6.333333333333333</c:v>
                </c:pt>
                <c:pt idx="6" formatCode="0.0">
                  <c:v>6.333333333333333</c:v>
                </c:pt>
              </c:numCache>
            </c:numRef>
          </c:val>
          <c:smooth val="0"/>
          <c:extLst>
            <c:ext xmlns:c16="http://schemas.microsoft.com/office/drawing/2014/chart" uri="{C3380CC4-5D6E-409C-BE32-E72D297353CC}">
              <c16:uniqueId val="{00000009-CA01-4082-95AC-FB1D80F8D57E}"/>
            </c:ext>
          </c:extLst>
        </c:ser>
        <c:ser>
          <c:idx val="4"/>
          <c:order val="4"/>
          <c:tx>
            <c:strRef>
              <c:f>'Cuadro limites'!$AT$68</c:f>
              <c:strCache>
                <c:ptCount val="1"/>
                <c:pt idx="0">
                  <c:v>Promedio 3 años</c:v>
                </c:pt>
              </c:strCache>
            </c:strRef>
          </c:tx>
          <c:spPr>
            <a:ln w="38100" cap="rnd">
              <a:solidFill>
                <a:srgbClr val="FF6600"/>
              </a:solidFill>
              <a:prstDash val="sysDash"/>
              <a:round/>
            </a:ln>
            <a:effectLst/>
          </c:spPr>
          <c:marker>
            <c:symbol val="none"/>
          </c:marker>
          <c:dLbls>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A01-4082-95AC-FB1D80F8D5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6600"/>
                    </a:solidFill>
                    <a:latin typeface="+mn-lt"/>
                    <a:ea typeface="+mn-ea"/>
                    <a:cs typeface="+mn-cs"/>
                  </a:defRPr>
                </a:pPr>
                <a:endParaRPr lang="es-CO"/>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'Cuadro limites'!$AR$69:$AR$81</c:f>
              <c:numCache>
                <c:formatCode>m/d/yyyy</c:formatCode>
                <c:ptCount val="13"/>
                <c:pt idx="0">
                  <c:v>38718</c:v>
                </c:pt>
                <c:pt idx="1">
                  <c:v>39083</c:v>
                </c:pt>
                <c:pt idx="2">
                  <c:v>39448</c:v>
                </c:pt>
                <c:pt idx="3">
                  <c:v>39814</c:v>
                </c:pt>
                <c:pt idx="4">
                  <c:v>40179</c:v>
                </c:pt>
                <c:pt idx="5">
                  <c:v>40544</c:v>
                </c:pt>
                <c:pt idx="6">
                  <c:v>40909</c:v>
                </c:pt>
                <c:pt idx="7">
                  <c:v>41275</c:v>
                </c:pt>
                <c:pt idx="8">
                  <c:v>41640</c:v>
                </c:pt>
                <c:pt idx="9">
                  <c:v>42005</c:v>
                </c:pt>
                <c:pt idx="10">
                  <c:v>42370</c:v>
                </c:pt>
                <c:pt idx="11">
                  <c:v>42736</c:v>
                </c:pt>
                <c:pt idx="12">
                  <c:v>43101</c:v>
                </c:pt>
              </c:numCache>
            </c:numRef>
          </c:cat>
          <c:val>
            <c:numRef>
              <c:f>'Cuadro limites'!$AW$69:$AW$81</c:f>
              <c:numCache>
                <c:formatCode>0.0</c:formatCode>
                <c:ptCount val="13"/>
                <c:pt idx="1">
                  <c:v>5.333333333333333</c:v>
                </c:pt>
                <c:pt idx="2">
                  <c:v>5.333333333333333</c:v>
                </c:pt>
                <c:pt idx="3">
                  <c:v>5.333333333333333</c:v>
                </c:pt>
              </c:numCache>
            </c:numRef>
          </c:val>
          <c:smooth val="0"/>
          <c:extLst>
            <c:ext xmlns:c16="http://schemas.microsoft.com/office/drawing/2014/chart" uri="{C3380CC4-5D6E-409C-BE32-E72D297353CC}">
              <c16:uniqueId val="{0000000B-CA01-4082-95AC-FB1D80F8D57E}"/>
            </c:ext>
          </c:extLst>
        </c:ser>
        <c:dLbls>
          <c:showLegendKey val="0"/>
          <c:showVal val="0"/>
          <c:showCatName val="0"/>
          <c:showSerName val="0"/>
          <c:showPercent val="0"/>
          <c:showBubbleSize val="0"/>
        </c:dLbls>
        <c:marker val="1"/>
        <c:smooth val="0"/>
        <c:axId val="-1217722800"/>
        <c:axId val="-1217720624"/>
      </c:lineChart>
      <c:dateAx>
        <c:axId val="-1217722800"/>
        <c:scaling>
          <c:orientation val="minMax"/>
        </c:scaling>
        <c:delete val="0"/>
        <c:axPos val="b"/>
        <c:numFmt formatCode="yyyy"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17720624"/>
        <c:crosses val="autoZero"/>
        <c:auto val="1"/>
        <c:lblOffset val="100"/>
        <c:baseTimeUnit val="years"/>
      </c:dateAx>
      <c:valAx>
        <c:axId val="-12177206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17722800"/>
        <c:crosses val="autoZero"/>
        <c:crossBetween val="between"/>
      </c:valAx>
      <c:spPr>
        <a:noFill/>
        <a:ln>
          <a:noFill/>
        </a:ln>
        <a:effectLst/>
      </c:spPr>
    </c:plotArea>
    <c:legend>
      <c:legendPos val="b"/>
      <c:legendEntry>
        <c:idx val="0"/>
        <c:delete val="1"/>
      </c:legendEntry>
      <c:legendEntry>
        <c:idx val="2"/>
        <c:delete val="1"/>
      </c:legendEntry>
      <c:legendEntry>
        <c:idx val="3"/>
        <c:delete val="1"/>
      </c:legendEntry>
      <c:legendEntry>
        <c:idx val="4"/>
        <c:delete val="1"/>
      </c:legendEntry>
      <c:layout>
        <c:manualLayout>
          <c:xMode val="edge"/>
          <c:yMode val="edge"/>
          <c:x val="0.33410761154855645"/>
          <c:y val="0.91661374011416885"/>
          <c:w val="0.33178477690288716"/>
          <c:h val="7.01849397538178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F20D4-7A5F-4AE7-ACCC-3F0940178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8519</Words>
  <Characters>46855</Characters>
  <Application>Microsoft Office Word</Application>
  <DocSecurity>0</DocSecurity>
  <Lines>390</Lines>
  <Paragraphs>110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Mateo Gonzalez</dc:creator>
  <cp:keywords/>
  <dc:description/>
  <cp:lastModifiedBy>hasbleidy suarez</cp:lastModifiedBy>
  <cp:revision>2</cp:revision>
  <cp:lastPrinted>2020-02-05T00:00:00Z</cp:lastPrinted>
  <dcterms:created xsi:type="dcterms:W3CDTF">2020-02-10T15:14:00Z</dcterms:created>
  <dcterms:modified xsi:type="dcterms:W3CDTF">2020-02-10T15:14:00Z</dcterms:modified>
</cp:coreProperties>
</file>