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68" w:rsidRPr="001A2F27" w:rsidRDefault="00F24B68" w:rsidP="00F24B68">
      <w:pPr>
        <w:spacing w:after="0" w:line="240" w:lineRule="auto"/>
        <w:jc w:val="both"/>
        <w:rPr>
          <w:rFonts w:ascii="Century Gothic" w:eastAsia="Times New Roman" w:hAnsi="Century Gothic" w:cs="Times New Roman"/>
          <w:lang w:val="es-ES_tradnl" w:eastAsia="es-ES"/>
        </w:rPr>
      </w:pPr>
      <w:bookmarkStart w:id="0" w:name="_GoBack"/>
      <w:bookmarkEnd w:id="0"/>
      <w:r w:rsidRPr="001A2F27">
        <w:rPr>
          <w:rFonts w:ascii="Century Gothic" w:eastAsia="Times New Roman" w:hAnsi="Century Gothic" w:cs="Times New Roman"/>
          <w:lang w:val="es-ES_tradnl" w:eastAsia="es-ES"/>
        </w:rPr>
        <w:t>Bogotá D.C,</w:t>
      </w:r>
      <w:r>
        <w:rPr>
          <w:rFonts w:ascii="Century Gothic" w:eastAsia="Times New Roman" w:hAnsi="Century Gothic" w:cs="Times New Roman"/>
          <w:lang w:val="es-ES_tradnl" w:eastAsia="es-ES"/>
        </w:rPr>
        <w:t xml:space="preserve"> 13 de</w:t>
      </w:r>
      <w:r w:rsidRPr="001A2F27">
        <w:rPr>
          <w:rFonts w:ascii="Century Gothic" w:eastAsia="Times New Roman" w:hAnsi="Century Gothic" w:cs="Times New Roman"/>
          <w:lang w:val="es-ES_tradnl" w:eastAsia="es-ES"/>
        </w:rPr>
        <w:t xml:space="preserve"> diciembre de 2018</w:t>
      </w:r>
    </w:p>
    <w:p w:rsidR="00F24B68" w:rsidRPr="001A2F27" w:rsidRDefault="00F24B68" w:rsidP="00F24B68">
      <w:pPr>
        <w:spacing w:after="0" w:line="240" w:lineRule="auto"/>
        <w:jc w:val="both"/>
        <w:rPr>
          <w:rFonts w:ascii="Century Gothic" w:eastAsia="Calibri" w:hAnsi="Century Gothic" w:cs="Times New Roman"/>
          <w:lang w:val="es-ES_tradnl" w:eastAsia="es-ES"/>
        </w:rPr>
      </w:pPr>
    </w:p>
    <w:p w:rsidR="00F24B68" w:rsidRPr="001A2F27" w:rsidRDefault="005C2C77" w:rsidP="00F24B68">
      <w:pPr>
        <w:spacing w:after="0" w:line="240" w:lineRule="auto"/>
        <w:jc w:val="both"/>
        <w:rPr>
          <w:rFonts w:ascii="Century Gothic" w:eastAsia="Calibri" w:hAnsi="Century Gothic" w:cs="Times New Roman"/>
          <w:lang w:val="es-ES_tradnl" w:eastAsia="es-ES"/>
        </w:rPr>
      </w:pPr>
      <w:r>
        <w:rPr>
          <w:rFonts w:ascii="Century Gothic" w:eastAsia="Calibri" w:hAnsi="Century Gothic" w:cs="Times New Roman"/>
          <w:lang w:val="es-ES_tradnl" w:eastAsia="es-ES"/>
        </w:rPr>
        <w:t>Respetado</w:t>
      </w:r>
    </w:p>
    <w:p w:rsidR="005C2C77" w:rsidRDefault="005C2C77" w:rsidP="00F24B68">
      <w:pPr>
        <w:spacing w:after="0" w:line="240" w:lineRule="auto"/>
        <w:jc w:val="both"/>
        <w:rPr>
          <w:rFonts w:ascii="Century Gothic" w:hAnsi="Century Gothic" w:cs="Times New Roman"/>
          <w:b/>
          <w:shd w:val="clear" w:color="auto" w:fill="FFFFFF"/>
        </w:rPr>
      </w:pPr>
      <w:r w:rsidRPr="005C2C77">
        <w:rPr>
          <w:rFonts w:ascii="Century Gothic" w:hAnsi="Century Gothic" w:cs="Times New Roman"/>
          <w:b/>
          <w:shd w:val="clear" w:color="auto" w:fill="FFFFFF"/>
        </w:rPr>
        <w:t>JORGE HUMBERTO MANTILLA</w:t>
      </w:r>
    </w:p>
    <w:p w:rsidR="00F24B68" w:rsidRPr="001A2F27" w:rsidRDefault="005C2C77" w:rsidP="00F24B68">
      <w:pPr>
        <w:spacing w:after="0" w:line="240" w:lineRule="auto"/>
        <w:jc w:val="both"/>
        <w:rPr>
          <w:rFonts w:ascii="Century Gothic" w:eastAsia="Calibri" w:hAnsi="Century Gothic" w:cs="Times New Roman"/>
          <w:lang w:val="es-ES_tradnl" w:eastAsia="es-ES"/>
        </w:rPr>
      </w:pPr>
      <w:r>
        <w:rPr>
          <w:rFonts w:ascii="Century Gothic" w:eastAsia="Calibri" w:hAnsi="Century Gothic" w:cs="Times New Roman"/>
          <w:lang w:val="es-ES_tradnl" w:eastAsia="es-ES"/>
        </w:rPr>
        <w:t>Secretario General</w:t>
      </w:r>
      <w:r>
        <w:rPr>
          <w:rFonts w:ascii="Century Gothic" w:eastAsia="Calibri" w:hAnsi="Century Gothic" w:cs="Times New Roman"/>
          <w:lang w:val="es-ES_tradnl" w:eastAsia="es-ES"/>
        </w:rPr>
        <w:tab/>
      </w:r>
    </w:p>
    <w:p w:rsidR="00F24B68" w:rsidRDefault="005C2C77" w:rsidP="00F24B68">
      <w:pPr>
        <w:spacing w:after="0" w:line="240" w:lineRule="auto"/>
        <w:jc w:val="both"/>
        <w:rPr>
          <w:rFonts w:ascii="Century Gothic" w:eastAsia="Calibri" w:hAnsi="Century Gothic" w:cs="Times New Roman"/>
          <w:lang w:val="es-ES_tradnl" w:eastAsia="es-ES"/>
        </w:rPr>
      </w:pPr>
      <w:r>
        <w:rPr>
          <w:rFonts w:ascii="Century Gothic" w:eastAsia="Calibri" w:hAnsi="Century Gothic" w:cs="Times New Roman"/>
          <w:lang w:val="es-ES_tradnl" w:eastAsia="es-ES"/>
        </w:rPr>
        <w:t xml:space="preserve">Cámara de Representantes </w:t>
      </w:r>
      <w:r w:rsidR="00F24B68" w:rsidRPr="001A2F27">
        <w:rPr>
          <w:rFonts w:ascii="Century Gothic" w:eastAsia="Calibri" w:hAnsi="Century Gothic" w:cs="Times New Roman"/>
          <w:lang w:val="es-ES_tradnl" w:eastAsia="es-ES"/>
        </w:rPr>
        <w:t xml:space="preserve">de la República </w:t>
      </w:r>
    </w:p>
    <w:p w:rsidR="005C2C77" w:rsidRDefault="005C2C77" w:rsidP="00F24B68">
      <w:pPr>
        <w:spacing w:after="0" w:line="240" w:lineRule="auto"/>
        <w:jc w:val="both"/>
        <w:rPr>
          <w:rFonts w:ascii="Century Gothic" w:eastAsia="Calibri" w:hAnsi="Century Gothic" w:cs="Times New Roman"/>
          <w:lang w:val="es-ES_tradnl" w:eastAsia="es-ES"/>
        </w:rPr>
      </w:pPr>
    </w:p>
    <w:p w:rsidR="005C2C77" w:rsidRDefault="005C2C77" w:rsidP="00F24B68">
      <w:pPr>
        <w:spacing w:after="0" w:line="240" w:lineRule="auto"/>
        <w:jc w:val="both"/>
        <w:rPr>
          <w:rFonts w:ascii="Century Gothic" w:eastAsia="Calibri" w:hAnsi="Century Gothic" w:cs="Times New Roman"/>
          <w:lang w:val="es-ES_tradnl" w:eastAsia="es-ES"/>
        </w:rPr>
      </w:pPr>
    </w:p>
    <w:tbl>
      <w:tblPr>
        <w:tblStyle w:val="Tablaconcuadrcula"/>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516"/>
      </w:tblGrid>
      <w:tr w:rsidR="005C2C77" w:rsidRPr="001A2F27" w:rsidTr="00D21331">
        <w:trPr>
          <w:trHeight w:val="1245"/>
        </w:trPr>
        <w:tc>
          <w:tcPr>
            <w:tcW w:w="1419" w:type="dxa"/>
          </w:tcPr>
          <w:p w:rsidR="005C2C77" w:rsidRPr="001A2F27" w:rsidRDefault="005C2C77" w:rsidP="00D21331">
            <w:pPr>
              <w:jc w:val="both"/>
              <w:rPr>
                <w:rFonts w:ascii="Century Gothic" w:eastAsia="Times New Roman" w:hAnsi="Century Gothic" w:cs="Times New Roman"/>
                <w:i/>
                <w:lang w:val="es-ES" w:eastAsia="es-ES"/>
              </w:rPr>
            </w:pPr>
            <w:r w:rsidRPr="001A2F27">
              <w:rPr>
                <w:rFonts w:ascii="Century Gothic" w:eastAsia="Times New Roman" w:hAnsi="Century Gothic" w:cs="Times New Roman"/>
                <w:b/>
                <w:lang w:eastAsia="es-ES"/>
              </w:rPr>
              <w:t>Referencia:</w:t>
            </w:r>
          </w:p>
        </w:tc>
        <w:tc>
          <w:tcPr>
            <w:tcW w:w="7638" w:type="dxa"/>
          </w:tcPr>
          <w:p w:rsidR="005C2C77" w:rsidRPr="001A2F27" w:rsidRDefault="005C2C77" w:rsidP="00D21331">
            <w:pPr>
              <w:jc w:val="both"/>
              <w:rPr>
                <w:rFonts w:ascii="Century Gothic" w:hAnsi="Century Gothic" w:cs="Times New Roman"/>
                <w:b/>
                <w:i/>
                <w:lang w:val="es-ES"/>
              </w:rPr>
            </w:pPr>
            <w:r>
              <w:rPr>
                <w:rFonts w:ascii="Century Gothic" w:eastAsia="Times New Roman" w:hAnsi="Century Gothic" w:cs="Times New Roman"/>
                <w:b/>
                <w:lang w:eastAsia="es-ES"/>
              </w:rPr>
              <w:t>RADICACIÓN PROYECTO DE LEY</w:t>
            </w:r>
            <w:r w:rsidRPr="001A2F27">
              <w:rPr>
                <w:rFonts w:ascii="Century Gothic" w:eastAsia="Times New Roman" w:hAnsi="Century Gothic" w:cs="Times New Roman"/>
                <w:b/>
                <w:lang w:eastAsia="es-ES"/>
              </w:rPr>
              <w:t xml:space="preserve"> </w:t>
            </w:r>
            <w:r w:rsidRPr="001A2F27">
              <w:rPr>
                <w:rFonts w:ascii="Century Gothic" w:eastAsia="Times New Roman" w:hAnsi="Century Gothic" w:cs="Times New Roman"/>
                <w:b/>
                <w:i/>
                <w:lang w:eastAsia="es-ES"/>
              </w:rPr>
              <w:t>“</w:t>
            </w:r>
            <w:r w:rsidRPr="005C2C77">
              <w:rPr>
                <w:rFonts w:ascii="Century Gothic" w:hAnsi="Century Gothic" w:cs="Times New Roman"/>
                <w:b/>
                <w:i/>
                <w:lang w:val="es-ES"/>
              </w:rPr>
              <w:t>Por medio de la cual se establecen los criterios para contribuir a la depuración contable, al mejoramiento de los ingresos de las entidades territoriales y a la dinamización del mercado inmobiliario, mediante el saneamiento predial y la cesión a título oneroso y gratuito de bienes inmuebles fiscales urbanos</w:t>
            </w:r>
            <w:r>
              <w:rPr>
                <w:rFonts w:ascii="Century Gothic" w:hAnsi="Century Gothic" w:cs="Times New Roman"/>
                <w:b/>
                <w:i/>
                <w:lang w:val="es-ES"/>
              </w:rPr>
              <w:t>”.</w:t>
            </w:r>
          </w:p>
        </w:tc>
      </w:tr>
    </w:tbl>
    <w:p w:rsidR="005C2C77" w:rsidRDefault="005C2C77" w:rsidP="00F24B68">
      <w:pPr>
        <w:spacing w:after="0" w:line="240" w:lineRule="auto"/>
        <w:jc w:val="both"/>
        <w:rPr>
          <w:rFonts w:ascii="Century Gothic" w:eastAsia="Calibri" w:hAnsi="Century Gothic" w:cs="Times New Roman"/>
          <w:lang w:val="es-ES_tradnl" w:eastAsia="es-ES"/>
        </w:rPr>
      </w:pPr>
    </w:p>
    <w:p w:rsidR="005C2C77" w:rsidRDefault="005C2C77" w:rsidP="00F24B68">
      <w:pPr>
        <w:spacing w:after="0" w:line="240" w:lineRule="auto"/>
        <w:jc w:val="both"/>
        <w:rPr>
          <w:rFonts w:ascii="Century Gothic" w:eastAsia="Calibri" w:hAnsi="Century Gothic" w:cs="Times New Roman"/>
          <w:lang w:eastAsia="es-ES"/>
        </w:rPr>
      </w:pPr>
      <w:r w:rsidRPr="005C2C77">
        <w:rPr>
          <w:rFonts w:ascii="Century Gothic" w:eastAsia="Calibri" w:hAnsi="Century Gothic" w:cs="Times New Roman"/>
          <w:lang w:eastAsia="es-ES"/>
        </w:rPr>
        <w:t>Señor Secretario,</w:t>
      </w:r>
    </w:p>
    <w:p w:rsidR="005C2C77" w:rsidRDefault="005C2C77" w:rsidP="00F24B68">
      <w:pPr>
        <w:spacing w:after="0" w:line="240" w:lineRule="auto"/>
        <w:jc w:val="both"/>
        <w:rPr>
          <w:rFonts w:ascii="Century Gothic" w:eastAsia="Calibri" w:hAnsi="Century Gothic" w:cs="Times New Roman"/>
          <w:lang w:eastAsia="es-ES"/>
        </w:rPr>
      </w:pPr>
    </w:p>
    <w:p w:rsidR="005C2C77" w:rsidRDefault="005C2C77" w:rsidP="00F24B68">
      <w:pPr>
        <w:spacing w:after="0" w:line="240" w:lineRule="auto"/>
        <w:jc w:val="both"/>
        <w:rPr>
          <w:rFonts w:ascii="Century Gothic" w:eastAsia="Calibri" w:hAnsi="Century Gothic" w:cs="Times New Roman"/>
          <w:lang w:eastAsia="es-ES"/>
        </w:rPr>
      </w:pPr>
    </w:p>
    <w:p w:rsidR="005C2C77" w:rsidRDefault="005C2C77" w:rsidP="00F24B68">
      <w:pPr>
        <w:spacing w:after="0" w:line="240" w:lineRule="auto"/>
        <w:jc w:val="both"/>
        <w:rPr>
          <w:rFonts w:ascii="Century Gothic" w:eastAsia="Calibri" w:hAnsi="Century Gothic" w:cs="Times New Roman"/>
          <w:lang w:eastAsia="es-ES"/>
        </w:rPr>
      </w:pPr>
      <w:r>
        <w:rPr>
          <w:rFonts w:ascii="Century Gothic" w:eastAsia="Calibri" w:hAnsi="Century Gothic" w:cs="Times New Roman"/>
          <w:lang w:eastAsia="es-ES"/>
        </w:rPr>
        <w:t>En ejercicio de la facultad establecida en el artículo 154 de la Constitución Política y en el artículo 140 de la ley 5ª de 1992, m</w:t>
      </w:r>
      <w:r w:rsidRPr="005C2C77">
        <w:rPr>
          <w:rFonts w:ascii="Century Gothic" w:eastAsia="Calibri" w:hAnsi="Century Gothic" w:cs="Times New Roman"/>
          <w:lang w:eastAsia="es-ES"/>
        </w:rPr>
        <w:t xml:space="preserve">e </w:t>
      </w:r>
      <w:r>
        <w:rPr>
          <w:rFonts w:ascii="Century Gothic" w:eastAsia="Calibri" w:hAnsi="Century Gothic" w:cs="Times New Roman"/>
          <w:lang w:eastAsia="es-ES"/>
        </w:rPr>
        <w:t>permito poner en</w:t>
      </w:r>
      <w:r w:rsidRPr="005C2C77">
        <w:rPr>
          <w:rFonts w:ascii="Century Gothic" w:eastAsia="Calibri" w:hAnsi="Century Gothic" w:cs="Times New Roman"/>
          <w:lang w:eastAsia="es-ES"/>
        </w:rPr>
        <w:t xml:space="preserve"> consideración de</w:t>
      </w:r>
      <w:r>
        <w:rPr>
          <w:rFonts w:ascii="Century Gothic" w:eastAsia="Calibri" w:hAnsi="Century Gothic" w:cs="Times New Roman"/>
          <w:lang w:eastAsia="es-ES"/>
        </w:rPr>
        <w:t xml:space="preserve"> </w:t>
      </w:r>
      <w:r w:rsidRPr="005C2C77">
        <w:rPr>
          <w:rFonts w:ascii="Century Gothic" w:eastAsia="Calibri" w:hAnsi="Century Gothic" w:cs="Times New Roman"/>
          <w:lang w:eastAsia="es-ES"/>
        </w:rPr>
        <w:t>l</w:t>
      </w:r>
      <w:r>
        <w:rPr>
          <w:rFonts w:ascii="Century Gothic" w:eastAsia="Calibri" w:hAnsi="Century Gothic" w:cs="Times New Roman"/>
          <w:lang w:eastAsia="es-ES"/>
        </w:rPr>
        <w:t>a</w:t>
      </w:r>
      <w:r w:rsidRPr="005C2C77">
        <w:rPr>
          <w:rFonts w:ascii="Century Gothic" w:eastAsia="Calibri" w:hAnsi="Century Gothic" w:cs="Times New Roman"/>
          <w:lang w:eastAsia="es-ES"/>
        </w:rPr>
        <w:t xml:space="preserve"> Honorable </w:t>
      </w:r>
      <w:r>
        <w:rPr>
          <w:rFonts w:ascii="Century Gothic" w:eastAsia="Calibri" w:hAnsi="Century Gothic" w:cs="Times New Roman"/>
          <w:lang w:eastAsia="es-ES"/>
        </w:rPr>
        <w:t xml:space="preserve">Cámara de Representes del Congreso de </w:t>
      </w:r>
      <w:r w:rsidRPr="005C2C77">
        <w:rPr>
          <w:rFonts w:ascii="Century Gothic" w:eastAsia="Calibri" w:hAnsi="Century Gothic" w:cs="Times New Roman"/>
          <w:lang w:eastAsia="es-ES"/>
        </w:rPr>
        <w:t xml:space="preserve">la República </w:t>
      </w:r>
      <w:r>
        <w:rPr>
          <w:rFonts w:ascii="Century Gothic" w:eastAsia="Calibri" w:hAnsi="Century Gothic" w:cs="Times New Roman"/>
          <w:lang w:eastAsia="es-ES"/>
        </w:rPr>
        <w:t xml:space="preserve">de Colombia, </w:t>
      </w:r>
      <w:r w:rsidRPr="005C2C77">
        <w:rPr>
          <w:rFonts w:ascii="Century Gothic" w:eastAsia="Calibri" w:hAnsi="Century Gothic" w:cs="Times New Roman"/>
          <w:lang w:eastAsia="es-ES"/>
        </w:rPr>
        <w:t>el presente proyecto de ley “</w:t>
      </w:r>
      <w:r w:rsidRPr="005C2C77">
        <w:rPr>
          <w:rFonts w:ascii="Century Gothic" w:eastAsia="Calibri" w:hAnsi="Century Gothic" w:cs="Times New Roman"/>
          <w:i/>
          <w:lang w:eastAsia="es-ES"/>
        </w:rPr>
        <w:t>Por medio de la cual se establecen los criterios para contribuir a la depuración contable, al mejoramiento de los ingresos de las entidades territoriales y a la dinamización del mercado inmobiliario, mediante el saneamiento predial y la cesión a título oneroso y gratuito de bienes inmuebles fiscales urbanos</w:t>
      </w:r>
      <w:r>
        <w:rPr>
          <w:rFonts w:ascii="Century Gothic" w:eastAsia="Calibri" w:hAnsi="Century Gothic" w:cs="Times New Roman"/>
          <w:lang w:eastAsia="es-ES"/>
        </w:rPr>
        <w:t>”, c</w:t>
      </w:r>
      <w:r w:rsidRPr="005C2C77">
        <w:rPr>
          <w:rFonts w:ascii="Century Gothic" w:eastAsia="Calibri" w:hAnsi="Century Gothic" w:cs="Times New Roman"/>
          <w:lang w:eastAsia="es-ES"/>
        </w:rPr>
        <w:t xml:space="preserve">on el </w:t>
      </w:r>
      <w:r>
        <w:rPr>
          <w:rFonts w:ascii="Century Gothic" w:eastAsia="Calibri" w:hAnsi="Century Gothic" w:cs="Times New Roman"/>
          <w:lang w:eastAsia="es-ES"/>
        </w:rPr>
        <w:t xml:space="preserve">fin </w:t>
      </w:r>
      <w:r w:rsidRPr="005C2C77">
        <w:rPr>
          <w:rFonts w:ascii="Century Gothic" w:eastAsia="Calibri" w:hAnsi="Century Gothic" w:cs="Times New Roman"/>
          <w:lang w:eastAsia="es-ES"/>
        </w:rPr>
        <w:t xml:space="preserve">de darle el trámite legislativo, discusión y votación que consagra el ordenamiento jurídico </w:t>
      </w:r>
      <w:r>
        <w:rPr>
          <w:rFonts w:ascii="Century Gothic" w:eastAsia="Calibri" w:hAnsi="Century Gothic" w:cs="Times New Roman"/>
          <w:lang w:eastAsia="es-ES"/>
        </w:rPr>
        <w:t>constitucional y legal de la República de Colombia.</w:t>
      </w:r>
    </w:p>
    <w:p w:rsidR="005C2C77" w:rsidRDefault="005C2C77" w:rsidP="00F24B68">
      <w:pPr>
        <w:spacing w:after="0" w:line="240" w:lineRule="auto"/>
        <w:jc w:val="both"/>
        <w:rPr>
          <w:rFonts w:ascii="Century Gothic" w:eastAsia="Calibri" w:hAnsi="Century Gothic" w:cs="Times New Roman"/>
          <w:lang w:eastAsia="es-ES"/>
        </w:rPr>
      </w:pPr>
    </w:p>
    <w:p w:rsidR="005C2C77" w:rsidRPr="001A2F27" w:rsidRDefault="005C2C77" w:rsidP="005C2C77">
      <w:pPr>
        <w:spacing w:after="0" w:line="276" w:lineRule="auto"/>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El proyecto se desarrolla </w:t>
      </w:r>
      <w:r w:rsidRPr="001A2F27">
        <w:rPr>
          <w:rFonts w:ascii="Century Gothic" w:eastAsia="Times New Roman" w:hAnsi="Century Gothic" w:cs="Times New Roman"/>
          <w:lang w:eastAsia="es-ES"/>
        </w:rPr>
        <w:t>en los siguientes términos:</w:t>
      </w:r>
    </w:p>
    <w:p w:rsidR="005C2C77" w:rsidRPr="001A2F27" w:rsidRDefault="005C2C77" w:rsidP="005C2C77">
      <w:pPr>
        <w:spacing w:after="0" w:line="276" w:lineRule="auto"/>
        <w:jc w:val="both"/>
        <w:rPr>
          <w:rFonts w:ascii="Century Gothic" w:eastAsia="Times New Roman" w:hAnsi="Century Gothic" w:cs="Times New Roman"/>
          <w:lang w:eastAsia="es-ES"/>
        </w:rPr>
      </w:pPr>
    </w:p>
    <w:p w:rsidR="005C2C77" w:rsidRDefault="005C2C77" w:rsidP="005C2C77">
      <w:pPr>
        <w:numPr>
          <w:ilvl w:val="0"/>
          <w:numId w:val="23"/>
        </w:numPr>
        <w:spacing w:after="0" w:line="276" w:lineRule="auto"/>
        <w:jc w:val="both"/>
        <w:rPr>
          <w:rFonts w:ascii="Century Gothic" w:eastAsia="Times New Roman" w:hAnsi="Century Gothic" w:cs="Times New Roman"/>
          <w:lang w:eastAsia="es-ES"/>
        </w:rPr>
      </w:pPr>
      <w:r>
        <w:rPr>
          <w:rFonts w:ascii="Century Gothic" w:eastAsia="Times New Roman" w:hAnsi="Century Gothic" w:cs="Times New Roman"/>
          <w:lang w:eastAsia="es-ES"/>
        </w:rPr>
        <w:t>Exposición de motivos</w:t>
      </w:r>
      <w:r w:rsidRPr="001A2F27">
        <w:rPr>
          <w:rFonts w:ascii="Century Gothic" w:eastAsia="Times New Roman" w:hAnsi="Century Gothic" w:cs="Times New Roman"/>
          <w:lang w:eastAsia="es-ES"/>
        </w:rPr>
        <w:t>.</w:t>
      </w:r>
    </w:p>
    <w:p w:rsidR="005C2C77" w:rsidRPr="001A2F27" w:rsidRDefault="005C2C77" w:rsidP="005C2C77">
      <w:pPr>
        <w:numPr>
          <w:ilvl w:val="0"/>
          <w:numId w:val="23"/>
        </w:numPr>
        <w:spacing w:after="0" w:line="276" w:lineRule="auto"/>
        <w:jc w:val="both"/>
        <w:rPr>
          <w:rFonts w:ascii="Century Gothic" w:eastAsia="Times New Roman" w:hAnsi="Century Gothic" w:cs="Times New Roman"/>
          <w:lang w:eastAsia="es-ES"/>
        </w:rPr>
      </w:pPr>
      <w:r>
        <w:rPr>
          <w:rFonts w:ascii="Century Gothic" w:eastAsia="Times New Roman" w:hAnsi="Century Gothic" w:cs="Times New Roman"/>
          <w:lang w:eastAsia="es-ES"/>
        </w:rPr>
        <w:t>Articulado propuesto.</w:t>
      </w:r>
    </w:p>
    <w:p w:rsidR="005C2C77" w:rsidRDefault="005C2C77" w:rsidP="00F24B68">
      <w:pPr>
        <w:spacing w:after="0" w:line="240" w:lineRule="auto"/>
        <w:jc w:val="both"/>
        <w:rPr>
          <w:rFonts w:ascii="Century Gothic" w:eastAsia="Calibri" w:hAnsi="Century Gothic" w:cs="Times New Roman"/>
          <w:lang w:eastAsia="es-ES"/>
        </w:rPr>
      </w:pPr>
    </w:p>
    <w:p w:rsidR="005C2C77" w:rsidRDefault="005C2C77" w:rsidP="00F24B68">
      <w:pPr>
        <w:spacing w:after="0" w:line="240" w:lineRule="auto"/>
        <w:jc w:val="both"/>
        <w:rPr>
          <w:rFonts w:ascii="Century Gothic" w:eastAsia="Calibri" w:hAnsi="Century Gothic" w:cs="Times New Roman"/>
          <w:lang w:eastAsia="es-ES"/>
        </w:rPr>
      </w:pPr>
    </w:p>
    <w:p w:rsidR="005C2C77" w:rsidRDefault="005C2C77" w:rsidP="00F24B68">
      <w:pPr>
        <w:spacing w:after="0" w:line="240" w:lineRule="auto"/>
        <w:jc w:val="both"/>
        <w:rPr>
          <w:rFonts w:ascii="Century Gothic" w:eastAsia="Calibri" w:hAnsi="Century Gothic" w:cs="Times New Roman"/>
          <w:lang w:eastAsia="es-ES"/>
        </w:rPr>
      </w:pPr>
      <w:r>
        <w:rPr>
          <w:rFonts w:ascii="Century Gothic" w:eastAsia="Calibri" w:hAnsi="Century Gothic" w:cs="Times New Roman"/>
          <w:lang w:eastAsia="es-ES"/>
        </w:rPr>
        <w:t xml:space="preserve">Atentamente, </w:t>
      </w:r>
    </w:p>
    <w:p w:rsidR="005C2C77" w:rsidRDefault="005C2C77" w:rsidP="00F24B68">
      <w:pPr>
        <w:spacing w:after="0" w:line="240" w:lineRule="auto"/>
        <w:jc w:val="both"/>
        <w:rPr>
          <w:rFonts w:ascii="Century Gothic" w:eastAsia="Calibri" w:hAnsi="Century Gothic" w:cs="Times New Roman"/>
          <w:lang w:eastAsia="es-ES"/>
        </w:rPr>
      </w:pPr>
    </w:p>
    <w:p w:rsidR="005C2C77" w:rsidRDefault="005C2C77" w:rsidP="00F24B68">
      <w:pPr>
        <w:spacing w:after="0" w:line="240" w:lineRule="auto"/>
        <w:jc w:val="both"/>
        <w:rPr>
          <w:rFonts w:ascii="Century Gothic" w:eastAsia="Calibri" w:hAnsi="Century Gothic" w:cs="Times New Roman"/>
          <w:lang w:eastAsia="es-ES"/>
        </w:rPr>
      </w:pPr>
    </w:p>
    <w:p w:rsidR="005C2C77" w:rsidRDefault="005C2C77" w:rsidP="00F24B68">
      <w:pPr>
        <w:spacing w:after="0" w:line="240" w:lineRule="auto"/>
        <w:jc w:val="both"/>
        <w:rPr>
          <w:rFonts w:ascii="Century Gothic" w:eastAsia="Calibri" w:hAnsi="Century Gothic" w:cs="Times New Roman"/>
          <w:lang w:eastAsia="es-ES"/>
        </w:rPr>
      </w:pPr>
    </w:p>
    <w:p w:rsidR="005C2C77" w:rsidRDefault="005C2C77" w:rsidP="00F24B68">
      <w:pPr>
        <w:spacing w:after="0" w:line="240" w:lineRule="auto"/>
        <w:jc w:val="both"/>
        <w:rPr>
          <w:rFonts w:ascii="Century Gothic" w:eastAsia="Calibri" w:hAnsi="Century Gothic" w:cs="Times New Roman"/>
          <w:lang w:eastAsia="es-ES"/>
        </w:rPr>
      </w:pPr>
      <w:r>
        <w:rPr>
          <w:rFonts w:ascii="Century Gothic" w:eastAsia="Calibri" w:hAnsi="Century Gothic" w:cs="Times New Roman"/>
          <w:lang w:eastAsia="es-ES"/>
        </w:rPr>
        <w:t>___________________________</w:t>
      </w:r>
    </w:p>
    <w:p w:rsidR="00F24B68" w:rsidRDefault="005C2C77" w:rsidP="005C2C77">
      <w:pPr>
        <w:spacing w:after="0" w:line="240" w:lineRule="auto"/>
        <w:jc w:val="both"/>
        <w:rPr>
          <w:rFonts w:ascii="Century Gothic" w:eastAsia="Calibri" w:hAnsi="Century Gothic" w:cs="Times New Roman"/>
          <w:b/>
          <w:lang w:eastAsia="es-ES"/>
        </w:rPr>
      </w:pPr>
      <w:r w:rsidRPr="005C2C77">
        <w:rPr>
          <w:rFonts w:ascii="Century Gothic" w:eastAsia="Calibri" w:hAnsi="Century Gothic" w:cs="Times New Roman"/>
          <w:b/>
          <w:lang w:val="es-ES_tradnl" w:eastAsia="es-ES"/>
        </w:rPr>
        <w:t xml:space="preserve">H.S. LAURA FORTICH SANCHEZ                         </w:t>
      </w:r>
      <w:r>
        <w:rPr>
          <w:rFonts w:ascii="Century Gothic" w:eastAsia="Calibri" w:hAnsi="Century Gothic" w:cs="Times New Roman"/>
          <w:b/>
          <w:lang w:val="es-ES_tradnl" w:eastAsia="es-ES"/>
        </w:rPr>
        <w:t xml:space="preserve"> </w:t>
      </w:r>
      <w:r>
        <w:rPr>
          <w:rFonts w:ascii="Century Gothic" w:eastAsia="Calibri" w:hAnsi="Century Gothic" w:cs="Times New Roman"/>
          <w:b/>
          <w:lang w:eastAsia="es-ES"/>
        </w:rPr>
        <w:t xml:space="preserve"> </w:t>
      </w:r>
    </w:p>
    <w:p w:rsidR="005C2C77" w:rsidRPr="005C2C77" w:rsidRDefault="005C2C77" w:rsidP="005C2C77">
      <w:pPr>
        <w:spacing w:after="0" w:line="240" w:lineRule="auto"/>
        <w:jc w:val="both"/>
        <w:rPr>
          <w:rFonts w:ascii="Century Gothic" w:eastAsia="Calibri" w:hAnsi="Century Gothic" w:cs="Times New Roman"/>
          <w:b/>
          <w:lang w:val="es-ES_tradnl" w:eastAsia="es-ES"/>
        </w:rPr>
      </w:pPr>
    </w:p>
    <w:p w:rsidR="00F2220A" w:rsidRPr="005C2C77" w:rsidRDefault="00634DA5" w:rsidP="005C2C77">
      <w:pPr>
        <w:pStyle w:val="Prrafodelista"/>
        <w:numPr>
          <w:ilvl w:val="0"/>
          <w:numId w:val="21"/>
        </w:numPr>
        <w:jc w:val="center"/>
        <w:rPr>
          <w:rFonts w:ascii="Century Gothic" w:hAnsi="Century Gothic" w:cs="Times New Roman"/>
          <w:b/>
          <w:lang w:val="es-ES"/>
        </w:rPr>
      </w:pPr>
      <w:r w:rsidRPr="005C2C77">
        <w:rPr>
          <w:rFonts w:ascii="Century Gothic" w:hAnsi="Century Gothic" w:cs="Times New Roman"/>
          <w:b/>
          <w:lang w:val="es-ES"/>
        </w:rPr>
        <w:lastRenderedPageBreak/>
        <w:t>EXPOSICION DE MOTIVOS</w:t>
      </w:r>
    </w:p>
    <w:p w:rsidR="006F768F" w:rsidRPr="004857A8" w:rsidRDefault="006F768F" w:rsidP="00124D90">
      <w:pPr>
        <w:spacing w:after="0" w:line="240" w:lineRule="auto"/>
        <w:jc w:val="center"/>
        <w:rPr>
          <w:rFonts w:ascii="Century Gothic" w:hAnsi="Century Gothic" w:cs="Times New Roman"/>
          <w:b/>
          <w:noProof w:val="0"/>
          <w:lang w:val="es-ES"/>
        </w:rPr>
      </w:pPr>
    </w:p>
    <w:p w:rsidR="006F768F" w:rsidRPr="004857A8" w:rsidRDefault="006F768F" w:rsidP="00124D90">
      <w:pPr>
        <w:spacing w:after="0" w:line="240" w:lineRule="auto"/>
        <w:jc w:val="center"/>
        <w:rPr>
          <w:rFonts w:ascii="Century Gothic" w:hAnsi="Century Gothic" w:cs="Times New Roman"/>
          <w:b/>
          <w:noProof w:val="0"/>
          <w:lang w:val="es-ES"/>
        </w:rPr>
      </w:pPr>
    </w:p>
    <w:p w:rsidR="00861FE2" w:rsidRPr="004857A8" w:rsidRDefault="00861FE2" w:rsidP="00124D90">
      <w:pPr>
        <w:pStyle w:val="Ttulo1"/>
        <w:numPr>
          <w:ilvl w:val="0"/>
          <w:numId w:val="10"/>
        </w:numPr>
        <w:spacing w:before="0"/>
        <w:ind w:left="426"/>
        <w:jc w:val="both"/>
        <w:rPr>
          <w:rFonts w:ascii="Century Gothic" w:hAnsi="Century Gothic"/>
          <w:b/>
          <w:color w:val="auto"/>
          <w:sz w:val="22"/>
          <w:szCs w:val="22"/>
          <w:lang w:val="es-ES"/>
        </w:rPr>
      </w:pPr>
      <w:r w:rsidRPr="004857A8">
        <w:rPr>
          <w:rFonts w:ascii="Century Gothic" w:hAnsi="Century Gothic"/>
          <w:b/>
          <w:color w:val="auto"/>
          <w:sz w:val="22"/>
          <w:szCs w:val="22"/>
          <w:lang w:val="es-ES"/>
        </w:rPr>
        <w:t>OBJETO DEL PROYECTO DE LEY.</w:t>
      </w:r>
    </w:p>
    <w:p w:rsidR="00861FE2" w:rsidRPr="004857A8" w:rsidRDefault="00861FE2" w:rsidP="00124D90">
      <w:pPr>
        <w:pStyle w:val="Sinespaciado"/>
        <w:jc w:val="both"/>
        <w:rPr>
          <w:rFonts w:ascii="Century Gothic" w:hAnsi="Century Gothic"/>
          <w:sz w:val="22"/>
          <w:szCs w:val="22"/>
        </w:rPr>
      </w:pPr>
    </w:p>
    <w:p w:rsidR="00861FE2" w:rsidRPr="004857A8" w:rsidRDefault="00861FE2" w:rsidP="00124D90">
      <w:pPr>
        <w:spacing w:after="0" w:line="240" w:lineRule="auto"/>
        <w:jc w:val="both"/>
        <w:rPr>
          <w:rFonts w:ascii="Century Gothic" w:hAnsi="Century Gothic" w:cs="Times New Roman"/>
          <w:noProof w:val="0"/>
          <w:lang w:val="es-ES"/>
        </w:rPr>
      </w:pPr>
      <w:r w:rsidRPr="004857A8">
        <w:rPr>
          <w:rFonts w:ascii="Century Gothic" w:hAnsi="Century Gothic" w:cs="Times New Roman"/>
          <w:noProof w:val="0"/>
          <w:lang w:val="es-ES"/>
        </w:rPr>
        <w:t xml:space="preserve">El objeto del presente proyecto de ley es lograr la depuración contable, el mejoramiento de los ingresos fiscales y corrientes de los municipios y la dinamización del mercado inmobiliario en sectores de asentamientos ilegales en predios fiscales, mediante el saneamiento predial y la titulación de predios fiscales a particulares.  </w:t>
      </w:r>
    </w:p>
    <w:p w:rsidR="0096173D" w:rsidRPr="004857A8" w:rsidRDefault="0096173D" w:rsidP="00124D90">
      <w:pPr>
        <w:spacing w:after="0" w:line="240" w:lineRule="auto"/>
        <w:jc w:val="both"/>
        <w:rPr>
          <w:rFonts w:ascii="Century Gothic" w:hAnsi="Century Gothic" w:cs="Times New Roman"/>
          <w:noProof w:val="0"/>
          <w:lang w:val="es-ES"/>
        </w:rPr>
      </w:pPr>
    </w:p>
    <w:p w:rsidR="00861FE2" w:rsidRPr="004857A8" w:rsidRDefault="00861FE2" w:rsidP="00124D90">
      <w:pPr>
        <w:pStyle w:val="Ttulo1"/>
        <w:numPr>
          <w:ilvl w:val="0"/>
          <w:numId w:val="0"/>
        </w:numPr>
        <w:spacing w:before="0"/>
        <w:ind w:left="720"/>
        <w:rPr>
          <w:rFonts w:ascii="Century Gothic" w:hAnsi="Century Gothic"/>
          <w:b/>
          <w:color w:val="auto"/>
          <w:sz w:val="22"/>
          <w:szCs w:val="22"/>
          <w:lang w:val="es-ES"/>
        </w:rPr>
      </w:pPr>
    </w:p>
    <w:p w:rsidR="00F31CDE" w:rsidRPr="004857A8" w:rsidRDefault="00F31CDE" w:rsidP="00124D90">
      <w:pPr>
        <w:pStyle w:val="Ttulo1"/>
        <w:numPr>
          <w:ilvl w:val="0"/>
          <w:numId w:val="10"/>
        </w:numPr>
        <w:spacing w:before="0"/>
        <w:ind w:left="426" w:hanging="349"/>
        <w:rPr>
          <w:rFonts w:ascii="Century Gothic" w:hAnsi="Century Gothic"/>
          <w:b/>
          <w:color w:val="auto"/>
          <w:sz w:val="22"/>
          <w:szCs w:val="22"/>
          <w:lang w:val="es-ES"/>
        </w:rPr>
      </w:pPr>
      <w:r w:rsidRPr="004857A8">
        <w:rPr>
          <w:rFonts w:ascii="Century Gothic" w:hAnsi="Century Gothic"/>
          <w:b/>
          <w:color w:val="auto"/>
          <w:sz w:val="22"/>
          <w:szCs w:val="22"/>
          <w:lang w:val="es-ES"/>
        </w:rPr>
        <w:t>JUSTIFICACIÓN.</w:t>
      </w:r>
    </w:p>
    <w:p w:rsidR="00F31CDE" w:rsidRPr="004857A8" w:rsidRDefault="00F31CDE" w:rsidP="00124D90">
      <w:pPr>
        <w:spacing w:after="0" w:line="240" w:lineRule="auto"/>
        <w:rPr>
          <w:rFonts w:ascii="Century Gothic" w:hAnsi="Century Gothic" w:cs="Times New Roman"/>
          <w:noProof w:val="0"/>
          <w:lang w:val="es-ES"/>
        </w:rPr>
      </w:pPr>
    </w:p>
    <w:p w:rsidR="00F31CDE" w:rsidRPr="004857A8" w:rsidRDefault="00F31CDE" w:rsidP="00124D90">
      <w:pPr>
        <w:spacing w:after="0" w:line="240" w:lineRule="auto"/>
        <w:jc w:val="both"/>
        <w:rPr>
          <w:rFonts w:ascii="Century Gothic" w:hAnsi="Century Gothic" w:cs="Times New Roman"/>
          <w:noProof w:val="0"/>
          <w:lang w:val="es-ES"/>
        </w:rPr>
      </w:pPr>
      <w:r w:rsidRPr="004857A8">
        <w:rPr>
          <w:rFonts w:ascii="Century Gothic" w:hAnsi="Century Gothic" w:cs="Times New Roman"/>
          <w:noProof w:val="0"/>
          <w:lang w:val="es-ES"/>
        </w:rPr>
        <w:t>De acuerdo con el objeto del presente Proyecto, la justificación s</w:t>
      </w:r>
      <w:r w:rsidR="006F768F" w:rsidRPr="004857A8">
        <w:rPr>
          <w:rFonts w:ascii="Century Gothic" w:hAnsi="Century Gothic" w:cs="Times New Roman"/>
          <w:noProof w:val="0"/>
          <w:lang w:val="es-ES"/>
        </w:rPr>
        <w:t xml:space="preserve">e desarrollará </w:t>
      </w:r>
      <w:r w:rsidR="0096173D" w:rsidRPr="004857A8">
        <w:rPr>
          <w:rFonts w:ascii="Century Gothic" w:hAnsi="Century Gothic" w:cs="Times New Roman"/>
          <w:noProof w:val="0"/>
          <w:lang w:val="es-ES"/>
        </w:rPr>
        <w:t>en los siguientes apartes</w:t>
      </w:r>
      <w:r w:rsidR="006F768F" w:rsidRPr="004857A8">
        <w:rPr>
          <w:rFonts w:ascii="Century Gothic" w:hAnsi="Century Gothic" w:cs="Times New Roman"/>
          <w:noProof w:val="0"/>
          <w:lang w:val="es-ES"/>
        </w:rPr>
        <w:t>: 2</w:t>
      </w:r>
      <w:r w:rsidR="00191A93" w:rsidRPr="004857A8">
        <w:rPr>
          <w:rFonts w:ascii="Century Gothic" w:hAnsi="Century Gothic" w:cs="Times New Roman"/>
          <w:noProof w:val="0"/>
          <w:lang w:val="es-ES"/>
        </w:rPr>
        <w:t>.1. Marco normativo</w:t>
      </w:r>
      <w:r w:rsidR="006F768F" w:rsidRPr="004857A8">
        <w:rPr>
          <w:rFonts w:ascii="Century Gothic" w:hAnsi="Century Gothic" w:cs="Times New Roman"/>
          <w:noProof w:val="0"/>
          <w:lang w:val="es-ES"/>
        </w:rPr>
        <w:t>; 2</w:t>
      </w:r>
      <w:r w:rsidR="00BC446A" w:rsidRPr="004857A8">
        <w:rPr>
          <w:rFonts w:ascii="Century Gothic" w:hAnsi="Century Gothic" w:cs="Times New Roman"/>
          <w:noProof w:val="0"/>
          <w:lang w:val="es-ES"/>
        </w:rPr>
        <w:t>.2.</w:t>
      </w:r>
      <w:r w:rsidR="00061D5F" w:rsidRPr="004857A8">
        <w:rPr>
          <w:rFonts w:ascii="Century Gothic" w:hAnsi="Century Gothic" w:cs="Times New Roman"/>
          <w:noProof w:val="0"/>
          <w:lang w:val="es-ES"/>
        </w:rPr>
        <w:t xml:space="preserve"> </w:t>
      </w:r>
      <w:r w:rsidR="00BC446A" w:rsidRPr="004857A8">
        <w:rPr>
          <w:rFonts w:ascii="Century Gothic" w:hAnsi="Century Gothic" w:cs="Times New Roman"/>
          <w:noProof w:val="0"/>
          <w:lang w:val="es-ES"/>
        </w:rPr>
        <w:t>Situación</w:t>
      </w:r>
      <w:r w:rsidR="006F768F" w:rsidRPr="004857A8">
        <w:rPr>
          <w:rFonts w:ascii="Century Gothic" w:hAnsi="Century Gothic" w:cs="Times New Roman"/>
          <w:noProof w:val="0"/>
          <w:lang w:val="es-ES"/>
        </w:rPr>
        <w:t xml:space="preserve"> </w:t>
      </w:r>
      <w:r w:rsidR="004D3ABD" w:rsidRPr="004857A8">
        <w:rPr>
          <w:rFonts w:ascii="Century Gothic" w:hAnsi="Century Gothic" w:cs="Times New Roman"/>
          <w:noProof w:val="0"/>
          <w:lang w:val="es-ES"/>
        </w:rPr>
        <w:t xml:space="preserve">actual </w:t>
      </w:r>
      <w:r w:rsidR="00BC446A" w:rsidRPr="004857A8">
        <w:rPr>
          <w:rFonts w:ascii="Century Gothic" w:hAnsi="Century Gothic" w:cs="Times New Roman"/>
          <w:noProof w:val="0"/>
          <w:lang w:val="es-ES"/>
        </w:rPr>
        <w:t xml:space="preserve">del Saneamiento Predial y la Titulación de Bienes </w:t>
      </w:r>
      <w:r w:rsidR="00772996" w:rsidRPr="004857A8">
        <w:rPr>
          <w:rFonts w:ascii="Century Gothic" w:hAnsi="Century Gothic" w:cs="Times New Roman"/>
          <w:noProof w:val="0"/>
          <w:lang w:val="es-ES"/>
        </w:rPr>
        <w:t>Fiscales</w:t>
      </w:r>
      <w:r w:rsidR="00BC446A" w:rsidRPr="004857A8">
        <w:rPr>
          <w:rFonts w:ascii="Century Gothic" w:hAnsi="Century Gothic" w:cs="Times New Roman"/>
          <w:noProof w:val="0"/>
          <w:lang w:val="es-ES"/>
        </w:rPr>
        <w:t xml:space="preserve"> Titulables </w:t>
      </w:r>
      <w:r w:rsidR="000C1609" w:rsidRPr="004857A8">
        <w:rPr>
          <w:rFonts w:ascii="Century Gothic" w:hAnsi="Century Gothic" w:cs="Times New Roman"/>
          <w:noProof w:val="0"/>
          <w:lang w:val="es-ES"/>
        </w:rPr>
        <w:t>en el país;</w:t>
      </w:r>
      <w:r w:rsidR="006F768F" w:rsidRPr="004857A8">
        <w:rPr>
          <w:rFonts w:ascii="Century Gothic" w:hAnsi="Century Gothic" w:cs="Times New Roman"/>
          <w:noProof w:val="0"/>
          <w:lang w:val="es-ES"/>
        </w:rPr>
        <w:t xml:space="preserve"> 2</w:t>
      </w:r>
      <w:r w:rsidR="00061D5F" w:rsidRPr="004857A8">
        <w:rPr>
          <w:rFonts w:ascii="Century Gothic" w:hAnsi="Century Gothic" w:cs="Times New Roman"/>
          <w:noProof w:val="0"/>
          <w:lang w:val="es-ES"/>
        </w:rPr>
        <w:t xml:space="preserve">.3 </w:t>
      </w:r>
      <w:r w:rsidR="003856B0" w:rsidRPr="004857A8">
        <w:rPr>
          <w:rFonts w:ascii="Century Gothic" w:hAnsi="Century Gothic" w:cs="Times New Roman"/>
          <w:noProof w:val="0"/>
          <w:lang w:val="es-ES"/>
        </w:rPr>
        <w:t>Cambio de enfoque y efectos</w:t>
      </w:r>
      <w:r w:rsidR="004857A8" w:rsidRPr="004857A8">
        <w:rPr>
          <w:rFonts w:ascii="Century Gothic" w:hAnsi="Century Gothic" w:cs="Times New Roman"/>
          <w:noProof w:val="0"/>
          <w:lang w:val="es-ES"/>
        </w:rPr>
        <w:t xml:space="preserve">; y </w:t>
      </w:r>
      <w:r w:rsidR="006F768F" w:rsidRPr="004857A8">
        <w:rPr>
          <w:rFonts w:ascii="Century Gothic" w:hAnsi="Century Gothic" w:cs="Times New Roman"/>
          <w:noProof w:val="0"/>
          <w:lang w:val="es-ES"/>
        </w:rPr>
        <w:t>2.4</w:t>
      </w:r>
      <w:r w:rsidR="00563229" w:rsidRPr="004857A8">
        <w:rPr>
          <w:rFonts w:ascii="Century Gothic" w:hAnsi="Century Gothic" w:cs="Times New Roman"/>
          <w:noProof w:val="0"/>
          <w:lang w:val="es-ES"/>
        </w:rPr>
        <w:t>. Estructur</w:t>
      </w:r>
      <w:r w:rsidR="008F06E8" w:rsidRPr="004857A8">
        <w:rPr>
          <w:rFonts w:ascii="Century Gothic" w:hAnsi="Century Gothic" w:cs="Times New Roman"/>
          <w:noProof w:val="0"/>
          <w:lang w:val="es-ES"/>
        </w:rPr>
        <w:t>a</w:t>
      </w:r>
      <w:r w:rsidRPr="004857A8">
        <w:rPr>
          <w:rFonts w:ascii="Century Gothic" w:hAnsi="Century Gothic" w:cs="Times New Roman"/>
          <w:noProof w:val="0"/>
          <w:lang w:val="es-ES"/>
        </w:rPr>
        <w:t xml:space="preserve"> del proyecto de ley. </w:t>
      </w:r>
    </w:p>
    <w:p w:rsidR="00F31CDE" w:rsidRPr="004857A8" w:rsidRDefault="00F31CDE" w:rsidP="00124D90">
      <w:pPr>
        <w:spacing w:after="0" w:line="240" w:lineRule="auto"/>
        <w:rPr>
          <w:rFonts w:ascii="Century Gothic" w:hAnsi="Century Gothic" w:cs="Times New Roman"/>
          <w:noProof w:val="0"/>
          <w:lang w:val="es-ES"/>
        </w:rPr>
      </w:pPr>
    </w:p>
    <w:p w:rsidR="00F31CDE" w:rsidRPr="004857A8" w:rsidRDefault="00061D5F" w:rsidP="00124D90">
      <w:pPr>
        <w:pStyle w:val="Prrafodelista"/>
        <w:numPr>
          <w:ilvl w:val="1"/>
          <w:numId w:val="10"/>
        </w:numPr>
        <w:spacing w:after="0" w:line="240" w:lineRule="auto"/>
        <w:jc w:val="both"/>
        <w:rPr>
          <w:rFonts w:ascii="Century Gothic" w:hAnsi="Century Gothic" w:cs="Times New Roman"/>
          <w:b/>
          <w:lang w:val="es-ES" w:bidi="es-ES"/>
        </w:rPr>
      </w:pPr>
      <w:r w:rsidRPr="004857A8">
        <w:rPr>
          <w:rFonts w:ascii="Century Gothic" w:hAnsi="Century Gothic" w:cs="Times New Roman"/>
          <w:b/>
          <w:lang w:val="es-ES" w:bidi="es-ES"/>
        </w:rPr>
        <w:t>M</w:t>
      </w:r>
      <w:r w:rsidR="00AD229B" w:rsidRPr="004857A8">
        <w:rPr>
          <w:rFonts w:ascii="Century Gothic" w:hAnsi="Century Gothic" w:cs="Times New Roman"/>
          <w:b/>
          <w:lang w:val="es-ES" w:bidi="es-ES"/>
        </w:rPr>
        <w:t>arco normativo</w:t>
      </w:r>
      <w:r w:rsidR="00191A93" w:rsidRPr="004857A8">
        <w:rPr>
          <w:rFonts w:ascii="Century Gothic" w:hAnsi="Century Gothic" w:cs="Times New Roman"/>
          <w:b/>
          <w:lang w:val="es-ES" w:bidi="es-ES"/>
        </w:rPr>
        <w:t xml:space="preserve"> </w:t>
      </w:r>
      <w:r w:rsidRPr="004857A8">
        <w:rPr>
          <w:rFonts w:ascii="Century Gothic" w:hAnsi="Century Gothic" w:cs="Times New Roman"/>
          <w:b/>
          <w:lang w:val="es-ES" w:bidi="es-ES"/>
        </w:rPr>
        <w:t xml:space="preserve"> </w:t>
      </w:r>
    </w:p>
    <w:p w:rsidR="006D0703" w:rsidRPr="004857A8" w:rsidRDefault="006D0703" w:rsidP="00124D90">
      <w:pPr>
        <w:spacing w:after="0" w:line="240" w:lineRule="auto"/>
        <w:jc w:val="both"/>
        <w:rPr>
          <w:rFonts w:ascii="Century Gothic" w:hAnsi="Century Gothic" w:cs="Times New Roman"/>
          <w:noProof w:val="0"/>
          <w:lang w:val="es-ES" w:bidi="es-ES"/>
        </w:rPr>
      </w:pPr>
    </w:p>
    <w:p w:rsidR="006D0703" w:rsidRPr="004857A8" w:rsidRDefault="004857A8" w:rsidP="00124D90">
      <w:pPr>
        <w:spacing w:after="0" w:line="240" w:lineRule="auto"/>
        <w:jc w:val="both"/>
        <w:rPr>
          <w:rFonts w:ascii="Century Gothic" w:hAnsi="Century Gothic" w:cs="Times New Roman"/>
          <w:noProof w:val="0"/>
          <w:lang w:val="es-ES" w:bidi="es-ES"/>
        </w:rPr>
      </w:pPr>
      <w:r w:rsidRPr="004857A8">
        <w:rPr>
          <w:rFonts w:ascii="Century Gothic" w:hAnsi="Century Gothic" w:cs="Times New Roman"/>
          <w:noProof w:val="0"/>
          <w:lang w:val="es-ES" w:bidi="es-ES"/>
        </w:rPr>
        <w:t>El</w:t>
      </w:r>
      <w:r w:rsidR="006D0703" w:rsidRPr="004857A8">
        <w:rPr>
          <w:rFonts w:ascii="Century Gothic" w:hAnsi="Century Gothic" w:cs="Times New Roman"/>
          <w:noProof w:val="0"/>
          <w:lang w:val="es-ES" w:bidi="es-ES"/>
        </w:rPr>
        <w:t xml:space="preserve"> saneamiento predial </w:t>
      </w:r>
      <w:r w:rsidR="00471A42" w:rsidRPr="004857A8">
        <w:rPr>
          <w:rFonts w:ascii="Century Gothic" w:hAnsi="Century Gothic" w:cs="Times New Roman"/>
          <w:noProof w:val="0"/>
          <w:lang w:val="es-ES" w:bidi="es-ES"/>
        </w:rPr>
        <w:t>y</w:t>
      </w:r>
      <w:r w:rsidR="006D0703" w:rsidRPr="004857A8">
        <w:rPr>
          <w:rFonts w:ascii="Century Gothic" w:hAnsi="Century Gothic" w:cs="Times New Roman"/>
          <w:noProof w:val="0"/>
          <w:lang w:val="es-ES" w:bidi="es-ES"/>
        </w:rPr>
        <w:t xml:space="preserve"> la ti</w:t>
      </w:r>
      <w:r w:rsidR="00471A42" w:rsidRPr="004857A8">
        <w:rPr>
          <w:rFonts w:ascii="Century Gothic" w:hAnsi="Century Gothic" w:cs="Times New Roman"/>
          <w:noProof w:val="0"/>
          <w:lang w:val="es-ES" w:bidi="es-ES"/>
        </w:rPr>
        <w:t>tulación</w:t>
      </w:r>
      <w:r w:rsidR="006D0703" w:rsidRPr="004857A8">
        <w:rPr>
          <w:rFonts w:ascii="Century Gothic" w:hAnsi="Century Gothic" w:cs="Times New Roman"/>
          <w:noProof w:val="0"/>
          <w:lang w:val="es-ES" w:bidi="es-ES"/>
        </w:rPr>
        <w:t xml:space="preserve"> de bienes fiscales titulables </w:t>
      </w:r>
      <w:r w:rsidR="00471A42" w:rsidRPr="004857A8">
        <w:rPr>
          <w:rFonts w:ascii="Century Gothic" w:hAnsi="Century Gothic" w:cs="Times New Roman"/>
          <w:noProof w:val="0"/>
          <w:lang w:val="es-ES" w:bidi="es-ES"/>
        </w:rPr>
        <w:t xml:space="preserve">tiene su origen en la ley 9 de 1989 dentro del </w:t>
      </w:r>
      <w:r w:rsidR="00024C40" w:rsidRPr="004857A8">
        <w:rPr>
          <w:rFonts w:ascii="Century Gothic" w:hAnsi="Century Gothic" w:cs="Times New Roman"/>
          <w:noProof w:val="0"/>
          <w:lang w:val="es-ES" w:bidi="es-ES"/>
        </w:rPr>
        <w:t xml:space="preserve">enfoque de vivienda de interés social y de la contribución del Estado </w:t>
      </w:r>
      <w:r w:rsidRPr="004857A8">
        <w:rPr>
          <w:rFonts w:ascii="Century Gothic" w:hAnsi="Century Gothic" w:cs="Times New Roman"/>
          <w:noProof w:val="0"/>
          <w:lang w:val="es-ES" w:bidi="es-ES"/>
        </w:rPr>
        <w:t>a la cesión de</w:t>
      </w:r>
      <w:r w:rsidR="00024C40" w:rsidRPr="004857A8">
        <w:rPr>
          <w:rFonts w:ascii="Century Gothic" w:hAnsi="Century Gothic" w:cs="Times New Roman"/>
          <w:noProof w:val="0"/>
          <w:lang w:val="es-ES" w:bidi="es-ES"/>
        </w:rPr>
        <w:t xml:space="preserve"> los predios fiscales en los cuales se encuentren construidas viviendas que tengan esas características, en cumpl</w:t>
      </w:r>
      <w:r w:rsidRPr="004857A8">
        <w:rPr>
          <w:rFonts w:ascii="Century Gothic" w:hAnsi="Century Gothic" w:cs="Times New Roman"/>
          <w:noProof w:val="0"/>
          <w:lang w:val="es-ES" w:bidi="es-ES"/>
        </w:rPr>
        <w:t>i</w:t>
      </w:r>
      <w:r w:rsidR="00024C40" w:rsidRPr="004857A8">
        <w:rPr>
          <w:rFonts w:ascii="Century Gothic" w:hAnsi="Century Gothic" w:cs="Times New Roman"/>
          <w:noProof w:val="0"/>
          <w:lang w:val="es-ES" w:bidi="es-ES"/>
        </w:rPr>
        <w:t>miento del artículo 51 de la Constitución Política.</w:t>
      </w:r>
    </w:p>
    <w:p w:rsidR="00124D90" w:rsidRPr="004857A8" w:rsidRDefault="00124D90" w:rsidP="00124D90">
      <w:pPr>
        <w:pStyle w:val="NormalWeb"/>
        <w:spacing w:before="0" w:beforeAutospacing="0" w:after="0" w:afterAutospacing="0"/>
        <w:jc w:val="both"/>
        <w:rPr>
          <w:rFonts w:ascii="Century Gothic" w:hAnsi="Century Gothic"/>
          <w:sz w:val="22"/>
          <w:szCs w:val="22"/>
          <w:lang w:val="es-ES" w:bidi="es-ES"/>
        </w:rPr>
      </w:pPr>
    </w:p>
    <w:p w:rsidR="00024C40" w:rsidRPr="004857A8" w:rsidRDefault="00024C40" w:rsidP="00124D90">
      <w:pPr>
        <w:pStyle w:val="NormalWeb"/>
        <w:spacing w:before="0" w:beforeAutospacing="0" w:after="0" w:afterAutospacing="0"/>
        <w:jc w:val="both"/>
        <w:rPr>
          <w:rFonts w:ascii="Century Gothic" w:hAnsi="Century Gothic"/>
          <w:sz w:val="22"/>
          <w:szCs w:val="22"/>
          <w:lang w:val="es-ES" w:bidi="es-ES"/>
        </w:rPr>
      </w:pPr>
      <w:r w:rsidRPr="004857A8">
        <w:rPr>
          <w:rFonts w:ascii="Century Gothic" w:hAnsi="Century Gothic"/>
          <w:sz w:val="22"/>
          <w:szCs w:val="22"/>
          <w:lang w:val="es-ES" w:bidi="es-ES"/>
        </w:rPr>
        <w:t>Posteriormente</w:t>
      </w:r>
      <w:r w:rsidR="004857A8">
        <w:rPr>
          <w:rFonts w:ascii="Century Gothic" w:hAnsi="Century Gothic"/>
          <w:sz w:val="22"/>
          <w:szCs w:val="22"/>
          <w:lang w:val="es-ES" w:bidi="es-ES"/>
        </w:rPr>
        <w:t>, mediante</w:t>
      </w:r>
      <w:r w:rsidR="00772996">
        <w:rPr>
          <w:rFonts w:ascii="Century Gothic" w:hAnsi="Century Gothic"/>
          <w:sz w:val="22"/>
          <w:szCs w:val="22"/>
          <w:lang w:val="es-ES" w:bidi="es-ES"/>
        </w:rPr>
        <w:t xml:space="preserve"> la L</w:t>
      </w:r>
      <w:r w:rsidRPr="004857A8">
        <w:rPr>
          <w:rFonts w:ascii="Century Gothic" w:hAnsi="Century Gothic"/>
          <w:sz w:val="22"/>
          <w:szCs w:val="22"/>
          <w:lang w:val="es-ES" w:bidi="es-ES"/>
        </w:rPr>
        <w:t xml:space="preserve">ey 388 de 1997 </w:t>
      </w:r>
      <w:r w:rsidR="004857A8">
        <w:rPr>
          <w:rFonts w:ascii="Century Gothic" w:hAnsi="Century Gothic"/>
          <w:sz w:val="22"/>
          <w:szCs w:val="22"/>
          <w:lang w:val="es-ES" w:bidi="es-ES"/>
        </w:rPr>
        <w:t>se estableció</w:t>
      </w:r>
      <w:r w:rsidRPr="004857A8">
        <w:rPr>
          <w:rFonts w:ascii="Century Gothic" w:hAnsi="Century Gothic"/>
          <w:sz w:val="22"/>
          <w:szCs w:val="22"/>
          <w:lang w:val="es-ES" w:bidi="es-ES"/>
        </w:rPr>
        <w:t xml:space="preserve"> que</w:t>
      </w:r>
      <w:r w:rsidR="004857A8">
        <w:rPr>
          <w:rFonts w:ascii="Century Gothic" w:hAnsi="Century Gothic"/>
          <w:sz w:val="22"/>
          <w:szCs w:val="22"/>
          <w:lang w:val="es-ES" w:bidi="es-ES"/>
        </w:rPr>
        <w:t xml:space="preserve"> en</w:t>
      </w:r>
      <w:r w:rsidRPr="004857A8">
        <w:rPr>
          <w:rFonts w:ascii="Century Gothic" w:hAnsi="Century Gothic"/>
          <w:sz w:val="22"/>
          <w:szCs w:val="22"/>
          <w:lang w:val="es-ES" w:bidi="es-ES"/>
        </w:rPr>
        <w:t xml:space="preserve"> las cesiones de predios fiscales</w:t>
      </w:r>
      <w:r w:rsidR="00B900B6" w:rsidRPr="004857A8">
        <w:rPr>
          <w:rFonts w:ascii="Century Gothic" w:hAnsi="Century Gothic"/>
          <w:sz w:val="22"/>
          <w:szCs w:val="22"/>
          <w:lang w:val="es-ES" w:bidi="es-ES"/>
        </w:rPr>
        <w:t xml:space="preserve"> para viviendas de </w:t>
      </w:r>
      <w:r w:rsidR="00772996">
        <w:rPr>
          <w:rFonts w:ascii="Century Gothic" w:hAnsi="Century Gothic"/>
          <w:sz w:val="22"/>
          <w:szCs w:val="22"/>
          <w:lang w:val="es-ES" w:bidi="es-ES"/>
        </w:rPr>
        <w:t>interés social de que trata la L</w:t>
      </w:r>
      <w:r w:rsidR="00B900B6" w:rsidRPr="004857A8">
        <w:rPr>
          <w:rFonts w:ascii="Century Gothic" w:hAnsi="Century Gothic"/>
          <w:sz w:val="22"/>
          <w:szCs w:val="22"/>
          <w:lang w:val="es-ES" w:bidi="es-ES"/>
        </w:rPr>
        <w:t>ey 9 de 1989</w:t>
      </w:r>
      <w:r w:rsidR="000E05D3" w:rsidRPr="004857A8">
        <w:rPr>
          <w:rFonts w:ascii="Century Gothic" w:hAnsi="Century Gothic"/>
          <w:sz w:val="22"/>
          <w:szCs w:val="22"/>
          <w:lang w:val="es-ES" w:bidi="es-ES"/>
        </w:rPr>
        <w:t xml:space="preserve"> </w:t>
      </w:r>
      <w:r w:rsidR="004857A8">
        <w:rPr>
          <w:rFonts w:ascii="Century Gothic" w:hAnsi="Century Gothic"/>
          <w:sz w:val="22"/>
          <w:szCs w:val="22"/>
          <w:lang w:val="es-ES" w:bidi="es-ES"/>
        </w:rPr>
        <w:t xml:space="preserve">el título de dominio serían las respectivas resoluciones </w:t>
      </w:r>
      <w:r w:rsidR="000E05D3" w:rsidRPr="004857A8">
        <w:rPr>
          <w:rFonts w:ascii="Century Gothic" w:hAnsi="Century Gothic"/>
          <w:sz w:val="22"/>
          <w:szCs w:val="22"/>
          <w:lang w:val="es-ES" w:bidi="es-ES"/>
        </w:rPr>
        <w:t>administrativa</w:t>
      </w:r>
      <w:r w:rsidR="004857A8">
        <w:rPr>
          <w:rFonts w:ascii="Century Gothic" w:hAnsi="Century Gothic"/>
          <w:sz w:val="22"/>
          <w:szCs w:val="22"/>
          <w:lang w:val="es-ES" w:bidi="es-ES"/>
        </w:rPr>
        <w:t>s de cesión</w:t>
      </w:r>
      <w:r w:rsidR="000E05D3" w:rsidRPr="004857A8">
        <w:rPr>
          <w:rFonts w:ascii="Century Gothic" w:hAnsi="Century Gothic"/>
          <w:sz w:val="22"/>
          <w:szCs w:val="22"/>
          <w:lang w:val="es-ES" w:bidi="es-ES"/>
        </w:rPr>
        <w:t>, y los predios cedidos tendr</w:t>
      </w:r>
      <w:r w:rsidR="004857A8">
        <w:rPr>
          <w:rFonts w:ascii="Century Gothic" w:hAnsi="Century Gothic"/>
          <w:sz w:val="22"/>
          <w:szCs w:val="22"/>
          <w:lang w:val="es-ES" w:bidi="es-ES"/>
        </w:rPr>
        <w:t>ían</w:t>
      </w:r>
      <w:r w:rsidR="000E05D3" w:rsidRPr="004857A8">
        <w:rPr>
          <w:rFonts w:ascii="Century Gothic" w:hAnsi="Century Gothic"/>
          <w:sz w:val="22"/>
          <w:szCs w:val="22"/>
          <w:lang w:val="es-ES" w:bidi="es-ES"/>
        </w:rPr>
        <w:t xml:space="preserve"> las mismas l</w:t>
      </w:r>
      <w:r w:rsidR="00772996">
        <w:rPr>
          <w:rFonts w:ascii="Century Gothic" w:hAnsi="Century Gothic"/>
          <w:sz w:val="22"/>
          <w:szCs w:val="22"/>
          <w:lang w:val="es-ES" w:bidi="es-ES"/>
        </w:rPr>
        <w:t>imitaciones establecidas en la L</w:t>
      </w:r>
      <w:r w:rsidR="000E05D3" w:rsidRPr="004857A8">
        <w:rPr>
          <w:rFonts w:ascii="Century Gothic" w:hAnsi="Century Gothic"/>
          <w:sz w:val="22"/>
          <w:szCs w:val="22"/>
          <w:lang w:val="es-ES" w:bidi="es-ES"/>
        </w:rPr>
        <w:t xml:space="preserve">ey 3 de 1991para las viviendas adquiridas o mejoradas con subsidio familiar, esto es, que si </w:t>
      </w:r>
      <w:r w:rsidR="004857A8">
        <w:rPr>
          <w:rFonts w:ascii="Century Gothic" w:hAnsi="Century Gothic"/>
          <w:sz w:val="22"/>
          <w:szCs w:val="22"/>
          <w:lang w:val="es-ES" w:bidi="es-ES"/>
        </w:rPr>
        <w:t xml:space="preserve">se </w:t>
      </w:r>
      <w:r w:rsidR="000E05D3" w:rsidRPr="004857A8">
        <w:rPr>
          <w:rFonts w:ascii="Century Gothic" w:hAnsi="Century Gothic"/>
          <w:sz w:val="22"/>
          <w:szCs w:val="22"/>
          <w:lang w:val="es-ES" w:bidi="es-ES"/>
        </w:rPr>
        <w:t>enajenaban antes de cinco años de haber sido otorgadas perderían sus beneficios.</w:t>
      </w:r>
    </w:p>
    <w:p w:rsidR="00124D90" w:rsidRPr="004857A8" w:rsidRDefault="00124D90" w:rsidP="00124D90">
      <w:pPr>
        <w:spacing w:after="0" w:line="240" w:lineRule="auto"/>
        <w:jc w:val="both"/>
        <w:rPr>
          <w:rFonts w:ascii="Century Gothic" w:hAnsi="Century Gothic" w:cs="Times New Roman"/>
          <w:noProof w:val="0"/>
          <w:lang w:val="es-ES"/>
        </w:rPr>
      </w:pPr>
    </w:p>
    <w:p w:rsidR="00CD1D5A" w:rsidRPr="004857A8" w:rsidRDefault="00772996" w:rsidP="00124D90">
      <w:pPr>
        <w:spacing w:after="0" w:line="240" w:lineRule="auto"/>
        <w:jc w:val="both"/>
        <w:rPr>
          <w:rFonts w:ascii="Century Gothic" w:hAnsi="Century Gothic" w:cs="Times New Roman"/>
          <w:noProof w:val="0"/>
          <w:lang w:val="es-ES"/>
        </w:rPr>
      </w:pPr>
      <w:r>
        <w:rPr>
          <w:rFonts w:ascii="Century Gothic" w:hAnsi="Century Gothic" w:cs="Times New Roman"/>
          <w:noProof w:val="0"/>
          <w:lang w:val="es-ES"/>
        </w:rPr>
        <w:t>Con la creación del Inurbe, la L</w:t>
      </w:r>
      <w:r w:rsidR="00191A93" w:rsidRPr="004857A8">
        <w:rPr>
          <w:rFonts w:ascii="Century Gothic" w:hAnsi="Century Gothic" w:cs="Times New Roman"/>
          <w:noProof w:val="0"/>
          <w:lang w:val="es-ES"/>
        </w:rPr>
        <w:t xml:space="preserve">ey </w:t>
      </w:r>
      <w:r w:rsidR="00CD1D5A" w:rsidRPr="004857A8">
        <w:rPr>
          <w:rFonts w:ascii="Century Gothic" w:hAnsi="Century Gothic" w:cs="Times New Roman"/>
          <w:noProof w:val="0"/>
          <w:lang w:val="es-ES"/>
        </w:rPr>
        <w:t>708 de 2001</w:t>
      </w:r>
      <w:r w:rsidR="00191A93" w:rsidRPr="004857A8">
        <w:rPr>
          <w:rFonts w:ascii="Century Gothic" w:hAnsi="Century Gothic" w:cs="Times New Roman"/>
          <w:noProof w:val="0"/>
          <w:lang w:val="es-ES"/>
        </w:rPr>
        <w:t xml:space="preserve"> estableció la </w:t>
      </w:r>
      <w:r w:rsidR="004857A8" w:rsidRPr="004857A8">
        <w:rPr>
          <w:rFonts w:ascii="Century Gothic" w:hAnsi="Century Gothic" w:cs="Times New Roman"/>
          <w:noProof w:val="0"/>
          <w:lang w:val="es-ES"/>
        </w:rPr>
        <w:t>obligatoriedad</w:t>
      </w:r>
      <w:r w:rsidR="00191A93" w:rsidRPr="004857A8">
        <w:rPr>
          <w:rFonts w:ascii="Century Gothic" w:hAnsi="Century Gothic" w:cs="Times New Roman"/>
          <w:noProof w:val="0"/>
          <w:lang w:val="es-ES"/>
        </w:rPr>
        <w:t xml:space="preserve"> de que todas las entidades públicas del orden nacional debían </w:t>
      </w:r>
      <w:r w:rsidR="004857A8" w:rsidRPr="004857A8">
        <w:rPr>
          <w:rFonts w:ascii="Century Gothic" w:hAnsi="Century Gothic" w:cs="Times New Roman"/>
          <w:noProof w:val="0"/>
          <w:lang w:val="es-ES"/>
        </w:rPr>
        <w:t>transferir</w:t>
      </w:r>
      <w:r w:rsidR="00191A93" w:rsidRPr="004857A8">
        <w:rPr>
          <w:rFonts w:ascii="Century Gothic" w:hAnsi="Century Gothic" w:cs="Times New Roman"/>
          <w:noProof w:val="0"/>
          <w:lang w:val="es-ES"/>
        </w:rPr>
        <w:t xml:space="preserve"> a dicha entidad lo</w:t>
      </w:r>
      <w:r w:rsidR="00CD1D5A" w:rsidRPr="004857A8">
        <w:rPr>
          <w:rFonts w:ascii="Century Gothic" w:hAnsi="Century Gothic" w:cs="Times New Roman"/>
          <w:noProof w:val="0"/>
          <w:lang w:val="es-ES"/>
        </w:rPr>
        <w:t xml:space="preserve"> inmuebles fiscales</w:t>
      </w:r>
      <w:r w:rsidR="00191A93" w:rsidRPr="004857A8">
        <w:rPr>
          <w:rFonts w:ascii="Century Gothic" w:hAnsi="Century Gothic" w:cs="Times New Roman"/>
          <w:noProof w:val="0"/>
          <w:lang w:val="es-ES"/>
        </w:rPr>
        <w:t xml:space="preserve"> a su nombre para desarrollar los programas de cesión de bienes fiscales con viviendas de interés social.</w:t>
      </w:r>
    </w:p>
    <w:p w:rsidR="00124D90" w:rsidRPr="004857A8" w:rsidRDefault="00124D90" w:rsidP="00124D90">
      <w:pPr>
        <w:spacing w:after="0" w:line="240" w:lineRule="auto"/>
        <w:jc w:val="both"/>
        <w:rPr>
          <w:rFonts w:ascii="Century Gothic" w:hAnsi="Century Gothic" w:cs="Times New Roman"/>
          <w:noProof w:val="0"/>
          <w:lang w:val="es-ES"/>
        </w:rPr>
      </w:pPr>
    </w:p>
    <w:p w:rsidR="00191A93" w:rsidRPr="004857A8" w:rsidRDefault="00772996" w:rsidP="00124D90">
      <w:pPr>
        <w:spacing w:after="0" w:line="240" w:lineRule="auto"/>
        <w:jc w:val="both"/>
        <w:rPr>
          <w:rFonts w:ascii="Century Gothic" w:hAnsi="Century Gothic" w:cs="Times New Roman"/>
          <w:noProof w:val="0"/>
          <w:lang w:val="es-ES"/>
        </w:rPr>
      </w:pPr>
      <w:r>
        <w:rPr>
          <w:rFonts w:ascii="Century Gothic" w:hAnsi="Century Gothic" w:cs="Times New Roman"/>
          <w:noProof w:val="0"/>
          <w:lang w:val="es-ES"/>
        </w:rPr>
        <w:t>Con la L</w:t>
      </w:r>
      <w:r w:rsidR="00191A93" w:rsidRPr="004857A8">
        <w:rPr>
          <w:rFonts w:ascii="Century Gothic" w:hAnsi="Century Gothic" w:cs="Times New Roman"/>
          <w:noProof w:val="0"/>
          <w:lang w:val="es-ES"/>
        </w:rPr>
        <w:t xml:space="preserve">ey 1157 de 2007 se estableció que </w:t>
      </w:r>
      <w:r>
        <w:rPr>
          <w:rFonts w:ascii="Century Gothic" w:hAnsi="Century Gothic" w:cs="Times New Roman"/>
          <w:noProof w:val="0"/>
          <w:lang w:val="es-ES"/>
        </w:rPr>
        <w:t xml:space="preserve">los </w:t>
      </w:r>
      <w:r w:rsidR="00191A93" w:rsidRPr="004857A8">
        <w:rPr>
          <w:rFonts w:ascii="Century Gothic" w:hAnsi="Century Gothic" w:cs="Times New Roman"/>
          <w:noProof w:val="0"/>
          <w:lang w:val="es-ES"/>
        </w:rPr>
        <w:t xml:space="preserve">predios fiscales ocupados ilegalmente por vivienda de interés social podían ser cedidos igualmente por las entidades </w:t>
      </w:r>
      <w:r w:rsidR="00191A93" w:rsidRPr="004857A8">
        <w:rPr>
          <w:rFonts w:ascii="Century Gothic" w:hAnsi="Century Gothic" w:cs="Times New Roman"/>
          <w:noProof w:val="0"/>
          <w:lang w:val="es-ES"/>
        </w:rPr>
        <w:lastRenderedPageBreak/>
        <w:t>públicas del orden nacional y territorial abriendo la posibilidad a que departamentos y municipios lo pudieran hacer.</w:t>
      </w:r>
    </w:p>
    <w:p w:rsidR="00124D90" w:rsidRPr="004857A8" w:rsidRDefault="00124D90" w:rsidP="00124D90">
      <w:pPr>
        <w:spacing w:after="0" w:line="240" w:lineRule="auto"/>
        <w:jc w:val="both"/>
        <w:rPr>
          <w:rFonts w:ascii="Century Gothic" w:hAnsi="Century Gothic" w:cs="Times New Roman"/>
          <w:noProof w:val="0"/>
          <w:lang w:val="es-ES"/>
        </w:rPr>
      </w:pPr>
    </w:p>
    <w:p w:rsidR="00191A93" w:rsidRPr="004857A8" w:rsidRDefault="00191A93" w:rsidP="00124D90">
      <w:pPr>
        <w:spacing w:after="0" w:line="240" w:lineRule="auto"/>
        <w:jc w:val="both"/>
        <w:rPr>
          <w:rFonts w:ascii="Century Gothic" w:hAnsi="Century Gothic" w:cs="Times New Roman"/>
          <w:noProof w:val="0"/>
          <w:lang w:val="es-ES"/>
        </w:rPr>
      </w:pPr>
      <w:r w:rsidRPr="004857A8">
        <w:rPr>
          <w:rFonts w:ascii="Century Gothic" w:hAnsi="Century Gothic" w:cs="Times New Roman"/>
          <w:noProof w:val="0"/>
          <w:lang w:val="es-ES"/>
        </w:rPr>
        <w:t xml:space="preserve">En el año 2011 con la expedición del </w:t>
      </w:r>
      <w:r w:rsidR="00772996">
        <w:rPr>
          <w:rFonts w:ascii="Century Gothic" w:hAnsi="Century Gothic" w:cs="Times New Roman"/>
          <w:noProof w:val="0"/>
          <w:lang w:val="es-ES"/>
        </w:rPr>
        <w:t>D</w:t>
      </w:r>
      <w:r w:rsidR="00CD1D5A" w:rsidRPr="004857A8">
        <w:rPr>
          <w:rFonts w:ascii="Century Gothic" w:hAnsi="Century Gothic" w:cs="Times New Roman"/>
          <w:noProof w:val="0"/>
          <w:lang w:val="es-ES"/>
        </w:rPr>
        <w:t xml:space="preserve">ecreto 4825 </w:t>
      </w:r>
      <w:r w:rsidRPr="004857A8">
        <w:rPr>
          <w:rFonts w:ascii="Century Gothic" w:hAnsi="Century Gothic" w:cs="Times New Roman"/>
          <w:noProof w:val="0"/>
          <w:lang w:val="es-ES"/>
        </w:rPr>
        <w:t xml:space="preserve"> se establece por primera vez el procedimiento para la cesión  de la propiedad fiscal inmueble ocupados con vivienda de interés social en la modalidad de </w:t>
      </w:r>
      <w:r w:rsidR="00772996" w:rsidRPr="004857A8">
        <w:rPr>
          <w:rFonts w:ascii="Century Gothic" w:hAnsi="Century Gothic" w:cs="Times New Roman"/>
          <w:noProof w:val="0"/>
          <w:lang w:val="es-ES"/>
        </w:rPr>
        <w:t>título</w:t>
      </w:r>
      <w:r w:rsidRPr="004857A8">
        <w:rPr>
          <w:rFonts w:ascii="Century Gothic" w:hAnsi="Century Gothic" w:cs="Times New Roman"/>
          <w:noProof w:val="0"/>
          <w:lang w:val="es-ES"/>
        </w:rPr>
        <w:t xml:space="preserve"> gratuito, incentivando la participación local y los procesos masivos de titulación.</w:t>
      </w:r>
    </w:p>
    <w:p w:rsidR="00124D90" w:rsidRPr="004857A8" w:rsidRDefault="00124D90" w:rsidP="00124D90">
      <w:pPr>
        <w:spacing w:after="0" w:line="240" w:lineRule="auto"/>
        <w:jc w:val="both"/>
        <w:rPr>
          <w:rFonts w:ascii="Century Gothic" w:hAnsi="Century Gothic" w:cs="Times New Roman"/>
          <w:noProof w:val="0"/>
          <w:lang w:val="es-ES"/>
        </w:rPr>
      </w:pPr>
    </w:p>
    <w:p w:rsidR="006F768F" w:rsidRPr="004857A8" w:rsidRDefault="00772996" w:rsidP="006F768F">
      <w:pPr>
        <w:spacing w:after="0" w:line="240" w:lineRule="auto"/>
        <w:jc w:val="both"/>
        <w:rPr>
          <w:rFonts w:ascii="Century Gothic" w:hAnsi="Century Gothic" w:cs="Times New Roman"/>
          <w:noProof w:val="0"/>
          <w:lang w:val="es-ES"/>
        </w:rPr>
      </w:pPr>
      <w:r>
        <w:rPr>
          <w:rFonts w:ascii="Century Gothic" w:hAnsi="Century Gothic" w:cs="Times New Roman"/>
          <w:noProof w:val="0"/>
          <w:lang w:val="es-ES"/>
        </w:rPr>
        <w:t>Mediante el Decreto</w:t>
      </w:r>
      <w:r w:rsidR="00CD1D5A" w:rsidRPr="004857A8">
        <w:rPr>
          <w:rFonts w:ascii="Century Gothic" w:hAnsi="Century Gothic" w:cs="Times New Roman"/>
          <w:noProof w:val="0"/>
          <w:lang w:val="es-ES"/>
        </w:rPr>
        <w:t xml:space="preserve"> 1077 de 2015</w:t>
      </w:r>
      <w:r>
        <w:rPr>
          <w:rFonts w:ascii="Century Gothic" w:hAnsi="Century Gothic" w:cs="Times New Roman"/>
          <w:noProof w:val="0"/>
          <w:lang w:val="es-ES"/>
        </w:rPr>
        <w:t xml:space="preserve"> </w:t>
      </w:r>
      <w:r w:rsidR="00F24B68">
        <w:rPr>
          <w:rFonts w:ascii="Century Gothic" w:hAnsi="Century Gothic" w:cs="Times New Roman"/>
          <w:noProof w:val="0"/>
          <w:lang w:val="es-ES"/>
        </w:rPr>
        <w:t>Ú</w:t>
      </w:r>
      <w:r w:rsidR="00F24B68" w:rsidRPr="004857A8">
        <w:rPr>
          <w:rFonts w:ascii="Century Gothic" w:hAnsi="Century Gothic" w:cs="Times New Roman"/>
          <w:noProof w:val="0"/>
          <w:lang w:val="es-ES"/>
        </w:rPr>
        <w:t>nico</w:t>
      </w:r>
      <w:r w:rsidR="00191A93" w:rsidRPr="004857A8">
        <w:rPr>
          <w:rFonts w:ascii="Century Gothic" w:hAnsi="Century Gothic" w:cs="Times New Roman"/>
          <w:noProof w:val="0"/>
          <w:lang w:val="es-ES"/>
        </w:rPr>
        <w:t xml:space="preserve"> </w:t>
      </w:r>
      <w:r>
        <w:rPr>
          <w:rFonts w:ascii="Century Gothic" w:hAnsi="Century Gothic" w:cs="Times New Roman"/>
          <w:noProof w:val="0"/>
          <w:lang w:val="es-ES"/>
        </w:rPr>
        <w:t>R</w:t>
      </w:r>
      <w:r w:rsidR="00191A93" w:rsidRPr="004857A8">
        <w:rPr>
          <w:rFonts w:ascii="Century Gothic" w:hAnsi="Century Gothic" w:cs="Times New Roman"/>
          <w:noProof w:val="0"/>
          <w:lang w:val="es-ES"/>
        </w:rPr>
        <w:t xml:space="preserve">eglamentario del </w:t>
      </w:r>
      <w:r>
        <w:rPr>
          <w:rFonts w:ascii="Century Gothic" w:hAnsi="Century Gothic" w:cs="Times New Roman"/>
          <w:noProof w:val="0"/>
          <w:lang w:val="es-ES"/>
        </w:rPr>
        <w:t>S</w:t>
      </w:r>
      <w:r w:rsidR="00191A93" w:rsidRPr="004857A8">
        <w:rPr>
          <w:rFonts w:ascii="Century Gothic" w:hAnsi="Century Gothic" w:cs="Times New Roman"/>
          <w:noProof w:val="0"/>
          <w:lang w:val="es-ES"/>
        </w:rPr>
        <w:t xml:space="preserve">ector de </w:t>
      </w:r>
      <w:r>
        <w:rPr>
          <w:rFonts w:ascii="Century Gothic" w:hAnsi="Century Gothic" w:cs="Times New Roman"/>
          <w:noProof w:val="0"/>
          <w:lang w:val="es-ES"/>
        </w:rPr>
        <w:t>V</w:t>
      </w:r>
      <w:r w:rsidR="00191A93" w:rsidRPr="004857A8">
        <w:rPr>
          <w:rFonts w:ascii="Century Gothic" w:hAnsi="Century Gothic" w:cs="Times New Roman"/>
          <w:noProof w:val="0"/>
          <w:lang w:val="es-ES"/>
        </w:rPr>
        <w:t xml:space="preserve">ivienda, </w:t>
      </w:r>
      <w:r>
        <w:rPr>
          <w:rFonts w:ascii="Century Gothic" w:hAnsi="Century Gothic" w:cs="Times New Roman"/>
          <w:noProof w:val="0"/>
          <w:lang w:val="es-ES"/>
        </w:rPr>
        <w:t>C</w:t>
      </w:r>
      <w:r w:rsidR="00191A93" w:rsidRPr="004857A8">
        <w:rPr>
          <w:rFonts w:ascii="Century Gothic" w:hAnsi="Century Gothic" w:cs="Times New Roman"/>
          <w:noProof w:val="0"/>
          <w:lang w:val="es-ES"/>
        </w:rPr>
        <w:t xml:space="preserve">iudad </w:t>
      </w:r>
      <w:r w:rsidR="004D3ABD" w:rsidRPr="004857A8">
        <w:rPr>
          <w:rFonts w:ascii="Century Gothic" w:hAnsi="Century Gothic" w:cs="Times New Roman"/>
          <w:noProof w:val="0"/>
          <w:lang w:val="es-ES"/>
        </w:rPr>
        <w:t xml:space="preserve">y </w:t>
      </w:r>
      <w:r>
        <w:rPr>
          <w:rFonts w:ascii="Century Gothic" w:hAnsi="Century Gothic" w:cs="Times New Roman"/>
          <w:noProof w:val="0"/>
          <w:lang w:val="es-ES"/>
        </w:rPr>
        <w:t>T</w:t>
      </w:r>
      <w:r w:rsidR="004D3ABD" w:rsidRPr="004857A8">
        <w:rPr>
          <w:rFonts w:ascii="Century Gothic" w:hAnsi="Century Gothic" w:cs="Times New Roman"/>
          <w:noProof w:val="0"/>
          <w:lang w:val="es-ES"/>
        </w:rPr>
        <w:t>erritorio incorpora el proce</w:t>
      </w:r>
      <w:r w:rsidR="00191A93" w:rsidRPr="004857A8">
        <w:rPr>
          <w:rFonts w:ascii="Century Gothic" w:hAnsi="Century Gothic" w:cs="Times New Roman"/>
          <w:noProof w:val="0"/>
          <w:lang w:val="es-ES"/>
        </w:rPr>
        <w:t>d</w:t>
      </w:r>
      <w:r w:rsidR="004D3ABD" w:rsidRPr="004857A8">
        <w:rPr>
          <w:rFonts w:ascii="Century Gothic" w:hAnsi="Century Gothic" w:cs="Times New Roman"/>
          <w:noProof w:val="0"/>
          <w:lang w:val="es-ES"/>
        </w:rPr>
        <w:t>i</w:t>
      </w:r>
      <w:r>
        <w:rPr>
          <w:rFonts w:ascii="Century Gothic" w:hAnsi="Century Gothic" w:cs="Times New Roman"/>
          <w:noProof w:val="0"/>
          <w:lang w:val="es-ES"/>
        </w:rPr>
        <w:t>miento del D</w:t>
      </w:r>
      <w:r w:rsidR="00191A93" w:rsidRPr="004857A8">
        <w:rPr>
          <w:rFonts w:ascii="Century Gothic" w:hAnsi="Century Gothic" w:cs="Times New Roman"/>
          <w:noProof w:val="0"/>
          <w:lang w:val="es-ES"/>
        </w:rPr>
        <w:t xml:space="preserve">ecreto 4825 de 2011 </w:t>
      </w:r>
      <w:r w:rsidR="004D3ABD" w:rsidRPr="004857A8">
        <w:rPr>
          <w:rFonts w:ascii="Century Gothic" w:hAnsi="Century Gothic" w:cs="Times New Roman"/>
          <w:noProof w:val="0"/>
          <w:lang w:val="es-ES"/>
        </w:rPr>
        <w:t xml:space="preserve">en relación con las transferencias a </w:t>
      </w:r>
      <w:r w:rsidRPr="004857A8">
        <w:rPr>
          <w:rFonts w:ascii="Century Gothic" w:hAnsi="Century Gothic" w:cs="Times New Roman"/>
          <w:noProof w:val="0"/>
          <w:lang w:val="es-ES"/>
        </w:rPr>
        <w:t>título</w:t>
      </w:r>
      <w:r w:rsidR="004D3ABD" w:rsidRPr="004857A8">
        <w:rPr>
          <w:rFonts w:ascii="Century Gothic" w:hAnsi="Century Gothic" w:cs="Times New Roman"/>
          <w:noProof w:val="0"/>
          <w:lang w:val="es-ES"/>
        </w:rPr>
        <w:t xml:space="preserve"> gratuito que en desarrollo del artículo 2° de la Ley 1001 de 2005, deben efectuar las entidades públicas del orden nacional y que decidan adelantar las demás entidades públicas, propietarias de bienes inmuebles fiscales urbanos, ocupados parcial o totalmente con vivienda de interés social, siempre y cuando dicha ocupación ilegal haya ocurrido con anterioridad al treinta (30) de noviembre de 2001.</w:t>
      </w:r>
    </w:p>
    <w:p w:rsidR="006F768F" w:rsidRPr="004857A8" w:rsidRDefault="006F768F" w:rsidP="006F768F">
      <w:pPr>
        <w:spacing w:after="0" w:line="240" w:lineRule="auto"/>
        <w:jc w:val="both"/>
        <w:rPr>
          <w:rFonts w:ascii="Century Gothic" w:hAnsi="Century Gothic" w:cs="Times New Roman"/>
          <w:noProof w:val="0"/>
          <w:lang w:val="es-ES"/>
        </w:rPr>
      </w:pPr>
    </w:p>
    <w:p w:rsidR="00CD1D5A" w:rsidRPr="004857A8" w:rsidRDefault="004D3ABD" w:rsidP="006F768F">
      <w:pPr>
        <w:pStyle w:val="Prrafodelista"/>
        <w:numPr>
          <w:ilvl w:val="1"/>
          <w:numId w:val="10"/>
        </w:numPr>
        <w:spacing w:after="0" w:line="240" w:lineRule="auto"/>
        <w:jc w:val="both"/>
        <w:rPr>
          <w:rFonts w:ascii="Century Gothic" w:hAnsi="Century Gothic" w:cs="Times New Roman"/>
          <w:b/>
          <w:lang w:val="es-ES"/>
        </w:rPr>
      </w:pPr>
      <w:r w:rsidRPr="004857A8">
        <w:rPr>
          <w:rFonts w:ascii="Century Gothic" w:hAnsi="Century Gothic" w:cs="Times New Roman"/>
          <w:b/>
          <w:lang w:val="es-ES"/>
        </w:rPr>
        <w:t xml:space="preserve">Situación actual del Saneamiento Predial </w:t>
      </w:r>
      <w:r w:rsidR="0096173D" w:rsidRPr="004857A8">
        <w:rPr>
          <w:rFonts w:ascii="Century Gothic" w:hAnsi="Century Gothic" w:cs="Times New Roman"/>
          <w:b/>
          <w:lang w:val="es-ES"/>
        </w:rPr>
        <w:t>y la Titulación de Bienes Fisca</w:t>
      </w:r>
      <w:r w:rsidRPr="004857A8">
        <w:rPr>
          <w:rFonts w:ascii="Century Gothic" w:hAnsi="Century Gothic" w:cs="Times New Roman"/>
          <w:b/>
          <w:lang w:val="es-ES"/>
        </w:rPr>
        <w:t>les Titulables en el país</w:t>
      </w:r>
    </w:p>
    <w:p w:rsidR="00124D90" w:rsidRPr="004857A8" w:rsidRDefault="00124D90" w:rsidP="00124D90">
      <w:pPr>
        <w:spacing w:after="0" w:line="240" w:lineRule="auto"/>
        <w:jc w:val="both"/>
        <w:rPr>
          <w:rFonts w:ascii="Century Gothic" w:hAnsi="Century Gothic" w:cs="Times New Roman"/>
          <w:b/>
          <w:noProof w:val="0"/>
          <w:lang w:val="es-ES"/>
        </w:rPr>
      </w:pPr>
    </w:p>
    <w:p w:rsidR="00E460BC" w:rsidRPr="004857A8" w:rsidRDefault="0091142F" w:rsidP="00124D90">
      <w:pPr>
        <w:spacing w:after="0" w:line="240" w:lineRule="auto"/>
        <w:jc w:val="both"/>
        <w:rPr>
          <w:rFonts w:ascii="Century Gothic" w:hAnsi="Century Gothic" w:cs="Times New Roman"/>
          <w:noProof w:val="0"/>
          <w:lang w:val="es-ES"/>
        </w:rPr>
      </w:pPr>
      <w:r w:rsidRPr="004857A8">
        <w:rPr>
          <w:rFonts w:ascii="Century Gothic" w:hAnsi="Century Gothic" w:cs="Times New Roman"/>
          <w:noProof w:val="0"/>
          <w:lang w:val="es-ES"/>
        </w:rPr>
        <w:t xml:space="preserve">Claramente </w:t>
      </w:r>
      <w:r w:rsidR="00346D5D" w:rsidRPr="004857A8">
        <w:rPr>
          <w:rFonts w:ascii="Century Gothic" w:hAnsi="Century Gothic" w:cs="Times New Roman"/>
          <w:noProof w:val="0"/>
          <w:lang w:val="es-ES"/>
        </w:rPr>
        <w:t>desde 1989 el enfoque de</w:t>
      </w:r>
      <w:r w:rsidR="00646E76" w:rsidRPr="004857A8">
        <w:rPr>
          <w:rFonts w:ascii="Century Gothic" w:hAnsi="Century Gothic" w:cs="Times New Roman"/>
          <w:noProof w:val="0"/>
          <w:lang w:val="es-ES"/>
        </w:rPr>
        <w:t xml:space="preserve">l tema del saneamiento predial y la titulación o cesión de bienes fiscales </w:t>
      </w:r>
      <w:r w:rsidR="00772996" w:rsidRPr="004857A8">
        <w:rPr>
          <w:rFonts w:ascii="Century Gothic" w:hAnsi="Century Gothic" w:cs="Times New Roman"/>
          <w:noProof w:val="0"/>
          <w:lang w:val="es-ES"/>
        </w:rPr>
        <w:t>ocupados</w:t>
      </w:r>
      <w:r w:rsidR="00646E76" w:rsidRPr="004857A8">
        <w:rPr>
          <w:rFonts w:ascii="Century Gothic" w:hAnsi="Century Gothic" w:cs="Times New Roman"/>
          <w:noProof w:val="0"/>
          <w:lang w:val="es-ES"/>
        </w:rPr>
        <w:t xml:space="preserve"> ilegalmente, ha sido el de fomentar</w:t>
      </w:r>
      <w:r w:rsidR="00E460BC" w:rsidRPr="004857A8">
        <w:rPr>
          <w:rFonts w:ascii="Century Gothic" w:hAnsi="Century Gothic" w:cs="Times New Roman"/>
          <w:noProof w:val="0"/>
          <w:lang w:val="es-ES"/>
        </w:rPr>
        <w:t xml:space="preserve"> la promoc</w:t>
      </w:r>
      <w:r w:rsidR="00646E76" w:rsidRPr="004857A8">
        <w:rPr>
          <w:rFonts w:ascii="Century Gothic" w:hAnsi="Century Gothic" w:cs="Times New Roman"/>
          <w:noProof w:val="0"/>
          <w:lang w:val="es-ES"/>
        </w:rPr>
        <w:t xml:space="preserve">ión de la vivienda de interés social </w:t>
      </w:r>
      <w:r w:rsidR="00E460BC" w:rsidRPr="004857A8">
        <w:rPr>
          <w:rFonts w:ascii="Century Gothic" w:hAnsi="Century Gothic" w:cs="Times New Roman"/>
          <w:noProof w:val="0"/>
          <w:lang w:val="es-ES"/>
        </w:rPr>
        <w:t>de forma indirecta, en cumplimiento del</w:t>
      </w:r>
      <w:r w:rsidR="00646E76" w:rsidRPr="004857A8">
        <w:rPr>
          <w:rFonts w:ascii="Century Gothic" w:hAnsi="Century Gothic" w:cs="Times New Roman"/>
          <w:noProof w:val="0"/>
          <w:lang w:val="es-ES"/>
        </w:rPr>
        <w:t xml:space="preserve"> mandato constitucional recogido en el artículo 51 de la Constitución Política.</w:t>
      </w:r>
      <w:r w:rsidR="00E460BC" w:rsidRPr="004857A8">
        <w:rPr>
          <w:rFonts w:ascii="Century Gothic" w:hAnsi="Century Gothic" w:cs="Times New Roman"/>
          <w:noProof w:val="0"/>
          <w:lang w:val="es-ES"/>
        </w:rPr>
        <w:t xml:space="preserve"> </w:t>
      </w:r>
    </w:p>
    <w:p w:rsidR="00E460BC" w:rsidRPr="004857A8" w:rsidRDefault="00E460BC" w:rsidP="00124D90">
      <w:pPr>
        <w:spacing w:after="0" w:line="240" w:lineRule="auto"/>
        <w:jc w:val="both"/>
        <w:rPr>
          <w:rFonts w:ascii="Century Gothic" w:hAnsi="Century Gothic" w:cs="Times New Roman"/>
          <w:noProof w:val="0"/>
          <w:lang w:val="es-ES"/>
        </w:rPr>
      </w:pPr>
    </w:p>
    <w:p w:rsidR="00124D90" w:rsidRPr="004857A8" w:rsidRDefault="00E460BC" w:rsidP="00124D90">
      <w:pPr>
        <w:spacing w:after="0" w:line="240" w:lineRule="auto"/>
        <w:jc w:val="both"/>
        <w:rPr>
          <w:rFonts w:ascii="Century Gothic" w:hAnsi="Century Gothic" w:cs="Times New Roman"/>
          <w:noProof w:val="0"/>
          <w:lang w:val="es-ES"/>
        </w:rPr>
      </w:pPr>
      <w:r w:rsidRPr="004857A8">
        <w:rPr>
          <w:rFonts w:ascii="Century Gothic" w:hAnsi="Century Gothic" w:cs="Times New Roman"/>
          <w:noProof w:val="0"/>
          <w:lang w:val="es-ES"/>
        </w:rPr>
        <w:t xml:space="preserve">Es promoción indirecta porque </w:t>
      </w:r>
      <w:r w:rsidR="00772996">
        <w:rPr>
          <w:rFonts w:ascii="Century Gothic" w:hAnsi="Century Gothic" w:cs="Times New Roman"/>
          <w:noProof w:val="0"/>
          <w:lang w:val="es-ES"/>
        </w:rPr>
        <w:t xml:space="preserve">no es una política de construcción de </w:t>
      </w:r>
      <w:r w:rsidRPr="004857A8">
        <w:rPr>
          <w:rFonts w:ascii="Century Gothic" w:hAnsi="Century Gothic" w:cs="Times New Roman"/>
          <w:noProof w:val="0"/>
          <w:lang w:val="es-ES"/>
        </w:rPr>
        <w:t>viviendas nuevas de interés social, sino</w:t>
      </w:r>
      <w:r w:rsidR="00772996">
        <w:rPr>
          <w:rFonts w:ascii="Century Gothic" w:hAnsi="Century Gothic" w:cs="Times New Roman"/>
          <w:noProof w:val="0"/>
          <w:lang w:val="es-ES"/>
        </w:rPr>
        <w:t xml:space="preserve"> de cesión de</w:t>
      </w:r>
      <w:r w:rsidRPr="004857A8">
        <w:rPr>
          <w:rFonts w:ascii="Century Gothic" w:hAnsi="Century Gothic" w:cs="Times New Roman"/>
          <w:noProof w:val="0"/>
          <w:lang w:val="es-ES"/>
        </w:rPr>
        <w:t xml:space="preserve"> los predios fiscales ocupados ilegalmente </w:t>
      </w:r>
      <w:r w:rsidR="00772996">
        <w:rPr>
          <w:rFonts w:ascii="Century Gothic" w:hAnsi="Century Gothic" w:cs="Times New Roman"/>
          <w:noProof w:val="0"/>
          <w:lang w:val="es-ES"/>
        </w:rPr>
        <w:t>en los cuales se edificaron viviendas susceptibles de esta calificación</w:t>
      </w:r>
      <w:r w:rsidRPr="004857A8">
        <w:rPr>
          <w:rFonts w:ascii="Century Gothic" w:hAnsi="Century Gothic" w:cs="Times New Roman"/>
          <w:noProof w:val="0"/>
          <w:lang w:val="es-ES"/>
        </w:rPr>
        <w:t>, transfiriendo su propiedad</w:t>
      </w:r>
      <w:r w:rsidR="00772996">
        <w:rPr>
          <w:rFonts w:ascii="Century Gothic" w:hAnsi="Century Gothic" w:cs="Times New Roman"/>
          <w:noProof w:val="0"/>
          <w:lang w:val="es-ES"/>
        </w:rPr>
        <w:t>,</w:t>
      </w:r>
      <w:r w:rsidRPr="004857A8">
        <w:rPr>
          <w:rFonts w:ascii="Century Gothic" w:hAnsi="Century Gothic" w:cs="Times New Roman"/>
          <w:noProof w:val="0"/>
          <w:lang w:val="es-ES"/>
        </w:rPr>
        <w:t xml:space="preserve"> con lo cual</w:t>
      </w:r>
      <w:r w:rsidR="00346D5D" w:rsidRPr="004857A8">
        <w:rPr>
          <w:rFonts w:ascii="Century Gothic" w:hAnsi="Century Gothic" w:cs="Times New Roman"/>
          <w:noProof w:val="0"/>
          <w:lang w:val="es-ES"/>
        </w:rPr>
        <w:t>,</w:t>
      </w:r>
      <w:r w:rsidRPr="004857A8">
        <w:rPr>
          <w:rFonts w:ascii="Century Gothic" w:hAnsi="Century Gothic" w:cs="Times New Roman"/>
          <w:noProof w:val="0"/>
          <w:lang w:val="es-ES"/>
        </w:rPr>
        <w:t xml:space="preserve"> la vivienda queda situada en un predio cuya propiedad es del ocupante restando por declarar la vivienda dentro del predio transferido</w:t>
      </w:r>
      <w:r w:rsidR="00346D5D" w:rsidRPr="004857A8">
        <w:rPr>
          <w:rFonts w:ascii="Century Gothic" w:hAnsi="Century Gothic" w:cs="Times New Roman"/>
          <w:noProof w:val="0"/>
          <w:lang w:val="es-ES"/>
        </w:rPr>
        <w:t>,</w:t>
      </w:r>
      <w:r w:rsidRPr="004857A8">
        <w:rPr>
          <w:rFonts w:ascii="Century Gothic" w:hAnsi="Century Gothic" w:cs="Times New Roman"/>
          <w:noProof w:val="0"/>
          <w:lang w:val="es-ES"/>
        </w:rPr>
        <w:t xml:space="preserve"> de conformidad con las normas de construcción, cerrando el ciclo. </w:t>
      </w:r>
      <w:r w:rsidR="0091142F" w:rsidRPr="004857A8">
        <w:rPr>
          <w:rFonts w:ascii="Century Gothic" w:hAnsi="Century Gothic" w:cs="Times New Roman"/>
          <w:noProof w:val="0"/>
          <w:lang w:val="es-ES"/>
        </w:rPr>
        <w:t xml:space="preserve"> </w:t>
      </w:r>
    </w:p>
    <w:p w:rsidR="00CD1D5A" w:rsidRPr="004857A8" w:rsidRDefault="00CD1D5A" w:rsidP="00124D90">
      <w:pPr>
        <w:spacing w:after="0" w:line="240" w:lineRule="auto"/>
        <w:rPr>
          <w:rFonts w:ascii="Century Gothic" w:hAnsi="Century Gothic" w:cs="Times New Roman"/>
          <w:noProof w:val="0"/>
          <w:lang w:val="es-ES"/>
        </w:rPr>
      </w:pPr>
    </w:p>
    <w:p w:rsidR="00CD1D5A" w:rsidRPr="004857A8" w:rsidRDefault="00346D5D" w:rsidP="00124D90">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Ahor</w:t>
      </w:r>
      <w:r w:rsidR="00F024CB" w:rsidRPr="004857A8">
        <w:rPr>
          <w:rFonts w:ascii="Century Gothic" w:hAnsi="Century Gothic"/>
          <w:sz w:val="22"/>
          <w:szCs w:val="22"/>
          <w:lang w:val="es-ES"/>
        </w:rPr>
        <w:t>a bien, en</w:t>
      </w:r>
      <w:r w:rsidRPr="004857A8">
        <w:rPr>
          <w:rFonts w:ascii="Century Gothic" w:hAnsi="Century Gothic"/>
          <w:sz w:val="22"/>
          <w:szCs w:val="22"/>
          <w:lang w:val="es-ES"/>
        </w:rPr>
        <w:t xml:space="preserve"> el entendido de que el saneamiento predial destinado a la titulación o cesión de predios fiscales a particulares está dirigido al cumplimiento de disposiciones constitucionales y legales sobre vivienda de interés social, el desarrollo normativo en esta materia ha ido evolucionando solamente hacia la promo</w:t>
      </w:r>
      <w:r w:rsidR="00772996">
        <w:rPr>
          <w:rFonts w:ascii="Century Gothic" w:hAnsi="Century Gothic"/>
          <w:sz w:val="22"/>
          <w:szCs w:val="22"/>
          <w:lang w:val="es-ES"/>
        </w:rPr>
        <w:t xml:space="preserve">ción de esta clase de vivienda y </w:t>
      </w:r>
      <w:r w:rsidRPr="004857A8">
        <w:rPr>
          <w:rFonts w:ascii="Century Gothic" w:hAnsi="Century Gothic"/>
          <w:sz w:val="22"/>
          <w:szCs w:val="22"/>
          <w:lang w:val="es-ES"/>
        </w:rPr>
        <w:t>a su protección como patrimonio familiar, a través de medidas cautelares de inembargabilidad y limitación al derecho de disposición de la propiedad.</w:t>
      </w:r>
    </w:p>
    <w:p w:rsidR="00F024CB" w:rsidRPr="004857A8" w:rsidRDefault="00F024CB" w:rsidP="00124D90">
      <w:pPr>
        <w:pStyle w:val="NormalWeb"/>
        <w:spacing w:before="0" w:beforeAutospacing="0" w:after="0" w:afterAutospacing="0"/>
        <w:jc w:val="both"/>
        <w:rPr>
          <w:rFonts w:ascii="Century Gothic" w:hAnsi="Century Gothic"/>
          <w:sz w:val="22"/>
          <w:szCs w:val="22"/>
          <w:lang w:val="es-ES"/>
        </w:rPr>
      </w:pPr>
    </w:p>
    <w:p w:rsidR="00F024CB" w:rsidRPr="004857A8" w:rsidRDefault="00F024CB" w:rsidP="00124D90">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lastRenderedPageBreak/>
        <w:t xml:space="preserve">Según el Ministerio de Vivienda, Ciudad y Territorio en el informe de rendición </w:t>
      </w:r>
      <w:r w:rsidR="00916BBF" w:rsidRPr="004857A8">
        <w:rPr>
          <w:rFonts w:ascii="Century Gothic" w:hAnsi="Century Gothic"/>
          <w:sz w:val="22"/>
          <w:szCs w:val="22"/>
          <w:lang w:val="es-ES"/>
        </w:rPr>
        <w:t xml:space="preserve">del año 2018, </w:t>
      </w:r>
      <w:r w:rsidRPr="004857A8">
        <w:rPr>
          <w:rFonts w:ascii="Century Gothic" w:hAnsi="Century Gothic"/>
          <w:sz w:val="22"/>
          <w:szCs w:val="22"/>
          <w:lang w:val="es-ES"/>
        </w:rPr>
        <w:t>de cuenta</w:t>
      </w:r>
      <w:r w:rsidR="00916BBF" w:rsidRPr="004857A8">
        <w:rPr>
          <w:rFonts w:ascii="Century Gothic" w:hAnsi="Century Gothic"/>
          <w:sz w:val="22"/>
          <w:szCs w:val="22"/>
          <w:lang w:val="es-ES"/>
        </w:rPr>
        <w:t>s desde el segundo semestre del año 2008</w:t>
      </w:r>
      <w:r w:rsidR="00772996">
        <w:rPr>
          <w:rFonts w:ascii="Century Gothic" w:hAnsi="Century Gothic"/>
          <w:sz w:val="22"/>
          <w:szCs w:val="22"/>
          <w:lang w:val="es-ES"/>
        </w:rPr>
        <w:t xml:space="preserve"> hasta el año 2017,</w:t>
      </w:r>
      <w:r w:rsidRPr="004857A8">
        <w:rPr>
          <w:rFonts w:ascii="Century Gothic" w:hAnsi="Century Gothic"/>
          <w:sz w:val="22"/>
          <w:szCs w:val="22"/>
          <w:lang w:val="es-ES"/>
        </w:rPr>
        <w:t xml:space="preserve"> el acumulado de predios fiscales cedidos </w:t>
      </w:r>
      <w:r w:rsidR="00772996" w:rsidRPr="004857A8">
        <w:rPr>
          <w:rFonts w:ascii="Century Gothic" w:hAnsi="Century Gothic"/>
          <w:sz w:val="22"/>
          <w:szCs w:val="22"/>
          <w:lang w:val="es-ES"/>
        </w:rPr>
        <w:t>predios</w:t>
      </w:r>
      <w:r w:rsidR="00772996">
        <w:rPr>
          <w:rFonts w:ascii="Century Gothic" w:hAnsi="Century Gothic"/>
          <w:sz w:val="22"/>
          <w:szCs w:val="22"/>
          <w:lang w:val="es-ES"/>
        </w:rPr>
        <w:t xml:space="preserve"> en el país es de 163.409</w:t>
      </w:r>
      <w:r w:rsidR="00D24CCB">
        <w:rPr>
          <w:rStyle w:val="Refdenotaalpie"/>
          <w:rFonts w:ascii="Century Gothic" w:hAnsi="Century Gothic"/>
          <w:sz w:val="22"/>
          <w:szCs w:val="22"/>
          <w:lang w:val="es-ES"/>
        </w:rPr>
        <w:footnoteReference w:id="1"/>
      </w:r>
      <w:r w:rsidR="00772996">
        <w:rPr>
          <w:rFonts w:ascii="Century Gothic" w:hAnsi="Century Gothic"/>
          <w:sz w:val="22"/>
          <w:szCs w:val="22"/>
          <w:lang w:val="es-ES"/>
        </w:rPr>
        <w:t>.</w:t>
      </w:r>
    </w:p>
    <w:p w:rsidR="00346D5D" w:rsidRPr="004857A8" w:rsidRDefault="00346D5D" w:rsidP="00124D90">
      <w:pPr>
        <w:pStyle w:val="NormalWeb"/>
        <w:spacing w:before="0" w:beforeAutospacing="0" w:after="0" w:afterAutospacing="0"/>
        <w:jc w:val="both"/>
        <w:rPr>
          <w:rFonts w:ascii="Century Gothic" w:hAnsi="Century Gothic"/>
          <w:sz w:val="22"/>
          <w:szCs w:val="22"/>
          <w:lang w:val="es-ES"/>
        </w:rPr>
      </w:pPr>
    </w:p>
    <w:p w:rsidR="00346D5D" w:rsidRPr="004857A8" w:rsidRDefault="003856B0" w:rsidP="003653F3">
      <w:pPr>
        <w:pStyle w:val="NormalWeb"/>
        <w:numPr>
          <w:ilvl w:val="1"/>
          <w:numId w:val="10"/>
        </w:numPr>
        <w:spacing w:before="0" w:beforeAutospacing="0" w:after="0" w:afterAutospacing="0"/>
        <w:jc w:val="both"/>
        <w:rPr>
          <w:rFonts w:ascii="Century Gothic" w:hAnsi="Century Gothic"/>
          <w:b/>
          <w:sz w:val="22"/>
          <w:szCs w:val="22"/>
          <w:lang w:val="es-ES"/>
        </w:rPr>
      </w:pPr>
      <w:r w:rsidRPr="004857A8">
        <w:rPr>
          <w:rFonts w:ascii="Century Gothic" w:hAnsi="Century Gothic"/>
          <w:b/>
          <w:sz w:val="22"/>
          <w:szCs w:val="22"/>
          <w:lang w:val="es-ES"/>
        </w:rPr>
        <w:t>Cambio de enfoque y efectos</w:t>
      </w:r>
      <w:r w:rsidR="00916BBF" w:rsidRPr="004857A8">
        <w:rPr>
          <w:rFonts w:ascii="Century Gothic" w:hAnsi="Century Gothic"/>
          <w:b/>
          <w:sz w:val="22"/>
          <w:szCs w:val="22"/>
          <w:lang w:val="es-ES"/>
        </w:rPr>
        <w:t>.</w:t>
      </w:r>
    </w:p>
    <w:p w:rsidR="003653F3" w:rsidRPr="004857A8" w:rsidRDefault="003653F3" w:rsidP="003653F3">
      <w:pPr>
        <w:pStyle w:val="NormalWeb"/>
        <w:spacing w:before="0" w:beforeAutospacing="0" w:after="0" w:afterAutospacing="0"/>
        <w:jc w:val="both"/>
        <w:rPr>
          <w:rFonts w:ascii="Century Gothic" w:hAnsi="Century Gothic"/>
          <w:b/>
          <w:sz w:val="22"/>
          <w:szCs w:val="22"/>
          <w:lang w:val="es-ES"/>
        </w:rPr>
      </w:pPr>
    </w:p>
    <w:p w:rsidR="001648E3" w:rsidRPr="004857A8" w:rsidRDefault="0096173D" w:rsidP="003653F3">
      <w:pPr>
        <w:pStyle w:val="NormalWeb"/>
        <w:spacing w:before="0" w:beforeAutospacing="0" w:after="0" w:afterAutospacing="0"/>
        <w:jc w:val="both"/>
        <w:rPr>
          <w:rFonts w:ascii="Century Gothic" w:hAnsi="Century Gothic"/>
          <w:b/>
          <w:sz w:val="22"/>
          <w:szCs w:val="22"/>
          <w:lang w:val="es-ES"/>
        </w:rPr>
      </w:pPr>
      <w:r w:rsidRPr="004857A8">
        <w:rPr>
          <w:rFonts w:ascii="Century Gothic" w:hAnsi="Century Gothic"/>
          <w:b/>
          <w:sz w:val="22"/>
          <w:szCs w:val="22"/>
          <w:lang w:val="es-ES"/>
        </w:rPr>
        <w:t xml:space="preserve">2.3.1. </w:t>
      </w:r>
      <w:r w:rsidR="001648E3" w:rsidRPr="004857A8">
        <w:rPr>
          <w:rFonts w:ascii="Century Gothic" w:hAnsi="Century Gothic"/>
          <w:b/>
          <w:sz w:val="22"/>
          <w:szCs w:val="22"/>
          <w:lang w:val="es-ES"/>
        </w:rPr>
        <w:t>Limitación a vivienda de interés social</w:t>
      </w:r>
      <w:r w:rsidR="0006389D" w:rsidRPr="004857A8">
        <w:rPr>
          <w:rFonts w:ascii="Century Gothic" w:hAnsi="Century Gothic"/>
          <w:b/>
          <w:sz w:val="22"/>
          <w:szCs w:val="22"/>
          <w:lang w:val="es-ES"/>
        </w:rPr>
        <w:t xml:space="preserve"> como único bien que puede estar construido en un predio fiscal titulable</w:t>
      </w:r>
      <w:r w:rsidR="00D24CCB">
        <w:rPr>
          <w:rFonts w:ascii="Century Gothic" w:hAnsi="Century Gothic"/>
          <w:b/>
          <w:sz w:val="22"/>
          <w:szCs w:val="22"/>
          <w:lang w:val="es-ES"/>
        </w:rPr>
        <w:t>.</w:t>
      </w:r>
    </w:p>
    <w:p w:rsidR="001648E3" w:rsidRPr="004857A8" w:rsidRDefault="001648E3" w:rsidP="003653F3">
      <w:pPr>
        <w:pStyle w:val="NormalWeb"/>
        <w:spacing w:before="0" w:beforeAutospacing="0" w:after="0" w:afterAutospacing="0"/>
        <w:jc w:val="both"/>
        <w:rPr>
          <w:rFonts w:ascii="Century Gothic" w:hAnsi="Century Gothic"/>
          <w:b/>
          <w:sz w:val="22"/>
          <w:szCs w:val="22"/>
          <w:lang w:val="es-ES"/>
        </w:rPr>
      </w:pPr>
    </w:p>
    <w:p w:rsidR="001648E3" w:rsidRPr="004857A8" w:rsidRDefault="001648E3" w:rsidP="0096173D">
      <w:pPr>
        <w:pStyle w:val="NormalWeb"/>
        <w:numPr>
          <w:ilvl w:val="0"/>
          <w:numId w:val="13"/>
        </w:numPr>
        <w:spacing w:before="0" w:beforeAutospacing="0" w:after="0" w:afterAutospacing="0"/>
        <w:jc w:val="both"/>
        <w:rPr>
          <w:rFonts w:ascii="Century Gothic" w:hAnsi="Century Gothic"/>
          <w:b/>
          <w:sz w:val="22"/>
          <w:szCs w:val="22"/>
          <w:lang w:val="es-ES"/>
        </w:rPr>
      </w:pPr>
      <w:r w:rsidRPr="004857A8">
        <w:rPr>
          <w:rFonts w:ascii="Century Gothic" w:hAnsi="Century Gothic"/>
          <w:b/>
          <w:sz w:val="22"/>
          <w:szCs w:val="22"/>
          <w:lang w:val="es-ES"/>
        </w:rPr>
        <w:t>Diagnóstico</w:t>
      </w:r>
    </w:p>
    <w:p w:rsidR="001648E3" w:rsidRPr="004857A8" w:rsidRDefault="001648E3" w:rsidP="003653F3">
      <w:pPr>
        <w:pStyle w:val="NormalWeb"/>
        <w:spacing w:before="0" w:beforeAutospacing="0" w:after="0" w:afterAutospacing="0"/>
        <w:jc w:val="both"/>
        <w:rPr>
          <w:rFonts w:ascii="Century Gothic" w:hAnsi="Century Gothic"/>
          <w:sz w:val="22"/>
          <w:szCs w:val="22"/>
          <w:lang w:val="es-ES"/>
        </w:rPr>
      </w:pPr>
    </w:p>
    <w:p w:rsidR="00DB4766" w:rsidRPr="004857A8" w:rsidRDefault="003653F3"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El enfoque</w:t>
      </w:r>
      <w:r w:rsidR="00D24CCB">
        <w:rPr>
          <w:rFonts w:ascii="Century Gothic" w:hAnsi="Century Gothic"/>
          <w:sz w:val="22"/>
          <w:szCs w:val="22"/>
          <w:lang w:val="es-ES"/>
        </w:rPr>
        <w:t xml:space="preserve"> exclusivo a</w:t>
      </w:r>
      <w:r w:rsidR="00DB4766" w:rsidRPr="004857A8">
        <w:rPr>
          <w:rFonts w:ascii="Century Gothic" w:hAnsi="Century Gothic"/>
          <w:sz w:val="22"/>
          <w:szCs w:val="22"/>
          <w:lang w:val="es-ES"/>
        </w:rPr>
        <w:t xml:space="preserve"> la vivienda de interés social mediante la cesión de predios fiscales a ocupaciones ilegales, ha desconocido los derechos de otras personas que ocupan predios fiscales en los mismo sectores,</w:t>
      </w:r>
      <w:r w:rsidR="004530C5" w:rsidRPr="004857A8">
        <w:rPr>
          <w:rFonts w:ascii="Century Gothic" w:hAnsi="Century Gothic"/>
          <w:sz w:val="22"/>
          <w:szCs w:val="22"/>
          <w:lang w:val="es-ES"/>
        </w:rPr>
        <w:t xml:space="preserve"> que poseen</w:t>
      </w:r>
      <w:r w:rsidR="00DB4766" w:rsidRPr="004857A8">
        <w:rPr>
          <w:rFonts w:ascii="Century Gothic" w:hAnsi="Century Gothic"/>
          <w:sz w:val="22"/>
          <w:szCs w:val="22"/>
          <w:lang w:val="es-ES"/>
        </w:rPr>
        <w:t xml:space="preserve"> también vivienda pero que no cumplen con los requerimientos de ser vivienda de interés social</w:t>
      </w:r>
      <w:r w:rsidR="004530C5" w:rsidRPr="004857A8">
        <w:rPr>
          <w:rFonts w:ascii="Century Gothic" w:hAnsi="Century Gothic"/>
          <w:sz w:val="22"/>
          <w:szCs w:val="22"/>
          <w:lang w:val="es-ES"/>
        </w:rPr>
        <w:t>,</w:t>
      </w:r>
      <w:r w:rsidR="00DB4766" w:rsidRPr="004857A8">
        <w:rPr>
          <w:rFonts w:ascii="Century Gothic" w:hAnsi="Century Gothic"/>
          <w:sz w:val="22"/>
          <w:szCs w:val="22"/>
          <w:lang w:val="es-ES"/>
        </w:rPr>
        <w:t xml:space="preserve"> o que ubicados en dichos sectores </w:t>
      </w:r>
      <w:r w:rsidR="00D24CCB">
        <w:rPr>
          <w:rFonts w:ascii="Century Gothic" w:hAnsi="Century Gothic"/>
          <w:sz w:val="22"/>
          <w:szCs w:val="22"/>
          <w:lang w:val="es-ES"/>
        </w:rPr>
        <w:t>han edificado en los que</w:t>
      </w:r>
      <w:r w:rsidR="00DB4766" w:rsidRPr="004857A8">
        <w:rPr>
          <w:rFonts w:ascii="Century Gothic" w:hAnsi="Century Gothic"/>
          <w:sz w:val="22"/>
          <w:szCs w:val="22"/>
          <w:lang w:val="es-ES"/>
        </w:rPr>
        <w:t xml:space="preserve"> desarrollan activida</w:t>
      </w:r>
      <w:r w:rsidR="00D24CCB">
        <w:rPr>
          <w:rFonts w:ascii="Century Gothic" w:hAnsi="Century Gothic"/>
          <w:sz w:val="22"/>
          <w:szCs w:val="22"/>
          <w:lang w:val="es-ES"/>
        </w:rPr>
        <w:t xml:space="preserve">des comerciales, industriales o </w:t>
      </w:r>
      <w:r w:rsidR="00DB4766" w:rsidRPr="004857A8">
        <w:rPr>
          <w:rFonts w:ascii="Century Gothic" w:hAnsi="Century Gothic"/>
          <w:sz w:val="22"/>
          <w:szCs w:val="22"/>
          <w:lang w:val="es-ES"/>
        </w:rPr>
        <w:t xml:space="preserve">de servicios. </w:t>
      </w:r>
    </w:p>
    <w:p w:rsidR="00DB4766" w:rsidRPr="004857A8" w:rsidRDefault="00DB4766" w:rsidP="003653F3">
      <w:pPr>
        <w:pStyle w:val="NormalWeb"/>
        <w:spacing w:before="0" w:beforeAutospacing="0" w:after="0" w:afterAutospacing="0"/>
        <w:jc w:val="both"/>
        <w:rPr>
          <w:rFonts w:ascii="Century Gothic" w:hAnsi="Century Gothic"/>
          <w:sz w:val="22"/>
          <w:szCs w:val="22"/>
          <w:lang w:val="es-ES"/>
        </w:rPr>
      </w:pPr>
    </w:p>
    <w:p w:rsidR="003653F3" w:rsidRPr="004857A8" w:rsidRDefault="00DB4766"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Por tanto, la normatividad creada bajo en el entendido</w:t>
      </w:r>
      <w:r w:rsidR="00D24CCB">
        <w:rPr>
          <w:rFonts w:ascii="Century Gothic" w:hAnsi="Century Gothic"/>
          <w:sz w:val="22"/>
          <w:szCs w:val="22"/>
          <w:lang w:val="es-ES"/>
        </w:rPr>
        <w:t xml:space="preserve"> de</w:t>
      </w:r>
      <w:r w:rsidRPr="004857A8">
        <w:rPr>
          <w:rFonts w:ascii="Century Gothic" w:hAnsi="Century Gothic"/>
          <w:sz w:val="22"/>
          <w:szCs w:val="22"/>
          <w:lang w:val="es-ES"/>
        </w:rPr>
        <w:t xml:space="preserve"> que solamente se pueden titular o ceder bienes fiscales ocupados ilegalmente cuando se trate de vivienda de interés social, no recoge la realidad de las ocupaciones ilegales en Colombia que son barrios o comunidades que desarrollan una dinámica urbana de vivienda, comercio, industria y servicios. </w:t>
      </w:r>
    </w:p>
    <w:p w:rsidR="00DB4766" w:rsidRPr="004857A8" w:rsidRDefault="00DB4766" w:rsidP="003653F3">
      <w:pPr>
        <w:pStyle w:val="NormalWeb"/>
        <w:spacing w:before="0" w:beforeAutospacing="0" w:after="0" w:afterAutospacing="0"/>
        <w:jc w:val="both"/>
        <w:rPr>
          <w:rFonts w:ascii="Century Gothic" w:hAnsi="Century Gothic"/>
          <w:sz w:val="22"/>
          <w:szCs w:val="22"/>
          <w:lang w:val="es-ES"/>
        </w:rPr>
      </w:pPr>
    </w:p>
    <w:p w:rsidR="00DB4766" w:rsidRPr="004857A8" w:rsidRDefault="00DB4766"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La realidad es que estos barrios o comunidades ya están establecidos en predios fiscales desde hace mucho tiempo y hacen parte de las ciudades. Claramente pretender desalojar o eliminar estas ocupaciones no corresponde al deber constitucional de fomentar la legalidad, proteger y fomentar el desarrollo a los habitantes. Es cierto que es deber de los Alcaldes y Gobernadores proteger los predios fiscales de las ocupaciones ilegales. Sin embargo, ya establecidas y más aú</w:t>
      </w:r>
      <w:r w:rsidR="00CB1DE2" w:rsidRPr="004857A8">
        <w:rPr>
          <w:rFonts w:ascii="Century Gothic" w:hAnsi="Century Gothic"/>
          <w:sz w:val="22"/>
          <w:szCs w:val="22"/>
          <w:lang w:val="es-ES"/>
        </w:rPr>
        <w:t>n cuando ya se constituyen en u</w:t>
      </w:r>
      <w:r w:rsidRPr="004857A8">
        <w:rPr>
          <w:rFonts w:ascii="Century Gothic" w:hAnsi="Century Gothic"/>
          <w:sz w:val="22"/>
          <w:szCs w:val="22"/>
          <w:lang w:val="es-ES"/>
        </w:rPr>
        <w:t>n</w:t>
      </w:r>
      <w:r w:rsidR="00CB1DE2" w:rsidRPr="004857A8">
        <w:rPr>
          <w:rFonts w:ascii="Century Gothic" w:hAnsi="Century Gothic"/>
          <w:sz w:val="22"/>
          <w:szCs w:val="22"/>
          <w:lang w:val="es-ES"/>
        </w:rPr>
        <w:t>a</w:t>
      </w:r>
      <w:r w:rsidRPr="004857A8">
        <w:rPr>
          <w:rFonts w:ascii="Century Gothic" w:hAnsi="Century Gothic"/>
          <w:sz w:val="22"/>
          <w:szCs w:val="22"/>
          <w:lang w:val="es-ES"/>
        </w:rPr>
        <w:t xml:space="preserve"> comunidad </w:t>
      </w:r>
      <w:r w:rsidR="00CB1DE2" w:rsidRPr="004857A8">
        <w:rPr>
          <w:rFonts w:ascii="Century Gothic" w:hAnsi="Century Gothic"/>
          <w:sz w:val="22"/>
          <w:szCs w:val="22"/>
          <w:lang w:val="es-ES"/>
        </w:rPr>
        <w:t>dinámica</w:t>
      </w:r>
      <w:r w:rsidRPr="004857A8">
        <w:rPr>
          <w:rFonts w:ascii="Century Gothic" w:hAnsi="Century Gothic"/>
          <w:sz w:val="22"/>
          <w:szCs w:val="22"/>
          <w:lang w:val="es-ES"/>
        </w:rPr>
        <w:t xml:space="preserve"> que hace parte del municipio, lo mejor es procurar su legalización, su </w:t>
      </w:r>
      <w:r w:rsidR="00CB1DE2" w:rsidRPr="004857A8">
        <w:rPr>
          <w:rFonts w:ascii="Century Gothic" w:hAnsi="Century Gothic"/>
          <w:sz w:val="22"/>
          <w:szCs w:val="22"/>
          <w:lang w:val="es-ES"/>
        </w:rPr>
        <w:t>incorporación</w:t>
      </w:r>
      <w:r w:rsidRPr="004857A8">
        <w:rPr>
          <w:rFonts w:ascii="Century Gothic" w:hAnsi="Century Gothic"/>
          <w:sz w:val="22"/>
          <w:szCs w:val="22"/>
          <w:lang w:val="es-ES"/>
        </w:rPr>
        <w:t xml:space="preserve"> como predios privados sujetos a los </w:t>
      </w:r>
      <w:r w:rsidR="00CB1DE2" w:rsidRPr="004857A8">
        <w:rPr>
          <w:rFonts w:ascii="Century Gothic" w:hAnsi="Century Gothic"/>
          <w:sz w:val="22"/>
          <w:szCs w:val="22"/>
          <w:lang w:val="es-ES"/>
        </w:rPr>
        <w:t xml:space="preserve">mismos </w:t>
      </w:r>
      <w:r w:rsidRPr="004857A8">
        <w:rPr>
          <w:rFonts w:ascii="Century Gothic" w:hAnsi="Century Gothic"/>
          <w:sz w:val="22"/>
          <w:szCs w:val="22"/>
          <w:lang w:val="es-ES"/>
        </w:rPr>
        <w:t>derecho</w:t>
      </w:r>
      <w:r w:rsidR="00CB1DE2" w:rsidRPr="004857A8">
        <w:rPr>
          <w:rFonts w:ascii="Century Gothic" w:hAnsi="Century Gothic"/>
          <w:sz w:val="22"/>
          <w:szCs w:val="22"/>
          <w:lang w:val="es-ES"/>
        </w:rPr>
        <w:t>s y obligaciones de los demás habitantes del municipio.</w:t>
      </w:r>
    </w:p>
    <w:p w:rsidR="0006389D" w:rsidRPr="004857A8" w:rsidRDefault="0006389D">
      <w:pPr>
        <w:rPr>
          <w:rFonts w:ascii="Century Gothic" w:eastAsia="Times New Roman" w:hAnsi="Century Gothic" w:cs="Times New Roman"/>
          <w:noProof w:val="0"/>
          <w:lang w:val="es-ES" w:eastAsia="es-CO"/>
        </w:rPr>
      </w:pPr>
      <w:r w:rsidRPr="004857A8">
        <w:rPr>
          <w:rFonts w:ascii="Century Gothic" w:hAnsi="Century Gothic" w:cs="Times New Roman"/>
          <w:noProof w:val="0"/>
          <w:lang w:val="es-ES"/>
        </w:rPr>
        <w:br w:type="page"/>
      </w:r>
    </w:p>
    <w:p w:rsidR="001648E3" w:rsidRPr="004857A8" w:rsidRDefault="001648E3" w:rsidP="003653F3">
      <w:pPr>
        <w:pStyle w:val="NormalWeb"/>
        <w:spacing w:before="0" w:beforeAutospacing="0" w:after="0" w:afterAutospacing="0"/>
        <w:jc w:val="both"/>
        <w:rPr>
          <w:rFonts w:ascii="Century Gothic" w:hAnsi="Century Gothic"/>
          <w:sz w:val="22"/>
          <w:szCs w:val="22"/>
          <w:lang w:val="es-ES"/>
        </w:rPr>
      </w:pPr>
    </w:p>
    <w:p w:rsidR="001648E3" w:rsidRPr="004857A8" w:rsidRDefault="001648E3" w:rsidP="0096173D">
      <w:pPr>
        <w:pStyle w:val="NormalWeb"/>
        <w:numPr>
          <w:ilvl w:val="0"/>
          <w:numId w:val="13"/>
        </w:numPr>
        <w:spacing w:before="0" w:beforeAutospacing="0" w:after="0" w:afterAutospacing="0"/>
        <w:jc w:val="both"/>
        <w:rPr>
          <w:rFonts w:ascii="Century Gothic" w:hAnsi="Century Gothic"/>
          <w:b/>
          <w:sz w:val="22"/>
          <w:szCs w:val="22"/>
          <w:lang w:val="es-ES"/>
        </w:rPr>
      </w:pPr>
      <w:r w:rsidRPr="004857A8">
        <w:rPr>
          <w:rFonts w:ascii="Century Gothic" w:hAnsi="Century Gothic"/>
          <w:b/>
          <w:sz w:val="22"/>
          <w:szCs w:val="22"/>
          <w:lang w:val="es-ES"/>
        </w:rPr>
        <w:t>Solución</w:t>
      </w:r>
    </w:p>
    <w:p w:rsidR="00CB1DE2" w:rsidRPr="004857A8" w:rsidRDefault="00CB1DE2" w:rsidP="003653F3">
      <w:pPr>
        <w:pStyle w:val="NormalWeb"/>
        <w:spacing w:before="0" w:beforeAutospacing="0" w:after="0" w:afterAutospacing="0"/>
        <w:jc w:val="both"/>
        <w:rPr>
          <w:rFonts w:ascii="Century Gothic" w:hAnsi="Century Gothic"/>
          <w:sz w:val="22"/>
          <w:szCs w:val="22"/>
          <w:lang w:val="es-ES"/>
        </w:rPr>
      </w:pPr>
    </w:p>
    <w:p w:rsidR="00CB1DE2" w:rsidRPr="004857A8" w:rsidRDefault="00CB1DE2"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 xml:space="preserve">En consideración con lo anterior, el nuevo enfoque debe ser la transferencia del dominio de todos los predios fiscales ocupados ilegalmente que tengan construcciones, independientemente de su destino o su valor, bien sea mediante la cesión </w:t>
      </w:r>
      <w:r w:rsidR="00CE2D41" w:rsidRPr="004857A8">
        <w:rPr>
          <w:rFonts w:ascii="Century Gothic" w:hAnsi="Century Gothic"/>
          <w:sz w:val="22"/>
          <w:szCs w:val="22"/>
          <w:lang w:val="es-ES"/>
        </w:rPr>
        <w:t xml:space="preserve">gratuita del predio fiscal o </w:t>
      </w:r>
      <w:r w:rsidRPr="004857A8">
        <w:rPr>
          <w:rFonts w:ascii="Century Gothic" w:hAnsi="Century Gothic"/>
          <w:sz w:val="22"/>
          <w:szCs w:val="22"/>
          <w:lang w:val="es-ES"/>
        </w:rPr>
        <w:t>venta por parte de la entidad territorial</w:t>
      </w:r>
      <w:r w:rsidR="00D6019C" w:rsidRPr="004857A8">
        <w:rPr>
          <w:rFonts w:ascii="Century Gothic" w:hAnsi="Century Gothic"/>
          <w:sz w:val="22"/>
          <w:szCs w:val="22"/>
          <w:lang w:val="es-ES"/>
        </w:rPr>
        <w:t>, de tal manera que el derecho constitucional a la</w:t>
      </w:r>
      <w:r w:rsidRPr="004857A8">
        <w:rPr>
          <w:rFonts w:ascii="Century Gothic" w:hAnsi="Century Gothic"/>
          <w:sz w:val="22"/>
          <w:szCs w:val="22"/>
          <w:lang w:val="es-ES"/>
        </w:rPr>
        <w:t xml:space="preserve"> igualdad</w:t>
      </w:r>
      <w:r w:rsidR="00D6019C" w:rsidRPr="004857A8">
        <w:rPr>
          <w:rFonts w:ascii="Century Gothic" w:hAnsi="Century Gothic"/>
          <w:sz w:val="22"/>
          <w:szCs w:val="22"/>
          <w:lang w:val="es-ES"/>
        </w:rPr>
        <w:t xml:space="preserve"> sea aplicado sin distinción alguna.</w:t>
      </w:r>
    </w:p>
    <w:p w:rsidR="001648E3" w:rsidRPr="004857A8" w:rsidRDefault="001648E3" w:rsidP="003653F3">
      <w:pPr>
        <w:pStyle w:val="NormalWeb"/>
        <w:spacing w:before="0" w:beforeAutospacing="0" w:after="0" w:afterAutospacing="0"/>
        <w:jc w:val="both"/>
        <w:rPr>
          <w:rFonts w:ascii="Century Gothic" w:hAnsi="Century Gothic"/>
          <w:sz w:val="22"/>
          <w:szCs w:val="22"/>
          <w:lang w:val="es-ES"/>
        </w:rPr>
      </w:pPr>
    </w:p>
    <w:p w:rsidR="00B42543" w:rsidRPr="004857A8" w:rsidRDefault="00CE2D41" w:rsidP="0096173D">
      <w:pPr>
        <w:pStyle w:val="NormalWeb"/>
        <w:numPr>
          <w:ilvl w:val="0"/>
          <w:numId w:val="13"/>
        </w:numPr>
        <w:spacing w:before="0" w:beforeAutospacing="0" w:after="0" w:afterAutospacing="0"/>
        <w:jc w:val="both"/>
        <w:rPr>
          <w:rFonts w:ascii="Century Gothic" w:hAnsi="Century Gothic"/>
          <w:b/>
          <w:sz w:val="22"/>
          <w:szCs w:val="22"/>
          <w:lang w:val="es-ES"/>
        </w:rPr>
      </w:pPr>
      <w:r w:rsidRPr="004857A8">
        <w:rPr>
          <w:rFonts w:ascii="Century Gothic" w:hAnsi="Century Gothic"/>
          <w:b/>
          <w:sz w:val="22"/>
          <w:szCs w:val="22"/>
          <w:lang w:val="es-ES"/>
        </w:rPr>
        <w:t>Efectos</w:t>
      </w:r>
    </w:p>
    <w:p w:rsidR="00CE2D41" w:rsidRPr="004857A8" w:rsidRDefault="00CE2D41" w:rsidP="003653F3">
      <w:pPr>
        <w:pStyle w:val="NormalWeb"/>
        <w:spacing w:before="0" w:beforeAutospacing="0" w:after="0" w:afterAutospacing="0"/>
        <w:jc w:val="both"/>
        <w:rPr>
          <w:rFonts w:ascii="Century Gothic" w:hAnsi="Century Gothic"/>
          <w:b/>
          <w:sz w:val="22"/>
          <w:szCs w:val="22"/>
          <w:lang w:val="es-ES"/>
        </w:rPr>
      </w:pPr>
    </w:p>
    <w:p w:rsidR="00CE2D41" w:rsidRPr="004857A8" w:rsidRDefault="00CE2D41"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Permitiría que más personas accedieran a predios fiscales titulables lo que se traduciría en mayores ingresos por impuestos y tasas territoriales, existirían más bienes inmuebles que dinamizarían el mercado inmobiliario, y se aplicaría el principio de igualdad para todas las personas que desarrollan su vida su vida en asentamientos ilegales sin ninguna clase de distinción.</w:t>
      </w:r>
    </w:p>
    <w:p w:rsidR="00D6019C" w:rsidRPr="004857A8" w:rsidRDefault="00D6019C" w:rsidP="003653F3">
      <w:pPr>
        <w:pStyle w:val="NormalWeb"/>
        <w:spacing w:before="0" w:beforeAutospacing="0" w:after="0" w:afterAutospacing="0"/>
        <w:jc w:val="both"/>
        <w:rPr>
          <w:rFonts w:ascii="Century Gothic" w:hAnsi="Century Gothic"/>
          <w:sz w:val="22"/>
          <w:szCs w:val="22"/>
          <w:lang w:val="es-ES"/>
        </w:rPr>
      </w:pPr>
    </w:p>
    <w:p w:rsidR="001648E3" w:rsidRPr="004857A8" w:rsidRDefault="0096173D" w:rsidP="003653F3">
      <w:pPr>
        <w:pStyle w:val="NormalWeb"/>
        <w:spacing w:before="0" w:beforeAutospacing="0" w:after="0" w:afterAutospacing="0"/>
        <w:jc w:val="both"/>
        <w:rPr>
          <w:rFonts w:ascii="Century Gothic" w:hAnsi="Century Gothic"/>
          <w:b/>
          <w:sz w:val="22"/>
          <w:szCs w:val="22"/>
          <w:lang w:val="es-ES"/>
        </w:rPr>
      </w:pPr>
      <w:r w:rsidRPr="004857A8">
        <w:rPr>
          <w:rFonts w:ascii="Century Gothic" w:hAnsi="Century Gothic"/>
          <w:b/>
          <w:sz w:val="22"/>
          <w:szCs w:val="22"/>
          <w:lang w:val="es-ES"/>
        </w:rPr>
        <w:t xml:space="preserve">2.3.2. </w:t>
      </w:r>
      <w:r w:rsidR="001648E3" w:rsidRPr="004857A8">
        <w:rPr>
          <w:rFonts w:ascii="Century Gothic" w:hAnsi="Century Gothic"/>
          <w:b/>
          <w:sz w:val="22"/>
          <w:szCs w:val="22"/>
          <w:lang w:val="es-ES"/>
        </w:rPr>
        <w:t>Limitación de enajenación de la vivienda ubicada en predio fiscal cedido</w:t>
      </w:r>
      <w:r w:rsidR="00D24CCB">
        <w:rPr>
          <w:rFonts w:ascii="Century Gothic" w:hAnsi="Century Gothic"/>
          <w:b/>
          <w:sz w:val="22"/>
          <w:szCs w:val="22"/>
          <w:lang w:val="es-ES"/>
        </w:rPr>
        <w:t>.</w:t>
      </w:r>
    </w:p>
    <w:p w:rsidR="001648E3" w:rsidRPr="004857A8" w:rsidRDefault="001648E3" w:rsidP="003653F3">
      <w:pPr>
        <w:pStyle w:val="NormalWeb"/>
        <w:spacing w:before="0" w:beforeAutospacing="0" w:after="0" w:afterAutospacing="0"/>
        <w:jc w:val="both"/>
        <w:rPr>
          <w:rFonts w:ascii="Century Gothic" w:hAnsi="Century Gothic"/>
          <w:b/>
          <w:sz w:val="22"/>
          <w:szCs w:val="22"/>
          <w:lang w:val="es-ES"/>
        </w:rPr>
      </w:pPr>
    </w:p>
    <w:p w:rsidR="001648E3" w:rsidRPr="004857A8" w:rsidRDefault="001648E3" w:rsidP="0096173D">
      <w:pPr>
        <w:pStyle w:val="NormalWeb"/>
        <w:numPr>
          <w:ilvl w:val="0"/>
          <w:numId w:val="14"/>
        </w:numPr>
        <w:spacing w:before="0" w:beforeAutospacing="0" w:after="0" w:afterAutospacing="0"/>
        <w:jc w:val="both"/>
        <w:rPr>
          <w:rFonts w:ascii="Century Gothic" w:hAnsi="Century Gothic"/>
          <w:b/>
          <w:sz w:val="22"/>
          <w:szCs w:val="22"/>
          <w:lang w:val="es-ES"/>
        </w:rPr>
      </w:pPr>
      <w:r w:rsidRPr="004857A8">
        <w:rPr>
          <w:rFonts w:ascii="Century Gothic" w:hAnsi="Century Gothic"/>
          <w:b/>
          <w:sz w:val="22"/>
          <w:szCs w:val="22"/>
          <w:lang w:val="es-ES"/>
        </w:rPr>
        <w:t>Diagnóstico</w:t>
      </w:r>
    </w:p>
    <w:p w:rsidR="001648E3" w:rsidRPr="004857A8" w:rsidRDefault="001648E3" w:rsidP="003653F3">
      <w:pPr>
        <w:pStyle w:val="NormalWeb"/>
        <w:spacing w:before="0" w:beforeAutospacing="0" w:after="0" w:afterAutospacing="0"/>
        <w:jc w:val="both"/>
        <w:rPr>
          <w:rFonts w:ascii="Century Gothic" w:hAnsi="Century Gothic"/>
          <w:b/>
          <w:sz w:val="22"/>
          <w:szCs w:val="22"/>
          <w:lang w:val="es-ES"/>
        </w:rPr>
      </w:pPr>
    </w:p>
    <w:p w:rsidR="00F24B68" w:rsidRDefault="001648E3"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L</w:t>
      </w:r>
      <w:r w:rsidR="00D6019C" w:rsidRPr="004857A8">
        <w:rPr>
          <w:rFonts w:ascii="Century Gothic" w:hAnsi="Century Gothic"/>
          <w:sz w:val="22"/>
          <w:szCs w:val="22"/>
          <w:lang w:val="es-ES"/>
        </w:rPr>
        <w:t xml:space="preserve">a visión de protección de la vivienda que actualmente establecen las normas de cesión de predios fiscales, no guarda relación con la realidad económica ni la dinamización del mercado inmobiliario urbano. </w:t>
      </w:r>
      <w:r w:rsidR="00D24CCB">
        <w:rPr>
          <w:rFonts w:ascii="Century Gothic" w:hAnsi="Century Gothic"/>
          <w:sz w:val="22"/>
          <w:szCs w:val="22"/>
          <w:lang w:val="es-ES"/>
        </w:rPr>
        <w:t xml:space="preserve">La prohibición de enajenar </w:t>
      </w:r>
      <w:r w:rsidR="004530C5" w:rsidRPr="004857A8">
        <w:rPr>
          <w:rFonts w:ascii="Century Gothic" w:hAnsi="Century Gothic"/>
          <w:sz w:val="22"/>
          <w:szCs w:val="22"/>
          <w:lang w:val="es-ES"/>
        </w:rPr>
        <w:t xml:space="preserve">viviendas de interés social ubicadas en bienes fiscales cedidos ha creado un mercado negro de enajenación de estos inmuebles, </w:t>
      </w:r>
      <w:r w:rsidR="00D24CCB">
        <w:rPr>
          <w:rFonts w:ascii="Century Gothic" w:hAnsi="Century Gothic"/>
          <w:sz w:val="22"/>
          <w:szCs w:val="22"/>
          <w:lang w:val="es-ES"/>
        </w:rPr>
        <w:t>en el cual se realizan</w:t>
      </w:r>
      <w:r w:rsidR="004530C5" w:rsidRPr="004857A8">
        <w:rPr>
          <w:rFonts w:ascii="Century Gothic" w:hAnsi="Century Gothic"/>
          <w:sz w:val="22"/>
          <w:szCs w:val="22"/>
          <w:lang w:val="es-ES"/>
        </w:rPr>
        <w:t xml:space="preserve"> transacciones comerciales</w:t>
      </w:r>
      <w:r w:rsidR="00D24CCB">
        <w:rPr>
          <w:rFonts w:ascii="Century Gothic" w:hAnsi="Century Gothic"/>
          <w:sz w:val="22"/>
          <w:szCs w:val="22"/>
          <w:lang w:val="es-ES"/>
        </w:rPr>
        <w:t xml:space="preserve"> de estos bienes sin que exista una titularidad, mediante la cesión o venta del derecho real de posesión</w:t>
      </w:r>
      <w:r w:rsidR="00F24B68">
        <w:rPr>
          <w:rFonts w:ascii="Century Gothic" w:hAnsi="Century Gothic"/>
          <w:sz w:val="22"/>
          <w:szCs w:val="22"/>
          <w:lang w:val="es-ES"/>
        </w:rPr>
        <w:t>, sin que se realicen operaciones de transferencia de propiedad sujetas a registro público</w:t>
      </w:r>
      <w:r w:rsidR="004530C5" w:rsidRPr="004857A8">
        <w:rPr>
          <w:rFonts w:ascii="Century Gothic" w:hAnsi="Century Gothic"/>
          <w:sz w:val="22"/>
          <w:szCs w:val="22"/>
          <w:lang w:val="es-ES"/>
        </w:rPr>
        <w:t>. Surge entonces la contradicción de la normatividad, esto es, la potestad d</w:t>
      </w:r>
      <w:r w:rsidR="003C7016" w:rsidRPr="004857A8">
        <w:rPr>
          <w:rFonts w:ascii="Century Gothic" w:hAnsi="Century Gothic"/>
          <w:sz w:val="22"/>
          <w:szCs w:val="22"/>
          <w:lang w:val="es-ES"/>
        </w:rPr>
        <w:t>el Estado</w:t>
      </w:r>
      <w:r w:rsidR="004530C5" w:rsidRPr="004857A8">
        <w:rPr>
          <w:rFonts w:ascii="Century Gothic" w:hAnsi="Century Gothic"/>
          <w:sz w:val="22"/>
          <w:szCs w:val="22"/>
          <w:lang w:val="es-ES"/>
        </w:rPr>
        <w:t xml:space="preserve"> de </w:t>
      </w:r>
      <w:r w:rsidR="00D24CCB">
        <w:rPr>
          <w:rFonts w:ascii="Century Gothic" w:hAnsi="Century Gothic"/>
          <w:sz w:val="22"/>
          <w:szCs w:val="22"/>
          <w:lang w:val="es-ES"/>
        </w:rPr>
        <w:t>ceder</w:t>
      </w:r>
      <w:r w:rsidR="004530C5" w:rsidRPr="004857A8">
        <w:rPr>
          <w:rFonts w:ascii="Century Gothic" w:hAnsi="Century Gothic"/>
          <w:sz w:val="22"/>
          <w:szCs w:val="22"/>
          <w:lang w:val="es-ES"/>
        </w:rPr>
        <w:t xml:space="preserve"> la propiedad de predios fiscales a particulares a los que les impide, a su vez, ejercer su derecho </w:t>
      </w:r>
      <w:r w:rsidR="003C7016" w:rsidRPr="004857A8">
        <w:rPr>
          <w:rFonts w:ascii="Century Gothic" w:hAnsi="Century Gothic"/>
          <w:sz w:val="22"/>
          <w:szCs w:val="22"/>
          <w:lang w:val="es-ES"/>
        </w:rPr>
        <w:t>de dispo</w:t>
      </w:r>
      <w:r w:rsidR="004530C5" w:rsidRPr="004857A8">
        <w:rPr>
          <w:rFonts w:ascii="Century Gothic" w:hAnsi="Century Gothic"/>
          <w:sz w:val="22"/>
          <w:szCs w:val="22"/>
          <w:lang w:val="es-ES"/>
        </w:rPr>
        <w:t xml:space="preserve">sición de la misma sobre el </w:t>
      </w:r>
      <w:r w:rsidR="003C7016" w:rsidRPr="004857A8">
        <w:rPr>
          <w:rFonts w:ascii="Century Gothic" w:hAnsi="Century Gothic"/>
          <w:sz w:val="22"/>
          <w:szCs w:val="22"/>
          <w:lang w:val="es-ES"/>
        </w:rPr>
        <w:t>argumento de proteger la vivienda</w:t>
      </w:r>
      <w:r w:rsidR="004530C5" w:rsidRPr="004857A8">
        <w:rPr>
          <w:rFonts w:ascii="Century Gothic" w:hAnsi="Century Gothic"/>
          <w:sz w:val="22"/>
          <w:szCs w:val="22"/>
          <w:lang w:val="es-ES"/>
        </w:rPr>
        <w:t xml:space="preserve"> del ocupante, cuando en la r</w:t>
      </w:r>
      <w:r w:rsidR="003C7016" w:rsidRPr="004857A8">
        <w:rPr>
          <w:rFonts w:ascii="Century Gothic" w:hAnsi="Century Gothic"/>
          <w:sz w:val="22"/>
          <w:szCs w:val="22"/>
          <w:lang w:val="es-ES"/>
        </w:rPr>
        <w:t>ealidad, es el mismo ocupante</w:t>
      </w:r>
      <w:r w:rsidR="004530C5" w:rsidRPr="004857A8">
        <w:rPr>
          <w:rFonts w:ascii="Century Gothic" w:hAnsi="Century Gothic"/>
          <w:sz w:val="22"/>
          <w:szCs w:val="22"/>
          <w:lang w:val="es-ES"/>
        </w:rPr>
        <w:t xml:space="preserve">, en su propia libertad, el que toma la decisión de enajenar o no su </w:t>
      </w:r>
      <w:r w:rsidR="003C7016" w:rsidRPr="004857A8">
        <w:rPr>
          <w:rFonts w:ascii="Century Gothic" w:hAnsi="Century Gothic"/>
          <w:sz w:val="22"/>
          <w:szCs w:val="22"/>
          <w:lang w:val="es-ES"/>
        </w:rPr>
        <w:t>vivienda</w:t>
      </w:r>
      <w:r w:rsidR="004530C5" w:rsidRPr="004857A8">
        <w:rPr>
          <w:rFonts w:ascii="Century Gothic" w:hAnsi="Century Gothic"/>
          <w:sz w:val="22"/>
          <w:szCs w:val="22"/>
          <w:lang w:val="es-ES"/>
        </w:rPr>
        <w:t xml:space="preserve"> con los </w:t>
      </w:r>
      <w:r w:rsidR="003C7016" w:rsidRPr="004857A8">
        <w:rPr>
          <w:rFonts w:ascii="Century Gothic" w:hAnsi="Century Gothic"/>
          <w:sz w:val="22"/>
          <w:szCs w:val="22"/>
          <w:lang w:val="es-ES"/>
        </w:rPr>
        <w:t>efectos</w:t>
      </w:r>
      <w:r w:rsidR="004530C5" w:rsidRPr="004857A8">
        <w:rPr>
          <w:rFonts w:ascii="Century Gothic" w:hAnsi="Century Gothic"/>
          <w:sz w:val="22"/>
          <w:szCs w:val="22"/>
          <w:lang w:val="es-ES"/>
        </w:rPr>
        <w:t xml:space="preserve"> que pueda tener para él o para su familia. Y lo hace, </w:t>
      </w:r>
      <w:r w:rsidR="003C7016" w:rsidRPr="004857A8">
        <w:rPr>
          <w:rFonts w:ascii="Century Gothic" w:hAnsi="Century Gothic"/>
          <w:sz w:val="22"/>
          <w:szCs w:val="22"/>
          <w:lang w:val="es-ES"/>
        </w:rPr>
        <w:t>independientemente de la restricción</w:t>
      </w:r>
      <w:r w:rsidR="004530C5" w:rsidRPr="004857A8">
        <w:rPr>
          <w:rFonts w:ascii="Century Gothic" w:hAnsi="Century Gothic"/>
          <w:sz w:val="22"/>
          <w:szCs w:val="22"/>
          <w:lang w:val="es-ES"/>
        </w:rPr>
        <w:t xml:space="preserve"> legal</w:t>
      </w:r>
      <w:r w:rsidR="00B9400C" w:rsidRPr="004857A8">
        <w:rPr>
          <w:rFonts w:ascii="Century Gothic" w:hAnsi="Century Gothic"/>
          <w:sz w:val="22"/>
          <w:szCs w:val="22"/>
          <w:lang w:val="es-ES"/>
        </w:rPr>
        <w:t xml:space="preserve"> como lo demuestra la realidad</w:t>
      </w:r>
      <w:r w:rsidR="004530C5" w:rsidRPr="004857A8">
        <w:rPr>
          <w:rFonts w:ascii="Century Gothic" w:hAnsi="Century Gothic"/>
          <w:sz w:val="22"/>
          <w:szCs w:val="22"/>
          <w:lang w:val="es-ES"/>
        </w:rPr>
        <w:t xml:space="preserve">. </w:t>
      </w:r>
    </w:p>
    <w:p w:rsidR="00F24B68" w:rsidRDefault="00F24B68" w:rsidP="003653F3">
      <w:pPr>
        <w:pStyle w:val="NormalWeb"/>
        <w:spacing w:before="0" w:beforeAutospacing="0" w:after="0" w:afterAutospacing="0"/>
        <w:jc w:val="both"/>
        <w:rPr>
          <w:rFonts w:ascii="Century Gothic" w:hAnsi="Century Gothic"/>
          <w:sz w:val="22"/>
          <w:szCs w:val="22"/>
          <w:lang w:val="es-ES"/>
        </w:rPr>
      </w:pPr>
    </w:p>
    <w:p w:rsidR="004530C5" w:rsidRPr="004857A8" w:rsidRDefault="004530C5"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 xml:space="preserve">Sin embargo, esa decisión, por la </w:t>
      </w:r>
      <w:r w:rsidR="003C7016" w:rsidRPr="004857A8">
        <w:rPr>
          <w:rFonts w:ascii="Century Gothic" w:hAnsi="Century Gothic"/>
          <w:sz w:val="22"/>
          <w:szCs w:val="22"/>
          <w:lang w:val="es-ES"/>
        </w:rPr>
        <w:t>limitación</w:t>
      </w:r>
      <w:r w:rsidR="00B9400C" w:rsidRPr="004857A8">
        <w:rPr>
          <w:rFonts w:ascii="Century Gothic" w:hAnsi="Century Gothic"/>
          <w:sz w:val="22"/>
          <w:szCs w:val="22"/>
          <w:lang w:val="es-ES"/>
        </w:rPr>
        <w:t>, restricción o prohibición,</w:t>
      </w:r>
      <w:r w:rsidRPr="004857A8">
        <w:rPr>
          <w:rFonts w:ascii="Century Gothic" w:hAnsi="Century Gothic"/>
          <w:sz w:val="22"/>
          <w:szCs w:val="22"/>
          <w:lang w:val="es-ES"/>
        </w:rPr>
        <w:t xml:space="preserve"> </w:t>
      </w:r>
      <w:r w:rsidR="00F24B68">
        <w:rPr>
          <w:rFonts w:ascii="Century Gothic" w:hAnsi="Century Gothic"/>
          <w:sz w:val="22"/>
          <w:szCs w:val="22"/>
          <w:lang w:val="es-ES"/>
        </w:rPr>
        <w:t>genera obstáculos a</w:t>
      </w:r>
      <w:r w:rsidRPr="004857A8">
        <w:rPr>
          <w:rFonts w:ascii="Century Gothic" w:hAnsi="Century Gothic"/>
          <w:sz w:val="22"/>
          <w:szCs w:val="22"/>
          <w:lang w:val="es-ES"/>
        </w:rPr>
        <w:t xml:space="preserve"> la dinamización del mercado </w:t>
      </w:r>
      <w:r w:rsidR="003C7016" w:rsidRPr="004857A8">
        <w:rPr>
          <w:rFonts w:ascii="Century Gothic" w:hAnsi="Century Gothic"/>
          <w:sz w:val="22"/>
          <w:szCs w:val="22"/>
          <w:lang w:val="es-ES"/>
        </w:rPr>
        <w:t>inmobiliario</w:t>
      </w:r>
      <w:r w:rsidRPr="004857A8">
        <w:rPr>
          <w:rFonts w:ascii="Century Gothic" w:hAnsi="Century Gothic"/>
          <w:sz w:val="22"/>
          <w:szCs w:val="22"/>
          <w:lang w:val="es-ES"/>
        </w:rPr>
        <w:t xml:space="preserve"> en estos sectores, porque impide la seguridad </w:t>
      </w:r>
      <w:r w:rsidR="003C7016" w:rsidRPr="004857A8">
        <w:rPr>
          <w:rFonts w:ascii="Century Gothic" w:hAnsi="Century Gothic"/>
          <w:sz w:val="22"/>
          <w:szCs w:val="22"/>
          <w:lang w:val="es-ES"/>
        </w:rPr>
        <w:t>jurídica</w:t>
      </w:r>
      <w:r w:rsidRPr="004857A8">
        <w:rPr>
          <w:rFonts w:ascii="Century Gothic" w:hAnsi="Century Gothic"/>
          <w:sz w:val="22"/>
          <w:szCs w:val="22"/>
          <w:lang w:val="es-ES"/>
        </w:rPr>
        <w:t xml:space="preserve"> de la enajenación que </w:t>
      </w:r>
      <w:r w:rsidR="003C7016" w:rsidRPr="004857A8">
        <w:rPr>
          <w:rFonts w:ascii="Century Gothic" w:hAnsi="Century Gothic"/>
          <w:sz w:val="22"/>
          <w:szCs w:val="22"/>
          <w:lang w:val="es-ES"/>
        </w:rPr>
        <w:t>corresponde</w:t>
      </w:r>
      <w:r w:rsidRPr="004857A8">
        <w:rPr>
          <w:rFonts w:ascii="Century Gothic" w:hAnsi="Century Gothic"/>
          <w:sz w:val="22"/>
          <w:szCs w:val="22"/>
          <w:lang w:val="es-ES"/>
        </w:rPr>
        <w:t xml:space="preserve"> al reg</w:t>
      </w:r>
      <w:r w:rsidR="00B9400C" w:rsidRPr="004857A8">
        <w:rPr>
          <w:rFonts w:ascii="Century Gothic" w:hAnsi="Century Gothic"/>
          <w:sz w:val="22"/>
          <w:szCs w:val="22"/>
          <w:lang w:val="es-ES"/>
        </w:rPr>
        <w:t>istro en instrumentos públicos y a</w:t>
      </w:r>
      <w:r w:rsidRPr="004857A8">
        <w:rPr>
          <w:rFonts w:ascii="Century Gothic" w:hAnsi="Century Gothic"/>
          <w:sz w:val="22"/>
          <w:szCs w:val="22"/>
          <w:lang w:val="es-ES"/>
        </w:rPr>
        <w:t xml:space="preserve"> la falta de pago de tasas e impuestos que </w:t>
      </w:r>
      <w:r w:rsidR="003C7016" w:rsidRPr="004857A8">
        <w:rPr>
          <w:rFonts w:ascii="Century Gothic" w:hAnsi="Century Gothic"/>
          <w:sz w:val="22"/>
          <w:szCs w:val="22"/>
          <w:lang w:val="es-ES"/>
        </w:rPr>
        <w:t>contribuyen</w:t>
      </w:r>
      <w:r w:rsidRPr="004857A8">
        <w:rPr>
          <w:rFonts w:ascii="Century Gothic" w:hAnsi="Century Gothic"/>
          <w:sz w:val="22"/>
          <w:szCs w:val="22"/>
          <w:lang w:val="es-ES"/>
        </w:rPr>
        <w:t xml:space="preserve"> a los ingresos de las</w:t>
      </w:r>
      <w:r w:rsidR="00B9400C" w:rsidRPr="004857A8">
        <w:rPr>
          <w:rFonts w:ascii="Century Gothic" w:hAnsi="Century Gothic"/>
          <w:sz w:val="22"/>
          <w:szCs w:val="22"/>
          <w:lang w:val="es-ES"/>
        </w:rPr>
        <w:t xml:space="preserve"> notarías, entidades públicas y entidades </w:t>
      </w:r>
      <w:r w:rsidR="003C7016" w:rsidRPr="004857A8">
        <w:rPr>
          <w:rFonts w:ascii="Century Gothic" w:hAnsi="Century Gothic"/>
          <w:sz w:val="22"/>
          <w:szCs w:val="22"/>
          <w:lang w:val="es-ES"/>
        </w:rPr>
        <w:t>territoriales</w:t>
      </w:r>
      <w:r w:rsidR="00F24B68">
        <w:rPr>
          <w:rFonts w:ascii="Century Gothic" w:hAnsi="Century Gothic"/>
          <w:sz w:val="22"/>
          <w:szCs w:val="22"/>
          <w:lang w:val="es-ES"/>
        </w:rPr>
        <w:t>.</w:t>
      </w:r>
    </w:p>
    <w:p w:rsidR="004530C5" w:rsidRPr="004857A8" w:rsidRDefault="004530C5"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lastRenderedPageBreak/>
        <w:t>Considerar a lo</w:t>
      </w:r>
      <w:r w:rsidR="00F24B68">
        <w:rPr>
          <w:rFonts w:ascii="Century Gothic" w:hAnsi="Century Gothic"/>
          <w:sz w:val="22"/>
          <w:szCs w:val="22"/>
          <w:lang w:val="es-ES"/>
        </w:rPr>
        <w:t>s ocupantes de viviendas ubicada</w:t>
      </w:r>
      <w:r w:rsidRPr="004857A8">
        <w:rPr>
          <w:rFonts w:ascii="Century Gothic" w:hAnsi="Century Gothic"/>
          <w:sz w:val="22"/>
          <w:szCs w:val="22"/>
          <w:lang w:val="es-ES"/>
        </w:rPr>
        <w:t>s en bienes fiscales cedidos</w:t>
      </w:r>
      <w:r w:rsidR="00F24B68">
        <w:rPr>
          <w:rFonts w:ascii="Century Gothic" w:hAnsi="Century Gothic"/>
          <w:sz w:val="22"/>
          <w:szCs w:val="22"/>
          <w:lang w:val="es-ES"/>
        </w:rPr>
        <w:t>,</w:t>
      </w:r>
      <w:r w:rsidRPr="004857A8">
        <w:rPr>
          <w:rFonts w:ascii="Century Gothic" w:hAnsi="Century Gothic"/>
          <w:sz w:val="22"/>
          <w:szCs w:val="22"/>
          <w:lang w:val="es-ES"/>
        </w:rPr>
        <w:t xml:space="preserve"> como personas sin criterio o irresponsables a </w:t>
      </w:r>
      <w:r w:rsidR="00B9400C" w:rsidRPr="004857A8">
        <w:rPr>
          <w:rFonts w:ascii="Century Gothic" w:hAnsi="Century Gothic"/>
          <w:sz w:val="22"/>
          <w:szCs w:val="22"/>
          <w:lang w:val="es-ES"/>
        </w:rPr>
        <w:t>l</w:t>
      </w:r>
      <w:r w:rsidR="00F24B68">
        <w:rPr>
          <w:rFonts w:ascii="Century Gothic" w:hAnsi="Century Gothic"/>
          <w:sz w:val="22"/>
          <w:szCs w:val="22"/>
          <w:lang w:val="es-ES"/>
        </w:rPr>
        <w:t>os que el Estado debe proteger, es violatorio de los derechos fundamentales</w:t>
      </w:r>
      <w:r w:rsidR="00B9400C" w:rsidRPr="004857A8">
        <w:rPr>
          <w:rFonts w:ascii="Century Gothic" w:hAnsi="Century Gothic"/>
          <w:sz w:val="22"/>
          <w:szCs w:val="22"/>
          <w:lang w:val="es-ES"/>
        </w:rPr>
        <w:t xml:space="preserve"> la igualdad, libertad y propiedad</w:t>
      </w:r>
      <w:r w:rsidR="00F24B68">
        <w:rPr>
          <w:rFonts w:ascii="Century Gothic" w:hAnsi="Century Gothic"/>
          <w:sz w:val="22"/>
          <w:szCs w:val="22"/>
          <w:lang w:val="es-ES"/>
        </w:rPr>
        <w:t xml:space="preserve"> privada</w:t>
      </w:r>
      <w:r w:rsidR="00B9400C" w:rsidRPr="004857A8">
        <w:rPr>
          <w:rFonts w:ascii="Century Gothic" w:hAnsi="Century Gothic"/>
          <w:sz w:val="22"/>
          <w:szCs w:val="22"/>
          <w:lang w:val="es-ES"/>
        </w:rPr>
        <w:t>.</w:t>
      </w:r>
    </w:p>
    <w:p w:rsidR="004530C5" w:rsidRPr="004857A8" w:rsidRDefault="004530C5" w:rsidP="003653F3">
      <w:pPr>
        <w:pStyle w:val="NormalWeb"/>
        <w:spacing w:before="0" w:beforeAutospacing="0" w:after="0" w:afterAutospacing="0"/>
        <w:jc w:val="both"/>
        <w:rPr>
          <w:rFonts w:ascii="Century Gothic" w:hAnsi="Century Gothic"/>
          <w:sz w:val="22"/>
          <w:szCs w:val="22"/>
          <w:lang w:val="es-ES"/>
        </w:rPr>
      </w:pPr>
    </w:p>
    <w:p w:rsidR="00711483" w:rsidRPr="004857A8" w:rsidRDefault="00D6019C" w:rsidP="003653F3">
      <w:pPr>
        <w:pStyle w:val="NormalWeb"/>
        <w:spacing w:before="0" w:beforeAutospacing="0" w:after="0" w:afterAutospacing="0"/>
        <w:jc w:val="both"/>
        <w:rPr>
          <w:rFonts w:ascii="Century Gothic" w:hAnsi="Century Gothic"/>
          <w:sz w:val="22"/>
          <w:szCs w:val="22"/>
          <w:lang w:val="es-ES"/>
        </w:rPr>
      </w:pPr>
      <w:r w:rsidRPr="004857A8">
        <w:rPr>
          <w:rFonts w:ascii="Century Gothic" w:hAnsi="Century Gothic"/>
          <w:sz w:val="22"/>
          <w:szCs w:val="22"/>
          <w:lang w:val="es-ES"/>
        </w:rPr>
        <w:t>En consecuencia, normas que restrinjan la libertad de disposición de la propiedad bajo el argumento de la protección de un derecho superior, nunca impe</w:t>
      </w:r>
      <w:r w:rsidR="007B4483" w:rsidRPr="004857A8">
        <w:rPr>
          <w:rFonts w:ascii="Century Gothic" w:hAnsi="Century Gothic"/>
          <w:sz w:val="22"/>
          <w:szCs w:val="22"/>
          <w:lang w:val="es-ES"/>
        </w:rPr>
        <w:t>dirán</w:t>
      </w:r>
      <w:r w:rsidR="00B9400C" w:rsidRPr="004857A8">
        <w:rPr>
          <w:rFonts w:ascii="Century Gothic" w:hAnsi="Century Gothic"/>
          <w:sz w:val="22"/>
          <w:szCs w:val="22"/>
          <w:lang w:val="es-ES"/>
        </w:rPr>
        <w:t xml:space="preserve"> que </w:t>
      </w:r>
      <w:r w:rsidR="007B4483" w:rsidRPr="004857A8">
        <w:rPr>
          <w:rFonts w:ascii="Century Gothic" w:hAnsi="Century Gothic"/>
          <w:sz w:val="22"/>
          <w:szCs w:val="22"/>
          <w:lang w:val="es-ES"/>
        </w:rPr>
        <w:t>mercado</w:t>
      </w:r>
      <w:r w:rsidR="0096173D" w:rsidRPr="004857A8">
        <w:rPr>
          <w:rFonts w:ascii="Century Gothic" w:hAnsi="Century Gothic"/>
          <w:sz w:val="22"/>
          <w:szCs w:val="22"/>
          <w:lang w:val="es-ES"/>
        </w:rPr>
        <w:t>s como el inmobiliario, que</w:t>
      </w:r>
      <w:r w:rsidR="002823F6" w:rsidRPr="004857A8">
        <w:rPr>
          <w:rFonts w:ascii="Century Gothic" w:hAnsi="Century Gothic"/>
          <w:sz w:val="22"/>
          <w:szCs w:val="22"/>
          <w:lang w:val="es-ES"/>
        </w:rPr>
        <w:t xml:space="preserve"> es de</w:t>
      </w:r>
      <w:r w:rsidR="00711483" w:rsidRPr="004857A8">
        <w:rPr>
          <w:rFonts w:ascii="Century Gothic" w:hAnsi="Century Gothic"/>
          <w:sz w:val="22"/>
          <w:szCs w:val="22"/>
          <w:lang w:val="es-ES"/>
        </w:rPr>
        <w:t xml:space="preserve"> gran </w:t>
      </w:r>
      <w:r w:rsidR="00B9400C" w:rsidRPr="004857A8">
        <w:rPr>
          <w:rFonts w:ascii="Century Gothic" w:hAnsi="Century Gothic"/>
          <w:sz w:val="22"/>
          <w:szCs w:val="22"/>
          <w:lang w:val="es-ES"/>
        </w:rPr>
        <w:t xml:space="preserve">relevancia en Colombia, </w:t>
      </w:r>
      <w:r w:rsidRPr="004857A8">
        <w:rPr>
          <w:rFonts w:ascii="Century Gothic" w:hAnsi="Century Gothic"/>
          <w:sz w:val="22"/>
          <w:szCs w:val="22"/>
          <w:lang w:val="es-ES"/>
        </w:rPr>
        <w:t>se desarrolle</w:t>
      </w:r>
      <w:r w:rsidR="007B4483" w:rsidRPr="004857A8">
        <w:rPr>
          <w:rFonts w:ascii="Century Gothic" w:hAnsi="Century Gothic"/>
          <w:sz w:val="22"/>
          <w:szCs w:val="22"/>
          <w:lang w:val="es-ES"/>
        </w:rPr>
        <w:t>,</w:t>
      </w:r>
      <w:r w:rsidR="00B9400C" w:rsidRPr="004857A8">
        <w:rPr>
          <w:rFonts w:ascii="Century Gothic" w:hAnsi="Century Gothic"/>
          <w:sz w:val="22"/>
          <w:szCs w:val="22"/>
          <w:lang w:val="es-ES"/>
        </w:rPr>
        <w:t xml:space="preserve"> evolucione o se dinamice</w:t>
      </w:r>
      <w:r w:rsidRPr="004857A8">
        <w:rPr>
          <w:rFonts w:ascii="Century Gothic" w:hAnsi="Century Gothic"/>
          <w:sz w:val="22"/>
          <w:szCs w:val="22"/>
          <w:lang w:val="es-ES"/>
        </w:rPr>
        <w:t xml:space="preserve"> porque</w:t>
      </w:r>
      <w:r w:rsidR="007B4483" w:rsidRPr="004857A8">
        <w:rPr>
          <w:rFonts w:ascii="Century Gothic" w:hAnsi="Century Gothic"/>
          <w:sz w:val="22"/>
          <w:szCs w:val="22"/>
          <w:lang w:val="es-ES"/>
        </w:rPr>
        <w:t xml:space="preserve"> </w:t>
      </w:r>
      <w:r w:rsidR="00B9400C" w:rsidRPr="004857A8">
        <w:rPr>
          <w:rFonts w:ascii="Century Gothic" w:hAnsi="Century Gothic"/>
          <w:sz w:val="22"/>
          <w:szCs w:val="22"/>
          <w:lang w:val="es-ES"/>
        </w:rPr>
        <w:t>la necesidad es</w:t>
      </w:r>
      <w:r w:rsidR="007B4483" w:rsidRPr="004857A8">
        <w:rPr>
          <w:rFonts w:ascii="Century Gothic" w:hAnsi="Century Gothic"/>
          <w:sz w:val="22"/>
          <w:szCs w:val="22"/>
          <w:lang w:val="es-ES"/>
        </w:rPr>
        <w:t xml:space="preserve"> más fuerte</w:t>
      </w:r>
      <w:r w:rsidR="001648E3" w:rsidRPr="004857A8">
        <w:rPr>
          <w:rFonts w:ascii="Century Gothic" w:hAnsi="Century Gothic"/>
          <w:sz w:val="22"/>
          <w:szCs w:val="22"/>
          <w:lang w:val="es-ES"/>
        </w:rPr>
        <w:t xml:space="preserve"> que el impedimento,</w:t>
      </w:r>
      <w:r w:rsidR="00B9400C" w:rsidRPr="004857A8">
        <w:rPr>
          <w:rFonts w:ascii="Century Gothic" w:hAnsi="Century Gothic"/>
          <w:sz w:val="22"/>
          <w:szCs w:val="22"/>
          <w:lang w:val="es-ES"/>
        </w:rPr>
        <w:t xml:space="preserve"> y buscará</w:t>
      </w:r>
      <w:r w:rsidR="007B4483" w:rsidRPr="004857A8">
        <w:rPr>
          <w:rFonts w:ascii="Century Gothic" w:hAnsi="Century Gothic"/>
          <w:sz w:val="22"/>
          <w:szCs w:val="22"/>
          <w:lang w:val="es-ES"/>
        </w:rPr>
        <w:t xml:space="preserve"> caminos</w:t>
      </w:r>
      <w:r w:rsidR="00B9400C" w:rsidRPr="004857A8">
        <w:rPr>
          <w:rFonts w:ascii="Century Gothic" w:hAnsi="Century Gothic"/>
          <w:sz w:val="22"/>
          <w:szCs w:val="22"/>
          <w:lang w:val="es-ES"/>
        </w:rPr>
        <w:t>,</w:t>
      </w:r>
      <w:r w:rsidR="007B4483" w:rsidRPr="004857A8">
        <w:rPr>
          <w:rFonts w:ascii="Century Gothic" w:hAnsi="Century Gothic"/>
          <w:sz w:val="22"/>
          <w:szCs w:val="22"/>
          <w:lang w:val="es-ES"/>
        </w:rPr>
        <w:t xml:space="preserve"> inclusiv</w:t>
      </w:r>
      <w:r w:rsidR="00984CD9" w:rsidRPr="004857A8">
        <w:rPr>
          <w:rFonts w:ascii="Century Gothic" w:hAnsi="Century Gothic"/>
          <w:sz w:val="22"/>
          <w:szCs w:val="22"/>
          <w:lang w:val="es-ES"/>
        </w:rPr>
        <w:t>e su</w:t>
      </w:r>
      <w:r w:rsidR="00711483" w:rsidRPr="004857A8">
        <w:rPr>
          <w:rFonts w:ascii="Century Gothic" w:hAnsi="Century Gothic"/>
          <w:sz w:val="22"/>
          <w:szCs w:val="22"/>
          <w:lang w:val="es-ES"/>
        </w:rPr>
        <w:t>brepticios para su cometido</w:t>
      </w:r>
      <w:r w:rsidR="00F24B68">
        <w:rPr>
          <w:rFonts w:ascii="Century Gothic" w:hAnsi="Century Gothic"/>
          <w:sz w:val="22"/>
          <w:szCs w:val="22"/>
          <w:lang w:val="es-ES"/>
        </w:rPr>
        <w:t xml:space="preserve">, tal como lo ha demostrado la realidad colombiana. </w:t>
      </w:r>
    </w:p>
    <w:p w:rsidR="00711483" w:rsidRPr="004857A8" w:rsidRDefault="00711483" w:rsidP="003653F3">
      <w:pPr>
        <w:pStyle w:val="NormalWeb"/>
        <w:spacing w:before="0" w:beforeAutospacing="0" w:after="0" w:afterAutospacing="0"/>
        <w:jc w:val="both"/>
        <w:rPr>
          <w:rFonts w:ascii="Century Gothic" w:hAnsi="Century Gothic"/>
          <w:sz w:val="22"/>
          <w:szCs w:val="22"/>
          <w:lang w:val="es-ES"/>
        </w:rPr>
      </w:pPr>
    </w:p>
    <w:p w:rsidR="00D6019C" w:rsidRPr="004857A8" w:rsidRDefault="00711483" w:rsidP="003653F3">
      <w:pPr>
        <w:pStyle w:val="NormalWeb"/>
        <w:spacing w:before="0" w:beforeAutospacing="0" w:after="0" w:afterAutospacing="0"/>
        <w:jc w:val="both"/>
        <w:rPr>
          <w:rFonts w:ascii="Century Gothic" w:hAnsi="Century Gothic"/>
          <w:i/>
          <w:sz w:val="22"/>
          <w:szCs w:val="22"/>
          <w:bdr w:val="none" w:sz="0" w:space="0" w:color="auto" w:frame="1"/>
          <w:shd w:val="clear" w:color="auto" w:fill="FFFFFF"/>
          <w:lang w:val="es-ES"/>
        </w:rPr>
      </w:pPr>
      <w:r w:rsidRPr="004857A8">
        <w:rPr>
          <w:rFonts w:ascii="Century Gothic" w:hAnsi="Century Gothic"/>
          <w:sz w:val="22"/>
          <w:szCs w:val="22"/>
          <w:lang w:val="es-ES"/>
        </w:rPr>
        <w:t>Ahora bien, frente al hecho</w:t>
      </w:r>
      <w:r w:rsidR="00B9400C" w:rsidRPr="004857A8">
        <w:rPr>
          <w:rFonts w:ascii="Century Gothic" w:hAnsi="Century Gothic"/>
          <w:sz w:val="22"/>
          <w:szCs w:val="22"/>
          <w:lang w:val="es-ES"/>
        </w:rPr>
        <w:t xml:space="preserve"> que el Estado pueda limitar </w:t>
      </w:r>
      <w:r w:rsidR="007B4483" w:rsidRPr="004857A8">
        <w:rPr>
          <w:rFonts w:ascii="Century Gothic" w:hAnsi="Century Gothic"/>
          <w:sz w:val="22"/>
          <w:szCs w:val="22"/>
          <w:lang w:val="es-ES"/>
        </w:rPr>
        <w:t>el derecho de disposición de la propiedad</w:t>
      </w:r>
      <w:r w:rsidRPr="004857A8">
        <w:rPr>
          <w:rFonts w:ascii="Century Gothic" w:hAnsi="Century Gothic"/>
          <w:sz w:val="22"/>
          <w:szCs w:val="22"/>
          <w:lang w:val="es-ES"/>
        </w:rPr>
        <w:t xml:space="preserve">, la corte Constitucional ha manifestado: </w:t>
      </w:r>
      <w:r w:rsidRPr="004857A8">
        <w:rPr>
          <w:rFonts w:ascii="Century Gothic" w:hAnsi="Century Gothic"/>
          <w:sz w:val="22"/>
          <w:szCs w:val="22"/>
          <w:shd w:val="clear" w:color="auto" w:fill="FFFFFF"/>
          <w:lang w:val="es-ES"/>
        </w:rPr>
        <w:t xml:space="preserve"> </w:t>
      </w:r>
      <w:r w:rsidRPr="004857A8">
        <w:rPr>
          <w:rFonts w:ascii="Century Gothic" w:hAnsi="Century Gothic"/>
          <w:i/>
          <w:sz w:val="22"/>
          <w:szCs w:val="22"/>
          <w:shd w:val="clear" w:color="auto" w:fill="FFFFFF"/>
          <w:lang w:val="es-ES"/>
        </w:rPr>
        <w:t>“</w:t>
      </w:r>
      <w:r w:rsidR="003C7016" w:rsidRPr="004857A8">
        <w:rPr>
          <w:rFonts w:ascii="Century Gothic" w:hAnsi="Century Gothic"/>
          <w:i/>
          <w:sz w:val="22"/>
          <w:szCs w:val="22"/>
          <w:shd w:val="clear" w:color="auto" w:fill="FFFFFF"/>
          <w:lang w:val="es-ES"/>
        </w:rPr>
        <w:t>En virtud de lo anterior, es claro que si bien los atributos del derecho a la propiedad privada pueden ser objeto de limitación o restricción, en aras de cumplir con las funciones sociales y ecológicas que reconoce la Constitución Política, no por ello puede llegarse al extremo de lesionar su núcleo esencial que se manifiesta en </w:t>
      </w:r>
      <w:r w:rsidR="003C7016" w:rsidRPr="004857A8">
        <w:rPr>
          <w:rFonts w:ascii="Century Gothic" w:hAnsi="Century Gothic"/>
          <w:i/>
          <w:sz w:val="22"/>
          <w:szCs w:val="22"/>
          <w:bdr w:val="none" w:sz="0" w:space="0" w:color="auto" w:frame="1"/>
          <w:shd w:val="clear" w:color="auto" w:fill="FFFFFF"/>
          <w:lang w:val="es-ES"/>
        </w:rPr>
        <w:t>el nivel mínimo de ejercicio de los atributos de goce y disposición, que produzcan utilidad económica en su titular</w:t>
      </w:r>
      <w:r w:rsidRPr="004857A8">
        <w:rPr>
          <w:rFonts w:ascii="Century Gothic" w:hAnsi="Century Gothic"/>
          <w:i/>
          <w:sz w:val="22"/>
          <w:szCs w:val="22"/>
          <w:bdr w:val="none" w:sz="0" w:space="0" w:color="auto" w:frame="1"/>
          <w:shd w:val="clear" w:color="auto" w:fill="FFFFFF"/>
          <w:lang w:val="es-ES"/>
        </w:rPr>
        <w:t>”</w:t>
      </w:r>
      <w:r w:rsidR="006967F3" w:rsidRPr="004857A8">
        <w:rPr>
          <w:rStyle w:val="Refdenotaalpie"/>
          <w:rFonts w:ascii="Century Gothic" w:hAnsi="Century Gothic"/>
          <w:i/>
          <w:sz w:val="22"/>
          <w:szCs w:val="22"/>
          <w:bdr w:val="none" w:sz="0" w:space="0" w:color="auto" w:frame="1"/>
          <w:shd w:val="clear" w:color="auto" w:fill="FFFFFF"/>
          <w:lang w:val="es-ES"/>
        </w:rPr>
        <w:footnoteReference w:id="2"/>
      </w:r>
    </w:p>
    <w:p w:rsidR="003C7016" w:rsidRPr="004857A8" w:rsidRDefault="003C7016" w:rsidP="003653F3">
      <w:pPr>
        <w:pStyle w:val="NormalWeb"/>
        <w:spacing w:before="0" w:beforeAutospacing="0" w:after="0" w:afterAutospacing="0"/>
        <w:jc w:val="both"/>
        <w:rPr>
          <w:rFonts w:ascii="Century Gothic" w:hAnsi="Century Gothic"/>
          <w:i/>
          <w:sz w:val="22"/>
          <w:szCs w:val="22"/>
          <w:bdr w:val="none" w:sz="0" w:space="0" w:color="auto" w:frame="1"/>
          <w:shd w:val="clear" w:color="auto" w:fill="FFFFFF"/>
          <w:lang w:val="es-ES"/>
        </w:rPr>
      </w:pPr>
    </w:p>
    <w:p w:rsidR="003C7016" w:rsidRPr="004857A8" w:rsidRDefault="00711483" w:rsidP="003653F3">
      <w:pPr>
        <w:pStyle w:val="NormalWeb"/>
        <w:spacing w:before="0" w:beforeAutospacing="0" w:after="0" w:afterAutospacing="0"/>
        <w:jc w:val="both"/>
        <w:rPr>
          <w:rFonts w:ascii="Century Gothic" w:eastAsiaTheme="minorHAnsi" w:hAnsi="Century Gothic"/>
          <w:i/>
          <w:sz w:val="22"/>
          <w:szCs w:val="22"/>
          <w:shd w:val="clear" w:color="auto" w:fill="FFFFFF"/>
          <w:lang w:val="es-ES" w:eastAsia="en-US"/>
        </w:rPr>
      </w:pPr>
      <w:r w:rsidRPr="004857A8">
        <w:rPr>
          <w:rFonts w:ascii="Century Gothic" w:eastAsiaTheme="minorHAnsi" w:hAnsi="Century Gothic"/>
          <w:sz w:val="22"/>
          <w:szCs w:val="22"/>
          <w:shd w:val="clear" w:color="auto" w:fill="FFFFFF"/>
          <w:lang w:val="es-ES" w:eastAsia="en-US"/>
        </w:rPr>
        <w:t xml:space="preserve">Señala igualmente que: </w:t>
      </w:r>
      <w:r w:rsidRPr="004857A8">
        <w:rPr>
          <w:rFonts w:ascii="Century Gothic" w:eastAsiaTheme="minorHAnsi" w:hAnsi="Century Gothic"/>
          <w:i/>
          <w:sz w:val="22"/>
          <w:szCs w:val="22"/>
          <w:shd w:val="clear" w:color="auto" w:fill="FFFFFF"/>
          <w:lang w:val="es-ES" w:eastAsia="en-US"/>
        </w:rPr>
        <w:t>“</w:t>
      </w:r>
      <w:r w:rsidR="003C7016" w:rsidRPr="004857A8">
        <w:rPr>
          <w:rFonts w:ascii="Century Gothic" w:eastAsiaTheme="minorHAnsi" w:hAnsi="Century Gothic"/>
          <w:i/>
          <w:sz w:val="22"/>
          <w:szCs w:val="22"/>
          <w:shd w:val="clear" w:color="auto" w:fill="FFFFFF"/>
          <w:lang w:val="es-ES" w:eastAsia="en-US"/>
        </w:rPr>
        <w:t>En cuanto se refiere al atributo de la libre disposición o enajenación de los bienes (</w:t>
      </w:r>
      <w:r w:rsidR="003C7016" w:rsidRPr="004857A8">
        <w:rPr>
          <w:rFonts w:ascii="Century Gothic" w:eastAsiaTheme="minorHAnsi" w:hAnsi="Century Gothic"/>
          <w:i/>
          <w:iCs/>
          <w:sz w:val="22"/>
          <w:szCs w:val="22"/>
          <w:bdr w:val="none" w:sz="0" w:space="0" w:color="auto" w:frame="1"/>
          <w:lang w:val="es-ES" w:eastAsia="en-US"/>
        </w:rPr>
        <w:t>ius abutendi</w:t>
      </w:r>
      <w:r w:rsidR="003C7016" w:rsidRPr="004857A8">
        <w:rPr>
          <w:rFonts w:ascii="Century Gothic" w:eastAsiaTheme="minorHAnsi" w:hAnsi="Century Gothic"/>
          <w:i/>
          <w:sz w:val="22"/>
          <w:szCs w:val="22"/>
          <w:bdr w:val="none" w:sz="0" w:space="0" w:color="auto" w:frame="1"/>
          <w:shd w:val="clear" w:color="auto" w:fill="FFFFFF"/>
          <w:lang w:val="es-ES" w:eastAsia="en-US"/>
        </w:rPr>
        <w:t>)</w:t>
      </w:r>
      <w:r w:rsidR="003C7016" w:rsidRPr="004857A8">
        <w:rPr>
          <w:rFonts w:ascii="Century Gothic" w:eastAsiaTheme="minorHAnsi" w:hAnsi="Century Gothic"/>
          <w:i/>
          <w:sz w:val="22"/>
          <w:szCs w:val="22"/>
          <w:shd w:val="clear" w:color="auto" w:fill="FFFFFF"/>
          <w:lang w:val="es-ES" w:eastAsia="en-US"/>
        </w:rPr>
        <w:t>, independientemente de que ya no exista en la actual Carta Política, una cláusula como la prevista en el artículo 37 de la Constitución de 1886 que establecía: </w:t>
      </w:r>
      <w:r w:rsidR="003C7016" w:rsidRPr="004857A8">
        <w:rPr>
          <w:rFonts w:ascii="Century Gothic" w:eastAsiaTheme="minorHAnsi" w:hAnsi="Century Gothic"/>
          <w:i/>
          <w:iCs/>
          <w:sz w:val="22"/>
          <w:szCs w:val="22"/>
          <w:bdr w:val="none" w:sz="0" w:space="0" w:color="auto" w:frame="1"/>
          <w:shd w:val="clear" w:color="auto" w:fill="FFFFFF"/>
          <w:lang w:val="es-ES" w:eastAsia="en-US"/>
        </w:rPr>
        <w:t>“No habrá en Colombia bienes raíces que </w:t>
      </w:r>
      <w:r w:rsidR="003C7016" w:rsidRPr="004857A8">
        <w:rPr>
          <w:rFonts w:ascii="Century Gothic" w:eastAsiaTheme="minorHAnsi" w:hAnsi="Century Gothic"/>
          <w:i/>
          <w:iCs/>
          <w:sz w:val="22"/>
          <w:szCs w:val="22"/>
          <w:u w:val="single"/>
          <w:bdr w:val="none" w:sz="0" w:space="0" w:color="auto" w:frame="1"/>
          <w:lang w:val="es-ES" w:eastAsia="en-US"/>
        </w:rPr>
        <w:t>no sean de libre enajenación</w:t>
      </w:r>
      <w:bookmarkStart w:id="1" w:name="_ftnref25"/>
      <w:r w:rsidRPr="004857A8">
        <w:rPr>
          <w:rFonts w:ascii="Century Gothic" w:eastAsiaTheme="minorHAnsi" w:hAnsi="Century Gothic"/>
          <w:i/>
          <w:iCs/>
          <w:sz w:val="22"/>
          <w:szCs w:val="22"/>
          <w:bdr w:val="none" w:sz="0" w:space="0" w:color="auto" w:frame="1"/>
          <w:shd w:val="clear" w:color="auto" w:fill="FFFFFF"/>
          <w:lang w:val="es-ES" w:eastAsia="en-US"/>
        </w:rPr>
        <w:t> ni obligaciones irredimible”</w:t>
      </w:r>
      <w:bookmarkEnd w:id="1"/>
      <w:r w:rsidR="003C7016" w:rsidRPr="004857A8">
        <w:rPr>
          <w:rFonts w:ascii="Century Gothic" w:eastAsiaTheme="minorHAnsi" w:hAnsi="Century Gothic"/>
          <w:i/>
          <w:sz w:val="22"/>
          <w:szCs w:val="22"/>
          <w:shd w:val="clear" w:color="auto" w:fill="FFFFFF"/>
          <w:lang w:val="es-ES" w:eastAsia="en-US"/>
        </w:rPr>
        <w:t>; lo cierto es que como lo ha reconocido esta Corporación, la regla general es que dicha atribución al constituir una de las expresiones inherentes al ejercicio del derecho a la propiedad privada, no puede ser objeto de restricciones irrazonables o desproporcionadas, que se traduzcan en el desconocimiento del interés legítimo que le asiste al propietario de obtener una utilidad económica sobre los mismos, tal y como se deduce de la protección de su núcleo esencial, en los términos jurisprudenciales previamente expuestos.”  </w:t>
      </w:r>
      <w:r w:rsidR="006967F3" w:rsidRPr="004857A8">
        <w:rPr>
          <w:rStyle w:val="Refdenotaalpie"/>
          <w:rFonts w:ascii="Century Gothic" w:eastAsiaTheme="minorHAnsi" w:hAnsi="Century Gothic"/>
          <w:i/>
          <w:sz w:val="22"/>
          <w:szCs w:val="22"/>
          <w:shd w:val="clear" w:color="auto" w:fill="FFFFFF"/>
          <w:lang w:val="es-ES" w:eastAsia="en-US"/>
        </w:rPr>
        <w:footnoteReference w:id="3"/>
      </w:r>
    </w:p>
    <w:p w:rsidR="003C7016" w:rsidRPr="004857A8" w:rsidRDefault="003C7016" w:rsidP="003653F3">
      <w:pPr>
        <w:pStyle w:val="NormalWeb"/>
        <w:spacing w:before="0" w:beforeAutospacing="0" w:after="0" w:afterAutospacing="0"/>
        <w:jc w:val="both"/>
        <w:rPr>
          <w:rFonts w:ascii="Century Gothic" w:eastAsiaTheme="minorHAnsi" w:hAnsi="Century Gothic"/>
          <w:sz w:val="22"/>
          <w:szCs w:val="22"/>
          <w:shd w:val="clear" w:color="auto" w:fill="FFFFFF"/>
          <w:lang w:val="es-ES" w:eastAsia="en-US"/>
        </w:rPr>
      </w:pPr>
    </w:p>
    <w:p w:rsidR="00F24B68" w:rsidRDefault="00711483" w:rsidP="00113A1D">
      <w:pPr>
        <w:shd w:val="clear" w:color="auto" w:fill="FFFFFF"/>
        <w:spacing w:after="0" w:line="240" w:lineRule="auto"/>
        <w:ind w:right="-79"/>
        <w:jc w:val="both"/>
        <w:textAlignment w:val="baseline"/>
        <w:rPr>
          <w:rFonts w:ascii="Century Gothic" w:eastAsia="Times New Roman" w:hAnsi="Century Gothic" w:cs="Times New Roman"/>
          <w:noProof w:val="0"/>
          <w:bdr w:val="none" w:sz="0" w:space="0" w:color="auto" w:frame="1"/>
          <w:lang w:val="es-ES" w:eastAsia="es-CO"/>
        </w:rPr>
      </w:pPr>
      <w:r w:rsidRPr="004857A8">
        <w:rPr>
          <w:rFonts w:ascii="Century Gothic" w:eastAsia="Times New Roman" w:hAnsi="Century Gothic" w:cs="Times New Roman"/>
          <w:noProof w:val="0"/>
          <w:bdr w:val="none" w:sz="0" w:space="0" w:color="auto" w:frame="1"/>
          <w:lang w:val="es-ES" w:eastAsia="es-CO"/>
        </w:rPr>
        <w:t>En relación con</w:t>
      </w:r>
      <w:r w:rsidR="008F06E8" w:rsidRPr="004857A8">
        <w:rPr>
          <w:rFonts w:ascii="Century Gothic" w:eastAsia="Times New Roman" w:hAnsi="Century Gothic" w:cs="Times New Roman"/>
          <w:noProof w:val="0"/>
          <w:bdr w:val="none" w:sz="0" w:space="0" w:color="auto" w:frame="1"/>
          <w:lang w:val="es-ES" w:eastAsia="es-CO"/>
        </w:rPr>
        <w:t xml:space="preserve"> la consideración de la protección de la vivienda como e</w:t>
      </w:r>
      <w:r w:rsidR="0007462D" w:rsidRPr="004857A8">
        <w:rPr>
          <w:rFonts w:ascii="Century Gothic" w:eastAsia="Times New Roman" w:hAnsi="Century Gothic" w:cs="Times New Roman"/>
          <w:noProof w:val="0"/>
          <w:bdr w:val="none" w:sz="0" w:space="0" w:color="auto" w:frame="1"/>
          <w:lang w:val="es-ES" w:eastAsia="es-CO"/>
        </w:rPr>
        <w:t>l interés que limita la enajen</w:t>
      </w:r>
      <w:r w:rsidR="008F06E8" w:rsidRPr="004857A8">
        <w:rPr>
          <w:rFonts w:ascii="Century Gothic" w:eastAsia="Times New Roman" w:hAnsi="Century Gothic" w:cs="Times New Roman"/>
          <w:noProof w:val="0"/>
          <w:bdr w:val="none" w:sz="0" w:space="0" w:color="auto" w:frame="1"/>
          <w:lang w:val="es-ES" w:eastAsia="es-CO"/>
        </w:rPr>
        <w:t>ación</w:t>
      </w:r>
      <w:r w:rsidR="0007462D" w:rsidRPr="004857A8">
        <w:rPr>
          <w:rFonts w:ascii="Century Gothic" w:eastAsia="Times New Roman" w:hAnsi="Century Gothic" w:cs="Times New Roman"/>
          <w:noProof w:val="0"/>
          <w:bdr w:val="none" w:sz="0" w:space="0" w:color="auto" w:frame="1"/>
          <w:lang w:val="es-ES" w:eastAsia="es-CO"/>
        </w:rPr>
        <w:t xml:space="preserve"> de las viviendas ubicadas en bienes fiscales cedidos, ha establecido la Corte Constitucional que: </w:t>
      </w:r>
    </w:p>
    <w:p w:rsidR="00F24B68" w:rsidRDefault="00F24B68" w:rsidP="00113A1D">
      <w:pPr>
        <w:shd w:val="clear" w:color="auto" w:fill="FFFFFF"/>
        <w:spacing w:after="0" w:line="240" w:lineRule="auto"/>
        <w:ind w:right="-79"/>
        <w:jc w:val="both"/>
        <w:textAlignment w:val="baseline"/>
        <w:rPr>
          <w:rFonts w:ascii="Century Gothic" w:eastAsia="Times New Roman" w:hAnsi="Century Gothic" w:cs="Times New Roman"/>
          <w:noProof w:val="0"/>
          <w:bdr w:val="none" w:sz="0" w:space="0" w:color="auto" w:frame="1"/>
          <w:lang w:val="es-ES" w:eastAsia="es-CO"/>
        </w:rPr>
      </w:pPr>
    </w:p>
    <w:p w:rsidR="003C7016" w:rsidRPr="00F24B68" w:rsidRDefault="0007462D" w:rsidP="00F24B68">
      <w:pPr>
        <w:shd w:val="clear" w:color="auto" w:fill="FFFFFF"/>
        <w:spacing w:after="0" w:line="240" w:lineRule="auto"/>
        <w:ind w:left="708" w:right="-79"/>
        <w:jc w:val="both"/>
        <w:textAlignment w:val="baseline"/>
        <w:rPr>
          <w:rFonts w:ascii="Century Gothic" w:eastAsia="Times New Roman" w:hAnsi="Century Gothic" w:cs="Times New Roman"/>
          <w:i/>
          <w:noProof w:val="0"/>
          <w:sz w:val="20"/>
          <w:lang w:val="es-ES" w:eastAsia="es-CO"/>
        </w:rPr>
      </w:pPr>
      <w:r w:rsidRPr="00F24B68">
        <w:rPr>
          <w:rFonts w:ascii="Century Gothic" w:eastAsia="Times New Roman" w:hAnsi="Century Gothic" w:cs="Times New Roman"/>
          <w:i/>
          <w:noProof w:val="0"/>
          <w:sz w:val="20"/>
          <w:bdr w:val="none" w:sz="0" w:space="0" w:color="auto" w:frame="1"/>
          <w:lang w:val="es-ES" w:eastAsia="es-CO"/>
        </w:rPr>
        <w:t>“</w:t>
      </w:r>
      <w:r w:rsidR="003C7016" w:rsidRPr="00F24B68">
        <w:rPr>
          <w:rFonts w:ascii="Century Gothic" w:eastAsia="Times New Roman" w:hAnsi="Century Gothic" w:cs="Times New Roman"/>
          <w:i/>
          <w:noProof w:val="0"/>
          <w:sz w:val="20"/>
          <w:bdr w:val="none" w:sz="0" w:space="0" w:color="auto" w:frame="1"/>
          <w:lang w:val="es-ES" w:eastAsia="es-CO"/>
        </w:rPr>
        <w:t>El artículo 58 constitucional indica que se garantiza la propiedad privada, no obstante señala que cuando de la aplicación de una ley expedida por </w:t>
      </w:r>
      <w:r w:rsidR="003C7016" w:rsidRPr="00F24B68">
        <w:rPr>
          <w:rFonts w:ascii="Century Gothic" w:eastAsia="Times New Roman" w:hAnsi="Century Gothic" w:cs="Times New Roman"/>
          <w:i/>
          <w:iCs/>
          <w:noProof w:val="0"/>
          <w:sz w:val="20"/>
          <w:bdr w:val="none" w:sz="0" w:space="0" w:color="auto" w:frame="1"/>
          <w:lang w:val="es-ES" w:eastAsia="es-CO"/>
        </w:rPr>
        <w:t>motivos de utilidad pública </w:t>
      </w:r>
      <w:r w:rsidR="003C7016" w:rsidRPr="00F24B68">
        <w:rPr>
          <w:rFonts w:ascii="Century Gothic" w:eastAsia="Times New Roman" w:hAnsi="Century Gothic" w:cs="Times New Roman"/>
          <w:i/>
          <w:noProof w:val="0"/>
          <w:sz w:val="20"/>
          <w:bdr w:val="none" w:sz="0" w:space="0" w:color="auto" w:frame="1"/>
          <w:lang w:val="es-ES" w:eastAsia="es-CO"/>
        </w:rPr>
        <w:t>o </w:t>
      </w:r>
      <w:r w:rsidR="003C7016" w:rsidRPr="00F24B68">
        <w:rPr>
          <w:rFonts w:ascii="Century Gothic" w:eastAsia="Times New Roman" w:hAnsi="Century Gothic" w:cs="Times New Roman"/>
          <w:i/>
          <w:iCs/>
          <w:noProof w:val="0"/>
          <w:sz w:val="20"/>
          <w:bdr w:val="none" w:sz="0" w:space="0" w:color="auto" w:frame="1"/>
          <w:lang w:val="es-ES" w:eastAsia="es-CO"/>
        </w:rPr>
        <w:t>interés social, </w:t>
      </w:r>
      <w:r w:rsidR="003C7016" w:rsidRPr="00F24B68">
        <w:rPr>
          <w:rFonts w:ascii="Century Gothic" w:eastAsia="Times New Roman" w:hAnsi="Century Gothic" w:cs="Times New Roman"/>
          <w:i/>
          <w:noProof w:val="0"/>
          <w:sz w:val="20"/>
          <w:bdr w:val="none" w:sz="0" w:space="0" w:color="auto" w:frame="1"/>
          <w:lang w:val="es-ES" w:eastAsia="es-CO"/>
        </w:rPr>
        <w:t xml:space="preserve">resultaren en conflicto los derechos de los particulares con la </w:t>
      </w:r>
      <w:r w:rsidR="003C7016" w:rsidRPr="00F24B68">
        <w:rPr>
          <w:rFonts w:ascii="Century Gothic" w:eastAsia="Times New Roman" w:hAnsi="Century Gothic" w:cs="Times New Roman"/>
          <w:i/>
          <w:noProof w:val="0"/>
          <w:sz w:val="20"/>
          <w:bdr w:val="none" w:sz="0" w:space="0" w:color="auto" w:frame="1"/>
          <w:lang w:val="es-ES" w:eastAsia="es-CO"/>
        </w:rPr>
        <w:lastRenderedPageBreak/>
        <w:t>necesidad por ella reconocida, el interés privado deberá ced</w:t>
      </w:r>
      <w:r w:rsidR="00F24B68">
        <w:rPr>
          <w:rFonts w:ascii="Century Gothic" w:eastAsia="Times New Roman" w:hAnsi="Century Gothic" w:cs="Times New Roman"/>
          <w:i/>
          <w:noProof w:val="0"/>
          <w:sz w:val="20"/>
          <w:bdr w:val="none" w:sz="0" w:space="0" w:color="auto" w:frame="1"/>
          <w:lang w:val="es-ES" w:eastAsia="es-CO"/>
        </w:rPr>
        <w:t>er al interés público o social.</w:t>
      </w:r>
    </w:p>
    <w:p w:rsidR="003C7016" w:rsidRPr="00F24B68" w:rsidRDefault="003C7016" w:rsidP="00F24B68">
      <w:pPr>
        <w:shd w:val="clear" w:color="auto" w:fill="FFFFFF"/>
        <w:spacing w:after="0" w:line="240" w:lineRule="auto"/>
        <w:ind w:left="708" w:right="-79"/>
        <w:jc w:val="both"/>
        <w:textAlignment w:val="baseline"/>
        <w:rPr>
          <w:rFonts w:ascii="Century Gothic" w:eastAsia="Times New Roman" w:hAnsi="Century Gothic" w:cs="Times New Roman"/>
          <w:i/>
          <w:noProof w:val="0"/>
          <w:sz w:val="20"/>
          <w:lang w:val="es-ES" w:eastAsia="es-CO"/>
        </w:rPr>
      </w:pPr>
      <w:r w:rsidRPr="00F24B68">
        <w:rPr>
          <w:rFonts w:ascii="Century Gothic" w:eastAsia="Times New Roman" w:hAnsi="Century Gothic" w:cs="Times New Roman"/>
          <w:i/>
          <w:noProof w:val="0"/>
          <w:sz w:val="20"/>
          <w:bdr w:val="none" w:sz="0" w:space="0" w:color="auto" w:frame="1"/>
          <w:lang w:val="es-ES" w:eastAsia="es-CO"/>
        </w:rPr>
        <w:t> </w:t>
      </w:r>
    </w:p>
    <w:p w:rsidR="003C7016" w:rsidRPr="00F24B68" w:rsidRDefault="003C7016" w:rsidP="00F24B68">
      <w:pPr>
        <w:shd w:val="clear" w:color="auto" w:fill="FFFFFF"/>
        <w:spacing w:after="0" w:line="240" w:lineRule="auto"/>
        <w:ind w:left="708" w:right="-81"/>
        <w:jc w:val="both"/>
        <w:textAlignment w:val="baseline"/>
        <w:rPr>
          <w:rFonts w:ascii="Century Gothic" w:eastAsia="Times New Roman" w:hAnsi="Century Gothic" w:cs="Times New Roman"/>
          <w:i/>
          <w:noProof w:val="0"/>
          <w:sz w:val="20"/>
          <w:lang w:val="es-ES" w:eastAsia="es-CO"/>
        </w:rPr>
      </w:pPr>
      <w:r w:rsidRPr="00F24B68">
        <w:rPr>
          <w:rFonts w:ascii="Century Gothic" w:eastAsia="Times New Roman" w:hAnsi="Century Gothic" w:cs="Times New Roman"/>
          <w:i/>
          <w:noProof w:val="0"/>
          <w:sz w:val="20"/>
          <w:bdr w:val="none" w:sz="0" w:space="0" w:color="auto" w:frame="1"/>
          <w:lang w:val="es-ES" w:eastAsia="es-CO"/>
        </w:rPr>
        <w:t>Este primer límite </w:t>
      </w:r>
      <w:r w:rsidR="0007462D" w:rsidRPr="00F24B68">
        <w:rPr>
          <w:rFonts w:ascii="Century Gothic" w:eastAsia="Times New Roman" w:hAnsi="Century Gothic" w:cs="Times New Roman"/>
          <w:i/>
          <w:noProof w:val="0"/>
          <w:sz w:val="20"/>
          <w:bdr w:val="none" w:sz="0" w:space="0" w:color="auto" w:frame="1"/>
          <w:lang w:val="es-ES" w:eastAsia="es-CO"/>
        </w:rPr>
        <w:t>d</w:t>
      </w:r>
      <w:r w:rsidRPr="00F24B68">
        <w:rPr>
          <w:rFonts w:ascii="Century Gothic" w:eastAsia="Times New Roman" w:hAnsi="Century Gothic" w:cs="Times New Roman"/>
          <w:i/>
          <w:noProof w:val="0"/>
          <w:sz w:val="20"/>
          <w:bdr w:val="none" w:sz="0" w:space="0" w:color="auto" w:frame="1"/>
          <w:lang w:val="es-ES" w:eastAsia="es-CO"/>
        </w:rPr>
        <w:t>e la propiedad privada, referente a la </w:t>
      </w:r>
      <w:r w:rsidRPr="00F24B68">
        <w:rPr>
          <w:rFonts w:ascii="Century Gothic" w:eastAsia="Times New Roman" w:hAnsi="Century Gothic" w:cs="Times New Roman"/>
          <w:i/>
          <w:iCs/>
          <w:noProof w:val="0"/>
          <w:sz w:val="20"/>
          <w:bdr w:val="none" w:sz="0" w:space="0" w:color="auto" w:frame="1"/>
          <w:lang w:val="es-ES" w:eastAsia="es-CO"/>
        </w:rPr>
        <w:t>utilidad pública </w:t>
      </w:r>
      <w:r w:rsidRPr="00F24B68">
        <w:rPr>
          <w:rFonts w:ascii="Century Gothic" w:eastAsia="Times New Roman" w:hAnsi="Century Gothic" w:cs="Times New Roman"/>
          <w:i/>
          <w:noProof w:val="0"/>
          <w:sz w:val="20"/>
          <w:bdr w:val="none" w:sz="0" w:space="0" w:color="auto" w:frame="1"/>
          <w:lang w:val="es-ES" w:eastAsia="es-CO"/>
        </w:rPr>
        <w:t>o </w:t>
      </w:r>
      <w:r w:rsidRPr="00F24B68">
        <w:rPr>
          <w:rFonts w:ascii="Century Gothic" w:eastAsia="Times New Roman" w:hAnsi="Century Gothic" w:cs="Times New Roman"/>
          <w:i/>
          <w:iCs/>
          <w:noProof w:val="0"/>
          <w:sz w:val="20"/>
          <w:bdr w:val="none" w:sz="0" w:space="0" w:color="auto" w:frame="1"/>
          <w:lang w:val="es-ES" w:eastAsia="es-CO"/>
        </w:rPr>
        <w:t>al interés social </w:t>
      </w:r>
      <w:r w:rsidRPr="00F24B68">
        <w:rPr>
          <w:rFonts w:ascii="Century Gothic" w:eastAsia="Times New Roman" w:hAnsi="Century Gothic" w:cs="Times New Roman"/>
          <w:i/>
          <w:noProof w:val="0"/>
          <w:sz w:val="20"/>
          <w:bdr w:val="none" w:sz="0" w:space="0" w:color="auto" w:frame="1"/>
          <w:lang w:val="es-ES" w:eastAsia="es-CO"/>
        </w:rPr>
        <w:t>exige que exista una </w:t>
      </w:r>
      <w:r w:rsidRPr="00F24B68">
        <w:rPr>
          <w:rFonts w:ascii="Century Gothic" w:eastAsia="Times New Roman" w:hAnsi="Century Gothic" w:cs="Times New Roman"/>
          <w:b/>
          <w:bCs/>
          <w:i/>
          <w:iCs/>
          <w:noProof w:val="0"/>
          <w:sz w:val="20"/>
          <w:bdr w:val="none" w:sz="0" w:space="0" w:color="auto" w:frame="1"/>
          <w:lang w:val="es-ES" w:eastAsia="es-CO"/>
        </w:rPr>
        <w:t>ley previa</w:t>
      </w:r>
      <w:r w:rsidRPr="00F24B68">
        <w:rPr>
          <w:rFonts w:ascii="Century Gothic" w:eastAsia="Times New Roman" w:hAnsi="Century Gothic" w:cs="Times New Roman"/>
          <w:i/>
          <w:noProof w:val="0"/>
          <w:sz w:val="20"/>
          <w:bdr w:val="none" w:sz="0" w:space="0" w:color="auto" w:frame="1"/>
          <w:lang w:val="es-ES" w:eastAsia="es-CO"/>
        </w:rPr>
        <w:t> que defina los motivos de utilidad pública o de interés social.  No basta simplemente con alegar dichas motivos, sino que por exigencia constitucional es indispensable que quien establezca los motivos ya referidos sea el legislador a tr</w:t>
      </w:r>
      <w:r w:rsidR="0007462D" w:rsidRPr="00F24B68">
        <w:rPr>
          <w:rFonts w:ascii="Century Gothic" w:eastAsia="Times New Roman" w:hAnsi="Century Gothic" w:cs="Times New Roman"/>
          <w:i/>
          <w:noProof w:val="0"/>
          <w:sz w:val="20"/>
          <w:bdr w:val="none" w:sz="0" w:space="0" w:color="auto" w:frame="1"/>
          <w:lang w:val="es-ES" w:eastAsia="es-CO"/>
        </w:rPr>
        <w:t>avés de una ley de la República”</w:t>
      </w:r>
      <w:r w:rsidR="006967F3" w:rsidRPr="00F24B68">
        <w:rPr>
          <w:rStyle w:val="Refdenotaalpie"/>
          <w:rFonts w:ascii="Century Gothic" w:eastAsia="Times New Roman" w:hAnsi="Century Gothic" w:cs="Times New Roman"/>
          <w:i/>
          <w:noProof w:val="0"/>
          <w:sz w:val="20"/>
          <w:bdr w:val="none" w:sz="0" w:space="0" w:color="auto" w:frame="1"/>
          <w:lang w:val="es-ES" w:eastAsia="es-CO"/>
        </w:rPr>
        <w:footnoteReference w:id="4"/>
      </w:r>
      <w:r w:rsidR="00F24B68">
        <w:rPr>
          <w:rFonts w:ascii="Century Gothic" w:eastAsia="Times New Roman" w:hAnsi="Century Gothic" w:cs="Times New Roman"/>
          <w:i/>
          <w:noProof w:val="0"/>
          <w:sz w:val="20"/>
          <w:bdr w:val="none" w:sz="0" w:space="0" w:color="auto" w:frame="1"/>
          <w:lang w:val="es-ES" w:eastAsia="es-CO"/>
        </w:rPr>
        <w:t>.</w:t>
      </w:r>
    </w:p>
    <w:p w:rsidR="003C7016" w:rsidRPr="00F24B68" w:rsidRDefault="003C7016" w:rsidP="00F24B68">
      <w:pPr>
        <w:pStyle w:val="NormalWeb"/>
        <w:spacing w:before="0" w:beforeAutospacing="0" w:after="0" w:afterAutospacing="0"/>
        <w:ind w:left="708"/>
        <w:jc w:val="both"/>
        <w:rPr>
          <w:rFonts w:ascii="Century Gothic" w:hAnsi="Century Gothic"/>
          <w:i/>
          <w:sz w:val="20"/>
          <w:szCs w:val="22"/>
          <w:lang w:val="es-ES"/>
        </w:rPr>
      </w:pPr>
    </w:p>
    <w:p w:rsidR="003C7016" w:rsidRPr="00F24B68" w:rsidRDefault="00113A1D" w:rsidP="00F24B68">
      <w:pPr>
        <w:pStyle w:val="NormalWeb"/>
        <w:spacing w:before="0" w:beforeAutospacing="0" w:after="0" w:afterAutospacing="0"/>
        <w:jc w:val="both"/>
        <w:rPr>
          <w:rFonts w:ascii="Century Gothic" w:hAnsi="Century Gothic"/>
          <w:sz w:val="20"/>
          <w:szCs w:val="22"/>
          <w:lang w:val="es-ES"/>
        </w:rPr>
      </w:pPr>
      <w:r w:rsidRPr="00F24B68">
        <w:rPr>
          <w:rFonts w:ascii="Century Gothic" w:hAnsi="Century Gothic"/>
          <w:bCs/>
          <w:sz w:val="20"/>
          <w:szCs w:val="22"/>
          <w:bdr w:val="none" w:sz="0" w:space="0" w:color="auto" w:frame="1"/>
          <w:lang w:val="es-ES"/>
        </w:rPr>
        <w:t>Concluye la Corte Constitucional</w:t>
      </w:r>
      <w:r w:rsidR="00F24B68">
        <w:rPr>
          <w:rFonts w:ascii="Century Gothic" w:hAnsi="Century Gothic"/>
          <w:bCs/>
          <w:sz w:val="20"/>
          <w:szCs w:val="22"/>
          <w:bdr w:val="none" w:sz="0" w:space="0" w:color="auto" w:frame="1"/>
          <w:lang w:val="es-ES"/>
        </w:rPr>
        <w:t>,</w:t>
      </w:r>
      <w:r w:rsidRPr="00F24B68">
        <w:rPr>
          <w:rFonts w:ascii="Century Gothic" w:hAnsi="Century Gothic"/>
          <w:bCs/>
          <w:sz w:val="20"/>
          <w:szCs w:val="22"/>
          <w:bdr w:val="none" w:sz="0" w:space="0" w:color="auto" w:frame="1"/>
          <w:lang w:val="es-ES"/>
        </w:rPr>
        <w:t xml:space="preserve"> </w:t>
      </w:r>
      <w:r w:rsidR="00F24B68">
        <w:rPr>
          <w:rFonts w:ascii="Century Gothic" w:hAnsi="Century Gothic"/>
          <w:bCs/>
          <w:sz w:val="20"/>
          <w:szCs w:val="22"/>
          <w:bdr w:val="none" w:sz="0" w:space="0" w:color="auto" w:frame="1"/>
          <w:lang w:val="es-ES"/>
        </w:rPr>
        <w:t>que “</w:t>
      </w:r>
      <w:r w:rsidR="003C7016" w:rsidRPr="00F24B68">
        <w:rPr>
          <w:rFonts w:ascii="Century Gothic" w:hAnsi="Century Gothic"/>
          <w:i/>
          <w:sz w:val="20"/>
          <w:szCs w:val="22"/>
          <w:bdr w:val="none" w:sz="0" w:space="0" w:color="auto" w:frame="1"/>
          <w:shd w:val="clear" w:color="auto" w:fill="FFFFFF"/>
          <w:lang w:val="es-ES"/>
        </w:rPr>
        <w:t>es compatible con</w:t>
      </w:r>
      <w:r w:rsidR="003C7016" w:rsidRPr="00F24B68">
        <w:rPr>
          <w:rFonts w:ascii="Century Gothic" w:hAnsi="Century Gothic"/>
          <w:i/>
          <w:sz w:val="20"/>
          <w:szCs w:val="22"/>
          <w:bdr w:val="none" w:sz="0" w:space="0" w:color="auto" w:frame="1"/>
          <w:lang w:val="es-ES"/>
        </w:rPr>
        <w:t> el núcleo esencial del derecho a la propiedad privada que el legislador establezca prohibiciones temporales o absolutas de enajenación sobre algunos bienes, siempre y cuando se acredite que las mismas, además de preservar un interés superior que goce de prioridad en aras de salvaguardar los fines del Estado Social de Derecho, mantienen a salvo el ejercicio de los atributos de goce, uso y explotación, los cuales no sólo le confieren a su titular la posibilidad de obtener utilidad económica, sino también le permiten </w:t>
      </w:r>
      <w:r w:rsidR="003C7016" w:rsidRPr="00F24B68">
        <w:rPr>
          <w:rFonts w:ascii="Century Gothic" w:hAnsi="Century Gothic"/>
          <w:i/>
          <w:sz w:val="20"/>
          <w:szCs w:val="22"/>
          <w:bdr w:val="none" w:sz="0" w:space="0" w:color="auto" w:frame="1"/>
          <w:shd w:val="clear" w:color="auto" w:fill="FFFFFF"/>
          <w:lang w:val="es-ES"/>
        </w:rPr>
        <w:t>legitimar la existencia de un interés privado en la propiedad</w:t>
      </w:r>
      <w:r w:rsidR="0006389D" w:rsidRPr="00F24B68">
        <w:rPr>
          <w:rFonts w:ascii="Century Gothic" w:hAnsi="Century Gothic"/>
          <w:i/>
          <w:sz w:val="20"/>
          <w:szCs w:val="22"/>
          <w:bdr w:val="none" w:sz="0" w:space="0" w:color="auto" w:frame="1"/>
          <w:shd w:val="clear" w:color="auto" w:fill="FFFFFF"/>
          <w:lang w:val="es-ES"/>
        </w:rPr>
        <w:t>”</w:t>
      </w:r>
      <w:r w:rsidR="006967F3" w:rsidRPr="00F24B68">
        <w:rPr>
          <w:rStyle w:val="Refdenotaalpie"/>
          <w:rFonts w:ascii="Century Gothic" w:hAnsi="Century Gothic"/>
          <w:i/>
          <w:sz w:val="20"/>
          <w:szCs w:val="22"/>
          <w:bdr w:val="none" w:sz="0" w:space="0" w:color="auto" w:frame="1"/>
          <w:shd w:val="clear" w:color="auto" w:fill="FFFFFF"/>
          <w:lang w:val="es-ES"/>
        </w:rPr>
        <w:footnoteReference w:id="5"/>
      </w:r>
      <w:r w:rsidR="00F24B68">
        <w:rPr>
          <w:rFonts w:ascii="Century Gothic" w:hAnsi="Century Gothic"/>
          <w:sz w:val="20"/>
          <w:szCs w:val="22"/>
          <w:bdr w:val="none" w:sz="0" w:space="0" w:color="auto" w:frame="1"/>
          <w:shd w:val="clear" w:color="auto" w:fill="FFFFFF"/>
          <w:lang w:val="es-ES"/>
        </w:rPr>
        <w:t>.</w:t>
      </w:r>
    </w:p>
    <w:p w:rsidR="0006389D" w:rsidRPr="004857A8" w:rsidRDefault="0006389D" w:rsidP="00124D90">
      <w:pPr>
        <w:spacing w:after="0" w:line="240" w:lineRule="auto"/>
        <w:jc w:val="both"/>
        <w:rPr>
          <w:rFonts w:ascii="Century Gothic" w:hAnsi="Century Gothic" w:cs="Times New Roman"/>
          <w:b/>
          <w:noProof w:val="0"/>
          <w:lang w:val="es-ES" w:bidi="es-ES"/>
        </w:rPr>
      </w:pPr>
    </w:p>
    <w:p w:rsidR="00EB29B7" w:rsidRPr="004857A8" w:rsidRDefault="0006389D" w:rsidP="00124D90">
      <w:pPr>
        <w:spacing w:after="0" w:line="240" w:lineRule="auto"/>
        <w:jc w:val="both"/>
        <w:rPr>
          <w:rFonts w:ascii="Century Gothic" w:hAnsi="Century Gothic" w:cs="Times New Roman"/>
          <w:noProof w:val="0"/>
          <w:lang w:val="es-ES" w:bidi="es-ES"/>
        </w:rPr>
      </w:pPr>
      <w:r w:rsidRPr="004857A8">
        <w:rPr>
          <w:rFonts w:ascii="Century Gothic" w:hAnsi="Century Gothic" w:cs="Times New Roman"/>
          <w:noProof w:val="0"/>
          <w:lang w:val="es-ES" w:bidi="es-ES"/>
        </w:rPr>
        <w:t xml:space="preserve">Es claro que la normatividad actual sobre titulación o cesión de predios fiscales con asentamientos, en especial, en lo que se refiere a la limitación temporal de la </w:t>
      </w:r>
      <w:r w:rsidR="00F24B68" w:rsidRPr="004857A8">
        <w:rPr>
          <w:rFonts w:ascii="Century Gothic" w:hAnsi="Century Gothic" w:cs="Times New Roman"/>
          <w:noProof w:val="0"/>
          <w:lang w:val="es-ES" w:bidi="es-ES"/>
        </w:rPr>
        <w:t>enajenación</w:t>
      </w:r>
      <w:r w:rsidRPr="004857A8">
        <w:rPr>
          <w:rFonts w:ascii="Century Gothic" w:hAnsi="Century Gothic" w:cs="Times New Roman"/>
          <w:noProof w:val="0"/>
          <w:lang w:val="es-ES" w:bidi="es-ES"/>
        </w:rPr>
        <w:t xml:space="preserve"> de dichos bienes por parte de los particulares, una vez se encuentren cedidos por el Estado,</w:t>
      </w:r>
      <w:r w:rsidR="00F77178" w:rsidRPr="004857A8">
        <w:rPr>
          <w:rFonts w:ascii="Century Gothic" w:hAnsi="Century Gothic" w:cs="Times New Roman"/>
          <w:noProof w:val="0"/>
          <w:lang w:val="es-ES" w:bidi="es-ES"/>
        </w:rPr>
        <w:t xml:space="preserve"> </w:t>
      </w:r>
      <w:r w:rsidRPr="004857A8">
        <w:rPr>
          <w:rFonts w:ascii="Century Gothic" w:hAnsi="Century Gothic" w:cs="Times New Roman"/>
          <w:noProof w:val="0"/>
          <w:lang w:val="es-ES" w:bidi="es-ES"/>
        </w:rPr>
        <w:t>no contiene los elementos que permi</w:t>
      </w:r>
      <w:r w:rsidR="00EB29B7" w:rsidRPr="004857A8">
        <w:rPr>
          <w:rFonts w:ascii="Century Gothic" w:hAnsi="Century Gothic" w:cs="Times New Roman"/>
          <w:noProof w:val="0"/>
          <w:lang w:val="es-ES" w:bidi="es-ES"/>
        </w:rPr>
        <w:t>tan deducir que existe un inter</w:t>
      </w:r>
      <w:r w:rsidRPr="004857A8">
        <w:rPr>
          <w:rFonts w:ascii="Century Gothic" w:hAnsi="Century Gothic" w:cs="Times New Roman"/>
          <w:noProof w:val="0"/>
          <w:lang w:val="es-ES" w:bidi="es-ES"/>
        </w:rPr>
        <w:t>és superior</w:t>
      </w:r>
      <w:r w:rsidR="00EB29B7" w:rsidRPr="004857A8">
        <w:rPr>
          <w:rFonts w:ascii="Century Gothic" w:hAnsi="Century Gothic" w:cs="Times New Roman"/>
          <w:noProof w:val="0"/>
          <w:lang w:val="es-ES" w:bidi="es-ES"/>
        </w:rPr>
        <w:t xml:space="preserve"> en aras de salvaguardar los fines del Estado Social de Derecho.</w:t>
      </w:r>
    </w:p>
    <w:p w:rsidR="00EB29B7" w:rsidRPr="004857A8" w:rsidRDefault="00EB29B7" w:rsidP="00124D90">
      <w:pPr>
        <w:spacing w:after="0" w:line="240" w:lineRule="auto"/>
        <w:jc w:val="both"/>
        <w:rPr>
          <w:rFonts w:ascii="Century Gothic" w:hAnsi="Century Gothic" w:cs="Times New Roman"/>
          <w:noProof w:val="0"/>
          <w:lang w:val="es-ES" w:bidi="es-ES"/>
        </w:rPr>
      </w:pPr>
    </w:p>
    <w:p w:rsidR="002E0575" w:rsidRPr="004857A8" w:rsidRDefault="00EB29B7" w:rsidP="00124D90">
      <w:pPr>
        <w:spacing w:after="0" w:line="240" w:lineRule="auto"/>
        <w:jc w:val="both"/>
        <w:rPr>
          <w:rFonts w:ascii="Century Gothic" w:hAnsi="Century Gothic" w:cs="Times New Roman"/>
          <w:noProof w:val="0"/>
          <w:lang w:val="es-ES" w:bidi="es-ES"/>
        </w:rPr>
      </w:pPr>
      <w:r w:rsidRPr="004857A8">
        <w:rPr>
          <w:rFonts w:ascii="Century Gothic" w:hAnsi="Century Gothic" w:cs="Times New Roman"/>
          <w:noProof w:val="0"/>
          <w:lang w:val="es-ES" w:bidi="es-ES"/>
        </w:rPr>
        <w:t>El argumento que puede surgir de esta</w:t>
      </w:r>
      <w:r w:rsidR="00652C58" w:rsidRPr="004857A8">
        <w:rPr>
          <w:rFonts w:ascii="Century Gothic" w:hAnsi="Century Gothic" w:cs="Times New Roman"/>
          <w:noProof w:val="0"/>
          <w:lang w:val="es-ES" w:bidi="es-ES"/>
        </w:rPr>
        <w:t>blecer, en primera instancia,</w:t>
      </w:r>
      <w:r w:rsidRPr="004857A8">
        <w:rPr>
          <w:rFonts w:ascii="Century Gothic" w:hAnsi="Century Gothic" w:cs="Times New Roman"/>
          <w:noProof w:val="0"/>
          <w:lang w:val="es-ES" w:bidi="es-ES"/>
        </w:rPr>
        <w:t xml:space="preserve"> que se impone la </w:t>
      </w:r>
      <w:r w:rsidR="00F24B68" w:rsidRPr="004857A8">
        <w:rPr>
          <w:rFonts w:ascii="Century Gothic" w:hAnsi="Century Gothic" w:cs="Times New Roman"/>
          <w:noProof w:val="0"/>
          <w:lang w:val="es-ES" w:bidi="es-ES"/>
        </w:rPr>
        <w:t>restricción</w:t>
      </w:r>
      <w:r w:rsidRPr="004857A8">
        <w:rPr>
          <w:rFonts w:ascii="Century Gothic" w:hAnsi="Century Gothic" w:cs="Times New Roman"/>
          <w:noProof w:val="0"/>
          <w:lang w:val="es-ES" w:bidi="es-ES"/>
        </w:rPr>
        <w:t xml:space="preserve"> por ser un bien cedido por el Estado, y en segundo lugar, porque salvaguarda la vivienda para la protección de la familia, deben ser</w:t>
      </w:r>
      <w:r w:rsidR="00652C58" w:rsidRPr="004857A8">
        <w:rPr>
          <w:rFonts w:ascii="Century Gothic" w:hAnsi="Century Gothic" w:cs="Times New Roman"/>
          <w:noProof w:val="0"/>
          <w:lang w:val="es-ES" w:bidi="es-ES"/>
        </w:rPr>
        <w:t xml:space="preserve"> considerados </w:t>
      </w:r>
      <w:r w:rsidR="00EE50C8" w:rsidRPr="004857A8">
        <w:rPr>
          <w:rFonts w:ascii="Century Gothic" w:hAnsi="Century Gothic" w:cs="Times New Roman"/>
          <w:noProof w:val="0"/>
          <w:lang w:val="es-ES" w:bidi="es-ES"/>
        </w:rPr>
        <w:t>si</w:t>
      </w:r>
      <w:r w:rsidR="00652C58" w:rsidRPr="004857A8">
        <w:rPr>
          <w:rFonts w:ascii="Century Gothic" w:hAnsi="Century Gothic" w:cs="Times New Roman"/>
          <w:noProof w:val="0"/>
          <w:lang w:val="es-ES" w:bidi="es-ES"/>
        </w:rPr>
        <w:t>,</w:t>
      </w:r>
      <w:r w:rsidR="00F77178" w:rsidRPr="004857A8">
        <w:rPr>
          <w:rFonts w:ascii="Century Gothic" w:hAnsi="Century Gothic" w:cs="Times New Roman"/>
          <w:noProof w:val="0"/>
          <w:lang w:val="es-ES" w:bidi="es-ES"/>
        </w:rPr>
        <w:t xml:space="preserve"> en primer lugar</w:t>
      </w:r>
      <w:r w:rsidR="00652C58" w:rsidRPr="004857A8">
        <w:rPr>
          <w:rFonts w:ascii="Century Gothic" w:hAnsi="Century Gothic" w:cs="Times New Roman"/>
          <w:noProof w:val="0"/>
          <w:lang w:val="es-ES" w:bidi="es-ES"/>
        </w:rPr>
        <w:t>,</w:t>
      </w:r>
      <w:r w:rsidR="00EE50C8" w:rsidRPr="004857A8">
        <w:rPr>
          <w:rFonts w:ascii="Century Gothic" w:hAnsi="Century Gothic" w:cs="Times New Roman"/>
          <w:noProof w:val="0"/>
          <w:lang w:val="es-ES" w:bidi="es-ES"/>
        </w:rPr>
        <w:t xml:space="preserve"> el Estado puede imponer res</w:t>
      </w:r>
      <w:r w:rsidR="00652C58" w:rsidRPr="004857A8">
        <w:rPr>
          <w:rFonts w:ascii="Century Gothic" w:hAnsi="Century Gothic" w:cs="Times New Roman"/>
          <w:noProof w:val="0"/>
          <w:lang w:val="es-ES" w:bidi="es-ES"/>
        </w:rPr>
        <w:t>tricciones al bien cedido por  haber sido un bien</w:t>
      </w:r>
      <w:r w:rsidR="00EE50C8" w:rsidRPr="004857A8">
        <w:rPr>
          <w:rFonts w:ascii="Century Gothic" w:hAnsi="Century Gothic" w:cs="Times New Roman"/>
          <w:noProof w:val="0"/>
          <w:lang w:val="es-ES" w:bidi="es-ES"/>
        </w:rPr>
        <w:t xml:space="preserve"> fiscal, con lo cual se desconoce que al cederlo </w:t>
      </w:r>
      <w:r w:rsidR="002E0575" w:rsidRPr="004857A8">
        <w:rPr>
          <w:rFonts w:ascii="Century Gothic" w:hAnsi="Century Gothic" w:cs="Times New Roman"/>
          <w:noProof w:val="0"/>
          <w:lang w:val="es-ES" w:bidi="es-ES"/>
        </w:rPr>
        <w:t>ingresa a la ór</w:t>
      </w:r>
      <w:r w:rsidR="00652C58" w:rsidRPr="004857A8">
        <w:rPr>
          <w:rFonts w:ascii="Century Gothic" w:hAnsi="Century Gothic" w:cs="Times New Roman"/>
          <w:noProof w:val="0"/>
          <w:lang w:val="es-ES" w:bidi="es-ES"/>
        </w:rPr>
        <w:t xml:space="preserve">bita particular, y </w:t>
      </w:r>
      <w:r w:rsidR="00F77178" w:rsidRPr="004857A8">
        <w:rPr>
          <w:rFonts w:ascii="Century Gothic" w:hAnsi="Century Gothic" w:cs="Times New Roman"/>
          <w:noProof w:val="0"/>
          <w:lang w:val="es-ES" w:bidi="es-ES"/>
        </w:rPr>
        <w:t xml:space="preserve">en </w:t>
      </w:r>
      <w:r w:rsidR="00652C58" w:rsidRPr="004857A8">
        <w:rPr>
          <w:rFonts w:ascii="Century Gothic" w:hAnsi="Century Gothic" w:cs="Times New Roman"/>
          <w:noProof w:val="0"/>
          <w:lang w:val="es-ES" w:bidi="es-ES"/>
        </w:rPr>
        <w:t>segundo</w:t>
      </w:r>
      <w:r w:rsidR="00F77178" w:rsidRPr="004857A8">
        <w:rPr>
          <w:rFonts w:ascii="Century Gothic" w:hAnsi="Century Gothic" w:cs="Times New Roman"/>
          <w:noProof w:val="0"/>
          <w:lang w:val="es-ES" w:bidi="es-ES"/>
        </w:rPr>
        <w:t xml:space="preserve"> lugar</w:t>
      </w:r>
      <w:r w:rsidR="002E0575" w:rsidRPr="004857A8">
        <w:rPr>
          <w:rFonts w:ascii="Century Gothic" w:hAnsi="Century Gothic" w:cs="Times New Roman"/>
          <w:noProof w:val="0"/>
          <w:lang w:val="es-ES" w:bidi="es-ES"/>
        </w:rPr>
        <w:t>,</w:t>
      </w:r>
      <w:r w:rsidRPr="004857A8">
        <w:rPr>
          <w:rFonts w:ascii="Century Gothic" w:hAnsi="Century Gothic" w:cs="Times New Roman"/>
          <w:noProof w:val="0"/>
          <w:lang w:val="es-ES" w:bidi="es-ES"/>
        </w:rPr>
        <w:t xml:space="preserve"> </w:t>
      </w:r>
      <w:r w:rsidR="002E0575" w:rsidRPr="004857A8">
        <w:rPr>
          <w:rFonts w:ascii="Century Gothic" w:hAnsi="Century Gothic" w:cs="Times New Roman"/>
          <w:noProof w:val="0"/>
          <w:lang w:val="es-ES" w:bidi="es-ES"/>
        </w:rPr>
        <w:t>si la restri</w:t>
      </w:r>
      <w:r w:rsidR="00652C58" w:rsidRPr="004857A8">
        <w:rPr>
          <w:rFonts w:ascii="Century Gothic" w:hAnsi="Century Gothic" w:cs="Times New Roman"/>
          <w:noProof w:val="0"/>
          <w:lang w:val="es-ES" w:bidi="es-ES"/>
        </w:rPr>
        <w:t xml:space="preserve">cción o prohibición temporal </w:t>
      </w:r>
      <w:r w:rsidR="002E0575" w:rsidRPr="004857A8">
        <w:rPr>
          <w:rFonts w:ascii="Century Gothic" w:hAnsi="Century Gothic" w:cs="Times New Roman"/>
          <w:noProof w:val="0"/>
          <w:lang w:val="es-ES" w:bidi="es-ES"/>
        </w:rPr>
        <w:t>vulnera</w:t>
      </w:r>
      <w:r w:rsidRPr="004857A8">
        <w:rPr>
          <w:rFonts w:ascii="Century Gothic" w:hAnsi="Century Gothic" w:cs="Times New Roman"/>
          <w:noProof w:val="0"/>
          <w:lang w:val="es-ES" w:bidi="es-ES"/>
        </w:rPr>
        <w:t xml:space="preserve"> los atributos de goce, uso y explo</w:t>
      </w:r>
      <w:r w:rsidR="00F24B68">
        <w:rPr>
          <w:rFonts w:ascii="Century Gothic" w:hAnsi="Century Gothic" w:cs="Times New Roman"/>
          <w:noProof w:val="0"/>
          <w:lang w:val="es-ES" w:bidi="es-ES"/>
        </w:rPr>
        <w:t>ta</w:t>
      </w:r>
      <w:r w:rsidRPr="004857A8">
        <w:rPr>
          <w:rFonts w:ascii="Century Gothic" w:hAnsi="Century Gothic" w:cs="Times New Roman"/>
          <w:noProof w:val="0"/>
          <w:lang w:val="es-ES" w:bidi="es-ES"/>
        </w:rPr>
        <w:t>ción económica</w:t>
      </w:r>
      <w:r w:rsidR="00EE50C8" w:rsidRPr="004857A8">
        <w:rPr>
          <w:rFonts w:ascii="Century Gothic" w:hAnsi="Century Gothic" w:cs="Times New Roman"/>
          <w:noProof w:val="0"/>
          <w:lang w:val="es-ES" w:bidi="es-ES"/>
        </w:rPr>
        <w:t xml:space="preserve"> de la propiedad privada</w:t>
      </w:r>
      <w:r w:rsidRPr="004857A8">
        <w:rPr>
          <w:rFonts w:ascii="Century Gothic" w:hAnsi="Century Gothic" w:cs="Times New Roman"/>
          <w:noProof w:val="0"/>
          <w:lang w:val="es-ES" w:bidi="es-ES"/>
        </w:rPr>
        <w:t>, máxime si la mejora o vivienda no es</w:t>
      </w:r>
      <w:r w:rsidR="00F77178" w:rsidRPr="004857A8">
        <w:rPr>
          <w:rFonts w:ascii="Century Gothic" w:hAnsi="Century Gothic" w:cs="Times New Roman"/>
          <w:noProof w:val="0"/>
          <w:lang w:val="es-ES" w:bidi="es-ES"/>
        </w:rPr>
        <w:t xml:space="preserve"> </w:t>
      </w:r>
      <w:r w:rsidRPr="004857A8">
        <w:rPr>
          <w:rFonts w:ascii="Century Gothic" w:hAnsi="Century Gothic" w:cs="Times New Roman"/>
          <w:noProof w:val="0"/>
          <w:lang w:val="es-ES" w:bidi="es-ES"/>
        </w:rPr>
        <w:t>cedida por el Estado</w:t>
      </w:r>
      <w:r w:rsidR="00F77178" w:rsidRPr="004857A8">
        <w:rPr>
          <w:rFonts w:ascii="Century Gothic" w:hAnsi="Century Gothic" w:cs="Times New Roman"/>
          <w:noProof w:val="0"/>
          <w:lang w:val="es-ES" w:bidi="es-ES"/>
        </w:rPr>
        <w:t>, que es del particular</w:t>
      </w:r>
      <w:r w:rsidRPr="004857A8">
        <w:rPr>
          <w:rFonts w:ascii="Century Gothic" w:hAnsi="Century Gothic" w:cs="Times New Roman"/>
          <w:noProof w:val="0"/>
          <w:lang w:val="es-ES" w:bidi="es-ES"/>
        </w:rPr>
        <w:t xml:space="preserve">, sino </w:t>
      </w:r>
      <w:r w:rsidR="00F77178" w:rsidRPr="004857A8">
        <w:rPr>
          <w:rFonts w:ascii="Century Gothic" w:hAnsi="Century Gothic" w:cs="Times New Roman"/>
          <w:noProof w:val="0"/>
          <w:lang w:val="es-ES" w:bidi="es-ES"/>
        </w:rPr>
        <w:t xml:space="preserve">solamente </w:t>
      </w:r>
      <w:r w:rsidRPr="004857A8">
        <w:rPr>
          <w:rFonts w:ascii="Century Gothic" w:hAnsi="Century Gothic" w:cs="Times New Roman"/>
          <w:noProof w:val="0"/>
          <w:lang w:val="es-ES" w:bidi="es-ES"/>
        </w:rPr>
        <w:t>el predio sobre el que</w:t>
      </w:r>
      <w:r w:rsidR="00F77178" w:rsidRPr="004857A8">
        <w:rPr>
          <w:rFonts w:ascii="Century Gothic" w:hAnsi="Century Gothic" w:cs="Times New Roman"/>
          <w:noProof w:val="0"/>
          <w:lang w:val="es-ES" w:bidi="es-ES"/>
        </w:rPr>
        <w:t xml:space="preserve"> se</w:t>
      </w:r>
      <w:r w:rsidRPr="004857A8">
        <w:rPr>
          <w:rFonts w:ascii="Century Gothic" w:hAnsi="Century Gothic" w:cs="Times New Roman"/>
          <w:noProof w:val="0"/>
          <w:lang w:val="es-ES" w:bidi="es-ES"/>
        </w:rPr>
        <w:t xml:space="preserve"> construye. </w:t>
      </w:r>
    </w:p>
    <w:p w:rsidR="002E0575" w:rsidRPr="004857A8" w:rsidRDefault="002E0575" w:rsidP="00124D90">
      <w:pPr>
        <w:spacing w:after="0" w:line="240" w:lineRule="auto"/>
        <w:jc w:val="both"/>
        <w:rPr>
          <w:rFonts w:ascii="Century Gothic" w:hAnsi="Century Gothic" w:cs="Times New Roman"/>
          <w:noProof w:val="0"/>
          <w:lang w:val="es-ES" w:bidi="es-ES"/>
        </w:rPr>
      </w:pPr>
    </w:p>
    <w:p w:rsidR="00024C40" w:rsidRPr="004857A8" w:rsidRDefault="001648E3" w:rsidP="0096173D">
      <w:pPr>
        <w:pStyle w:val="Prrafodelista"/>
        <w:numPr>
          <w:ilvl w:val="0"/>
          <w:numId w:val="14"/>
        </w:numPr>
        <w:spacing w:after="0" w:line="240" w:lineRule="auto"/>
        <w:jc w:val="both"/>
        <w:rPr>
          <w:rFonts w:ascii="Century Gothic" w:hAnsi="Century Gothic" w:cs="Times New Roman"/>
          <w:b/>
          <w:lang w:val="es-ES" w:bidi="es-ES"/>
        </w:rPr>
      </w:pPr>
      <w:r w:rsidRPr="004857A8">
        <w:rPr>
          <w:rFonts w:ascii="Century Gothic" w:hAnsi="Century Gothic" w:cs="Times New Roman"/>
          <w:b/>
          <w:lang w:val="es-ES" w:bidi="es-ES"/>
        </w:rPr>
        <w:t>Solución</w:t>
      </w:r>
    </w:p>
    <w:p w:rsidR="000D6BEF" w:rsidRPr="004857A8" w:rsidRDefault="000D6BEF" w:rsidP="00124D90">
      <w:pPr>
        <w:spacing w:after="0" w:line="240" w:lineRule="auto"/>
        <w:jc w:val="both"/>
        <w:rPr>
          <w:rFonts w:ascii="Century Gothic" w:hAnsi="Century Gothic" w:cs="Times New Roman"/>
          <w:b/>
          <w:noProof w:val="0"/>
          <w:lang w:val="es-ES" w:bidi="es-ES"/>
        </w:rPr>
      </w:pPr>
    </w:p>
    <w:p w:rsidR="000D6BEF" w:rsidRPr="004857A8" w:rsidRDefault="00EA50E8" w:rsidP="00124D90">
      <w:pPr>
        <w:spacing w:after="0" w:line="240" w:lineRule="auto"/>
        <w:jc w:val="both"/>
        <w:rPr>
          <w:rFonts w:ascii="Century Gothic" w:hAnsi="Century Gothic" w:cs="Times New Roman"/>
          <w:noProof w:val="0"/>
          <w:lang w:val="es-ES" w:bidi="es-ES"/>
        </w:rPr>
      </w:pPr>
      <w:r w:rsidRPr="004857A8">
        <w:rPr>
          <w:rFonts w:ascii="Century Gothic" w:hAnsi="Century Gothic" w:cs="Times New Roman"/>
          <w:noProof w:val="0"/>
          <w:lang w:val="es-ES" w:bidi="es-ES"/>
        </w:rPr>
        <w:t>Permitir libremente la enajenación y toda clase de actos jurídicos sobre los inmuebles f</w:t>
      </w:r>
      <w:r w:rsidR="00F77178" w:rsidRPr="004857A8">
        <w:rPr>
          <w:rFonts w:ascii="Century Gothic" w:hAnsi="Century Gothic" w:cs="Times New Roman"/>
          <w:noProof w:val="0"/>
          <w:lang w:val="es-ES" w:bidi="es-ES"/>
        </w:rPr>
        <w:t xml:space="preserve">iscales cedidos a particulares </w:t>
      </w:r>
      <w:r w:rsidRPr="004857A8">
        <w:rPr>
          <w:rFonts w:ascii="Century Gothic" w:hAnsi="Century Gothic" w:cs="Times New Roman"/>
          <w:noProof w:val="0"/>
          <w:lang w:val="es-ES" w:bidi="es-ES"/>
        </w:rPr>
        <w:t>que tenga construcciones sobre dichos inmuebles</w:t>
      </w:r>
      <w:r w:rsidR="00F77178" w:rsidRPr="004857A8">
        <w:rPr>
          <w:rFonts w:ascii="Century Gothic" w:hAnsi="Century Gothic" w:cs="Times New Roman"/>
          <w:noProof w:val="0"/>
          <w:lang w:val="es-ES" w:bidi="es-ES"/>
        </w:rPr>
        <w:t>,</w:t>
      </w:r>
      <w:r w:rsidRPr="004857A8">
        <w:rPr>
          <w:rFonts w:ascii="Century Gothic" w:hAnsi="Century Gothic" w:cs="Times New Roman"/>
          <w:noProof w:val="0"/>
          <w:lang w:val="es-ES" w:bidi="es-ES"/>
        </w:rPr>
        <w:t xml:space="preserve"> sin </w:t>
      </w:r>
      <w:r w:rsidR="00B86700" w:rsidRPr="004857A8">
        <w:rPr>
          <w:rFonts w:ascii="Century Gothic" w:hAnsi="Century Gothic" w:cs="Times New Roman"/>
          <w:noProof w:val="0"/>
          <w:lang w:val="es-ES" w:bidi="es-ES"/>
        </w:rPr>
        <w:t>ninguna clase de requisito o exigencia de tiempo, modo o lugar.</w:t>
      </w:r>
    </w:p>
    <w:p w:rsidR="00EA50E8" w:rsidRPr="004857A8" w:rsidRDefault="00EA50E8" w:rsidP="00124D90">
      <w:pPr>
        <w:spacing w:after="0" w:line="240" w:lineRule="auto"/>
        <w:jc w:val="both"/>
        <w:rPr>
          <w:rFonts w:ascii="Century Gothic" w:hAnsi="Century Gothic" w:cs="Times New Roman"/>
          <w:noProof w:val="0"/>
          <w:lang w:val="es-ES" w:bidi="es-ES"/>
        </w:rPr>
      </w:pPr>
    </w:p>
    <w:p w:rsidR="00EA50E8" w:rsidRPr="004857A8" w:rsidRDefault="00EA50E8" w:rsidP="0096173D">
      <w:pPr>
        <w:pStyle w:val="Prrafodelista"/>
        <w:numPr>
          <w:ilvl w:val="0"/>
          <w:numId w:val="14"/>
        </w:numPr>
        <w:spacing w:after="0" w:line="240" w:lineRule="auto"/>
        <w:jc w:val="both"/>
        <w:rPr>
          <w:rFonts w:ascii="Century Gothic" w:hAnsi="Century Gothic" w:cs="Times New Roman"/>
          <w:b/>
          <w:lang w:val="es-ES" w:bidi="es-ES"/>
        </w:rPr>
      </w:pPr>
      <w:r w:rsidRPr="004857A8">
        <w:rPr>
          <w:rFonts w:ascii="Century Gothic" w:hAnsi="Century Gothic" w:cs="Times New Roman"/>
          <w:b/>
          <w:lang w:val="es-ES" w:bidi="es-ES"/>
        </w:rPr>
        <w:t xml:space="preserve">Efectos </w:t>
      </w:r>
    </w:p>
    <w:p w:rsidR="00B86700" w:rsidRPr="004857A8" w:rsidRDefault="00B86700" w:rsidP="00124D90">
      <w:pPr>
        <w:spacing w:after="0" w:line="240" w:lineRule="auto"/>
        <w:jc w:val="both"/>
        <w:rPr>
          <w:rFonts w:ascii="Century Gothic" w:hAnsi="Century Gothic" w:cs="Times New Roman"/>
          <w:b/>
          <w:noProof w:val="0"/>
          <w:lang w:val="es-ES" w:bidi="es-ES"/>
        </w:rPr>
      </w:pPr>
    </w:p>
    <w:p w:rsidR="00B86700" w:rsidRPr="004857A8" w:rsidRDefault="00B86700" w:rsidP="00124D90">
      <w:pPr>
        <w:spacing w:after="0" w:line="240" w:lineRule="auto"/>
        <w:jc w:val="both"/>
        <w:rPr>
          <w:rFonts w:ascii="Century Gothic" w:hAnsi="Century Gothic" w:cs="Times New Roman"/>
          <w:noProof w:val="0"/>
          <w:lang w:val="es-ES" w:bidi="es-ES"/>
        </w:rPr>
      </w:pPr>
      <w:r w:rsidRPr="004857A8">
        <w:rPr>
          <w:rFonts w:ascii="Century Gothic" w:hAnsi="Century Gothic" w:cs="Times New Roman"/>
          <w:noProof w:val="0"/>
          <w:lang w:val="es-ES" w:bidi="es-ES"/>
        </w:rPr>
        <w:lastRenderedPageBreak/>
        <w:t xml:space="preserve">Dinamización </w:t>
      </w:r>
      <w:r w:rsidRPr="00F24B68">
        <w:rPr>
          <w:rFonts w:ascii="Century Gothic" w:hAnsi="Century Gothic" w:cs="Times New Roman"/>
          <w:noProof w:val="0"/>
          <w:lang w:val="es-ES" w:bidi="es-ES"/>
        </w:rPr>
        <w:t>legal</w:t>
      </w:r>
      <w:r w:rsidRPr="004857A8">
        <w:rPr>
          <w:rFonts w:ascii="Century Gothic" w:hAnsi="Century Gothic" w:cs="Times New Roman"/>
          <w:noProof w:val="0"/>
          <w:lang w:val="es-ES" w:bidi="es-ES"/>
        </w:rPr>
        <w:t xml:space="preserve"> del mercado inmobiliario de bienes fiscales cedidos, con los consecuentes efectos en impuestos, tasas y contribuciones a los entes territoriales y entidades del Estado, y el fomento a la cultura de la </w:t>
      </w:r>
      <w:r w:rsidR="00F24B68" w:rsidRPr="004857A8">
        <w:rPr>
          <w:rFonts w:ascii="Century Gothic" w:hAnsi="Century Gothic" w:cs="Times New Roman"/>
          <w:noProof w:val="0"/>
          <w:lang w:val="es-ES" w:bidi="es-ES"/>
        </w:rPr>
        <w:t>enajenación</w:t>
      </w:r>
      <w:r w:rsidRPr="004857A8">
        <w:rPr>
          <w:rFonts w:ascii="Century Gothic" w:hAnsi="Century Gothic" w:cs="Times New Roman"/>
          <w:noProof w:val="0"/>
          <w:lang w:val="es-ES" w:bidi="es-ES"/>
        </w:rPr>
        <w:t xml:space="preserve"> y realización de otros actos jurídicos sobre inmuebles con base en las </w:t>
      </w:r>
      <w:r w:rsidR="00F24B68">
        <w:rPr>
          <w:rFonts w:ascii="Century Gothic" w:hAnsi="Century Gothic" w:cs="Times New Roman"/>
          <w:noProof w:val="0"/>
          <w:lang w:val="es-ES" w:bidi="es-ES"/>
        </w:rPr>
        <w:t xml:space="preserve">disposiciones </w:t>
      </w:r>
      <w:r w:rsidRPr="004857A8">
        <w:rPr>
          <w:rFonts w:ascii="Century Gothic" w:hAnsi="Century Gothic" w:cs="Times New Roman"/>
          <w:noProof w:val="0"/>
          <w:lang w:val="es-ES" w:bidi="es-ES"/>
        </w:rPr>
        <w:t xml:space="preserve">legales, permitiendo la seguridad jurídica que corresponde.   </w:t>
      </w:r>
    </w:p>
    <w:p w:rsidR="002B5A22" w:rsidRDefault="002B5A22" w:rsidP="00124D90">
      <w:pPr>
        <w:spacing w:after="0" w:line="240" w:lineRule="auto"/>
        <w:jc w:val="both"/>
        <w:rPr>
          <w:rFonts w:ascii="Century Gothic" w:hAnsi="Century Gothic" w:cs="Times New Roman"/>
          <w:noProof w:val="0"/>
          <w:lang w:val="es-ES" w:bidi="es-ES"/>
        </w:rPr>
      </w:pPr>
    </w:p>
    <w:p w:rsidR="005C2C77" w:rsidRPr="004857A8" w:rsidRDefault="005C2C77" w:rsidP="00124D90">
      <w:pPr>
        <w:spacing w:after="0" w:line="240" w:lineRule="auto"/>
        <w:jc w:val="both"/>
        <w:rPr>
          <w:rFonts w:ascii="Century Gothic" w:hAnsi="Century Gothic" w:cs="Times New Roman"/>
          <w:noProof w:val="0"/>
          <w:lang w:val="es-ES" w:bidi="es-ES"/>
        </w:rPr>
      </w:pPr>
    </w:p>
    <w:p w:rsidR="00F31CDE" w:rsidRDefault="00F31CDE" w:rsidP="00124D90">
      <w:pPr>
        <w:spacing w:after="0" w:line="240" w:lineRule="auto"/>
        <w:jc w:val="both"/>
        <w:rPr>
          <w:rFonts w:ascii="Century Gothic" w:hAnsi="Century Gothic" w:cs="Times New Roman"/>
          <w:noProof w:val="0"/>
          <w:lang w:val="es-ES" w:bidi="es-ES"/>
        </w:rPr>
      </w:pPr>
    </w:p>
    <w:p w:rsidR="005C2C77" w:rsidRDefault="005C2C77" w:rsidP="005C2C77">
      <w:pPr>
        <w:spacing w:after="0" w:line="240" w:lineRule="auto"/>
        <w:jc w:val="both"/>
        <w:rPr>
          <w:rFonts w:ascii="Century Gothic" w:eastAsia="Calibri" w:hAnsi="Century Gothic" w:cs="Times New Roman"/>
          <w:lang w:eastAsia="es-ES"/>
        </w:rPr>
      </w:pPr>
      <w:r>
        <w:rPr>
          <w:rFonts w:ascii="Century Gothic" w:eastAsia="Calibri" w:hAnsi="Century Gothic" w:cs="Times New Roman"/>
          <w:lang w:eastAsia="es-ES"/>
        </w:rPr>
        <w:t xml:space="preserve">Atentamente, </w:t>
      </w: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r>
        <w:rPr>
          <w:rFonts w:ascii="Century Gothic" w:eastAsia="Calibri" w:hAnsi="Century Gothic" w:cs="Times New Roman"/>
          <w:lang w:eastAsia="es-ES"/>
        </w:rPr>
        <w:t>___________________________</w:t>
      </w:r>
    </w:p>
    <w:p w:rsidR="005C2C77" w:rsidRDefault="005C2C77" w:rsidP="005C2C77">
      <w:pPr>
        <w:spacing w:after="0" w:line="240" w:lineRule="auto"/>
        <w:jc w:val="both"/>
        <w:rPr>
          <w:rFonts w:ascii="Century Gothic" w:eastAsia="Calibri" w:hAnsi="Century Gothic" w:cs="Times New Roman"/>
          <w:b/>
          <w:lang w:eastAsia="es-ES"/>
        </w:rPr>
      </w:pPr>
      <w:r w:rsidRPr="005C2C77">
        <w:rPr>
          <w:rFonts w:ascii="Century Gothic" w:eastAsia="Calibri" w:hAnsi="Century Gothic" w:cs="Times New Roman"/>
          <w:b/>
          <w:lang w:val="es-ES_tradnl" w:eastAsia="es-ES"/>
        </w:rPr>
        <w:t xml:space="preserve">H.S. LAURA FORTICH SANCHEZ                         </w:t>
      </w:r>
      <w:r>
        <w:rPr>
          <w:rFonts w:ascii="Century Gothic" w:eastAsia="Calibri" w:hAnsi="Century Gothic" w:cs="Times New Roman"/>
          <w:b/>
          <w:lang w:val="es-ES_tradnl" w:eastAsia="es-ES"/>
        </w:rPr>
        <w:t xml:space="preserve"> </w:t>
      </w:r>
      <w:r>
        <w:rPr>
          <w:rFonts w:ascii="Century Gothic" w:eastAsia="Calibri" w:hAnsi="Century Gothic" w:cs="Times New Roman"/>
          <w:b/>
          <w:lang w:eastAsia="es-ES"/>
        </w:rPr>
        <w:t xml:space="preserve"> </w:t>
      </w: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Default="00F24B68" w:rsidP="00124D90">
      <w:pPr>
        <w:spacing w:after="0" w:line="240" w:lineRule="auto"/>
        <w:jc w:val="both"/>
        <w:rPr>
          <w:rFonts w:ascii="Century Gothic" w:hAnsi="Century Gothic" w:cs="Times New Roman"/>
          <w:noProof w:val="0"/>
          <w:lang w:val="es-ES" w:bidi="es-ES"/>
        </w:rPr>
      </w:pPr>
    </w:p>
    <w:p w:rsidR="00F24B68" w:rsidRPr="004857A8" w:rsidRDefault="00F24B68" w:rsidP="00124D90">
      <w:pPr>
        <w:spacing w:after="0" w:line="240" w:lineRule="auto"/>
        <w:jc w:val="both"/>
        <w:rPr>
          <w:rFonts w:ascii="Century Gothic" w:hAnsi="Century Gothic" w:cs="Times New Roman"/>
          <w:noProof w:val="0"/>
          <w:lang w:val="es-ES" w:bidi="es-ES"/>
        </w:rPr>
      </w:pPr>
    </w:p>
    <w:p w:rsidR="00F24B68" w:rsidRPr="00F24B68" w:rsidRDefault="00F24B68" w:rsidP="005C2C77">
      <w:pPr>
        <w:pStyle w:val="Prrafodelista"/>
        <w:numPr>
          <w:ilvl w:val="0"/>
          <w:numId w:val="21"/>
        </w:numPr>
        <w:spacing w:after="0" w:line="240" w:lineRule="auto"/>
        <w:jc w:val="center"/>
        <w:rPr>
          <w:rFonts w:ascii="Century Gothic" w:hAnsi="Century Gothic" w:cs="Times New Roman"/>
          <w:b/>
          <w:lang w:val="es-ES"/>
        </w:rPr>
      </w:pPr>
      <w:r>
        <w:rPr>
          <w:rFonts w:ascii="Century Gothic" w:hAnsi="Century Gothic" w:cs="Times New Roman"/>
          <w:b/>
          <w:lang w:val="es-ES"/>
        </w:rPr>
        <w:lastRenderedPageBreak/>
        <w:t>ARTICULADO PROPUESTO.</w:t>
      </w:r>
    </w:p>
    <w:p w:rsidR="00F31CDE" w:rsidRPr="004857A8" w:rsidRDefault="00F31CDE" w:rsidP="00124D90">
      <w:pPr>
        <w:spacing w:after="0" w:line="240" w:lineRule="auto"/>
        <w:rPr>
          <w:rFonts w:ascii="Century Gothic" w:hAnsi="Century Gothic" w:cs="Times New Roman"/>
          <w:noProof w:val="0"/>
          <w:lang w:val="es-ES" w:bidi="es-ES"/>
        </w:rPr>
      </w:pPr>
    </w:p>
    <w:p w:rsidR="00916BBF" w:rsidRPr="004857A8" w:rsidRDefault="00916BBF" w:rsidP="00916BBF">
      <w:pPr>
        <w:spacing w:after="0" w:line="240" w:lineRule="auto"/>
        <w:jc w:val="center"/>
        <w:rPr>
          <w:rFonts w:ascii="Century Gothic" w:hAnsi="Century Gothic" w:cs="Times New Roman"/>
          <w:b/>
          <w:bCs/>
          <w:noProof w:val="0"/>
          <w:lang w:val="es-ES"/>
        </w:rPr>
      </w:pPr>
      <w:r w:rsidRPr="004857A8">
        <w:rPr>
          <w:rFonts w:ascii="Century Gothic" w:hAnsi="Century Gothic" w:cs="Times New Roman"/>
          <w:b/>
          <w:bCs/>
          <w:noProof w:val="0"/>
          <w:lang w:val="es-ES"/>
        </w:rPr>
        <w:t>PROYECTO DE LEY NÚMERO ____________ DE 2018 CÁMARA</w:t>
      </w:r>
    </w:p>
    <w:p w:rsidR="00916BBF" w:rsidRPr="004857A8" w:rsidRDefault="00916BBF" w:rsidP="00916BBF">
      <w:pPr>
        <w:spacing w:after="0" w:line="240" w:lineRule="auto"/>
        <w:rPr>
          <w:rFonts w:ascii="Century Gothic" w:hAnsi="Century Gothic" w:cs="Times New Roman"/>
          <w:noProof w:val="0"/>
          <w:lang w:val="es-ES"/>
        </w:rPr>
      </w:pPr>
    </w:p>
    <w:p w:rsidR="00916BBF" w:rsidRPr="004857A8" w:rsidRDefault="00916BBF" w:rsidP="00916BBF">
      <w:pPr>
        <w:spacing w:after="0" w:line="240" w:lineRule="auto"/>
        <w:jc w:val="both"/>
        <w:rPr>
          <w:rFonts w:ascii="Century Gothic" w:hAnsi="Century Gothic" w:cs="Times New Roman"/>
          <w:i/>
          <w:noProof w:val="0"/>
          <w:lang w:val="es-ES"/>
        </w:rPr>
      </w:pPr>
    </w:p>
    <w:p w:rsidR="00916BBF" w:rsidRPr="005C2C77" w:rsidRDefault="00916BBF" w:rsidP="00916BBF">
      <w:pPr>
        <w:spacing w:after="0" w:line="240" w:lineRule="auto"/>
        <w:jc w:val="center"/>
        <w:rPr>
          <w:rFonts w:ascii="Century Gothic" w:hAnsi="Century Gothic" w:cs="Times New Roman"/>
          <w:b/>
          <w:noProof w:val="0"/>
          <w:sz w:val="23"/>
          <w:szCs w:val="23"/>
          <w:lang w:val="es-ES"/>
        </w:rPr>
      </w:pPr>
      <w:r w:rsidRPr="005C2C77">
        <w:rPr>
          <w:rFonts w:ascii="Century Gothic" w:hAnsi="Century Gothic" w:cs="Times New Roman"/>
          <w:b/>
          <w:i/>
          <w:noProof w:val="0"/>
          <w:sz w:val="23"/>
          <w:szCs w:val="23"/>
          <w:lang w:val="es-ES"/>
        </w:rPr>
        <w:t>Por medio de la cual se establecen los criterios para contribuir a la depuración contable, al mejoramiento de los ingresos de las entidades territoriales y a la dinamización del mercado inmobiliario, mediante el saneamiento predial y la cesión a título oneroso y gratuito de bienes inmuebles fiscales urbanos</w:t>
      </w:r>
      <w:r w:rsidRPr="005C2C77">
        <w:rPr>
          <w:rFonts w:ascii="Century Gothic" w:hAnsi="Century Gothic" w:cs="Times New Roman"/>
          <w:b/>
          <w:noProof w:val="0"/>
          <w:sz w:val="23"/>
          <w:szCs w:val="23"/>
          <w:lang w:val="es-ES"/>
        </w:rPr>
        <w:t>.</w:t>
      </w:r>
    </w:p>
    <w:p w:rsidR="00916BBF" w:rsidRPr="005C2C77" w:rsidRDefault="00916BBF" w:rsidP="00916BBF">
      <w:pPr>
        <w:spacing w:after="0" w:line="240" w:lineRule="auto"/>
        <w:jc w:val="center"/>
        <w:rPr>
          <w:rFonts w:ascii="Century Gothic" w:hAnsi="Century Gothic" w:cs="Times New Roman"/>
          <w:b/>
          <w:noProof w:val="0"/>
          <w:sz w:val="23"/>
          <w:szCs w:val="23"/>
          <w:lang w:val="es-ES"/>
        </w:rPr>
      </w:pPr>
    </w:p>
    <w:p w:rsidR="00916BBF" w:rsidRPr="005C2C77" w:rsidRDefault="00916BBF" w:rsidP="00916BBF">
      <w:pPr>
        <w:spacing w:after="0" w:line="240" w:lineRule="auto"/>
        <w:jc w:val="center"/>
        <w:rPr>
          <w:rFonts w:ascii="Century Gothic" w:hAnsi="Century Gothic" w:cs="Times New Roman"/>
          <w:b/>
          <w:bCs/>
          <w:noProof w:val="0"/>
          <w:sz w:val="23"/>
          <w:szCs w:val="23"/>
          <w:lang w:val="es-ES"/>
        </w:rPr>
      </w:pPr>
      <w:r w:rsidRPr="005C2C77">
        <w:rPr>
          <w:rFonts w:ascii="Century Gothic" w:hAnsi="Century Gothic" w:cs="Times New Roman"/>
          <w:b/>
          <w:bCs/>
          <w:noProof w:val="0"/>
          <w:sz w:val="23"/>
          <w:szCs w:val="23"/>
          <w:lang w:val="es-ES"/>
        </w:rPr>
        <w:t>El Congreso de la República de Colombia</w:t>
      </w:r>
    </w:p>
    <w:p w:rsidR="00916BBF" w:rsidRPr="005C2C77" w:rsidRDefault="00916BBF" w:rsidP="00916BBF">
      <w:pPr>
        <w:spacing w:after="0" w:line="240" w:lineRule="auto"/>
        <w:jc w:val="center"/>
        <w:rPr>
          <w:rFonts w:ascii="Century Gothic" w:hAnsi="Century Gothic" w:cs="Times New Roman"/>
          <w:b/>
          <w:bCs/>
          <w:noProof w:val="0"/>
          <w:sz w:val="23"/>
          <w:szCs w:val="23"/>
          <w:lang w:val="es-ES"/>
        </w:rPr>
      </w:pPr>
      <w:r w:rsidRPr="005C2C77">
        <w:rPr>
          <w:rFonts w:ascii="Century Gothic" w:hAnsi="Century Gothic" w:cs="Times New Roman"/>
          <w:b/>
          <w:bCs/>
          <w:noProof w:val="0"/>
          <w:sz w:val="23"/>
          <w:szCs w:val="23"/>
          <w:lang w:val="es-ES"/>
        </w:rPr>
        <w:t xml:space="preserve"> </w:t>
      </w:r>
    </w:p>
    <w:p w:rsidR="00916BBF" w:rsidRPr="005C2C77" w:rsidRDefault="00916BBF" w:rsidP="00916BBF">
      <w:pPr>
        <w:spacing w:after="0" w:line="240" w:lineRule="auto"/>
        <w:jc w:val="center"/>
        <w:rPr>
          <w:rFonts w:ascii="Century Gothic" w:hAnsi="Century Gothic" w:cs="Times New Roman"/>
          <w:b/>
          <w:bCs/>
          <w:noProof w:val="0"/>
          <w:sz w:val="23"/>
          <w:szCs w:val="23"/>
          <w:lang w:val="es-ES"/>
        </w:rPr>
      </w:pPr>
      <w:r w:rsidRPr="005C2C77">
        <w:rPr>
          <w:rFonts w:ascii="Century Gothic" w:hAnsi="Century Gothic" w:cs="Times New Roman"/>
          <w:b/>
          <w:bCs/>
          <w:noProof w:val="0"/>
          <w:sz w:val="23"/>
          <w:szCs w:val="23"/>
          <w:lang w:val="es-ES"/>
        </w:rPr>
        <w:t>DECRETA:</w:t>
      </w:r>
    </w:p>
    <w:p w:rsidR="00916BBF" w:rsidRPr="005C2C77" w:rsidRDefault="00916BBF" w:rsidP="00916BBF">
      <w:pPr>
        <w:spacing w:after="0" w:line="240" w:lineRule="auto"/>
        <w:jc w:val="center"/>
        <w:rPr>
          <w:rFonts w:ascii="Century Gothic" w:hAnsi="Century Gothic" w:cs="Times New Roman"/>
          <w:i/>
          <w:noProof w:val="0"/>
          <w:sz w:val="23"/>
          <w:szCs w:val="23"/>
          <w:lang w:val="es-ES"/>
        </w:rPr>
      </w:pPr>
    </w:p>
    <w:p w:rsidR="00916BBF" w:rsidRPr="005C2C77" w:rsidRDefault="00916BBF" w:rsidP="00916BBF">
      <w:pPr>
        <w:spacing w:after="0" w:line="240" w:lineRule="auto"/>
        <w:jc w:val="both"/>
        <w:rPr>
          <w:rFonts w:ascii="Century Gothic" w:hAnsi="Century Gothic" w:cs="Times New Roman"/>
          <w:noProof w:val="0"/>
          <w:sz w:val="23"/>
          <w:szCs w:val="23"/>
          <w:lang w:val="es-ES"/>
        </w:rPr>
      </w:pPr>
    </w:p>
    <w:p w:rsidR="00916BBF" w:rsidRPr="005C2C77" w:rsidRDefault="00916BBF" w:rsidP="00916BBF">
      <w:pPr>
        <w:pStyle w:val="Prrafodelista"/>
        <w:numPr>
          <w:ilvl w:val="0"/>
          <w:numId w:val="15"/>
        </w:numPr>
        <w:spacing w:after="0" w:line="240" w:lineRule="auto"/>
        <w:ind w:left="1985" w:hanging="1985"/>
        <w:jc w:val="both"/>
        <w:rPr>
          <w:rFonts w:ascii="Century Gothic" w:hAnsi="Century Gothic" w:cs="Times New Roman"/>
          <w:sz w:val="23"/>
          <w:szCs w:val="23"/>
          <w:lang w:val="es-ES"/>
        </w:rPr>
      </w:pPr>
      <w:r w:rsidRPr="005C2C77">
        <w:rPr>
          <w:rFonts w:ascii="Century Gothic" w:hAnsi="Century Gothic" w:cs="Times New Roman"/>
          <w:b/>
          <w:sz w:val="23"/>
          <w:szCs w:val="23"/>
          <w:lang w:val="es-ES"/>
        </w:rPr>
        <w:t>Objeto</w:t>
      </w:r>
      <w:r w:rsidRPr="005C2C77">
        <w:rPr>
          <w:rFonts w:ascii="Century Gothic" w:hAnsi="Century Gothic" w:cs="Times New Roman"/>
          <w:i/>
          <w:sz w:val="23"/>
          <w:szCs w:val="23"/>
          <w:lang w:val="es-ES"/>
        </w:rPr>
        <w:t xml:space="preserve">. </w:t>
      </w:r>
      <w:r w:rsidRPr="005C2C77">
        <w:rPr>
          <w:rFonts w:ascii="Century Gothic" w:hAnsi="Century Gothic" w:cs="Times New Roman"/>
          <w:sz w:val="23"/>
          <w:szCs w:val="23"/>
          <w:lang w:val="es-ES"/>
        </w:rPr>
        <w:t xml:space="preserve">El objeto de la ley es establecer mecanismos técnicos y jurídicos que permita a las Entidades Territoriales, en relación con los Bienes Baldíos Urbanos, Bienes Fiscales, Bienes Fiscales Titulables y Bienes de Uso Púbico dentro de su territorio, realizar su saneamiento predial, identificación contable y cesión a título gratuito de Bienes Fiscales Titulables a sus Ocupantes, incrementando sus ingresos corrientes tributarios y contribuyendo a la dinamización del mercado inmobiliario. </w:t>
      </w:r>
    </w:p>
    <w:p w:rsidR="00916BBF" w:rsidRPr="005C2C77" w:rsidRDefault="00916BBF" w:rsidP="00916BBF">
      <w:pPr>
        <w:spacing w:after="0" w:line="240" w:lineRule="auto"/>
        <w:jc w:val="both"/>
        <w:rPr>
          <w:rFonts w:ascii="Century Gothic" w:hAnsi="Century Gothic" w:cs="Times New Roman"/>
          <w:noProof w:val="0"/>
          <w:sz w:val="23"/>
          <w:szCs w:val="23"/>
          <w:lang w:val="es-ES"/>
        </w:rPr>
      </w:pPr>
    </w:p>
    <w:p w:rsidR="00916BBF" w:rsidRPr="005C2C77" w:rsidRDefault="00916BBF" w:rsidP="00916BBF">
      <w:pPr>
        <w:pStyle w:val="Prrafodelista"/>
        <w:numPr>
          <w:ilvl w:val="0"/>
          <w:numId w:val="15"/>
        </w:numPr>
        <w:spacing w:after="0" w:line="240" w:lineRule="auto"/>
        <w:ind w:left="1985" w:hanging="1985"/>
        <w:jc w:val="both"/>
        <w:rPr>
          <w:rFonts w:ascii="Century Gothic" w:hAnsi="Century Gothic" w:cs="Times New Roman"/>
          <w:sz w:val="23"/>
          <w:szCs w:val="23"/>
          <w:lang w:val="es-ES"/>
        </w:rPr>
      </w:pPr>
      <w:r w:rsidRPr="005C2C77">
        <w:rPr>
          <w:rFonts w:ascii="Century Gothic" w:hAnsi="Century Gothic" w:cs="Times New Roman"/>
          <w:b/>
          <w:sz w:val="23"/>
          <w:szCs w:val="23"/>
          <w:lang w:val="es-ES"/>
        </w:rPr>
        <w:t>Definiciones</w:t>
      </w:r>
      <w:r w:rsidRPr="005C2C77">
        <w:rPr>
          <w:rFonts w:ascii="Century Gothic" w:hAnsi="Century Gothic" w:cs="Times New Roman"/>
          <w:i/>
          <w:sz w:val="23"/>
          <w:szCs w:val="23"/>
          <w:lang w:val="es-ES"/>
        </w:rPr>
        <w:t xml:space="preserve">. </w:t>
      </w:r>
      <w:r w:rsidRPr="005C2C77">
        <w:rPr>
          <w:rFonts w:ascii="Century Gothic" w:hAnsi="Century Gothic" w:cs="Times New Roman"/>
          <w:sz w:val="23"/>
          <w:szCs w:val="23"/>
          <w:lang w:val="es-ES"/>
        </w:rPr>
        <w:t>Para efectos de la interpretación y alcance de la presente ley, se establecen las siguientes definiciones:</w:t>
      </w:r>
    </w:p>
    <w:p w:rsidR="00916BBF" w:rsidRPr="005C2C77" w:rsidRDefault="00916BBF" w:rsidP="00916BBF">
      <w:pPr>
        <w:spacing w:after="0" w:line="240" w:lineRule="auto"/>
        <w:jc w:val="both"/>
        <w:rPr>
          <w:rFonts w:ascii="Century Gothic" w:hAnsi="Century Gothic" w:cs="Times New Roman"/>
          <w:noProof w:val="0"/>
          <w:sz w:val="23"/>
          <w:szCs w:val="23"/>
          <w:lang w:val="es-ES"/>
        </w:rPr>
      </w:pP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Bien Baldío Urbano</w:t>
      </w:r>
      <w:r w:rsidRPr="005C2C77">
        <w:rPr>
          <w:rFonts w:ascii="Century Gothic" w:hAnsi="Century Gothic" w:cs="Times New Roman"/>
          <w:b/>
          <w:sz w:val="23"/>
          <w:szCs w:val="23"/>
          <w:lang w:val="es-ES"/>
        </w:rPr>
        <w:t>:</w:t>
      </w:r>
      <w:r w:rsidRPr="005C2C77">
        <w:rPr>
          <w:rFonts w:ascii="Century Gothic" w:hAnsi="Century Gothic" w:cs="Times New Roman"/>
          <w:sz w:val="23"/>
          <w:szCs w:val="23"/>
          <w:lang w:val="es-ES"/>
        </w:rPr>
        <w:t xml:space="preserve"> Son aquellos bienes de propiedad de los municipios, adquiridos con fundamento en lo dispuesto en el artículo 123 de la ley 388 de 1997.</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i/>
          <w:sz w:val="23"/>
          <w:szCs w:val="23"/>
          <w:lang w:val="es-ES"/>
        </w:rPr>
      </w:pPr>
      <w:r w:rsidRPr="005C2C77">
        <w:rPr>
          <w:rFonts w:ascii="Century Gothic" w:hAnsi="Century Gothic" w:cs="Times New Roman"/>
          <w:sz w:val="23"/>
          <w:szCs w:val="23"/>
          <w:lang w:val="es-ES"/>
        </w:rPr>
        <w:t>Bien de Uso Público</w:t>
      </w:r>
      <w:r w:rsidRPr="005C2C77">
        <w:rPr>
          <w:rFonts w:ascii="Century Gothic" w:hAnsi="Century Gothic" w:cs="Times New Roman"/>
          <w:i/>
          <w:sz w:val="23"/>
          <w:szCs w:val="23"/>
          <w:lang w:val="es-ES"/>
        </w:rPr>
        <w:t>:</w:t>
      </w:r>
      <w:r w:rsidRPr="005C2C77">
        <w:rPr>
          <w:rFonts w:ascii="Century Gothic" w:hAnsi="Century Gothic" w:cs="Times New Roman"/>
          <w:sz w:val="23"/>
          <w:szCs w:val="23"/>
          <w:lang w:val="es-ES"/>
        </w:rPr>
        <w:t xml:space="preserve"> Son aquellos bienes destinados al uso, goce y disfrute de la colectividad, y por tanto, están al servicio de ésta en forma permanente, con las limitaciones que establece el ordenamiento jurídico y la autoridad competente que regula su utilización. Ejemplos de este tipo de bienes son las calles, las plazas, los parques, los puentes, los caminos, y similares. Son bienes inalienables, inembargables, e imprescriptibles.</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 xml:space="preserve">Bien Fiscal: Son los bienes de propiedad del Estado o de las Entidades Territoriales, sobre los cuales se tiene una </w:t>
      </w:r>
      <w:r w:rsidRPr="005C2C77">
        <w:rPr>
          <w:rFonts w:ascii="Century Gothic" w:hAnsi="Century Gothic" w:cs="Times New Roman"/>
          <w:sz w:val="23"/>
          <w:szCs w:val="23"/>
          <w:lang w:val="es-ES"/>
        </w:rPr>
        <w:lastRenderedPageBreak/>
        <w:t>propiedad ordinaria sometida a las normas generales del derecho común.</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Bien Fiscal Titulable</w:t>
      </w:r>
      <w:r w:rsidRPr="005C2C77">
        <w:rPr>
          <w:rFonts w:ascii="Century Gothic" w:hAnsi="Century Gothic" w:cs="Times New Roman"/>
          <w:i/>
          <w:sz w:val="23"/>
          <w:szCs w:val="23"/>
          <w:lang w:val="es-ES"/>
        </w:rPr>
        <w:t>:</w:t>
      </w:r>
      <w:r w:rsidRPr="005C2C77">
        <w:rPr>
          <w:rFonts w:ascii="Century Gothic" w:hAnsi="Century Gothic" w:cs="Times New Roman"/>
          <w:sz w:val="23"/>
          <w:szCs w:val="23"/>
          <w:lang w:val="es-ES"/>
        </w:rPr>
        <w:t xml:space="preserve"> Son aquellos bienes de propiedad de las entidades estatales que han sido ocupados ilegalmente por Ocupantes, el derecho de propiedad de estos bienes puede ser cedido o transferido a título gratuito u oneroso por la entidad territorial titular del bien.</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 xml:space="preserve">Cesión a título gratuito o venta de </w:t>
      </w:r>
      <w:r w:rsidR="00F24B68" w:rsidRPr="005C2C77">
        <w:rPr>
          <w:rFonts w:ascii="Century Gothic" w:hAnsi="Century Gothic" w:cs="Times New Roman"/>
          <w:sz w:val="23"/>
          <w:szCs w:val="23"/>
          <w:lang w:val="es-ES"/>
        </w:rPr>
        <w:t>B</w:t>
      </w:r>
      <w:r w:rsidRPr="005C2C77">
        <w:rPr>
          <w:rFonts w:ascii="Century Gothic" w:hAnsi="Century Gothic" w:cs="Times New Roman"/>
          <w:sz w:val="23"/>
          <w:szCs w:val="23"/>
          <w:lang w:val="es-ES"/>
        </w:rPr>
        <w:t xml:space="preserve">ienes </w:t>
      </w:r>
      <w:r w:rsidR="00F24B68" w:rsidRPr="005C2C77">
        <w:rPr>
          <w:rFonts w:ascii="Century Gothic" w:hAnsi="Century Gothic" w:cs="Times New Roman"/>
          <w:sz w:val="23"/>
          <w:szCs w:val="23"/>
          <w:lang w:val="es-ES"/>
        </w:rPr>
        <w:t>F</w:t>
      </w:r>
      <w:r w:rsidRPr="005C2C77">
        <w:rPr>
          <w:rFonts w:ascii="Century Gothic" w:hAnsi="Century Gothic" w:cs="Times New Roman"/>
          <w:sz w:val="23"/>
          <w:szCs w:val="23"/>
          <w:lang w:val="es-ES"/>
        </w:rPr>
        <w:t xml:space="preserve">iscales </w:t>
      </w:r>
      <w:r w:rsidR="00F24B68" w:rsidRPr="005C2C77">
        <w:rPr>
          <w:rFonts w:ascii="Century Gothic" w:hAnsi="Century Gothic" w:cs="Times New Roman"/>
          <w:sz w:val="23"/>
          <w:szCs w:val="23"/>
          <w:lang w:val="es-ES"/>
        </w:rPr>
        <w:t>Titulables</w:t>
      </w:r>
      <w:r w:rsidRPr="005C2C77">
        <w:rPr>
          <w:rFonts w:ascii="Century Gothic" w:hAnsi="Century Gothic" w:cs="Times New Roman"/>
          <w:sz w:val="23"/>
          <w:szCs w:val="23"/>
          <w:lang w:val="es-ES"/>
        </w:rPr>
        <w:t>:</w:t>
      </w:r>
      <w:r w:rsidRPr="005C2C77">
        <w:rPr>
          <w:rFonts w:ascii="Century Gothic" w:hAnsi="Century Gothic" w:cs="Times New Roman"/>
          <w:i/>
          <w:sz w:val="23"/>
          <w:szCs w:val="23"/>
          <w:lang w:val="es-ES"/>
        </w:rPr>
        <w:t xml:space="preserve"> </w:t>
      </w:r>
      <w:r w:rsidRPr="005C2C77">
        <w:rPr>
          <w:rFonts w:ascii="Century Gothic" w:hAnsi="Century Gothic" w:cs="Times New Roman"/>
          <w:sz w:val="23"/>
          <w:szCs w:val="23"/>
          <w:lang w:val="es-ES"/>
        </w:rPr>
        <w:t>Es la transferencia del dominio por cesión a título gratuito u oneroso, respectivamente, de un Bien Fiscal Titulable por parte de una Entidad Territorial a un Ocupante, el cual ha sido intervenido con una mejora o construcción y la ha ocupado por un tiempo determinado.</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Dinamización del mercado inmobiliario: Se refiere a la condición del mercado inmobiliario en los municipios caracterizada por el aumento en las operaciones de transferencia legítima de la propiedad por parte los propietarios de Bienes Fiscales Titulables Urbanos.</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 xml:space="preserve">Entidad Tituladora: Es la Entidad Territorial, propietaria de los Bienes Fiscales Titulables que lleva a cabo programas de cesión a título gratuito y/o venta de dichos bienes. </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Identificación contable: Es la identificación contable por parte de la Entidad Territorial, de acuerdo con las normas que regulen la materia, de los Bienes Fiscales, Bienes Fiscales Titulables y Bienes de Uso Púbico.</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Ingresos corrientes tributarios: Son los recursos rentísticos propios de los entes territoriales, que son percibidos en forma periódica o constante por cuenta de los tributos territoriales, por ejemplo, el impuesto predial unificado.</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Ocupante: Aquella persona natural asentada en mejoras o construcciones ubicadas en Bienes Fiscales Titulables.</w:t>
      </w:r>
    </w:p>
    <w:p w:rsidR="00916BBF" w:rsidRPr="005C2C77" w:rsidRDefault="00916BBF" w:rsidP="00916BBF">
      <w:pPr>
        <w:pStyle w:val="Prrafodelista"/>
        <w:numPr>
          <w:ilvl w:val="3"/>
          <w:numId w:val="16"/>
        </w:numPr>
        <w:spacing w:after="0" w:line="240" w:lineRule="auto"/>
        <w:ind w:left="2977" w:hanging="709"/>
        <w:jc w:val="both"/>
        <w:rPr>
          <w:rFonts w:ascii="Century Gothic" w:hAnsi="Century Gothic" w:cs="Times New Roman"/>
          <w:sz w:val="23"/>
          <w:szCs w:val="23"/>
          <w:lang w:val="es-ES"/>
        </w:rPr>
      </w:pPr>
      <w:r w:rsidRPr="005C2C77">
        <w:rPr>
          <w:rFonts w:ascii="Century Gothic" w:hAnsi="Century Gothic" w:cs="Times New Roman"/>
          <w:sz w:val="23"/>
          <w:szCs w:val="23"/>
          <w:lang w:val="es-ES"/>
        </w:rPr>
        <w:t>Saneamiento Predial:</w:t>
      </w:r>
      <w:r w:rsidRPr="005C2C77">
        <w:rPr>
          <w:rFonts w:ascii="Century Gothic" w:hAnsi="Century Gothic" w:cs="Times New Roman"/>
          <w:i/>
          <w:sz w:val="23"/>
          <w:szCs w:val="23"/>
          <w:lang w:val="es-ES"/>
        </w:rPr>
        <w:t xml:space="preserve"> </w:t>
      </w:r>
      <w:r w:rsidRPr="005C2C77">
        <w:rPr>
          <w:rFonts w:ascii="Century Gothic" w:hAnsi="Century Gothic" w:cs="Times New Roman"/>
          <w:sz w:val="23"/>
          <w:szCs w:val="23"/>
          <w:lang w:val="es-ES"/>
        </w:rPr>
        <w:t xml:space="preserve">Corresponde a la identificación y transformación jurídica de Bienes Baldíos Urbanos a Bienes fiscales, Bienes Fiscales Titulables o Bienes de Uso público y el reconocimiento de las entidades territoriales sobre los mismos, y que los hace aptos para ser objeto de uso, cesión o venta.  </w:t>
      </w:r>
    </w:p>
    <w:p w:rsidR="00916BBF" w:rsidRPr="005C2C77" w:rsidRDefault="00916BBF" w:rsidP="00916BBF">
      <w:pPr>
        <w:pStyle w:val="Prrafodelista"/>
        <w:spacing w:after="0" w:line="240" w:lineRule="auto"/>
        <w:ind w:left="2977"/>
        <w:jc w:val="both"/>
        <w:rPr>
          <w:rFonts w:ascii="Century Gothic" w:hAnsi="Century Gothic" w:cs="Times New Roman"/>
          <w:sz w:val="23"/>
          <w:szCs w:val="23"/>
          <w:lang w:val="es-ES"/>
        </w:rPr>
      </w:pPr>
    </w:p>
    <w:p w:rsidR="00916BBF" w:rsidRPr="005C2C77" w:rsidRDefault="00916BBF" w:rsidP="00916BBF">
      <w:pPr>
        <w:pStyle w:val="Prrafodelista"/>
        <w:numPr>
          <w:ilvl w:val="0"/>
          <w:numId w:val="15"/>
        </w:numPr>
        <w:spacing w:after="0" w:line="240" w:lineRule="auto"/>
        <w:ind w:left="1985" w:hanging="1985"/>
        <w:jc w:val="both"/>
        <w:rPr>
          <w:rFonts w:ascii="Century Gothic" w:hAnsi="Century Gothic" w:cs="Times New Roman"/>
          <w:sz w:val="23"/>
          <w:szCs w:val="23"/>
          <w:lang w:val="es-ES"/>
        </w:rPr>
      </w:pPr>
      <w:r w:rsidRPr="005C2C77">
        <w:rPr>
          <w:rFonts w:ascii="Century Gothic" w:hAnsi="Century Gothic" w:cs="Times New Roman"/>
          <w:b/>
          <w:sz w:val="23"/>
          <w:szCs w:val="23"/>
          <w:lang w:val="es-ES"/>
        </w:rPr>
        <w:t>Saneamiento Predial.</w:t>
      </w:r>
      <w:r w:rsidRPr="005C2C77">
        <w:rPr>
          <w:rFonts w:ascii="Century Gothic" w:hAnsi="Century Gothic" w:cs="Times New Roman"/>
          <w:sz w:val="23"/>
          <w:szCs w:val="23"/>
          <w:lang w:val="es-ES"/>
        </w:rPr>
        <w:t xml:space="preserve"> Para la identificación y transformación jurídica de Bienes Baldíos Urbanos a Bienes fiscales, Bienes Fiscales Titulables o Bienes de Uso público, las Entidades Territoriales deberán llevar a cabo dos pasos, el primero, Identificar el Bien Baldío Urbano que se pretende convertir en Bien fiscal, Bien Fiscal Titulable o Bien de Uso público, llevando a cabo el estudio de títulos correspondiente, y el segundo, adelantar el procedimiento de registro de propiedad de los Bienes Baldíos Urbanos de conformidad con las normas registrales sobre la materia. </w:t>
      </w:r>
    </w:p>
    <w:p w:rsidR="00916BBF" w:rsidRPr="005C2C77" w:rsidRDefault="00916BBF" w:rsidP="00916BBF">
      <w:pPr>
        <w:spacing w:after="0" w:line="240" w:lineRule="auto"/>
        <w:jc w:val="both"/>
        <w:rPr>
          <w:rFonts w:ascii="Century Gothic" w:hAnsi="Century Gothic" w:cs="Times New Roman"/>
          <w:noProof w:val="0"/>
          <w:sz w:val="23"/>
          <w:szCs w:val="23"/>
          <w:lang w:val="es-ES"/>
        </w:rPr>
      </w:pPr>
    </w:p>
    <w:p w:rsidR="00916BBF" w:rsidRPr="005C2C77" w:rsidRDefault="00916BBF" w:rsidP="00916BBF">
      <w:pPr>
        <w:spacing w:after="0" w:line="240" w:lineRule="auto"/>
        <w:ind w:left="1985"/>
        <w:jc w:val="both"/>
        <w:rPr>
          <w:rFonts w:ascii="Century Gothic" w:hAnsi="Century Gothic" w:cs="Times New Roman"/>
          <w:noProof w:val="0"/>
          <w:sz w:val="23"/>
          <w:szCs w:val="23"/>
          <w:lang w:val="es-ES"/>
        </w:rPr>
      </w:pPr>
      <w:r w:rsidRPr="005C2C77">
        <w:rPr>
          <w:rFonts w:ascii="Century Gothic" w:hAnsi="Century Gothic" w:cs="Times New Roman"/>
          <w:noProof w:val="0"/>
          <w:sz w:val="23"/>
          <w:szCs w:val="23"/>
          <w:lang w:val="es-ES"/>
        </w:rPr>
        <w:t>Parágrafo primero.- Para el cumplimiento de lo anterior, la Entidad territorial deberá llevar a cabo un estudio de títulos en el que se confirme que la titularidad de pleno domino de los Bienes Baldíos Urbanos recae en la Entidad Territorial y que están libres de gravámenes, limitaciones de dominio y/o afectaciones, junto con la identificación física, área y linderos.</w:t>
      </w:r>
    </w:p>
    <w:p w:rsidR="00916BBF" w:rsidRPr="005C2C77" w:rsidRDefault="00916BBF" w:rsidP="00916BBF">
      <w:pPr>
        <w:spacing w:after="0" w:line="240" w:lineRule="auto"/>
        <w:jc w:val="both"/>
        <w:rPr>
          <w:rFonts w:ascii="Century Gothic" w:hAnsi="Century Gothic" w:cs="Times New Roman"/>
          <w:noProof w:val="0"/>
          <w:sz w:val="23"/>
          <w:szCs w:val="23"/>
          <w:lang w:val="es-ES"/>
        </w:rPr>
      </w:pPr>
    </w:p>
    <w:p w:rsidR="00916BBF" w:rsidRPr="005C2C77" w:rsidRDefault="00916BBF" w:rsidP="00916BBF">
      <w:pPr>
        <w:spacing w:after="0" w:line="240" w:lineRule="auto"/>
        <w:ind w:left="1985"/>
        <w:jc w:val="both"/>
        <w:rPr>
          <w:rFonts w:ascii="Century Gothic" w:hAnsi="Century Gothic" w:cs="Times New Roman"/>
          <w:noProof w:val="0"/>
          <w:sz w:val="23"/>
          <w:szCs w:val="23"/>
          <w:lang w:val="es-ES"/>
        </w:rPr>
      </w:pPr>
      <w:r w:rsidRPr="005C2C77">
        <w:rPr>
          <w:rFonts w:ascii="Century Gothic" w:hAnsi="Century Gothic" w:cs="Times New Roman"/>
          <w:noProof w:val="0"/>
          <w:sz w:val="23"/>
          <w:szCs w:val="23"/>
          <w:lang w:val="es-ES"/>
        </w:rPr>
        <w:t>Parágrafo segundo.- Las Entidades Territoriales deberán hacer el Saneamiento Predial de inmuebles fiscales a que se refiere el presente artículo en los plazos establecidos en el artículo 355 de la ley 1819 de 2016, las normas que lo modifiquen, sustituyan o complementen.</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Cesión a Título Gratuito o Venta de Bienes Fiscales Titulables</w:t>
      </w:r>
      <w:r w:rsidRPr="005C2C77">
        <w:rPr>
          <w:rFonts w:ascii="Century Gothic" w:hAnsi="Century Gothic"/>
          <w:i/>
          <w:sz w:val="23"/>
          <w:szCs w:val="23"/>
          <w:lang w:val="es-ES"/>
        </w:rPr>
        <w:t xml:space="preserve">. </w:t>
      </w:r>
      <w:r w:rsidRPr="005C2C77">
        <w:rPr>
          <w:rFonts w:ascii="Century Gothic" w:hAnsi="Century Gothic"/>
          <w:sz w:val="23"/>
          <w:szCs w:val="23"/>
          <w:lang w:val="es-ES"/>
        </w:rPr>
        <w:t xml:space="preserve">Las Entidades Territoriales podrán ceder a título gratuito o vender el derecho de propiedad sobre Bienes Fiscales Titulables para lo cual llevará a cabo el siguiente procedimiento: </w:t>
      </w:r>
    </w:p>
    <w:p w:rsidR="00916BBF" w:rsidRPr="005C2C77" w:rsidRDefault="00916BBF" w:rsidP="00916BBF">
      <w:pPr>
        <w:pStyle w:val="NormalWeb"/>
        <w:spacing w:before="0" w:beforeAutospacing="0" w:after="0" w:afterAutospacing="0"/>
        <w:ind w:left="1985"/>
        <w:jc w:val="both"/>
        <w:rPr>
          <w:rFonts w:ascii="Century Gothic" w:hAnsi="Century Gothic"/>
          <w:b/>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t xml:space="preserve">a) </w:t>
      </w:r>
      <w:r w:rsidRPr="005C2C77">
        <w:rPr>
          <w:rFonts w:ascii="Century Gothic" w:hAnsi="Century Gothic"/>
          <w:i/>
          <w:sz w:val="23"/>
          <w:szCs w:val="23"/>
          <w:lang w:val="es-ES"/>
        </w:rPr>
        <w:t xml:space="preserve">Autorización: </w:t>
      </w:r>
      <w:r w:rsidRPr="005C2C77">
        <w:rPr>
          <w:rFonts w:ascii="Century Gothic" w:hAnsi="Century Gothic"/>
          <w:sz w:val="23"/>
          <w:szCs w:val="23"/>
          <w:lang w:val="es-ES"/>
        </w:rPr>
        <w:t>El representante legal de la Entidad Territorial debe estar facultado para trasferir gratuitamente o vender los Bienes Fiscales Titulables.</w:t>
      </w: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t>b)</w:t>
      </w:r>
      <w:r w:rsidRPr="005C2C77">
        <w:rPr>
          <w:rFonts w:ascii="Century Gothic" w:hAnsi="Century Gothic"/>
          <w:i/>
          <w:sz w:val="23"/>
          <w:szCs w:val="23"/>
          <w:lang w:val="es-ES"/>
        </w:rPr>
        <w:t xml:space="preserve"> Certificación:</w:t>
      </w:r>
      <w:r w:rsidRPr="005C2C77">
        <w:rPr>
          <w:rFonts w:ascii="Century Gothic" w:hAnsi="Century Gothic"/>
          <w:sz w:val="23"/>
          <w:szCs w:val="23"/>
          <w:lang w:val="es-ES"/>
        </w:rPr>
        <w:t xml:space="preserve"> El representante legal de la Entidad Territorial debe expedir una certificación donde se señale que los Bienes Fiscales Titulables no son de uso público, que no se encuentran en áreas insalubres, de riesgo o zonas de conservación o protección ambiental, y en general, que no hacen parte de las áreas relacionadas en los artículos 35 y 37 de la ley 388 de 1997.</w:t>
      </w: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lastRenderedPageBreak/>
        <w:t xml:space="preserve">c) </w:t>
      </w:r>
      <w:r w:rsidRPr="005C2C77">
        <w:rPr>
          <w:rFonts w:ascii="Century Gothic" w:hAnsi="Century Gothic"/>
          <w:i/>
          <w:sz w:val="23"/>
          <w:szCs w:val="23"/>
          <w:lang w:val="es-ES"/>
        </w:rPr>
        <w:t>Prueba:</w:t>
      </w:r>
      <w:r w:rsidRPr="005C2C77">
        <w:rPr>
          <w:rFonts w:ascii="Century Gothic" w:hAnsi="Century Gothic"/>
          <w:sz w:val="23"/>
          <w:szCs w:val="23"/>
          <w:lang w:val="es-ES"/>
        </w:rPr>
        <w:t xml:space="preserve"> el Ocupante de un Bien Fiscal Titulable probará su condición mediante cualquier medio de prueba idóneo y pertinente aceptado por la ley y evaluado por la Entidad Territorial, que deberá conformar un expediente con los documentos de identificación del ocupante, así como los documentos que considere pertinentes para acreditar la ocupación. Se exceptúan los ocupantes que tengan la calidad de tenedores de bienes inmuebles por cuenta de entidades públicas.</w:t>
      </w: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t xml:space="preserve">d) </w:t>
      </w:r>
      <w:r w:rsidRPr="005C2C77">
        <w:rPr>
          <w:rFonts w:ascii="Century Gothic" w:hAnsi="Century Gothic"/>
          <w:i/>
          <w:sz w:val="23"/>
          <w:szCs w:val="23"/>
          <w:lang w:val="es-ES"/>
        </w:rPr>
        <w:t>Cruce:</w:t>
      </w:r>
      <w:r w:rsidRPr="005C2C77">
        <w:rPr>
          <w:rFonts w:ascii="Century Gothic" w:hAnsi="Century Gothic"/>
          <w:sz w:val="23"/>
          <w:szCs w:val="23"/>
          <w:lang w:val="es-ES"/>
        </w:rPr>
        <w:t xml:space="preserve"> el Ocupante sólo podrá ser objeto de cesión o venta de un sólo Bien Fiscal Titulable y no haber recibido por parte del Estado beneficios para vivienda, situación que deberá certificar el Ministerio de Vivienda, Ciudad y Territorio o la entidad que corresponda.</w:t>
      </w: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t xml:space="preserve">e) </w:t>
      </w:r>
      <w:r w:rsidRPr="005C2C77">
        <w:rPr>
          <w:rFonts w:ascii="Century Gothic" w:hAnsi="Century Gothic"/>
          <w:i/>
          <w:sz w:val="23"/>
          <w:szCs w:val="23"/>
          <w:lang w:val="es-ES"/>
        </w:rPr>
        <w:t>Publicidad y emplazamiento:</w:t>
      </w:r>
      <w:r w:rsidRPr="005C2C77">
        <w:rPr>
          <w:rFonts w:ascii="Century Gothic" w:hAnsi="Century Gothic"/>
          <w:sz w:val="23"/>
          <w:szCs w:val="23"/>
          <w:lang w:val="es-ES"/>
        </w:rPr>
        <w:t xml:space="preserve"> Dentro de los 30 días siguientes a recibir la información sobre el cruce que se establece en el literal d) anterior, la Entidad Territorial llevará a cabo la publicidad de los Ocupantes sujetos a la cesión o venta de Bien Fiscal Titulable, mediante un aviso en un periódico de amplia circulación del lugar del programa de titulación que deberá contener: 1. El fundamento legal de la actuación administrativa, 2. La identificación técnico jurídica del inmueble objeto de cesión a título gratuito, 3. El o los ocupantes y su identificación, 4. Las personas excluidas del trámite y las razones por las cuales no pueden acceder al beneficio, 5. El término para hacerse parte dentro de la actuación administrativa. El aviso publicado deberá fijarse en un lugar visible al público de las oficinas de la Entidad Territorial, por un término no inferior a cinco (5) días hábiles. Cumplido dicho término, los interesados contarán con cinco (5) días hábiles subsiguientes para hacerse parte dentro del proceso, acreditando las razones de su petición, salvo que se ejerza algún tipo de reclamación referente a los cruces de información, caso en el cual, el solicitante contará con un término de treinta (30) días hábiles, contados a partir de la desfijación del mencionado aviso para presentar su solicitud. Sin perjuicio de lo anterior, podrá publicarse el aviso en una emisora radial con cubrimiento en el lugar de ubicación del predio, entre las cinco (5) de la mañana y las diez (10) de la noche o a falta de la misma, haciendo uso de </w:t>
      </w:r>
      <w:r w:rsidRPr="005C2C77">
        <w:rPr>
          <w:rFonts w:ascii="Century Gothic" w:hAnsi="Century Gothic"/>
          <w:sz w:val="23"/>
          <w:szCs w:val="23"/>
          <w:lang w:val="es-ES"/>
        </w:rPr>
        <w:lastRenderedPageBreak/>
        <w:t xml:space="preserve">la lectura por bando o cualquier otro medio masivo de comunicación disponible, que garantice la difusión de la información. </w:t>
      </w:r>
    </w:p>
    <w:p w:rsidR="00916BBF" w:rsidRPr="005C2C77" w:rsidRDefault="00916BBF" w:rsidP="00916BBF">
      <w:pPr>
        <w:pStyle w:val="NormalWeb"/>
        <w:spacing w:before="0" w:beforeAutospacing="0" w:after="0" w:afterAutospacing="0"/>
        <w:ind w:left="1985" w:hanging="1985"/>
        <w:jc w:val="both"/>
        <w:rPr>
          <w:rFonts w:ascii="Century Gothic" w:hAnsi="Century Gothic"/>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t xml:space="preserve">Parágrafo.- Para que un Ocupante tenga derecho a que una Entidad Territorial le ceda a título gratuito o venda el dominio de un Bien Fiscal Titulable, deberá cumplir los siguientes requisitos: a) Ocupar el Bien Fiscal Titulable con anterioridad al primero (1) de diciembre de 2001; b) Bien Fiscal Titulable no se encuentre ubicado en zonas insalubres o de riesgo para la población o zonas de conservación o protección ambiental, y en general, que no hagan parte de las áreas relacionadas en los artículos 35 y 37 de la ley 388 de 1997, de conformidad con las disposiciones locales sobre la materia. </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Acto administrativo de cesión a título gratuito</w:t>
      </w:r>
      <w:r w:rsidRPr="005C2C77">
        <w:rPr>
          <w:rFonts w:ascii="Century Gothic" w:hAnsi="Century Gothic"/>
          <w:i/>
          <w:sz w:val="23"/>
          <w:szCs w:val="23"/>
          <w:lang w:val="es-ES"/>
        </w:rPr>
        <w:t xml:space="preserve">. </w:t>
      </w:r>
      <w:r w:rsidRPr="005C2C77">
        <w:rPr>
          <w:rFonts w:ascii="Century Gothic" w:hAnsi="Century Gothic"/>
          <w:sz w:val="23"/>
          <w:szCs w:val="23"/>
          <w:lang w:val="es-ES"/>
        </w:rPr>
        <w:t xml:space="preserve">Cumplido lo dispuesto en el artículo anterior, el acto administrativo que se expida por la Entidad Territorial, incluirá la información que de acuerdo con las normas vigentes se requiera para el registro de actos administrativos de transferencia y en especial la siguiente: a) consideraciones y fundamentos jurídicos de la transferencia del Bien Fiscal Titulable, b) nombre e identificación de los Ocupantes, c) dirección e identificación catastral del Bien Fiscal Titulable, d) Identificación jurídica del predio de mayor extensión del cual se va a segregar la nueva unidad registral o el número de matrícula individual si ya fue asignado, según sea el caso, e) descripción del área y los linderos del Bien Fiscal Titulable, mediante plano predial catastral. e) reconocimiento de la existencia de edificación o mejora mediante plano Magna Sirgas con medidas y linderos, certificado por profesional idóneo, f) La Entidad Territorial que transfiere y sus atribuciones normativas para la transferencia y desarrollo del proyecto de titulación, g) La procedencia de recursos y los tiempos para interponerlos. </w:t>
      </w:r>
    </w:p>
    <w:p w:rsidR="00916BBF" w:rsidRPr="005C2C77" w:rsidRDefault="00916BBF" w:rsidP="00916BBF">
      <w:pPr>
        <w:pStyle w:val="NormalWeb"/>
        <w:spacing w:before="0" w:beforeAutospacing="0" w:after="0" w:afterAutospacing="0"/>
        <w:ind w:left="1985" w:hanging="1985"/>
        <w:jc w:val="both"/>
        <w:rPr>
          <w:rFonts w:ascii="Century Gothic" w:hAnsi="Century Gothic"/>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t xml:space="preserve">Adicionalmente, se dejará expresa constancia en la parte resolutiva del acto administrativo de los aspectos jurídicos que a continuación se señalan: a) La obligación para el Ocupante de suscribir un acuerdo de pago en el momento de la notificación del acto administrativo, por el valor de la deuda vigente por concepto de impuesto predial que corresponda a la edificación </w:t>
      </w:r>
      <w:r w:rsidRPr="005C2C77">
        <w:rPr>
          <w:rFonts w:ascii="Century Gothic" w:hAnsi="Century Gothic"/>
          <w:sz w:val="23"/>
          <w:szCs w:val="23"/>
          <w:lang w:val="es-ES"/>
        </w:rPr>
        <w:lastRenderedPageBreak/>
        <w:t xml:space="preserve">o mejora reconocida. b) La obligación de restituir el Bien Fiscal </w:t>
      </w:r>
      <w:r w:rsidR="00F24B68" w:rsidRPr="005C2C77">
        <w:rPr>
          <w:rFonts w:ascii="Century Gothic" w:hAnsi="Century Gothic"/>
          <w:sz w:val="23"/>
          <w:szCs w:val="23"/>
          <w:lang w:val="es-ES"/>
        </w:rPr>
        <w:t>Titulable</w:t>
      </w:r>
      <w:r w:rsidRPr="005C2C77">
        <w:rPr>
          <w:rFonts w:ascii="Century Gothic" w:hAnsi="Century Gothic"/>
          <w:sz w:val="23"/>
          <w:szCs w:val="23"/>
          <w:lang w:val="es-ES"/>
        </w:rPr>
        <w:t xml:space="preserve"> cuando se establezca plenamente que hubo imprecisión o falsedad en los documentos o en la información suministrada por el peticionario, c) La Solicitud a la Oficina de Registro de Instrumentos Públicos respectiva, de la inscripción de la resolución en el folio de matrícula inmobiliaria ya asignado o la solicitud de inscripción en la matrícula a segregar del folio de mayor extensión, en el que se incluya en una sola matrícula inmobiliaria tanto el Bien Fiscal Titulado como la de la edificación o mejora reconocida. </w:t>
      </w:r>
    </w:p>
    <w:p w:rsidR="00916BBF" w:rsidRPr="005C2C77" w:rsidRDefault="00916BBF" w:rsidP="00916BBF">
      <w:pPr>
        <w:spacing w:after="0" w:line="240" w:lineRule="auto"/>
        <w:jc w:val="both"/>
        <w:rPr>
          <w:rFonts w:ascii="Century Gothic" w:hAnsi="Century Gothic" w:cs="Times New Roman"/>
          <w:noProof w:val="0"/>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Notificación del acto administrativo de cesión a título gratuito del Bien Fiscal Titulable</w:t>
      </w:r>
      <w:r w:rsidRPr="005C2C77">
        <w:rPr>
          <w:rFonts w:ascii="Century Gothic" w:hAnsi="Century Gothic"/>
          <w:i/>
          <w:sz w:val="23"/>
          <w:szCs w:val="23"/>
          <w:lang w:val="es-ES"/>
        </w:rPr>
        <w:t>.</w:t>
      </w:r>
      <w:r w:rsidRPr="005C2C77">
        <w:rPr>
          <w:rFonts w:ascii="Century Gothic" w:hAnsi="Century Gothic"/>
          <w:sz w:val="23"/>
          <w:szCs w:val="23"/>
          <w:lang w:val="es-ES"/>
        </w:rPr>
        <w:t xml:space="preserve"> Se procederá a notificar los actos administrativos de conformidad con lo establecido en el artículo 66 y subsiguientes del Código de Procedimiento Administrativo y de lo Contencioso Administrativo. </w:t>
      </w:r>
    </w:p>
    <w:p w:rsidR="00916BBF" w:rsidRPr="005C2C77" w:rsidRDefault="00916BBF" w:rsidP="00916BBF">
      <w:pPr>
        <w:pStyle w:val="NormalWeb"/>
        <w:spacing w:before="0" w:beforeAutospacing="0" w:after="0" w:afterAutospacing="0"/>
        <w:ind w:left="2552" w:hanging="2552"/>
        <w:jc w:val="both"/>
        <w:rPr>
          <w:rFonts w:ascii="Century Gothic" w:hAnsi="Century Gothic"/>
          <w:sz w:val="23"/>
          <w:szCs w:val="23"/>
          <w:lang w:val="es-ES"/>
        </w:rPr>
      </w:pPr>
      <w:r w:rsidRPr="005C2C77">
        <w:rPr>
          <w:rFonts w:ascii="Century Gothic" w:hAnsi="Century Gothic"/>
          <w:sz w:val="23"/>
          <w:szCs w:val="23"/>
          <w:lang w:val="es-ES"/>
        </w:rPr>
        <w:t xml:space="preserve"> </w:t>
      </w: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Registro del acto administrativo de cesión a título gratuito del Bien Fiscal Titulable</w:t>
      </w:r>
      <w:r w:rsidRPr="005C2C77">
        <w:rPr>
          <w:rFonts w:ascii="Century Gothic" w:hAnsi="Century Gothic"/>
          <w:i/>
          <w:sz w:val="23"/>
          <w:szCs w:val="23"/>
          <w:lang w:val="es-ES"/>
        </w:rPr>
        <w:t>.</w:t>
      </w:r>
      <w:r w:rsidRPr="005C2C77">
        <w:rPr>
          <w:rFonts w:ascii="Century Gothic" w:hAnsi="Century Gothic"/>
          <w:sz w:val="23"/>
          <w:szCs w:val="23"/>
          <w:lang w:val="es-ES"/>
        </w:rPr>
        <w:t xml:space="preserve"> Expedido el acto administrativo de cesión a título gratuito del Bien Fiscal Titulable se procederá al registro del mismo, una vez se encuentre debidamente ejecutoriado de conformidad con el artículo 89 del Código de Procedimiento Administrativo y de lo Contencioso Administrativo, en el folio de matrícula inmobiliaria correspondiente, el cual, una vez inscrito, será plena prueba de propiedad en favor del Ocupante beneficiario del programa de titulación. </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Terminación de la actuación administrativa</w:t>
      </w:r>
      <w:r w:rsidRPr="005C2C77">
        <w:rPr>
          <w:rFonts w:ascii="Century Gothic" w:hAnsi="Century Gothic"/>
          <w:sz w:val="23"/>
          <w:szCs w:val="23"/>
          <w:lang w:val="es-ES"/>
        </w:rPr>
        <w:t>.</w:t>
      </w:r>
      <w:r w:rsidRPr="005C2C77">
        <w:rPr>
          <w:rFonts w:ascii="Century Gothic" w:hAnsi="Century Gothic"/>
          <w:i/>
          <w:sz w:val="23"/>
          <w:szCs w:val="23"/>
          <w:lang w:val="es-ES"/>
        </w:rPr>
        <w:t xml:space="preserve"> </w:t>
      </w:r>
      <w:r w:rsidRPr="005C2C77">
        <w:rPr>
          <w:rFonts w:ascii="Century Gothic" w:hAnsi="Century Gothic"/>
          <w:sz w:val="23"/>
          <w:szCs w:val="23"/>
          <w:lang w:val="es-ES"/>
        </w:rPr>
        <w:t xml:space="preserve">En cualquier estado de la actuación en que la Entidad Territorial determine que el bien es de uso público, que es de propiedad particular o se encuentra ubicado en una zona insalubre o de riesgo, o las situaciones dispuestas en el artículo 35 de la Ley 388 de 1997, procederá a poner fin a la actuación por acto administrativo, que se notificará en la forma prevista en los artículos 66 y siguientes del Código de Procedimiento Administrativo y de lo Contencioso Administrativo. </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Venta de Bienes Fiscales Titulables</w:t>
      </w:r>
      <w:r w:rsidRPr="005C2C77">
        <w:rPr>
          <w:rFonts w:ascii="Century Gothic" w:hAnsi="Century Gothic"/>
          <w:sz w:val="23"/>
          <w:szCs w:val="23"/>
          <w:lang w:val="es-ES"/>
        </w:rPr>
        <w:t>.</w:t>
      </w:r>
      <w:r w:rsidRPr="005C2C77">
        <w:rPr>
          <w:rFonts w:ascii="Century Gothic" w:hAnsi="Century Gothic"/>
          <w:i/>
          <w:sz w:val="23"/>
          <w:szCs w:val="23"/>
          <w:lang w:val="es-ES"/>
        </w:rPr>
        <w:t xml:space="preserve"> </w:t>
      </w:r>
      <w:r w:rsidRPr="005C2C77">
        <w:rPr>
          <w:rFonts w:ascii="Century Gothic" w:hAnsi="Century Gothic"/>
          <w:sz w:val="23"/>
          <w:szCs w:val="23"/>
          <w:lang w:val="es-ES"/>
        </w:rPr>
        <w:t xml:space="preserve">La Entidad Territorial no podrá ceder a título gratuito Bienes Fiscales Titulables cuyas mejoras o construcciones tengan la calidad de bienes dedicados en su </w:t>
      </w:r>
      <w:r w:rsidRPr="005C2C77">
        <w:rPr>
          <w:rFonts w:ascii="Century Gothic" w:hAnsi="Century Gothic"/>
          <w:sz w:val="23"/>
          <w:szCs w:val="23"/>
          <w:lang w:val="es-ES"/>
        </w:rPr>
        <w:lastRenderedPageBreak/>
        <w:t>totalidad a cualquier clase de venta de bienes o servicios, o de prestación gratuita de cualquier clase de servicio, caso en el cual procederá solamente la venta del Bien Fiscal Titulable, para lo que la Entidad Territorial mediante acto administrativo establecerá el procedimiento para la venta correspondiente.</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Dinamización del Mercado Inmobiliario</w:t>
      </w:r>
      <w:r w:rsidRPr="005C2C77">
        <w:rPr>
          <w:rFonts w:ascii="Century Gothic" w:hAnsi="Century Gothic"/>
          <w:sz w:val="23"/>
          <w:szCs w:val="23"/>
          <w:lang w:val="es-ES"/>
        </w:rPr>
        <w:t>.</w:t>
      </w:r>
      <w:r w:rsidRPr="005C2C77">
        <w:rPr>
          <w:rFonts w:ascii="Century Gothic" w:hAnsi="Century Gothic"/>
          <w:i/>
          <w:sz w:val="23"/>
          <w:szCs w:val="23"/>
          <w:lang w:val="es-ES"/>
        </w:rPr>
        <w:t xml:space="preserve"> </w:t>
      </w:r>
      <w:r w:rsidRPr="005C2C77">
        <w:rPr>
          <w:rFonts w:ascii="Century Gothic" w:hAnsi="Century Gothic"/>
          <w:sz w:val="23"/>
          <w:szCs w:val="23"/>
          <w:lang w:val="es-ES"/>
        </w:rPr>
        <w:t xml:space="preserve">Los Ocupantes de Bienes Fiscales Titulados, en calidad de propietarios, podrán disponer de su derecho de propiedad sin ninguna clase de medida cautelar o restricción de carácter temporal o permanente. </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spacing w:before="0" w:beforeAutospacing="0" w:after="0" w:afterAutospacing="0"/>
        <w:ind w:left="1985"/>
        <w:jc w:val="both"/>
        <w:rPr>
          <w:rFonts w:ascii="Century Gothic" w:hAnsi="Century Gothic"/>
          <w:sz w:val="23"/>
          <w:szCs w:val="23"/>
          <w:lang w:val="es-ES"/>
        </w:rPr>
      </w:pPr>
      <w:r w:rsidRPr="005C2C77">
        <w:rPr>
          <w:rFonts w:ascii="Century Gothic" w:hAnsi="Century Gothic"/>
          <w:sz w:val="23"/>
          <w:szCs w:val="23"/>
          <w:lang w:val="es-ES"/>
        </w:rPr>
        <w:t xml:space="preserve">Parágrafo.- Para la dinamización del mercado inmobiliario mediante la enajenación de Bienes Fiscales Titulados mediante cesión a título gratuito, se establecerán las tarifas de notariado y registro que correspondan a la realidad económica de la población de esta clase de mercado inmobiliario lo que reglamentará el Ministerio de Justicia y del Derecho dentro de los tres (3) meses siguientes a la promulgación de esta ley.  </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Prrafodelista"/>
        <w:numPr>
          <w:ilvl w:val="0"/>
          <w:numId w:val="15"/>
        </w:numPr>
        <w:spacing w:after="0" w:line="240" w:lineRule="auto"/>
        <w:ind w:left="1985" w:hanging="1985"/>
        <w:jc w:val="both"/>
        <w:rPr>
          <w:rFonts w:ascii="Century Gothic" w:eastAsia="Times New Roman" w:hAnsi="Century Gothic" w:cs="Times New Roman"/>
          <w:sz w:val="23"/>
          <w:szCs w:val="23"/>
          <w:lang w:val="es-ES" w:eastAsia="es-CO"/>
        </w:rPr>
      </w:pPr>
      <w:r w:rsidRPr="005C2C77">
        <w:rPr>
          <w:rFonts w:ascii="Century Gothic" w:eastAsia="Times New Roman" w:hAnsi="Century Gothic" w:cs="Times New Roman"/>
          <w:b/>
          <w:sz w:val="23"/>
          <w:szCs w:val="23"/>
          <w:lang w:val="es-ES" w:eastAsia="es-CO"/>
        </w:rPr>
        <w:t>Cesión gratuita entre entidades públicas para programas de titulación</w:t>
      </w:r>
      <w:r w:rsidRPr="005C2C77">
        <w:rPr>
          <w:rFonts w:ascii="Century Gothic" w:eastAsia="Times New Roman" w:hAnsi="Century Gothic" w:cs="Times New Roman"/>
          <w:sz w:val="23"/>
          <w:szCs w:val="23"/>
          <w:lang w:val="es-ES" w:eastAsia="es-CO"/>
        </w:rPr>
        <w:t>.</w:t>
      </w:r>
      <w:r w:rsidRPr="005C2C77">
        <w:rPr>
          <w:rFonts w:ascii="Century Gothic" w:eastAsia="Times New Roman" w:hAnsi="Century Gothic" w:cs="Times New Roman"/>
          <w:i/>
          <w:sz w:val="23"/>
          <w:szCs w:val="23"/>
          <w:lang w:val="es-ES" w:eastAsia="es-CO"/>
        </w:rPr>
        <w:t xml:space="preserve"> </w:t>
      </w:r>
      <w:r w:rsidRPr="005C2C77">
        <w:rPr>
          <w:rFonts w:ascii="Century Gothic" w:eastAsia="Times New Roman" w:hAnsi="Century Gothic" w:cs="Times New Roman"/>
          <w:sz w:val="23"/>
          <w:szCs w:val="23"/>
          <w:lang w:val="es-ES" w:eastAsia="es-CO"/>
        </w:rPr>
        <w:t>Las entidades públicas del orden nacional y territorial de carácter no financiero que hagan parte de cualquiera de las Ramas del Poder Público, así como los órganos autónomos e independientes, podrán transferir a título gratuito a las Entidades Territoriales que desarrollan programas de cesión a título gratuito o enajenación de Bienes Fiscales Titulables, los bienes de su propiedad, o la porción de ellos que se requiera. Exceptúese del deber consagrado en el presente artículo a las sociedades de economía mixta y al Instituto Colombiano de Bienestar Familiar cuando se trate de los bienes que este reciba en virtud de los dispuesto en la Ley 7ª de 1979.</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Procedimiento para la transferencia</w:t>
      </w:r>
      <w:r w:rsidRPr="005C2C77">
        <w:rPr>
          <w:rFonts w:ascii="Century Gothic" w:hAnsi="Century Gothic"/>
          <w:sz w:val="23"/>
          <w:szCs w:val="23"/>
          <w:lang w:val="es-ES"/>
        </w:rPr>
        <w:t xml:space="preserve">. La transferencia de los Bienes Fiscales Titulables de que trata el artículo anterior, para el desarrollo de programas de titulación, se efectuará mediante resolución administrativa, inscrita en la Oficina de Registro de Instrumentos Públicos correspondiente, previo el cumplimiento del siguiente procedimiento por parte de la entidad interesada en adquirir el inmueble:  1. Identificar el bien inmueble por su descripción, cabida y linderos, identificación catastral de </w:t>
      </w:r>
      <w:r w:rsidRPr="005C2C77">
        <w:rPr>
          <w:rFonts w:ascii="Century Gothic" w:hAnsi="Century Gothic"/>
          <w:sz w:val="23"/>
          <w:szCs w:val="23"/>
          <w:lang w:val="es-ES"/>
        </w:rPr>
        <w:lastRenderedPageBreak/>
        <w:t xml:space="preserve">acuerdo con la incorporación adelantada por el Instituto Geográfico Agustín Codazzi o los Catastros Descentralizados de Cali, Bogotá, Medellín o Antioquia e identificación jurídica a través de un estudio de títulos, de los predios a transferir.  2. Presentar a la entidad propietaria, la propuesta que contenga el objeto y término del proyecto a desarrollar, así como su viabilidad técnica, jurídica y financiera y los recursos con que dispondrá la entidad tituladora para adelantar el programa. </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625"/>
        <w:jc w:val="both"/>
        <w:rPr>
          <w:rFonts w:ascii="Century Gothic" w:hAnsi="Century Gothic"/>
          <w:sz w:val="23"/>
          <w:szCs w:val="23"/>
          <w:lang w:val="es-ES"/>
        </w:rPr>
      </w:pPr>
      <w:r w:rsidRPr="005C2C77">
        <w:rPr>
          <w:rFonts w:ascii="Century Gothic" w:hAnsi="Century Gothic"/>
          <w:b/>
          <w:sz w:val="23"/>
          <w:szCs w:val="23"/>
          <w:lang w:val="es-ES"/>
        </w:rPr>
        <w:t>Condición resolutoria</w:t>
      </w:r>
      <w:r w:rsidRPr="005C2C77">
        <w:rPr>
          <w:rFonts w:ascii="Century Gothic" w:hAnsi="Century Gothic"/>
          <w:b/>
          <w:i/>
          <w:sz w:val="23"/>
          <w:szCs w:val="23"/>
          <w:lang w:val="es-ES"/>
        </w:rPr>
        <w:t>.</w:t>
      </w:r>
      <w:r w:rsidRPr="005C2C77">
        <w:rPr>
          <w:rFonts w:ascii="Century Gothic" w:hAnsi="Century Gothic"/>
          <w:sz w:val="23"/>
          <w:szCs w:val="23"/>
          <w:lang w:val="es-ES"/>
        </w:rPr>
        <w:t xml:space="preserve"> Las entidades públicas del orden nacional y territorial de carácter no financiero que hagan parte de cualquiera de las Ramas del Poder Público o los órganos autónomos e independientes, que adelanten transferencias a otras entidades en aplicación a lo dispuesto en el artículo 11 de la presente ley, constituirán en la resolución de transferencia, una condición resolutoria consistente en que la entidad receptora tendrá un tiempo no superior a un (1) año para iniciar el proyecto de titulación propuesto y en caso de no hacerlo dentro del plazo señalado, deberá restituir el predio a la entidad cedente, mediante acto administrativo motivado.</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Expropiación</w:t>
      </w:r>
      <w:r w:rsidRPr="005C2C77">
        <w:rPr>
          <w:rFonts w:ascii="Century Gothic" w:hAnsi="Century Gothic"/>
          <w:sz w:val="23"/>
          <w:szCs w:val="23"/>
          <w:lang w:val="es-ES"/>
        </w:rPr>
        <w:t>. El artículo 58 de la ley 388 de 1997 quedará así:</w:t>
      </w:r>
    </w:p>
    <w:p w:rsidR="00916BBF" w:rsidRPr="005C2C77" w:rsidRDefault="00916BBF" w:rsidP="00916BBF">
      <w:pPr>
        <w:pStyle w:val="Prrafodelista"/>
        <w:rPr>
          <w:rFonts w:ascii="Century Gothic" w:hAnsi="Century Gothic"/>
          <w:sz w:val="23"/>
          <w:szCs w:val="23"/>
          <w:lang w:val="es-ES"/>
        </w:rPr>
      </w:pPr>
    </w:p>
    <w:p w:rsidR="00916BBF" w:rsidRPr="005C2C77" w:rsidRDefault="00916BBF" w:rsidP="00916BBF">
      <w:pPr>
        <w:spacing w:after="0" w:line="240" w:lineRule="auto"/>
        <w:jc w:val="both"/>
        <w:rPr>
          <w:rFonts w:ascii="Century Gothic" w:eastAsia="Times New Roman" w:hAnsi="Century Gothic" w:cs="Times New Roman"/>
          <w:noProof w:val="0"/>
          <w:sz w:val="23"/>
          <w:szCs w:val="23"/>
          <w:lang w:val="es-ES" w:eastAsia="es-CO"/>
        </w:rPr>
      </w:pP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"Para efectos de decretar su expropiación y además de los motivos determinados en otras leyes vigentes se declara de utilidad pública o interés social la adquisición de inmuebles para destinarlos a los siguientes fines:</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a) Ejecución de proyectos de construcción de infraestructura social en los sectores de la salud, educación, recreación, centrales de abasto y seguridad ciudadana;</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b) Desarrollo de proyectos de vivienda de interés social, incluyendo los de legalización de títulos en urbanizaciones de hecho o ilegales diferentes a las contempladas en el artículo 53 de la Ley 9ª de 1989, la rehabilitación de inquilinatos y la reubicación de asentamientos humanos ubicados en sectores de alto riesgo;</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c) Legalización de predios de asentamientos ilegales con construcciones de vivienda, comercial o de servicios.</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lastRenderedPageBreak/>
        <w:t>d) Ejecución de programas y proyectos de renovación urbana y provisión de espacios públicos urbanos;</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e) Ejecución de proyectos de producción, ampliación, abastecimiento y distribución de servicios públicos domiciliarios;</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f) Ejecución de programas y proyectos de infraestructura vial y de sistemas de transporte masivo;</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g) Ejecución de proyectos de ornato, turismo y deportes;</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h) Funcionamiento de las sedes administrativas de las entidades públicas, con excepción de las empresas industriales y comerciales del Estado y las de las sociedades de economía mixta, siempre y cuando su localización y la consideración de utilidad pública estén claramente determinados en los planes de ordenamiento o en los instrumentos que los desarrollen;</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i) Preservación de los patrimonios culturales y naturales de interés nacional, regional y local, incluidos el paisajístico, ambiental, histórico y arquitectónico;</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j) Constitución de zonas de reserva para la expansión futura de las ciudades;</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k) Constitución de zonas de reserva para la protección del medio ambiente y los recursos hídricos;</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l) Ejecución de proyectos de urbanización y de construcción prioritarios en los términos previstos en los planes de ordenamiento, de acuerdo con lo dispuesto en la presente ley;</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m) Ejecución de proyectos de urbanización, redesarrollo y renovación urbana a través de la modalidad de unidades de actuación, mediante los instrumentos de reajuste de tierras, integración inmobiliaria, cooperación o los demás sistemas previstos en esta ley;</w:t>
      </w:r>
    </w:p>
    <w:p w:rsidR="00916BBF" w:rsidRPr="005C2C77" w:rsidRDefault="00916BBF" w:rsidP="00916BBF">
      <w:pPr>
        <w:spacing w:after="0" w:line="240" w:lineRule="auto"/>
        <w:ind w:left="1985"/>
        <w:jc w:val="both"/>
        <w:rPr>
          <w:rFonts w:ascii="Century Gothic" w:eastAsia="Times New Roman" w:hAnsi="Century Gothic" w:cs="Times New Roman"/>
          <w:noProof w:val="0"/>
          <w:sz w:val="23"/>
          <w:szCs w:val="23"/>
          <w:lang w:val="es-ES" w:eastAsia="es-CO"/>
        </w:rPr>
      </w:pPr>
      <w:r w:rsidRPr="005C2C77">
        <w:rPr>
          <w:rFonts w:ascii="Century Gothic" w:eastAsia="Times New Roman" w:hAnsi="Century Gothic" w:cs="Times New Roman"/>
          <w:noProof w:val="0"/>
          <w:sz w:val="23"/>
          <w:szCs w:val="23"/>
          <w:lang w:val="es-ES" w:eastAsia="es-CO"/>
        </w:rPr>
        <w:t>n) El traslado de poblaciones por riesgos físicos inminentes."</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Ministerio de Vivienda, Ciudad y Territorio</w:t>
      </w:r>
      <w:r w:rsidRPr="005C2C77">
        <w:rPr>
          <w:rFonts w:ascii="Century Gothic" w:hAnsi="Century Gothic"/>
          <w:sz w:val="23"/>
          <w:szCs w:val="23"/>
          <w:lang w:val="es-ES"/>
        </w:rPr>
        <w:t xml:space="preserve">. Será competencia del Ministerio de Vivienda, Ciudad y Territorio el desarrollo de los programas de Saneamiento Predial y Titulación de Bienes Fiscales Titulables de las Entidades Territoriales en Colombia, que deberá ejecutarse dentro de los cuatro (4) años siguientes a la promulgación de esta ley, y deberán establecerse metas anuales iguales por los años señalados para el desarrollo del programa. Teniendo en cuenta la magnitud del programa y su alcance, el Ministerio de Vivienda, Ciudad y Territorio cumplirá la función de verificación, auditoría, interventoría y apoyo con las entidades </w:t>
      </w:r>
      <w:r w:rsidRPr="005C2C77">
        <w:rPr>
          <w:rFonts w:ascii="Century Gothic" w:hAnsi="Century Gothic"/>
          <w:sz w:val="23"/>
          <w:szCs w:val="23"/>
          <w:lang w:val="es-ES"/>
        </w:rPr>
        <w:lastRenderedPageBreak/>
        <w:t>públicas correspondientes para el cumplimiento de las metas del programa que deberá ser ejecutado por entidades seleccionadas de conformidad con las normas sobre contratación estatal.</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Personas Jurídicas Particulares</w:t>
      </w:r>
      <w:r w:rsidRPr="005C2C77">
        <w:rPr>
          <w:rFonts w:ascii="Century Gothic" w:hAnsi="Century Gothic"/>
          <w:sz w:val="23"/>
          <w:szCs w:val="23"/>
          <w:lang w:val="es-ES"/>
        </w:rPr>
        <w:t>. Las personas jurídicas particulares podrán llevar a cabo programas de Saneamiento Predial y de titulación de Bienes Fiscales Titulables en municipios que consideren dentro de su radio de acción empresarial o responsabilidad social empresarial, para lo cual podrán contar con el apoyo del Ministerio de Vivienda, Ciudad y Territorio en los temas que requieran de información y productos, caso en el cual dichos programas se contarán dentro de las metas de Saneamiento Predial y titulación de Bienes Fiscales Titulables del Ministerio de Vivienda, Ciudad y Territorio. En cualquier caso, los recursos invertidos por las personas jurídicas en estos programas serán considerados como donaciones a la comunidad que tendrán los efectos fiscales que correspondan.</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r w:rsidRPr="005C2C77">
        <w:rPr>
          <w:rFonts w:ascii="Century Gothic" w:hAnsi="Century Gothic"/>
          <w:sz w:val="23"/>
          <w:szCs w:val="23"/>
          <w:lang w:val="es-ES"/>
        </w:rPr>
        <w:t xml:space="preserve"> </w:t>
      </w: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Recursos</w:t>
      </w:r>
      <w:r w:rsidRPr="005C2C77">
        <w:rPr>
          <w:rFonts w:ascii="Century Gothic" w:hAnsi="Century Gothic"/>
          <w:i/>
          <w:sz w:val="23"/>
          <w:szCs w:val="23"/>
          <w:lang w:val="es-ES"/>
        </w:rPr>
        <w:t xml:space="preserve">. </w:t>
      </w:r>
      <w:r w:rsidRPr="005C2C77">
        <w:rPr>
          <w:rFonts w:ascii="Century Gothic" w:hAnsi="Century Gothic"/>
          <w:sz w:val="23"/>
          <w:szCs w:val="23"/>
          <w:lang w:val="es-ES"/>
        </w:rPr>
        <w:t>El Ministerio de Vivienda, Ciudad y Territorio destinará los recursos necesarios para la ejecución del programa de Saneamiento Predial y Titulación de Bienes Fiscales Titulables.</w:t>
      </w:r>
    </w:p>
    <w:p w:rsidR="00916BBF" w:rsidRPr="005C2C77" w:rsidRDefault="00916BBF" w:rsidP="00916BBF">
      <w:pPr>
        <w:pStyle w:val="NormalWeb"/>
        <w:spacing w:before="0" w:beforeAutospacing="0" w:after="0" w:afterAutospacing="0"/>
        <w:jc w:val="both"/>
        <w:rPr>
          <w:rFonts w:ascii="Century Gothic" w:hAnsi="Century Gothic"/>
          <w:sz w:val="23"/>
          <w:szCs w:val="23"/>
          <w:lang w:val="es-ES"/>
        </w:rPr>
      </w:pPr>
    </w:p>
    <w:p w:rsidR="00916BBF" w:rsidRPr="005C2C77" w:rsidRDefault="00916BBF" w:rsidP="00916BBF">
      <w:pPr>
        <w:pStyle w:val="NormalWeb"/>
        <w:numPr>
          <w:ilvl w:val="0"/>
          <w:numId w:val="15"/>
        </w:numPr>
        <w:spacing w:before="0" w:beforeAutospacing="0" w:after="0" w:afterAutospacing="0"/>
        <w:ind w:left="1985" w:hanging="1985"/>
        <w:jc w:val="both"/>
        <w:rPr>
          <w:rFonts w:ascii="Century Gothic" w:hAnsi="Century Gothic"/>
          <w:sz w:val="23"/>
          <w:szCs w:val="23"/>
          <w:lang w:val="es-ES"/>
        </w:rPr>
      </w:pPr>
      <w:r w:rsidRPr="005C2C77">
        <w:rPr>
          <w:rFonts w:ascii="Century Gothic" w:hAnsi="Century Gothic"/>
          <w:b/>
          <w:sz w:val="23"/>
          <w:szCs w:val="23"/>
          <w:lang w:val="es-ES"/>
        </w:rPr>
        <w:t>Vigencia</w:t>
      </w:r>
      <w:r w:rsidRPr="005C2C77">
        <w:rPr>
          <w:rFonts w:ascii="Century Gothic" w:hAnsi="Century Gothic"/>
          <w:i/>
          <w:sz w:val="23"/>
          <w:szCs w:val="23"/>
          <w:lang w:val="es-ES"/>
        </w:rPr>
        <w:t>.</w:t>
      </w:r>
      <w:r w:rsidRPr="005C2C77">
        <w:rPr>
          <w:rFonts w:ascii="Century Gothic" w:hAnsi="Century Gothic"/>
          <w:sz w:val="23"/>
          <w:szCs w:val="23"/>
          <w:lang w:val="es-ES"/>
        </w:rPr>
        <w:t xml:space="preserve"> La presente ley rige a partir de su promulgación, deroga y modifica todas las disposiciones sobre las materias de que trata esta ley que le sean contrarias. </w:t>
      </w:r>
    </w:p>
    <w:p w:rsidR="00F31CDE" w:rsidRDefault="00F31CDE" w:rsidP="002B5A22">
      <w:pPr>
        <w:spacing w:after="0" w:line="240" w:lineRule="auto"/>
        <w:jc w:val="both"/>
        <w:rPr>
          <w:rFonts w:ascii="Century Gothic" w:hAnsi="Century Gothic" w:cs="Times New Roman"/>
          <w:noProof w:val="0"/>
          <w:lang w:val="es-ES" w:bidi="es-ES"/>
        </w:rPr>
      </w:pP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r>
        <w:rPr>
          <w:rFonts w:ascii="Century Gothic" w:eastAsia="Calibri" w:hAnsi="Century Gothic" w:cs="Times New Roman"/>
          <w:lang w:eastAsia="es-ES"/>
        </w:rPr>
        <w:t xml:space="preserve">Atentamente, </w:t>
      </w: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p>
    <w:p w:rsidR="005C2C77" w:rsidRDefault="005C2C77" w:rsidP="005C2C77">
      <w:pPr>
        <w:spacing w:after="0" w:line="240" w:lineRule="auto"/>
        <w:jc w:val="both"/>
        <w:rPr>
          <w:rFonts w:ascii="Century Gothic" w:eastAsia="Calibri" w:hAnsi="Century Gothic" w:cs="Times New Roman"/>
          <w:lang w:eastAsia="es-ES"/>
        </w:rPr>
      </w:pPr>
      <w:r>
        <w:rPr>
          <w:rFonts w:ascii="Century Gothic" w:eastAsia="Calibri" w:hAnsi="Century Gothic" w:cs="Times New Roman"/>
          <w:lang w:eastAsia="es-ES"/>
        </w:rPr>
        <w:t>___________________________</w:t>
      </w:r>
    </w:p>
    <w:p w:rsidR="005C2C77" w:rsidRDefault="005C2C77" w:rsidP="005C2C77">
      <w:pPr>
        <w:spacing w:after="0" w:line="240" w:lineRule="auto"/>
        <w:jc w:val="both"/>
        <w:rPr>
          <w:rFonts w:ascii="Century Gothic" w:eastAsia="Calibri" w:hAnsi="Century Gothic" w:cs="Times New Roman"/>
          <w:b/>
          <w:lang w:eastAsia="es-ES"/>
        </w:rPr>
      </w:pPr>
      <w:r w:rsidRPr="005C2C77">
        <w:rPr>
          <w:rFonts w:ascii="Century Gothic" w:eastAsia="Calibri" w:hAnsi="Century Gothic" w:cs="Times New Roman"/>
          <w:b/>
          <w:lang w:val="es-ES_tradnl" w:eastAsia="es-ES"/>
        </w:rPr>
        <w:t xml:space="preserve">H.S. LAURA FORTICH SANCHEZ                         </w:t>
      </w:r>
      <w:r>
        <w:rPr>
          <w:rFonts w:ascii="Century Gothic" w:eastAsia="Calibri" w:hAnsi="Century Gothic" w:cs="Times New Roman"/>
          <w:b/>
          <w:lang w:val="es-ES_tradnl" w:eastAsia="es-ES"/>
        </w:rPr>
        <w:t xml:space="preserve"> </w:t>
      </w:r>
      <w:r>
        <w:rPr>
          <w:rFonts w:ascii="Century Gothic" w:eastAsia="Calibri" w:hAnsi="Century Gothic" w:cs="Times New Roman"/>
          <w:b/>
          <w:lang w:eastAsia="es-ES"/>
        </w:rPr>
        <w:t xml:space="preserve"> </w:t>
      </w:r>
    </w:p>
    <w:p w:rsidR="005C2C77" w:rsidRPr="004857A8" w:rsidRDefault="005C2C77" w:rsidP="002B5A22">
      <w:pPr>
        <w:spacing w:after="0" w:line="240" w:lineRule="auto"/>
        <w:jc w:val="both"/>
        <w:rPr>
          <w:rFonts w:ascii="Century Gothic" w:hAnsi="Century Gothic" w:cs="Times New Roman"/>
          <w:noProof w:val="0"/>
          <w:lang w:val="es-ES" w:bidi="es-ES"/>
        </w:rPr>
      </w:pPr>
    </w:p>
    <w:sectPr w:rsidR="005C2C77" w:rsidRPr="004857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A0" w:rsidRDefault="00CF5DA0" w:rsidP="00F31CDE">
      <w:pPr>
        <w:spacing w:after="0" w:line="240" w:lineRule="auto"/>
      </w:pPr>
      <w:r>
        <w:separator/>
      </w:r>
    </w:p>
  </w:endnote>
  <w:endnote w:type="continuationSeparator" w:id="0">
    <w:p w:rsidR="00CF5DA0" w:rsidRDefault="00CF5DA0" w:rsidP="00F3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20055"/>
      <w:docPartObj>
        <w:docPartGallery w:val="Page Numbers (Bottom of Page)"/>
        <w:docPartUnique/>
      </w:docPartObj>
    </w:sdtPr>
    <w:sdtEndPr/>
    <w:sdtContent>
      <w:p w:rsidR="005953A0" w:rsidRDefault="005953A0">
        <w:pPr>
          <w:pStyle w:val="Piedepgina"/>
          <w:jc w:val="right"/>
        </w:pPr>
        <w:r>
          <w:fldChar w:fldCharType="begin"/>
        </w:r>
        <w:r>
          <w:instrText>PAGE   \* MERGEFORMAT</w:instrText>
        </w:r>
        <w:r>
          <w:fldChar w:fldCharType="separate"/>
        </w:r>
        <w:r w:rsidR="00115F1C" w:rsidRPr="00115F1C">
          <w:rPr>
            <w:lang w:val="es-ES"/>
          </w:rPr>
          <w:t>1</w:t>
        </w:r>
        <w:r>
          <w:fldChar w:fldCharType="end"/>
        </w:r>
      </w:p>
    </w:sdtContent>
  </w:sdt>
  <w:p w:rsidR="005953A0" w:rsidRPr="00F921E3" w:rsidRDefault="005953A0" w:rsidP="005953A0">
    <w:pPr>
      <w:jc w:val="center"/>
      <w:rPr>
        <w:rFonts w:ascii="Perpetua" w:eastAsia="Calibri" w:hAnsi="Perpetua" w:cs="Sakkal Majalla"/>
        <w:i/>
        <w:sz w:val="28"/>
      </w:rPr>
    </w:pPr>
    <w:r w:rsidRPr="00F921E3">
      <w:rPr>
        <w:rFonts w:ascii="Perpetua" w:eastAsia="Calibri" w:hAnsi="Perpetua" w:cs="Sakkal Majalla"/>
        <w:i/>
        <w:sz w:val="28"/>
      </w:rPr>
      <w:t>Carrera 7 No. 8 - 68 Of. 315 Edificio Nuevo del Congreso</w:t>
    </w:r>
  </w:p>
  <w:p w:rsidR="00F63607" w:rsidRPr="005953A0" w:rsidRDefault="005953A0" w:rsidP="005953A0">
    <w:pPr>
      <w:jc w:val="center"/>
      <w:rPr>
        <w:rFonts w:ascii="Perpetua" w:eastAsia="Calibri" w:hAnsi="Perpetua" w:cs="Sakkal Majalla"/>
        <w:i/>
        <w:sz w:val="28"/>
      </w:rPr>
    </w:pPr>
    <w:r w:rsidRPr="00F921E3">
      <w:rPr>
        <w:rFonts w:ascii="Perpetua" w:eastAsia="Calibri" w:hAnsi="Perpetua" w:cs="Sakkal Majalla"/>
        <w:i/>
        <w:sz w:val="28"/>
      </w:rPr>
      <w:t>Teléfono: 57 (1) 3823345 / 46 - laura.fortich@senado.gov.co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A0" w:rsidRDefault="00CF5DA0" w:rsidP="00F31CDE">
      <w:pPr>
        <w:spacing w:after="0" w:line="240" w:lineRule="auto"/>
      </w:pPr>
      <w:r>
        <w:separator/>
      </w:r>
    </w:p>
  </w:footnote>
  <w:footnote w:type="continuationSeparator" w:id="0">
    <w:p w:rsidR="00CF5DA0" w:rsidRDefault="00CF5DA0" w:rsidP="00F31CDE">
      <w:pPr>
        <w:spacing w:after="0" w:line="240" w:lineRule="auto"/>
      </w:pPr>
      <w:r>
        <w:continuationSeparator/>
      </w:r>
    </w:p>
  </w:footnote>
  <w:footnote w:id="1">
    <w:p w:rsidR="00D24CCB" w:rsidRDefault="00D24CCB">
      <w:pPr>
        <w:pStyle w:val="Textonotapie"/>
      </w:pPr>
      <w:r>
        <w:rPr>
          <w:rStyle w:val="Refdenotaalpie"/>
        </w:rPr>
        <w:footnoteRef/>
      </w:r>
      <w:r>
        <w:t xml:space="preserve"> </w:t>
      </w:r>
      <w:r w:rsidRPr="00D24CCB">
        <w:t>MINISTERIO D</w:t>
      </w:r>
      <w:r>
        <w:t>E VIVIENDA, CIUDAD Y TERRITORIO. Informe de R</w:t>
      </w:r>
      <w:r w:rsidRPr="00D24CCB">
        <w:t xml:space="preserve">endición de </w:t>
      </w:r>
      <w:r>
        <w:t>C</w:t>
      </w:r>
      <w:r w:rsidRPr="00D24CCB">
        <w:t>uentas</w:t>
      </w:r>
      <w:r>
        <w:t xml:space="preserve"> 2018. Bogotá: 2018. Recuperado de: </w:t>
      </w:r>
      <w:hyperlink r:id="rId1" w:history="1">
        <w:r w:rsidRPr="00185D56">
          <w:rPr>
            <w:rStyle w:val="Hipervnculo"/>
          </w:rPr>
          <w:t>http://www.minvivienda.gov.co/Documents/Sobre%20el%20Ministerio/Rendicion-cuentas/Informe%20Rendici%C3%B3n%20Cuentas%2012_2018.pdf</w:t>
        </w:r>
      </w:hyperlink>
      <w:r>
        <w:t xml:space="preserve">. </w:t>
      </w:r>
    </w:p>
  </w:footnote>
  <w:footnote w:id="2">
    <w:p w:rsidR="006967F3" w:rsidRDefault="006967F3">
      <w:pPr>
        <w:pStyle w:val="Textonotapie"/>
      </w:pPr>
      <w:r>
        <w:rPr>
          <w:rStyle w:val="Refdenotaalpie"/>
        </w:rPr>
        <w:footnoteRef/>
      </w:r>
      <w:r w:rsidR="005C2C77">
        <w:t xml:space="preserve"> Corte Constitucional.</w:t>
      </w:r>
      <w:r>
        <w:t xml:space="preserve"> Sentencia</w:t>
      </w:r>
      <w:r w:rsidR="005C2C77">
        <w:t xml:space="preserve"> C-</w:t>
      </w:r>
      <w:r>
        <w:t>133 de 2009</w:t>
      </w:r>
      <w:r w:rsidR="005C2C77">
        <w:t xml:space="preserve">. Recuperada de: </w:t>
      </w:r>
      <w:hyperlink r:id="rId2" w:history="1">
        <w:r w:rsidR="005C2C77" w:rsidRPr="00185D56">
          <w:rPr>
            <w:rStyle w:val="Hipervnculo"/>
          </w:rPr>
          <w:t>http://www.corteconstitucional.gov.co/RELATORIA/2009/C-133-09.htm</w:t>
        </w:r>
      </w:hyperlink>
      <w:r w:rsidR="005C2C77">
        <w:t xml:space="preserve">. </w:t>
      </w:r>
    </w:p>
  </w:footnote>
  <w:footnote w:id="3">
    <w:p w:rsidR="006967F3" w:rsidRDefault="006967F3">
      <w:pPr>
        <w:pStyle w:val="Textonotapie"/>
      </w:pPr>
      <w:r>
        <w:rPr>
          <w:rStyle w:val="Refdenotaalpie"/>
        </w:rPr>
        <w:footnoteRef/>
      </w:r>
      <w:r>
        <w:t xml:space="preserve"> </w:t>
      </w:r>
      <w:r w:rsidR="005C2C77">
        <w:t>Ibídem.</w:t>
      </w:r>
    </w:p>
  </w:footnote>
  <w:footnote w:id="4">
    <w:p w:rsidR="006967F3" w:rsidRPr="006967F3" w:rsidRDefault="006967F3">
      <w:pPr>
        <w:pStyle w:val="Textonotapie"/>
        <w:rPr>
          <w:lang w:val="en-US"/>
        </w:rPr>
      </w:pPr>
      <w:r>
        <w:rPr>
          <w:rStyle w:val="Refdenotaalpie"/>
        </w:rPr>
        <w:footnoteRef/>
      </w:r>
      <w:r>
        <w:t xml:space="preserve"> </w:t>
      </w:r>
      <w:r w:rsidR="00F77178">
        <w:rPr>
          <w:lang w:val="en-US"/>
        </w:rPr>
        <w:t>Ibidem</w:t>
      </w:r>
    </w:p>
  </w:footnote>
  <w:footnote w:id="5">
    <w:p w:rsidR="006967F3" w:rsidRPr="006967F3" w:rsidRDefault="006967F3">
      <w:pPr>
        <w:pStyle w:val="Textonotapie"/>
        <w:rPr>
          <w:lang w:val="en-US"/>
        </w:rPr>
      </w:pPr>
      <w:r>
        <w:rPr>
          <w:rStyle w:val="Refdenotaalpie"/>
        </w:rPr>
        <w:footnoteRef/>
      </w:r>
      <w:r>
        <w:t xml:space="preserve"> </w:t>
      </w:r>
      <w:r>
        <w:rPr>
          <w:lang w:val="en-US"/>
        </w:rPr>
        <w:t>Ibidem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A0" w:rsidRDefault="005953A0" w:rsidP="005953A0">
    <w:pPr>
      <w:tabs>
        <w:tab w:val="right" w:pos="8840"/>
      </w:tabs>
      <w:rPr>
        <w:rFonts w:ascii="Century Gothic" w:hAnsi="Century Gothic"/>
        <w:b/>
      </w:rPr>
    </w:pPr>
    <w:r>
      <w:rPr>
        <w:lang w:eastAsia="es-CO"/>
      </w:rPr>
      <mc:AlternateContent>
        <mc:Choice Requires="wps">
          <w:drawing>
            <wp:anchor distT="45720" distB="45720" distL="114300" distR="114300" simplePos="0" relativeHeight="251661312" behindDoc="0" locked="0" layoutInCell="1" allowOverlap="1" wp14:anchorId="433C285B" wp14:editId="75E51681">
              <wp:simplePos x="0" y="0"/>
              <wp:positionH relativeFrom="column">
                <wp:posOffset>3722370</wp:posOffset>
              </wp:positionH>
              <wp:positionV relativeFrom="paragraph">
                <wp:posOffset>32385</wp:posOffset>
              </wp:positionV>
              <wp:extent cx="1789430" cy="659130"/>
              <wp:effectExtent l="0" t="0" r="1270" b="762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3A0" w:rsidRPr="005953A0" w:rsidRDefault="005953A0" w:rsidP="005953A0">
                          <w:pPr>
                            <w:jc w:val="center"/>
                            <w:rPr>
                              <w:rFonts w:ascii="Monotype Corsiva" w:eastAsia="Calibri" w:hAnsi="Monotype Corsiva" w:cs="Sakkal Majalla"/>
                              <w:sz w:val="28"/>
                            </w:rPr>
                          </w:pPr>
                          <w:r w:rsidRPr="005953A0">
                            <w:rPr>
                              <w:rFonts w:ascii="Monotype Corsiva" w:eastAsia="Calibri" w:hAnsi="Monotype Corsiva" w:cs="Sakkal Majalla"/>
                              <w:sz w:val="28"/>
                            </w:rPr>
                            <w:t>Laura Fortich Sánchez</w:t>
                          </w:r>
                        </w:p>
                        <w:p w:rsidR="005953A0" w:rsidRPr="005953A0" w:rsidRDefault="005953A0" w:rsidP="005953A0">
                          <w:pPr>
                            <w:jc w:val="center"/>
                            <w:rPr>
                              <w:sz w:val="20"/>
                            </w:rPr>
                          </w:pPr>
                          <w:r w:rsidRPr="005953A0">
                            <w:rPr>
                              <w:rFonts w:ascii="Monotype Corsiva" w:eastAsia="Calibri" w:hAnsi="Monotype Corsiva" w:cs="Sakkal Majalla"/>
                              <w:sz w:val="24"/>
                            </w:rPr>
                            <w:t>H. Senadora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93.1pt;margin-top:2.55pt;width:140.9pt;height:5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" stroked="f">
              <v:textbox>
                <w:txbxContent>
                  <w:p w:rsidR="005953A0" w:rsidRPr="005953A0" w:rsidRDefault="005953A0" w:rsidP="005953A0">
                    <w:pPr>
                      <w:jc w:val="center"/>
                      <w:rPr>
                        <w:rFonts w:ascii="Monotype Corsiva" w:eastAsia="Calibri" w:hAnsi="Monotype Corsiva" w:cs="Sakkal Majalla"/>
                        <w:sz w:val="28"/>
                      </w:rPr>
                    </w:pPr>
                    <w:r w:rsidRPr="005953A0">
                      <w:rPr>
                        <w:rFonts w:ascii="Monotype Corsiva" w:eastAsia="Calibri" w:hAnsi="Monotype Corsiva" w:cs="Sakkal Majalla"/>
                        <w:sz w:val="28"/>
                      </w:rPr>
                      <w:t>Laura Fortich Sánchez</w:t>
                    </w:r>
                  </w:p>
                  <w:p w:rsidR="005953A0" w:rsidRPr="005953A0" w:rsidRDefault="005953A0" w:rsidP="005953A0">
                    <w:pPr>
                      <w:jc w:val="center"/>
                      <w:rPr>
                        <w:sz w:val="20"/>
                      </w:rPr>
                    </w:pPr>
                    <w:r w:rsidRPr="005953A0">
                      <w:rPr>
                        <w:rFonts w:ascii="Monotype Corsiva" w:eastAsia="Calibri" w:hAnsi="Monotype Corsiva" w:cs="Sakkal Majalla"/>
                        <w:sz w:val="24"/>
                      </w:rPr>
                      <w:t>H. Senadora</w:t>
                    </w:r>
                  </w:p>
                </w:txbxContent>
              </v:textbox>
              <w10:wrap type="square"/>
            </v:shape>
          </w:pict>
        </mc:Fallback>
      </mc:AlternateContent>
    </w:r>
    <w:r>
      <w:rPr>
        <w:rFonts w:ascii="Arial" w:hAnsi="Arial" w:cs="Arial"/>
        <w:color w:val="1A0DAB"/>
        <w:sz w:val="20"/>
        <w:szCs w:val="20"/>
        <w:bdr w:val="none" w:sz="0" w:space="0" w:color="auto" w:frame="1"/>
        <w:lang w:eastAsia="es-CO"/>
      </w:rPr>
      <w:drawing>
        <wp:inline distT="0" distB="0" distL="0" distR="0" wp14:anchorId="709D3ED5" wp14:editId="5B8067D7">
          <wp:extent cx="1662430" cy="627380"/>
          <wp:effectExtent l="0" t="0" r="0" b="1270"/>
          <wp:docPr id="2" name="Imagen 2" descr="Imagen relacionada">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2430" cy="627380"/>
                  </a:xfrm>
                  <a:prstGeom prst="rect">
                    <a:avLst/>
                  </a:prstGeom>
                  <a:noFill/>
                  <a:ln>
                    <a:noFill/>
                  </a:ln>
                </pic:spPr>
              </pic:pic>
            </a:graphicData>
          </a:graphic>
        </wp:inline>
      </w:drawing>
    </w:r>
    <w:r>
      <w:rPr>
        <w:rFonts w:ascii="Century Gothic" w:hAnsi="Century Gothic"/>
        <w:b/>
      </w:rPr>
      <w:t xml:space="preserve">        </w:t>
    </w:r>
    <w:r>
      <w:rPr>
        <w:rFonts w:ascii="Arial" w:hAnsi="Arial" w:cs="Arial"/>
        <w:color w:val="1A0DAB"/>
        <w:sz w:val="20"/>
        <w:szCs w:val="20"/>
        <w:bdr w:val="none" w:sz="0" w:space="0" w:color="auto" w:frame="1"/>
        <w:lang w:eastAsia="es-CO"/>
      </w:rPr>
      <w:drawing>
        <wp:inline distT="0" distB="0" distL="0" distR="0" wp14:anchorId="681C83B0" wp14:editId="28F4D5F3">
          <wp:extent cx="1518920" cy="627380"/>
          <wp:effectExtent l="0" t="0" r="5080" b="1270"/>
          <wp:docPr id="1" name="Imagen 1" descr="Logo-Liberal">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iber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920" cy="627380"/>
                  </a:xfrm>
                  <a:prstGeom prst="rect">
                    <a:avLst/>
                  </a:prstGeom>
                  <a:noFill/>
                  <a:ln>
                    <a:noFill/>
                  </a:ln>
                </pic:spPr>
              </pic:pic>
            </a:graphicData>
          </a:graphic>
        </wp:inline>
      </w:drawing>
    </w:r>
    <w:r>
      <w:rPr>
        <w:rFonts w:ascii="Century Gothic" w:hAnsi="Century Gothic"/>
        <w:b/>
      </w:rPr>
      <w:t xml:space="preserve">                        </w:t>
    </w:r>
    <w:r>
      <w:rPr>
        <w:rFonts w:ascii="Century Gothic" w:hAnsi="Century Gothic"/>
        <w:b/>
      </w:rPr>
      <w:tab/>
    </w:r>
  </w:p>
  <w:p w:rsidR="005953A0" w:rsidRPr="005953A0" w:rsidRDefault="005953A0" w:rsidP="005953A0">
    <w:pPr>
      <w:tabs>
        <w:tab w:val="right" w:pos="8840"/>
      </w:tabs>
      <w:rPr>
        <w:rFonts w:ascii="Century Gothic" w:hAnsi="Century Gothic"/>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D54"/>
    <w:multiLevelType w:val="hybridMultilevel"/>
    <w:tmpl w:val="9FFAA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3811B2"/>
    <w:multiLevelType w:val="hybridMultilevel"/>
    <w:tmpl w:val="3CF87FDE"/>
    <w:lvl w:ilvl="0" w:tplc="14C417AC">
      <w:start w:val="1"/>
      <w:numFmt w:val="ordinal"/>
      <w:lvlText w:val="Artí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8D511B"/>
    <w:multiLevelType w:val="hybridMultilevel"/>
    <w:tmpl w:val="6FB26814"/>
    <w:lvl w:ilvl="0" w:tplc="240A000F">
      <w:start w:val="1"/>
      <w:numFmt w:val="decimal"/>
      <w:lvlText w:val="%1."/>
      <w:lvlJc w:val="left"/>
      <w:pPr>
        <w:ind w:left="830" w:hanging="360"/>
      </w:pPr>
    </w:lvl>
    <w:lvl w:ilvl="1" w:tplc="240A0019" w:tentative="1">
      <w:start w:val="1"/>
      <w:numFmt w:val="lowerLetter"/>
      <w:lvlText w:val="%2."/>
      <w:lvlJc w:val="left"/>
      <w:pPr>
        <w:ind w:left="1550" w:hanging="360"/>
      </w:pPr>
    </w:lvl>
    <w:lvl w:ilvl="2" w:tplc="240A001B" w:tentative="1">
      <w:start w:val="1"/>
      <w:numFmt w:val="lowerRoman"/>
      <w:lvlText w:val="%3."/>
      <w:lvlJc w:val="right"/>
      <w:pPr>
        <w:ind w:left="2270" w:hanging="180"/>
      </w:pPr>
    </w:lvl>
    <w:lvl w:ilvl="3" w:tplc="240A000F" w:tentative="1">
      <w:start w:val="1"/>
      <w:numFmt w:val="decimal"/>
      <w:lvlText w:val="%4."/>
      <w:lvlJc w:val="left"/>
      <w:pPr>
        <w:ind w:left="2990" w:hanging="360"/>
      </w:pPr>
    </w:lvl>
    <w:lvl w:ilvl="4" w:tplc="240A0019" w:tentative="1">
      <w:start w:val="1"/>
      <w:numFmt w:val="lowerLetter"/>
      <w:lvlText w:val="%5."/>
      <w:lvlJc w:val="left"/>
      <w:pPr>
        <w:ind w:left="3710" w:hanging="360"/>
      </w:pPr>
    </w:lvl>
    <w:lvl w:ilvl="5" w:tplc="240A001B" w:tentative="1">
      <w:start w:val="1"/>
      <w:numFmt w:val="lowerRoman"/>
      <w:lvlText w:val="%6."/>
      <w:lvlJc w:val="right"/>
      <w:pPr>
        <w:ind w:left="4430" w:hanging="180"/>
      </w:pPr>
    </w:lvl>
    <w:lvl w:ilvl="6" w:tplc="240A000F" w:tentative="1">
      <w:start w:val="1"/>
      <w:numFmt w:val="decimal"/>
      <w:lvlText w:val="%7."/>
      <w:lvlJc w:val="left"/>
      <w:pPr>
        <w:ind w:left="5150" w:hanging="360"/>
      </w:pPr>
    </w:lvl>
    <w:lvl w:ilvl="7" w:tplc="240A0019" w:tentative="1">
      <w:start w:val="1"/>
      <w:numFmt w:val="lowerLetter"/>
      <w:lvlText w:val="%8."/>
      <w:lvlJc w:val="left"/>
      <w:pPr>
        <w:ind w:left="5870" w:hanging="360"/>
      </w:pPr>
    </w:lvl>
    <w:lvl w:ilvl="8" w:tplc="240A001B" w:tentative="1">
      <w:start w:val="1"/>
      <w:numFmt w:val="lowerRoman"/>
      <w:lvlText w:val="%9."/>
      <w:lvlJc w:val="right"/>
      <w:pPr>
        <w:ind w:left="6590" w:hanging="180"/>
      </w:pPr>
    </w:lvl>
  </w:abstractNum>
  <w:abstractNum w:abstractNumId="3">
    <w:nsid w:val="10577D7E"/>
    <w:multiLevelType w:val="hybridMultilevel"/>
    <w:tmpl w:val="551436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EB1AFE"/>
    <w:multiLevelType w:val="hybridMultilevel"/>
    <w:tmpl w:val="3FA647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9C073E4"/>
    <w:multiLevelType w:val="hybridMultilevel"/>
    <w:tmpl w:val="AFBC3A22"/>
    <w:lvl w:ilvl="0" w:tplc="C054D3C2">
      <w:start w:val="1"/>
      <w:numFmt w:val="decimal"/>
      <w:lvlText w:val="2.%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C054D3C2">
      <w:start w:val="1"/>
      <w:numFmt w:val="decimal"/>
      <w:lvlText w:val="2.%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281CBF"/>
    <w:multiLevelType w:val="hybridMultilevel"/>
    <w:tmpl w:val="E07470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145532B"/>
    <w:multiLevelType w:val="hybridMultilevel"/>
    <w:tmpl w:val="3DFE8202"/>
    <w:lvl w:ilvl="0" w:tplc="EF7CF4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8C87CD2"/>
    <w:multiLevelType w:val="hybridMultilevel"/>
    <w:tmpl w:val="BD5023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0A835EF"/>
    <w:multiLevelType w:val="hybridMultilevel"/>
    <w:tmpl w:val="28580D9C"/>
    <w:lvl w:ilvl="0" w:tplc="7C8A4E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36C4893"/>
    <w:multiLevelType w:val="hybridMultilevel"/>
    <w:tmpl w:val="89DEAE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57E45C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B158A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447033"/>
    <w:multiLevelType w:val="hybridMultilevel"/>
    <w:tmpl w:val="396C6C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A74192C"/>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C8163C"/>
    <w:multiLevelType w:val="hybridMultilevel"/>
    <w:tmpl w:val="28022C66"/>
    <w:lvl w:ilvl="0" w:tplc="14C417AC">
      <w:start w:val="1"/>
      <w:numFmt w:val="ordinal"/>
      <w:lvlText w:val="Artí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E061210"/>
    <w:multiLevelType w:val="hybridMultilevel"/>
    <w:tmpl w:val="403492D4"/>
    <w:lvl w:ilvl="0" w:tplc="2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7EA76FC"/>
    <w:multiLevelType w:val="multilevel"/>
    <w:tmpl w:val="704CAEF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59B4450"/>
    <w:multiLevelType w:val="hybridMultilevel"/>
    <w:tmpl w:val="0DB890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AEB079C"/>
    <w:multiLevelType w:val="hybridMultilevel"/>
    <w:tmpl w:val="E01E9634"/>
    <w:lvl w:ilvl="0" w:tplc="EF7CF4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4E41741"/>
    <w:multiLevelType w:val="hybridMultilevel"/>
    <w:tmpl w:val="A3EE7E3A"/>
    <w:lvl w:ilvl="0" w:tplc="14C417AC">
      <w:start w:val="1"/>
      <w:numFmt w:val="ordinal"/>
      <w:lvlText w:val="Artí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94D4150"/>
    <w:multiLevelType w:val="hybridMultilevel"/>
    <w:tmpl w:val="D0B8B892"/>
    <w:lvl w:ilvl="0" w:tplc="21C83F7A">
      <w:start w:val="1"/>
      <w:numFmt w:val="ordinal"/>
      <w:lvlText w:val="ARTÍCULO %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A4E6744"/>
    <w:multiLevelType w:val="multilevel"/>
    <w:tmpl w:val="5C4AE15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0"/>
  </w:num>
  <w:num w:numId="2">
    <w:abstractNumId w:val="17"/>
  </w:num>
  <w:num w:numId="3">
    <w:abstractNumId w:val="13"/>
  </w:num>
  <w:num w:numId="4">
    <w:abstractNumId w:val="12"/>
  </w:num>
  <w:num w:numId="5">
    <w:abstractNumId w:val="11"/>
  </w:num>
  <w:num w:numId="6">
    <w:abstractNumId w:val="8"/>
  </w:num>
  <w:num w:numId="7">
    <w:abstractNumId w:val="4"/>
  </w:num>
  <w:num w:numId="8">
    <w:abstractNumId w:val="6"/>
  </w:num>
  <w:num w:numId="9">
    <w:abstractNumId w:val="21"/>
  </w:num>
  <w:num w:numId="10">
    <w:abstractNumId w:val="22"/>
  </w:num>
  <w:num w:numId="11">
    <w:abstractNumId w:val="2"/>
  </w:num>
  <w:num w:numId="12">
    <w:abstractNumId w:val="14"/>
  </w:num>
  <w:num w:numId="13">
    <w:abstractNumId w:val="18"/>
  </w:num>
  <w:num w:numId="14">
    <w:abstractNumId w:val="3"/>
  </w:num>
  <w:num w:numId="15">
    <w:abstractNumId w:val="15"/>
  </w:num>
  <w:num w:numId="16">
    <w:abstractNumId w:val="5"/>
  </w:num>
  <w:num w:numId="17">
    <w:abstractNumId w:val="1"/>
  </w:num>
  <w:num w:numId="18">
    <w:abstractNumId w:val="20"/>
  </w:num>
  <w:num w:numId="19">
    <w:abstractNumId w:val="19"/>
  </w:num>
  <w:num w:numId="20">
    <w:abstractNumId w:val="7"/>
  </w:num>
  <w:num w:numId="21">
    <w:abstractNumId w:val="9"/>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69"/>
    <w:rsid w:val="00000AF6"/>
    <w:rsid w:val="00004ED7"/>
    <w:rsid w:val="0002283A"/>
    <w:rsid w:val="00023F0B"/>
    <w:rsid w:val="00024C40"/>
    <w:rsid w:val="00061D5F"/>
    <w:rsid w:val="0006389D"/>
    <w:rsid w:val="00066262"/>
    <w:rsid w:val="000735A5"/>
    <w:rsid w:val="0007462D"/>
    <w:rsid w:val="00076FBA"/>
    <w:rsid w:val="0008633E"/>
    <w:rsid w:val="000A5E5B"/>
    <w:rsid w:val="000A6D7D"/>
    <w:rsid w:val="000C1609"/>
    <w:rsid w:val="000C21B1"/>
    <w:rsid w:val="000C5622"/>
    <w:rsid w:val="000C733D"/>
    <w:rsid w:val="000D532B"/>
    <w:rsid w:val="000D6BEF"/>
    <w:rsid w:val="000D75D0"/>
    <w:rsid w:val="000E05D3"/>
    <w:rsid w:val="000E2234"/>
    <w:rsid w:val="00103C15"/>
    <w:rsid w:val="00113A1D"/>
    <w:rsid w:val="00115F1C"/>
    <w:rsid w:val="00124D90"/>
    <w:rsid w:val="0013300B"/>
    <w:rsid w:val="00143001"/>
    <w:rsid w:val="00151277"/>
    <w:rsid w:val="00156A1C"/>
    <w:rsid w:val="001648E3"/>
    <w:rsid w:val="00172804"/>
    <w:rsid w:val="00183588"/>
    <w:rsid w:val="001853F0"/>
    <w:rsid w:val="00187E6E"/>
    <w:rsid w:val="00191A93"/>
    <w:rsid w:val="001A184A"/>
    <w:rsid w:val="001B4726"/>
    <w:rsid w:val="001B7B4C"/>
    <w:rsid w:val="001C2A13"/>
    <w:rsid w:val="001C4E35"/>
    <w:rsid w:val="001F512D"/>
    <w:rsid w:val="001F53A2"/>
    <w:rsid w:val="00202150"/>
    <w:rsid w:val="0021328C"/>
    <w:rsid w:val="00213C91"/>
    <w:rsid w:val="00215281"/>
    <w:rsid w:val="0022362B"/>
    <w:rsid w:val="002745BE"/>
    <w:rsid w:val="002823F6"/>
    <w:rsid w:val="0028556E"/>
    <w:rsid w:val="002951B5"/>
    <w:rsid w:val="002A1D69"/>
    <w:rsid w:val="002A2DF3"/>
    <w:rsid w:val="002B5A22"/>
    <w:rsid w:val="002B5CC5"/>
    <w:rsid w:val="002C6C92"/>
    <w:rsid w:val="002D7DA8"/>
    <w:rsid w:val="002E0261"/>
    <w:rsid w:val="002E0575"/>
    <w:rsid w:val="002E3849"/>
    <w:rsid w:val="002F00D9"/>
    <w:rsid w:val="002F5CE5"/>
    <w:rsid w:val="003104A1"/>
    <w:rsid w:val="003438E7"/>
    <w:rsid w:val="00346D5D"/>
    <w:rsid w:val="003653F3"/>
    <w:rsid w:val="00367539"/>
    <w:rsid w:val="003719AF"/>
    <w:rsid w:val="003766B1"/>
    <w:rsid w:val="003856B0"/>
    <w:rsid w:val="0038627B"/>
    <w:rsid w:val="00394A80"/>
    <w:rsid w:val="003A3ACB"/>
    <w:rsid w:val="003A6AA7"/>
    <w:rsid w:val="003B38E8"/>
    <w:rsid w:val="003C7016"/>
    <w:rsid w:val="003D18A3"/>
    <w:rsid w:val="003E1B2E"/>
    <w:rsid w:val="003F18D2"/>
    <w:rsid w:val="003F2B71"/>
    <w:rsid w:val="00410CC1"/>
    <w:rsid w:val="0041139A"/>
    <w:rsid w:val="004148BB"/>
    <w:rsid w:val="00415A2D"/>
    <w:rsid w:val="004205A9"/>
    <w:rsid w:val="00443DD8"/>
    <w:rsid w:val="004530C5"/>
    <w:rsid w:val="00457193"/>
    <w:rsid w:val="00460D6C"/>
    <w:rsid w:val="00463CEC"/>
    <w:rsid w:val="0046404F"/>
    <w:rsid w:val="00471A42"/>
    <w:rsid w:val="00485678"/>
    <w:rsid w:val="004857A8"/>
    <w:rsid w:val="004B5203"/>
    <w:rsid w:val="004D3ABD"/>
    <w:rsid w:val="004E1E66"/>
    <w:rsid w:val="004E6F9C"/>
    <w:rsid w:val="0050579D"/>
    <w:rsid w:val="00524672"/>
    <w:rsid w:val="00533549"/>
    <w:rsid w:val="00535435"/>
    <w:rsid w:val="0054291B"/>
    <w:rsid w:val="00563229"/>
    <w:rsid w:val="0057089C"/>
    <w:rsid w:val="00587603"/>
    <w:rsid w:val="005904CA"/>
    <w:rsid w:val="00592282"/>
    <w:rsid w:val="005953A0"/>
    <w:rsid w:val="005A27EF"/>
    <w:rsid w:val="005C2C77"/>
    <w:rsid w:val="005D06D4"/>
    <w:rsid w:val="005D6AA3"/>
    <w:rsid w:val="005E5E6D"/>
    <w:rsid w:val="00600655"/>
    <w:rsid w:val="00604684"/>
    <w:rsid w:val="006103ED"/>
    <w:rsid w:val="00634DA5"/>
    <w:rsid w:val="00646DAB"/>
    <w:rsid w:val="00646E76"/>
    <w:rsid w:val="00652C58"/>
    <w:rsid w:val="00660211"/>
    <w:rsid w:val="00680459"/>
    <w:rsid w:val="006825B8"/>
    <w:rsid w:val="00684F0F"/>
    <w:rsid w:val="00685EF1"/>
    <w:rsid w:val="0069111A"/>
    <w:rsid w:val="00691606"/>
    <w:rsid w:val="006931C9"/>
    <w:rsid w:val="006967F3"/>
    <w:rsid w:val="006A6EDB"/>
    <w:rsid w:val="006D0703"/>
    <w:rsid w:val="006E0733"/>
    <w:rsid w:val="006F768F"/>
    <w:rsid w:val="006F7ACF"/>
    <w:rsid w:val="00703AB5"/>
    <w:rsid w:val="00711483"/>
    <w:rsid w:val="00711954"/>
    <w:rsid w:val="00720929"/>
    <w:rsid w:val="00737465"/>
    <w:rsid w:val="00772996"/>
    <w:rsid w:val="0077658F"/>
    <w:rsid w:val="007956EB"/>
    <w:rsid w:val="007A6BFD"/>
    <w:rsid w:val="007B4483"/>
    <w:rsid w:val="007C2DA9"/>
    <w:rsid w:val="007E44E0"/>
    <w:rsid w:val="00804C32"/>
    <w:rsid w:val="008150D3"/>
    <w:rsid w:val="00815755"/>
    <w:rsid w:val="0083423B"/>
    <w:rsid w:val="00850F59"/>
    <w:rsid w:val="00861FE2"/>
    <w:rsid w:val="008A05EA"/>
    <w:rsid w:val="008B1CA3"/>
    <w:rsid w:val="008B5926"/>
    <w:rsid w:val="008C14B9"/>
    <w:rsid w:val="008F06E8"/>
    <w:rsid w:val="008F09B5"/>
    <w:rsid w:val="008F69EA"/>
    <w:rsid w:val="00903008"/>
    <w:rsid w:val="0090419F"/>
    <w:rsid w:val="0091142F"/>
    <w:rsid w:val="00916BBF"/>
    <w:rsid w:val="0096173D"/>
    <w:rsid w:val="00984CD9"/>
    <w:rsid w:val="0098622C"/>
    <w:rsid w:val="009A0D74"/>
    <w:rsid w:val="009A5182"/>
    <w:rsid w:val="009B1CE6"/>
    <w:rsid w:val="009C3A7F"/>
    <w:rsid w:val="009D6257"/>
    <w:rsid w:val="009F1199"/>
    <w:rsid w:val="00A425FC"/>
    <w:rsid w:val="00A5266B"/>
    <w:rsid w:val="00A52E1F"/>
    <w:rsid w:val="00A5335D"/>
    <w:rsid w:val="00A85349"/>
    <w:rsid w:val="00A9062E"/>
    <w:rsid w:val="00AA06B7"/>
    <w:rsid w:val="00AA3F99"/>
    <w:rsid w:val="00AC7BA1"/>
    <w:rsid w:val="00AD229B"/>
    <w:rsid w:val="00AE5BB2"/>
    <w:rsid w:val="00AF7F35"/>
    <w:rsid w:val="00B03A42"/>
    <w:rsid w:val="00B1144F"/>
    <w:rsid w:val="00B2249B"/>
    <w:rsid w:val="00B235B1"/>
    <w:rsid w:val="00B2668A"/>
    <w:rsid w:val="00B42543"/>
    <w:rsid w:val="00B474E2"/>
    <w:rsid w:val="00B771A3"/>
    <w:rsid w:val="00B86700"/>
    <w:rsid w:val="00B900B6"/>
    <w:rsid w:val="00B9400C"/>
    <w:rsid w:val="00BA7B35"/>
    <w:rsid w:val="00BB143A"/>
    <w:rsid w:val="00BB238E"/>
    <w:rsid w:val="00BC2F9B"/>
    <w:rsid w:val="00BC446A"/>
    <w:rsid w:val="00BD1F03"/>
    <w:rsid w:val="00C0414D"/>
    <w:rsid w:val="00C12755"/>
    <w:rsid w:val="00C13A81"/>
    <w:rsid w:val="00C15E54"/>
    <w:rsid w:val="00C62F47"/>
    <w:rsid w:val="00C670E9"/>
    <w:rsid w:val="00C739F9"/>
    <w:rsid w:val="00CA3079"/>
    <w:rsid w:val="00CB1DE2"/>
    <w:rsid w:val="00CD0BCE"/>
    <w:rsid w:val="00CD1D5A"/>
    <w:rsid w:val="00CE0F0B"/>
    <w:rsid w:val="00CE2D41"/>
    <w:rsid w:val="00CF5DA0"/>
    <w:rsid w:val="00CF638B"/>
    <w:rsid w:val="00CF76BA"/>
    <w:rsid w:val="00D026BC"/>
    <w:rsid w:val="00D24CCB"/>
    <w:rsid w:val="00D50EC8"/>
    <w:rsid w:val="00D52DE2"/>
    <w:rsid w:val="00D6019C"/>
    <w:rsid w:val="00D6504F"/>
    <w:rsid w:val="00D77F38"/>
    <w:rsid w:val="00D80B47"/>
    <w:rsid w:val="00D80E37"/>
    <w:rsid w:val="00D819A4"/>
    <w:rsid w:val="00D87110"/>
    <w:rsid w:val="00DB4766"/>
    <w:rsid w:val="00DC2E86"/>
    <w:rsid w:val="00DC41E3"/>
    <w:rsid w:val="00DD10A4"/>
    <w:rsid w:val="00DD17D8"/>
    <w:rsid w:val="00DD3388"/>
    <w:rsid w:val="00E16079"/>
    <w:rsid w:val="00E2272D"/>
    <w:rsid w:val="00E33AE8"/>
    <w:rsid w:val="00E3480C"/>
    <w:rsid w:val="00E460BC"/>
    <w:rsid w:val="00E47340"/>
    <w:rsid w:val="00E4772B"/>
    <w:rsid w:val="00E57E85"/>
    <w:rsid w:val="00E63844"/>
    <w:rsid w:val="00E660FF"/>
    <w:rsid w:val="00EA1B5B"/>
    <w:rsid w:val="00EA50E8"/>
    <w:rsid w:val="00EB1868"/>
    <w:rsid w:val="00EB29B7"/>
    <w:rsid w:val="00EE4037"/>
    <w:rsid w:val="00EE50C8"/>
    <w:rsid w:val="00F024CB"/>
    <w:rsid w:val="00F2220A"/>
    <w:rsid w:val="00F24B68"/>
    <w:rsid w:val="00F30280"/>
    <w:rsid w:val="00F31CDE"/>
    <w:rsid w:val="00F36935"/>
    <w:rsid w:val="00F63607"/>
    <w:rsid w:val="00F67CF8"/>
    <w:rsid w:val="00F77178"/>
    <w:rsid w:val="00F902A4"/>
    <w:rsid w:val="00FB389C"/>
    <w:rsid w:val="00FC4885"/>
    <w:rsid w:val="00FD50BC"/>
    <w:rsid w:val="00FD7A63"/>
    <w:rsid w:val="00FE3DDC"/>
    <w:rsid w:val="00FF49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443DD8"/>
    <w:pPr>
      <w:keepNext/>
      <w:keepLines/>
      <w:numPr>
        <w:numId w:val="2"/>
      </w:numPr>
      <w:spacing w:before="240" w:after="0" w:line="240" w:lineRule="auto"/>
      <w:outlineLvl w:val="0"/>
    </w:pPr>
    <w:rPr>
      <w:rFonts w:ascii="Times New Roman" w:eastAsiaTheme="majorEastAsia" w:hAnsi="Times New Roman" w:cs="Times New Roman"/>
      <w:noProof w:val="0"/>
      <w:color w:val="000000" w:themeColor="text1"/>
      <w:sz w:val="24"/>
      <w:szCs w:val="24"/>
      <w:lang w:eastAsia="es-ES_tradnl"/>
    </w:rPr>
  </w:style>
  <w:style w:type="paragraph" w:styleId="Ttulo2">
    <w:name w:val="heading 2"/>
    <w:basedOn w:val="Normal"/>
    <w:next w:val="Normal"/>
    <w:link w:val="Ttulo2Car"/>
    <w:uiPriority w:val="9"/>
    <w:unhideWhenUsed/>
    <w:qFormat/>
    <w:rsid w:val="00443DD8"/>
    <w:pPr>
      <w:keepNext/>
      <w:keepLines/>
      <w:numPr>
        <w:ilvl w:val="1"/>
        <w:numId w:val="2"/>
      </w:numPr>
      <w:spacing w:before="40" w:after="0" w:line="240" w:lineRule="auto"/>
      <w:outlineLvl w:val="1"/>
    </w:pPr>
    <w:rPr>
      <w:rFonts w:ascii="Times New Roman" w:eastAsiaTheme="majorEastAsia" w:hAnsi="Times New Roman" w:cs="Times New Roman"/>
      <w:noProof w:val="0"/>
      <w:color w:val="000000" w:themeColor="text1"/>
      <w:sz w:val="24"/>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1D69"/>
    <w:pPr>
      <w:spacing w:before="100" w:beforeAutospacing="1" w:after="100" w:afterAutospacing="1" w:line="240" w:lineRule="auto"/>
    </w:pPr>
    <w:rPr>
      <w:rFonts w:ascii="Times New Roman" w:eastAsia="Times New Roman" w:hAnsi="Times New Roman" w:cs="Times New Roman"/>
      <w:noProof w:val="0"/>
      <w:sz w:val="24"/>
      <w:szCs w:val="24"/>
      <w:lang w:eastAsia="es-CO"/>
    </w:rPr>
  </w:style>
  <w:style w:type="character" w:styleId="Hipervnculo">
    <w:name w:val="Hyperlink"/>
    <w:basedOn w:val="Fuentedeprrafopredeter"/>
    <w:uiPriority w:val="99"/>
    <w:unhideWhenUsed/>
    <w:rsid w:val="002A1D69"/>
    <w:rPr>
      <w:color w:val="0000FF"/>
      <w:u w:val="single"/>
    </w:rPr>
  </w:style>
  <w:style w:type="character" w:customStyle="1" w:styleId="baj">
    <w:name w:val="b_aj"/>
    <w:basedOn w:val="Fuentedeprrafopredeter"/>
    <w:rsid w:val="002A1D69"/>
  </w:style>
  <w:style w:type="paragraph" w:styleId="Prrafodelista">
    <w:name w:val="List Paragraph"/>
    <w:basedOn w:val="Normal"/>
    <w:uiPriority w:val="1"/>
    <w:qFormat/>
    <w:rsid w:val="00D50EC8"/>
    <w:pPr>
      <w:ind w:left="720"/>
      <w:contextualSpacing/>
    </w:pPr>
    <w:rPr>
      <w:noProof w:val="0"/>
    </w:rPr>
  </w:style>
  <w:style w:type="character" w:customStyle="1" w:styleId="Ttulo1Car">
    <w:name w:val="Título 1 Car"/>
    <w:basedOn w:val="Fuentedeprrafopredeter"/>
    <w:link w:val="Ttulo1"/>
    <w:uiPriority w:val="9"/>
    <w:rsid w:val="00443DD8"/>
    <w:rPr>
      <w:rFonts w:ascii="Times New Roman" w:eastAsiaTheme="majorEastAsia" w:hAnsi="Times New Roman" w:cs="Times New Roman"/>
      <w:color w:val="000000" w:themeColor="text1"/>
      <w:sz w:val="24"/>
      <w:szCs w:val="24"/>
      <w:lang w:eastAsia="es-ES_tradnl"/>
    </w:rPr>
  </w:style>
  <w:style w:type="character" w:customStyle="1" w:styleId="Ttulo2Car">
    <w:name w:val="Título 2 Car"/>
    <w:basedOn w:val="Fuentedeprrafopredeter"/>
    <w:link w:val="Ttulo2"/>
    <w:uiPriority w:val="9"/>
    <w:rsid w:val="00443DD8"/>
    <w:rPr>
      <w:rFonts w:ascii="Times New Roman" w:eastAsiaTheme="majorEastAsia" w:hAnsi="Times New Roman" w:cs="Times New Roman"/>
      <w:color w:val="000000" w:themeColor="text1"/>
      <w:sz w:val="24"/>
      <w:szCs w:val="26"/>
      <w:lang w:eastAsia="es-ES_tradnl"/>
    </w:rPr>
  </w:style>
  <w:style w:type="paragraph" w:styleId="Sinespaciado">
    <w:name w:val="No Spacing"/>
    <w:uiPriority w:val="1"/>
    <w:qFormat/>
    <w:rsid w:val="00443DD8"/>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F31CDE"/>
    <w:pPr>
      <w:spacing w:after="0" w:line="240" w:lineRule="auto"/>
    </w:pPr>
    <w:rPr>
      <w:rFonts w:ascii="Times New Roman" w:eastAsia="Times New Roman" w:hAnsi="Times New Roman" w:cs="Times New Roman"/>
      <w:noProof w:val="0"/>
      <w:sz w:val="20"/>
      <w:szCs w:val="20"/>
      <w:lang w:eastAsia="es-ES_tradnl"/>
    </w:rPr>
  </w:style>
  <w:style w:type="character" w:customStyle="1" w:styleId="TextonotapieCar">
    <w:name w:val="Texto nota pie Car"/>
    <w:basedOn w:val="Fuentedeprrafopredeter"/>
    <w:link w:val="Textonotapie"/>
    <w:uiPriority w:val="99"/>
    <w:semiHidden/>
    <w:rsid w:val="00F31CDE"/>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F31CDE"/>
    <w:rPr>
      <w:vertAlign w:val="superscript"/>
    </w:rPr>
  </w:style>
  <w:style w:type="table" w:styleId="Tablaconcuadrcula">
    <w:name w:val="Table Grid"/>
    <w:basedOn w:val="Tablanormal"/>
    <w:uiPriority w:val="39"/>
    <w:rsid w:val="00F31CDE"/>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31CDE"/>
  </w:style>
  <w:style w:type="paragraph" w:styleId="Encabezado">
    <w:name w:val="header"/>
    <w:basedOn w:val="Normal"/>
    <w:link w:val="EncabezadoCar"/>
    <w:unhideWhenUsed/>
    <w:rsid w:val="00F6360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63607"/>
    <w:rPr>
      <w:noProof/>
    </w:rPr>
  </w:style>
  <w:style w:type="paragraph" w:styleId="Piedepgina">
    <w:name w:val="footer"/>
    <w:basedOn w:val="Normal"/>
    <w:link w:val="PiedepginaCar"/>
    <w:uiPriority w:val="99"/>
    <w:unhideWhenUsed/>
    <w:rsid w:val="00F6360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63607"/>
    <w:rPr>
      <w:noProof/>
    </w:rPr>
  </w:style>
  <w:style w:type="paragraph" w:styleId="Textonotaalfinal">
    <w:name w:val="endnote text"/>
    <w:basedOn w:val="Normal"/>
    <w:link w:val="TextonotaalfinalCar"/>
    <w:uiPriority w:val="99"/>
    <w:semiHidden/>
    <w:unhideWhenUsed/>
    <w:rsid w:val="006967F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67F3"/>
    <w:rPr>
      <w:noProof/>
      <w:sz w:val="20"/>
      <w:szCs w:val="20"/>
    </w:rPr>
  </w:style>
  <w:style w:type="character" w:styleId="Refdenotaalfinal">
    <w:name w:val="endnote reference"/>
    <w:basedOn w:val="Fuentedeprrafopredeter"/>
    <w:uiPriority w:val="99"/>
    <w:semiHidden/>
    <w:unhideWhenUsed/>
    <w:rsid w:val="006967F3"/>
    <w:rPr>
      <w:vertAlign w:val="superscript"/>
    </w:rPr>
  </w:style>
  <w:style w:type="paragraph" w:styleId="Textodeglobo">
    <w:name w:val="Balloon Text"/>
    <w:basedOn w:val="Normal"/>
    <w:link w:val="TextodegloboCar"/>
    <w:uiPriority w:val="99"/>
    <w:semiHidden/>
    <w:unhideWhenUsed/>
    <w:rsid w:val="00720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929"/>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443DD8"/>
    <w:pPr>
      <w:keepNext/>
      <w:keepLines/>
      <w:numPr>
        <w:numId w:val="2"/>
      </w:numPr>
      <w:spacing w:before="240" w:after="0" w:line="240" w:lineRule="auto"/>
      <w:outlineLvl w:val="0"/>
    </w:pPr>
    <w:rPr>
      <w:rFonts w:ascii="Times New Roman" w:eastAsiaTheme="majorEastAsia" w:hAnsi="Times New Roman" w:cs="Times New Roman"/>
      <w:noProof w:val="0"/>
      <w:color w:val="000000" w:themeColor="text1"/>
      <w:sz w:val="24"/>
      <w:szCs w:val="24"/>
      <w:lang w:eastAsia="es-ES_tradnl"/>
    </w:rPr>
  </w:style>
  <w:style w:type="paragraph" w:styleId="Ttulo2">
    <w:name w:val="heading 2"/>
    <w:basedOn w:val="Normal"/>
    <w:next w:val="Normal"/>
    <w:link w:val="Ttulo2Car"/>
    <w:uiPriority w:val="9"/>
    <w:unhideWhenUsed/>
    <w:qFormat/>
    <w:rsid w:val="00443DD8"/>
    <w:pPr>
      <w:keepNext/>
      <w:keepLines/>
      <w:numPr>
        <w:ilvl w:val="1"/>
        <w:numId w:val="2"/>
      </w:numPr>
      <w:spacing w:before="40" w:after="0" w:line="240" w:lineRule="auto"/>
      <w:outlineLvl w:val="1"/>
    </w:pPr>
    <w:rPr>
      <w:rFonts w:ascii="Times New Roman" w:eastAsiaTheme="majorEastAsia" w:hAnsi="Times New Roman" w:cs="Times New Roman"/>
      <w:noProof w:val="0"/>
      <w:color w:val="000000" w:themeColor="text1"/>
      <w:sz w:val="24"/>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1D69"/>
    <w:pPr>
      <w:spacing w:before="100" w:beforeAutospacing="1" w:after="100" w:afterAutospacing="1" w:line="240" w:lineRule="auto"/>
    </w:pPr>
    <w:rPr>
      <w:rFonts w:ascii="Times New Roman" w:eastAsia="Times New Roman" w:hAnsi="Times New Roman" w:cs="Times New Roman"/>
      <w:noProof w:val="0"/>
      <w:sz w:val="24"/>
      <w:szCs w:val="24"/>
      <w:lang w:eastAsia="es-CO"/>
    </w:rPr>
  </w:style>
  <w:style w:type="character" w:styleId="Hipervnculo">
    <w:name w:val="Hyperlink"/>
    <w:basedOn w:val="Fuentedeprrafopredeter"/>
    <w:uiPriority w:val="99"/>
    <w:unhideWhenUsed/>
    <w:rsid w:val="002A1D69"/>
    <w:rPr>
      <w:color w:val="0000FF"/>
      <w:u w:val="single"/>
    </w:rPr>
  </w:style>
  <w:style w:type="character" w:customStyle="1" w:styleId="baj">
    <w:name w:val="b_aj"/>
    <w:basedOn w:val="Fuentedeprrafopredeter"/>
    <w:rsid w:val="002A1D69"/>
  </w:style>
  <w:style w:type="paragraph" w:styleId="Prrafodelista">
    <w:name w:val="List Paragraph"/>
    <w:basedOn w:val="Normal"/>
    <w:uiPriority w:val="1"/>
    <w:qFormat/>
    <w:rsid w:val="00D50EC8"/>
    <w:pPr>
      <w:ind w:left="720"/>
      <w:contextualSpacing/>
    </w:pPr>
    <w:rPr>
      <w:noProof w:val="0"/>
    </w:rPr>
  </w:style>
  <w:style w:type="character" w:customStyle="1" w:styleId="Ttulo1Car">
    <w:name w:val="Título 1 Car"/>
    <w:basedOn w:val="Fuentedeprrafopredeter"/>
    <w:link w:val="Ttulo1"/>
    <w:uiPriority w:val="9"/>
    <w:rsid w:val="00443DD8"/>
    <w:rPr>
      <w:rFonts w:ascii="Times New Roman" w:eastAsiaTheme="majorEastAsia" w:hAnsi="Times New Roman" w:cs="Times New Roman"/>
      <w:color w:val="000000" w:themeColor="text1"/>
      <w:sz w:val="24"/>
      <w:szCs w:val="24"/>
      <w:lang w:eastAsia="es-ES_tradnl"/>
    </w:rPr>
  </w:style>
  <w:style w:type="character" w:customStyle="1" w:styleId="Ttulo2Car">
    <w:name w:val="Título 2 Car"/>
    <w:basedOn w:val="Fuentedeprrafopredeter"/>
    <w:link w:val="Ttulo2"/>
    <w:uiPriority w:val="9"/>
    <w:rsid w:val="00443DD8"/>
    <w:rPr>
      <w:rFonts w:ascii="Times New Roman" w:eastAsiaTheme="majorEastAsia" w:hAnsi="Times New Roman" w:cs="Times New Roman"/>
      <w:color w:val="000000" w:themeColor="text1"/>
      <w:sz w:val="24"/>
      <w:szCs w:val="26"/>
      <w:lang w:eastAsia="es-ES_tradnl"/>
    </w:rPr>
  </w:style>
  <w:style w:type="paragraph" w:styleId="Sinespaciado">
    <w:name w:val="No Spacing"/>
    <w:uiPriority w:val="1"/>
    <w:qFormat/>
    <w:rsid w:val="00443DD8"/>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F31CDE"/>
    <w:pPr>
      <w:spacing w:after="0" w:line="240" w:lineRule="auto"/>
    </w:pPr>
    <w:rPr>
      <w:rFonts w:ascii="Times New Roman" w:eastAsia="Times New Roman" w:hAnsi="Times New Roman" w:cs="Times New Roman"/>
      <w:noProof w:val="0"/>
      <w:sz w:val="20"/>
      <w:szCs w:val="20"/>
      <w:lang w:eastAsia="es-ES_tradnl"/>
    </w:rPr>
  </w:style>
  <w:style w:type="character" w:customStyle="1" w:styleId="TextonotapieCar">
    <w:name w:val="Texto nota pie Car"/>
    <w:basedOn w:val="Fuentedeprrafopredeter"/>
    <w:link w:val="Textonotapie"/>
    <w:uiPriority w:val="99"/>
    <w:semiHidden/>
    <w:rsid w:val="00F31CDE"/>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F31CDE"/>
    <w:rPr>
      <w:vertAlign w:val="superscript"/>
    </w:rPr>
  </w:style>
  <w:style w:type="table" w:styleId="Tablaconcuadrcula">
    <w:name w:val="Table Grid"/>
    <w:basedOn w:val="Tablanormal"/>
    <w:uiPriority w:val="39"/>
    <w:rsid w:val="00F31CDE"/>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31CDE"/>
  </w:style>
  <w:style w:type="paragraph" w:styleId="Encabezado">
    <w:name w:val="header"/>
    <w:basedOn w:val="Normal"/>
    <w:link w:val="EncabezadoCar"/>
    <w:unhideWhenUsed/>
    <w:rsid w:val="00F6360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63607"/>
    <w:rPr>
      <w:noProof/>
    </w:rPr>
  </w:style>
  <w:style w:type="paragraph" w:styleId="Piedepgina">
    <w:name w:val="footer"/>
    <w:basedOn w:val="Normal"/>
    <w:link w:val="PiedepginaCar"/>
    <w:uiPriority w:val="99"/>
    <w:unhideWhenUsed/>
    <w:rsid w:val="00F6360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63607"/>
    <w:rPr>
      <w:noProof/>
    </w:rPr>
  </w:style>
  <w:style w:type="paragraph" w:styleId="Textonotaalfinal">
    <w:name w:val="endnote text"/>
    <w:basedOn w:val="Normal"/>
    <w:link w:val="TextonotaalfinalCar"/>
    <w:uiPriority w:val="99"/>
    <w:semiHidden/>
    <w:unhideWhenUsed/>
    <w:rsid w:val="006967F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67F3"/>
    <w:rPr>
      <w:noProof/>
      <w:sz w:val="20"/>
      <w:szCs w:val="20"/>
    </w:rPr>
  </w:style>
  <w:style w:type="character" w:styleId="Refdenotaalfinal">
    <w:name w:val="endnote reference"/>
    <w:basedOn w:val="Fuentedeprrafopredeter"/>
    <w:uiPriority w:val="99"/>
    <w:semiHidden/>
    <w:unhideWhenUsed/>
    <w:rsid w:val="006967F3"/>
    <w:rPr>
      <w:vertAlign w:val="superscript"/>
    </w:rPr>
  </w:style>
  <w:style w:type="paragraph" w:styleId="Textodeglobo">
    <w:name w:val="Balloon Text"/>
    <w:basedOn w:val="Normal"/>
    <w:link w:val="TextodegloboCar"/>
    <w:uiPriority w:val="99"/>
    <w:semiHidden/>
    <w:unhideWhenUsed/>
    <w:rsid w:val="00720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92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0399">
      <w:bodyDiv w:val="1"/>
      <w:marLeft w:val="0"/>
      <w:marRight w:val="0"/>
      <w:marTop w:val="0"/>
      <w:marBottom w:val="0"/>
      <w:divBdr>
        <w:top w:val="none" w:sz="0" w:space="0" w:color="auto"/>
        <w:left w:val="none" w:sz="0" w:space="0" w:color="auto"/>
        <w:bottom w:val="none" w:sz="0" w:space="0" w:color="auto"/>
        <w:right w:val="none" w:sz="0" w:space="0" w:color="auto"/>
      </w:divBdr>
    </w:div>
    <w:div w:id="600839966">
      <w:bodyDiv w:val="1"/>
      <w:marLeft w:val="0"/>
      <w:marRight w:val="0"/>
      <w:marTop w:val="0"/>
      <w:marBottom w:val="0"/>
      <w:divBdr>
        <w:top w:val="none" w:sz="0" w:space="0" w:color="auto"/>
        <w:left w:val="none" w:sz="0" w:space="0" w:color="auto"/>
        <w:bottom w:val="none" w:sz="0" w:space="0" w:color="auto"/>
        <w:right w:val="none" w:sz="0" w:space="0" w:color="auto"/>
      </w:divBdr>
    </w:div>
    <w:div w:id="606498330">
      <w:bodyDiv w:val="1"/>
      <w:marLeft w:val="0"/>
      <w:marRight w:val="0"/>
      <w:marTop w:val="0"/>
      <w:marBottom w:val="0"/>
      <w:divBdr>
        <w:top w:val="none" w:sz="0" w:space="0" w:color="auto"/>
        <w:left w:val="none" w:sz="0" w:space="0" w:color="auto"/>
        <w:bottom w:val="none" w:sz="0" w:space="0" w:color="auto"/>
        <w:right w:val="none" w:sz="0" w:space="0" w:color="auto"/>
      </w:divBdr>
    </w:div>
    <w:div w:id="999045308">
      <w:bodyDiv w:val="1"/>
      <w:marLeft w:val="0"/>
      <w:marRight w:val="0"/>
      <w:marTop w:val="0"/>
      <w:marBottom w:val="0"/>
      <w:divBdr>
        <w:top w:val="none" w:sz="0" w:space="0" w:color="auto"/>
        <w:left w:val="none" w:sz="0" w:space="0" w:color="auto"/>
        <w:bottom w:val="none" w:sz="0" w:space="0" w:color="auto"/>
        <w:right w:val="none" w:sz="0" w:space="0" w:color="auto"/>
      </w:divBdr>
    </w:div>
    <w:div w:id="1347168013">
      <w:bodyDiv w:val="1"/>
      <w:marLeft w:val="0"/>
      <w:marRight w:val="0"/>
      <w:marTop w:val="0"/>
      <w:marBottom w:val="0"/>
      <w:divBdr>
        <w:top w:val="none" w:sz="0" w:space="0" w:color="auto"/>
        <w:left w:val="none" w:sz="0" w:space="0" w:color="auto"/>
        <w:bottom w:val="none" w:sz="0" w:space="0" w:color="auto"/>
        <w:right w:val="none" w:sz="0" w:space="0" w:color="auto"/>
      </w:divBdr>
    </w:div>
    <w:div w:id="21170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rteconstitucional.gov.co/RELATORIA/2009/C-133-09.htm" TargetMode="External"/><Relationship Id="rId1" Type="http://schemas.openxmlformats.org/officeDocument/2006/relationships/hyperlink" Target="http://www.minvivienda.gov.co/Documents/Sobre%20el%20Ministerio/Rendicion-cuentas/Informe%20Rendici%C3%B3n%20Cuentas%2012_2018.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google.com.co/url?sa=i&amp;rct=j&amp;q=&amp;esrc=s&amp;source=images&amp;cd=&amp;cad=rja&amp;uact=8&amp;ved=2ahUKEwjO7ua5o6LcAhVnuVkKHTz9DRkQjRx6BAgBEAU&amp;url=http://umcentral.umanizales.edu.co/index.php/2018/06/05/senador-uribe-dice-que-el-centro-democratico-es-una-ilusion-para-la-democracia-colombiana/&amp;psig=AOvVaw0-FiGUJSWLjIUUQW2Fdt0o&amp;ust=1531784331263785" TargetMode="External"/><Relationship Id="rId2" Type="http://schemas.openxmlformats.org/officeDocument/2006/relationships/image" Target="media/image1.png"/><Relationship Id="rId1" Type="http://schemas.openxmlformats.org/officeDocument/2006/relationships/hyperlink" Target="https://www.google.com.co/url?sa=i&amp;rct=j&amp;q=&amp;esrc=s&amp;source=images&amp;cd=&amp;cad=rja&amp;uact=8&amp;ved=2ahUKEwil9O7do6LcAhWuzlkKHbzXDcMQjRx6BAgBEAU&amp;url=http://es.althistory.wikia.com/wiki/Archivo:Senadologo.png&amp;psig=AOvVaw3RR53QGBDBdKj0cxZj_rhI&amp;ust=1531784369641357"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DA87-4BF5-4E26-A84D-E1C707CA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5592</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silva</dc:creator>
  <cp:lastModifiedBy>Aniluz Torrenegra Mercado</cp:lastModifiedBy>
  <cp:revision>2</cp:revision>
  <cp:lastPrinted>2018-12-13T19:50:00Z</cp:lastPrinted>
  <dcterms:created xsi:type="dcterms:W3CDTF">2018-12-13T21:39:00Z</dcterms:created>
  <dcterms:modified xsi:type="dcterms:W3CDTF">2018-12-13T21:39:00Z</dcterms:modified>
</cp:coreProperties>
</file>