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93" w:rsidRPr="005A61A9" w:rsidRDefault="00873C93" w:rsidP="005A61A9">
      <w:pPr>
        <w:jc w:val="both"/>
        <w:rPr>
          <w:rFonts w:asciiTheme="majorHAnsi" w:hAnsiTheme="majorHAnsi" w:cstheme="majorHAnsi"/>
        </w:rPr>
      </w:pPr>
    </w:p>
    <w:p w:rsidR="005A61A9" w:rsidRDefault="009B7FDE" w:rsidP="009B7FDE">
      <w:pPr>
        <w:tabs>
          <w:tab w:val="left" w:pos="489"/>
        </w:tabs>
        <w:jc w:val="center"/>
        <w:rPr>
          <w:rFonts w:asciiTheme="majorHAnsi" w:hAnsiTheme="majorHAnsi" w:cstheme="majorHAnsi"/>
          <w:b/>
        </w:rPr>
      </w:pPr>
      <w:r>
        <w:rPr>
          <w:rFonts w:asciiTheme="majorHAnsi" w:hAnsiTheme="majorHAnsi" w:cstheme="majorHAnsi"/>
          <w:b/>
        </w:rPr>
        <w:t>Proyecto de ley_______2018</w:t>
      </w:r>
    </w:p>
    <w:p w:rsidR="009B7FDE" w:rsidRDefault="009B7FDE" w:rsidP="009B7FDE">
      <w:pPr>
        <w:tabs>
          <w:tab w:val="left" w:pos="489"/>
        </w:tabs>
        <w:jc w:val="center"/>
        <w:rPr>
          <w:rFonts w:asciiTheme="majorHAnsi" w:hAnsiTheme="majorHAnsi" w:cstheme="majorHAnsi"/>
          <w:b/>
        </w:rPr>
      </w:pPr>
    </w:p>
    <w:p w:rsidR="009B7FDE" w:rsidRDefault="009B7FDE" w:rsidP="009B7FDE">
      <w:pPr>
        <w:tabs>
          <w:tab w:val="left" w:pos="489"/>
        </w:tabs>
        <w:jc w:val="center"/>
        <w:rPr>
          <w:rFonts w:asciiTheme="majorHAnsi" w:hAnsiTheme="majorHAnsi" w:cstheme="majorHAnsi"/>
          <w:b/>
        </w:rPr>
      </w:pPr>
      <w:r>
        <w:rPr>
          <w:rFonts w:asciiTheme="majorHAnsi" w:hAnsiTheme="majorHAnsi" w:cstheme="majorHAnsi"/>
          <w:b/>
        </w:rPr>
        <w:t>“Por medio del cual se establece una regla fiscal para la financiación de la educación superior”</w:t>
      </w:r>
    </w:p>
    <w:p w:rsidR="009B7FDE" w:rsidRDefault="009B7FDE" w:rsidP="009B7FDE">
      <w:pPr>
        <w:tabs>
          <w:tab w:val="left" w:pos="489"/>
        </w:tabs>
        <w:jc w:val="center"/>
        <w:rPr>
          <w:rFonts w:asciiTheme="majorHAnsi" w:hAnsiTheme="majorHAnsi" w:cstheme="majorHAnsi"/>
          <w:b/>
        </w:rPr>
      </w:pPr>
    </w:p>
    <w:p w:rsidR="009B7FDE" w:rsidRDefault="009B7FDE" w:rsidP="009B7FDE">
      <w:pPr>
        <w:tabs>
          <w:tab w:val="left" w:pos="489"/>
        </w:tabs>
        <w:jc w:val="both"/>
        <w:rPr>
          <w:rFonts w:asciiTheme="majorHAnsi" w:hAnsiTheme="majorHAnsi" w:cstheme="majorHAnsi"/>
          <w:b/>
        </w:rPr>
      </w:pPr>
      <w:r>
        <w:rPr>
          <w:rFonts w:asciiTheme="majorHAnsi" w:hAnsiTheme="majorHAnsi" w:cstheme="majorHAnsi"/>
          <w:b/>
        </w:rPr>
        <w:t>Exposición de motivos</w:t>
      </w:r>
    </w:p>
    <w:p w:rsidR="009B7FDE" w:rsidRDefault="009B7FDE" w:rsidP="009B7FDE">
      <w:pPr>
        <w:tabs>
          <w:tab w:val="left" w:pos="489"/>
        </w:tabs>
        <w:jc w:val="both"/>
        <w:rPr>
          <w:rFonts w:asciiTheme="majorHAnsi" w:hAnsiTheme="majorHAnsi" w:cstheme="majorHAnsi"/>
          <w:b/>
        </w:rPr>
      </w:pPr>
    </w:p>
    <w:p w:rsidR="009B7FDE" w:rsidRDefault="009B7FDE" w:rsidP="009B7FDE">
      <w:pPr>
        <w:tabs>
          <w:tab w:val="left" w:pos="489"/>
        </w:tabs>
        <w:jc w:val="both"/>
        <w:rPr>
          <w:rFonts w:asciiTheme="majorHAnsi" w:hAnsiTheme="majorHAnsi" w:cstheme="majorHAnsi"/>
        </w:rPr>
      </w:pPr>
      <w:r>
        <w:rPr>
          <w:rFonts w:asciiTheme="majorHAnsi" w:hAnsiTheme="majorHAnsi" w:cstheme="majorHAnsi"/>
        </w:rPr>
        <w:t xml:space="preserve">El déficit de la educación superior se explica porque en términos reales los recursos para educación superior se han mantenido </w:t>
      </w:r>
      <w:r w:rsidR="00F41B05">
        <w:rPr>
          <w:rFonts w:asciiTheme="majorHAnsi" w:hAnsiTheme="majorHAnsi" w:cstheme="majorHAnsi"/>
        </w:rPr>
        <w:t>casi constantes</w:t>
      </w:r>
      <w:r>
        <w:rPr>
          <w:rFonts w:asciiTheme="majorHAnsi" w:hAnsiTheme="majorHAnsi" w:cstheme="majorHAnsi"/>
        </w:rPr>
        <w:t xml:space="preserve"> desde 1993. Ante la necesidad de garantizar un nuevo modelo de financiamiento se propone una regla fiscal que contenga los siguientes elementos</w:t>
      </w:r>
      <w:r w:rsidR="00F41B05">
        <w:rPr>
          <w:rFonts w:asciiTheme="majorHAnsi" w:hAnsiTheme="majorHAnsi" w:cstheme="majorHAnsi"/>
        </w:rPr>
        <w:t>:</w:t>
      </w:r>
      <w:r>
        <w:rPr>
          <w:rFonts w:asciiTheme="majorHAnsi" w:hAnsiTheme="majorHAnsi" w:cstheme="majorHAnsi"/>
        </w:rPr>
        <w:t xml:space="preserve"> </w:t>
      </w:r>
    </w:p>
    <w:p w:rsidR="009B7FDE" w:rsidRDefault="009B7FDE" w:rsidP="009B7FDE">
      <w:pPr>
        <w:tabs>
          <w:tab w:val="left" w:pos="489"/>
        </w:tabs>
        <w:jc w:val="both"/>
        <w:rPr>
          <w:rFonts w:asciiTheme="majorHAnsi" w:hAnsiTheme="majorHAnsi" w:cstheme="majorHAnsi"/>
        </w:rPr>
      </w:pPr>
    </w:p>
    <w:p w:rsidR="009B7FDE" w:rsidRDefault="009B7FDE" w:rsidP="009B7FDE">
      <w:pPr>
        <w:pStyle w:val="Prrafodelista"/>
        <w:numPr>
          <w:ilvl w:val="0"/>
          <w:numId w:val="3"/>
        </w:numPr>
        <w:tabs>
          <w:tab w:val="left" w:pos="489"/>
        </w:tabs>
        <w:jc w:val="both"/>
        <w:rPr>
          <w:rFonts w:asciiTheme="majorHAnsi" w:hAnsiTheme="majorHAnsi" w:cstheme="majorHAnsi"/>
        </w:rPr>
      </w:pPr>
      <w:r>
        <w:rPr>
          <w:rFonts w:asciiTheme="majorHAnsi" w:hAnsiTheme="majorHAnsi" w:cstheme="majorHAnsi"/>
        </w:rPr>
        <w:t>Crecimiento de la economía</w:t>
      </w:r>
    </w:p>
    <w:p w:rsidR="009B7FDE" w:rsidRDefault="009B7FDE" w:rsidP="009B7FDE">
      <w:pPr>
        <w:tabs>
          <w:tab w:val="left" w:pos="489"/>
        </w:tabs>
        <w:jc w:val="both"/>
        <w:rPr>
          <w:rFonts w:asciiTheme="majorHAnsi" w:hAnsiTheme="majorHAnsi" w:cstheme="majorHAnsi"/>
        </w:rPr>
      </w:pPr>
    </w:p>
    <w:p w:rsidR="009B7FDE" w:rsidRDefault="009B7FDE" w:rsidP="009B7FDE">
      <w:pPr>
        <w:tabs>
          <w:tab w:val="left" w:pos="489"/>
        </w:tabs>
        <w:jc w:val="both"/>
        <w:rPr>
          <w:rFonts w:asciiTheme="majorHAnsi" w:hAnsiTheme="majorHAnsi" w:cstheme="majorHAnsi"/>
        </w:rPr>
      </w:pPr>
      <w:r>
        <w:rPr>
          <w:rFonts w:asciiTheme="majorHAnsi" w:hAnsiTheme="majorHAnsi" w:cstheme="majorHAnsi"/>
        </w:rPr>
        <w:tab/>
        <w:t xml:space="preserve">Se debe tener en cuenta el ritmo de la economía dado que este determina, en parte, el recaudo tributario y por tanto el gasto público. </w:t>
      </w:r>
      <w:r w:rsidR="00FD553B">
        <w:rPr>
          <w:rFonts w:asciiTheme="majorHAnsi" w:hAnsiTheme="majorHAnsi" w:cstheme="majorHAnsi"/>
        </w:rPr>
        <w:t xml:space="preserve">En caso de que la economía decrezca, este valor se tomará como cero, evitando así un componente pro cíclico. </w:t>
      </w:r>
    </w:p>
    <w:p w:rsidR="009B7FDE" w:rsidRDefault="009B7FDE" w:rsidP="009B7FDE">
      <w:pPr>
        <w:tabs>
          <w:tab w:val="left" w:pos="489"/>
        </w:tabs>
        <w:jc w:val="both"/>
        <w:rPr>
          <w:rFonts w:asciiTheme="majorHAnsi" w:hAnsiTheme="majorHAnsi" w:cstheme="majorHAnsi"/>
        </w:rPr>
      </w:pPr>
    </w:p>
    <w:p w:rsidR="009B7FDE" w:rsidRDefault="009B7FDE" w:rsidP="009B7FDE">
      <w:pPr>
        <w:pStyle w:val="Prrafodelista"/>
        <w:numPr>
          <w:ilvl w:val="0"/>
          <w:numId w:val="3"/>
        </w:numPr>
        <w:tabs>
          <w:tab w:val="left" w:pos="489"/>
        </w:tabs>
        <w:jc w:val="both"/>
        <w:rPr>
          <w:rFonts w:asciiTheme="majorHAnsi" w:hAnsiTheme="majorHAnsi" w:cstheme="majorHAnsi"/>
        </w:rPr>
      </w:pPr>
      <w:r>
        <w:rPr>
          <w:rFonts w:asciiTheme="majorHAnsi" w:hAnsiTheme="majorHAnsi" w:cstheme="majorHAnsi"/>
        </w:rPr>
        <w:t>Brecha PIB</w:t>
      </w:r>
    </w:p>
    <w:p w:rsidR="009B7FDE" w:rsidRDefault="009B7FDE" w:rsidP="009B7FDE">
      <w:pPr>
        <w:tabs>
          <w:tab w:val="left" w:pos="489"/>
        </w:tabs>
        <w:jc w:val="both"/>
        <w:rPr>
          <w:rFonts w:asciiTheme="majorHAnsi" w:hAnsiTheme="majorHAnsi" w:cstheme="majorHAnsi"/>
        </w:rPr>
      </w:pPr>
    </w:p>
    <w:p w:rsidR="009B7FDE" w:rsidRDefault="009B7FDE" w:rsidP="009B7FDE">
      <w:pPr>
        <w:tabs>
          <w:tab w:val="left" w:pos="489"/>
        </w:tabs>
        <w:jc w:val="both"/>
        <w:rPr>
          <w:rFonts w:asciiTheme="majorHAnsi" w:hAnsiTheme="majorHAnsi" w:cstheme="majorHAnsi"/>
        </w:rPr>
      </w:pPr>
      <w:r>
        <w:rPr>
          <w:rFonts w:asciiTheme="majorHAnsi" w:hAnsiTheme="majorHAnsi" w:cstheme="majorHAnsi"/>
        </w:rPr>
        <w:tab/>
        <w:t xml:space="preserve">Para evitar un comportamiento pro cíclico </w:t>
      </w:r>
      <w:r w:rsidR="00347023">
        <w:rPr>
          <w:rFonts w:asciiTheme="majorHAnsi" w:hAnsiTheme="majorHAnsi" w:cstheme="majorHAnsi"/>
        </w:rPr>
        <w:t>del gasto público en educación superior</w:t>
      </w:r>
      <w:r w:rsidR="0083705B">
        <w:rPr>
          <w:rFonts w:asciiTheme="majorHAnsi" w:hAnsiTheme="majorHAnsi" w:cstheme="majorHAnsi"/>
        </w:rPr>
        <w:t xml:space="preserve">, </w:t>
      </w:r>
      <w:r w:rsidR="00347023">
        <w:rPr>
          <w:rFonts w:asciiTheme="majorHAnsi" w:hAnsiTheme="majorHAnsi" w:cstheme="majorHAnsi"/>
        </w:rPr>
        <w:t xml:space="preserve">un componente </w:t>
      </w:r>
      <w:r w:rsidR="0083705B">
        <w:rPr>
          <w:rFonts w:asciiTheme="majorHAnsi" w:hAnsiTheme="majorHAnsi" w:cstheme="majorHAnsi"/>
        </w:rPr>
        <w:t xml:space="preserve">fundamental </w:t>
      </w:r>
      <w:r w:rsidR="00347023">
        <w:rPr>
          <w:rFonts w:asciiTheme="majorHAnsi" w:hAnsiTheme="majorHAnsi" w:cstheme="majorHAnsi"/>
        </w:rPr>
        <w:t>de la regla fiscal será la brecha del producto en valores absolutos. Est</w:t>
      </w:r>
      <w:r w:rsidR="00D52035">
        <w:rPr>
          <w:rFonts w:asciiTheme="majorHAnsi" w:hAnsiTheme="majorHAnsi" w:cstheme="majorHAnsi"/>
        </w:rPr>
        <w:t>e componente</w:t>
      </w:r>
      <w:r w:rsidR="00347023">
        <w:rPr>
          <w:rFonts w:asciiTheme="majorHAnsi" w:hAnsiTheme="majorHAnsi" w:cstheme="majorHAnsi"/>
        </w:rPr>
        <w:t xml:space="preserve"> garantiza que ante una contracción económica los recursos girados a la</w:t>
      </w:r>
      <w:r w:rsidR="00F41B05">
        <w:rPr>
          <w:rFonts w:asciiTheme="majorHAnsi" w:hAnsiTheme="majorHAnsi" w:cstheme="majorHAnsi"/>
        </w:rPr>
        <w:t>s</w:t>
      </w:r>
      <w:r w:rsidR="00347023">
        <w:rPr>
          <w:rFonts w:asciiTheme="majorHAnsi" w:hAnsiTheme="majorHAnsi" w:cstheme="majorHAnsi"/>
        </w:rPr>
        <w:t xml:space="preserve"> instituciones de educación superior mantengan </w:t>
      </w:r>
      <w:r w:rsidR="00F41B05">
        <w:rPr>
          <w:rFonts w:asciiTheme="majorHAnsi" w:hAnsiTheme="majorHAnsi" w:cstheme="majorHAnsi"/>
        </w:rPr>
        <w:t xml:space="preserve">los </w:t>
      </w:r>
      <w:r w:rsidR="00347023">
        <w:rPr>
          <w:rFonts w:asciiTheme="majorHAnsi" w:hAnsiTheme="majorHAnsi" w:cstheme="majorHAnsi"/>
        </w:rPr>
        <w:t xml:space="preserve">beneficios en materia de bienestar, inversión de infraestructura, salarios y otras </w:t>
      </w:r>
      <w:r w:rsidR="00D52035">
        <w:rPr>
          <w:rFonts w:asciiTheme="majorHAnsi" w:hAnsiTheme="majorHAnsi" w:cstheme="majorHAnsi"/>
        </w:rPr>
        <w:t>medidas</w:t>
      </w:r>
      <w:r w:rsidR="00347023">
        <w:rPr>
          <w:rFonts w:asciiTheme="majorHAnsi" w:hAnsiTheme="majorHAnsi" w:cstheme="majorHAnsi"/>
        </w:rPr>
        <w:t xml:space="preserve"> que garantiza</w:t>
      </w:r>
      <w:r w:rsidR="00F41B05">
        <w:rPr>
          <w:rFonts w:asciiTheme="majorHAnsi" w:hAnsiTheme="majorHAnsi" w:cstheme="majorHAnsi"/>
        </w:rPr>
        <w:t>n</w:t>
      </w:r>
      <w:r w:rsidR="00347023">
        <w:rPr>
          <w:rFonts w:asciiTheme="majorHAnsi" w:hAnsiTheme="majorHAnsi" w:cstheme="majorHAnsi"/>
        </w:rPr>
        <w:t xml:space="preserve"> el derecho a la educación</w:t>
      </w:r>
      <w:r w:rsidR="00D95150">
        <w:rPr>
          <w:rFonts w:asciiTheme="majorHAnsi" w:hAnsiTheme="majorHAnsi" w:cstheme="majorHAnsi"/>
        </w:rPr>
        <w:t xml:space="preserve">. Este componente </w:t>
      </w:r>
      <w:r w:rsidR="00D52035">
        <w:rPr>
          <w:rFonts w:asciiTheme="majorHAnsi" w:hAnsiTheme="majorHAnsi" w:cstheme="majorHAnsi"/>
        </w:rPr>
        <w:t xml:space="preserve">también </w:t>
      </w:r>
      <w:r w:rsidR="00D95150">
        <w:rPr>
          <w:rFonts w:asciiTheme="majorHAnsi" w:hAnsiTheme="majorHAnsi" w:cstheme="majorHAnsi"/>
        </w:rPr>
        <w:t>podría</w:t>
      </w:r>
      <w:r w:rsidR="0083705B">
        <w:rPr>
          <w:rFonts w:asciiTheme="majorHAnsi" w:hAnsiTheme="majorHAnsi" w:cstheme="majorHAnsi"/>
        </w:rPr>
        <w:t xml:space="preserve"> f</w:t>
      </w:r>
      <w:r w:rsidR="00F41B05">
        <w:rPr>
          <w:rFonts w:asciiTheme="majorHAnsi" w:hAnsiTheme="majorHAnsi" w:cstheme="majorHAnsi"/>
        </w:rPr>
        <w:t>ortalece</w:t>
      </w:r>
      <w:r w:rsidR="0083705B">
        <w:rPr>
          <w:rFonts w:asciiTheme="majorHAnsi" w:hAnsiTheme="majorHAnsi" w:cstheme="majorHAnsi"/>
        </w:rPr>
        <w:t>r</w:t>
      </w:r>
      <w:r w:rsidR="00F41B05">
        <w:rPr>
          <w:rFonts w:asciiTheme="majorHAnsi" w:hAnsiTheme="majorHAnsi" w:cstheme="majorHAnsi"/>
        </w:rPr>
        <w:t xml:space="preserve"> la demanda </w:t>
      </w:r>
      <w:r w:rsidR="00D52035">
        <w:rPr>
          <w:rFonts w:asciiTheme="majorHAnsi" w:hAnsiTheme="majorHAnsi" w:cstheme="majorHAnsi"/>
        </w:rPr>
        <w:t>con lo se que se podría incentivar una reactivación económica en caso de desaceleración o recesión</w:t>
      </w:r>
      <w:r w:rsidR="00F41B05">
        <w:rPr>
          <w:rFonts w:asciiTheme="majorHAnsi" w:hAnsiTheme="majorHAnsi" w:cstheme="majorHAnsi"/>
        </w:rPr>
        <w:t xml:space="preserve">. </w:t>
      </w:r>
      <w:r w:rsidR="00347023">
        <w:rPr>
          <w:rFonts w:asciiTheme="majorHAnsi" w:hAnsiTheme="majorHAnsi" w:cstheme="majorHAnsi"/>
        </w:rPr>
        <w:t xml:space="preserve"> </w:t>
      </w:r>
    </w:p>
    <w:p w:rsidR="00347023" w:rsidRDefault="00347023" w:rsidP="009B7FDE">
      <w:pPr>
        <w:tabs>
          <w:tab w:val="left" w:pos="489"/>
        </w:tabs>
        <w:jc w:val="both"/>
        <w:rPr>
          <w:rFonts w:asciiTheme="majorHAnsi" w:hAnsiTheme="majorHAnsi" w:cstheme="majorHAnsi"/>
        </w:rPr>
      </w:pPr>
    </w:p>
    <w:p w:rsidR="00347023" w:rsidRDefault="00347023" w:rsidP="00347023">
      <w:pPr>
        <w:pStyle w:val="Prrafodelista"/>
        <w:numPr>
          <w:ilvl w:val="0"/>
          <w:numId w:val="3"/>
        </w:numPr>
        <w:tabs>
          <w:tab w:val="left" w:pos="489"/>
        </w:tabs>
        <w:jc w:val="both"/>
        <w:rPr>
          <w:rFonts w:asciiTheme="majorHAnsi" w:hAnsiTheme="majorHAnsi" w:cstheme="majorHAnsi"/>
        </w:rPr>
      </w:pPr>
      <w:r>
        <w:rPr>
          <w:rFonts w:asciiTheme="majorHAnsi" w:hAnsiTheme="majorHAnsi" w:cstheme="majorHAnsi"/>
        </w:rPr>
        <w:t>Cobertura</w:t>
      </w:r>
    </w:p>
    <w:p w:rsidR="00347023" w:rsidRDefault="00347023" w:rsidP="00347023">
      <w:pPr>
        <w:tabs>
          <w:tab w:val="left" w:pos="489"/>
        </w:tabs>
        <w:jc w:val="both"/>
        <w:rPr>
          <w:rFonts w:asciiTheme="majorHAnsi" w:hAnsiTheme="majorHAnsi" w:cstheme="majorHAnsi"/>
        </w:rPr>
      </w:pPr>
    </w:p>
    <w:p w:rsidR="00347023" w:rsidRDefault="00347023" w:rsidP="00347023">
      <w:pPr>
        <w:tabs>
          <w:tab w:val="left" w:pos="489"/>
        </w:tabs>
        <w:jc w:val="both"/>
        <w:rPr>
          <w:rFonts w:asciiTheme="majorHAnsi" w:hAnsiTheme="majorHAnsi" w:cstheme="majorHAnsi"/>
        </w:rPr>
      </w:pPr>
      <w:r>
        <w:rPr>
          <w:rFonts w:asciiTheme="majorHAnsi" w:hAnsiTheme="majorHAnsi" w:cstheme="majorHAnsi"/>
        </w:rPr>
        <w:tab/>
      </w:r>
      <w:r w:rsidR="00F41B05">
        <w:rPr>
          <w:rFonts w:asciiTheme="majorHAnsi" w:hAnsiTheme="majorHAnsi" w:cstheme="majorHAnsi"/>
        </w:rPr>
        <w:t>Una de las falencias del actual modelo de financiamiento es que no contempla los aumentos en cobertura</w:t>
      </w:r>
      <w:r w:rsidR="00D52035">
        <w:rPr>
          <w:rFonts w:asciiTheme="majorHAnsi" w:hAnsiTheme="majorHAnsi" w:cstheme="majorHAnsi"/>
        </w:rPr>
        <w:t xml:space="preserve"> de las instituciones de educación superior</w:t>
      </w:r>
      <w:r w:rsidR="00F41B05">
        <w:rPr>
          <w:rFonts w:asciiTheme="majorHAnsi" w:hAnsiTheme="majorHAnsi" w:cstheme="majorHAnsi"/>
        </w:rPr>
        <w:t xml:space="preserve">. </w:t>
      </w:r>
      <w:r>
        <w:rPr>
          <w:rFonts w:asciiTheme="majorHAnsi" w:hAnsiTheme="majorHAnsi" w:cstheme="majorHAnsi"/>
        </w:rPr>
        <w:t xml:space="preserve">Para cubrir </w:t>
      </w:r>
      <w:r w:rsidR="00F41B05">
        <w:rPr>
          <w:rFonts w:asciiTheme="majorHAnsi" w:hAnsiTheme="majorHAnsi" w:cstheme="majorHAnsi"/>
        </w:rPr>
        <w:t>dichos incrementos</w:t>
      </w:r>
      <w:r>
        <w:rPr>
          <w:rFonts w:asciiTheme="majorHAnsi" w:hAnsiTheme="majorHAnsi" w:cstheme="majorHAnsi"/>
        </w:rPr>
        <w:t xml:space="preserve"> se tendrá en cuenta la diferencia porcentual de matriculados </w:t>
      </w:r>
      <w:r w:rsidR="00BB14A1">
        <w:rPr>
          <w:rFonts w:asciiTheme="majorHAnsi" w:hAnsiTheme="majorHAnsi" w:cstheme="majorHAnsi"/>
        </w:rPr>
        <w:t xml:space="preserve">en la educación superior </w:t>
      </w:r>
      <w:r>
        <w:rPr>
          <w:rFonts w:asciiTheme="majorHAnsi" w:hAnsiTheme="majorHAnsi" w:cstheme="majorHAnsi"/>
        </w:rPr>
        <w:t xml:space="preserve">año a año en valor absoluto. </w:t>
      </w:r>
    </w:p>
    <w:p w:rsidR="00347023" w:rsidRDefault="00347023" w:rsidP="00347023">
      <w:pPr>
        <w:tabs>
          <w:tab w:val="left" w:pos="489"/>
        </w:tabs>
        <w:jc w:val="both"/>
        <w:rPr>
          <w:rFonts w:asciiTheme="majorHAnsi" w:hAnsiTheme="majorHAnsi" w:cstheme="majorHAnsi"/>
        </w:rPr>
      </w:pPr>
    </w:p>
    <w:p w:rsidR="00347023" w:rsidRDefault="00347023" w:rsidP="00347023">
      <w:pPr>
        <w:pStyle w:val="Prrafodelista"/>
        <w:numPr>
          <w:ilvl w:val="0"/>
          <w:numId w:val="3"/>
        </w:numPr>
        <w:tabs>
          <w:tab w:val="left" w:pos="489"/>
        </w:tabs>
        <w:jc w:val="both"/>
        <w:rPr>
          <w:rFonts w:asciiTheme="majorHAnsi" w:hAnsiTheme="majorHAnsi" w:cstheme="majorHAnsi"/>
        </w:rPr>
      </w:pPr>
      <w:r>
        <w:rPr>
          <w:rFonts w:asciiTheme="majorHAnsi" w:hAnsiTheme="majorHAnsi" w:cstheme="majorHAnsi"/>
        </w:rPr>
        <w:t>Calidad</w:t>
      </w:r>
    </w:p>
    <w:p w:rsidR="00347023" w:rsidRDefault="00347023" w:rsidP="00347023">
      <w:pPr>
        <w:tabs>
          <w:tab w:val="left" w:pos="489"/>
        </w:tabs>
        <w:jc w:val="both"/>
        <w:rPr>
          <w:rFonts w:asciiTheme="majorHAnsi" w:hAnsiTheme="majorHAnsi" w:cstheme="majorHAnsi"/>
        </w:rPr>
      </w:pPr>
    </w:p>
    <w:p w:rsidR="005D709F" w:rsidRDefault="00347023" w:rsidP="005D709F">
      <w:pPr>
        <w:tabs>
          <w:tab w:val="left" w:pos="489"/>
        </w:tabs>
        <w:jc w:val="both"/>
        <w:rPr>
          <w:rFonts w:asciiTheme="majorHAnsi" w:hAnsiTheme="majorHAnsi" w:cstheme="majorHAnsi"/>
        </w:rPr>
      </w:pPr>
      <w:r>
        <w:rPr>
          <w:rFonts w:asciiTheme="majorHAnsi" w:hAnsiTheme="majorHAnsi" w:cstheme="majorHAnsi"/>
        </w:rPr>
        <w:tab/>
        <w:t xml:space="preserve">Para </w:t>
      </w:r>
      <w:r w:rsidR="00CB40FA">
        <w:rPr>
          <w:rFonts w:asciiTheme="majorHAnsi" w:hAnsiTheme="majorHAnsi" w:cstheme="majorHAnsi"/>
        </w:rPr>
        <w:t>fortalecer</w:t>
      </w:r>
      <w:r>
        <w:rPr>
          <w:rFonts w:asciiTheme="majorHAnsi" w:hAnsiTheme="majorHAnsi" w:cstheme="majorHAnsi"/>
        </w:rPr>
        <w:t xml:space="preserve"> </w:t>
      </w:r>
      <w:r w:rsidR="00BB14A1">
        <w:rPr>
          <w:rFonts w:asciiTheme="majorHAnsi" w:hAnsiTheme="majorHAnsi" w:cstheme="majorHAnsi"/>
        </w:rPr>
        <w:t xml:space="preserve">e incentivar </w:t>
      </w:r>
      <w:r>
        <w:rPr>
          <w:rFonts w:asciiTheme="majorHAnsi" w:hAnsiTheme="majorHAnsi" w:cstheme="majorHAnsi"/>
        </w:rPr>
        <w:t>la calidad</w:t>
      </w:r>
      <w:r w:rsidR="001A2310">
        <w:rPr>
          <w:rFonts w:asciiTheme="majorHAnsi" w:hAnsiTheme="majorHAnsi" w:cstheme="majorHAnsi"/>
        </w:rPr>
        <w:t xml:space="preserve">, las instituciones de educación superior que acrediten </w:t>
      </w:r>
      <w:r w:rsidR="00BB14A1">
        <w:rPr>
          <w:rFonts w:asciiTheme="majorHAnsi" w:hAnsiTheme="majorHAnsi" w:cstheme="majorHAnsi"/>
        </w:rPr>
        <w:t xml:space="preserve">por primera vez </w:t>
      </w:r>
      <w:r w:rsidR="001A2310">
        <w:rPr>
          <w:rFonts w:asciiTheme="majorHAnsi" w:hAnsiTheme="majorHAnsi" w:cstheme="majorHAnsi"/>
        </w:rPr>
        <w:t>programas de alta calidad tendrá</w:t>
      </w:r>
      <w:r w:rsidR="005D709F">
        <w:rPr>
          <w:rFonts w:asciiTheme="majorHAnsi" w:hAnsiTheme="majorHAnsi" w:cstheme="majorHAnsi"/>
        </w:rPr>
        <w:t>n</w:t>
      </w:r>
      <w:r w:rsidR="001A2310">
        <w:rPr>
          <w:rFonts w:asciiTheme="majorHAnsi" w:hAnsiTheme="majorHAnsi" w:cstheme="majorHAnsi"/>
        </w:rPr>
        <w:t xml:space="preserve"> un</w:t>
      </w:r>
      <w:r w:rsidR="00733370">
        <w:rPr>
          <w:rFonts w:asciiTheme="majorHAnsi" w:hAnsiTheme="majorHAnsi" w:cstheme="majorHAnsi"/>
        </w:rPr>
        <w:t xml:space="preserve"> </w:t>
      </w:r>
      <w:r w:rsidR="001A2310">
        <w:rPr>
          <w:rFonts w:asciiTheme="majorHAnsi" w:hAnsiTheme="majorHAnsi" w:cstheme="majorHAnsi"/>
        </w:rPr>
        <w:t xml:space="preserve">aumento </w:t>
      </w:r>
      <w:r w:rsidR="00ED62DE">
        <w:rPr>
          <w:rFonts w:asciiTheme="majorHAnsi" w:hAnsiTheme="majorHAnsi" w:cstheme="majorHAnsi"/>
        </w:rPr>
        <w:t xml:space="preserve">único </w:t>
      </w:r>
      <w:r w:rsidR="001A2310">
        <w:rPr>
          <w:rFonts w:asciiTheme="majorHAnsi" w:hAnsiTheme="majorHAnsi" w:cstheme="majorHAnsi"/>
        </w:rPr>
        <w:t xml:space="preserve">de al menos </w:t>
      </w:r>
      <w:r w:rsidR="00733370">
        <w:rPr>
          <w:rFonts w:asciiTheme="majorHAnsi" w:hAnsiTheme="majorHAnsi" w:cstheme="majorHAnsi"/>
        </w:rPr>
        <w:t>2</w:t>
      </w:r>
      <w:r w:rsidR="001A2310">
        <w:rPr>
          <w:rFonts w:asciiTheme="majorHAnsi" w:hAnsiTheme="majorHAnsi" w:cstheme="majorHAnsi"/>
        </w:rPr>
        <w:t xml:space="preserve">0 puntos básicos en </w:t>
      </w:r>
      <w:r w:rsidR="00733370">
        <w:rPr>
          <w:rFonts w:asciiTheme="majorHAnsi" w:hAnsiTheme="majorHAnsi" w:cstheme="majorHAnsi"/>
        </w:rPr>
        <w:t>las transferencias giradas por la Nación</w:t>
      </w:r>
      <w:r w:rsidR="005D709F">
        <w:rPr>
          <w:rFonts w:asciiTheme="majorHAnsi" w:hAnsiTheme="majorHAnsi" w:cstheme="majorHAnsi"/>
        </w:rPr>
        <w:t xml:space="preserve"> por cada programa acreditado</w:t>
      </w:r>
      <w:r w:rsidR="001A2310">
        <w:rPr>
          <w:rFonts w:asciiTheme="majorHAnsi" w:hAnsiTheme="majorHAnsi" w:cstheme="majorHAnsi"/>
        </w:rPr>
        <w:t xml:space="preserve">. </w:t>
      </w:r>
      <w:r w:rsidR="005D709F">
        <w:rPr>
          <w:rFonts w:asciiTheme="majorHAnsi" w:hAnsiTheme="majorHAnsi" w:cstheme="majorHAnsi"/>
        </w:rPr>
        <w:t>Por cada programa renovado con alta calidad las instituciones recibirán</w:t>
      </w:r>
      <w:r w:rsidR="00733370">
        <w:rPr>
          <w:rFonts w:asciiTheme="majorHAnsi" w:hAnsiTheme="majorHAnsi" w:cstheme="majorHAnsi"/>
        </w:rPr>
        <w:t xml:space="preserve"> 10 puntos básicos</w:t>
      </w:r>
      <w:r w:rsidR="005D709F">
        <w:rPr>
          <w:rFonts w:asciiTheme="majorHAnsi" w:hAnsiTheme="majorHAnsi" w:cstheme="majorHAnsi"/>
        </w:rPr>
        <w:t xml:space="preserve"> adicionales de transferencias de la Nación.</w:t>
      </w:r>
      <w:r w:rsidR="00BB14A1">
        <w:rPr>
          <w:rFonts w:asciiTheme="majorHAnsi" w:hAnsiTheme="majorHAnsi" w:cstheme="majorHAnsi"/>
        </w:rPr>
        <w:t xml:space="preserve"> </w:t>
      </w:r>
    </w:p>
    <w:p w:rsidR="005D709F" w:rsidRDefault="005D709F" w:rsidP="005D709F">
      <w:pPr>
        <w:tabs>
          <w:tab w:val="left" w:pos="489"/>
        </w:tabs>
        <w:jc w:val="both"/>
        <w:rPr>
          <w:rFonts w:asciiTheme="majorHAnsi" w:hAnsiTheme="majorHAnsi" w:cstheme="majorHAnsi"/>
        </w:rPr>
      </w:pPr>
    </w:p>
    <w:p w:rsidR="005D709F" w:rsidRDefault="005D709F" w:rsidP="005D709F">
      <w:pPr>
        <w:pStyle w:val="Prrafodelista"/>
        <w:numPr>
          <w:ilvl w:val="0"/>
          <w:numId w:val="3"/>
        </w:numPr>
        <w:tabs>
          <w:tab w:val="left" w:pos="489"/>
        </w:tabs>
        <w:jc w:val="both"/>
        <w:rPr>
          <w:rFonts w:asciiTheme="majorHAnsi" w:hAnsiTheme="majorHAnsi" w:cstheme="majorHAnsi"/>
        </w:rPr>
      </w:pPr>
      <w:r>
        <w:rPr>
          <w:rFonts w:asciiTheme="majorHAnsi" w:hAnsiTheme="majorHAnsi" w:cstheme="majorHAnsi"/>
        </w:rPr>
        <w:lastRenderedPageBreak/>
        <w:t>Índice de precios</w:t>
      </w:r>
    </w:p>
    <w:p w:rsidR="005D709F" w:rsidRDefault="005D709F" w:rsidP="005D709F">
      <w:pPr>
        <w:tabs>
          <w:tab w:val="left" w:pos="489"/>
        </w:tabs>
        <w:jc w:val="both"/>
        <w:rPr>
          <w:rFonts w:asciiTheme="majorHAnsi" w:hAnsiTheme="majorHAnsi" w:cstheme="majorHAnsi"/>
        </w:rPr>
      </w:pPr>
    </w:p>
    <w:p w:rsidR="00894A3C" w:rsidRDefault="005D709F" w:rsidP="005D709F">
      <w:pPr>
        <w:tabs>
          <w:tab w:val="left" w:pos="489"/>
        </w:tabs>
        <w:jc w:val="both"/>
        <w:rPr>
          <w:rFonts w:asciiTheme="majorHAnsi" w:hAnsiTheme="majorHAnsi" w:cstheme="majorHAnsi"/>
        </w:rPr>
      </w:pPr>
      <w:r>
        <w:rPr>
          <w:rFonts w:asciiTheme="majorHAnsi" w:hAnsiTheme="majorHAnsi" w:cstheme="majorHAnsi"/>
        </w:rPr>
        <w:tab/>
        <w:t xml:space="preserve">El sector educativo tiene un comportamiento diferenciado en su dinámica de costos, por </w:t>
      </w:r>
      <w:r w:rsidR="007E6DEE">
        <w:rPr>
          <w:rFonts w:asciiTheme="majorHAnsi" w:hAnsiTheme="majorHAnsi" w:cstheme="majorHAnsi"/>
        </w:rPr>
        <w:t xml:space="preserve">lo que </w:t>
      </w:r>
      <w:r>
        <w:rPr>
          <w:rFonts w:asciiTheme="majorHAnsi" w:hAnsiTheme="majorHAnsi" w:cstheme="majorHAnsi"/>
        </w:rPr>
        <w:t>se actualizarán las transferencias de la Nación en base al índice de costos de educación superior</w:t>
      </w:r>
      <w:r w:rsidR="00BB14A1">
        <w:rPr>
          <w:rFonts w:asciiTheme="majorHAnsi" w:hAnsiTheme="majorHAnsi" w:cstheme="majorHAnsi"/>
        </w:rPr>
        <w:t>. Esta medida busca garantizar un aumento real en las trasnferencias de la Nación</w:t>
      </w:r>
      <w:r w:rsidR="007E6DEE">
        <w:rPr>
          <w:rFonts w:asciiTheme="majorHAnsi" w:hAnsiTheme="majorHAnsi" w:cstheme="majorHAnsi"/>
        </w:rPr>
        <w:t xml:space="preserve"> para las instituciones educativas. </w:t>
      </w:r>
    </w:p>
    <w:p w:rsidR="00BB14A1" w:rsidRDefault="00BB14A1" w:rsidP="005D709F">
      <w:pPr>
        <w:tabs>
          <w:tab w:val="left" w:pos="489"/>
        </w:tabs>
        <w:jc w:val="both"/>
        <w:rPr>
          <w:rFonts w:asciiTheme="majorHAnsi" w:hAnsiTheme="majorHAnsi" w:cstheme="majorHAnsi"/>
        </w:rPr>
      </w:pPr>
    </w:p>
    <w:p w:rsidR="00894A3C" w:rsidRDefault="00894A3C" w:rsidP="00894A3C">
      <w:pPr>
        <w:pStyle w:val="Prrafodelista"/>
        <w:numPr>
          <w:ilvl w:val="0"/>
          <w:numId w:val="3"/>
        </w:numPr>
        <w:tabs>
          <w:tab w:val="left" w:pos="489"/>
        </w:tabs>
        <w:jc w:val="both"/>
        <w:rPr>
          <w:rFonts w:asciiTheme="majorHAnsi" w:hAnsiTheme="majorHAnsi" w:cstheme="majorHAnsi"/>
        </w:rPr>
      </w:pPr>
      <w:r>
        <w:rPr>
          <w:rFonts w:asciiTheme="majorHAnsi" w:hAnsiTheme="majorHAnsi" w:cstheme="majorHAnsi"/>
        </w:rPr>
        <w:t>Base presupuestal</w:t>
      </w:r>
    </w:p>
    <w:p w:rsidR="00894A3C" w:rsidRDefault="00894A3C" w:rsidP="00894A3C">
      <w:pPr>
        <w:tabs>
          <w:tab w:val="left" w:pos="489"/>
        </w:tabs>
        <w:jc w:val="both"/>
        <w:rPr>
          <w:rFonts w:asciiTheme="majorHAnsi" w:hAnsiTheme="majorHAnsi" w:cstheme="majorHAnsi"/>
        </w:rPr>
      </w:pPr>
    </w:p>
    <w:p w:rsidR="00894A3C" w:rsidRDefault="00894A3C" w:rsidP="00894A3C">
      <w:pPr>
        <w:tabs>
          <w:tab w:val="left" w:pos="489"/>
        </w:tabs>
        <w:jc w:val="both"/>
        <w:rPr>
          <w:rFonts w:asciiTheme="majorHAnsi" w:hAnsiTheme="majorHAnsi" w:cstheme="majorHAnsi"/>
        </w:rPr>
      </w:pPr>
      <w:r>
        <w:rPr>
          <w:rFonts w:asciiTheme="majorHAnsi" w:hAnsiTheme="majorHAnsi" w:cstheme="majorHAnsi"/>
        </w:rPr>
        <w:tab/>
        <w:t>Dada la deuda histórica con la educación superior, la base presupuestal para el año 2020 será por lo menos el 135% de los recursos apropiados en 2019</w:t>
      </w:r>
      <w:r w:rsidR="00AF34DF">
        <w:rPr>
          <w:rFonts w:asciiTheme="majorHAnsi" w:hAnsiTheme="majorHAnsi" w:cstheme="majorHAnsi"/>
        </w:rPr>
        <w:t xml:space="preserve"> para la educación superior. </w:t>
      </w:r>
      <w:r>
        <w:rPr>
          <w:rFonts w:asciiTheme="majorHAnsi" w:hAnsiTheme="majorHAnsi" w:cstheme="majorHAnsi"/>
        </w:rPr>
        <w:t xml:space="preserve"> </w:t>
      </w:r>
    </w:p>
    <w:p w:rsidR="00894A3C" w:rsidRDefault="00894A3C" w:rsidP="00894A3C">
      <w:pPr>
        <w:tabs>
          <w:tab w:val="left" w:pos="489"/>
        </w:tabs>
        <w:jc w:val="both"/>
        <w:rPr>
          <w:rFonts w:asciiTheme="majorHAnsi" w:hAnsiTheme="majorHAnsi" w:cstheme="majorHAnsi"/>
        </w:rPr>
      </w:pPr>
    </w:p>
    <w:p w:rsidR="00223F10" w:rsidRDefault="00894A3C" w:rsidP="00894A3C">
      <w:pPr>
        <w:tabs>
          <w:tab w:val="left" w:pos="489"/>
        </w:tabs>
        <w:jc w:val="both"/>
        <w:rPr>
          <w:rFonts w:asciiTheme="majorHAnsi" w:hAnsiTheme="majorHAnsi" w:cstheme="majorHAnsi"/>
        </w:rPr>
      </w:pPr>
      <w:r>
        <w:rPr>
          <w:rFonts w:asciiTheme="majorHAnsi" w:hAnsiTheme="majorHAnsi" w:cstheme="majorHAnsi"/>
        </w:rPr>
        <w:t>A continuación se muestra la regla fiscal para educación superior</w:t>
      </w:r>
      <w:r w:rsidR="00223F10">
        <w:rPr>
          <w:rFonts w:asciiTheme="majorHAnsi" w:hAnsiTheme="majorHAnsi" w:cstheme="majorHAnsi"/>
        </w:rPr>
        <w:t xml:space="preserve"> que empezaría a regir desde el año 2019 generando una nueva apropiación de recursos para 2020. </w:t>
      </w:r>
    </w:p>
    <w:p w:rsidR="00223F10" w:rsidRDefault="00223F10" w:rsidP="00894A3C">
      <w:pPr>
        <w:tabs>
          <w:tab w:val="left" w:pos="489"/>
        </w:tabs>
        <w:jc w:val="both"/>
        <w:rPr>
          <w:rFonts w:asciiTheme="majorHAnsi" w:hAnsiTheme="majorHAnsi" w:cstheme="majorHAnsi"/>
        </w:rPr>
      </w:pPr>
    </w:p>
    <w:p w:rsidR="00223F10" w:rsidRDefault="00223F10" w:rsidP="00894A3C">
      <w:pPr>
        <w:tabs>
          <w:tab w:val="left" w:pos="489"/>
        </w:tabs>
        <w:jc w:val="both"/>
        <w:rPr>
          <w:rFonts w:asciiTheme="majorHAnsi" w:hAnsiTheme="majorHAnsi" w:cstheme="majorHAnsi"/>
        </w:rPr>
      </w:pPr>
      <w:r>
        <w:rPr>
          <w:rFonts w:asciiTheme="majorHAnsi" w:hAnsiTheme="majorHAnsi" w:cstheme="majorHAnsi"/>
        </w:rPr>
        <w:t xml:space="preserve">Ecuación 1. </w:t>
      </w:r>
    </w:p>
    <w:p w:rsidR="00223F10" w:rsidRPr="00894A3C" w:rsidRDefault="00223F10" w:rsidP="00894A3C">
      <w:pPr>
        <w:tabs>
          <w:tab w:val="left" w:pos="489"/>
        </w:tabs>
        <w:jc w:val="both"/>
        <w:rPr>
          <w:rFonts w:asciiTheme="majorHAnsi" w:hAnsiTheme="majorHAnsi" w:cstheme="majorHAnsi"/>
        </w:rPr>
      </w:pPr>
    </w:p>
    <w:p w:rsidR="00894A3C" w:rsidRPr="00C7194F" w:rsidRDefault="003A5108" w:rsidP="00894A3C">
      <w:pPr>
        <w:tabs>
          <w:tab w:val="left" w:pos="489"/>
        </w:tabs>
        <w:jc w:val="both"/>
        <w:rPr>
          <w:rFonts w:asciiTheme="majorHAnsi" w:hAnsiTheme="majorHAnsi" w:cstheme="majorHAnsi"/>
          <w:sz w:val="20"/>
          <w:szCs w:val="20"/>
        </w:rPr>
      </w:pPr>
      <m:oMathPara>
        <m:oMath>
          <m:sSub>
            <m:sSubPr>
              <m:ctrlPr>
                <w:rPr>
                  <w:rFonts w:ascii="Cambria Math" w:hAnsi="Cambria Math" w:cstheme="majorHAnsi"/>
                  <w:i/>
                  <w:sz w:val="20"/>
                  <w:szCs w:val="20"/>
                </w:rPr>
              </m:ctrlPr>
            </m:sSubPr>
            <m:e>
              <m:r>
                <w:rPr>
                  <w:rFonts w:ascii="Cambria Math" w:hAnsi="Cambria Math" w:cstheme="majorHAnsi"/>
                  <w:sz w:val="20"/>
                  <w:szCs w:val="20"/>
                </w:rPr>
                <m:t>Apropiación IES públicas</m:t>
              </m:r>
            </m:e>
            <m:sub>
              <m:r>
                <w:rPr>
                  <w:rFonts w:ascii="Cambria Math" w:hAnsi="Cambria Math" w:cstheme="majorHAnsi"/>
                  <w:sz w:val="20"/>
                  <w:szCs w:val="20"/>
                </w:rPr>
                <m:t>t</m:t>
              </m:r>
            </m:sub>
          </m:sSub>
          <m:r>
            <w:rPr>
              <w:rFonts w:ascii="Cambria Math" w:hAnsi="Cambria Math" w:cstheme="majorHAnsi"/>
              <w:sz w:val="20"/>
              <w:szCs w:val="20"/>
            </w:rPr>
            <m:t>=</m:t>
          </m:r>
          <m:sSub>
            <m:sSubPr>
              <m:ctrlPr>
                <w:rPr>
                  <w:rFonts w:ascii="Cambria Math" w:eastAsiaTheme="minorHAnsi" w:hAnsi="Cambria Math" w:cstheme="majorHAnsi"/>
                  <w:i/>
                  <w:sz w:val="20"/>
                  <w:szCs w:val="20"/>
                  <w:lang w:val="es-ES_tradnl" w:eastAsia="en-US"/>
                </w:rPr>
              </m:ctrlPr>
            </m:sSubPr>
            <m:e>
              <m:sSub>
                <m:sSubPr>
                  <m:ctrlPr>
                    <w:rPr>
                      <w:rFonts w:ascii="Cambria Math" w:eastAsiaTheme="minorHAnsi" w:hAnsi="Cambria Math" w:cstheme="majorHAnsi"/>
                      <w:i/>
                      <w:sz w:val="20"/>
                      <w:szCs w:val="20"/>
                      <w:lang w:val="es-ES_tradnl" w:eastAsia="en-US"/>
                    </w:rPr>
                  </m:ctrlPr>
                </m:sSubPr>
                <m:e>
                  <m:r>
                    <w:rPr>
                      <w:rFonts w:ascii="Cambria Math" w:hAnsi="Cambria Math" w:cstheme="majorHAnsi"/>
                      <w:sz w:val="20"/>
                      <w:szCs w:val="20"/>
                    </w:rPr>
                    <m:t>Base presupuestal</m:t>
                  </m:r>
                </m:e>
                <m:sub>
                  <m:r>
                    <w:rPr>
                      <w:rFonts w:ascii="Cambria Math" w:hAnsi="Cambria Math" w:cstheme="majorHAnsi"/>
                      <w:sz w:val="20"/>
                      <w:szCs w:val="20"/>
                    </w:rPr>
                    <m:t>t</m:t>
                  </m:r>
                </m:sub>
              </m:sSub>
              <m:r>
                <w:rPr>
                  <w:rFonts w:ascii="Cambria Math" w:hAnsi="Cambria Math" w:cstheme="majorHAnsi"/>
                  <w:sz w:val="20"/>
                  <w:szCs w:val="20"/>
                </w:rPr>
                <m:t>*(1+(</m:t>
              </m:r>
              <m:r>
                <m:rPr>
                  <m:sty m:val="p"/>
                </m:rPr>
                <w:rPr>
                  <w:rFonts w:ascii="Cambria Math" w:hAnsi="Cambria Math" w:cstheme="majorHAnsi"/>
                </w:rPr>
                <m:t>ΔPIB</m:t>
              </m:r>
            </m:e>
            <m:sub>
              <m:r>
                <w:rPr>
                  <w:rFonts w:ascii="Cambria Math" w:hAnsi="Cambria Math" w:cstheme="majorHAnsi"/>
                  <w:sz w:val="20"/>
                  <w:szCs w:val="20"/>
                </w:rPr>
                <m:t>t-1</m:t>
              </m:r>
            </m:sub>
          </m:sSub>
          <m:r>
            <w:rPr>
              <w:rFonts w:ascii="Cambria Math" w:hAnsi="Cambria Math" w:cstheme="majorHAnsi"/>
              <w:sz w:val="20"/>
              <w:szCs w:val="20"/>
            </w:rPr>
            <m:t>+</m:t>
          </m:r>
          <m:sSub>
            <m:sSubPr>
              <m:ctrlPr>
                <w:rPr>
                  <w:rFonts w:ascii="Cambria Math" w:hAnsi="Cambria Math" w:cstheme="majorHAnsi"/>
                  <w:i/>
                  <w:sz w:val="20"/>
                  <w:szCs w:val="20"/>
                </w:rPr>
              </m:ctrlPr>
            </m:sSubPr>
            <m:e>
              <m:r>
                <w:rPr>
                  <w:rFonts w:ascii="Cambria Math" w:hAnsi="Cambria Math" w:cstheme="majorHAnsi"/>
                  <w:sz w:val="20"/>
                  <w:szCs w:val="20"/>
                </w:rPr>
                <m:t>ICES</m:t>
              </m:r>
            </m:e>
            <m:sub>
              <m:r>
                <w:rPr>
                  <w:rFonts w:ascii="Cambria Math" w:hAnsi="Cambria Math" w:cstheme="majorHAnsi"/>
                  <w:sz w:val="20"/>
                  <w:szCs w:val="20"/>
                </w:rPr>
                <m:t>t-1</m:t>
              </m:r>
            </m:sub>
          </m:sSub>
          <m:r>
            <w:rPr>
              <w:rFonts w:ascii="Cambria Math" w:hAnsi="Cambria Math" w:cstheme="majorHAnsi"/>
              <w:sz w:val="20"/>
              <w:szCs w:val="20"/>
            </w:rPr>
            <m:t>+</m:t>
          </m:r>
          <m:sSub>
            <m:sSubPr>
              <m:ctrlPr>
                <w:rPr>
                  <w:rFonts w:ascii="Cambria Math" w:hAnsi="Cambria Math" w:cstheme="majorHAnsi"/>
                  <w:i/>
                  <w:sz w:val="20"/>
                  <w:szCs w:val="20"/>
                </w:rPr>
              </m:ctrlPr>
            </m:sSubPr>
            <m:e>
              <m:r>
                <w:rPr>
                  <w:rFonts w:ascii="Cambria Math" w:hAnsi="Cambria Math" w:cstheme="majorHAnsi"/>
                  <w:sz w:val="20"/>
                  <w:szCs w:val="20"/>
                </w:rPr>
                <m:t>Brecha PIB</m:t>
              </m:r>
            </m:e>
            <m:sub>
              <m:r>
                <w:rPr>
                  <w:rFonts w:ascii="Cambria Math" w:hAnsi="Cambria Math" w:cstheme="majorHAnsi"/>
                  <w:sz w:val="20"/>
                  <w:szCs w:val="20"/>
                </w:rPr>
                <m:t>t-1</m:t>
              </m:r>
            </m:sub>
          </m:sSub>
          <m:r>
            <w:rPr>
              <w:rFonts w:ascii="Cambria Math" w:hAnsi="Cambria Math" w:cstheme="majorHAnsi"/>
              <w:sz w:val="20"/>
              <w:szCs w:val="20"/>
            </w:rPr>
            <m:t>+</m:t>
          </m:r>
          <m:sSub>
            <m:sSubPr>
              <m:ctrlPr>
                <w:rPr>
                  <w:rFonts w:ascii="Cambria Math" w:hAnsi="Cambria Math" w:cstheme="majorHAnsi"/>
                  <w:i/>
                  <w:sz w:val="20"/>
                  <w:szCs w:val="20"/>
                </w:rPr>
              </m:ctrlPr>
            </m:sSubPr>
            <m:e>
              <m:r>
                <w:rPr>
                  <w:rFonts w:ascii="Cambria Math" w:hAnsi="Cambria Math" w:cstheme="majorHAnsi"/>
                  <w:sz w:val="20"/>
                  <w:szCs w:val="20"/>
                </w:rPr>
                <m:t>Cobertura</m:t>
              </m:r>
            </m:e>
            <m:sub>
              <m:r>
                <w:rPr>
                  <w:rFonts w:ascii="Cambria Math" w:hAnsi="Cambria Math" w:cstheme="majorHAnsi"/>
                  <w:sz w:val="20"/>
                  <w:szCs w:val="20"/>
                </w:rPr>
                <m:t>t</m:t>
              </m:r>
            </m:sub>
          </m:sSub>
          <m:r>
            <w:rPr>
              <w:rFonts w:ascii="Cambria Math" w:hAnsi="Cambria Math" w:cstheme="majorHAnsi"/>
              <w:sz w:val="20"/>
              <w:szCs w:val="20"/>
            </w:rPr>
            <m:t>+2%))</m:t>
          </m:r>
        </m:oMath>
      </m:oMathPara>
    </w:p>
    <w:p w:rsidR="00F41DA5" w:rsidRDefault="00F41DA5" w:rsidP="005A61A9">
      <w:pPr>
        <w:jc w:val="both"/>
        <w:rPr>
          <w:rFonts w:asciiTheme="majorHAnsi" w:hAnsiTheme="majorHAnsi" w:cstheme="majorHAnsi"/>
        </w:rPr>
      </w:pPr>
    </w:p>
    <w:p w:rsidR="005D709F" w:rsidRDefault="00223F10" w:rsidP="005A61A9">
      <w:pPr>
        <w:jc w:val="both"/>
        <w:rPr>
          <w:rFonts w:asciiTheme="majorHAnsi" w:hAnsiTheme="majorHAnsi" w:cstheme="majorHAnsi"/>
          <w:i/>
        </w:rPr>
      </w:pPr>
      <w:r>
        <w:rPr>
          <w:rFonts w:asciiTheme="majorHAnsi" w:hAnsiTheme="majorHAnsi" w:cstheme="majorHAnsi"/>
        </w:rPr>
        <w:tab/>
      </w:r>
      <w:r>
        <w:rPr>
          <w:rFonts w:asciiTheme="majorHAnsi" w:hAnsiTheme="majorHAnsi" w:cstheme="majorHAnsi"/>
          <w:i/>
        </w:rPr>
        <w:t>Cuadro 1. Proyección de apropiación de recursos para educación superior pública</w:t>
      </w:r>
    </w:p>
    <w:p w:rsidR="00223F10" w:rsidRPr="00223F10" w:rsidRDefault="00223F10" w:rsidP="005A61A9">
      <w:pPr>
        <w:jc w:val="both"/>
        <w:rPr>
          <w:rFonts w:asciiTheme="majorHAnsi" w:hAnsiTheme="majorHAnsi" w:cstheme="majorHAnsi"/>
          <w:i/>
        </w:rPr>
      </w:pPr>
    </w:p>
    <w:tbl>
      <w:tblPr>
        <w:tblStyle w:val="Tablaconcuadrcula"/>
        <w:tblW w:w="5940" w:type="dxa"/>
        <w:jc w:val="center"/>
        <w:tblLook w:val="04A0" w:firstRow="1" w:lastRow="0" w:firstColumn="1" w:lastColumn="0" w:noHBand="0" w:noVBand="1"/>
      </w:tblPr>
      <w:tblGrid>
        <w:gridCol w:w="2160"/>
        <w:gridCol w:w="2440"/>
        <w:gridCol w:w="1340"/>
      </w:tblGrid>
      <w:tr w:rsidR="00894A3C" w:rsidRPr="00CB7F2B" w:rsidTr="00CB7F2B">
        <w:trPr>
          <w:trHeight w:val="320"/>
          <w:jc w:val="center"/>
        </w:trPr>
        <w:tc>
          <w:tcPr>
            <w:tcW w:w="2160" w:type="dxa"/>
            <w:noWrap/>
          </w:tcPr>
          <w:p w:rsidR="00894A3C" w:rsidRPr="00CB7F2B" w:rsidRDefault="00894A3C" w:rsidP="00CB7F2B">
            <w:pPr>
              <w:jc w:val="center"/>
              <w:rPr>
                <w:rFonts w:asciiTheme="majorHAnsi" w:hAnsiTheme="majorHAnsi" w:cstheme="majorHAnsi"/>
                <w:color w:val="000000"/>
              </w:rPr>
            </w:pPr>
            <w:r w:rsidRPr="00CB7F2B">
              <w:rPr>
                <w:rFonts w:asciiTheme="majorHAnsi" w:hAnsiTheme="majorHAnsi" w:cstheme="majorHAnsi"/>
                <w:color w:val="000000"/>
              </w:rPr>
              <w:t>Año</w:t>
            </w:r>
          </w:p>
        </w:tc>
        <w:tc>
          <w:tcPr>
            <w:tcW w:w="2440" w:type="dxa"/>
            <w:noWrap/>
          </w:tcPr>
          <w:p w:rsidR="00894A3C" w:rsidRPr="00CB7F2B" w:rsidRDefault="00894A3C" w:rsidP="00CB7F2B">
            <w:pPr>
              <w:jc w:val="center"/>
              <w:rPr>
                <w:rFonts w:asciiTheme="majorHAnsi" w:hAnsiTheme="majorHAnsi" w:cstheme="majorHAnsi"/>
                <w:color w:val="000000"/>
              </w:rPr>
            </w:pPr>
            <w:r w:rsidRPr="00CB7F2B">
              <w:rPr>
                <w:rFonts w:asciiTheme="majorHAnsi" w:hAnsiTheme="majorHAnsi" w:cstheme="majorHAnsi"/>
                <w:color w:val="000000"/>
              </w:rPr>
              <w:t>Proyección de apropiación</w:t>
            </w:r>
          </w:p>
        </w:tc>
        <w:tc>
          <w:tcPr>
            <w:tcW w:w="1340" w:type="dxa"/>
            <w:noWrap/>
          </w:tcPr>
          <w:p w:rsidR="00894A3C" w:rsidRPr="00CB7F2B" w:rsidRDefault="00894A3C" w:rsidP="00CB7F2B">
            <w:pPr>
              <w:jc w:val="center"/>
              <w:rPr>
                <w:rFonts w:asciiTheme="majorHAnsi" w:hAnsiTheme="majorHAnsi" w:cstheme="majorHAnsi"/>
                <w:color w:val="000000"/>
              </w:rPr>
            </w:pPr>
            <w:r w:rsidRPr="00CB7F2B">
              <w:rPr>
                <w:rFonts w:asciiTheme="majorHAnsi" w:hAnsiTheme="majorHAnsi" w:cstheme="majorHAnsi"/>
                <w:color w:val="000000"/>
              </w:rPr>
              <w:t>Incremento % anual</w:t>
            </w:r>
          </w:p>
        </w:tc>
      </w:tr>
      <w:tr w:rsidR="00CB7F2B" w:rsidRPr="00CB7F2B" w:rsidTr="00CB7F2B">
        <w:tblPrEx>
          <w:jc w:val="left"/>
        </w:tblPrEx>
        <w:trPr>
          <w:trHeight w:val="320"/>
        </w:trPr>
        <w:tc>
          <w:tcPr>
            <w:tcW w:w="216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2020</w:t>
            </w:r>
          </w:p>
        </w:tc>
        <w:tc>
          <w:tcPr>
            <w:tcW w:w="24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                   6.104.863</w:t>
            </w:r>
          </w:p>
        </w:tc>
        <w:tc>
          <w:tcPr>
            <w:tcW w:w="13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13,30%</w:t>
            </w:r>
          </w:p>
        </w:tc>
      </w:tr>
      <w:tr w:rsidR="00CB7F2B" w:rsidRPr="00CB7F2B" w:rsidTr="00CB7F2B">
        <w:tblPrEx>
          <w:jc w:val="left"/>
        </w:tblPrEx>
        <w:trPr>
          <w:trHeight w:val="320"/>
        </w:trPr>
        <w:tc>
          <w:tcPr>
            <w:tcW w:w="216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2021</w:t>
            </w:r>
          </w:p>
        </w:tc>
        <w:tc>
          <w:tcPr>
            <w:tcW w:w="24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                   6.913.413</w:t>
            </w:r>
          </w:p>
        </w:tc>
        <w:tc>
          <w:tcPr>
            <w:tcW w:w="13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13,24%</w:t>
            </w:r>
          </w:p>
        </w:tc>
      </w:tr>
      <w:tr w:rsidR="00CB7F2B" w:rsidRPr="00CB7F2B" w:rsidTr="00CB7F2B">
        <w:tblPrEx>
          <w:jc w:val="left"/>
        </w:tblPrEx>
        <w:trPr>
          <w:trHeight w:val="320"/>
        </w:trPr>
        <w:tc>
          <w:tcPr>
            <w:tcW w:w="216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2022</w:t>
            </w:r>
          </w:p>
        </w:tc>
        <w:tc>
          <w:tcPr>
            <w:tcW w:w="24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                   7.827.832</w:t>
            </w:r>
          </w:p>
        </w:tc>
        <w:tc>
          <w:tcPr>
            <w:tcW w:w="13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13,23%</w:t>
            </w:r>
          </w:p>
        </w:tc>
      </w:tr>
      <w:tr w:rsidR="00CB7F2B" w:rsidRPr="00CB7F2B" w:rsidTr="00CB7F2B">
        <w:tblPrEx>
          <w:jc w:val="left"/>
        </w:tblPrEx>
        <w:trPr>
          <w:trHeight w:val="320"/>
        </w:trPr>
        <w:tc>
          <w:tcPr>
            <w:tcW w:w="216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2023</w:t>
            </w:r>
          </w:p>
        </w:tc>
        <w:tc>
          <w:tcPr>
            <w:tcW w:w="24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                   8.860.519</w:t>
            </w:r>
          </w:p>
        </w:tc>
        <w:tc>
          <w:tcPr>
            <w:tcW w:w="13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13,19%</w:t>
            </w:r>
          </w:p>
        </w:tc>
      </w:tr>
      <w:tr w:rsidR="00CB7F2B" w:rsidRPr="00CB7F2B" w:rsidTr="00CB7F2B">
        <w:tblPrEx>
          <w:jc w:val="left"/>
        </w:tblPrEx>
        <w:trPr>
          <w:trHeight w:val="320"/>
        </w:trPr>
        <w:tc>
          <w:tcPr>
            <w:tcW w:w="216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2024</w:t>
            </w:r>
          </w:p>
        </w:tc>
        <w:tc>
          <w:tcPr>
            <w:tcW w:w="24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                 10.058.586</w:t>
            </w:r>
          </w:p>
        </w:tc>
        <w:tc>
          <w:tcPr>
            <w:tcW w:w="13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13,52%</w:t>
            </w:r>
          </w:p>
        </w:tc>
      </w:tr>
      <w:tr w:rsidR="00CB7F2B" w:rsidRPr="00CB7F2B" w:rsidTr="00CB7F2B">
        <w:tblPrEx>
          <w:jc w:val="left"/>
        </w:tblPrEx>
        <w:trPr>
          <w:trHeight w:val="320"/>
        </w:trPr>
        <w:tc>
          <w:tcPr>
            <w:tcW w:w="216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2025</w:t>
            </w:r>
          </w:p>
        </w:tc>
        <w:tc>
          <w:tcPr>
            <w:tcW w:w="24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                 11.402.402</w:t>
            </w:r>
          </w:p>
        </w:tc>
        <w:tc>
          <w:tcPr>
            <w:tcW w:w="13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13,36%</w:t>
            </w:r>
          </w:p>
        </w:tc>
      </w:tr>
      <w:tr w:rsidR="00CB7F2B" w:rsidRPr="00CB7F2B" w:rsidTr="00CB7F2B">
        <w:tblPrEx>
          <w:jc w:val="left"/>
        </w:tblPrEx>
        <w:trPr>
          <w:trHeight w:val="320"/>
        </w:trPr>
        <w:tc>
          <w:tcPr>
            <w:tcW w:w="216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2026</w:t>
            </w:r>
          </w:p>
        </w:tc>
        <w:tc>
          <w:tcPr>
            <w:tcW w:w="24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                 12.917.525</w:t>
            </w:r>
          </w:p>
        </w:tc>
        <w:tc>
          <w:tcPr>
            <w:tcW w:w="13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13,29%</w:t>
            </w:r>
          </w:p>
        </w:tc>
      </w:tr>
      <w:tr w:rsidR="00CB7F2B" w:rsidRPr="00CB7F2B" w:rsidTr="00CB7F2B">
        <w:tblPrEx>
          <w:jc w:val="left"/>
        </w:tblPrEx>
        <w:trPr>
          <w:trHeight w:val="320"/>
        </w:trPr>
        <w:tc>
          <w:tcPr>
            <w:tcW w:w="216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2027</w:t>
            </w:r>
          </w:p>
        </w:tc>
        <w:tc>
          <w:tcPr>
            <w:tcW w:w="24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                 14.622.827</w:t>
            </w:r>
          </w:p>
        </w:tc>
        <w:tc>
          <w:tcPr>
            <w:tcW w:w="13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13,20%</w:t>
            </w:r>
          </w:p>
        </w:tc>
      </w:tr>
      <w:tr w:rsidR="00CB7F2B" w:rsidRPr="00CB7F2B" w:rsidTr="00CB7F2B">
        <w:tblPrEx>
          <w:jc w:val="left"/>
        </w:tblPrEx>
        <w:trPr>
          <w:trHeight w:val="320"/>
        </w:trPr>
        <w:tc>
          <w:tcPr>
            <w:tcW w:w="216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2028</w:t>
            </w:r>
          </w:p>
        </w:tc>
        <w:tc>
          <w:tcPr>
            <w:tcW w:w="24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                 16.547.196</w:t>
            </w:r>
          </w:p>
        </w:tc>
        <w:tc>
          <w:tcPr>
            <w:tcW w:w="13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13,16%</w:t>
            </w:r>
          </w:p>
        </w:tc>
      </w:tr>
      <w:tr w:rsidR="00CB7F2B" w:rsidRPr="00CB7F2B" w:rsidTr="00CB7F2B">
        <w:tblPrEx>
          <w:jc w:val="left"/>
        </w:tblPrEx>
        <w:trPr>
          <w:trHeight w:val="320"/>
        </w:trPr>
        <w:tc>
          <w:tcPr>
            <w:tcW w:w="216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2029</w:t>
            </w:r>
          </w:p>
        </w:tc>
        <w:tc>
          <w:tcPr>
            <w:tcW w:w="24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                 18.702.567</w:t>
            </w:r>
          </w:p>
        </w:tc>
        <w:tc>
          <w:tcPr>
            <w:tcW w:w="13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13,03%</w:t>
            </w:r>
          </w:p>
        </w:tc>
      </w:tr>
      <w:tr w:rsidR="00CB7F2B" w:rsidRPr="00CB7F2B" w:rsidTr="00CB7F2B">
        <w:tblPrEx>
          <w:jc w:val="left"/>
        </w:tblPrEx>
        <w:trPr>
          <w:trHeight w:val="320"/>
        </w:trPr>
        <w:tc>
          <w:tcPr>
            <w:tcW w:w="216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2030</w:t>
            </w:r>
          </w:p>
        </w:tc>
        <w:tc>
          <w:tcPr>
            <w:tcW w:w="24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                 21.110.064</w:t>
            </w:r>
          </w:p>
        </w:tc>
        <w:tc>
          <w:tcPr>
            <w:tcW w:w="1340" w:type="dxa"/>
            <w:noWrap/>
            <w:hideMark/>
          </w:tcPr>
          <w:p w:rsidR="00CB7F2B" w:rsidRPr="00CB7F2B" w:rsidRDefault="00CB7F2B" w:rsidP="00CB7F2B">
            <w:pPr>
              <w:jc w:val="center"/>
              <w:rPr>
                <w:rFonts w:asciiTheme="majorHAnsi" w:hAnsiTheme="majorHAnsi" w:cstheme="majorHAnsi"/>
                <w:color w:val="000000"/>
              </w:rPr>
            </w:pPr>
            <w:r w:rsidRPr="00CB7F2B">
              <w:rPr>
                <w:rFonts w:asciiTheme="majorHAnsi" w:hAnsiTheme="majorHAnsi" w:cstheme="majorHAnsi"/>
                <w:color w:val="000000"/>
              </w:rPr>
              <w:t>12,87%</w:t>
            </w:r>
          </w:p>
        </w:tc>
      </w:tr>
    </w:tbl>
    <w:p w:rsidR="005D709F" w:rsidRPr="00CB7F2B" w:rsidRDefault="005D709F" w:rsidP="00CB7F2B">
      <w:pPr>
        <w:jc w:val="center"/>
        <w:rPr>
          <w:rFonts w:asciiTheme="majorHAnsi" w:hAnsiTheme="majorHAnsi" w:cstheme="majorHAnsi"/>
        </w:rPr>
      </w:pPr>
    </w:p>
    <w:p w:rsidR="005D709F" w:rsidRDefault="00223F10" w:rsidP="005A61A9">
      <w:pPr>
        <w:jc w:val="both"/>
        <w:rPr>
          <w:rFonts w:asciiTheme="majorHAnsi" w:hAnsiTheme="majorHAnsi" w:cstheme="majorHAnsi"/>
        </w:rPr>
      </w:pPr>
      <w:r>
        <w:rPr>
          <w:rFonts w:asciiTheme="majorHAnsi" w:hAnsiTheme="majorHAnsi" w:cstheme="majorHAnsi"/>
        </w:rPr>
        <w:tab/>
        <w:t xml:space="preserve">Fuente: Cálculos propios en base a información DNP, MHCP, MEN, DANE. </w:t>
      </w:r>
    </w:p>
    <w:p w:rsidR="00223F10" w:rsidRDefault="00223F10" w:rsidP="005A61A9">
      <w:pPr>
        <w:jc w:val="both"/>
        <w:rPr>
          <w:rFonts w:asciiTheme="majorHAnsi" w:hAnsiTheme="majorHAnsi" w:cstheme="majorHAnsi"/>
        </w:rPr>
      </w:pPr>
    </w:p>
    <w:p w:rsidR="00BB14A1" w:rsidRDefault="00223F10" w:rsidP="005A61A9">
      <w:pPr>
        <w:jc w:val="both"/>
        <w:rPr>
          <w:rFonts w:asciiTheme="majorHAnsi" w:hAnsiTheme="majorHAnsi" w:cstheme="majorHAnsi"/>
        </w:rPr>
      </w:pPr>
      <w:r>
        <w:rPr>
          <w:rFonts w:asciiTheme="majorHAnsi" w:hAnsiTheme="majorHAnsi" w:cstheme="majorHAnsi"/>
        </w:rPr>
        <w:t xml:space="preserve">Como se observa, el incremento para educación superior oscilaría entre </w:t>
      </w:r>
      <w:r w:rsidR="00CB7F2B">
        <w:rPr>
          <w:rFonts w:asciiTheme="majorHAnsi" w:hAnsiTheme="majorHAnsi" w:cstheme="majorHAnsi"/>
        </w:rPr>
        <w:t>12</w:t>
      </w:r>
      <w:r>
        <w:rPr>
          <w:rFonts w:asciiTheme="majorHAnsi" w:hAnsiTheme="majorHAnsi" w:cstheme="majorHAnsi"/>
        </w:rPr>
        <w:t>% y 13% hasta</w:t>
      </w:r>
      <w:r w:rsidR="007E6DEE">
        <w:rPr>
          <w:rFonts w:asciiTheme="majorHAnsi" w:hAnsiTheme="majorHAnsi" w:cstheme="majorHAnsi"/>
        </w:rPr>
        <w:t xml:space="preserve"> el año</w:t>
      </w:r>
      <w:r>
        <w:rPr>
          <w:rFonts w:asciiTheme="majorHAnsi" w:hAnsiTheme="majorHAnsi" w:cstheme="majorHAnsi"/>
        </w:rPr>
        <w:t xml:space="preserve"> 2030</w:t>
      </w:r>
      <w:r w:rsidR="00E83F53">
        <w:rPr>
          <w:rFonts w:asciiTheme="majorHAnsi" w:hAnsiTheme="majorHAnsi" w:cstheme="majorHAnsi"/>
        </w:rPr>
        <w:t>.</w:t>
      </w:r>
    </w:p>
    <w:p w:rsidR="00BB14A1" w:rsidRDefault="00BB14A1" w:rsidP="005A61A9">
      <w:pPr>
        <w:jc w:val="both"/>
        <w:rPr>
          <w:rFonts w:asciiTheme="majorHAnsi" w:hAnsiTheme="majorHAnsi" w:cstheme="majorHAnsi"/>
        </w:rPr>
      </w:pPr>
    </w:p>
    <w:p w:rsidR="00BB14A1" w:rsidRDefault="00BB14A1" w:rsidP="00BB14A1">
      <w:pPr>
        <w:tabs>
          <w:tab w:val="left" w:pos="489"/>
        </w:tabs>
        <w:jc w:val="center"/>
        <w:rPr>
          <w:rFonts w:asciiTheme="majorHAnsi" w:hAnsiTheme="majorHAnsi" w:cstheme="majorHAnsi"/>
          <w:b/>
        </w:rPr>
      </w:pPr>
      <w:r>
        <w:rPr>
          <w:rFonts w:asciiTheme="majorHAnsi" w:hAnsiTheme="majorHAnsi" w:cstheme="majorHAnsi"/>
          <w:b/>
        </w:rPr>
        <w:lastRenderedPageBreak/>
        <w:t>Proyecto de ley_______2018</w:t>
      </w:r>
    </w:p>
    <w:p w:rsidR="00BB14A1" w:rsidRDefault="00BB14A1" w:rsidP="00BB14A1">
      <w:pPr>
        <w:tabs>
          <w:tab w:val="left" w:pos="489"/>
        </w:tabs>
        <w:jc w:val="center"/>
        <w:rPr>
          <w:rFonts w:asciiTheme="majorHAnsi" w:hAnsiTheme="majorHAnsi" w:cstheme="majorHAnsi"/>
          <w:b/>
        </w:rPr>
      </w:pPr>
    </w:p>
    <w:p w:rsidR="00BB14A1" w:rsidRDefault="00BB14A1" w:rsidP="00BB14A1">
      <w:pPr>
        <w:tabs>
          <w:tab w:val="left" w:pos="489"/>
        </w:tabs>
        <w:jc w:val="center"/>
        <w:rPr>
          <w:rFonts w:asciiTheme="majorHAnsi" w:hAnsiTheme="majorHAnsi" w:cstheme="majorHAnsi"/>
          <w:b/>
        </w:rPr>
      </w:pPr>
      <w:r>
        <w:rPr>
          <w:rFonts w:asciiTheme="majorHAnsi" w:hAnsiTheme="majorHAnsi" w:cstheme="majorHAnsi"/>
          <w:b/>
        </w:rPr>
        <w:t>“Por medio del cual se establece una regla fiscal para la financiación de la educación superior”</w:t>
      </w:r>
    </w:p>
    <w:p w:rsidR="005D709F" w:rsidRDefault="005D709F" w:rsidP="005A61A9">
      <w:pPr>
        <w:jc w:val="both"/>
        <w:rPr>
          <w:rFonts w:asciiTheme="majorHAnsi" w:hAnsiTheme="majorHAnsi" w:cstheme="majorHAnsi"/>
        </w:rPr>
      </w:pPr>
    </w:p>
    <w:p w:rsidR="00174F69" w:rsidRDefault="00174F69" w:rsidP="00174F69">
      <w:pPr>
        <w:jc w:val="center"/>
        <w:rPr>
          <w:rFonts w:asciiTheme="majorHAnsi" w:hAnsiTheme="majorHAnsi" w:cstheme="majorHAnsi"/>
        </w:rPr>
      </w:pPr>
      <w:r>
        <w:rPr>
          <w:rFonts w:asciiTheme="majorHAnsi" w:hAnsiTheme="majorHAnsi" w:cstheme="majorHAnsi"/>
        </w:rPr>
        <w:t>EL CONGRESO DE COLOMBIA</w:t>
      </w:r>
    </w:p>
    <w:p w:rsidR="00174F69" w:rsidRDefault="00174F69" w:rsidP="00174F69">
      <w:pPr>
        <w:jc w:val="center"/>
        <w:rPr>
          <w:rFonts w:asciiTheme="majorHAnsi" w:hAnsiTheme="majorHAnsi" w:cstheme="majorHAnsi"/>
        </w:rPr>
      </w:pPr>
    </w:p>
    <w:p w:rsidR="00174F69" w:rsidRDefault="00174F69" w:rsidP="00174F69">
      <w:pPr>
        <w:jc w:val="center"/>
        <w:rPr>
          <w:rFonts w:asciiTheme="majorHAnsi" w:hAnsiTheme="majorHAnsi" w:cstheme="majorHAnsi"/>
        </w:rPr>
      </w:pPr>
      <w:r>
        <w:rPr>
          <w:rFonts w:asciiTheme="majorHAnsi" w:hAnsiTheme="majorHAnsi" w:cstheme="majorHAnsi"/>
        </w:rPr>
        <w:t>DECRETA</w:t>
      </w:r>
      <w:r w:rsidR="003A5108">
        <w:rPr>
          <w:rFonts w:asciiTheme="majorHAnsi" w:hAnsiTheme="majorHAnsi" w:cstheme="majorHAnsi"/>
        </w:rPr>
        <w:t>:</w:t>
      </w:r>
      <w:bookmarkStart w:id="0" w:name="_GoBack"/>
      <w:bookmarkEnd w:id="0"/>
    </w:p>
    <w:p w:rsidR="005D709F" w:rsidRDefault="005D709F" w:rsidP="005A61A9">
      <w:pPr>
        <w:jc w:val="both"/>
        <w:rPr>
          <w:rFonts w:asciiTheme="majorHAnsi" w:hAnsiTheme="majorHAnsi" w:cstheme="majorHAnsi"/>
        </w:rPr>
      </w:pPr>
    </w:p>
    <w:p w:rsidR="005A61A9" w:rsidRDefault="005A61A9" w:rsidP="005A61A9">
      <w:pPr>
        <w:jc w:val="both"/>
        <w:rPr>
          <w:rFonts w:asciiTheme="majorHAnsi" w:hAnsiTheme="majorHAnsi" w:cstheme="majorHAnsi"/>
        </w:rPr>
      </w:pPr>
      <w:r w:rsidRPr="005A61A9">
        <w:rPr>
          <w:rFonts w:asciiTheme="majorHAnsi" w:hAnsiTheme="majorHAnsi" w:cstheme="majorHAnsi"/>
        </w:rPr>
        <w:t xml:space="preserve">Artículo. 1. </w:t>
      </w:r>
      <w:r>
        <w:rPr>
          <w:rFonts w:asciiTheme="majorHAnsi" w:hAnsiTheme="majorHAnsi" w:cstheme="majorHAnsi"/>
        </w:rPr>
        <w:t xml:space="preserve">Modifíquese el artículo 86 de la ley 30 de 1992 quedando </w:t>
      </w:r>
      <w:r w:rsidR="00EC4CFA">
        <w:rPr>
          <w:rFonts w:asciiTheme="majorHAnsi" w:hAnsiTheme="majorHAnsi" w:cstheme="majorHAnsi"/>
        </w:rPr>
        <w:t>así</w:t>
      </w:r>
      <w:r>
        <w:rPr>
          <w:rFonts w:asciiTheme="majorHAnsi" w:hAnsiTheme="majorHAnsi" w:cstheme="majorHAnsi"/>
        </w:rPr>
        <w:t>:</w:t>
      </w:r>
    </w:p>
    <w:p w:rsidR="005A61A9" w:rsidRDefault="005A61A9" w:rsidP="005A61A9">
      <w:pPr>
        <w:jc w:val="both"/>
        <w:rPr>
          <w:rFonts w:asciiTheme="majorHAnsi" w:hAnsiTheme="majorHAnsi" w:cstheme="majorHAnsi"/>
        </w:rPr>
      </w:pPr>
    </w:p>
    <w:p w:rsidR="005A61A9" w:rsidRDefault="005A61A9" w:rsidP="005A61A9">
      <w:pPr>
        <w:tabs>
          <w:tab w:val="left" w:pos="489"/>
        </w:tabs>
        <w:jc w:val="both"/>
        <w:rPr>
          <w:rFonts w:asciiTheme="majorHAnsi" w:hAnsiTheme="majorHAnsi" w:cstheme="majorHAnsi"/>
        </w:rPr>
      </w:pPr>
      <w:r>
        <w:rPr>
          <w:rFonts w:asciiTheme="majorHAnsi" w:hAnsiTheme="majorHAnsi" w:cstheme="majorHAnsi"/>
        </w:rPr>
        <w:t xml:space="preserve">Artículo 86. La financiación debe </w:t>
      </w:r>
      <w:r w:rsidRPr="005A61A9">
        <w:rPr>
          <w:rFonts w:asciiTheme="majorHAnsi" w:hAnsiTheme="majorHAnsi" w:cstheme="majorHAnsi"/>
        </w:rPr>
        <w:t>garantizar un sistema de educación superior universal</w:t>
      </w:r>
      <w:r w:rsidR="005A0349">
        <w:rPr>
          <w:rFonts w:asciiTheme="majorHAnsi" w:hAnsiTheme="majorHAnsi" w:cstheme="majorHAnsi"/>
        </w:rPr>
        <w:t xml:space="preserve"> </w:t>
      </w:r>
      <w:r w:rsidRPr="005A61A9">
        <w:rPr>
          <w:rFonts w:asciiTheme="majorHAnsi" w:hAnsiTheme="majorHAnsi" w:cstheme="majorHAnsi"/>
        </w:rPr>
        <w:t xml:space="preserve">y </w:t>
      </w:r>
      <w:r w:rsidR="005A0349">
        <w:rPr>
          <w:rFonts w:asciiTheme="majorHAnsi" w:hAnsiTheme="majorHAnsi" w:cstheme="majorHAnsi"/>
        </w:rPr>
        <w:t xml:space="preserve">con una garantía de </w:t>
      </w:r>
      <w:r>
        <w:rPr>
          <w:rFonts w:asciiTheme="majorHAnsi" w:hAnsiTheme="majorHAnsi" w:cstheme="majorHAnsi"/>
        </w:rPr>
        <w:t>matricula cero</w:t>
      </w:r>
      <w:r w:rsidR="005A0349">
        <w:rPr>
          <w:rFonts w:asciiTheme="majorHAnsi" w:hAnsiTheme="majorHAnsi" w:cstheme="majorHAnsi"/>
        </w:rPr>
        <w:t xml:space="preserve"> de forma progresiva en el tiempo</w:t>
      </w:r>
      <w:r>
        <w:rPr>
          <w:rFonts w:asciiTheme="majorHAnsi" w:hAnsiTheme="majorHAnsi" w:cstheme="majorHAnsi"/>
        </w:rPr>
        <w:t>.</w:t>
      </w:r>
    </w:p>
    <w:p w:rsidR="00873C93" w:rsidRDefault="00873C93" w:rsidP="005A61A9">
      <w:pPr>
        <w:tabs>
          <w:tab w:val="left" w:pos="489"/>
        </w:tabs>
        <w:jc w:val="both"/>
        <w:rPr>
          <w:rFonts w:asciiTheme="majorHAnsi" w:hAnsiTheme="majorHAnsi" w:cstheme="majorHAnsi"/>
        </w:rPr>
      </w:pPr>
    </w:p>
    <w:p w:rsidR="00231582" w:rsidRDefault="0086239A" w:rsidP="0086239A">
      <w:pPr>
        <w:tabs>
          <w:tab w:val="left" w:pos="489"/>
        </w:tabs>
        <w:jc w:val="both"/>
        <w:rPr>
          <w:rFonts w:asciiTheme="majorHAnsi" w:hAnsiTheme="majorHAnsi" w:cstheme="majorHAnsi"/>
        </w:rPr>
      </w:pPr>
      <w:r w:rsidRPr="0086239A">
        <w:rPr>
          <w:rFonts w:asciiTheme="majorHAnsi" w:hAnsiTheme="majorHAnsi" w:cstheme="majorHAnsi"/>
        </w:rPr>
        <w:t xml:space="preserve">Las </w:t>
      </w:r>
      <w:r w:rsidR="00231582">
        <w:rPr>
          <w:rFonts w:asciiTheme="majorHAnsi" w:hAnsiTheme="majorHAnsi" w:cstheme="majorHAnsi"/>
        </w:rPr>
        <w:t>instituciones de educación superior</w:t>
      </w:r>
      <w:r w:rsidRPr="0086239A">
        <w:rPr>
          <w:rFonts w:asciiTheme="majorHAnsi" w:hAnsiTheme="majorHAnsi" w:cstheme="majorHAnsi"/>
        </w:rPr>
        <w:t xml:space="preserve"> recibirán anualmente aportes de los presupuestos nacionales y de las entidades territoriales</w:t>
      </w:r>
      <w:r w:rsidR="00231582">
        <w:rPr>
          <w:rFonts w:asciiTheme="majorHAnsi" w:hAnsiTheme="majorHAnsi" w:cstheme="majorHAnsi"/>
        </w:rPr>
        <w:t>.</w:t>
      </w:r>
      <w:r w:rsidRPr="0086239A">
        <w:rPr>
          <w:rFonts w:asciiTheme="majorHAnsi" w:hAnsiTheme="majorHAnsi" w:cstheme="majorHAnsi"/>
        </w:rPr>
        <w:t xml:space="preserve"> </w:t>
      </w:r>
      <w:r w:rsidR="00231582">
        <w:rPr>
          <w:rFonts w:asciiTheme="majorHAnsi" w:hAnsiTheme="majorHAnsi" w:cstheme="majorHAnsi"/>
        </w:rPr>
        <w:t xml:space="preserve">La base presupuestal </w:t>
      </w:r>
      <w:r w:rsidR="00BF59E8">
        <w:rPr>
          <w:rFonts w:asciiTheme="majorHAnsi" w:hAnsiTheme="majorHAnsi" w:cstheme="majorHAnsi"/>
        </w:rPr>
        <w:t xml:space="preserve">será el monto aprobado para instituciones de educación superior públicas para la vigencia fiscal en curso. </w:t>
      </w:r>
    </w:p>
    <w:p w:rsidR="00BF59E8" w:rsidRDefault="00BF59E8" w:rsidP="0086239A">
      <w:pPr>
        <w:tabs>
          <w:tab w:val="left" w:pos="489"/>
        </w:tabs>
        <w:jc w:val="both"/>
        <w:rPr>
          <w:rFonts w:asciiTheme="majorHAnsi" w:hAnsiTheme="majorHAnsi" w:cstheme="majorHAnsi"/>
        </w:rPr>
      </w:pPr>
    </w:p>
    <w:p w:rsidR="00231582" w:rsidRDefault="00231582" w:rsidP="0086239A">
      <w:pPr>
        <w:tabs>
          <w:tab w:val="left" w:pos="489"/>
        </w:tabs>
        <w:jc w:val="both"/>
        <w:rPr>
          <w:rFonts w:asciiTheme="majorHAnsi" w:hAnsiTheme="majorHAnsi" w:cstheme="majorHAnsi"/>
        </w:rPr>
      </w:pPr>
      <w:r>
        <w:rPr>
          <w:rFonts w:asciiTheme="majorHAnsi" w:hAnsiTheme="majorHAnsi" w:cstheme="majorHAnsi"/>
        </w:rPr>
        <w:t xml:space="preserve">Parágrafo 1: La base presupuestal para el año 2020 será el 135% </w:t>
      </w:r>
      <w:r w:rsidR="001D570D">
        <w:rPr>
          <w:rFonts w:asciiTheme="majorHAnsi" w:hAnsiTheme="majorHAnsi" w:cstheme="majorHAnsi"/>
        </w:rPr>
        <w:t xml:space="preserve">de los recursos </w:t>
      </w:r>
      <w:r>
        <w:rPr>
          <w:rFonts w:asciiTheme="majorHAnsi" w:hAnsiTheme="majorHAnsi" w:cstheme="majorHAnsi"/>
        </w:rPr>
        <w:t>apropiado</w:t>
      </w:r>
      <w:r w:rsidR="001D570D">
        <w:rPr>
          <w:rFonts w:asciiTheme="majorHAnsi" w:hAnsiTheme="majorHAnsi" w:cstheme="majorHAnsi"/>
        </w:rPr>
        <w:t>s en el presupuesto general de la Nación</w:t>
      </w:r>
      <w:r>
        <w:rPr>
          <w:rFonts w:asciiTheme="majorHAnsi" w:hAnsiTheme="majorHAnsi" w:cstheme="majorHAnsi"/>
        </w:rPr>
        <w:t xml:space="preserve"> </w:t>
      </w:r>
      <w:r w:rsidR="00F64A82">
        <w:rPr>
          <w:rFonts w:asciiTheme="majorHAnsi" w:hAnsiTheme="majorHAnsi" w:cstheme="majorHAnsi"/>
        </w:rPr>
        <w:t xml:space="preserve">en </w:t>
      </w:r>
      <w:r>
        <w:rPr>
          <w:rFonts w:asciiTheme="majorHAnsi" w:hAnsiTheme="majorHAnsi" w:cstheme="majorHAnsi"/>
        </w:rPr>
        <w:t xml:space="preserve">2019 para las instituciones de educación superior. </w:t>
      </w:r>
    </w:p>
    <w:p w:rsidR="0086239A" w:rsidRPr="0086239A" w:rsidRDefault="0086239A" w:rsidP="0086239A">
      <w:pPr>
        <w:tabs>
          <w:tab w:val="left" w:pos="489"/>
        </w:tabs>
        <w:jc w:val="both"/>
        <w:rPr>
          <w:rFonts w:asciiTheme="majorHAnsi" w:hAnsiTheme="majorHAnsi" w:cstheme="majorHAnsi"/>
        </w:rPr>
      </w:pPr>
    </w:p>
    <w:p w:rsidR="00231582" w:rsidRDefault="00231582" w:rsidP="00231582">
      <w:pPr>
        <w:tabs>
          <w:tab w:val="left" w:pos="489"/>
        </w:tabs>
        <w:jc w:val="both"/>
        <w:rPr>
          <w:rFonts w:asciiTheme="majorHAnsi" w:hAnsiTheme="majorHAnsi" w:cstheme="majorHAnsi"/>
        </w:rPr>
      </w:pPr>
      <w:r>
        <w:rPr>
          <w:rFonts w:asciiTheme="majorHAnsi" w:hAnsiTheme="majorHAnsi" w:cstheme="majorHAnsi"/>
        </w:rPr>
        <w:t>Artículo 2. Adiciónese un artículo nuevo a la ley 30 de 1992, quedando así:</w:t>
      </w:r>
    </w:p>
    <w:p w:rsidR="00231582" w:rsidRDefault="00231582" w:rsidP="00873C93">
      <w:pPr>
        <w:tabs>
          <w:tab w:val="left" w:pos="489"/>
        </w:tabs>
        <w:jc w:val="both"/>
        <w:rPr>
          <w:rFonts w:asciiTheme="majorHAnsi" w:hAnsiTheme="majorHAnsi" w:cstheme="majorHAnsi"/>
        </w:rPr>
      </w:pPr>
    </w:p>
    <w:p w:rsidR="00873C93" w:rsidRPr="005A61A9" w:rsidRDefault="00231582" w:rsidP="00873C93">
      <w:pPr>
        <w:tabs>
          <w:tab w:val="left" w:pos="489"/>
        </w:tabs>
        <w:jc w:val="both"/>
        <w:rPr>
          <w:rFonts w:asciiTheme="majorHAnsi" w:hAnsiTheme="majorHAnsi" w:cstheme="majorHAnsi"/>
        </w:rPr>
      </w:pPr>
      <w:r>
        <w:rPr>
          <w:rFonts w:asciiTheme="majorHAnsi" w:hAnsiTheme="majorHAnsi" w:cstheme="majorHAnsi"/>
        </w:rPr>
        <w:t>Artículo 86A.</w:t>
      </w:r>
      <w:r w:rsidR="00994B1C">
        <w:rPr>
          <w:rFonts w:asciiTheme="majorHAnsi" w:hAnsiTheme="majorHAnsi" w:cstheme="majorHAnsi"/>
        </w:rPr>
        <w:t xml:space="preserve">Una </w:t>
      </w:r>
      <w:r w:rsidR="00873C93">
        <w:rPr>
          <w:rFonts w:asciiTheme="majorHAnsi" w:hAnsiTheme="majorHAnsi" w:cstheme="majorHAnsi"/>
        </w:rPr>
        <w:t xml:space="preserve">regla fiscal </w:t>
      </w:r>
      <w:r w:rsidR="00994B1C">
        <w:rPr>
          <w:rFonts w:asciiTheme="majorHAnsi" w:hAnsiTheme="majorHAnsi" w:cstheme="majorHAnsi"/>
        </w:rPr>
        <w:t>definirá la</w:t>
      </w:r>
      <w:r w:rsidR="00873C93">
        <w:rPr>
          <w:rFonts w:asciiTheme="majorHAnsi" w:hAnsiTheme="majorHAnsi" w:cstheme="majorHAnsi"/>
        </w:rPr>
        <w:t xml:space="preserve"> financiación de la educación superior pública. Para tal regla se definen los </w:t>
      </w:r>
      <w:r w:rsidR="00873C93" w:rsidRPr="005A61A9">
        <w:rPr>
          <w:rFonts w:asciiTheme="majorHAnsi" w:hAnsiTheme="majorHAnsi" w:cstheme="majorHAnsi"/>
        </w:rPr>
        <w:t>siguientes criterios:</w:t>
      </w:r>
    </w:p>
    <w:p w:rsidR="00873C93" w:rsidRPr="005A61A9" w:rsidRDefault="00873C93" w:rsidP="00873C93">
      <w:pPr>
        <w:jc w:val="both"/>
        <w:rPr>
          <w:rFonts w:asciiTheme="majorHAnsi" w:hAnsiTheme="majorHAnsi" w:cstheme="majorHAnsi"/>
        </w:rPr>
      </w:pPr>
    </w:p>
    <w:p w:rsidR="00231582" w:rsidRDefault="00231582" w:rsidP="00873C93">
      <w:pPr>
        <w:pStyle w:val="Prrafodelista"/>
        <w:numPr>
          <w:ilvl w:val="0"/>
          <w:numId w:val="1"/>
        </w:numPr>
        <w:jc w:val="both"/>
        <w:rPr>
          <w:rFonts w:asciiTheme="majorHAnsi" w:hAnsiTheme="majorHAnsi" w:cstheme="majorHAnsi"/>
        </w:rPr>
      </w:pPr>
      <w:r>
        <w:rPr>
          <w:rFonts w:asciiTheme="majorHAnsi" w:hAnsiTheme="majorHAnsi" w:cstheme="majorHAnsi"/>
        </w:rPr>
        <w:t>Crecimiento PIB</w:t>
      </w:r>
      <w:r w:rsidR="0063153B">
        <w:rPr>
          <w:rFonts w:asciiTheme="majorHAnsi" w:hAnsiTheme="majorHAnsi" w:cstheme="majorHAnsi"/>
        </w:rPr>
        <w:t xml:space="preserve"> </w:t>
      </w:r>
      <w:r w:rsidR="0063153B" w:rsidRPr="0063153B">
        <w:rPr>
          <w:rFonts w:asciiTheme="majorHAnsi" w:hAnsiTheme="majorHAnsi" w:cstheme="majorHAnsi"/>
        </w:rPr>
        <w:t>(</w:t>
      </w:r>
      <m:oMath>
        <m:r>
          <m:rPr>
            <m:sty m:val="p"/>
          </m:rPr>
          <w:rPr>
            <w:rFonts w:ascii="Cambria Math" w:hAnsi="Cambria Math" w:cstheme="majorHAnsi"/>
          </w:rPr>
          <m:t>ΔPIB)</m:t>
        </m:r>
      </m:oMath>
      <w:r w:rsidRPr="0063153B">
        <w:rPr>
          <w:rFonts w:asciiTheme="majorHAnsi" w:hAnsiTheme="majorHAnsi" w:cstheme="majorHAnsi"/>
        </w:rPr>
        <w:t>:</w:t>
      </w:r>
      <w:r>
        <w:rPr>
          <w:rFonts w:asciiTheme="majorHAnsi" w:hAnsiTheme="majorHAnsi" w:cstheme="majorHAnsi"/>
        </w:rPr>
        <w:t xml:space="preserve"> Crecimiento del producto interior bruto</w:t>
      </w:r>
      <w:r w:rsidR="0063153B">
        <w:rPr>
          <w:rFonts w:asciiTheme="majorHAnsi" w:hAnsiTheme="majorHAnsi" w:cstheme="majorHAnsi"/>
        </w:rPr>
        <w:t xml:space="preserve"> real</w:t>
      </w:r>
      <w:r>
        <w:rPr>
          <w:rFonts w:asciiTheme="majorHAnsi" w:hAnsiTheme="majorHAnsi" w:cstheme="majorHAnsi"/>
        </w:rPr>
        <w:t xml:space="preserve"> para la vigencia fiscal anterior calculado por el </w:t>
      </w:r>
      <w:r w:rsidRPr="00702A93">
        <w:rPr>
          <w:rFonts w:asciiTheme="majorHAnsi" w:hAnsiTheme="majorHAnsi" w:cstheme="majorHAnsi"/>
        </w:rPr>
        <w:t>Departamento Administrativo Nacional de Estadística</w:t>
      </w:r>
      <w:r>
        <w:rPr>
          <w:rFonts w:asciiTheme="majorHAnsi" w:hAnsiTheme="majorHAnsi" w:cstheme="majorHAnsi"/>
        </w:rPr>
        <w:t>.</w:t>
      </w:r>
    </w:p>
    <w:p w:rsidR="00873C93" w:rsidRDefault="00873C93" w:rsidP="00873C93">
      <w:pPr>
        <w:pStyle w:val="Prrafodelista"/>
        <w:numPr>
          <w:ilvl w:val="0"/>
          <w:numId w:val="1"/>
        </w:numPr>
        <w:jc w:val="both"/>
        <w:rPr>
          <w:rFonts w:asciiTheme="majorHAnsi" w:hAnsiTheme="majorHAnsi" w:cstheme="majorHAnsi"/>
        </w:rPr>
      </w:pPr>
      <w:r w:rsidRPr="00702A93">
        <w:rPr>
          <w:rFonts w:asciiTheme="majorHAnsi" w:hAnsiTheme="majorHAnsi" w:cstheme="majorHAnsi"/>
        </w:rPr>
        <w:t xml:space="preserve">Índice de </w:t>
      </w:r>
      <w:r>
        <w:rPr>
          <w:rFonts w:asciiTheme="majorHAnsi" w:hAnsiTheme="majorHAnsi" w:cstheme="majorHAnsi"/>
        </w:rPr>
        <w:t>costos</w:t>
      </w:r>
      <w:r w:rsidRPr="00702A93">
        <w:rPr>
          <w:rFonts w:asciiTheme="majorHAnsi" w:hAnsiTheme="majorHAnsi" w:cstheme="majorHAnsi"/>
        </w:rPr>
        <w:t xml:space="preserve"> de la Educación Superior</w:t>
      </w:r>
      <w:r>
        <w:rPr>
          <w:rFonts w:asciiTheme="majorHAnsi" w:hAnsiTheme="majorHAnsi" w:cstheme="majorHAnsi"/>
        </w:rPr>
        <w:t xml:space="preserve"> (ICES)</w:t>
      </w:r>
      <w:r w:rsidRPr="00702A93">
        <w:rPr>
          <w:rFonts w:asciiTheme="majorHAnsi" w:hAnsiTheme="majorHAnsi" w:cstheme="majorHAnsi"/>
        </w:rPr>
        <w:t xml:space="preserve">: La base presupuestal se ajustará anualmente de acuerdo </w:t>
      </w:r>
      <w:r>
        <w:rPr>
          <w:rFonts w:asciiTheme="majorHAnsi" w:hAnsiTheme="majorHAnsi" w:cstheme="majorHAnsi"/>
        </w:rPr>
        <w:t>a</w:t>
      </w:r>
      <w:r w:rsidRPr="00702A93">
        <w:rPr>
          <w:rFonts w:asciiTheme="majorHAnsi" w:hAnsiTheme="majorHAnsi" w:cstheme="majorHAnsi"/>
        </w:rPr>
        <w:t xml:space="preserve">l Índice de </w:t>
      </w:r>
      <w:r>
        <w:rPr>
          <w:rFonts w:asciiTheme="majorHAnsi" w:hAnsiTheme="majorHAnsi" w:cstheme="majorHAnsi"/>
        </w:rPr>
        <w:t>costo</w:t>
      </w:r>
      <w:r w:rsidRPr="00702A93">
        <w:rPr>
          <w:rFonts w:asciiTheme="majorHAnsi" w:hAnsiTheme="majorHAnsi" w:cstheme="majorHAnsi"/>
        </w:rPr>
        <w:t>s de la Educación Superior</w:t>
      </w:r>
      <w:r w:rsidR="00231582">
        <w:rPr>
          <w:rFonts w:asciiTheme="majorHAnsi" w:hAnsiTheme="majorHAnsi" w:cstheme="majorHAnsi"/>
        </w:rPr>
        <w:t xml:space="preserve"> q</w:t>
      </w:r>
      <w:r w:rsidRPr="00702A93">
        <w:rPr>
          <w:rFonts w:asciiTheme="majorHAnsi" w:hAnsiTheme="majorHAnsi" w:cstheme="majorHAnsi"/>
        </w:rPr>
        <w:t>ue realiza el Departamento Administrativo Nacional de Estadística.</w:t>
      </w:r>
    </w:p>
    <w:p w:rsidR="00873C93" w:rsidRDefault="009B7FDE" w:rsidP="00873C93">
      <w:pPr>
        <w:pStyle w:val="Prrafodelista"/>
        <w:numPr>
          <w:ilvl w:val="0"/>
          <w:numId w:val="1"/>
        </w:numPr>
        <w:jc w:val="both"/>
        <w:rPr>
          <w:rFonts w:asciiTheme="majorHAnsi" w:hAnsiTheme="majorHAnsi" w:cstheme="majorHAnsi"/>
        </w:rPr>
      </w:pPr>
      <w:r>
        <w:rPr>
          <w:rFonts w:asciiTheme="majorHAnsi" w:hAnsiTheme="majorHAnsi" w:cstheme="majorHAnsi"/>
        </w:rPr>
        <w:t xml:space="preserve">Brecha </w:t>
      </w:r>
      <w:r w:rsidR="00873C93">
        <w:rPr>
          <w:rFonts w:asciiTheme="majorHAnsi" w:hAnsiTheme="majorHAnsi" w:cstheme="majorHAnsi"/>
        </w:rPr>
        <w:t>PIB</w:t>
      </w:r>
      <w:r w:rsidR="00873C93" w:rsidRPr="00702A93">
        <w:rPr>
          <w:rFonts w:asciiTheme="majorHAnsi" w:hAnsiTheme="majorHAnsi" w:cstheme="majorHAnsi"/>
        </w:rPr>
        <w:t>: La regla de financiamiento tendrá un componente de gasto contra</w:t>
      </w:r>
      <w:r w:rsidR="00873C93">
        <w:rPr>
          <w:rFonts w:asciiTheme="majorHAnsi" w:hAnsiTheme="majorHAnsi" w:cstheme="majorHAnsi"/>
        </w:rPr>
        <w:t xml:space="preserve"> </w:t>
      </w:r>
      <w:r w:rsidR="00873C93" w:rsidRPr="00702A93">
        <w:rPr>
          <w:rFonts w:asciiTheme="majorHAnsi" w:hAnsiTheme="majorHAnsi" w:cstheme="majorHAnsi"/>
        </w:rPr>
        <w:t>cíclico</w:t>
      </w:r>
      <w:r w:rsidR="00873C93">
        <w:rPr>
          <w:rFonts w:asciiTheme="majorHAnsi" w:hAnsiTheme="majorHAnsi" w:cstheme="majorHAnsi"/>
        </w:rPr>
        <w:t>. Este gasto será la brecha, en valores absolutos, entre</w:t>
      </w:r>
      <w:r w:rsidR="00873C93" w:rsidRPr="00702A93">
        <w:rPr>
          <w:rFonts w:asciiTheme="majorHAnsi" w:hAnsiTheme="majorHAnsi" w:cstheme="majorHAnsi"/>
        </w:rPr>
        <w:t xml:space="preserve"> crecimiento económico real </w:t>
      </w:r>
      <w:r w:rsidR="00873C93">
        <w:rPr>
          <w:rFonts w:asciiTheme="majorHAnsi" w:hAnsiTheme="majorHAnsi" w:cstheme="majorHAnsi"/>
        </w:rPr>
        <w:t xml:space="preserve">y la senda de crecimiento económico de largo plazo para la vigencia fiscal anterior. </w:t>
      </w:r>
      <w:r w:rsidR="007E6DEE">
        <w:rPr>
          <w:rFonts w:asciiTheme="majorHAnsi" w:hAnsiTheme="majorHAnsi" w:cstheme="majorHAnsi"/>
        </w:rPr>
        <w:t>Este componente será calculado por el Ministerio de Hacienda y Crédito Público.</w:t>
      </w:r>
    </w:p>
    <w:p w:rsidR="00873C93" w:rsidRDefault="0063153B" w:rsidP="00873C93">
      <w:pPr>
        <w:pStyle w:val="Prrafodelista"/>
        <w:numPr>
          <w:ilvl w:val="0"/>
          <w:numId w:val="1"/>
        </w:numPr>
        <w:jc w:val="both"/>
        <w:rPr>
          <w:rFonts w:asciiTheme="majorHAnsi" w:hAnsiTheme="majorHAnsi" w:cstheme="majorHAnsi"/>
        </w:rPr>
      </w:pPr>
      <w:r>
        <w:rPr>
          <w:rFonts w:asciiTheme="majorHAnsi" w:hAnsiTheme="majorHAnsi" w:cstheme="majorHAnsi"/>
        </w:rPr>
        <w:t>C</w:t>
      </w:r>
      <w:r w:rsidR="00873C93" w:rsidRPr="00577BDC">
        <w:rPr>
          <w:rFonts w:asciiTheme="majorHAnsi" w:hAnsiTheme="majorHAnsi" w:cstheme="majorHAnsi"/>
        </w:rPr>
        <w:t xml:space="preserve">obertura: Se tendrá en cuenta los incrementos de alumnos matriculados en las instituciones de educación </w:t>
      </w:r>
      <w:r>
        <w:rPr>
          <w:rFonts w:asciiTheme="majorHAnsi" w:hAnsiTheme="majorHAnsi" w:cstheme="majorHAnsi"/>
        </w:rPr>
        <w:t>superior</w:t>
      </w:r>
      <w:r w:rsidR="00873C93" w:rsidRPr="00577BDC">
        <w:rPr>
          <w:rFonts w:asciiTheme="majorHAnsi" w:hAnsiTheme="majorHAnsi" w:cstheme="majorHAnsi"/>
        </w:rPr>
        <w:t>.</w:t>
      </w:r>
      <w:r w:rsidR="00873C93">
        <w:rPr>
          <w:rFonts w:asciiTheme="majorHAnsi" w:hAnsiTheme="majorHAnsi" w:cstheme="majorHAnsi"/>
        </w:rPr>
        <w:t xml:space="preserve"> Esta brecha es la diferencia</w:t>
      </w:r>
      <w:r w:rsidR="00347023">
        <w:rPr>
          <w:rFonts w:asciiTheme="majorHAnsi" w:hAnsiTheme="majorHAnsi" w:cstheme="majorHAnsi"/>
        </w:rPr>
        <w:t xml:space="preserve"> porcentual</w:t>
      </w:r>
      <w:r w:rsidR="00873C93">
        <w:rPr>
          <w:rFonts w:asciiTheme="majorHAnsi" w:hAnsiTheme="majorHAnsi" w:cstheme="majorHAnsi"/>
        </w:rPr>
        <w:t xml:space="preserve">, en de cobertura entre </w:t>
      </w:r>
      <w:r>
        <w:rPr>
          <w:rFonts w:asciiTheme="majorHAnsi" w:hAnsiTheme="majorHAnsi" w:cstheme="majorHAnsi"/>
        </w:rPr>
        <w:t>la vigencia fiscal en curso y la anterior</w:t>
      </w:r>
      <w:r w:rsidR="00873C93">
        <w:rPr>
          <w:rFonts w:asciiTheme="majorHAnsi" w:hAnsiTheme="majorHAnsi" w:cstheme="majorHAnsi"/>
        </w:rPr>
        <w:t>.</w:t>
      </w:r>
      <w:r w:rsidR="00523475">
        <w:rPr>
          <w:rFonts w:asciiTheme="majorHAnsi" w:hAnsiTheme="majorHAnsi" w:cstheme="majorHAnsi"/>
        </w:rPr>
        <w:t xml:space="preserve"> Esta diferencia está en valor absoluto.</w:t>
      </w:r>
    </w:p>
    <w:p w:rsidR="00873C93" w:rsidRDefault="00873C93" w:rsidP="00873C93">
      <w:pPr>
        <w:jc w:val="both"/>
        <w:rPr>
          <w:rFonts w:asciiTheme="majorHAnsi" w:hAnsiTheme="majorHAnsi" w:cstheme="majorHAnsi"/>
        </w:rPr>
      </w:pPr>
    </w:p>
    <w:p w:rsidR="00347023" w:rsidRDefault="00873C93" w:rsidP="00873C93">
      <w:pPr>
        <w:jc w:val="both"/>
        <w:rPr>
          <w:rFonts w:asciiTheme="majorHAnsi" w:hAnsiTheme="majorHAnsi" w:cstheme="majorHAnsi"/>
        </w:rPr>
      </w:pPr>
      <w:r>
        <w:rPr>
          <w:rFonts w:asciiTheme="majorHAnsi" w:hAnsiTheme="majorHAnsi" w:cstheme="majorHAnsi"/>
        </w:rPr>
        <w:t xml:space="preserve">Parágrafo 1. </w:t>
      </w:r>
      <w:r w:rsidRPr="0090563E">
        <w:rPr>
          <w:rFonts w:asciiTheme="majorHAnsi" w:hAnsiTheme="majorHAnsi" w:cstheme="majorHAnsi"/>
        </w:rPr>
        <w:t>La Nación aumentará</w:t>
      </w:r>
      <w:r w:rsidR="00FC5FB1">
        <w:rPr>
          <w:rFonts w:asciiTheme="majorHAnsi" w:hAnsiTheme="majorHAnsi" w:cstheme="majorHAnsi"/>
        </w:rPr>
        <w:t>, por única vez,</w:t>
      </w:r>
      <w:r w:rsidRPr="0090563E">
        <w:rPr>
          <w:rFonts w:asciiTheme="majorHAnsi" w:hAnsiTheme="majorHAnsi" w:cstheme="majorHAnsi"/>
        </w:rPr>
        <w:t xml:space="preserve"> en al menos </w:t>
      </w:r>
      <w:r w:rsidR="007E6DEE">
        <w:rPr>
          <w:rFonts w:asciiTheme="majorHAnsi" w:hAnsiTheme="majorHAnsi" w:cstheme="majorHAnsi"/>
        </w:rPr>
        <w:t>2</w:t>
      </w:r>
      <w:r w:rsidRPr="0090563E">
        <w:rPr>
          <w:rFonts w:asciiTheme="majorHAnsi" w:hAnsiTheme="majorHAnsi" w:cstheme="majorHAnsi"/>
        </w:rPr>
        <w:t>0 puntos básicos las transferencias para instituciones de educación superior públicas por cada programa que hayan acreditado de alta calidad por primera vez. En caso de que sea renovación de la acreditación</w:t>
      </w:r>
      <w:r w:rsidR="007E6DEE">
        <w:rPr>
          <w:rFonts w:asciiTheme="majorHAnsi" w:hAnsiTheme="majorHAnsi" w:cstheme="majorHAnsi"/>
        </w:rPr>
        <w:t xml:space="preserve">, </w:t>
      </w:r>
      <w:r w:rsidRPr="0090563E">
        <w:rPr>
          <w:rFonts w:asciiTheme="majorHAnsi" w:hAnsiTheme="majorHAnsi" w:cstheme="majorHAnsi"/>
        </w:rPr>
        <w:t xml:space="preserve">el incremento de las transferencias será en al menos </w:t>
      </w:r>
      <w:r w:rsidR="007E6DEE">
        <w:rPr>
          <w:rFonts w:asciiTheme="majorHAnsi" w:hAnsiTheme="majorHAnsi" w:cstheme="majorHAnsi"/>
        </w:rPr>
        <w:t>10</w:t>
      </w:r>
      <w:r w:rsidRPr="0090563E">
        <w:rPr>
          <w:rFonts w:asciiTheme="majorHAnsi" w:hAnsiTheme="majorHAnsi" w:cstheme="majorHAnsi"/>
        </w:rPr>
        <w:t xml:space="preserve"> puntos básicos. El Consejo Nacional de Acreditación será la entidad a cargo de certificar dicha acreditación. </w:t>
      </w:r>
    </w:p>
    <w:p w:rsidR="00347023" w:rsidRPr="0090563E" w:rsidRDefault="00347023" w:rsidP="00873C93">
      <w:pPr>
        <w:jc w:val="both"/>
        <w:rPr>
          <w:rFonts w:asciiTheme="majorHAnsi" w:hAnsiTheme="majorHAnsi" w:cstheme="majorHAnsi"/>
        </w:rPr>
      </w:pPr>
      <w:r>
        <w:rPr>
          <w:rFonts w:asciiTheme="majorHAnsi" w:hAnsiTheme="majorHAnsi" w:cstheme="majorHAnsi"/>
        </w:rPr>
        <w:t xml:space="preserve">Parágrafo 2. En caso de que el crecimiento económico sea negativo, este valor se tomará como cero en la regla fiscal. </w:t>
      </w:r>
    </w:p>
    <w:p w:rsidR="00873C93" w:rsidRDefault="00873C93" w:rsidP="00577BDC">
      <w:pPr>
        <w:tabs>
          <w:tab w:val="left" w:pos="489"/>
        </w:tabs>
        <w:jc w:val="both"/>
        <w:rPr>
          <w:rFonts w:asciiTheme="majorHAnsi" w:hAnsiTheme="majorHAnsi" w:cstheme="majorHAnsi"/>
        </w:rPr>
      </w:pPr>
    </w:p>
    <w:p w:rsidR="00577BDC" w:rsidRDefault="00577BDC" w:rsidP="00577BDC">
      <w:pPr>
        <w:tabs>
          <w:tab w:val="left" w:pos="489"/>
        </w:tabs>
        <w:jc w:val="both"/>
        <w:rPr>
          <w:rFonts w:asciiTheme="majorHAnsi" w:hAnsiTheme="majorHAnsi" w:cstheme="majorHAnsi"/>
        </w:rPr>
      </w:pPr>
      <w:r>
        <w:rPr>
          <w:rFonts w:asciiTheme="majorHAnsi" w:hAnsiTheme="majorHAnsi" w:cstheme="majorHAnsi"/>
        </w:rPr>
        <w:t xml:space="preserve">Artículo </w:t>
      </w:r>
      <w:r w:rsidR="00231582">
        <w:rPr>
          <w:rFonts w:asciiTheme="majorHAnsi" w:hAnsiTheme="majorHAnsi" w:cstheme="majorHAnsi"/>
        </w:rPr>
        <w:t>3</w:t>
      </w:r>
      <w:r>
        <w:rPr>
          <w:rFonts w:asciiTheme="majorHAnsi" w:hAnsiTheme="majorHAnsi" w:cstheme="majorHAnsi"/>
        </w:rPr>
        <w:t xml:space="preserve">. </w:t>
      </w:r>
      <w:r w:rsidR="007B4511">
        <w:rPr>
          <w:rFonts w:asciiTheme="majorHAnsi" w:hAnsiTheme="majorHAnsi" w:cstheme="majorHAnsi"/>
        </w:rPr>
        <w:t xml:space="preserve">Modifíquese el artículo 87 de </w:t>
      </w:r>
      <w:r>
        <w:rPr>
          <w:rFonts w:asciiTheme="majorHAnsi" w:hAnsiTheme="majorHAnsi" w:cstheme="majorHAnsi"/>
        </w:rPr>
        <w:t>la ley 30 de 1992</w:t>
      </w:r>
      <w:r w:rsidR="006703B4">
        <w:rPr>
          <w:rFonts w:asciiTheme="majorHAnsi" w:hAnsiTheme="majorHAnsi" w:cstheme="majorHAnsi"/>
        </w:rPr>
        <w:t xml:space="preserve"> el cual quedará así:</w:t>
      </w:r>
    </w:p>
    <w:p w:rsidR="00577BDC" w:rsidRDefault="00577BDC" w:rsidP="00577BDC">
      <w:pPr>
        <w:tabs>
          <w:tab w:val="left" w:pos="489"/>
        </w:tabs>
        <w:jc w:val="both"/>
        <w:rPr>
          <w:rFonts w:asciiTheme="majorHAnsi" w:hAnsiTheme="majorHAnsi" w:cstheme="majorHAnsi"/>
        </w:rPr>
      </w:pPr>
    </w:p>
    <w:p w:rsidR="00577BDC" w:rsidRDefault="00577BDC" w:rsidP="00577BDC">
      <w:pPr>
        <w:tabs>
          <w:tab w:val="left" w:pos="489"/>
        </w:tabs>
        <w:jc w:val="both"/>
        <w:rPr>
          <w:rFonts w:asciiTheme="majorHAnsi" w:hAnsiTheme="majorHAnsi" w:cstheme="majorHAnsi"/>
        </w:rPr>
      </w:pPr>
      <w:r>
        <w:rPr>
          <w:rFonts w:asciiTheme="majorHAnsi" w:hAnsiTheme="majorHAnsi" w:cstheme="majorHAnsi"/>
        </w:rPr>
        <w:t>Artículo 8</w:t>
      </w:r>
      <w:r w:rsidR="0090563E">
        <w:rPr>
          <w:rFonts w:asciiTheme="majorHAnsi" w:hAnsiTheme="majorHAnsi" w:cstheme="majorHAnsi"/>
        </w:rPr>
        <w:t>7</w:t>
      </w:r>
      <w:r>
        <w:rPr>
          <w:rFonts w:asciiTheme="majorHAnsi" w:hAnsiTheme="majorHAnsi" w:cstheme="majorHAnsi"/>
        </w:rPr>
        <w:t>. En base a la</w:t>
      </w:r>
      <w:r w:rsidR="007B4511">
        <w:rPr>
          <w:rFonts w:asciiTheme="majorHAnsi" w:hAnsiTheme="majorHAnsi" w:cstheme="majorHAnsi"/>
        </w:rPr>
        <w:t>s</w:t>
      </w:r>
      <w:r>
        <w:rPr>
          <w:rFonts w:asciiTheme="majorHAnsi" w:hAnsiTheme="majorHAnsi" w:cstheme="majorHAnsi"/>
        </w:rPr>
        <w:t xml:space="preserve"> definici</w:t>
      </w:r>
      <w:r w:rsidR="007B4511">
        <w:rPr>
          <w:rFonts w:asciiTheme="majorHAnsi" w:hAnsiTheme="majorHAnsi" w:cstheme="majorHAnsi"/>
        </w:rPr>
        <w:t xml:space="preserve">ones </w:t>
      </w:r>
      <w:r>
        <w:rPr>
          <w:rFonts w:asciiTheme="majorHAnsi" w:hAnsiTheme="majorHAnsi" w:cstheme="majorHAnsi"/>
        </w:rPr>
        <w:t xml:space="preserve">del artículo 86A se </w:t>
      </w:r>
      <w:r w:rsidR="006807E5">
        <w:rPr>
          <w:rFonts w:asciiTheme="majorHAnsi" w:hAnsiTheme="majorHAnsi" w:cstheme="majorHAnsi"/>
        </w:rPr>
        <w:t>establece la siguiente regla fiscal para el financiamiento de las instituciones de educación superior públicas</w:t>
      </w:r>
    </w:p>
    <w:p w:rsidR="006807E5" w:rsidRDefault="006807E5" w:rsidP="00577BDC">
      <w:pPr>
        <w:tabs>
          <w:tab w:val="left" w:pos="489"/>
        </w:tabs>
        <w:jc w:val="both"/>
        <w:rPr>
          <w:rFonts w:asciiTheme="majorHAnsi" w:hAnsiTheme="majorHAnsi" w:cstheme="majorHAnsi"/>
        </w:rPr>
      </w:pPr>
    </w:p>
    <w:p w:rsidR="006807E5" w:rsidRPr="00C7194F" w:rsidRDefault="003A5108" w:rsidP="00577BDC">
      <w:pPr>
        <w:tabs>
          <w:tab w:val="left" w:pos="489"/>
        </w:tabs>
        <w:jc w:val="both"/>
        <w:rPr>
          <w:rFonts w:asciiTheme="majorHAnsi" w:hAnsiTheme="majorHAnsi" w:cstheme="majorHAnsi"/>
          <w:sz w:val="20"/>
          <w:szCs w:val="20"/>
        </w:rPr>
      </w:pPr>
      <m:oMathPara>
        <m:oMath>
          <m:sSub>
            <m:sSubPr>
              <m:ctrlPr>
                <w:rPr>
                  <w:rFonts w:ascii="Cambria Math" w:hAnsi="Cambria Math" w:cstheme="majorHAnsi"/>
                  <w:i/>
                  <w:sz w:val="20"/>
                  <w:szCs w:val="20"/>
                </w:rPr>
              </m:ctrlPr>
            </m:sSubPr>
            <m:e>
              <m:r>
                <w:rPr>
                  <w:rFonts w:ascii="Cambria Math" w:hAnsi="Cambria Math" w:cstheme="majorHAnsi"/>
                  <w:sz w:val="20"/>
                  <w:szCs w:val="20"/>
                </w:rPr>
                <m:t>Apropiación IES públicas</m:t>
              </m:r>
            </m:e>
            <m:sub>
              <m:r>
                <w:rPr>
                  <w:rFonts w:ascii="Cambria Math" w:hAnsi="Cambria Math" w:cstheme="majorHAnsi"/>
                  <w:sz w:val="20"/>
                  <w:szCs w:val="20"/>
                </w:rPr>
                <m:t>t</m:t>
              </m:r>
            </m:sub>
          </m:sSub>
          <m:r>
            <w:rPr>
              <w:rFonts w:ascii="Cambria Math" w:hAnsi="Cambria Math" w:cstheme="majorHAnsi"/>
              <w:sz w:val="20"/>
              <w:szCs w:val="20"/>
            </w:rPr>
            <m:t>=</m:t>
          </m:r>
          <m:sSub>
            <m:sSubPr>
              <m:ctrlPr>
                <w:rPr>
                  <w:rFonts w:ascii="Cambria Math" w:eastAsiaTheme="minorHAnsi" w:hAnsi="Cambria Math" w:cstheme="majorHAnsi"/>
                  <w:i/>
                  <w:sz w:val="20"/>
                  <w:szCs w:val="20"/>
                  <w:lang w:val="es-ES_tradnl" w:eastAsia="en-US"/>
                </w:rPr>
              </m:ctrlPr>
            </m:sSubPr>
            <m:e>
              <m:sSub>
                <m:sSubPr>
                  <m:ctrlPr>
                    <w:rPr>
                      <w:rFonts w:ascii="Cambria Math" w:eastAsiaTheme="minorHAnsi" w:hAnsi="Cambria Math" w:cstheme="majorHAnsi"/>
                      <w:i/>
                      <w:sz w:val="20"/>
                      <w:szCs w:val="20"/>
                      <w:lang w:val="es-ES_tradnl" w:eastAsia="en-US"/>
                    </w:rPr>
                  </m:ctrlPr>
                </m:sSubPr>
                <m:e>
                  <m:r>
                    <w:rPr>
                      <w:rFonts w:ascii="Cambria Math" w:hAnsi="Cambria Math" w:cstheme="majorHAnsi"/>
                      <w:sz w:val="20"/>
                      <w:szCs w:val="20"/>
                    </w:rPr>
                    <m:t>Base presupuestal</m:t>
                  </m:r>
                </m:e>
                <m:sub>
                  <m:r>
                    <w:rPr>
                      <w:rFonts w:ascii="Cambria Math" w:hAnsi="Cambria Math" w:cstheme="majorHAnsi"/>
                      <w:sz w:val="20"/>
                      <w:szCs w:val="20"/>
                    </w:rPr>
                    <m:t>t</m:t>
                  </m:r>
                </m:sub>
              </m:sSub>
              <m:r>
                <w:rPr>
                  <w:rFonts w:ascii="Cambria Math" w:hAnsi="Cambria Math" w:cstheme="majorHAnsi"/>
                  <w:sz w:val="20"/>
                  <w:szCs w:val="20"/>
                </w:rPr>
                <m:t>*(1+(</m:t>
              </m:r>
              <m:r>
                <m:rPr>
                  <m:sty m:val="p"/>
                </m:rPr>
                <w:rPr>
                  <w:rFonts w:ascii="Cambria Math" w:hAnsi="Cambria Math" w:cstheme="majorHAnsi"/>
                </w:rPr>
                <m:t>ΔPIB</m:t>
              </m:r>
            </m:e>
            <m:sub>
              <m:r>
                <w:rPr>
                  <w:rFonts w:ascii="Cambria Math" w:hAnsi="Cambria Math" w:cstheme="majorHAnsi"/>
                  <w:sz w:val="20"/>
                  <w:szCs w:val="20"/>
                </w:rPr>
                <m:t>t-1</m:t>
              </m:r>
            </m:sub>
          </m:sSub>
          <m:r>
            <w:rPr>
              <w:rFonts w:ascii="Cambria Math" w:hAnsi="Cambria Math" w:cstheme="majorHAnsi"/>
              <w:sz w:val="20"/>
              <w:szCs w:val="20"/>
            </w:rPr>
            <m:t>+</m:t>
          </m:r>
          <m:sSub>
            <m:sSubPr>
              <m:ctrlPr>
                <w:rPr>
                  <w:rFonts w:ascii="Cambria Math" w:hAnsi="Cambria Math" w:cstheme="majorHAnsi"/>
                  <w:i/>
                  <w:sz w:val="20"/>
                  <w:szCs w:val="20"/>
                </w:rPr>
              </m:ctrlPr>
            </m:sSubPr>
            <m:e>
              <m:r>
                <w:rPr>
                  <w:rFonts w:ascii="Cambria Math" w:hAnsi="Cambria Math" w:cstheme="majorHAnsi"/>
                  <w:sz w:val="20"/>
                  <w:szCs w:val="20"/>
                </w:rPr>
                <m:t>ICES</m:t>
              </m:r>
            </m:e>
            <m:sub>
              <m:r>
                <w:rPr>
                  <w:rFonts w:ascii="Cambria Math" w:hAnsi="Cambria Math" w:cstheme="majorHAnsi"/>
                  <w:sz w:val="20"/>
                  <w:szCs w:val="20"/>
                </w:rPr>
                <m:t>t-1</m:t>
              </m:r>
            </m:sub>
          </m:sSub>
          <m:r>
            <w:rPr>
              <w:rFonts w:ascii="Cambria Math" w:hAnsi="Cambria Math" w:cstheme="majorHAnsi"/>
              <w:sz w:val="20"/>
              <w:szCs w:val="20"/>
            </w:rPr>
            <m:t>+</m:t>
          </m:r>
          <m:sSub>
            <m:sSubPr>
              <m:ctrlPr>
                <w:rPr>
                  <w:rFonts w:ascii="Cambria Math" w:hAnsi="Cambria Math" w:cstheme="majorHAnsi"/>
                  <w:i/>
                  <w:sz w:val="20"/>
                  <w:szCs w:val="20"/>
                </w:rPr>
              </m:ctrlPr>
            </m:sSubPr>
            <m:e>
              <m:r>
                <w:rPr>
                  <w:rFonts w:ascii="Cambria Math" w:hAnsi="Cambria Math" w:cstheme="majorHAnsi"/>
                  <w:sz w:val="20"/>
                  <w:szCs w:val="20"/>
                </w:rPr>
                <m:t>Brecha PIB</m:t>
              </m:r>
            </m:e>
            <m:sub>
              <m:r>
                <w:rPr>
                  <w:rFonts w:ascii="Cambria Math" w:hAnsi="Cambria Math" w:cstheme="majorHAnsi"/>
                  <w:sz w:val="20"/>
                  <w:szCs w:val="20"/>
                </w:rPr>
                <m:t>t-1</m:t>
              </m:r>
            </m:sub>
          </m:sSub>
          <m:r>
            <w:rPr>
              <w:rFonts w:ascii="Cambria Math" w:hAnsi="Cambria Math" w:cstheme="majorHAnsi"/>
              <w:sz w:val="20"/>
              <w:szCs w:val="20"/>
            </w:rPr>
            <m:t>+</m:t>
          </m:r>
          <m:sSub>
            <m:sSubPr>
              <m:ctrlPr>
                <w:rPr>
                  <w:rFonts w:ascii="Cambria Math" w:hAnsi="Cambria Math" w:cstheme="majorHAnsi"/>
                  <w:i/>
                  <w:sz w:val="20"/>
                  <w:szCs w:val="20"/>
                </w:rPr>
              </m:ctrlPr>
            </m:sSubPr>
            <m:e>
              <m:r>
                <w:rPr>
                  <w:rFonts w:ascii="Cambria Math" w:hAnsi="Cambria Math" w:cstheme="majorHAnsi"/>
                  <w:sz w:val="20"/>
                  <w:szCs w:val="20"/>
                </w:rPr>
                <m:t>Cobertura</m:t>
              </m:r>
            </m:e>
            <m:sub>
              <m:r>
                <w:rPr>
                  <w:rFonts w:ascii="Cambria Math" w:hAnsi="Cambria Math" w:cstheme="majorHAnsi"/>
                  <w:sz w:val="20"/>
                  <w:szCs w:val="20"/>
                </w:rPr>
                <m:t>t</m:t>
              </m:r>
            </m:sub>
          </m:sSub>
          <m:r>
            <w:rPr>
              <w:rFonts w:ascii="Cambria Math" w:hAnsi="Cambria Math" w:cstheme="majorHAnsi"/>
              <w:sz w:val="20"/>
              <w:szCs w:val="20"/>
            </w:rPr>
            <m:t>+2%))</m:t>
          </m:r>
        </m:oMath>
      </m:oMathPara>
    </w:p>
    <w:p w:rsidR="00577BDC" w:rsidRDefault="00577BDC" w:rsidP="00577BDC">
      <w:pPr>
        <w:jc w:val="both"/>
        <w:rPr>
          <w:rFonts w:asciiTheme="majorHAnsi" w:hAnsiTheme="majorHAnsi" w:cstheme="majorHAnsi"/>
        </w:rPr>
      </w:pPr>
    </w:p>
    <w:p w:rsidR="003A5A66" w:rsidRPr="00577BDC" w:rsidRDefault="003A5A66" w:rsidP="00577BDC">
      <w:pPr>
        <w:jc w:val="both"/>
        <w:rPr>
          <w:rFonts w:asciiTheme="majorHAnsi" w:hAnsiTheme="majorHAnsi" w:cstheme="majorHAnsi"/>
        </w:rPr>
      </w:pPr>
      <w:r>
        <w:rPr>
          <w:rFonts w:asciiTheme="majorHAnsi" w:hAnsiTheme="majorHAnsi" w:cstheme="majorHAnsi"/>
        </w:rPr>
        <w:t xml:space="preserve">Parágrafo 1. </w:t>
      </w:r>
      <w:r w:rsidR="000D5788" w:rsidRPr="005A61A9">
        <w:rPr>
          <w:rFonts w:asciiTheme="majorHAnsi" w:hAnsiTheme="majorHAnsi" w:cstheme="majorHAnsi"/>
        </w:rPr>
        <w:t>El C</w:t>
      </w:r>
      <w:r w:rsidR="000D5788">
        <w:rPr>
          <w:rFonts w:asciiTheme="majorHAnsi" w:hAnsiTheme="majorHAnsi" w:cstheme="majorHAnsi"/>
        </w:rPr>
        <w:t>onsejo de Educación Superior, el Sistema Universitario Estatal, el Departamento Nacional de Planeación, el Ministerio de Educación Nacional y el Ministerio de Hacienda y Crédito Público diseñarán un mecanismo de distribución de recursos para las instituciones de educación superior públicas teniendo en cuenta número de matriculados, calidad, aumento de cobertura, reducción de deserción y mejoras en materia de equidad de género.</w:t>
      </w:r>
    </w:p>
    <w:p w:rsidR="005E2A31" w:rsidRDefault="005E2A31" w:rsidP="005A61A9">
      <w:pPr>
        <w:jc w:val="both"/>
        <w:rPr>
          <w:rFonts w:asciiTheme="majorHAnsi" w:hAnsiTheme="majorHAnsi" w:cstheme="majorHAnsi"/>
        </w:rPr>
      </w:pPr>
    </w:p>
    <w:p w:rsidR="007E5A06" w:rsidRDefault="005A61A9" w:rsidP="005A61A9">
      <w:pPr>
        <w:jc w:val="both"/>
        <w:rPr>
          <w:rFonts w:asciiTheme="majorHAnsi" w:hAnsiTheme="majorHAnsi" w:cstheme="majorHAnsi"/>
        </w:rPr>
      </w:pPr>
      <w:r w:rsidRPr="005A61A9">
        <w:rPr>
          <w:rFonts w:asciiTheme="majorHAnsi" w:hAnsiTheme="majorHAnsi" w:cstheme="majorHAnsi"/>
        </w:rPr>
        <w:t xml:space="preserve">Artículo Transitorio </w:t>
      </w:r>
      <w:r w:rsidR="005E2A31">
        <w:rPr>
          <w:rFonts w:asciiTheme="majorHAnsi" w:hAnsiTheme="majorHAnsi" w:cstheme="majorHAnsi"/>
        </w:rPr>
        <w:t>87A</w:t>
      </w:r>
      <w:r w:rsidRPr="005A61A9">
        <w:rPr>
          <w:rFonts w:asciiTheme="majorHAnsi" w:hAnsiTheme="majorHAnsi" w:cstheme="majorHAnsi"/>
        </w:rPr>
        <w:t>. Saneamiento del desfinanciamiento. El C</w:t>
      </w:r>
      <w:r w:rsidR="005E2A31">
        <w:rPr>
          <w:rFonts w:asciiTheme="majorHAnsi" w:hAnsiTheme="majorHAnsi" w:cstheme="majorHAnsi"/>
        </w:rPr>
        <w:t>onsejo de Educación Superior, el Sistema Universitario Estatal, el Departamento Nacional de Planeación, el Ministerio de Educación Nacional y el Ministerio de Hacienda y Crédito Público</w:t>
      </w:r>
      <w:r w:rsidRPr="005A61A9">
        <w:rPr>
          <w:rFonts w:asciiTheme="majorHAnsi" w:hAnsiTheme="majorHAnsi" w:cstheme="majorHAnsi"/>
        </w:rPr>
        <w:t xml:space="preserve"> definirá</w:t>
      </w:r>
      <w:r w:rsidR="005E2A31">
        <w:rPr>
          <w:rFonts w:asciiTheme="majorHAnsi" w:hAnsiTheme="majorHAnsi" w:cstheme="majorHAnsi"/>
        </w:rPr>
        <w:t>n</w:t>
      </w:r>
      <w:r w:rsidRPr="005A61A9">
        <w:rPr>
          <w:rFonts w:asciiTheme="majorHAnsi" w:hAnsiTheme="majorHAnsi" w:cstheme="majorHAnsi"/>
        </w:rPr>
        <w:t xml:space="preserve"> un</w:t>
      </w:r>
      <w:r w:rsidR="007E6DEE">
        <w:rPr>
          <w:rFonts w:asciiTheme="majorHAnsi" w:hAnsiTheme="majorHAnsi" w:cstheme="majorHAnsi"/>
        </w:rPr>
        <w:t xml:space="preserve"> plan de pagos</w:t>
      </w:r>
      <w:r w:rsidRPr="005A61A9">
        <w:rPr>
          <w:rFonts w:asciiTheme="majorHAnsi" w:hAnsiTheme="majorHAnsi" w:cstheme="majorHAnsi"/>
        </w:rPr>
        <w:t xml:space="preserve"> </w:t>
      </w:r>
      <w:r w:rsidR="00577B06">
        <w:rPr>
          <w:rFonts w:asciiTheme="majorHAnsi" w:hAnsiTheme="majorHAnsi" w:cstheme="majorHAnsi"/>
        </w:rPr>
        <w:t>para</w:t>
      </w:r>
      <w:r w:rsidRPr="005A61A9">
        <w:rPr>
          <w:rFonts w:asciiTheme="majorHAnsi" w:hAnsiTheme="majorHAnsi" w:cstheme="majorHAnsi"/>
        </w:rPr>
        <w:t xml:space="preserve"> </w:t>
      </w:r>
      <w:r w:rsidR="007E6DEE">
        <w:rPr>
          <w:rFonts w:asciiTheme="majorHAnsi" w:hAnsiTheme="majorHAnsi" w:cstheme="majorHAnsi"/>
        </w:rPr>
        <w:t xml:space="preserve">el </w:t>
      </w:r>
      <w:r w:rsidRPr="005A61A9">
        <w:rPr>
          <w:rFonts w:asciiTheme="majorHAnsi" w:hAnsiTheme="majorHAnsi" w:cstheme="majorHAnsi"/>
        </w:rPr>
        <w:t>saneamiento del desfinanciamiento estructural de la educación superior</w:t>
      </w:r>
      <w:r w:rsidR="00FC5FB1">
        <w:rPr>
          <w:rFonts w:asciiTheme="majorHAnsi" w:hAnsiTheme="majorHAnsi" w:cstheme="majorHAnsi"/>
        </w:rPr>
        <w:t xml:space="preserve"> pública</w:t>
      </w:r>
      <w:r w:rsidR="007E6DEE">
        <w:rPr>
          <w:rFonts w:asciiTheme="majorHAnsi" w:hAnsiTheme="majorHAnsi" w:cstheme="majorHAnsi"/>
        </w:rPr>
        <w:t xml:space="preserve">. Este plan </w:t>
      </w:r>
      <w:r w:rsidR="00FC5FB1">
        <w:rPr>
          <w:rFonts w:asciiTheme="majorHAnsi" w:hAnsiTheme="majorHAnsi" w:cstheme="majorHAnsi"/>
        </w:rPr>
        <w:t>tendrá una duracion de máximo</w:t>
      </w:r>
      <w:r w:rsidR="00577B06">
        <w:rPr>
          <w:rFonts w:asciiTheme="majorHAnsi" w:hAnsiTheme="majorHAnsi" w:cstheme="majorHAnsi"/>
        </w:rPr>
        <w:t xml:space="preserve"> 10 años a partir de la expedición de la presente ley. </w:t>
      </w:r>
    </w:p>
    <w:p w:rsidR="00B34578" w:rsidRDefault="00B34578" w:rsidP="005A61A9">
      <w:pPr>
        <w:jc w:val="both"/>
        <w:rPr>
          <w:rFonts w:asciiTheme="majorHAnsi" w:hAnsiTheme="majorHAnsi" w:cstheme="majorHAnsi"/>
        </w:rPr>
      </w:pPr>
    </w:p>
    <w:p w:rsidR="00B34578" w:rsidRPr="005A61A9" w:rsidRDefault="00B34578" w:rsidP="005A61A9">
      <w:pPr>
        <w:jc w:val="both"/>
        <w:rPr>
          <w:rFonts w:asciiTheme="majorHAnsi" w:hAnsiTheme="majorHAnsi" w:cstheme="majorHAnsi"/>
        </w:rPr>
      </w:pPr>
      <w:r>
        <w:rPr>
          <w:rFonts w:asciiTheme="majorHAnsi" w:hAnsiTheme="majorHAnsi" w:cstheme="majorHAnsi"/>
        </w:rPr>
        <w:t xml:space="preserve">Artículo </w:t>
      </w:r>
      <w:r w:rsidR="00C37B00">
        <w:rPr>
          <w:rFonts w:asciiTheme="majorHAnsi" w:hAnsiTheme="majorHAnsi" w:cstheme="majorHAnsi"/>
        </w:rPr>
        <w:t>4</w:t>
      </w:r>
      <w:r>
        <w:rPr>
          <w:rFonts w:asciiTheme="majorHAnsi" w:hAnsiTheme="majorHAnsi" w:cstheme="majorHAnsi"/>
        </w:rPr>
        <w:t>. La presente ley rige a partir de</w:t>
      </w:r>
      <w:r w:rsidR="007E6DEE">
        <w:rPr>
          <w:rFonts w:asciiTheme="majorHAnsi" w:hAnsiTheme="majorHAnsi" w:cstheme="majorHAnsi"/>
        </w:rPr>
        <w:t xml:space="preserve"> su expedición y será efectiva para la siguiente discusión del presupuesto general de la Nación</w:t>
      </w:r>
      <w:r>
        <w:rPr>
          <w:rFonts w:asciiTheme="majorHAnsi" w:hAnsiTheme="majorHAnsi" w:cstheme="majorHAnsi"/>
        </w:rPr>
        <w:t xml:space="preserve">. </w:t>
      </w:r>
    </w:p>
    <w:sectPr w:rsidR="00B34578" w:rsidRPr="005A61A9" w:rsidSect="006976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05DB4"/>
    <w:multiLevelType w:val="hybridMultilevel"/>
    <w:tmpl w:val="F72CEAB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2A944C3"/>
    <w:multiLevelType w:val="hybridMultilevel"/>
    <w:tmpl w:val="C288804C"/>
    <w:lvl w:ilvl="0" w:tplc="6FBE45BC">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0BA131C"/>
    <w:multiLevelType w:val="hybridMultilevel"/>
    <w:tmpl w:val="C288804C"/>
    <w:lvl w:ilvl="0" w:tplc="6FBE45BC">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A9"/>
    <w:rsid w:val="00003E6B"/>
    <w:rsid w:val="00047ACA"/>
    <w:rsid w:val="000D5788"/>
    <w:rsid w:val="00154E29"/>
    <w:rsid w:val="00174F69"/>
    <w:rsid w:val="001A2310"/>
    <w:rsid w:val="001C38A9"/>
    <w:rsid w:val="001D570D"/>
    <w:rsid w:val="002122D1"/>
    <w:rsid w:val="00223F10"/>
    <w:rsid w:val="00231582"/>
    <w:rsid w:val="002C6E28"/>
    <w:rsid w:val="002D2A97"/>
    <w:rsid w:val="002F353D"/>
    <w:rsid w:val="00347023"/>
    <w:rsid w:val="003A5108"/>
    <w:rsid w:val="003A5A66"/>
    <w:rsid w:val="003E2B3C"/>
    <w:rsid w:val="003E4B0A"/>
    <w:rsid w:val="004213A1"/>
    <w:rsid w:val="004456F0"/>
    <w:rsid w:val="00523475"/>
    <w:rsid w:val="00577B06"/>
    <w:rsid w:val="00577BDC"/>
    <w:rsid w:val="0058289C"/>
    <w:rsid w:val="005A0349"/>
    <w:rsid w:val="005A61A9"/>
    <w:rsid w:val="005D709F"/>
    <w:rsid w:val="005E2A31"/>
    <w:rsid w:val="0060529D"/>
    <w:rsid w:val="0063153B"/>
    <w:rsid w:val="006702CA"/>
    <w:rsid w:val="006703B4"/>
    <w:rsid w:val="006807E5"/>
    <w:rsid w:val="0069768E"/>
    <w:rsid w:val="00702A93"/>
    <w:rsid w:val="00733370"/>
    <w:rsid w:val="00757A92"/>
    <w:rsid w:val="007B4511"/>
    <w:rsid w:val="007E6DEE"/>
    <w:rsid w:val="0083705B"/>
    <w:rsid w:val="0086239A"/>
    <w:rsid w:val="00873C93"/>
    <w:rsid w:val="00880BA8"/>
    <w:rsid w:val="00894A3C"/>
    <w:rsid w:val="0090563E"/>
    <w:rsid w:val="00970DF5"/>
    <w:rsid w:val="00970E7C"/>
    <w:rsid w:val="0097610A"/>
    <w:rsid w:val="00994B1C"/>
    <w:rsid w:val="009B7FDE"/>
    <w:rsid w:val="009E05C6"/>
    <w:rsid w:val="00AF34DF"/>
    <w:rsid w:val="00B34578"/>
    <w:rsid w:val="00B545D6"/>
    <w:rsid w:val="00BB14A1"/>
    <w:rsid w:val="00BF59E8"/>
    <w:rsid w:val="00C3229F"/>
    <w:rsid w:val="00C37B00"/>
    <w:rsid w:val="00C7194F"/>
    <w:rsid w:val="00CA5123"/>
    <w:rsid w:val="00CB25D9"/>
    <w:rsid w:val="00CB40FA"/>
    <w:rsid w:val="00CB7F2B"/>
    <w:rsid w:val="00D52035"/>
    <w:rsid w:val="00D9287E"/>
    <w:rsid w:val="00D95150"/>
    <w:rsid w:val="00DB0822"/>
    <w:rsid w:val="00E83F53"/>
    <w:rsid w:val="00EC4CFA"/>
    <w:rsid w:val="00ED62DE"/>
    <w:rsid w:val="00F40CE0"/>
    <w:rsid w:val="00F41B05"/>
    <w:rsid w:val="00F41DA5"/>
    <w:rsid w:val="00F64A82"/>
    <w:rsid w:val="00FC5FB1"/>
    <w:rsid w:val="00FD553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60FC"/>
  <w14:defaultImageDpi w14:val="32767"/>
  <w15:chartTrackingRefBased/>
  <w15:docId w15:val="{097B643E-4E54-1A46-8A40-9D42E853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A3C"/>
    <w:rPr>
      <w:rFonts w:ascii="Times New Roman" w:eastAsia="Times New Roman" w:hAnsi="Times New Roman" w:cs="Times New Roman"/>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02CA"/>
    <w:pPr>
      <w:ind w:left="720"/>
      <w:contextualSpacing/>
    </w:pPr>
  </w:style>
  <w:style w:type="character" w:styleId="Textodelmarcadordeposicin">
    <w:name w:val="Placeholder Text"/>
    <w:basedOn w:val="Fuentedeprrafopredeter"/>
    <w:uiPriority w:val="99"/>
    <w:semiHidden/>
    <w:rsid w:val="006807E5"/>
    <w:rPr>
      <w:color w:val="808080"/>
    </w:rPr>
  </w:style>
  <w:style w:type="table" w:styleId="Tablaconcuadrcula">
    <w:name w:val="Table Grid"/>
    <w:basedOn w:val="Tablanormal"/>
    <w:uiPriority w:val="39"/>
    <w:rsid w:val="00894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30755">
      <w:bodyDiv w:val="1"/>
      <w:marLeft w:val="0"/>
      <w:marRight w:val="0"/>
      <w:marTop w:val="0"/>
      <w:marBottom w:val="0"/>
      <w:divBdr>
        <w:top w:val="none" w:sz="0" w:space="0" w:color="auto"/>
        <w:left w:val="none" w:sz="0" w:space="0" w:color="auto"/>
        <w:bottom w:val="none" w:sz="0" w:space="0" w:color="auto"/>
        <w:right w:val="none" w:sz="0" w:space="0" w:color="auto"/>
      </w:divBdr>
    </w:div>
    <w:div w:id="917596827">
      <w:bodyDiv w:val="1"/>
      <w:marLeft w:val="0"/>
      <w:marRight w:val="0"/>
      <w:marTop w:val="0"/>
      <w:marBottom w:val="0"/>
      <w:divBdr>
        <w:top w:val="none" w:sz="0" w:space="0" w:color="auto"/>
        <w:left w:val="none" w:sz="0" w:space="0" w:color="auto"/>
        <w:bottom w:val="none" w:sz="0" w:space="0" w:color="auto"/>
        <w:right w:val="none" w:sz="0" w:space="0" w:color="auto"/>
      </w:divBdr>
    </w:div>
    <w:div w:id="91836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1200</Words>
  <Characters>6600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Rodríguez</dc:creator>
  <cp:keywords/>
  <dc:description/>
  <cp:lastModifiedBy>hasbleidy suarez</cp:lastModifiedBy>
  <cp:revision>15</cp:revision>
  <dcterms:created xsi:type="dcterms:W3CDTF">2018-10-20T21:10:00Z</dcterms:created>
  <dcterms:modified xsi:type="dcterms:W3CDTF">2018-11-27T20:49:00Z</dcterms:modified>
</cp:coreProperties>
</file>