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FA7CEB" w14:textId="77777777" w:rsidR="00F949F2" w:rsidRPr="006A2CF9" w:rsidRDefault="00F949F2" w:rsidP="00F949F2">
      <w:pPr>
        <w:spacing w:before="100" w:beforeAutospacing="1" w:after="100" w:afterAutospacing="1"/>
        <w:jc w:val="center"/>
        <w:outlineLvl w:val="0"/>
        <w:rPr>
          <w:rFonts w:cs="Times New Roman"/>
          <w:b/>
          <w:color w:val="000000" w:themeColor="text1"/>
        </w:rPr>
      </w:pPr>
      <w:r w:rsidRPr="006A2CF9">
        <w:rPr>
          <w:rFonts w:cs="Times New Roman"/>
          <w:b/>
          <w:bCs/>
          <w:color w:val="000000" w:themeColor="text1"/>
        </w:rPr>
        <w:t>PROYECTO DE LEY ___ DE 2018</w:t>
      </w:r>
    </w:p>
    <w:p w14:paraId="6A974A2A" w14:textId="77777777" w:rsidR="00F949F2" w:rsidRPr="006A2CF9" w:rsidRDefault="00F949F2" w:rsidP="00F949F2">
      <w:pPr>
        <w:spacing w:before="57" w:after="57" w:line="288" w:lineRule="atLeast"/>
        <w:jc w:val="center"/>
        <w:textAlignment w:val="center"/>
        <w:rPr>
          <w:rFonts w:eastAsia="Times New Roman" w:cs="Times New Roman"/>
          <w:color w:val="000000" w:themeColor="text1"/>
        </w:rPr>
      </w:pPr>
      <w:r w:rsidRPr="006A2CF9">
        <w:rPr>
          <w:rFonts w:eastAsia="Times New Roman" w:cs="Times New Roman"/>
          <w:color w:val="000000" w:themeColor="text1"/>
        </w:rPr>
        <w:t>“Por medio de la cual se crea el régimen de Zona Económica y Social Especial (ZESE) para el área metropolitana de Cúcuta”</w:t>
      </w:r>
    </w:p>
    <w:p w14:paraId="490524C5" w14:textId="77777777" w:rsidR="00F949F2" w:rsidRPr="006A2CF9" w:rsidRDefault="00F949F2" w:rsidP="00F949F2">
      <w:pPr>
        <w:spacing w:before="57" w:after="57" w:line="288" w:lineRule="atLeast"/>
        <w:jc w:val="center"/>
        <w:textAlignment w:val="center"/>
        <w:rPr>
          <w:rFonts w:cs="Times New Roman"/>
          <w:b/>
          <w:color w:val="000000" w:themeColor="text1"/>
          <w:spacing w:val="4"/>
        </w:rPr>
      </w:pPr>
    </w:p>
    <w:p w14:paraId="6560688A" w14:textId="77777777" w:rsidR="00F949F2" w:rsidRPr="006A2CF9" w:rsidRDefault="00F949F2" w:rsidP="00F949F2">
      <w:pPr>
        <w:spacing w:before="57" w:after="57" w:line="288" w:lineRule="atLeast"/>
        <w:jc w:val="center"/>
        <w:textAlignment w:val="center"/>
        <w:outlineLvl w:val="0"/>
        <w:rPr>
          <w:rFonts w:cs="Times New Roman"/>
          <w:b/>
          <w:color w:val="000000" w:themeColor="text1"/>
          <w:spacing w:val="4"/>
        </w:rPr>
      </w:pPr>
      <w:r w:rsidRPr="006A2CF9">
        <w:rPr>
          <w:rFonts w:cs="Times New Roman"/>
          <w:b/>
          <w:color w:val="000000" w:themeColor="text1"/>
          <w:spacing w:val="4"/>
        </w:rPr>
        <w:t>EXPOSICIÓN DE MOTIVOS</w:t>
      </w:r>
    </w:p>
    <w:p w14:paraId="3E976135" w14:textId="77777777" w:rsidR="00F949F2" w:rsidRPr="006A2CF9" w:rsidRDefault="00F949F2" w:rsidP="00F949F2">
      <w:pPr>
        <w:spacing w:before="57" w:after="57" w:line="288" w:lineRule="atLeast"/>
        <w:jc w:val="center"/>
        <w:textAlignment w:val="center"/>
        <w:rPr>
          <w:rFonts w:eastAsia="Times New Roman" w:cs="Times New Roman"/>
          <w:color w:val="000000" w:themeColor="text1"/>
        </w:rPr>
      </w:pPr>
    </w:p>
    <w:p w14:paraId="5078F762" w14:textId="77777777" w:rsidR="00F949F2" w:rsidRPr="006A2CF9" w:rsidRDefault="00F949F2" w:rsidP="00F949F2">
      <w:pPr>
        <w:spacing w:before="57" w:after="57" w:line="288" w:lineRule="atLeast"/>
        <w:jc w:val="both"/>
        <w:textAlignment w:val="center"/>
        <w:rPr>
          <w:rFonts w:eastAsia="Times New Roman" w:cs="Times New Roman"/>
          <w:color w:val="000000" w:themeColor="text1"/>
        </w:rPr>
      </w:pPr>
      <w:r w:rsidRPr="006A2CF9">
        <w:rPr>
          <w:rFonts w:eastAsia="Times New Roman" w:cs="Times New Roman"/>
          <w:color w:val="000000" w:themeColor="text1"/>
        </w:rPr>
        <w:t xml:space="preserve">Esta exposición de motivos está dividida en cuatro secciones. La primera contiene un balance general de la situación socioeconómica en el área metropolitana de Cúcuta, con el objetivo de plasmar la compleja coyuntura humanitaria y social que hoy se vive en dicho territorio, debido a la alta migración de población venezolana. La segunda sección describe algunos instrumentos que, desde el Gobierno </w:t>
      </w:r>
      <w:r w:rsidR="008B71F9" w:rsidRPr="006A2CF9">
        <w:rPr>
          <w:rFonts w:eastAsia="Times New Roman" w:cs="Times New Roman"/>
          <w:color w:val="000000" w:themeColor="text1"/>
        </w:rPr>
        <w:t>n</w:t>
      </w:r>
      <w:r w:rsidRPr="006A2CF9">
        <w:rPr>
          <w:rFonts w:eastAsia="Times New Roman" w:cs="Times New Roman"/>
          <w:color w:val="000000" w:themeColor="text1"/>
        </w:rPr>
        <w:t xml:space="preserve">acional, se han implementado en algunas zonas para abordar situaciones extraordinarias que inciden negativamente en las condiciones de vida de sus pobladores. La tercera sección estudia las facultades constitucionales y la línea jurisprudencial de la Corte Constitucional en materia de exenciones tributarias. Por último, se presenta una breve explicación del articulado del proyecto. </w:t>
      </w:r>
    </w:p>
    <w:p w14:paraId="4BB74F3B" w14:textId="77777777" w:rsidR="00F949F2" w:rsidRPr="006A2CF9" w:rsidRDefault="00F949F2" w:rsidP="00F949F2">
      <w:pPr>
        <w:spacing w:before="57" w:after="57" w:line="288" w:lineRule="atLeast"/>
        <w:jc w:val="both"/>
        <w:textAlignment w:val="center"/>
        <w:rPr>
          <w:rFonts w:eastAsia="Times New Roman" w:cs="Times New Roman"/>
          <w:color w:val="000000" w:themeColor="text1"/>
        </w:rPr>
      </w:pPr>
    </w:p>
    <w:p w14:paraId="52676219" w14:textId="77777777" w:rsidR="00F949F2" w:rsidRPr="006A2CF9" w:rsidRDefault="00F949F2" w:rsidP="00F949F2">
      <w:pPr>
        <w:pStyle w:val="Prrafodelista"/>
        <w:numPr>
          <w:ilvl w:val="0"/>
          <w:numId w:val="10"/>
        </w:numPr>
        <w:spacing w:before="57" w:after="57" w:line="288" w:lineRule="atLeast"/>
        <w:jc w:val="both"/>
        <w:textAlignment w:val="center"/>
        <w:rPr>
          <w:rFonts w:cs="Times New Roman"/>
          <w:b/>
          <w:color w:val="000000" w:themeColor="text1"/>
          <w:spacing w:val="4"/>
          <w:sz w:val="24"/>
          <w:szCs w:val="24"/>
          <w:lang w:val="es-ES_tradnl"/>
        </w:rPr>
      </w:pPr>
      <w:r w:rsidRPr="006A2CF9">
        <w:rPr>
          <w:rFonts w:cs="Times New Roman"/>
          <w:b/>
          <w:color w:val="000000" w:themeColor="text1"/>
          <w:spacing w:val="4"/>
          <w:sz w:val="24"/>
          <w:szCs w:val="24"/>
          <w:lang w:val="es-ES_tradnl"/>
        </w:rPr>
        <w:t>Situación socioeconómica general del área metropolitana de Cúcuta</w:t>
      </w:r>
    </w:p>
    <w:p w14:paraId="632B46DA" w14:textId="77777777" w:rsidR="00F949F2" w:rsidRPr="006A2CF9" w:rsidRDefault="00F949F2" w:rsidP="00F949F2">
      <w:pPr>
        <w:spacing w:before="57" w:after="57" w:line="288" w:lineRule="atLeast"/>
        <w:jc w:val="center"/>
        <w:textAlignment w:val="center"/>
        <w:rPr>
          <w:rFonts w:cs="Times New Roman"/>
          <w:color w:val="000000" w:themeColor="text1"/>
        </w:rPr>
      </w:pPr>
    </w:p>
    <w:p w14:paraId="0E49F702" w14:textId="77777777" w:rsidR="0010059B" w:rsidRPr="006A2CF9" w:rsidRDefault="00F949F2" w:rsidP="00F949F2">
      <w:pPr>
        <w:jc w:val="both"/>
        <w:rPr>
          <w:rFonts w:cs="Times New Roman"/>
          <w:color w:val="000000" w:themeColor="text1"/>
        </w:rPr>
      </w:pPr>
      <w:r w:rsidRPr="006A2CF9">
        <w:rPr>
          <w:rFonts w:cs="Times New Roman"/>
          <w:color w:val="000000" w:themeColor="text1"/>
        </w:rPr>
        <w:t xml:space="preserve">En los últimos años, la situación económica y social en los municipios limítrofes con Venezuela se ha tornado cada vez más compleja. Los continuos cierres en la frontera, así como las altas tasas migratorias desde el vecino país generan presiones en el mercado laboral y mayores demandas por bienes y servicios básicos que, en general, plantean la necesidad de fortalecer las capacidades productivas locales. </w:t>
      </w:r>
    </w:p>
    <w:p w14:paraId="4695CB16" w14:textId="77777777" w:rsidR="0010059B" w:rsidRPr="006A2CF9" w:rsidRDefault="0010059B" w:rsidP="00F949F2">
      <w:pPr>
        <w:jc w:val="both"/>
        <w:rPr>
          <w:rFonts w:cs="Times New Roman"/>
          <w:color w:val="000000" w:themeColor="text1"/>
        </w:rPr>
      </w:pPr>
    </w:p>
    <w:p w14:paraId="7B9CF024" w14:textId="77777777" w:rsidR="008002DE" w:rsidRPr="006A2CF9" w:rsidRDefault="00F949F2">
      <w:pPr>
        <w:jc w:val="both"/>
        <w:rPr>
          <w:rFonts w:cs="Times New Roman"/>
          <w:color w:val="000000" w:themeColor="text1"/>
        </w:rPr>
      </w:pPr>
      <w:r w:rsidRPr="006A2CF9">
        <w:rPr>
          <w:rFonts w:cs="Times New Roman"/>
          <w:color w:val="000000" w:themeColor="text1"/>
        </w:rPr>
        <w:t>Según datos de Migración Colombia, en el país residen más de 870.000 venezolanos, de los cuales el 56% no se encuentran regularizados.</w:t>
      </w:r>
      <w:r w:rsidR="0010059B" w:rsidRPr="006A2CF9">
        <w:rPr>
          <w:rFonts w:cs="Times New Roman"/>
          <w:color w:val="000000" w:themeColor="text1"/>
        </w:rPr>
        <w:t xml:space="preserve"> En particular, d</w:t>
      </w:r>
      <w:r w:rsidRPr="006A2CF9">
        <w:rPr>
          <w:rFonts w:cs="Times New Roman"/>
          <w:color w:val="000000" w:themeColor="text1"/>
        </w:rPr>
        <w:t xml:space="preserve">e acuerdo con </w:t>
      </w:r>
      <w:r w:rsidR="0010059B" w:rsidRPr="006A2CF9">
        <w:rPr>
          <w:rFonts w:cs="Times New Roman"/>
          <w:color w:val="000000" w:themeColor="text1"/>
        </w:rPr>
        <w:t>esta organización, la entrada de venezolanos por vía terrestre a través del puente internacional Simón Bolívar en Cúcuta se incrementó significativamente a partir del</w:t>
      </w:r>
      <w:r w:rsidRPr="006A2CF9">
        <w:rPr>
          <w:rFonts w:cs="Times New Roman"/>
          <w:color w:val="000000" w:themeColor="text1"/>
        </w:rPr>
        <w:t xml:space="preserve"> segundo semestre de 2016</w:t>
      </w:r>
      <w:r w:rsidR="0010059B" w:rsidRPr="006A2CF9">
        <w:rPr>
          <w:rFonts w:cs="Times New Roman"/>
          <w:color w:val="000000" w:themeColor="text1"/>
        </w:rPr>
        <w:t>: m</w:t>
      </w:r>
      <w:r w:rsidRPr="006A2CF9">
        <w:rPr>
          <w:rFonts w:cs="Times New Roman"/>
          <w:color w:val="000000" w:themeColor="text1"/>
        </w:rPr>
        <w:t xml:space="preserve">ientras que </w:t>
      </w:r>
      <w:r w:rsidR="0010059B" w:rsidRPr="006A2CF9">
        <w:rPr>
          <w:rFonts w:cs="Times New Roman"/>
          <w:color w:val="000000" w:themeColor="text1"/>
        </w:rPr>
        <w:t>ingresaron</w:t>
      </w:r>
      <w:r w:rsidRPr="006A2CF9">
        <w:rPr>
          <w:rFonts w:cs="Times New Roman"/>
          <w:color w:val="000000" w:themeColor="text1"/>
        </w:rPr>
        <w:t xml:space="preserve"> alrededor de 68.000</w:t>
      </w:r>
      <w:r w:rsidR="0010059B" w:rsidRPr="006A2CF9">
        <w:rPr>
          <w:rFonts w:cs="Times New Roman"/>
          <w:color w:val="000000" w:themeColor="text1"/>
        </w:rPr>
        <w:t xml:space="preserve"> venezolanos</w:t>
      </w:r>
      <w:r w:rsidRPr="006A2CF9">
        <w:rPr>
          <w:rFonts w:cs="Times New Roman"/>
          <w:color w:val="000000" w:themeColor="text1"/>
        </w:rPr>
        <w:t xml:space="preserve"> </w:t>
      </w:r>
      <w:r w:rsidR="0010059B" w:rsidRPr="006A2CF9">
        <w:rPr>
          <w:rFonts w:cs="Times New Roman"/>
          <w:color w:val="000000" w:themeColor="text1"/>
        </w:rPr>
        <w:t>en 2015</w:t>
      </w:r>
      <w:r w:rsidRPr="006A2CF9">
        <w:rPr>
          <w:rFonts w:cs="Times New Roman"/>
          <w:color w:val="000000" w:themeColor="text1"/>
        </w:rPr>
        <w:t>, esta cifra superó los 98.000</w:t>
      </w:r>
      <w:r w:rsidR="0010059B" w:rsidRPr="006A2CF9">
        <w:rPr>
          <w:rFonts w:cs="Times New Roman"/>
          <w:color w:val="000000" w:themeColor="text1"/>
        </w:rPr>
        <w:t xml:space="preserve"> para el año 2016</w:t>
      </w:r>
      <w:r w:rsidRPr="006A2CF9">
        <w:rPr>
          <w:rFonts w:cs="Times New Roman"/>
          <w:color w:val="000000" w:themeColor="text1"/>
        </w:rPr>
        <w:t>.</w:t>
      </w:r>
      <w:r w:rsidR="0053015E" w:rsidRPr="006A2CF9">
        <w:rPr>
          <w:rFonts w:cs="Times New Roman"/>
          <w:color w:val="000000" w:themeColor="text1"/>
        </w:rPr>
        <w:t xml:space="preserve"> La migración de venezolanos en 2017 </w:t>
      </w:r>
      <w:r w:rsidR="008C7B54" w:rsidRPr="006A2CF9">
        <w:rPr>
          <w:rFonts w:cs="Times New Roman"/>
          <w:color w:val="000000" w:themeColor="text1"/>
        </w:rPr>
        <w:t>se acentuó, registrando un ingreso de más de</w:t>
      </w:r>
      <w:r w:rsidR="0053015E" w:rsidRPr="006A2CF9">
        <w:rPr>
          <w:rFonts w:cs="Times New Roman"/>
          <w:color w:val="000000" w:themeColor="text1"/>
        </w:rPr>
        <w:t xml:space="preserve"> </w:t>
      </w:r>
      <w:r w:rsidRPr="006A2CF9">
        <w:rPr>
          <w:rFonts w:cs="Times New Roman"/>
          <w:color w:val="000000" w:themeColor="text1"/>
        </w:rPr>
        <w:t xml:space="preserve">420.000 personas a través de la frontera </w:t>
      </w:r>
      <w:r w:rsidR="0053015E" w:rsidRPr="006A2CF9">
        <w:rPr>
          <w:rFonts w:cs="Times New Roman"/>
          <w:color w:val="000000" w:themeColor="text1"/>
        </w:rPr>
        <w:t>con</w:t>
      </w:r>
      <w:r w:rsidRPr="006A2CF9">
        <w:rPr>
          <w:rFonts w:cs="Times New Roman"/>
          <w:color w:val="000000" w:themeColor="text1"/>
        </w:rPr>
        <w:t xml:space="preserve"> Cúcuta.</w:t>
      </w:r>
      <w:r w:rsidR="0053015E" w:rsidRPr="006A2CF9">
        <w:rPr>
          <w:rFonts w:cs="Times New Roman"/>
          <w:color w:val="000000" w:themeColor="text1"/>
        </w:rPr>
        <w:t xml:space="preserve"> Esta situación se agudizó en 2018 y a septiembre l</w:t>
      </w:r>
      <w:r w:rsidRPr="006A2CF9">
        <w:rPr>
          <w:rFonts w:cs="Times New Roman"/>
          <w:color w:val="000000" w:themeColor="text1"/>
        </w:rPr>
        <w:t>a cifra super</w:t>
      </w:r>
      <w:r w:rsidR="0053015E" w:rsidRPr="006A2CF9">
        <w:rPr>
          <w:rFonts w:cs="Times New Roman"/>
          <w:color w:val="000000" w:themeColor="text1"/>
        </w:rPr>
        <w:t>ó</w:t>
      </w:r>
      <w:r w:rsidRPr="006A2CF9">
        <w:rPr>
          <w:rFonts w:cs="Times New Roman"/>
          <w:color w:val="000000" w:themeColor="text1"/>
        </w:rPr>
        <w:t xml:space="preserve"> los 640.000 migrantes. </w:t>
      </w:r>
      <w:r w:rsidR="008002DE" w:rsidRPr="006A2CF9">
        <w:rPr>
          <w:rFonts w:cs="Times New Roman"/>
          <w:color w:val="000000" w:themeColor="text1"/>
        </w:rPr>
        <w:t xml:space="preserve">En </w:t>
      </w:r>
      <w:r w:rsidR="004C41E1" w:rsidRPr="006A2CF9">
        <w:rPr>
          <w:rFonts w:cs="Times New Roman"/>
          <w:color w:val="000000" w:themeColor="text1"/>
        </w:rPr>
        <w:t>resumen,</w:t>
      </w:r>
      <w:r w:rsidR="008002DE" w:rsidRPr="006A2CF9">
        <w:rPr>
          <w:rFonts w:cs="Times New Roman"/>
          <w:color w:val="000000" w:themeColor="text1"/>
        </w:rPr>
        <w:t xml:space="preserve"> entre 2015 y septiembre de 2018 ingresaron más de 1.200.000 venezolanos por el puente Simón Bolívar</w:t>
      </w:r>
      <w:r w:rsidR="003F75AB" w:rsidRPr="006A2CF9">
        <w:rPr>
          <w:rFonts w:cs="Times New Roman"/>
          <w:color w:val="000000" w:themeColor="text1"/>
        </w:rPr>
        <w:t xml:space="preserve"> (Gráfico 1)</w:t>
      </w:r>
      <w:r w:rsidR="008002DE" w:rsidRPr="006A2CF9">
        <w:rPr>
          <w:rFonts w:cs="Times New Roman"/>
          <w:color w:val="000000" w:themeColor="text1"/>
        </w:rPr>
        <w:t>.</w:t>
      </w:r>
    </w:p>
    <w:p w14:paraId="4EB59D86" w14:textId="77777777" w:rsidR="00F949F2" w:rsidRPr="00C366A7" w:rsidRDefault="00F949F2" w:rsidP="00F949F2">
      <w:pPr>
        <w:jc w:val="both"/>
        <w:rPr>
          <w:rFonts w:cs="Times New Roman"/>
          <w:color w:val="000000" w:themeColor="text1"/>
          <w:sz w:val="26"/>
          <w:szCs w:val="26"/>
        </w:rPr>
      </w:pPr>
    </w:p>
    <w:p w14:paraId="2868EEAE" w14:textId="77777777" w:rsidR="00781F14" w:rsidRPr="00C366A7" w:rsidRDefault="00F949F2" w:rsidP="00781F14">
      <w:pPr>
        <w:jc w:val="center"/>
        <w:rPr>
          <w:b/>
          <w:bCs/>
          <w:color w:val="000000" w:themeColor="text1"/>
          <w:sz w:val="22"/>
          <w:szCs w:val="26"/>
          <w:lang w:val="es-CO"/>
        </w:rPr>
      </w:pPr>
      <w:r w:rsidRPr="00C366A7">
        <w:rPr>
          <w:rFonts w:cs="Times New Roman"/>
          <w:b/>
          <w:color w:val="000000" w:themeColor="text1"/>
          <w:sz w:val="22"/>
          <w:szCs w:val="26"/>
        </w:rPr>
        <w:t xml:space="preserve">Grafico 1. </w:t>
      </w:r>
      <w:r w:rsidRPr="00C366A7">
        <w:rPr>
          <w:b/>
          <w:bCs/>
          <w:color w:val="000000" w:themeColor="text1"/>
          <w:sz w:val="22"/>
          <w:szCs w:val="26"/>
          <w:lang w:val="es-CO"/>
        </w:rPr>
        <w:t>Entrada de venezolanos vía terrestre por el puente internacional Simón Bolívar</w:t>
      </w:r>
      <w:r w:rsidR="00781F14" w:rsidRPr="00C366A7">
        <w:rPr>
          <w:b/>
          <w:bCs/>
          <w:color w:val="000000" w:themeColor="text1"/>
          <w:sz w:val="22"/>
          <w:szCs w:val="26"/>
          <w:lang w:val="es-CO"/>
        </w:rPr>
        <w:t>, 2015-2018 (septiembre)</w:t>
      </w:r>
    </w:p>
    <w:p w14:paraId="5C994A3F" w14:textId="77777777" w:rsidR="00F949F2" w:rsidRPr="00C366A7" w:rsidRDefault="00F949F2" w:rsidP="00F949F2">
      <w:pPr>
        <w:jc w:val="center"/>
        <w:rPr>
          <w:rFonts w:cs="Times New Roman"/>
          <w:b/>
          <w:color w:val="000000" w:themeColor="text1"/>
          <w:sz w:val="26"/>
          <w:szCs w:val="26"/>
          <w:lang w:val="es-CO"/>
        </w:rPr>
      </w:pPr>
      <w:r w:rsidRPr="00C366A7">
        <w:rPr>
          <w:rFonts w:cs="Times New Roman"/>
          <w:b/>
          <w:noProof/>
          <w:color w:val="000000" w:themeColor="text1"/>
          <w:sz w:val="26"/>
          <w:szCs w:val="26"/>
          <w:lang w:val="es-CO" w:eastAsia="es-CO"/>
        </w:rPr>
        <w:lastRenderedPageBreak/>
        <w:drawing>
          <wp:inline distT="0" distB="0" distL="0" distR="0" wp14:anchorId="294D0624" wp14:editId="0AF16906">
            <wp:extent cx="5359400" cy="2632706"/>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1383" cy="2638592"/>
                    </a:xfrm>
                    <a:prstGeom prst="rect">
                      <a:avLst/>
                    </a:prstGeom>
                    <a:noFill/>
                  </pic:spPr>
                </pic:pic>
              </a:graphicData>
            </a:graphic>
          </wp:inline>
        </w:drawing>
      </w:r>
    </w:p>
    <w:p w14:paraId="7FC24633" w14:textId="77777777" w:rsidR="00F949F2" w:rsidRPr="00C366A7" w:rsidRDefault="00F949F2" w:rsidP="00E802F0">
      <w:pPr>
        <w:jc w:val="both"/>
        <w:rPr>
          <w:rFonts w:cs="Times New Roman"/>
          <w:color w:val="000000" w:themeColor="text1"/>
          <w:sz w:val="18"/>
          <w:szCs w:val="26"/>
          <w:lang w:val="es-CO"/>
        </w:rPr>
      </w:pPr>
      <w:r w:rsidRPr="00C366A7">
        <w:rPr>
          <w:rFonts w:cs="Times New Roman"/>
          <w:color w:val="000000" w:themeColor="text1"/>
          <w:sz w:val="18"/>
          <w:szCs w:val="26"/>
          <w:lang w:val="es-CO"/>
        </w:rPr>
        <w:t xml:space="preserve">Fuente: Migración Colombia </w:t>
      </w:r>
    </w:p>
    <w:p w14:paraId="5B0C0145" w14:textId="77777777" w:rsidR="00F949F2" w:rsidRPr="00C366A7" w:rsidRDefault="00F949F2" w:rsidP="00F949F2">
      <w:pPr>
        <w:jc w:val="both"/>
        <w:rPr>
          <w:rFonts w:cs="Times New Roman"/>
          <w:color w:val="000000" w:themeColor="text1"/>
          <w:sz w:val="26"/>
          <w:szCs w:val="26"/>
        </w:rPr>
      </w:pPr>
    </w:p>
    <w:p w14:paraId="76999FE3" w14:textId="77777777" w:rsidR="00F949F2" w:rsidRPr="00C366A7" w:rsidRDefault="00F949F2" w:rsidP="00F949F2">
      <w:pPr>
        <w:jc w:val="both"/>
        <w:rPr>
          <w:rFonts w:cs="Times New Roman"/>
          <w:color w:val="000000" w:themeColor="text1"/>
          <w:sz w:val="26"/>
          <w:szCs w:val="26"/>
        </w:rPr>
      </w:pPr>
    </w:p>
    <w:p w14:paraId="7E97AFE9" w14:textId="77777777" w:rsidR="00F949F2" w:rsidRPr="00074D6C" w:rsidRDefault="00F949F2" w:rsidP="00F949F2">
      <w:pPr>
        <w:jc w:val="both"/>
        <w:rPr>
          <w:rFonts w:cs="Times New Roman"/>
          <w:color w:val="000000" w:themeColor="text1"/>
        </w:rPr>
      </w:pPr>
      <w:r w:rsidRPr="00074D6C">
        <w:rPr>
          <w:rFonts w:cs="Times New Roman"/>
          <w:color w:val="000000" w:themeColor="text1"/>
        </w:rPr>
        <w:t>Si bien no todos los venezolanos que ingresan por Cúcuta se quedan en esta ciudad, desde 2015 más de 74.000 han declarado a Cúcuta como su lugar de hospedaje, siendo el tercer destino con mayor número de venezolanos hospedados</w:t>
      </w:r>
      <w:r w:rsidR="008002DE" w:rsidRPr="00074D6C">
        <w:rPr>
          <w:rFonts w:cs="Times New Roman"/>
          <w:color w:val="000000" w:themeColor="text1"/>
        </w:rPr>
        <w:t xml:space="preserve">. En </w:t>
      </w:r>
      <w:r w:rsidRPr="00074D6C">
        <w:rPr>
          <w:rFonts w:cs="Times New Roman"/>
          <w:color w:val="000000" w:themeColor="text1"/>
        </w:rPr>
        <w:t>primer lugar</w:t>
      </w:r>
      <w:r w:rsidR="00D90E67" w:rsidRPr="00074D6C">
        <w:rPr>
          <w:rFonts w:cs="Times New Roman"/>
          <w:color w:val="000000" w:themeColor="text1"/>
        </w:rPr>
        <w:t>,</w:t>
      </w:r>
      <w:r w:rsidRPr="00074D6C">
        <w:rPr>
          <w:rFonts w:cs="Times New Roman"/>
          <w:color w:val="000000" w:themeColor="text1"/>
        </w:rPr>
        <w:t xml:space="preserve"> se encuentra Ipiales con más de 466.000, seguido por Bogotá con alrededor de 461.000 migrantes hospedados</w:t>
      </w:r>
      <w:r w:rsidR="003F75AB" w:rsidRPr="00074D6C">
        <w:rPr>
          <w:rFonts w:cs="Times New Roman"/>
          <w:color w:val="000000" w:themeColor="text1"/>
        </w:rPr>
        <w:t xml:space="preserve"> (Gráfico 2)</w:t>
      </w:r>
      <w:r w:rsidRPr="00074D6C">
        <w:rPr>
          <w:rFonts w:cs="Times New Roman"/>
          <w:color w:val="000000" w:themeColor="text1"/>
        </w:rPr>
        <w:t xml:space="preserve">. </w:t>
      </w:r>
    </w:p>
    <w:p w14:paraId="1C4485F1" w14:textId="77777777" w:rsidR="00D90E67" w:rsidRPr="00C366A7" w:rsidRDefault="00D90E67" w:rsidP="00F949F2">
      <w:pPr>
        <w:jc w:val="both"/>
        <w:rPr>
          <w:rFonts w:cs="Times New Roman"/>
          <w:color w:val="000000" w:themeColor="text1"/>
          <w:sz w:val="26"/>
          <w:szCs w:val="26"/>
        </w:rPr>
      </w:pPr>
    </w:p>
    <w:p w14:paraId="0BD3319D" w14:textId="77777777" w:rsidR="00F949F2" w:rsidRPr="00C366A7" w:rsidRDefault="00F949F2" w:rsidP="00F949F2">
      <w:pPr>
        <w:jc w:val="center"/>
        <w:rPr>
          <w:rFonts w:cs="Times New Roman"/>
          <w:b/>
          <w:color w:val="000000" w:themeColor="text1"/>
          <w:sz w:val="22"/>
          <w:szCs w:val="22"/>
        </w:rPr>
      </w:pPr>
      <w:r w:rsidRPr="00C366A7">
        <w:rPr>
          <w:rFonts w:cs="Times New Roman"/>
          <w:b/>
          <w:color w:val="000000" w:themeColor="text1"/>
          <w:sz w:val="22"/>
          <w:szCs w:val="22"/>
        </w:rPr>
        <w:t>Grafico 2.</w:t>
      </w:r>
      <w:r w:rsidR="00D8776B" w:rsidRPr="00C366A7">
        <w:rPr>
          <w:rFonts w:cs="Times New Roman"/>
          <w:b/>
          <w:color w:val="000000" w:themeColor="text1"/>
          <w:sz w:val="22"/>
          <w:szCs w:val="22"/>
        </w:rPr>
        <w:t xml:space="preserve"> </w:t>
      </w:r>
      <w:r w:rsidRPr="00C366A7">
        <w:rPr>
          <w:rFonts w:cs="Times New Roman"/>
          <w:b/>
          <w:color w:val="000000" w:themeColor="text1"/>
          <w:sz w:val="22"/>
          <w:szCs w:val="22"/>
        </w:rPr>
        <w:t xml:space="preserve"> Principales ciudades de hospedaje de venezolanos</w:t>
      </w:r>
      <w:r w:rsidR="00781F14" w:rsidRPr="00C366A7">
        <w:rPr>
          <w:rFonts w:cs="Times New Roman"/>
          <w:b/>
          <w:color w:val="000000" w:themeColor="text1"/>
          <w:sz w:val="22"/>
          <w:szCs w:val="22"/>
        </w:rPr>
        <w:t>, 2015-2018 (septiembre)</w:t>
      </w:r>
    </w:p>
    <w:p w14:paraId="40231D51" w14:textId="77777777" w:rsidR="00F949F2" w:rsidRPr="00C366A7" w:rsidRDefault="00F949F2" w:rsidP="00F949F2">
      <w:pPr>
        <w:jc w:val="center"/>
        <w:rPr>
          <w:rFonts w:cs="Times New Roman"/>
          <w:b/>
          <w:color w:val="000000" w:themeColor="text1"/>
          <w:sz w:val="26"/>
          <w:szCs w:val="26"/>
        </w:rPr>
      </w:pPr>
      <w:r w:rsidRPr="00C366A7">
        <w:rPr>
          <w:rFonts w:cs="Times New Roman"/>
          <w:b/>
          <w:noProof/>
          <w:color w:val="000000" w:themeColor="text1"/>
          <w:sz w:val="26"/>
          <w:szCs w:val="26"/>
          <w:lang w:val="es-CO" w:eastAsia="es-CO"/>
        </w:rPr>
        <w:drawing>
          <wp:inline distT="0" distB="0" distL="0" distR="0" wp14:anchorId="6A56CBC4" wp14:editId="1ED40E13">
            <wp:extent cx="4584700" cy="2749550"/>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4700" cy="2749550"/>
                    </a:xfrm>
                    <a:prstGeom prst="rect">
                      <a:avLst/>
                    </a:prstGeom>
                    <a:noFill/>
                  </pic:spPr>
                </pic:pic>
              </a:graphicData>
            </a:graphic>
          </wp:inline>
        </w:drawing>
      </w:r>
    </w:p>
    <w:p w14:paraId="1E2878A1" w14:textId="77777777" w:rsidR="00F949F2" w:rsidRPr="00C366A7" w:rsidRDefault="00F949F2" w:rsidP="00E802F0">
      <w:pPr>
        <w:jc w:val="both"/>
        <w:rPr>
          <w:rFonts w:cs="Times New Roman"/>
          <w:color w:val="000000" w:themeColor="text1"/>
          <w:sz w:val="18"/>
          <w:szCs w:val="26"/>
          <w:lang w:val="es-CO"/>
        </w:rPr>
      </w:pPr>
      <w:r w:rsidRPr="00C366A7">
        <w:rPr>
          <w:rFonts w:cs="Times New Roman"/>
          <w:color w:val="000000" w:themeColor="text1"/>
          <w:sz w:val="18"/>
          <w:szCs w:val="26"/>
          <w:lang w:val="es-CO"/>
        </w:rPr>
        <w:t>Fuente: Migración Colombia</w:t>
      </w:r>
      <w:r w:rsidR="00781F14" w:rsidRPr="00C366A7">
        <w:rPr>
          <w:rFonts w:cs="Times New Roman"/>
          <w:color w:val="000000" w:themeColor="text1"/>
          <w:sz w:val="18"/>
          <w:szCs w:val="26"/>
          <w:lang w:val="es-CO"/>
        </w:rPr>
        <w:t>.</w:t>
      </w:r>
    </w:p>
    <w:p w14:paraId="11A887EA" w14:textId="77777777" w:rsidR="00F949F2" w:rsidRPr="00C366A7" w:rsidRDefault="00F949F2" w:rsidP="00F949F2">
      <w:pPr>
        <w:jc w:val="center"/>
        <w:rPr>
          <w:rFonts w:cs="Times New Roman"/>
          <w:b/>
          <w:color w:val="000000" w:themeColor="text1"/>
          <w:sz w:val="26"/>
          <w:szCs w:val="26"/>
        </w:rPr>
      </w:pPr>
    </w:p>
    <w:p w14:paraId="0972E42B" w14:textId="77777777" w:rsidR="00F949F2" w:rsidRPr="00C366A7" w:rsidRDefault="00F949F2" w:rsidP="00F949F2">
      <w:pPr>
        <w:jc w:val="both"/>
        <w:rPr>
          <w:rFonts w:cs="Times New Roman"/>
          <w:color w:val="000000" w:themeColor="text1"/>
          <w:sz w:val="26"/>
          <w:szCs w:val="26"/>
        </w:rPr>
      </w:pPr>
    </w:p>
    <w:p w14:paraId="17A7F607" w14:textId="77777777" w:rsidR="00F949F2" w:rsidRPr="00074D6C" w:rsidRDefault="008002DE" w:rsidP="00F949F2">
      <w:pPr>
        <w:jc w:val="both"/>
        <w:rPr>
          <w:rFonts w:cs="Times New Roman"/>
          <w:color w:val="000000" w:themeColor="text1"/>
        </w:rPr>
      </w:pPr>
      <w:r w:rsidRPr="00074D6C">
        <w:rPr>
          <w:rFonts w:cs="Times New Roman"/>
          <w:color w:val="000000" w:themeColor="text1"/>
        </w:rPr>
        <w:t>A partir de</w:t>
      </w:r>
      <w:r w:rsidR="00F949F2" w:rsidRPr="00074D6C">
        <w:rPr>
          <w:rFonts w:cs="Times New Roman"/>
          <w:color w:val="000000" w:themeColor="text1"/>
        </w:rPr>
        <w:t xml:space="preserve"> estos resultados</w:t>
      </w:r>
      <w:r w:rsidRPr="00074D6C">
        <w:rPr>
          <w:rFonts w:cs="Times New Roman"/>
          <w:color w:val="000000" w:themeColor="text1"/>
        </w:rPr>
        <w:t xml:space="preserve"> es importante </w:t>
      </w:r>
      <w:r w:rsidR="00F949F2" w:rsidRPr="00074D6C">
        <w:rPr>
          <w:rFonts w:cs="Times New Roman"/>
          <w:color w:val="000000" w:themeColor="text1"/>
        </w:rPr>
        <w:t>analizar</w:t>
      </w:r>
      <w:r w:rsidRPr="00074D6C">
        <w:rPr>
          <w:rFonts w:cs="Times New Roman"/>
          <w:color w:val="000000" w:themeColor="text1"/>
        </w:rPr>
        <w:t xml:space="preserve"> los efectos del </w:t>
      </w:r>
      <w:r w:rsidR="00F949F2" w:rsidRPr="00074D6C">
        <w:rPr>
          <w:rFonts w:cs="Times New Roman"/>
          <w:color w:val="000000" w:themeColor="text1"/>
        </w:rPr>
        <w:t>fenómeno migratorio en</w:t>
      </w:r>
      <w:r w:rsidRPr="00074D6C">
        <w:rPr>
          <w:rFonts w:cs="Times New Roman"/>
          <w:color w:val="000000" w:themeColor="text1"/>
        </w:rPr>
        <w:t xml:space="preserve"> ciudades como</w:t>
      </w:r>
      <w:r w:rsidR="00F949F2" w:rsidRPr="00074D6C">
        <w:rPr>
          <w:rFonts w:cs="Times New Roman"/>
          <w:color w:val="000000" w:themeColor="text1"/>
        </w:rPr>
        <w:t xml:space="preserve"> Ipiales y Pasto</w:t>
      </w:r>
      <w:r w:rsidRPr="00074D6C">
        <w:rPr>
          <w:rFonts w:cs="Times New Roman"/>
          <w:color w:val="000000" w:themeColor="text1"/>
        </w:rPr>
        <w:t xml:space="preserve">, </w:t>
      </w:r>
      <w:r w:rsidR="00F949F2" w:rsidRPr="00074D6C">
        <w:rPr>
          <w:rFonts w:cs="Times New Roman"/>
          <w:color w:val="000000" w:themeColor="text1"/>
        </w:rPr>
        <w:t xml:space="preserve">y </w:t>
      </w:r>
      <w:r w:rsidRPr="00074D6C">
        <w:rPr>
          <w:rFonts w:cs="Times New Roman"/>
          <w:color w:val="000000" w:themeColor="text1"/>
        </w:rPr>
        <w:t>e</w:t>
      </w:r>
      <w:r w:rsidR="00F949F2" w:rsidRPr="00074D6C">
        <w:rPr>
          <w:rFonts w:cs="Times New Roman"/>
          <w:color w:val="000000" w:themeColor="text1"/>
        </w:rPr>
        <w:t xml:space="preserve">l impacto relativo </w:t>
      </w:r>
      <w:r w:rsidRPr="00074D6C">
        <w:rPr>
          <w:rFonts w:cs="Times New Roman"/>
          <w:color w:val="000000" w:themeColor="text1"/>
        </w:rPr>
        <w:t xml:space="preserve">que ha generado la migración de </w:t>
      </w:r>
      <w:r w:rsidRPr="00074D6C">
        <w:rPr>
          <w:rFonts w:cs="Times New Roman"/>
          <w:color w:val="000000" w:themeColor="text1"/>
        </w:rPr>
        <w:lastRenderedPageBreak/>
        <w:t xml:space="preserve">venezolanos </w:t>
      </w:r>
      <w:r w:rsidR="00AE1D9E" w:rsidRPr="00074D6C">
        <w:rPr>
          <w:rFonts w:cs="Times New Roman"/>
          <w:color w:val="000000" w:themeColor="text1"/>
        </w:rPr>
        <w:t>frente a</w:t>
      </w:r>
      <w:r w:rsidRPr="00074D6C">
        <w:rPr>
          <w:rFonts w:cs="Times New Roman"/>
          <w:color w:val="000000" w:themeColor="text1"/>
        </w:rPr>
        <w:t xml:space="preserve"> </w:t>
      </w:r>
      <w:r w:rsidR="00F949F2" w:rsidRPr="00074D6C">
        <w:rPr>
          <w:rFonts w:cs="Times New Roman"/>
          <w:color w:val="000000" w:themeColor="text1"/>
        </w:rPr>
        <w:t>la población de la</w:t>
      </w:r>
      <w:r w:rsidR="00AE1D9E" w:rsidRPr="00074D6C">
        <w:rPr>
          <w:rFonts w:cs="Times New Roman"/>
          <w:color w:val="000000" w:themeColor="text1"/>
        </w:rPr>
        <w:t>s</w:t>
      </w:r>
      <w:r w:rsidR="00F949F2" w:rsidRPr="00074D6C">
        <w:rPr>
          <w:rFonts w:cs="Times New Roman"/>
          <w:color w:val="000000" w:themeColor="text1"/>
        </w:rPr>
        <w:t xml:space="preserve"> ciudad</w:t>
      </w:r>
      <w:r w:rsidR="00AE1D9E" w:rsidRPr="00074D6C">
        <w:rPr>
          <w:rFonts w:cs="Times New Roman"/>
          <w:color w:val="000000" w:themeColor="text1"/>
        </w:rPr>
        <w:t>es receptoras</w:t>
      </w:r>
      <w:r w:rsidR="00D90E67" w:rsidRPr="00074D6C">
        <w:rPr>
          <w:rFonts w:cs="Times New Roman"/>
          <w:color w:val="000000" w:themeColor="text1"/>
        </w:rPr>
        <w:t>,</w:t>
      </w:r>
      <w:r w:rsidR="00AE1D9E" w:rsidRPr="00074D6C">
        <w:rPr>
          <w:rFonts w:cs="Times New Roman"/>
          <w:color w:val="000000" w:themeColor="text1"/>
        </w:rPr>
        <w:t xml:space="preserve"> –</w:t>
      </w:r>
      <w:r w:rsidR="00F949F2" w:rsidRPr="00074D6C">
        <w:rPr>
          <w:rFonts w:cs="Times New Roman"/>
          <w:color w:val="000000" w:themeColor="text1"/>
        </w:rPr>
        <w:t>es decir, el peso que tienen los migrantes que se hospedan en la ciudad con respecto a su población</w:t>
      </w:r>
      <w:r w:rsidR="00AE1D9E" w:rsidRPr="00074D6C">
        <w:rPr>
          <w:rFonts w:cs="Times New Roman"/>
          <w:color w:val="000000" w:themeColor="text1"/>
        </w:rPr>
        <w:t>–</w:t>
      </w:r>
      <w:r w:rsidR="00F949F2" w:rsidRPr="00074D6C">
        <w:rPr>
          <w:rFonts w:cs="Times New Roman"/>
          <w:color w:val="000000" w:themeColor="text1"/>
        </w:rPr>
        <w:t xml:space="preserve">.  </w:t>
      </w:r>
    </w:p>
    <w:p w14:paraId="21962B0F" w14:textId="77777777" w:rsidR="00F949F2" w:rsidRPr="00074D6C" w:rsidRDefault="00F949F2" w:rsidP="00F949F2">
      <w:pPr>
        <w:jc w:val="both"/>
        <w:rPr>
          <w:rFonts w:cs="Times New Roman"/>
          <w:color w:val="000000" w:themeColor="text1"/>
        </w:rPr>
      </w:pPr>
    </w:p>
    <w:p w14:paraId="18FEA0FD" w14:textId="77777777" w:rsidR="00F949F2" w:rsidRPr="00074D6C" w:rsidRDefault="009A369D">
      <w:pPr>
        <w:jc w:val="both"/>
        <w:rPr>
          <w:rFonts w:cs="Times New Roman"/>
          <w:color w:val="000000" w:themeColor="text1"/>
        </w:rPr>
      </w:pPr>
      <w:r w:rsidRPr="00074D6C">
        <w:rPr>
          <w:rFonts w:cs="Times New Roman"/>
          <w:color w:val="000000" w:themeColor="text1"/>
        </w:rPr>
        <w:t xml:space="preserve">En primer lugar, los venezolanos que afirman que Ipiales o Pasto son su ciudad de hospedaje tienen como propósito </w:t>
      </w:r>
      <w:r w:rsidR="00F949F2" w:rsidRPr="00074D6C">
        <w:rPr>
          <w:rFonts w:cs="Times New Roman"/>
          <w:color w:val="000000" w:themeColor="text1"/>
        </w:rPr>
        <w:t xml:space="preserve">dirigirse hacia el sur del continente, </w:t>
      </w:r>
      <w:r w:rsidRPr="00074D6C">
        <w:rPr>
          <w:rFonts w:cs="Times New Roman"/>
          <w:color w:val="000000" w:themeColor="text1"/>
        </w:rPr>
        <w:t xml:space="preserve">situación que se puede </w:t>
      </w:r>
      <w:r w:rsidR="00F949F2" w:rsidRPr="00074D6C">
        <w:rPr>
          <w:rFonts w:cs="Times New Roman"/>
          <w:color w:val="000000" w:themeColor="text1"/>
        </w:rPr>
        <w:t>evidencia</w:t>
      </w:r>
      <w:r w:rsidRPr="00074D6C">
        <w:rPr>
          <w:rFonts w:cs="Times New Roman"/>
          <w:color w:val="000000" w:themeColor="text1"/>
        </w:rPr>
        <w:t>r</w:t>
      </w:r>
      <w:r w:rsidR="00F949F2" w:rsidRPr="00074D6C">
        <w:rPr>
          <w:rFonts w:cs="Times New Roman"/>
          <w:color w:val="000000" w:themeColor="text1"/>
        </w:rPr>
        <w:t xml:space="preserve"> con l</w:t>
      </w:r>
      <w:r w:rsidRPr="00074D6C">
        <w:rPr>
          <w:rFonts w:cs="Times New Roman"/>
          <w:color w:val="000000" w:themeColor="text1"/>
        </w:rPr>
        <w:t>a información de Migración Colombia</w:t>
      </w:r>
      <w:r w:rsidR="00F949F2" w:rsidRPr="00074D6C">
        <w:rPr>
          <w:rFonts w:cs="Times New Roman"/>
          <w:color w:val="000000" w:themeColor="text1"/>
        </w:rPr>
        <w:t xml:space="preserve">. </w:t>
      </w:r>
      <w:r w:rsidRPr="00074D6C">
        <w:rPr>
          <w:rFonts w:cs="Times New Roman"/>
          <w:color w:val="000000" w:themeColor="text1"/>
        </w:rPr>
        <w:t xml:space="preserve">Entre 2015 y septiembre de 2018 se registra una </w:t>
      </w:r>
      <w:r w:rsidR="00F949F2" w:rsidRPr="00074D6C">
        <w:rPr>
          <w:rFonts w:cs="Times New Roman"/>
          <w:color w:val="000000" w:themeColor="text1"/>
        </w:rPr>
        <w:t xml:space="preserve">salida de venezolanos por el puente Rumichaca-Ipiales </w:t>
      </w:r>
      <w:r w:rsidRPr="00074D6C">
        <w:rPr>
          <w:rFonts w:cs="Times New Roman"/>
          <w:color w:val="000000" w:themeColor="text1"/>
        </w:rPr>
        <w:t>que</w:t>
      </w:r>
      <w:r w:rsidR="00F949F2" w:rsidRPr="00074D6C">
        <w:rPr>
          <w:rFonts w:cs="Times New Roman"/>
          <w:color w:val="000000" w:themeColor="text1"/>
        </w:rPr>
        <w:t xml:space="preserve"> supera </w:t>
      </w:r>
      <w:r w:rsidRPr="00074D6C">
        <w:rPr>
          <w:rFonts w:cs="Times New Roman"/>
          <w:color w:val="000000" w:themeColor="text1"/>
        </w:rPr>
        <w:t xml:space="preserve">las </w:t>
      </w:r>
      <w:r w:rsidR="00F949F2" w:rsidRPr="00074D6C">
        <w:rPr>
          <w:rFonts w:cs="Times New Roman"/>
          <w:color w:val="000000" w:themeColor="text1"/>
        </w:rPr>
        <w:t>790.000</w:t>
      </w:r>
      <w:r w:rsidRPr="00074D6C">
        <w:rPr>
          <w:rFonts w:cs="Times New Roman"/>
          <w:color w:val="000000" w:themeColor="text1"/>
        </w:rPr>
        <w:t xml:space="preserve"> personas. Esto permite concluir que</w:t>
      </w:r>
      <w:r w:rsidR="00F949F2" w:rsidRPr="00074D6C">
        <w:rPr>
          <w:rFonts w:cs="Times New Roman"/>
          <w:color w:val="000000" w:themeColor="text1"/>
        </w:rPr>
        <w:t xml:space="preserve"> el número de venezolanos que sale del país por Ipiales es considerablemente mayor que los que indican que su lugar de hospedaje estará en Ipiales o Pasto (más de 550.000 para el periodo mencionado).</w:t>
      </w:r>
    </w:p>
    <w:p w14:paraId="7B72C8C6" w14:textId="77777777" w:rsidR="00F949F2" w:rsidRPr="00074D6C" w:rsidRDefault="00F949F2" w:rsidP="00F949F2">
      <w:pPr>
        <w:jc w:val="both"/>
        <w:rPr>
          <w:rFonts w:cs="Times New Roman"/>
          <w:color w:val="000000" w:themeColor="text1"/>
        </w:rPr>
      </w:pPr>
    </w:p>
    <w:p w14:paraId="7D8D3CFA" w14:textId="77777777" w:rsidR="00F949F2" w:rsidRPr="00074D6C" w:rsidRDefault="00D90E67" w:rsidP="00F949F2">
      <w:pPr>
        <w:jc w:val="both"/>
        <w:rPr>
          <w:rFonts w:cs="Times New Roman"/>
          <w:color w:val="000000" w:themeColor="text1"/>
        </w:rPr>
      </w:pPr>
      <w:r w:rsidRPr="00074D6C">
        <w:rPr>
          <w:rFonts w:cs="Times New Roman"/>
          <w:color w:val="000000" w:themeColor="text1"/>
        </w:rPr>
        <w:t xml:space="preserve">Por </w:t>
      </w:r>
      <w:r w:rsidR="009A369D" w:rsidRPr="00074D6C">
        <w:rPr>
          <w:rFonts w:cs="Times New Roman"/>
          <w:color w:val="000000" w:themeColor="text1"/>
        </w:rPr>
        <w:t>otr</w:t>
      </w:r>
      <w:r w:rsidRPr="00074D6C">
        <w:rPr>
          <w:rFonts w:cs="Times New Roman"/>
          <w:color w:val="000000" w:themeColor="text1"/>
        </w:rPr>
        <w:t>a</w:t>
      </w:r>
      <w:r w:rsidR="009A369D" w:rsidRPr="00074D6C">
        <w:rPr>
          <w:rFonts w:cs="Times New Roman"/>
          <w:color w:val="000000" w:themeColor="text1"/>
        </w:rPr>
        <w:t xml:space="preserve"> </w:t>
      </w:r>
      <w:r w:rsidRPr="00074D6C">
        <w:rPr>
          <w:rFonts w:cs="Times New Roman"/>
          <w:color w:val="000000" w:themeColor="text1"/>
        </w:rPr>
        <w:t>parte</w:t>
      </w:r>
      <w:r w:rsidR="00F949F2" w:rsidRPr="00074D6C">
        <w:rPr>
          <w:rFonts w:cs="Times New Roman"/>
          <w:color w:val="000000" w:themeColor="text1"/>
        </w:rPr>
        <w:t xml:space="preserve">, </w:t>
      </w:r>
      <w:r w:rsidR="009A369D" w:rsidRPr="00074D6C">
        <w:rPr>
          <w:rFonts w:cs="Times New Roman"/>
          <w:color w:val="000000" w:themeColor="text1"/>
        </w:rPr>
        <w:t>es importante tener</w:t>
      </w:r>
      <w:r w:rsidR="00F949F2" w:rsidRPr="00074D6C">
        <w:rPr>
          <w:rFonts w:cs="Times New Roman"/>
          <w:color w:val="000000" w:themeColor="text1"/>
        </w:rPr>
        <w:t xml:space="preserve"> claridad del impacto migratorio en Cúcuta</w:t>
      </w:r>
      <w:r w:rsidR="00F75052" w:rsidRPr="00074D6C">
        <w:rPr>
          <w:rFonts w:cs="Times New Roman"/>
          <w:color w:val="000000" w:themeColor="text1"/>
        </w:rPr>
        <w:t>, para</w:t>
      </w:r>
      <w:r w:rsidR="009A369D" w:rsidRPr="00074D6C">
        <w:rPr>
          <w:rFonts w:cs="Times New Roman"/>
          <w:color w:val="000000" w:themeColor="text1"/>
        </w:rPr>
        <w:t xml:space="preserve"> ello </w:t>
      </w:r>
      <w:r w:rsidR="00F949F2" w:rsidRPr="00074D6C">
        <w:rPr>
          <w:rFonts w:cs="Times New Roman"/>
          <w:color w:val="000000" w:themeColor="text1"/>
        </w:rPr>
        <w:t>es necesario comparar la cantidad de venezolanos hospedados en la ciudad con respecto a la población total</w:t>
      </w:r>
      <w:r w:rsidR="009A369D" w:rsidRPr="00074D6C">
        <w:rPr>
          <w:rFonts w:cs="Times New Roman"/>
          <w:color w:val="000000" w:themeColor="text1"/>
        </w:rPr>
        <w:t>. S</w:t>
      </w:r>
      <w:r w:rsidR="00F949F2" w:rsidRPr="00074D6C">
        <w:rPr>
          <w:rFonts w:cs="Times New Roman"/>
          <w:color w:val="000000" w:themeColor="text1"/>
        </w:rPr>
        <w:t xml:space="preserve">i bien </w:t>
      </w:r>
      <w:r w:rsidR="009A369D" w:rsidRPr="00074D6C">
        <w:rPr>
          <w:rFonts w:cs="Times New Roman"/>
          <w:color w:val="000000" w:themeColor="text1"/>
        </w:rPr>
        <w:t>el número de</w:t>
      </w:r>
      <w:r w:rsidR="00F949F2" w:rsidRPr="00074D6C">
        <w:rPr>
          <w:rFonts w:cs="Times New Roman"/>
          <w:color w:val="000000" w:themeColor="text1"/>
        </w:rPr>
        <w:t xml:space="preserve"> venezolanos que vive en Bogotá es mucho mayor, </w:t>
      </w:r>
      <w:r w:rsidRPr="00074D6C">
        <w:rPr>
          <w:rFonts w:cs="Times New Roman"/>
          <w:color w:val="000000" w:themeColor="text1"/>
        </w:rPr>
        <w:t xml:space="preserve">los </w:t>
      </w:r>
      <w:r w:rsidR="00F504B2" w:rsidRPr="00074D6C">
        <w:rPr>
          <w:rFonts w:cs="Times New Roman"/>
          <w:color w:val="000000" w:themeColor="text1"/>
        </w:rPr>
        <w:t>efecto</w:t>
      </w:r>
      <w:r w:rsidRPr="00074D6C">
        <w:rPr>
          <w:rFonts w:cs="Times New Roman"/>
          <w:color w:val="000000" w:themeColor="text1"/>
        </w:rPr>
        <w:t>s</w:t>
      </w:r>
      <w:r w:rsidR="009A369D" w:rsidRPr="00074D6C">
        <w:rPr>
          <w:rFonts w:cs="Times New Roman"/>
          <w:color w:val="000000" w:themeColor="text1"/>
        </w:rPr>
        <w:t xml:space="preserve"> </w:t>
      </w:r>
      <w:r w:rsidRPr="00074D6C">
        <w:rPr>
          <w:rFonts w:cs="Times New Roman"/>
          <w:color w:val="000000" w:themeColor="text1"/>
        </w:rPr>
        <w:t xml:space="preserve">negativos de la migración son </w:t>
      </w:r>
      <w:r w:rsidR="009A369D" w:rsidRPr="00074D6C">
        <w:rPr>
          <w:rFonts w:cs="Times New Roman"/>
          <w:color w:val="000000" w:themeColor="text1"/>
        </w:rPr>
        <w:t>menor</w:t>
      </w:r>
      <w:r w:rsidRPr="00074D6C">
        <w:rPr>
          <w:rFonts w:cs="Times New Roman"/>
          <w:color w:val="000000" w:themeColor="text1"/>
        </w:rPr>
        <w:t>es</w:t>
      </w:r>
      <w:r w:rsidR="009A369D" w:rsidRPr="00074D6C">
        <w:rPr>
          <w:rFonts w:cs="Times New Roman"/>
          <w:color w:val="000000" w:themeColor="text1"/>
        </w:rPr>
        <w:t xml:space="preserve"> si se tiene en cuenta el</w:t>
      </w:r>
      <w:r w:rsidR="00F949F2" w:rsidRPr="00074D6C">
        <w:rPr>
          <w:rFonts w:cs="Times New Roman"/>
          <w:color w:val="000000" w:themeColor="text1"/>
        </w:rPr>
        <w:t xml:space="preserve"> tamaño de la población</w:t>
      </w:r>
      <w:r w:rsidR="003F75AB" w:rsidRPr="00074D6C">
        <w:rPr>
          <w:rFonts w:cs="Times New Roman"/>
          <w:color w:val="000000" w:themeColor="text1"/>
        </w:rPr>
        <w:t xml:space="preserve"> (Gráfico 3)</w:t>
      </w:r>
      <w:r w:rsidR="00F949F2" w:rsidRPr="00074D6C">
        <w:rPr>
          <w:rFonts w:cs="Times New Roman"/>
          <w:color w:val="000000" w:themeColor="text1"/>
        </w:rPr>
        <w:t>.</w:t>
      </w:r>
    </w:p>
    <w:p w14:paraId="2E693623" w14:textId="77777777" w:rsidR="00F949F2" w:rsidRPr="00C366A7" w:rsidRDefault="00F949F2" w:rsidP="00F949F2">
      <w:pPr>
        <w:jc w:val="both"/>
        <w:rPr>
          <w:rFonts w:cs="Times New Roman"/>
          <w:color w:val="000000" w:themeColor="text1"/>
          <w:sz w:val="26"/>
          <w:szCs w:val="26"/>
        </w:rPr>
      </w:pPr>
    </w:p>
    <w:p w14:paraId="154EA52C" w14:textId="77777777" w:rsidR="002D796C" w:rsidRPr="00C366A7" w:rsidRDefault="00F949F2" w:rsidP="00F949F2">
      <w:pPr>
        <w:jc w:val="center"/>
        <w:rPr>
          <w:rFonts w:cs="Times New Roman"/>
          <w:b/>
          <w:sz w:val="22"/>
          <w:szCs w:val="26"/>
        </w:rPr>
      </w:pPr>
      <w:r w:rsidRPr="00C366A7">
        <w:rPr>
          <w:rFonts w:cs="Times New Roman"/>
          <w:b/>
          <w:sz w:val="22"/>
          <w:szCs w:val="26"/>
        </w:rPr>
        <w:t>Grafico 3.</w:t>
      </w:r>
      <w:r w:rsidR="00D8776B" w:rsidRPr="00C366A7">
        <w:rPr>
          <w:rFonts w:cs="Times New Roman"/>
          <w:b/>
          <w:sz w:val="22"/>
          <w:szCs w:val="26"/>
        </w:rPr>
        <w:t xml:space="preserve"> </w:t>
      </w:r>
      <w:r w:rsidRPr="00C366A7">
        <w:rPr>
          <w:rFonts w:cs="Times New Roman"/>
          <w:b/>
          <w:sz w:val="22"/>
          <w:szCs w:val="26"/>
        </w:rPr>
        <w:t xml:space="preserve"> Participación de los migrantes venezolanos en la población de la ciudad</w:t>
      </w:r>
      <w:r w:rsidR="00781F14" w:rsidRPr="00C366A7">
        <w:rPr>
          <w:rFonts w:cs="Times New Roman"/>
          <w:b/>
          <w:sz w:val="22"/>
          <w:szCs w:val="26"/>
        </w:rPr>
        <w:t xml:space="preserve">, </w:t>
      </w:r>
    </w:p>
    <w:p w14:paraId="05235544" w14:textId="77777777" w:rsidR="00F949F2" w:rsidRPr="00C366A7" w:rsidRDefault="002D796C" w:rsidP="00F949F2">
      <w:pPr>
        <w:jc w:val="center"/>
        <w:rPr>
          <w:rFonts w:cs="Times New Roman"/>
          <w:b/>
          <w:sz w:val="22"/>
          <w:szCs w:val="26"/>
        </w:rPr>
      </w:pPr>
      <w:r w:rsidRPr="00C366A7">
        <w:rPr>
          <w:rFonts w:cs="Times New Roman"/>
          <w:b/>
          <w:sz w:val="22"/>
          <w:szCs w:val="26"/>
        </w:rPr>
        <w:t>2015-2018 (septiembre)</w:t>
      </w:r>
    </w:p>
    <w:p w14:paraId="378AC1BC" w14:textId="77777777" w:rsidR="00F949F2" w:rsidRPr="00C366A7" w:rsidRDefault="00F949F2" w:rsidP="00F949F2">
      <w:pPr>
        <w:jc w:val="center"/>
        <w:rPr>
          <w:rFonts w:cs="Times New Roman"/>
          <w:b/>
          <w:color w:val="000000" w:themeColor="text1"/>
          <w:sz w:val="26"/>
          <w:szCs w:val="26"/>
        </w:rPr>
      </w:pPr>
      <w:r w:rsidRPr="00C366A7">
        <w:rPr>
          <w:rFonts w:cs="Times New Roman"/>
          <w:b/>
          <w:noProof/>
          <w:color w:val="000000" w:themeColor="text1"/>
          <w:sz w:val="26"/>
          <w:szCs w:val="26"/>
          <w:lang w:val="es-CO" w:eastAsia="es-CO"/>
        </w:rPr>
        <w:drawing>
          <wp:inline distT="0" distB="0" distL="0" distR="0" wp14:anchorId="482CA9A5" wp14:editId="7475085D">
            <wp:extent cx="4900204" cy="2938765"/>
            <wp:effectExtent l="19050" t="19050" r="15240" b="1460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04855" cy="2941555"/>
                    </a:xfrm>
                    <a:prstGeom prst="rect">
                      <a:avLst/>
                    </a:prstGeom>
                    <a:noFill/>
                    <a:ln>
                      <a:solidFill>
                        <a:schemeClr val="tx1"/>
                      </a:solidFill>
                    </a:ln>
                  </pic:spPr>
                </pic:pic>
              </a:graphicData>
            </a:graphic>
          </wp:inline>
        </w:drawing>
      </w:r>
    </w:p>
    <w:p w14:paraId="61370D54" w14:textId="77777777" w:rsidR="00F949F2" w:rsidRPr="00C366A7" w:rsidRDefault="00F949F2" w:rsidP="00E802F0">
      <w:pPr>
        <w:rPr>
          <w:rFonts w:cs="Times New Roman"/>
          <w:color w:val="000000" w:themeColor="text1"/>
          <w:sz w:val="18"/>
          <w:szCs w:val="26"/>
          <w:lang w:val="es-CO"/>
        </w:rPr>
      </w:pPr>
      <w:r w:rsidRPr="00C366A7">
        <w:rPr>
          <w:rFonts w:cs="Times New Roman"/>
          <w:color w:val="000000" w:themeColor="text1"/>
          <w:sz w:val="18"/>
          <w:szCs w:val="26"/>
          <w:lang w:val="es-CO"/>
        </w:rPr>
        <w:t xml:space="preserve">Fuente: Migración Colombia </w:t>
      </w:r>
    </w:p>
    <w:p w14:paraId="18074D06" w14:textId="77777777" w:rsidR="00F949F2" w:rsidRPr="00C366A7" w:rsidRDefault="00F949F2" w:rsidP="00F949F2">
      <w:pPr>
        <w:jc w:val="both"/>
        <w:rPr>
          <w:rFonts w:cs="Times New Roman"/>
          <w:color w:val="000000" w:themeColor="text1"/>
          <w:sz w:val="26"/>
          <w:szCs w:val="26"/>
        </w:rPr>
      </w:pPr>
    </w:p>
    <w:p w14:paraId="6B229C2B" w14:textId="77777777" w:rsidR="00F949F2" w:rsidRPr="006A2CF9" w:rsidRDefault="00F949F2" w:rsidP="00F949F2">
      <w:pPr>
        <w:jc w:val="both"/>
        <w:rPr>
          <w:rFonts w:cs="Times New Roman"/>
          <w:color w:val="000000" w:themeColor="text1"/>
        </w:rPr>
      </w:pPr>
      <w:r w:rsidRPr="006A2CF9">
        <w:rPr>
          <w:rFonts w:cs="Times New Roman"/>
          <w:color w:val="000000" w:themeColor="text1"/>
        </w:rPr>
        <w:t xml:space="preserve">Cúcuta presenta la mayor incidencia de migrantes venezolanos con respecto a su población, es decir, entre 2015 y septiembre de 2018 ingresaron a la ciudad más de 74.000 venezolanos lo que corresponde al 11,1% de su población en 2018. </w:t>
      </w:r>
    </w:p>
    <w:p w14:paraId="29CE1848" w14:textId="77777777" w:rsidR="00F949F2" w:rsidRPr="006A2CF9" w:rsidRDefault="00F949F2" w:rsidP="00F949F2">
      <w:pPr>
        <w:jc w:val="both"/>
        <w:rPr>
          <w:rFonts w:cs="Times New Roman"/>
          <w:color w:val="000000" w:themeColor="text1"/>
        </w:rPr>
      </w:pPr>
    </w:p>
    <w:p w14:paraId="628642F8" w14:textId="77777777" w:rsidR="00F949F2" w:rsidRPr="006A2CF9" w:rsidRDefault="00F949F2" w:rsidP="00F949F2">
      <w:pPr>
        <w:jc w:val="both"/>
        <w:rPr>
          <w:rFonts w:cs="Times New Roman"/>
          <w:color w:val="000000" w:themeColor="text1"/>
        </w:rPr>
      </w:pPr>
      <w:r w:rsidRPr="006A2CF9">
        <w:rPr>
          <w:rFonts w:cs="Times New Roman"/>
          <w:color w:val="000000" w:themeColor="text1"/>
        </w:rPr>
        <w:t xml:space="preserve">Si </w:t>
      </w:r>
      <w:r w:rsidR="00C70AF5" w:rsidRPr="006A2CF9">
        <w:rPr>
          <w:rFonts w:cs="Times New Roman"/>
          <w:color w:val="000000" w:themeColor="text1"/>
        </w:rPr>
        <w:t xml:space="preserve">se analiza </w:t>
      </w:r>
      <w:r w:rsidRPr="006A2CF9">
        <w:rPr>
          <w:rFonts w:cs="Times New Roman"/>
          <w:color w:val="000000" w:themeColor="text1"/>
        </w:rPr>
        <w:t xml:space="preserve">la migración por grupo de edades </w:t>
      </w:r>
      <w:r w:rsidR="00AE1D9E" w:rsidRPr="006A2CF9">
        <w:rPr>
          <w:rFonts w:cs="Times New Roman"/>
          <w:color w:val="000000" w:themeColor="text1"/>
        </w:rPr>
        <w:t xml:space="preserve">se evidencia </w:t>
      </w:r>
      <w:r w:rsidRPr="006A2CF9">
        <w:rPr>
          <w:rFonts w:cs="Times New Roman"/>
          <w:color w:val="000000" w:themeColor="text1"/>
        </w:rPr>
        <w:t xml:space="preserve">que el 77% de los venezolanos que ingresan por el puente Simón Bolívar y se hospedan en Norte de Santander están </w:t>
      </w:r>
      <w:r w:rsidR="00781F14" w:rsidRPr="006A2CF9">
        <w:rPr>
          <w:rFonts w:cs="Times New Roman"/>
          <w:color w:val="000000" w:themeColor="text1"/>
        </w:rPr>
        <w:t xml:space="preserve">en un rango de </w:t>
      </w:r>
      <w:r w:rsidRPr="006A2CF9">
        <w:rPr>
          <w:rFonts w:cs="Times New Roman"/>
          <w:color w:val="000000" w:themeColor="text1"/>
        </w:rPr>
        <w:t xml:space="preserve">18 </w:t>
      </w:r>
      <w:r w:rsidR="00781F14" w:rsidRPr="006A2CF9">
        <w:rPr>
          <w:rFonts w:cs="Times New Roman"/>
          <w:color w:val="000000" w:themeColor="text1"/>
        </w:rPr>
        <w:t xml:space="preserve">a </w:t>
      </w:r>
      <w:r w:rsidRPr="006A2CF9">
        <w:rPr>
          <w:rFonts w:cs="Times New Roman"/>
          <w:color w:val="000000" w:themeColor="text1"/>
        </w:rPr>
        <w:t>49 años</w:t>
      </w:r>
      <w:r w:rsidR="00781F14" w:rsidRPr="006A2CF9">
        <w:rPr>
          <w:rFonts w:cs="Times New Roman"/>
          <w:color w:val="000000" w:themeColor="text1"/>
        </w:rPr>
        <w:t xml:space="preserve">, </w:t>
      </w:r>
      <w:r w:rsidRPr="006A2CF9">
        <w:rPr>
          <w:rFonts w:cs="Times New Roman"/>
          <w:color w:val="000000" w:themeColor="text1"/>
        </w:rPr>
        <w:t xml:space="preserve">edad en la que pueden participar en el mercado laboral del </w:t>
      </w:r>
      <w:r w:rsidRPr="006A2CF9">
        <w:rPr>
          <w:rFonts w:cs="Times New Roman"/>
          <w:color w:val="000000" w:themeColor="text1"/>
        </w:rPr>
        <w:lastRenderedPageBreak/>
        <w:t xml:space="preserve">departamento, </w:t>
      </w:r>
      <w:r w:rsidR="00781F14" w:rsidRPr="006A2CF9">
        <w:rPr>
          <w:rFonts w:cs="Times New Roman"/>
          <w:color w:val="000000" w:themeColor="text1"/>
        </w:rPr>
        <w:t xml:space="preserve">lo que ocasiona </w:t>
      </w:r>
      <w:r w:rsidR="00360459" w:rsidRPr="006A2CF9">
        <w:rPr>
          <w:rFonts w:cs="Times New Roman"/>
          <w:color w:val="000000" w:themeColor="text1"/>
        </w:rPr>
        <w:t xml:space="preserve">desplazamientos de la oferta laboral local, </w:t>
      </w:r>
      <w:r w:rsidRPr="006A2CF9">
        <w:rPr>
          <w:rFonts w:cs="Times New Roman"/>
          <w:color w:val="000000" w:themeColor="text1"/>
        </w:rPr>
        <w:t xml:space="preserve">presiones hacia la baja en la remuneración </w:t>
      </w:r>
      <w:r w:rsidR="00360459" w:rsidRPr="006A2CF9">
        <w:rPr>
          <w:rFonts w:cs="Times New Roman"/>
          <w:color w:val="000000" w:themeColor="text1"/>
        </w:rPr>
        <w:t>y mayor informalidad</w:t>
      </w:r>
      <w:r w:rsidRPr="006A2CF9">
        <w:rPr>
          <w:rFonts w:cs="Times New Roman"/>
          <w:color w:val="000000" w:themeColor="text1"/>
        </w:rPr>
        <w:t xml:space="preserve">. Para dimensionar la sobreoferta que trae consigo la migración de venezolanos en Norte de Santander, </w:t>
      </w:r>
      <w:r w:rsidR="00781F14" w:rsidRPr="006A2CF9">
        <w:rPr>
          <w:rFonts w:cs="Times New Roman"/>
          <w:color w:val="000000" w:themeColor="text1"/>
        </w:rPr>
        <w:t xml:space="preserve">se </w:t>
      </w:r>
      <w:r w:rsidRPr="006A2CF9">
        <w:rPr>
          <w:rFonts w:cs="Times New Roman"/>
          <w:color w:val="000000" w:themeColor="text1"/>
        </w:rPr>
        <w:t>observa que la participación por grupo de edad de los migrantes con respecto a la población del departamento se concentra en personas jóvenes</w:t>
      </w:r>
      <w:r w:rsidR="00360459" w:rsidRPr="006A2CF9">
        <w:rPr>
          <w:rFonts w:cs="Times New Roman"/>
          <w:color w:val="000000" w:themeColor="text1"/>
        </w:rPr>
        <w:t xml:space="preserve"> (Gráfico 4)</w:t>
      </w:r>
      <w:r w:rsidRPr="006A2CF9">
        <w:rPr>
          <w:rFonts w:cs="Times New Roman"/>
          <w:color w:val="000000" w:themeColor="text1"/>
        </w:rPr>
        <w:t xml:space="preserve">. </w:t>
      </w:r>
    </w:p>
    <w:p w14:paraId="53C40281" w14:textId="77777777" w:rsidR="00D90E67" w:rsidRPr="00C366A7" w:rsidRDefault="00D90E67" w:rsidP="00F949F2">
      <w:pPr>
        <w:jc w:val="both"/>
        <w:rPr>
          <w:rFonts w:cs="Times New Roman"/>
          <w:color w:val="000000" w:themeColor="text1"/>
          <w:sz w:val="26"/>
          <w:szCs w:val="26"/>
        </w:rPr>
      </w:pPr>
    </w:p>
    <w:p w14:paraId="21A0E39C" w14:textId="77777777" w:rsidR="00F949F2" w:rsidRPr="00C366A7" w:rsidRDefault="00F949F2" w:rsidP="00F949F2">
      <w:pPr>
        <w:jc w:val="center"/>
        <w:rPr>
          <w:rFonts w:cs="Times New Roman"/>
          <w:b/>
          <w:color w:val="000000" w:themeColor="text1"/>
          <w:sz w:val="22"/>
          <w:szCs w:val="26"/>
        </w:rPr>
      </w:pPr>
      <w:r w:rsidRPr="00C366A7">
        <w:rPr>
          <w:rFonts w:cs="Times New Roman"/>
          <w:b/>
          <w:color w:val="000000" w:themeColor="text1"/>
          <w:sz w:val="22"/>
          <w:szCs w:val="26"/>
        </w:rPr>
        <w:t>Grafico 4.</w:t>
      </w:r>
      <w:r w:rsidR="00D8776B" w:rsidRPr="00C366A7">
        <w:rPr>
          <w:rFonts w:cs="Times New Roman"/>
          <w:b/>
          <w:color w:val="000000" w:themeColor="text1"/>
          <w:sz w:val="22"/>
          <w:szCs w:val="26"/>
        </w:rPr>
        <w:t xml:space="preserve"> </w:t>
      </w:r>
      <w:r w:rsidRPr="00C366A7">
        <w:rPr>
          <w:rFonts w:cs="Times New Roman"/>
          <w:b/>
          <w:color w:val="000000" w:themeColor="text1"/>
          <w:sz w:val="22"/>
          <w:szCs w:val="26"/>
        </w:rPr>
        <w:t xml:space="preserve"> Participación de los venezolanos hospedados en Norte de Santander con respecto a la población del departamento</w:t>
      </w:r>
      <w:r w:rsidR="00781F14" w:rsidRPr="00C366A7">
        <w:rPr>
          <w:rFonts w:cs="Times New Roman"/>
          <w:b/>
          <w:color w:val="000000" w:themeColor="text1"/>
          <w:sz w:val="22"/>
          <w:szCs w:val="26"/>
        </w:rPr>
        <w:t>,</w:t>
      </w:r>
      <w:r w:rsidRPr="00C366A7">
        <w:rPr>
          <w:rFonts w:cs="Times New Roman"/>
          <w:b/>
          <w:color w:val="000000" w:themeColor="text1"/>
          <w:sz w:val="22"/>
          <w:szCs w:val="26"/>
        </w:rPr>
        <w:t xml:space="preserve"> 2015-2018 (septiembre)</w:t>
      </w:r>
    </w:p>
    <w:p w14:paraId="34489BDC" w14:textId="77777777" w:rsidR="00F949F2" w:rsidRPr="00C366A7" w:rsidRDefault="00F949F2" w:rsidP="00F949F2">
      <w:pPr>
        <w:jc w:val="center"/>
        <w:rPr>
          <w:rFonts w:cs="Times New Roman"/>
          <w:color w:val="000000" w:themeColor="text1"/>
          <w:sz w:val="26"/>
          <w:szCs w:val="26"/>
        </w:rPr>
      </w:pPr>
      <w:r w:rsidRPr="00C366A7">
        <w:rPr>
          <w:rFonts w:cs="Times New Roman"/>
          <w:noProof/>
          <w:color w:val="000000" w:themeColor="text1"/>
          <w:sz w:val="26"/>
          <w:szCs w:val="26"/>
          <w:lang w:val="es-CO" w:eastAsia="es-CO"/>
        </w:rPr>
        <w:drawing>
          <wp:inline distT="0" distB="0" distL="0" distR="0" wp14:anchorId="48CEC76E" wp14:editId="3FC59350">
            <wp:extent cx="4407980" cy="2653346"/>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26122" cy="2664266"/>
                    </a:xfrm>
                    <a:prstGeom prst="rect">
                      <a:avLst/>
                    </a:prstGeom>
                    <a:noFill/>
                  </pic:spPr>
                </pic:pic>
              </a:graphicData>
            </a:graphic>
          </wp:inline>
        </w:drawing>
      </w:r>
    </w:p>
    <w:p w14:paraId="609005A3" w14:textId="77777777" w:rsidR="00F949F2" w:rsidRPr="00C366A7" w:rsidRDefault="00F949F2" w:rsidP="00E802F0">
      <w:pPr>
        <w:jc w:val="both"/>
        <w:rPr>
          <w:rFonts w:cs="Times New Roman"/>
          <w:color w:val="000000" w:themeColor="text1"/>
          <w:sz w:val="18"/>
          <w:szCs w:val="26"/>
          <w:lang w:val="es-CO"/>
        </w:rPr>
      </w:pPr>
      <w:r w:rsidRPr="00C366A7">
        <w:rPr>
          <w:rFonts w:cs="Times New Roman"/>
          <w:color w:val="000000" w:themeColor="text1"/>
          <w:sz w:val="18"/>
          <w:szCs w:val="26"/>
          <w:lang w:val="es-CO"/>
        </w:rPr>
        <w:t xml:space="preserve">Fuente: Migración Colombia </w:t>
      </w:r>
    </w:p>
    <w:p w14:paraId="10351955" w14:textId="77777777" w:rsidR="00F949F2" w:rsidRPr="00C366A7" w:rsidRDefault="00F949F2" w:rsidP="00F949F2">
      <w:pPr>
        <w:jc w:val="both"/>
        <w:rPr>
          <w:rFonts w:cs="Times New Roman"/>
          <w:color w:val="000000" w:themeColor="text1"/>
          <w:sz w:val="26"/>
          <w:szCs w:val="26"/>
        </w:rPr>
      </w:pPr>
    </w:p>
    <w:p w14:paraId="6019808F" w14:textId="77777777" w:rsidR="00F949F2" w:rsidRPr="001F41A6" w:rsidRDefault="003F75AB" w:rsidP="00F949F2">
      <w:pPr>
        <w:jc w:val="both"/>
        <w:rPr>
          <w:rFonts w:cs="Times New Roman"/>
          <w:color w:val="000000" w:themeColor="text1"/>
        </w:rPr>
      </w:pPr>
      <w:r w:rsidRPr="001F41A6">
        <w:rPr>
          <w:rFonts w:cs="Times New Roman"/>
          <w:color w:val="000000" w:themeColor="text1"/>
        </w:rPr>
        <w:t>Es importante destacar que l</w:t>
      </w:r>
      <w:r w:rsidR="00F949F2" w:rsidRPr="001F41A6">
        <w:rPr>
          <w:rFonts w:cs="Times New Roman"/>
          <w:color w:val="000000" w:themeColor="text1"/>
        </w:rPr>
        <w:t>a coyuntura migratoria gener</w:t>
      </w:r>
      <w:r w:rsidR="000C48B8" w:rsidRPr="001F41A6">
        <w:rPr>
          <w:rFonts w:cs="Times New Roman"/>
          <w:color w:val="000000" w:themeColor="text1"/>
        </w:rPr>
        <w:t>ó</w:t>
      </w:r>
      <w:r w:rsidR="00F949F2" w:rsidRPr="001F41A6">
        <w:rPr>
          <w:rFonts w:cs="Times New Roman"/>
          <w:color w:val="000000" w:themeColor="text1"/>
        </w:rPr>
        <w:t xml:space="preserve"> afectaciones considerables para el mercado laboral de la zona, de hecho, encuestas realizadas por la Cámara de Comercio de Cúcuta evidencian que, para el 96% de los empresarios de la región, la ciudad no estaba preparada para atender el fenómeno migratorio.</w:t>
      </w:r>
    </w:p>
    <w:p w14:paraId="4D65CE02" w14:textId="77777777" w:rsidR="00F949F2" w:rsidRPr="001F41A6" w:rsidRDefault="00F949F2" w:rsidP="00F949F2">
      <w:pPr>
        <w:jc w:val="both"/>
        <w:rPr>
          <w:rFonts w:cs="Times New Roman"/>
          <w:color w:val="000000" w:themeColor="text1"/>
        </w:rPr>
      </w:pPr>
      <w:r w:rsidRPr="001F41A6">
        <w:rPr>
          <w:rFonts w:cs="Times New Roman"/>
          <w:color w:val="000000" w:themeColor="text1"/>
        </w:rPr>
        <w:t xml:space="preserve"> </w:t>
      </w:r>
    </w:p>
    <w:p w14:paraId="559CF752" w14:textId="77777777" w:rsidR="00F949F2" w:rsidRPr="001F41A6" w:rsidRDefault="003F75AB" w:rsidP="00F949F2">
      <w:pPr>
        <w:jc w:val="both"/>
        <w:rPr>
          <w:rFonts w:cs="Times New Roman"/>
          <w:color w:val="000000" w:themeColor="text1"/>
        </w:rPr>
      </w:pPr>
      <w:r w:rsidRPr="001F41A6">
        <w:rPr>
          <w:rFonts w:cs="Times New Roman"/>
          <w:color w:val="000000" w:themeColor="text1"/>
        </w:rPr>
        <w:t>Dicha situación se corrobora con e</w:t>
      </w:r>
      <w:r w:rsidR="00F949F2" w:rsidRPr="001F41A6">
        <w:rPr>
          <w:rFonts w:cs="Times New Roman"/>
          <w:color w:val="000000" w:themeColor="text1"/>
        </w:rPr>
        <w:t xml:space="preserve">l </w:t>
      </w:r>
      <w:r w:rsidRPr="001F41A6">
        <w:rPr>
          <w:rFonts w:cs="Times New Roman"/>
          <w:color w:val="000000" w:themeColor="text1"/>
        </w:rPr>
        <w:t xml:space="preserve">deterioro de las </w:t>
      </w:r>
      <w:r w:rsidR="00F949F2" w:rsidRPr="001F41A6">
        <w:rPr>
          <w:rFonts w:cs="Times New Roman"/>
          <w:color w:val="000000" w:themeColor="text1"/>
        </w:rPr>
        <w:t xml:space="preserve">condiciones del mercado laboral en </w:t>
      </w:r>
      <w:r w:rsidR="000C48B8" w:rsidRPr="001F41A6">
        <w:rPr>
          <w:rFonts w:cs="Times New Roman"/>
          <w:color w:val="000000" w:themeColor="text1"/>
        </w:rPr>
        <w:t>el área metropolitana de Cúcuta</w:t>
      </w:r>
      <w:r w:rsidR="00F949F2" w:rsidRPr="001F41A6">
        <w:rPr>
          <w:rFonts w:cs="Times New Roman"/>
          <w:color w:val="000000" w:themeColor="text1"/>
        </w:rPr>
        <w:t>,</w:t>
      </w:r>
      <w:r w:rsidR="000C48B8" w:rsidRPr="001F41A6">
        <w:rPr>
          <w:rFonts w:cs="Times New Roman"/>
          <w:color w:val="000000" w:themeColor="text1"/>
        </w:rPr>
        <w:t xml:space="preserve"> la cual</w:t>
      </w:r>
      <w:r w:rsidR="00F949F2" w:rsidRPr="001F41A6">
        <w:rPr>
          <w:rFonts w:cs="Times New Roman"/>
          <w:color w:val="000000" w:themeColor="text1"/>
        </w:rPr>
        <w:t xml:space="preserve"> alcanzó una tasa de desempleo del 16,7% para el primer semestre del año 2018</w:t>
      </w:r>
      <w:r w:rsidR="000C48B8" w:rsidRPr="001F41A6">
        <w:rPr>
          <w:rFonts w:cs="Times New Roman"/>
          <w:color w:val="000000" w:themeColor="text1"/>
        </w:rPr>
        <w:t xml:space="preserve">, </w:t>
      </w:r>
      <w:r w:rsidR="00F949F2" w:rsidRPr="001F41A6">
        <w:rPr>
          <w:rFonts w:cs="Times New Roman"/>
          <w:color w:val="000000" w:themeColor="text1"/>
        </w:rPr>
        <w:t>la segunda más alta entre las 23 ciudades más importantes del país</w:t>
      </w:r>
      <w:r w:rsidR="000C48B8" w:rsidRPr="001F41A6">
        <w:rPr>
          <w:rFonts w:cs="Times New Roman"/>
          <w:color w:val="000000" w:themeColor="text1"/>
        </w:rPr>
        <w:t xml:space="preserve">. De hecho, </w:t>
      </w:r>
      <w:r w:rsidRPr="001F41A6">
        <w:rPr>
          <w:rFonts w:cs="Times New Roman"/>
          <w:color w:val="000000" w:themeColor="text1"/>
        </w:rPr>
        <w:t xml:space="preserve">se destaca la </w:t>
      </w:r>
      <w:r w:rsidR="000C48B8" w:rsidRPr="001F41A6">
        <w:rPr>
          <w:rFonts w:cs="Times New Roman"/>
          <w:color w:val="000000" w:themeColor="text1"/>
        </w:rPr>
        <w:t>amplia</w:t>
      </w:r>
      <w:r w:rsidRPr="001F41A6">
        <w:rPr>
          <w:rFonts w:cs="Times New Roman"/>
          <w:color w:val="000000" w:themeColor="text1"/>
        </w:rPr>
        <w:t xml:space="preserve">ción </w:t>
      </w:r>
      <w:r w:rsidR="000C48B8" w:rsidRPr="001F41A6">
        <w:rPr>
          <w:rFonts w:cs="Times New Roman"/>
          <w:color w:val="000000" w:themeColor="text1"/>
        </w:rPr>
        <w:t>d</w:t>
      </w:r>
      <w:r w:rsidRPr="001F41A6">
        <w:rPr>
          <w:rFonts w:cs="Times New Roman"/>
          <w:color w:val="000000" w:themeColor="text1"/>
        </w:rPr>
        <w:t>e</w:t>
      </w:r>
      <w:r w:rsidR="000C48B8" w:rsidRPr="001F41A6">
        <w:rPr>
          <w:rFonts w:cs="Times New Roman"/>
          <w:color w:val="000000" w:themeColor="text1"/>
        </w:rPr>
        <w:t xml:space="preserve"> la brecha de desempleo </w:t>
      </w:r>
      <w:r w:rsidR="0021370A" w:rsidRPr="001F41A6">
        <w:rPr>
          <w:rFonts w:cs="Times New Roman"/>
          <w:color w:val="000000" w:themeColor="text1"/>
        </w:rPr>
        <w:t>d</w:t>
      </w:r>
      <w:r w:rsidR="000C48B8" w:rsidRPr="001F41A6">
        <w:rPr>
          <w:rFonts w:cs="Times New Roman"/>
          <w:color w:val="000000" w:themeColor="text1"/>
        </w:rPr>
        <w:t>e</w:t>
      </w:r>
      <w:r w:rsidRPr="001F41A6">
        <w:rPr>
          <w:rFonts w:cs="Times New Roman"/>
          <w:color w:val="000000" w:themeColor="text1"/>
        </w:rPr>
        <w:t xml:space="preserve"> esta</w:t>
      </w:r>
      <w:r w:rsidR="000C48B8" w:rsidRPr="001F41A6">
        <w:rPr>
          <w:rFonts w:cs="Times New Roman"/>
          <w:color w:val="000000" w:themeColor="text1"/>
        </w:rPr>
        <w:t xml:space="preserve"> área metropolitana </w:t>
      </w:r>
      <w:r w:rsidR="0021370A" w:rsidRPr="001F41A6">
        <w:rPr>
          <w:rFonts w:cs="Times New Roman"/>
          <w:color w:val="000000" w:themeColor="text1"/>
        </w:rPr>
        <w:t>respecto a</w:t>
      </w:r>
      <w:r w:rsidR="000C48B8" w:rsidRPr="001F41A6">
        <w:rPr>
          <w:rFonts w:cs="Times New Roman"/>
          <w:color w:val="000000" w:themeColor="text1"/>
        </w:rPr>
        <w:t>l total nacional</w:t>
      </w:r>
      <w:r w:rsidRPr="001F41A6">
        <w:rPr>
          <w:rFonts w:cs="Times New Roman"/>
          <w:color w:val="000000" w:themeColor="text1"/>
        </w:rPr>
        <w:t xml:space="preserve"> como consecuencia del efecto migratorio</w:t>
      </w:r>
      <w:r w:rsidR="000C48B8" w:rsidRPr="001F41A6">
        <w:rPr>
          <w:rFonts w:cs="Times New Roman"/>
          <w:color w:val="000000" w:themeColor="text1"/>
        </w:rPr>
        <w:t xml:space="preserve">: mientras que esta era de dos puntos porcentuales </w:t>
      </w:r>
      <w:r w:rsidR="0021370A" w:rsidRPr="001F41A6">
        <w:rPr>
          <w:rFonts w:cs="Times New Roman"/>
          <w:color w:val="000000" w:themeColor="text1"/>
        </w:rPr>
        <w:t xml:space="preserve">(p.p.) </w:t>
      </w:r>
      <w:r w:rsidR="000C48B8" w:rsidRPr="001F41A6">
        <w:rPr>
          <w:rFonts w:cs="Times New Roman"/>
          <w:color w:val="000000" w:themeColor="text1"/>
        </w:rPr>
        <w:t xml:space="preserve">en 2010 pasó a </w:t>
      </w:r>
      <w:r w:rsidRPr="001F41A6">
        <w:rPr>
          <w:rFonts w:cs="Times New Roman"/>
          <w:color w:val="000000" w:themeColor="text1"/>
        </w:rPr>
        <w:t>5,4</w:t>
      </w:r>
      <w:r w:rsidR="00F949F2" w:rsidRPr="001F41A6">
        <w:rPr>
          <w:rFonts w:cs="Times New Roman"/>
          <w:color w:val="000000" w:themeColor="text1"/>
        </w:rPr>
        <w:t xml:space="preserve"> </w:t>
      </w:r>
      <w:r w:rsidR="000C48B8" w:rsidRPr="001F41A6">
        <w:rPr>
          <w:rFonts w:cs="Times New Roman"/>
          <w:color w:val="000000" w:themeColor="text1"/>
        </w:rPr>
        <w:t xml:space="preserve">p.p. </w:t>
      </w:r>
      <w:r w:rsidR="0021370A" w:rsidRPr="001F41A6">
        <w:rPr>
          <w:rFonts w:cs="Times New Roman"/>
          <w:color w:val="000000" w:themeColor="text1"/>
        </w:rPr>
        <w:t xml:space="preserve">en </w:t>
      </w:r>
      <w:r w:rsidR="00E802F0" w:rsidRPr="001F41A6">
        <w:rPr>
          <w:rFonts w:cs="Times New Roman"/>
          <w:color w:val="000000" w:themeColor="text1"/>
        </w:rPr>
        <w:t xml:space="preserve">el primer semestre </w:t>
      </w:r>
      <w:r w:rsidR="0021370A" w:rsidRPr="001F41A6">
        <w:rPr>
          <w:rFonts w:cs="Times New Roman"/>
          <w:color w:val="000000" w:themeColor="text1"/>
        </w:rPr>
        <w:t>de 2018</w:t>
      </w:r>
      <w:r w:rsidRPr="001F41A6">
        <w:rPr>
          <w:rFonts w:cs="Times New Roman"/>
          <w:color w:val="000000" w:themeColor="text1"/>
        </w:rPr>
        <w:t xml:space="preserve"> (Gráfico 5).</w:t>
      </w:r>
    </w:p>
    <w:p w14:paraId="01C8E168" w14:textId="77777777" w:rsidR="00F949F2" w:rsidRPr="001F41A6" w:rsidRDefault="00F949F2" w:rsidP="00F949F2">
      <w:pPr>
        <w:jc w:val="both"/>
        <w:rPr>
          <w:rFonts w:cs="Times New Roman"/>
          <w:color w:val="000000" w:themeColor="text1"/>
        </w:rPr>
      </w:pPr>
    </w:p>
    <w:p w14:paraId="127BF361" w14:textId="77777777" w:rsidR="00074D6C" w:rsidRDefault="00074D6C" w:rsidP="00F949F2">
      <w:pPr>
        <w:jc w:val="center"/>
        <w:rPr>
          <w:rFonts w:cs="Times New Roman"/>
          <w:b/>
          <w:color w:val="000000" w:themeColor="text1"/>
          <w:sz w:val="22"/>
          <w:szCs w:val="26"/>
        </w:rPr>
      </w:pPr>
    </w:p>
    <w:p w14:paraId="3834843E" w14:textId="77777777" w:rsidR="00074D6C" w:rsidRDefault="00074D6C" w:rsidP="00F949F2">
      <w:pPr>
        <w:jc w:val="center"/>
        <w:rPr>
          <w:rFonts w:cs="Times New Roman"/>
          <w:b/>
          <w:color w:val="000000" w:themeColor="text1"/>
          <w:sz w:val="22"/>
          <w:szCs w:val="26"/>
        </w:rPr>
      </w:pPr>
    </w:p>
    <w:p w14:paraId="51C20B40" w14:textId="77777777" w:rsidR="00074D6C" w:rsidRDefault="00074D6C" w:rsidP="00F949F2">
      <w:pPr>
        <w:jc w:val="center"/>
        <w:rPr>
          <w:rFonts w:cs="Times New Roman"/>
          <w:b/>
          <w:color w:val="000000" w:themeColor="text1"/>
          <w:sz w:val="22"/>
          <w:szCs w:val="26"/>
        </w:rPr>
      </w:pPr>
    </w:p>
    <w:p w14:paraId="1C367017" w14:textId="77777777" w:rsidR="00074D6C" w:rsidRDefault="00074D6C" w:rsidP="00F949F2">
      <w:pPr>
        <w:jc w:val="center"/>
        <w:rPr>
          <w:rFonts w:cs="Times New Roman"/>
          <w:b/>
          <w:color w:val="000000" w:themeColor="text1"/>
          <w:sz w:val="22"/>
          <w:szCs w:val="26"/>
        </w:rPr>
      </w:pPr>
    </w:p>
    <w:p w14:paraId="6F76F406" w14:textId="77777777" w:rsidR="00074D6C" w:rsidRDefault="00074D6C" w:rsidP="00F949F2">
      <w:pPr>
        <w:jc w:val="center"/>
        <w:rPr>
          <w:rFonts w:cs="Times New Roman"/>
          <w:b/>
          <w:color w:val="000000" w:themeColor="text1"/>
          <w:sz w:val="22"/>
          <w:szCs w:val="26"/>
        </w:rPr>
      </w:pPr>
    </w:p>
    <w:p w14:paraId="417C89EF" w14:textId="77777777" w:rsidR="00074D6C" w:rsidRDefault="00074D6C" w:rsidP="00F949F2">
      <w:pPr>
        <w:jc w:val="center"/>
        <w:rPr>
          <w:rFonts w:cs="Times New Roman"/>
          <w:b/>
          <w:color w:val="000000" w:themeColor="text1"/>
          <w:sz w:val="22"/>
          <w:szCs w:val="26"/>
        </w:rPr>
      </w:pPr>
    </w:p>
    <w:p w14:paraId="61C4641F" w14:textId="77777777" w:rsidR="00074D6C" w:rsidRDefault="00074D6C" w:rsidP="00F949F2">
      <w:pPr>
        <w:jc w:val="center"/>
        <w:rPr>
          <w:rFonts w:cs="Times New Roman"/>
          <w:b/>
          <w:color w:val="000000" w:themeColor="text1"/>
          <w:sz w:val="22"/>
          <w:szCs w:val="26"/>
        </w:rPr>
      </w:pPr>
    </w:p>
    <w:p w14:paraId="4641F259" w14:textId="77777777" w:rsidR="00074D6C" w:rsidRDefault="00074D6C" w:rsidP="00F949F2">
      <w:pPr>
        <w:jc w:val="center"/>
        <w:rPr>
          <w:rFonts w:cs="Times New Roman"/>
          <w:b/>
          <w:color w:val="000000" w:themeColor="text1"/>
          <w:sz w:val="22"/>
          <w:szCs w:val="26"/>
        </w:rPr>
      </w:pPr>
    </w:p>
    <w:p w14:paraId="6AFB0830" w14:textId="77777777" w:rsidR="00F949F2" w:rsidRPr="00C366A7" w:rsidRDefault="00F949F2" w:rsidP="00F949F2">
      <w:pPr>
        <w:jc w:val="center"/>
        <w:rPr>
          <w:rFonts w:cs="Times New Roman"/>
          <w:b/>
          <w:color w:val="000000" w:themeColor="text1"/>
          <w:sz w:val="22"/>
          <w:szCs w:val="26"/>
        </w:rPr>
      </w:pPr>
      <w:r w:rsidRPr="00C366A7">
        <w:rPr>
          <w:rFonts w:cs="Times New Roman"/>
          <w:b/>
          <w:color w:val="000000" w:themeColor="text1"/>
          <w:sz w:val="22"/>
          <w:szCs w:val="26"/>
        </w:rPr>
        <w:lastRenderedPageBreak/>
        <w:t>Grafico 5.</w:t>
      </w:r>
      <w:r w:rsidR="00D8776B" w:rsidRPr="00C366A7">
        <w:rPr>
          <w:rFonts w:cs="Times New Roman"/>
          <w:b/>
          <w:color w:val="000000" w:themeColor="text1"/>
          <w:sz w:val="22"/>
          <w:szCs w:val="26"/>
        </w:rPr>
        <w:t xml:space="preserve"> </w:t>
      </w:r>
      <w:r w:rsidRPr="00C366A7">
        <w:rPr>
          <w:rFonts w:cs="Times New Roman"/>
          <w:b/>
          <w:color w:val="000000" w:themeColor="text1"/>
          <w:sz w:val="22"/>
          <w:szCs w:val="26"/>
        </w:rPr>
        <w:t>Tasa de desempleo</w:t>
      </w:r>
      <w:r w:rsidR="0021370A" w:rsidRPr="00C366A7">
        <w:rPr>
          <w:rFonts w:cs="Times New Roman"/>
          <w:b/>
          <w:color w:val="000000" w:themeColor="text1"/>
          <w:sz w:val="22"/>
          <w:szCs w:val="26"/>
        </w:rPr>
        <w:t>, 2010-2018 (</w:t>
      </w:r>
      <w:r w:rsidR="00E802F0" w:rsidRPr="00C366A7">
        <w:rPr>
          <w:rFonts w:cs="Times New Roman"/>
          <w:b/>
          <w:color w:val="000000" w:themeColor="text1"/>
          <w:sz w:val="22"/>
          <w:szCs w:val="26"/>
        </w:rPr>
        <w:t>Primer semestre</w:t>
      </w:r>
      <w:r w:rsidR="0021370A" w:rsidRPr="00C366A7">
        <w:rPr>
          <w:rFonts w:cs="Times New Roman"/>
          <w:b/>
          <w:color w:val="000000" w:themeColor="text1"/>
          <w:sz w:val="22"/>
          <w:szCs w:val="26"/>
        </w:rPr>
        <w:t>)</w:t>
      </w:r>
    </w:p>
    <w:p w14:paraId="3B75FAB2" w14:textId="77777777" w:rsidR="00F949F2" w:rsidRPr="00C366A7" w:rsidRDefault="00F949F2" w:rsidP="00F949F2">
      <w:pPr>
        <w:jc w:val="center"/>
        <w:rPr>
          <w:rFonts w:cs="Times New Roman"/>
          <w:color w:val="000000" w:themeColor="text1"/>
          <w:sz w:val="26"/>
          <w:szCs w:val="26"/>
        </w:rPr>
      </w:pPr>
      <w:r w:rsidRPr="00C366A7">
        <w:rPr>
          <w:rFonts w:cs="Times New Roman"/>
          <w:noProof/>
          <w:color w:val="000000" w:themeColor="text1"/>
          <w:sz w:val="26"/>
          <w:szCs w:val="26"/>
          <w:lang w:val="es-CO" w:eastAsia="es-CO"/>
        </w:rPr>
        <w:drawing>
          <wp:inline distT="0" distB="0" distL="0" distR="0" wp14:anchorId="19B1416D" wp14:editId="4027B283">
            <wp:extent cx="4453425" cy="2246903"/>
            <wp:effectExtent l="0" t="0" r="4445" b="127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84535" cy="2262599"/>
                    </a:xfrm>
                    <a:prstGeom prst="rect">
                      <a:avLst/>
                    </a:prstGeom>
                    <a:noFill/>
                  </pic:spPr>
                </pic:pic>
              </a:graphicData>
            </a:graphic>
          </wp:inline>
        </w:drawing>
      </w:r>
    </w:p>
    <w:p w14:paraId="381F4FD0" w14:textId="77777777" w:rsidR="00F949F2" w:rsidRPr="00C366A7" w:rsidRDefault="00F949F2" w:rsidP="00E802F0">
      <w:pPr>
        <w:jc w:val="both"/>
        <w:rPr>
          <w:rFonts w:cs="Times New Roman"/>
          <w:color w:val="000000" w:themeColor="text1"/>
          <w:sz w:val="18"/>
          <w:szCs w:val="26"/>
          <w:lang w:val="es-CO"/>
        </w:rPr>
      </w:pPr>
      <w:r w:rsidRPr="00C366A7">
        <w:rPr>
          <w:rFonts w:cs="Times New Roman"/>
          <w:color w:val="000000" w:themeColor="text1"/>
          <w:sz w:val="18"/>
          <w:szCs w:val="26"/>
          <w:lang w:val="es-CO"/>
        </w:rPr>
        <w:t>Fuente: DANE-Mercado laboral</w:t>
      </w:r>
    </w:p>
    <w:p w14:paraId="2445AD8A" w14:textId="77777777" w:rsidR="00F949F2" w:rsidRPr="00C366A7" w:rsidRDefault="00F949F2" w:rsidP="00F949F2">
      <w:pPr>
        <w:jc w:val="both"/>
        <w:rPr>
          <w:rFonts w:cs="Times New Roman"/>
          <w:color w:val="000000" w:themeColor="text1"/>
          <w:sz w:val="26"/>
          <w:szCs w:val="26"/>
        </w:rPr>
      </w:pPr>
    </w:p>
    <w:p w14:paraId="201F4BD8" w14:textId="77777777" w:rsidR="00F949F2" w:rsidRPr="001F41A6" w:rsidRDefault="00F949F2">
      <w:pPr>
        <w:jc w:val="both"/>
        <w:rPr>
          <w:rFonts w:cs="Times New Roman"/>
          <w:color w:val="000000" w:themeColor="text1"/>
        </w:rPr>
      </w:pPr>
      <w:r w:rsidRPr="001F41A6">
        <w:rPr>
          <w:rFonts w:cs="Times New Roman"/>
          <w:color w:val="000000" w:themeColor="text1"/>
        </w:rPr>
        <w:t>La sobreoferta de personas migrantes</w:t>
      </w:r>
      <w:r w:rsidR="007D67EC" w:rsidRPr="001F41A6">
        <w:rPr>
          <w:rFonts w:cs="Times New Roman"/>
          <w:color w:val="000000" w:themeColor="text1"/>
        </w:rPr>
        <w:t xml:space="preserve"> en la ciudad</w:t>
      </w:r>
      <w:r w:rsidRPr="001F41A6">
        <w:rPr>
          <w:rFonts w:cs="Times New Roman"/>
          <w:color w:val="000000" w:themeColor="text1"/>
        </w:rPr>
        <w:t xml:space="preserve"> también </w:t>
      </w:r>
      <w:r w:rsidR="007D67EC" w:rsidRPr="001F41A6">
        <w:rPr>
          <w:rFonts w:cs="Times New Roman"/>
          <w:color w:val="000000" w:themeColor="text1"/>
        </w:rPr>
        <w:t xml:space="preserve">ha generado </w:t>
      </w:r>
      <w:r w:rsidRPr="001F41A6">
        <w:rPr>
          <w:rFonts w:cs="Times New Roman"/>
          <w:color w:val="000000" w:themeColor="text1"/>
        </w:rPr>
        <w:t xml:space="preserve">un incremento </w:t>
      </w:r>
      <w:r w:rsidR="007D67EC" w:rsidRPr="001F41A6">
        <w:rPr>
          <w:rFonts w:cs="Times New Roman"/>
          <w:color w:val="000000" w:themeColor="text1"/>
        </w:rPr>
        <w:t xml:space="preserve">en </w:t>
      </w:r>
      <w:r w:rsidRPr="001F41A6">
        <w:rPr>
          <w:rFonts w:cs="Times New Roman"/>
          <w:color w:val="000000" w:themeColor="text1"/>
        </w:rPr>
        <w:t xml:space="preserve">la informalidad </w:t>
      </w:r>
      <w:r w:rsidR="007D67EC" w:rsidRPr="001F41A6">
        <w:rPr>
          <w:rFonts w:cs="Times New Roman"/>
          <w:color w:val="000000" w:themeColor="text1"/>
        </w:rPr>
        <w:t>laboral</w:t>
      </w:r>
      <w:r w:rsidR="003953C7" w:rsidRPr="001F41A6">
        <w:rPr>
          <w:rFonts w:cs="Times New Roman"/>
          <w:color w:val="000000" w:themeColor="text1"/>
        </w:rPr>
        <w:t xml:space="preserve"> de esta área metropolitana</w:t>
      </w:r>
      <w:r w:rsidR="007D67EC" w:rsidRPr="001F41A6">
        <w:rPr>
          <w:rFonts w:cs="Times New Roman"/>
          <w:color w:val="000000" w:themeColor="text1"/>
        </w:rPr>
        <w:t xml:space="preserve">, lo que trae efectos negativos </w:t>
      </w:r>
      <w:r w:rsidR="003953C7" w:rsidRPr="001F41A6">
        <w:rPr>
          <w:rFonts w:cs="Times New Roman"/>
          <w:color w:val="000000" w:themeColor="text1"/>
        </w:rPr>
        <w:t>sobre su economía reduciendo</w:t>
      </w:r>
      <w:r w:rsidRPr="001F41A6">
        <w:rPr>
          <w:rFonts w:cs="Times New Roman"/>
          <w:color w:val="000000" w:themeColor="text1"/>
        </w:rPr>
        <w:t xml:space="preserve"> la contratación </w:t>
      </w:r>
      <w:r w:rsidR="003953C7" w:rsidRPr="001F41A6">
        <w:rPr>
          <w:rFonts w:cs="Times New Roman"/>
          <w:color w:val="000000" w:themeColor="text1"/>
        </w:rPr>
        <w:t xml:space="preserve">formal y el recaudo de aportes a la seguridad social. En el gráfico 6 se evidencia cómo la brecha de la informalidad de esta región se </w:t>
      </w:r>
      <w:r w:rsidR="003E5D7F" w:rsidRPr="001F41A6">
        <w:rPr>
          <w:rFonts w:cs="Times New Roman"/>
          <w:color w:val="000000" w:themeColor="text1"/>
        </w:rPr>
        <w:t>amplió</w:t>
      </w:r>
      <w:r w:rsidR="003953C7" w:rsidRPr="001F41A6">
        <w:rPr>
          <w:rFonts w:cs="Times New Roman"/>
          <w:color w:val="000000" w:themeColor="text1"/>
        </w:rPr>
        <w:t xml:space="preserve"> frente a la del promedio nacional: mientras que esta brecha era de</w:t>
      </w:r>
      <w:r w:rsidR="001C76A9" w:rsidRPr="001F41A6">
        <w:rPr>
          <w:rFonts w:cs="Times New Roman"/>
          <w:color w:val="000000" w:themeColor="text1"/>
        </w:rPr>
        <w:t xml:space="preserve"> 14 </w:t>
      </w:r>
      <w:r w:rsidR="003953C7" w:rsidRPr="001F41A6">
        <w:rPr>
          <w:rFonts w:cs="Times New Roman"/>
          <w:color w:val="000000" w:themeColor="text1"/>
        </w:rPr>
        <w:t xml:space="preserve">p.p. en 2010, llegó a </w:t>
      </w:r>
      <w:r w:rsidR="001C76A9" w:rsidRPr="001F41A6">
        <w:rPr>
          <w:rFonts w:cs="Times New Roman"/>
          <w:color w:val="000000" w:themeColor="text1"/>
        </w:rPr>
        <w:t xml:space="preserve">20,7 </w:t>
      </w:r>
      <w:r w:rsidR="003953C7" w:rsidRPr="001F41A6">
        <w:rPr>
          <w:rFonts w:cs="Times New Roman"/>
          <w:color w:val="000000" w:themeColor="text1"/>
        </w:rPr>
        <w:t xml:space="preserve">p.p. en </w:t>
      </w:r>
      <w:r w:rsidR="001C76A9" w:rsidRPr="001F41A6">
        <w:rPr>
          <w:rFonts w:cs="Times New Roman"/>
          <w:color w:val="000000" w:themeColor="text1"/>
        </w:rPr>
        <w:t>junio</w:t>
      </w:r>
      <w:r w:rsidR="003953C7" w:rsidRPr="001F41A6">
        <w:rPr>
          <w:rFonts w:cs="Times New Roman"/>
          <w:color w:val="000000" w:themeColor="text1"/>
        </w:rPr>
        <w:t xml:space="preserve"> de 2018. Esta situación incrementa </w:t>
      </w:r>
      <w:r w:rsidRPr="001F41A6">
        <w:rPr>
          <w:rFonts w:cs="Times New Roman"/>
          <w:color w:val="000000" w:themeColor="text1"/>
        </w:rPr>
        <w:t xml:space="preserve">la demanda de recursos tanto para los pobladores de la zona como para los migrantes. </w:t>
      </w:r>
    </w:p>
    <w:p w14:paraId="6BAD6699" w14:textId="77777777" w:rsidR="00F949F2" w:rsidRPr="001F41A6" w:rsidRDefault="00F949F2" w:rsidP="00F949F2">
      <w:pPr>
        <w:jc w:val="both"/>
        <w:rPr>
          <w:rFonts w:cs="Times New Roman"/>
          <w:color w:val="000000" w:themeColor="text1"/>
        </w:rPr>
      </w:pPr>
    </w:p>
    <w:p w14:paraId="7645E035" w14:textId="77777777" w:rsidR="00F949F2" w:rsidRPr="00C366A7" w:rsidRDefault="00F949F2" w:rsidP="00F949F2">
      <w:pPr>
        <w:jc w:val="center"/>
        <w:rPr>
          <w:rFonts w:cs="Times New Roman"/>
          <w:b/>
          <w:color w:val="000000" w:themeColor="text1"/>
          <w:sz w:val="22"/>
          <w:szCs w:val="26"/>
        </w:rPr>
      </w:pPr>
      <w:r w:rsidRPr="00C366A7">
        <w:rPr>
          <w:rFonts w:cs="Times New Roman"/>
          <w:b/>
          <w:color w:val="000000" w:themeColor="text1"/>
          <w:sz w:val="22"/>
          <w:szCs w:val="26"/>
        </w:rPr>
        <w:t>Gráfico 6.</w:t>
      </w:r>
      <w:r w:rsidR="003E5D7F" w:rsidRPr="00C366A7">
        <w:rPr>
          <w:rFonts w:cs="Times New Roman"/>
          <w:b/>
          <w:color w:val="000000" w:themeColor="text1"/>
          <w:sz w:val="22"/>
          <w:szCs w:val="26"/>
        </w:rPr>
        <w:t xml:space="preserve"> Tasa de informalidad, 2010-2018 (</w:t>
      </w:r>
      <w:r w:rsidR="00E802F0" w:rsidRPr="00C366A7">
        <w:rPr>
          <w:rFonts w:cs="Times New Roman"/>
          <w:b/>
          <w:color w:val="000000" w:themeColor="text1"/>
          <w:sz w:val="22"/>
          <w:szCs w:val="26"/>
        </w:rPr>
        <w:t>Primer semestre</w:t>
      </w:r>
      <w:r w:rsidR="003E5D7F" w:rsidRPr="00C366A7">
        <w:rPr>
          <w:rFonts w:cs="Times New Roman"/>
          <w:b/>
          <w:color w:val="000000" w:themeColor="text1"/>
          <w:sz w:val="22"/>
          <w:szCs w:val="26"/>
        </w:rPr>
        <w:t>)</w:t>
      </w:r>
    </w:p>
    <w:p w14:paraId="71B74F5B" w14:textId="77777777" w:rsidR="003E5D7F" w:rsidRPr="00C366A7" w:rsidRDefault="003E5D7F" w:rsidP="00F949F2">
      <w:pPr>
        <w:jc w:val="center"/>
        <w:rPr>
          <w:rFonts w:cs="Times New Roman"/>
          <w:b/>
          <w:color w:val="000000" w:themeColor="text1"/>
          <w:szCs w:val="26"/>
        </w:rPr>
      </w:pPr>
      <w:r w:rsidRPr="00C366A7">
        <w:rPr>
          <w:noProof/>
          <w:lang w:val="es-CO" w:eastAsia="es-CO"/>
        </w:rPr>
        <w:drawing>
          <wp:inline distT="0" distB="0" distL="0" distR="0" wp14:anchorId="4DF8231B" wp14:editId="4367A2A4">
            <wp:extent cx="4252332" cy="2545728"/>
            <wp:effectExtent l="0" t="0" r="0" b="698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83732" cy="2564526"/>
                    </a:xfrm>
                    <a:prstGeom prst="rect">
                      <a:avLst/>
                    </a:prstGeom>
                    <a:noFill/>
                    <a:ln>
                      <a:noFill/>
                    </a:ln>
                  </pic:spPr>
                </pic:pic>
              </a:graphicData>
            </a:graphic>
          </wp:inline>
        </w:drawing>
      </w:r>
    </w:p>
    <w:p w14:paraId="206C4AE0" w14:textId="77777777" w:rsidR="001C76A9" w:rsidRPr="00C366A7" w:rsidRDefault="001C76A9" w:rsidP="001C76A9">
      <w:pPr>
        <w:jc w:val="both"/>
        <w:rPr>
          <w:rFonts w:cs="Times New Roman"/>
          <w:color w:val="000000" w:themeColor="text1"/>
          <w:sz w:val="18"/>
          <w:szCs w:val="26"/>
          <w:lang w:val="es-CO"/>
        </w:rPr>
      </w:pPr>
      <w:r w:rsidRPr="00C366A7">
        <w:rPr>
          <w:rFonts w:cs="Times New Roman"/>
          <w:color w:val="000000" w:themeColor="text1"/>
          <w:sz w:val="18"/>
          <w:szCs w:val="26"/>
          <w:lang w:val="es-CO"/>
        </w:rPr>
        <w:t>Fuente: DANE-Mercado laboral</w:t>
      </w:r>
    </w:p>
    <w:p w14:paraId="75812DBE" w14:textId="77777777" w:rsidR="00B74E90" w:rsidRPr="00C366A7" w:rsidRDefault="00B74E90" w:rsidP="00F949F2">
      <w:pPr>
        <w:jc w:val="center"/>
        <w:rPr>
          <w:rFonts w:cs="Times New Roman"/>
          <w:b/>
          <w:color w:val="000000" w:themeColor="text1"/>
          <w:szCs w:val="26"/>
        </w:rPr>
      </w:pPr>
    </w:p>
    <w:p w14:paraId="77C4BEF7" w14:textId="77777777" w:rsidR="00B74E90" w:rsidRPr="00074D6C" w:rsidRDefault="00B74E90" w:rsidP="00E802F0">
      <w:pPr>
        <w:jc w:val="both"/>
        <w:rPr>
          <w:rFonts w:cs="Times New Roman"/>
          <w:color w:val="000000" w:themeColor="text1"/>
        </w:rPr>
      </w:pPr>
      <w:r w:rsidRPr="00074D6C">
        <w:rPr>
          <w:rFonts w:cs="Times New Roman"/>
          <w:color w:val="000000" w:themeColor="text1"/>
        </w:rPr>
        <w:t>Frente a las 23 ciudades más importantes del país, según cifras del DANE, el área metropolitana de Cúcuta registró la tasa de informalidad más alta al cierre de 2017, 13,8 p.p. por encima del promedio de las 23 ciudades (Gráfico 7).</w:t>
      </w:r>
    </w:p>
    <w:p w14:paraId="51DF0E21" w14:textId="77777777" w:rsidR="00B74E90" w:rsidRPr="00074D6C" w:rsidRDefault="00B74E90" w:rsidP="00F949F2">
      <w:pPr>
        <w:jc w:val="center"/>
        <w:rPr>
          <w:rFonts w:cs="Times New Roman"/>
          <w:b/>
          <w:color w:val="000000" w:themeColor="text1"/>
        </w:rPr>
      </w:pPr>
    </w:p>
    <w:p w14:paraId="752DE053" w14:textId="77777777" w:rsidR="00F949F2" w:rsidRPr="00C366A7" w:rsidRDefault="001C76A9" w:rsidP="00F949F2">
      <w:pPr>
        <w:jc w:val="center"/>
        <w:rPr>
          <w:rFonts w:cs="Times New Roman"/>
          <w:b/>
          <w:color w:val="000000" w:themeColor="text1"/>
          <w:sz w:val="22"/>
          <w:szCs w:val="22"/>
        </w:rPr>
      </w:pPr>
      <w:r w:rsidRPr="00C366A7">
        <w:rPr>
          <w:rFonts w:cs="Times New Roman"/>
          <w:b/>
          <w:color w:val="000000" w:themeColor="text1"/>
          <w:sz w:val="22"/>
          <w:szCs w:val="22"/>
        </w:rPr>
        <w:t xml:space="preserve">Gráfico 7. </w:t>
      </w:r>
      <w:r w:rsidR="00F949F2" w:rsidRPr="00C366A7">
        <w:rPr>
          <w:rFonts w:cs="Times New Roman"/>
          <w:b/>
          <w:color w:val="000000" w:themeColor="text1"/>
          <w:sz w:val="22"/>
          <w:szCs w:val="22"/>
        </w:rPr>
        <w:t>Tasa de informalidad</w:t>
      </w:r>
      <w:r w:rsidR="003E5D7F" w:rsidRPr="00C366A7">
        <w:rPr>
          <w:rFonts w:cs="Times New Roman"/>
          <w:b/>
          <w:color w:val="000000" w:themeColor="text1"/>
          <w:sz w:val="22"/>
          <w:szCs w:val="22"/>
        </w:rPr>
        <w:t>, 2017</w:t>
      </w:r>
    </w:p>
    <w:p w14:paraId="7C03D645" w14:textId="77777777" w:rsidR="00F949F2" w:rsidRPr="00C366A7" w:rsidRDefault="00F949F2" w:rsidP="00F949F2">
      <w:pPr>
        <w:jc w:val="center"/>
        <w:rPr>
          <w:rFonts w:cs="Times New Roman"/>
          <w:color w:val="000000" w:themeColor="text1"/>
          <w:sz w:val="26"/>
          <w:szCs w:val="26"/>
        </w:rPr>
      </w:pPr>
      <w:r w:rsidRPr="00C366A7">
        <w:rPr>
          <w:rFonts w:cs="Times New Roman"/>
          <w:noProof/>
          <w:color w:val="000000" w:themeColor="text1"/>
          <w:sz w:val="26"/>
          <w:szCs w:val="26"/>
          <w:lang w:val="es-CO" w:eastAsia="es-CO"/>
        </w:rPr>
        <w:lastRenderedPageBreak/>
        <w:drawing>
          <wp:inline distT="0" distB="0" distL="0" distR="0" wp14:anchorId="79D753A1" wp14:editId="54B03076">
            <wp:extent cx="5479498" cy="5111126"/>
            <wp:effectExtent l="0" t="0" r="698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40820" cy="5168325"/>
                    </a:xfrm>
                    <a:prstGeom prst="rect">
                      <a:avLst/>
                    </a:prstGeom>
                    <a:noFill/>
                  </pic:spPr>
                </pic:pic>
              </a:graphicData>
            </a:graphic>
          </wp:inline>
        </w:drawing>
      </w:r>
    </w:p>
    <w:p w14:paraId="3A401AAA" w14:textId="77777777" w:rsidR="00F949F2" w:rsidRPr="00C366A7" w:rsidRDefault="00F949F2" w:rsidP="00E802F0">
      <w:pPr>
        <w:jc w:val="both"/>
        <w:rPr>
          <w:rFonts w:cs="Times New Roman"/>
          <w:color w:val="000000" w:themeColor="text1"/>
          <w:sz w:val="18"/>
          <w:szCs w:val="26"/>
          <w:lang w:val="es-CO"/>
        </w:rPr>
      </w:pPr>
      <w:r w:rsidRPr="00C366A7">
        <w:rPr>
          <w:rFonts w:cs="Times New Roman"/>
          <w:color w:val="000000" w:themeColor="text1"/>
          <w:sz w:val="18"/>
          <w:szCs w:val="26"/>
          <w:lang w:val="es-CO"/>
        </w:rPr>
        <w:t>Fuente: DANE-Mercado laboral</w:t>
      </w:r>
    </w:p>
    <w:p w14:paraId="484BC080" w14:textId="77777777" w:rsidR="00F949F2" w:rsidRPr="00C366A7" w:rsidRDefault="00F949F2" w:rsidP="00F949F2">
      <w:pPr>
        <w:jc w:val="both"/>
        <w:rPr>
          <w:rFonts w:cs="Times New Roman"/>
          <w:color w:val="000000" w:themeColor="text1"/>
          <w:sz w:val="26"/>
          <w:szCs w:val="26"/>
        </w:rPr>
      </w:pPr>
    </w:p>
    <w:p w14:paraId="1D24D90D" w14:textId="77777777" w:rsidR="00F949F2" w:rsidRPr="001F41A6" w:rsidRDefault="00F949F2" w:rsidP="00F949F2">
      <w:pPr>
        <w:jc w:val="both"/>
        <w:rPr>
          <w:rFonts w:cs="Times New Roman"/>
          <w:color w:val="000000" w:themeColor="text1"/>
        </w:rPr>
      </w:pPr>
      <w:r w:rsidRPr="001F41A6">
        <w:rPr>
          <w:rFonts w:cs="Times New Roman"/>
          <w:color w:val="000000" w:themeColor="text1"/>
        </w:rPr>
        <w:t>En materia de comercio el escenario tampoco ha sido alentador</w:t>
      </w:r>
      <w:r w:rsidR="00B74E90" w:rsidRPr="001F41A6">
        <w:rPr>
          <w:rFonts w:cs="Times New Roman"/>
          <w:color w:val="000000" w:themeColor="text1"/>
        </w:rPr>
        <w:t xml:space="preserve"> para Colombia, en particular para el área metropolitana de Cúcuta</w:t>
      </w:r>
      <w:r w:rsidRPr="001F41A6">
        <w:rPr>
          <w:rFonts w:cs="Times New Roman"/>
          <w:color w:val="000000" w:themeColor="text1"/>
        </w:rPr>
        <w:t xml:space="preserve">. Para el país en general, dejando </w:t>
      </w:r>
      <w:r w:rsidR="00D55D45" w:rsidRPr="001F41A6">
        <w:rPr>
          <w:rFonts w:cs="Times New Roman"/>
          <w:color w:val="000000" w:themeColor="text1"/>
        </w:rPr>
        <w:t>de</w:t>
      </w:r>
      <w:r w:rsidRPr="001F41A6">
        <w:rPr>
          <w:rFonts w:cs="Times New Roman"/>
          <w:color w:val="000000" w:themeColor="text1"/>
        </w:rPr>
        <w:t xml:space="preserve"> lado el comercio minero-energético, desde el</w:t>
      </w:r>
      <w:r w:rsidR="003E5D7F" w:rsidRPr="001F41A6">
        <w:rPr>
          <w:rFonts w:cs="Times New Roman"/>
          <w:color w:val="000000" w:themeColor="text1"/>
        </w:rPr>
        <w:t xml:space="preserve"> año</w:t>
      </w:r>
      <w:r w:rsidRPr="001F41A6">
        <w:rPr>
          <w:rFonts w:cs="Times New Roman"/>
          <w:color w:val="000000" w:themeColor="text1"/>
        </w:rPr>
        <w:t xml:space="preserve"> 2012 se ha presentado una caída constante en la balanza comercial con Venezuela. </w:t>
      </w:r>
      <w:r w:rsidR="00D55D45" w:rsidRPr="001F41A6">
        <w:rPr>
          <w:rFonts w:cs="Times New Roman"/>
          <w:color w:val="000000" w:themeColor="text1"/>
        </w:rPr>
        <w:t>L</w:t>
      </w:r>
      <w:r w:rsidR="00D90E67" w:rsidRPr="001F41A6">
        <w:rPr>
          <w:rFonts w:cs="Times New Roman"/>
          <w:color w:val="000000" w:themeColor="text1"/>
        </w:rPr>
        <w:t>as exportaciones</w:t>
      </w:r>
      <w:r w:rsidR="004F5779" w:rsidRPr="001F41A6">
        <w:rPr>
          <w:rFonts w:cs="Times New Roman"/>
          <w:color w:val="000000" w:themeColor="text1"/>
        </w:rPr>
        <w:t xml:space="preserve"> no miner</w:t>
      </w:r>
      <w:r w:rsidR="00D90E67" w:rsidRPr="001F41A6">
        <w:rPr>
          <w:rFonts w:cs="Times New Roman"/>
          <w:color w:val="000000" w:themeColor="text1"/>
        </w:rPr>
        <w:t>a</w:t>
      </w:r>
      <w:r w:rsidR="004F5779" w:rsidRPr="001F41A6">
        <w:rPr>
          <w:rFonts w:cs="Times New Roman"/>
          <w:color w:val="000000" w:themeColor="text1"/>
        </w:rPr>
        <w:t>s</w:t>
      </w:r>
      <w:r w:rsidRPr="001F41A6">
        <w:rPr>
          <w:rFonts w:cs="Times New Roman"/>
          <w:color w:val="000000" w:themeColor="text1"/>
        </w:rPr>
        <w:t xml:space="preserve"> han pasado de tener </w:t>
      </w:r>
      <w:r w:rsidR="00D90E67" w:rsidRPr="001F41A6">
        <w:rPr>
          <w:rFonts w:cs="Times New Roman"/>
          <w:color w:val="000000" w:themeColor="text1"/>
        </w:rPr>
        <w:t xml:space="preserve">un valor </w:t>
      </w:r>
      <w:r w:rsidR="003E5D7F" w:rsidRPr="001F41A6">
        <w:rPr>
          <w:rFonts w:cs="Times New Roman"/>
          <w:color w:val="000000" w:themeColor="text1"/>
        </w:rPr>
        <w:t xml:space="preserve">de US$ </w:t>
      </w:r>
      <w:r w:rsidRPr="001F41A6">
        <w:rPr>
          <w:rFonts w:cs="Times New Roman"/>
          <w:color w:val="000000" w:themeColor="text1"/>
        </w:rPr>
        <w:t>2</w:t>
      </w:r>
      <w:r w:rsidR="004F5779" w:rsidRPr="001F41A6">
        <w:rPr>
          <w:rFonts w:cs="Times New Roman"/>
          <w:color w:val="000000" w:themeColor="text1"/>
        </w:rPr>
        <w:t>.</w:t>
      </w:r>
      <w:r w:rsidRPr="001F41A6">
        <w:rPr>
          <w:rFonts w:cs="Times New Roman"/>
          <w:color w:val="000000" w:themeColor="text1"/>
        </w:rPr>
        <w:t xml:space="preserve">000 millones en 2012, a tan solo 313 millones en 2017. Este fenómeno va de la mano con el deterioro </w:t>
      </w:r>
      <w:r w:rsidR="004F5779" w:rsidRPr="001F41A6">
        <w:rPr>
          <w:rFonts w:cs="Times New Roman"/>
          <w:color w:val="000000" w:themeColor="text1"/>
        </w:rPr>
        <w:t>que ha presentado el</w:t>
      </w:r>
      <w:r w:rsidRPr="001F41A6">
        <w:rPr>
          <w:rFonts w:cs="Times New Roman"/>
          <w:color w:val="000000" w:themeColor="text1"/>
        </w:rPr>
        <w:t xml:space="preserve"> bolívar frente al peso colombiano, cuya tendencia </w:t>
      </w:r>
      <w:r w:rsidR="00B74E90" w:rsidRPr="001F41A6">
        <w:rPr>
          <w:rFonts w:cs="Times New Roman"/>
          <w:color w:val="000000" w:themeColor="text1"/>
        </w:rPr>
        <w:t xml:space="preserve">continúa </w:t>
      </w:r>
      <w:r w:rsidR="00D8776B" w:rsidRPr="001F41A6">
        <w:rPr>
          <w:rFonts w:cs="Times New Roman"/>
          <w:color w:val="000000" w:themeColor="text1"/>
        </w:rPr>
        <w:t>empeorando</w:t>
      </w:r>
      <w:r w:rsidR="004F5779" w:rsidRPr="001F41A6">
        <w:rPr>
          <w:rFonts w:cs="Times New Roman"/>
          <w:color w:val="000000" w:themeColor="text1"/>
        </w:rPr>
        <w:t>,</w:t>
      </w:r>
      <w:r w:rsidRPr="001F41A6">
        <w:rPr>
          <w:rFonts w:cs="Times New Roman"/>
          <w:color w:val="000000" w:themeColor="text1"/>
        </w:rPr>
        <w:t xml:space="preserve"> afectando </w:t>
      </w:r>
      <w:r w:rsidR="004F5779" w:rsidRPr="001F41A6">
        <w:rPr>
          <w:rFonts w:cs="Times New Roman"/>
          <w:color w:val="000000" w:themeColor="text1"/>
        </w:rPr>
        <w:t>aún más</w:t>
      </w:r>
      <w:r w:rsidRPr="001F41A6">
        <w:rPr>
          <w:rFonts w:cs="Times New Roman"/>
          <w:color w:val="000000" w:themeColor="text1"/>
        </w:rPr>
        <w:t xml:space="preserve"> </w:t>
      </w:r>
      <w:r w:rsidR="00D8776B" w:rsidRPr="001F41A6">
        <w:rPr>
          <w:rFonts w:cs="Times New Roman"/>
          <w:color w:val="000000" w:themeColor="text1"/>
        </w:rPr>
        <w:t xml:space="preserve">la </w:t>
      </w:r>
      <w:r w:rsidRPr="001F41A6">
        <w:rPr>
          <w:rFonts w:cs="Times New Roman"/>
          <w:color w:val="000000" w:themeColor="text1"/>
        </w:rPr>
        <w:t>balanza comercial</w:t>
      </w:r>
      <w:r w:rsidR="00D8776B" w:rsidRPr="001F41A6">
        <w:rPr>
          <w:rFonts w:cs="Times New Roman"/>
          <w:color w:val="000000" w:themeColor="text1"/>
        </w:rPr>
        <w:t xml:space="preserve"> (Gráfico 8)</w:t>
      </w:r>
      <w:r w:rsidRPr="001F41A6">
        <w:rPr>
          <w:rFonts w:cs="Times New Roman"/>
          <w:color w:val="000000" w:themeColor="text1"/>
        </w:rPr>
        <w:t>.</w:t>
      </w:r>
    </w:p>
    <w:p w14:paraId="29A78670" w14:textId="77777777" w:rsidR="00F949F2" w:rsidRPr="00C366A7" w:rsidRDefault="00F949F2" w:rsidP="00F949F2">
      <w:pPr>
        <w:jc w:val="center"/>
        <w:rPr>
          <w:rFonts w:cs="Times New Roman"/>
          <w:color w:val="000000" w:themeColor="text1"/>
          <w:sz w:val="26"/>
          <w:szCs w:val="26"/>
        </w:rPr>
      </w:pPr>
    </w:p>
    <w:p w14:paraId="1ADD51CE" w14:textId="77777777" w:rsidR="00074D6C" w:rsidRDefault="00074D6C" w:rsidP="00F949F2">
      <w:pPr>
        <w:jc w:val="center"/>
        <w:rPr>
          <w:rFonts w:cs="Times New Roman"/>
          <w:b/>
          <w:sz w:val="22"/>
          <w:szCs w:val="26"/>
        </w:rPr>
      </w:pPr>
    </w:p>
    <w:p w14:paraId="3797FA84" w14:textId="77777777" w:rsidR="00074D6C" w:rsidRDefault="00074D6C" w:rsidP="00F949F2">
      <w:pPr>
        <w:jc w:val="center"/>
        <w:rPr>
          <w:rFonts w:cs="Times New Roman"/>
          <w:b/>
          <w:sz w:val="22"/>
          <w:szCs w:val="26"/>
        </w:rPr>
      </w:pPr>
    </w:p>
    <w:p w14:paraId="5C727A03" w14:textId="77777777" w:rsidR="00074D6C" w:rsidRDefault="00074D6C" w:rsidP="00F949F2">
      <w:pPr>
        <w:jc w:val="center"/>
        <w:rPr>
          <w:rFonts w:cs="Times New Roman"/>
          <w:b/>
          <w:sz w:val="22"/>
          <w:szCs w:val="26"/>
        </w:rPr>
      </w:pPr>
    </w:p>
    <w:p w14:paraId="2EBF99AF" w14:textId="77777777" w:rsidR="00074D6C" w:rsidRDefault="00074D6C" w:rsidP="00F949F2">
      <w:pPr>
        <w:jc w:val="center"/>
        <w:rPr>
          <w:rFonts w:cs="Times New Roman"/>
          <w:b/>
          <w:sz w:val="22"/>
          <w:szCs w:val="26"/>
        </w:rPr>
      </w:pPr>
    </w:p>
    <w:p w14:paraId="0777AB30" w14:textId="77777777" w:rsidR="00074D6C" w:rsidRDefault="00074D6C" w:rsidP="00F949F2">
      <w:pPr>
        <w:jc w:val="center"/>
        <w:rPr>
          <w:rFonts w:cs="Times New Roman"/>
          <w:b/>
          <w:sz w:val="22"/>
          <w:szCs w:val="26"/>
        </w:rPr>
      </w:pPr>
    </w:p>
    <w:p w14:paraId="14EF1766" w14:textId="77777777" w:rsidR="00074D6C" w:rsidRDefault="00074D6C" w:rsidP="00F949F2">
      <w:pPr>
        <w:jc w:val="center"/>
        <w:rPr>
          <w:rFonts w:cs="Times New Roman"/>
          <w:b/>
          <w:sz w:val="22"/>
          <w:szCs w:val="26"/>
        </w:rPr>
      </w:pPr>
    </w:p>
    <w:p w14:paraId="3361580E" w14:textId="77777777" w:rsidR="00F949F2" w:rsidRPr="00C366A7" w:rsidRDefault="00F949F2" w:rsidP="00F949F2">
      <w:pPr>
        <w:jc w:val="center"/>
        <w:rPr>
          <w:rFonts w:cs="Times New Roman"/>
          <w:b/>
          <w:sz w:val="22"/>
          <w:szCs w:val="26"/>
        </w:rPr>
      </w:pPr>
      <w:r w:rsidRPr="00C366A7">
        <w:rPr>
          <w:rFonts w:cs="Times New Roman"/>
          <w:b/>
          <w:sz w:val="22"/>
          <w:szCs w:val="26"/>
        </w:rPr>
        <w:lastRenderedPageBreak/>
        <w:t xml:space="preserve">Gráfico </w:t>
      </w:r>
      <w:r w:rsidR="00D8776B" w:rsidRPr="00C366A7">
        <w:rPr>
          <w:rFonts w:cs="Times New Roman"/>
          <w:b/>
          <w:sz w:val="22"/>
          <w:szCs w:val="26"/>
        </w:rPr>
        <w:t xml:space="preserve">8. </w:t>
      </w:r>
      <w:r w:rsidRPr="00C366A7">
        <w:rPr>
          <w:rFonts w:cs="Times New Roman"/>
          <w:b/>
          <w:sz w:val="22"/>
          <w:szCs w:val="26"/>
        </w:rPr>
        <w:t xml:space="preserve">Balanza comercial </w:t>
      </w:r>
      <w:r w:rsidR="00D8776B" w:rsidRPr="00C366A7">
        <w:rPr>
          <w:rFonts w:cs="Times New Roman"/>
          <w:b/>
          <w:sz w:val="22"/>
          <w:szCs w:val="26"/>
        </w:rPr>
        <w:t xml:space="preserve">no minero-energética </w:t>
      </w:r>
      <w:r w:rsidRPr="00C366A7">
        <w:rPr>
          <w:rFonts w:cs="Times New Roman"/>
          <w:b/>
          <w:sz w:val="22"/>
          <w:szCs w:val="26"/>
        </w:rPr>
        <w:t>de Colombia con Venezuela</w:t>
      </w:r>
      <w:r w:rsidR="00D8776B" w:rsidRPr="00C366A7">
        <w:rPr>
          <w:rFonts w:cs="Times New Roman"/>
          <w:b/>
          <w:sz w:val="22"/>
          <w:szCs w:val="26"/>
        </w:rPr>
        <w:t xml:space="preserve">, 2010-2018 </w:t>
      </w:r>
      <w:r w:rsidRPr="00C366A7">
        <w:rPr>
          <w:rFonts w:cs="Times New Roman"/>
          <w:b/>
          <w:sz w:val="22"/>
          <w:szCs w:val="26"/>
        </w:rPr>
        <w:t>($US dólares)</w:t>
      </w:r>
    </w:p>
    <w:p w14:paraId="387BED2C" w14:textId="77777777" w:rsidR="00F949F2" w:rsidRPr="00C366A7" w:rsidRDefault="00F949F2" w:rsidP="00F949F2">
      <w:pPr>
        <w:jc w:val="center"/>
        <w:rPr>
          <w:rFonts w:cs="Times New Roman"/>
          <w:color w:val="7F7F7F" w:themeColor="text1" w:themeTint="80"/>
          <w:sz w:val="26"/>
          <w:szCs w:val="26"/>
        </w:rPr>
      </w:pPr>
      <w:r w:rsidRPr="00C366A7">
        <w:rPr>
          <w:rFonts w:cs="Times New Roman"/>
          <w:noProof/>
          <w:sz w:val="26"/>
          <w:szCs w:val="26"/>
          <w:lang w:val="es-CO" w:eastAsia="es-CO"/>
        </w:rPr>
        <w:drawing>
          <wp:inline distT="0" distB="0" distL="0" distR="0" wp14:anchorId="06400B24" wp14:editId="61F8299C">
            <wp:extent cx="4866868" cy="2251644"/>
            <wp:effectExtent l="0" t="0" r="10160" b="15875"/>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54693E5" w14:textId="77777777" w:rsidR="00F949F2" w:rsidRPr="00C366A7" w:rsidRDefault="00F949F2" w:rsidP="00E802F0">
      <w:pPr>
        <w:jc w:val="both"/>
        <w:rPr>
          <w:rFonts w:cs="Times New Roman"/>
          <w:color w:val="000000" w:themeColor="text1"/>
          <w:sz w:val="18"/>
          <w:szCs w:val="26"/>
          <w:lang w:val="es-CO"/>
        </w:rPr>
      </w:pPr>
      <w:r w:rsidRPr="00C366A7">
        <w:rPr>
          <w:rFonts w:cs="Times New Roman"/>
          <w:color w:val="000000" w:themeColor="text1"/>
          <w:sz w:val="18"/>
          <w:szCs w:val="26"/>
          <w:lang w:val="es-CO"/>
        </w:rPr>
        <w:t>Fuente: DANE – DIAN, cálculos OEE.</w:t>
      </w:r>
    </w:p>
    <w:p w14:paraId="7FA462AC" w14:textId="77777777" w:rsidR="00F949F2" w:rsidRPr="00C366A7" w:rsidRDefault="00F949F2" w:rsidP="00F949F2">
      <w:pPr>
        <w:jc w:val="both"/>
        <w:rPr>
          <w:rFonts w:cs="Times New Roman"/>
          <w:color w:val="000000" w:themeColor="text1"/>
          <w:sz w:val="26"/>
          <w:szCs w:val="26"/>
        </w:rPr>
      </w:pPr>
    </w:p>
    <w:p w14:paraId="606A604F" w14:textId="77777777" w:rsidR="00FF612D" w:rsidRPr="001F41A6" w:rsidRDefault="00F949F2" w:rsidP="00F0327E">
      <w:pPr>
        <w:jc w:val="both"/>
        <w:rPr>
          <w:rFonts w:cs="Times New Roman"/>
          <w:color w:val="000000" w:themeColor="text1"/>
        </w:rPr>
      </w:pPr>
      <w:r w:rsidRPr="001F41A6">
        <w:rPr>
          <w:rFonts w:cs="Times New Roman"/>
          <w:color w:val="000000" w:themeColor="text1"/>
        </w:rPr>
        <w:t xml:space="preserve">Desagregando un poco más el fenómeno comercial con Venezuela, para los </w:t>
      </w:r>
      <w:r w:rsidR="00CF4F3A" w:rsidRPr="001F41A6">
        <w:rPr>
          <w:rFonts w:cs="Times New Roman"/>
          <w:color w:val="000000" w:themeColor="text1"/>
        </w:rPr>
        <w:t xml:space="preserve">seis </w:t>
      </w:r>
      <w:r w:rsidRPr="001F41A6">
        <w:rPr>
          <w:rFonts w:cs="Times New Roman"/>
          <w:color w:val="000000" w:themeColor="text1"/>
        </w:rPr>
        <w:t xml:space="preserve">principales departamentos que comercian productos no minero-energéticos con este país </w:t>
      </w:r>
      <w:r w:rsidR="00CF4F3A" w:rsidRPr="001F41A6">
        <w:rPr>
          <w:rFonts w:cs="Times New Roman"/>
          <w:color w:val="000000" w:themeColor="text1"/>
        </w:rPr>
        <w:t>–</w:t>
      </w:r>
      <w:r w:rsidRPr="001F41A6">
        <w:rPr>
          <w:rFonts w:cs="Times New Roman"/>
          <w:color w:val="000000" w:themeColor="text1"/>
        </w:rPr>
        <w:t>los cuales representa</w:t>
      </w:r>
      <w:r w:rsidR="00CF4F3A" w:rsidRPr="001F41A6">
        <w:rPr>
          <w:rFonts w:cs="Times New Roman"/>
          <w:color w:val="000000" w:themeColor="text1"/>
        </w:rPr>
        <w:t>ron</w:t>
      </w:r>
      <w:r w:rsidRPr="001F41A6">
        <w:rPr>
          <w:rFonts w:cs="Times New Roman"/>
          <w:color w:val="000000" w:themeColor="text1"/>
        </w:rPr>
        <w:t xml:space="preserve"> </w:t>
      </w:r>
      <w:r w:rsidR="00CF4F3A" w:rsidRPr="001F41A6">
        <w:rPr>
          <w:rFonts w:cs="Times New Roman"/>
          <w:color w:val="000000" w:themeColor="text1"/>
        </w:rPr>
        <w:t xml:space="preserve">en promedio </w:t>
      </w:r>
      <w:r w:rsidRPr="001F41A6">
        <w:rPr>
          <w:rFonts w:cs="Times New Roman"/>
          <w:color w:val="000000" w:themeColor="text1"/>
        </w:rPr>
        <w:t>el 82% y 92% de las exportaciones e importaciones</w:t>
      </w:r>
      <w:r w:rsidR="00CF4F3A" w:rsidRPr="001F41A6">
        <w:rPr>
          <w:rFonts w:cs="Times New Roman"/>
          <w:color w:val="000000" w:themeColor="text1"/>
        </w:rPr>
        <w:t xml:space="preserve"> entre 2010 y 2017</w:t>
      </w:r>
      <w:r w:rsidRPr="001F41A6">
        <w:rPr>
          <w:rFonts w:cs="Times New Roman"/>
          <w:color w:val="000000" w:themeColor="text1"/>
        </w:rPr>
        <w:t>, respectivamente</w:t>
      </w:r>
      <w:r w:rsidR="00CF4F3A" w:rsidRPr="001F41A6">
        <w:rPr>
          <w:rFonts w:cs="Times New Roman"/>
          <w:color w:val="000000" w:themeColor="text1"/>
        </w:rPr>
        <w:t>–</w:t>
      </w:r>
      <w:r w:rsidRPr="001F41A6">
        <w:rPr>
          <w:rFonts w:cs="Times New Roman"/>
          <w:color w:val="000000" w:themeColor="text1"/>
        </w:rPr>
        <w:t xml:space="preserve">, </w:t>
      </w:r>
      <w:r w:rsidR="00CF4F3A" w:rsidRPr="001F41A6">
        <w:rPr>
          <w:rFonts w:cs="Times New Roman"/>
          <w:color w:val="000000" w:themeColor="text1"/>
        </w:rPr>
        <w:t xml:space="preserve">las exportaciones de </w:t>
      </w:r>
      <w:r w:rsidRPr="001F41A6">
        <w:rPr>
          <w:rFonts w:cs="Times New Roman"/>
          <w:color w:val="000000" w:themeColor="text1"/>
        </w:rPr>
        <w:t xml:space="preserve">Norte de Santander </w:t>
      </w:r>
      <w:r w:rsidR="00CF4F3A" w:rsidRPr="001F41A6">
        <w:rPr>
          <w:rFonts w:cs="Times New Roman"/>
          <w:color w:val="000000" w:themeColor="text1"/>
        </w:rPr>
        <w:t xml:space="preserve">son las que </w:t>
      </w:r>
      <w:r w:rsidR="007D52BA" w:rsidRPr="001F41A6">
        <w:rPr>
          <w:rFonts w:cs="Times New Roman"/>
          <w:color w:val="000000" w:themeColor="text1"/>
        </w:rPr>
        <w:t>mayor</w:t>
      </w:r>
      <w:r w:rsidR="00CF4F3A" w:rsidRPr="001F41A6">
        <w:rPr>
          <w:rFonts w:cs="Times New Roman"/>
          <w:color w:val="000000" w:themeColor="text1"/>
        </w:rPr>
        <w:t xml:space="preserve"> dependen</w:t>
      </w:r>
      <w:r w:rsidR="007D52BA" w:rsidRPr="001F41A6">
        <w:rPr>
          <w:rFonts w:cs="Times New Roman"/>
          <w:color w:val="000000" w:themeColor="text1"/>
        </w:rPr>
        <w:t>cia tienen</w:t>
      </w:r>
      <w:r w:rsidRPr="001F41A6">
        <w:rPr>
          <w:rFonts w:cs="Times New Roman"/>
          <w:color w:val="000000" w:themeColor="text1"/>
        </w:rPr>
        <w:t xml:space="preserve"> de Venezuela.</w:t>
      </w:r>
      <w:r w:rsidR="00CF4F3A" w:rsidRPr="001F41A6">
        <w:rPr>
          <w:rFonts w:cs="Times New Roman"/>
          <w:color w:val="000000" w:themeColor="text1"/>
        </w:rPr>
        <w:t xml:space="preserve"> Estas </w:t>
      </w:r>
      <w:r w:rsidR="00FF612D" w:rsidRPr="001F41A6">
        <w:rPr>
          <w:rFonts w:cs="Times New Roman"/>
          <w:color w:val="000000" w:themeColor="text1"/>
        </w:rPr>
        <w:t xml:space="preserve">se han reducido sustancialmente a lo largo de los años. Por ejemplo, </w:t>
      </w:r>
      <w:r w:rsidR="00CF4F3A" w:rsidRPr="001F41A6">
        <w:rPr>
          <w:rFonts w:cs="Times New Roman"/>
          <w:color w:val="000000" w:themeColor="text1"/>
        </w:rPr>
        <w:t xml:space="preserve">mientras que en 2013 </w:t>
      </w:r>
      <w:r w:rsidR="00FF612D" w:rsidRPr="001F41A6">
        <w:rPr>
          <w:rFonts w:cs="Times New Roman"/>
          <w:color w:val="000000" w:themeColor="text1"/>
        </w:rPr>
        <w:t>las exportaciones de Norte de Santander hacia ese país llegaron a ser d</w:t>
      </w:r>
      <w:r w:rsidR="00255AA0" w:rsidRPr="001F41A6">
        <w:rPr>
          <w:rFonts w:cs="Times New Roman"/>
          <w:color w:val="000000" w:themeColor="text1"/>
        </w:rPr>
        <w:t>el 60,4% de</w:t>
      </w:r>
      <w:r w:rsidR="00FF612D" w:rsidRPr="001F41A6">
        <w:rPr>
          <w:rFonts w:cs="Times New Roman"/>
          <w:color w:val="000000" w:themeColor="text1"/>
        </w:rPr>
        <w:t xml:space="preserve">l total exportado del departamento, en 2016 fueron apenas del 15,4%, año en el que se registró el máximo histórico </w:t>
      </w:r>
      <w:r w:rsidRPr="001F41A6">
        <w:rPr>
          <w:rFonts w:cs="Times New Roman"/>
          <w:color w:val="000000" w:themeColor="text1"/>
        </w:rPr>
        <w:t xml:space="preserve">(Gráfico </w:t>
      </w:r>
      <w:r w:rsidR="00255AA0" w:rsidRPr="001F41A6">
        <w:rPr>
          <w:rFonts w:cs="Times New Roman"/>
          <w:color w:val="000000" w:themeColor="text1"/>
        </w:rPr>
        <w:t>9</w:t>
      </w:r>
      <w:r w:rsidRPr="001F41A6">
        <w:rPr>
          <w:rFonts w:cs="Times New Roman"/>
          <w:color w:val="000000" w:themeColor="text1"/>
        </w:rPr>
        <w:t xml:space="preserve">). </w:t>
      </w:r>
    </w:p>
    <w:p w14:paraId="6BFDB267" w14:textId="77777777" w:rsidR="00AD4852" w:rsidRPr="001F41A6" w:rsidRDefault="00AD4852">
      <w:pPr>
        <w:jc w:val="both"/>
        <w:rPr>
          <w:rFonts w:cs="Times New Roman"/>
          <w:color w:val="000000" w:themeColor="text1"/>
        </w:rPr>
      </w:pPr>
    </w:p>
    <w:p w14:paraId="7EB21559" w14:textId="77777777" w:rsidR="00F949F2" w:rsidRPr="00C366A7" w:rsidRDefault="00F949F2" w:rsidP="00F949F2">
      <w:pPr>
        <w:jc w:val="center"/>
        <w:rPr>
          <w:rFonts w:cs="Times New Roman"/>
          <w:color w:val="7F7F7F" w:themeColor="text1" w:themeTint="80"/>
          <w:sz w:val="26"/>
          <w:szCs w:val="26"/>
        </w:rPr>
      </w:pPr>
      <w:r w:rsidRPr="00C366A7">
        <w:rPr>
          <w:rFonts w:cs="Times New Roman"/>
          <w:b/>
          <w:sz w:val="22"/>
          <w:szCs w:val="26"/>
        </w:rPr>
        <w:t xml:space="preserve">Gráfico </w:t>
      </w:r>
      <w:r w:rsidR="00255AA0" w:rsidRPr="00C366A7">
        <w:rPr>
          <w:rFonts w:cs="Times New Roman"/>
          <w:b/>
          <w:sz w:val="22"/>
          <w:szCs w:val="26"/>
        </w:rPr>
        <w:t>9</w:t>
      </w:r>
      <w:r w:rsidRPr="00C366A7">
        <w:rPr>
          <w:rFonts w:cs="Times New Roman"/>
          <w:b/>
          <w:sz w:val="22"/>
          <w:szCs w:val="26"/>
        </w:rPr>
        <w:t>.</w:t>
      </w:r>
      <w:r w:rsidR="00255AA0" w:rsidRPr="00C366A7">
        <w:rPr>
          <w:rFonts w:cs="Times New Roman"/>
          <w:b/>
          <w:sz w:val="22"/>
          <w:szCs w:val="26"/>
        </w:rPr>
        <w:t xml:space="preserve"> </w:t>
      </w:r>
      <w:r w:rsidR="00FF612D" w:rsidRPr="00C366A7">
        <w:rPr>
          <w:rFonts w:cs="Times New Roman"/>
          <w:b/>
          <w:sz w:val="22"/>
          <w:szCs w:val="26"/>
        </w:rPr>
        <w:t>D</w:t>
      </w:r>
      <w:r w:rsidRPr="00C366A7">
        <w:rPr>
          <w:rFonts w:cs="Times New Roman"/>
          <w:b/>
          <w:sz w:val="22"/>
          <w:szCs w:val="26"/>
        </w:rPr>
        <w:t>epartamentos</w:t>
      </w:r>
      <w:r w:rsidR="00FF612D" w:rsidRPr="00C366A7">
        <w:rPr>
          <w:rFonts w:cs="Times New Roman"/>
          <w:b/>
          <w:sz w:val="22"/>
          <w:szCs w:val="26"/>
        </w:rPr>
        <w:t xml:space="preserve"> que registran el mayor comercio bilateral con Venezuela: Participación de las exportaciones hacia ese país en el total de las exportaciones no minero-energéticas, 2010-2017 </w:t>
      </w:r>
      <w:r w:rsidR="00255AA0" w:rsidRPr="00C366A7">
        <w:rPr>
          <w:rFonts w:cs="Times New Roman"/>
          <w:b/>
          <w:sz w:val="22"/>
          <w:szCs w:val="26"/>
        </w:rPr>
        <w:t>(%)</w:t>
      </w:r>
      <w:r w:rsidRPr="00C366A7">
        <w:rPr>
          <w:rFonts w:cs="Times New Roman"/>
          <w:noProof/>
          <w:sz w:val="26"/>
          <w:szCs w:val="26"/>
          <w:lang w:val="es-CO" w:eastAsia="es-CO"/>
        </w:rPr>
        <w:drawing>
          <wp:inline distT="0" distB="0" distL="0" distR="0" wp14:anchorId="08613518" wp14:editId="143E9105">
            <wp:extent cx="4723647" cy="2473637"/>
            <wp:effectExtent l="0" t="0" r="1270" b="3175"/>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0E9E1F5" w14:textId="77777777" w:rsidR="00F949F2" w:rsidRPr="00C366A7" w:rsidRDefault="00F949F2" w:rsidP="00E802F0">
      <w:pPr>
        <w:jc w:val="both"/>
        <w:rPr>
          <w:rFonts w:cs="Times New Roman"/>
          <w:color w:val="000000" w:themeColor="text1"/>
          <w:sz w:val="18"/>
          <w:szCs w:val="26"/>
          <w:lang w:val="es-CO"/>
        </w:rPr>
      </w:pPr>
      <w:r w:rsidRPr="00C366A7">
        <w:rPr>
          <w:rFonts w:cs="Times New Roman"/>
          <w:color w:val="000000" w:themeColor="text1"/>
          <w:sz w:val="18"/>
          <w:szCs w:val="26"/>
          <w:lang w:val="es-CO"/>
        </w:rPr>
        <w:t>Fuente: DANE – DIAN</w:t>
      </w:r>
      <w:r w:rsidR="00F170D1" w:rsidRPr="00C366A7">
        <w:rPr>
          <w:rFonts w:cs="Times New Roman"/>
          <w:color w:val="000000" w:themeColor="text1"/>
          <w:sz w:val="18"/>
          <w:szCs w:val="26"/>
          <w:lang w:val="es-CO"/>
        </w:rPr>
        <w:t>. C</w:t>
      </w:r>
      <w:r w:rsidRPr="00C366A7">
        <w:rPr>
          <w:rFonts w:cs="Times New Roman"/>
          <w:color w:val="000000" w:themeColor="text1"/>
          <w:sz w:val="18"/>
          <w:szCs w:val="26"/>
          <w:lang w:val="es-CO"/>
        </w:rPr>
        <w:t>álculos OEE</w:t>
      </w:r>
      <w:r w:rsidR="00F170D1" w:rsidRPr="00C366A7">
        <w:rPr>
          <w:rFonts w:cs="Times New Roman"/>
          <w:color w:val="000000" w:themeColor="text1"/>
          <w:sz w:val="18"/>
          <w:szCs w:val="26"/>
          <w:lang w:val="es-CO"/>
        </w:rPr>
        <w:t xml:space="preserve"> – Mincit.</w:t>
      </w:r>
    </w:p>
    <w:p w14:paraId="778E39C2" w14:textId="77777777" w:rsidR="00F949F2" w:rsidRPr="00C366A7" w:rsidRDefault="00F949F2" w:rsidP="00F949F2">
      <w:pPr>
        <w:jc w:val="both"/>
        <w:rPr>
          <w:rFonts w:cs="Times New Roman"/>
          <w:color w:val="000000" w:themeColor="text1"/>
          <w:sz w:val="26"/>
          <w:szCs w:val="26"/>
        </w:rPr>
      </w:pPr>
    </w:p>
    <w:p w14:paraId="264ACBCD" w14:textId="77777777" w:rsidR="003C6B42" w:rsidRPr="001F41A6" w:rsidRDefault="00F949F2" w:rsidP="00F0327E">
      <w:pPr>
        <w:jc w:val="both"/>
        <w:rPr>
          <w:rFonts w:cs="Times New Roman"/>
        </w:rPr>
      </w:pPr>
      <w:r w:rsidRPr="001F41A6">
        <w:rPr>
          <w:rFonts w:cs="Times New Roman"/>
          <w:color w:val="000000" w:themeColor="text1"/>
        </w:rPr>
        <w:lastRenderedPageBreak/>
        <w:t xml:space="preserve">Una posible explicación de esta caída </w:t>
      </w:r>
      <w:r w:rsidR="00BF3D35" w:rsidRPr="001F41A6">
        <w:rPr>
          <w:rFonts w:cs="Times New Roman"/>
          <w:color w:val="000000" w:themeColor="text1"/>
        </w:rPr>
        <w:t xml:space="preserve">se </w:t>
      </w:r>
      <w:r w:rsidRPr="001F41A6">
        <w:rPr>
          <w:rFonts w:cs="Times New Roman"/>
          <w:color w:val="000000" w:themeColor="text1"/>
        </w:rPr>
        <w:t xml:space="preserve">podría argumentar </w:t>
      </w:r>
      <w:r w:rsidR="00BF3D35" w:rsidRPr="001F41A6">
        <w:rPr>
          <w:rFonts w:cs="Times New Roman"/>
          <w:color w:val="000000" w:themeColor="text1"/>
        </w:rPr>
        <w:t>en</w:t>
      </w:r>
      <w:r w:rsidRPr="001F41A6">
        <w:rPr>
          <w:rFonts w:cs="Times New Roman"/>
          <w:color w:val="000000" w:themeColor="text1"/>
        </w:rPr>
        <w:t xml:space="preserve"> la búsqueda de nuevos destinos por parte de Norte de Santander</w:t>
      </w:r>
      <w:r w:rsidR="003C6B42" w:rsidRPr="001F41A6">
        <w:rPr>
          <w:rFonts w:cs="Times New Roman"/>
          <w:color w:val="000000" w:themeColor="text1"/>
        </w:rPr>
        <w:t>.</w:t>
      </w:r>
      <w:r w:rsidRPr="001F41A6">
        <w:rPr>
          <w:rFonts w:cs="Times New Roman"/>
          <w:color w:val="000000" w:themeColor="text1"/>
        </w:rPr>
        <w:t xml:space="preserve"> Sin embargo,</w:t>
      </w:r>
      <w:r w:rsidR="00BF3D35" w:rsidRPr="001F41A6">
        <w:rPr>
          <w:rFonts w:cs="Times New Roman"/>
          <w:color w:val="000000" w:themeColor="text1"/>
        </w:rPr>
        <w:t xml:space="preserve"> lo que es evidente es que el comercio del departamento con este país </w:t>
      </w:r>
      <w:r w:rsidR="00E4441F" w:rsidRPr="001F41A6">
        <w:rPr>
          <w:rFonts w:cs="Times New Roman"/>
          <w:color w:val="000000" w:themeColor="text1"/>
        </w:rPr>
        <w:t xml:space="preserve">se </w:t>
      </w:r>
      <w:r w:rsidR="00BF3D35" w:rsidRPr="001F41A6">
        <w:rPr>
          <w:rFonts w:cs="Times New Roman"/>
          <w:color w:val="000000" w:themeColor="text1"/>
        </w:rPr>
        <w:t xml:space="preserve">empieza a deteriorar </w:t>
      </w:r>
      <w:r w:rsidR="003C6B42" w:rsidRPr="001F41A6">
        <w:rPr>
          <w:rFonts w:cs="Times New Roman"/>
          <w:color w:val="000000" w:themeColor="text1"/>
        </w:rPr>
        <w:t xml:space="preserve">desde 2014 y se agudiza en 2016, año </w:t>
      </w:r>
      <w:r w:rsidR="00E4441F" w:rsidRPr="001F41A6">
        <w:rPr>
          <w:rFonts w:cs="Times New Roman"/>
          <w:color w:val="000000" w:themeColor="text1"/>
        </w:rPr>
        <w:t>desde</w:t>
      </w:r>
      <w:r w:rsidR="003C6B42" w:rsidRPr="001F41A6">
        <w:rPr>
          <w:rFonts w:cs="Times New Roman"/>
          <w:color w:val="000000" w:themeColor="text1"/>
        </w:rPr>
        <w:t xml:space="preserve"> el cual empieza la entrada masiva de venezolanos al país</w:t>
      </w:r>
      <w:r w:rsidR="00541674" w:rsidRPr="001F41A6">
        <w:rPr>
          <w:rFonts w:cs="Times New Roman"/>
          <w:color w:val="000000" w:themeColor="text1"/>
        </w:rPr>
        <w:t xml:space="preserve"> (Gráfico </w:t>
      </w:r>
      <w:r w:rsidR="00F170D1" w:rsidRPr="001F41A6">
        <w:rPr>
          <w:rFonts w:cs="Times New Roman"/>
          <w:color w:val="000000" w:themeColor="text1"/>
        </w:rPr>
        <w:t>10</w:t>
      </w:r>
      <w:r w:rsidRPr="001F41A6">
        <w:rPr>
          <w:rFonts w:cs="Times New Roman"/>
          <w:color w:val="000000" w:themeColor="text1"/>
        </w:rPr>
        <w:t>).</w:t>
      </w:r>
      <w:r w:rsidR="003C6B42" w:rsidRPr="001F41A6">
        <w:rPr>
          <w:rFonts w:cs="Times New Roman"/>
          <w:color w:val="000000" w:themeColor="text1"/>
        </w:rPr>
        <w:t xml:space="preserve"> </w:t>
      </w:r>
    </w:p>
    <w:p w14:paraId="1E7948EC" w14:textId="77777777" w:rsidR="003C6B42" w:rsidRPr="00C366A7" w:rsidRDefault="003C6B42">
      <w:pPr>
        <w:jc w:val="both"/>
        <w:rPr>
          <w:rFonts w:cs="Times New Roman"/>
          <w:sz w:val="26"/>
          <w:szCs w:val="26"/>
        </w:rPr>
      </w:pPr>
    </w:p>
    <w:p w14:paraId="2DEF4A38" w14:textId="77777777" w:rsidR="00F949F2" w:rsidRPr="00C366A7" w:rsidRDefault="00F949F2" w:rsidP="00F949F2">
      <w:pPr>
        <w:jc w:val="center"/>
        <w:rPr>
          <w:rFonts w:cs="Times New Roman"/>
          <w:b/>
          <w:sz w:val="22"/>
          <w:szCs w:val="26"/>
        </w:rPr>
      </w:pPr>
      <w:r w:rsidRPr="00C366A7">
        <w:rPr>
          <w:rFonts w:cs="Times New Roman"/>
          <w:b/>
          <w:sz w:val="22"/>
          <w:szCs w:val="26"/>
        </w:rPr>
        <w:t xml:space="preserve">Gráfico </w:t>
      </w:r>
      <w:r w:rsidR="00F170D1" w:rsidRPr="00C366A7">
        <w:rPr>
          <w:rFonts w:cs="Times New Roman"/>
          <w:b/>
          <w:sz w:val="22"/>
          <w:szCs w:val="26"/>
        </w:rPr>
        <w:t>10</w:t>
      </w:r>
      <w:r w:rsidRPr="00C366A7">
        <w:rPr>
          <w:rFonts w:cs="Times New Roman"/>
          <w:b/>
          <w:sz w:val="22"/>
          <w:szCs w:val="26"/>
        </w:rPr>
        <w:t>.</w:t>
      </w:r>
      <w:r w:rsidR="00F170D1" w:rsidRPr="00C366A7">
        <w:rPr>
          <w:rFonts w:cs="Times New Roman"/>
          <w:b/>
          <w:sz w:val="22"/>
          <w:szCs w:val="26"/>
        </w:rPr>
        <w:t xml:space="preserve"> </w:t>
      </w:r>
      <w:r w:rsidRPr="00C366A7">
        <w:rPr>
          <w:rFonts w:cs="Times New Roman"/>
          <w:b/>
          <w:sz w:val="22"/>
          <w:szCs w:val="26"/>
        </w:rPr>
        <w:t xml:space="preserve">Balanza comercial </w:t>
      </w:r>
      <w:r w:rsidR="00F170D1" w:rsidRPr="00C366A7">
        <w:rPr>
          <w:rFonts w:cs="Times New Roman"/>
          <w:b/>
          <w:sz w:val="22"/>
          <w:szCs w:val="26"/>
        </w:rPr>
        <w:t xml:space="preserve">no minero-energética </w:t>
      </w:r>
      <w:r w:rsidRPr="00C366A7">
        <w:rPr>
          <w:rFonts w:cs="Times New Roman"/>
          <w:b/>
          <w:sz w:val="22"/>
          <w:szCs w:val="26"/>
        </w:rPr>
        <w:t>de Norte de Santander con Venezuela</w:t>
      </w:r>
      <w:r w:rsidR="00F170D1" w:rsidRPr="00C366A7">
        <w:rPr>
          <w:rFonts w:cs="Times New Roman"/>
          <w:b/>
          <w:sz w:val="22"/>
          <w:szCs w:val="26"/>
        </w:rPr>
        <w:t>, 2010-2018 (US$ FOB)</w:t>
      </w:r>
    </w:p>
    <w:p w14:paraId="4FFF20EE" w14:textId="77777777" w:rsidR="00F949F2" w:rsidRPr="00C366A7" w:rsidRDefault="00F949F2" w:rsidP="00F949F2">
      <w:pPr>
        <w:jc w:val="center"/>
        <w:rPr>
          <w:rFonts w:cs="Times New Roman"/>
          <w:color w:val="000000" w:themeColor="text1"/>
          <w:sz w:val="26"/>
          <w:szCs w:val="26"/>
        </w:rPr>
      </w:pPr>
      <w:r w:rsidRPr="00C366A7">
        <w:rPr>
          <w:rFonts w:cs="Times New Roman"/>
          <w:noProof/>
          <w:sz w:val="26"/>
          <w:szCs w:val="26"/>
          <w:lang w:val="es-CO" w:eastAsia="es-CO"/>
        </w:rPr>
        <w:drawing>
          <wp:inline distT="0" distB="0" distL="0" distR="0" wp14:anchorId="3F4E223E" wp14:editId="33846B8E">
            <wp:extent cx="4804564" cy="3097331"/>
            <wp:effectExtent l="0" t="0" r="15240" b="825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99F3B75" w14:textId="77777777" w:rsidR="00F949F2" w:rsidRPr="00C366A7" w:rsidRDefault="00F949F2" w:rsidP="00E802F0">
      <w:pPr>
        <w:jc w:val="both"/>
        <w:rPr>
          <w:rFonts w:cs="Times New Roman"/>
          <w:color w:val="000000" w:themeColor="text1"/>
          <w:sz w:val="18"/>
          <w:szCs w:val="26"/>
          <w:lang w:val="es-CO"/>
        </w:rPr>
      </w:pPr>
      <w:r w:rsidRPr="00C366A7">
        <w:rPr>
          <w:rFonts w:cs="Times New Roman"/>
          <w:color w:val="000000" w:themeColor="text1"/>
          <w:sz w:val="18"/>
          <w:szCs w:val="26"/>
          <w:lang w:val="es-CO"/>
        </w:rPr>
        <w:t>Fuente: DANE – DIAN</w:t>
      </w:r>
      <w:r w:rsidR="00F170D1" w:rsidRPr="00C366A7">
        <w:rPr>
          <w:rFonts w:cs="Times New Roman"/>
          <w:color w:val="000000" w:themeColor="text1"/>
          <w:sz w:val="18"/>
          <w:szCs w:val="26"/>
          <w:lang w:val="es-CO"/>
        </w:rPr>
        <w:t>. Cálculos OEE – Mincit.</w:t>
      </w:r>
    </w:p>
    <w:p w14:paraId="3CB8A7AF" w14:textId="77777777" w:rsidR="00F949F2" w:rsidRPr="00C366A7" w:rsidRDefault="00F949F2" w:rsidP="00F949F2">
      <w:pPr>
        <w:jc w:val="both"/>
        <w:rPr>
          <w:rFonts w:cs="Times New Roman"/>
          <w:color w:val="000000" w:themeColor="text1"/>
          <w:sz w:val="26"/>
          <w:szCs w:val="26"/>
        </w:rPr>
      </w:pPr>
    </w:p>
    <w:p w14:paraId="1305B68D" w14:textId="77777777" w:rsidR="00F949F2" w:rsidRPr="001F41A6" w:rsidRDefault="0043202A" w:rsidP="00F949F2">
      <w:pPr>
        <w:jc w:val="both"/>
        <w:rPr>
          <w:rFonts w:cs="Times New Roman"/>
          <w:color w:val="000000" w:themeColor="text1"/>
        </w:rPr>
      </w:pPr>
      <w:r w:rsidRPr="001F41A6">
        <w:rPr>
          <w:rFonts w:cs="Times New Roman"/>
          <w:color w:val="000000" w:themeColor="text1"/>
        </w:rPr>
        <w:t xml:space="preserve">El deterioro del comercio bilateral del departamento con Venezuela se evidencia también cuando se analiza </w:t>
      </w:r>
      <w:r w:rsidR="00F949F2" w:rsidRPr="001F41A6">
        <w:rPr>
          <w:rFonts w:cs="Times New Roman"/>
          <w:color w:val="000000" w:themeColor="text1"/>
        </w:rPr>
        <w:t>el índice de apertura comercial (o dependencia comercial) entre ambos</w:t>
      </w:r>
      <w:r w:rsidRPr="001F41A6">
        <w:rPr>
          <w:rFonts w:cs="Times New Roman"/>
          <w:color w:val="000000" w:themeColor="text1"/>
        </w:rPr>
        <w:t>, el cual</w:t>
      </w:r>
      <w:r w:rsidR="00F949F2" w:rsidRPr="001F41A6">
        <w:rPr>
          <w:rFonts w:cs="Times New Roman"/>
          <w:color w:val="000000" w:themeColor="text1"/>
        </w:rPr>
        <w:t xml:space="preserve"> </w:t>
      </w:r>
      <w:r w:rsidRPr="001F41A6">
        <w:rPr>
          <w:rFonts w:cs="Times New Roman"/>
          <w:color w:val="000000" w:themeColor="text1"/>
        </w:rPr>
        <w:t xml:space="preserve">se </w:t>
      </w:r>
      <w:r w:rsidR="00F949F2" w:rsidRPr="001F41A6">
        <w:rPr>
          <w:rFonts w:cs="Times New Roman"/>
          <w:color w:val="000000" w:themeColor="text1"/>
        </w:rPr>
        <w:t xml:space="preserve">ha deteriorado durante los últimos años. </w:t>
      </w:r>
      <w:r w:rsidRPr="001F41A6">
        <w:rPr>
          <w:rFonts w:cs="Times New Roman"/>
          <w:color w:val="000000" w:themeColor="text1"/>
        </w:rPr>
        <w:t>Por ejemplo</w:t>
      </w:r>
      <w:r w:rsidR="007153A7" w:rsidRPr="001F41A6">
        <w:rPr>
          <w:rFonts w:cs="Times New Roman"/>
          <w:color w:val="000000" w:themeColor="text1"/>
        </w:rPr>
        <w:t>,</w:t>
      </w:r>
      <w:r w:rsidRPr="001F41A6">
        <w:rPr>
          <w:rFonts w:cs="Times New Roman"/>
          <w:color w:val="000000" w:themeColor="text1"/>
        </w:rPr>
        <w:t xml:space="preserve"> m</w:t>
      </w:r>
      <w:r w:rsidR="00F949F2" w:rsidRPr="001F41A6">
        <w:rPr>
          <w:rFonts w:cs="Times New Roman"/>
          <w:color w:val="000000" w:themeColor="text1"/>
        </w:rPr>
        <w:t>ientras que es</w:t>
      </w:r>
      <w:r w:rsidR="00541674" w:rsidRPr="001F41A6">
        <w:rPr>
          <w:rFonts w:cs="Times New Roman"/>
          <w:color w:val="000000" w:themeColor="text1"/>
        </w:rPr>
        <w:t xml:space="preserve">te indicador </w:t>
      </w:r>
      <w:r w:rsidRPr="001F41A6">
        <w:rPr>
          <w:rFonts w:cs="Times New Roman"/>
          <w:color w:val="000000" w:themeColor="text1"/>
        </w:rPr>
        <w:t xml:space="preserve">llegó a ser del </w:t>
      </w:r>
      <w:r w:rsidR="00541674" w:rsidRPr="001F41A6">
        <w:rPr>
          <w:rFonts w:cs="Times New Roman"/>
          <w:color w:val="000000" w:themeColor="text1"/>
        </w:rPr>
        <w:t>2</w:t>
      </w:r>
      <w:r w:rsidRPr="001F41A6">
        <w:rPr>
          <w:rFonts w:cs="Times New Roman"/>
          <w:color w:val="000000" w:themeColor="text1"/>
        </w:rPr>
        <w:t>,</w:t>
      </w:r>
      <w:r w:rsidR="00541674" w:rsidRPr="001F41A6">
        <w:rPr>
          <w:rFonts w:cs="Times New Roman"/>
          <w:color w:val="000000" w:themeColor="text1"/>
        </w:rPr>
        <w:t xml:space="preserve">9% </w:t>
      </w:r>
      <w:r w:rsidR="008960E7" w:rsidRPr="001F41A6">
        <w:rPr>
          <w:rFonts w:cs="Times New Roman"/>
          <w:color w:val="000000" w:themeColor="text1"/>
        </w:rPr>
        <w:t>e</w:t>
      </w:r>
      <w:r w:rsidR="00541674" w:rsidRPr="001F41A6">
        <w:rPr>
          <w:rFonts w:cs="Times New Roman"/>
          <w:color w:val="000000" w:themeColor="text1"/>
        </w:rPr>
        <w:t>n</w:t>
      </w:r>
      <w:r w:rsidR="00F949F2" w:rsidRPr="001F41A6">
        <w:rPr>
          <w:rFonts w:cs="Times New Roman"/>
          <w:color w:val="000000" w:themeColor="text1"/>
        </w:rPr>
        <w:t xml:space="preserve"> 2012 y 2013, a partir de </w:t>
      </w:r>
      <w:r w:rsidR="008960E7" w:rsidRPr="001F41A6">
        <w:rPr>
          <w:rFonts w:cs="Times New Roman"/>
          <w:color w:val="000000" w:themeColor="text1"/>
        </w:rPr>
        <w:t>2014 ha registrado una caída</w:t>
      </w:r>
      <w:r w:rsidR="00F949F2" w:rsidRPr="001F41A6">
        <w:rPr>
          <w:rFonts w:cs="Times New Roman"/>
          <w:color w:val="000000" w:themeColor="text1"/>
        </w:rPr>
        <w:t xml:space="preserve"> abrupta, llegando </w:t>
      </w:r>
      <w:r w:rsidR="008960E7" w:rsidRPr="001F41A6">
        <w:rPr>
          <w:rFonts w:cs="Times New Roman"/>
          <w:color w:val="000000" w:themeColor="text1"/>
        </w:rPr>
        <w:t>a</w:t>
      </w:r>
      <w:r w:rsidR="00F949F2" w:rsidRPr="001F41A6">
        <w:rPr>
          <w:rFonts w:cs="Times New Roman"/>
          <w:color w:val="000000" w:themeColor="text1"/>
        </w:rPr>
        <w:t xml:space="preserve"> 0</w:t>
      </w:r>
      <w:r w:rsidR="008960E7" w:rsidRPr="001F41A6">
        <w:rPr>
          <w:rFonts w:cs="Times New Roman"/>
          <w:color w:val="000000" w:themeColor="text1"/>
        </w:rPr>
        <w:t>,</w:t>
      </w:r>
      <w:r w:rsidR="00F949F2" w:rsidRPr="001F41A6">
        <w:rPr>
          <w:rFonts w:cs="Times New Roman"/>
          <w:color w:val="000000" w:themeColor="text1"/>
        </w:rPr>
        <w:t>3% en 2016 (Gráfico 1</w:t>
      </w:r>
      <w:r w:rsidR="008960E7" w:rsidRPr="001F41A6">
        <w:rPr>
          <w:rFonts w:cs="Times New Roman"/>
          <w:color w:val="000000" w:themeColor="text1"/>
        </w:rPr>
        <w:t>1</w:t>
      </w:r>
      <w:r w:rsidR="00F949F2" w:rsidRPr="001F41A6">
        <w:rPr>
          <w:rFonts w:cs="Times New Roman"/>
          <w:color w:val="000000" w:themeColor="text1"/>
        </w:rPr>
        <w:t>).</w:t>
      </w:r>
    </w:p>
    <w:p w14:paraId="5D38E7C2" w14:textId="77777777" w:rsidR="00F949F2" w:rsidRPr="001F41A6" w:rsidRDefault="00F949F2" w:rsidP="00F949F2">
      <w:pPr>
        <w:jc w:val="both"/>
        <w:rPr>
          <w:rFonts w:cs="Times New Roman"/>
          <w:color w:val="000000" w:themeColor="text1"/>
        </w:rPr>
      </w:pPr>
    </w:p>
    <w:p w14:paraId="6B1FE194" w14:textId="77777777" w:rsidR="008960E7" w:rsidRPr="001F41A6" w:rsidRDefault="008960E7" w:rsidP="00E802F0">
      <w:pPr>
        <w:jc w:val="both"/>
        <w:rPr>
          <w:rFonts w:cs="Times New Roman"/>
          <w:color w:val="FF0000"/>
        </w:rPr>
      </w:pPr>
      <w:r w:rsidRPr="001F41A6">
        <w:rPr>
          <w:rFonts w:cs="Times New Roman"/>
          <w:color w:val="000000" w:themeColor="text1"/>
        </w:rPr>
        <w:t>Es importante resaltar que este análisis es representativo para el área metropolitana de Cúcut</w:t>
      </w:r>
      <w:r w:rsidR="00FA52FA" w:rsidRPr="001F41A6">
        <w:rPr>
          <w:rFonts w:cs="Times New Roman"/>
          <w:color w:val="000000" w:themeColor="text1"/>
        </w:rPr>
        <w:t>a en l</w:t>
      </w:r>
      <w:r w:rsidR="00F949F2" w:rsidRPr="001F41A6">
        <w:rPr>
          <w:rFonts w:cs="Times New Roman"/>
          <w:color w:val="000000" w:themeColor="text1"/>
        </w:rPr>
        <w:t xml:space="preserve">a medida </w:t>
      </w:r>
      <w:r w:rsidRPr="001F41A6">
        <w:rPr>
          <w:rFonts w:cs="Times New Roman"/>
          <w:color w:val="000000" w:themeColor="text1"/>
        </w:rPr>
        <w:t xml:space="preserve">en </w:t>
      </w:r>
      <w:r w:rsidR="00F949F2" w:rsidRPr="001F41A6">
        <w:rPr>
          <w:rFonts w:cs="Times New Roman"/>
          <w:color w:val="000000" w:themeColor="text1"/>
        </w:rPr>
        <w:t xml:space="preserve">que las exportaciones e importaciones de esta </w:t>
      </w:r>
      <w:r w:rsidRPr="001F41A6">
        <w:rPr>
          <w:rFonts w:cs="Times New Roman"/>
          <w:color w:val="000000" w:themeColor="text1"/>
        </w:rPr>
        <w:t>región</w:t>
      </w:r>
      <w:r w:rsidR="00F949F2" w:rsidRPr="001F41A6">
        <w:rPr>
          <w:rFonts w:cs="Times New Roman"/>
          <w:color w:val="000000" w:themeColor="text1"/>
        </w:rPr>
        <w:t>, en promedio para los años analizados, representa</w:t>
      </w:r>
      <w:r w:rsidRPr="001F41A6">
        <w:rPr>
          <w:rFonts w:cs="Times New Roman"/>
          <w:color w:val="000000" w:themeColor="text1"/>
        </w:rPr>
        <w:t>ro</w:t>
      </w:r>
      <w:r w:rsidR="00F949F2" w:rsidRPr="001F41A6">
        <w:rPr>
          <w:rFonts w:cs="Times New Roman"/>
          <w:color w:val="000000" w:themeColor="text1"/>
        </w:rPr>
        <w:t xml:space="preserve">n más del 80% del comercio total del departamento. </w:t>
      </w:r>
      <w:r w:rsidRPr="001F41A6">
        <w:rPr>
          <w:rFonts w:cs="Times New Roman"/>
          <w:color w:val="000000" w:themeColor="text1"/>
        </w:rPr>
        <w:t xml:space="preserve">Por lo tanto, </w:t>
      </w:r>
      <w:r w:rsidR="00FA52FA" w:rsidRPr="001F41A6">
        <w:rPr>
          <w:rFonts w:cs="Times New Roman"/>
          <w:color w:val="000000" w:themeColor="text1"/>
        </w:rPr>
        <w:t xml:space="preserve">es posible concluir que </w:t>
      </w:r>
      <w:r w:rsidR="00F949F2" w:rsidRPr="001F41A6">
        <w:rPr>
          <w:rFonts w:cs="Times New Roman"/>
          <w:color w:val="000000" w:themeColor="text1"/>
        </w:rPr>
        <w:t>el deterioro comercial de Cúcuta con Venezuela y las condiciones económicas de la región</w:t>
      </w:r>
      <w:r w:rsidR="00FA52FA" w:rsidRPr="001F41A6">
        <w:rPr>
          <w:rFonts w:cs="Times New Roman"/>
          <w:color w:val="000000" w:themeColor="text1"/>
        </w:rPr>
        <w:t xml:space="preserve"> evidencia</w:t>
      </w:r>
      <w:r w:rsidR="00F949F2" w:rsidRPr="001F41A6">
        <w:rPr>
          <w:rFonts w:cs="Times New Roman"/>
          <w:color w:val="000000" w:themeColor="text1"/>
        </w:rPr>
        <w:t xml:space="preserve"> la necesidad de implementar acciones de política que permitan estabilizar el impacto que ha tenido la reducción de la participación del comercio con este país.</w:t>
      </w:r>
      <w:r w:rsidRPr="001F41A6">
        <w:rPr>
          <w:rFonts w:cs="Times New Roman"/>
          <w:color w:val="FF0000"/>
        </w:rPr>
        <w:t xml:space="preserve"> </w:t>
      </w:r>
    </w:p>
    <w:p w14:paraId="411DDE61" w14:textId="77777777" w:rsidR="00F949F2" w:rsidRPr="00C366A7" w:rsidRDefault="00F949F2" w:rsidP="00F949F2">
      <w:pPr>
        <w:jc w:val="both"/>
        <w:rPr>
          <w:rFonts w:cs="Times New Roman"/>
          <w:color w:val="000000" w:themeColor="text1"/>
          <w:sz w:val="26"/>
          <w:szCs w:val="26"/>
        </w:rPr>
      </w:pPr>
    </w:p>
    <w:p w14:paraId="31E91392" w14:textId="77777777" w:rsidR="007153A7" w:rsidRPr="00C366A7" w:rsidRDefault="007153A7" w:rsidP="00F949F2">
      <w:pPr>
        <w:jc w:val="both"/>
        <w:rPr>
          <w:rFonts w:cs="Times New Roman"/>
          <w:color w:val="000000" w:themeColor="text1"/>
          <w:sz w:val="26"/>
          <w:szCs w:val="26"/>
        </w:rPr>
      </w:pPr>
    </w:p>
    <w:p w14:paraId="55A083D5" w14:textId="77777777" w:rsidR="007153A7" w:rsidRDefault="007153A7" w:rsidP="00F949F2">
      <w:pPr>
        <w:jc w:val="both"/>
        <w:rPr>
          <w:rFonts w:cs="Times New Roman"/>
          <w:color w:val="000000" w:themeColor="text1"/>
          <w:sz w:val="26"/>
          <w:szCs w:val="26"/>
        </w:rPr>
      </w:pPr>
    </w:p>
    <w:p w14:paraId="09EE5A46" w14:textId="77777777" w:rsidR="001F41A6" w:rsidRDefault="001F41A6" w:rsidP="00F949F2">
      <w:pPr>
        <w:jc w:val="both"/>
        <w:rPr>
          <w:rFonts w:cs="Times New Roman"/>
          <w:color w:val="000000" w:themeColor="text1"/>
          <w:sz w:val="26"/>
          <w:szCs w:val="26"/>
        </w:rPr>
      </w:pPr>
    </w:p>
    <w:p w14:paraId="1809E561" w14:textId="77777777" w:rsidR="001F41A6" w:rsidRDefault="001F41A6" w:rsidP="00F949F2">
      <w:pPr>
        <w:jc w:val="both"/>
        <w:rPr>
          <w:rFonts w:cs="Times New Roman"/>
          <w:color w:val="000000" w:themeColor="text1"/>
          <w:sz w:val="26"/>
          <w:szCs w:val="26"/>
        </w:rPr>
      </w:pPr>
    </w:p>
    <w:p w14:paraId="4EB18BAF" w14:textId="77777777" w:rsidR="001F41A6" w:rsidRDefault="001F41A6" w:rsidP="00F949F2">
      <w:pPr>
        <w:jc w:val="both"/>
        <w:rPr>
          <w:rFonts w:cs="Times New Roman"/>
          <w:color w:val="000000" w:themeColor="text1"/>
          <w:sz w:val="26"/>
          <w:szCs w:val="26"/>
        </w:rPr>
      </w:pPr>
    </w:p>
    <w:p w14:paraId="0C48A36D" w14:textId="77777777" w:rsidR="001F41A6" w:rsidRPr="00C366A7" w:rsidRDefault="001F41A6" w:rsidP="00F949F2">
      <w:pPr>
        <w:jc w:val="both"/>
        <w:rPr>
          <w:rFonts w:cs="Times New Roman"/>
          <w:color w:val="000000" w:themeColor="text1"/>
          <w:sz w:val="26"/>
          <w:szCs w:val="26"/>
        </w:rPr>
      </w:pPr>
    </w:p>
    <w:p w14:paraId="59B240D2" w14:textId="77777777" w:rsidR="00F949F2" w:rsidRPr="00C366A7" w:rsidRDefault="00F949F2" w:rsidP="00F949F2">
      <w:pPr>
        <w:jc w:val="center"/>
        <w:rPr>
          <w:rFonts w:cs="Times New Roman"/>
          <w:b/>
          <w:sz w:val="22"/>
          <w:szCs w:val="26"/>
        </w:rPr>
      </w:pPr>
      <w:r w:rsidRPr="00C366A7">
        <w:rPr>
          <w:rFonts w:cs="Times New Roman"/>
          <w:b/>
          <w:sz w:val="22"/>
          <w:szCs w:val="26"/>
        </w:rPr>
        <w:t>Gráfico 1</w:t>
      </w:r>
      <w:r w:rsidR="008960E7" w:rsidRPr="00C366A7">
        <w:rPr>
          <w:rFonts w:cs="Times New Roman"/>
          <w:b/>
          <w:sz w:val="22"/>
          <w:szCs w:val="26"/>
        </w:rPr>
        <w:t>1</w:t>
      </w:r>
      <w:r w:rsidRPr="00C366A7">
        <w:rPr>
          <w:rFonts w:cs="Times New Roman"/>
          <w:b/>
          <w:sz w:val="22"/>
          <w:szCs w:val="26"/>
        </w:rPr>
        <w:t>.</w:t>
      </w:r>
      <w:r w:rsidR="008960E7" w:rsidRPr="00C366A7">
        <w:rPr>
          <w:rFonts w:cs="Times New Roman"/>
          <w:b/>
          <w:sz w:val="22"/>
          <w:szCs w:val="26"/>
        </w:rPr>
        <w:t xml:space="preserve"> </w:t>
      </w:r>
      <w:r w:rsidRPr="00C366A7">
        <w:rPr>
          <w:rFonts w:cs="Times New Roman"/>
          <w:b/>
          <w:sz w:val="22"/>
          <w:szCs w:val="26"/>
        </w:rPr>
        <w:t xml:space="preserve">Índice de </w:t>
      </w:r>
      <w:r w:rsidR="008960E7" w:rsidRPr="00C366A7">
        <w:rPr>
          <w:rFonts w:cs="Times New Roman"/>
          <w:b/>
          <w:sz w:val="22"/>
          <w:szCs w:val="26"/>
        </w:rPr>
        <w:t>Apertura Comercial</w:t>
      </w:r>
      <w:r w:rsidRPr="00C366A7">
        <w:rPr>
          <w:rFonts w:cs="Times New Roman"/>
          <w:b/>
          <w:sz w:val="22"/>
          <w:szCs w:val="26"/>
        </w:rPr>
        <w:t>, 2010-2016</w:t>
      </w:r>
    </w:p>
    <w:p w14:paraId="266DA948" w14:textId="77777777" w:rsidR="00F949F2" w:rsidRPr="00C366A7" w:rsidRDefault="00F949F2" w:rsidP="00F949F2">
      <w:pPr>
        <w:jc w:val="center"/>
        <w:rPr>
          <w:rFonts w:cs="Times New Roman"/>
          <w:color w:val="000000" w:themeColor="text1"/>
          <w:sz w:val="26"/>
          <w:szCs w:val="26"/>
        </w:rPr>
      </w:pPr>
      <w:r w:rsidRPr="00C366A7">
        <w:rPr>
          <w:rFonts w:cs="Times New Roman"/>
          <w:noProof/>
          <w:sz w:val="26"/>
          <w:szCs w:val="26"/>
          <w:lang w:val="es-CO" w:eastAsia="es-CO"/>
        </w:rPr>
        <w:drawing>
          <wp:inline distT="0" distB="0" distL="0" distR="0" wp14:anchorId="7A1F07EA" wp14:editId="137F9A57">
            <wp:extent cx="5051432" cy="3197758"/>
            <wp:effectExtent l="0" t="0" r="15875" b="3175"/>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80405B3" w14:textId="77777777" w:rsidR="00F949F2" w:rsidRPr="00C366A7" w:rsidRDefault="00F949F2" w:rsidP="00E802F0">
      <w:pPr>
        <w:jc w:val="both"/>
        <w:rPr>
          <w:rFonts w:cs="Times New Roman"/>
          <w:sz w:val="18"/>
          <w:szCs w:val="26"/>
          <w:lang w:val="es-CO"/>
        </w:rPr>
      </w:pPr>
      <w:r w:rsidRPr="00C366A7">
        <w:rPr>
          <w:rFonts w:cs="Times New Roman"/>
          <w:sz w:val="18"/>
          <w:szCs w:val="26"/>
          <w:lang w:val="es-CO"/>
        </w:rPr>
        <w:t>Fuente: DANE y Banco de la República. Cálculos: MinCIT.</w:t>
      </w:r>
    </w:p>
    <w:p w14:paraId="2D5B7600" w14:textId="77777777" w:rsidR="008960E7" w:rsidRPr="00C366A7" w:rsidRDefault="008960E7" w:rsidP="00F949F2">
      <w:pPr>
        <w:rPr>
          <w:rFonts w:cs="Times New Roman"/>
          <w:color w:val="FF0000"/>
          <w:sz w:val="26"/>
          <w:szCs w:val="26"/>
        </w:rPr>
      </w:pPr>
    </w:p>
    <w:p w14:paraId="28CAACE7" w14:textId="77777777" w:rsidR="00F0327E" w:rsidRPr="006A2CF9" w:rsidRDefault="00F0327E" w:rsidP="00F0327E">
      <w:pPr>
        <w:jc w:val="both"/>
      </w:pPr>
      <w:r w:rsidRPr="006A2CF9">
        <w:t>En relación a la estructura de su aparato productivo, el área metropolitana de Cúcuta se ubicó en la posición número 15 en cuanto a la complejidad económica de sus exportaciones en el año 2017. Frente al resto de ciudades evaluadas se observa un rezago significativo de la región en cuanto a la sofisticación de su canasta exportable, incluso por debajo de municipios menos representativos como Tuluá, Santander de Quilichao, Sogamoso, Palmira, Buga y Rionegro (Cuadro 1).</w:t>
      </w:r>
    </w:p>
    <w:p w14:paraId="0257D7AA" w14:textId="77777777" w:rsidR="00F0327E" w:rsidRPr="006A2CF9" w:rsidRDefault="00F0327E" w:rsidP="00F0327E">
      <w:pPr>
        <w:jc w:val="both"/>
      </w:pPr>
    </w:p>
    <w:p w14:paraId="7EF93BA4" w14:textId="77777777" w:rsidR="00F0327E" w:rsidRPr="006A2CF9" w:rsidRDefault="00F0327E" w:rsidP="00F0327E">
      <w:pPr>
        <w:jc w:val="both"/>
      </w:pPr>
      <w:r w:rsidRPr="006A2CF9">
        <w:t xml:space="preserve">A pesar de ubicarse en una posición intermedia en el comparativo nacional, el desempeño de Cúcuta en este indicador es bastante bajo frente a lo esperado para una ciudad ubicada en una zona de frontera, en la cual la cercanía geográfica con el mercado externo, en este caso con Venezuela, debería permitirle explotar su potencial productivo de forma más efectiva dado los menores costos logísticos y de transporte en los que debe incurrir para el intercambio de sus mercancías. </w:t>
      </w:r>
    </w:p>
    <w:p w14:paraId="3A720D33" w14:textId="77777777" w:rsidR="00F0327E" w:rsidRPr="006A2CF9" w:rsidRDefault="00F0327E" w:rsidP="00F0327E">
      <w:pPr>
        <w:jc w:val="both"/>
      </w:pPr>
    </w:p>
    <w:p w14:paraId="4471296E" w14:textId="77777777" w:rsidR="00F0327E" w:rsidRPr="006A2CF9" w:rsidRDefault="00F0327E" w:rsidP="00F0327E">
      <w:pPr>
        <w:jc w:val="both"/>
      </w:pPr>
      <w:r w:rsidRPr="006A2CF9">
        <w:t>Este débil desempeño en materia de comercio exterior es el reflejo de las bajas capacidades productivas de su economía. Para el caso de la complejidad económica sectorial, el área metropolitana de Cúcuta se ubicó en la posición número 17 a nivel nacional con un índice de 0,4 en 2017 (Cuadro 1). En términos generales, estos resultados indican una baja diversificación de la estructura económica de la ciudad en comparación al resto de municipios de Colombia, así como una orientación productiva enfocada hacia sectores de bajo valor agregado.</w:t>
      </w:r>
    </w:p>
    <w:p w14:paraId="444F3AE0" w14:textId="77777777" w:rsidR="00F0327E" w:rsidRPr="006A2CF9" w:rsidRDefault="00F0327E" w:rsidP="00F0327E">
      <w:pPr>
        <w:jc w:val="both"/>
      </w:pPr>
    </w:p>
    <w:p w14:paraId="2E927C04" w14:textId="77777777" w:rsidR="00C366A7" w:rsidRPr="006A2CF9" w:rsidRDefault="00C366A7" w:rsidP="00F0327E">
      <w:pPr>
        <w:jc w:val="both"/>
      </w:pPr>
    </w:p>
    <w:p w14:paraId="44AC7AB9" w14:textId="77777777" w:rsidR="00F0327E" w:rsidRPr="00C366A7" w:rsidRDefault="00F0327E" w:rsidP="00F0327E">
      <w:pPr>
        <w:jc w:val="center"/>
        <w:rPr>
          <w:b/>
          <w:sz w:val="22"/>
        </w:rPr>
      </w:pPr>
      <w:r w:rsidRPr="00C366A7">
        <w:rPr>
          <w:b/>
          <w:sz w:val="22"/>
        </w:rPr>
        <w:t>Cuadro 1. Ranking nacional de Complejidad Económica, 2017</w:t>
      </w:r>
    </w:p>
    <w:p w14:paraId="27ECD9CF" w14:textId="77777777" w:rsidR="00F0327E" w:rsidRPr="00C366A7" w:rsidRDefault="00F0327E" w:rsidP="00F0327E">
      <w:pPr>
        <w:jc w:val="center"/>
      </w:pPr>
      <w:r w:rsidRPr="00C366A7">
        <w:rPr>
          <w:noProof/>
          <w:lang w:val="es-CO" w:eastAsia="es-CO"/>
        </w:rPr>
        <w:drawing>
          <wp:inline distT="0" distB="0" distL="0" distR="0" wp14:anchorId="2150B8AD" wp14:editId="30C979C0">
            <wp:extent cx="3166561" cy="442800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66561" cy="4428000"/>
                    </a:xfrm>
                    <a:prstGeom prst="rect">
                      <a:avLst/>
                    </a:prstGeom>
                    <a:noFill/>
                    <a:ln>
                      <a:noFill/>
                    </a:ln>
                  </pic:spPr>
                </pic:pic>
              </a:graphicData>
            </a:graphic>
          </wp:inline>
        </w:drawing>
      </w:r>
    </w:p>
    <w:p w14:paraId="446CA26E" w14:textId="77777777" w:rsidR="00F0327E" w:rsidRPr="00C366A7" w:rsidRDefault="00F0327E" w:rsidP="00F0327E">
      <w:pPr>
        <w:jc w:val="center"/>
        <w:rPr>
          <w:sz w:val="20"/>
        </w:rPr>
      </w:pPr>
      <w:r w:rsidRPr="00C366A7">
        <w:rPr>
          <w:sz w:val="20"/>
        </w:rPr>
        <w:t>Fuente: DATLAS Colombia</w:t>
      </w:r>
    </w:p>
    <w:p w14:paraId="16A033B3" w14:textId="77777777" w:rsidR="00F0327E" w:rsidRPr="00C366A7" w:rsidRDefault="00F0327E" w:rsidP="00F949F2">
      <w:pPr>
        <w:rPr>
          <w:rFonts w:cs="Times New Roman"/>
          <w:color w:val="FF0000"/>
          <w:sz w:val="26"/>
          <w:szCs w:val="26"/>
        </w:rPr>
      </w:pPr>
    </w:p>
    <w:p w14:paraId="1AEC166C" w14:textId="77777777" w:rsidR="00FA52FA" w:rsidRPr="00C366A7" w:rsidRDefault="00F0327E">
      <w:pPr>
        <w:jc w:val="both"/>
      </w:pPr>
      <w:r w:rsidRPr="00C366A7">
        <w:t>Finalmente,</w:t>
      </w:r>
      <w:r w:rsidR="00FA52FA" w:rsidRPr="00C366A7">
        <w:t xml:space="preserve"> es importante destacar </w:t>
      </w:r>
      <w:r w:rsidR="007153A7" w:rsidRPr="00C366A7">
        <w:t>que,</w:t>
      </w:r>
      <w:r w:rsidR="00FA52FA" w:rsidRPr="00C366A7">
        <w:t xml:space="preserve"> para el área metropolitana de Cúcuta, la incidencia de la pobreza se ubicó en una tasa cercana al 40% de la población en el año 2010, presentando una tendencia decreciente a lo largo de los tres años siguientes a este periodo, hasta alcanzar su tasa histórica más baja en 2013 (31,3%). Sin embargo, a partir del año 2014, la pobreza monetaria del área metropolitana se alejó de </w:t>
      </w:r>
      <w:r w:rsidR="007153A7" w:rsidRPr="00C366A7">
        <w:t xml:space="preserve">la </w:t>
      </w:r>
      <w:r w:rsidR="00FA52FA" w:rsidRPr="00C366A7">
        <w:t>tendencia decreciente observada a nivel nacional y empezó a crecer nuevamente hasta alcanzar una tasa de 33,5% en 2017. Este comportamiento coincidió con las problemáticas sociales asociadas al fenómeno económic</w:t>
      </w:r>
      <w:r w:rsidR="009D2F25" w:rsidRPr="00C366A7">
        <w:t>o de Venezuela,</w:t>
      </w:r>
      <w:r w:rsidR="008E2ED8" w:rsidRPr="00C366A7">
        <w:t xml:space="preserve"> al</w:t>
      </w:r>
      <w:r w:rsidR="00FA52FA" w:rsidRPr="00C366A7">
        <w:t xml:space="preserve"> incremento en los niveles de desempleo e informalidad de la población</w:t>
      </w:r>
      <w:r w:rsidR="008E2ED8" w:rsidRPr="00C366A7">
        <w:t xml:space="preserve"> </w:t>
      </w:r>
      <w:r w:rsidRPr="00C366A7">
        <w:t xml:space="preserve">y al débil desempeño productivo de su economía local. </w:t>
      </w:r>
      <w:r w:rsidR="008E2ED8" w:rsidRPr="00C366A7">
        <w:t>(Gráfico 12)</w:t>
      </w:r>
      <w:r w:rsidR="00FA52FA" w:rsidRPr="00C366A7">
        <w:t xml:space="preserve">. </w:t>
      </w:r>
    </w:p>
    <w:p w14:paraId="6E24F025" w14:textId="77777777" w:rsidR="00F0327E" w:rsidRPr="00C366A7" w:rsidRDefault="00F0327E" w:rsidP="00FA52FA">
      <w:pPr>
        <w:jc w:val="both"/>
      </w:pPr>
    </w:p>
    <w:p w14:paraId="1A1D9D27" w14:textId="77777777" w:rsidR="007153A7" w:rsidRPr="00C366A7" w:rsidRDefault="007153A7" w:rsidP="00FA52FA">
      <w:pPr>
        <w:jc w:val="both"/>
      </w:pPr>
    </w:p>
    <w:p w14:paraId="7D228F3F" w14:textId="77777777" w:rsidR="007153A7" w:rsidRPr="00C366A7" w:rsidRDefault="007153A7" w:rsidP="00FA52FA">
      <w:pPr>
        <w:jc w:val="both"/>
      </w:pPr>
    </w:p>
    <w:p w14:paraId="31DE58ED" w14:textId="77777777" w:rsidR="007153A7" w:rsidRPr="00C366A7" w:rsidRDefault="007153A7" w:rsidP="00FA52FA">
      <w:pPr>
        <w:jc w:val="both"/>
      </w:pPr>
    </w:p>
    <w:p w14:paraId="3A064B73" w14:textId="77777777" w:rsidR="007153A7" w:rsidRDefault="007153A7" w:rsidP="00FA52FA">
      <w:pPr>
        <w:jc w:val="both"/>
      </w:pPr>
    </w:p>
    <w:p w14:paraId="1E893BF8" w14:textId="77777777" w:rsidR="001F41A6" w:rsidRPr="00C366A7" w:rsidRDefault="001F41A6" w:rsidP="00FA52FA">
      <w:pPr>
        <w:jc w:val="both"/>
      </w:pPr>
    </w:p>
    <w:p w14:paraId="11CE4D9F" w14:textId="77777777" w:rsidR="007153A7" w:rsidRPr="00C366A7" w:rsidRDefault="007153A7" w:rsidP="00FA52FA">
      <w:pPr>
        <w:jc w:val="both"/>
      </w:pPr>
    </w:p>
    <w:p w14:paraId="32848CE7" w14:textId="77777777" w:rsidR="007153A7" w:rsidRPr="00C366A7" w:rsidRDefault="007153A7" w:rsidP="00FA52FA">
      <w:pPr>
        <w:jc w:val="both"/>
      </w:pPr>
    </w:p>
    <w:p w14:paraId="221E3FFA" w14:textId="77777777" w:rsidR="008E2ED8" w:rsidRPr="00C366A7" w:rsidRDefault="008E2ED8" w:rsidP="00FA52FA">
      <w:pPr>
        <w:jc w:val="both"/>
        <w:rPr>
          <w:b/>
          <w:sz w:val="22"/>
        </w:rPr>
      </w:pPr>
      <w:r w:rsidRPr="00C366A7">
        <w:rPr>
          <w:b/>
          <w:sz w:val="22"/>
        </w:rPr>
        <w:t>Gráfico 12. Pobreza monetaria: Área metropolitana de Cúcuta vs. Total nacional, 2010-2017</w:t>
      </w:r>
    </w:p>
    <w:p w14:paraId="7D892D49" w14:textId="77777777" w:rsidR="00FA52FA" w:rsidRPr="00F75052" w:rsidRDefault="00F0327E">
      <w:pPr>
        <w:jc w:val="center"/>
        <w:rPr>
          <w:rFonts w:eastAsiaTheme="minorHAnsi" w:cs="Times New Roman"/>
          <w:color w:val="000000" w:themeColor="text1"/>
          <w:szCs w:val="26"/>
          <w:lang w:val="es-CO" w:eastAsia="en-US"/>
        </w:rPr>
      </w:pPr>
      <w:r w:rsidRPr="00F75052">
        <w:rPr>
          <w:rFonts w:eastAsiaTheme="minorHAnsi" w:cs="Times New Roman"/>
          <w:noProof/>
          <w:color w:val="000000" w:themeColor="text1"/>
          <w:szCs w:val="26"/>
          <w:lang w:val="es-CO" w:eastAsia="es-CO"/>
        </w:rPr>
        <w:drawing>
          <wp:inline distT="0" distB="0" distL="0" distR="0" wp14:anchorId="3C50775E" wp14:editId="760028F6">
            <wp:extent cx="4951385" cy="3123759"/>
            <wp:effectExtent l="0" t="0" r="1905" b="635"/>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29B5710" w14:textId="77777777" w:rsidR="00FA52FA" w:rsidRPr="00F75052" w:rsidRDefault="00FA52FA" w:rsidP="00E802F0">
      <w:pPr>
        <w:jc w:val="both"/>
        <w:rPr>
          <w:rFonts w:eastAsiaTheme="minorHAnsi" w:cs="Times New Roman"/>
          <w:color w:val="000000" w:themeColor="text1"/>
          <w:szCs w:val="26"/>
          <w:lang w:val="es-CO" w:eastAsia="en-US"/>
        </w:rPr>
      </w:pPr>
      <w:r w:rsidRPr="00F75052">
        <w:rPr>
          <w:rFonts w:eastAsiaTheme="minorHAnsi" w:cs="Times New Roman"/>
          <w:color w:val="000000" w:themeColor="text1"/>
          <w:szCs w:val="26"/>
          <w:lang w:val="es-CO" w:eastAsia="en-US"/>
        </w:rPr>
        <w:t>Fuente: DANE – Pobreza multidimensional y monetaria en Colombia</w:t>
      </w:r>
    </w:p>
    <w:p w14:paraId="6C67B8EE" w14:textId="77777777" w:rsidR="00FA52FA" w:rsidRPr="00F75052" w:rsidRDefault="00FA52FA" w:rsidP="00FA52FA">
      <w:pPr>
        <w:jc w:val="both"/>
        <w:rPr>
          <w:rFonts w:eastAsiaTheme="minorHAnsi" w:cs="Times New Roman"/>
          <w:color w:val="000000" w:themeColor="text1"/>
          <w:szCs w:val="26"/>
          <w:lang w:val="es-CO" w:eastAsia="en-US"/>
        </w:rPr>
      </w:pPr>
    </w:p>
    <w:p w14:paraId="622E8489" w14:textId="77777777" w:rsidR="008E2ED8" w:rsidRPr="00F75052" w:rsidRDefault="008E2ED8" w:rsidP="008E2ED8">
      <w:pPr>
        <w:jc w:val="both"/>
        <w:rPr>
          <w:rFonts w:eastAsiaTheme="minorHAnsi" w:cs="Times New Roman"/>
          <w:color w:val="000000" w:themeColor="text1"/>
          <w:szCs w:val="26"/>
          <w:lang w:val="es-CO" w:eastAsia="en-US"/>
        </w:rPr>
      </w:pPr>
      <w:r w:rsidRPr="00F75052">
        <w:rPr>
          <w:rFonts w:eastAsiaTheme="minorHAnsi" w:cs="Times New Roman"/>
          <w:color w:val="000000" w:themeColor="text1"/>
          <w:szCs w:val="26"/>
          <w:lang w:val="es-CO" w:eastAsia="en-US"/>
        </w:rPr>
        <w:t>De hecho, si se compara con el resto de municipios y áreas metropolitanas a nivel nacional, la región se ubicó como una de las ciudades con mayor proporción de población en condición de pobreza en el año 2017, tan solo por debajo de Quibdó (47,9%), Riohacha (46,9%) y Florencia (33,7%).</w:t>
      </w:r>
    </w:p>
    <w:p w14:paraId="2D9F6233" w14:textId="77777777" w:rsidR="008E2ED8" w:rsidRPr="00F75052" w:rsidRDefault="008E2ED8" w:rsidP="00F0327E">
      <w:pPr>
        <w:jc w:val="both"/>
        <w:rPr>
          <w:rFonts w:eastAsiaTheme="minorHAnsi" w:cs="Times New Roman"/>
          <w:color w:val="000000" w:themeColor="text1"/>
          <w:szCs w:val="26"/>
          <w:lang w:val="es-CO" w:eastAsia="en-US"/>
        </w:rPr>
      </w:pPr>
    </w:p>
    <w:p w14:paraId="5686FD9E" w14:textId="77777777" w:rsidR="00FA52FA" w:rsidRPr="00F75052" w:rsidRDefault="00FA52FA" w:rsidP="00FA52FA">
      <w:pPr>
        <w:jc w:val="both"/>
        <w:rPr>
          <w:rFonts w:eastAsiaTheme="minorHAnsi" w:cs="Times New Roman"/>
          <w:color w:val="000000" w:themeColor="text1"/>
          <w:szCs w:val="26"/>
          <w:lang w:val="es-CO" w:eastAsia="en-US"/>
        </w:rPr>
      </w:pPr>
      <w:r w:rsidRPr="00F75052">
        <w:rPr>
          <w:rFonts w:eastAsiaTheme="minorHAnsi" w:cs="Times New Roman"/>
          <w:color w:val="000000" w:themeColor="text1"/>
          <w:szCs w:val="26"/>
          <w:lang w:val="es-CO" w:eastAsia="en-US"/>
        </w:rPr>
        <w:t xml:space="preserve">Por otra parte, de acuerdo con la información recopilada en el censo poblacional de 2005, se identificó que el 50,6% de la población de Cúcuta se clasificó en condición de pobreza en este periodo bajo el criterio de pobreza multidimensional del DANE-DNP, en el cual, se evaluaron aspectos relacionados con acceso a educación, condiciones de la niñez y la juventud, trabajo, salud y acceso a servicios públicos domiciliarios. </w:t>
      </w:r>
    </w:p>
    <w:p w14:paraId="13BC6DFE" w14:textId="77777777" w:rsidR="008E2ED8" w:rsidRPr="00F75052" w:rsidRDefault="008E2ED8" w:rsidP="00FA52FA">
      <w:pPr>
        <w:jc w:val="both"/>
        <w:rPr>
          <w:rFonts w:eastAsiaTheme="minorHAnsi" w:cs="Times New Roman"/>
          <w:color w:val="000000" w:themeColor="text1"/>
          <w:szCs w:val="26"/>
          <w:lang w:val="es-CO" w:eastAsia="en-US"/>
        </w:rPr>
      </w:pPr>
    </w:p>
    <w:p w14:paraId="3ED469B6" w14:textId="77777777" w:rsidR="00FA52FA" w:rsidRPr="00F75052" w:rsidRDefault="00FA52FA" w:rsidP="00FA52FA">
      <w:pPr>
        <w:jc w:val="both"/>
        <w:rPr>
          <w:rFonts w:eastAsiaTheme="minorHAnsi" w:cs="Times New Roman"/>
          <w:color w:val="000000" w:themeColor="text1"/>
          <w:szCs w:val="26"/>
          <w:lang w:val="es-CO" w:eastAsia="en-US"/>
        </w:rPr>
      </w:pPr>
      <w:r w:rsidRPr="00F75052">
        <w:rPr>
          <w:rFonts w:eastAsiaTheme="minorHAnsi" w:cs="Times New Roman"/>
          <w:color w:val="000000" w:themeColor="text1"/>
          <w:szCs w:val="26"/>
          <w:lang w:val="es-CO" w:eastAsia="en-US"/>
        </w:rPr>
        <w:t>En línea con lo anterior, a pesar de los avances registrados en la última década en materia de pobreza a nivel nacional, el incrementó nuevamente de esta variable para la ciudad de Cúcuta supone un escenario de riesgo para los próximos años, explicado principalmente por las mayores tensiones sociales asociadas al fenómeno de la pobreza, entre estas mayores tasas de criminalidad y de informalidad laboral.</w:t>
      </w:r>
    </w:p>
    <w:p w14:paraId="75E84D0C" w14:textId="77777777" w:rsidR="007153A7" w:rsidRPr="00F75052" w:rsidRDefault="007153A7" w:rsidP="00FA52FA">
      <w:pPr>
        <w:jc w:val="both"/>
        <w:rPr>
          <w:rFonts w:eastAsiaTheme="minorHAnsi" w:cs="Times New Roman"/>
          <w:color w:val="000000" w:themeColor="text1"/>
          <w:szCs w:val="26"/>
          <w:lang w:val="es-CO" w:eastAsia="en-US"/>
        </w:rPr>
      </w:pPr>
    </w:p>
    <w:p w14:paraId="6BE0AEB5" w14:textId="77777777" w:rsidR="007153A7" w:rsidRPr="00F75052" w:rsidRDefault="007153A7" w:rsidP="00FA52FA">
      <w:pPr>
        <w:jc w:val="both"/>
        <w:rPr>
          <w:rFonts w:eastAsiaTheme="minorHAnsi" w:cs="Times New Roman"/>
          <w:color w:val="000000" w:themeColor="text1"/>
          <w:szCs w:val="26"/>
          <w:lang w:val="es-CO" w:eastAsia="en-US"/>
        </w:rPr>
      </w:pPr>
    </w:p>
    <w:p w14:paraId="259B3E95" w14:textId="77777777" w:rsidR="007153A7" w:rsidRPr="00F75052" w:rsidRDefault="007153A7" w:rsidP="00FA52FA">
      <w:pPr>
        <w:jc w:val="both"/>
        <w:rPr>
          <w:rFonts w:eastAsiaTheme="minorHAnsi" w:cs="Times New Roman"/>
          <w:color w:val="000000" w:themeColor="text1"/>
          <w:szCs w:val="26"/>
          <w:lang w:val="es-CO" w:eastAsia="en-US"/>
        </w:rPr>
      </w:pPr>
    </w:p>
    <w:p w14:paraId="4FBC921A" w14:textId="77777777" w:rsidR="007153A7" w:rsidRPr="00F75052" w:rsidRDefault="007153A7" w:rsidP="00FA52FA">
      <w:pPr>
        <w:jc w:val="both"/>
        <w:rPr>
          <w:rFonts w:eastAsiaTheme="minorHAnsi" w:cs="Times New Roman"/>
          <w:color w:val="000000" w:themeColor="text1"/>
          <w:szCs w:val="26"/>
          <w:lang w:val="es-CO" w:eastAsia="en-US"/>
        </w:rPr>
      </w:pPr>
    </w:p>
    <w:p w14:paraId="103DBD39" w14:textId="77777777" w:rsidR="007153A7" w:rsidRPr="00F75052" w:rsidRDefault="007153A7" w:rsidP="00FA52FA">
      <w:pPr>
        <w:jc w:val="both"/>
        <w:rPr>
          <w:rFonts w:eastAsiaTheme="minorHAnsi" w:cs="Times New Roman"/>
          <w:color w:val="000000" w:themeColor="text1"/>
          <w:szCs w:val="26"/>
          <w:lang w:val="es-CO" w:eastAsia="en-US"/>
        </w:rPr>
      </w:pPr>
    </w:p>
    <w:p w14:paraId="2B90FC04" w14:textId="77777777" w:rsidR="00C366A7" w:rsidRPr="00F75052" w:rsidRDefault="00C366A7" w:rsidP="00FA52FA">
      <w:pPr>
        <w:jc w:val="both"/>
        <w:rPr>
          <w:rFonts w:eastAsiaTheme="minorHAnsi" w:cs="Times New Roman"/>
          <w:color w:val="000000" w:themeColor="text1"/>
          <w:szCs w:val="26"/>
          <w:lang w:val="es-CO" w:eastAsia="en-US"/>
        </w:rPr>
      </w:pPr>
    </w:p>
    <w:p w14:paraId="7420E3CA" w14:textId="77777777" w:rsidR="007153A7" w:rsidRPr="00F75052" w:rsidRDefault="007153A7" w:rsidP="00FA52FA">
      <w:pPr>
        <w:jc w:val="both"/>
        <w:rPr>
          <w:rFonts w:eastAsiaTheme="minorHAnsi" w:cs="Times New Roman"/>
          <w:color w:val="000000" w:themeColor="text1"/>
          <w:szCs w:val="26"/>
          <w:lang w:val="es-CO" w:eastAsia="en-US"/>
        </w:rPr>
      </w:pPr>
    </w:p>
    <w:p w14:paraId="2CCFC162" w14:textId="77777777" w:rsidR="007153A7" w:rsidRPr="00F75052" w:rsidRDefault="007153A7" w:rsidP="00FA52FA">
      <w:pPr>
        <w:jc w:val="both"/>
        <w:rPr>
          <w:rFonts w:eastAsiaTheme="minorHAnsi" w:cs="Times New Roman"/>
          <w:color w:val="000000" w:themeColor="text1"/>
          <w:szCs w:val="26"/>
          <w:lang w:val="es-CO" w:eastAsia="en-US"/>
        </w:rPr>
      </w:pPr>
    </w:p>
    <w:p w14:paraId="393A8FF6" w14:textId="77777777" w:rsidR="008E2ED8" w:rsidRPr="00F75052" w:rsidRDefault="008E2ED8" w:rsidP="00E802F0">
      <w:pPr>
        <w:jc w:val="center"/>
        <w:rPr>
          <w:rFonts w:eastAsiaTheme="minorHAnsi" w:cs="Times New Roman"/>
          <w:color w:val="000000" w:themeColor="text1"/>
          <w:szCs w:val="26"/>
          <w:lang w:val="es-CO" w:eastAsia="en-US"/>
        </w:rPr>
      </w:pPr>
      <w:r w:rsidRPr="00F75052">
        <w:rPr>
          <w:rFonts w:eastAsiaTheme="minorHAnsi" w:cs="Times New Roman"/>
          <w:color w:val="000000" w:themeColor="text1"/>
          <w:szCs w:val="26"/>
          <w:lang w:val="es-CO" w:eastAsia="en-US"/>
        </w:rPr>
        <w:t>Gráfico 13. Pobreza monetaria: ranking nacional, 2017</w:t>
      </w:r>
    </w:p>
    <w:p w14:paraId="16B1B586" w14:textId="77777777" w:rsidR="008E2ED8" w:rsidRPr="00F75052" w:rsidRDefault="008E2ED8" w:rsidP="00FA52FA">
      <w:pPr>
        <w:jc w:val="both"/>
        <w:rPr>
          <w:rFonts w:eastAsiaTheme="minorHAnsi" w:cs="Times New Roman"/>
          <w:color w:val="000000" w:themeColor="text1"/>
          <w:szCs w:val="26"/>
          <w:lang w:val="es-CO" w:eastAsia="en-US"/>
        </w:rPr>
      </w:pPr>
    </w:p>
    <w:p w14:paraId="3A8D9166" w14:textId="77777777" w:rsidR="00FA52FA" w:rsidRPr="00F75052" w:rsidRDefault="008E2ED8" w:rsidP="00FA52FA">
      <w:pPr>
        <w:jc w:val="center"/>
        <w:rPr>
          <w:rFonts w:eastAsiaTheme="minorHAnsi" w:cs="Times New Roman"/>
          <w:color w:val="000000" w:themeColor="text1"/>
          <w:szCs w:val="26"/>
          <w:lang w:val="es-CO" w:eastAsia="en-US"/>
        </w:rPr>
      </w:pPr>
      <w:r w:rsidRPr="00F75052">
        <w:rPr>
          <w:rFonts w:eastAsiaTheme="minorHAnsi" w:cs="Times New Roman"/>
          <w:noProof/>
          <w:color w:val="000000" w:themeColor="text1"/>
          <w:szCs w:val="26"/>
          <w:lang w:val="es-CO" w:eastAsia="es-CO"/>
        </w:rPr>
        <w:drawing>
          <wp:inline distT="0" distB="0" distL="0" distR="0" wp14:anchorId="7F306112" wp14:editId="7E08EB8B">
            <wp:extent cx="4577080" cy="4255135"/>
            <wp:effectExtent l="0" t="0" r="0" b="0"/>
            <wp:docPr id="8" name="Imagen 8" descr="cid:image001.png@01D46D27.55732A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id:image001.png@01D46D27.55732A7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4577080" cy="4255135"/>
                    </a:xfrm>
                    <a:prstGeom prst="rect">
                      <a:avLst/>
                    </a:prstGeom>
                    <a:noFill/>
                    <a:ln>
                      <a:noFill/>
                    </a:ln>
                  </pic:spPr>
                </pic:pic>
              </a:graphicData>
            </a:graphic>
          </wp:inline>
        </w:drawing>
      </w:r>
    </w:p>
    <w:p w14:paraId="640FC6FA" w14:textId="77777777" w:rsidR="00FA52FA" w:rsidRPr="00F75052" w:rsidRDefault="00FA52FA" w:rsidP="00FA52FA">
      <w:pPr>
        <w:jc w:val="center"/>
        <w:rPr>
          <w:rFonts w:eastAsiaTheme="minorHAnsi" w:cs="Times New Roman"/>
          <w:color w:val="000000" w:themeColor="text1"/>
          <w:szCs w:val="26"/>
          <w:lang w:val="es-CO" w:eastAsia="en-US"/>
        </w:rPr>
      </w:pPr>
      <w:r w:rsidRPr="00F75052">
        <w:rPr>
          <w:rFonts w:eastAsiaTheme="minorHAnsi" w:cs="Times New Roman"/>
          <w:color w:val="000000" w:themeColor="text1"/>
          <w:szCs w:val="26"/>
          <w:lang w:val="es-CO" w:eastAsia="en-US"/>
        </w:rPr>
        <w:t>Fuente: DANE – Pobreza multidimensional y monetaria en Colombia</w:t>
      </w:r>
    </w:p>
    <w:p w14:paraId="4C514541" w14:textId="77777777" w:rsidR="00F949F2" w:rsidRPr="00F75052" w:rsidRDefault="00F949F2" w:rsidP="00F949F2">
      <w:pPr>
        <w:rPr>
          <w:rFonts w:eastAsiaTheme="minorHAnsi" w:cs="Times New Roman"/>
          <w:color w:val="000000" w:themeColor="text1"/>
          <w:szCs w:val="26"/>
          <w:lang w:val="es-CO" w:eastAsia="en-US"/>
        </w:rPr>
      </w:pPr>
    </w:p>
    <w:p w14:paraId="64DA9FAF" w14:textId="77777777" w:rsidR="00AD4852" w:rsidRPr="00F75052" w:rsidRDefault="00AD4852" w:rsidP="00F949F2">
      <w:pPr>
        <w:jc w:val="both"/>
        <w:rPr>
          <w:rFonts w:eastAsiaTheme="minorHAnsi" w:cs="Times New Roman"/>
          <w:color w:val="000000" w:themeColor="text1"/>
          <w:szCs w:val="26"/>
          <w:lang w:val="es-CO" w:eastAsia="en-US"/>
        </w:rPr>
      </w:pPr>
      <w:r w:rsidRPr="00F75052">
        <w:rPr>
          <w:rFonts w:eastAsiaTheme="minorHAnsi" w:cs="Times New Roman"/>
          <w:color w:val="000000" w:themeColor="text1"/>
          <w:szCs w:val="26"/>
          <w:lang w:val="es-CO" w:eastAsia="en-US"/>
        </w:rPr>
        <w:t>A modo de resumen,</w:t>
      </w:r>
      <w:r w:rsidR="00E5061B" w:rsidRPr="00F75052">
        <w:rPr>
          <w:rFonts w:eastAsiaTheme="minorHAnsi" w:cs="Times New Roman"/>
          <w:color w:val="000000" w:themeColor="text1"/>
          <w:szCs w:val="26"/>
          <w:lang w:val="es-CO" w:eastAsia="en-US"/>
        </w:rPr>
        <w:t xml:space="preserve"> puede concluirse a la luz de los resultados revelados por</w:t>
      </w:r>
      <w:r w:rsidRPr="00F75052">
        <w:rPr>
          <w:rFonts w:eastAsiaTheme="minorHAnsi" w:cs="Times New Roman"/>
          <w:color w:val="000000" w:themeColor="text1"/>
          <w:szCs w:val="26"/>
          <w:lang w:val="es-CO" w:eastAsia="en-US"/>
        </w:rPr>
        <w:t xml:space="preserve"> </w:t>
      </w:r>
      <w:r w:rsidR="00E5061B" w:rsidRPr="00F75052">
        <w:rPr>
          <w:rFonts w:eastAsiaTheme="minorHAnsi" w:cs="Times New Roman"/>
          <w:color w:val="000000" w:themeColor="text1"/>
          <w:szCs w:val="26"/>
          <w:lang w:val="es-CO" w:eastAsia="en-US"/>
        </w:rPr>
        <w:t xml:space="preserve">los indicadores económicos y </w:t>
      </w:r>
      <w:r w:rsidR="00FD1808" w:rsidRPr="00F75052">
        <w:rPr>
          <w:rFonts w:eastAsiaTheme="minorHAnsi" w:cs="Times New Roman"/>
          <w:color w:val="000000" w:themeColor="text1"/>
          <w:szCs w:val="26"/>
          <w:lang w:val="es-CO" w:eastAsia="en-US"/>
        </w:rPr>
        <w:t>migratorios</w:t>
      </w:r>
      <w:r w:rsidR="00E5061B" w:rsidRPr="00F75052">
        <w:rPr>
          <w:rFonts w:eastAsiaTheme="minorHAnsi" w:cs="Times New Roman"/>
          <w:color w:val="000000" w:themeColor="text1"/>
          <w:szCs w:val="26"/>
          <w:lang w:val="es-CO" w:eastAsia="en-US"/>
        </w:rPr>
        <w:t xml:space="preserve"> lo siguiente:</w:t>
      </w:r>
    </w:p>
    <w:p w14:paraId="322CEAF2" w14:textId="77777777" w:rsidR="00541674" w:rsidRPr="00F75052" w:rsidRDefault="00541674" w:rsidP="00F949F2">
      <w:pPr>
        <w:jc w:val="both"/>
        <w:rPr>
          <w:rFonts w:eastAsiaTheme="minorHAnsi" w:cs="Times New Roman"/>
          <w:color w:val="000000" w:themeColor="text1"/>
          <w:szCs w:val="26"/>
          <w:lang w:val="es-CO" w:eastAsia="en-US"/>
        </w:rPr>
      </w:pPr>
    </w:p>
    <w:p w14:paraId="003E0EC0" w14:textId="77777777" w:rsidR="00D55D45" w:rsidRPr="00C366A7" w:rsidRDefault="00D55D45" w:rsidP="00D55D45">
      <w:pPr>
        <w:pStyle w:val="Prrafodelista"/>
        <w:numPr>
          <w:ilvl w:val="0"/>
          <w:numId w:val="14"/>
        </w:numPr>
        <w:jc w:val="both"/>
        <w:rPr>
          <w:rFonts w:cs="Times New Roman"/>
          <w:color w:val="000000" w:themeColor="text1"/>
          <w:sz w:val="24"/>
          <w:szCs w:val="26"/>
        </w:rPr>
      </w:pPr>
      <w:r w:rsidRPr="00C366A7">
        <w:rPr>
          <w:rFonts w:cs="Times New Roman"/>
          <w:color w:val="000000" w:themeColor="text1"/>
          <w:sz w:val="24"/>
          <w:szCs w:val="26"/>
        </w:rPr>
        <w:t>La migración de venezolanos hacia Colombia ha tenido repercusiones en todo el país. Sin embargo, la región más afectada es el área metropolitana de Cúcuta como ya se evidenció. Esta ha registrado un desplazamiento de la fuerza laboral local, ampliando la brecha de desempleo e informalidad con respecto al promedio nacional. Así mismo, los niveles de pobreza de la ciudad son superiores a los presentados tres años atrás.</w:t>
      </w:r>
    </w:p>
    <w:p w14:paraId="67C87E24" w14:textId="77777777" w:rsidR="00D55D45" w:rsidRPr="00C366A7" w:rsidRDefault="00D55D45" w:rsidP="00D55D45">
      <w:pPr>
        <w:pStyle w:val="Prrafodelista"/>
        <w:numPr>
          <w:ilvl w:val="0"/>
          <w:numId w:val="14"/>
        </w:numPr>
        <w:jc w:val="both"/>
        <w:rPr>
          <w:rFonts w:cs="Times New Roman"/>
          <w:color w:val="000000" w:themeColor="text1"/>
          <w:sz w:val="24"/>
          <w:szCs w:val="26"/>
        </w:rPr>
      </w:pPr>
      <w:r w:rsidRPr="00C366A7">
        <w:rPr>
          <w:rFonts w:cs="Times New Roman"/>
          <w:color w:val="000000" w:themeColor="text1"/>
          <w:sz w:val="24"/>
          <w:szCs w:val="26"/>
        </w:rPr>
        <w:t>La desaceleración del comercio con Venezuela, especialmente de las exportaciones, no es un fenómeno que incluya a todo el territorio nacional. La información revela un comportamiento mucho más concentrado en ciertos departamentos de Colombia y en particular de Norte de Santander, específicamente en el área metropolitana de Cúcuta para los años analizados.</w:t>
      </w:r>
    </w:p>
    <w:p w14:paraId="119C133C" w14:textId="77777777" w:rsidR="00D55D45" w:rsidRPr="00C366A7" w:rsidRDefault="00D55D45" w:rsidP="00D55D45">
      <w:pPr>
        <w:pStyle w:val="Prrafodelista"/>
        <w:numPr>
          <w:ilvl w:val="0"/>
          <w:numId w:val="14"/>
        </w:numPr>
        <w:jc w:val="both"/>
        <w:rPr>
          <w:rFonts w:cs="Times New Roman"/>
          <w:color w:val="000000" w:themeColor="text1"/>
          <w:sz w:val="24"/>
          <w:szCs w:val="26"/>
        </w:rPr>
      </w:pPr>
      <w:r w:rsidRPr="00C366A7">
        <w:rPr>
          <w:rFonts w:cs="Times New Roman"/>
          <w:color w:val="000000" w:themeColor="text1"/>
          <w:sz w:val="24"/>
          <w:szCs w:val="26"/>
        </w:rPr>
        <w:lastRenderedPageBreak/>
        <w:t>A esto se le suma la baja complejidad económica de sus exportaciones y del aparato productivo, explicado, entre otras cosas, por su alta dependencia al comercio exterior con Venezuela y a la escasa sofisticación y diversificación de su economía.</w:t>
      </w:r>
    </w:p>
    <w:p w14:paraId="2B9A92BB" w14:textId="77777777" w:rsidR="00AD4852" w:rsidRDefault="00AD4852" w:rsidP="00F949F2">
      <w:pPr>
        <w:jc w:val="both"/>
        <w:rPr>
          <w:rFonts w:cs="Times New Roman"/>
          <w:color w:val="000000" w:themeColor="text1"/>
          <w:sz w:val="26"/>
          <w:szCs w:val="26"/>
        </w:rPr>
      </w:pPr>
    </w:p>
    <w:p w14:paraId="63FBD0AB" w14:textId="77777777" w:rsidR="00CE3300" w:rsidRPr="00F75052" w:rsidRDefault="00CE3300" w:rsidP="00CE3300">
      <w:pPr>
        <w:pStyle w:val="Prrafodelista"/>
        <w:numPr>
          <w:ilvl w:val="0"/>
          <w:numId w:val="10"/>
        </w:numPr>
        <w:spacing w:before="57" w:after="57" w:line="288" w:lineRule="atLeast"/>
        <w:jc w:val="both"/>
        <w:textAlignment w:val="center"/>
        <w:rPr>
          <w:rFonts w:cs="Times New Roman"/>
          <w:b/>
          <w:color w:val="000000" w:themeColor="text1"/>
          <w:spacing w:val="4"/>
          <w:sz w:val="24"/>
          <w:szCs w:val="24"/>
          <w:lang w:val="es-ES_tradnl"/>
        </w:rPr>
      </w:pPr>
      <w:r w:rsidRPr="00F75052">
        <w:rPr>
          <w:rFonts w:cs="Times New Roman"/>
          <w:b/>
          <w:color w:val="000000" w:themeColor="text1"/>
          <w:spacing w:val="4"/>
          <w:sz w:val="24"/>
          <w:szCs w:val="24"/>
          <w:lang w:val="es-ES_tradnl"/>
        </w:rPr>
        <w:t>Resultados de medidas similares</w:t>
      </w:r>
    </w:p>
    <w:p w14:paraId="4E812DED" w14:textId="77777777" w:rsidR="00CE3300" w:rsidRPr="00F75052" w:rsidRDefault="00CE3300" w:rsidP="00CE3300">
      <w:pPr>
        <w:jc w:val="both"/>
        <w:rPr>
          <w:rFonts w:cs="Times New Roman"/>
          <w:color w:val="000000" w:themeColor="text1"/>
        </w:rPr>
      </w:pPr>
    </w:p>
    <w:p w14:paraId="4CCBB5F6" w14:textId="77777777" w:rsidR="00CE3300" w:rsidRPr="00F75052" w:rsidRDefault="00CE3300" w:rsidP="00CE3300">
      <w:pPr>
        <w:jc w:val="both"/>
        <w:rPr>
          <w:rFonts w:cs="Times New Roman"/>
          <w:color w:val="000000" w:themeColor="text1"/>
        </w:rPr>
      </w:pPr>
      <w:r w:rsidRPr="00F75052">
        <w:rPr>
          <w:rFonts w:cs="Times New Roman"/>
          <w:color w:val="000000" w:themeColor="text1"/>
        </w:rPr>
        <w:t xml:space="preserve">Para atender situaciones como la descrita para el área metropolitana de Cúcuta, históricamente en el país se han expedido diversas leyes y decretos que han habilitado la creación de estímulos orientados a incentivar la inversión, la constitución de nuevas empresas y la generación de empleo en zonas del territorio que demandan atención especial. Estas medidas, que en ocasiones se focalizan en sectores, generalmente definen beneficios tributarios, laborales o para la exportación. </w:t>
      </w:r>
    </w:p>
    <w:p w14:paraId="3E10888B" w14:textId="77777777" w:rsidR="00CE3300" w:rsidRPr="00F75052" w:rsidRDefault="00CE3300" w:rsidP="00CE3300">
      <w:pPr>
        <w:jc w:val="both"/>
        <w:rPr>
          <w:rFonts w:cs="Times New Roman"/>
          <w:color w:val="000000" w:themeColor="text1"/>
        </w:rPr>
      </w:pPr>
    </w:p>
    <w:p w14:paraId="1B52FEBC" w14:textId="77777777" w:rsidR="00CE3300" w:rsidRPr="00F75052" w:rsidRDefault="00CE3300" w:rsidP="00CE3300">
      <w:pPr>
        <w:autoSpaceDE w:val="0"/>
        <w:autoSpaceDN w:val="0"/>
        <w:adjustRightInd w:val="0"/>
        <w:jc w:val="both"/>
        <w:rPr>
          <w:rFonts w:cs="Times New Roman"/>
          <w:color w:val="000000" w:themeColor="text1"/>
        </w:rPr>
      </w:pPr>
      <w:r w:rsidRPr="00F75052">
        <w:rPr>
          <w:rFonts w:cs="Times New Roman"/>
          <w:color w:val="000000" w:themeColor="text1"/>
        </w:rPr>
        <w:t>Una de las medidas destacadas en dicha dirección es la Ley 218 de 1996 (más conocida como la Ley Páez), uno de los hitos más importantes de finales de siglo veinte, con la cual se definieron una serie de incentivos tributarios orientados a promover la transformación del aparato productivo en los departamentos de Cauca y Huila, después de una avalancha en el río Páez que afectó una gran zona de dichos departamentos.</w:t>
      </w:r>
    </w:p>
    <w:p w14:paraId="5A033BA7" w14:textId="77777777" w:rsidR="00CE3300" w:rsidRPr="00F75052" w:rsidRDefault="00CE3300" w:rsidP="00CE3300">
      <w:pPr>
        <w:autoSpaceDE w:val="0"/>
        <w:autoSpaceDN w:val="0"/>
        <w:adjustRightInd w:val="0"/>
        <w:jc w:val="both"/>
        <w:rPr>
          <w:rFonts w:cs="Times New Roman"/>
          <w:color w:val="000000" w:themeColor="text1"/>
        </w:rPr>
      </w:pPr>
    </w:p>
    <w:p w14:paraId="491448D7" w14:textId="77777777" w:rsidR="00CE3300" w:rsidRPr="00F75052" w:rsidRDefault="00CE3300" w:rsidP="00CE3300">
      <w:pPr>
        <w:autoSpaceDE w:val="0"/>
        <w:autoSpaceDN w:val="0"/>
        <w:adjustRightInd w:val="0"/>
        <w:jc w:val="both"/>
        <w:rPr>
          <w:rFonts w:cs="Times New Roman"/>
          <w:color w:val="000000" w:themeColor="text1"/>
        </w:rPr>
      </w:pPr>
      <w:r w:rsidRPr="00F75052">
        <w:rPr>
          <w:rFonts w:cs="Times New Roman"/>
          <w:color w:val="000000" w:themeColor="text1"/>
        </w:rPr>
        <w:t>Esta ley otorgó incentivos tributarios de carácter nacional (exención de impuesto de renta y complementarios por un período de 10 años) para las nuevas empresas del sector Agrícola y Ganadero, Microempresas, establecimientos comerciales, industriales, turísticos, y para las compañías exportadoras y mineras (no relacionadas con la exploración o explotación de hidrocarburos) que se constituyeran dentro de la zona afectada por el fenómeno natural. Dichas empresas debían instalarse efectivamente en la zona (o debían estar ubicadas en la zona antes del 21 de junio de 1994) y demostrar aportes a la generación de empleo.</w:t>
      </w:r>
    </w:p>
    <w:p w14:paraId="2A3B2B69" w14:textId="77777777" w:rsidR="00CE3300" w:rsidRPr="00F75052" w:rsidRDefault="00CE3300" w:rsidP="00CE3300">
      <w:pPr>
        <w:tabs>
          <w:tab w:val="left" w:pos="1083"/>
        </w:tabs>
        <w:autoSpaceDE w:val="0"/>
        <w:autoSpaceDN w:val="0"/>
        <w:adjustRightInd w:val="0"/>
        <w:jc w:val="both"/>
        <w:rPr>
          <w:rFonts w:cs="Times New Roman"/>
          <w:color w:val="000000" w:themeColor="text1"/>
        </w:rPr>
      </w:pPr>
      <w:r w:rsidRPr="00F75052">
        <w:rPr>
          <w:rFonts w:cs="Times New Roman"/>
          <w:color w:val="000000" w:themeColor="text1"/>
        </w:rPr>
        <w:tab/>
      </w:r>
    </w:p>
    <w:p w14:paraId="3AFD23AD" w14:textId="77777777" w:rsidR="00CE3300" w:rsidRPr="00F75052" w:rsidRDefault="00CE3300" w:rsidP="00CE3300">
      <w:pPr>
        <w:autoSpaceDE w:val="0"/>
        <w:autoSpaceDN w:val="0"/>
        <w:adjustRightInd w:val="0"/>
        <w:jc w:val="both"/>
        <w:rPr>
          <w:rFonts w:cs="Times New Roman"/>
          <w:color w:val="000000" w:themeColor="text1"/>
        </w:rPr>
      </w:pPr>
      <w:r w:rsidRPr="00F75052">
        <w:rPr>
          <w:rFonts w:cs="Times New Roman"/>
          <w:color w:val="000000" w:themeColor="text1"/>
        </w:rPr>
        <w:t>De acuerdo con cifras de la Cámara de Comercio del Cauca (CCC) publicadas en un estudio de impacto de la Ley Páez, elaborado por la Universidad ICESI</w:t>
      </w:r>
      <w:r w:rsidRPr="00F75052">
        <w:rPr>
          <w:rStyle w:val="Refdenotaalpie"/>
          <w:rFonts w:cs="Times New Roman"/>
          <w:color w:val="000000" w:themeColor="text1"/>
        </w:rPr>
        <w:footnoteReference w:id="1"/>
      </w:r>
      <w:r w:rsidRPr="00F75052">
        <w:rPr>
          <w:rFonts w:cs="Times New Roman"/>
          <w:color w:val="000000" w:themeColor="text1"/>
        </w:rPr>
        <w:t>, después de 10 años de su implementación, en el Cauca se encontraban registradas 139 empresas como beneficiarias, fundamentalmente en el sector manufacturero (78%), que además generaban 4.873 puestos de trabajo directos.</w:t>
      </w:r>
    </w:p>
    <w:p w14:paraId="1C4E7718" w14:textId="77777777" w:rsidR="00CE3300" w:rsidRPr="00F75052" w:rsidRDefault="00CE3300" w:rsidP="00CE3300">
      <w:pPr>
        <w:jc w:val="both"/>
        <w:rPr>
          <w:rFonts w:cs="Times New Roman"/>
          <w:color w:val="000000" w:themeColor="text1"/>
        </w:rPr>
      </w:pPr>
    </w:p>
    <w:p w14:paraId="093BA5FE" w14:textId="77777777" w:rsidR="00CE3300" w:rsidRPr="00F75052" w:rsidRDefault="00CE3300" w:rsidP="00CE3300">
      <w:pPr>
        <w:jc w:val="both"/>
        <w:rPr>
          <w:rFonts w:cs="Times New Roman"/>
          <w:color w:val="000000" w:themeColor="text1"/>
        </w:rPr>
      </w:pPr>
      <w:r w:rsidRPr="00F75052">
        <w:rPr>
          <w:rFonts w:cs="Times New Roman"/>
          <w:color w:val="000000" w:themeColor="text1"/>
        </w:rPr>
        <w:t xml:space="preserve">La Ley 608 de 2000 (conocida como Ley Quimbaya), expedida con ocasión del terremoto del Eje Cafetero de 1999, siguió los propósitos que, en su momento, orientaron la expedición de la Ley Páez. La ley contempló beneficios para las empresas que se constituyeran (o existentes cuyas ventas se hubiesen reducido en más de 30% en el año del desastre) y se instalaran en los municipios de la zona. Entre los beneficios se destacan la exención del impuesto sobre la renta por 10 años o la devolución o compensación del IVA asociada a la importación de bienes de capital. Según evaluaciones realizadas por el Banco </w:t>
      </w:r>
      <w:r w:rsidRPr="00F75052">
        <w:rPr>
          <w:rFonts w:cs="Times New Roman"/>
          <w:color w:val="000000" w:themeColor="text1"/>
        </w:rPr>
        <w:lastRenderedPageBreak/>
        <w:t>de la República, después de 3 años de entrada en vigencia de la Ley Quimbaya, un total de 495 empresas se habían acogido a los beneficios.</w:t>
      </w:r>
    </w:p>
    <w:p w14:paraId="505BC5AF" w14:textId="77777777" w:rsidR="00CE3300" w:rsidRPr="00F75052" w:rsidRDefault="00CE3300" w:rsidP="00CE3300">
      <w:pPr>
        <w:jc w:val="both"/>
        <w:rPr>
          <w:rFonts w:cs="Times New Roman"/>
          <w:color w:val="000000" w:themeColor="text1"/>
        </w:rPr>
      </w:pPr>
    </w:p>
    <w:p w14:paraId="6BBB9E31" w14:textId="77777777" w:rsidR="00CE3300" w:rsidRPr="00F75052" w:rsidRDefault="00CE3300" w:rsidP="00CE3300">
      <w:pPr>
        <w:jc w:val="both"/>
        <w:rPr>
          <w:rFonts w:cs="Times New Roman"/>
          <w:color w:val="000000" w:themeColor="text1"/>
        </w:rPr>
      </w:pPr>
      <w:r w:rsidRPr="00F75052">
        <w:rPr>
          <w:rFonts w:cs="Times New Roman"/>
          <w:color w:val="000000" w:themeColor="text1"/>
        </w:rPr>
        <w:t>La Ley 677 de 2001 (Reglamentada mediante los decretos 1227 de 2002 y 752 de 2014) estableció las Zonas Económicas Especiales de Exportación (ZEEE) en los municipios fronterizos de Buenaventura, Cúcuta, Valledupar o Ipiales, dedicados a la producción de bienes o prestación de servicios con un alto componente exportador. Este esquema contempla beneficios en materia aduanera, laboral y tributaria. Las ZEEE no tuvieron la acogida esperada entre inversionistas, debido en gran medida a las altas metas exigidas en materia de exportación e inversión.</w:t>
      </w:r>
    </w:p>
    <w:p w14:paraId="17B0B2EB" w14:textId="77777777" w:rsidR="00CE3300" w:rsidRPr="00F75052" w:rsidRDefault="00CE3300" w:rsidP="00CE3300">
      <w:pPr>
        <w:jc w:val="both"/>
        <w:rPr>
          <w:rFonts w:cs="Times New Roman"/>
          <w:color w:val="000000" w:themeColor="text1"/>
        </w:rPr>
      </w:pPr>
    </w:p>
    <w:p w14:paraId="70CC913F" w14:textId="77777777" w:rsidR="00CE3300" w:rsidRPr="00F75052" w:rsidRDefault="00CE3300" w:rsidP="00CE3300">
      <w:pPr>
        <w:jc w:val="both"/>
        <w:rPr>
          <w:rFonts w:cs="Times New Roman"/>
          <w:color w:val="000000" w:themeColor="text1"/>
        </w:rPr>
      </w:pPr>
      <w:r w:rsidRPr="00F75052">
        <w:rPr>
          <w:rFonts w:cs="Times New Roman"/>
          <w:color w:val="000000" w:themeColor="text1"/>
        </w:rPr>
        <w:t>Igualmente, el Presidente de la República expidió normas con fuerza de ley en ejercicio de las facultades propias de estado de Emergencia, Económica, Social y Ecológica Decreto 1770 de 2015, para Cúcuta y su área metropolitana, entre otros. Dentro e</w:t>
      </w:r>
      <w:r w:rsidR="004F5385">
        <w:rPr>
          <w:rFonts w:cs="Times New Roman"/>
          <w:color w:val="000000" w:themeColor="text1"/>
        </w:rPr>
        <w:t>ste marco normativo se expidiero</w:t>
      </w:r>
      <w:r w:rsidR="004F5385" w:rsidRPr="00F75052">
        <w:rPr>
          <w:rFonts w:cs="Times New Roman"/>
          <w:color w:val="000000" w:themeColor="text1"/>
        </w:rPr>
        <w:t>n</w:t>
      </w:r>
      <w:r w:rsidRPr="00F75052">
        <w:rPr>
          <w:rFonts w:cs="Times New Roman"/>
          <w:color w:val="000000" w:themeColor="text1"/>
        </w:rPr>
        <w:t xml:space="preserve"> los siguientes decretos:  </w:t>
      </w:r>
    </w:p>
    <w:p w14:paraId="72ED20B5" w14:textId="77777777" w:rsidR="00CE3300" w:rsidRPr="00F75052" w:rsidRDefault="00CE3300" w:rsidP="00CE3300">
      <w:pPr>
        <w:jc w:val="both"/>
        <w:rPr>
          <w:rFonts w:cs="Times New Roman"/>
          <w:color w:val="000000" w:themeColor="text1"/>
        </w:rPr>
      </w:pPr>
    </w:p>
    <w:p w14:paraId="0E0CC5A7" w14:textId="77777777" w:rsidR="00CE3300" w:rsidRPr="00F75052" w:rsidRDefault="00CE3300" w:rsidP="00CE3300">
      <w:pPr>
        <w:pStyle w:val="Prrafodelista"/>
        <w:numPr>
          <w:ilvl w:val="0"/>
          <w:numId w:val="13"/>
        </w:numPr>
        <w:jc w:val="both"/>
        <w:rPr>
          <w:rFonts w:cs="Times New Roman"/>
          <w:color w:val="000000" w:themeColor="text1"/>
          <w:sz w:val="24"/>
          <w:szCs w:val="24"/>
        </w:rPr>
      </w:pPr>
      <w:r w:rsidRPr="00F75052">
        <w:rPr>
          <w:rFonts w:cs="Times New Roman"/>
          <w:color w:val="000000" w:themeColor="text1"/>
          <w:sz w:val="24"/>
          <w:szCs w:val="24"/>
        </w:rPr>
        <w:t xml:space="preserve">Decreto 1818 de 2015, mediante el cual se decretó la exención transitoria del IVA en la venta de alimentos, calzado, prendas de vestir, materiales de construcción y electrodomésticos y gasodomésticos en la jurisdicción de varios municipios fronterizos con Venezuela.  </w:t>
      </w:r>
    </w:p>
    <w:p w14:paraId="1B0761ED" w14:textId="77777777" w:rsidR="00CE3300" w:rsidRPr="00F75052" w:rsidRDefault="00CE3300" w:rsidP="00CE3300">
      <w:pPr>
        <w:pStyle w:val="Prrafodelista"/>
        <w:numPr>
          <w:ilvl w:val="0"/>
          <w:numId w:val="13"/>
        </w:numPr>
        <w:jc w:val="both"/>
        <w:rPr>
          <w:rFonts w:cs="Times New Roman"/>
          <w:color w:val="000000" w:themeColor="text1"/>
          <w:sz w:val="24"/>
          <w:szCs w:val="24"/>
        </w:rPr>
      </w:pPr>
      <w:r w:rsidRPr="00F75052">
        <w:rPr>
          <w:rFonts w:cs="Times New Roman"/>
          <w:color w:val="000000" w:themeColor="text1"/>
          <w:sz w:val="24"/>
          <w:szCs w:val="24"/>
        </w:rPr>
        <w:t>Decreto 1771 del 7 de septiembre de 2015 Por medio del cual se levantaron algunas restricciones legales existentes para incluir a las personas afectadas por la situación en la frontera Colombo-Venezolana en los registros de datos de programas sociales y se establecen criterios que permitan focalizar y priorizar el gasto público social en esa población</w:t>
      </w:r>
    </w:p>
    <w:p w14:paraId="054474CD" w14:textId="77777777" w:rsidR="00CE3300" w:rsidRPr="00F75052" w:rsidRDefault="00CE3300" w:rsidP="00CE3300">
      <w:pPr>
        <w:pStyle w:val="Prrafodelista"/>
        <w:numPr>
          <w:ilvl w:val="0"/>
          <w:numId w:val="13"/>
        </w:numPr>
        <w:jc w:val="both"/>
        <w:rPr>
          <w:rFonts w:cs="Times New Roman"/>
          <w:color w:val="000000" w:themeColor="text1"/>
          <w:sz w:val="24"/>
          <w:szCs w:val="24"/>
        </w:rPr>
      </w:pPr>
      <w:r w:rsidRPr="00F75052">
        <w:rPr>
          <w:rFonts w:cs="Times New Roman"/>
          <w:color w:val="000000" w:themeColor="text1"/>
          <w:sz w:val="24"/>
          <w:szCs w:val="24"/>
        </w:rPr>
        <w:t>Decreto 1772 del 7 de septiembre de 2015 cuya finalidad fue establecer disposiciones excepcionales para garantizar la reunificación familiar de los nacionales colombianos deportados, expulsados o retornados como consecuencia de la declaratoria del Estado de Excepción efectuada en la República Bolivariana de Venezuela.</w:t>
      </w:r>
    </w:p>
    <w:p w14:paraId="2E419CB0" w14:textId="77777777" w:rsidR="00CE3300" w:rsidRDefault="00CE3300" w:rsidP="00CE3300">
      <w:pPr>
        <w:pStyle w:val="Prrafodelista"/>
        <w:numPr>
          <w:ilvl w:val="0"/>
          <w:numId w:val="13"/>
        </w:numPr>
        <w:jc w:val="both"/>
        <w:rPr>
          <w:rFonts w:cs="Times New Roman"/>
          <w:color w:val="000000" w:themeColor="text1"/>
          <w:sz w:val="24"/>
          <w:szCs w:val="24"/>
        </w:rPr>
      </w:pPr>
      <w:r w:rsidRPr="00F75052">
        <w:rPr>
          <w:rFonts w:cs="Times New Roman"/>
          <w:color w:val="000000" w:themeColor="text1"/>
          <w:sz w:val="24"/>
          <w:szCs w:val="24"/>
        </w:rPr>
        <w:t xml:space="preserve">Decreto 1820 de 2015, mediante </w:t>
      </w:r>
      <w:r w:rsidR="004F5385" w:rsidRPr="00F75052">
        <w:rPr>
          <w:rFonts w:cs="Times New Roman"/>
          <w:color w:val="000000" w:themeColor="text1"/>
          <w:sz w:val="24"/>
          <w:szCs w:val="24"/>
        </w:rPr>
        <w:t>él</w:t>
      </w:r>
      <w:r w:rsidRPr="00F75052">
        <w:rPr>
          <w:rFonts w:cs="Times New Roman"/>
          <w:color w:val="000000" w:themeColor="text1"/>
          <w:sz w:val="24"/>
          <w:szCs w:val="24"/>
        </w:rPr>
        <w:t xml:space="preserve"> se adoptaron entre otras las siguientes medidas: La tarifa del cero por ciento para la obtención de la matrícula mercantil de los comerciantes, establecimientos de comercio, sucursales y agencias que inicien su actividad económica principal a partir de la fecha y hasta el 31 de diciembre de 2016 y la Refinanciación de deudas de usuarios de la Zona Franca Permanente de Cúcuta. </w:t>
      </w:r>
    </w:p>
    <w:p w14:paraId="2624D8F7" w14:textId="77777777" w:rsidR="007E3747" w:rsidRPr="00F75052" w:rsidRDefault="007E3747" w:rsidP="007E3747">
      <w:pPr>
        <w:pStyle w:val="Prrafodelista"/>
        <w:jc w:val="both"/>
        <w:rPr>
          <w:rFonts w:cs="Times New Roman"/>
          <w:color w:val="000000" w:themeColor="text1"/>
          <w:sz w:val="24"/>
          <w:szCs w:val="24"/>
        </w:rPr>
      </w:pPr>
    </w:p>
    <w:p w14:paraId="6EA44B14" w14:textId="77777777" w:rsidR="00CE3300" w:rsidRPr="00F75052" w:rsidRDefault="00CE3300" w:rsidP="00CE3300">
      <w:pPr>
        <w:pStyle w:val="Prrafodelista"/>
        <w:numPr>
          <w:ilvl w:val="0"/>
          <w:numId w:val="13"/>
        </w:numPr>
        <w:jc w:val="both"/>
        <w:rPr>
          <w:rFonts w:cs="Times New Roman"/>
          <w:color w:val="000000" w:themeColor="text1"/>
          <w:sz w:val="24"/>
          <w:szCs w:val="24"/>
        </w:rPr>
      </w:pPr>
      <w:r w:rsidRPr="00F75052">
        <w:rPr>
          <w:rFonts w:cs="Times New Roman"/>
          <w:color w:val="000000" w:themeColor="text1"/>
          <w:sz w:val="24"/>
          <w:szCs w:val="24"/>
        </w:rPr>
        <w:t>Decreto 1819 del 15 de septiembre de 2015 por medio del cual  se estableció la posibilidad legal de asignar subsidios familiares de vivienda con los recursos de los fondos para el subsidio familiar de vivienda -FOVIS- de las Cajas de Compensación Familiar a los hogares afectados por la emergencia, aun cuando se trate de hogares no afiliados a las mismas.</w:t>
      </w:r>
    </w:p>
    <w:p w14:paraId="2FE125D1" w14:textId="77777777" w:rsidR="00CE3300" w:rsidRPr="00F75052" w:rsidRDefault="00CE3300" w:rsidP="00CE3300">
      <w:pPr>
        <w:pStyle w:val="Prrafodelista"/>
        <w:numPr>
          <w:ilvl w:val="0"/>
          <w:numId w:val="13"/>
        </w:numPr>
        <w:jc w:val="both"/>
        <w:rPr>
          <w:rFonts w:cs="Times New Roman"/>
          <w:color w:val="000000" w:themeColor="text1"/>
          <w:sz w:val="24"/>
          <w:szCs w:val="24"/>
        </w:rPr>
      </w:pPr>
      <w:r w:rsidRPr="00F75052">
        <w:rPr>
          <w:rFonts w:cs="Times New Roman"/>
          <w:color w:val="000000" w:themeColor="text1"/>
          <w:sz w:val="24"/>
          <w:szCs w:val="24"/>
        </w:rPr>
        <w:lastRenderedPageBreak/>
        <w:t>Decreto 1821 del 15 de septiembre de 2015, el cual amplió la destinación de unos recursos para promover la empleabilidad y para mejorar las condiciones de vida de la población afectada por la declaratoria de emergencia económica, social y ecológica.</w:t>
      </w:r>
    </w:p>
    <w:p w14:paraId="6B749DF6" w14:textId="77777777" w:rsidR="00CE3300" w:rsidRPr="00F75052" w:rsidRDefault="00CE3300" w:rsidP="00CE3300">
      <w:pPr>
        <w:jc w:val="both"/>
        <w:rPr>
          <w:rFonts w:cs="Times New Roman"/>
          <w:color w:val="000000" w:themeColor="text1"/>
        </w:rPr>
      </w:pPr>
      <w:r w:rsidRPr="00F75052">
        <w:rPr>
          <w:rFonts w:cs="Times New Roman"/>
          <w:color w:val="000000" w:themeColor="text1"/>
        </w:rPr>
        <w:t xml:space="preserve">Más recientemente, mediante el Decreto 1650 del 2017 se reglamentó la creación de las Zonas más Afectadas por el Conflicto Armado (ZOMAC), normativa introducida por la Ley 1819 de 2016, el cual estableció que las nuevas empresas pueden beneficiarse de una tarifa reducida del impuesto de renta, que varía de acuerdo con el tamaño de la empresa, mediante el cumplimiento de unos requisitos mínimos de inversión y de generación de empleo, y de otros requisitos como la constitución de nuevas empresas en los municipios declarados y el desarrollo de la totalidad de su proceso productivo en dichos municipios. Desde su entrada en vigencia en octubre de 2017, se han localizado 407 empresas en las ZOMAC del país (con corte de información reportada por el Ministerio de Hacienda a mayo de 2018). </w:t>
      </w:r>
    </w:p>
    <w:p w14:paraId="73DCDACE" w14:textId="77777777" w:rsidR="00CE3300" w:rsidRPr="00F75052" w:rsidRDefault="00CE3300" w:rsidP="00CE3300">
      <w:pPr>
        <w:jc w:val="both"/>
        <w:rPr>
          <w:rFonts w:cs="Times New Roman"/>
          <w:color w:val="000000" w:themeColor="text1"/>
        </w:rPr>
      </w:pPr>
    </w:p>
    <w:p w14:paraId="7AC2F529" w14:textId="77777777" w:rsidR="00CE3300" w:rsidRPr="00F75052" w:rsidRDefault="00CE3300" w:rsidP="00CE3300">
      <w:pPr>
        <w:jc w:val="both"/>
        <w:rPr>
          <w:rFonts w:cs="Times New Roman"/>
          <w:color w:val="000000" w:themeColor="text1"/>
        </w:rPr>
      </w:pPr>
      <w:r w:rsidRPr="00F75052">
        <w:rPr>
          <w:rFonts w:cs="Times New Roman"/>
          <w:color w:val="000000" w:themeColor="text1"/>
        </w:rPr>
        <w:t>En síntesis, los mecanismos de apoyo expuestos anteriormente evidencian que estos han funcionado cuando se trata de atender situaciones apremiantes para dinamizar la actividad productiva, especialmente en el mercado interno. En consecuencia, se considera viable avanzar en la adopción de un esquema similar que permita atender la difícil situación que se ha expuesto para la ciudad de Cúcuta y su área metropolitana.</w:t>
      </w:r>
    </w:p>
    <w:p w14:paraId="24442E7E" w14:textId="77777777" w:rsidR="00CE3300" w:rsidRPr="00F75052" w:rsidRDefault="00CE3300" w:rsidP="00CE3300">
      <w:pPr>
        <w:rPr>
          <w:rFonts w:cs="Times New Roman"/>
          <w:color w:val="000000" w:themeColor="text1"/>
        </w:rPr>
      </w:pPr>
    </w:p>
    <w:p w14:paraId="66B85058" w14:textId="77777777" w:rsidR="00CE3300" w:rsidRPr="00F75052" w:rsidRDefault="00CE3300" w:rsidP="00CE3300">
      <w:pPr>
        <w:pStyle w:val="Prrafodelista"/>
        <w:numPr>
          <w:ilvl w:val="0"/>
          <w:numId w:val="10"/>
        </w:numPr>
        <w:jc w:val="both"/>
        <w:rPr>
          <w:rFonts w:cs="Times New Roman"/>
          <w:color w:val="000000" w:themeColor="text1"/>
          <w:sz w:val="24"/>
          <w:szCs w:val="24"/>
          <w:lang w:val="es-ES_tradnl"/>
        </w:rPr>
      </w:pPr>
      <w:r w:rsidRPr="00F75052">
        <w:rPr>
          <w:rFonts w:cs="Times New Roman"/>
          <w:b/>
          <w:color w:val="000000" w:themeColor="text1"/>
          <w:sz w:val="24"/>
          <w:szCs w:val="24"/>
          <w:lang w:val="es-ES_tradnl"/>
        </w:rPr>
        <w:t>Competencia del Congreso de la República para decretar exenciones y beneficios tributarios</w:t>
      </w:r>
    </w:p>
    <w:p w14:paraId="47EF1F21" w14:textId="77777777" w:rsidR="00CE3300" w:rsidRPr="00F75052" w:rsidRDefault="00CE3300" w:rsidP="00CE3300">
      <w:pPr>
        <w:jc w:val="both"/>
        <w:rPr>
          <w:rFonts w:cs="Times New Roman"/>
          <w:color w:val="000000" w:themeColor="text1"/>
        </w:rPr>
      </w:pPr>
      <w:r w:rsidRPr="00F75052">
        <w:rPr>
          <w:rFonts w:cs="Times New Roman"/>
          <w:color w:val="000000" w:themeColor="text1"/>
        </w:rPr>
        <w:t>La potestad tributaria del Congreso de la República se encuentra consagrada en el artículo 338 de la Constitución Política, el cual establece que “</w:t>
      </w:r>
      <w:r w:rsidRPr="00F75052">
        <w:rPr>
          <w:rFonts w:cs="Times New Roman"/>
          <w:i/>
          <w:color w:val="000000" w:themeColor="text1"/>
        </w:rPr>
        <w:t>En tiempo de paz, solamente el Congreso, las asambleas departamentales y los concejos distritales y municipales podrán imponer contribuciones fiscales o parafiscales</w:t>
      </w:r>
      <w:r w:rsidRPr="00F75052">
        <w:rPr>
          <w:rFonts w:cs="Times New Roman"/>
          <w:color w:val="000000" w:themeColor="text1"/>
        </w:rPr>
        <w:t xml:space="preserve">.” Tratándose de exenciones tributarias, el inciso segundo del artículo 154 de la Constitución establece la competencia exclusiva del Gobierno Nacional para la formulación e iniciativa de proyectos de ley que contemplen la creación de exenciones tributarias.  </w:t>
      </w:r>
    </w:p>
    <w:p w14:paraId="3B8A02B1" w14:textId="77777777" w:rsidR="00CE3300" w:rsidRPr="00F75052" w:rsidRDefault="00CE3300" w:rsidP="00CE3300">
      <w:pPr>
        <w:jc w:val="both"/>
        <w:rPr>
          <w:rFonts w:cs="Times New Roman"/>
          <w:color w:val="000000" w:themeColor="text1"/>
        </w:rPr>
      </w:pPr>
    </w:p>
    <w:p w14:paraId="389601A4" w14:textId="77777777" w:rsidR="00CE3300" w:rsidRPr="00F75052" w:rsidRDefault="00CE3300" w:rsidP="00CE3300">
      <w:pPr>
        <w:jc w:val="both"/>
        <w:rPr>
          <w:rFonts w:eastAsia="Times New Roman" w:cs="Times New Roman"/>
          <w:color w:val="000000" w:themeColor="text1"/>
        </w:rPr>
      </w:pPr>
      <w:r w:rsidRPr="00F75052">
        <w:rPr>
          <w:rFonts w:cs="Times New Roman"/>
          <w:color w:val="000000" w:themeColor="text1"/>
        </w:rPr>
        <w:t xml:space="preserve">La jurisprudencia de la Corte Constitucional ha reconocido que ésta facultad del Congreso es lo suficientemente amplia como para establecer la política tributaria que la economía del país y las necesidades del Estado demanden: </w:t>
      </w:r>
      <w:r w:rsidRPr="00F75052">
        <w:rPr>
          <w:rFonts w:eastAsia="Times New Roman" w:cs="Times New Roman"/>
          <w:i/>
          <w:iCs/>
          <w:color w:val="000000" w:themeColor="text1"/>
          <w:bdr w:val="none" w:sz="0" w:space="0" w:color="auto" w:frame="1"/>
        </w:rPr>
        <w:t>“es lo bastante amplia y discrecional como para permitirle fijar los elementos básicos de cada gravamen atendiendo a una política tributaria que el mismo legislador señala, siguiendo su propia evaluación, sus criterios y sus orientaciones en torno a las mejores conveniencias de la economía y de la actividad estatal”</w:t>
      </w:r>
      <w:r w:rsidRPr="00F75052">
        <w:rPr>
          <w:rStyle w:val="Refdenotaalpie"/>
          <w:rFonts w:eastAsia="Times New Roman" w:cs="Times New Roman"/>
          <w:i/>
          <w:iCs/>
          <w:color w:val="000000" w:themeColor="text1"/>
          <w:bdr w:val="none" w:sz="0" w:space="0" w:color="auto" w:frame="1"/>
        </w:rPr>
        <w:footnoteReference w:id="2"/>
      </w:r>
      <w:r w:rsidRPr="00F75052">
        <w:rPr>
          <w:rFonts w:eastAsia="Times New Roman" w:cs="Times New Roman"/>
          <w:i/>
          <w:iCs/>
          <w:color w:val="000000" w:themeColor="text1"/>
          <w:bdr w:val="none" w:sz="0" w:space="0" w:color="auto" w:frame="1"/>
        </w:rPr>
        <w:t>.</w:t>
      </w:r>
    </w:p>
    <w:p w14:paraId="6DC9B309" w14:textId="77777777" w:rsidR="00CE3300" w:rsidRPr="00F75052" w:rsidRDefault="00CE3300" w:rsidP="00CE3300">
      <w:pPr>
        <w:jc w:val="both"/>
        <w:rPr>
          <w:rFonts w:cs="Times New Roman"/>
          <w:color w:val="000000" w:themeColor="text1"/>
        </w:rPr>
      </w:pPr>
    </w:p>
    <w:p w14:paraId="6DE664E4" w14:textId="77777777" w:rsidR="00CE3300" w:rsidRPr="00F75052" w:rsidRDefault="00CE3300" w:rsidP="00CE3300">
      <w:pPr>
        <w:jc w:val="both"/>
        <w:rPr>
          <w:rFonts w:eastAsia="Times New Roman" w:cs="Times New Roman"/>
          <w:color w:val="000000" w:themeColor="text1"/>
        </w:rPr>
      </w:pPr>
      <w:r w:rsidRPr="00F75052">
        <w:rPr>
          <w:rFonts w:cs="Times New Roman"/>
          <w:color w:val="000000" w:themeColor="text1"/>
        </w:rPr>
        <w:lastRenderedPageBreak/>
        <w:t xml:space="preserve">El ejercicio de esta potestad tributaria se encuentra sometido a los límites de la Constitución, tanto en la configuración de cada tributo en particular, como en el diseño de un sistema tributario de manera general: </w:t>
      </w:r>
      <w:r w:rsidRPr="00F75052">
        <w:rPr>
          <w:rFonts w:eastAsia="Times New Roman" w:cs="Times New Roman"/>
          <w:i/>
          <w:color w:val="000000" w:themeColor="text1"/>
          <w:shd w:val="clear" w:color="auto" w:fill="FFFFFF"/>
        </w:rPr>
        <w:t>“</w:t>
      </w:r>
      <w:r w:rsidRPr="00F75052">
        <w:rPr>
          <w:rFonts w:eastAsia="Times New Roman" w:cs="Times New Roman"/>
          <w:i/>
          <w:color w:val="000000" w:themeColor="text1"/>
          <w:bdr w:val="none" w:sz="0" w:space="0" w:color="auto" w:frame="1"/>
          <w:shd w:val="clear" w:color="auto" w:fill="FFFFFF"/>
        </w:rPr>
        <w:t>5.7. No obstante, la misma jurisprudencia ha aclarado que, en todo caso, la atribución para fijar el régimen legal del tributo, si bien es amplia y discrecional, no es absoluta, pues la misma encuentra límites precisos en la propia Constitución Política. Ha precisado la Corte</w:t>
      </w:r>
      <w:bookmarkStart w:id="0" w:name="_ftnref15"/>
      <w:r w:rsidRPr="00F75052">
        <w:rPr>
          <w:rFonts w:eastAsia="Times New Roman" w:cs="Times New Roman"/>
          <w:i/>
          <w:color w:val="000000" w:themeColor="text1"/>
          <w:bdr w:val="none" w:sz="0" w:space="0" w:color="auto" w:frame="1"/>
          <w:shd w:val="clear" w:color="auto" w:fill="FFFFFF"/>
        </w:rPr>
        <w:fldChar w:fldCharType="begin"/>
      </w:r>
      <w:r w:rsidRPr="00F75052">
        <w:rPr>
          <w:rFonts w:eastAsia="Times New Roman" w:cs="Times New Roman"/>
          <w:i/>
          <w:color w:val="000000" w:themeColor="text1"/>
          <w:bdr w:val="none" w:sz="0" w:space="0" w:color="auto" w:frame="1"/>
          <w:shd w:val="clear" w:color="auto" w:fill="FFFFFF"/>
        </w:rPr>
        <w:instrText xml:space="preserve"> HYPERLINK "http://www.corteconstitucional.gov.co/relatoria/2015/C-657-15.htm" \l "_ftn15" \o "" </w:instrText>
      </w:r>
      <w:r w:rsidRPr="00F75052">
        <w:rPr>
          <w:rFonts w:eastAsia="Times New Roman" w:cs="Times New Roman"/>
          <w:i/>
          <w:color w:val="000000" w:themeColor="text1"/>
          <w:bdr w:val="none" w:sz="0" w:space="0" w:color="auto" w:frame="1"/>
          <w:shd w:val="clear" w:color="auto" w:fill="FFFFFF"/>
        </w:rPr>
        <w:fldChar w:fldCharType="separate"/>
      </w:r>
      <w:r w:rsidRPr="00F75052">
        <w:rPr>
          <w:rStyle w:val="Hipervnculo"/>
          <w:rFonts w:eastAsia="Times New Roman" w:cs="Times New Roman"/>
          <w:i/>
          <w:color w:val="000000" w:themeColor="text1"/>
          <w:bdr w:val="none" w:sz="0" w:space="0" w:color="auto" w:frame="1"/>
        </w:rPr>
        <w:t>[15]</w:t>
      </w:r>
      <w:r w:rsidRPr="00F75052">
        <w:rPr>
          <w:rFonts w:eastAsia="Times New Roman" w:cs="Times New Roman"/>
          <w:i/>
          <w:color w:val="000000" w:themeColor="text1"/>
          <w:bdr w:val="none" w:sz="0" w:space="0" w:color="auto" w:frame="1"/>
          <w:shd w:val="clear" w:color="auto" w:fill="FFFFFF"/>
        </w:rPr>
        <w:fldChar w:fldCharType="end"/>
      </w:r>
      <w:bookmarkEnd w:id="0"/>
      <w:r w:rsidRPr="00F75052">
        <w:rPr>
          <w:rFonts w:eastAsia="Times New Roman" w:cs="Times New Roman"/>
          <w:i/>
          <w:color w:val="000000" w:themeColor="text1"/>
          <w:bdr w:val="none" w:sz="0" w:space="0" w:color="auto" w:frame="1"/>
          <w:shd w:val="clear" w:color="auto" w:fill="FFFFFF"/>
        </w:rPr>
        <w:t> que los límites impuestos al poder decisorio del Congreso en materia impositiva, se concretan en los siguientes aspectos: </w:t>
      </w:r>
      <w:r w:rsidRPr="00F75052">
        <w:rPr>
          <w:rFonts w:eastAsia="Times New Roman" w:cs="Times New Roman"/>
          <w:i/>
          <w:iCs/>
          <w:color w:val="000000" w:themeColor="text1"/>
          <w:bdr w:val="none" w:sz="0" w:space="0" w:color="auto" w:frame="1"/>
        </w:rPr>
        <w:t>(i) </w:t>
      </w:r>
      <w:r w:rsidRPr="00F75052">
        <w:rPr>
          <w:rFonts w:eastAsia="Times New Roman" w:cs="Times New Roman"/>
          <w:i/>
          <w:color w:val="000000" w:themeColor="text1"/>
          <w:bdr w:val="none" w:sz="0" w:space="0" w:color="auto" w:frame="1"/>
          <w:shd w:val="clear" w:color="auto" w:fill="FFFFFF"/>
        </w:rPr>
        <w:t>inicialmente, frente al deber individual de contribuir a la financiación de los gastos públicos, pues el mismo tiene que ser desarrollado conforme a los criterios de justicia y equidad (C.P. art. 95-9); </w:t>
      </w:r>
      <w:r w:rsidRPr="00F75052">
        <w:rPr>
          <w:rFonts w:eastAsia="Times New Roman" w:cs="Times New Roman"/>
          <w:i/>
          <w:iCs/>
          <w:color w:val="000000" w:themeColor="text1"/>
          <w:bdr w:val="none" w:sz="0" w:space="0" w:color="auto" w:frame="1"/>
        </w:rPr>
        <w:t>(ii)</w:t>
      </w:r>
      <w:r w:rsidRPr="00F75052">
        <w:rPr>
          <w:rFonts w:eastAsia="Times New Roman" w:cs="Times New Roman"/>
          <w:i/>
          <w:color w:val="000000" w:themeColor="text1"/>
          <w:bdr w:val="none" w:sz="0" w:space="0" w:color="auto" w:frame="1"/>
          <w:shd w:val="clear" w:color="auto" w:fill="FFFFFF"/>
        </w:rPr>
        <w:t> también con respecto a la construcción del sistema tributario como tal, toda vez que éste debe estar fundado, por una parte, en los principios de legalidad, certeza e irretroactividad (C.P. art. 338), y por la otra, en los principios de equidad, eficiencia y progresividad (C.P. art. 363); finalmente, </w:t>
      </w:r>
      <w:r w:rsidRPr="00F75052">
        <w:rPr>
          <w:rFonts w:eastAsia="Times New Roman" w:cs="Times New Roman"/>
          <w:i/>
          <w:iCs/>
          <w:color w:val="000000" w:themeColor="text1"/>
          <w:bdr w:val="none" w:sz="0" w:space="0" w:color="auto" w:frame="1"/>
        </w:rPr>
        <w:t>(iii) </w:t>
      </w:r>
      <w:r w:rsidRPr="00F75052">
        <w:rPr>
          <w:rFonts w:eastAsia="Times New Roman" w:cs="Times New Roman"/>
          <w:i/>
          <w:color w:val="000000" w:themeColor="text1"/>
          <w:bdr w:val="none" w:sz="0" w:space="0" w:color="auto" w:frame="1"/>
          <w:shd w:val="clear" w:color="auto" w:fill="FFFFFF"/>
        </w:rPr>
        <w:t>las regulaciones tributarias deben respetar los derechos fundamentales, y, en ese contexto, adoptarse con un criterio de razonabilidad y proporcionalidad”</w:t>
      </w:r>
      <w:r w:rsidRPr="00F75052">
        <w:rPr>
          <w:rStyle w:val="Refdenotaalpie"/>
          <w:rFonts w:eastAsia="Times New Roman" w:cs="Times New Roman"/>
          <w:i/>
          <w:color w:val="000000" w:themeColor="text1"/>
          <w:bdr w:val="none" w:sz="0" w:space="0" w:color="auto" w:frame="1"/>
          <w:shd w:val="clear" w:color="auto" w:fill="FFFFFF"/>
        </w:rPr>
        <w:footnoteReference w:id="3"/>
      </w:r>
      <w:r w:rsidRPr="00F75052">
        <w:rPr>
          <w:rFonts w:eastAsia="Times New Roman" w:cs="Times New Roman"/>
          <w:i/>
          <w:color w:val="000000" w:themeColor="text1"/>
          <w:bdr w:val="none" w:sz="0" w:space="0" w:color="auto" w:frame="1"/>
          <w:shd w:val="clear" w:color="auto" w:fill="FFFFFF"/>
        </w:rPr>
        <w:t>.</w:t>
      </w:r>
    </w:p>
    <w:p w14:paraId="3AB96C26" w14:textId="77777777" w:rsidR="00CE3300" w:rsidRPr="00F75052" w:rsidRDefault="00CE3300" w:rsidP="00CE3300">
      <w:pPr>
        <w:jc w:val="both"/>
        <w:rPr>
          <w:rFonts w:cs="Times New Roman"/>
          <w:color w:val="000000" w:themeColor="text1"/>
        </w:rPr>
      </w:pPr>
    </w:p>
    <w:p w14:paraId="7676C83D" w14:textId="77777777" w:rsidR="00CE3300" w:rsidRPr="00F75052" w:rsidRDefault="00CE3300" w:rsidP="00CE3300">
      <w:pPr>
        <w:jc w:val="both"/>
        <w:rPr>
          <w:rFonts w:eastAsia="Times New Roman" w:cs="Times New Roman"/>
          <w:color w:val="000000" w:themeColor="text1"/>
        </w:rPr>
      </w:pPr>
      <w:r w:rsidRPr="00F75052">
        <w:rPr>
          <w:rFonts w:cs="Times New Roman"/>
          <w:color w:val="000000" w:themeColor="text1"/>
        </w:rPr>
        <w:t>En relación con la aprobación de beneficios tributarios, la jurisprudencia constitucional ha reconocido el importante papel que el Congreso desarrolla de la mano del Gobierno Nacional en la configuración de la política tributaria fiscal y económica del país: “</w:t>
      </w:r>
      <w:r w:rsidRPr="00F75052">
        <w:rPr>
          <w:rFonts w:eastAsia="Times New Roman" w:cs="Times New Roman"/>
          <w:i/>
          <w:iCs/>
          <w:color w:val="000000" w:themeColor="text1"/>
          <w:bdr w:val="none" w:sz="0" w:space="0" w:color="auto" w:frame="1"/>
        </w:rPr>
        <w:t>El Congreso puede decretar las exenciones que considere convenientes bajo la condición de que la iniciativa provenga del Gobierno y no podrá concederlas en relación con los tributos de propiedad de las entidades territoriales. Al tomar la decisión de excluir a un sector del pago de un determinado tributo debe consultar criterios de conveniencia dentro de una política fiscal definida sin que desconozca con ello derechos o garantías fundamentales. Puede excluir del pago de un impuesto a un determinado grupo de personas en aras de estimular o incentivar un cierto sector o actividad y con el propósito de reconocer situaciones económicas o sociales que ameritan adoptar la medida.”</w:t>
      </w:r>
      <w:r w:rsidRPr="00F75052">
        <w:rPr>
          <w:rStyle w:val="Refdenotaalpie"/>
          <w:rFonts w:eastAsia="Times New Roman" w:cs="Times New Roman"/>
          <w:i/>
          <w:iCs/>
          <w:color w:val="000000" w:themeColor="text1"/>
          <w:bdr w:val="none" w:sz="0" w:space="0" w:color="auto" w:frame="1"/>
        </w:rPr>
        <w:footnoteReference w:id="4"/>
      </w:r>
    </w:p>
    <w:p w14:paraId="45ECD594" w14:textId="77777777" w:rsidR="00CE3300" w:rsidRPr="00F75052" w:rsidRDefault="00CE3300" w:rsidP="00CE3300">
      <w:pPr>
        <w:jc w:val="both"/>
        <w:rPr>
          <w:rFonts w:cs="Times New Roman"/>
          <w:color w:val="000000" w:themeColor="text1"/>
        </w:rPr>
      </w:pPr>
    </w:p>
    <w:p w14:paraId="29CA6DB4" w14:textId="77777777" w:rsidR="00CE3300" w:rsidRPr="00F75052" w:rsidRDefault="00CE3300" w:rsidP="00CE3300">
      <w:pPr>
        <w:shd w:val="clear" w:color="auto" w:fill="FFFFFF"/>
        <w:jc w:val="both"/>
        <w:textAlignment w:val="baseline"/>
        <w:rPr>
          <w:rFonts w:cs="Times New Roman"/>
          <w:i/>
          <w:color w:val="000000" w:themeColor="text1"/>
        </w:rPr>
      </w:pPr>
      <w:r w:rsidRPr="00F75052">
        <w:rPr>
          <w:rFonts w:cs="Times New Roman"/>
          <w:color w:val="000000" w:themeColor="text1"/>
        </w:rPr>
        <w:t>De igual modo, la jurisprudencia constitucional ha desarrollado una amplia doctrina respecto al cumplimiento de los límites y principios constitucionales tributarios por parte de las normas que establecen exenciones, exclusiones y beneficios fiscales:</w:t>
      </w:r>
      <w:r w:rsidRPr="00F75052">
        <w:rPr>
          <w:rFonts w:cs="Times New Roman"/>
          <w:color w:val="000000" w:themeColor="text1"/>
          <w:bdr w:val="none" w:sz="0" w:space="0" w:color="auto" w:frame="1"/>
        </w:rPr>
        <w:t xml:space="preserve"> “</w:t>
      </w:r>
      <w:r w:rsidRPr="00F75052">
        <w:rPr>
          <w:rFonts w:cs="Times New Roman"/>
          <w:i/>
          <w:color w:val="000000" w:themeColor="text1"/>
          <w:bdr w:val="none" w:sz="0" w:space="0" w:color="auto" w:frame="1"/>
        </w:rPr>
        <w:t>5.3.- Con independencia de lo anterior, lo cierto es que la Corte Constitucional ha dejado claro que </w:t>
      </w:r>
      <w:r w:rsidRPr="00F75052">
        <w:rPr>
          <w:rFonts w:cs="Times New Roman"/>
          <w:i/>
          <w:iCs/>
          <w:color w:val="000000" w:themeColor="text1"/>
          <w:bdr w:val="none" w:sz="0" w:space="0" w:color="auto" w:frame="1"/>
        </w:rPr>
        <w:t>“todo beneficio fiscal que introduzca el legislador debe atender a los principios de generalidad y homogeneidad, puesto que solo así se garantiza la existencia de un sistema tributario justo, desprovisto de privilegios y fueros”</w:t>
      </w:r>
      <w:bookmarkStart w:id="1" w:name="_ftnref21"/>
      <w:r w:rsidRPr="00F75052">
        <w:rPr>
          <w:rFonts w:cs="Times New Roman"/>
          <w:i/>
          <w:color w:val="000000" w:themeColor="text1"/>
          <w:bdr w:val="none" w:sz="0" w:space="0" w:color="auto" w:frame="1"/>
        </w:rPr>
        <w:fldChar w:fldCharType="begin"/>
      </w:r>
      <w:r w:rsidRPr="00F75052">
        <w:rPr>
          <w:rFonts w:cs="Times New Roman"/>
          <w:i/>
          <w:color w:val="000000" w:themeColor="text1"/>
          <w:bdr w:val="none" w:sz="0" w:space="0" w:color="auto" w:frame="1"/>
        </w:rPr>
        <w:instrText xml:space="preserve"> HYPERLINK "http://www.corteconstitucional.gov.co/relatoria/2015/C-657-15.htm" \l "_ftn21" \o "" </w:instrText>
      </w:r>
      <w:r w:rsidRPr="00F75052">
        <w:rPr>
          <w:rFonts w:cs="Times New Roman"/>
          <w:i/>
          <w:color w:val="000000" w:themeColor="text1"/>
          <w:bdr w:val="none" w:sz="0" w:space="0" w:color="auto" w:frame="1"/>
        </w:rPr>
        <w:fldChar w:fldCharType="separate"/>
      </w:r>
      <w:r w:rsidRPr="00F75052">
        <w:rPr>
          <w:rStyle w:val="Hipervnculo"/>
          <w:rFonts w:cs="Times New Roman"/>
          <w:i/>
          <w:color w:val="000000" w:themeColor="text1"/>
          <w:bdr w:val="none" w:sz="0" w:space="0" w:color="auto" w:frame="1"/>
        </w:rPr>
        <w:t>[21]</w:t>
      </w:r>
      <w:r w:rsidRPr="00F75052">
        <w:rPr>
          <w:rFonts w:cs="Times New Roman"/>
          <w:i/>
          <w:color w:val="000000" w:themeColor="text1"/>
          <w:bdr w:val="none" w:sz="0" w:space="0" w:color="auto" w:frame="1"/>
        </w:rPr>
        <w:fldChar w:fldCharType="end"/>
      </w:r>
      <w:bookmarkEnd w:id="1"/>
      <w:r w:rsidRPr="00F75052">
        <w:rPr>
          <w:rFonts w:cs="Times New Roman"/>
          <w:i/>
          <w:color w:val="000000" w:themeColor="text1"/>
          <w:bdr w:val="none" w:sz="0" w:space="0" w:color="auto" w:frame="1"/>
        </w:rPr>
        <w:t>. En la misma dirección, ha sentado la premisa según la cual el principio de generalidad de los beneficios tributarios </w:t>
      </w:r>
      <w:r w:rsidRPr="00F75052">
        <w:rPr>
          <w:rFonts w:cs="Times New Roman"/>
          <w:i/>
          <w:iCs/>
          <w:color w:val="000000" w:themeColor="text1"/>
          <w:bdr w:val="none" w:sz="0" w:space="0" w:color="auto" w:frame="1"/>
        </w:rPr>
        <w:t>“cobija a todos los contribuyentes que se encuentren en el mismo supuesto de hecho, sin distinciones injustificadas”</w:t>
      </w:r>
      <w:bookmarkStart w:id="2" w:name="_ftnref22"/>
      <w:r w:rsidRPr="00F75052">
        <w:rPr>
          <w:rFonts w:cs="Times New Roman"/>
          <w:i/>
          <w:iCs/>
          <w:color w:val="000000" w:themeColor="text1"/>
          <w:bdr w:val="none" w:sz="0" w:space="0" w:color="auto" w:frame="1"/>
        </w:rPr>
        <w:fldChar w:fldCharType="begin"/>
      </w:r>
      <w:r w:rsidRPr="00F75052">
        <w:rPr>
          <w:rFonts w:cs="Times New Roman"/>
          <w:i/>
          <w:iCs/>
          <w:color w:val="000000" w:themeColor="text1"/>
          <w:bdr w:val="none" w:sz="0" w:space="0" w:color="auto" w:frame="1"/>
        </w:rPr>
        <w:instrText xml:space="preserve"> HYPERLINK "http://www.corteconstitucional.gov.co/relatoria/2015/C-657-15.htm" \l "_ftn22" \o "" </w:instrText>
      </w:r>
      <w:r w:rsidRPr="00F75052">
        <w:rPr>
          <w:rFonts w:cs="Times New Roman"/>
          <w:i/>
          <w:iCs/>
          <w:color w:val="000000" w:themeColor="text1"/>
          <w:bdr w:val="none" w:sz="0" w:space="0" w:color="auto" w:frame="1"/>
        </w:rPr>
        <w:fldChar w:fldCharType="separate"/>
      </w:r>
      <w:r w:rsidRPr="00F75052">
        <w:rPr>
          <w:rStyle w:val="Hipervnculo"/>
          <w:rFonts w:cs="Times New Roman"/>
          <w:b/>
          <w:bCs/>
          <w:i/>
          <w:iCs/>
          <w:color w:val="000000" w:themeColor="text1"/>
          <w:bdr w:val="none" w:sz="0" w:space="0" w:color="auto" w:frame="1"/>
        </w:rPr>
        <w:t>[22]</w:t>
      </w:r>
      <w:r w:rsidRPr="00F75052">
        <w:rPr>
          <w:rFonts w:cs="Times New Roman"/>
          <w:i/>
          <w:iCs/>
          <w:color w:val="000000" w:themeColor="text1"/>
          <w:bdr w:val="none" w:sz="0" w:space="0" w:color="auto" w:frame="1"/>
        </w:rPr>
        <w:fldChar w:fldCharType="end"/>
      </w:r>
      <w:bookmarkEnd w:id="2"/>
      <w:r w:rsidRPr="00F75052">
        <w:rPr>
          <w:rFonts w:cs="Times New Roman"/>
          <w:i/>
          <w:color w:val="000000" w:themeColor="text1"/>
          <w:bdr w:val="none" w:sz="0" w:space="0" w:color="auto" w:frame="1"/>
        </w:rPr>
        <w:t>. De esta manera, la amplia facultad de regulación del Congreso en materia de beneficios fiscales exige atender los parámetros constitucionales antes referidos:</w:t>
      </w:r>
    </w:p>
    <w:p w14:paraId="55DF4B2F" w14:textId="77777777" w:rsidR="00CE3300" w:rsidRPr="00F75052" w:rsidRDefault="00CE3300" w:rsidP="00CE3300">
      <w:pPr>
        <w:shd w:val="clear" w:color="auto" w:fill="FFFFFF"/>
        <w:jc w:val="both"/>
        <w:textAlignment w:val="baseline"/>
        <w:rPr>
          <w:rFonts w:cs="Times New Roman"/>
          <w:i/>
          <w:color w:val="000000" w:themeColor="text1"/>
        </w:rPr>
      </w:pPr>
      <w:r w:rsidRPr="00F75052">
        <w:rPr>
          <w:rFonts w:cs="Times New Roman"/>
          <w:i/>
          <w:color w:val="000000" w:themeColor="text1"/>
          <w:bdr w:val="none" w:sz="0" w:space="0" w:color="auto" w:frame="1"/>
        </w:rPr>
        <w:t> </w:t>
      </w:r>
    </w:p>
    <w:p w14:paraId="72543E23" w14:textId="77777777" w:rsidR="00CE3300" w:rsidRPr="00F75052" w:rsidRDefault="00CE3300" w:rsidP="00CE3300">
      <w:pPr>
        <w:shd w:val="clear" w:color="auto" w:fill="FFFFFF"/>
        <w:ind w:left="709"/>
        <w:jc w:val="both"/>
        <w:textAlignment w:val="baseline"/>
        <w:rPr>
          <w:rFonts w:cs="Times New Roman"/>
          <w:i/>
          <w:color w:val="000000" w:themeColor="text1"/>
        </w:rPr>
      </w:pPr>
      <w:r w:rsidRPr="00F75052">
        <w:rPr>
          <w:rFonts w:cs="Times New Roman"/>
          <w:i/>
          <w:color w:val="000000" w:themeColor="text1"/>
          <w:bdr w:val="none" w:sz="0" w:space="0" w:color="auto" w:frame="1"/>
        </w:rPr>
        <w:lastRenderedPageBreak/>
        <w:t>“Conforme a lo anterior, esta Corporación ha señalado que el otorgamiento de beneficios tributarios, no obstante el amplio margen de configuración normativa de que goza el legislador sobre la materia, no queda librado simplemente a su opción política, sino que debe atender a una valoración específica de  la justicia tributaria y demás principios que sustentan la política fiscal</w:t>
      </w:r>
      <w:bookmarkStart w:id="3" w:name="_ftnref23"/>
      <w:r w:rsidRPr="00F75052">
        <w:rPr>
          <w:rFonts w:cs="Times New Roman"/>
          <w:i/>
          <w:color w:val="000000" w:themeColor="text1"/>
          <w:bdr w:val="none" w:sz="0" w:space="0" w:color="auto" w:frame="1"/>
        </w:rPr>
        <w:fldChar w:fldCharType="begin"/>
      </w:r>
      <w:r w:rsidRPr="00F75052">
        <w:rPr>
          <w:rFonts w:cs="Times New Roman"/>
          <w:i/>
          <w:color w:val="000000" w:themeColor="text1"/>
          <w:bdr w:val="none" w:sz="0" w:space="0" w:color="auto" w:frame="1"/>
        </w:rPr>
        <w:instrText xml:space="preserve"> HYPERLINK "http://www.corteconstitucional.gov.co/relatoria/2015/C-657-15.htm" \l "_ftn23" \o "" </w:instrText>
      </w:r>
      <w:r w:rsidRPr="00F75052">
        <w:rPr>
          <w:rFonts w:cs="Times New Roman"/>
          <w:i/>
          <w:color w:val="000000" w:themeColor="text1"/>
          <w:bdr w:val="none" w:sz="0" w:space="0" w:color="auto" w:frame="1"/>
        </w:rPr>
        <w:fldChar w:fldCharType="separate"/>
      </w:r>
      <w:r w:rsidRPr="00F75052">
        <w:rPr>
          <w:rStyle w:val="Hipervnculo"/>
          <w:rFonts w:cs="Times New Roman"/>
          <w:i/>
          <w:color w:val="000000" w:themeColor="text1"/>
          <w:bdr w:val="none" w:sz="0" w:space="0" w:color="auto" w:frame="1"/>
        </w:rPr>
        <w:t>[23]</w:t>
      </w:r>
      <w:r w:rsidRPr="00F75052">
        <w:rPr>
          <w:rFonts w:cs="Times New Roman"/>
          <w:i/>
          <w:color w:val="000000" w:themeColor="text1"/>
          <w:bdr w:val="none" w:sz="0" w:space="0" w:color="auto" w:frame="1"/>
        </w:rPr>
        <w:fldChar w:fldCharType="end"/>
      </w:r>
      <w:bookmarkEnd w:id="3"/>
      <w:r w:rsidRPr="00F75052">
        <w:rPr>
          <w:rFonts w:cs="Times New Roman"/>
          <w:i/>
          <w:color w:val="000000" w:themeColor="text1"/>
          <w:bdr w:val="none" w:sz="0" w:space="0" w:color="auto" w:frame="1"/>
        </w:rPr>
        <w:t>.</w:t>
      </w:r>
    </w:p>
    <w:p w14:paraId="24E0AC6B" w14:textId="77777777" w:rsidR="00CE3300" w:rsidRPr="00F75052" w:rsidRDefault="00CE3300" w:rsidP="00CE3300">
      <w:pPr>
        <w:shd w:val="clear" w:color="auto" w:fill="FFFFFF"/>
        <w:ind w:left="709"/>
        <w:jc w:val="both"/>
        <w:textAlignment w:val="baseline"/>
        <w:rPr>
          <w:rFonts w:cs="Times New Roman"/>
          <w:i/>
          <w:color w:val="000000" w:themeColor="text1"/>
        </w:rPr>
      </w:pPr>
      <w:r w:rsidRPr="00F75052">
        <w:rPr>
          <w:rFonts w:cs="Times New Roman"/>
          <w:i/>
          <w:color w:val="000000" w:themeColor="text1"/>
          <w:bdr w:val="none" w:sz="0" w:space="0" w:color="auto" w:frame="1"/>
        </w:rPr>
        <w:t> </w:t>
      </w:r>
    </w:p>
    <w:p w14:paraId="5A434755" w14:textId="77777777" w:rsidR="00CE3300" w:rsidRPr="00F75052" w:rsidRDefault="00CE3300" w:rsidP="00CE3300">
      <w:pPr>
        <w:shd w:val="clear" w:color="auto" w:fill="FFFFFF"/>
        <w:ind w:left="709"/>
        <w:jc w:val="both"/>
        <w:textAlignment w:val="baseline"/>
        <w:rPr>
          <w:rFonts w:cs="Times New Roman"/>
          <w:i/>
          <w:color w:val="000000" w:themeColor="text1"/>
        </w:rPr>
      </w:pPr>
      <w:r w:rsidRPr="00F75052">
        <w:rPr>
          <w:rFonts w:cs="Times New Roman"/>
          <w:i/>
          <w:color w:val="000000" w:themeColor="text1"/>
          <w:bdr w:val="none" w:sz="0" w:space="0" w:color="auto" w:frame="1"/>
        </w:rPr>
        <w:t>En este sentido, la jurisprudencia ha reconocido la amplia potestad que, de acuerdo con la Carta Política, ostenta el Congreso para fijar exenciones tributarias, la cual sólo encuentra límites en las disposiciones constitucionales, por lo que ha de ser ejercida al tenor de ellas, dentro de criterios de equidad, razonabilidad, proporcionalidad, igualdad y progresividad</w:t>
      </w:r>
      <w:bookmarkStart w:id="4" w:name="_ftnref24"/>
      <w:r w:rsidRPr="00F75052">
        <w:rPr>
          <w:rFonts w:cs="Times New Roman"/>
          <w:i/>
          <w:color w:val="000000" w:themeColor="text1"/>
          <w:bdr w:val="none" w:sz="0" w:space="0" w:color="auto" w:frame="1"/>
        </w:rPr>
        <w:fldChar w:fldCharType="begin"/>
      </w:r>
      <w:r w:rsidRPr="00F75052">
        <w:rPr>
          <w:rFonts w:cs="Times New Roman"/>
          <w:i/>
          <w:color w:val="000000" w:themeColor="text1"/>
          <w:bdr w:val="none" w:sz="0" w:space="0" w:color="auto" w:frame="1"/>
        </w:rPr>
        <w:instrText xml:space="preserve"> HYPERLINK "http://www.corteconstitucional.gov.co/relatoria/2015/C-657-15.htm" \l "_ftn24" \o "" </w:instrText>
      </w:r>
      <w:r w:rsidRPr="00F75052">
        <w:rPr>
          <w:rFonts w:cs="Times New Roman"/>
          <w:i/>
          <w:color w:val="000000" w:themeColor="text1"/>
          <w:bdr w:val="none" w:sz="0" w:space="0" w:color="auto" w:frame="1"/>
        </w:rPr>
        <w:fldChar w:fldCharType="separate"/>
      </w:r>
      <w:r w:rsidRPr="00F75052">
        <w:rPr>
          <w:rStyle w:val="Hipervnculo"/>
          <w:rFonts w:cs="Times New Roman"/>
          <w:i/>
          <w:color w:val="000000" w:themeColor="text1"/>
          <w:bdr w:val="none" w:sz="0" w:space="0" w:color="auto" w:frame="1"/>
        </w:rPr>
        <w:t>[24]</w:t>
      </w:r>
      <w:r w:rsidRPr="00F75052">
        <w:rPr>
          <w:rFonts w:cs="Times New Roman"/>
          <w:i/>
          <w:color w:val="000000" w:themeColor="text1"/>
          <w:bdr w:val="none" w:sz="0" w:space="0" w:color="auto" w:frame="1"/>
        </w:rPr>
        <w:fldChar w:fldCharType="end"/>
      </w:r>
      <w:bookmarkEnd w:id="4"/>
      <w:r w:rsidRPr="00F75052">
        <w:rPr>
          <w:rFonts w:cs="Times New Roman"/>
          <w:i/>
          <w:color w:val="000000" w:themeColor="text1"/>
          <w:bdr w:val="none" w:sz="0" w:space="0" w:color="auto" w:frame="1"/>
        </w:rPr>
        <w:t>. Así, la soberanía fiscal que ejerce el legislador, no por amplia puede reputarse absoluta, sino que por el contrario se encuentra sujeta a los límites y condicionamientos que emanan directamente de la Constitución Política”</w:t>
      </w:r>
      <w:r w:rsidRPr="00F75052">
        <w:rPr>
          <w:rStyle w:val="Refdenotaalpie"/>
          <w:rFonts w:cs="Times New Roman"/>
          <w:i/>
          <w:color w:val="000000" w:themeColor="text1"/>
          <w:bdr w:val="none" w:sz="0" w:space="0" w:color="auto" w:frame="1"/>
        </w:rPr>
        <w:footnoteReference w:id="5"/>
      </w:r>
    </w:p>
    <w:p w14:paraId="62146623" w14:textId="77777777" w:rsidR="00CE3300" w:rsidRPr="00F75052" w:rsidRDefault="00CE3300" w:rsidP="00CE3300">
      <w:pPr>
        <w:jc w:val="both"/>
        <w:rPr>
          <w:rFonts w:cs="Times New Roman"/>
          <w:color w:val="000000" w:themeColor="text1"/>
        </w:rPr>
      </w:pPr>
    </w:p>
    <w:p w14:paraId="439F39E3" w14:textId="77777777" w:rsidR="00CE3300" w:rsidRPr="00F75052" w:rsidRDefault="00CE3300" w:rsidP="00CE3300">
      <w:pPr>
        <w:jc w:val="both"/>
        <w:rPr>
          <w:rFonts w:eastAsia="Times New Roman" w:cs="Times New Roman"/>
          <w:color w:val="000000" w:themeColor="text1"/>
        </w:rPr>
      </w:pPr>
      <w:r w:rsidRPr="00F75052">
        <w:rPr>
          <w:rFonts w:cs="Times New Roman"/>
          <w:color w:val="000000" w:themeColor="text1"/>
        </w:rPr>
        <w:t xml:space="preserve">La constitucionalidad de este tipo de medidas debe estar fundamentada en la consecución de los fines del Estado, decidiéndose la exequibilidad de normas que establecen exenciones y beneficios tributarios para efectos de: </w:t>
      </w:r>
      <w:r w:rsidRPr="00F75052">
        <w:rPr>
          <w:rFonts w:eastAsia="Times New Roman" w:cs="Times New Roman"/>
          <w:i/>
          <w:iCs/>
          <w:color w:val="000000" w:themeColor="text1"/>
          <w:bdr w:val="none" w:sz="0" w:space="0" w:color="auto" w:frame="1"/>
        </w:rPr>
        <w:t>“1) recuperación y desarrollo de áreas geográficas gravemente deprimidas en razón de desastres naturales o provocados por el hombre;  2)  fortalecimiento patrimonial de empresas o entidades que ofrecen bienes o servicios de gran sensibilidad social;  3)  incremento de la inversión en sectores altamente vinculados a la generación de empleo masivo;  4)  protección de determinados ingresos laborales;  5)  protección a los cometidos de la seguridad social;  6)  en general, una mejor redistribución de la renta global que ofrece el balance económico del país”</w:t>
      </w:r>
      <w:r w:rsidRPr="00F75052">
        <w:rPr>
          <w:rStyle w:val="Refdenotaalpie"/>
          <w:rFonts w:eastAsia="Times New Roman" w:cs="Times New Roman"/>
          <w:i/>
          <w:iCs/>
          <w:color w:val="000000" w:themeColor="text1"/>
          <w:bdr w:val="none" w:sz="0" w:space="0" w:color="auto" w:frame="1"/>
        </w:rPr>
        <w:footnoteReference w:id="6"/>
      </w:r>
      <w:r w:rsidRPr="00F75052">
        <w:rPr>
          <w:rFonts w:eastAsia="Times New Roman" w:cs="Times New Roman"/>
          <w:i/>
          <w:iCs/>
          <w:color w:val="000000" w:themeColor="text1"/>
          <w:bdr w:val="none" w:sz="0" w:space="0" w:color="auto" w:frame="1"/>
        </w:rPr>
        <w:t>.</w:t>
      </w:r>
    </w:p>
    <w:p w14:paraId="4E7C85E4" w14:textId="77777777" w:rsidR="00CE3300" w:rsidRPr="00F75052" w:rsidRDefault="00CE3300" w:rsidP="00CE3300">
      <w:pPr>
        <w:jc w:val="both"/>
        <w:rPr>
          <w:rFonts w:cs="Times New Roman"/>
          <w:color w:val="000000" w:themeColor="text1"/>
        </w:rPr>
      </w:pPr>
    </w:p>
    <w:p w14:paraId="1A296029" w14:textId="77777777" w:rsidR="00CE3300" w:rsidRPr="00F75052" w:rsidRDefault="00CE3300" w:rsidP="00CE3300">
      <w:pPr>
        <w:jc w:val="both"/>
        <w:rPr>
          <w:rFonts w:cs="Times New Roman"/>
          <w:color w:val="000000" w:themeColor="text1"/>
        </w:rPr>
      </w:pPr>
      <w:r w:rsidRPr="00F75052">
        <w:rPr>
          <w:rFonts w:cs="Times New Roman"/>
          <w:color w:val="000000" w:themeColor="text1"/>
        </w:rPr>
        <w:t xml:space="preserve">Como se observa, la recuperación y desarrollo de áreas geográficas gravemente deprimidas son finalidades constitucionalmente válidas para la formulación de beneficios tributarios dirigidos exclusivamente al área metropolitana de Cúcuta. En ese sentido, los beneficios tributarios que se proponen en esta oportunidad al Honorable Congreso de la República respetan los límites y principios constitucionales tributarios, como lo son los principios de reserva de ley, certeza, equidad, progresividad y eficiencia, al permitir que por un periodo de tiempo limitado, gocen de una reducción en la tarifa del impuesto sobre la renta las empresas que efectúen inversiones  importantes y creen empleo en la jurisdicción del Municipio de Cúcuta y su área metropolitana. </w:t>
      </w:r>
    </w:p>
    <w:p w14:paraId="405AC0B0" w14:textId="77777777" w:rsidR="00CE3300" w:rsidRPr="00F75052" w:rsidRDefault="00CE3300" w:rsidP="00CE3300">
      <w:pPr>
        <w:jc w:val="both"/>
        <w:rPr>
          <w:rFonts w:cs="Times New Roman"/>
          <w:color w:val="000000" w:themeColor="text1"/>
        </w:rPr>
      </w:pPr>
    </w:p>
    <w:p w14:paraId="749EF7D3" w14:textId="77777777" w:rsidR="00CE3300" w:rsidRPr="00F75052" w:rsidRDefault="00CE3300" w:rsidP="00CE3300">
      <w:pPr>
        <w:pStyle w:val="Prrafodelista"/>
        <w:numPr>
          <w:ilvl w:val="0"/>
          <w:numId w:val="10"/>
        </w:numPr>
        <w:jc w:val="both"/>
        <w:rPr>
          <w:rFonts w:cs="Times New Roman"/>
          <w:color w:val="000000" w:themeColor="text1"/>
          <w:sz w:val="24"/>
          <w:szCs w:val="24"/>
          <w:lang w:val="es-ES_tradnl"/>
        </w:rPr>
      </w:pPr>
      <w:r w:rsidRPr="00F75052">
        <w:rPr>
          <w:rFonts w:cs="Times New Roman"/>
          <w:b/>
          <w:color w:val="000000" w:themeColor="text1"/>
          <w:sz w:val="24"/>
          <w:szCs w:val="24"/>
          <w:lang w:val="es-ES_tradnl"/>
        </w:rPr>
        <w:t>Explicación del articulado</w:t>
      </w:r>
    </w:p>
    <w:p w14:paraId="11965C55" w14:textId="77777777" w:rsidR="00CE3300" w:rsidRPr="00F75052" w:rsidRDefault="00CE3300" w:rsidP="00CE3300">
      <w:pPr>
        <w:jc w:val="both"/>
        <w:rPr>
          <w:rFonts w:cs="Times New Roman"/>
          <w:color w:val="000000" w:themeColor="text1"/>
        </w:rPr>
      </w:pPr>
    </w:p>
    <w:p w14:paraId="5060D3F6" w14:textId="77777777" w:rsidR="00CE3300" w:rsidRPr="00F75052" w:rsidRDefault="00CE3300" w:rsidP="00CE3300">
      <w:pPr>
        <w:jc w:val="both"/>
        <w:rPr>
          <w:rFonts w:eastAsia="Times New Roman" w:cs="Times New Roman"/>
          <w:color w:val="000000" w:themeColor="text1"/>
        </w:rPr>
      </w:pPr>
      <w:r w:rsidRPr="00F75052">
        <w:rPr>
          <w:rFonts w:cs="Times New Roman"/>
          <w:color w:val="000000" w:themeColor="text1"/>
        </w:rPr>
        <w:t xml:space="preserve">Mediante el presente proyecto de Ley, el Gobierno Nacional propone beneficios fiscales y económicos para el área metropolitana de Cúcuta, a través de la creación de una Zona </w:t>
      </w:r>
      <w:r w:rsidRPr="00F75052">
        <w:rPr>
          <w:rFonts w:eastAsia="Times New Roman" w:cs="Times New Roman"/>
          <w:color w:val="000000" w:themeColor="text1"/>
        </w:rPr>
        <w:t xml:space="preserve">Económica y Social Especial (ZESE) que permita atender las difíciles condiciones del </w:t>
      </w:r>
      <w:r w:rsidRPr="00F75052">
        <w:rPr>
          <w:rFonts w:eastAsia="Times New Roman" w:cs="Times New Roman"/>
          <w:color w:val="000000" w:themeColor="text1"/>
        </w:rPr>
        <w:lastRenderedPageBreak/>
        <w:t>mercado laboral (altas tasa</w:t>
      </w:r>
      <w:r w:rsidR="004F5385">
        <w:rPr>
          <w:rFonts w:eastAsia="Times New Roman" w:cs="Times New Roman"/>
          <w:color w:val="000000" w:themeColor="text1"/>
        </w:rPr>
        <w:t xml:space="preserve">s de desempleo e informalidad), y </w:t>
      </w:r>
      <w:r w:rsidRPr="00F75052">
        <w:rPr>
          <w:rFonts w:eastAsia="Times New Roman" w:cs="Times New Roman"/>
          <w:color w:val="000000" w:themeColor="text1"/>
        </w:rPr>
        <w:t>los bajos niveles de inversión; situaciones generadas por la alta migración de población venezolana.</w:t>
      </w:r>
    </w:p>
    <w:p w14:paraId="2DB06F37" w14:textId="77777777" w:rsidR="00CE3300" w:rsidRPr="00F75052" w:rsidRDefault="00CE3300" w:rsidP="00CE3300">
      <w:pPr>
        <w:jc w:val="both"/>
        <w:rPr>
          <w:rFonts w:eastAsia="Times New Roman" w:cs="Times New Roman"/>
          <w:color w:val="000000" w:themeColor="text1"/>
        </w:rPr>
      </w:pPr>
    </w:p>
    <w:p w14:paraId="64A76B91" w14:textId="77777777" w:rsidR="00D43DAB" w:rsidRDefault="00CE3300" w:rsidP="00CE3300">
      <w:pPr>
        <w:jc w:val="both"/>
        <w:rPr>
          <w:rFonts w:cs="Times New Roman"/>
          <w:color w:val="000000" w:themeColor="text1"/>
        </w:rPr>
      </w:pPr>
      <w:r w:rsidRPr="00F75052">
        <w:rPr>
          <w:rFonts w:cs="Times New Roman"/>
          <w:color w:val="000000" w:themeColor="text1"/>
        </w:rPr>
        <w:t xml:space="preserve">Bajo este entendido, el primer artículo describe el objeto general del proyecto, </w:t>
      </w:r>
      <w:r w:rsidR="00D43DAB">
        <w:rPr>
          <w:rFonts w:cs="Times New Roman"/>
          <w:color w:val="000000" w:themeColor="text1"/>
        </w:rPr>
        <w:t>que es crear c</w:t>
      </w:r>
      <w:r w:rsidR="005D04AF">
        <w:rPr>
          <w:rFonts w:cs="Times New Roman"/>
          <w:color w:val="000000" w:themeColor="text1"/>
        </w:rPr>
        <w:t>omo zona económica y social el área m</w:t>
      </w:r>
      <w:r w:rsidR="00D43DAB">
        <w:rPr>
          <w:rFonts w:cs="Times New Roman"/>
          <w:color w:val="000000" w:themeColor="text1"/>
        </w:rPr>
        <w:t>etropolitana de Cúcuta con</w:t>
      </w:r>
      <w:r w:rsidRPr="00F75052">
        <w:rPr>
          <w:rFonts w:cs="Times New Roman"/>
          <w:color w:val="000000" w:themeColor="text1"/>
        </w:rPr>
        <w:t xml:space="preserve"> beneficios fiscales y económicos </w:t>
      </w:r>
      <w:r w:rsidR="00D43DAB">
        <w:rPr>
          <w:rFonts w:cs="Times New Roman"/>
          <w:color w:val="000000" w:themeColor="text1"/>
        </w:rPr>
        <w:t>con el propósito de atraer inversión y empleo a la región.</w:t>
      </w:r>
    </w:p>
    <w:p w14:paraId="05D68AAC" w14:textId="77777777" w:rsidR="00D43DAB" w:rsidRDefault="00D43DAB" w:rsidP="00CE3300">
      <w:pPr>
        <w:jc w:val="both"/>
        <w:rPr>
          <w:rFonts w:cs="Times New Roman"/>
          <w:color w:val="000000" w:themeColor="text1"/>
        </w:rPr>
      </w:pPr>
    </w:p>
    <w:p w14:paraId="129298AB" w14:textId="77777777" w:rsidR="00D43DAB" w:rsidRDefault="00D43DAB" w:rsidP="00CE3300">
      <w:pPr>
        <w:jc w:val="both"/>
        <w:rPr>
          <w:rFonts w:cs="Times New Roman"/>
          <w:color w:val="000000" w:themeColor="text1"/>
        </w:rPr>
      </w:pPr>
      <w:r>
        <w:rPr>
          <w:rFonts w:cs="Times New Roman"/>
          <w:color w:val="000000" w:themeColor="text1"/>
        </w:rPr>
        <w:t xml:space="preserve">El artículo segundo define de los beneficiarios de la zona económica y social que serán las sociedades comerciales que se constituyan el área metropolitana de Cúcuta y a las actividades económicas que se les aplicará el beneficio. </w:t>
      </w:r>
    </w:p>
    <w:p w14:paraId="1CF783BB" w14:textId="77777777" w:rsidR="00CE3300" w:rsidRPr="00F75052" w:rsidRDefault="00CE3300" w:rsidP="00CE3300">
      <w:pPr>
        <w:jc w:val="both"/>
        <w:rPr>
          <w:rFonts w:cs="Times New Roman"/>
          <w:color w:val="000000" w:themeColor="text1"/>
          <w:spacing w:val="4"/>
        </w:rPr>
      </w:pPr>
    </w:p>
    <w:p w14:paraId="5E856BD5" w14:textId="19193BE7" w:rsidR="005C44CD" w:rsidRPr="005C44CD" w:rsidRDefault="00CE3300" w:rsidP="004F5385">
      <w:pPr>
        <w:jc w:val="both"/>
        <w:rPr>
          <w:rFonts w:cs="Times New Roman"/>
          <w:color w:val="000000" w:themeColor="text1"/>
          <w:spacing w:val="4"/>
        </w:rPr>
      </w:pPr>
      <w:r w:rsidRPr="004F5385">
        <w:rPr>
          <w:rFonts w:cs="Times New Roman"/>
          <w:color w:val="000000" w:themeColor="text1"/>
          <w:spacing w:val="4"/>
        </w:rPr>
        <w:t xml:space="preserve">Los artículos </w:t>
      </w:r>
      <w:r w:rsidR="00AF2D67">
        <w:rPr>
          <w:rFonts w:cs="Times New Roman"/>
          <w:color w:val="000000" w:themeColor="text1"/>
          <w:spacing w:val="4"/>
        </w:rPr>
        <w:t>tercero, cuarto y</w:t>
      </w:r>
      <w:r w:rsidR="00D43DAB">
        <w:rPr>
          <w:rFonts w:cs="Times New Roman"/>
          <w:color w:val="000000" w:themeColor="text1"/>
          <w:spacing w:val="4"/>
        </w:rPr>
        <w:t xml:space="preserve"> quin</w:t>
      </w:r>
      <w:r w:rsidR="005D04AF">
        <w:rPr>
          <w:rFonts w:cs="Times New Roman"/>
          <w:color w:val="000000" w:themeColor="text1"/>
          <w:spacing w:val="4"/>
        </w:rPr>
        <w:t xml:space="preserve">to, </w:t>
      </w:r>
      <w:r w:rsidR="00AF2D67">
        <w:rPr>
          <w:rFonts w:cs="Times New Roman"/>
          <w:color w:val="000000" w:themeColor="text1"/>
          <w:spacing w:val="4"/>
        </w:rPr>
        <w:t xml:space="preserve"> </w:t>
      </w:r>
      <w:r w:rsidR="00D43DAB">
        <w:rPr>
          <w:rFonts w:cs="Times New Roman"/>
          <w:color w:val="000000" w:themeColor="text1"/>
          <w:spacing w:val="4"/>
        </w:rPr>
        <w:t>establece</w:t>
      </w:r>
      <w:r w:rsidR="005C44CD">
        <w:rPr>
          <w:rFonts w:cs="Times New Roman"/>
          <w:color w:val="000000" w:themeColor="text1"/>
          <w:spacing w:val="4"/>
        </w:rPr>
        <w:t>n</w:t>
      </w:r>
      <w:r w:rsidR="00D43DAB">
        <w:rPr>
          <w:rFonts w:cs="Times New Roman"/>
          <w:color w:val="000000" w:themeColor="text1"/>
          <w:spacing w:val="4"/>
        </w:rPr>
        <w:t xml:space="preserve"> </w:t>
      </w:r>
      <w:r w:rsidRPr="005C44CD">
        <w:rPr>
          <w:rFonts w:cs="Times New Roman"/>
          <w:color w:val="000000" w:themeColor="text1"/>
          <w:spacing w:val="4"/>
        </w:rPr>
        <w:t>los benef</w:t>
      </w:r>
      <w:r w:rsidR="00D43DAB" w:rsidRPr="005C44CD">
        <w:rPr>
          <w:rFonts w:cs="Times New Roman"/>
          <w:color w:val="000000" w:themeColor="text1"/>
          <w:spacing w:val="4"/>
        </w:rPr>
        <w:t>icios</w:t>
      </w:r>
      <w:r w:rsidR="005C44CD" w:rsidRPr="005C44CD">
        <w:rPr>
          <w:rFonts w:cs="Times New Roman"/>
          <w:color w:val="000000" w:themeColor="text1"/>
          <w:spacing w:val="4"/>
        </w:rPr>
        <w:t xml:space="preserve"> tributarios económicos </w:t>
      </w:r>
      <w:r w:rsidR="00D43DAB" w:rsidRPr="005C44CD">
        <w:rPr>
          <w:rFonts w:cs="Times New Roman"/>
          <w:color w:val="000000" w:themeColor="text1"/>
          <w:spacing w:val="4"/>
        </w:rPr>
        <w:t xml:space="preserve">que obtendrán </w:t>
      </w:r>
      <w:r w:rsidR="005C44CD" w:rsidRPr="005C44CD">
        <w:rPr>
          <w:rFonts w:cs="Times New Roman"/>
          <w:color w:val="000000" w:themeColor="text1"/>
          <w:spacing w:val="4"/>
        </w:rPr>
        <w:t>los beneficiarios</w:t>
      </w:r>
      <w:r w:rsidR="00D43DAB" w:rsidRPr="005C44CD">
        <w:rPr>
          <w:rFonts w:cs="Times New Roman"/>
          <w:color w:val="000000" w:themeColor="text1"/>
          <w:spacing w:val="4"/>
        </w:rPr>
        <w:t xml:space="preserve"> </w:t>
      </w:r>
      <w:r w:rsidR="005D04AF">
        <w:rPr>
          <w:rFonts w:cs="Times New Roman"/>
          <w:color w:val="000000" w:themeColor="text1"/>
          <w:spacing w:val="4"/>
        </w:rPr>
        <w:t>de la ZESE y los requisitos para solicitar los mismos.</w:t>
      </w:r>
    </w:p>
    <w:p w14:paraId="3F86AE7C" w14:textId="77777777" w:rsidR="005C44CD" w:rsidRDefault="005C44CD" w:rsidP="004F5385">
      <w:pPr>
        <w:jc w:val="both"/>
        <w:rPr>
          <w:rFonts w:cs="Times New Roman"/>
          <w:color w:val="000000" w:themeColor="text1"/>
          <w:spacing w:val="4"/>
        </w:rPr>
      </w:pPr>
    </w:p>
    <w:p w14:paraId="2CE0984D" w14:textId="2CE8FD5A" w:rsidR="005C44CD" w:rsidRDefault="004F5385" w:rsidP="004F5385">
      <w:pPr>
        <w:jc w:val="both"/>
        <w:rPr>
          <w:rFonts w:cs="Times New Roman"/>
          <w:color w:val="000000" w:themeColor="text1"/>
          <w:spacing w:val="4"/>
        </w:rPr>
      </w:pPr>
      <w:r>
        <w:rPr>
          <w:rFonts w:cs="Times New Roman"/>
          <w:color w:val="000000" w:themeColor="text1"/>
          <w:spacing w:val="4"/>
        </w:rPr>
        <w:t xml:space="preserve">De otra parte, </w:t>
      </w:r>
      <w:r w:rsidRPr="00F75052">
        <w:rPr>
          <w:rFonts w:cs="Times New Roman"/>
          <w:color w:val="000000" w:themeColor="text1"/>
          <w:spacing w:val="4"/>
        </w:rPr>
        <w:t xml:space="preserve">los artículos </w:t>
      </w:r>
      <w:r w:rsidR="00AF2D67">
        <w:rPr>
          <w:rFonts w:cs="Times New Roman"/>
          <w:color w:val="000000" w:themeColor="text1"/>
          <w:spacing w:val="4"/>
        </w:rPr>
        <w:t>sexto y séptimo</w:t>
      </w:r>
      <w:r w:rsidR="005C44CD">
        <w:rPr>
          <w:rFonts w:cs="Times New Roman"/>
          <w:color w:val="000000" w:themeColor="text1"/>
          <w:spacing w:val="4"/>
        </w:rPr>
        <w:t xml:space="preserve"> </w:t>
      </w:r>
      <w:r w:rsidR="00CE3300" w:rsidRPr="00F75052">
        <w:rPr>
          <w:rFonts w:cs="Times New Roman"/>
          <w:color w:val="000000" w:themeColor="text1"/>
          <w:spacing w:val="4"/>
        </w:rPr>
        <w:t xml:space="preserve">especifican los mecanismos que el Ministerio de Comercio, Industria y Turismo, en coordinación con entidades del orden nacional y local, implementarán para la promoción y el apoyo a la productividad en la ZESE. </w:t>
      </w:r>
    </w:p>
    <w:p w14:paraId="3F3F7FDD" w14:textId="77777777" w:rsidR="005C44CD" w:rsidRDefault="005C44CD" w:rsidP="004F5385">
      <w:pPr>
        <w:jc w:val="both"/>
        <w:rPr>
          <w:rFonts w:cs="Times New Roman"/>
          <w:color w:val="000000" w:themeColor="text1"/>
          <w:spacing w:val="4"/>
        </w:rPr>
      </w:pPr>
    </w:p>
    <w:p w14:paraId="02191C7A" w14:textId="32E48A6E" w:rsidR="00CE3300" w:rsidRPr="004F5385" w:rsidRDefault="005C44CD" w:rsidP="004F5385">
      <w:pPr>
        <w:jc w:val="both"/>
        <w:rPr>
          <w:rFonts w:cs="Times New Roman"/>
          <w:color w:val="000000" w:themeColor="text1"/>
          <w:spacing w:val="4"/>
        </w:rPr>
      </w:pPr>
      <w:r>
        <w:rPr>
          <w:rFonts w:cs="Times New Roman"/>
          <w:color w:val="000000" w:themeColor="text1"/>
          <w:spacing w:val="4"/>
        </w:rPr>
        <w:t xml:space="preserve">Finalmente, el artículo </w:t>
      </w:r>
      <w:r w:rsidR="00AF2D67">
        <w:rPr>
          <w:rFonts w:cs="Times New Roman"/>
          <w:color w:val="000000" w:themeColor="text1"/>
          <w:spacing w:val="4"/>
        </w:rPr>
        <w:t xml:space="preserve">octavo, noveno y </w:t>
      </w:r>
      <w:r w:rsidR="005D04AF">
        <w:rPr>
          <w:rFonts w:cs="Times New Roman"/>
          <w:color w:val="000000" w:themeColor="text1"/>
          <w:spacing w:val="4"/>
        </w:rPr>
        <w:t xml:space="preserve">decimo </w:t>
      </w:r>
      <w:r w:rsidR="00CE3300" w:rsidRPr="00F75052">
        <w:rPr>
          <w:rFonts w:cs="Times New Roman"/>
          <w:color w:val="000000" w:themeColor="text1"/>
          <w:spacing w:val="4"/>
        </w:rPr>
        <w:t>plantea</w:t>
      </w:r>
      <w:r w:rsidR="005D04AF">
        <w:rPr>
          <w:rFonts w:cs="Times New Roman"/>
          <w:color w:val="000000" w:themeColor="text1"/>
          <w:spacing w:val="4"/>
        </w:rPr>
        <w:t xml:space="preserve">n el régimen sancionatorio, la posibilidad de reglamentación de la ley por parte del Gobierno Nacional y </w:t>
      </w:r>
      <w:r w:rsidR="005D04AF" w:rsidRPr="00F75052">
        <w:rPr>
          <w:rFonts w:cs="Times New Roman"/>
          <w:color w:val="000000" w:themeColor="text1"/>
          <w:spacing w:val="4"/>
        </w:rPr>
        <w:t>la</w:t>
      </w:r>
      <w:r w:rsidR="00CE3300" w:rsidRPr="00F75052">
        <w:rPr>
          <w:rFonts w:cs="Times New Roman"/>
          <w:color w:val="000000" w:themeColor="text1"/>
          <w:spacing w:val="4"/>
        </w:rPr>
        <w:t xml:space="preserve"> vigencia de la Ley</w:t>
      </w:r>
      <w:r w:rsidR="005D04AF">
        <w:rPr>
          <w:rFonts w:cs="Times New Roman"/>
          <w:color w:val="000000" w:themeColor="text1"/>
          <w:spacing w:val="4"/>
        </w:rPr>
        <w:t>, respectivamente</w:t>
      </w:r>
      <w:r w:rsidR="00CE3300" w:rsidRPr="00F75052">
        <w:rPr>
          <w:rFonts w:cs="Times New Roman"/>
          <w:color w:val="000000" w:themeColor="text1"/>
          <w:spacing w:val="4"/>
        </w:rPr>
        <w:t>.</w:t>
      </w:r>
    </w:p>
    <w:p w14:paraId="186629F9" w14:textId="77777777" w:rsidR="00CE3300" w:rsidRPr="00F75052" w:rsidRDefault="00CE3300" w:rsidP="00CE3300">
      <w:pPr>
        <w:jc w:val="both"/>
        <w:rPr>
          <w:rFonts w:cs="Times New Roman"/>
          <w:color w:val="000000" w:themeColor="text1"/>
        </w:rPr>
      </w:pPr>
    </w:p>
    <w:p w14:paraId="2264EB09" w14:textId="77777777" w:rsidR="00CE3300" w:rsidRPr="00F75052" w:rsidRDefault="00CE3300" w:rsidP="00CE3300">
      <w:pPr>
        <w:jc w:val="both"/>
        <w:rPr>
          <w:rFonts w:cs="Times New Roman"/>
          <w:color w:val="000000" w:themeColor="text1"/>
        </w:rPr>
      </w:pPr>
      <w:r w:rsidRPr="00F75052">
        <w:rPr>
          <w:rFonts w:cs="Times New Roman"/>
          <w:color w:val="000000" w:themeColor="text1"/>
        </w:rPr>
        <w:t>De conformidad con lo anteriormente planteado, se pone a consideración del Honorable Congreso de la República, la deliberación, discusión y debate del presente proyecto de Ley, con la confianza de que será estudiado minuciosamente y que, de ser aprobado, contribuirá a crear condiciones para la atracción de inversión, la creación de empresas y la generación de empleo en el área metropolitana de Cúcuta.</w:t>
      </w:r>
    </w:p>
    <w:p w14:paraId="14997DE2" w14:textId="77777777" w:rsidR="00CE3300" w:rsidRPr="00F75052" w:rsidRDefault="00CE3300" w:rsidP="00CE3300">
      <w:pPr>
        <w:rPr>
          <w:rFonts w:eastAsia="Times New Roman" w:cs="Times New Roman"/>
          <w:color w:val="000000" w:themeColor="text1"/>
        </w:rPr>
      </w:pPr>
    </w:p>
    <w:p w14:paraId="5F7EF0C3" w14:textId="77777777" w:rsidR="00CE3300" w:rsidRDefault="00CE3300" w:rsidP="00CE3300">
      <w:pPr>
        <w:rPr>
          <w:rFonts w:eastAsia="Times New Roman" w:cs="Times New Roman"/>
          <w:color w:val="000000" w:themeColor="text1"/>
        </w:rPr>
      </w:pPr>
    </w:p>
    <w:p w14:paraId="08565AEF" w14:textId="73EB2716" w:rsidR="00A87CD9" w:rsidRDefault="00A87CD9" w:rsidP="00CE3300">
      <w:pPr>
        <w:rPr>
          <w:rFonts w:eastAsia="Times New Roman" w:cs="Times New Roman"/>
          <w:color w:val="000000" w:themeColor="text1"/>
        </w:rPr>
      </w:pPr>
      <w:r>
        <w:rPr>
          <w:rFonts w:eastAsia="Times New Roman" w:cs="Times New Roman"/>
          <w:color w:val="000000" w:themeColor="text1"/>
        </w:rPr>
        <w:t xml:space="preserve">Atentamente, </w:t>
      </w:r>
    </w:p>
    <w:p w14:paraId="4610C672" w14:textId="77777777" w:rsidR="00A87CD9" w:rsidRDefault="00A87CD9" w:rsidP="00CE3300">
      <w:pPr>
        <w:rPr>
          <w:rFonts w:eastAsia="Times New Roman" w:cs="Times New Roman"/>
          <w:color w:val="000000" w:themeColor="text1"/>
        </w:rPr>
      </w:pPr>
    </w:p>
    <w:p w14:paraId="7B51492B" w14:textId="77777777" w:rsidR="00A87CD9" w:rsidRDefault="00A87CD9" w:rsidP="00CE3300">
      <w:pPr>
        <w:rPr>
          <w:rFonts w:eastAsia="Times New Roman" w:cs="Times New Roman"/>
          <w:color w:val="000000" w:themeColor="text1"/>
        </w:rPr>
      </w:pPr>
    </w:p>
    <w:p w14:paraId="7870FBEA" w14:textId="77777777" w:rsidR="00A87CD9" w:rsidRDefault="00A87CD9" w:rsidP="00CE3300">
      <w:pPr>
        <w:rPr>
          <w:rFonts w:eastAsia="Times New Roman" w:cs="Times New Roman"/>
          <w:color w:val="000000" w:themeColor="text1"/>
        </w:rPr>
      </w:pPr>
    </w:p>
    <w:p w14:paraId="71904F1E" w14:textId="77777777" w:rsidR="00122B6E" w:rsidRDefault="00122B6E" w:rsidP="00122B6E">
      <w:pPr>
        <w:rPr>
          <w:rFonts w:eastAsia="Times New Roman" w:cs="Times New Roman"/>
          <w:color w:val="000000" w:themeColor="text1"/>
        </w:rPr>
      </w:pPr>
    </w:p>
    <w:p w14:paraId="48383147" w14:textId="77777777" w:rsidR="00122B6E" w:rsidRDefault="00122B6E" w:rsidP="00122B6E">
      <w:pPr>
        <w:rPr>
          <w:rFonts w:eastAsia="Times New Roman" w:cs="Times New Roman"/>
          <w:color w:val="000000" w:themeColor="text1"/>
        </w:rPr>
      </w:pPr>
    </w:p>
    <w:p w14:paraId="2EC7428B" w14:textId="77777777" w:rsidR="00122B6E" w:rsidRPr="00A87CD9" w:rsidRDefault="00122B6E" w:rsidP="00122B6E">
      <w:pPr>
        <w:rPr>
          <w:rFonts w:eastAsia="Times New Roman" w:cs="Times New Roman"/>
          <w:b/>
          <w:color w:val="000000" w:themeColor="text1"/>
        </w:rPr>
      </w:pPr>
      <w:r w:rsidRPr="00A87CD9">
        <w:rPr>
          <w:rFonts w:eastAsia="Times New Roman" w:cs="Times New Roman"/>
          <w:b/>
          <w:color w:val="000000" w:themeColor="text1"/>
        </w:rPr>
        <w:t>JOSÉ MANUEL RESTREPO ABONDANO</w:t>
      </w:r>
    </w:p>
    <w:p w14:paraId="2D50887E" w14:textId="77777777" w:rsidR="00122B6E" w:rsidRDefault="00122B6E" w:rsidP="00122B6E">
      <w:pPr>
        <w:rPr>
          <w:rFonts w:eastAsia="Times New Roman" w:cs="Times New Roman"/>
          <w:color w:val="000000" w:themeColor="text1"/>
        </w:rPr>
      </w:pPr>
      <w:r>
        <w:rPr>
          <w:rFonts w:eastAsia="Times New Roman" w:cs="Times New Roman"/>
          <w:color w:val="000000" w:themeColor="text1"/>
        </w:rPr>
        <w:t>MINISTRO COMERCIO, INDUSTRIA Y TURISMO</w:t>
      </w:r>
    </w:p>
    <w:p w14:paraId="059113E2" w14:textId="77777777" w:rsidR="00122B6E" w:rsidRDefault="00122B6E" w:rsidP="00122B6E">
      <w:pPr>
        <w:rPr>
          <w:rFonts w:eastAsia="Times New Roman" w:cs="Times New Roman"/>
          <w:color w:val="000000" w:themeColor="text1"/>
        </w:rPr>
      </w:pPr>
    </w:p>
    <w:p w14:paraId="29B46ADE" w14:textId="77777777" w:rsidR="00122B6E" w:rsidRDefault="00122B6E" w:rsidP="00122B6E">
      <w:pPr>
        <w:rPr>
          <w:rFonts w:eastAsia="Times New Roman" w:cs="Times New Roman"/>
          <w:color w:val="000000" w:themeColor="text1"/>
        </w:rPr>
      </w:pPr>
    </w:p>
    <w:p w14:paraId="09748F1C" w14:textId="77777777" w:rsidR="00122B6E" w:rsidRDefault="00122B6E" w:rsidP="00122B6E">
      <w:pPr>
        <w:rPr>
          <w:rFonts w:eastAsia="Times New Roman" w:cs="Times New Roman"/>
          <w:color w:val="000000" w:themeColor="text1"/>
        </w:rPr>
      </w:pPr>
    </w:p>
    <w:p w14:paraId="57A2CB16" w14:textId="77777777" w:rsidR="00122B6E" w:rsidRDefault="00122B6E" w:rsidP="00122B6E">
      <w:pPr>
        <w:rPr>
          <w:rFonts w:eastAsia="Times New Roman" w:cs="Times New Roman"/>
          <w:color w:val="000000" w:themeColor="text1"/>
        </w:rPr>
      </w:pPr>
    </w:p>
    <w:p w14:paraId="1B55E163" w14:textId="77777777" w:rsidR="00122B6E" w:rsidRPr="009F5ADB" w:rsidRDefault="00122B6E" w:rsidP="00122B6E">
      <w:pPr>
        <w:rPr>
          <w:rFonts w:eastAsia="Times New Roman" w:cs="Times New Roman"/>
          <w:b/>
          <w:color w:val="000000" w:themeColor="text1"/>
        </w:rPr>
      </w:pPr>
      <w:r>
        <w:rPr>
          <w:rFonts w:eastAsia="Times New Roman" w:cs="Times New Roman"/>
          <w:b/>
          <w:color w:val="000000" w:themeColor="text1"/>
        </w:rPr>
        <w:t>ALEJANDRO CARLOS CHACÓ</w:t>
      </w:r>
      <w:r w:rsidRPr="009F5ADB">
        <w:rPr>
          <w:rFonts w:eastAsia="Times New Roman" w:cs="Times New Roman"/>
          <w:b/>
          <w:color w:val="000000" w:themeColor="text1"/>
        </w:rPr>
        <w:t>N</w:t>
      </w:r>
    </w:p>
    <w:p w14:paraId="48B45700" w14:textId="77777777" w:rsidR="00122B6E" w:rsidRDefault="00122B6E" w:rsidP="00122B6E">
      <w:pPr>
        <w:rPr>
          <w:rFonts w:eastAsia="Times New Roman" w:cs="Times New Roman"/>
          <w:color w:val="000000" w:themeColor="text1"/>
        </w:rPr>
      </w:pPr>
      <w:r>
        <w:rPr>
          <w:rFonts w:eastAsia="Times New Roman" w:cs="Times New Roman"/>
          <w:color w:val="000000" w:themeColor="text1"/>
        </w:rPr>
        <w:t>PRESIDENTE CAMARA DE REPRESENTANTES</w:t>
      </w:r>
    </w:p>
    <w:p w14:paraId="497A7224" w14:textId="77777777" w:rsidR="00122B6E" w:rsidRDefault="00122B6E" w:rsidP="00122B6E">
      <w:pPr>
        <w:rPr>
          <w:rFonts w:eastAsia="Times New Roman" w:cs="Times New Roman"/>
          <w:color w:val="000000" w:themeColor="text1"/>
        </w:rPr>
      </w:pPr>
    </w:p>
    <w:p w14:paraId="7979B26E" w14:textId="77777777" w:rsidR="00122B6E" w:rsidRDefault="00122B6E" w:rsidP="00122B6E">
      <w:pPr>
        <w:rPr>
          <w:rFonts w:eastAsia="Times New Roman" w:cs="Times New Roman"/>
          <w:color w:val="000000" w:themeColor="text1"/>
        </w:rPr>
      </w:pPr>
    </w:p>
    <w:p w14:paraId="4CBF209E" w14:textId="77777777" w:rsidR="00122B6E" w:rsidRDefault="00122B6E" w:rsidP="00122B6E">
      <w:pPr>
        <w:rPr>
          <w:rFonts w:eastAsia="Times New Roman" w:cs="Times New Roman"/>
          <w:color w:val="000000" w:themeColor="text1"/>
        </w:rPr>
      </w:pPr>
    </w:p>
    <w:p w14:paraId="5B533493" w14:textId="77777777" w:rsidR="00122B6E" w:rsidRPr="009F5ADB" w:rsidRDefault="00122B6E" w:rsidP="00122B6E">
      <w:pPr>
        <w:rPr>
          <w:rFonts w:eastAsia="Times New Roman" w:cs="Times New Roman"/>
          <w:b/>
          <w:color w:val="000000" w:themeColor="text1"/>
        </w:rPr>
      </w:pPr>
      <w:r w:rsidRPr="009F5ADB">
        <w:rPr>
          <w:rFonts w:eastAsia="Times New Roman" w:cs="Times New Roman"/>
          <w:b/>
          <w:color w:val="000000" w:themeColor="text1"/>
        </w:rPr>
        <w:t xml:space="preserve">JUAN PABLO CELIS VERGEL </w:t>
      </w:r>
      <w:r w:rsidRPr="009F5ADB">
        <w:rPr>
          <w:rFonts w:eastAsia="Times New Roman" w:cs="Times New Roman"/>
          <w:b/>
          <w:color w:val="000000" w:themeColor="text1"/>
        </w:rPr>
        <w:tab/>
      </w:r>
      <w:r w:rsidRPr="009F5ADB">
        <w:rPr>
          <w:rFonts w:eastAsia="Times New Roman" w:cs="Times New Roman"/>
          <w:b/>
          <w:color w:val="000000" w:themeColor="text1"/>
        </w:rPr>
        <w:tab/>
      </w:r>
      <w:r w:rsidRPr="009F5ADB">
        <w:rPr>
          <w:rFonts w:eastAsia="Times New Roman" w:cs="Times New Roman"/>
          <w:b/>
          <w:color w:val="000000" w:themeColor="text1"/>
        </w:rPr>
        <w:tab/>
      </w:r>
      <w:r w:rsidRPr="009F5ADB">
        <w:rPr>
          <w:rFonts w:eastAsia="Times New Roman" w:cs="Times New Roman"/>
          <w:b/>
          <w:color w:val="000000" w:themeColor="text1"/>
        </w:rPr>
        <w:tab/>
        <w:t>JAIRO HUMERTO CRISTO CORREA</w:t>
      </w:r>
    </w:p>
    <w:p w14:paraId="2214C9D0" w14:textId="77777777" w:rsidR="00122B6E" w:rsidRDefault="00122B6E" w:rsidP="00122B6E">
      <w:pPr>
        <w:rPr>
          <w:rFonts w:eastAsia="Times New Roman" w:cs="Times New Roman"/>
          <w:color w:val="000000" w:themeColor="text1"/>
        </w:rPr>
      </w:pPr>
      <w:r>
        <w:rPr>
          <w:rFonts w:eastAsia="Times New Roman" w:cs="Times New Roman"/>
          <w:color w:val="000000" w:themeColor="text1"/>
        </w:rPr>
        <w:t xml:space="preserve">REPRESENTANTE A LA CAMARA </w:t>
      </w:r>
      <w:r>
        <w:rPr>
          <w:rFonts w:eastAsia="Times New Roman" w:cs="Times New Roman"/>
          <w:color w:val="000000" w:themeColor="text1"/>
        </w:rPr>
        <w:tab/>
      </w:r>
      <w:r>
        <w:rPr>
          <w:rFonts w:eastAsia="Times New Roman" w:cs="Times New Roman"/>
          <w:color w:val="000000" w:themeColor="text1"/>
        </w:rPr>
        <w:tab/>
      </w:r>
      <w:r>
        <w:rPr>
          <w:rFonts w:eastAsia="Times New Roman" w:cs="Times New Roman"/>
          <w:color w:val="000000" w:themeColor="text1"/>
        </w:rPr>
        <w:tab/>
        <w:t xml:space="preserve">REPRESENTANTE A LA CAMARA </w:t>
      </w:r>
    </w:p>
    <w:p w14:paraId="128F054F" w14:textId="77777777" w:rsidR="00122B6E" w:rsidRDefault="00122B6E" w:rsidP="00122B6E">
      <w:pPr>
        <w:rPr>
          <w:rFonts w:eastAsia="Times New Roman" w:cs="Times New Roman"/>
          <w:color w:val="000000" w:themeColor="text1"/>
        </w:rPr>
      </w:pPr>
    </w:p>
    <w:p w14:paraId="13CB6BE3" w14:textId="77777777" w:rsidR="00122B6E" w:rsidRDefault="00122B6E" w:rsidP="00122B6E">
      <w:pPr>
        <w:rPr>
          <w:rFonts w:eastAsia="Times New Roman" w:cs="Times New Roman"/>
          <w:color w:val="000000" w:themeColor="text1"/>
        </w:rPr>
      </w:pPr>
    </w:p>
    <w:p w14:paraId="7DF6A22D" w14:textId="77777777" w:rsidR="00122B6E" w:rsidRDefault="00122B6E" w:rsidP="00122B6E">
      <w:pPr>
        <w:rPr>
          <w:rFonts w:eastAsia="Times New Roman" w:cs="Times New Roman"/>
          <w:color w:val="000000" w:themeColor="text1"/>
        </w:rPr>
      </w:pPr>
    </w:p>
    <w:p w14:paraId="79B899D2" w14:textId="77777777" w:rsidR="00122B6E" w:rsidRDefault="00122B6E" w:rsidP="00122B6E">
      <w:pPr>
        <w:rPr>
          <w:rFonts w:eastAsia="Times New Roman" w:cs="Times New Roman"/>
          <w:color w:val="000000" w:themeColor="text1"/>
        </w:rPr>
      </w:pPr>
    </w:p>
    <w:p w14:paraId="39F208B2" w14:textId="77777777" w:rsidR="00122B6E" w:rsidRDefault="00122B6E" w:rsidP="00122B6E">
      <w:pPr>
        <w:rPr>
          <w:rFonts w:eastAsia="Times New Roman" w:cs="Times New Roman"/>
          <w:color w:val="000000" w:themeColor="text1"/>
        </w:rPr>
      </w:pPr>
    </w:p>
    <w:p w14:paraId="154474CD" w14:textId="77777777" w:rsidR="00122B6E" w:rsidRPr="009F5ADB" w:rsidRDefault="00122B6E" w:rsidP="00122B6E">
      <w:pPr>
        <w:rPr>
          <w:rFonts w:eastAsia="Times New Roman" w:cs="Times New Roman"/>
          <w:b/>
          <w:color w:val="000000" w:themeColor="text1"/>
        </w:rPr>
      </w:pPr>
      <w:r w:rsidRPr="009F5ADB">
        <w:rPr>
          <w:rFonts w:eastAsia="Times New Roman" w:cs="Times New Roman"/>
          <w:b/>
          <w:color w:val="000000" w:themeColor="text1"/>
        </w:rPr>
        <w:t>WILMER RAMIRO CARRILLO MENDOZA</w:t>
      </w:r>
      <w:r>
        <w:rPr>
          <w:rFonts w:eastAsia="Times New Roman" w:cs="Times New Roman"/>
          <w:b/>
          <w:color w:val="000000" w:themeColor="text1"/>
        </w:rPr>
        <w:tab/>
      </w:r>
      <w:r>
        <w:rPr>
          <w:rFonts w:eastAsia="Times New Roman" w:cs="Times New Roman"/>
          <w:b/>
          <w:color w:val="000000" w:themeColor="text1"/>
        </w:rPr>
        <w:tab/>
        <w:t>CIRO ANTONIO RODRÍGUEZ PINZÓ</w:t>
      </w:r>
      <w:r w:rsidRPr="009F5ADB">
        <w:rPr>
          <w:rFonts w:eastAsia="Times New Roman" w:cs="Times New Roman"/>
          <w:b/>
          <w:color w:val="000000" w:themeColor="text1"/>
        </w:rPr>
        <w:t xml:space="preserve">N </w:t>
      </w:r>
    </w:p>
    <w:p w14:paraId="7E4191AB" w14:textId="77777777" w:rsidR="00122B6E" w:rsidRDefault="00122B6E" w:rsidP="00122B6E">
      <w:pPr>
        <w:rPr>
          <w:rFonts w:eastAsia="Times New Roman" w:cs="Times New Roman"/>
          <w:color w:val="000000" w:themeColor="text1"/>
        </w:rPr>
      </w:pPr>
      <w:r>
        <w:rPr>
          <w:rFonts w:eastAsia="Times New Roman" w:cs="Times New Roman"/>
          <w:color w:val="000000" w:themeColor="text1"/>
        </w:rPr>
        <w:t>REPRESENTANTE A LA CAMARA</w:t>
      </w:r>
      <w:r>
        <w:rPr>
          <w:rFonts w:eastAsia="Times New Roman" w:cs="Times New Roman"/>
          <w:color w:val="000000" w:themeColor="text1"/>
        </w:rPr>
        <w:tab/>
      </w:r>
      <w:r>
        <w:rPr>
          <w:rFonts w:eastAsia="Times New Roman" w:cs="Times New Roman"/>
          <w:color w:val="000000" w:themeColor="text1"/>
        </w:rPr>
        <w:tab/>
      </w:r>
      <w:r>
        <w:rPr>
          <w:rFonts w:eastAsia="Times New Roman" w:cs="Times New Roman"/>
          <w:color w:val="000000" w:themeColor="text1"/>
        </w:rPr>
        <w:tab/>
        <w:t>REPRESENTANTE A LA CAMARA</w:t>
      </w:r>
    </w:p>
    <w:p w14:paraId="347E4BFA" w14:textId="77777777" w:rsidR="00122B6E" w:rsidRDefault="00122B6E" w:rsidP="00122B6E">
      <w:pPr>
        <w:rPr>
          <w:rFonts w:eastAsia="Times New Roman" w:cs="Times New Roman"/>
          <w:color w:val="000000" w:themeColor="text1"/>
        </w:rPr>
      </w:pPr>
    </w:p>
    <w:p w14:paraId="6C357D39" w14:textId="77777777" w:rsidR="00122B6E" w:rsidRDefault="00122B6E" w:rsidP="00122B6E">
      <w:pPr>
        <w:rPr>
          <w:rFonts w:eastAsia="Times New Roman" w:cs="Times New Roman"/>
          <w:color w:val="000000" w:themeColor="text1"/>
        </w:rPr>
      </w:pPr>
    </w:p>
    <w:p w14:paraId="5B11F7E1" w14:textId="77777777" w:rsidR="00122B6E" w:rsidRDefault="00122B6E" w:rsidP="00122B6E">
      <w:pPr>
        <w:rPr>
          <w:rFonts w:eastAsia="Times New Roman" w:cs="Times New Roman"/>
          <w:color w:val="000000" w:themeColor="text1"/>
        </w:rPr>
      </w:pPr>
    </w:p>
    <w:p w14:paraId="5B5F5C76" w14:textId="77777777" w:rsidR="00122B6E" w:rsidRDefault="00122B6E" w:rsidP="00122B6E">
      <w:pPr>
        <w:rPr>
          <w:rFonts w:eastAsia="Times New Roman" w:cs="Times New Roman"/>
          <w:color w:val="000000" w:themeColor="text1"/>
        </w:rPr>
      </w:pPr>
    </w:p>
    <w:p w14:paraId="746B0004" w14:textId="77777777" w:rsidR="00122B6E" w:rsidRDefault="00122B6E" w:rsidP="00122B6E">
      <w:pPr>
        <w:rPr>
          <w:rFonts w:eastAsia="Times New Roman" w:cs="Times New Roman"/>
          <w:color w:val="000000" w:themeColor="text1"/>
        </w:rPr>
      </w:pPr>
    </w:p>
    <w:p w14:paraId="47ECA1E6" w14:textId="77777777" w:rsidR="00122B6E" w:rsidRPr="009F5ADB" w:rsidRDefault="00122B6E" w:rsidP="00122B6E">
      <w:pPr>
        <w:rPr>
          <w:rFonts w:eastAsia="Times New Roman" w:cs="Times New Roman"/>
          <w:b/>
          <w:color w:val="000000" w:themeColor="text1"/>
        </w:rPr>
      </w:pPr>
      <w:r w:rsidRPr="009F5ADB">
        <w:rPr>
          <w:rFonts w:eastAsia="Times New Roman" w:cs="Times New Roman"/>
          <w:b/>
          <w:color w:val="000000" w:themeColor="text1"/>
        </w:rPr>
        <w:t>MILLA PATRICIA ROMERO SOTO</w:t>
      </w:r>
      <w:r w:rsidRPr="009F5ADB">
        <w:rPr>
          <w:rFonts w:eastAsia="Times New Roman" w:cs="Times New Roman"/>
          <w:b/>
          <w:color w:val="000000" w:themeColor="text1"/>
        </w:rPr>
        <w:tab/>
      </w:r>
      <w:r w:rsidRPr="009F5ADB">
        <w:rPr>
          <w:rFonts w:eastAsia="Times New Roman" w:cs="Times New Roman"/>
          <w:b/>
          <w:color w:val="000000" w:themeColor="text1"/>
        </w:rPr>
        <w:tab/>
      </w:r>
      <w:r w:rsidRPr="009F5ADB">
        <w:rPr>
          <w:rFonts w:eastAsia="Times New Roman" w:cs="Times New Roman"/>
          <w:b/>
          <w:color w:val="000000" w:themeColor="text1"/>
        </w:rPr>
        <w:tab/>
        <w:t>EDGAR JESÚ</w:t>
      </w:r>
      <w:r>
        <w:rPr>
          <w:rFonts w:eastAsia="Times New Roman" w:cs="Times New Roman"/>
          <w:b/>
          <w:color w:val="000000" w:themeColor="text1"/>
        </w:rPr>
        <w:t>S DÍ</w:t>
      </w:r>
      <w:r w:rsidRPr="009F5ADB">
        <w:rPr>
          <w:rFonts w:eastAsia="Times New Roman" w:cs="Times New Roman"/>
          <w:b/>
          <w:color w:val="000000" w:themeColor="text1"/>
        </w:rPr>
        <w:t>AZ CONTRERAS</w:t>
      </w:r>
    </w:p>
    <w:p w14:paraId="5C0BC58D" w14:textId="54A834DA" w:rsidR="00122B6E" w:rsidRDefault="00BF55D8" w:rsidP="00122B6E">
      <w:pPr>
        <w:rPr>
          <w:rFonts w:eastAsia="Times New Roman" w:cs="Times New Roman"/>
          <w:color w:val="000000" w:themeColor="text1"/>
        </w:rPr>
      </w:pPr>
      <w:r>
        <w:rPr>
          <w:rFonts w:eastAsia="Times New Roman" w:cs="Times New Roman"/>
          <w:color w:val="000000" w:themeColor="text1"/>
        </w:rPr>
        <w:t>SENADORA DE LA REPÚ</w:t>
      </w:r>
      <w:r w:rsidR="00122B6E">
        <w:rPr>
          <w:rFonts w:eastAsia="Times New Roman" w:cs="Times New Roman"/>
          <w:color w:val="000000" w:themeColor="text1"/>
        </w:rPr>
        <w:t xml:space="preserve">BLICA </w:t>
      </w:r>
      <w:r w:rsidR="00122B6E">
        <w:rPr>
          <w:rFonts w:eastAsia="Times New Roman" w:cs="Times New Roman"/>
          <w:color w:val="000000" w:themeColor="text1"/>
        </w:rPr>
        <w:tab/>
      </w:r>
      <w:r w:rsidR="00122B6E">
        <w:rPr>
          <w:rFonts w:eastAsia="Times New Roman" w:cs="Times New Roman"/>
          <w:color w:val="000000" w:themeColor="text1"/>
        </w:rPr>
        <w:tab/>
      </w:r>
      <w:r w:rsidR="00122B6E">
        <w:rPr>
          <w:rFonts w:eastAsia="Times New Roman" w:cs="Times New Roman"/>
          <w:color w:val="000000" w:themeColor="text1"/>
        </w:rPr>
        <w:tab/>
        <w:t>SENADOR</w:t>
      </w:r>
      <w:r>
        <w:rPr>
          <w:rFonts w:eastAsia="Times New Roman" w:cs="Times New Roman"/>
          <w:color w:val="000000" w:themeColor="text1"/>
        </w:rPr>
        <w:t xml:space="preserve"> DE LA REPÚ</w:t>
      </w:r>
      <w:r w:rsidR="00122B6E">
        <w:rPr>
          <w:rFonts w:eastAsia="Times New Roman" w:cs="Times New Roman"/>
          <w:color w:val="000000" w:themeColor="text1"/>
        </w:rPr>
        <w:t xml:space="preserve">BLICA </w:t>
      </w:r>
    </w:p>
    <w:p w14:paraId="4AA699A0" w14:textId="77777777" w:rsidR="00122B6E" w:rsidRDefault="00122B6E" w:rsidP="00122B6E">
      <w:pPr>
        <w:rPr>
          <w:rFonts w:eastAsia="Times New Roman" w:cs="Times New Roman"/>
          <w:color w:val="000000" w:themeColor="text1"/>
        </w:rPr>
      </w:pPr>
    </w:p>
    <w:p w14:paraId="74605C13" w14:textId="77777777" w:rsidR="00122B6E" w:rsidRDefault="00122B6E" w:rsidP="00122B6E">
      <w:pPr>
        <w:rPr>
          <w:rFonts w:eastAsia="Times New Roman" w:cs="Times New Roman"/>
          <w:color w:val="000000" w:themeColor="text1"/>
        </w:rPr>
      </w:pPr>
    </w:p>
    <w:p w14:paraId="2FB933A6" w14:textId="77777777" w:rsidR="00122B6E" w:rsidRDefault="00122B6E" w:rsidP="00122B6E">
      <w:pPr>
        <w:rPr>
          <w:rFonts w:eastAsia="Times New Roman" w:cs="Times New Roman"/>
          <w:color w:val="000000" w:themeColor="text1"/>
        </w:rPr>
      </w:pPr>
    </w:p>
    <w:p w14:paraId="6EFF2CC3" w14:textId="77777777" w:rsidR="00122B6E" w:rsidRDefault="00122B6E" w:rsidP="00122B6E">
      <w:pPr>
        <w:rPr>
          <w:rFonts w:eastAsia="Times New Roman" w:cs="Times New Roman"/>
          <w:color w:val="000000" w:themeColor="text1"/>
        </w:rPr>
      </w:pPr>
    </w:p>
    <w:p w14:paraId="4E651D4A" w14:textId="77777777" w:rsidR="00122B6E" w:rsidRPr="009F5ADB" w:rsidRDefault="00122B6E" w:rsidP="00122B6E">
      <w:pPr>
        <w:rPr>
          <w:rFonts w:eastAsia="Times New Roman" w:cs="Times New Roman"/>
          <w:b/>
          <w:color w:val="000000" w:themeColor="text1"/>
        </w:rPr>
      </w:pPr>
      <w:r>
        <w:rPr>
          <w:rFonts w:eastAsia="Times New Roman" w:cs="Times New Roman"/>
          <w:b/>
          <w:color w:val="000000" w:themeColor="text1"/>
        </w:rPr>
        <w:t>JUAN CARLOS GARCÍ</w:t>
      </w:r>
      <w:r w:rsidRPr="009F5ADB">
        <w:rPr>
          <w:rFonts w:eastAsia="Times New Roman" w:cs="Times New Roman"/>
          <w:b/>
          <w:color w:val="000000" w:themeColor="text1"/>
        </w:rPr>
        <w:t>A GOMÉZ</w:t>
      </w:r>
      <w:r w:rsidRPr="009F5ADB">
        <w:rPr>
          <w:rFonts w:eastAsia="Times New Roman" w:cs="Times New Roman"/>
          <w:b/>
          <w:color w:val="000000" w:themeColor="text1"/>
        </w:rPr>
        <w:tab/>
      </w:r>
      <w:r w:rsidRPr="009F5ADB">
        <w:rPr>
          <w:rFonts w:eastAsia="Times New Roman" w:cs="Times New Roman"/>
          <w:b/>
          <w:color w:val="000000" w:themeColor="text1"/>
        </w:rPr>
        <w:tab/>
      </w:r>
      <w:r w:rsidRPr="009F5ADB">
        <w:rPr>
          <w:rFonts w:eastAsia="Times New Roman" w:cs="Times New Roman"/>
          <w:b/>
          <w:color w:val="000000" w:themeColor="text1"/>
        </w:rPr>
        <w:tab/>
        <w:t>ANDRÉS CRISTO BUSTOS</w:t>
      </w:r>
    </w:p>
    <w:p w14:paraId="182181D1" w14:textId="2394DF90" w:rsidR="00122B6E" w:rsidRDefault="00122B6E" w:rsidP="00122B6E">
      <w:pPr>
        <w:rPr>
          <w:rFonts w:eastAsia="Times New Roman" w:cs="Times New Roman"/>
          <w:color w:val="000000" w:themeColor="text1"/>
        </w:rPr>
      </w:pPr>
      <w:r>
        <w:rPr>
          <w:rFonts w:eastAsia="Times New Roman" w:cs="Times New Roman"/>
          <w:color w:val="000000" w:themeColor="text1"/>
        </w:rPr>
        <w:t>SENADOR</w:t>
      </w:r>
      <w:r w:rsidR="00BF55D8">
        <w:rPr>
          <w:rFonts w:eastAsia="Times New Roman" w:cs="Times New Roman"/>
          <w:color w:val="000000" w:themeColor="text1"/>
        </w:rPr>
        <w:t xml:space="preserve"> DE LA REPÚ</w:t>
      </w:r>
      <w:r>
        <w:rPr>
          <w:rFonts w:eastAsia="Times New Roman" w:cs="Times New Roman"/>
          <w:color w:val="000000" w:themeColor="text1"/>
        </w:rPr>
        <w:t xml:space="preserve">BLICA </w:t>
      </w:r>
      <w:r>
        <w:rPr>
          <w:rFonts w:eastAsia="Times New Roman" w:cs="Times New Roman"/>
          <w:color w:val="000000" w:themeColor="text1"/>
        </w:rPr>
        <w:tab/>
      </w:r>
      <w:r>
        <w:rPr>
          <w:rFonts w:eastAsia="Times New Roman" w:cs="Times New Roman"/>
          <w:color w:val="000000" w:themeColor="text1"/>
        </w:rPr>
        <w:tab/>
      </w:r>
      <w:r>
        <w:rPr>
          <w:rFonts w:eastAsia="Times New Roman" w:cs="Times New Roman"/>
          <w:color w:val="000000" w:themeColor="text1"/>
        </w:rPr>
        <w:tab/>
      </w:r>
      <w:r>
        <w:rPr>
          <w:rFonts w:eastAsia="Times New Roman" w:cs="Times New Roman"/>
          <w:color w:val="000000" w:themeColor="text1"/>
        </w:rPr>
        <w:tab/>
        <w:t>SENADOR</w:t>
      </w:r>
      <w:r w:rsidR="00BF55D8">
        <w:rPr>
          <w:rFonts w:eastAsia="Times New Roman" w:cs="Times New Roman"/>
          <w:color w:val="000000" w:themeColor="text1"/>
        </w:rPr>
        <w:t xml:space="preserve"> DE LA REPÚ</w:t>
      </w:r>
      <w:r>
        <w:rPr>
          <w:rFonts w:eastAsia="Times New Roman" w:cs="Times New Roman"/>
          <w:color w:val="000000" w:themeColor="text1"/>
        </w:rPr>
        <w:t xml:space="preserve">BLICA </w:t>
      </w:r>
    </w:p>
    <w:p w14:paraId="587DF1E9" w14:textId="77777777" w:rsidR="00122B6E" w:rsidRDefault="00122B6E" w:rsidP="00122B6E">
      <w:pPr>
        <w:rPr>
          <w:rFonts w:eastAsia="Times New Roman" w:cs="Times New Roman"/>
          <w:color w:val="000000" w:themeColor="text1"/>
        </w:rPr>
      </w:pPr>
    </w:p>
    <w:p w14:paraId="72B66051" w14:textId="77777777" w:rsidR="00122B6E" w:rsidRDefault="00122B6E" w:rsidP="00122B6E">
      <w:pPr>
        <w:rPr>
          <w:rFonts w:eastAsia="Times New Roman" w:cs="Times New Roman"/>
          <w:color w:val="000000" w:themeColor="text1"/>
        </w:rPr>
      </w:pPr>
    </w:p>
    <w:p w14:paraId="5999FA1C" w14:textId="77777777" w:rsidR="00122B6E" w:rsidRDefault="00122B6E" w:rsidP="00122B6E">
      <w:pPr>
        <w:rPr>
          <w:rFonts w:eastAsia="Times New Roman" w:cs="Times New Roman"/>
          <w:color w:val="000000" w:themeColor="text1"/>
        </w:rPr>
      </w:pPr>
    </w:p>
    <w:p w14:paraId="031CF997" w14:textId="77777777" w:rsidR="00122B6E" w:rsidRDefault="00122B6E" w:rsidP="00122B6E">
      <w:pPr>
        <w:rPr>
          <w:rFonts w:eastAsia="Times New Roman" w:cs="Times New Roman"/>
          <w:color w:val="000000" w:themeColor="text1"/>
        </w:rPr>
      </w:pPr>
    </w:p>
    <w:p w14:paraId="099FBB2C" w14:textId="77777777" w:rsidR="00122B6E" w:rsidRDefault="00122B6E" w:rsidP="00122B6E">
      <w:pPr>
        <w:rPr>
          <w:rFonts w:eastAsia="Times New Roman" w:cs="Times New Roman"/>
          <w:color w:val="000000" w:themeColor="text1"/>
        </w:rPr>
      </w:pPr>
    </w:p>
    <w:p w14:paraId="4FDC4BFF" w14:textId="77777777" w:rsidR="00122B6E" w:rsidRPr="009F5ADB" w:rsidRDefault="00122B6E" w:rsidP="00122B6E">
      <w:pPr>
        <w:rPr>
          <w:rFonts w:eastAsia="Times New Roman" w:cs="Times New Roman"/>
          <w:b/>
          <w:color w:val="000000" w:themeColor="text1"/>
        </w:rPr>
      </w:pPr>
      <w:r w:rsidRPr="009F5ADB">
        <w:rPr>
          <w:rFonts w:eastAsia="Times New Roman" w:cs="Times New Roman"/>
          <w:b/>
          <w:color w:val="000000" w:themeColor="text1"/>
        </w:rPr>
        <w:t>ANTONIO ERESMID SANGUINO PÁEZ</w:t>
      </w:r>
      <w:r w:rsidRPr="009F5ADB">
        <w:rPr>
          <w:rFonts w:eastAsia="Times New Roman" w:cs="Times New Roman"/>
          <w:b/>
          <w:color w:val="000000" w:themeColor="text1"/>
        </w:rPr>
        <w:tab/>
      </w:r>
      <w:r w:rsidRPr="009F5ADB">
        <w:rPr>
          <w:rFonts w:eastAsia="Times New Roman" w:cs="Times New Roman"/>
          <w:b/>
          <w:color w:val="000000" w:themeColor="text1"/>
        </w:rPr>
        <w:tab/>
        <w:t xml:space="preserve">JESÚS ALBERTO CASTILLA SALAZAR </w:t>
      </w:r>
    </w:p>
    <w:p w14:paraId="515C4B45" w14:textId="33DDACC4" w:rsidR="00122B6E" w:rsidRPr="00E77849" w:rsidRDefault="00122B6E" w:rsidP="00122B6E">
      <w:pPr>
        <w:spacing w:before="57" w:after="57" w:line="288" w:lineRule="atLeast"/>
        <w:jc w:val="both"/>
        <w:textAlignment w:val="center"/>
        <w:rPr>
          <w:rFonts w:cs="Times New Roman"/>
          <w:color w:val="000000" w:themeColor="text1"/>
          <w:spacing w:val="4"/>
        </w:rPr>
      </w:pPr>
      <w:r>
        <w:rPr>
          <w:rFonts w:eastAsia="Times New Roman" w:cs="Times New Roman"/>
          <w:color w:val="000000" w:themeColor="text1"/>
        </w:rPr>
        <w:t>SENADOR</w:t>
      </w:r>
      <w:r w:rsidR="00BF55D8">
        <w:rPr>
          <w:rFonts w:eastAsia="Times New Roman" w:cs="Times New Roman"/>
          <w:color w:val="000000" w:themeColor="text1"/>
        </w:rPr>
        <w:t xml:space="preserve"> DE LA REPÚ</w:t>
      </w:r>
      <w:r>
        <w:rPr>
          <w:rFonts w:eastAsia="Times New Roman" w:cs="Times New Roman"/>
          <w:color w:val="000000" w:themeColor="text1"/>
        </w:rPr>
        <w:t xml:space="preserve">BLICA </w:t>
      </w:r>
      <w:r>
        <w:rPr>
          <w:rFonts w:eastAsia="Times New Roman" w:cs="Times New Roman"/>
          <w:color w:val="000000" w:themeColor="text1"/>
        </w:rPr>
        <w:tab/>
      </w:r>
      <w:r>
        <w:rPr>
          <w:rFonts w:eastAsia="Times New Roman" w:cs="Times New Roman"/>
          <w:color w:val="000000" w:themeColor="text1"/>
        </w:rPr>
        <w:tab/>
      </w:r>
      <w:r>
        <w:rPr>
          <w:rFonts w:eastAsia="Times New Roman" w:cs="Times New Roman"/>
          <w:color w:val="000000" w:themeColor="text1"/>
        </w:rPr>
        <w:tab/>
      </w:r>
      <w:r>
        <w:rPr>
          <w:rFonts w:eastAsia="Times New Roman" w:cs="Times New Roman"/>
          <w:color w:val="000000" w:themeColor="text1"/>
        </w:rPr>
        <w:tab/>
        <w:t>SENADOR</w:t>
      </w:r>
      <w:r w:rsidR="00BF55D8">
        <w:rPr>
          <w:rFonts w:eastAsia="Times New Roman" w:cs="Times New Roman"/>
          <w:color w:val="000000" w:themeColor="text1"/>
        </w:rPr>
        <w:t xml:space="preserve"> DE LA REPÚ</w:t>
      </w:r>
      <w:r>
        <w:rPr>
          <w:rFonts w:eastAsia="Times New Roman" w:cs="Times New Roman"/>
          <w:color w:val="000000" w:themeColor="text1"/>
        </w:rPr>
        <w:t>BLICA</w:t>
      </w:r>
    </w:p>
    <w:p w14:paraId="4D85E4E1" w14:textId="74F351CB" w:rsidR="004F70AE" w:rsidRDefault="004F70AE" w:rsidP="004F70AE">
      <w:pPr>
        <w:rPr>
          <w:rFonts w:eastAsia="Times New Roman" w:cs="Times New Roman"/>
          <w:color w:val="000000" w:themeColor="text1"/>
        </w:rPr>
      </w:pPr>
    </w:p>
    <w:p w14:paraId="7A435767" w14:textId="24AA5D90" w:rsidR="004F70AE" w:rsidRDefault="004F70AE" w:rsidP="004F70AE">
      <w:pPr>
        <w:rPr>
          <w:rFonts w:eastAsia="Times New Roman" w:cs="Times New Roman"/>
          <w:color w:val="000000" w:themeColor="text1"/>
        </w:rPr>
      </w:pPr>
      <w:r>
        <w:rPr>
          <w:rFonts w:eastAsia="Times New Roman" w:cs="Times New Roman"/>
          <w:color w:val="000000" w:themeColor="text1"/>
        </w:rPr>
        <w:tab/>
      </w:r>
    </w:p>
    <w:p w14:paraId="5CDCA62F" w14:textId="6E08BCF9" w:rsidR="004F70AE" w:rsidRDefault="004F70AE" w:rsidP="004F70AE">
      <w:pPr>
        <w:rPr>
          <w:rFonts w:eastAsia="Times New Roman" w:cs="Times New Roman"/>
          <w:color w:val="000000" w:themeColor="text1"/>
        </w:rPr>
      </w:pPr>
    </w:p>
    <w:p w14:paraId="39E75674" w14:textId="77777777" w:rsidR="004F70AE" w:rsidRDefault="004F70AE" w:rsidP="004F70AE">
      <w:pPr>
        <w:rPr>
          <w:rFonts w:eastAsia="Times New Roman" w:cs="Times New Roman"/>
          <w:color w:val="000000" w:themeColor="text1"/>
        </w:rPr>
      </w:pPr>
    </w:p>
    <w:p w14:paraId="1B592E5C" w14:textId="630665D1" w:rsidR="00A87CD9" w:rsidRDefault="00A87CD9" w:rsidP="00CE3300">
      <w:pPr>
        <w:rPr>
          <w:rFonts w:eastAsia="Times New Roman" w:cs="Times New Roman"/>
          <w:color w:val="000000" w:themeColor="text1"/>
        </w:rPr>
      </w:pPr>
    </w:p>
    <w:p w14:paraId="5D9F5168" w14:textId="77777777" w:rsidR="00A87CD9" w:rsidRDefault="00A87CD9" w:rsidP="00CE3300">
      <w:pPr>
        <w:rPr>
          <w:rFonts w:eastAsia="Times New Roman" w:cs="Times New Roman"/>
          <w:color w:val="000000" w:themeColor="text1"/>
        </w:rPr>
      </w:pPr>
    </w:p>
    <w:p w14:paraId="4E305594" w14:textId="77777777" w:rsidR="00A87CD9" w:rsidRDefault="00A87CD9" w:rsidP="00CE3300">
      <w:pPr>
        <w:rPr>
          <w:rFonts w:eastAsia="Times New Roman" w:cs="Times New Roman"/>
          <w:color w:val="000000" w:themeColor="text1"/>
        </w:rPr>
      </w:pPr>
    </w:p>
    <w:p w14:paraId="28CC0646" w14:textId="77777777" w:rsidR="00A87CD9" w:rsidRDefault="00A87CD9" w:rsidP="00CE3300">
      <w:pPr>
        <w:rPr>
          <w:rFonts w:eastAsia="Times New Roman" w:cs="Times New Roman"/>
          <w:color w:val="000000" w:themeColor="text1"/>
        </w:rPr>
      </w:pPr>
    </w:p>
    <w:p w14:paraId="30758851" w14:textId="77777777" w:rsidR="00A87CD9" w:rsidRDefault="00A87CD9" w:rsidP="00CE3300">
      <w:pPr>
        <w:rPr>
          <w:rFonts w:eastAsia="Times New Roman" w:cs="Times New Roman"/>
          <w:color w:val="000000" w:themeColor="text1"/>
        </w:rPr>
      </w:pPr>
    </w:p>
    <w:p w14:paraId="2F5AB5EE" w14:textId="77777777" w:rsidR="00CE3300" w:rsidRPr="00CE3300" w:rsidRDefault="00CE3300" w:rsidP="00CE3300">
      <w:pP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br w:type="page"/>
      </w:r>
    </w:p>
    <w:p w14:paraId="46023843" w14:textId="77777777" w:rsidR="00B33CE7" w:rsidRPr="00B33CE7" w:rsidRDefault="00B33CE7" w:rsidP="00B33CE7">
      <w:pPr>
        <w:spacing w:before="100" w:beforeAutospacing="1" w:after="100" w:afterAutospacing="1"/>
        <w:jc w:val="center"/>
        <w:outlineLvl w:val="0"/>
        <w:rPr>
          <w:rFonts w:cs="Times New Roman"/>
          <w:b/>
          <w:color w:val="000000" w:themeColor="text1"/>
        </w:rPr>
      </w:pPr>
      <w:r w:rsidRPr="00B33CE7">
        <w:rPr>
          <w:rFonts w:cs="Times New Roman"/>
          <w:b/>
          <w:bCs/>
          <w:color w:val="000000" w:themeColor="text1"/>
        </w:rPr>
        <w:lastRenderedPageBreak/>
        <w:t>PROYECTO DE LEY ___ DE 2018</w:t>
      </w:r>
    </w:p>
    <w:p w14:paraId="5E354325" w14:textId="77777777" w:rsidR="00B33CE7" w:rsidRPr="00B33CE7" w:rsidRDefault="00B33CE7" w:rsidP="00B33CE7">
      <w:pPr>
        <w:spacing w:before="57" w:after="57" w:line="288" w:lineRule="atLeast"/>
        <w:jc w:val="center"/>
        <w:textAlignment w:val="center"/>
        <w:rPr>
          <w:rFonts w:eastAsiaTheme="minorHAnsi"/>
          <w:lang w:val="es-CO" w:eastAsia="en-US"/>
        </w:rPr>
      </w:pPr>
      <w:r w:rsidRPr="00B33CE7">
        <w:rPr>
          <w:rFonts w:ascii="Times New Roman" w:eastAsia="Times New Roman" w:hAnsi="Times New Roman" w:cs="Times New Roman"/>
          <w:color w:val="000000" w:themeColor="text1"/>
        </w:rPr>
        <w:t>“</w:t>
      </w:r>
      <w:r w:rsidRPr="00B33CE7">
        <w:rPr>
          <w:rFonts w:eastAsiaTheme="minorHAnsi"/>
          <w:lang w:val="es-CO" w:eastAsia="en-US"/>
        </w:rPr>
        <w:t>Por medio de la cual se crea el régimen de Zona Económica y Social Especial (ZESE) para el área metropolitana de Cúcuta”</w:t>
      </w:r>
    </w:p>
    <w:p w14:paraId="32D374C9" w14:textId="77777777" w:rsidR="00D70FE4" w:rsidRDefault="00D70FE4" w:rsidP="00D70FE4">
      <w:pPr>
        <w:spacing w:after="160" w:line="259" w:lineRule="auto"/>
        <w:jc w:val="center"/>
        <w:rPr>
          <w:rFonts w:eastAsiaTheme="minorHAnsi"/>
          <w:lang w:val="es-CO" w:eastAsia="en-US"/>
        </w:rPr>
      </w:pPr>
    </w:p>
    <w:p w14:paraId="3C5DD65B" w14:textId="609442CC" w:rsidR="00B33CE7" w:rsidRPr="00D70FE4" w:rsidRDefault="00D70FE4" w:rsidP="00D70FE4">
      <w:pPr>
        <w:spacing w:after="160" w:line="259" w:lineRule="auto"/>
        <w:jc w:val="center"/>
        <w:rPr>
          <w:rFonts w:eastAsiaTheme="minorHAnsi"/>
          <w:b/>
          <w:lang w:val="es-CO" w:eastAsia="en-US"/>
        </w:rPr>
      </w:pPr>
      <w:r w:rsidRPr="00D70FE4">
        <w:rPr>
          <w:rFonts w:eastAsiaTheme="minorHAnsi"/>
          <w:b/>
          <w:lang w:val="es-CO" w:eastAsia="en-US"/>
        </w:rPr>
        <w:t xml:space="preserve">EL CONGRESO DE COLOMBIA </w:t>
      </w:r>
    </w:p>
    <w:p w14:paraId="5A4056D3" w14:textId="06397E73" w:rsidR="00D70FE4" w:rsidRPr="00D70FE4" w:rsidRDefault="00D70FE4" w:rsidP="00D70FE4">
      <w:pPr>
        <w:spacing w:after="160" w:line="259" w:lineRule="auto"/>
        <w:jc w:val="center"/>
        <w:rPr>
          <w:rFonts w:eastAsiaTheme="minorHAnsi"/>
          <w:b/>
          <w:lang w:val="es-CO" w:eastAsia="en-US"/>
        </w:rPr>
      </w:pPr>
      <w:r w:rsidRPr="00D70FE4">
        <w:rPr>
          <w:rFonts w:eastAsiaTheme="minorHAnsi"/>
          <w:b/>
          <w:lang w:val="es-CO" w:eastAsia="en-US"/>
        </w:rPr>
        <w:t>DE</w:t>
      </w:r>
      <w:bookmarkStart w:id="5" w:name="_GoBack"/>
      <w:bookmarkEnd w:id="5"/>
      <w:r w:rsidRPr="00D70FE4">
        <w:rPr>
          <w:rFonts w:eastAsiaTheme="minorHAnsi"/>
          <w:b/>
          <w:lang w:val="es-CO" w:eastAsia="en-US"/>
        </w:rPr>
        <w:t>CRETA:</w:t>
      </w:r>
    </w:p>
    <w:p w14:paraId="76F53AD2" w14:textId="5564B1F5" w:rsidR="00B33CE7" w:rsidRPr="00B33CE7" w:rsidRDefault="00B33CE7" w:rsidP="00B33CE7">
      <w:pPr>
        <w:spacing w:after="160" w:line="259" w:lineRule="auto"/>
        <w:jc w:val="both"/>
        <w:rPr>
          <w:rFonts w:eastAsiaTheme="minorHAnsi"/>
          <w:lang w:val="es-CO" w:eastAsia="en-US"/>
        </w:rPr>
      </w:pPr>
      <w:r w:rsidRPr="00B33CE7">
        <w:rPr>
          <w:rFonts w:eastAsiaTheme="minorHAnsi"/>
          <w:b/>
          <w:lang w:val="es-CO" w:eastAsia="en-US"/>
        </w:rPr>
        <w:t>ARTÍCULO 1. Objeto</w:t>
      </w:r>
      <w:r w:rsidRPr="00B33CE7">
        <w:rPr>
          <w:rFonts w:eastAsiaTheme="minorHAnsi"/>
          <w:lang w:val="es-CO" w:eastAsia="en-US"/>
        </w:rPr>
        <w:t xml:space="preserve">. El objeto de la presente ley es </w:t>
      </w:r>
      <w:r w:rsidR="003932E6">
        <w:rPr>
          <w:rFonts w:eastAsiaTheme="minorHAnsi"/>
          <w:lang w:val="es-CO" w:eastAsia="en-US"/>
        </w:rPr>
        <w:t>otorgar al</w:t>
      </w:r>
      <w:r w:rsidRPr="00B33CE7">
        <w:rPr>
          <w:rFonts w:eastAsiaTheme="minorHAnsi"/>
          <w:lang w:val="es-CO" w:eastAsia="en-US"/>
        </w:rPr>
        <w:t xml:space="preserve"> </w:t>
      </w:r>
      <w:r w:rsidR="003932E6">
        <w:rPr>
          <w:rFonts w:eastAsiaTheme="minorHAnsi"/>
          <w:lang w:val="es-CO" w:eastAsia="en-US"/>
        </w:rPr>
        <w:t>á</w:t>
      </w:r>
      <w:r w:rsidR="003932E6" w:rsidRPr="00B33CE7">
        <w:rPr>
          <w:rFonts w:eastAsiaTheme="minorHAnsi"/>
          <w:lang w:val="es-CO" w:eastAsia="en-US"/>
        </w:rPr>
        <w:t xml:space="preserve">rea Metropolitana de Cúcuta que </w:t>
      </w:r>
      <w:r w:rsidR="003932E6">
        <w:rPr>
          <w:rFonts w:eastAsiaTheme="minorHAnsi"/>
          <w:lang w:val="es-CO" w:eastAsia="en-US"/>
        </w:rPr>
        <w:t>comprende los mun</w:t>
      </w:r>
      <w:r w:rsidR="003932E6" w:rsidRPr="00B33CE7">
        <w:rPr>
          <w:rFonts w:eastAsiaTheme="minorHAnsi"/>
          <w:lang w:val="es-CO" w:eastAsia="en-US"/>
        </w:rPr>
        <w:t>icipios de San José de Cúcuta, Villa del Ros</w:t>
      </w:r>
      <w:r w:rsidR="00CC7292">
        <w:rPr>
          <w:rFonts w:eastAsiaTheme="minorHAnsi"/>
          <w:lang w:val="es-CO" w:eastAsia="en-US"/>
        </w:rPr>
        <w:t>ario, Los Patios, San Cayetano,</w:t>
      </w:r>
      <w:r w:rsidR="003932E6" w:rsidRPr="00B33CE7">
        <w:rPr>
          <w:rFonts w:eastAsiaTheme="minorHAnsi"/>
          <w:lang w:val="es-CO" w:eastAsia="en-US"/>
        </w:rPr>
        <w:t xml:space="preserve"> Puerto Santander </w:t>
      </w:r>
      <w:r w:rsidR="00CC7292">
        <w:rPr>
          <w:rFonts w:eastAsiaTheme="minorHAnsi"/>
          <w:lang w:val="es-CO" w:eastAsia="en-US"/>
        </w:rPr>
        <w:t xml:space="preserve">y </w:t>
      </w:r>
      <w:r w:rsidR="00C77DC9">
        <w:rPr>
          <w:rFonts w:eastAsiaTheme="minorHAnsi"/>
          <w:lang w:val="es-CO" w:eastAsia="en-US"/>
        </w:rPr>
        <w:t xml:space="preserve">El </w:t>
      </w:r>
      <w:r w:rsidR="00CC7292">
        <w:rPr>
          <w:rFonts w:eastAsiaTheme="minorHAnsi"/>
          <w:lang w:val="es-CO" w:eastAsia="en-US"/>
        </w:rPr>
        <w:t xml:space="preserve">Zulia </w:t>
      </w:r>
      <w:r w:rsidR="003932E6">
        <w:rPr>
          <w:rFonts w:eastAsiaTheme="minorHAnsi"/>
          <w:lang w:val="es-CO" w:eastAsia="en-US"/>
        </w:rPr>
        <w:t xml:space="preserve">la condición de </w:t>
      </w:r>
      <w:r w:rsidRPr="00B33CE7">
        <w:rPr>
          <w:rFonts w:eastAsiaTheme="minorHAnsi"/>
          <w:lang w:val="es-CO" w:eastAsia="en-US"/>
        </w:rPr>
        <w:t>Zona Económica Especial (ZESE), con un régimen especial en materia tributaria y económica</w:t>
      </w:r>
      <w:r w:rsidR="00A44F90">
        <w:rPr>
          <w:rFonts w:eastAsiaTheme="minorHAnsi"/>
          <w:lang w:val="es-CO" w:eastAsia="en-US"/>
        </w:rPr>
        <w:t xml:space="preserve"> </w:t>
      </w:r>
      <w:r w:rsidRPr="00B33CE7">
        <w:rPr>
          <w:rFonts w:eastAsiaTheme="minorHAnsi"/>
          <w:lang w:val="es-CO" w:eastAsia="en-US"/>
        </w:rPr>
        <w:t xml:space="preserve">para atraer inversión nacional y extranjera; </w:t>
      </w:r>
      <w:r w:rsidR="006D0414">
        <w:rPr>
          <w:rFonts w:eastAsiaTheme="minorHAnsi"/>
          <w:lang w:val="es-CO" w:eastAsia="en-US"/>
        </w:rPr>
        <w:t>y</w:t>
      </w:r>
      <w:r w:rsidRPr="00B33CE7">
        <w:rPr>
          <w:rFonts w:eastAsiaTheme="minorHAnsi"/>
          <w:lang w:val="es-CO" w:eastAsia="en-US"/>
        </w:rPr>
        <w:t xml:space="preserve"> contribuir al mejoramiento de las condiciones de vida de su población y </w:t>
      </w:r>
      <w:r w:rsidR="006D0414">
        <w:rPr>
          <w:rFonts w:eastAsiaTheme="minorHAnsi"/>
          <w:lang w:val="es-CO" w:eastAsia="en-US"/>
        </w:rPr>
        <w:t>generar</w:t>
      </w:r>
      <w:r w:rsidRPr="00B33CE7">
        <w:rPr>
          <w:rFonts w:eastAsiaTheme="minorHAnsi"/>
          <w:lang w:val="es-CO" w:eastAsia="en-US"/>
        </w:rPr>
        <w:t xml:space="preserve"> empleo.</w:t>
      </w:r>
    </w:p>
    <w:p w14:paraId="38DE7B5B" w14:textId="77777777" w:rsidR="00B33CE7" w:rsidRPr="00B33CE7" w:rsidRDefault="00192923" w:rsidP="00B33CE7">
      <w:pPr>
        <w:spacing w:before="57" w:after="57" w:line="288" w:lineRule="atLeast"/>
        <w:jc w:val="both"/>
        <w:textAlignment w:val="center"/>
        <w:rPr>
          <w:rFonts w:eastAsiaTheme="minorHAnsi"/>
          <w:lang w:val="es-CO" w:eastAsia="en-US"/>
        </w:rPr>
      </w:pPr>
      <w:r w:rsidRPr="00B33CE7">
        <w:rPr>
          <w:rFonts w:eastAsiaTheme="minorHAnsi"/>
          <w:b/>
          <w:lang w:val="es-CO" w:eastAsia="en-US"/>
        </w:rPr>
        <w:t>ARTÍCULO</w:t>
      </w:r>
      <w:r w:rsidR="00B33CE7" w:rsidRPr="00B33CE7">
        <w:rPr>
          <w:rFonts w:eastAsiaTheme="minorHAnsi"/>
          <w:b/>
          <w:lang w:val="es-CO" w:eastAsia="en-US"/>
        </w:rPr>
        <w:t xml:space="preserve"> 2. Beneficiarios.</w:t>
      </w:r>
      <w:r w:rsidR="00B33CE7" w:rsidRPr="00B33CE7">
        <w:rPr>
          <w:rFonts w:eastAsiaTheme="minorHAnsi"/>
          <w:lang w:val="es-CO" w:eastAsia="en-US"/>
        </w:rPr>
        <w:t xml:space="preserve"> La presente ley aplica a las sociedades comerciales que se constituyan en la Zona Económica y Social Especial (ZES</w:t>
      </w:r>
      <w:r w:rsidR="00834667">
        <w:rPr>
          <w:rFonts w:eastAsiaTheme="minorHAnsi"/>
          <w:lang w:val="es-CO" w:eastAsia="en-US"/>
        </w:rPr>
        <w:t>E) antes referida</w:t>
      </w:r>
      <w:r w:rsidR="00834667" w:rsidRPr="00834667">
        <w:rPr>
          <w:rFonts w:eastAsiaTheme="minorHAnsi"/>
          <w:lang w:val="es-CO" w:eastAsia="en-US"/>
        </w:rPr>
        <w:t xml:space="preserve"> </w:t>
      </w:r>
      <w:r w:rsidR="00834667" w:rsidRPr="00B33CE7">
        <w:rPr>
          <w:rFonts w:eastAsiaTheme="minorHAnsi"/>
          <w:lang w:val="es-CO" w:eastAsia="en-US"/>
        </w:rPr>
        <w:t xml:space="preserve">dentro de los tres (3) años siguientes a la entrada en vigencia de </w:t>
      </w:r>
      <w:r w:rsidR="00834667">
        <w:rPr>
          <w:rFonts w:eastAsiaTheme="minorHAnsi"/>
          <w:lang w:val="es-CO" w:eastAsia="en-US"/>
        </w:rPr>
        <w:t>aquella</w:t>
      </w:r>
      <w:r w:rsidR="00834667" w:rsidRPr="00B33CE7" w:rsidDel="00834667">
        <w:rPr>
          <w:rFonts w:eastAsiaTheme="minorHAnsi"/>
          <w:lang w:val="es-CO" w:eastAsia="en-US"/>
        </w:rPr>
        <w:t xml:space="preserve"> </w:t>
      </w:r>
      <w:r w:rsidR="00B33CE7" w:rsidRPr="00B33CE7">
        <w:rPr>
          <w:rFonts w:eastAsiaTheme="minorHAnsi"/>
          <w:lang w:val="es-CO" w:eastAsia="en-US"/>
        </w:rPr>
        <w:t xml:space="preserve">, bajo cualquiera de las modalidades definidas en la legislación vigente, y cuya </w:t>
      </w:r>
      <w:r w:rsidR="001C275A" w:rsidRPr="00B33CE7">
        <w:rPr>
          <w:rFonts w:eastAsiaTheme="minorHAnsi"/>
          <w:lang w:val="es-CO" w:eastAsia="en-US"/>
        </w:rPr>
        <w:t xml:space="preserve">principal </w:t>
      </w:r>
      <w:r w:rsidR="00B33CE7" w:rsidRPr="00B33CE7">
        <w:rPr>
          <w:rFonts w:eastAsiaTheme="minorHAnsi"/>
          <w:lang w:val="es-CO" w:eastAsia="en-US"/>
        </w:rPr>
        <w:t xml:space="preserve">actividad económica consista en </w:t>
      </w:r>
      <w:r w:rsidR="001C275A">
        <w:rPr>
          <w:rFonts w:eastAsiaTheme="minorHAnsi"/>
          <w:lang w:val="es-CO" w:eastAsia="en-US"/>
        </w:rPr>
        <w:t>el desarrollo de</w:t>
      </w:r>
      <w:r w:rsidR="00B33CE7" w:rsidRPr="00B33CE7">
        <w:rPr>
          <w:rFonts w:eastAsiaTheme="minorHAnsi"/>
          <w:lang w:val="es-CO" w:eastAsia="en-US"/>
        </w:rPr>
        <w:t xml:space="preserve"> </w:t>
      </w:r>
      <w:r w:rsidR="00246246">
        <w:rPr>
          <w:rFonts w:eastAsiaTheme="minorHAnsi"/>
          <w:lang w:val="es-CO" w:eastAsia="en-US"/>
        </w:rPr>
        <w:t xml:space="preserve">actividades industriales, </w:t>
      </w:r>
      <w:r w:rsidR="00B33CE7" w:rsidRPr="00B33CE7">
        <w:rPr>
          <w:rFonts w:eastAsiaTheme="minorHAnsi"/>
          <w:lang w:val="es-CO" w:eastAsia="en-US"/>
        </w:rPr>
        <w:t>agropecuarias</w:t>
      </w:r>
      <w:r w:rsidR="00246246">
        <w:rPr>
          <w:rFonts w:eastAsiaTheme="minorHAnsi"/>
          <w:lang w:val="es-CO" w:eastAsia="en-US"/>
        </w:rPr>
        <w:t xml:space="preserve"> o</w:t>
      </w:r>
      <w:r w:rsidR="00B33CE7" w:rsidRPr="00B33CE7">
        <w:rPr>
          <w:rFonts w:eastAsiaTheme="minorHAnsi"/>
          <w:lang w:val="es-CO" w:eastAsia="en-US"/>
        </w:rPr>
        <w:t xml:space="preserve"> comerciales.</w:t>
      </w:r>
    </w:p>
    <w:p w14:paraId="4A2F2FA5" w14:textId="77777777" w:rsidR="00B33CE7" w:rsidRPr="00B33CE7" w:rsidRDefault="00B33CE7" w:rsidP="00B33CE7">
      <w:pPr>
        <w:spacing w:before="57" w:after="57" w:line="288" w:lineRule="atLeast"/>
        <w:jc w:val="both"/>
        <w:textAlignment w:val="center"/>
        <w:rPr>
          <w:rFonts w:eastAsiaTheme="minorHAnsi"/>
          <w:lang w:val="es-CO" w:eastAsia="en-US"/>
        </w:rPr>
      </w:pPr>
    </w:p>
    <w:p w14:paraId="0F43A1C3" w14:textId="77777777" w:rsidR="00B33CE7" w:rsidRPr="00B33CE7" w:rsidRDefault="00B33CE7" w:rsidP="00B33CE7">
      <w:pPr>
        <w:spacing w:after="160" w:line="259" w:lineRule="auto"/>
        <w:jc w:val="both"/>
        <w:rPr>
          <w:rFonts w:eastAsiaTheme="minorHAnsi"/>
          <w:lang w:val="es-CO" w:eastAsia="en-US"/>
        </w:rPr>
      </w:pPr>
      <w:r w:rsidRPr="00B33CE7">
        <w:rPr>
          <w:rFonts w:eastAsiaTheme="minorHAnsi"/>
          <w:b/>
          <w:lang w:val="es-CO" w:eastAsia="en-US"/>
        </w:rPr>
        <w:t>Parágrafo</w:t>
      </w:r>
      <w:r w:rsidRPr="00B33CE7">
        <w:rPr>
          <w:rFonts w:eastAsiaTheme="minorHAnsi"/>
          <w:lang w:val="es-CO" w:eastAsia="en-US"/>
        </w:rPr>
        <w:t xml:space="preserve">. Para </w:t>
      </w:r>
      <w:r w:rsidR="001C275A">
        <w:rPr>
          <w:rFonts w:eastAsiaTheme="minorHAnsi"/>
          <w:lang w:val="es-CO" w:eastAsia="en-US"/>
        </w:rPr>
        <w:t>el reconocimiento de</w:t>
      </w:r>
      <w:r w:rsidRPr="00B33CE7">
        <w:rPr>
          <w:rFonts w:eastAsiaTheme="minorHAnsi"/>
          <w:lang w:val="es-CO" w:eastAsia="en-US"/>
        </w:rPr>
        <w:t xml:space="preserve"> los beneficios tributarios y económicos previstos en esta ley, el bene</w:t>
      </w:r>
      <w:r w:rsidR="0055172E">
        <w:rPr>
          <w:rFonts w:eastAsiaTheme="minorHAnsi"/>
          <w:lang w:val="es-CO" w:eastAsia="en-US"/>
        </w:rPr>
        <w:t>ficiario deberá desarrollar toda</w:t>
      </w:r>
      <w:r w:rsidRPr="00B33CE7">
        <w:rPr>
          <w:rFonts w:eastAsiaTheme="minorHAnsi"/>
          <w:lang w:val="es-CO" w:eastAsia="en-US"/>
        </w:rPr>
        <w:t xml:space="preserve"> </w:t>
      </w:r>
      <w:r w:rsidR="0055172E">
        <w:rPr>
          <w:rFonts w:eastAsiaTheme="minorHAnsi"/>
          <w:lang w:val="es-CO" w:eastAsia="en-US"/>
        </w:rPr>
        <w:t>su</w:t>
      </w:r>
      <w:r w:rsidR="000E24EF">
        <w:rPr>
          <w:rFonts w:eastAsiaTheme="minorHAnsi"/>
          <w:lang w:val="es-CO" w:eastAsia="en-US"/>
        </w:rPr>
        <w:t xml:space="preserve"> actividad economica </w:t>
      </w:r>
      <w:r w:rsidRPr="00B33CE7">
        <w:rPr>
          <w:rFonts w:eastAsiaTheme="minorHAnsi"/>
          <w:lang w:val="es-CO" w:eastAsia="en-US"/>
        </w:rPr>
        <w:t>en la Zona Económica y Social Especial (ZESE), y los productos</w:t>
      </w:r>
      <w:r w:rsidR="001C275A">
        <w:rPr>
          <w:rFonts w:eastAsiaTheme="minorHAnsi"/>
          <w:lang w:val="es-CO" w:eastAsia="en-US"/>
        </w:rPr>
        <w:t xml:space="preserve"> que prepare o provea</w:t>
      </w:r>
      <w:r w:rsidRPr="00B33CE7">
        <w:rPr>
          <w:rFonts w:eastAsiaTheme="minorHAnsi"/>
          <w:lang w:val="es-CO" w:eastAsia="en-US"/>
        </w:rPr>
        <w:t xml:space="preserve"> podrán ser vendidos y despachados en la misma o </w:t>
      </w:r>
      <w:r w:rsidR="001C275A">
        <w:rPr>
          <w:rFonts w:eastAsiaTheme="minorHAnsi"/>
          <w:lang w:val="es-CO" w:eastAsia="en-US"/>
        </w:rPr>
        <w:t>ser destinados a</w:t>
      </w:r>
      <w:r w:rsidRPr="00B33CE7">
        <w:rPr>
          <w:rFonts w:eastAsiaTheme="minorHAnsi"/>
          <w:lang w:val="es-CO" w:eastAsia="en-US"/>
        </w:rPr>
        <w:t xml:space="preserve"> lugares del territorio nacional o al exterior.</w:t>
      </w:r>
    </w:p>
    <w:p w14:paraId="30A180FF" w14:textId="77777777" w:rsidR="00B33CE7" w:rsidRDefault="00192923" w:rsidP="00B33CE7">
      <w:pPr>
        <w:spacing w:before="57" w:after="57" w:line="288" w:lineRule="atLeast"/>
        <w:jc w:val="both"/>
        <w:textAlignment w:val="center"/>
        <w:rPr>
          <w:rFonts w:eastAsiaTheme="minorHAnsi" w:cs="Times New Roman"/>
          <w:color w:val="000000" w:themeColor="text1"/>
          <w:spacing w:val="4"/>
          <w:lang w:val="es-CO" w:eastAsia="en-US"/>
        </w:rPr>
      </w:pPr>
      <w:r w:rsidRPr="00B33CE7">
        <w:rPr>
          <w:rFonts w:cs="Times New Roman"/>
          <w:b/>
          <w:color w:val="000000" w:themeColor="text1"/>
        </w:rPr>
        <w:t>ARTÍCULO</w:t>
      </w:r>
      <w:r w:rsidR="00B33CE7" w:rsidRPr="00B33CE7">
        <w:rPr>
          <w:rFonts w:cs="Times New Roman"/>
          <w:b/>
          <w:color w:val="000000" w:themeColor="text1"/>
        </w:rPr>
        <w:t xml:space="preserve"> 3. </w:t>
      </w:r>
      <w:r w:rsidR="00B33CE7" w:rsidRPr="00B33CE7">
        <w:rPr>
          <w:rFonts w:cs="Times New Roman"/>
          <w:b/>
          <w:color w:val="000000" w:themeColor="text1"/>
          <w:spacing w:val="4"/>
        </w:rPr>
        <w:t>Beneficio tributario en impuesto sobre la renta</w:t>
      </w:r>
      <w:r w:rsidR="00B33CE7" w:rsidRPr="00B33CE7">
        <w:rPr>
          <w:rFonts w:cs="Times New Roman"/>
          <w:color w:val="000000" w:themeColor="text1"/>
          <w:spacing w:val="4"/>
        </w:rPr>
        <w:t xml:space="preserve">. La tarifa </w:t>
      </w:r>
      <w:r w:rsidR="00B33CE7" w:rsidRPr="00B33CE7">
        <w:rPr>
          <w:rFonts w:eastAsiaTheme="minorHAnsi" w:cs="Times New Roman"/>
          <w:color w:val="000000" w:themeColor="text1"/>
          <w:spacing w:val="4"/>
          <w:lang w:val="es-CO" w:eastAsia="en-US"/>
        </w:rPr>
        <w:t xml:space="preserve">del impuesto sobre la renta aplicable a los beneficiarios de la </w:t>
      </w:r>
      <w:r w:rsidR="00B33CE7" w:rsidRPr="00B33CE7">
        <w:rPr>
          <w:rFonts w:eastAsiaTheme="minorHAnsi" w:cs="Times New Roman"/>
          <w:color w:val="000000" w:themeColor="text1"/>
          <w:spacing w:val="4"/>
          <w:lang w:eastAsia="en-US"/>
        </w:rPr>
        <w:t xml:space="preserve">Zona Económica y Social Especial </w:t>
      </w:r>
      <w:r w:rsidR="00B33CE7" w:rsidRPr="00B33CE7">
        <w:rPr>
          <w:rFonts w:eastAsiaTheme="minorHAnsi" w:cs="Times New Roman"/>
          <w:color w:val="000000" w:themeColor="text1"/>
          <w:spacing w:val="4"/>
          <w:lang w:val="es-CO" w:eastAsia="en-US"/>
        </w:rPr>
        <w:t xml:space="preserve">(ZESE) será del </w:t>
      </w:r>
      <w:r w:rsidR="001C275A">
        <w:rPr>
          <w:rFonts w:eastAsiaTheme="minorHAnsi" w:cs="Times New Roman"/>
          <w:color w:val="000000" w:themeColor="text1"/>
          <w:spacing w:val="4"/>
          <w:lang w:val="es-CO" w:eastAsia="en-US"/>
        </w:rPr>
        <w:t>cero por ciento (</w:t>
      </w:r>
      <w:r w:rsidR="00B33CE7" w:rsidRPr="00B33CE7">
        <w:rPr>
          <w:rFonts w:eastAsiaTheme="minorHAnsi" w:cs="Times New Roman"/>
          <w:color w:val="000000" w:themeColor="text1"/>
          <w:spacing w:val="4"/>
          <w:lang w:val="es-CO" w:eastAsia="en-US"/>
        </w:rPr>
        <w:t>0%</w:t>
      </w:r>
      <w:r w:rsidR="001C275A">
        <w:rPr>
          <w:rFonts w:eastAsiaTheme="minorHAnsi" w:cs="Times New Roman"/>
          <w:color w:val="000000" w:themeColor="text1"/>
          <w:spacing w:val="4"/>
          <w:lang w:val="es-CO" w:eastAsia="en-US"/>
        </w:rPr>
        <w:t>)</w:t>
      </w:r>
      <w:r w:rsidR="00B33CE7" w:rsidRPr="00B33CE7">
        <w:rPr>
          <w:rFonts w:eastAsiaTheme="minorHAnsi" w:cs="Times New Roman"/>
          <w:color w:val="000000" w:themeColor="text1"/>
          <w:spacing w:val="4"/>
          <w:lang w:val="es-CO" w:eastAsia="en-US"/>
        </w:rPr>
        <w:t xml:space="preserve"> durante los primeros cinco (5) años contados a partir de la constitución de la sociedad y del </w:t>
      </w:r>
      <w:r w:rsidR="001C275A">
        <w:rPr>
          <w:rFonts w:eastAsiaTheme="minorHAnsi" w:cs="Times New Roman"/>
          <w:color w:val="000000" w:themeColor="text1"/>
          <w:spacing w:val="4"/>
          <w:lang w:val="es-CO" w:eastAsia="en-US"/>
        </w:rPr>
        <w:t>cincuenta por ciento (</w:t>
      </w:r>
      <w:r w:rsidR="00B33CE7" w:rsidRPr="00B33CE7">
        <w:rPr>
          <w:rFonts w:eastAsiaTheme="minorHAnsi" w:cs="Times New Roman"/>
          <w:color w:val="000000" w:themeColor="text1"/>
          <w:spacing w:val="4"/>
          <w:lang w:val="es-CO" w:eastAsia="en-US"/>
        </w:rPr>
        <w:t>50%</w:t>
      </w:r>
      <w:r w:rsidR="001C275A">
        <w:rPr>
          <w:rFonts w:eastAsiaTheme="minorHAnsi" w:cs="Times New Roman"/>
          <w:color w:val="000000" w:themeColor="text1"/>
          <w:spacing w:val="4"/>
          <w:lang w:val="es-CO" w:eastAsia="en-US"/>
        </w:rPr>
        <w:t>)</w:t>
      </w:r>
      <w:r w:rsidR="00B33CE7" w:rsidRPr="00B33CE7">
        <w:rPr>
          <w:rFonts w:eastAsiaTheme="minorHAnsi" w:cs="Times New Roman"/>
          <w:color w:val="000000" w:themeColor="text1"/>
          <w:spacing w:val="4"/>
          <w:lang w:val="es-CO" w:eastAsia="en-US"/>
        </w:rPr>
        <w:t xml:space="preserve"> de la tarifa general para los siguientes cinco (5) años.</w:t>
      </w:r>
    </w:p>
    <w:p w14:paraId="3EDE713B" w14:textId="77777777" w:rsidR="00B85AA1" w:rsidRDefault="00B85AA1" w:rsidP="00B33CE7">
      <w:pPr>
        <w:spacing w:before="57" w:after="57" w:line="288" w:lineRule="atLeast"/>
        <w:jc w:val="both"/>
        <w:textAlignment w:val="center"/>
        <w:rPr>
          <w:rFonts w:eastAsiaTheme="minorHAnsi" w:cs="Times New Roman"/>
          <w:color w:val="000000" w:themeColor="text1"/>
          <w:spacing w:val="4"/>
          <w:lang w:val="es-CO" w:eastAsia="en-US"/>
        </w:rPr>
      </w:pPr>
    </w:p>
    <w:p w14:paraId="76AABFEB" w14:textId="77777777" w:rsidR="00B85AA1" w:rsidRPr="00671A64" w:rsidRDefault="00192923" w:rsidP="00B85AA1">
      <w:pPr>
        <w:spacing w:before="57" w:after="57" w:line="288" w:lineRule="atLeast"/>
        <w:jc w:val="both"/>
        <w:textAlignment w:val="center"/>
        <w:rPr>
          <w:rFonts w:cs="Times New Roman"/>
          <w:color w:val="000000" w:themeColor="text1"/>
        </w:rPr>
      </w:pPr>
      <w:r w:rsidRPr="00671A64">
        <w:rPr>
          <w:rFonts w:cs="Times New Roman"/>
          <w:b/>
          <w:color w:val="000000" w:themeColor="text1"/>
        </w:rPr>
        <w:t xml:space="preserve">ARTÍCULO </w:t>
      </w:r>
      <w:r w:rsidR="00B85AA1" w:rsidRPr="00671A64">
        <w:rPr>
          <w:rFonts w:cs="Times New Roman"/>
          <w:b/>
          <w:color w:val="000000" w:themeColor="text1"/>
        </w:rPr>
        <w:t xml:space="preserve">4. Retención en la fuente y autorretención a título de impuesto sobre la renta. </w:t>
      </w:r>
      <w:r w:rsidR="00B85AA1" w:rsidRPr="00671A64">
        <w:rPr>
          <w:rFonts w:cs="Times New Roman"/>
          <w:color w:val="000000" w:themeColor="text1"/>
        </w:rPr>
        <w:t>Cuando se efectúen pagos o abonos en cuenta a un beneficiario de la Zona Económica y Social Especial (ZESE), la tarifa de retención en la fuente se calculará en forma proporcional al porcentaje de la tarifa del impuesto sobre la ren</w:t>
      </w:r>
      <w:r w:rsidR="00671A64" w:rsidRPr="00671A64">
        <w:rPr>
          <w:rFonts w:cs="Times New Roman"/>
          <w:color w:val="000000" w:themeColor="text1"/>
        </w:rPr>
        <w:t>ta y complementarios del beneficiario</w:t>
      </w:r>
      <w:r w:rsidR="00B85AA1" w:rsidRPr="00671A64">
        <w:rPr>
          <w:rFonts w:cs="Times New Roman"/>
          <w:color w:val="000000" w:themeColor="text1"/>
        </w:rPr>
        <w:t>, así: del</w:t>
      </w:r>
      <w:r w:rsidR="0014563D">
        <w:rPr>
          <w:rFonts w:cs="Times New Roman"/>
          <w:color w:val="000000" w:themeColor="text1"/>
        </w:rPr>
        <w:t xml:space="preserve"> cero por ciento</w:t>
      </w:r>
      <w:r w:rsidR="00B85AA1" w:rsidRPr="00671A64">
        <w:rPr>
          <w:rFonts w:cs="Times New Roman"/>
          <w:color w:val="000000" w:themeColor="text1"/>
        </w:rPr>
        <w:t xml:space="preserve"> </w:t>
      </w:r>
      <w:r w:rsidR="0014563D">
        <w:rPr>
          <w:rFonts w:cs="Times New Roman"/>
          <w:color w:val="000000" w:themeColor="text1"/>
        </w:rPr>
        <w:t>(</w:t>
      </w:r>
      <w:r w:rsidR="00B85AA1" w:rsidRPr="00671A64">
        <w:rPr>
          <w:rFonts w:cs="Times New Roman"/>
          <w:color w:val="000000" w:themeColor="text1"/>
        </w:rPr>
        <w:t>0%</w:t>
      </w:r>
      <w:r w:rsidR="0014563D">
        <w:rPr>
          <w:rFonts w:cs="Times New Roman"/>
          <w:color w:val="000000" w:themeColor="text1"/>
        </w:rPr>
        <w:t>)</w:t>
      </w:r>
      <w:r w:rsidR="00B85AA1" w:rsidRPr="00671A64">
        <w:rPr>
          <w:rFonts w:cs="Times New Roman"/>
          <w:color w:val="000000" w:themeColor="text1"/>
        </w:rPr>
        <w:t xml:space="preserve"> durante los primeros cinco (5)</w:t>
      </w:r>
      <w:r w:rsidR="0014563D">
        <w:rPr>
          <w:rFonts w:cs="Times New Roman"/>
          <w:color w:val="000000" w:themeColor="text1"/>
        </w:rPr>
        <w:t xml:space="preserve"> años</w:t>
      </w:r>
      <w:r w:rsidR="00B85AA1" w:rsidRPr="00671A64">
        <w:rPr>
          <w:rFonts w:cs="Times New Roman"/>
          <w:color w:val="000000" w:themeColor="text1"/>
        </w:rPr>
        <w:t xml:space="preserve"> y del </w:t>
      </w:r>
      <w:r w:rsidR="0014563D">
        <w:rPr>
          <w:rFonts w:cs="Times New Roman"/>
          <w:color w:val="000000" w:themeColor="text1"/>
        </w:rPr>
        <w:t>cincuenta por ciento (</w:t>
      </w:r>
      <w:r w:rsidR="00B85AA1" w:rsidRPr="00671A64">
        <w:rPr>
          <w:rFonts w:cs="Times New Roman"/>
          <w:color w:val="000000" w:themeColor="text1"/>
        </w:rPr>
        <w:t>50%</w:t>
      </w:r>
      <w:r w:rsidR="0014563D">
        <w:rPr>
          <w:rFonts w:cs="Times New Roman"/>
          <w:color w:val="000000" w:themeColor="text1"/>
        </w:rPr>
        <w:t>)</w:t>
      </w:r>
      <w:r w:rsidR="00B85AA1" w:rsidRPr="00671A64">
        <w:rPr>
          <w:rFonts w:cs="Times New Roman"/>
          <w:color w:val="000000" w:themeColor="text1"/>
        </w:rPr>
        <w:t xml:space="preserve"> para los cinco (5) siguientes</w:t>
      </w:r>
      <w:r w:rsidR="0014563D">
        <w:rPr>
          <w:rFonts w:cs="Times New Roman"/>
          <w:color w:val="000000" w:themeColor="text1"/>
        </w:rPr>
        <w:t>.</w:t>
      </w:r>
    </w:p>
    <w:p w14:paraId="0F919242" w14:textId="77777777" w:rsidR="00B85AA1" w:rsidRPr="00671A64" w:rsidRDefault="00B85AA1" w:rsidP="00B85AA1">
      <w:pPr>
        <w:spacing w:before="57" w:after="57" w:line="288" w:lineRule="atLeast"/>
        <w:jc w:val="both"/>
        <w:textAlignment w:val="center"/>
        <w:rPr>
          <w:rFonts w:cs="Times New Roman"/>
          <w:color w:val="000000" w:themeColor="text1"/>
        </w:rPr>
      </w:pPr>
    </w:p>
    <w:p w14:paraId="5EA4B96E" w14:textId="77777777" w:rsidR="00B85AA1" w:rsidRPr="00671A64" w:rsidRDefault="00B85AA1" w:rsidP="00B85AA1">
      <w:pPr>
        <w:spacing w:before="57" w:after="57" w:line="288" w:lineRule="atLeast"/>
        <w:jc w:val="both"/>
        <w:textAlignment w:val="center"/>
        <w:rPr>
          <w:rFonts w:cs="Times New Roman"/>
          <w:color w:val="000000" w:themeColor="text1"/>
        </w:rPr>
      </w:pPr>
      <w:r w:rsidRPr="00671A64">
        <w:rPr>
          <w:rFonts w:cs="Times New Roman"/>
          <w:color w:val="000000" w:themeColor="text1"/>
        </w:rPr>
        <w:lastRenderedPageBreak/>
        <w:t>Para efectos de lo anterior el beneficiario de la ZESE deberá informar al agente retenedor en la factura. En ausencia de esta información, el agente retenedor aplicará la tarifa plena que corresponda a la operación.</w:t>
      </w:r>
    </w:p>
    <w:p w14:paraId="706A876D" w14:textId="77777777" w:rsidR="00B85AA1" w:rsidRPr="00671A64" w:rsidRDefault="00B85AA1" w:rsidP="00B85AA1">
      <w:pPr>
        <w:spacing w:before="57" w:after="57" w:line="288" w:lineRule="atLeast"/>
        <w:jc w:val="both"/>
        <w:textAlignment w:val="center"/>
        <w:rPr>
          <w:rFonts w:cs="Times New Roman"/>
          <w:color w:val="000000" w:themeColor="text1"/>
        </w:rPr>
      </w:pPr>
    </w:p>
    <w:p w14:paraId="41DA51F7" w14:textId="77777777" w:rsidR="00B85AA1" w:rsidRPr="000E24EF" w:rsidRDefault="00671A64" w:rsidP="00B33CE7">
      <w:pPr>
        <w:spacing w:before="57" w:after="57" w:line="288" w:lineRule="atLeast"/>
        <w:jc w:val="both"/>
        <w:textAlignment w:val="center"/>
        <w:rPr>
          <w:rFonts w:cs="Times New Roman"/>
          <w:color w:val="000000" w:themeColor="text1"/>
        </w:rPr>
      </w:pPr>
      <w:r w:rsidRPr="00671A64">
        <w:rPr>
          <w:rFonts w:cs="Times New Roman"/>
          <w:color w:val="000000" w:themeColor="text1"/>
        </w:rPr>
        <w:t>Los beneficiarios de la</w:t>
      </w:r>
      <w:r w:rsidR="00B85AA1" w:rsidRPr="00671A64">
        <w:rPr>
          <w:rFonts w:cs="Times New Roman"/>
          <w:color w:val="000000" w:themeColor="text1"/>
        </w:rPr>
        <w:t xml:space="preserve"> ZESE calcularán en forma proporcional al porcentaje de la tarifa del impuesto sobre la renta y complementario la autorretención de que t</w:t>
      </w:r>
      <w:r w:rsidR="00192923" w:rsidRPr="00671A64">
        <w:rPr>
          <w:rFonts w:cs="Times New Roman"/>
          <w:color w:val="000000" w:themeColor="text1"/>
        </w:rPr>
        <w:t xml:space="preserve">ratan los artículos 1.2.6.6. al </w:t>
      </w:r>
      <w:r w:rsidR="00B85AA1" w:rsidRPr="00671A64">
        <w:rPr>
          <w:rFonts w:cs="Times New Roman"/>
          <w:color w:val="000000" w:themeColor="text1"/>
        </w:rPr>
        <w:t>1.2.6.11. del Decreto 1625 del 2016 Único Reglamentario en materia tributaria</w:t>
      </w:r>
      <w:r w:rsidR="00301F71">
        <w:rPr>
          <w:rFonts w:cs="Times New Roman"/>
          <w:color w:val="000000" w:themeColor="text1"/>
        </w:rPr>
        <w:t xml:space="preserve">, o aquellas normas que lo modifiquen, adicionen o sustituyan. </w:t>
      </w:r>
    </w:p>
    <w:p w14:paraId="6F8743D3" w14:textId="77777777" w:rsidR="00B33CE7" w:rsidRPr="00B33CE7" w:rsidRDefault="00192923" w:rsidP="00B33CE7">
      <w:pPr>
        <w:spacing w:before="100" w:beforeAutospacing="1" w:after="100" w:afterAutospacing="1" w:line="270" w:lineRule="atLeast"/>
        <w:jc w:val="both"/>
        <w:rPr>
          <w:rFonts w:cs="Times New Roman"/>
          <w:color w:val="000000" w:themeColor="text1"/>
          <w:spacing w:val="4"/>
        </w:rPr>
      </w:pPr>
      <w:bookmarkStart w:id="6" w:name="10"/>
      <w:r>
        <w:rPr>
          <w:rFonts w:cs="Times New Roman"/>
          <w:b/>
          <w:color w:val="000000" w:themeColor="text1"/>
          <w:spacing w:val="4"/>
        </w:rPr>
        <w:t>ARTICULO 5</w:t>
      </w:r>
      <w:r w:rsidR="00B33CE7" w:rsidRPr="00B33CE7">
        <w:rPr>
          <w:rFonts w:cs="Times New Roman"/>
          <w:b/>
          <w:color w:val="000000" w:themeColor="text1"/>
          <w:spacing w:val="4"/>
        </w:rPr>
        <w:t>. Requisitos para solicitar el beneficio tributario en impuesto sobre la renta.</w:t>
      </w:r>
      <w:bookmarkEnd w:id="6"/>
      <w:r w:rsidR="00B33CE7" w:rsidRPr="00B33CE7">
        <w:rPr>
          <w:rFonts w:cs="Times New Roman"/>
          <w:color w:val="000000" w:themeColor="text1"/>
          <w:spacing w:val="4"/>
        </w:rPr>
        <w:t> </w:t>
      </w:r>
      <w:r w:rsidR="00301F71">
        <w:rPr>
          <w:rFonts w:cs="Times New Roman"/>
          <w:color w:val="000000" w:themeColor="text1"/>
          <w:spacing w:val="4"/>
        </w:rPr>
        <w:t>D</w:t>
      </w:r>
      <w:r w:rsidR="00301F71" w:rsidRPr="00B33CE7">
        <w:rPr>
          <w:rFonts w:cs="Times New Roman"/>
          <w:color w:val="000000" w:themeColor="text1"/>
          <w:spacing w:val="4"/>
        </w:rPr>
        <w:t>urante los diez (10) años siguientes a</w:t>
      </w:r>
      <w:r w:rsidR="00301F71">
        <w:rPr>
          <w:rFonts w:cs="Times New Roman"/>
          <w:color w:val="000000" w:themeColor="text1"/>
          <w:spacing w:val="4"/>
        </w:rPr>
        <w:t xml:space="preserve"> la</w:t>
      </w:r>
      <w:r w:rsidR="00301F71" w:rsidRPr="00B33CE7">
        <w:rPr>
          <w:rFonts w:cs="Times New Roman"/>
          <w:color w:val="000000" w:themeColor="text1"/>
          <w:spacing w:val="4"/>
        </w:rPr>
        <w:t xml:space="preserve"> constitución</w:t>
      </w:r>
      <w:r w:rsidR="00301F71">
        <w:rPr>
          <w:rFonts w:cs="Times New Roman"/>
          <w:color w:val="000000" w:themeColor="text1"/>
          <w:spacing w:val="4"/>
        </w:rPr>
        <w:t xml:space="preserve"> de la respectiva sociedad en los términos previstos en esta Ley,</w:t>
      </w:r>
      <w:r w:rsidR="00301F71" w:rsidRPr="00B33CE7">
        <w:rPr>
          <w:rFonts w:cs="Times New Roman"/>
          <w:color w:val="000000" w:themeColor="text1"/>
          <w:spacing w:val="4"/>
        </w:rPr>
        <w:t xml:space="preserve"> </w:t>
      </w:r>
      <w:r w:rsidR="00301F71">
        <w:rPr>
          <w:rFonts w:cs="Times New Roman"/>
          <w:color w:val="000000" w:themeColor="text1"/>
          <w:spacing w:val="4"/>
        </w:rPr>
        <w:t>l</w:t>
      </w:r>
      <w:r w:rsidR="00B33CE7" w:rsidRPr="00B33CE7">
        <w:rPr>
          <w:rFonts w:cs="Times New Roman"/>
          <w:color w:val="000000" w:themeColor="text1"/>
          <w:spacing w:val="4"/>
        </w:rPr>
        <w:t xml:space="preserve">os beneficiarios de la </w:t>
      </w:r>
      <w:r w:rsidR="00B33CE7" w:rsidRPr="00B33CE7">
        <w:rPr>
          <w:rFonts w:eastAsiaTheme="minorHAnsi" w:cs="Times New Roman"/>
          <w:color w:val="000000" w:themeColor="text1"/>
          <w:spacing w:val="4"/>
          <w:lang w:eastAsia="en-US"/>
        </w:rPr>
        <w:t>Zona Económica y Social Especial (</w:t>
      </w:r>
      <w:r w:rsidR="00B33CE7" w:rsidRPr="00B33CE7">
        <w:rPr>
          <w:rFonts w:cs="Times New Roman"/>
          <w:color w:val="000000" w:themeColor="text1"/>
          <w:spacing w:val="4"/>
        </w:rPr>
        <w:t xml:space="preserve">ZESE), enviarán antes del 30 de marzo del año siguiente al gravable a la Dirección Seccional respectiva o la que haga sus veces de la Unidad Administrativa Especial Dirección de Impuestos y Aduana Nacionales – DIAN los siguientes documentos, </w:t>
      </w:r>
      <w:r w:rsidR="00301F71">
        <w:rPr>
          <w:rFonts w:cs="Times New Roman"/>
          <w:color w:val="000000" w:themeColor="text1"/>
          <w:spacing w:val="4"/>
        </w:rPr>
        <w:t>los cuales esta entidad</w:t>
      </w:r>
      <w:r w:rsidR="00301F71" w:rsidRPr="00B33CE7">
        <w:rPr>
          <w:rFonts w:cs="Times New Roman"/>
          <w:color w:val="000000" w:themeColor="text1"/>
          <w:spacing w:val="4"/>
        </w:rPr>
        <w:t xml:space="preserve"> </w:t>
      </w:r>
      <w:r w:rsidR="00B33CE7" w:rsidRPr="00B33CE7">
        <w:rPr>
          <w:rFonts w:cs="Times New Roman"/>
          <w:color w:val="000000" w:themeColor="text1"/>
          <w:spacing w:val="4"/>
        </w:rPr>
        <w:t>verificará con la declaración de impuesto sobre la renta correspondiente:</w:t>
      </w:r>
    </w:p>
    <w:p w14:paraId="3341E05A" w14:textId="77777777" w:rsidR="00B33CE7" w:rsidRPr="000E24EF" w:rsidRDefault="00192923" w:rsidP="00B33CE7">
      <w:pPr>
        <w:numPr>
          <w:ilvl w:val="0"/>
          <w:numId w:val="16"/>
        </w:numPr>
        <w:spacing w:before="100" w:beforeAutospacing="1" w:after="100" w:afterAutospacing="1" w:line="270" w:lineRule="atLeast"/>
        <w:contextualSpacing/>
        <w:jc w:val="both"/>
        <w:rPr>
          <w:rFonts w:cs="Times New Roman"/>
          <w:color w:val="000000" w:themeColor="text1"/>
          <w:spacing w:val="4"/>
        </w:rPr>
      </w:pPr>
      <w:r w:rsidRPr="000E24EF">
        <w:rPr>
          <w:rFonts w:cs="Times New Roman"/>
          <w:color w:val="000000" w:themeColor="text1"/>
          <w:spacing w:val="4"/>
        </w:rPr>
        <w:t>Declaración juramentada del beneficiario ante notario público</w:t>
      </w:r>
      <w:r w:rsidR="00B33CE7" w:rsidRPr="000E24EF">
        <w:rPr>
          <w:rFonts w:cs="Times New Roman"/>
          <w:color w:val="000000" w:themeColor="text1"/>
          <w:spacing w:val="4"/>
        </w:rPr>
        <w:t>, en la cual conste que se encuentra instalado físicamente en la jurisdicción de cualquiera de los municipios a los que se refiere el artículo 1 de la presente ley.</w:t>
      </w:r>
    </w:p>
    <w:p w14:paraId="0148A95A" w14:textId="77777777" w:rsidR="00B33CE7" w:rsidRPr="000E24EF" w:rsidRDefault="00B33CE7" w:rsidP="00B33CE7">
      <w:pPr>
        <w:spacing w:before="100" w:beforeAutospacing="1" w:after="100" w:afterAutospacing="1" w:line="270" w:lineRule="atLeast"/>
        <w:ind w:left="720"/>
        <w:contextualSpacing/>
        <w:jc w:val="both"/>
        <w:rPr>
          <w:rFonts w:cs="Times New Roman"/>
          <w:color w:val="000000" w:themeColor="text1"/>
          <w:spacing w:val="4"/>
        </w:rPr>
      </w:pPr>
    </w:p>
    <w:p w14:paraId="5B958E34" w14:textId="77777777" w:rsidR="00B33CE7" w:rsidRPr="000E24EF" w:rsidRDefault="00B33CE7" w:rsidP="00B33CE7">
      <w:pPr>
        <w:numPr>
          <w:ilvl w:val="0"/>
          <w:numId w:val="16"/>
        </w:numPr>
        <w:spacing w:before="100" w:beforeAutospacing="1" w:after="100" w:afterAutospacing="1" w:line="270" w:lineRule="atLeast"/>
        <w:contextualSpacing/>
        <w:jc w:val="both"/>
        <w:rPr>
          <w:rFonts w:cs="Times New Roman"/>
          <w:color w:val="000000" w:themeColor="text1"/>
          <w:spacing w:val="4"/>
        </w:rPr>
      </w:pPr>
      <w:r w:rsidRPr="000E24EF">
        <w:rPr>
          <w:rFonts w:cs="Times New Roman"/>
          <w:color w:val="000000" w:themeColor="text1"/>
          <w:spacing w:val="4"/>
        </w:rPr>
        <w:t xml:space="preserve">Certificación de revisor fiscal o contador público, según corresponda, en la que conste que </w:t>
      </w:r>
      <w:r w:rsidR="005E3182" w:rsidRPr="000E24EF">
        <w:rPr>
          <w:rFonts w:cs="Times New Roman"/>
          <w:color w:val="000000" w:themeColor="text1"/>
          <w:spacing w:val="4"/>
        </w:rPr>
        <w:t>la</w:t>
      </w:r>
      <w:r w:rsidRPr="000E24EF">
        <w:rPr>
          <w:rFonts w:cs="Times New Roman"/>
          <w:color w:val="000000" w:themeColor="text1"/>
          <w:spacing w:val="4"/>
        </w:rPr>
        <w:t xml:space="preserve"> persona jurídica </w:t>
      </w:r>
      <w:r w:rsidR="005E3182" w:rsidRPr="000E24EF">
        <w:rPr>
          <w:rFonts w:cs="Times New Roman"/>
          <w:color w:val="000000" w:themeColor="text1"/>
          <w:spacing w:val="4"/>
        </w:rPr>
        <w:t>fue constituida en el respectivo municipio</w:t>
      </w:r>
      <w:r w:rsidRPr="000E24EF">
        <w:rPr>
          <w:rFonts w:cs="Times New Roman"/>
          <w:color w:val="000000" w:themeColor="text1"/>
          <w:spacing w:val="4"/>
        </w:rPr>
        <w:t xml:space="preserve"> </w:t>
      </w:r>
      <w:r w:rsidRPr="000E24EF">
        <w:rPr>
          <w:rFonts w:eastAsiaTheme="minorHAnsi"/>
          <w:lang w:val="es-CO" w:eastAsia="en-US"/>
        </w:rPr>
        <w:t>dentro de los tres (3) años siguientes a la entrada en vigencia de la presente ley.</w:t>
      </w:r>
    </w:p>
    <w:p w14:paraId="137D36B0" w14:textId="77777777" w:rsidR="00B33CE7" w:rsidRPr="00B33CE7" w:rsidRDefault="00B33CE7" w:rsidP="00B33CE7">
      <w:pPr>
        <w:spacing w:before="57" w:after="57" w:line="288" w:lineRule="atLeast"/>
        <w:jc w:val="both"/>
        <w:textAlignment w:val="center"/>
        <w:rPr>
          <w:rFonts w:cs="Times New Roman"/>
          <w:b/>
          <w:color w:val="000000" w:themeColor="text1"/>
          <w:spacing w:val="4"/>
        </w:rPr>
      </w:pPr>
    </w:p>
    <w:p w14:paraId="6F9ED792" w14:textId="22D10A76" w:rsidR="00B33CE7" w:rsidRPr="00B33CE7" w:rsidRDefault="00192923" w:rsidP="00AF2D67">
      <w:pPr>
        <w:spacing w:before="57" w:after="57" w:line="288" w:lineRule="atLeast"/>
        <w:jc w:val="both"/>
        <w:textAlignment w:val="center"/>
        <w:rPr>
          <w:rFonts w:cs="Times New Roman"/>
          <w:color w:val="000000" w:themeColor="text1"/>
          <w:spacing w:val="4"/>
        </w:rPr>
      </w:pPr>
      <w:r>
        <w:rPr>
          <w:rFonts w:cs="Times New Roman"/>
          <w:b/>
          <w:color w:val="000000" w:themeColor="text1"/>
          <w:spacing w:val="4"/>
        </w:rPr>
        <w:t>ARTÍCULO 6</w:t>
      </w:r>
      <w:r w:rsidR="00B33CE7" w:rsidRPr="00B33CE7">
        <w:rPr>
          <w:rFonts w:cs="Times New Roman"/>
          <w:b/>
          <w:color w:val="000000" w:themeColor="text1"/>
          <w:spacing w:val="4"/>
        </w:rPr>
        <w:t>. Mecanismo de promoción.</w:t>
      </w:r>
      <w:r w:rsidR="00B33CE7" w:rsidRPr="00B33CE7">
        <w:rPr>
          <w:rFonts w:cs="Times New Roman"/>
          <w:color w:val="000000" w:themeColor="text1"/>
          <w:spacing w:val="4"/>
        </w:rPr>
        <w:t xml:space="preserve"> El Ministerio de Comercio, Industria y Turismo, </w:t>
      </w:r>
      <w:r w:rsidR="005E3182">
        <w:rPr>
          <w:rFonts w:cs="Times New Roman"/>
          <w:color w:val="000000" w:themeColor="text1"/>
          <w:spacing w:val="4"/>
        </w:rPr>
        <w:t>por conducto</w:t>
      </w:r>
      <w:r w:rsidR="00B33CE7" w:rsidRPr="00B33CE7">
        <w:rPr>
          <w:rFonts w:cs="Times New Roman"/>
          <w:color w:val="000000" w:themeColor="text1"/>
          <w:spacing w:val="4"/>
        </w:rPr>
        <w:t xml:space="preserve"> de Procolombia, y en coordinación con las autoridades del área metropolitana de Cúcuta</w:t>
      </w:r>
      <w:r w:rsidR="005E3182">
        <w:rPr>
          <w:rFonts w:cs="Times New Roman"/>
          <w:color w:val="000000" w:themeColor="text1"/>
          <w:spacing w:val="4"/>
        </w:rPr>
        <w:t xml:space="preserve"> </w:t>
      </w:r>
      <w:r w:rsidR="00B33CE7" w:rsidRPr="00B33CE7">
        <w:rPr>
          <w:rFonts w:cs="Times New Roman"/>
          <w:color w:val="000000" w:themeColor="text1"/>
          <w:spacing w:val="4"/>
        </w:rPr>
        <w:t xml:space="preserve">definirá </w:t>
      </w:r>
      <w:r w:rsidR="005E3182">
        <w:rPr>
          <w:rFonts w:cs="Times New Roman"/>
          <w:color w:val="000000" w:themeColor="text1"/>
          <w:spacing w:val="4"/>
        </w:rPr>
        <w:t>el</w:t>
      </w:r>
      <w:r w:rsidR="00B33CE7" w:rsidRPr="00B33CE7">
        <w:rPr>
          <w:rFonts w:cs="Times New Roman"/>
          <w:color w:val="000000" w:themeColor="text1"/>
          <w:spacing w:val="4"/>
        </w:rPr>
        <w:t xml:space="preserve"> mecanismo de promoción de los beneficios creados en la presente Ley.</w:t>
      </w:r>
    </w:p>
    <w:p w14:paraId="3BC0FF77" w14:textId="77777777" w:rsidR="00B33CE7" w:rsidRPr="00B33CE7" w:rsidRDefault="00B33CE7" w:rsidP="00B33CE7">
      <w:pPr>
        <w:spacing w:before="57" w:after="57" w:line="288" w:lineRule="atLeast"/>
        <w:jc w:val="both"/>
        <w:textAlignment w:val="center"/>
        <w:rPr>
          <w:rFonts w:cs="Times New Roman"/>
          <w:color w:val="000000" w:themeColor="text1"/>
          <w:spacing w:val="4"/>
        </w:rPr>
      </w:pPr>
    </w:p>
    <w:p w14:paraId="761542C8" w14:textId="1CC740E1" w:rsidR="00B33CE7" w:rsidRDefault="00192923" w:rsidP="00B33CE7">
      <w:pPr>
        <w:spacing w:before="57" w:after="57" w:line="288" w:lineRule="atLeast"/>
        <w:jc w:val="both"/>
        <w:textAlignment w:val="center"/>
        <w:rPr>
          <w:rFonts w:cs="Times New Roman"/>
          <w:color w:val="000000" w:themeColor="text1"/>
          <w:spacing w:val="4"/>
        </w:rPr>
      </w:pPr>
      <w:r w:rsidRPr="00B33CE7">
        <w:rPr>
          <w:rFonts w:cs="Times New Roman"/>
          <w:b/>
          <w:color w:val="000000" w:themeColor="text1"/>
        </w:rPr>
        <w:t>ARTÍCULO</w:t>
      </w:r>
      <w:r w:rsidR="00B33CE7" w:rsidRPr="00B33CE7">
        <w:rPr>
          <w:rFonts w:cs="Times New Roman"/>
          <w:b/>
          <w:color w:val="000000" w:themeColor="text1"/>
        </w:rPr>
        <w:t xml:space="preserve"> </w:t>
      </w:r>
      <w:r w:rsidR="00AF2D67">
        <w:rPr>
          <w:rFonts w:cs="Times New Roman"/>
          <w:b/>
          <w:color w:val="000000" w:themeColor="text1"/>
        </w:rPr>
        <w:t>7</w:t>
      </w:r>
      <w:r w:rsidR="00B33CE7" w:rsidRPr="00B33CE7">
        <w:rPr>
          <w:rFonts w:cs="Times New Roman"/>
          <w:b/>
          <w:color w:val="000000" w:themeColor="text1"/>
        </w:rPr>
        <w:t xml:space="preserve">. </w:t>
      </w:r>
      <w:r w:rsidR="005E3182">
        <w:rPr>
          <w:rFonts w:cs="Times New Roman"/>
          <w:b/>
          <w:color w:val="000000" w:themeColor="text1"/>
          <w:spacing w:val="4"/>
        </w:rPr>
        <w:t>Apoyo</w:t>
      </w:r>
      <w:r w:rsidR="00B33CE7" w:rsidRPr="00B33CE7">
        <w:rPr>
          <w:rFonts w:cs="Times New Roman"/>
          <w:b/>
          <w:color w:val="000000" w:themeColor="text1"/>
          <w:spacing w:val="4"/>
        </w:rPr>
        <w:t xml:space="preserve"> a la productividad.</w:t>
      </w:r>
      <w:r w:rsidR="00B33CE7" w:rsidRPr="00B33CE7">
        <w:rPr>
          <w:rFonts w:cs="Times New Roman"/>
          <w:color w:val="000000" w:themeColor="text1"/>
          <w:spacing w:val="4"/>
        </w:rPr>
        <w:t xml:space="preserve"> Para la mejora en su productividad, los beneficiarios del régimen especial establecido en esta ley </w:t>
      </w:r>
      <w:r w:rsidR="005E3182">
        <w:rPr>
          <w:rFonts w:cs="Times New Roman"/>
          <w:color w:val="000000" w:themeColor="text1"/>
          <w:spacing w:val="4"/>
        </w:rPr>
        <w:t>estarán</w:t>
      </w:r>
      <w:r w:rsidR="005E3182" w:rsidRPr="00B33CE7">
        <w:rPr>
          <w:rFonts w:cs="Times New Roman"/>
          <w:color w:val="000000" w:themeColor="text1"/>
          <w:spacing w:val="4"/>
        </w:rPr>
        <w:t xml:space="preserve"> </w:t>
      </w:r>
      <w:r w:rsidR="00B33CE7" w:rsidRPr="00B33CE7">
        <w:rPr>
          <w:rFonts w:cs="Times New Roman"/>
          <w:color w:val="000000" w:themeColor="text1"/>
          <w:spacing w:val="4"/>
        </w:rPr>
        <w:t xml:space="preserve">acompañados por el Ministerio de Comercio, Industria y Turismo, </w:t>
      </w:r>
      <w:r w:rsidR="005E3182">
        <w:rPr>
          <w:rFonts w:cs="Times New Roman"/>
          <w:color w:val="000000" w:themeColor="text1"/>
          <w:spacing w:val="4"/>
        </w:rPr>
        <w:t>por intermedio</w:t>
      </w:r>
      <w:r w:rsidR="00B33CE7" w:rsidRPr="00B33CE7">
        <w:rPr>
          <w:rFonts w:cs="Times New Roman"/>
          <w:color w:val="000000" w:themeColor="text1"/>
          <w:spacing w:val="4"/>
        </w:rPr>
        <w:t xml:space="preserve"> de INNpulsa y el Programa de Transformación Productiva</w:t>
      </w:r>
      <w:r w:rsidR="005E3182">
        <w:rPr>
          <w:rFonts w:cs="Times New Roman"/>
          <w:color w:val="000000" w:themeColor="text1"/>
          <w:spacing w:val="4"/>
        </w:rPr>
        <w:t xml:space="preserve"> -PTP-</w:t>
      </w:r>
      <w:r w:rsidR="00B33CE7" w:rsidRPr="00B33CE7">
        <w:rPr>
          <w:rFonts w:cs="Times New Roman"/>
          <w:color w:val="000000" w:themeColor="text1"/>
          <w:spacing w:val="4"/>
        </w:rPr>
        <w:t>.</w:t>
      </w:r>
    </w:p>
    <w:p w14:paraId="28AFE898" w14:textId="77777777" w:rsidR="00307DE9" w:rsidRDefault="00307DE9" w:rsidP="00B33CE7">
      <w:pPr>
        <w:spacing w:before="57" w:after="57" w:line="288" w:lineRule="atLeast"/>
        <w:jc w:val="both"/>
        <w:textAlignment w:val="center"/>
        <w:rPr>
          <w:rFonts w:cs="Times New Roman"/>
          <w:color w:val="000000" w:themeColor="text1"/>
          <w:spacing w:val="4"/>
        </w:rPr>
      </w:pPr>
    </w:p>
    <w:p w14:paraId="7F7AE575" w14:textId="5270E40C" w:rsidR="005E3182" w:rsidRDefault="00307DE9" w:rsidP="00B33CE7">
      <w:pPr>
        <w:spacing w:before="57" w:after="57" w:line="288" w:lineRule="atLeast"/>
        <w:jc w:val="both"/>
        <w:textAlignment w:val="center"/>
        <w:rPr>
          <w:rFonts w:cs="Times New Roman"/>
          <w:color w:val="000000" w:themeColor="text1"/>
          <w:spacing w:val="4"/>
        </w:rPr>
      </w:pPr>
      <w:r w:rsidRPr="000E24EF">
        <w:rPr>
          <w:rFonts w:cs="Times New Roman"/>
          <w:b/>
          <w:color w:val="000000" w:themeColor="text1"/>
          <w:spacing w:val="4"/>
        </w:rPr>
        <w:t>A</w:t>
      </w:r>
      <w:r w:rsidR="000E24EF" w:rsidRPr="000E24EF">
        <w:rPr>
          <w:rFonts w:cs="Times New Roman"/>
          <w:b/>
          <w:color w:val="000000" w:themeColor="text1"/>
          <w:spacing w:val="4"/>
        </w:rPr>
        <w:t>RTÍCULO</w:t>
      </w:r>
      <w:r w:rsidR="00AF2D67">
        <w:rPr>
          <w:rFonts w:cs="Times New Roman"/>
          <w:b/>
          <w:color w:val="000000" w:themeColor="text1"/>
          <w:spacing w:val="4"/>
        </w:rPr>
        <w:t xml:space="preserve"> 8</w:t>
      </w:r>
      <w:r w:rsidRPr="000E24EF">
        <w:rPr>
          <w:rFonts w:cs="Times New Roman"/>
          <w:b/>
          <w:color w:val="000000" w:themeColor="text1"/>
          <w:spacing w:val="4"/>
        </w:rPr>
        <w:t>. Sanciones.</w:t>
      </w:r>
      <w:r>
        <w:rPr>
          <w:rFonts w:cs="Times New Roman"/>
          <w:color w:val="000000" w:themeColor="text1"/>
          <w:spacing w:val="4"/>
        </w:rPr>
        <w:t xml:space="preserve"> Además de perder los beneficios de que trata la presente Ley, se podrán imponer las sanciones administrativas, penales, disciplinarias, comerciales y civiles </w:t>
      </w:r>
      <w:r w:rsidR="00F61DAA">
        <w:rPr>
          <w:rFonts w:cs="Times New Roman"/>
          <w:color w:val="000000" w:themeColor="text1"/>
          <w:spacing w:val="4"/>
        </w:rPr>
        <w:t xml:space="preserve">aplicables y </w:t>
      </w:r>
      <w:r>
        <w:rPr>
          <w:rFonts w:cs="Times New Roman"/>
          <w:color w:val="000000" w:themeColor="text1"/>
          <w:spacing w:val="4"/>
        </w:rPr>
        <w:t>vigentes tanto a las sociedades como a sus representantes en caso de que se compruebe que</w:t>
      </w:r>
      <w:r w:rsidR="00F61DAA">
        <w:rPr>
          <w:rFonts w:cs="Times New Roman"/>
          <w:color w:val="000000" w:themeColor="text1"/>
          <w:spacing w:val="4"/>
        </w:rPr>
        <w:t xml:space="preserve"> incumplen las disposiciones aquí previstas.</w:t>
      </w:r>
    </w:p>
    <w:p w14:paraId="28C1BC55" w14:textId="77777777" w:rsidR="00307DE9" w:rsidRDefault="00307DE9" w:rsidP="00B33CE7">
      <w:pPr>
        <w:spacing w:before="57" w:after="57" w:line="288" w:lineRule="atLeast"/>
        <w:jc w:val="both"/>
        <w:textAlignment w:val="center"/>
        <w:rPr>
          <w:rFonts w:cs="Times New Roman"/>
          <w:color w:val="000000" w:themeColor="text1"/>
          <w:spacing w:val="4"/>
        </w:rPr>
      </w:pPr>
    </w:p>
    <w:p w14:paraId="2B62C20D" w14:textId="3FB833DC" w:rsidR="005E3182" w:rsidRPr="00B33CE7" w:rsidRDefault="00AF2D67" w:rsidP="00B33CE7">
      <w:pPr>
        <w:spacing w:before="57" w:after="57" w:line="288" w:lineRule="atLeast"/>
        <w:jc w:val="both"/>
        <w:textAlignment w:val="center"/>
        <w:rPr>
          <w:rFonts w:cs="Times New Roman"/>
          <w:color w:val="000000" w:themeColor="text1"/>
          <w:spacing w:val="4"/>
        </w:rPr>
      </w:pPr>
      <w:r>
        <w:rPr>
          <w:rFonts w:cs="Times New Roman"/>
          <w:b/>
          <w:color w:val="000000" w:themeColor="text1"/>
          <w:spacing w:val="4"/>
        </w:rPr>
        <w:lastRenderedPageBreak/>
        <w:t>ARTÍCULO 9</w:t>
      </w:r>
      <w:r w:rsidR="005E3182" w:rsidRPr="000E24EF">
        <w:rPr>
          <w:rFonts w:cs="Times New Roman"/>
          <w:b/>
          <w:color w:val="000000" w:themeColor="text1"/>
          <w:spacing w:val="4"/>
        </w:rPr>
        <w:t>.</w:t>
      </w:r>
      <w:r w:rsidR="005E3182">
        <w:rPr>
          <w:rFonts w:cs="Times New Roman"/>
          <w:color w:val="000000" w:themeColor="text1"/>
          <w:spacing w:val="4"/>
        </w:rPr>
        <w:t xml:space="preserve"> </w:t>
      </w:r>
      <w:r w:rsidR="005E3182" w:rsidRPr="000E24EF">
        <w:rPr>
          <w:rFonts w:cs="Times New Roman"/>
          <w:b/>
          <w:color w:val="000000" w:themeColor="text1"/>
          <w:spacing w:val="4"/>
        </w:rPr>
        <w:t>Reglamentación.</w:t>
      </w:r>
      <w:r w:rsidR="005E3182">
        <w:rPr>
          <w:rFonts w:cs="Times New Roman"/>
          <w:color w:val="000000" w:themeColor="text1"/>
          <w:spacing w:val="4"/>
        </w:rPr>
        <w:t xml:space="preserve"> El Gobierno Nacional podrá reglamentar cualquiera de los asuntos y materias objeto de la presente Ley para facilitar su aplicación y eventualmente su entendimiento.</w:t>
      </w:r>
    </w:p>
    <w:p w14:paraId="06BB36E8" w14:textId="77777777" w:rsidR="00B33CE7" w:rsidRPr="00B33CE7" w:rsidRDefault="00B33CE7" w:rsidP="00B33CE7">
      <w:pPr>
        <w:spacing w:before="57" w:after="57" w:line="288" w:lineRule="atLeast"/>
        <w:jc w:val="both"/>
        <w:textAlignment w:val="center"/>
        <w:rPr>
          <w:rFonts w:cs="Times New Roman"/>
          <w:color w:val="000000" w:themeColor="text1"/>
          <w:spacing w:val="4"/>
        </w:rPr>
      </w:pPr>
    </w:p>
    <w:p w14:paraId="13834FC0" w14:textId="409DCE37" w:rsidR="009F5ADB" w:rsidRPr="009F5ADB" w:rsidRDefault="000E24EF" w:rsidP="009F5ADB">
      <w:pPr>
        <w:spacing w:before="57" w:after="57" w:line="288" w:lineRule="atLeast"/>
        <w:jc w:val="both"/>
        <w:textAlignment w:val="center"/>
        <w:rPr>
          <w:rFonts w:cs="Times New Roman"/>
          <w:color w:val="000000" w:themeColor="text1"/>
          <w:spacing w:val="4"/>
        </w:rPr>
      </w:pPr>
      <w:r w:rsidRPr="00B33CE7">
        <w:rPr>
          <w:rFonts w:cs="Times New Roman"/>
          <w:b/>
          <w:color w:val="000000" w:themeColor="text1"/>
        </w:rPr>
        <w:t xml:space="preserve">ARTÍCULO </w:t>
      </w:r>
      <w:r w:rsidR="00AF2D67">
        <w:rPr>
          <w:rFonts w:cs="Times New Roman"/>
          <w:b/>
          <w:color w:val="000000" w:themeColor="text1"/>
        </w:rPr>
        <w:t>10</w:t>
      </w:r>
      <w:r w:rsidR="00B33CE7" w:rsidRPr="00B33CE7">
        <w:rPr>
          <w:rFonts w:cs="Times New Roman"/>
          <w:b/>
          <w:color w:val="000000" w:themeColor="text1"/>
        </w:rPr>
        <w:t xml:space="preserve">. </w:t>
      </w:r>
      <w:r w:rsidR="00B33CE7" w:rsidRPr="00B33CE7">
        <w:rPr>
          <w:rFonts w:cs="Times New Roman"/>
          <w:b/>
          <w:color w:val="000000" w:themeColor="text1"/>
          <w:spacing w:val="4"/>
        </w:rPr>
        <w:t xml:space="preserve">Vigencia. </w:t>
      </w:r>
      <w:r w:rsidR="00B33CE7" w:rsidRPr="00B33CE7">
        <w:rPr>
          <w:rFonts w:cs="Times New Roman"/>
          <w:color w:val="000000" w:themeColor="text1"/>
          <w:spacing w:val="4"/>
        </w:rPr>
        <w:t>La presente ley rige a partir de su publicación.</w:t>
      </w:r>
      <w:r w:rsidR="00E77849" w:rsidRPr="00B33CE7">
        <w:rPr>
          <w:rFonts w:cs="Times New Roman"/>
          <w:color w:val="000000" w:themeColor="text1"/>
          <w:spacing w:val="4"/>
        </w:rPr>
        <w:t xml:space="preserve"> </w:t>
      </w:r>
    </w:p>
    <w:p w14:paraId="2F9733B8" w14:textId="77777777" w:rsidR="009F5ADB" w:rsidRDefault="009F5ADB" w:rsidP="009F5ADB">
      <w:pPr>
        <w:rPr>
          <w:rFonts w:eastAsia="Times New Roman" w:cs="Times New Roman"/>
          <w:color w:val="000000" w:themeColor="text1"/>
        </w:rPr>
      </w:pPr>
    </w:p>
    <w:p w14:paraId="2DEF71B0" w14:textId="77777777" w:rsidR="00765A2D" w:rsidRDefault="00765A2D" w:rsidP="00765A2D">
      <w:pPr>
        <w:rPr>
          <w:rFonts w:eastAsia="Times New Roman" w:cs="Times New Roman"/>
          <w:color w:val="000000" w:themeColor="text1"/>
        </w:rPr>
      </w:pPr>
    </w:p>
    <w:p w14:paraId="55E933E5" w14:textId="77777777" w:rsidR="00765A2D" w:rsidRDefault="00765A2D" w:rsidP="00765A2D">
      <w:pPr>
        <w:rPr>
          <w:rFonts w:eastAsia="Times New Roman" w:cs="Times New Roman"/>
          <w:color w:val="000000" w:themeColor="text1"/>
        </w:rPr>
      </w:pPr>
    </w:p>
    <w:p w14:paraId="6E78B28D" w14:textId="77777777" w:rsidR="00765A2D" w:rsidRPr="00A87CD9" w:rsidRDefault="00765A2D" w:rsidP="00765A2D">
      <w:pPr>
        <w:rPr>
          <w:rFonts w:eastAsia="Times New Roman" w:cs="Times New Roman"/>
          <w:b/>
          <w:color w:val="000000" w:themeColor="text1"/>
        </w:rPr>
      </w:pPr>
      <w:r w:rsidRPr="00A87CD9">
        <w:rPr>
          <w:rFonts w:eastAsia="Times New Roman" w:cs="Times New Roman"/>
          <w:b/>
          <w:color w:val="000000" w:themeColor="text1"/>
        </w:rPr>
        <w:t>JOSÉ MANUEL RESTREPO ABONDANO</w:t>
      </w:r>
    </w:p>
    <w:p w14:paraId="2766CDAD" w14:textId="77777777" w:rsidR="00765A2D" w:rsidRDefault="00765A2D" w:rsidP="00765A2D">
      <w:pPr>
        <w:rPr>
          <w:rFonts w:eastAsia="Times New Roman" w:cs="Times New Roman"/>
          <w:color w:val="000000" w:themeColor="text1"/>
        </w:rPr>
      </w:pPr>
      <w:r>
        <w:rPr>
          <w:rFonts w:eastAsia="Times New Roman" w:cs="Times New Roman"/>
          <w:color w:val="000000" w:themeColor="text1"/>
        </w:rPr>
        <w:t>MINISTRO COMERCIO, INDUSTRIA Y TURISMO</w:t>
      </w:r>
    </w:p>
    <w:p w14:paraId="2DED2277" w14:textId="77777777" w:rsidR="00765A2D" w:rsidRDefault="00765A2D" w:rsidP="00765A2D">
      <w:pPr>
        <w:rPr>
          <w:rFonts w:eastAsia="Times New Roman" w:cs="Times New Roman"/>
          <w:color w:val="000000" w:themeColor="text1"/>
        </w:rPr>
      </w:pPr>
    </w:p>
    <w:p w14:paraId="7D50070B" w14:textId="77777777" w:rsidR="00765A2D" w:rsidRDefault="00765A2D" w:rsidP="00765A2D">
      <w:pPr>
        <w:rPr>
          <w:rFonts w:eastAsia="Times New Roman" w:cs="Times New Roman"/>
          <w:color w:val="000000" w:themeColor="text1"/>
        </w:rPr>
      </w:pPr>
    </w:p>
    <w:p w14:paraId="022B2CB5" w14:textId="77777777" w:rsidR="00765A2D" w:rsidRDefault="00765A2D" w:rsidP="00765A2D">
      <w:pPr>
        <w:rPr>
          <w:rFonts w:eastAsia="Times New Roman" w:cs="Times New Roman"/>
          <w:color w:val="000000" w:themeColor="text1"/>
        </w:rPr>
      </w:pPr>
    </w:p>
    <w:p w14:paraId="4D5ECB08" w14:textId="77777777" w:rsidR="00765A2D" w:rsidRDefault="00765A2D" w:rsidP="00765A2D">
      <w:pPr>
        <w:rPr>
          <w:rFonts w:eastAsia="Times New Roman" w:cs="Times New Roman"/>
          <w:color w:val="000000" w:themeColor="text1"/>
        </w:rPr>
      </w:pPr>
    </w:p>
    <w:p w14:paraId="489FE35A" w14:textId="77777777" w:rsidR="00765A2D" w:rsidRPr="009F5ADB" w:rsidRDefault="00765A2D" w:rsidP="00765A2D">
      <w:pPr>
        <w:rPr>
          <w:rFonts w:eastAsia="Times New Roman" w:cs="Times New Roman"/>
          <w:b/>
          <w:color w:val="000000" w:themeColor="text1"/>
        </w:rPr>
      </w:pPr>
      <w:r>
        <w:rPr>
          <w:rFonts w:eastAsia="Times New Roman" w:cs="Times New Roman"/>
          <w:b/>
          <w:color w:val="000000" w:themeColor="text1"/>
        </w:rPr>
        <w:t>ALEJANDRO CARLOS CHACÓ</w:t>
      </w:r>
      <w:r w:rsidRPr="009F5ADB">
        <w:rPr>
          <w:rFonts w:eastAsia="Times New Roman" w:cs="Times New Roman"/>
          <w:b/>
          <w:color w:val="000000" w:themeColor="text1"/>
        </w:rPr>
        <w:t>N</w:t>
      </w:r>
    </w:p>
    <w:p w14:paraId="38E1BE53" w14:textId="77777777" w:rsidR="00765A2D" w:rsidRDefault="00765A2D" w:rsidP="00765A2D">
      <w:pPr>
        <w:rPr>
          <w:rFonts w:eastAsia="Times New Roman" w:cs="Times New Roman"/>
          <w:color w:val="000000" w:themeColor="text1"/>
        </w:rPr>
      </w:pPr>
      <w:r>
        <w:rPr>
          <w:rFonts w:eastAsia="Times New Roman" w:cs="Times New Roman"/>
          <w:color w:val="000000" w:themeColor="text1"/>
        </w:rPr>
        <w:t>PRESIDENTE CAMARA DE REPRESENTANTES</w:t>
      </w:r>
    </w:p>
    <w:p w14:paraId="474F4CB2" w14:textId="77777777" w:rsidR="00765A2D" w:rsidRDefault="00765A2D" w:rsidP="00765A2D">
      <w:pPr>
        <w:rPr>
          <w:rFonts w:eastAsia="Times New Roman" w:cs="Times New Roman"/>
          <w:color w:val="000000" w:themeColor="text1"/>
        </w:rPr>
      </w:pPr>
    </w:p>
    <w:p w14:paraId="483E1AA3" w14:textId="77777777" w:rsidR="00765A2D" w:rsidRDefault="00765A2D" w:rsidP="00765A2D">
      <w:pPr>
        <w:rPr>
          <w:rFonts w:eastAsia="Times New Roman" w:cs="Times New Roman"/>
          <w:color w:val="000000" w:themeColor="text1"/>
        </w:rPr>
      </w:pPr>
    </w:p>
    <w:p w14:paraId="1190AE1E" w14:textId="77777777" w:rsidR="00765A2D" w:rsidRDefault="00765A2D" w:rsidP="00765A2D">
      <w:pPr>
        <w:rPr>
          <w:rFonts w:eastAsia="Times New Roman" w:cs="Times New Roman"/>
          <w:color w:val="000000" w:themeColor="text1"/>
        </w:rPr>
      </w:pPr>
    </w:p>
    <w:p w14:paraId="767472A3" w14:textId="77777777" w:rsidR="00765A2D" w:rsidRPr="009F5ADB" w:rsidRDefault="00765A2D" w:rsidP="00765A2D">
      <w:pPr>
        <w:rPr>
          <w:rFonts w:eastAsia="Times New Roman" w:cs="Times New Roman"/>
          <w:b/>
          <w:color w:val="000000" w:themeColor="text1"/>
        </w:rPr>
      </w:pPr>
      <w:r w:rsidRPr="009F5ADB">
        <w:rPr>
          <w:rFonts w:eastAsia="Times New Roman" w:cs="Times New Roman"/>
          <w:b/>
          <w:color w:val="000000" w:themeColor="text1"/>
        </w:rPr>
        <w:t xml:space="preserve">JUAN PABLO CELIS VERGEL </w:t>
      </w:r>
      <w:r w:rsidRPr="009F5ADB">
        <w:rPr>
          <w:rFonts w:eastAsia="Times New Roman" w:cs="Times New Roman"/>
          <w:b/>
          <w:color w:val="000000" w:themeColor="text1"/>
        </w:rPr>
        <w:tab/>
      </w:r>
      <w:r w:rsidRPr="009F5ADB">
        <w:rPr>
          <w:rFonts w:eastAsia="Times New Roman" w:cs="Times New Roman"/>
          <w:b/>
          <w:color w:val="000000" w:themeColor="text1"/>
        </w:rPr>
        <w:tab/>
      </w:r>
      <w:r w:rsidRPr="009F5ADB">
        <w:rPr>
          <w:rFonts w:eastAsia="Times New Roman" w:cs="Times New Roman"/>
          <w:b/>
          <w:color w:val="000000" w:themeColor="text1"/>
        </w:rPr>
        <w:tab/>
      </w:r>
      <w:r w:rsidRPr="009F5ADB">
        <w:rPr>
          <w:rFonts w:eastAsia="Times New Roman" w:cs="Times New Roman"/>
          <w:b/>
          <w:color w:val="000000" w:themeColor="text1"/>
        </w:rPr>
        <w:tab/>
        <w:t>JAIRO HUMERTO CRISTO CORREA</w:t>
      </w:r>
    </w:p>
    <w:p w14:paraId="6C5ECAD4" w14:textId="77777777" w:rsidR="00765A2D" w:rsidRDefault="00765A2D" w:rsidP="00765A2D">
      <w:pPr>
        <w:rPr>
          <w:rFonts w:eastAsia="Times New Roman" w:cs="Times New Roman"/>
          <w:color w:val="000000" w:themeColor="text1"/>
        </w:rPr>
      </w:pPr>
      <w:r>
        <w:rPr>
          <w:rFonts w:eastAsia="Times New Roman" w:cs="Times New Roman"/>
          <w:color w:val="000000" w:themeColor="text1"/>
        </w:rPr>
        <w:t xml:space="preserve">REPRESENTANTE A LA CAMARA </w:t>
      </w:r>
      <w:r>
        <w:rPr>
          <w:rFonts w:eastAsia="Times New Roman" w:cs="Times New Roman"/>
          <w:color w:val="000000" w:themeColor="text1"/>
        </w:rPr>
        <w:tab/>
      </w:r>
      <w:r>
        <w:rPr>
          <w:rFonts w:eastAsia="Times New Roman" w:cs="Times New Roman"/>
          <w:color w:val="000000" w:themeColor="text1"/>
        </w:rPr>
        <w:tab/>
      </w:r>
      <w:r>
        <w:rPr>
          <w:rFonts w:eastAsia="Times New Roman" w:cs="Times New Roman"/>
          <w:color w:val="000000" w:themeColor="text1"/>
        </w:rPr>
        <w:tab/>
        <w:t xml:space="preserve">REPRESENTANTE A LA CAMARA </w:t>
      </w:r>
    </w:p>
    <w:p w14:paraId="0B980B59" w14:textId="77777777" w:rsidR="00765A2D" w:rsidRDefault="00765A2D" w:rsidP="00765A2D">
      <w:pPr>
        <w:rPr>
          <w:rFonts w:eastAsia="Times New Roman" w:cs="Times New Roman"/>
          <w:color w:val="000000" w:themeColor="text1"/>
        </w:rPr>
      </w:pPr>
    </w:p>
    <w:p w14:paraId="62F81133" w14:textId="77777777" w:rsidR="00765A2D" w:rsidRDefault="00765A2D" w:rsidP="00765A2D">
      <w:pPr>
        <w:rPr>
          <w:rFonts w:eastAsia="Times New Roman" w:cs="Times New Roman"/>
          <w:color w:val="000000" w:themeColor="text1"/>
        </w:rPr>
      </w:pPr>
    </w:p>
    <w:p w14:paraId="61B8B063" w14:textId="77777777" w:rsidR="00765A2D" w:rsidRDefault="00765A2D" w:rsidP="00765A2D">
      <w:pPr>
        <w:rPr>
          <w:rFonts w:eastAsia="Times New Roman" w:cs="Times New Roman"/>
          <w:color w:val="000000" w:themeColor="text1"/>
        </w:rPr>
      </w:pPr>
    </w:p>
    <w:p w14:paraId="05539E29" w14:textId="77777777" w:rsidR="00765A2D" w:rsidRDefault="00765A2D" w:rsidP="00765A2D">
      <w:pPr>
        <w:rPr>
          <w:rFonts w:eastAsia="Times New Roman" w:cs="Times New Roman"/>
          <w:color w:val="000000" w:themeColor="text1"/>
        </w:rPr>
      </w:pPr>
    </w:p>
    <w:p w14:paraId="73E7365A" w14:textId="77777777" w:rsidR="00765A2D" w:rsidRDefault="00765A2D" w:rsidP="00765A2D">
      <w:pPr>
        <w:rPr>
          <w:rFonts w:eastAsia="Times New Roman" w:cs="Times New Roman"/>
          <w:color w:val="000000" w:themeColor="text1"/>
        </w:rPr>
      </w:pPr>
    </w:p>
    <w:p w14:paraId="081D0206" w14:textId="77777777" w:rsidR="00765A2D" w:rsidRPr="009F5ADB" w:rsidRDefault="00765A2D" w:rsidP="00765A2D">
      <w:pPr>
        <w:rPr>
          <w:rFonts w:eastAsia="Times New Roman" w:cs="Times New Roman"/>
          <w:b/>
          <w:color w:val="000000" w:themeColor="text1"/>
        </w:rPr>
      </w:pPr>
      <w:r w:rsidRPr="009F5ADB">
        <w:rPr>
          <w:rFonts w:eastAsia="Times New Roman" w:cs="Times New Roman"/>
          <w:b/>
          <w:color w:val="000000" w:themeColor="text1"/>
        </w:rPr>
        <w:t>WILMER RAMIRO CARRILLO MENDOZA</w:t>
      </w:r>
      <w:r>
        <w:rPr>
          <w:rFonts w:eastAsia="Times New Roman" w:cs="Times New Roman"/>
          <w:b/>
          <w:color w:val="000000" w:themeColor="text1"/>
        </w:rPr>
        <w:tab/>
      </w:r>
      <w:r>
        <w:rPr>
          <w:rFonts w:eastAsia="Times New Roman" w:cs="Times New Roman"/>
          <w:b/>
          <w:color w:val="000000" w:themeColor="text1"/>
        </w:rPr>
        <w:tab/>
        <w:t>CIRO ANTONIO RODRÍGUEZ PINZÓ</w:t>
      </w:r>
      <w:r w:rsidRPr="009F5ADB">
        <w:rPr>
          <w:rFonts w:eastAsia="Times New Roman" w:cs="Times New Roman"/>
          <w:b/>
          <w:color w:val="000000" w:themeColor="text1"/>
        </w:rPr>
        <w:t xml:space="preserve">N </w:t>
      </w:r>
    </w:p>
    <w:p w14:paraId="5BE3663C" w14:textId="77777777" w:rsidR="00765A2D" w:rsidRDefault="00765A2D" w:rsidP="00765A2D">
      <w:pPr>
        <w:rPr>
          <w:rFonts w:eastAsia="Times New Roman" w:cs="Times New Roman"/>
          <w:color w:val="000000" w:themeColor="text1"/>
        </w:rPr>
      </w:pPr>
      <w:r>
        <w:rPr>
          <w:rFonts w:eastAsia="Times New Roman" w:cs="Times New Roman"/>
          <w:color w:val="000000" w:themeColor="text1"/>
        </w:rPr>
        <w:t>REPRESENTANTE A LA CAMARA</w:t>
      </w:r>
      <w:r>
        <w:rPr>
          <w:rFonts w:eastAsia="Times New Roman" w:cs="Times New Roman"/>
          <w:color w:val="000000" w:themeColor="text1"/>
        </w:rPr>
        <w:tab/>
      </w:r>
      <w:r>
        <w:rPr>
          <w:rFonts w:eastAsia="Times New Roman" w:cs="Times New Roman"/>
          <w:color w:val="000000" w:themeColor="text1"/>
        </w:rPr>
        <w:tab/>
      </w:r>
      <w:r>
        <w:rPr>
          <w:rFonts w:eastAsia="Times New Roman" w:cs="Times New Roman"/>
          <w:color w:val="000000" w:themeColor="text1"/>
        </w:rPr>
        <w:tab/>
        <w:t>REPRESENTANTE A LA CAMARA</w:t>
      </w:r>
    </w:p>
    <w:p w14:paraId="3DD605A1" w14:textId="77777777" w:rsidR="00765A2D" w:rsidRDefault="00765A2D" w:rsidP="00765A2D">
      <w:pPr>
        <w:rPr>
          <w:rFonts w:eastAsia="Times New Roman" w:cs="Times New Roman"/>
          <w:color w:val="000000" w:themeColor="text1"/>
        </w:rPr>
      </w:pPr>
    </w:p>
    <w:p w14:paraId="56A2D8AA" w14:textId="77777777" w:rsidR="00765A2D" w:rsidRDefault="00765A2D" w:rsidP="00765A2D">
      <w:pPr>
        <w:rPr>
          <w:rFonts w:eastAsia="Times New Roman" w:cs="Times New Roman"/>
          <w:color w:val="000000" w:themeColor="text1"/>
        </w:rPr>
      </w:pPr>
    </w:p>
    <w:p w14:paraId="405ED02B" w14:textId="77777777" w:rsidR="00765A2D" w:rsidRDefault="00765A2D" w:rsidP="00765A2D">
      <w:pPr>
        <w:rPr>
          <w:rFonts w:eastAsia="Times New Roman" w:cs="Times New Roman"/>
          <w:color w:val="000000" w:themeColor="text1"/>
        </w:rPr>
      </w:pPr>
    </w:p>
    <w:p w14:paraId="1064D65E" w14:textId="77777777" w:rsidR="00765A2D" w:rsidRDefault="00765A2D" w:rsidP="00765A2D">
      <w:pPr>
        <w:rPr>
          <w:rFonts w:eastAsia="Times New Roman" w:cs="Times New Roman"/>
          <w:color w:val="000000" w:themeColor="text1"/>
        </w:rPr>
      </w:pPr>
    </w:p>
    <w:p w14:paraId="07809856" w14:textId="77777777" w:rsidR="00765A2D" w:rsidRDefault="00765A2D" w:rsidP="00765A2D">
      <w:pPr>
        <w:rPr>
          <w:rFonts w:eastAsia="Times New Roman" w:cs="Times New Roman"/>
          <w:color w:val="000000" w:themeColor="text1"/>
        </w:rPr>
      </w:pPr>
    </w:p>
    <w:p w14:paraId="6B60D9F4" w14:textId="77777777" w:rsidR="00765A2D" w:rsidRPr="009F5ADB" w:rsidRDefault="00765A2D" w:rsidP="00765A2D">
      <w:pPr>
        <w:rPr>
          <w:rFonts w:eastAsia="Times New Roman" w:cs="Times New Roman"/>
          <w:b/>
          <w:color w:val="000000" w:themeColor="text1"/>
        </w:rPr>
      </w:pPr>
      <w:r w:rsidRPr="009F5ADB">
        <w:rPr>
          <w:rFonts w:eastAsia="Times New Roman" w:cs="Times New Roman"/>
          <w:b/>
          <w:color w:val="000000" w:themeColor="text1"/>
        </w:rPr>
        <w:t>MILLA PATRICIA ROMERO SOTO</w:t>
      </w:r>
      <w:r w:rsidRPr="009F5ADB">
        <w:rPr>
          <w:rFonts w:eastAsia="Times New Roman" w:cs="Times New Roman"/>
          <w:b/>
          <w:color w:val="000000" w:themeColor="text1"/>
        </w:rPr>
        <w:tab/>
      </w:r>
      <w:r w:rsidRPr="009F5ADB">
        <w:rPr>
          <w:rFonts w:eastAsia="Times New Roman" w:cs="Times New Roman"/>
          <w:b/>
          <w:color w:val="000000" w:themeColor="text1"/>
        </w:rPr>
        <w:tab/>
      </w:r>
      <w:r w:rsidRPr="009F5ADB">
        <w:rPr>
          <w:rFonts w:eastAsia="Times New Roman" w:cs="Times New Roman"/>
          <w:b/>
          <w:color w:val="000000" w:themeColor="text1"/>
        </w:rPr>
        <w:tab/>
        <w:t>EDGAR JESÚ</w:t>
      </w:r>
      <w:r>
        <w:rPr>
          <w:rFonts w:eastAsia="Times New Roman" w:cs="Times New Roman"/>
          <w:b/>
          <w:color w:val="000000" w:themeColor="text1"/>
        </w:rPr>
        <w:t>S DÍ</w:t>
      </w:r>
      <w:r w:rsidRPr="009F5ADB">
        <w:rPr>
          <w:rFonts w:eastAsia="Times New Roman" w:cs="Times New Roman"/>
          <w:b/>
          <w:color w:val="000000" w:themeColor="text1"/>
        </w:rPr>
        <w:t>AZ CONTRERAS</w:t>
      </w:r>
    </w:p>
    <w:p w14:paraId="7D96671D" w14:textId="77777777" w:rsidR="00765A2D" w:rsidRDefault="00765A2D" w:rsidP="00765A2D">
      <w:pPr>
        <w:rPr>
          <w:rFonts w:eastAsia="Times New Roman" w:cs="Times New Roman"/>
          <w:color w:val="000000" w:themeColor="text1"/>
        </w:rPr>
      </w:pPr>
      <w:r>
        <w:rPr>
          <w:rFonts w:eastAsia="Times New Roman" w:cs="Times New Roman"/>
          <w:color w:val="000000" w:themeColor="text1"/>
        </w:rPr>
        <w:t xml:space="preserve">SENADORA DE LA REPÚBLICA </w:t>
      </w:r>
      <w:r>
        <w:rPr>
          <w:rFonts w:eastAsia="Times New Roman" w:cs="Times New Roman"/>
          <w:color w:val="000000" w:themeColor="text1"/>
        </w:rPr>
        <w:tab/>
      </w:r>
      <w:r>
        <w:rPr>
          <w:rFonts w:eastAsia="Times New Roman" w:cs="Times New Roman"/>
          <w:color w:val="000000" w:themeColor="text1"/>
        </w:rPr>
        <w:tab/>
      </w:r>
      <w:r>
        <w:rPr>
          <w:rFonts w:eastAsia="Times New Roman" w:cs="Times New Roman"/>
          <w:color w:val="000000" w:themeColor="text1"/>
        </w:rPr>
        <w:tab/>
        <w:t xml:space="preserve">SENADOR DE LA REPÚBLICA </w:t>
      </w:r>
    </w:p>
    <w:p w14:paraId="0DFEBEF2" w14:textId="77777777" w:rsidR="00765A2D" w:rsidRDefault="00765A2D" w:rsidP="00765A2D">
      <w:pPr>
        <w:rPr>
          <w:rFonts w:eastAsia="Times New Roman" w:cs="Times New Roman"/>
          <w:color w:val="000000" w:themeColor="text1"/>
        </w:rPr>
      </w:pPr>
    </w:p>
    <w:p w14:paraId="00F003B0" w14:textId="77777777" w:rsidR="00765A2D" w:rsidRDefault="00765A2D" w:rsidP="00765A2D">
      <w:pPr>
        <w:rPr>
          <w:rFonts w:eastAsia="Times New Roman" w:cs="Times New Roman"/>
          <w:color w:val="000000" w:themeColor="text1"/>
        </w:rPr>
      </w:pPr>
    </w:p>
    <w:p w14:paraId="12CA2C24" w14:textId="77777777" w:rsidR="00765A2D" w:rsidRDefault="00765A2D" w:rsidP="00765A2D">
      <w:pPr>
        <w:rPr>
          <w:rFonts w:eastAsia="Times New Roman" w:cs="Times New Roman"/>
          <w:color w:val="000000" w:themeColor="text1"/>
        </w:rPr>
      </w:pPr>
    </w:p>
    <w:p w14:paraId="710C1334" w14:textId="77777777" w:rsidR="00765A2D" w:rsidRDefault="00765A2D" w:rsidP="00765A2D">
      <w:pPr>
        <w:rPr>
          <w:rFonts w:eastAsia="Times New Roman" w:cs="Times New Roman"/>
          <w:color w:val="000000" w:themeColor="text1"/>
        </w:rPr>
      </w:pPr>
    </w:p>
    <w:p w14:paraId="7749AB16" w14:textId="77777777" w:rsidR="00765A2D" w:rsidRPr="009F5ADB" w:rsidRDefault="00765A2D" w:rsidP="00765A2D">
      <w:pPr>
        <w:rPr>
          <w:rFonts w:eastAsia="Times New Roman" w:cs="Times New Roman"/>
          <w:b/>
          <w:color w:val="000000" w:themeColor="text1"/>
        </w:rPr>
      </w:pPr>
      <w:r>
        <w:rPr>
          <w:rFonts w:eastAsia="Times New Roman" w:cs="Times New Roman"/>
          <w:b/>
          <w:color w:val="000000" w:themeColor="text1"/>
        </w:rPr>
        <w:t>JUAN CARLOS GARCÍ</w:t>
      </w:r>
      <w:r w:rsidRPr="009F5ADB">
        <w:rPr>
          <w:rFonts w:eastAsia="Times New Roman" w:cs="Times New Roman"/>
          <w:b/>
          <w:color w:val="000000" w:themeColor="text1"/>
        </w:rPr>
        <w:t>A GOMÉZ</w:t>
      </w:r>
      <w:r w:rsidRPr="009F5ADB">
        <w:rPr>
          <w:rFonts w:eastAsia="Times New Roman" w:cs="Times New Roman"/>
          <w:b/>
          <w:color w:val="000000" w:themeColor="text1"/>
        </w:rPr>
        <w:tab/>
      </w:r>
      <w:r w:rsidRPr="009F5ADB">
        <w:rPr>
          <w:rFonts w:eastAsia="Times New Roman" w:cs="Times New Roman"/>
          <w:b/>
          <w:color w:val="000000" w:themeColor="text1"/>
        </w:rPr>
        <w:tab/>
      </w:r>
      <w:r w:rsidRPr="009F5ADB">
        <w:rPr>
          <w:rFonts w:eastAsia="Times New Roman" w:cs="Times New Roman"/>
          <w:b/>
          <w:color w:val="000000" w:themeColor="text1"/>
        </w:rPr>
        <w:tab/>
        <w:t>ANDRÉS CRISTO BUSTOS</w:t>
      </w:r>
    </w:p>
    <w:p w14:paraId="60355085" w14:textId="77777777" w:rsidR="00765A2D" w:rsidRDefault="00765A2D" w:rsidP="00765A2D">
      <w:pPr>
        <w:rPr>
          <w:rFonts w:eastAsia="Times New Roman" w:cs="Times New Roman"/>
          <w:color w:val="000000" w:themeColor="text1"/>
        </w:rPr>
      </w:pPr>
      <w:r>
        <w:rPr>
          <w:rFonts w:eastAsia="Times New Roman" w:cs="Times New Roman"/>
          <w:color w:val="000000" w:themeColor="text1"/>
        </w:rPr>
        <w:t xml:space="preserve">SENADOR DE LA REPÚBLICA </w:t>
      </w:r>
      <w:r>
        <w:rPr>
          <w:rFonts w:eastAsia="Times New Roman" w:cs="Times New Roman"/>
          <w:color w:val="000000" w:themeColor="text1"/>
        </w:rPr>
        <w:tab/>
      </w:r>
      <w:r>
        <w:rPr>
          <w:rFonts w:eastAsia="Times New Roman" w:cs="Times New Roman"/>
          <w:color w:val="000000" w:themeColor="text1"/>
        </w:rPr>
        <w:tab/>
      </w:r>
      <w:r>
        <w:rPr>
          <w:rFonts w:eastAsia="Times New Roman" w:cs="Times New Roman"/>
          <w:color w:val="000000" w:themeColor="text1"/>
        </w:rPr>
        <w:tab/>
      </w:r>
      <w:r>
        <w:rPr>
          <w:rFonts w:eastAsia="Times New Roman" w:cs="Times New Roman"/>
          <w:color w:val="000000" w:themeColor="text1"/>
        </w:rPr>
        <w:tab/>
        <w:t xml:space="preserve">SENADOR DE LA REPÚBLICA </w:t>
      </w:r>
    </w:p>
    <w:p w14:paraId="785EDCF3" w14:textId="77777777" w:rsidR="00765A2D" w:rsidRDefault="00765A2D" w:rsidP="00765A2D">
      <w:pPr>
        <w:rPr>
          <w:rFonts w:eastAsia="Times New Roman" w:cs="Times New Roman"/>
          <w:color w:val="000000" w:themeColor="text1"/>
        </w:rPr>
      </w:pPr>
    </w:p>
    <w:p w14:paraId="6A4F3FED" w14:textId="77777777" w:rsidR="00765A2D" w:rsidRDefault="00765A2D" w:rsidP="00765A2D">
      <w:pPr>
        <w:rPr>
          <w:rFonts w:eastAsia="Times New Roman" w:cs="Times New Roman"/>
          <w:color w:val="000000" w:themeColor="text1"/>
        </w:rPr>
      </w:pPr>
    </w:p>
    <w:p w14:paraId="7D54456E" w14:textId="77777777" w:rsidR="00765A2D" w:rsidRDefault="00765A2D" w:rsidP="00765A2D">
      <w:pPr>
        <w:rPr>
          <w:rFonts w:eastAsia="Times New Roman" w:cs="Times New Roman"/>
          <w:color w:val="000000" w:themeColor="text1"/>
        </w:rPr>
      </w:pPr>
    </w:p>
    <w:p w14:paraId="24F8811A" w14:textId="77777777" w:rsidR="00765A2D" w:rsidRDefault="00765A2D" w:rsidP="00765A2D">
      <w:pPr>
        <w:rPr>
          <w:rFonts w:eastAsia="Times New Roman" w:cs="Times New Roman"/>
          <w:color w:val="000000" w:themeColor="text1"/>
        </w:rPr>
      </w:pPr>
    </w:p>
    <w:p w14:paraId="6C7D8AE6" w14:textId="77777777" w:rsidR="00765A2D" w:rsidRDefault="00765A2D" w:rsidP="00765A2D">
      <w:pPr>
        <w:rPr>
          <w:rFonts w:eastAsia="Times New Roman" w:cs="Times New Roman"/>
          <w:color w:val="000000" w:themeColor="text1"/>
        </w:rPr>
      </w:pPr>
    </w:p>
    <w:p w14:paraId="27468C32" w14:textId="77777777" w:rsidR="00765A2D" w:rsidRPr="009F5ADB" w:rsidRDefault="00765A2D" w:rsidP="00765A2D">
      <w:pPr>
        <w:rPr>
          <w:rFonts w:eastAsia="Times New Roman" w:cs="Times New Roman"/>
          <w:b/>
          <w:color w:val="000000" w:themeColor="text1"/>
        </w:rPr>
      </w:pPr>
      <w:r w:rsidRPr="009F5ADB">
        <w:rPr>
          <w:rFonts w:eastAsia="Times New Roman" w:cs="Times New Roman"/>
          <w:b/>
          <w:color w:val="000000" w:themeColor="text1"/>
        </w:rPr>
        <w:t>ANTONIO ERESMID SANGUINO PÁEZ</w:t>
      </w:r>
      <w:r w:rsidRPr="009F5ADB">
        <w:rPr>
          <w:rFonts w:eastAsia="Times New Roman" w:cs="Times New Roman"/>
          <w:b/>
          <w:color w:val="000000" w:themeColor="text1"/>
        </w:rPr>
        <w:tab/>
      </w:r>
      <w:r w:rsidRPr="009F5ADB">
        <w:rPr>
          <w:rFonts w:eastAsia="Times New Roman" w:cs="Times New Roman"/>
          <w:b/>
          <w:color w:val="000000" w:themeColor="text1"/>
        </w:rPr>
        <w:tab/>
        <w:t xml:space="preserve">JESÚS ALBERTO CASTILLA SALAZAR </w:t>
      </w:r>
    </w:p>
    <w:p w14:paraId="587D30B4" w14:textId="77777777" w:rsidR="00765A2D" w:rsidRPr="00E77849" w:rsidRDefault="00765A2D" w:rsidP="00765A2D">
      <w:pPr>
        <w:spacing w:before="57" w:after="57" w:line="288" w:lineRule="atLeast"/>
        <w:jc w:val="both"/>
        <w:textAlignment w:val="center"/>
        <w:rPr>
          <w:rFonts w:cs="Times New Roman"/>
          <w:color w:val="000000" w:themeColor="text1"/>
          <w:spacing w:val="4"/>
        </w:rPr>
      </w:pPr>
      <w:r>
        <w:rPr>
          <w:rFonts w:eastAsia="Times New Roman" w:cs="Times New Roman"/>
          <w:color w:val="000000" w:themeColor="text1"/>
        </w:rPr>
        <w:t xml:space="preserve">SENADOR DE LA REPÚBLICA </w:t>
      </w:r>
      <w:r>
        <w:rPr>
          <w:rFonts w:eastAsia="Times New Roman" w:cs="Times New Roman"/>
          <w:color w:val="000000" w:themeColor="text1"/>
        </w:rPr>
        <w:tab/>
      </w:r>
      <w:r>
        <w:rPr>
          <w:rFonts w:eastAsia="Times New Roman" w:cs="Times New Roman"/>
          <w:color w:val="000000" w:themeColor="text1"/>
        </w:rPr>
        <w:tab/>
      </w:r>
      <w:r>
        <w:rPr>
          <w:rFonts w:eastAsia="Times New Roman" w:cs="Times New Roman"/>
          <w:color w:val="000000" w:themeColor="text1"/>
        </w:rPr>
        <w:tab/>
      </w:r>
      <w:r>
        <w:rPr>
          <w:rFonts w:eastAsia="Times New Roman" w:cs="Times New Roman"/>
          <w:color w:val="000000" w:themeColor="text1"/>
        </w:rPr>
        <w:tab/>
        <w:t>SENADOR DE LA REPÚBLICA</w:t>
      </w:r>
    </w:p>
    <w:p w14:paraId="19AC0AB7" w14:textId="5C3D122F" w:rsidR="009F5ADB" w:rsidRPr="00E77849" w:rsidRDefault="009F5ADB" w:rsidP="00765A2D">
      <w:pPr>
        <w:rPr>
          <w:rFonts w:cs="Times New Roman"/>
          <w:color w:val="000000" w:themeColor="text1"/>
          <w:spacing w:val="4"/>
        </w:rPr>
      </w:pPr>
    </w:p>
    <w:sectPr w:rsidR="009F5ADB" w:rsidRPr="00E77849" w:rsidSect="008B71F9">
      <w:footerReference w:type="default" r:id="rId23"/>
      <w:pgSz w:w="12240" w:h="15840"/>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872C81" w16cid:durableId="1F900D1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ED8D5" w14:textId="77777777" w:rsidR="008F3341" w:rsidRDefault="008F3341" w:rsidP="00F949F2">
      <w:r>
        <w:separator/>
      </w:r>
    </w:p>
  </w:endnote>
  <w:endnote w:type="continuationSeparator" w:id="0">
    <w:p w14:paraId="63E1F974" w14:textId="77777777" w:rsidR="008F3341" w:rsidRDefault="008F3341" w:rsidP="00F94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9003354"/>
      <w:docPartObj>
        <w:docPartGallery w:val="Page Numbers (Bottom of Page)"/>
        <w:docPartUnique/>
      </w:docPartObj>
    </w:sdtPr>
    <w:sdtEndPr/>
    <w:sdtContent>
      <w:p w14:paraId="049E131F" w14:textId="3EBF495F" w:rsidR="004C41E1" w:rsidRDefault="004C41E1">
        <w:pPr>
          <w:pStyle w:val="Piedepgina"/>
          <w:jc w:val="right"/>
        </w:pPr>
        <w:r>
          <w:fldChar w:fldCharType="begin"/>
        </w:r>
        <w:r>
          <w:instrText>PAGE   \* MERGEFORMAT</w:instrText>
        </w:r>
        <w:r>
          <w:fldChar w:fldCharType="separate"/>
        </w:r>
        <w:r w:rsidR="00D70FE4" w:rsidRPr="00D70FE4">
          <w:rPr>
            <w:noProof/>
            <w:lang w:val="es-ES"/>
          </w:rPr>
          <w:t>21</w:t>
        </w:r>
        <w:r>
          <w:fldChar w:fldCharType="end"/>
        </w:r>
      </w:p>
    </w:sdtContent>
  </w:sdt>
  <w:p w14:paraId="3F504723" w14:textId="77777777" w:rsidR="004C41E1" w:rsidRDefault="004C41E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007E0" w14:textId="77777777" w:rsidR="008F3341" w:rsidRDefault="008F3341" w:rsidP="00F949F2">
      <w:r>
        <w:separator/>
      </w:r>
    </w:p>
  </w:footnote>
  <w:footnote w:type="continuationSeparator" w:id="0">
    <w:p w14:paraId="06252C41" w14:textId="77777777" w:rsidR="008F3341" w:rsidRDefault="008F3341" w:rsidP="00F949F2">
      <w:r>
        <w:continuationSeparator/>
      </w:r>
    </w:p>
  </w:footnote>
  <w:footnote w:id="1">
    <w:p w14:paraId="4F01CA48" w14:textId="77777777" w:rsidR="00CE3300" w:rsidRPr="00E76C22" w:rsidRDefault="00CE3300" w:rsidP="00CE3300">
      <w:pPr>
        <w:pStyle w:val="Textonotapie"/>
        <w:rPr>
          <w:sz w:val="18"/>
          <w:szCs w:val="18"/>
        </w:rPr>
      </w:pPr>
      <w:r w:rsidRPr="00E76C22">
        <w:rPr>
          <w:rStyle w:val="Refdenotaalpie"/>
          <w:sz w:val="18"/>
          <w:szCs w:val="18"/>
        </w:rPr>
        <w:footnoteRef/>
      </w:r>
      <w:r w:rsidRPr="00E76C22">
        <w:rPr>
          <w:sz w:val="18"/>
          <w:szCs w:val="18"/>
        </w:rPr>
        <w:t xml:space="preserve"> Universidad ICESI, Centro de investigación en economía y finanzas (2008). </w:t>
      </w:r>
      <w:r w:rsidRPr="00E76C22">
        <w:rPr>
          <w:i/>
          <w:sz w:val="18"/>
          <w:szCs w:val="18"/>
        </w:rPr>
        <w:t>10 AÑOS DE LA LEY PÁEZ - Impacto Económico (Resumen Ejecutivo)</w:t>
      </w:r>
      <w:r w:rsidRPr="00E76C22">
        <w:rPr>
          <w:sz w:val="18"/>
          <w:szCs w:val="18"/>
        </w:rPr>
        <w:t>.</w:t>
      </w:r>
    </w:p>
  </w:footnote>
  <w:footnote w:id="2">
    <w:p w14:paraId="12BA112A" w14:textId="77777777" w:rsidR="00CE3300" w:rsidRPr="00E76C22" w:rsidRDefault="00CE3300" w:rsidP="00CE3300">
      <w:pPr>
        <w:rPr>
          <w:sz w:val="18"/>
          <w:szCs w:val="18"/>
        </w:rPr>
      </w:pPr>
      <w:r w:rsidRPr="00E76C22">
        <w:rPr>
          <w:rStyle w:val="Refdenotaalpie"/>
          <w:sz w:val="18"/>
          <w:szCs w:val="18"/>
        </w:rPr>
        <w:footnoteRef/>
      </w:r>
      <w:r w:rsidRPr="00E76C22">
        <w:rPr>
          <w:sz w:val="18"/>
          <w:szCs w:val="18"/>
        </w:rPr>
        <w:t xml:space="preserve"> Corte Constitucional, Sentencia C-222 de 1995. Reiterada en Sentencias C-341 de 1998, C-250 de 2003, C-1003 de 2004, C-664 de 2009, C-748 de 2009, C-913 de 2011 y C-198 de 2012. </w:t>
      </w:r>
    </w:p>
  </w:footnote>
  <w:footnote w:id="3">
    <w:p w14:paraId="0731260B" w14:textId="77777777" w:rsidR="00CE3300" w:rsidRPr="00E76C22" w:rsidRDefault="00CE3300" w:rsidP="00CE3300">
      <w:pPr>
        <w:pStyle w:val="Textonotapie"/>
        <w:rPr>
          <w:sz w:val="18"/>
          <w:szCs w:val="18"/>
          <w:lang w:val="es-ES_tradnl"/>
        </w:rPr>
      </w:pPr>
      <w:r w:rsidRPr="00E76C22">
        <w:rPr>
          <w:rStyle w:val="Refdenotaalpie"/>
          <w:sz w:val="18"/>
          <w:szCs w:val="18"/>
        </w:rPr>
        <w:footnoteRef/>
      </w:r>
      <w:r w:rsidRPr="00E76C22">
        <w:rPr>
          <w:sz w:val="18"/>
          <w:szCs w:val="18"/>
        </w:rPr>
        <w:t xml:space="preserve"> </w:t>
      </w:r>
      <w:r w:rsidRPr="00E76C22">
        <w:rPr>
          <w:sz w:val="18"/>
          <w:szCs w:val="18"/>
          <w:lang w:val="es-ES_tradnl"/>
        </w:rPr>
        <w:t xml:space="preserve">Corte Constitucional, Sentencia C-913 de 2011. </w:t>
      </w:r>
    </w:p>
  </w:footnote>
  <w:footnote w:id="4">
    <w:p w14:paraId="038D26CD" w14:textId="77777777" w:rsidR="00CE3300" w:rsidRPr="00E76C22" w:rsidRDefault="00CE3300" w:rsidP="00CE3300">
      <w:pPr>
        <w:pStyle w:val="Textonotapie"/>
        <w:rPr>
          <w:sz w:val="18"/>
          <w:szCs w:val="18"/>
          <w:lang w:val="es-ES_tradnl"/>
        </w:rPr>
      </w:pPr>
      <w:r w:rsidRPr="00E76C22">
        <w:rPr>
          <w:rStyle w:val="Refdenotaalpie"/>
          <w:sz w:val="18"/>
          <w:szCs w:val="18"/>
        </w:rPr>
        <w:footnoteRef/>
      </w:r>
      <w:r w:rsidRPr="00E76C22">
        <w:rPr>
          <w:sz w:val="18"/>
          <w:szCs w:val="18"/>
        </w:rPr>
        <w:t xml:space="preserve"> </w:t>
      </w:r>
      <w:r w:rsidRPr="00E76C22">
        <w:rPr>
          <w:sz w:val="18"/>
          <w:szCs w:val="18"/>
          <w:lang w:val="es-ES_tradnl"/>
        </w:rPr>
        <w:t>Corte Constitucional, Sentencia 717 de 2003.</w:t>
      </w:r>
    </w:p>
  </w:footnote>
  <w:footnote w:id="5">
    <w:p w14:paraId="59163FCB" w14:textId="77777777" w:rsidR="00CE3300" w:rsidRPr="00E76C22" w:rsidRDefault="00CE3300" w:rsidP="00CE3300">
      <w:pPr>
        <w:pStyle w:val="Textonotapie"/>
        <w:rPr>
          <w:sz w:val="18"/>
          <w:szCs w:val="18"/>
          <w:lang w:val="es-ES_tradnl"/>
        </w:rPr>
      </w:pPr>
      <w:r w:rsidRPr="00E76C22">
        <w:rPr>
          <w:rStyle w:val="Refdenotaalpie"/>
          <w:sz w:val="18"/>
          <w:szCs w:val="18"/>
        </w:rPr>
        <w:footnoteRef/>
      </w:r>
      <w:r w:rsidRPr="00E76C22">
        <w:rPr>
          <w:sz w:val="18"/>
          <w:szCs w:val="18"/>
        </w:rPr>
        <w:t xml:space="preserve"> </w:t>
      </w:r>
      <w:r w:rsidRPr="00E76C22">
        <w:rPr>
          <w:sz w:val="18"/>
          <w:szCs w:val="18"/>
          <w:lang w:val="es-ES_tradnl"/>
        </w:rPr>
        <w:t xml:space="preserve">Corte Constitucional, Sentencia 657 de 2015. </w:t>
      </w:r>
    </w:p>
  </w:footnote>
  <w:footnote w:id="6">
    <w:p w14:paraId="459A26DD" w14:textId="77777777" w:rsidR="00CE3300" w:rsidRPr="00E76C22" w:rsidRDefault="00CE3300" w:rsidP="00CE3300">
      <w:pPr>
        <w:pStyle w:val="Textonotapie"/>
        <w:rPr>
          <w:sz w:val="18"/>
          <w:szCs w:val="18"/>
          <w:lang w:val="es-ES_tradnl"/>
        </w:rPr>
      </w:pPr>
      <w:r w:rsidRPr="00E76C22">
        <w:rPr>
          <w:rStyle w:val="Refdenotaalpie"/>
          <w:sz w:val="18"/>
          <w:szCs w:val="18"/>
        </w:rPr>
        <w:footnoteRef/>
      </w:r>
      <w:r w:rsidRPr="00E76C22">
        <w:rPr>
          <w:sz w:val="18"/>
          <w:szCs w:val="18"/>
        </w:rPr>
        <w:t xml:space="preserve"> </w:t>
      </w:r>
      <w:r w:rsidRPr="00E76C22">
        <w:rPr>
          <w:sz w:val="18"/>
          <w:szCs w:val="18"/>
          <w:lang w:val="es-ES_tradnl"/>
        </w:rPr>
        <w:t xml:space="preserve">Corte Constitucional, Sentencia C- 1107 de 2011.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6C62"/>
    <w:multiLevelType w:val="hybridMultilevel"/>
    <w:tmpl w:val="55DC5362"/>
    <w:lvl w:ilvl="0" w:tplc="040A0003">
      <w:start w:val="1"/>
      <w:numFmt w:val="bullet"/>
      <w:lvlText w:val="o"/>
      <w:lvlJc w:val="left"/>
      <w:pPr>
        <w:ind w:left="720" w:hanging="360"/>
      </w:pPr>
      <w:rPr>
        <w:rFonts w:ascii="Courier New" w:hAnsi="Courier New" w:cs="Courier New"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5472B9A"/>
    <w:multiLevelType w:val="hybridMultilevel"/>
    <w:tmpl w:val="159422F8"/>
    <w:lvl w:ilvl="0" w:tplc="D700A512">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E7A1432"/>
    <w:multiLevelType w:val="hybridMultilevel"/>
    <w:tmpl w:val="07EE72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20C6620"/>
    <w:multiLevelType w:val="hybridMultilevel"/>
    <w:tmpl w:val="34AAE3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5946093"/>
    <w:multiLevelType w:val="hybridMultilevel"/>
    <w:tmpl w:val="6CA0D22E"/>
    <w:lvl w:ilvl="0" w:tplc="2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285C7C99"/>
    <w:multiLevelType w:val="hybridMultilevel"/>
    <w:tmpl w:val="B3AC3A7C"/>
    <w:lvl w:ilvl="0" w:tplc="B4441D6A">
      <w:numFmt w:val="bullet"/>
      <w:lvlText w:val=""/>
      <w:lvlJc w:val="left"/>
      <w:pPr>
        <w:ind w:left="1060" w:hanging="700"/>
      </w:pPr>
      <w:rPr>
        <w:rFonts w:ascii="Symbol" w:eastAsiaTheme="minorEastAsia" w:hAnsi="Symbol" w:cs="Times New Roman"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36407B9F"/>
    <w:multiLevelType w:val="hybridMultilevel"/>
    <w:tmpl w:val="CDE688FE"/>
    <w:lvl w:ilvl="0" w:tplc="B4441D6A">
      <w:numFmt w:val="bullet"/>
      <w:lvlText w:val=""/>
      <w:lvlJc w:val="left"/>
      <w:pPr>
        <w:ind w:left="1060" w:hanging="700"/>
      </w:pPr>
      <w:rPr>
        <w:rFonts w:ascii="Symbol" w:eastAsiaTheme="minorEastAsia"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3D663BE5"/>
    <w:multiLevelType w:val="hybridMultilevel"/>
    <w:tmpl w:val="012C5E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22F64C5"/>
    <w:multiLevelType w:val="hybridMultilevel"/>
    <w:tmpl w:val="51103540"/>
    <w:lvl w:ilvl="0" w:tplc="040A0019">
      <w:start w:val="1"/>
      <w:numFmt w:val="lowerLetter"/>
      <w:lvlText w:val="%1."/>
      <w:lvlJc w:val="left"/>
      <w:pPr>
        <w:ind w:left="360" w:hanging="360"/>
      </w:pPr>
    </w:lvl>
    <w:lvl w:ilvl="1" w:tplc="040A0019">
      <w:start w:val="1"/>
      <w:numFmt w:val="lowerLetter"/>
      <w:lvlText w:val="%2."/>
      <w:lvlJc w:val="left"/>
      <w:pPr>
        <w:ind w:left="1080" w:hanging="360"/>
      </w:pPr>
      <w:rPr>
        <w:rFonts w:hint="default"/>
      </w:r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9" w15:restartNumberingAfterBreak="0">
    <w:nsid w:val="63D811B3"/>
    <w:multiLevelType w:val="hybridMultilevel"/>
    <w:tmpl w:val="0B3E9D58"/>
    <w:lvl w:ilvl="0" w:tplc="2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645A19FE"/>
    <w:multiLevelType w:val="hybridMultilevel"/>
    <w:tmpl w:val="CDACBE32"/>
    <w:lvl w:ilvl="0" w:tplc="04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65302951"/>
    <w:multiLevelType w:val="hybridMultilevel"/>
    <w:tmpl w:val="69C05D4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81F2EDD"/>
    <w:multiLevelType w:val="hybridMultilevel"/>
    <w:tmpl w:val="D4823714"/>
    <w:lvl w:ilvl="0" w:tplc="807CBCB4">
      <w:start w:val="1"/>
      <w:numFmt w:val="decimal"/>
      <w:lvlText w:val="%1."/>
      <w:lvlJc w:val="left"/>
      <w:pPr>
        <w:ind w:left="720" w:hanging="360"/>
      </w:pPr>
      <w:rPr>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6A06371C"/>
    <w:multiLevelType w:val="hybridMultilevel"/>
    <w:tmpl w:val="3DAC56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C83369C"/>
    <w:multiLevelType w:val="hybridMultilevel"/>
    <w:tmpl w:val="0BB6B912"/>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B6E0C64"/>
    <w:multiLevelType w:val="hybridMultilevel"/>
    <w:tmpl w:val="7B7EFF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4"/>
  </w:num>
  <w:num w:numId="2">
    <w:abstractNumId w:val="10"/>
  </w:num>
  <w:num w:numId="3">
    <w:abstractNumId w:val="6"/>
  </w:num>
  <w:num w:numId="4">
    <w:abstractNumId w:val="8"/>
  </w:num>
  <w:num w:numId="5">
    <w:abstractNumId w:val="5"/>
  </w:num>
  <w:num w:numId="6">
    <w:abstractNumId w:val="0"/>
  </w:num>
  <w:num w:numId="7">
    <w:abstractNumId w:val="13"/>
  </w:num>
  <w:num w:numId="8">
    <w:abstractNumId w:val="4"/>
  </w:num>
  <w:num w:numId="9">
    <w:abstractNumId w:val="15"/>
  </w:num>
  <w:num w:numId="10">
    <w:abstractNumId w:val="12"/>
  </w:num>
  <w:num w:numId="11">
    <w:abstractNumId w:val="9"/>
  </w:num>
  <w:num w:numId="12">
    <w:abstractNumId w:val="1"/>
  </w:num>
  <w:num w:numId="13">
    <w:abstractNumId w:val="3"/>
  </w:num>
  <w:num w:numId="14">
    <w:abstractNumId w:val="2"/>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9F2"/>
    <w:rsid w:val="00003B6F"/>
    <w:rsid w:val="00024727"/>
    <w:rsid w:val="00024B43"/>
    <w:rsid w:val="00074D6C"/>
    <w:rsid w:val="000B354C"/>
    <w:rsid w:val="000C48B8"/>
    <w:rsid w:val="000E24EF"/>
    <w:rsid w:val="000F7AE1"/>
    <w:rsid w:val="0010059B"/>
    <w:rsid w:val="00112D58"/>
    <w:rsid w:val="00114983"/>
    <w:rsid w:val="00122B6E"/>
    <w:rsid w:val="0014563D"/>
    <w:rsid w:val="001579DC"/>
    <w:rsid w:val="00187CDC"/>
    <w:rsid w:val="00192923"/>
    <w:rsid w:val="001959EC"/>
    <w:rsid w:val="001C275A"/>
    <w:rsid w:val="001C76A9"/>
    <w:rsid w:val="001D141C"/>
    <w:rsid w:val="001F41A6"/>
    <w:rsid w:val="0021370A"/>
    <w:rsid w:val="00246246"/>
    <w:rsid w:val="00255AA0"/>
    <w:rsid w:val="002568AD"/>
    <w:rsid w:val="002D5245"/>
    <w:rsid w:val="002D796C"/>
    <w:rsid w:val="00301F71"/>
    <w:rsid w:val="00303ECF"/>
    <w:rsid w:val="00307677"/>
    <w:rsid w:val="00307DE9"/>
    <w:rsid w:val="00310720"/>
    <w:rsid w:val="00340DFC"/>
    <w:rsid w:val="00353330"/>
    <w:rsid w:val="00360459"/>
    <w:rsid w:val="00380B46"/>
    <w:rsid w:val="00384BFF"/>
    <w:rsid w:val="00392763"/>
    <w:rsid w:val="003932E6"/>
    <w:rsid w:val="0039461E"/>
    <w:rsid w:val="003953C7"/>
    <w:rsid w:val="003C6B42"/>
    <w:rsid w:val="003E5D7F"/>
    <w:rsid w:val="003F75AB"/>
    <w:rsid w:val="0043202A"/>
    <w:rsid w:val="00463A7F"/>
    <w:rsid w:val="00463DAD"/>
    <w:rsid w:val="004A4637"/>
    <w:rsid w:val="004C41E1"/>
    <w:rsid w:val="004D5692"/>
    <w:rsid w:val="004E296D"/>
    <w:rsid w:val="004F09E4"/>
    <w:rsid w:val="004F5385"/>
    <w:rsid w:val="004F5779"/>
    <w:rsid w:val="004F70AE"/>
    <w:rsid w:val="004F7EC3"/>
    <w:rsid w:val="00515FE0"/>
    <w:rsid w:val="0053015E"/>
    <w:rsid w:val="005306C2"/>
    <w:rsid w:val="00541674"/>
    <w:rsid w:val="0055172E"/>
    <w:rsid w:val="0056716E"/>
    <w:rsid w:val="005B128E"/>
    <w:rsid w:val="005C44CD"/>
    <w:rsid w:val="005D04AF"/>
    <w:rsid w:val="005E3182"/>
    <w:rsid w:val="00625F6A"/>
    <w:rsid w:val="00670CD8"/>
    <w:rsid w:val="00671A64"/>
    <w:rsid w:val="006A2CF9"/>
    <w:rsid w:val="006B7F4C"/>
    <w:rsid w:val="006D0414"/>
    <w:rsid w:val="006D6F13"/>
    <w:rsid w:val="0070584C"/>
    <w:rsid w:val="007153A7"/>
    <w:rsid w:val="00732159"/>
    <w:rsid w:val="00745575"/>
    <w:rsid w:val="00750250"/>
    <w:rsid w:val="00760549"/>
    <w:rsid w:val="00762C5B"/>
    <w:rsid w:val="00765A2D"/>
    <w:rsid w:val="007736AC"/>
    <w:rsid w:val="00781F14"/>
    <w:rsid w:val="0078511F"/>
    <w:rsid w:val="00797E0A"/>
    <w:rsid w:val="007C42E2"/>
    <w:rsid w:val="007D52BA"/>
    <w:rsid w:val="007D67EC"/>
    <w:rsid w:val="007E3747"/>
    <w:rsid w:val="007E5E6E"/>
    <w:rsid w:val="007F1957"/>
    <w:rsid w:val="008002DE"/>
    <w:rsid w:val="00834667"/>
    <w:rsid w:val="00880851"/>
    <w:rsid w:val="008960E7"/>
    <w:rsid w:val="008B71F9"/>
    <w:rsid w:val="008C04BE"/>
    <w:rsid w:val="008C7B54"/>
    <w:rsid w:val="008E0D09"/>
    <w:rsid w:val="008E2ED8"/>
    <w:rsid w:val="008F3341"/>
    <w:rsid w:val="00900362"/>
    <w:rsid w:val="009031A6"/>
    <w:rsid w:val="00937990"/>
    <w:rsid w:val="00980CC2"/>
    <w:rsid w:val="00985F71"/>
    <w:rsid w:val="00986C8E"/>
    <w:rsid w:val="009A369D"/>
    <w:rsid w:val="009A6977"/>
    <w:rsid w:val="009B6577"/>
    <w:rsid w:val="009C4AE4"/>
    <w:rsid w:val="009D2F25"/>
    <w:rsid w:val="009F5ADB"/>
    <w:rsid w:val="00A02CF7"/>
    <w:rsid w:val="00A44F90"/>
    <w:rsid w:val="00A87CD9"/>
    <w:rsid w:val="00AD4852"/>
    <w:rsid w:val="00AE1D9E"/>
    <w:rsid w:val="00AE6F24"/>
    <w:rsid w:val="00AF2D67"/>
    <w:rsid w:val="00B33CE7"/>
    <w:rsid w:val="00B563EB"/>
    <w:rsid w:val="00B656C5"/>
    <w:rsid w:val="00B74E90"/>
    <w:rsid w:val="00B85AA1"/>
    <w:rsid w:val="00BC2A97"/>
    <w:rsid w:val="00BD1411"/>
    <w:rsid w:val="00BD244A"/>
    <w:rsid w:val="00BF3D35"/>
    <w:rsid w:val="00BF55D8"/>
    <w:rsid w:val="00C1239A"/>
    <w:rsid w:val="00C366A7"/>
    <w:rsid w:val="00C70AF5"/>
    <w:rsid w:val="00C77DC9"/>
    <w:rsid w:val="00CC7292"/>
    <w:rsid w:val="00CE3300"/>
    <w:rsid w:val="00CF4F3A"/>
    <w:rsid w:val="00D43DAB"/>
    <w:rsid w:val="00D55D45"/>
    <w:rsid w:val="00D70FE4"/>
    <w:rsid w:val="00D8594A"/>
    <w:rsid w:val="00D8776B"/>
    <w:rsid w:val="00D90E67"/>
    <w:rsid w:val="00D96072"/>
    <w:rsid w:val="00DC7F90"/>
    <w:rsid w:val="00E4441F"/>
    <w:rsid w:val="00E5061B"/>
    <w:rsid w:val="00E508CC"/>
    <w:rsid w:val="00E764CD"/>
    <w:rsid w:val="00E77849"/>
    <w:rsid w:val="00E802F0"/>
    <w:rsid w:val="00EF4F96"/>
    <w:rsid w:val="00F0327E"/>
    <w:rsid w:val="00F07BF0"/>
    <w:rsid w:val="00F170D1"/>
    <w:rsid w:val="00F504B2"/>
    <w:rsid w:val="00F61DAA"/>
    <w:rsid w:val="00F6306E"/>
    <w:rsid w:val="00F75052"/>
    <w:rsid w:val="00F8467E"/>
    <w:rsid w:val="00F949F2"/>
    <w:rsid w:val="00FA52FA"/>
    <w:rsid w:val="00FC37C1"/>
    <w:rsid w:val="00FD1808"/>
    <w:rsid w:val="00FF612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82529"/>
  <w15:chartTrackingRefBased/>
  <w15:docId w15:val="{B29F7135-12E0-41E7-BD00-CCDAD550F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9F2"/>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949F2"/>
    <w:pPr>
      <w:spacing w:before="100" w:beforeAutospacing="1" w:after="100" w:afterAutospacing="1"/>
    </w:pPr>
    <w:rPr>
      <w:rFonts w:ascii="Times" w:hAnsi="Times" w:cs="Times New Roman"/>
      <w:sz w:val="20"/>
      <w:szCs w:val="20"/>
    </w:rPr>
  </w:style>
  <w:style w:type="character" w:styleId="Textoennegrita">
    <w:name w:val="Strong"/>
    <w:basedOn w:val="Fuentedeprrafopredeter"/>
    <w:uiPriority w:val="22"/>
    <w:qFormat/>
    <w:rsid w:val="00F949F2"/>
    <w:rPr>
      <w:b/>
      <w:bCs/>
    </w:rPr>
  </w:style>
  <w:style w:type="character" w:styleId="Hipervnculo">
    <w:name w:val="Hyperlink"/>
    <w:basedOn w:val="Fuentedeprrafopredeter"/>
    <w:uiPriority w:val="99"/>
    <w:unhideWhenUsed/>
    <w:rsid w:val="00F949F2"/>
    <w:rPr>
      <w:color w:val="0563C1" w:themeColor="hyperlink"/>
      <w:u w:val="single"/>
    </w:rPr>
  </w:style>
  <w:style w:type="paragraph" w:styleId="Textonotapie">
    <w:name w:val="footnote text"/>
    <w:basedOn w:val="Normal"/>
    <w:link w:val="TextonotapieCar"/>
    <w:uiPriority w:val="99"/>
    <w:unhideWhenUsed/>
    <w:rsid w:val="00F949F2"/>
    <w:rPr>
      <w:rFonts w:eastAsiaTheme="minorHAnsi"/>
      <w:sz w:val="20"/>
      <w:szCs w:val="20"/>
      <w:lang w:val="es-CO" w:eastAsia="en-US"/>
    </w:rPr>
  </w:style>
  <w:style w:type="character" w:customStyle="1" w:styleId="TextonotapieCar">
    <w:name w:val="Texto nota pie Car"/>
    <w:basedOn w:val="Fuentedeprrafopredeter"/>
    <w:link w:val="Textonotapie"/>
    <w:uiPriority w:val="99"/>
    <w:rsid w:val="00F949F2"/>
    <w:rPr>
      <w:sz w:val="20"/>
      <w:szCs w:val="20"/>
    </w:rPr>
  </w:style>
  <w:style w:type="character" w:styleId="Refdenotaalpie">
    <w:name w:val="footnote reference"/>
    <w:basedOn w:val="Fuentedeprrafopredeter"/>
    <w:uiPriority w:val="99"/>
    <w:unhideWhenUsed/>
    <w:rsid w:val="00F949F2"/>
    <w:rPr>
      <w:vertAlign w:val="superscript"/>
    </w:rPr>
  </w:style>
  <w:style w:type="paragraph" w:styleId="Prrafodelista">
    <w:name w:val="List Paragraph"/>
    <w:basedOn w:val="Normal"/>
    <w:uiPriority w:val="34"/>
    <w:qFormat/>
    <w:rsid w:val="00F949F2"/>
    <w:pPr>
      <w:spacing w:after="160" w:line="259" w:lineRule="auto"/>
      <w:ind w:left="720"/>
      <w:contextualSpacing/>
    </w:pPr>
    <w:rPr>
      <w:rFonts w:eastAsiaTheme="minorHAnsi"/>
      <w:sz w:val="22"/>
      <w:szCs w:val="22"/>
      <w:lang w:val="es-CO" w:eastAsia="en-US"/>
    </w:rPr>
  </w:style>
  <w:style w:type="character" w:customStyle="1" w:styleId="apple-converted-space">
    <w:name w:val="apple-converted-space"/>
    <w:basedOn w:val="Fuentedeprrafopredeter"/>
    <w:rsid w:val="00F949F2"/>
  </w:style>
  <w:style w:type="paragraph" w:styleId="Sinespaciado">
    <w:name w:val="No Spacing"/>
    <w:uiPriority w:val="1"/>
    <w:qFormat/>
    <w:rsid w:val="00F949F2"/>
    <w:pPr>
      <w:spacing w:after="0" w:line="240" w:lineRule="auto"/>
    </w:pPr>
  </w:style>
  <w:style w:type="table" w:styleId="Tablaconcuadrcula">
    <w:name w:val="Table Grid"/>
    <w:basedOn w:val="Tablanormal"/>
    <w:uiPriority w:val="39"/>
    <w:rsid w:val="00F949F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F949F2"/>
    <w:rPr>
      <w:sz w:val="16"/>
      <w:szCs w:val="16"/>
    </w:rPr>
  </w:style>
  <w:style w:type="paragraph" w:styleId="Textocomentario">
    <w:name w:val="annotation text"/>
    <w:basedOn w:val="Normal"/>
    <w:link w:val="TextocomentarioCar"/>
    <w:uiPriority w:val="99"/>
    <w:unhideWhenUsed/>
    <w:rsid w:val="00F949F2"/>
    <w:pPr>
      <w:spacing w:after="160"/>
    </w:pPr>
    <w:rPr>
      <w:rFonts w:eastAsiaTheme="minorHAnsi"/>
      <w:sz w:val="20"/>
      <w:szCs w:val="20"/>
      <w:lang w:val="es-CO" w:eastAsia="en-US"/>
    </w:rPr>
  </w:style>
  <w:style w:type="character" w:customStyle="1" w:styleId="TextocomentarioCar">
    <w:name w:val="Texto comentario Car"/>
    <w:basedOn w:val="Fuentedeprrafopredeter"/>
    <w:link w:val="Textocomentario"/>
    <w:uiPriority w:val="99"/>
    <w:rsid w:val="00F949F2"/>
    <w:rPr>
      <w:sz w:val="20"/>
      <w:szCs w:val="20"/>
    </w:rPr>
  </w:style>
  <w:style w:type="paragraph" w:styleId="Textodeglobo">
    <w:name w:val="Balloon Text"/>
    <w:basedOn w:val="Normal"/>
    <w:link w:val="TextodegloboCar"/>
    <w:uiPriority w:val="99"/>
    <w:semiHidden/>
    <w:unhideWhenUsed/>
    <w:rsid w:val="00F949F2"/>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F949F2"/>
    <w:rPr>
      <w:rFonts w:ascii="Times New Roman" w:eastAsiaTheme="minorEastAsia" w:hAnsi="Times New Roman" w:cs="Times New Roman"/>
      <w:sz w:val="18"/>
      <w:szCs w:val="18"/>
      <w:lang w:val="es-ES_tradnl" w:eastAsia="es-ES"/>
    </w:rPr>
  </w:style>
  <w:style w:type="paragraph" w:styleId="Descripcin">
    <w:name w:val="caption"/>
    <w:basedOn w:val="Normal"/>
    <w:next w:val="Normal"/>
    <w:uiPriority w:val="35"/>
    <w:unhideWhenUsed/>
    <w:qFormat/>
    <w:rsid w:val="00F949F2"/>
    <w:pPr>
      <w:spacing w:after="200"/>
    </w:pPr>
    <w:rPr>
      <w:i/>
      <w:iCs/>
      <w:color w:val="44546A" w:themeColor="text2"/>
      <w:sz w:val="18"/>
      <w:szCs w:val="18"/>
    </w:rPr>
  </w:style>
  <w:style w:type="character" w:styleId="Hipervnculovisitado">
    <w:name w:val="FollowedHyperlink"/>
    <w:basedOn w:val="Fuentedeprrafopredeter"/>
    <w:uiPriority w:val="99"/>
    <w:semiHidden/>
    <w:unhideWhenUsed/>
    <w:rsid w:val="00F949F2"/>
    <w:rPr>
      <w:color w:val="954F72"/>
      <w:u w:val="single"/>
    </w:rPr>
  </w:style>
  <w:style w:type="paragraph" w:customStyle="1" w:styleId="msonormal0">
    <w:name w:val="msonormal"/>
    <w:basedOn w:val="Normal"/>
    <w:rsid w:val="00F949F2"/>
    <w:pPr>
      <w:spacing w:before="100" w:beforeAutospacing="1" w:after="100" w:afterAutospacing="1"/>
    </w:pPr>
    <w:rPr>
      <w:rFonts w:ascii="Times New Roman" w:eastAsia="Times New Roman" w:hAnsi="Times New Roman" w:cs="Times New Roman"/>
      <w:lang w:val="es-CO" w:eastAsia="es-ES_tradnl"/>
    </w:rPr>
  </w:style>
  <w:style w:type="paragraph" w:customStyle="1" w:styleId="xl63">
    <w:name w:val="xl63"/>
    <w:basedOn w:val="Normal"/>
    <w:rsid w:val="00F949F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000000"/>
      <w:sz w:val="20"/>
      <w:szCs w:val="20"/>
      <w:lang w:val="es-CO" w:eastAsia="es-ES_tradnl"/>
    </w:rPr>
  </w:style>
  <w:style w:type="paragraph" w:customStyle="1" w:styleId="xl64">
    <w:name w:val="xl64"/>
    <w:basedOn w:val="Normal"/>
    <w:rsid w:val="00F94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sz w:val="20"/>
      <w:szCs w:val="20"/>
      <w:lang w:val="es-CO" w:eastAsia="es-ES_tradnl"/>
    </w:rPr>
  </w:style>
  <w:style w:type="paragraph" w:customStyle="1" w:styleId="xl65">
    <w:name w:val="xl65"/>
    <w:basedOn w:val="Normal"/>
    <w:rsid w:val="00F949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val="es-CO" w:eastAsia="es-ES_tradnl"/>
    </w:rPr>
  </w:style>
  <w:style w:type="paragraph" w:customStyle="1" w:styleId="xl66">
    <w:name w:val="xl66"/>
    <w:basedOn w:val="Normal"/>
    <w:rsid w:val="00F949F2"/>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000000"/>
      <w:sz w:val="20"/>
      <w:szCs w:val="20"/>
      <w:lang w:val="es-CO" w:eastAsia="es-ES_tradnl"/>
    </w:rPr>
  </w:style>
  <w:style w:type="paragraph" w:customStyle="1" w:styleId="xl67">
    <w:name w:val="xl67"/>
    <w:basedOn w:val="Normal"/>
    <w:rsid w:val="00F949F2"/>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000000"/>
      <w:sz w:val="20"/>
      <w:szCs w:val="20"/>
      <w:lang w:val="es-CO" w:eastAsia="es-ES_tradnl"/>
    </w:rPr>
  </w:style>
  <w:style w:type="paragraph" w:customStyle="1" w:styleId="xl68">
    <w:name w:val="xl68"/>
    <w:basedOn w:val="Normal"/>
    <w:rsid w:val="00F949F2"/>
    <w:pPr>
      <w:pBdr>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000000"/>
      <w:sz w:val="20"/>
      <w:szCs w:val="20"/>
      <w:lang w:val="es-CO" w:eastAsia="es-ES_tradnl"/>
    </w:rPr>
  </w:style>
  <w:style w:type="paragraph" w:customStyle="1" w:styleId="xl69">
    <w:name w:val="xl69"/>
    <w:basedOn w:val="Normal"/>
    <w:rsid w:val="00F949F2"/>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000000"/>
      <w:sz w:val="20"/>
      <w:szCs w:val="20"/>
      <w:lang w:val="es-CO" w:eastAsia="es-ES_tradnl"/>
    </w:rPr>
  </w:style>
  <w:style w:type="paragraph" w:customStyle="1" w:styleId="xl70">
    <w:name w:val="xl70"/>
    <w:basedOn w:val="Normal"/>
    <w:rsid w:val="00F949F2"/>
    <w:pPr>
      <w:pBdr>
        <w:top w:val="single" w:sz="4" w:space="0" w:color="auto"/>
        <w:bottom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000000"/>
      <w:sz w:val="20"/>
      <w:szCs w:val="20"/>
      <w:lang w:val="es-CO" w:eastAsia="es-ES_tradnl"/>
    </w:rPr>
  </w:style>
  <w:style w:type="paragraph" w:customStyle="1" w:styleId="xl71">
    <w:name w:val="xl71"/>
    <w:basedOn w:val="Normal"/>
    <w:rsid w:val="00F949F2"/>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000000"/>
      <w:sz w:val="20"/>
      <w:szCs w:val="20"/>
      <w:lang w:val="es-CO" w:eastAsia="es-ES_tradnl"/>
    </w:rPr>
  </w:style>
  <w:style w:type="paragraph" w:customStyle="1" w:styleId="xl72">
    <w:name w:val="xl72"/>
    <w:basedOn w:val="Normal"/>
    <w:rsid w:val="00F94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lang w:val="es-CO" w:eastAsia="es-ES_tradnl"/>
    </w:rPr>
  </w:style>
  <w:style w:type="paragraph" w:customStyle="1" w:styleId="xl73">
    <w:name w:val="xl73"/>
    <w:basedOn w:val="Normal"/>
    <w:rsid w:val="00F94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sz w:val="20"/>
      <w:szCs w:val="20"/>
      <w:lang w:val="es-CO" w:eastAsia="es-ES_tradnl"/>
    </w:rPr>
  </w:style>
  <w:style w:type="paragraph" w:customStyle="1" w:styleId="xl74">
    <w:name w:val="xl74"/>
    <w:basedOn w:val="Normal"/>
    <w:rsid w:val="00F94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CO" w:eastAsia="es-ES_tradnl"/>
    </w:rPr>
  </w:style>
  <w:style w:type="paragraph" w:customStyle="1" w:styleId="xl75">
    <w:name w:val="xl75"/>
    <w:basedOn w:val="Normal"/>
    <w:rsid w:val="00F949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0"/>
      <w:szCs w:val="20"/>
      <w:lang w:val="es-CO" w:eastAsia="es-ES_tradnl"/>
    </w:rPr>
  </w:style>
  <w:style w:type="paragraph" w:customStyle="1" w:styleId="xl76">
    <w:name w:val="xl76"/>
    <w:basedOn w:val="Normal"/>
    <w:rsid w:val="00F949F2"/>
    <w:pPr>
      <w:spacing w:before="100" w:beforeAutospacing="1" w:after="100" w:afterAutospacing="1"/>
      <w:jc w:val="center"/>
    </w:pPr>
    <w:rPr>
      <w:rFonts w:ascii="Times New Roman" w:eastAsia="Times New Roman" w:hAnsi="Times New Roman" w:cs="Times New Roman"/>
      <w:lang w:val="es-CO" w:eastAsia="es-ES_tradnl"/>
    </w:rPr>
  </w:style>
  <w:style w:type="paragraph" w:customStyle="1" w:styleId="xl77">
    <w:name w:val="xl77"/>
    <w:basedOn w:val="Normal"/>
    <w:rsid w:val="00F94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lang w:val="es-CO" w:eastAsia="es-ES_tradnl"/>
    </w:rPr>
  </w:style>
  <w:style w:type="paragraph" w:styleId="Asuntodelcomentario">
    <w:name w:val="annotation subject"/>
    <w:basedOn w:val="Textocomentario"/>
    <w:next w:val="Textocomentario"/>
    <w:link w:val="AsuntodelcomentarioCar"/>
    <w:uiPriority w:val="99"/>
    <w:semiHidden/>
    <w:unhideWhenUsed/>
    <w:rsid w:val="00F949F2"/>
    <w:pPr>
      <w:spacing w:after="0"/>
    </w:pPr>
    <w:rPr>
      <w:rFonts w:eastAsiaTheme="minorEastAsia"/>
      <w:b/>
      <w:bCs/>
      <w:lang w:val="es-ES_tradnl" w:eastAsia="es-ES"/>
    </w:rPr>
  </w:style>
  <w:style w:type="character" w:customStyle="1" w:styleId="AsuntodelcomentarioCar">
    <w:name w:val="Asunto del comentario Car"/>
    <w:basedOn w:val="TextocomentarioCar"/>
    <w:link w:val="Asuntodelcomentario"/>
    <w:uiPriority w:val="99"/>
    <w:semiHidden/>
    <w:rsid w:val="00F949F2"/>
    <w:rPr>
      <w:rFonts w:eastAsiaTheme="minorEastAsia"/>
      <w:b/>
      <w:bCs/>
      <w:sz w:val="20"/>
      <w:szCs w:val="20"/>
      <w:lang w:val="es-ES_tradnl" w:eastAsia="es-ES"/>
    </w:rPr>
  </w:style>
  <w:style w:type="paragraph" w:styleId="Encabezado">
    <w:name w:val="header"/>
    <w:basedOn w:val="Normal"/>
    <w:link w:val="EncabezadoCar"/>
    <w:uiPriority w:val="99"/>
    <w:unhideWhenUsed/>
    <w:rsid w:val="00F949F2"/>
    <w:pPr>
      <w:tabs>
        <w:tab w:val="center" w:pos="4252"/>
        <w:tab w:val="right" w:pos="8504"/>
      </w:tabs>
    </w:pPr>
  </w:style>
  <w:style w:type="character" w:customStyle="1" w:styleId="EncabezadoCar">
    <w:name w:val="Encabezado Car"/>
    <w:basedOn w:val="Fuentedeprrafopredeter"/>
    <w:link w:val="Encabezado"/>
    <w:uiPriority w:val="99"/>
    <w:rsid w:val="00F949F2"/>
    <w:rPr>
      <w:rFonts w:eastAsiaTheme="minorEastAsia"/>
      <w:sz w:val="24"/>
      <w:szCs w:val="24"/>
      <w:lang w:val="es-ES_tradnl" w:eastAsia="es-ES"/>
    </w:rPr>
  </w:style>
  <w:style w:type="paragraph" w:styleId="Piedepgina">
    <w:name w:val="footer"/>
    <w:basedOn w:val="Normal"/>
    <w:link w:val="PiedepginaCar"/>
    <w:uiPriority w:val="99"/>
    <w:unhideWhenUsed/>
    <w:rsid w:val="00F949F2"/>
    <w:pPr>
      <w:tabs>
        <w:tab w:val="center" w:pos="4252"/>
        <w:tab w:val="right" w:pos="8504"/>
      </w:tabs>
    </w:pPr>
  </w:style>
  <w:style w:type="character" w:customStyle="1" w:styleId="PiedepginaCar">
    <w:name w:val="Pie de página Car"/>
    <w:basedOn w:val="Fuentedeprrafopredeter"/>
    <w:link w:val="Piedepgina"/>
    <w:uiPriority w:val="99"/>
    <w:rsid w:val="00F949F2"/>
    <w:rPr>
      <w:rFonts w:eastAsiaTheme="minorEastAsia"/>
      <w:sz w:val="24"/>
      <w:szCs w:val="24"/>
      <w:lang w:val="es-ES_tradnl" w:eastAsia="es-ES"/>
    </w:rPr>
  </w:style>
  <w:style w:type="character" w:customStyle="1" w:styleId="Mencinsinresolver1">
    <w:name w:val="Mención sin resolver1"/>
    <w:basedOn w:val="Fuentedeprrafopredeter"/>
    <w:uiPriority w:val="99"/>
    <w:semiHidden/>
    <w:unhideWhenUsed/>
    <w:rsid w:val="006D6F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072338">
      <w:bodyDiv w:val="1"/>
      <w:marLeft w:val="0"/>
      <w:marRight w:val="0"/>
      <w:marTop w:val="0"/>
      <w:marBottom w:val="0"/>
      <w:divBdr>
        <w:top w:val="none" w:sz="0" w:space="0" w:color="auto"/>
        <w:left w:val="none" w:sz="0" w:space="0" w:color="auto"/>
        <w:bottom w:val="none" w:sz="0" w:space="0" w:color="auto"/>
        <w:right w:val="none" w:sz="0" w:space="0" w:color="auto"/>
      </w:divBdr>
    </w:div>
    <w:div w:id="144993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chart" Target="charts/chart4.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chart" Target="charts/chart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cid:image001.png@01D46D27.55732A70"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rvillalba\Desktop\solicitudes%202018\soporte%20final%20comercio%20a%20venezuel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rvillalba\Desktop\solicitudes%202018\soporte%20final%20comercio%20a%20venezuel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rvillalba\Desktop\solicitudes%202018\soporte%20final%20comercio%20a%20venezuel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rvillalba\Desktop\solicitudes%202018\soporte%20final%20comercio%20a%20venezuela.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1" Type="http://schemas.openxmlformats.org/officeDocument/2006/relationships/oleObject" Target="file:///C:\Users\cmartin\AppData\Local\Microsoft\Windows\INetCache\Content.Outlook\JCT2LAMX\anex_pobreza_2017_v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'totales (2)'!$B$3</c:f>
              <c:strCache>
                <c:ptCount val="1"/>
                <c:pt idx="0">
                  <c:v>Exportaciones</c:v>
                </c:pt>
              </c:strCache>
            </c:strRef>
          </c:tx>
          <c:spPr>
            <a:solidFill>
              <a:schemeClr val="accent1"/>
            </a:solidFill>
            <a:ln>
              <a:noFill/>
            </a:ln>
            <a:effectLst/>
          </c:spPr>
          <c:invertIfNegative val="0"/>
          <c:dLbls>
            <c:dLbl>
              <c:idx val="2"/>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4C0D-4649-8AE0-60EC05CFF7CD}"/>
                </c:ext>
              </c:extLst>
            </c:dLbl>
            <c:dLbl>
              <c:idx val="7"/>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4C0D-4649-8AE0-60EC05CFF7C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'totales (2)'!$C$2:$M$2</c:f>
              <c:strCache>
                <c:ptCount val="11"/>
                <c:pt idx="0">
                  <c:v>2010</c:v>
                </c:pt>
                <c:pt idx="1">
                  <c:v>2011</c:v>
                </c:pt>
                <c:pt idx="2">
                  <c:v>2012</c:v>
                </c:pt>
                <c:pt idx="3">
                  <c:v>2013</c:v>
                </c:pt>
                <c:pt idx="4">
                  <c:v>2014</c:v>
                </c:pt>
                <c:pt idx="5">
                  <c:v>2015</c:v>
                </c:pt>
                <c:pt idx="6">
                  <c:v>2016</c:v>
                </c:pt>
                <c:pt idx="7">
                  <c:v>2017</c:v>
                </c:pt>
                <c:pt idx="9">
                  <c:v>2017 Ene-Ago</c:v>
                </c:pt>
                <c:pt idx="10">
                  <c:v>2018 Ene-Ago</c:v>
                </c:pt>
              </c:strCache>
            </c:strRef>
          </c:cat>
          <c:val>
            <c:numRef>
              <c:f>'totales (2)'!$C$3:$M$3</c:f>
              <c:numCache>
                <c:formatCode>_(* #,##0_);_(* \(#,##0\);_(* "-"??_);_(@_)</c:formatCode>
                <c:ptCount val="11"/>
                <c:pt idx="0">
                  <c:v>1209714581.04</c:v>
                </c:pt>
                <c:pt idx="1">
                  <c:v>1336697209.1099999</c:v>
                </c:pt>
                <c:pt idx="2">
                  <c:v>2002336851.99</c:v>
                </c:pt>
                <c:pt idx="3">
                  <c:v>1778258907.8599999</c:v>
                </c:pt>
                <c:pt idx="4">
                  <c:v>1589777046.1400001</c:v>
                </c:pt>
                <c:pt idx="5">
                  <c:v>952699329.21000004</c:v>
                </c:pt>
                <c:pt idx="6">
                  <c:v>604982132.25999904</c:v>
                </c:pt>
                <c:pt idx="7">
                  <c:v>312986050.79000002</c:v>
                </c:pt>
                <c:pt idx="9">
                  <c:v>210174326.61000001</c:v>
                </c:pt>
                <c:pt idx="10">
                  <c:v>212137767.09</c:v>
                </c:pt>
              </c:numCache>
            </c:numRef>
          </c:val>
          <c:extLst>
            <c:ext xmlns:c16="http://schemas.microsoft.com/office/drawing/2014/chart" uri="{C3380CC4-5D6E-409C-BE32-E72D297353CC}">
              <c16:uniqueId val="{00000002-4C0D-4649-8AE0-60EC05CFF7CD}"/>
            </c:ext>
          </c:extLst>
        </c:ser>
        <c:ser>
          <c:idx val="1"/>
          <c:order val="1"/>
          <c:tx>
            <c:strRef>
              <c:f>'totales (2)'!$B$4</c:f>
              <c:strCache>
                <c:ptCount val="1"/>
                <c:pt idx="0">
                  <c:v>Importaciones</c:v>
                </c:pt>
              </c:strCache>
            </c:strRef>
          </c:tx>
          <c:spPr>
            <a:solidFill>
              <a:schemeClr val="accent2"/>
            </a:solidFill>
            <a:ln>
              <a:noFill/>
            </a:ln>
            <a:effectLst/>
          </c:spPr>
          <c:invertIfNegative val="0"/>
          <c:cat>
            <c:strRef>
              <c:f>'totales (2)'!$C$2:$M$2</c:f>
              <c:strCache>
                <c:ptCount val="11"/>
                <c:pt idx="0">
                  <c:v>2010</c:v>
                </c:pt>
                <c:pt idx="1">
                  <c:v>2011</c:v>
                </c:pt>
                <c:pt idx="2">
                  <c:v>2012</c:v>
                </c:pt>
                <c:pt idx="3">
                  <c:v>2013</c:v>
                </c:pt>
                <c:pt idx="4">
                  <c:v>2014</c:v>
                </c:pt>
                <c:pt idx="5">
                  <c:v>2015</c:v>
                </c:pt>
                <c:pt idx="6">
                  <c:v>2016</c:v>
                </c:pt>
                <c:pt idx="7">
                  <c:v>2017</c:v>
                </c:pt>
                <c:pt idx="9">
                  <c:v>2017 Ene-Ago</c:v>
                </c:pt>
                <c:pt idx="10">
                  <c:v>2018 Ene-Ago</c:v>
                </c:pt>
              </c:strCache>
            </c:strRef>
          </c:cat>
          <c:val>
            <c:numRef>
              <c:f>'totales (2)'!$C$4:$M$4</c:f>
              <c:numCache>
                <c:formatCode>_(* #,##0_);_(* \(#,##0\);_(* "-"??_);_(@_)</c:formatCode>
                <c:ptCount val="11"/>
                <c:pt idx="0">
                  <c:v>274293224.88999999</c:v>
                </c:pt>
                <c:pt idx="1">
                  <c:v>481049847.66000003</c:v>
                </c:pt>
                <c:pt idx="2">
                  <c:v>417362274.44999999</c:v>
                </c:pt>
                <c:pt idx="3">
                  <c:v>350946355.14999998</c:v>
                </c:pt>
                <c:pt idx="4">
                  <c:v>354670205.37</c:v>
                </c:pt>
                <c:pt idx="5">
                  <c:v>228613502.91</c:v>
                </c:pt>
                <c:pt idx="6">
                  <c:v>164529635.36000001</c:v>
                </c:pt>
                <c:pt idx="7">
                  <c:v>195413289.74000001</c:v>
                </c:pt>
                <c:pt idx="9">
                  <c:v>124230703.48</c:v>
                </c:pt>
                <c:pt idx="10">
                  <c:v>86199268.930000007</c:v>
                </c:pt>
              </c:numCache>
            </c:numRef>
          </c:val>
          <c:extLst>
            <c:ext xmlns:c16="http://schemas.microsoft.com/office/drawing/2014/chart" uri="{C3380CC4-5D6E-409C-BE32-E72D297353CC}">
              <c16:uniqueId val="{00000003-4C0D-4649-8AE0-60EC05CFF7CD}"/>
            </c:ext>
          </c:extLst>
        </c:ser>
        <c:dLbls>
          <c:showLegendKey val="0"/>
          <c:showVal val="0"/>
          <c:showCatName val="0"/>
          <c:showSerName val="0"/>
          <c:showPercent val="0"/>
          <c:showBubbleSize val="0"/>
        </c:dLbls>
        <c:gapWidth val="150"/>
        <c:axId val="-2132679280"/>
        <c:axId val="-2138964608"/>
      </c:barChart>
      <c:lineChart>
        <c:grouping val="standard"/>
        <c:varyColors val="0"/>
        <c:ser>
          <c:idx val="2"/>
          <c:order val="2"/>
          <c:tx>
            <c:strRef>
              <c:f>'totales (2)'!$B$5</c:f>
              <c:strCache>
                <c:ptCount val="1"/>
                <c:pt idx="0">
                  <c:v>Balanza Comercial</c:v>
                </c:pt>
              </c:strCache>
            </c:strRef>
          </c:tx>
          <c:spPr>
            <a:ln w="28575" cap="rnd">
              <a:solidFill>
                <a:schemeClr val="accent6">
                  <a:lumMod val="60000"/>
                  <a:lumOff val="40000"/>
                </a:schemeClr>
              </a:solidFill>
              <a:round/>
            </a:ln>
            <a:effectLst/>
          </c:spPr>
          <c:marker>
            <c:symbol val="none"/>
          </c:marker>
          <c:cat>
            <c:strRef>
              <c:f>'totales (2)'!$C$2:$M$2</c:f>
              <c:strCache>
                <c:ptCount val="11"/>
                <c:pt idx="0">
                  <c:v>2010</c:v>
                </c:pt>
                <c:pt idx="1">
                  <c:v>2011</c:v>
                </c:pt>
                <c:pt idx="2">
                  <c:v>2012</c:v>
                </c:pt>
                <c:pt idx="3">
                  <c:v>2013</c:v>
                </c:pt>
                <c:pt idx="4">
                  <c:v>2014</c:v>
                </c:pt>
                <c:pt idx="5">
                  <c:v>2015</c:v>
                </c:pt>
                <c:pt idx="6">
                  <c:v>2016</c:v>
                </c:pt>
                <c:pt idx="7">
                  <c:v>2017</c:v>
                </c:pt>
                <c:pt idx="9">
                  <c:v>2017 Ene-Ago</c:v>
                </c:pt>
                <c:pt idx="10">
                  <c:v>2018 Ene-Ago</c:v>
                </c:pt>
              </c:strCache>
            </c:strRef>
          </c:cat>
          <c:val>
            <c:numRef>
              <c:f>'totales (2)'!$C$5:$M$5</c:f>
              <c:numCache>
                <c:formatCode>_(* #,##0_);_(* \(#,##0\);_(* "-"??_);_(@_)</c:formatCode>
                <c:ptCount val="11"/>
                <c:pt idx="0">
                  <c:v>935421356.14999795</c:v>
                </c:pt>
                <c:pt idx="1">
                  <c:v>855647361.44999695</c:v>
                </c:pt>
                <c:pt idx="2">
                  <c:v>1584974577.5399899</c:v>
                </c:pt>
                <c:pt idx="3">
                  <c:v>1427312552.71</c:v>
                </c:pt>
                <c:pt idx="4">
                  <c:v>1235106840.77</c:v>
                </c:pt>
                <c:pt idx="5">
                  <c:v>724085826.29999995</c:v>
                </c:pt>
                <c:pt idx="6">
                  <c:v>440452496.89999902</c:v>
                </c:pt>
                <c:pt idx="7">
                  <c:v>117572761.05</c:v>
                </c:pt>
                <c:pt idx="9">
                  <c:v>85943623.129999995</c:v>
                </c:pt>
                <c:pt idx="10">
                  <c:v>125938498.16</c:v>
                </c:pt>
              </c:numCache>
            </c:numRef>
          </c:val>
          <c:smooth val="0"/>
          <c:extLst>
            <c:ext xmlns:c16="http://schemas.microsoft.com/office/drawing/2014/chart" uri="{C3380CC4-5D6E-409C-BE32-E72D297353CC}">
              <c16:uniqueId val="{00000004-4C0D-4649-8AE0-60EC05CFF7CD}"/>
            </c:ext>
          </c:extLst>
        </c:ser>
        <c:dLbls>
          <c:showLegendKey val="0"/>
          <c:showVal val="0"/>
          <c:showCatName val="0"/>
          <c:showSerName val="0"/>
          <c:showPercent val="0"/>
          <c:showBubbleSize val="0"/>
        </c:dLbls>
        <c:marker val="1"/>
        <c:smooth val="0"/>
        <c:axId val="-2132679280"/>
        <c:axId val="-2138964608"/>
      </c:lineChart>
      <c:catAx>
        <c:axId val="-2132679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CO"/>
          </a:p>
        </c:txPr>
        <c:crossAx val="-2138964608"/>
        <c:crosses val="autoZero"/>
        <c:auto val="1"/>
        <c:lblAlgn val="ctr"/>
        <c:lblOffset val="100"/>
        <c:noMultiLvlLbl val="0"/>
      </c:catAx>
      <c:valAx>
        <c:axId val="-2138964608"/>
        <c:scaling>
          <c:orientation val="minMax"/>
        </c:scaling>
        <c:delete val="0"/>
        <c:axPos val="l"/>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CO"/>
          </a:p>
        </c:txPr>
        <c:crossAx val="-2132679280"/>
        <c:crosses val="autoZero"/>
        <c:crossBetween val="between"/>
        <c:dispUnits>
          <c:builtInUnit val="millions"/>
          <c:dispUnitsLbl>
            <c:layout>
              <c:manualLayout>
                <c:xMode val="edge"/>
                <c:yMode val="edge"/>
                <c:x val="2.01005025125628E-2"/>
                <c:y val="0.36615740740740699"/>
              </c:manualLayout>
            </c:layout>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CO"/>
              </a:p>
            </c:txPr>
          </c:dispUnitsLbl>
        </c:dispUnits>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accent2">
          <a:lumMod val="40000"/>
          <a:lumOff val="60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'mundo vs venezuela'!$B$12</c:f>
              <c:strCache>
                <c:ptCount val="1"/>
                <c:pt idx="0">
                  <c:v>Norte de Santander</c:v>
                </c:pt>
              </c:strCache>
            </c:strRef>
          </c:tx>
          <c:spPr>
            <a:solidFill>
              <a:schemeClr val="accent1">
                <a:lumMod val="75000"/>
              </a:schemeClr>
            </a:solidFill>
            <a:ln>
              <a:noFill/>
            </a:ln>
            <a:effectLst/>
            <a:scene3d>
              <a:camera prst="orthographicFront"/>
              <a:lightRig rig="threePt" dir="t"/>
            </a:scene3d>
            <a:sp3d/>
          </c:spPr>
          <c:invertIfNegative val="0"/>
          <c:dLbls>
            <c:dLbl>
              <c:idx val="3"/>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E83E-5A4E-8527-0118019B093E}"/>
                </c:ext>
              </c:extLst>
            </c:dLbl>
            <c:dLbl>
              <c:idx val="4"/>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E83E-5A4E-8527-0118019B093E}"/>
                </c:ext>
              </c:extLst>
            </c:dLbl>
            <c:dLbl>
              <c:idx val="5"/>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E83E-5A4E-8527-0118019B093E}"/>
                </c:ext>
              </c:extLst>
            </c:dLbl>
            <c:dLbl>
              <c:idx val="6"/>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E83E-5A4E-8527-0118019B093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'mundo vs venezuela'!$C$6:$J$6</c:f>
              <c:numCache>
                <c:formatCode>General</c:formatCode>
                <c:ptCount val="8"/>
                <c:pt idx="0">
                  <c:v>2010</c:v>
                </c:pt>
                <c:pt idx="1">
                  <c:v>2011</c:v>
                </c:pt>
                <c:pt idx="2">
                  <c:v>2012</c:v>
                </c:pt>
                <c:pt idx="3">
                  <c:v>2013</c:v>
                </c:pt>
                <c:pt idx="4">
                  <c:v>2014</c:v>
                </c:pt>
                <c:pt idx="5">
                  <c:v>2015</c:v>
                </c:pt>
                <c:pt idx="6">
                  <c:v>2016</c:v>
                </c:pt>
                <c:pt idx="7">
                  <c:v>2017</c:v>
                </c:pt>
              </c:numCache>
            </c:numRef>
          </c:cat>
          <c:val>
            <c:numRef>
              <c:f>'mundo vs venezuela'!$C$12:$J$12</c:f>
              <c:numCache>
                <c:formatCode>0.0%</c:formatCode>
                <c:ptCount val="8"/>
                <c:pt idx="0">
                  <c:v>0.55106329109665397</c:v>
                </c:pt>
                <c:pt idx="1">
                  <c:v>0.57114528856736502</c:v>
                </c:pt>
                <c:pt idx="2">
                  <c:v>0.54446528667074001</c:v>
                </c:pt>
                <c:pt idx="3">
                  <c:v>0.60397209857512002</c:v>
                </c:pt>
                <c:pt idx="4">
                  <c:v>0.35897761526941702</c:v>
                </c:pt>
                <c:pt idx="5">
                  <c:v>0.23493314525546899</c:v>
                </c:pt>
                <c:pt idx="6">
                  <c:v>0.154271967675008</c:v>
                </c:pt>
                <c:pt idx="7">
                  <c:v>0.29193196797239501</c:v>
                </c:pt>
              </c:numCache>
            </c:numRef>
          </c:val>
          <c:extLst>
            <c:ext xmlns:c16="http://schemas.microsoft.com/office/drawing/2014/chart" uri="{C3380CC4-5D6E-409C-BE32-E72D297353CC}">
              <c16:uniqueId val="{00000004-E83E-5A4E-8527-0118019B093E}"/>
            </c:ext>
          </c:extLst>
        </c:ser>
        <c:ser>
          <c:idx val="1"/>
          <c:order val="1"/>
          <c:tx>
            <c:strRef>
              <c:f>'mundo vs venezuela'!$B$7</c:f>
              <c:strCache>
                <c:ptCount val="1"/>
                <c:pt idx="0">
                  <c:v>Atlántico</c:v>
                </c:pt>
              </c:strCache>
            </c:strRef>
          </c:tx>
          <c:spPr>
            <a:solidFill>
              <a:schemeClr val="accent2"/>
            </a:solidFill>
            <a:ln>
              <a:noFill/>
            </a:ln>
            <a:effectLst/>
          </c:spPr>
          <c:invertIfNegative val="0"/>
          <c:cat>
            <c:numRef>
              <c:f>'mundo vs venezuela'!$C$6:$J$6</c:f>
              <c:numCache>
                <c:formatCode>General</c:formatCode>
                <c:ptCount val="8"/>
                <c:pt idx="0">
                  <c:v>2010</c:v>
                </c:pt>
                <c:pt idx="1">
                  <c:v>2011</c:v>
                </c:pt>
                <c:pt idx="2">
                  <c:v>2012</c:v>
                </c:pt>
                <c:pt idx="3">
                  <c:v>2013</c:v>
                </c:pt>
                <c:pt idx="4">
                  <c:v>2014</c:v>
                </c:pt>
                <c:pt idx="5">
                  <c:v>2015</c:v>
                </c:pt>
                <c:pt idx="6">
                  <c:v>2016</c:v>
                </c:pt>
                <c:pt idx="7">
                  <c:v>2017</c:v>
                </c:pt>
              </c:numCache>
            </c:numRef>
          </c:cat>
          <c:val>
            <c:numRef>
              <c:f>'mundo vs venezuela'!$C$7:$J$7</c:f>
              <c:numCache>
                <c:formatCode>0.0%</c:formatCode>
                <c:ptCount val="8"/>
                <c:pt idx="0">
                  <c:v>0.102024626862577</c:v>
                </c:pt>
                <c:pt idx="1">
                  <c:v>0.102613174240844</c:v>
                </c:pt>
                <c:pt idx="2">
                  <c:v>0.113214108523108</c:v>
                </c:pt>
                <c:pt idx="3">
                  <c:v>0.102907212044723</c:v>
                </c:pt>
                <c:pt idx="4">
                  <c:v>0.14318042218799801</c:v>
                </c:pt>
                <c:pt idx="5">
                  <c:v>0.115237558463348</c:v>
                </c:pt>
                <c:pt idx="6">
                  <c:v>0.10162910035007</c:v>
                </c:pt>
                <c:pt idx="7">
                  <c:v>6.2430657682561098E-2</c:v>
                </c:pt>
              </c:numCache>
            </c:numRef>
          </c:val>
          <c:extLst>
            <c:ext xmlns:c16="http://schemas.microsoft.com/office/drawing/2014/chart" uri="{C3380CC4-5D6E-409C-BE32-E72D297353CC}">
              <c16:uniqueId val="{00000005-E83E-5A4E-8527-0118019B093E}"/>
            </c:ext>
          </c:extLst>
        </c:ser>
        <c:ser>
          <c:idx val="2"/>
          <c:order val="2"/>
          <c:tx>
            <c:strRef>
              <c:f>'mundo vs venezuela'!$B$8</c:f>
              <c:strCache>
                <c:ptCount val="1"/>
                <c:pt idx="0">
                  <c:v>Valle del Cauca</c:v>
                </c:pt>
              </c:strCache>
            </c:strRef>
          </c:tx>
          <c:spPr>
            <a:solidFill>
              <a:schemeClr val="accent3"/>
            </a:solidFill>
            <a:ln>
              <a:noFill/>
            </a:ln>
            <a:effectLst/>
          </c:spPr>
          <c:invertIfNegative val="0"/>
          <c:cat>
            <c:numRef>
              <c:f>'mundo vs venezuela'!$C$6:$J$6</c:f>
              <c:numCache>
                <c:formatCode>General</c:formatCode>
                <c:ptCount val="8"/>
                <c:pt idx="0">
                  <c:v>2010</c:v>
                </c:pt>
                <c:pt idx="1">
                  <c:v>2011</c:v>
                </c:pt>
                <c:pt idx="2">
                  <c:v>2012</c:v>
                </c:pt>
                <c:pt idx="3">
                  <c:v>2013</c:v>
                </c:pt>
                <c:pt idx="4">
                  <c:v>2014</c:v>
                </c:pt>
                <c:pt idx="5">
                  <c:v>2015</c:v>
                </c:pt>
                <c:pt idx="6">
                  <c:v>2016</c:v>
                </c:pt>
                <c:pt idx="7">
                  <c:v>2017</c:v>
                </c:pt>
              </c:numCache>
            </c:numRef>
          </c:cat>
          <c:val>
            <c:numRef>
              <c:f>'mundo vs venezuela'!$C$8:$J$8</c:f>
              <c:numCache>
                <c:formatCode>0.0%</c:formatCode>
                <c:ptCount val="8"/>
                <c:pt idx="0">
                  <c:v>0.116234925463196</c:v>
                </c:pt>
                <c:pt idx="1">
                  <c:v>0.103907061138078</c:v>
                </c:pt>
                <c:pt idx="2">
                  <c:v>0.13055894821749001</c:v>
                </c:pt>
                <c:pt idx="3">
                  <c:v>0.149264684087802</c:v>
                </c:pt>
                <c:pt idx="4">
                  <c:v>0.21278881365090699</c:v>
                </c:pt>
                <c:pt idx="5">
                  <c:v>0.13369282110700501</c:v>
                </c:pt>
                <c:pt idx="6">
                  <c:v>0.13880880615150601</c:v>
                </c:pt>
                <c:pt idx="7">
                  <c:v>4.3736543406506199E-2</c:v>
                </c:pt>
              </c:numCache>
            </c:numRef>
          </c:val>
          <c:extLst>
            <c:ext xmlns:c16="http://schemas.microsoft.com/office/drawing/2014/chart" uri="{C3380CC4-5D6E-409C-BE32-E72D297353CC}">
              <c16:uniqueId val="{00000006-E83E-5A4E-8527-0118019B093E}"/>
            </c:ext>
          </c:extLst>
        </c:ser>
        <c:ser>
          <c:idx val="3"/>
          <c:order val="3"/>
          <c:tx>
            <c:strRef>
              <c:f>'mundo vs venezuela'!$B$9</c:f>
              <c:strCache>
                <c:ptCount val="1"/>
                <c:pt idx="0">
                  <c:v>Bogotá D.C.</c:v>
                </c:pt>
              </c:strCache>
            </c:strRef>
          </c:tx>
          <c:spPr>
            <a:solidFill>
              <a:schemeClr val="accent4"/>
            </a:solidFill>
            <a:ln>
              <a:noFill/>
            </a:ln>
            <a:effectLst/>
          </c:spPr>
          <c:invertIfNegative val="0"/>
          <c:cat>
            <c:numRef>
              <c:f>'mundo vs venezuela'!$C$6:$J$6</c:f>
              <c:numCache>
                <c:formatCode>General</c:formatCode>
                <c:ptCount val="8"/>
                <c:pt idx="0">
                  <c:v>2010</c:v>
                </c:pt>
                <c:pt idx="1">
                  <c:v>2011</c:v>
                </c:pt>
                <c:pt idx="2">
                  <c:v>2012</c:v>
                </c:pt>
                <c:pt idx="3">
                  <c:v>2013</c:v>
                </c:pt>
                <c:pt idx="4">
                  <c:v>2014</c:v>
                </c:pt>
                <c:pt idx="5">
                  <c:v>2015</c:v>
                </c:pt>
                <c:pt idx="6">
                  <c:v>2016</c:v>
                </c:pt>
                <c:pt idx="7">
                  <c:v>2017</c:v>
                </c:pt>
              </c:numCache>
            </c:numRef>
          </c:cat>
          <c:val>
            <c:numRef>
              <c:f>'mundo vs venezuela'!$C$9:$J$9</c:f>
              <c:numCache>
                <c:formatCode>0.0%</c:formatCode>
                <c:ptCount val="8"/>
                <c:pt idx="0">
                  <c:v>0.129174117515822</c:v>
                </c:pt>
                <c:pt idx="1">
                  <c:v>0.11068453275833801</c:v>
                </c:pt>
                <c:pt idx="2">
                  <c:v>0.14061186820638899</c:v>
                </c:pt>
                <c:pt idx="3">
                  <c:v>9.2084377545481599E-2</c:v>
                </c:pt>
                <c:pt idx="4">
                  <c:v>8.8113981149345502E-2</c:v>
                </c:pt>
                <c:pt idx="5">
                  <c:v>8.1666926238093504E-2</c:v>
                </c:pt>
                <c:pt idx="6">
                  <c:v>3.7596553324722899E-2</c:v>
                </c:pt>
                <c:pt idx="7">
                  <c:v>2.0615177003533401E-2</c:v>
                </c:pt>
              </c:numCache>
            </c:numRef>
          </c:val>
          <c:extLst>
            <c:ext xmlns:c16="http://schemas.microsoft.com/office/drawing/2014/chart" uri="{C3380CC4-5D6E-409C-BE32-E72D297353CC}">
              <c16:uniqueId val="{00000007-E83E-5A4E-8527-0118019B093E}"/>
            </c:ext>
          </c:extLst>
        </c:ser>
        <c:ser>
          <c:idx val="4"/>
          <c:order val="4"/>
          <c:tx>
            <c:strRef>
              <c:f>'mundo vs venezuela'!$B$10</c:f>
              <c:strCache>
                <c:ptCount val="1"/>
                <c:pt idx="0">
                  <c:v>Antioquia</c:v>
                </c:pt>
              </c:strCache>
            </c:strRef>
          </c:tx>
          <c:spPr>
            <a:solidFill>
              <a:schemeClr val="accent1">
                <a:lumMod val="60000"/>
                <a:lumOff val="40000"/>
              </a:schemeClr>
            </a:solidFill>
            <a:ln>
              <a:noFill/>
            </a:ln>
            <a:effectLst/>
          </c:spPr>
          <c:invertIfNegative val="0"/>
          <c:cat>
            <c:numRef>
              <c:f>'mundo vs venezuela'!$C$6:$J$6</c:f>
              <c:numCache>
                <c:formatCode>General</c:formatCode>
                <c:ptCount val="8"/>
                <c:pt idx="0">
                  <c:v>2010</c:v>
                </c:pt>
                <c:pt idx="1">
                  <c:v>2011</c:v>
                </c:pt>
                <c:pt idx="2">
                  <c:v>2012</c:v>
                </c:pt>
                <c:pt idx="3">
                  <c:v>2013</c:v>
                </c:pt>
                <c:pt idx="4">
                  <c:v>2014</c:v>
                </c:pt>
                <c:pt idx="5">
                  <c:v>2015</c:v>
                </c:pt>
                <c:pt idx="6">
                  <c:v>2016</c:v>
                </c:pt>
                <c:pt idx="7">
                  <c:v>2017</c:v>
                </c:pt>
              </c:numCache>
            </c:numRef>
          </c:cat>
          <c:val>
            <c:numRef>
              <c:f>'mundo vs venezuela'!$C$10:$J$10</c:f>
              <c:numCache>
                <c:formatCode>0.0%</c:formatCode>
                <c:ptCount val="8"/>
                <c:pt idx="0">
                  <c:v>7.2742047753803801E-2</c:v>
                </c:pt>
                <c:pt idx="1">
                  <c:v>6.9301319343448103E-2</c:v>
                </c:pt>
                <c:pt idx="2">
                  <c:v>9.5240788416322303E-2</c:v>
                </c:pt>
                <c:pt idx="3">
                  <c:v>6.7443550703683894E-2</c:v>
                </c:pt>
                <c:pt idx="4">
                  <c:v>5.9688720746387702E-2</c:v>
                </c:pt>
                <c:pt idx="5">
                  <c:v>3.96390068205962E-2</c:v>
                </c:pt>
                <c:pt idx="6">
                  <c:v>1.8878919596568001E-2</c:v>
                </c:pt>
                <c:pt idx="7">
                  <c:v>8.8029776645980398E-3</c:v>
                </c:pt>
              </c:numCache>
            </c:numRef>
          </c:val>
          <c:extLst>
            <c:ext xmlns:c16="http://schemas.microsoft.com/office/drawing/2014/chart" uri="{C3380CC4-5D6E-409C-BE32-E72D297353CC}">
              <c16:uniqueId val="{00000008-E83E-5A4E-8527-0118019B093E}"/>
            </c:ext>
          </c:extLst>
        </c:ser>
        <c:ser>
          <c:idx val="5"/>
          <c:order val="5"/>
          <c:tx>
            <c:strRef>
              <c:f>'mundo vs venezuela'!$B$11</c:f>
              <c:strCache>
                <c:ptCount val="1"/>
                <c:pt idx="0">
                  <c:v>Bolívar</c:v>
                </c:pt>
              </c:strCache>
            </c:strRef>
          </c:tx>
          <c:spPr>
            <a:solidFill>
              <a:schemeClr val="accent6"/>
            </a:solidFill>
            <a:ln>
              <a:noFill/>
            </a:ln>
            <a:effectLst/>
          </c:spPr>
          <c:invertIfNegative val="0"/>
          <c:cat>
            <c:numRef>
              <c:f>'mundo vs venezuela'!$C$6:$J$6</c:f>
              <c:numCache>
                <c:formatCode>General</c:formatCode>
                <c:ptCount val="8"/>
                <c:pt idx="0">
                  <c:v>2010</c:v>
                </c:pt>
                <c:pt idx="1">
                  <c:v>2011</c:v>
                </c:pt>
                <c:pt idx="2">
                  <c:v>2012</c:v>
                </c:pt>
                <c:pt idx="3">
                  <c:v>2013</c:v>
                </c:pt>
                <c:pt idx="4">
                  <c:v>2014</c:v>
                </c:pt>
                <c:pt idx="5">
                  <c:v>2015</c:v>
                </c:pt>
                <c:pt idx="6">
                  <c:v>2016</c:v>
                </c:pt>
                <c:pt idx="7">
                  <c:v>2017</c:v>
                </c:pt>
              </c:numCache>
            </c:numRef>
          </c:cat>
          <c:val>
            <c:numRef>
              <c:f>'mundo vs venezuela'!$C$11:$J$11</c:f>
              <c:numCache>
                <c:formatCode>0.0%</c:formatCode>
                <c:ptCount val="8"/>
                <c:pt idx="0">
                  <c:v>2.53064361618477E-2</c:v>
                </c:pt>
                <c:pt idx="1">
                  <c:v>6.0579235903499097E-2</c:v>
                </c:pt>
                <c:pt idx="2">
                  <c:v>8.4879483739375303E-2</c:v>
                </c:pt>
                <c:pt idx="3">
                  <c:v>7.9429451939093204E-2</c:v>
                </c:pt>
                <c:pt idx="4">
                  <c:v>9.7197005552718901E-2</c:v>
                </c:pt>
                <c:pt idx="5">
                  <c:v>4.3939535231259201E-2</c:v>
                </c:pt>
                <c:pt idx="6">
                  <c:v>2.9075165915025701E-2</c:v>
                </c:pt>
                <c:pt idx="7">
                  <c:v>1.56890188276501E-2</c:v>
                </c:pt>
              </c:numCache>
            </c:numRef>
          </c:val>
          <c:extLst>
            <c:ext xmlns:c16="http://schemas.microsoft.com/office/drawing/2014/chart" uri="{C3380CC4-5D6E-409C-BE32-E72D297353CC}">
              <c16:uniqueId val="{00000009-E83E-5A4E-8527-0118019B093E}"/>
            </c:ext>
          </c:extLst>
        </c:ser>
        <c:dLbls>
          <c:showLegendKey val="0"/>
          <c:showVal val="0"/>
          <c:showCatName val="0"/>
          <c:showSerName val="0"/>
          <c:showPercent val="0"/>
          <c:showBubbleSize val="0"/>
        </c:dLbls>
        <c:gapWidth val="219"/>
        <c:overlap val="-27"/>
        <c:axId val="-2132261648"/>
        <c:axId val="2124191856"/>
      </c:barChart>
      <c:catAx>
        <c:axId val="-2132261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124191856"/>
        <c:crosses val="autoZero"/>
        <c:auto val="1"/>
        <c:lblAlgn val="ctr"/>
        <c:lblOffset val="100"/>
        <c:noMultiLvlLbl val="0"/>
      </c:catAx>
      <c:valAx>
        <c:axId val="2124191856"/>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13226164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'comercio bi venezuela'!$B$1:$B$2</c:f>
              <c:strCache>
                <c:ptCount val="1"/>
                <c:pt idx="0">
                  <c:v>EXPORTACIONES NME</c:v>
                </c:pt>
              </c:strCache>
            </c:strRef>
          </c:tx>
          <c:spPr>
            <a:solidFill>
              <a:schemeClr val="accent1"/>
            </a:solidFill>
            <a:ln>
              <a:noFill/>
            </a:ln>
            <a:effectLst/>
          </c:spPr>
          <c:invertIfNegative val="0"/>
          <c:dLbls>
            <c:dLbl>
              <c:idx val="2"/>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B178-1D45-9EC1-130C65EB3B89}"/>
                </c:ext>
              </c:extLst>
            </c:dLbl>
            <c:dLbl>
              <c:idx val="6"/>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B178-1D45-9EC1-130C65EB3B8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'comercio bi venezuela'!$C$4:$M$4</c:f>
              <c:strCache>
                <c:ptCount val="11"/>
                <c:pt idx="0">
                  <c:v>2010</c:v>
                </c:pt>
                <c:pt idx="1">
                  <c:v>2011</c:v>
                </c:pt>
                <c:pt idx="2">
                  <c:v>2012</c:v>
                </c:pt>
                <c:pt idx="3">
                  <c:v>2013</c:v>
                </c:pt>
                <c:pt idx="4">
                  <c:v>2014</c:v>
                </c:pt>
                <c:pt idx="5">
                  <c:v>2015</c:v>
                </c:pt>
                <c:pt idx="6">
                  <c:v>2016</c:v>
                </c:pt>
                <c:pt idx="7">
                  <c:v>2017</c:v>
                </c:pt>
                <c:pt idx="9">
                  <c:v>2017 ene-ago</c:v>
                </c:pt>
                <c:pt idx="10">
                  <c:v>2018 ene-ago</c:v>
                </c:pt>
              </c:strCache>
            </c:strRef>
          </c:cat>
          <c:val>
            <c:numRef>
              <c:f>'comercio bi venezuela'!$C$10:$M$10</c:f>
              <c:numCache>
                <c:formatCode>#,##0</c:formatCode>
                <c:ptCount val="11"/>
                <c:pt idx="0">
                  <c:v>59563.167799999981</c:v>
                </c:pt>
                <c:pt idx="1">
                  <c:v>86409.564819999941</c:v>
                </c:pt>
                <c:pt idx="2">
                  <c:v>124542.36380000009</c:v>
                </c:pt>
                <c:pt idx="3">
                  <c:v>125183.5042099999</c:v>
                </c:pt>
                <c:pt idx="4">
                  <c:v>45457.417150000001</c:v>
                </c:pt>
                <c:pt idx="5">
                  <c:v>21829.387610000009</c:v>
                </c:pt>
                <c:pt idx="6">
                  <c:v>6129.4043499999989</c:v>
                </c:pt>
                <c:pt idx="7">
                  <c:v>16601.804859999989</c:v>
                </c:pt>
                <c:pt idx="9">
                  <c:v>6770.4357099999988</c:v>
                </c:pt>
                <c:pt idx="10">
                  <c:v>7557.0618600000034</c:v>
                </c:pt>
              </c:numCache>
            </c:numRef>
          </c:val>
          <c:extLst>
            <c:ext xmlns:c16="http://schemas.microsoft.com/office/drawing/2014/chart" uri="{C3380CC4-5D6E-409C-BE32-E72D297353CC}">
              <c16:uniqueId val="{00000002-B178-1D45-9EC1-130C65EB3B89}"/>
            </c:ext>
          </c:extLst>
        </c:ser>
        <c:ser>
          <c:idx val="1"/>
          <c:order val="1"/>
          <c:tx>
            <c:strRef>
              <c:f>'comercio bi venezuela'!$B$26:$B$27</c:f>
              <c:strCache>
                <c:ptCount val="1"/>
                <c:pt idx="0">
                  <c:v>IMPORTACIONES NME</c:v>
                </c:pt>
              </c:strCache>
            </c:strRef>
          </c:tx>
          <c:spPr>
            <a:solidFill>
              <a:schemeClr val="accent2"/>
            </a:solidFill>
            <a:ln>
              <a:noFill/>
            </a:ln>
            <a:effectLst/>
          </c:spPr>
          <c:invertIfNegative val="0"/>
          <c:cat>
            <c:strRef>
              <c:f>'comercio bi venezuela'!$C$4:$M$4</c:f>
              <c:strCache>
                <c:ptCount val="11"/>
                <c:pt idx="0">
                  <c:v>2010</c:v>
                </c:pt>
                <c:pt idx="1">
                  <c:v>2011</c:v>
                </c:pt>
                <c:pt idx="2">
                  <c:v>2012</c:v>
                </c:pt>
                <c:pt idx="3">
                  <c:v>2013</c:v>
                </c:pt>
                <c:pt idx="4">
                  <c:v>2014</c:v>
                </c:pt>
                <c:pt idx="5">
                  <c:v>2015</c:v>
                </c:pt>
                <c:pt idx="6">
                  <c:v>2016</c:v>
                </c:pt>
                <c:pt idx="7">
                  <c:v>2017</c:v>
                </c:pt>
                <c:pt idx="9">
                  <c:v>2017 ene-ago</c:v>
                </c:pt>
                <c:pt idx="10">
                  <c:v>2018 ene-ago</c:v>
                </c:pt>
              </c:strCache>
            </c:strRef>
          </c:cat>
          <c:val>
            <c:numRef>
              <c:f>'comercio bi venezuela'!$C$31:$M$31</c:f>
              <c:numCache>
                <c:formatCode>#,##0</c:formatCode>
                <c:ptCount val="11"/>
                <c:pt idx="0">
                  <c:v>38235.563869999998</c:v>
                </c:pt>
                <c:pt idx="1">
                  <c:v>41741.001900000003</c:v>
                </c:pt>
                <c:pt idx="2">
                  <c:v>36660.94627</c:v>
                </c:pt>
                <c:pt idx="3">
                  <c:v>46976.85964000001</c:v>
                </c:pt>
                <c:pt idx="4">
                  <c:v>32298.92372000001</c:v>
                </c:pt>
                <c:pt idx="5">
                  <c:v>17285.323800000009</c:v>
                </c:pt>
                <c:pt idx="6">
                  <c:v>9021.0940200000023</c:v>
                </c:pt>
                <c:pt idx="7">
                  <c:v>36733.052630000013</c:v>
                </c:pt>
                <c:pt idx="9">
                  <c:v>22217.576430000001</c:v>
                </c:pt>
                <c:pt idx="10">
                  <c:v>11912.275170000001</c:v>
                </c:pt>
              </c:numCache>
            </c:numRef>
          </c:val>
          <c:extLst>
            <c:ext xmlns:c16="http://schemas.microsoft.com/office/drawing/2014/chart" uri="{C3380CC4-5D6E-409C-BE32-E72D297353CC}">
              <c16:uniqueId val="{00000003-B178-1D45-9EC1-130C65EB3B89}"/>
            </c:ext>
          </c:extLst>
        </c:ser>
        <c:dLbls>
          <c:showLegendKey val="0"/>
          <c:showVal val="0"/>
          <c:showCatName val="0"/>
          <c:showSerName val="0"/>
          <c:showPercent val="0"/>
          <c:showBubbleSize val="0"/>
        </c:dLbls>
        <c:gapWidth val="219"/>
        <c:overlap val="-27"/>
        <c:axId val="-2135979728"/>
        <c:axId val="-2052448672"/>
      </c:barChart>
      <c:lineChart>
        <c:grouping val="standard"/>
        <c:varyColors val="0"/>
        <c:ser>
          <c:idx val="2"/>
          <c:order val="2"/>
          <c:tx>
            <c:strRef>
              <c:f>'comercio bi venezuela'!$B$24</c:f>
              <c:strCache>
                <c:ptCount val="1"/>
                <c:pt idx="0">
                  <c:v>Balanza comercial</c:v>
                </c:pt>
              </c:strCache>
            </c:strRef>
          </c:tx>
          <c:spPr>
            <a:ln w="28575" cap="rnd">
              <a:solidFill>
                <a:schemeClr val="accent3"/>
              </a:solidFill>
              <a:round/>
            </a:ln>
            <a:effectLst/>
          </c:spPr>
          <c:marker>
            <c:symbol val="none"/>
          </c:marker>
          <c:dLbls>
            <c:dLbl>
              <c:idx val="7"/>
              <c:layout>
                <c:manualLayout>
                  <c:x val="-1.6666666666666701E-2"/>
                  <c:y val="5.555555555555549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B178-1D45-9EC1-130C65EB3B8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'comercio bi venezuela'!$C$24:$M$24</c:f>
              <c:numCache>
                <c:formatCode>#,##0</c:formatCode>
                <c:ptCount val="11"/>
                <c:pt idx="0">
                  <c:v>21327.60392999995</c:v>
                </c:pt>
                <c:pt idx="1">
                  <c:v>44668.562919999938</c:v>
                </c:pt>
                <c:pt idx="2">
                  <c:v>87881.417529999919</c:v>
                </c:pt>
                <c:pt idx="3">
                  <c:v>78206.644569999931</c:v>
                </c:pt>
                <c:pt idx="4">
                  <c:v>13158.49342999999</c:v>
                </c:pt>
                <c:pt idx="5">
                  <c:v>4544.0638099999896</c:v>
                </c:pt>
                <c:pt idx="6">
                  <c:v>-2891.6896700000011</c:v>
                </c:pt>
                <c:pt idx="7">
                  <c:v>-20131.24777000002</c:v>
                </c:pt>
                <c:pt idx="9">
                  <c:v>-15447.14072000001</c:v>
                </c:pt>
                <c:pt idx="10">
                  <c:v>-4355.2133099999983</c:v>
                </c:pt>
              </c:numCache>
            </c:numRef>
          </c:val>
          <c:smooth val="0"/>
          <c:extLst>
            <c:ext xmlns:c16="http://schemas.microsoft.com/office/drawing/2014/chart" uri="{C3380CC4-5D6E-409C-BE32-E72D297353CC}">
              <c16:uniqueId val="{00000005-B178-1D45-9EC1-130C65EB3B89}"/>
            </c:ext>
          </c:extLst>
        </c:ser>
        <c:dLbls>
          <c:showLegendKey val="0"/>
          <c:showVal val="0"/>
          <c:showCatName val="0"/>
          <c:showSerName val="0"/>
          <c:showPercent val="0"/>
          <c:showBubbleSize val="0"/>
        </c:dLbls>
        <c:marker val="1"/>
        <c:smooth val="0"/>
        <c:axId val="-2135979728"/>
        <c:axId val="-2052448672"/>
      </c:lineChart>
      <c:catAx>
        <c:axId val="-2135979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CO"/>
          </a:p>
        </c:txPr>
        <c:crossAx val="-2052448672"/>
        <c:crosses val="autoZero"/>
        <c:auto val="1"/>
        <c:lblAlgn val="ctr"/>
        <c:lblOffset val="100"/>
        <c:noMultiLvlLbl val="0"/>
      </c:catAx>
      <c:valAx>
        <c:axId val="-2052448672"/>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CO"/>
          </a:p>
        </c:txPr>
        <c:crossAx val="-213597972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TAC!$A$65</c:f>
              <c:strCache>
                <c:ptCount val="1"/>
                <c:pt idx="0">
                  <c:v>Norte de santander</c:v>
                </c:pt>
              </c:strCache>
            </c:strRef>
          </c:tx>
          <c:spPr>
            <a:solidFill>
              <a:schemeClr val="accent1">
                <a:lumMod val="75000"/>
              </a:schemeClr>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DF7B-E64C-B2EA-075C782DCCA4}"/>
                </c:ext>
              </c:extLst>
            </c:dLbl>
            <c:dLbl>
              <c:idx val="1"/>
              <c:delete val="1"/>
              <c:extLst>
                <c:ext xmlns:c15="http://schemas.microsoft.com/office/drawing/2012/chart" uri="{CE6537A1-D6FC-4f65-9D91-7224C49458BB}"/>
                <c:ext xmlns:c16="http://schemas.microsoft.com/office/drawing/2014/chart" uri="{C3380CC4-5D6E-409C-BE32-E72D297353CC}">
                  <c16:uniqueId val="{00000001-DF7B-E64C-B2EA-075C782DCCA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TAC!$W$59:$AC$59</c:f>
              <c:numCache>
                <c:formatCode>General</c:formatCode>
                <c:ptCount val="7"/>
                <c:pt idx="0">
                  <c:v>2010</c:v>
                </c:pt>
                <c:pt idx="1">
                  <c:v>2011</c:v>
                </c:pt>
                <c:pt idx="2">
                  <c:v>2012</c:v>
                </c:pt>
                <c:pt idx="3">
                  <c:v>2013</c:v>
                </c:pt>
                <c:pt idx="4">
                  <c:v>2014</c:v>
                </c:pt>
                <c:pt idx="5">
                  <c:v>2015</c:v>
                </c:pt>
                <c:pt idx="6">
                  <c:v>2016</c:v>
                </c:pt>
              </c:numCache>
            </c:numRef>
          </c:cat>
          <c:val>
            <c:numRef>
              <c:f>TAC!$W$65:$AC$65</c:f>
              <c:numCache>
                <c:formatCode>0.0%</c:formatCode>
                <c:ptCount val="7"/>
                <c:pt idx="0">
                  <c:v>2.06832220692196E-2</c:v>
                </c:pt>
                <c:pt idx="1">
                  <c:v>2.4551055550420101E-2</c:v>
                </c:pt>
                <c:pt idx="2">
                  <c:v>2.9019984810008601E-2</c:v>
                </c:pt>
                <c:pt idx="3">
                  <c:v>2.8872083991319498E-2</c:v>
                </c:pt>
                <c:pt idx="4">
                  <c:v>1.29110761101993E-2</c:v>
                </c:pt>
                <c:pt idx="5">
                  <c:v>8.3361047137598104E-3</c:v>
                </c:pt>
                <c:pt idx="6">
                  <c:v>3.23683422424611E-3</c:v>
                </c:pt>
              </c:numCache>
            </c:numRef>
          </c:val>
          <c:extLst>
            <c:ext xmlns:c16="http://schemas.microsoft.com/office/drawing/2014/chart" uri="{C3380CC4-5D6E-409C-BE32-E72D297353CC}">
              <c16:uniqueId val="{00000002-DF7B-E64C-B2EA-075C782DCCA4}"/>
            </c:ext>
          </c:extLst>
        </c:ser>
        <c:ser>
          <c:idx val="1"/>
          <c:order val="1"/>
          <c:tx>
            <c:strRef>
              <c:f>TAC!$A$60</c:f>
              <c:strCache>
                <c:ptCount val="1"/>
                <c:pt idx="0">
                  <c:v>Bogotá D.C.</c:v>
                </c:pt>
              </c:strCache>
            </c:strRef>
          </c:tx>
          <c:spPr>
            <a:solidFill>
              <a:schemeClr val="accent2"/>
            </a:solidFill>
            <a:ln>
              <a:noFill/>
            </a:ln>
            <a:effectLst/>
          </c:spPr>
          <c:invertIfNegative val="0"/>
          <c:cat>
            <c:numRef>
              <c:f>TAC!$W$59:$AC$59</c:f>
              <c:numCache>
                <c:formatCode>General</c:formatCode>
                <c:ptCount val="7"/>
                <c:pt idx="0">
                  <c:v>2010</c:v>
                </c:pt>
                <c:pt idx="1">
                  <c:v>2011</c:v>
                </c:pt>
                <c:pt idx="2">
                  <c:v>2012</c:v>
                </c:pt>
                <c:pt idx="3">
                  <c:v>2013</c:v>
                </c:pt>
                <c:pt idx="4">
                  <c:v>2014</c:v>
                </c:pt>
                <c:pt idx="5">
                  <c:v>2015</c:v>
                </c:pt>
                <c:pt idx="6">
                  <c:v>2016</c:v>
                </c:pt>
              </c:numCache>
            </c:numRef>
          </c:cat>
          <c:val>
            <c:numRef>
              <c:f>TAC!$W$60:$AC$60</c:f>
              <c:numCache>
                <c:formatCode>0.0%</c:formatCode>
                <c:ptCount val="7"/>
                <c:pt idx="0">
                  <c:v>3.6173961328373901E-3</c:v>
                </c:pt>
                <c:pt idx="1">
                  <c:v>3.8066817154437499E-3</c:v>
                </c:pt>
                <c:pt idx="2">
                  <c:v>4.6343801250063599E-3</c:v>
                </c:pt>
                <c:pt idx="3">
                  <c:v>3.0726198098926598E-3</c:v>
                </c:pt>
                <c:pt idx="4">
                  <c:v>2.9483828370408301E-3</c:v>
                </c:pt>
                <c:pt idx="5">
                  <c:v>3.2539380824389598E-3</c:v>
                </c:pt>
                <c:pt idx="6">
                  <c:v>1.6273788576476999E-3</c:v>
                </c:pt>
              </c:numCache>
            </c:numRef>
          </c:val>
          <c:extLst>
            <c:ext xmlns:c16="http://schemas.microsoft.com/office/drawing/2014/chart" uri="{C3380CC4-5D6E-409C-BE32-E72D297353CC}">
              <c16:uniqueId val="{00000003-DF7B-E64C-B2EA-075C782DCCA4}"/>
            </c:ext>
          </c:extLst>
        </c:ser>
        <c:ser>
          <c:idx val="2"/>
          <c:order val="2"/>
          <c:tx>
            <c:strRef>
              <c:f>TAC!$A$61</c:f>
              <c:strCache>
                <c:ptCount val="1"/>
                <c:pt idx="0">
                  <c:v>Valle del Cauca</c:v>
                </c:pt>
              </c:strCache>
            </c:strRef>
          </c:tx>
          <c:spPr>
            <a:solidFill>
              <a:schemeClr val="accent3"/>
            </a:solidFill>
            <a:ln>
              <a:noFill/>
            </a:ln>
            <a:effectLst/>
          </c:spPr>
          <c:invertIfNegative val="0"/>
          <c:cat>
            <c:numRef>
              <c:f>TAC!$W$59:$AC$59</c:f>
              <c:numCache>
                <c:formatCode>General</c:formatCode>
                <c:ptCount val="7"/>
                <c:pt idx="0">
                  <c:v>2010</c:v>
                </c:pt>
                <c:pt idx="1">
                  <c:v>2011</c:v>
                </c:pt>
                <c:pt idx="2">
                  <c:v>2012</c:v>
                </c:pt>
                <c:pt idx="3">
                  <c:v>2013</c:v>
                </c:pt>
                <c:pt idx="4">
                  <c:v>2014</c:v>
                </c:pt>
                <c:pt idx="5">
                  <c:v>2015</c:v>
                </c:pt>
                <c:pt idx="6">
                  <c:v>2016</c:v>
                </c:pt>
              </c:numCache>
            </c:numRef>
          </c:cat>
          <c:val>
            <c:numRef>
              <c:f>TAC!$W$61:$AC$61</c:f>
              <c:numCache>
                <c:formatCode>0.0%</c:formatCode>
                <c:ptCount val="7"/>
                <c:pt idx="0">
                  <c:v>9.2079387013151697E-3</c:v>
                </c:pt>
                <c:pt idx="1">
                  <c:v>9.5215680464263899E-3</c:v>
                </c:pt>
                <c:pt idx="2">
                  <c:v>8.5826418951082308E-3</c:v>
                </c:pt>
                <c:pt idx="3">
                  <c:v>8.6948285438017501E-3</c:v>
                </c:pt>
                <c:pt idx="4">
                  <c:v>1.32680561809604E-2</c:v>
                </c:pt>
                <c:pt idx="5">
                  <c:v>8.76853821658795E-3</c:v>
                </c:pt>
                <c:pt idx="6">
                  <c:v>8.68980838640682E-3</c:v>
                </c:pt>
              </c:numCache>
            </c:numRef>
          </c:val>
          <c:extLst>
            <c:ext xmlns:c16="http://schemas.microsoft.com/office/drawing/2014/chart" uri="{C3380CC4-5D6E-409C-BE32-E72D297353CC}">
              <c16:uniqueId val="{00000004-DF7B-E64C-B2EA-075C782DCCA4}"/>
            </c:ext>
          </c:extLst>
        </c:ser>
        <c:ser>
          <c:idx val="3"/>
          <c:order val="3"/>
          <c:tx>
            <c:strRef>
              <c:f>TAC!$A$62</c:f>
              <c:strCache>
                <c:ptCount val="1"/>
                <c:pt idx="0">
                  <c:v>Antioquia</c:v>
                </c:pt>
              </c:strCache>
            </c:strRef>
          </c:tx>
          <c:spPr>
            <a:solidFill>
              <a:schemeClr val="accent4"/>
            </a:solidFill>
            <a:ln>
              <a:noFill/>
            </a:ln>
            <a:effectLst/>
          </c:spPr>
          <c:invertIfNegative val="0"/>
          <c:cat>
            <c:numRef>
              <c:f>TAC!$W$59:$AC$59</c:f>
              <c:numCache>
                <c:formatCode>General</c:formatCode>
                <c:ptCount val="7"/>
                <c:pt idx="0">
                  <c:v>2010</c:v>
                </c:pt>
                <c:pt idx="1">
                  <c:v>2011</c:v>
                </c:pt>
                <c:pt idx="2">
                  <c:v>2012</c:v>
                </c:pt>
                <c:pt idx="3">
                  <c:v>2013</c:v>
                </c:pt>
                <c:pt idx="4">
                  <c:v>2014</c:v>
                </c:pt>
                <c:pt idx="5">
                  <c:v>2015</c:v>
                </c:pt>
                <c:pt idx="6">
                  <c:v>2016</c:v>
                </c:pt>
              </c:numCache>
            </c:numRef>
          </c:cat>
          <c:val>
            <c:numRef>
              <c:f>TAC!$W$62:$AC$62</c:f>
              <c:numCache>
                <c:formatCode>0.0%</c:formatCode>
                <c:ptCount val="7"/>
                <c:pt idx="0">
                  <c:v>3.4542250228425699E-3</c:v>
                </c:pt>
                <c:pt idx="1">
                  <c:v>3.68376490583804E-3</c:v>
                </c:pt>
                <c:pt idx="2">
                  <c:v>5.2947208515759098E-3</c:v>
                </c:pt>
                <c:pt idx="3">
                  <c:v>4.14958863029735E-3</c:v>
                </c:pt>
                <c:pt idx="4">
                  <c:v>3.5739323219202402E-3</c:v>
                </c:pt>
                <c:pt idx="5">
                  <c:v>2.99396062977666E-3</c:v>
                </c:pt>
                <c:pt idx="6">
                  <c:v>1.63401890096455E-3</c:v>
                </c:pt>
              </c:numCache>
            </c:numRef>
          </c:val>
          <c:extLst>
            <c:ext xmlns:c16="http://schemas.microsoft.com/office/drawing/2014/chart" uri="{C3380CC4-5D6E-409C-BE32-E72D297353CC}">
              <c16:uniqueId val="{00000005-DF7B-E64C-B2EA-075C782DCCA4}"/>
            </c:ext>
          </c:extLst>
        </c:ser>
        <c:ser>
          <c:idx val="4"/>
          <c:order val="4"/>
          <c:tx>
            <c:strRef>
              <c:f>TAC!$A$63</c:f>
              <c:strCache>
                <c:ptCount val="1"/>
                <c:pt idx="0">
                  <c:v>Atlántico</c:v>
                </c:pt>
              </c:strCache>
            </c:strRef>
          </c:tx>
          <c:spPr>
            <a:solidFill>
              <a:schemeClr val="accent1">
                <a:lumMod val="60000"/>
                <a:lumOff val="40000"/>
              </a:schemeClr>
            </a:solidFill>
            <a:ln>
              <a:noFill/>
            </a:ln>
            <a:effectLst/>
          </c:spPr>
          <c:invertIfNegative val="0"/>
          <c:cat>
            <c:numRef>
              <c:f>TAC!$W$59:$AC$59</c:f>
              <c:numCache>
                <c:formatCode>General</c:formatCode>
                <c:ptCount val="7"/>
                <c:pt idx="0">
                  <c:v>2010</c:v>
                </c:pt>
                <c:pt idx="1">
                  <c:v>2011</c:v>
                </c:pt>
                <c:pt idx="2">
                  <c:v>2012</c:v>
                </c:pt>
                <c:pt idx="3">
                  <c:v>2013</c:v>
                </c:pt>
                <c:pt idx="4">
                  <c:v>2014</c:v>
                </c:pt>
                <c:pt idx="5">
                  <c:v>2015</c:v>
                </c:pt>
                <c:pt idx="6">
                  <c:v>2016</c:v>
                </c:pt>
              </c:numCache>
            </c:numRef>
          </c:cat>
          <c:val>
            <c:numRef>
              <c:f>TAC!$W$63:$AC$63</c:f>
              <c:numCache>
                <c:formatCode>0.0%</c:formatCode>
                <c:ptCount val="7"/>
                <c:pt idx="0">
                  <c:v>8.1815322748933998E-3</c:v>
                </c:pt>
                <c:pt idx="1">
                  <c:v>1.1160343212754199E-2</c:v>
                </c:pt>
                <c:pt idx="2">
                  <c:v>9.3591619690303694E-3</c:v>
                </c:pt>
                <c:pt idx="3">
                  <c:v>9.6997258580432209E-3</c:v>
                </c:pt>
                <c:pt idx="4">
                  <c:v>1.4781848745998499E-2</c:v>
                </c:pt>
                <c:pt idx="5">
                  <c:v>1.8178180557221899E-2</c:v>
                </c:pt>
                <c:pt idx="6">
                  <c:v>1.8773044505687099E-2</c:v>
                </c:pt>
              </c:numCache>
            </c:numRef>
          </c:val>
          <c:extLst>
            <c:ext xmlns:c16="http://schemas.microsoft.com/office/drawing/2014/chart" uri="{C3380CC4-5D6E-409C-BE32-E72D297353CC}">
              <c16:uniqueId val="{00000006-DF7B-E64C-B2EA-075C782DCCA4}"/>
            </c:ext>
          </c:extLst>
        </c:ser>
        <c:ser>
          <c:idx val="5"/>
          <c:order val="5"/>
          <c:tx>
            <c:strRef>
              <c:f>TAC!$A$64</c:f>
              <c:strCache>
                <c:ptCount val="1"/>
                <c:pt idx="0">
                  <c:v>Bolívar</c:v>
                </c:pt>
              </c:strCache>
            </c:strRef>
          </c:tx>
          <c:spPr>
            <a:solidFill>
              <a:schemeClr val="accent6"/>
            </a:solidFill>
            <a:ln>
              <a:noFill/>
            </a:ln>
            <a:effectLst/>
          </c:spPr>
          <c:invertIfNegative val="0"/>
          <c:cat>
            <c:numRef>
              <c:f>TAC!$W$59:$AC$59</c:f>
              <c:numCache>
                <c:formatCode>General</c:formatCode>
                <c:ptCount val="7"/>
                <c:pt idx="0">
                  <c:v>2010</c:v>
                </c:pt>
                <c:pt idx="1">
                  <c:v>2011</c:v>
                </c:pt>
                <c:pt idx="2">
                  <c:v>2012</c:v>
                </c:pt>
                <c:pt idx="3">
                  <c:v>2013</c:v>
                </c:pt>
                <c:pt idx="4">
                  <c:v>2014</c:v>
                </c:pt>
                <c:pt idx="5">
                  <c:v>2015</c:v>
                </c:pt>
                <c:pt idx="6">
                  <c:v>2016</c:v>
                </c:pt>
              </c:numCache>
            </c:numRef>
          </c:cat>
          <c:val>
            <c:numRef>
              <c:f>TAC!$W$64:$AC$64</c:f>
              <c:numCache>
                <c:formatCode>0.0%</c:formatCode>
                <c:ptCount val="7"/>
                <c:pt idx="0">
                  <c:v>3.21916888982323E-3</c:v>
                </c:pt>
                <c:pt idx="1">
                  <c:v>9.5384791264929505E-3</c:v>
                </c:pt>
                <c:pt idx="2">
                  <c:v>1.28915232279538E-2</c:v>
                </c:pt>
                <c:pt idx="3">
                  <c:v>1.37431676375806E-2</c:v>
                </c:pt>
                <c:pt idx="4">
                  <c:v>1.79191376535482E-2</c:v>
                </c:pt>
                <c:pt idx="5">
                  <c:v>1.09181466429242E-2</c:v>
                </c:pt>
                <c:pt idx="6">
                  <c:v>5.3819739399089102E-3</c:v>
                </c:pt>
              </c:numCache>
            </c:numRef>
          </c:val>
          <c:extLst>
            <c:ext xmlns:c16="http://schemas.microsoft.com/office/drawing/2014/chart" uri="{C3380CC4-5D6E-409C-BE32-E72D297353CC}">
              <c16:uniqueId val="{00000007-DF7B-E64C-B2EA-075C782DCCA4}"/>
            </c:ext>
          </c:extLst>
        </c:ser>
        <c:dLbls>
          <c:showLegendKey val="0"/>
          <c:showVal val="0"/>
          <c:showCatName val="0"/>
          <c:showSerName val="0"/>
          <c:showPercent val="0"/>
          <c:showBubbleSize val="0"/>
        </c:dLbls>
        <c:gapWidth val="219"/>
        <c:overlap val="-27"/>
        <c:axId val="2130974432"/>
        <c:axId val="1935149392"/>
      </c:barChart>
      <c:catAx>
        <c:axId val="2130974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935149392"/>
        <c:crosses val="autoZero"/>
        <c:auto val="1"/>
        <c:lblAlgn val="ctr"/>
        <c:lblOffset val="100"/>
        <c:noMultiLvlLbl val="0"/>
      </c:catAx>
      <c:valAx>
        <c:axId val="1935149392"/>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13097443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438670166229201"/>
          <c:y val="9.9770388413678496E-2"/>
          <c:w val="0.82505774278215205"/>
          <c:h val="0.69059423327479796"/>
        </c:manualLayout>
      </c:layout>
      <c:lineChart>
        <c:grouping val="standard"/>
        <c:varyColors val="0"/>
        <c:ser>
          <c:idx val="0"/>
          <c:order val="0"/>
          <c:tx>
            <c:strRef>
              <c:f>Hoja1!$B$2</c:f>
              <c:strCache>
                <c:ptCount val="1"/>
                <c:pt idx="0">
                  <c:v>Cúcuta AM</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1"/>
              <c:layout>
                <c:manualLayout>
                  <c:x val="-1.11111111111112E-2"/>
                  <c:y val="-5.555555555555549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B3AF-D042-806C-E1F5B12F3AA4}"/>
                </c:ext>
              </c:extLst>
            </c:dLbl>
            <c:dLbl>
              <c:idx val="2"/>
              <c:layout>
                <c:manualLayout>
                  <c:x val="-1.94444444444444E-2"/>
                  <c:y val="-5.555555555555560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B3AF-D042-806C-E1F5B12F3AA4}"/>
                </c:ext>
              </c:extLst>
            </c:dLbl>
            <c:dLbl>
              <c:idx val="3"/>
              <c:layout>
                <c:manualLayout>
                  <c:x val="-1.94444444444444E-2"/>
                  <c:y val="-6.944444444444450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B3AF-D042-806C-E1F5B12F3AA4}"/>
                </c:ext>
              </c:extLst>
            </c:dLbl>
            <c:dLbl>
              <c:idx val="4"/>
              <c:layout>
                <c:manualLayout>
                  <c:x val="-2.2222222222222199E-2"/>
                  <c:y val="-5.555555555555560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B3AF-D042-806C-E1F5B12F3AA4}"/>
                </c:ext>
              </c:extLst>
            </c:dLbl>
            <c:dLbl>
              <c:idx val="5"/>
              <c:layout>
                <c:manualLayout>
                  <c:x val="-2.2222222222222199E-2"/>
                  <c:y val="-5.092592592592590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B3AF-D042-806C-E1F5B12F3AA4}"/>
                </c:ext>
              </c:extLst>
            </c:dLbl>
            <c:dLbl>
              <c:idx val="6"/>
              <c:layout>
                <c:manualLayout>
                  <c:x val="-2.5000000000000001E-2"/>
                  <c:y val="-5.092592592592590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B3AF-D042-806C-E1F5B12F3AA4}"/>
                </c:ext>
              </c:extLst>
            </c:dLbl>
            <c:dLbl>
              <c:idx val="7"/>
              <c:layout>
                <c:manualLayout>
                  <c:x val="-1.6666666666666701E-2"/>
                  <c:y val="-4.629629629629630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B3AF-D042-806C-E1F5B12F3AA4}"/>
                </c:ext>
              </c:extLst>
            </c:dLbl>
            <c:spPr>
              <a:noFill/>
              <a:ln w="25400">
                <a:noFill/>
              </a:ln>
            </c:spPr>
            <c:txPr>
              <a:bodyPr rot="0" spcFirstLastPara="1" vertOverflow="ellipsis" vert="horz" wrap="square" lIns="38100" tIns="19050" rIns="38100" bIns="19050" anchor="t" anchorCtr="0">
                <a:spAutoFit/>
              </a:bodyPr>
              <a:lstStyle/>
              <a:p>
                <a:pPr>
                  <a:defRPr sz="900" b="1" i="0" u="none" strike="noStrike" kern="1200" baseline="0">
                    <a:solidFill>
                      <a:schemeClr val="tx2"/>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Hoja1!$A$9:$A$16</c:f>
              <c:numCache>
                <c:formatCode>General</c:formatCode>
                <c:ptCount val="8"/>
                <c:pt idx="0">
                  <c:v>2010</c:v>
                </c:pt>
                <c:pt idx="1">
                  <c:v>2011</c:v>
                </c:pt>
                <c:pt idx="2">
                  <c:v>2012</c:v>
                </c:pt>
                <c:pt idx="3">
                  <c:v>2013</c:v>
                </c:pt>
                <c:pt idx="4">
                  <c:v>2014</c:v>
                </c:pt>
                <c:pt idx="5">
                  <c:v>2015</c:v>
                </c:pt>
                <c:pt idx="6">
                  <c:v>2016</c:v>
                </c:pt>
                <c:pt idx="7">
                  <c:v>2017</c:v>
                </c:pt>
              </c:numCache>
            </c:numRef>
          </c:cat>
          <c:val>
            <c:numRef>
              <c:f>Hoja1!$B$9:$B$16</c:f>
              <c:numCache>
                <c:formatCode>General</c:formatCode>
                <c:ptCount val="8"/>
                <c:pt idx="0">
                  <c:v>39.299999999999997</c:v>
                </c:pt>
                <c:pt idx="1">
                  <c:v>33.9</c:v>
                </c:pt>
                <c:pt idx="2">
                  <c:v>32.4</c:v>
                </c:pt>
                <c:pt idx="3">
                  <c:v>31.3</c:v>
                </c:pt>
                <c:pt idx="4">
                  <c:v>33.1</c:v>
                </c:pt>
                <c:pt idx="5">
                  <c:v>32.9</c:v>
                </c:pt>
                <c:pt idx="6">
                  <c:v>33.4</c:v>
                </c:pt>
                <c:pt idx="7">
                  <c:v>33.5</c:v>
                </c:pt>
              </c:numCache>
            </c:numRef>
          </c:val>
          <c:smooth val="0"/>
          <c:extLst>
            <c:ext xmlns:c16="http://schemas.microsoft.com/office/drawing/2014/chart" uri="{C3380CC4-5D6E-409C-BE32-E72D297353CC}">
              <c16:uniqueId val="{00000007-B3AF-D042-806C-E1F5B12F3AA4}"/>
            </c:ext>
          </c:extLst>
        </c:ser>
        <c:ser>
          <c:idx val="1"/>
          <c:order val="1"/>
          <c:tx>
            <c:strRef>
              <c:f>Hoja1!$C$2</c:f>
              <c:strCache>
                <c:ptCount val="1"/>
                <c:pt idx="0">
                  <c:v>Nacional</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manualLayout>
                  <c:x val="-2.5000000000000001E-2"/>
                  <c:y val="8.796296296296289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B3AF-D042-806C-E1F5B12F3AA4}"/>
                </c:ext>
              </c:extLst>
            </c:dLbl>
            <c:dLbl>
              <c:idx val="1"/>
              <c:layout>
                <c:manualLayout>
                  <c:x val="-2.7777777777777801E-2"/>
                  <c:y val="6.944444444444440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B3AF-D042-806C-E1F5B12F3AA4}"/>
                </c:ext>
              </c:extLst>
            </c:dLbl>
            <c:dLbl>
              <c:idx val="2"/>
              <c:layout>
                <c:manualLayout>
                  <c:x val="-3.3333333333333298E-2"/>
                  <c:y val="6.018518518518520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B3AF-D042-806C-E1F5B12F3AA4}"/>
                </c:ext>
              </c:extLst>
            </c:dLbl>
            <c:dLbl>
              <c:idx val="3"/>
              <c:layout>
                <c:manualLayout>
                  <c:x val="-3.3333333333333298E-2"/>
                  <c:y val="6.018518518518520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B3AF-D042-806C-E1F5B12F3AA4}"/>
                </c:ext>
              </c:extLst>
            </c:dLbl>
            <c:dLbl>
              <c:idx val="4"/>
              <c:layout>
                <c:manualLayout>
                  <c:x val="-3.6111111111111198E-2"/>
                  <c:y val="5.092592592592590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B3AF-D042-806C-E1F5B12F3AA4}"/>
                </c:ext>
              </c:extLst>
            </c:dLbl>
            <c:dLbl>
              <c:idx val="5"/>
              <c:layout>
                <c:manualLayout>
                  <c:x val="-3.3333333333333298E-2"/>
                  <c:y val="5.555555555555549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B3AF-D042-806C-E1F5B12F3AA4}"/>
                </c:ext>
              </c:extLst>
            </c:dLbl>
            <c:dLbl>
              <c:idx val="6"/>
              <c:layout>
                <c:manualLayout>
                  <c:x val="-3.05555555555556E-2"/>
                  <c:y val="5.0925925925925798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B3AF-D042-806C-E1F5B12F3AA4}"/>
                </c:ext>
              </c:extLst>
            </c:dLbl>
            <c:dLbl>
              <c:idx val="7"/>
              <c:layout>
                <c:manualLayout>
                  <c:x val="-2.7777777777777801E-3"/>
                  <c:y val="1.85185185185185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B3AF-D042-806C-E1F5B12F3AA4}"/>
                </c:ext>
              </c:extLst>
            </c:dLbl>
            <c:spPr>
              <a:noFill/>
              <a:ln w="25400">
                <a:noFill/>
              </a:ln>
            </c:spPr>
            <c:txPr>
              <a:bodyPr rot="0" spcFirstLastPara="1" vertOverflow="ellipsis" wrap="square" lIns="38100" tIns="19050" rIns="38100" bIns="19050" anchor="b" anchorCtr="1">
                <a:spAutoFit/>
              </a:bodyPr>
              <a:lstStyle/>
              <a:p>
                <a:pPr>
                  <a:defRPr sz="900" b="1" i="0" u="none" strike="noStrike" kern="1200" baseline="0">
                    <a:solidFill>
                      <a:schemeClr val="accent3">
                        <a:lumMod val="7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Hoja1!$A$9:$A$16</c:f>
              <c:numCache>
                <c:formatCode>General</c:formatCode>
                <c:ptCount val="8"/>
                <c:pt idx="0">
                  <c:v>2010</c:v>
                </c:pt>
                <c:pt idx="1">
                  <c:v>2011</c:v>
                </c:pt>
                <c:pt idx="2">
                  <c:v>2012</c:v>
                </c:pt>
                <c:pt idx="3">
                  <c:v>2013</c:v>
                </c:pt>
                <c:pt idx="4">
                  <c:v>2014</c:v>
                </c:pt>
                <c:pt idx="5">
                  <c:v>2015</c:v>
                </c:pt>
                <c:pt idx="6">
                  <c:v>2016</c:v>
                </c:pt>
                <c:pt idx="7">
                  <c:v>2017</c:v>
                </c:pt>
              </c:numCache>
            </c:numRef>
          </c:cat>
          <c:val>
            <c:numRef>
              <c:f>Hoja1!$C$9:$C$16</c:f>
              <c:numCache>
                <c:formatCode>General</c:formatCode>
                <c:ptCount val="8"/>
                <c:pt idx="0">
                  <c:v>37.200000000000003</c:v>
                </c:pt>
                <c:pt idx="1">
                  <c:v>34.1</c:v>
                </c:pt>
                <c:pt idx="2">
                  <c:v>32.700000000000003</c:v>
                </c:pt>
                <c:pt idx="3">
                  <c:v>30.6</c:v>
                </c:pt>
                <c:pt idx="4">
                  <c:v>28.5</c:v>
                </c:pt>
                <c:pt idx="5">
                  <c:v>27.8</c:v>
                </c:pt>
                <c:pt idx="6">
                  <c:v>28</c:v>
                </c:pt>
                <c:pt idx="7">
                  <c:v>26.9</c:v>
                </c:pt>
              </c:numCache>
            </c:numRef>
          </c:val>
          <c:smooth val="0"/>
          <c:extLst>
            <c:ext xmlns:c16="http://schemas.microsoft.com/office/drawing/2014/chart" uri="{C3380CC4-5D6E-409C-BE32-E72D297353CC}">
              <c16:uniqueId val="{00000010-B3AF-D042-806C-E1F5B12F3AA4}"/>
            </c:ext>
          </c:extLst>
        </c:ser>
        <c:dLbls>
          <c:showLegendKey val="0"/>
          <c:showVal val="0"/>
          <c:showCatName val="0"/>
          <c:showSerName val="0"/>
          <c:showPercent val="0"/>
          <c:showBubbleSize val="0"/>
        </c:dLbls>
        <c:marker val="1"/>
        <c:smooth val="0"/>
        <c:axId val="-2135977952"/>
        <c:axId val="-2136482224"/>
      </c:lineChart>
      <c:catAx>
        <c:axId val="-2135977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s-CO"/>
          </a:p>
        </c:txPr>
        <c:crossAx val="-2136482224"/>
        <c:crosses val="autoZero"/>
        <c:auto val="1"/>
        <c:lblAlgn val="ctr"/>
        <c:lblOffset val="100"/>
        <c:noMultiLvlLbl val="0"/>
      </c:catAx>
      <c:valAx>
        <c:axId val="-2136482224"/>
        <c:scaling>
          <c:orientation val="minMax"/>
          <c:min val="20"/>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s-CO">
                    <a:solidFill>
                      <a:sysClr val="windowText" lastClr="000000"/>
                    </a:solidFill>
                  </a:rPr>
                  <a:t>% población</a:t>
                </a:r>
              </a:p>
            </c:rich>
          </c:tx>
          <c:layout>
            <c:manualLayout>
              <c:xMode val="edge"/>
              <c:yMode val="edge"/>
              <c:x val="1.9444387633364001E-2"/>
              <c:y val="0.34648501671104098"/>
            </c:manualLayout>
          </c:layout>
          <c:overlay val="0"/>
          <c:spPr>
            <a:noFill/>
            <a:ln w="25400">
              <a:noFill/>
            </a:ln>
          </c:spPr>
        </c:title>
        <c:numFmt formatCode="#,##0.0" sourceLinked="0"/>
        <c:majorTickMark val="none"/>
        <c:minorTickMark val="none"/>
        <c:tickLblPos val="nextTo"/>
        <c:spPr>
          <a:ln w="9525">
            <a:noFill/>
          </a:ln>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s-CO"/>
          </a:p>
        </c:txPr>
        <c:crossAx val="-2135977952"/>
        <c:crosses val="autoZero"/>
        <c:crossBetween val="between"/>
      </c:valAx>
      <c:spPr>
        <a:noFill/>
        <a:ln w="25400">
          <a:noFill/>
        </a:ln>
      </c:spPr>
    </c:plotArea>
    <c:legend>
      <c:legendPos val="r"/>
      <c:layout>
        <c:manualLayout>
          <c:xMode val="edge"/>
          <c:yMode val="edge"/>
          <c:x val="0.27706500083298402"/>
          <c:y val="0.88483390282709296"/>
          <c:w val="0.44445843883624597"/>
          <c:h val="8.5787220495701505E-2"/>
        </c:manualLayout>
      </c:layout>
      <c:overlay val="0"/>
      <c:spPr>
        <a:noFill/>
        <a:ln w="25400">
          <a:noFill/>
        </a:ln>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9250B-E23B-497B-A874-6DEDB350E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5893</Words>
  <Characters>32412</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TuSoft.org</Company>
  <LinksUpToDate>false</LinksUpToDate>
  <CharactersWithSpaces>38229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Sebastian Villalba Arango - Cont</dc:creator>
  <cp:keywords/>
  <dc:description/>
  <cp:lastModifiedBy>hasbleidy suarez</cp:lastModifiedBy>
  <cp:revision>6</cp:revision>
  <cp:lastPrinted>2018-11-20T22:04:00Z</cp:lastPrinted>
  <dcterms:created xsi:type="dcterms:W3CDTF">2018-11-20T22:18:00Z</dcterms:created>
  <dcterms:modified xsi:type="dcterms:W3CDTF">2018-11-27T20:22:00Z</dcterms:modified>
</cp:coreProperties>
</file>