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84A" w:rsidRPr="007E18D8" w:rsidRDefault="003E5AE3" w:rsidP="001B5DB0">
      <w:pPr>
        <w:spacing w:after="0" w:line="240" w:lineRule="auto"/>
        <w:jc w:val="center"/>
        <w:textAlignment w:val="center"/>
        <w:rPr>
          <w:rFonts w:ascii="Gill Sans MT" w:eastAsia="Times New Roman" w:hAnsi="Gill Sans MT" w:cs="Arial"/>
          <w:b/>
          <w:sz w:val="24"/>
          <w:szCs w:val="24"/>
          <w:lang w:val="es-ES_tradnl" w:eastAsia="es-MX"/>
        </w:rPr>
      </w:pPr>
      <w:bookmarkStart w:id="0" w:name="_GoBack"/>
      <w:bookmarkEnd w:id="0"/>
      <w:r w:rsidRPr="007E18D8">
        <w:rPr>
          <w:rFonts w:ascii="Gill Sans MT" w:eastAsia="Times New Roman" w:hAnsi="Gill Sans MT" w:cs="Arial"/>
          <w:b/>
          <w:sz w:val="24"/>
          <w:szCs w:val="24"/>
          <w:lang w:val="es-ES_tradnl" w:eastAsia="es-MX"/>
        </w:rPr>
        <w:t>PROYECTO DE LEY NÚMERO _______ DE 2018 CÁMARA</w:t>
      </w:r>
    </w:p>
    <w:p w:rsidR="003E5AE3" w:rsidRPr="007E18D8" w:rsidRDefault="003E5AE3" w:rsidP="001B5DB0">
      <w:pPr>
        <w:spacing w:after="0" w:line="240" w:lineRule="auto"/>
        <w:jc w:val="center"/>
        <w:textAlignment w:val="center"/>
        <w:rPr>
          <w:rFonts w:ascii="Gill Sans MT" w:eastAsia="Times New Roman" w:hAnsi="Gill Sans MT" w:cs="Arial"/>
          <w:i/>
          <w:iCs/>
          <w:sz w:val="24"/>
          <w:szCs w:val="24"/>
          <w:lang w:val="es-ES_tradnl" w:eastAsia="es-MX"/>
        </w:rPr>
      </w:pPr>
    </w:p>
    <w:p w:rsidR="00A1684A" w:rsidRPr="007E18D8" w:rsidRDefault="00A1684A" w:rsidP="001B5DB0">
      <w:pPr>
        <w:spacing w:after="0" w:line="240" w:lineRule="auto"/>
        <w:jc w:val="center"/>
        <w:textAlignment w:val="center"/>
        <w:rPr>
          <w:rFonts w:ascii="Gill Sans MT" w:eastAsia="Times New Roman" w:hAnsi="Gill Sans MT" w:cs="Arial"/>
          <w:b/>
          <w:sz w:val="24"/>
          <w:szCs w:val="24"/>
          <w:lang w:val="es-ES_tradnl" w:eastAsia="es-MX"/>
        </w:rPr>
      </w:pPr>
      <w:r w:rsidRPr="007E18D8">
        <w:rPr>
          <w:rFonts w:ascii="Gill Sans MT" w:eastAsia="Times New Roman" w:hAnsi="Gill Sans MT" w:cs="Arial"/>
          <w:b/>
          <w:i/>
          <w:iCs/>
          <w:sz w:val="24"/>
          <w:szCs w:val="24"/>
          <w:lang w:val="es-ES_tradnl" w:eastAsia="es-MX"/>
        </w:rPr>
        <w:t>“POR MEDIO DE LA CUAL SE CREA LA</w:t>
      </w:r>
      <w:r w:rsidR="007E18D8">
        <w:rPr>
          <w:rFonts w:ascii="Gill Sans MT" w:eastAsia="Times New Roman" w:hAnsi="Gill Sans MT" w:cs="Arial"/>
          <w:b/>
          <w:i/>
          <w:iCs/>
          <w:sz w:val="24"/>
          <w:szCs w:val="24"/>
          <w:lang w:val="es-ES_tradnl" w:eastAsia="es-MX"/>
        </w:rPr>
        <w:t xml:space="preserve"> TASA PRO DEPORTE Y RECREACIÓN”</w:t>
      </w:r>
    </w:p>
    <w:p w:rsidR="00A1684A" w:rsidRPr="007E18D8" w:rsidRDefault="00A1684A" w:rsidP="001B5DB0">
      <w:pPr>
        <w:spacing w:after="0" w:line="240" w:lineRule="auto"/>
        <w:ind w:firstLine="283"/>
        <w:jc w:val="center"/>
        <w:textAlignment w:val="center"/>
        <w:rPr>
          <w:rFonts w:ascii="Gill Sans MT" w:eastAsia="Times New Roman" w:hAnsi="Gill Sans MT" w:cs="Arial"/>
          <w:sz w:val="24"/>
          <w:szCs w:val="24"/>
          <w:lang w:val="es-ES_tradnl" w:eastAsia="es-MX"/>
        </w:rPr>
      </w:pPr>
    </w:p>
    <w:p w:rsidR="00A1684A" w:rsidRPr="007E18D8" w:rsidRDefault="00EA3136" w:rsidP="001B5DB0">
      <w:pPr>
        <w:spacing w:after="0" w:line="240" w:lineRule="auto"/>
        <w:ind w:firstLine="283"/>
        <w:jc w:val="center"/>
        <w:textAlignment w:val="center"/>
        <w:rPr>
          <w:rFonts w:ascii="Gill Sans MT" w:eastAsia="Times New Roman" w:hAnsi="Gill Sans MT" w:cs="Arial"/>
          <w:b/>
          <w:sz w:val="24"/>
          <w:szCs w:val="24"/>
          <w:lang w:val="es-ES_tradnl" w:eastAsia="es-MX"/>
        </w:rPr>
      </w:pPr>
      <w:r w:rsidRPr="007E18D8">
        <w:rPr>
          <w:rFonts w:ascii="Gill Sans MT" w:eastAsia="Times New Roman" w:hAnsi="Gill Sans MT" w:cs="Arial"/>
          <w:b/>
          <w:sz w:val="24"/>
          <w:szCs w:val="24"/>
          <w:lang w:val="es-ES_tradnl" w:eastAsia="es-MX"/>
        </w:rPr>
        <w:t>EL CONGRESO DE COLOMBIA</w:t>
      </w:r>
    </w:p>
    <w:p w:rsidR="00A1684A" w:rsidRPr="007E18D8" w:rsidRDefault="00A1684A" w:rsidP="009B2B90">
      <w:pPr>
        <w:spacing w:after="0" w:line="240" w:lineRule="auto"/>
        <w:ind w:firstLine="283"/>
        <w:jc w:val="both"/>
        <w:textAlignment w:val="center"/>
        <w:rPr>
          <w:rFonts w:ascii="Gill Sans MT" w:eastAsia="Times New Roman" w:hAnsi="Gill Sans MT" w:cs="Arial"/>
          <w:sz w:val="24"/>
          <w:szCs w:val="24"/>
          <w:lang w:val="es-MX" w:eastAsia="es-MX"/>
        </w:rPr>
      </w:pPr>
    </w:p>
    <w:p w:rsidR="00A1684A" w:rsidRPr="007E18D8" w:rsidRDefault="00A1684A" w:rsidP="00EA3136">
      <w:pPr>
        <w:spacing w:after="0" w:line="240" w:lineRule="auto"/>
        <w:ind w:firstLine="283"/>
        <w:jc w:val="center"/>
        <w:textAlignment w:val="center"/>
        <w:rPr>
          <w:rFonts w:ascii="Gill Sans MT" w:eastAsia="Times New Roman" w:hAnsi="Gill Sans MT" w:cs="Arial"/>
          <w:b/>
          <w:sz w:val="24"/>
          <w:szCs w:val="24"/>
          <w:lang w:val="es-MX" w:eastAsia="es-MX"/>
        </w:rPr>
      </w:pPr>
      <w:r w:rsidRPr="007E18D8">
        <w:rPr>
          <w:rFonts w:ascii="Gill Sans MT" w:eastAsia="Times New Roman" w:hAnsi="Gill Sans MT" w:cs="Arial"/>
          <w:b/>
          <w:sz w:val="24"/>
          <w:szCs w:val="24"/>
          <w:lang w:val="es-ES_tradnl" w:eastAsia="es-MX"/>
        </w:rPr>
        <w:t>DECRETA:</w:t>
      </w:r>
    </w:p>
    <w:p w:rsidR="00EA3136" w:rsidRPr="007E18D8" w:rsidRDefault="00EA3136" w:rsidP="009B2B90">
      <w:pPr>
        <w:spacing w:after="0" w:line="240" w:lineRule="auto"/>
        <w:jc w:val="both"/>
        <w:textAlignment w:val="center"/>
        <w:rPr>
          <w:rFonts w:ascii="Gill Sans MT" w:eastAsia="Times New Roman" w:hAnsi="Gill Sans MT" w:cs="Arial"/>
          <w:sz w:val="24"/>
          <w:szCs w:val="24"/>
          <w:lang w:val="es-ES_tradnl" w:eastAsia="es-MX"/>
        </w:rPr>
      </w:pPr>
    </w:p>
    <w:p w:rsidR="00A1684A" w:rsidRPr="007E18D8" w:rsidRDefault="00A1684A" w:rsidP="009B2B90">
      <w:pPr>
        <w:spacing w:after="0" w:line="240" w:lineRule="auto"/>
        <w:jc w:val="both"/>
        <w:textAlignment w:val="center"/>
        <w:rPr>
          <w:rFonts w:ascii="Gill Sans MT" w:eastAsia="Times New Roman" w:hAnsi="Gill Sans MT" w:cs="Arial"/>
          <w:sz w:val="24"/>
          <w:szCs w:val="24"/>
          <w:lang w:val="es-ES_tradnl" w:eastAsia="es-MX"/>
        </w:rPr>
      </w:pPr>
      <w:r w:rsidRPr="007E18D8">
        <w:rPr>
          <w:rFonts w:ascii="Gill Sans MT" w:eastAsia="Times New Roman" w:hAnsi="Gill Sans MT" w:cs="Arial"/>
          <w:b/>
          <w:sz w:val="24"/>
          <w:szCs w:val="24"/>
          <w:lang w:val="es-ES_tradnl" w:eastAsia="es-MX"/>
        </w:rPr>
        <w:t>Artículo 1</w:t>
      </w:r>
      <w:r w:rsidR="003E5AE3" w:rsidRPr="007E18D8">
        <w:rPr>
          <w:rFonts w:ascii="Gill Sans MT" w:eastAsia="Times New Roman" w:hAnsi="Gill Sans MT" w:cs="Arial"/>
          <w:b/>
          <w:sz w:val="24"/>
          <w:szCs w:val="24"/>
          <w:lang w:val="es-ES_tradnl" w:eastAsia="es-MX"/>
        </w:rPr>
        <w:t>°.</w:t>
      </w:r>
      <w:r w:rsidR="003E5AE3" w:rsidRPr="007E18D8">
        <w:rPr>
          <w:rFonts w:ascii="Gill Sans MT" w:eastAsia="Times New Roman" w:hAnsi="Gill Sans MT" w:cs="Arial"/>
          <w:i/>
          <w:iCs/>
          <w:sz w:val="24"/>
          <w:szCs w:val="24"/>
          <w:lang w:val="es-ES_tradnl" w:eastAsia="es-MX"/>
        </w:rPr>
        <w:t xml:space="preserve"> Objeto</w:t>
      </w:r>
      <w:r w:rsidRPr="007E18D8">
        <w:rPr>
          <w:rFonts w:ascii="Gill Sans MT" w:eastAsia="Times New Roman" w:hAnsi="Gill Sans MT" w:cs="Arial"/>
          <w:i/>
          <w:iCs/>
          <w:sz w:val="24"/>
          <w:szCs w:val="24"/>
          <w:lang w:val="es-ES_tradnl" w:eastAsia="es-MX"/>
        </w:rPr>
        <w:t xml:space="preserve"> de la Tasa Pro Deporte y Recreación</w:t>
      </w:r>
      <w:r w:rsidRPr="007E18D8">
        <w:rPr>
          <w:rFonts w:ascii="Gill Sans MT" w:eastAsia="Times New Roman" w:hAnsi="Gill Sans MT" w:cs="Arial"/>
          <w:sz w:val="24"/>
          <w:szCs w:val="24"/>
          <w:lang w:val="es-ES_tradnl" w:eastAsia="es-MX"/>
        </w:rPr>
        <w:t>. Facúltese a las Asambleas Departamentales, Concejos Municipales y Distritales para crear una Tasa Pro Deporte y Recreación, recursos que serán administrados por el respectivo ente territorial, destinados a fomentar y estimular el deporte y la recreación, conforme a planes, programas, proyectos y políticas nacionales o territoriales.</w:t>
      </w:r>
    </w:p>
    <w:p w:rsidR="00A1684A" w:rsidRPr="007E18D8" w:rsidRDefault="00A1684A" w:rsidP="009B2B90">
      <w:pPr>
        <w:spacing w:after="0" w:line="240" w:lineRule="auto"/>
        <w:jc w:val="both"/>
        <w:textAlignment w:val="center"/>
        <w:rPr>
          <w:rFonts w:ascii="Gill Sans MT" w:eastAsia="Times New Roman" w:hAnsi="Gill Sans MT" w:cs="Arial"/>
          <w:sz w:val="24"/>
          <w:szCs w:val="24"/>
          <w:lang w:val="es-MX" w:eastAsia="es-MX"/>
        </w:rPr>
      </w:pPr>
    </w:p>
    <w:p w:rsidR="00EA3136" w:rsidRPr="007E18D8" w:rsidRDefault="00EA3136" w:rsidP="009B2B90">
      <w:pPr>
        <w:spacing w:after="0" w:line="240" w:lineRule="auto"/>
        <w:jc w:val="both"/>
        <w:textAlignment w:val="center"/>
        <w:rPr>
          <w:rFonts w:ascii="Gill Sans MT" w:eastAsia="Times New Roman" w:hAnsi="Gill Sans MT" w:cs="Arial"/>
          <w:b/>
          <w:sz w:val="24"/>
          <w:szCs w:val="24"/>
          <w:lang w:val="es-ES_tradnl" w:eastAsia="es-MX"/>
        </w:rPr>
      </w:pPr>
    </w:p>
    <w:p w:rsidR="00A1684A" w:rsidRPr="007E18D8" w:rsidRDefault="00A1684A" w:rsidP="00EA3136">
      <w:pPr>
        <w:tabs>
          <w:tab w:val="left" w:pos="1276"/>
        </w:tabs>
        <w:spacing w:after="0" w:line="240" w:lineRule="auto"/>
        <w:jc w:val="both"/>
        <w:textAlignment w:val="center"/>
        <w:rPr>
          <w:rFonts w:ascii="Gill Sans MT" w:eastAsia="Times New Roman" w:hAnsi="Gill Sans MT" w:cs="Arial"/>
          <w:sz w:val="24"/>
          <w:szCs w:val="24"/>
          <w:lang w:val="es-MX" w:eastAsia="es-MX"/>
        </w:rPr>
      </w:pPr>
      <w:r w:rsidRPr="007E18D8">
        <w:rPr>
          <w:rFonts w:ascii="Gill Sans MT" w:eastAsia="Times New Roman" w:hAnsi="Gill Sans MT" w:cs="Arial"/>
          <w:b/>
          <w:sz w:val="24"/>
          <w:szCs w:val="24"/>
          <w:lang w:val="es-ES_tradnl" w:eastAsia="es-MX"/>
        </w:rPr>
        <w:t>Artículo 2°.</w:t>
      </w:r>
      <w:r w:rsidRPr="007E18D8">
        <w:rPr>
          <w:rFonts w:ascii="Gill Sans MT" w:eastAsia="Times New Roman" w:hAnsi="Gill Sans MT" w:cs="Arial"/>
          <w:sz w:val="24"/>
          <w:szCs w:val="24"/>
          <w:lang w:val="es-ES_tradnl" w:eastAsia="es-MX"/>
        </w:rPr>
        <w:t xml:space="preserve"> Los valores recaudados por la tasa se destinarán exclusivamente a:</w:t>
      </w:r>
    </w:p>
    <w:p w:rsidR="00A1684A" w:rsidRPr="007E18D8" w:rsidRDefault="00A1684A" w:rsidP="009B2B90">
      <w:pPr>
        <w:spacing w:after="0" w:line="240" w:lineRule="auto"/>
        <w:jc w:val="both"/>
        <w:textAlignment w:val="center"/>
        <w:rPr>
          <w:rFonts w:ascii="Gill Sans MT" w:eastAsia="Times New Roman" w:hAnsi="Gill Sans MT" w:cs="Arial"/>
          <w:sz w:val="24"/>
          <w:szCs w:val="24"/>
          <w:lang w:val="es-MX" w:eastAsia="es-MX"/>
        </w:rPr>
      </w:pPr>
    </w:p>
    <w:p w:rsidR="00A1684A" w:rsidRPr="007E18D8" w:rsidRDefault="00A1684A" w:rsidP="009B2B90">
      <w:pPr>
        <w:pStyle w:val="Prrafodelista"/>
        <w:numPr>
          <w:ilvl w:val="1"/>
          <w:numId w:val="1"/>
        </w:numPr>
        <w:spacing w:after="0" w:line="240" w:lineRule="auto"/>
        <w:jc w:val="both"/>
        <w:textAlignment w:val="center"/>
        <w:rPr>
          <w:rFonts w:ascii="Gill Sans MT" w:eastAsia="Times New Roman" w:hAnsi="Gill Sans MT" w:cs="Arial"/>
          <w:sz w:val="24"/>
          <w:szCs w:val="24"/>
          <w:lang w:val="es-MX" w:eastAsia="es-MX"/>
        </w:rPr>
      </w:pPr>
      <w:r w:rsidRPr="007E18D8">
        <w:rPr>
          <w:rFonts w:ascii="Gill Sans MT" w:hAnsi="Gill Sans MT" w:cs="Arial"/>
          <w:sz w:val="24"/>
          <w:szCs w:val="24"/>
        </w:rPr>
        <w:t>Apoyo a programas del Deporte, la educación física y la recreación para la población en general, incluyendo niños</w:t>
      </w:r>
      <w:r w:rsidRPr="007E18D8">
        <w:rPr>
          <w:rFonts w:ascii="Gill Sans MT" w:eastAsia="Times New Roman" w:hAnsi="Gill Sans MT" w:cs="Arial"/>
          <w:sz w:val="24"/>
          <w:szCs w:val="24"/>
          <w:lang w:val="es-MX" w:eastAsia="es-MX" w:bidi="ar-YE"/>
        </w:rPr>
        <w:t>, infantes</w:t>
      </w:r>
      <w:r w:rsidRPr="007E18D8">
        <w:rPr>
          <w:rFonts w:ascii="Gill Sans MT" w:eastAsia="Times New Roman" w:hAnsi="Gill Sans MT" w:cs="Arial"/>
          <w:sz w:val="24"/>
          <w:szCs w:val="24"/>
          <w:lang w:val="es-ES_tradnl" w:eastAsia="es-MX"/>
        </w:rPr>
        <w:t>, jóvenes</w:t>
      </w:r>
      <w:r w:rsidRPr="007E18D8">
        <w:rPr>
          <w:rFonts w:ascii="Gill Sans MT" w:hAnsi="Gill Sans MT" w:cs="Arial"/>
          <w:sz w:val="24"/>
          <w:szCs w:val="24"/>
        </w:rPr>
        <w:t xml:space="preserve">, </w:t>
      </w:r>
      <w:r w:rsidRPr="007E18D8">
        <w:rPr>
          <w:rFonts w:ascii="Gill Sans MT" w:eastAsia="Times New Roman" w:hAnsi="Gill Sans MT" w:cs="Arial"/>
          <w:sz w:val="24"/>
          <w:szCs w:val="24"/>
          <w:lang w:val="es-ES_tradnl" w:eastAsia="es-MX"/>
        </w:rPr>
        <w:t>adultos mayores y las personas en condición de discapacidad.</w:t>
      </w:r>
    </w:p>
    <w:p w:rsidR="00F36646" w:rsidRPr="007E18D8" w:rsidRDefault="00F36646" w:rsidP="009B2B90">
      <w:pPr>
        <w:pStyle w:val="Prrafodelista"/>
        <w:spacing w:after="0" w:line="240" w:lineRule="auto"/>
        <w:jc w:val="both"/>
        <w:textAlignment w:val="center"/>
        <w:rPr>
          <w:rFonts w:ascii="Gill Sans MT" w:eastAsia="Times New Roman" w:hAnsi="Gill Sans MT" w:cs="Arial"/>
          <w:sz w:val="24"/>
          <w:szCs w:val="24"/>
          <w:lang w:val="es-MX" w:eastAsia="es-MX"/>
        </w:rPr>
      </w:pPr>
    </w:p>
    <w:p w:rsidR="00F36646" w:rsidRPr="007E18D8" w:rsidRDefault="00F36646" w:rsidP="009B2B90">
      <w:pPr>
        <w:pStyle w:val="Prrafodelista"/>
        <w:numPr>
          <w:ilvl w:val="1"/>
          <w:numId w:val="1"/>
        </w:numPr>
        <w:spacing w:after="0" w:line="240" w:lineRule="auto"/>
        <w:jc w:val="both"/>
        <w:textAlignment w:val="center"/>
        <w:rPr>
          <w:rFonts w:ascii="Gill Sans MT" w:eastAsia="Times New Roman" w:hAnsi="Gill Sans MT" w:cs="Arial"/>
          <w:sz w:val="24"/>
          <w:szCs w:val="24"/>
          <w:lang w:val="es-MX" w:eastAsia="es-MX"/>
        </w:rPr>
      </w:pPr>
      <w:r w:rsidRPr="007E18D8">
        <w:rPr>
          <w:rFonts w:ascii="Gill Sans MT" w:eastAsia="Times New Roman" w:hAnsi="Gill Sans MT" w:cs="Arial"/>
          <w:sz w:val="24"/>
          <w:szCs w:val="24"/>
          <w:lang w:val="es-ES_tradnl" w:eastAsia="es-MX"/>
        </w:rPr>
        <w:t xml:space="preserve">Apoyo para el </w:t>
      </w:r>
      <w:r w:rsidR="00EA3136" w:rsidRPr="007E18D8">
        <w:rPr>
          <w:rFonts w:ascii="Gill Sans MT" w:eastAsia="Times New Roman" w:hAnsi="Gill Sans MT" w:cs="Arial"/>
          <w:sz w:val="24"/>
          <w:szCs w:val="24"/>
          <w:lang w:val="es-ES_tradnl" w:eastAsia="es-MX"/>
        </w:rPr>
        <w:t>funcionamiento</w:t>
      </w:r>
      <w:r w:rsidRPr="007E18D8">
        <w:rPr>
          <w:rFonts w:ascii="Gill Sans MT" w:eastAsia="Times New Roman" w:hAnsi="Gill Sans MT" w:cs="Arial"/>
          <w:sz w:val="24"/>
          <w:szCs w:val="24"/>
          <w:lang w:val="es-ES_tradnl" w:eastAsia="es-MX"/>
        </w:rPr>
        <w:t xml:space="preserve"> de la entidad territorial.</w:t>
      </w:r>
    </w:p>
    <w:p w:rsidR="00A1684A" w:rsidRPr="007E18D8" w:rsidRDefault="00A1684A" w:rsidP="009B2B90">
      <w:pPr>
        <w:pStyle w:val="Prrafodelista"/>
        <w:spacing w:after="0" w:line="240" w:lineRule="auto"/>
        <w:ind w:left="862"/>
        <w:jc w:val="both"/>
        <w:textAlignment w:val="center"/>
        <w:rPr>
          <w:rFonts w:ascii="Gill Sans MT" w:hAnsi="Gill Sans MT" w:cs="Arial"/>
          <w:sz w:val="24"/>
          <w:szCs w:val="24"/>
        </w:rPr>
      </w:pPr>
    </w:p>
    <w:p w:rsidR="00A1684A" w:rsidRPr="007E18D8" w:rsidRDefault="00A1684A" w:rsidP="009B2B90">
      <w:pPr>
        <w:pStyle w:val="Prrafodelista"/>
        <w:numPr>
          <w:ilvl w:val="1"/>
          <w:numId w:val="1"/>
        </w:numPr>
        <w:spacing w:after="0" w:line="240" w:lineRule="auto"/>
        <w:jc w:val="both"/>
        <w:textAlignment w:val="center"/>
        <w:rPr>
          <w:rFonts w:ascii="Gill Sans MT" w:hAnsi="Gill Sans MT" w:cs="Arial"/>
          <w:sz w:val="24"/>
          <w:szCs w:val="24"/>
        </w:rPr>
      </w:pPr>
      <w:r w:rsidRPr="007E18D8">
        <w:rPr>
          <w:rFonts w:ascii="Gill Sans MT" w:hAnsi="Gill Sans MT" w:cs="Arial"/>
          <w:sz w:val="24"/>
          <w:szCs w:val="24"/>
        </w:rPr>
        <w:t>Apoyo a programas que permiten la identificación y selección de talentos deportivos, así como el desarrollo y fortalecimiento de la reserva deportiva, orientados hacia el alto rendimiento deportivo convencional y paralímpico; de incentivos económicos a los atletas y entrenadores medallistas en ciertos certámenes deportivos.</w:t>
      </w:r>
    </w:p>
    <w:p w:rsidR="00A1684A" w:rsidRPr="007E18D8" w:rsidRDefault="00A1684A" w:rsidP="009B2B90">
      <w:pPr>
        <w:pStyle w:val="Prrafodelista"/>
        <w:jc w:val="both"/>
        <w:rPr>
          <w:rFonts w:ascii="Gill Sans MT" w:hAnsi="Gill Sans MT" w:cs="Arial"/>
          <w:sz w:val="24"/>
          <w:szCs w:val="24"/>
        </w:rPr>
      </w:pPr>
    </w:p>
    <w:p w:rsidR="00A1684A" w:rsidRPr="007E18D8" w:rsidRDefault="00A1684A" w:rsidP="009B2B90">
      <w:pPr>
        <w:pStyle w:val="Prrafodelista"/>
        <w:numPr>
          <w:ilvl w:val="1"/>
          <w:numId w:val="1"/>
        </w:numPr>
        <w:spacing w:after="0" w:line="240" w:lineRule="auto"/>
        <w:jc w:val="both"/>
        <w:textAlignment w:val="center"/>
        <w:rPr>
          <w:rFonts w:ascii="Gill Sans MT" w:hAnsi="Gill Sans MT" w:cs="Arial"/>
          <w:sz w:val="24"/>
          <w:szCs w:val="24"/>
        </w:rPr>
      </w:pPr>
      <w:r w:rsidRPr="007E18D8">
        <w:rPr>
          <w:rFonts w:ascii="Gill Sans MT" w:hAnsi="Gill Sans MT" w:cs="Arial"/>
          <w:sz w:val="24"/>
          <w:szCs w:val="24"/>
        </w:rPr>
        <w:t xml:space="preserve">Apoyo en programas para los atletas de alto nivel competitivo y con proyección a él. </w:t>
      </w:r>
    </w:p>
    <w:p w:rsidR="00A1684A" w:rsidRPr="007E18D8" w:rsidRDefault="00A1684A" w:rsidP="009B2B90">
      <w:pPr>
        <w:spacing w:after="0" w:line="240" w:lineRule="auto"/>
        <w:jc w:val="both"/>
        <w:textAlignment w:val="center"/>
        <w:rPr>
          <w:rFonts w:ascii="Gill Sans MT" w:hAnsi="Gill Sans MT" w:cs="Arial"/>
          <w:sz w:val="24"/>
          <w:szCs w:val="24"/>
        </w:rPr>
      </w:pPr>
    </w:p>
    <w:p w:rsidR="00A1684A" w:rsidRPr="007E18D8" w:rsidRDefault="00A1684A" w:rsidP="009B2B90">
      <w:pPr>
        <w:pStyle w:val="Prrafodelista"/>
        <w:numPr>
          <w:ilvl w:val="1"/>
          <w:numId w:val="1"/>
        </w:numPr>
        <w:spacing w:after="0" w:line="240" w:lineRule="auto"/>
        <w:jc w:val="both"/>
        <w:textAlignment w:val="center"/>
        <w:rPr>
          <w:rFonts w:ascii="Gill Sans MT" w:hAnsi="Gill Sans MT" w:cs="Arial"/>
          <w:sz w:val="24"/>
          <w:szCs w:val="24"/>
        </w:rPr>
      </w:pPr>
      <w:r w:rsidRPr="007E18D8">
        <w:rPr>
          <w:rFonts w:ascii="Gill Sans MT" w:eastAsia="Times New Roman" w:hAnsi="Gill Sans MT" w:cs="Arial"/>
          <w:sz w:val="24"/>
          <w:szCs w:val="24"/>
          <w:lang w:val="es-ES_tradnl" w:eastAsia="es-MX"/>
        </w:rPr>
        <w:t xml:space="preserve">Adquisición de elementos e instrumentos básicos de formación deportiva. </w:t>
      </w:r>
    </w:p>
    <w:p w:rsidR="00A1684A" w:rsidRPr="007E18D8" w:rsidRDefault="00A1684A" w:rsidP="009B2B90">
      <w:pPr>
        <w:spacing w:after="0" w:line="240" w:lineRule="auto"/>
        <w:jc w:val="both"/>
        <w:textAlignment w:val="center"/>
        <w:rPr>
          <w:rFonts w:ascii="Gill Sans MT" w:hAnsi="Gill Sans MT" w:cs="Arial"/>
          <w:sz w:val="24"/>
          <w:szCs w:val="24"/>
        </w:rPr>
      </w:pPr>
    </w:p>
    <w:p w:rsidR="00A1684A" w:rsidRPr="007E18D8" w:rsidRDefault="00A1684A" w:rsidP="009B2B90">
      <w:pPr>
        <w:pStyle w:val="Prrafodelista"/>
        <w:numPr>
          <w:ilvl w:val="1"/>
          <w:numId w:val="1"/>
        </w:numPr>
        <w:spacing w:after="0" w:line="240" w:lineRule="auto"/>
        <w:jc w:val="both"/>
        <w:textAlignment w:val="center"/>
        <w:rPr>
          <w:rFonts w:ascii="Gill Sans MT" w:hAnsi="Gill Sans MT" w:cs="Arial"/>
          <w:sz w:val="24"/>
          <w:szCs w:val="24"/>
        </w:rPr>
      </w:pPr>
      <w:r w:rsidRPr="007E18D8">
        <w:rPr>
          <w:rFonts w:ascii="Gill Sans MT" w:hAnsi="Gill Sans MT" w:cs="Arial"/>
          <w:sz w:val="24"/>
          <w:szCs w:val="24"/>
        </w:rPr>
        <w:t>Apoyo en Infraestructura Deportiva.</w:t>
      </w:r>
    </w:p>
    <w:p w:rsidR="00A1684A" w:rsidRPr="007E18D8" w:rsidRDefault="00A1684A" w:rsidP="009B2B90">
      <w:pPr>
        <w:spacing w:after="0" w:line="240" w:lineRule="auto"/>
        <w:jc w:val="both"/>
        <w:rPr>
          <w:rFonts w:ascii="Gill Sans MT" w:hAnsi="Gill Sans MT" w:cs="Arial"/>
          <w:sz w:val="24"/>
          <w:szCs w:val="24"/>
        </w:rPr>
      </w:pPr>
    </w:p>
    <w:p w:rsidR="00A1684A" w:rsidRPr="007E18D8" w:rsidRDefault="00A1684A" w:rsidP="007E18D8">
      <w:pPr>
        <w:spacing w:after="0" w:line="240" w:lineRule="auto"/>
        <w:jc w:val="both"/>
        <w:textAlignment w:val="center"/>
        <w:rPr>
          <w:rFonts w:ascii="Gill Sans MT" w:eastAsia="Times New Roman" w:hAnsi="Gill Sans MT" w:cs="Arial"/>
          <w:sz w:val="24"/>
          <w:szCs w:val="24"/>
          <w:lang w:val="es-ES_tradnl" w:eastAsia="es-MX"/>
        </w:rPr>
      </w:pPr>
      <w:r w:rsidRPr="007E18D8">
        <w:rPr>
          <w:rFonts w:ascii="Gill Sans MT" w:eastAsia="Times New Roman" w:hAnsi="Gill Sans MT" w:cs="Arial"/>
          <w:b/>
          <w:sz w:val="24"/>
          <w:szCs w:val="24"/>
          <w:lang w:val="es-ES_tradnl" w:eastAsia="es-MX"/>
        </w:rPr>
        <w:t>Artículo 3°.</w:t>
      </w:r>
      <w:r w:rsidRPr="007E18D8">
        <w:rPr>
          <w:rFonts w:ascii="Gill Sans MT" w:eastAsia="Times New Roman" w:hAnsi="Gill Sans MT" w:cs="Arial"/>
          <w:sz w:val="24"/>
          <w:szCs w:val="24"/>
          <w:lang w:val="es-ES_tradnl" w:eastAsia="es-MX"/>
        </w:rPr>
        <w:t xml:space="preserve"> La tarifa establecida por las Asambleas Departamentales y Concejos Distritales y Municipales no puede exceder </w:t>
      </w:r>
      <w:r w:rsidR="007E18D8">
        <w:rPr>
          <w:rFonts w:ascii="Gill Sans MT" w:eastAsia="Times New Roman" w:hAnsi="Gill Sans MT" w:cs="Arial"/>
          <w:sz w:val="24"/>
          <w:szCs w:val="24"/>
          <w:lang w:val="es-ES_tradnl" w:eastAsia="es-MX"/>
        </w:rPr>
        <w:t>el dos punto</w:t>
      </w:r>
      <w:r w:rsidRPr="007E18D8">
        <w:rPr>
          <w:rFonts w:ascii="Gill Sans MT" w:eastAsia="Times New Roman" w:hAnsi="Gill Sans MT" w:cs="Arial"/>
          <w:sz w:val="24"/>
          <w:szCs w:val="24"/>
          <w:lang w:val="es-ES_tradnl" w:eastAsia="es-MX"/>
        </w:rPr>
        <w:t xml:space="preserve"> cinco por ciento (2.5%) del valor del gravado.</w:t>
      </w:r>
    </w:p>
    <w:p w:rsidR="00A1684A" w:rsidRPr="007E18D8" w:rsidRDefault="00A1684A" w:rsidP="009B2B90">
      <w:pPr>
        <w:spacing w:after="0" w:line="240" w:lineRule="auto"/>
        <w:jc w:val="both"/>
        <w:textAlignment w:val="center"/>
        <w:rPr>
          <w:rFonts w:ascii="Gill Sans MT" w:eastAsia="Times New Roman" w:hAnsi="Gill Sans MT" w:cs="Arial"/>
          <w:sz w:val="24"/>
          <w:szCs w:val="24"/>
          <w:lang w:val="es-MX" w:eastAsia="es-MX"/>
        </w:rPr>
      </w:pPr>
    </w:p>
    <w:p w:rsidR="00A1684A" w:rsidRPr="007E18D8" w:rsidRDefault="00A1684A" w:rsidP="007E18D8">
      <w:pPr>
        <w:spacing w:after="0" w:line="240" w:lineRule="auto"/>
        <w:jc w:val="both"/>
        <w:textAlignment w:val="center"/>
        <w:rPr>
          <w:rFonts w:ascii="Gill Sans MT" w:eastAsia="Times New Roman" w:hAnsi="Gill Sans MT" w:cs="Arial"/>
          <w:sz w:val="24"/>
          <w:szCs w:val="24"/>
          <w:lang w:val="es-ES_tradnl" w:eastAsia="es-MX"/>
        </w:rPr>
      </w:pPr>
      <w:r w:rsidRPr="007E18D8">
        <w:rPr>
          <w:rFonts w:ascii="Gill Sans MT" w:eastAsia="Times New Roman" w:hAnsi="Gill Sans MT" w:cs="Arial"/>
          <w:b/>
          <w:sz w:val="24"/>
          <w:szCs w:val="24"/>
          <w:lang w:val="es-ES_tradnl" w:eastAsia="es-MX"/>
        </w:rPr>
        <w:t>Artículo 4°.</w:t>
      </w:r>
      <w:r w:rsidRPr="007E18D8">
        <w:rPr>
          <w:rFonts w:ascii="Gill Sans MT" w:eastAsia="Times New Roman" w:hAnsi="Gill Sans MT" w:cs="Arial"/>
          <w:sz w:val="24"/>
          <w:szCs w:val="24"/>
          <w:lang w:val="es-ES_tradnl" w:eastAsia="es-MX"/>
        </w:rPr>
        <w:t xml:space="preserve"> </w:t>
      </w:r>
      <w:r w:rsidRPr="007E18D8">
        <w:rPr>
          <w:rFonts w:ascii="Gill Sans MT" w:hAnsi="Gill Sans MT" w:cs="Arial"/>
          <w:sz w:val="24"/>
          <w:szCs w:val="24"/>
        </w:rPr>
        <w:t>Las Contralorías Departamentales, Distritales y municipales serán las encargadas de fiscalizar la inversión de los recursos provenientes de la presente ley. </w:t>
      </w:r>
      <w:r w:rsidRPr="007E18D8">
        <w:rPr>
          <w:rFonts w:ascii="Gill Sans MT" w:eastAsia="Times New Roman" w:hAnsi="Gill Sans MT" w:cs="Arial"/>
          <w:sz w:val="24"/>
          <w:szCs w:val="24"/>
          <w:lang w:val="es-ES_tradnl" w:eastAsia="es-MX"/>
        </w:rPr>
        <w:t xml:space="preserve"> </w:t>
      </w:r>
    </w:p>
    <w:p w:rsidR="00A1684A" w:rsidRPr="007E18D8" w:rsidRDefault="00A1684A" w:rsidP="009B2B90">
      <w:pPr>
        <w:spacing w:after="0" w:line="240" w:lineRule="auto"/>
        <w:jc w:val="both"/>
        <w:textAlignment w:val="center"/>
        <w:rPr>
          <w:rFonts w:ascii="Gill Sans MT" w:eastAsia="Times New Roman" w:hAnsi="Gill Sans MT" w:cs="Arial"/>
          <w:sz w:val="24"/>
          <w:szCs w:val="24"/>
          <w:lang w:val="es-ES_tradnl" w:eastAsia="es-MX"/>
        </w:rPr>
      </w:pPr>
    </w:p>
    <w:p w:rsidR="00A1684A" w:rsidRPr="007E18D8" w:rsidRDefault="00A1684A" w:rsidP="007E18D8">
      <w:pPr>
        <w:spacing w:after="0" w:line="240" w:lineRule="auto"/>
        <w:jc w:val="both"/>
        <w:textAlignment w:val="center"/>
        <w:rPr>
          <w:rFonts w:ascii="Gill Sans MT" w:eastAsia="Times New Roman" w:hAnsi="Gill Sans MT" w:cs="Arial"/>
          <w:sz w:val="24"/>
          <w:szCs w:val="24"/>
          <w:lang w:val="es-ES_tradnl" w:eastAsia="es-MX"/>
        </w:rPr>
      </w:pPr>
      <w:r w:rsidRPr="007E18D8">
        <w:rPr>
          <w:rFonts w:ascii="Gill Sans MT" w:eastAsia="Times New Roman" w:hAnsi="Gill Sans MT" w:cs="Arial"/>
          <w:b/>
          <w:sz w:val="24"/>
          <w:szCs w:val="24"/>
          <w:lang w:val="es-ES_tradnl" w:eastAsia="es-MX"/>
        </w:rPr>
        <w:lastRenderedPageBreak/>
        <w:t>Artículo 5°.</w:t>
      </w:r>
      <w:r w:rsidRPr="007E18D8">
        <w:rPr>
          <w:rFonts w:ascii="Gill Sans MT" w:hAnsi="Gill Sans MT" w:cs="Arial"/>
          <w:sz w:val="24"/>
          <w:szCs w:val="24"/>
        </w:rPr>
        <w:t xml:space="preserve"> La presente ley rige a partir de la fecha de su sanción y promulgación y deroga las demás disposiciones que le sean contrarias. </w:t>
      </w:r>
    </w:p>
    <w:p w:rsidR="00A1684A" w:rsidRPr="007E18D8" w:rsidRDefault="00A1684A" w:rsidP="009B2B90">
      <w:pPr>
        <w:spacing w:after="0" w:line="240" w:lineRule="auto"/>
        <w:ind w:firstLine="283"/>
        <w:jc w:val="both"/>
        <w:textAlignment w:val="center"/>
        <w:rPr>
          <w:rFonts w:ascii="Gill Sans MT" w:eastAsia="Times New Roman" w:hAnsi="Gill Sans MT" w:cs="Arial"/>
          <w:sz w:val="24"/>
          <w:szCs w:val="24"/>
          <w:lang w:val="es-ES_tradnl" w:eastAsia="es-MX"/>
        </w:rPr>
      </w:pPr>
    </w:p>
    <w:p w:rsidR="007E18D8" w:rsidRDefault="007E18D8" w:rsidP="009B2B90">
      <w:pPr>
        <w:tabs>
          <w:tab w:val="left" w:pos="-284"/>
          <w:tab w:val="center" w:pos="4252"/>
          <w:tab w:val="right" w:pos="8504"/>
        </w:tabs>
        <w:spacing w:after="0" w:line="240" w:lineRule="auto"/>
        <w:jc w:val="both"/>
        <w:rPr>
          <w:rFonts w:ascii="Gill Sans MT" w:hAnsi="Gill Sans MT" w:cs="Arial"/>
          <w:sz w:val="24"/>
          <w:szCs w:val="24"/>
        </w:rPr>
      </w:pPr>
    </w:p>
    <w:p w:rsidR="007E18D8" w:rsidRDefault="007E18D8" w:rsidP="009B2B90">
      <w:pPr>
        <w:tabs>
          <w:tab w:val="left" w:pos="-284"/>
          <w:tab w:val="center" w:pos="4252"/>
          <w:tab w:val="right" w:pos="8504"/>
        </w:tabs>
        <w:spacing w:after="0" w:line="240" w:lineRule="auto"/>
        <w:jc w:val="both"/>
        <w:rPr>
          <w:rFonts w:ascii="Gill Sans MT" w:hAnsi="Gill Sans MT" w:cs="Arial"/>
          <w:sz w:val="24"/>
          <w:szCs w:val="24"/>
        </w:rPr>
      </w:pPr>
    </w:p>
    <w:p w:rsidR="003E5AE3" w:rsidRPr="007E18D8" w:rsidRDefault="003E5AE3" w:rsidP="009B2B90">
      <w:pPr>
        <w:tabs>
          <w:tab w:val="left" w:pos="-284"/>
          <w:tab w:val="center" w:pos="4252"/>
          <w:tab w:val="right" w:pos="8504"/>
        </w:tabs>
        <w:spacing w:after="0" w:line="240" w:lineRule="auto"/>
        <w:jc w:val="both"/>
        <w:rPr>
          <w:rFonts w:ascii="Gill Sans MT" w:hAnsi="Gill Sans MT" w:cs="Arial"/>
          <w:sz w:val="24"/>
          <w:szCs w:val="24"/>
        </w:rPr>
      </w:pPr>
      <w:r w:rsidRPr="007E18D8">
        <w:rPr>
          <w:rFonts w:ascii="Gill Sans MT" w:hAnsi="Gill Sans MT" w:cs="Arial"/>
          <w:sz w:val="24"/>
          <w:szCs w:val="24"/>
        </w:rPr>
        <w:t xml:space="preserve">Cordialmente, </w:t>
      </w:r>
    </w:p>
    <w:p w:rsidR="003E5AE3" w:rsidRPr="007E18D8" w:rsidRDefault="003E5AE3" w:rsidP="009B2B90">
      <w:pPr>
        <w:tabs>
          <w:tab w:val="left" w:pos="-284"/>
          <w:tab w:val="center" w:pos="4252"/>
          <w:tab w:val="right" w:pos="8504"/>
        </w:tabs>
        <w:spacing w:after="0" w:line="240" w:lineRule="auto"/>
        <w:jc w:val="both"/>
        <w:rPr>
          <w:rFonts w:ascii="Gill Sans MT" w:hAnsi="Gill Sans MT" w:cs="Arial"/>
          <w:sz w:val="24"/>
          <w:szCs w:val="24"/>
        </w:rPr>
      </w:pPr>
    </w:p>
    <w:p w:rsidR="003E5AE3" w:rsidRPr="007E18D8" w:rsidRDefault="003E5AE3" w:rsidP="009B2B90">
      <w:pPr>
        <w:tabs>
          <w:tab w:val="left" w:pos="-284"/>
          <w:tab w:val="center" w:pos="4252"/>
          <w:tab w:val="right" w:pos="8504"/>
        </w:tabs>
        <w:spacing w:after="0" w:line="240" w:lineRule="auto"/>
        <w:jc w:val="both"/>
        <w:rPr>
          <w:rFonts w:ascii="Gill Sans MT" w:hAnsi="Gill Sans MT" w:cs="Arial"/>
          <w:sz w:val="24"/>
          <w:szCs w:val="24"/>
        </w:rPr>
      </w:pPr>
    </w:p>
    <w:p w:rsidR="003E5AE3" w:rsidRPr="007E18D8" w:rsidRDefault="003E5AE3" w:rsidP="009B2B90">
      <w:pPr>
        <w:tabs>
          <w:tab w:val="left" w:pos="-284"/>
          <w:tab w:val="center" w:pos="4252"/>
          <w:tab w:val="right" w:pos="8504"/>
        </w:tabs>
        <w:spacing w:after="0" w:line="240" w:lineRule="auto"/>
        <w:jc w:val="both"/>
        <w:rPr>
          <w:rFonts w:ascii="Gill Sans MT" w:hAnsi="Gill Sans MT" w:cs="Arial"/>
          <w:sz w:val="24"/>
          <w:szCs w:val="24"/>
        </w:rPr>
      </w:pPr>
    </w:p>
    <w:p w:rsidR="003E5AE3" w:rsidRPr="007E18D8" w:rsidRDefault="003E5AE3" w:rsidP="009B2B90">
      <w:pPr>
        <w:tabs>
          <w:tab w:val="left" w:pos="-284"/>
          <w:tab w:val="center" w:pos="4252"/>
          <w:tab w:val="right" w:pos="8504"/>
        </w:tabs>
        <w:spacing w:after="0" w:line="240" w:lineRule="auto"/>
        <w:jc w:val="both"/>
        <w:rPr>
          <w:rFonts w:ascii="Gill Sans MT" w:hAnsi="Gill Sans MT" w:cs="Arial"/>
          <w:sz w:val="24"/>
          <w:szCs w:val="24"/>
        </w:rPr>
      </w:pPr>
    </w:p>
    <w:p w:rsidR="003E5AE3" w:rsidRPr="007E18D8" w:rsidRDefault="003E5AE3" w:rsidP="009B2B90">
      <w:pPr>
        <w:tabs>
          <w:tab w:val="left" w:pos="-284"/>
          <w:tab w:val="center" w:pos="4252"/>
          <w:tab w:val="right" w:pos="8504"/>
        </w:tabs>
        <w:spacing w:after="0" w:line="240" w:lineRule="auto"/>
        <w:jc w:val="both"/>
        <w:rPr>
          <w:rFonts w:ascii="Gill Sans MT" w:hAnsi="Gill Sans MT" w:cs="Arial"/>
          <w:sz w:val="24"/>
          <w:szCs w:val="24"/>
        </w:rPr>
      </w:pPr>
    </w:p>
    <w:p w:rsidR="003E5AE3" w:rsidRPr="007E18D8" w:rsidRDefault="003E5AE3" w:rsidP="009B2B90">
      <w:pPr>
        <w:tabs>
          <w:tab w:val="left" w:pos="-284"/>
          <w:tab w:val="center" w:pos="4252"/>
          <w:tab w:val="right" w:pos="8504"/>
        </w:tabs>
        <w:spacing w:after="0" w:line="240" w:lineRule="auto"/>
        <w:jc w:val="both"/>
        <w:rPr>
          <w:rFonts w:ascii="Gill Sans MT" w:hAnsi="Gill Sans MT" w:cs="Arial"/>
          <w:b/>
          <w:sz w:val="24"/>
          <w:szCs w:val="24"/>
        </w:rPr>
      </w:pPr>
      <w:r w:rsidRPr="007E18D8">
        <w:rPr>
          <w:rFonts w:ascii="Gill Sans MT" w:hAnsi="Gill Sans MT" w:cs="Arial"/>
          <w:b/>
          <w:sz w:val="24"/>
          <w:szCs w:val="24"/>
        </w:rPr>
        <w:t>NORMA HURTADO SÁNCHEZ</w:t>
      </w:r>
    </w:p>
    <w:p w:rsidR="003E5AE3" w:rsidRPr="007E18D8" w:rsidRDefault="003E5AE3" w:rsidP="009B2B90">
      <w:pPr>
        <w:tabs>
          <w:tab w:val="left" w:pos="-284"/>
          <w:tab w:val="center" w:pos="4252"/>
          <w:tab w:val="right" w:pos="8504"/>
        </w:tabs>
        <w:spacing w:after="0" w:line="240" w:lineRule="auto"/>
        <w:jc w:val="both"/>
        <w:rPr>
          <w:rFonts w:ascii="Gill Sans MT" w:hAnsi="Gill Sans MT" w:cs="Arial"/>
          <w:sz w:val="24"/>
          <w:szCs w:val="24"/>
        </w:rPr>
      </w:pPr>
      <w:r w:rsidRPr="007E18D8">
        <w:rPr>
          <w:rFonts w:ascii="Gill Sans MT" w:hAnsi="Gill Sans MT" w:cs="Arial"/>
          <w:sz w:val="24"/>
          <w:szCs w:val="24"/>
        </w:rPr>
        <w:t>Representante a la Cámara</w:t>
      </w:r>
    </w:p>
    <w:p w:rsidR="003E5AE3" w:rsidRPr="007E18D8" w:rsidRDefault="003E5AE3" w:rsidP="009B2B90">
      <w:pPr>
        <w:tabs>
          <w:tab w:val="left" w:pos="-284"/>
          <w:tab w:val="center" w:pos="4252"/>
          <w:tab w:val="right" w:pos="8504"/>
        </w:tabs>
        <w:spacing w:after="0" w:line="240" w:lineRule="auto"/>
        <w:jc w:val="both"/>
        <w:rPr>
          <w:rFonts w:ascii="Gill Sans MT" w:hAnsi="Gill Sans MT" w:cs="Arial"/>
          <w:sz w:val="24"/>
          <w:szCs w:val="24"/>
        </w:rPr>
      </w:pPr>
      <w:r w:rsidRPr="007E18D8">
        <w:rPr>
          <w:rFonts w:ascii="Gill Sans MT" w:hAnsi="Gill Sans MT" w:cs="Arial"/>
          <w:sz w:val="24"/>
          <w:szCs w:val="24"/>
        </w:rPr>
        <w:t>Valle del Cauca</w:t>
      </w:r>
    </w:p>
    <w:p w:rsidR="00A1684A" w:rsidRPr="007E18D8" w:rsidRDefault="00A1684A" w:rsidP="009B2B90">
      <w:pPr>
        <w:tabs>
          <w:tab w:val="left" w:pos="-284"/>
          <w:tab w:val="center" w:pos="4252"/>
          <w:tab w:val="right" w:pos="8504"/>
        </w:tabs>
        <w:spacing w:after="0" w:line="240" w:lineRule="auto"/>
        <w:jc w:val="both"/>
        <w:rPr>
          <w:rFonts w:ascii="Gill Sans MT" w:eastAsia="Times New Roman" w:hAnsi="Gill Sans MT" w:cs="Arial"/>
          <w:sz w:val="24"/>
          <w:szCs w:val="24"/>
          <w:lang w:eastAsia="es-MX"/>
        </w:rPr>
      </w:pPr>
    </w:p>
    <w:p w:rsidR="00A1684A" w:rsidRPr="007E18D8" w:rsidRDefault="00A1684A" w:rsidP="009B2B90">
      <w:pPr>
        <w:spacing w:after="0" w:line="240" w:lineRule="auto"/>
        <w:ind w:firstLine="283"/>
        <w:jc w:val="both"/>
        <w:textAlignment w:val="center"/>
        <w:rPr>
          <w:rFonts w:ascii="Gill Sans MT" w:eastAsia="Times New Roman" w:hAnsi="Gill Sans MT" w:cs="Arial"/>
          <w:sz w:val="24"/>
          <w:szCs w:val="24"/>
          <w:lang w:eastAsia="es-MX"/>
        </w:rPr>
      </w:pPr>
    </w:p>
    <w:p w:rsidR="00D019FB" w:rsidRPr="007E18D8" w:rsidRDefault="00A1684A"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ab/>
      </w: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1B5DB0">
      <w:pPr>
        <w:tabs>
          <w:tab w:val="left" w:pos="5445"/>
        </w:tabs>
        <w:jc w:val="center"/>
        <w:rPr>
          <w:rFonts w:ascii="Gill Sans MT" w:eastAsia="Times New Roman" w:hAnsi="Gill Sans MT" w:cs="Arial"/>
          <w:b/>
          <w:sz w:val="24"/>
          <w:szCs w:val="24"/>
          <w:lang w:eastAsia="es-MX"/>
        </w:rPr>
      </w:pPr>
      <w:r w:rsidRPr="007E18D8">
        <w:rPr>
          <w:rFonts w:ascii="Gill Sans MT" w:eastAsia="Times New Roman" w:hAnsi="Gill Sans MT" w:cs="Arial"/>
          <w:b/>
          <w:sz w:val="24"/>
          <w:szCs w:val="24"/>
          <w:lang w:eastAsia="es-MX"/>
        </w:rPr>
        <w:lastRenderedPageBreak/>
        <w:t>EXPOSICION DE MOTIVOS</w:t>
      </w:r>
    </w:p>
    <w:p w:rsidR="00EB2427" w:rsidRPr="007E18D8" w:rsidRDefault="00EB2427" w:rsidP="001B5DB0">
      <w:pPr>
        <w:tabs>
          <w:tab w:val="left" w:pos="5445"/>
        </w:tabs>
        <w:jc w:val="center"/>
        <w:rPr>
          <w:rFonts w:ascii="Gill Sans MT" w:eastAsia="Times New Roman" w:hAnsi="Gill Sans MT" w:cs="Arial"/>
          <w:b/>
          <w:sz w:val="24"/>
          <w:szCs w:val="24"/>
          <w:lang w:eastAsia="es-MX"/>
        </w:rPr>
      </w:pPr>
      <w:r w:rsidRPr="007E18D8">
        <w:rPr>
          <w:rFonts w:ascii="Gill Sans MT" w:eastAsia="Times New Roman" w:hAnsi="Gill Sans MT" w:cs="Arial"/>
          <w:b/>
          <w:sz w:val="24"/>
          <w:szCs w:val="24"/>
          <w:lang w:eastAsia="es-MX"/>
        </w:rPr>
        <w:t>“POR MEDIO DEL CUAL SE CREA LA TASA PRO DEPORTE Y RECREACIÓN”</w:t>
      </w:r>
    </w:p>
    <w:p w:rsidR="00EB2427" w:rsidRPr="007E18D8" w:rsidRDefault="00EB2427" w:rsidP="009B2B90">
      <w:pPr>
        <w:pStyle w:val="Prrafodelista"/>
        <w:numPr>
          <w:ilvl w:val="0"/>
          <w:numId w:val="2"/>
        </w:numPr>
        <w:tabs>
          <w:tab w:val="left" w:pos="5445"/>
        </w:tabs>
        <w:jc w:val="both"/>
        <w:rPr>
          <w:rFonts w:ascii="Gill Sans MT" w:eastAsia="Times New Roman" w:hAnsi="Gill Sans MT" w:cs="Arial"/>
          <w:b/>
          <w:sz w:val="24"/>
          <w:szCs w:val="24"/>
          <w:lang w:eastAsia="es-MX"/>
        </w:rPr>
      </w:pPr>
      <w:r w:rsidRPr="007E18D8">
        <w:rPr>
          <w:rFonts w:ascii="Gill Sans MT" w:eastAsia="Times New Roman" w:hAnsi="Gill Sans MT" w:cs="Arial"/>
          <w:b/>
          <w:sz w:val="24"/>
          <w:szCs w:val="24"/>
          <w:lang w:eastAsia="es-MX"/>
        </w:rPr>
        <w:t>COMPETENCIA</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La Comisión Constitucional Comisión Tercera o de Hacienda y Crédito Público, es competente para conocer del este proyecto de ley, de acuerdo a lo estipulado en el artículo 2° de la Ley 3 de 1992, modificado por el artículo 1º de la Ley 754 de 2002,  que en desarrollo del mandato constitucional le entregó a esta el estudio de los temas referidos a: Hacienda y crédito público; impuesto y contribuciones; exenciones tributarias; régimen monetario; leyes sobre el Banco de la República; sistema de banca central; leyes sobre monopolios; autorización de empréstitos; mercado de valores; regulación económica; Planeación Nacional; régimen de cambios, actividad financiera, bursátil, aseguradora y de captación de ahorro.</w:t>
      </w:r>
    </w:p>
    <w:p w:rsidR="00EB2427" w:rsidRPr="007E18D8" w:rsidRDefault="00EB2427" w:rsidP="009B2B90">
      <w:pPr>
        <w:pStyle w:val="Prrafodelista"/>
        <w:numPr>
          <w:ilvl w:val="0"/>
          <w:numId w:val="2"/>
        </w:numPr>
        <w:tabs>
          <w:tab w:val="left" w:pos="5445"/>
        </w:tabs>
        <w:jc w:val="both"/>
        <w:rPr>
          <w:rFonts w:ascii="Gill Sans MT" w:eastAsia="Times New Roman" w:hAnsi="Gill Sans MT" w:cs="Arial"/>
          <w:b/>
          <w:sz w:val="24"/>
          <w:szCs w:val="24"/>
          <w:lang w:eastAsia="es-MX"/>
        </w:rPr>
      </w:pPr>
      <w:r w:rsidRPr="007E18D8">
        <w:rPr>
          <w:rFonts w:ascii="Gill Sans MT" w:eastAsia="Times New Roman" w:hAnsi="Gill Sans MT" w:cs="Arial"/>
          <w:b/>
          <w:sz w:val="24"/>
          <w:szCs w:val="24"/>
          <w:lang w:eastAsia="es-MX"/>
        </w:rPr>
        <w:t>FUNDAMENTOS JURÍDICOS</w:t>
      </w:r>
    </w:p>
    <w:p w:rsidR="00EA3136" w:rsidRPr="007E18D8" w:rsidRDefault="00EA3136" w:rsidP="00EA3136">
      <w:pPr>
        <w:pStyle w:val="Prrafodelista"/>
        <w:tabs>
          <w:tab w:val="left" w:pos="5445"/>
        </w:tabs>
        <w:ind w:left="1080"/>
        <w:jc w:val="both"/>
        <w:rPr>
          <w:rFonts w:ascii="Gill Sans MT" w:eastAsia="Times New Roman" w:hAnsi="Gill Sans MT" w:cs="Arial"/>
          <w:b/>
          <w:sz w:val="24"/>
          <w:szCs w:val="24"/>
          <w:lang w:eastAsia="es-MX"/>
        </w:rPr>
      </w:pPr>
    </w:p>
    <w:p w:rsidR="00EB2427" w:rsidRPr="007E18D8" w:rsidRDefault="00EB2427" w:rsidP="009B2B90">
      <w:pPr>
        <w:pStyle w:val="Prrafodelista"/>
        <w:numPr>
          <w:ilvl w:val="1"/>
          <w:numId w:val="2"/>
        </w:numPr>
        <w:tabs>
          <w:tab w:val="left" w:pos="5445"/>
        </w:tabs>
        <w:jc w:val="both"/>
        <w:rPr>
          <w:rFonts w:ascii="Gill Sans MT" w:eastAsia="Times New Roman" w:hAnsi="Gill Sans MT" w:cs="Arial"/>
          <w:b/>
          <w:sz w:val="24"/>
          <w:szCs w:val="24"/>
          <w:lang w:eastAsia="es-MX"/>
        </w:rPr>
      </w:pPr>
      <w:r w:rsidRPr="007E18D8">
        <w:rPr>
          <w:rFonts w:ascii="Gill Sans MT" w:eastAsia="Times New Roman" w:hAnsi="Gill Sans MT" w:cs="Arial"/>
          <w:b/>
          <w:sz w:val="24"/>
          <w:szCs w:val="24"/>
          <w:lang w:eastAsia="es-MX"/>
        </w:rPr>
        <w:t>MARCO CONSTITUCIONAL</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La Constitución Política de Colombia de 1991 reconoce el derecho de todas las personas a la práctica del deporte, la recreación y al aprovechamiento del tiempo libre. De igual forma, el Estado fomentará estas actividades e inspeccionará las organizaciones deportivas cuya estructura y propiedad deberán ser democráticas y participativas. Siendo aplicables al presente proyecto de ley los siguientes preceptos constitucionales: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artículo 2° de la Carta Política esgrime: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Por su parte, el artículo 13 constitucional determina</w:t>
      </w:r>
      <w:r w:rsidR="00EA3136" w:rsidRPr="007E18D8">
        <w:rPr>
          <w:rFonts w:ascii="Gill Sans MT" w:eastAsia="Times New Roman" w:hAnsi="Gill Sans MT" w:cs="Arial"/>
          <w:sz w:val="24"/>
          <w:szCs w:val="24"/>
          <w:lang w:eastAsia="es-MX"/>
        </w:rPr>
        <w:t>: “</w:t>
      </w:r>
      <w:r w:rsidRPr="007E18D8">
        <w:rPr>
          <w:rFonts w:ascii="Gill Sans MT" w:eastAsia="Times New Roman" w:hAnsi="Gill Sans MT" w:cs="Arial"/>
          <w:sz w:val="24"/>
          <w:szCs w:val="24"/>
          <w:lang w:eastAsia="es-MX"/>
        </w:rPr>
        <w:t>Todas las personas nacen 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lastRenderedPageBreak/>
        <w:t>El Estado promoverá las condiciones para que la igualdad sea real y efectiva y adoptará medidas en favor de grupos discriminados o marginados.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Estado protegerá especialmente a aquellas personas que, por su condición económica, física o mental, se encuentren en circunstancia de debilidad manifiesta y sancionará los abusos o maltratos que contra ellas se cometan”.</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De acuerdo al inciso tercero del artículo 13 de la Constitución Política, protege a las personas en situación de discapacidad donde el estado debe implementar políticas y programas para su inclusión social.</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artículo 44 de la Constitución Política de Colombia, estipula que son derechos fundamentales de los niños la educación y la recreación; entre otros.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artículo 45 de la Constitución Política, obliga al Estado a proteger y a formar integralmente al adolescente.</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De la misma manera, el inciso segundo del artículo 45 de la Carta Magna, establece que el Estado y la sociedad deben garantizar la participación activa de los jóvenes en los organismos públicos y privados que tengan a cargo la protección, educación y progreso de la juventud.</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artículo 46 de la Constitución, igualmente, protege al adulto mayor donde se debe promover su integración a la vida activa y comunitaria, por parte del Estado, la sociedad y la familia.</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artículo 52 de la Constitución Política, establece que el ejercicio del deporte, sus manifestaciones recreativas, competitivas y autóctonas tienen como función la formación integral de las personas, preservar y desarrollar una mejor salud en el ser humano.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En igual sentido, la citada norma indica, por una parte, que el deporte y la recreación, forman parte de la educación y constituyen gasto público social y por la otra, reconoce el derecho de todas las personas a la recreación, a la práctica del deporte y al aprovechamiento del tiempo libre.</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último inciso del artículo 52 menciona que el Estado fomentará estas actividades e inspeccionará, vigilará y controlará las organizaciones deportivas y recreativas cuya estructura y propiedad deberán ser democráticas.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artículo 150 ídem establece: “Corresponde al Congreso hacer las leyes. Por medio de ellas ejerce las siguientes funciones: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1. Interpretar, reformar y derogar las leyes.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2. Expedir códigos en todos los ramos de la legislación y reformar sus disposiciones.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lastRenderedPageBreak/>
        <w:t xml:space="preserve">(…)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19. Dictar las normas generales, y señalar en ellas los objetivos y criterios a los cuales debe sujetarse el Gobierno para los siguientes efectos: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d) Regular las actividades financiera, bursátil, aseguradora y cualquiera otra relacionada con el manejo, aprovechamiento e inversión de los recursos captados del público;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El artículo 287 de la Constitución, relaciona los atributos de las entidades territoriales, en los que se encuentra: “Administrar los recursos y establecer los tributos necesarios para el cumplimiento de sus funciones”.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inciso primero de artículo 338 de la Constitución Política de Colombia, relaciona que “la ley, las ordenanzas y los acuerdos pueden permitir que las autoridades fijen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y los acuerdos.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Por su parte, la sentencia C-537 del 23 de noviembre de 1995, cuyo Magistrado Ponente Dr. Hernando Herrera Vergara, sostuvo: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“Conforme a lo anterior, estima la Corte que la regla general en virtud de lo dispuesto por el artículo 338 superior, es que la ley que crea una determinada contribución, debe definir directamente los sujetos activos y pasivos, los hechos y las bases gravables, y las tarifas de los impuestos. Pero ello no obsta para </w:t>
      </w:r>
      <w:r w:rsidR="00EA3136" w:rsidRPr="007E18D8">
        <w:rPr>
          <w:rFonts w:ascii="Gill Sans MT" w:eastAsia="Times New Roman" w:hAnsi="Gill Sans MT" w:cs="Arial"/>
          <w:sz w:val="24"/>
          <w:szCs w:val="24"/>
          <w:lang w:eastAsia="es-MX"/>
        </w:rPr>
        <w:t>que,</w:t>
      </w:r>
      <w:r w:rsidRPr="007E18D8">
        <w:rPr>
          <w:rFonts w:ascii="Gill Sans MT" w:eastAsia="Times New Roman" w:hAnsi="Gill Sans MT" w:cs="Arial"/>
          <w:sz w:val="24"/>
          <w:szCs w:val="24"/>
          <w:lang w:eastAsia="es-MX"/>
        </w:rPr>
        <w:t xml:space="preserve"> dentro de una sana interpretación de las normas constitucionales, sean las entidades territoriales las </w:t>
      </w:r>
      <w:r w:rsidR="00EA3136" w:rsidRPr="007E18D8">
        <w:rPr>
          <w:rFonts w:ascii="Gill Sans MT" w:eastAsia="Times New Roman" w:hAnsi="Gill Sans MT" w:cs="Arial"/>
          <w:sz w:val="24"/>
          <w:szCs w:val="24"/>
          <w:lang w:eastAsia="es-MX"/>
        </w:rPr>
        <w:t>que,</w:t>
      </w:r>
      <w:r w:rsidRPr="007E18D8">
        <w:rPr>
          <w:rFonts w:ascii="Gill Sans MT" w:eastAsia="Times New Roman" w:hAnsi="Gill Sans MT" w:cs="Arial"/>
          <w:sz w:val="24"/>
          <w:szCs w:val="24"/>
          <w:lang w:eastAsia="es-MX"/>
        </w:rPr>
        <w:t xml:space="preserve"> con base en los tributos creados por la Ley, puedan a través de las ordenanzas departamentales y los acuerdos municipales o distritales, a través de sus corporaciones, fijar los elementos de la contribución respectiva, o sea, los sujetos activos y pasivos, los hechos y las bases gravables, así como las tarifas de las mismas”.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En la sentencia C-356 de 1997 emitida por la Corte Constitucional, el Magistrado Ponente Antonio Barrera Carbonell, aclara la facultad del Congreso para desarrollar su función impositiva a las entidades territoriales dentro de ciertas limitancias en los siguientes términos: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“No obstante, como lo ha señalado la Corte, con fundamento en los arts. 287, 294, 300-4, 313-4, 317 y 338 de la Constitución no existe una autonomía absoluta en materia fiscal en cabeza de las entidades territoriales, pues su competencia para establecer y regular los tributos debe ejercerse por la autoridad competente, dentro de los límites que le señalen la Constitución y la ley, lo cual significa que el atributo de la potestad impositiva regional y </w:t>
      </w:r>
      <w:r w:rsidRPr="007E18D8">
        <w:rPr>
          <w:rFonts w:ascii="Gill Sans MT" w:eastAsia="Times New Roman" w:hAnsi="Gill Sans MT" w:cs="Arial"/>
          <w:sz w:val="24"/>
          <w:szCs w:val="24"/>
          <w:lang w:eastAsia="es-MX"/>
        </w:rPr>
        <w:lastRenderedPageBreak/>
        <w:t>local es relativo y, en tal virtud, el legislador puede señalar ciertas pautas, orientaciones y regulaciones o limitaciones generales para su ejercicio, siempre que se respete el núcleo esencial de la autonomía, es decir, que no se desnaturalice la esencia de ésta de modo que se la desvirtúe, desconozca o desnaturalice".</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En sentencia de la Corte Constitucional C-1097 de 2001, cuyo Magistrado JAIME ARAUJO RENTERIA, se fundamenta la competencia del congreso para crear tributos territoriales, así:</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“Bajo esta perspectiva el Congreso de la República aparece como el órgano soberano en materia impositiva. Vale decir, el Congreso a través de ley crea los tributos de estirpe nacional o territorial, pudiendo frente a estos últimos fijar unos parámetros que le permitan a las Asambleas y Concejos decretarlos dentro de sus respectivas jurisdicciones. Sin perjuicio, claro es, de las facultades reglamentarias que con arreglo a la Constitución y la ley correspondan a las asambleas y concejos”.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Y más adelante agrega:</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En todo caso, cuando quiera que la ley faculte a las asambleas o concejos para crear un tributo, estas corporaciones están en libertad de decretar o no decretar el mismo, pudiendo igualmente derogar en sus respectivas jurisdicciones el tributo decretado. Hipótesis en la cual la ley de facultades mantendrá su vigencia formal a voluntad del Congreso, al paso que su eficacia práctica dependerá con exclusividad de las asambleas y concejos. De lo cual se concluye que mientras en los tributos de linaje nacional el Congreso goza de poderes plenos, en lo tocante a los tributos territoriales su competencia es compartida con las asambleas y concejos, a menos que se quiera soslayar el principio de autonomía territorial que informa la Constitución.</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Ahora bien, con respecto al principio de legalidad en materia tributaria, la Corte Constitucional en sentencia C-891 del 31 de octubre de (2012) manifestó: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 el principio de legalidad en materia tributaria se encuentra consagrado en el numeral 12 del artículo 150 y en el artículo 338 de la Constitución Política : el primero consagra una reserva en el Congreso para “establecer contribuciones fiscales y, excepcionalmente, contribuciones parafiscales en los casos y bajo las condiciones que establezca la ley”, mientras que el segundo exige a la Ley, en algunos casos en concurrencia con las ordenanzas y los acuerdos, la determinación de los elementos de los tributos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Este principio se funda en el aforismo “nullum tributum sine lege” que exige un acto del legislador para la creación de </w:t>
      </w:r>
      <w:r w:rsidR="009B2B90" w:rsidRPr="007E18D8">
        <w:rPr>
          <w:rFonts w:ascii="Gill Sans MT" w:eastAsia="Times New Roman" w:hAnsi="Gill Sans MT" w:cs="Arial"/>
          <w:sz w:val="24"/>
          <w:szCs w:val="24"/>
          <w:lang w:eastAsia="es-MX"/>
        </w:rPr>
        <w:t>gravámenes,</w:t>
      </w:r>
      <w:r w:rsidRPr="007E18D8">
        <w:rPr>
          <w:rFonts w:ascii="Gill Sans MT" w:eastAsia="Times New Roman" w:hAnsi="Gill Sans MT" w:cs="Arial"/>
          <w:sz w:val="24"/>
          <w:szCs w:val="24"/>
          <w:lang w:eastAsia="es-MX"/>
        </w:rPr>
        <w:t xml:space="preserve"> el cual se deriva a su vez de la máxima según la cual no hay tributo sin representación, en virtud del carácter democrático del sistema constitucional </w:t>
      </w:r>
      <w:r w:rsidR="0005531F" w:rsidRPr="007E18D8">
        <w:rPr>
          <w:rFonts w:ascii="Gill Sans MT" w:eastAsia="Times New Roman" w:hAnsi="Gill Sans MT" w:cs="Arial"/>
          <w:sz w:val="24"/>
          <w:szCs w:val="24"/>
          <w:lang w:eastAsia="es-MX"/>
        </w:rPr>
        <w:t>colombiano e</w:t>
      </w:r>
      <w:r w:rsidRPr="007E18D8">
        <w:rPr>
          <w:rFonts w:ascii="Gill Sans MT" w:eastAsia="Times New Roman" w:hAnsi="Gill Sans MT" w:cs="Arial"/>
          <w:sz w:val="24"/>
          <w:szCs w:val="24"/>
          <w:lang w:eastAsia="es-MX"/>
        </w:rPr>
        <w:t xml:space="preserve"> implica que solo los organismos de representación popular podrán imponer tributos.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lastRenderedPageBreak/>
        <w:t xml:space="preserve">Históricamente este principio surgió a la vida jurídica como garantía política con la inclusión en la Carta Magna inglesa de 1215 del principio "no taxation without representation", el cual es universalmente reconocido y constituye uno de los pilares del Estado </w:t>
      </w:r>
      <w:r w:rsidR="009B2B90" w:rsidRPr="007E18D8">
        <w:rPr>
          <w:rFonts w:ascii="Gill Sans MT" w:eastAsia="Times New Roman" w:hAnsi="Gill Sans MT" w:cs="Arial"/>
          <w:sz w:val="24"/>
          <w:szCs w:val="24"/>
          <w:lang w:eastAsia="es-MX"/>
        </w:rPr>
        <w:t>democrático.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El principio de legalidad tiene como objetivo primordial fortalecer la seguridad jurídica y evitar los abusos impositivos de los gobernantes, puesto que el acto jurídico que impone la contribución debe establecer previamente, y con base en una discusión democrática, sus elementos esenciales para ser válido.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En este sentido, el principio de legalidad, como requisito para la creación de un tributo, tiene diversas funciones dentro de las cuales se destacan las siguientes: (i) materializa la exigencia de representación popular, (ii) corresponde a la necesidad de garantizar un reducto mínimo de seguridad a los ciudadanos frente a sus obligaciones, y (iii) representa la importancia de un diseño coherente en la política fiscal de un Estado.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En virtud del principio de legalidad todo tributo requiere de una ley previa que lo establezca expedida por el Congreso, las asambleas departamentales o los concejos municipales como órganos de representación popular. Por lo anterior, en sentido material, la ley, al establecer una obligación tributaria, debe suministrar con certeza los elementos mínimos que la definan:</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“La Corte advierte, en primer término, que, conforme al principio de legalidad en materia tributaria, previsto en el artículo 338 C.P., en tiempo de paz solamente el Congreso, las asambleas departamentales y los concejos distritales podrán imponer contribuciones fiscales o parafiscales.  De esta manera, como lo prevé el mismo precepto superior, la ley, las ordenanzas y los acuerdos deben fijar, directamente, los sujetos activos y pasivos, los hechos generadores y las bases gravables, al igual que la tarifa de los impuestos”.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En este sentido, la Corte Constitucional ha establecido que el principio de legalidad en materia tributaria comprende tres (3) aspectos : el primero, referido al principio de representación popular  determina que no es posible establecer un impuesto sin la representación de los afectados en los órganos que los imponen; en segundo lugar, el principio de la predeterminación de los tributos, que se relaciona con la necesidad de fijar los elementos mínimos del acto jurídico que impone la contribución; por último, comprende la posibilidad de que las entidades territoriales puedan establecer tributos y contribuciones en el marco de la Ley y de la Constitución .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De esta manera, la Corte Constitucional ha señalado que el principio de legalidad del tributo tiene las siguientes características: </w:t>
      </w:r>
    </w:p>
    <w:p w:rsidR="00EB2427" w:rsidRPr="007E18D8" w:rsidRDefault="00EB2427" w:rsidP="009B2B90">
      <w:pPr>
        <w:pStyle w:val="Prrafodelista"/>
        <w:numPr>
          <w:ilvl w:val="0"/>
          <w:numId w:val="3"/>
        </w:num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Es expresión del principio de representación popular y del principio democrático, derivado en últimas de los postulados del Estado Liberal.</w:t>
      </w:r>
    </w:p>
    <w:p w:rsidR="00EB2427" w:rsidRPr="007E18D8" w:rsidRDefault="00EB2427" w:rsidP="009B2B90">
      <w:pPr>
        <w:pStyle w:val="Prrafodelista"/>
        <w:numPr>
          <w:ilvl w:val="0"/>
          <w:numId w:val="3"/>
        </w:num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lastRenderedPageBreak/>
        <w:t>Materializa el principio de predeterminación del tributo, “según el cual una lex previ</w:t>
      </w:r>
      <w:r w:rsidR="007E18D8">
        <w:rPr>
          <w:rFonts w:ascii="Gill Sans MT" w:eastAsia="Times New Roman" w:hAnsi="Gill Sans MT" w:cs="Arial"/>
          <w:sz w:val="24"/>
          <w:szCs w:val="24"/>
          <w:lang w:eastAsia="es-MX"/>
        </w:rPr>
        <w:t>a y cie</w:t>
      </w:r>
      <w:r w:rsidRPr="007E18D8">
        <w:rPr>
          <w:rFonts w:ascii="Gill Sans MT" w:eastAsia="Times New Roman" w:hAnsi="Gill Sans MT" w:cs="Arial"/>
          <w:sz w:val="24"/>
          <w:szCs w:val="24"/>
          <w:lang w:eastAsia="es-MX"/>
        </w:rPr>
        <w:t>rta debe señalar los elementos de la obligación fiscal”.</w:t>
      </w:r>
    </w:p>
    <w:p w:rsidR="00EB2427" w:rsidRPr="007E18D8" w:rsidRDefault="00EB2427" w:rsidP="009B2B90">
      <w:pPr>
        <w:pStyle w:val="Prrafodelista"/>
        <w:numPr>
          <w:ilvl w:val="0"/>
          <w:numId w:val="3"/>
        </w:num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Brinda seguridad a los ciudadanos frente a sus obligaciones fiscales, con lo cual “se otorga una debida protección a la garantía fundamental del debido proceso”. </w:t>
      </w:r>
    </w:p>
    <w:p w:rsidR="00EB2427" w:rsidRPr="007E18D8" w:rsidRDefault="00EB2427" w:rsidP="009B2B90">
      <w:pPr>
        <w:pStyle w:val="Prrafodelista"/>
        <w:numPr>
          <w:ilvl w:val="0"/>
          <w:numId w:val="3"/>
        </w:num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Responde a la necesidad de promover una política fiscal coherente e inspirada en el principio de “unidad económica”, especialmente cuando existen competencias concurrentes donde confluye la voluntad del Congreso y la de las asambleas departamentales o de los concejos municipales.   </w:t>
      </w:r>
    </w:p>
    <w:p w:rsidR="00EB2427" w:rsidRPr="007E18D8" w:rsidRDefault="00EB2427" w:rsidP="009B2B90">
      <w:pPr>
        <w:pStyle w:val="Prrafodelista"/>
        <w:numPr>
          <w:ilvl w:val="0"/>
          <w:numId w:val="3"/>
        </w:num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No se predica únicamente de los impuestos, sino que es exigible también frente a cualquier tributo o contribución (en sentido amplio).  No obstante, de la naturaleza del gravamen depende el rigor con el que la Ley debe señalar sus componentes. Así, frente a tributos de carácter nacional, el Congreso está obligado a definir todos los elementos en forma “clara e inequívoca”, esto es, el sujeto activo, el sujeto pasivo, el hecho generador, la base impositiva y la tarifa. Por el contrario, tratándose de gravámenes territoriales, especialmente cuando la ley solamente autoriza su creación, ésta debe señalar los aspectos básicos, pero existe una competencia concurrente de las asambleas departamentales o de los concejos municipales según el caso.  </w:t>
      </w:r>
    </w:p>
    <w:p w:rsidR="00EB2427" w:rsidRPr="007E18D8" w:rsidRDefault="00EB2427" w:rsidP="009B2B90">
      <w:pPr>
        <w:pStyle w:val="Prrafodelista"/>
        <w:numPr>
          <w:ilvl w:val="0"/>
          <w:numId w:val="3"/>
        </w:num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De conformidad con el mandato constitucional contenido en el artículo 338, no sólo el legislador, sino también las asambleas y los concejos están facultados para fijar los elementos constitutivos del tributo. </w:t>
      </w:r>
    </w:p>
    <w:p w:rsidR="00EB2427" w:rsidRPr="007E18D8" w:rsidRDefault="00EB2427" w:rsidP="009B2B90">
      <w:pPr>
        <w:pStyle w:val="Prrafodelista"/>
        <w:numPr>
          <w:ilvl w:val="0"/>
          <w:numId w:val="3"/>
        </w:num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La ley, las ordenanzas y los acuerdos, sin resignar sus atribuciones constitucionales, pueden autorizar a las autoridades de los distintos niveles territoriales, dentro de los límites debidamente señalados en ellas, para fijar las tarifas de las tasas y contribuciones que cobren a los contribuyentes; empero, el sistema y el método para definir tales costos y beneficios y la forma de hacer su reparto, deben ser fijados, obligatoriamente, por la ley, las ordenanzas o los acuerdos, como así se deduce del texto del artículo 338 de la Constitución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Por otro lado, esa Corporación ha señalado una serie de reglas derivadas del principio de legalidad:</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“(i) Son los órganos de elección popular quienes directamente deben señalar los sujetos activo y pasivo, el hecho y la base gravable y la tarifa de las obligaciones tributarias, pues esta exigencia emana de lo prescrito por el artículo 338 superior; (ii) al establecer los elementos del tributo, es menester que la ley, las ordenanzas o los acuerdos determinen con suficiente claridad y precisión todos y cada uno de los elementos esenciales del mismo; (iii) sólo cuando la falta de claridad sea insuperable, se origina la inconstitucionalidad de la norma que determina los elementos de la obligación tributaria; (iv) el requisito de precisión y claridad las normas que señalan los elementos de la obligación tributaria no se opone al </w:t>
      </w:r>
      <w:r w:rsidRPr="007E18D8">
        <w:rPr>
          <w:rFonts w:ascii="Gill Sans MT" w:eastAsia="Times New Roman" w:hAnsi="Gill Sans MT" w:cs="Arial"/>
          <w:sz w:val="24"/>
          <w:szCs w:val="24"/>
          <w:lang w:eastAsia="es-MX"/>
        </w:rPr>
        <w:lastRenderedPageBreak/>
        <w:t xml:space="preserve">carácter general  de dichas normas; (v) no se violan los principios de legalidad y certeza del tributo cuando uno de los elementos del mismo no está determinado expresamente en la norma, pero es determinable a partir de ella.”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Por lo anterior, cuando el Legislador establece tributos del orden nacional debe señalar todos los componentes, de manera clara e inequívoca. No obstante, no opera la misma exigencia para los del orden territorial, frente a los cuales el Congreso deberá crearlos o autorizar su creación, pudiendo asumir además esa Corporación Legislativa una de tres alternativas para la determinación de los elementos constitutivos del tributo: i) que señale los elementos del tributo; ii) que fije algunos de los elementos del tributo y permita que asambleas y concejos señalen los restantes, y iii) que deje a las corporaciones públicas territoriales la fijación de los elementos del tributo que aquel ha creado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Seguidamente, el máximo tribunal Constitucional, respecto del principio </w:t>
      </w:r>
      <w:r w:rsidR="0005531F" w:rsidRPr="007E18D8">
        <w:rPr>
          <w:rFonts w:ascii="Gill Sans MT" w:eastAsia="Times New Roman" w:hAnsi="Gill Sans MT" w:cs="Arial"/>
          <w:sz w:val="24"/>
          <w:szCs w:val="24"/>
          <w:lang w:eastAsia="es-MX"/>
        </w:rPr>
        <w:t>de Autonomía</w:t>
      </w:r>
      <w:r w:rsidRPr="007E18D8">
        <w:rPr>
          <w:rFonts w:ascii="Gill Sans MT" w:eastAsia="Times New Roman" w:hAnsi="Gill Sans MT" w:cs="Arial"/>
          <w:sz w:val="24"/>
          <w:szCs w:val="24"/>
          <w:lang w:eastAsia="es-MX"/>
        </w:rPr>
        <w:t xml:space="preserve"> Fiscal, determinó: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artículo 287 de la Constitución señala que “las entidades territoriales gozan de autonomía para la gestión de sus intereses”, la cual se define como “la capacidad de que gozan las entidades territoriales para gestionar sus propios intereses, dentro de los límites de la Constitución y la ley” y tiene fundamentalmente cuatro (4) manifestaciones: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“Autonomía política, en virtud de la cual se confiere a cada uno de los niveles territoriales la capacidad para elegir a los propios gobernantes, como fuente directa de legitimidad democrática (por ejemplo, alcaldes, concejales, gobernadores y asambleístas).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Autonomía administrativa, en virtud de la cual se confiere a cada uno de los niveles territoriales las competencias para manejar de manera independiente los asuntos que se encuentren bajo su jurisdicción.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Autonomía fiscal, en virtud de la cual se confiere a cada uno de los niveles territoriales para fijar tributos, participar en las rentas nacionales y administrar de manera independiente los propios recursos.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Autonomía normativa, en virtud de la cual se confiere a cada uno de los niveles territoriales la capacidad para auto-regularse en aquellas materias específicas que no trasciendan o desborden el interés exclusivamente local o regional</w:t>
      </w:r>
      <w:r w:rsidR="00102280" w:rsidRPr="007E18D8">
        <w:rPr>
          <w:rFonts w:ascii="Gill Sans MT" w:eastAsia="Times New Roman" w:hAnsi="Gill Sans MT" w:cs="Arial"/>
          <w:sz w:val="24"/>
          <w:szCs w:val="24"/>
          <w:lang w:eastAsia="es-MX"/>
        </w:rPr>
        <w:t>”.</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En virtud del principio de autonomía fiscal, las entidades territoriales gozan de autonomía para la gestión de sus intereses, dentro de los límites de la Constitución y la ley, pudiendo administrar los recursos y establecer los tributos necesarios para el cumplimiento de sus funciones.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La autonomía fiscal fue una preocupación fundamental en los debates de la Asamblea Nacional Constituyente, en la cual se señaló que el proceso de descentralización no </w:t>
      </w:r>
      <w:r w:rsidRPr="007E18D8">
        <w:rPr>
          <w:rFonts w:ascii="Gill Sans MT" w:eastAsia="Times New Roman" w:hAnsi="Gill Sans MT" w:cs="Arial"/>
          <w:sz w:val="24"/>
          <w:szCs w:val="24"/>
          <w:lang w:eastAsia="es-MX"/>
        </w:rPr>
        <w:lastRenderedPageBreak/>
        <w:t xml:space="preserve">implicaba simplemente una mera distribución de funciones, sino también la entrega de los recursos necesarios para el cumplimiento de las mismas en el marco del reconocimiento de un grado de autonomía fiscal (…)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modelo actual de la organización del Estado colombiano responde a una concepción diferente a la del Estado unitario centralizado, fundado en la autonomía, que se atribuyó de manera explícita a las entidades territoriales, a través de las cuales se busca hacer efectivo el respeto a la identidad comunitaria local y a su capacidad de auto determinarse, sin que se ignore por eso la necesidad de que ciertas actividades sean coordinadas y planeadas desde el poder central. Si bien el principio de autonomía fiscal no significa una soberanía fiscal, sí exige el respeto por el respeto de las facultades que la Constitución les ha otorgado a las entidades territoriales.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En este diseño constitucional, las facultades tributarias se encuentran jerarquizadas entre los órganos de representación política a nivel nacional y local y se contempla la protección especial de los derechos mínimos de las entidades territoriales, lo cual ha llevado a la jurisprudencia de esta Corporación a plantear reglas precisas sobre el grado constitucionalmente admisible de intervención del legislador en la regulación de los tributos territoriales fundadas en tres (3) aspectos</w:t>
      </w:r>
    </w:p>
    <w:p w:rsidR="00EB2427" w:rsidRPr="007E18D8" w:rsidRDefault="00EB2427" w:rsidP="009B2B90">
      <w:pPr>
        <w:pStyle w:val="Prrafodelista"/>
        <w:numPr>
          <w:ilvl w:val="0"/>
          <w:numId w:val="4"/>
        </w:num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la distinción entre fuentes endógenas y exógenas de financiación de las entidades territoriales; </w:t>
      </w:r>
    </w:p>
    <w:p w:rsidR="00EB2427" w:rsidRPr="007E18D8" w:rsidRDefault="00EB2427" w:rsidP="009B2B90">
      <w:pPr>
        <w:pStyle w:val="Prrafodelista"/>
        <w:numPr>
          <w:ilvl w:val="0"/>
          <w:numId w:val="4"/>
        </w:num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la identificación de eventos concretos en los que resulta ajustado a la Carta que el legislador intervenga, excepcionalmente, en el régimen jurídico de los tributos de propiedad de las entidades territoriales; y </w:t>
      </w:r>
    </w:p>
    <w:p w:rsidR="00EB2427" w:rsidRPr="007E18D8" w:rsidRDefault="00EB2427" w:rsidP="009B2B90">
      <w:pPr>
        <w:pStyle w:val="Prrafodelista"/>
        <w:numPr>
          <w:ilvl w:val="0"/>
          <w:numId w:val="4"/>
        </w:num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la determinación de los criterios formal, orgánico y material para la identificación de la naturaleza de un tributo en particular.</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principio de autonomía de las entidades territoriales aparece afirmado en el sentido de que éstas tienen un derecho cierto sobre dichos recursos y rentas, lo cual implica que los pueden administrar con libertad e independencia, poniendo en práctica los mecanismos presupuestales y de planeación, salvo cuando la Constitución le asigna al legislador la competencia para establecer normas relativas a la destinación, inversión y manejo de las referidas rentas o ingresos. Cuando la ley ha autorizado tributos en favor de las entidades territoriales, éstas gozan de entera autonomía para hacerlos efectivos o dejarlos de aplicar, y para realizar los actos de destinación y de disposición, manejo e inversión.</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De conformidad con lo anterior, la jurisprudencia ha admitido que el principio de legalidad tributaria en el ámbito territorial supone la determinación de los elementos de los tributos por parte de los órganos de representación popular, entendiendo que en materia de tributos de orden territorial, las Asambleas y los Concejos también tienen la facultad para definir ciertos elementos suyos, en virtud del principio de </w:t>
      </w:r>
      <w:r w:rsidR="0005531F" w:rsidRPr="007E18D8">
        <w:rPr>
          <w:rFonts w:ascii="Gill Sans MT" w:eastAsia="Times New Roman" w:hAnsi="Gill Sans MT" w:cs="Arial"/>
          <w:sz w:val="24"/>
          <w:szCs w:val="24"/>
          <w:lang w:eastAsia="es-MX"/>
        </w:rPr>
        <w:t>autonomía.</w:t>
      </w:r>
      <w:r w:rsidRPr="007E18D8">
        <w:rPr>
          <w:rFonts w:ascii="Gill Sans MT" w:eastAsia="Times New Roman" w:hAnsi="Gill Sans MT" w:cs="Arial"/>
          <w:sz w:val="24"/>
          <w:szCs w:val="24"/>
          <w:lang w:eastAsia="es-MX"/>
        </w:rPr>
        <w:t xml:space="preserve"> </w:t>
      </w: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tabs>
          <w:tab w:val="left" w:pos="5445"/>
        </w:tabs>
        <w:jc w:val="both"/>
        <w:rPr>
          <w:rFonts w:ascii="Gill Sans MT" w:eastAsia="Times New Roman" w:hAnsi="Gill Sans MT" w:cs="Arial"/>
          <w:b/>
          <w:sz w:val="24"/>
          <w:szCs w:val="24"/>
          <w:lang w:eastAsia="es-MX"/>
        </w:rPr>
      </w:pPr>
      <w:r w:rsidRPr="007E18D8">
        <w:rPr>
          <w:rFonts w:ascii="Gill Sans MT" w:eastAsia="Times New Roman" w:hAnsi="Gill Sans MT" w:cs="Arial"/>
          <w:b/>
          <w:sz w:val="24"/>
          <w:szCs w:val="24"/>
          <w:lang w:eastAsia="es-MX"/>
        </w:rPr>
        <w:t>DE LA TASAS COMO TRIBUTOS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La sentencia C-768/10 de la Corte Constitucional, en materia de las tasas como tributos aseguró que: “(…) si bien puede corresponder a la prestación directa de un servicio público, del cual es usuario el contribuyente que se beneficia efectivamente, también puede corresponder al beneficio potencial por la utilización de servicios de aprovechamiento común, </w:t>
      </w:r>
      <w:r w:rsidRPr="007E18D8">
        <w:rPr>
          <w:rFonts w:ascii="Gill Sans MT" w:eastAsia="Times New Roman" w:hAnsi="Gill Sans MT" w:cs="Arial"/>
          <w:b/>
          <w:sz w:val="24"/>
          <w:szCs w:val="24"/>
          <w:lang w:eastAsia="es-MX"/>
        </w:rPr>
        <w:t>como la educación, la salud, el deporte, la cultura, es decir, que el gravamen se revierte en beneficio social</w:t>
      </w:r>
      <w:r w:rsidRPr="007E18D8">
        <w:rPr>
          <w:rFonts w:ascii="Gill Sans MT" w:eastAsia="Times New Roman" w:hAnsi="Gill Sans MT" w:cs="Arial"/>
          <w:sz w:val="24"/>
          <w:szCs w:val="24"/>
          <w:lang w:eastAsia="es-MX"/>
        </w:rPr>
        <w:t>. Las primeras se definen como tasas administrativas en cuanto equivalen a la remuneración pagada por los servicios administrativos y, las segundas, como tasas parafiscales que son las percibidas en beneficio de organismos públicos o privados, pero no por la prestación de un servicio propiamente dicho, sino por contener un carácter social. (Negrillas fuera de texto).</w:t>
      </w:r>
    </w:p>
    <w:p w:rsidR="00EB2427" w:rsidRPr="007E18D8" w:rsidRDefault="00EB2427" w:rsidP="009B2B90">
      <w:pPr>
        <w:pStyle w:val="Prrafodelista"/>
        <w:numPr>
          <w:ilvl w:val="1"/>
          <w:numId w:val="2"/>
        </w:numPr>
        <w:tabs>
          <w:tab w:val="left" w:pos="5445"/>
        </w:tabs>
        <w:jc w:val="both"/>
        <w:rPr>
          <w:rFonts w:ascii="Gill Sans MT" w:eastAsia="Times New Roman" w:hAnsi="Gill Sans MT" w:cs="Arial"/>
          <w:b/>
          <w:sz w:val="24"/>
          <w:szCs w:val="24"/>
          <w:lang w:eastAsia="es-MX"/>
        </w:rPr>
      </w:pPr>
      <w:r w:rsidRPr="007E18D8">
        <w:rPr>
          <w:rFonts w:ascii="Gill Sans MT" w:eastAsia="Times New Roman" w:hAnsi="Gill Sans MT" w:cs="Arial"/>
          <w:b/>
          <w:sz w:val="24"/>
          <w:szCs w:val="24"/>
          <w:lang w:eastAsia="es-MX"/>
        </w:rPr>
        <w:t>MARCO LEGAL Y REGLAMENTARIO</w:t>
      </w:r>
    </w:p>
    <w:p w:rsidR="00EB2427" w:rsidRPr="007E18D8" w:rsidRDefault="00EB2427" w:rsidP="009B2B90">
      <w:pPr>
        <w:tabs>
          <w:tab w:val="left" w:pos="5445"/>
        </w:tabs>
        <w:jc w:val="both"/>
        <w:rPr>
          <w:rFonts w:ascii="Gill Sans MT" w:eastAsia="Times New Roman" w:hAnsi="Gill Sans MT" w:cs="Arial"/>
          <w:b/>
          <w:sz w:val="24"/>
          <w:szCs w:val="24"/>
          <w:lang w:eastAsia="es-MX"/>
        </w:rPr>
      </w:pPr>
      <w:r w:rsidRPr="007E18D8">
        <w:rPr>
          <w:rFonts w:ascii="Gill Sans MT" w:eastAsia="Times New Roman" w:hAnsi="Gill Sans MT" w:cs="Arial"/>
          <w:b/>
          <w:sz w:val="24"/>
          <w:szCs w:val="24"/>
          <w:lang w:eastAsia="es-MX"/>
        </w:rPr>
        <w:t>SISTEMA NACIONAL DEL DEPORTE</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En desarrollo de los postulados constitucionales antes referidos, la Ley 181 de 1995 desarrolla el derecho al deporte, la recreación, la educación física y la actividad física, así como la articulación con los planes y políticas públicas, el fortalecimiento del Sistema Nacional del Deporte (SND) y financiamiento del sistema como una apuesta política para contribuir al desarrollo humano, la convivencia y la paz.</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Uno de los objetivos de la Ley 181 de 1995, es formular y ejecutar programas especiales para la educación física, deporte y recreación de las personas con discapacidades físicas, psíquicas, sensoriales, de la tercera edad y de los sectores sociales más necesitados creando más facilidades y oportunidades para la práctica del deporte, de la educación física y la recreación.</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La estructura institucional funcional del deporte ha sido provista por la Ley 181 de 1995 con la creación del Sistema Nacional del Deporte, la recreación, el aprovechamiento del tiempo libre, la educación extraescolar y la educación física. El Sistema Nacional del Deporte (SND) tiene como objetivo: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“Generar y brindar a la comunidad oportunidades de participación en procesos de iniciación, formación, fomento y práctica del deporte, la recreación y el aprovechamiento del tiempo libre, como contribución al desarrollo integral del individuo y a la creación de una cultura física para el mejoramiento de la calidad de vida de los colombianos”.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El Sistema Nacional del Deporte (SND) está bajo la Dirección y Orientación del Departamento Administrativo del Deporte, la Recreación, la Actividad Física y el Aprovechamiento del Tiempo Libre - Coldeportes.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lastRenderedPageBreak/>
        <w:t>El SND tiene un enfoque democrático y asociativo el cual está compuesto por el Departamento Administrativo del Deporte, la Recreación, la Actividad Física y el Aprovechamiento del Tiempo Libre, como ente Rector, y los Comités Olímpico (COC) y Paralímpico (CPC) colombianos, las Federaciones, Ligas y los Clubes; además, forman parte del SND y del Ministerio de Educación Nacional, los entes y organismos departamentales y municipales que ejercen funciones en torno al deporte y todos los organismos privados o mixtos que tengan relación con el sector.</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Conforme al artículo 3 de la Ley 181 de 1995, para garantizar el acceso del individuo y de la comunidad al conocimiento y práctica del deporte, la recreación y el aprovechamiento del tiempo libre, el Estado tendrá en cuenta los siguientes objetivos primordiales: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1. Integrar la educación y las actividades físicas, deportivas y recreativas en el sistema educativo general en todos sus niveles.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2. Fomentar, proteger, apoyar y regular la asociación deportiva en todas sus manifestaciones como marco idóneo para las prácticas deportivas y de recreación.</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3. Coordinar la gestión deportiva con las funciones propias de las entidades territoriales en el campo del deporte y la recreación y apoyar el desarrollo de éstos.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4. Formular y ejecutar programas especiales para la educación física, deporte, y recreación hacia personas con discapacidades físicas, síquicas, sensoriales, de la tercera edad y de los sectores sociales más necesitados creando más facilidades y oportunidades para la práctica del deporte, de la educación física y la recreación.</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5. Fomentar la creación de espacios que faciliten la actividad física, el deporte y la recreación como hábito de salud, mejoramiento de la calidad de vida y el bienestar social, especialmente en los sectores sociales más necesitados.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6. Promover y planificar el deporte competitivo y de alto rendimiento en coordinación con las federaciones deportivas y otras autoridades competentes, velando porque se desarrolle de acuerdo con los principios del movimiento olímpico.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7. Implantar y difundir el conocimiento y la enseñanza del deporte y la recreación; Fomentar las escuelas deportivas para la formación y perfeccionamiento de los practicantes y cuidar la práctica deportiva en la edad escolar, su continuidad y eficiencia.</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8. Formar técnica y profesionalmente al personal necesario para mejorar la calidad técnica del deporte, la recreación y el aprovechamiento del tiempo libre, con permanente actualización y perfeccionamiento de sus conocimientos.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lastRenderedPageBreak/>
        <w:t>9. Velar por el cumplimiento de las normas establecidas para la seguridad de los participantes y espectadores en las actividades deportivas; Por el control médico de los deportistas y condiciones físicas y sanitarias de los escenarios deportivos.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10. Estimular la investigación científica de las ciencias aplicadas al deporte, para el mejoramiento de sus técnicas y modernización de los deportes.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11. Velar porque la práctica deportiva esté exenta de violencia y de toda acción o manifestación que pueda alterar por vías extra deportivas los resultados de las competencias.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12. Planificar y programar la construcción de instalaciones deportivas con los equipamientos necesarios, procurando un manejo óptimo de los equipos y materiales destinados a la práctica del deporte y la recreación.</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13. Velar porque los municipios expidan normas urbanísticas que incluyan la reserva de espacios suficientes e infraestructuras mínimas para cubrir las necesidades sociales y colectivas de carácter deportivo y recreativo.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14. Favorecer las manifestaciones del deporte y la recreación mediante las expresiones culturales, folclóricas o tradicionales y en las fiestas típicas, arraigadas en el territorio nacional y en todos aquellos actos que creen conciencia del deporte y reafirmen la identidad nacional.</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15. Compilar, suministrar y difundir información y documentación relativa a la educación física, el deporte y la recreación, en especial las relacionadas con los resultados de las investigaciones y los estudios sobre programas, experiencias técnicas y científicas referidas a aquéllas.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16. Fomentar la adecuada seguridad social de los deportistas y velar por su permanente aplicación.</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17. Contribuir al desarrollo de la educación familiar, escolar y extraescolar de la niñez y de la juventud para que utilicen el tiempo libre, el deporte y la recreación como elementos fundamentales en su proceso de formación integral tanto en lo personal como en lo comunitario.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18. Apoyar de manera especial la promoción del deporte y la recreación en las comunidades indígenas a nivel local, regional y nacional representando sus culturas.</w:t>
      </w: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La Ley 181 de 1995 contiene las siguientes definiciones:</w:t>
      </w: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pStyle w:val="Prrafodelista"/>
        <w:numPr>
          <w:ilvl w:val="0"/>
          <w:numId w:val="5"/>
        </w:num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b/>
          <w:sz w:val="24"/>
          <w:szCs w:val="24"/>
          <w:lang w:eastAsia="es-MX"/>
        </w:rPr>
        <w:lastRenderedPageBreak/>
        <w:t>La Recreación:</w:t>
      </w:r>
      <w:r w:rsidRPr="007E18D8">
        <w:rPr>
          <w:rFonts w:ascii="Gill Sans MT" w:eastAsia="Times New Roman" w:hAnsi="Gill Sans MT" w:cs="Arial"/>
          <w:sz w:val="24"/>
          <w:szCs w:val="24"/>
          <w:lang w:eastAsia="es-MX"/>
        </w:rPr>
        <w:t xml:space="preserve"> El Art. 5° puntualiza que: “Es un proceso de acción participativa y dinámica, que facilita entender la vida como una vivencia de disfrute, creación y libertad, en el pleno desarrollo de las potencialidades del ser humano para su realización y mejoramiento de la calidad de vida individual y social, mediante la práctica de actividades físicas o intelectuales de esparcimiento”; </w:t>
      </w:r>
      <w:r w:rsidRPr="007E18D8">
        <w:rPr>
          <w:rFonts w:ascii="Gill Sans MT" w:eastAsia="Times New Roman" w:hAnsi="Gill Sans MT" w:cs="Arial"/>
          <w:sz w:val="24"/>
          <w:szCs w:val="24"/>
          <w:lang w:eastAsia="es-MX"/>
        </w:rPr>
        <w:tab/>
        <w:t>De igual forma se especifica en el artículo 6° se establece que:  “Es función obligatoria de todas las instituciones públicas y privadas de carácter social, patrocinar, promover, ejecutar, dirigir y controlar actividades de recreación, para lo cual elaborarán programas de desarrollo y estímulo de esta actividad, de conformidad con el plan nacional de recreación. La mayor responsabilidad en el campo de la recreación le corresponde al Estado y a las cajas de compensación familiar. Igualmente, con el apoyo de Coldeportes impulsarán y desarrollarán la recreación, las organizaciones populares de recreación y las corporaciones de recreación popular”.</w:t>
      </w: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pStyle w:val="Prrafodelista"/>
        <w:numPr>
          <w:ilvl w:val="0"/>
          <w:numId w:val="5"/>
        </w:num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b/>
          <w:sz w:val="24"/>
          <w:szCs w:val="24"/>
          <w:lang w:eastAsia="es-MX"/>
        </w:rPr>
        <w:t>Educación física:</w:t>
      </w:r>
      <w:r w:rsidRPr="007E18D8">
        <w:rPr>
          <w:rFonts w:ascii="Gill Sans MT" w:eastAsia="Times New Roman" w:hAnsi="Gill Sans MT" w:cs="Arial"/>
          <w:sz w:val="24"/>
          <w:szCs w:val="24"/>
          <w:lang w:eastAsia="es-MX"/>
        </w:rPr>
        <w:t xml:space="preserve"> El Art. 10 define: “Entiéndase por educación física la disciplina científica cuyo objeto de estudio es la expresión corporal del hombre y la incidencia del movimiento en el desarrollo integral y en el mejoramiento de la salud y calidad de vida de los individuos con sujeción a lo dispuesto en la Ley 115 de 1994”. El Art. 11: “Corresponde al Ministerio de Educación Nacional, la responsabilidad de dirigir, orientar, capacitar y controlar el desarrollo de los currículos del área de educación física de los niveles de preescolar, básica primaria, educación secundaria e instituciones escolares especializadas para personas con discapacidades físicas, síquicas y sensoriales, y determinar las estrategias de capacitación y perfeccionamiento profesional del recurso humano”. El Art. 12: “Corresponde al Instituto Colombiano del Deporte, Coldeportes, la responsabilidad de dirigir, orientar, coordinar y controlar el desarrollo de la educación física extraescolar como factor social y determinar las políticas, planes, programas y estrategias para su desarrollo, con fines de salud, bienestar y condición física para niños, jóvenes, adultos, personas con limitaciones y personas de la tercera edad.</w:t>
      </w: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pStyle w:val="Prrafodelista"/>
        <w:numPr>
          <w:ilvl w:val="0"/>
          <w:numId w:val="5"/>
        </w:num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b/>
          <w:sz w:val="24"/>
          <w:szCs w:val="24"/>
          <w:lang w:eastAsia="es-MX"/>
        </w:rPr>
        <w:t>El Deporte:</w:t>
      </w:r>
      <w:r w:rsidRPr="007E18D8">
        <w:rPr>
          <w:rFonts w:ascii="Gill Sans MT" w:eastAsia="Times New Roman" w:hAnsi="Gill Sans MT" w:cs="Arial"/>
          <w:sz w:val="24"/>
          <w:szCs w:val="24"/>
          <w:lang w:eastAsia="es-MX"/>
        </w:rPr>
        <w:t xml:space="preserve"> El Art. 15 determina: “El deporte en general, es la específica conducta humana caracterizada por una actitud lúdica y de afán competitivo de comprobación o desafío, expresada mediante el ejercicio corporal y mental, dentro de disciplinas y normas preestablecidas orientadas a generar valores morales, cívicos y sociales”. Así mismo, la ley 181 determina diferentes caracterizaciones del deporte en su Artículo 16 según su intencionalidad: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b/>
          <w:sz w:val="24"/>
          <w:szCs w:val="24"/>
          <w:lang w:eastAsia="es-MX"/>
        </w:rPr>
        <w:lastRenderedPageBreak/>
        <w:t>Deporte formativo.</w:t>
      </w:r>
      <w:r w:rsidRPr="007E18D8">
        <w:rPr>
          <w:rFonts w:ascii="Gill Sans MT" w:eastAsia="Times New Roman" w:hAnsi="Gill Sans MT" w:cs="Arial"/>
          <w:sz w:val="24"/>
          <w:szCs w:val="24"/>
          <w:lang w:eastAsia="es-MX"/>
        </w:rPr>
        <w:t xml:space="preserve"> Es aquel que tiene como finalidad contribuir al desarrollo integral del individuo. Comprende los procesos de iniciación, fundamentación y perfeccionamiento deportivos. Tiene lugar tanto en los programas del sector educativo formal y no formal, como en los programas desescolarizados de las escuelas de formación deportiva y semejantes.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b/>
          <w:sz w:val="24"/>
          <w:szCs w:val="24"/>
          <w:lang w:eastAsia="es-MX"/>
        </w:rPr>
        <w:t>Deporte social comunitario.</w:t>
      </w:r>
      <w:r w:rsidRPr="007E18D8">
        <w:rPr>
          <w:rFonts w:ascii="Gill Sans MT" w:eastAsia="Times New Roman" w:hAnsi="Gill Sans MT" w:cs="Arial"/>
          <w:sz w:val="24"/>
          <w:szCs w:val="24"/>
          <w:lang w:eastAsia="es-MX"/>
        </w:rPr>
        <w:t xml:space="preserve"> Es el aprovechamiento del deporte con fines de esparcimiento, recreación y desarrollo físico de la comunidad. Procura integración, descanso y creatividad. Se realiza mediante la acción interinstitucional y la participación comunitaria para el mejoramiento de la calidad de vida.</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b/>
          <w:sz w:val="24"/>
          <w:szCs w:val="24"/>
          <w:lang w:eastAsia="es-MX"/>
        </w:rPr>
        <w:t>Deporte universitario.</w:t>
      </w:r>
      <w:r w:rsidRPr="007E18D8">
        <w:rPr>
          <w:rFonts w:ascii="Gill Sans MT" w:eastAsia="Times New Roman" w:hAnsi="Gill Sans MT" w:cs="Arial"/>
          <w:sz w:val="24"/>
          <w:szCs w:val="24"/>
          <w:lang w:eastAsia="es-MX"/>
        </w:rPr>
        <w:t xml:space="preserve"> Es aquel que complementa la formación de los estudiantes de educación superior. Tiene lugar en los programas académicos y de bienestar universitario de las instituciones educativas definidas por la Ley 30 de 1992. Su regulación se hará en concordancia con las normas que rigen la educación superior.</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b/>
          <w:sz w:val="24"/>
          <w:szCs w:val="24"/>
          <w:lang w:eastAsia="es-MX"/>
        </w:rPr>
        <w:t>Deporte asociado.</w:t>
      </w:r>
      <w:r w:rsidRPr="007E18D8">
        <w:rPr>
          <w:rFonts w:ascii="Gill Sans MT" w:eastAsia="Times New Roman" w:hAnsi="Gill Sans MT" w:cs="Arial"/>
          <w:sz w:val="24"/>
          <w:szCs w:val="24"/>
          <w:lang w:eastAsia="es-MX"/>
        </w:rPr>
        <w:t xml:space="preserve"> Es el desarrollado por un conjunto de entidades de carácter privado organizadas jerárquicamente con el fin de desarrollar actividades y programas de deporte competitivo de orden municipal, departamental, nacional e internacional que tengan como objeto el alto rendimiento de los deportistas afiliados a ellas.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b/>
          <w:sz w:val="24"/>
          <w:szCs w:val="24"/>
          <w:lang w:eastAsia="es-MX"/>
        </w:rPr>
        <w:t>Deporte competitivo.</w:t>
      </w:r>
      <w:r w:rsidRPr="007E18D8">
        <w:rPr>
          <w:rFonts w:ascii="Gill Sans MT" w:eastAsia="Times New Roman" w:hAnsi="Gill Sans MT" w:cs="Arial"/>
          <w:sz w:val="24"/>
          <w:szCs w:val="24"/>
          <w:lang w:eastAsia="es-MX"/>
        </w:rPr>
        <w:t xml:space="preserve"> Es el conjunto de certámenes, eventos y torneos, cuyo objetivo primordial es lograr un nivel técnico calificado. Su manejo corresponde a los organismos que conforman la estructura del deporte asociado.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b/>
          <w:sz w:val="24"/>
          <w:szCs w:val="24"/>
          <w:lang w:eastAsia="es-MX"/>
        </w:rPr>
        <w:t>Deporte de alto rendimiento</w:t>
      </w:r>
      <w:r w:rsidRPr="007E18D8">
        <w:rPr>
          <w:rFonts w:ascii="Gill Sans MT" w:eastAsia="Times New Roman" w:hAnsi="Gill Sans MT" w:cs="Arial"/>
          <w:sz w:val="24"/>
          <w:szCs w:val="24"/>
          <w:lang w:eastAsia="es-MX"/>
        </w:rPr>
        <w:t>. Es la práctica deportiva de organización y nivel superiores. Comprende procesos integrales orientados hacia el perfeccionamiento de las cualidades y condiciones fisicotécnicas de deportistas, mediante el aprovechamiento de adelantos tecnológicos y científicos.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b/>
          <w:sz w:val="24"/>
          <w:szCs w:val="24"/>
          <w:lang w:eastAsia="es-MX"/>
        </w:rPr>
        <w:t>Deporte aficionado.</w:t>
      </w:r>
      <w:r w:rsidRPr="007E18D8">
        <w:rPr>
          <w:rFonts w:ascii="Gill Sans MT" w:eastAsia="Times New Roman" w:hAnsi="Gill Sans MT" w:cs="Arial"/>
          <w:sz w:val="24"/>
          <w:szCs w:val="24"/>
          <w:lang w:eastAsia="es-MX"/>
        </w:rPr>
        <w:t xml:space="preserve"> Es aquel que no admite pago o indemnización alguna a favor de los jugadores o competidores distinto del monto de los gastos efectivos ocasionados durante el ejercicio de la actividad deportiva correspondiente.</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b/>
          <w:sz w:val="24"/>
          <w:szCs w:val="24"/>
          <w:lang w:eastAsia="es-MX"/>
        </w:rPr>
        <w:t>Deporte profesional.</w:t>
      </w:r>
      <w:r w:rsidRPr="007E18D8">
        <w:rPr>
          <w:rFonts w:ascii="Gill Sans MT" w:eastAsia="Times New Roman" w:hAnsi="Gill Sans MT" w:cs="Arial"/>
          <w:sz w:val="24"/>
          <w:szCs w:val="24"/>
          <w:lang w:eastAsia="es-MX"/>
        </w:rPr>
        <w:t xml:space="preserve"> Es el que admite como competidores a personas naturales bajo remuneración, de conformidad con las normas de la respectiva federación internacional.</w:t>
      </w:r>
    </w:p>
    <w:p w:rsidR="00EB2427" w:rsidRPr="007E18D8" w:rsidRDefault="00EB2427" w:rsidP="009B2B90">
      <w:pPr>
        <w:pStyle w:val="Prrafodelista"/>
        <w:numPr>
          <w:ilvl w:val="0"/>
          <w:numId w:val="5"/>
        </w:num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b/>
          <w:sz w:val="24"/>
          <w:szCs w:val="24"/>
          <w:lang w:eastAsia="es-MX"/>
        </w:rPr>
        <w:t>Aprovechamiento del Tiempo Libre:</w:t>
      </w:r>
      <w:r w:rsidRPr="007E18D8">
        <w:rPr>
          <w:rFonts w:ascii="Gill Sans MT" w:eastAsia="Times New Roman" w:hAnsi="Gill Sans MT" w:cs="Arial"/>
          <w:sz w:val="24"/>
          <w:szCs w:val="24"/>
          <w:lang w:eastAsia="es-MX"/>
        </w:rPr>
        <w:t xml:space="preserve"> En el Art. 5 se entiende que: “Es el uso constructivo que el ser humano hace de él, en beneficio de su enriquecimiento personal y del disfrute de la vida, en forma individual o colectiva. Tiene como funciones básicas el descanso, la diversión, el complemento de la formación, la socialización, la creatividad, el desarrollo personal, la liberación en el trabajo y la recuperación sicobiológica”.</w:t>
      </w: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pStyle w:val="Prrafodelista"/>
        <w:numPr>
          <w:ilvl w:val="0"/>
          <w:numId w:val="5"/>
        </w:num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b/>
          <w:sz w:val="24"/>
          <w:szCs w:val="24"/>
          <w:lang w:eastAsia="es-MX"/>
        </w:rPr>
        <w:t>Educación Extraescolar.</w:t>
      </w:r>
      <w:r w:rsidRPr="007E18D8">
        <w:rPr>
          <w:rFonts w:ascii="Gill Sans MT" w:eastAsia="Times New Roman" w:hAnsi="Gill Sans MT" w:cs="Arial"/>
          <w:sz w:val="24"/>
          <w:szCs w:val="24"/>
          <w:lang w:eastAsia="es-MX"/>
        </w:rPr>
        <w:t xml:space="preserve"> En el Art. 5 se entiende que: “Es la que utiliza el tiempo libre, la recreación y el deporte como instrumentos fundamentales para la formación integral de la niñez y de los jóvenes y para la transformación del mundo juvenil con el propósito de que éste incorpore sus ideas, valores y su propio dinamismo interno al proceso de desarrollo de la Nación. Esta educación complementa la brindada por la familia y la escuela y se realiza por medio de organizaciones, asociaciones o movimientos para la niñez o de la juventud e instituciones sin ánimo de lucro que tengan como objetivo prestar este servicio a las nuevas generaciones”.</w:t>
      </w:r>
    </w:p>
    <w:p w:rsidR="00EB2427" w:rsidRPr="007E18D8" w:rsidRDefault="00EB2427" w:rsidP="009B2B90">
      <w:pPr>
        <w:pStyle w:val="Prrafodelista"/>
        <w:numPr>
          <w:ilvl w:val="0"/>
          <w:numId w:val="5"/>
        </w:num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b/>
          <w:sz w:val="24"/>
          <w:szCs w:val="24"/>
          <w:lang w:eastAsia="es-MX"/>
        </w:rPr>
        <w:t>Actividad Física.</w:t>
      </w:r>
      <w:r w:rsidRPr="007E18D8">
        <w:rPr>
          <w:rFonts w:ascii="Gill Sans MT" w:eastAsia="Times New Roman" w:hAnsi="Gill Sans MT" w:cs="Arial"/>
          <w:sz w:val="24"/>
          <w:szCs w:val="24"/>
          <w:lang w:eastAsia="es-MX"/>
        </w:rPr>
        <w:t xml:space="preserve"> Busca fomentar la práctica regular de actividad física para mejorar la calidad de vida, el bienestar, la salud y la paz en la población Colombiana, por medio de la construcción y socialización de lineamientos basados en la evidencia, la concertación y las metas gubernamentales; operativizados a través de un sistema organizado, eficiente y sostenible de políticas, programas y proyectos intersectoriales de actividad física en los ámbitos Educativo, Comunitario, Laboral y de Salud, buscando los siguientes objetivos:</w:t>
      </w:r>
    </w:p>
    <w:p w:rsidR="00EB2427" w:rsidRPr="007E18D8" w:rsidRDefault="00EB2427" w:rsidP="007E18D8">
      <w:pPr>
        <w:tabs>
          <w:tab w:val="left" w:pos="5445"/>
        </w:tabs>
        <w:ind w:left="708"/>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1. Promover la universalización de la actividad física en el país.</w:t>
      </w:r>
    </w:p>
    <w:p w:rsidR="00EB2427" w:rsidRPr="007E18D8" w:rsidRDefault="00EB2427" w:rsidP="007E18D8">
      <w:pPr>
        <w:tabs>
          <w:tab w:val="left" w:pos="5445"/>
        </w:tabs>
        <w:ind w:left="708"/>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2. Coordinar a través de acciones intersectoriales políticas de bienestar, salud, educación y desarrollo social.</w:t>
      </w:r>
    </w:p>
    <w:p w:rsidR="00EB2427" w:rsidRPr="007E18D8" w:rsidRDefault="00EB2427" w:rsidP="007E18D8">
      <w:pPr>
        <w:tabs>
          <w:tab w:val="left" w:pos="5445"/>
        </w:tabs>
        <w:ind w:left="708"/>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3. Realizar evaluación y seguimiento de acciones desarrollas por el programa en el territorio nacional.</w:t>
      </w:r>
    </w:p>
    <w:p w:rsidR="00EB2427" w:rsidRPr="007E18D8" w:rsidRDefault="00EB2427" w:rsidP="007E18D8">
      <w:pPr>
        <w:tabs>
          <w:tab w:val="left" w:pos="5445"/>
        </w:tabs>
        <w:ind w:left="708"/>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4. Incentivar el desarrollo de competencias ciudadanas a través de la práctica de la actividad física</w:t>
      </w:r>
    </w:p>
    <w:p w:rsidR="00EB2427" w:rsidRPr="007E18D8" w:rsidRDefault="00EB2427" w:rsidP="007E18D8">
      <w:pPr>
        <w:tabs>
          <w:tab w:val="left" w:pos="5445"/>
        </w:tabs>
        <w:ind w:left="708"/>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5. Construir paz por medio de la promoción de actividad física y los hábitos y estilos de vida saludable.</w:t>
      </w:r>
    </w:p>
    <w:p w:rsidR="00EB2427" w:rsidRPr="007E18D8" w:rsidRDefault="00EB2427" w:rsidP="009B2B90">
      <w:pPr>
        <w:pStyle w:val="Prrafodelista"/>
        <w:numPr>
          <w:ilvl w:val="0"/>
          <w:numId w:val="5"/>
        </w:num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b/>
          <w:sz w:val="24"/>
          <w:szCs w:val="24"/>
          <w:lang w:eastAsia="es-MX"/>
        </w:rPr>
        <w:t>Escenarios Deportivos:</w:t>
      </w:r>
      <w:r w:rsidRPr="007E18D8">
        <w:rPr>
          <w:rFonts w:ascii="Gill Sans MT" w:eastAsia="Times New Roman" w:hAnsi="Gill Sans MT" w:cs="Arial"/>
          <w:sz w:val="24"/>
          <w:szCs w:val="24"/>
          <w:lang w:eastAsia="es-MX"/>
        </w:rPr>
        <w:t xml:space="preserve"> El Art. 42º de la Ley 181 de 1995 establece que: “Las construcciones de instalaciones y escenarios deportivos que se adelanten a partir de la vigencia de la presente Ley, deberán incluir facilidades físicas de acceso para niños, personas de la tercera edad y discapacitados en sillas de ruedas. En su Parágrafo se especifica que: “Los establecimientos deportivos que integran el Sistema Nacional del Deporte deberán contar obligatoriamente con medio de accesibilidad, así como instalaciones sanitarias adecuadas, para personas con discapacidades físicas, en un plazo no mayor de cuatro (4) años, so pena de sanciones que reglamente la presente Ley”.</w:t>
      </w:r>
    </w:p>
    <w:p w:rsidR="00EB2427" w:rsidRPr="007E18D8" w:rsidRDefault="00EB2427"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pStyle w:val="Prrafodelista"/>
        <w:numPr>
          <w:ilvl w:val="0"/>
          <w:numId w:val="2"/>
        </w:numPr>
        <w:tabs>
          <w:tab w:val="left" w:pos="5445"/>
        </w:tabs>
        <w:jc w:val="both"/>
        <w:rPr>
          <w:rFonts w:ascii="Gill Sans MT" w:eastAsia="Times New Roman" w:hAnsi="Gill Sans MT" w:cs="Arial"/>
          <w:b/>
          <w:sz w:val="24"/>
          <w:szCs w:val="24"/>
          <w:lang w:eastAsia="es-MX"/>
        </w:rPr>
      </w:pPr>
      <w:r w:rsidRPr="007E18D8">
        <w:rPr>
          <w:rFonts w:ascii="Gill Sans MT" w:eastAsia="Times New Roman" w:hAnsi="Gill Sans MT" w:cs="Arial"/>
          <w:b/>
          <w:sz w:val="24"/>
          <w:szCs w:val="24"/>
          <w:lang w:eastAsia="es-MX"/>
        </w:rPr>
        <w:lastRenderedPageBreak/>
        <w:t>ALCANCE DE LA INICIATIVA</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alcance de este proyecto se concreta en otorgar facultades a las Asambleas Departamentales, Concejos Municipales y Distritales para crear una TASA Pro Deporte y Recreación cuyos recursos serán administrados por el respectivo ente territorial conforme a sus competencias, para que fomente y estimule el deporte, en concordancia a planes, proyectos, políticas programas nacionales o territoriales, y de esta manera, dotar de recursos económicos a estas entidades en pro de impulsar el deporte.</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En efecto visto el proyecto de ley este se direcciona a que las entidades territoriales consigan recursos tendientes a cubrir las necesidades de sectores poblacionales incluidos los discapacitados y los adultos mayores, dotándolos con el fin de lograr no solo la recreación sino la competitividad, incluso logrando alto rendimiento deportivo.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Es evidente que los entes territoriales carecen de recursos presupuestales para cubrir esta necesidad, por esa importante razón se considera que es viable la aprobación de este proyecto de ley.</w:t>
      </w:r>
    </w:p>
    <w:p w:rsidR="00EB2427" w:rsidRPr="007E18D8" w:rsidRDefault="00EB2427" w:rsidP="009B2B90">
      <w:pPr>
        <w:pStyle w:val="Prrafodelista"/>
        <w:numPr>
          <w:ilvl w:val="0"/>
          <w:numId w:val="2"/>
        </w:numPr>
        <w:tabs>
          <w:tab w:val="left" w:pos="5445"/>
        </w:tabs>
        <w:jc w:val="both"/>
        <w:rPr>
          <w:rFonts w:ascii="Gill Sans MT" w:eastAsia="Times New Roman" w:hAnsi="Gill Sans MT" w:cs="Arial"/>
          <w:b/>
          <w:sz w:val="24"/>
          <w:szCs w:val="24"/>
          <w:lang w:eastAsia="es-MX"/>
        </w:rPr>
      </w:pPr>
      <w:r w:rsidRPr="007E18D8">
        <w:rPr>
          <w:rFonts w:ascii="Gill Sans MT" w:eastAsia="Times New Roman" w:hAnsi="Gill Sans MT" w:cs="Arial"/>
          <w:b/>
          <w:sz w:val="24"/>
          <w:szCs w:val="24"/>
          <w:lang w:eastAsia="es-MX"/>
        </w:rPr>
        <w:t>JUSTIFICACIÓN DEL PROYECTO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En la actualidad, los Estados se encuentran enfrentados al reto de promover la actividad física principalmente entre niños, jóvenes y adultos mayores, en los primeros como alternativa al reclutamiento de grupos ilegales, deserción escolar, delincuencia común y drogadicción; en los últimos como forma de garantizar una vejez digna y una calidad de vida sana, sin embargo, el factor común a estos grupos y en general a toda la población, reside en la creciente preocupación por la salud física de los ciudadanos y los problemas relacionados por el sobrepeso y el sedentarismo.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Según la Organización Mundial para la Salud , “La inactividad física es el cuarto factor de riesgo más importante de mortalidad mundial” lo que se traduce en un llamado de alerta para los gobiernos, particularmente para los Estados emergentes como es el caso de Colombia, cuya vocación de progreso requiere de ciudadanos activos y estilos de vida sanos y productivos, por estas razones la OMS insta a los gobiernos a promover iniciativas que incentiven la práctica de actividades físicas; entre los beneficios señalados se encuentran:</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Menor posibilidad de enfermedades cardiacas, hipertensión arterial, accidentes vasculares cerebrales, diabetes, cáncer de colon y mama, y depresión.</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Menos riesgo lesiones óseas y musculares.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Más probabilidades de mantener un peso saludable.</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Del mismo modo, la práctica de actividades deportivas tiene importantes repercusiones sociales, como: el trabajo en equipo, la perseverancia, el control de los impulsos y las </w:t>
      </w:r>
      <w:r w:rsidRPr="007E18D8">
        <w:rPr>
          <w:rFonts w:ascii="Gill Sans MT" w:eastAsia="Times New Roman" w:hAnsi="Gill Sans MT" w:cs="Arial"/>
          <w:sz w:val="24"/>
          <w:szCs w:val="24"/>
          <w:lang w:eastAsia="es-MX"/>
        </w:rPr>
        <w:lastRenderedPageBreak/>
        <w:t>emociones, mejora la disposición frente a la vida en comunidad, desarrolla el liderazgo, canaliza la agresividad, enseña a plantearse logros y estrategias para alcanzarlos. La realización de actividades físicas es sin duda, un camino para formar ciudadanos respetuosos, responsables, tolerantes e incluyentes, con vocación para la vida en sociedad y la participación activa en la resolución pacífica de conflictos.</w:t>
      </w:r>
    </w:p>
    <w:p w:rsidR="00EB2427" w:rsidRPr="007E18D8" w:rsidRDefault="00EB2427" w:rsidP="009B2B90">
      <w:pPr>
        <w:tabs>
          <w:tab w:val="left" w:pos="5445"/>
        </w:tabs>
        <w:jc w:val="both"/>
        <w:rPr>
          <w:rFonts w:ascii="Gill Sans MT" w:eastAsia="Times New Roman" w:hAnsi="Gill Sans MT" w:cs="Arial"/>
          <w:b/>
          <w:sz w:val="24"/>
          <w:szCs w:val="24"/>
          <w:lang w:eastAsia="es-MX"/>
        </w:rPr>
      </w:pPr>
      <w:r w:rsidRPr="007E18D8">
        <w:rPr>
          <w:rFonts w:ascii="Gill Sans MT" w:eastAsia="Times New Roman" w:hAnsi="Gill Sans MT" w:cs="Arial"/>
          <w:b/>
          <w:sz w:val="24"/>
          <w:szCs w:val="24"/>
          <w:lang w:eastAsia="es-MX"/>
        </w:rPr>
        <w:t>EL DEPORTE SE CONSTITUYE EN UNA COMPONENTE DE LA EDUCACIÓN EN EL SER HUMANO.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Así lo sostiene el documento de la UNESCO titulado Educar con el deporte – El deporte y la educación física aportan las bases necesarias para el desarrollo y el bienestar de los niños y los jóvenes en la sociedad y el sistema educativo, en estos términos: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En efecto, tanto la educación física como el deporte contribuyen a desarrollar las aptitudes “genéricas” y el potencial cognitivo y físico del niño, proporcionándole así las bases necesarias para su plena realización como persona y su bienestar. Los sistemas educativos son elementos básicos de la construcción del bienestar físico y mental del individuo, al que alude la antigua máxima latina “mens sana in corpore sano”. Una mente sana en un cuerpo sano.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Otro aspecto educativo, tan importante como la contribución al bienestar físico y mental, es el relativo a los valores que transmite e inculca el deporte, por ejemplo: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El respeto de las normas;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La negativa a admitir las trampas para conseguir la victoria a toda costa;</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El respeto del vencedor por el vencido y reconocimiento por parte este último de que el primero fue el mejor.</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Estos principios cívicos y democráticos elementales forjan los valores que permiten a la persona vivir juntas en la diversidad, respetando las diferencias. (www.unesco.org/bpi/pdf/memobpi45_educationsport_es.pdf).</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La Conferencia General de las Naciones Unidas, la Ciencia y la Cultura, reunida en Paris el 21 de noviembre de 1978 fundamenta en su artículo segundo (2o), que “la educación física y el deporte constituye un elemento esencial de la educación permanente dentro del sistema global de educación”.</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Como consecuencia de las innumerables obligaciones del estado en pro de ejercitar una formación integral en los niños y jóvenes, como promover la integración de las personas en situación de discapacidad y adultos mayores, mediante este proyecto se logra materializar los fines constitucionales mediante la promoción del deporte.</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lastRenderedPageBreak/>
        <w:t>“La recreación se asume como el medio a partir del cual se crean las condiciones para que personas, grupos o colectivos alcance experiencias óptimas de ocio, a través de alternativas estructuradas o no estructuradas, basadas en decisiones autónomas que le permiten a las personas separarse de las actividades de la vida cotidiana y comprometerse psicológicamente con la vivencia.”</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 (LA PARTICIPACIÓN INFANTIL DESDE LA RECREACIÓN, ESPERANZA OSORIO CORREAhttp://www.ifejant.org.pe/Aulavirtual/aulavirtual2/uploaddata/protagonismo/PROTA/UNI_I/tema3/La_participacion_infantil.pdf)</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“Una de las formas para mejorar las autopercepciones de individuos con discapacidad es a través de la participación en actividades deportivas y recreativas. Debido a que el cuerpo es el mecanismo / instrumento con el que se interviene en la actividad, la participación puede incidir en la auto percepción física de los sujetos (Taub &amp; Blinde, 1996; citado en Blinde &amp; McClung, 1997). Además, si la actividad es llevada a cabo en un contexto de libre acceso a los miembros de la sociedad, la interacción entre personas con y sin discapacidad mejorará las percepciones sociales de los primeros (Brasile, Kleiber &amp; Harnisch, 1991).</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La actividad que proponemos a continuación es el resultado de varias experiencias y actividades llevadas a cabo en diferentes localidades españolas, en las que se ofrece al conjunto de la sociedad participar en una serie de actividades recreativas y deportivas específicas para personas con discapacidad.</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Pretendemos con las mismas, incidiendo sobre el componente conductual de la actitud, que la persona que se implique en la actividad, durante el tiempo de participación en la misma, vivencie una serie de sensaciones y emociones (componente afectivo), que le lleve posteriormente a un cambio de ideas sobre el colectivo de personas con discapacidad (componente cognitivo). “http://www.efdeportes.com/efd59/discap.htm</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“Como la influencia de la práctica continuada de ejercicio es menor sobre la esperanza de vida que sobre la calidad de vida de los individuos de edad avanzada, es más probable que los sujetos que practican resistencia acaben sus vidas sin que el deterioro físico les haya llevado a precisar ayuda de las instituciones. Este parece ser un argumento de peso para que las instituciones oficiales apoyen la promoción y el desarrollo de la salud a través del ejercicio físico”. REVISTA ESPAÑOLA DE EDUCACIÓN FÍSICA Y DEPORTES, Revista de Educación Física y Deportes decana en España. Fundada en septiembre de 1949. Pradillo, J. L. P. Tercera edad, actividad física y estado de bienestar. Revista española de Educación Física y Deportes, 1.</w:t>
      </w:r>
    </w:p>
    <w:p w:rsidR="0005531F" w:rsidRPr="007E18D8" w:rsidRDefault="0005531F" w:rsidP="009B2B90">
      <w:pPr>
        <w:tabs>
          <w:tab w:val="left" w:pos="5445"/>
        </w:tabs>
        <w:jc w:val="both"/>
        <w:rPr>
          <w:rFonts w:ascii="Gill Sans MT" w:eastAsia="Times New Roman" w:hAnsi="Gill Sans MT" w:cs="Arial"/>
          <w:sz w:val="24"/>
          <w:szCs w:val="24"/>
          <w:lang w:eastAsia="es-MX"/>
        </w:rPr>
      </w:pPr>
    </w:p>
    <w:p w:rsidR="00EA3136" w:rsidRPr="007E18D8" w:rsidRDefault="00EA3136" w:rsidP="009B2B90">
      <w:pPr>
        <w:tabs>
          <w:tab w:val="left" w:pos="5445"/>
        </w:tabs>
        <w:jc w:val="both"/>
        <w:rPr>
          <w:rFonts w:ascii="Gill Sans MT" w:eastAsia="Times New Roman" w:hAnsi="Gill Sans MT" w:cs="Arial"/>
          <w:sz w:val="24"/>
          <w:szCs w:val="24"/>
          <w:lang w:eastAsia="es-MX"/>
        </w:rPr>
      </w:pPr>
    </w:p>
    <w:p w:rsidR="00EB2427" w:rsidRPr="007E18D8" w:rsidRDefault="00EB2427" w:rsidP="009B2B90">
      <w:pPr>
        <w:tabs>
          <w:tab w:val="left" w:pos="5445"/>
        </w:tabs>
        <w:jc w:val="both"/>
        <w:rPr>
          <w:rFonts w:ascii="Gill Sans MT" w:eastAsia="Times New Roman" w:hAnsi="Gill Sans MT" w:cs="Arial"/>
          <w:b/>
          <w:sz w:val="24"/>
          <w:szCs w:val="24"/>
          <w:lang w:eastAsia="es-MX"/>
        </w:rPr>
      </w:pPr>
      <w:r w:rsidRPr="007E18D8">
        <w:rPr>
          <w:rFonts w:ascii="Gill Sans MT" w:eastAsia="Times New Roman" w:hAnsi="Gill Sans MT" w:cs="Arial"/>
          <w:b/>
          <w:sz w:val="24"/>
          <w:szCs w:val="24"/>
          <w:lang w:eastAsia="es-MX"/>
        </w:rPr>
        <w:lastRenderedPageBreak/>
        <w:t>EL DERECHO AL DEPORTE EN COLOMBIA</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El deporte como derecho, se ha circunscrito desde el deber del fomento en la Constitución de la República de Colombia, entendida ésta como norma jurídica suprema que contiene los principios del Estado Social de Derecho; en donde el Estado debe prestar unos servicios mínimos que cada vez adquieren mayor alcance y significado.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La Constitución del año 1991 le dio al deporte un estatus de derecho social y para el año 2000 se le concibió como parte del gasto público social.  El artículo 52 de la Constitución Política establece que: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ejercicio del deporte, sus manifestaciones recreativas, competitivas y autóctonas tienen como función la formación integral de las personas, preservar y desarrollar una mejor salud en el ser humano. El deporte y la recreación, forman parte de la educación y constituyen gasto público social. Se reconoce el derecho de todas las personas a la recreación, a la práctica del deporte y al aprovechamiento del tiempo libre. El Estado fomentará estas actividades e inspeccionará, vigilará y controlará las organizaciones deportivas y recreativas cuya estructura y propiedad deberán ser democráticas.”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gasto público social cuenta con recursos del Sistema General de Participaciones. El numeral 12 del artículo 74 de la Ley 715 de 2001, dicta normas orgánicas en materia de recursos y competencias, en donde se estipuló que será función de los departamentos “coordinar acciones entre los municipios para desarrollar programas y actividades que permitan fomentar la práctica del deporte, la recreación y el aprovechamiento del tiempo libre en el territorio”. La Ley 715 de 2001, mediante la cual se establecen los criterios de asignación de los recursos que conforman el Gasto Público Social en Colombia fue modificada por la Ley 1176 de 2007.</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Contemplando que el deporte y la recreación sean reconocidos como derechos sociales y que hagan parte del gasto público social, generan obligaciones y oportunidades para la gestión pública, orientada a garantizar estos derechos mediante la prestación del servicio público de deporte, recreación, educación física y la actividad física.</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En complemento, la Constitución de 1991 en su artículo 44 reconoce, en el marco de los derechos de los niños, el derecho a la recreación, la integridad física y la salud. En este sentido, en el desarrollo constitucional se establece una relación inherente entre deporte, educación y salud. Lo cual significa, que el Estado Colombiano cada día está entendiendo la relevancia y la utilidad que se le puede dar al deporte, no sólo para la competencia, sino para alcanzar otros objetivos no deportivos como son la salud, la educación y en términos más amplios, el bienestar general.</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En concordancia con el mandato constitucional y su desarrollo, se expidió la Ley 49 de 1993, por la cual se estableció el Régimen Disciplinario del Deporte Competitivo y se dictaron </w:t>
      </w:r>
      <w:r w:rsidRPr="007E18D8">
        <w:rPr>
          <w:rFonts w:ascii="Gill Sans MT" w:eastAsia="Times New Roman" w:hAnsi="Gill Sans MT" w:cs="Arial"/>
          <w:sz w:val="24"/>
          <w:szCs w:val="24"/>
          <w:lang w:eastAsia="es-MX"/>
        </w:rPr>
        <w:lastRenderedPageBreak/>
        <w:t xml:space="preserve">normas de prevención y lucha contra el dopaje, con el fin de defender el derecho a la salud, así como promover los principios del juego limpio y la ética deportiva.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Posteriormente, la Ley 115 de 1994 en su artículo 5, estableció que los fines de la educación son “la formación, para la promoción y preservación de la salud y la higiene, la prevención integral de problemas socialmente relevantes, la educación física, la recreación, el deporte y la utilización adecuada del tiempo libre”.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Adicionalmente, el deporte y el turismo guardan una relación legislativa a través de la Ley 300 de 1996, “Ley General de Turismo”, en su artículo 33 señala que: “con el propósito de ser más incluyente y de garantizar el derecho a la recreación, a la práctica del deporte y al aprovechamiento del tiempo libre consagrado en el artículo 52 de la Constitución Política, el Estado promoverá el desarrollo del turismo de interés social…”. Como se puede observar, el desarrollo legislativo hasta aquí ahondado expresa la manifestación Constitucional y el marco internacional.</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Adicionalmente, Colombia se ha adherido a las cartas, conferencias y tratados internacionales sobre el deporte adquiriendo compromisos y responsabilidades para generar acciones que conduzcan al desarrollo del deporte dentro del ámbito internacional. </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En el contexto internacional, Colombia ha participado y avalado la Carta Internacional de la Educación Física y el Deporte (UNESCO, 1978 y actualizada en 2015); la Declaración del Milenio (2000); la resolución del deporte como medio de promover la educación, la salud, el desarrollo y la paz (2010); la Declaración Universal de Derechos Humanos mediante el deporte y el ideal Olímpico (2011); Declaración de Berlín dentro del marco de la Quinta Conferencia Internacional de Ministros y altos funcionarios encargados de la educación física y el deporte (MINEPS V) (2013); y la Carta Olímpica (1894) (2014); entre otras. </w:t>
      </w:r>
    </w:p>
    <w:p w:rsidR="00EB2427" w:rsidRPr="007E18D8" w:rsidRDefault="00EB2427" w:rsidP="009B2B90">
      <w:pPr>
        <w:pStyle w:val="Prrafodelista"/>
        <w:numPr>
          <w:ilvl w:val="0"/>
          <w:numId w:val="2"/>
        </w:numPr>
        <w:tabs>
          <w:tab w:val="left" w:pos="5445"/>
        </w:tabs>
        <w:jc w:val="both"/>
        <w:rPr>
          <w:rFonts w:ascii="Gill Sans MT" w:eastAsia="Times New Roman" w:hAnsi="Gill Sans MT" w:cs="Arial"/>
          <w:b/>
          <w:sz w:val="24"/>
          <w:szCs w:val="24"/>
          <w:lang w:eastAsia="es-MX"/>
        </w:rPr>
      </w:pPr>
      <w:r w:rsidRPr="007E18D8">
        <w:rPr>
          <w:rFonts w:ascii="Gill Sans MT" w:eastAsia="Times New Roman" w:hAnsi="Gill Sans MT" w:cs="Arial"/>
          <w:b/>
          <w:sz w:val="24"/>
          <w:szCs w:val="24"/>
          <w:lang w:eastAsia="es-MX"/>
        </w:rPr>
        <w:t>OBJETO DEL PROYECTO.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objeto del presente es facultar a las asambleas departamentales, concejos municipales y distritales para crear una tasa Pro deporte y Recreación, recursos serán administrados por el respectivo ente territorial conforme a sus competencias, para que fomente y estimule el deporte, en concordancia a planes, proyectos, políticas programas nacionales o territoriales, y de esta manera, dotar de recursos económicos a estas entidades en pro de impulsar el deporte.</w:t>
      </w:r>
    </w:p>
    <w:p w:rsidR="00EB2427" w:rsidRPr="007E18D8" w:rsidRDefault="00EB2427" w:rsidP="009B2B90">
      <w:pPr>
        <w:pStyle w:val="Prrafodelista"/>
        <w:numPr>
          <w:ilvl w:val="0"/>
          <w:numId w:val="2"/>
        </w:numPr>
        <w:tabs>
          <w:tab w:val="left" w:pos="5445"/>
        </w:tabs>
        <w:jc w:val="both"/>
        <w:rPr>
          <w:rFonts w:ascii="Gill Sans MT" w:eastAsia="Times New Roman" w:hAnsi="Gill Sans MT" w:cs="Arial"/>
          <w:b/>
          <w:sz w:val="24"/>
          <w:szCs w:val="24"/>
          <w:lang w:eastAsia="es-MX"/>
        </w:rPr>
      </w:pPr>
      <w:r w:rsidRPr="007E18D8">
        <w:rPr>
          <w:rFonts w:ascii="Gill Sans MT" w:eastAsia="Times New Roman" w:hAnsi="Gill Sans MT" w:cs="Arial"/>
          <w:b/>
          <w:sz w:val="24"/>
          <w:szCs w:val="24"/>
          <w:lang w:eastAsia="es-MX"/>
        </w:rPr>
        <w:t>CONTENIDO DEL PROYECTO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presente proyecto de ley está conformado por cinco (5) artículos: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EL ARTÍCULO PRIMERO: NATURALEZA JURÍDICA. Faculta a las asambleas departamentales y concejos municipales y distritales para crear la tasa Pro Deporte y </w:t>
      </w:r>
      <w:r w:rsidRPr="007E18D8">
        <w:rPr>
          <w:rFonts w:ascii="Gill Sans MT" w:eastAsia="Times New Roman" w:hAnsi="Gill Sans MT" w:cs="Arial"/>
          <w:sz w:val="24"/>
          <w:szCs w:val="24"/>
          <w:lang w:eastAsia="es-MX"/>
        </w:rPr>
        <w:lastRenderedPageBreak/>
        <w:t>Recreación, como una contribución parafiscal con destinación específica que se transfiere directamente al ente autónomo en cuyo favor se impone el tributo.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 ARTICULO SEGUNDO: DESTINACIÓN DE LOS RECURSOS. Los recursos que se recauden mediante la tasa se destinarán para: </w:t>
      </w:r>
    </w:p>
    <w:p w:rsidR="00EB2427" w:rsidRPr="007E18D8" w:rsidRDefault="009B2B90"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a) </w:t>
      </w:r>
      <w:r w:rsidR="00EB2427" w:rsidRPr="007E18D8">
        <w:rPr>
          <w:rFonts w:ascii="Gill Sans MT" w:eastAsia="Times New Roman" w:hAnsi="Gill Sans MT" w:cs="Arial"/>
          <w:sz w:val="24"/>
          <w:szCs w:val="24"/>
          <w:lang w:eastAsia="es-MX"/>
        </w:rPr>
        <w:t>Apoyo a programas del Deporte, la educación física y la recreación para la población en general, incluyendo niños, infantes, jóvenes, adultos mayores y las personas en condición de discapacidad.</w:t>
      </w:r>
    </w:p>
    <w:p w:rsidR="00EB2427" w:rsidRPr="007E18D8" w:rsidRDefault="009B2B90"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b) </w:t>
      </w:r>
      <w:r w:rsidR="00EB2427" w:rsidRPr="007E18D8">
        <w:rPr>
          <w:rFonts w:ascii="Gill Sans MT" w:eastAsia="Times New Roman" w:hAnsi="Gill Sans MT" w:cs="Arial"/>
          <w:sz w:val="24"/>
          <w:szCs w:val="24"/>
          <w:lang w:eastAsia="es-MX"/>
        </w:rPr>
        <w:t>Apoyo a programas que permiten la identificación y selección de talentos deportivos, así como el desarrollo y fortalecimiento de la reserva deportiva, orientados hacia el alto rendimiento deportivo convencional y paralímpico; de incentivos económicos a los atletas y entrenadores medallistas en ciertos certámenes deportivos.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c)</w:t>
      </w:r>
      <w:r w:rsidR="009B2B90" w:rsidRPr="007E18D8">
        <w:rPr>
          <w:rFonts w:ascii="Gill Sans MT" w:eastAsia="Times New Roman" w:hAnsi="Gill Sans MT" w:cs="Arial"/>
          <w:sz w:val="24"/>
          <w:szCs w:val="24"/>
          <w:lang w:eastAsia="es-MX"/>
        </w:rPr>
        <w:t xml:space="preserve"> </w:t>
      </w:r>
      <w:r w:rsidRPr="007E18D8">
        <w:rPr>
          <w:rFonts w:ascii="Gill Sans MT" w:eastAsia="Times New Roman" w:hAnsi="Gill Sans MT" w:cs="Arial"/>
          <w:sz w:val="24"/>
          <w:szCs w:val="24"/>
          <w:lang w:eastAsia="es-MX"/>
        </w:rPr>
        <w:t xml:space="preserve">Apoyo en programas para los atletas de alto nivel competitivo y con proyección a él. </w:t>
      </w:r>
    </w:p>
    <w:p w:rsidR="00EB2427" w:rsidRPr="007E18D8" w:rsidRDefault="009B2B90"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d) </w:t>
      </w:r>
      <w:r w:rsidR="00EB2427" w:rsidRPr="007E18D8">
        <w:rPr>
          <w:rFonts w:ascii="Gill Sans MT" w:eastAsia="Times New Roman" w:hAnsi="Gill Sans MT" w:cs="Arial"/>
          <w:sz w:val="24"/>
          <w:szCs w:val="24"/>
          <w:lang w:eastAsia="es-MX"/>
        </w:rPr>
        <w:t xml:space="preserve">Adquisición de elementos e instrumentos básicos de formación deportiva. </w:t>
      </w:r>
    </w:p>
    <w:p w:rsidR="00EB2427" w:rsidRPr="007E18D8" w:rsidRDefault="009B2B90"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e) </w:t>
      </w:r>
      <w:r w:rsidR="00EB2427" w:rsidRPr="007E18D8">
        <w:rPr>
          <w:rFonts w:ascii="Gill Sans MT" w:eastAsia="Times New Roman" w:hAnsi="Gill Sans MT" w:cs="Arial"/>
          <w:sz w:val="24"/>
          <w:szCs w:val="24"/>
          <w:lang w:eastAsia="es-MX"/>
        </w:rPr>
        <w:t>Apoyo en Infraestructura Deportiva.</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El ARTÍCULO TERCERO: TARIFA. Establece que la tarifa que determinen los entes territoriales no puede exceder </w:t>
      </w:r>
      <w:r w:rsidR="007E18D8">
        <w:rPr>
          <w:rFonts w:ascii="Gill Sans MT" w:eastAsia="Times New Roman" w:hAnsi="Gill Sans MT" w:cs="Arial"/>
          <w:sz w:val="24"/>
          <w:szCs w:val="24"/>
          <w:lang w:eastAsia="es-MX"/>
        </w:rPr>
        <w:t>el dos punto</w:t>
      </w:r>
      <w:r w:rsidRPr="007E18D8">
        <w:rPr>
          <w:rFonts w:ascii="Gill Sans MT" w:eastAsia="Times New Roman" w:hAnsi="Gill Sans MT" w:cs="Arial"/>
          <w:sz w:val="24"/>
          <w:szCs w:val="24"/>
          <w:lang w:eastAsia="es-MX"/>
        </w:rPr>
        <w:t xml:space="preserve"> cinco por ciento (2.5%) del valor gravado.</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ARTÍCULO CUARTO: CONTROL POLÍTICO. Establece un control de la inversión de los dineros recaudados por esta tasa por parte de las Contralorías departamentales y municipales.</w:t>
      </w:r>
    </w:p>
    <w:p w:rsidR="00EB2427" w:rsidRPr="007E18D8" w:rsidRDefault="00EB2427"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EL ARTÍCULO QUINTO: VIGENCIA. Regula los efectos del presente proyecto de ley que regirán a partir de su promulgación.</w:t>
      </w:r>
    </w:p>
    <w:p w:rsidR="00EA3136" w:rsidRPr="007E18D8" w:rsidRDefault="00EA3136" w:rsidP="009B2B90">
      <w:pPr>
        <w:tabs>
          <w:tab w:val="left" w:pos="5445"/>
        </w:tabs>
        <w:jc w:val="both"/>
        <w:rPr>
          <w:rFonts w:ascii="Gill Sans MT" w:eastAsia="Times New Roman" w:hAnsi="Gill Sans MT" w:cs="Arial"/>
          <w:sz w:val="24"/>
          <w:szCs w:val="24"/>
          <w:lang w:eastAsia="es-MX"/>
        </w:rPr>
      </w:pPr>
    </w:p>
    <w:p w:rsidR="009B2B90" w:rsidRPr="007E18D8" w:rsidRDefault="009B2B90" w:rsidP="009B2B90">
      <w:pPr>
        <w:tabs>
          <w:tab w:val="left" w:pos="5445"/>
        </w:tabs>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 xml:space="preserve">Cordialmente, </w:t>
      </w:r>
    </w:p>
    <w:p w:rsidR="009B2B90" w:rsidRPr="007E18D8" w:rsidRDefault="009B2B90" w:rsidP="009B2B90">
      <w:pPr>
        <w:tabs>
          <w:tab w:val="left" w:pos="5445"/>
        </w:tabs>
        <w:jc w:val="both"/>
        <w:rPr>
          <w:rFonts w:ascii="Gill Sans MT" w:eastAsia="Times New Roman" w:hAnsi="Gill Sans MT" w:cs="Arial"/>
          <w:sz w:val="24"/>
          <w:szCs w:val="24"/>
          <w:lang w:eastAsia="es-MX"/>
        </w:rPr>
      </w:pPr>
    </w:p>
    <w:p w:rsidR="009B2B90" w:rsidRPr="007E18D8" w:rsidRDefault="009B2B90" w:rsidP="009B2B90">
      <w:pPr>
        <w:tabs>
          <w:tab w:val="left" w:pos="5445"/>
        </w:tabs>
        <w:jc w:val="both"/>
        <w:rPr>
          <w:rFonts w:ascii="Gill Sans MT" w:eastAsia="Times New Roman" w:hAnsi="Gill Sans MT" w:cs="Arial"/>
          <w:sz w:val="24"/>
          <w:szCs w:val="24"/>
          <w:lang w:eastAsia="es-MX"/>
        </w:rPr>
      </w:pPr>
    </w:p>
    <w:p w:rsidR="009B2B90" w:rsidRPr="007E18D8" w:rsidRDefault="009B2B90" w:rsidP="009B2B90">
      <w:pPr>
        <w:tabs>
          <w:tab w:val="left" w:pos="5445"/>
        </w:tabs>
        <w:jc w:val="both"/>
        <w:rPr>
          <w:rFonts w:ascii="Gill Sans MT" w:eastAsia="Times New Roman" w:hAnsi="Gill Sans MT" w:cs="Arial"/>
          <w:sz w:val="24"/>
          <w:szCs w:val="24"/>
          <w:lang w:eastAsia="es-MX"/>
        </w:rPr>
      </w:pPr>
    </w:p>
    <w:p w:rsidR="009B2B90" w:rsidRPr="007E18D8" w:rsidRDefault="009B2B90" w:rsidP="009B2B90">
      <w:pPr>
        <w:tabs>
          <w:tab w:val="left" w:pos="5445"/>
        </w:tabs>
        <w:jc w:val="both"/>
        <w:rPr>
          <w:rFonts w:ascii="Gill Sans MT" w:eastAsia="Times New Roman" w:hAnsi="Gill Sans MT" w:cs="Arial"/>
          <w:sz w:val="24"/>
          <w:szCs w:val="24"/>
          <w:lang w:eastAsia="es-MX"/>
        </w:rPr>
      </w:pPr>
    </w:p>
    <w:p w:rsidR="009B2B90" w:rsidRPr="007E18D8" w:rsidRDefault="009B2B90" w:rsidP="009B2B90">
      <w:pPr>
        <w:tabs>
          <w:tab w:val="left" w:pos="5445"/>
        </w:tabs>
        <w:spacing w:after="0"/>
        <w:jc w:val="both"/>
        <w:rPr>
          <w:rFonts w:ascii="Gill Sans MT" w:eastAsia="Times New Roman" w:hAnsi="Gill Sans MT" w:cs="Arial"/>
          <w:b/>
          <w:sz w:val="24"/>
          <w:szCs w:val="24"/>
          <w:lang w:eastAsia="es-MX"/>
        </w:rPr>
      </w:pPr>
      <w:r w:rsidRPr="007E18D8">
        <w:rPr>
          <w:rFonts w:ascii="Gill Sans MT" w:eastAsia="Times New Roman" w:hAnsi="Gill Sans MT" w:cs="Arial"/>
          <w:b/>
          <w:sz w:val="24"/>
          <w:szCs w:val="24"/>
          <w:lang w:eastAsia="es-MX"/>
        </w:rPr>
        <w:t>NORMA HURTADO SÁNCHEZ</w:t>
      </w:r>
    </w:p>
    <w:p w:rsidR="009B2B90" w:rsidRPr="007E18D8" w:rsidRDefault="009B2B90" w:rsidP="009B2B90">
      <w:pPr>
        <w:tabs>
          <w:tab w:val="left" w:pos="5445"/>
        </w:tabs>
        <w:spacing w:after="0"/>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Representante a la Cámara</w:t>
      </w:r>
    </w:p>
    <w:p w:rsidR="00EB2427" w:rsidRPr="007E18D8" w:rsidRDefault="009B2B90" w:rsidP="009B2B90">
      <w:pPr>
        <w:tabs>
          <w:tab w:val="left" w:pos="5445"/>
        </w:tabs>
        <w:spacing w:after="0"/>
        <w:jc w:val="both"/>
        <w:rPr>
          <w:rFonts w:ascii="Gill Sans MT" w:eastAsia="Times New Roman" w:hAnsi="Gill Sans MT" w:cs="Arial"/>
          <w:sz w:val="24"/>
          <w:szCs w:val="24"/>
          <w:lang w:eastAsia="es-MX"/>
        </w:rPr>
      </w:pPr>
      <w:r w:rsidRPr="007E18D8">
        <w:rPr>
          <w:rFonts w:ascii="Gill Sans MT" w:eastAsia="Times New Roman" w:hAnsi="Gill Sans MT" w:cs="Arial"/>
          <w:sz w:val="24"/>
          <w:szCs w:val="24"/>
          <w:lang w:eastAsia="es-MX"/>
        </w:rPr>
        <w:t>Valle del Cauca</w:t>
      </w:r>
    </w:p>
    <w:sectPr w:rsidR="00EB2427" w:rsidRPr="007E18D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D63" w:rsidRDefault="00866D63">
      <w:pPr>
        <w:spacing w:after="0" w:line="240" w:lineRule="auto"/>
      </w:pPr>
      <w:r>
        <w:separator/>
      </w:r>
    </w:p>
  </w:endnote>
  <w:endnote w:type="continuationSeparator" w:id="0">
    <w:p w:rsidR="00866D63" w:rsidRDefault="00866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Geneva">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96923"/>
      <w:docPartObj>
        <w:docPartGallery w:val="Page Numbers (Bottom of Page)"/>
        <w:docPartUnique/>
      </w:docPartObj>
    </w:sdtPr>
    <w:sdtEndPr/>
    <w:sdtContent>
      <w:p w:rsidR="00314E0A" w:rsidRDefault="00A1684A">
        <w:pPr>
          <w:pStyle w:val="Piedepgina"/>
          <w:jc w:val="right"/>
        </w:pPr>
        <w:r>
          <w:fldChar w:fldCharType="begin"/>
        </w:r>
        <w:r>
          <w:instrText>PAGE   \* MERGEFORMAT</w:instrText>
        </w:r>
        <w:r>
          <w:fldChar w:fldCharType="separate"/>
        </w:r>
        <w:r w:rsidR="00007937" w:rsidRPr="00007937">
          <w:rPr>
            <w:noProof/>
            <w:lang w:val="es-ES"/>
          </w:rPr>
          <w:t>2</w:t>
        </w:r>
        <w:r>
          <w:fldChar w:fldCharType="end"/>
        </w:r>
      </w:p>
    </w:sdtContent>
  </w:sdt>
  <w:p w:rsidR="00314E0A" w:rsidRDefault="00007937" w:rsidP="00EB431F">
    <w:pPr>
      <w:pStyle w:val="Piedepgina"/>
      <w:ind w:left="7788"/>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D63" w:rsidRDefault="00866D63">
      <w:pPr>
        <w:spacing w:after="0" w:line="240" w:lineRule="auto"/>
      </w:pPr>
      <w:r>
        <w:separator/>
      </w:r>
    </w:p>
  </w:footnote>
  <w:footnote w:type="continuationSeparator" w:id="0">
    <w:p w:rsidR="00866D63" w:rsidRDefault="00866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AE3" w:rsidRPr="007E18D8" w:rsidRDefault="003E5AE3" w:rsidP="007E18D8">
    <w:pPr>
      <w:pStyle w:val="Encabezado"/>
      <w:jc w:val="center"/>
      <w:rPr>
        <w:rStyle w:val="Ninguno"/>
        <w:rFonts w:ascii="Gill Sans MT" w:hAnsi="Gill Sans MT"/>
        <w:b/>
      </w:rPr>
    </w:pPr>
    <w:r w:rsidRPr="007E18D8">
      <w:rPr>
        <w:rFonts w:ascii="Gill Sans MT" w:hAnsi="Gill Sans MT"/>
        <w:b/>
        <w:noProof/>
        <w:lang w:eastAsia="es-CO"/>
      </w:rPr>
      <w:drawing>
        <wp:anchor distT="0" distB="0" distL="0" distR="0" simplePos="0" relativeHeight="251659264" behindDoc="0" locked="0" layoutInCell="1" allowOverlap="1" wp14:anchorId="6F887DD7" wp14:editId="62508FFF">
          <wp:simplePos x="0" y="0"/>
          <wp:positionH relativeFrom="page">
            <wp:posOffset>2676525</wp:posOffset>
          </wp:positionH>
          <wp:positionV relativeFrom="page">
            <wp:posOffset>466725</wp:posOffset>
          </wp:positionV>
          <wp:extent cx="2276475" cy="587375"/>
          <wp:effectExtent l="0" t="0" r="9525" b="3175"/>
          <wp:wrapTopAndBottom distT="0" distB="0"/>
          <wp:docPr id="1073741825" name="officeArt object" descr="pasted-image-filtered.png"/>
          <wp:cNvGraphicFramePr/>
          <a:graphic xmlns:a="http://schemas.openxmlformats.org/drawingml/2006/main">
            <a:graphicData uri="http://schemas.openxmlformats.org/drawingml/2006/picture">
              <pic:pic xmlns:pic="http://schemas.openxmlformats.org/drawingml/2006/picture">
                <pic:nvPicPr>
                  <pic:cNvPr id="1073741825" name="pasted-image-filtered.png" descr="pasted-image-filtered.png"/>
                  <pic:cNvPicPr>
                    <a:picLocks noChangeAspect="1"/>
                  </pic:cNvPicPr>
                </pic:nvPicPr>
                <pic:blipFill>
                  <a:blip r:embed="rId1">
                    <a:extLst/>
                  </a:blip>
                  <a:srcRect l="9319" t="21705" r="12331" b="21705"/>
                  <a:stretch>
                    <a:fillRect/>
                  </a:stretch>
                </pic:blipFill>
                <pic:spPr>
                  <a:xfrm>
                    <a:off x="0" y="0"/>
                    <a:ext cx="2276475" cy="587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7E18D8">
      <w:rPr>
        <w:rStyle w:val="Ninguno"/>
        <w:rFonts w:ascii="Gill Sans MT" w:hAnsi="Gill Sans MT"/>
        <w:b/>
        <w:color w:val="454545"/>
        <w:sz w:val="24"/>
        <w:szCs w:val="24"/>
        <w:u w:color="454545"/>
      </w:rPr>
      <w:t>NORMA HURTADO SÁNCHEZ</w:t>
    </w:r>
  </w:p>
  <w:p w:rsidR="003E5AE3" w:rsidRPr="007E18D8" w:rsidRDefault="003E5AE3" w:rsidP="003E5AE3">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center"/>
      <w:rPr>
        <w:rStyle w:val="Ninguno"/>
        <w:rFonts w:ascii="Gill Sans MT" w:eastAsia="Geneva" w:hAnsi="Gill Sans MT" w:cs="Geneva"/>
        <w:color w:val="454545"/>
        <w:sz w:val="24"/>
        <w:szCs w:val="24"/>
        <w:u w:color="454545"/>
      </w:rPr>
    </w:pPr>
    <w:r w:rsidRPr="007E18D8">
      <w:rPr>
        <w:rStyle w:val="Ninguno"/>
        <w:rFonts w:ascii="Gill Sans MT" w:hAnsi="Gill Sans MT"/>
        <w:color w:val="454545"/>
        <w:sz w:val="24"/>
        <w:szCs w:val="24"/>
        <w:u w:color="454545"/>
      </w:rPr>
      <w:t>Representante de la República</w:t>
    </w:r>
  </w:p>
  <w:p w:rsidR="00AB446A" w:rsidRDefault="00007937" w:rsidP="00EB431F">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F97"/>
    <w:multiLevelType w:val="hybridMultilevel"/>
    <w:tmpl w:val="299469D2"/>
    <w:lvl w:ilvl="0" w:tplc="28BCF95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0A62B9"/>
    <w:multiLevelType w:val="hybridMultilevel"/>
    <w:tmpl w:val="5930D9A4"/>
    <w:lvl w:ilvl="0" w:tplc="03E6FE3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B43650F"/>
    <w:multiLevelType w:val="hybridMultilevel"/>
    <w:tmpl w:val="4926B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D3B7DF2"/>
    <w:multiLevelType w:val="multilevel"/>
    <w:tmpl w:val="EA625C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996324"/>
    <w:multiLevelType w:val="hybridMultilevel"/>
    <w:tmpl w:val="C476828C"/>
    <w:lvl w:ilvl="0" w:tplc="240A0019">
      <w:start w:val="1"/>
      <w:numFmt w:val="lowerLetter"/>
      <w:lvlText w:val="%1."/>
      <w:lvlJc w:val="left"/>
      <w:pPr>
        <w:ind w:left="720" w:hanging="360"/>
      </w:pPr>
      <w:rPr>
        <w:rFonts w:hint="default"/>
        <w:b/>
      </w:rPr>
    </w:lvl>
    <w:lvl w:ilvl="1" w:tplc="D2E434F4">
      <w:start w:val="1"/>
      <w:numFmt w:val="decimal"/>
      <w:lvlText w:val="%2."/>
      <w:lvlJc w:val="left"/>
      <w:pPr>
        <w:ind w:left="720" w:hanging="720"/>
      </w:pPr>
      <w:rPr>
        <w:rFonts w:hint="default"/>
        <w:b/>
        <w:color w:val="auto"/>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4A"/>
    <w:rsid w:val="00007937"/>
    <w:rsid w:val="0005531F"/>
    <w:rsid w:val="00102280"/>
    <w:rsid w:val="001B5DB0"/>
    <w:rsid w:val="00262312"/>
    <w:rsid w:val="00315E4C"/>
    <w:rsid w:val="003E5AE3"/>
    <w:rsid w:val="004846DC"/>
    <w:rsid w:val="0053480F"/>
    <w:rsid w:val="00683C1E"/>
    <w:rsid w:val="00733385"/>
    <w:rsid w:val="007E18D8"/>
    <w:rsid w:val="00866D63"/>
    <w:rsid w:val="00872938"/>
    <w:rsid w:val="009867B4"/>
    <w:rsid w:val="009B2B90"/>
    <w:rsid w:val="00A1684A"/>
    <w:rsid w:val="00B736F0"/>
    <w:rsid w:val="00D019FB"/>
    <w:rsid w:val="00DC5C61"/>
    <w:rsid w:val="00E27A6B"/>
    <w:rsid w:val="00E51DCF"/>
    <w:rsid w:val="00EA3136"/>
    <w:rsid w:val="00EB2427"/>
    <w:rsid w:val="00F36646"/>
    <w:rsid w:val="00F508A4"/>
    <w:rsid w:val="00F85E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142A0-DBAB-4669-849C-C8B3F660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8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A1684A"/>
    <w:pPr>
      <w:ind w:left="720"/>
      <w:contextualSpacing/>
    </w:pPr>
  </w:style>
  <w:style w:type="paragraph" w:styleId="Encabezado">
    <w:name w:val="header"/>
    <w:basedOn w:val="Normal"/>
    <w:link w:val="EncabezadoCar"/>
    <w:uiPriority w:val="99"/>
    <w:unhideWhenUsed/>
    <w:rsid w:val="00A168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684A"/>
  </w:style>
  <w:style w:type="paragraph" w:styleId="Piedepgina">
    <w:name w:val="footer"/>
    <w:basedOn w:val="Normal"/>
    <w:link w:val="PiedepginaCar"/>
    <w:uiPriority w:val="99"/>
    <w:unhideWhenUsed/>
    <w:rsid w:val="00A168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684A"/>
  </w:style>
  <w:style w:type="paragraph" w:customStyle="1" w:styleId="Poromisin">
    <w:name w:val="Por omisión"/>
    <w:rsid w:val="003E5AE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s-CO"/>
    </w:rPr>
  </w:style>
  <w:style w:type="character" w:customStyle="1" w:styleId="Ninguno">
    <w:name w:val="Ninguno"/>
    <w:rsid w:val="003E5AE3"/>
  </w:style>
  <w:style w:type="paragraph" w:styleId="Textodeglobo">
    <w:name w:val="Balloon Text"/>
    <w:basedOn w:val="Normal"/>
    <w:link w:val="TextodegloboCar"/>
    <w:uiPriority w:val="99"/>
    <w:semiHidden/>
    <w:unhideWhenUsed/>
    <w:rsid w:val="00B736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8250</Words>
  <Characters>45378</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Andres Echeverry Caicedo</dc:creator>
  <cp:keywords/>
  <dc:description/>
  <cp:lastModifiedBy>hasbleidy suarez</cp:lastModifiedBy>
  <cp:revision>2</cp:revision>
  <cp:lastPrinted>2018-10-23T16:32:00Z</cp:lastPrinted>
  <dcterms:created xsi:type="dcterms:W3CDTF">2018-10-24T14:13:00Z</dcterms:created>
  <dcterms:modified xsi:type="dcterms:W3CDTF">2018-10-24T14:13:00Z</dcterms:modified>
</cp:coreProperties>
</file>