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E8" w:rsidRPr="00A20AEF" w:rsidRDefault="004141E8">
      <w:pPr>
        <w:widowControl w:val="0"/>
        <w:pBdr>
          <w:top w:val="nil"/>
          <w:left w:val="nil"/>
          <w:bottom w:val="nil"/>
          <w:right w:val="nil"/>
          <w:between w:val="nil"/>
        </w:pBdr>
        <w:spacing w:after="100"/>
        <w:contextualSpacing w:val="0"/>
        <w:jc w:val="center"/>
        <w:rPr>
          <w:rFonts w:eastAsia="Times New Roman"/>
          <w:b/>
          <w:color w:val="000000"/>
        </w:rPr>
      </w:pPr>
      <w:bookmarkStart w:id="0" w:name="_GoBack"/>
      <w:bookmarkEnd w:id="0"/>
    </w:p>
    <w:p w:rsidR="004141E8" w:rsidRPr="00A20AEF" w:rsidRDefault="00E01089">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 xml:space="preserve">PROYECTO DE LEY ___________________ DE 2018 </w:t>
      </w:r>
    </w:p>
    <w:p w:rsidR="004141E8" w:rsidRPr="00A20AEF" w:rsidRDefault="00E01089">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“Por medio de la cual se fortalecen las reglas para la persecución penal efectiva y el reintegro de bienes por parte de procesados y condenados por corrupción y delitos contra la administración pública y se dic</w:t>
      </w:r>
      <w:r w:rsidRPr="00A20AEF">
        <w:rPr>
          <w:rFonts w:eastAsia="Times New Roman"/>
          <w:b/>
        </w:rPr>
        <w:t>tan otras disposiciones</w:t>
      </w:r>
      <w:r w:rsidRPr="00A20AEF">
        <w:rPr>
          <w:rFonts w:eastAsia="Times New Roman"/>
          <w:b/>
          <w:color w:val="000000"/>
        </w:rPr>
        <w:t>”</w:t>
      </w:r>
    </w:p>
    <w:p w:rsidR="004141E8" w:rsidRPr="00A20AEF" w:rsidRDefault="004141E8">
      <w:pPr>
        <w:widowControl w:val="0"/>
        <w:pBdr>
          <w:top w:val="nil"/>
          <w:left w:val="nil"/>
          <w:bottom w:val="nil"/>
          <w:right w:val="nil"/>
          <w:between w:val="nil"/>
        </w:pBdr>
        <w:spacing w:after="100"/>
        <w:contextualSpacing w:val="0"/>
        <w:jc w:val="center"/>
        <w:rPr>
          <w:rFonts w:eastAsia="Times New Roman"/>
          <w:b/>
          <w:color w:val="000000"/>
        </w:rPr>
      </w:pPr>
    </w:p>
    <w:p w:rsidR="004141E8" w:rsidRPr="00A20AEF" w:rsidRDefault="00E01089">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 xml:space="preserve">El Congreso de la República de Colombia </w:t>
      </w:r>
    </w:p>
    <w:p w:rsidR="004141E8" w:rsidRPr="00A20AEF" w:rsidRDefault="00E01089">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DECRETA</w:t>
      </w:r>
    </w:p>
    <w:p w:rsidR="004141E8" w:rsidRPr="00A20AEF" w:rsidRDefault="004141E8">
      <w:pPr>
        <w:widowControl w:val="0"/>
        <w:pBdr>
          <w:top w:val="nil"/>
          <w:left w:val="nil"/>
          <w:bottom w:val="nil"/>
          <w:right w:val="nil"/>
          <w:between w:val="nil"/>
        </w:pBdr>
        <w:spacing w:after="100"/>
        <w:contextualSpacing w:val="0"/>
        <w:jc w:val="center"/>
        <w:rPr>
          <w:rFonts w:eastAsia="Times New Roman"/>
          <w:color w:val="000000"/>
        </w:rPr>
      </w:pPr>
    </w:p>
    <w:p w:rsidR="004141E8" w:rsidRPr="00A20AEF" w:rsidRDefault="00E01089">
      <w:pPr>
        <w:widowControl w:val="0"/>
        <w:pBdr>
          <w:top w:val="nil"/>
          <w:left w:val="nil"/>
          <w:bottom w:val="nil"/>
          <w:right w:val="nil"/>
          <w:between w:val="nil"/>
        </w:pBdr>
        <w:spacing w:after="100"/>
        <w:contextualSpacing w:val="0"/>
        <w:jc w:val="both"/>
        <w:rPr>
          <w:rFonts w:eastAsia="Times New Roman"/>
          <w:color w:val="000000"/>
        </w:rPr>
      </w:pPr>
      <w:r w:rsidRPr="00A20AEF">
        <w:rPr>
          <w:rFonts w:eastAsia="Times New Roman"/>
          <w:b/>
          <w:color w:val="000000"/>
        </w:rPr>
        <w:t>Artículo 1°. OBJETO.</w:t>
      </w:r>
      <w:r w:rsidRPr="00A20AEF">
        <w:rPr>
          <w:rFonts w:eastAsia="Times New Roman"/>
          <w:color w:val="000000"/>
        </w:rPr>
        <w:t xml:space="preserve"> La presente ley tiene por objeto adoptar medidas para la sanción efectiva de los delitos cometidos contra la administración pública, a través de la eliminación de beneficios penales y de la modificación del régimen de inhabilidades para contratar con el Estado. Lo anterior, con el fin de garantizar el principio constitucional de igualdad y transparencia.</w:t>
      </w:r>
    </w:p>
    <w:p w:rsidR="004141E8" w:rsidRPr="00A20AEF" w:rsidRDefault="004141E8">
      <w:pPr>
        <w:widowControl w:val="0"/>
        <w:pBdr>
          <w:top w:val="nil"/>
          <w:left w:val="nil"/>
          <w:bottom w:val="nil"/>
          <w:right w:val="nil"/>
          <w:between w:val="nil"/>
        </w:pBdr>
        <w:spacing w:after="100"/>
        <w:contextualSpacing w:val="0"/>
        <w:jc w:val="both"/>
        <w:rPr>
          <w:rFonts w:eastAsia="Times New Roman"/>
          <w:color w:val="000000"/>
        </w:rPr>
      </w:pPr>
    </w:p>
    <w:p w:rsidR="004141E8" w:rsidRPr="00A20AEF" w:rsidRDefault="00E01089">
      <w:pPr>
        <w:widowControl w:val="0"/>
        <w:pBdr>
          <w:top w:val="nil"/>
          <w:left w:val="nil"/>
          <w:bottom w:val="nil"/>
          <w:right w:val="nil"/>
          <w:between w:val="nil"/>
        </w:pBdr>
        <w:spacing w:after="100"/>
        <w:contextualSpacing w:val="0"/>
        <w:jc w:val="both"/>
        <w:rPr>
          <w:rFonts w:eastAsia="Times New Roman"/>
          <w:b/>
          <w:color w:val="000000"/>
        </w:rPr>
      </w:pPr>
      <w:r w:rsidRPr="00A20AEF">
        <w:rPr>
          <w:rFonts w:eastAsia="Times New Roman"/>
          <w:b/>
          <w:color w:val="000000"/>
        </w:rPr>
        <w:t xml:space="preserve">Artículo 2°. DETENCIÓN Y RECLUSIÓN EFECTIVA. </w:t>
      </w:r>
      <w:r w:rsidRPr="00A20AEF">
        <w:rPr>
          <w:rFonts w:eastAsia="Times New Roman"/>
          <w:color w:val="000000"/>
        </w:rPr>
        <w:t>Adiciónese el siguiente parágrafo al artículo 29 de la Ley</w:t>
      </w:r>
      <w:r w:rsidR="00A20AEF">
        <w:rPr>
          <w:rFonts w:eastAsia="Times New Roman"/>
          <w:color w:val="000000"/>
        </w:rPr>
        <w:t xml:space="preserve"> 65 de 1993</w:t>
      </w:r>
      <w:r w:rsidRPr="00A20AEF">
        <w:rPr>
          <w:rFonts w:eastAsia="Times New Roman"/>
          <w:color w:val="000000"/>
        </w:rPr>
        <w:t>, el cual quedará así:</w:t>
      </w:r>
    </w:p>
    <w:p w:rsidR="004141E8" w:rsidRPr="00A20AEF" w:rsidRDefault="004141E8">
      <w:pPr>
        <w:widowControl w:val="0"/>
        <w:pBdr>
          <w:top w:val="nil"/>
          <w:left w:val="nil"/>
          <w:bottom w:val="nil"/>
          <w:right w:val="nil"/>
          <w:between w:val="nil"/>
        </w:pBdr>
        <w:spacing w:after="100"/>
        <w:contextualSpacing w:val="0"/>
        <w:jc w:val="both"/>
        <w:rPr>
          <w:rFonts w:eastAsia="Times New Roman"/>
          <w:b/>
          <w:color w:val="000000"/>
        </w:rPr>
      </w:pPr>
    </w:p>
    <w:p w:rsidR="004141E8" w:rsidRPr="00A20AEF" w:rsidRDefault="00E01089">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b/>
          <w:color w:val="000000"/>
        </w:rPr>
        <w:t>PARÁGRAFO 2</w:t>
      </w:r>
      <w:r w:rsidRPr="00A20AEF">
        <w:rPr>
          <w:rFonts w:eastAsia="Times New Roman"/>
          <w:color w:val="000000"/>
        </w:rPr>
        <w:t xml:space="preserve">: El personal del Instituto Nacional Penitenciario y Carcelario, funcionarios y empleados de la Justicia Penal, Cuerpo de Policía Judicial y del Ministerio Público, servidores públicos de elección popular, funcionarios que gocen de fuero legal o constitucional, así como los ex servidores públicos detenidos preventivamente o condenados por cometer </w:t>
      </w:r>
      <w:r w:rsidRPr="00A20AEF">
        <w:rPr>
          <w:rFonts w:eastAsia="Times New Roman"/>
        </w:rPr>
        <w:t>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w:t>
      </w:r>
      <w:r w:rsidRPr="00A20AEF">
        <w:rPr>
          <w:rFonts w:eastAsia="Times New Roman"/>
          <w:color w:val="000000"/>
        </w:rPr>
        <w:t xml:space="preserve">, </w:t>
      </w:r>
      <w:r w:rsidRPr="00A20AEF">
        <w:rPr>
          <w:rFonts w:eastAsia="Times New Roman"/>
        </w:rPr>
        <w:t xml:space="preserve">deberán ser detenidos o recluidos en establecimientos penitenciarios y carcelarios, sin ningún privilegio especial. </w:t>
      </w:r>
    </w:p>
    <w:p w:rsidR="004141E8" w:rsidRPr="00A20AEF" w:rsidRDefault="004141E8">
      <w:pPr>
        <w:contextualSpacing w:val="0"/>
        <w:jc w:val="both"/>
        <w:rPr>
          <w:rFonts w:eastAsia="Times New Roman"/>
          <w:b/>
          <w:color w:val="000000"/>
        </w:rPr>
      </w:pPr>
    </w:p>
    <w:p w:rsidR="004141E8" w:rsidRPr="00A20AEF" w:rsidRDefault="00E01089">
      <w:pPr>
        <w:widowControl w:val="0"/>
        <w:pBdr>
          <w:top w:val="nil"/>
          <w:left w:val="nil"/>
          <w:bottom w:val="nil"/>
          <w:right w:val="nil"/>
          <w:between w:val="nil"/>
        </w:pBdr>
        <w:spacing w:after="100"/>
        <w:contextualSpacing w:val="0"/>
        <w:jc w:val="both"/>
        <w:rPr>
          <w:rFonts w:eastAsia="Times New Roman"/>
        </w:rPr>
      </w:pPr>
      <w:r w:rsidRPr="00A20AEF">
        <w:rPr>
          <w:rFonts w:eastAsia="Times New Roman"/>
          <w:b/>
          <w:color w:val="000000"/>
        </w:rPr>
        <w:t xml:space="preserve">Artículo 3°. PROHIBICIÓN DE PENA DOMICILIARIA. </w:t>
      </w:r>
      <w:r w:rsidRPr="00A20AEF">
        <w:rPr>
          <w:rFonts w:eastAsia="Times New Roman"/>
        </w:rPr>
        <w:t>Modifíquese el artículo 39G de la Ley 599 de 2000, que trata de la ejecución de la pena privativa de la libertad en lugar de residencia, el cual quedará así:</w:t>
      </w:r>
    </w:p>
    <w:p w:rsidR="004141E8" w:rsidRPr="00A20AEF" w:rsidRDefault="004141E8">
      <w:pPr>
        <w:widowControl w:val="0"/>
        <w:pBdr>
          <w:top w:val="nil"/>
          <w:left w:val="nil"/>
          <w:bottom w:val="nil"/>
          <w:right w:val="nil"/>
          <w:between w:val="nil"/>
        </w:pBdr>
        <w:spacing w:after="100"/>
        <w:contextualSpacing w:val="0"/>
        <w:jc w:val="both"/>
        <w:rPr>
          <w:rFonts w:eastAsia="Times New Roman"/>
          <w:color w:val="000000"/>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rPr>
        <w:t>“</w:t>
      </w:r>
      <w:r w:rsidRPr="00A20AEF">
        <w:rPr>
          <w:rFonts w:eastAsia="Times New Roman"/>
          <w:b/>
          <w:color w:val="000000"/>
        </w:rPr>
        <w:t>Artículo 38G.</w:t>
      </w:r>
      <w:r w:rsidRPr="00A20AEF">
        <w:rPr>
          <w:rFonts w:eastAsia="Times New Roman"/>
          <w:color w:val="000000"/>
        </w:rPr>
        <w:t xml:space="preserve">  La ejecución de la pena privativa de la libertad 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w:t>
      </w:r>
      <w:r w:rsidRPr="00A20AEF">
        <w:rPr>
          <w:rFonts w:eastAsia="Times New Roman"/>
          <w:color w:val="000000"/>
        </w:rPr>
        <w:lastRenderedPageBreak/>
        <w:t xml:space="preserve">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375 y el inciso 2o del artículo 376 del presente código; </w:t>
      </w:r>
      <w:r w:rsidRPr="00A20AEF">
        <w:rPr>
          <w:rFonts w:eastAsia="Times New Roman"/>
          <w:color w:val="000000"/>
          <w:u w:val="single"/>
        </w:rPr>
        <w:t>en los delitos que afecten el patrimonio del Estado, en los delitos dolosos contra la administración pública contemplados en el Título XV, Capítulos Primero, Segundo, Tercero, Cuarto, Quinto, Sexto y Séptimo del Libro Segundo de este Código y los que atentan contra la eficaz y recta impartición de justicia.</w:t>
      </w:r>
      <w:r w:rsidRPr="00A20AEF">
        <w:rPr>
          <w:rFonts w:eastAsia="Times New Roman"/>
          <w:color w:val="000000"/>
        </w:rPr>
        <w:t>”</w:t>
      </w:r>
    </w:p>
    <w:p w:rsidR="004141E8" w:rsidRPr="00A20AEF" w:rsidRDefault="004141E8">
      <w:pPr>
        <w:ind w:right="616"/>
        <w:contextualSpacing w:val="0"/>
        <w:jc w:val="both"/>
        <w:rPr>
          <w:rFonts w:eastAsia="Times New Roman"/>
          <w:b/>
          <w:color w:val="000000"/>
        </w:rPr>
      </w:pPr>
    </w:p>
    <w:p w:rsidR="004141E8" w:rsidRPr="00A20AEF" w:rsidRDefault="00E01089">
      <w:pPr>
        <w:tabs>
          <w:tab w:val="left" w:pos="7513"/>
        </w:tabs>
        <w:ind w:right="-43"/>
        <w:contextualSpacing w:val="0"/>
        <w:jc w:val="both"/>
        <w:rPr>
          <w:rFonts w:eastAsia="Times New Roman"/>
          <w:b/>
          <w:color w:val="000000"/>
        </w:rPr>
      </w:pPr>
      <w:r w:rsidRPr="00A20AEF">
        <w:rPr>
          <w:rFonts w:eastAsia="Times New Roman"/>
          <w:b/>
          <w:color w:val="000000"/>
        </w:rPr>
        <w:t xml:space="preserve">Artículo 4°. PROHIBICIÓN DE SUSTITUCIÓN DE LA DETENCIÓN PREVENTIVA. </w:t>
      </w:r>
      <w:r w:rsidRPr="00A20AEF">
        <w:rPr>
          <w:rFonts w:eastAsia="Times New Roman"/>
        </w:rPr>
        <w:t>Modifíquese el parágrafo del artículo 314 de la Ley 906 de 2004, que trata sobre la improcedencia  de la sustitución de la detención preventiva, el cual quedará así:</w:t>
      </w:r>
    </w:p>
    <w:p w:rsidR="004141E8" w:rsidRPr="00A20AEF" w:rsidRDefault="004141E8">
      <w:pPr>
        <w:ind w:right="616"/>
        <w:contextualSpacing w:val="0"/>
        <w:jc w:val="both"/>
        <w:rPr>
          <w:rFonts w:eastAsia="Times New Roman"/>
          <w:b/>
          <w:color w:val="000000"/>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b/>
          <w:color w:val="000000"/>
        </w:rPr>
        <w:t>PARÁGRAFO.</w:t>
      </w:r>
      <w:r w:rsidRPr="00A20AEF">
        <w:rPr>
          <w:rFonts w:eastAsia="Times New Roman"/>
          <w:color w:val="000000"/>
        </w:rPr>
        <w:t>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w:t>
      </w:r>
      <w:hyperlink r:id="rId7" w:anchor="188">
        <w:r w:rsidRPr="00A20AEF">
          <w:rPr>
            <w:rFonts w:eastAsia="Times New Roman"/>
            <w:color w:val="000000"/>
            <w:u w:val="single"/>
          </w:rPr>
          <w:t>188</w:t>
        </w:r>
      </w:hyperlink>
      <w:r w:rsidRPr="00A20AEF">
        <w:rPr>
          <w:rFonts w:eastAsia="Times New Roman"/>
          <w:color w:val="000000"/>
        </w:rPr>
        <w:t>); Acceso carnal o actos sexuales con incapaz de resistir (C. P. artículo </w:t>
      </w:r>
      <w:hyperlink r:id="rId8" w:anchor="210">
        <w:r w:rsidRPr="00A20AEF">
          <w:rPr>
            <w:rFonts w:eastAsia="Times New Roman"/>
            <w:color w:val="000000"/>
            <w:u w:val="single"/>
          </w:rPr>
          <w:t>210</w:t>
        </w:r>
      </w:hyperlink>
      <w:r w:rsidRPr="00A20AEF">
        <w:rPr>
          <w:rFonts w:eastAsia="Times New Roman"/>
          <w:color w:val="000000"/>
        </w:rPr>
        <w:t>); Violencia intrafamiliar (C. P. artículo </w:t>
      </w:r>
      <w:hyperlink r:id="rId9" w:anchor="229">
        <w:r w:rsidRPr="00A20AEF">
          <w:rPr>
            <w:rFonts w:eastAsia="Times New Roman"/>
            <w:color w:val="000000"/>
            <w:u w:val="single"/>
          </w:rPr>
          <w:t>229</w:t>
        </w:r>
      </w:hyperlink>
      <w:r w:rsidRPr="00A20AEF">
        <w:rPr>
          <w:rFonts w:eastAsia="Times New Roman"/>
          <w:color w:val="000000"/>
        </w:rPr>
        <w:t>); Hurto calificado (C. P. artículo </w:t>
      </w:r>
      <w:hyperlink r:id="rId10" w:anchor="240">
        <w:r w:rsidRPr="00A20AEF">
          <w:rPr>
            <w:rFonts w:eastAsia="Times New Roman"/>
            <w:color w:val="000000"/>
            <w:u w:val="single"/>
          </w:rPr>
          <w:t>240</w:t>
        </w:r>
      </w:hyperlink>
      <w:r w:rsidRPr="00A20AEF">
        <w:rPr>
          <w:rFonts w:eastAsia="Times New Roman"/>
          <w:color w:val="000000"/>
        </w:rPr>
        <w:t>); Hurto agravado (C. P. artículo </w:t>
      </w:r>
      <w:hyperlink r:id="rId11" w:anchor="241">
        <w:r w:rsidRPr="00A20AEF">
          <w:rPr>
            <w:rFonts w:eastAsia="Times New Roman"/>
            <w:color w:val="000000"/>
            <w:u w:val="single"/>
          </w:rPr>
          <w:t>241</w:t>
        </w:r>
      </w:hyperlink>
      <w:r w:rsidRPr="00A20AEF">
        <w:rPr>
          <w:rFonts w:eastAsia="Times New Roman"/>
          <w:color w:val="000000"/>
        </w:rPr>
        <w:t>, numerales 7, 8, 11, 12 y 15); Estafa agravada (C. P. artículo </w:t>
      </w:r>
      <w:hyperlink r:id="rId12" w:anchor="247">
        <w:r w:rsidRPr="00A20AEF">
          <w:rPr>
            <w:rFonts w:eastAsia="Times New Roman"/>
            <w:color w:val="000000"/>
            <w:u w:val="single"/>
          </w:rPr>
          <w:t>247</w:t>
        </w:r>
      </w:hyperlink>
      <w:r w:rsidRPr="00A20AEF">
        <w:rPr>
          <w:rFonts w:eastAsia="Times New Roman"/>
          <w:color w:val="000000"/>
        </w:rPr>
        <w:t>); Uso de documentos falsos relacionados con medios motorizados hurtados (C. P. artículo </w:t>
      </w:r>
      <w:hyperlink r:id="rId13" w:anchor="291">
        <w:r w:rsidRPr="00A20AEF">
          <w:rPr>
            <w:rFonts w:eastAsia="Times New Roman"/>
            <w:color w:val="000000"/>
            <w:u w:val="single"/>
          </w:rPr>
          <w:t>291</w:t>
        </w:r>
      </w:hyperlink>
      <w:r w:rsidRPr="00A20AEF">
        <w:rPr>
          <w:rFonts w:eastAsia="Times New Roman"/>
          <w:color w:val="000000"/>
        </w:rPr>
        <w:t>); Fabricación, tráfico y porte de armas de fuego o municiones de uso personal, cuando concurra con el delito de concierto para delinquir (C. P. artículos </w:t>
      </w:r>
      <w:hyperlink r:id="rId14" w:anchor="340">
        <w:r w:rsidRPr="00A20AEF">
          <w:rPr>
            <w:rFonts w:eastAsia="Times New Roman"/>
            <w:color w:val="000000"/>
            <w:u w:val="single"/>
          </w:rPr>
          <w:t>340</w:t>
        </w:r>
      </w:hyperlink>
      <w:r w:rsidRPr="00A20AEF">
        <w:rPr>
          <w:rFonts w:eastAsia="Times New Roman"/>
          <w:color w:val="000000"/>
        </w:rPr>
        <w:t> y </w:t>
      </w:r>
      <w:hyperlink r:id="rId15" w:anchor="365">
        <w:r w:rsidRPr="00A20AEF">
          <w:rPr>
            <w:rFonts w:eastAsia="Times New Roman"/>
            <w:color w:val="000000"/>
            <w:u w:val="single"/>
          </w:rPr>
          <w:t>365</w:t>
        </w:r>
      </w:hyperlink>
      <w:r w:rsidRPr="00A20AEF">
        <w:rPr>
          <w:rFonts w:eastAsia="Times New Roman"/>
          <w:color w:val="000000"/>
        </w:rPr>
        <w:t>), o los imputados registren sentencias condenatorias vigentes por los mismos delitos; Fabricación, tráfico y porte de armas y municiones de uso privativo de las fuerzas armadas (C. P. artículo </w:t>
      </w:r>
      <w:hyperlink r:id="rId16" w:anchor="366">
        <w:r w:rsidRPr="00A20AEF">
          <w:rPr>
            <w:rFonts w:eastAsia="Times New Roman"/>
            <w:color w:val="000000"/>
            <w:u w:val="single"/>
          </w:rPr>
          <w:t>366</w:t>
        </w:r>
      </w:hyperlink>
      <w:r w:rsidRPr="00A20AEF">
        <w:rPr>
          <w:rFonts w:eastAsia="Times New Roman"/>
          <w:color w:val="000000"/>
        </w:rPr>
        <w:t>); Fabricación, importación, tráfico, posesión y uso de armas químicas, biológicas y nucleares (C. P. artículo </w:t>
      </w:r>
      <w:hyperlink r:id="rId17" w:anchor="367">
        <w:r w:rsidRPr="00A20AEF">
          <w:rPr>
            <w:rFonts w:eastAsia="Times New Roman"/>
            <w:color w:val="000000"/>
            <w:u w:val="single"/>
          </w:rPr>
          <w:t>367</w:t>
        </w:r>
      </w:hyperlink>
      <w:r w:rsidRPr="00A20AEF">
        <w:rPr>
          <w:rFonts w:eastAsia="Times New Roman"/>
          <w:color w:val="000000"/>
        </w:rPr>
        <w:t>); Peculado por apropiación en cuantía superior a cincuenta (50) salarios mínimos legales mensuales (C. P. artículo </w:t>
      </w:r>
      <w:hyperlink r:id="rId18" w:anchor="397">
        <w:r w:rsidRPr="00A20AEF">
          <w:rPr>
            <w:rFonts w:eastAsia="Times New Roman"/>
            <w:color w:val="000000"/>
            <w:u w:val="single"/>
          </w:rPr>
          <w:t>397</w:t>
        </w:r>
      </w:hyperlink>
      <w:r w:rsidRPr="00A20AEF">
        <w:rPr>
          <w:rFonts w:eastAsia="Times New Roman"/>
          <w:color w:val="000000"/>
        </w:rPr>
        <w:t>); Concusión (C. P. artículo </w:t>
      </w:r>
      <w:hyperlink r:id="rId19" w:anchor="404">
        <w:r w:rsidRPr="00A20AEF">
          <w:rPr>
            <w:rFonts w:eastAsia="Times New Roman"/>
            <w:color w:val="000000"/>
            <w:u w:val="single"/>
          </w:rPr>
          <w:t>404</w:t>
        </w:r>
      </w:hyperlink>
      <w:r w:rsidRPr="00A20AEF">
        <w:rPr>
          <w:rFonts w:eastAsia="Times New Roman"/>
          <w:color w:val="000000"/>
        </w:rPr>
        <w:t>); Cohecho propio (C. P. artículo </w:t>
      </w:r>
      <w:hyperlink r:id="rId20" w:anchor="405">
        <w:r w:rsidRPr="00A20AEF">
          <w:rPr>
            <w:rFonts w:eastAsia="Times New Roman"/>
            <w:color w:val="000000"/>
            <w:u w:val="single"/>
          </w:rPr>
          <w:t>405</w:t>
        </w:r>
      </w:hyperlink>
      <w:r w:rsidRPr="00A20AEF">
        <w:rPr>
          <w:rFonts w:eastAsia="Times New Roman"/>
          <w:color w:val="000000"/>
        </w:rPr>
        <w:t>); Cohecho impropio (C.P. artículo </w:t>
      </w:r>
      <w:hyperlink r:id="rId21" w:anchor="406">
        <w:r w:rsidRPr="00A20AEF">
          <w:rPr>
            <w:rFonts w:eastAsia="Times New Roman"/>
            <w:color w:val="000000"/>
            <w:u w:val="single"/>
          </w:rPr>
          <w:t>406</w:t>
        </w:r>
      </w:hyperlink>
      <w:r w:rsidRPr="00A20AEF">
        <w:rPr>
          <w:rFonts w:eastAsia="Times New Roman"/>
          <w:color w:val="000000"/>
        </w:rPr>
        <w:t>); cohecho por dar u ofrecer (C. P. artículo </w:t>
      </w:r>
      <w:hyperlink r:id="rId22" w:anchor="407">
        <w:r w:rsidRPr="00A20AEF">
          <w:rPr>
            <w:rFonts w:eastAsia="Times New Roman"/>
            <w:color w:val="000000"/>
            <w:u w:val="single"/>
          </w:rPr>
          <w:t>407</w:t>
        </w:r>
      </w:hyperlink>
      <w:r w:rsidRPr="00A20AEF">
        <w:rPr>
          <w:rFonts w:eastAsia="Times New Roman"/>
          <w:color w:val="000000"/>
        </w:rPr>
        <w:t>); Enriquecimiento Ilícito (C.P. artículo </w:t>
      </w:r>
      <w:hyperlink r:id="rId23" w:anchor="412">
        <w:r w:rsidRPr="00A20AEF">
          <w:rPr>
            <w:rFonts w:eastAsia="Times New Roman"/>
            <w:color w:val="000000"/>
            <w:u w:val="single"/>
          </w:rPr>
          <w:t>412</w:t>
        </w:r>
      </w:hyperlink>
      <w:r w:rsidRPr="00A20AEF">
        <w:rPr>
          <w:rFonts w:eastAsia="Times New Roman"/>
          <w:color w:val="000000"/>
        </w:rPr>
        <w:t>); Soborno Transnacional (C.P. artículo </w:t>
      </w:r>
      <w:hyperlink r:id="rId24" w:anchor="433">
        <w:r w:rsidRPr="00A20AEF">
          <w:rPr>
            <w:rFonts w:eastAsia="Times New Roman"/>
            <w:color w:val="000000"/>
            <w:u w:val="single"/>
          </w:rPr>
          <w:t>433</w:t>
        </w:r>
      </w:hyperlink>
      <w:r w:rsidRPr="00A20AEF">
        <w:rPr>
          <w:rFonts w:eastAsia="Times New Roman"/>
          <w:color w:val="000000"/>
        </w:rPr>
        <w:t>); Interés Indebido en la Celebración de Contratos (C.P. artículo </w:t>
      </w:r>
      <w:hyperlink r:id="rId25" w:anchor="409">
        <w:r w:rsidRPr="00A20AEF">
          <w:rPr>
            <w:rFonts w:eastAsia="Times New Roman"/>
            <w:color w:val="000000"/>
            <w:u w:val="single"/>
          </w:rPr>
          <w:t>409</w:t>
        </w:r>
      </w:hyperlink>
      <w:r w:rsidRPr="00A20AEF">
        <w:rPr>
          <w:rFonts w:eastAsia="Times New Roman"/>
          <w:color w:val="000000"/>
        </w:rPr>
        <w:t>); Contrato sin Cumplimiento de Requisitos Legales (C.P. artículo </w:t>
      </w:r>
      <w:hyperlink r:id="rId26" w:anchor="410">
        <w:r w:rsidRPr="00A20AEF">
          <w:rPr>
            <w:rFonts w:eastAsia="Times New Roman"/>
            <w:color w:val="000000"/>
            <w:u w:val="single"/>
          </w:rPr>
          <w:t>410</w:t>
        </w:r>
      </w:hyperlink>
      <w:r w:rsidRPr="00A20AEF">
        <w:rPr>
          <w:rFonts w:eastAsia="Times New Roman"/>
          <w:color w:val="000000"/>
        </w:rPr>
        <w:t>); Tráfico de Influencias (C.P. artículo </w:t>
      </w:r>
      <w:hyperlink r:id="rId27" w:anchor="411">
        <w:r w:rsidRPr="00A20AEF">
          <w:rPr>
            <w:rFonts w:eastAsia="Times New Roman"/>
            <w:color w:val="000000"/>
            <w:u w:val="single"/>
          </w:rPr>
          <w:t>411</w:t>
        </w:r>
      </w:hyperlink>
      <w:r w:rsidRPr="00A20AEF">
        <w:rPr>
          <w:rFonts w:eastAsia="Times New Roman"/>
          <w:color w:val="000000"/>
        </w:rPr>
        <w:t>); Receptación repetida, continua (C.P. artículo </w:t>
      </w:r>
      <w:hyperlink r:id="rId28" w:anchor="447">
        <w:r w:rsidRPr="00A20AEF">
          <w:rPr>
            <w:rFonts w:eastAsia="Times New Roman"/>
            <w:color w:val="000000"/>
            <w:u w:val="single"/>
          </w:rPr>
          <w:t>447</w:t>
        </w:r>
      </w:hyperlink>
      <w:r w:rsidRPr="00A20AEF">
        <w:rPr>
          <w:rFonts w:eastAsia="Times New Roman"/>
          <w:color w:val="000000"/>
        </w:rPr>
        <w:t>, incisos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w:t>
      </w:r>
      <w:hyperlink r:id="rId29" w:anchor="447">
        <w:r w:rsidRPr="00A20AEF">
          <w:rPr>
            <w:rFonts w:eastAsia="Times New Roman"/>
            <w:color w:val="000000"/>
            <w:u w:val="single"/>
          </w:rPr>
          <w:t>447</w:t>
        </w:r>
      </w:hyperlink>
      <w:r w:rsidRPr="00A20AEF">
        <w:rPr>
          <w:rFonts w:eastAsia="Times New Roman"/>
          <w:color w:val="000000"/>
        </w:rPr>
        <w:t xml:space="preserve">, inciso 2o); </w:t>
      </w:r>
      <w:r w:rsidRPr="00A20AEF">
        <w:rPr>
          <w:rFonts w:eastAsia="Times New Roman"/>
          <w:color w:val="000000"/>
          <w:u w:val="single"/>
        </w:rPr>
        <w:t>y los delitos que afecten el patrimonio del Estado, los delitos dolosos contra la administración pública contemplados en el Título XV, Capítulos Primero, Segundo, Tercero, Cuarto, Quinto, Sexto y Sétimo del Libro Segundo de este Código y los que atentan contra la eficaz y recta impartición de justicia.</w:t>
      </w:r>
    </w:p>
    <w:p w:rsidR="004141E8" w:rsidRPr="00A20AEF" w:rsidRDefault="004141E8">
      <w:pPr>
        <w:ind w:right="616"/>
        <w:contextualSpacing w:val="0"/>
        <w:jc w:val="both"/>
        <w:rPr>
          <w:rFonts w:eastAsia="Times New Roman"/>
          <w:b/>
          <w:color w:val="000000"/>
        </w:rPr>
      </w:pPr>
    </w:p>
    <w:p w:rsidR="004141E8" w:rsidRPr="00A20AEF" w:rsidRDefault="00E01089">
      <w:pPr>
        <w:ind w:right="616"/>
        <w:contextualSpacing w:val="0"/>
        <w:jc w:val="both"/>
        <w:rPr>
          <w:rFonts w:eastAsia="Times New Roman"/>
        </w:rPr>
      </w:pPr>
      <w:r w:rsidRPr="00A20AEF">
        <w:rPr>
          <w:rFonts w:eastAsia="Times New Roman"/>
          <w:b/>
          <w:color w:val="000000"/>
        </w:rPr>
        <w:t xml:space="preserve">Artículo 5°. PROHIBICIÓN DE LIBERTAD CONDICIONAL. </w:t>
      </w:r>
      <w:r w:rsidRPr="00A20AEF">
        <w:rPr>
          <w:rFonts w:eastAsia="Times New Roman"/>
        </w:rPr>
        <w:t xml:space="preserve">Adiciónese un numeral 4 al artículo 64 a la Ley 599 de 2000, que trata sobre la Libertad condicional, el cual quedará así: </w:t>
      </w:r>
    </w:p>
    <w:p w:rsidR="004141E8" w:rsidRPr="00A20AEF" w:rsidRDefault="004141E8">
      <w:pPr>
        <w:ind w:right="616"/>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bookmarkStart w:id="1" w:name="gjdgxs" w:colFirst="0" w:colLast="0"/>
      <w:bookmarkEnd w:id="1"/>
      <w:r w:rsidRPr="00A20AEF">
        <w:rPr>
          <w:rFonts w:eastAsia="Times New Roman"/>
          <w:b/>
        </w:rPr>
        <w:t>Artículo 64. Libertad condicional</w:t>
      </w:r>
      <w:r w:rsidRPr="00A20AEF">
        <w:rPr>
          <w:rFonts w:eastAsia="Times New Roman"/>
        </w:rPr>
        <w:t>. El juez, previa valoración de la conducta punible, concederá la libertad condicional a la persona condenada a pena privativa de la libertad cuando haya cumplido con los siguientes requisitos:</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1. Que la persona haya cumplido las tres quintas (3/5) partes de la pena.</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2. Que su adecuado desempeño y comportamiento durante el tratamiento penitenciario en el centro de reclusión permita suponer fundadamente que no existe necesidad de continuar la ejecución de la pena.</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3. Que demuestre arraigo familiar y social.</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Corresponde al juez competente para conceder la libertad condicional establecer, con todos los elementos de prueba allegados a la actuación, la existencia o inexistencia del arraigo.</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En todo caso su concesión estará supeditada a la reparación a la víctima o al aseguramiento del pago de la indemnización mediante garantía personal, real, bancaria o acuerdo de pago, salvo que se demuestre insolvencia del condenado.</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El tiempo que falte para el cumplimiento de la pena se tendrá como periodo de prueba. Cuando este sea inferior a tres años, el juez podrá aumentarlo hasta en otro tanto igual, de considerarlo necesario.</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u w:val="single"/>
        </w:rPr>
        <w:t>4. Que no se trate de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w:t>
      </w:r>
      <w:r w:rsidRPr="00A20AEF">
        <w:rPr>
          <w:rFonts w:eastAsia="Times New Roman"/>
        </w:rPr>
        <w:t>”</w:t>
      </w:r>
    </w:p>
    <w:p w:rsidR="004141E8" w:rsidRPr="00A20AEF" w:rsidRDefault="004141E8">
      <w:pPr>
        <w:contextualSpacing w:val="0"/>
        <w:jc w:val="both"/>
        <w:rPr>
          <w:rFonts w:eastAsia="Times New Roman"/>
          <w:b/>
          <w:color w:val="000000"/>
        </w:rPr>
      </w:pPr>
    </w:p>
    <w:p w:rsidR="004141E8" w:rsidRPr="00A20AEF" w:rsidRDefault="00E01089">
      <w:pPr>
        <w:contextualSpacing w:val="0"/>
        <w:jc w:val="both"/>
        <w:rPr>
          <w:rFonts w:eastAsia="Times New Roman"/>
        </w:rPr>
      </w:pPr>
      <w:r w:rsidRPr="00A20AEF">
        <w:rPr>
          <w:rFonts w:eastAsia="Times New Roman"/>
          <w:b/>
          <w:color w:val="000000"/>
        </w:rPr>
        <w:t xml:space="preserve">Artículo </w:t>
      </w:r>
      <w:r w:rsidRPr="00A20AEF">
        <w:rPr>
          <w:rFonts w:eastAsia="Times New Roman"/>
          <w:b/>
        </w:rPr>
        <w:t>6</w:t>
      </w:r>
      <w:r w:rsidRPr="00A20AEF">
        <w:rPr>
          <w:rFonts w:eastAsia="Times New Roman"/>
          <w:b/>
          <w:color w:val="000000"/>
        </w:rPr>
        <w:t>°. REINTEGRO DE LOS BIENES EN CASOS DE ACEPTACIÓN DE CARGOS.</w:t>
      </w:r>
      <w:r w:rsidRPr="00A20AEF">
        <w:rPr>
          <w:rFonts w:eastAsia="Times New Roman"/>
          <w:color w:val="000000"/>
        </w:rPr>
        <w:t xml:space="preserve"> </w:t>
      </w:r>
      <w:r w:rsidRPr="00A20AEF">
        <w:rPr>
          <w:rFonts w:eastAsia="Times New Roman"/>
        </w:rPr>
        <w:t>Modifíquese el artículo 349 de la Ley 906 de 2004, que trata sobre la Improcedencia de acuerdos o negociaciones con el imputado o acusado, el cual quedará así:</w:t>
      </w:r>
    </w:p>
    <w:p w:rsidR="004141E8" w:rsidRPr="00A20AEF" w:rsidRDefault="004141E8">
      <w:pPr>
        <w:pBdr>
          <w:top w:val="nil"/>
          <w:left w:val="nil"/>
          <w:bottom w:val="nil"/>
          <w:right w:val="nil"/>
          <w:between w:val="nil"/>
        </w:pBdr>
        <w:contextualSpacing w:val="0"/>
        <w:jc w:val="both"/>
        <w:rPr>
          <w:rFonts w:eastAsia="Times New Roman"/>
          <w:color w:val="000000"/>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b/>
          <w:color w:val="000000"/>
        </w:rPr>
        <w:t>“Artículo 349. Improcedencia de acuerdos o negociaciones con el imputado o acusado.</w:t>
      </w:r>
      <w:r w:rsidRPr="00A20AEF">
        <w:rPr>
          <w:rFonts w:eastAsia="Times New Roman"/>
          <w:color w:val="000000"/>
        </w:rPr>
        <w:t xml:space="preserve">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u w:val="single"/>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u w:val="single"/>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éste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u w:val="single"/>
        </w:rPr>
        <w:t xml:space="preserve">Cuando el indiciado por estos mismos delitos no hubiese incrementado su patrimonio, el acceso a las rebajas punitivas solo procederá cuando se informe al fiscal de conocimiento el destino de los recursos. </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p>
    <w:p w:rsidR="004141E8" w:rsidRP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u w:val="single"/>
        </w:rPr>
        <w:t xml:space="preserve">En estos casos, el juez de conocimiento impondrá la pena principal, la suspenderá por un término igual a la misma, e impondrá en subsidio la pena reducida luego de la rebaja punitiva correspondiente. </w:t>
      </w:r>
    </w:p>
    <w:p w:rsidR="004141E8" w:rsidRPr="00A20AEF" w:rsidRDefault="004141E8">
      <w:pPr>
        <w:pBdr>
          <w:top w:val="nil"/>
          <w:left w:val="nil"/>
          <w:bottom w:val="nil"/>
          <w:right w:val="nil"/>
          <w:between w:val="nil"/>
        </w:pBdr>
        <w:ind w:left="1134" w:right="616"/>
        <w:contextualSpacing w:val="0"/>
        <w:jc w:val="both"/>
        <w:rPr>
          <w:rFonts w:eastAsia="Times New Roman"/>
          <w:color w:val="000000"/>
          <w:u w:val="single"/>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u w:val="single"/>
        </w:rPr>
      </w:pPr>
      <w:r w:rsidRPr="00A20AEF">
        <w:rPr>
          <w:rFonts w:eastAsia="Times New Roman"/>
          <w:color w:val="000000"/>
          <w:u w:val="single"/>
        </w:rPr>
        <w:t xml:space="preserve">En caso de que durante el término de suspensión de la pena principal se acredite que la persona conocía del destino de los recursos, y hubiese manifestado desconocerlo o haya suministrado información incompleta, se reactivará la pena principal, perdiendo así las rebajas punitivas a las que se había hecho beneficiario. </w:t>
      </w:r>
    </w:p>
    <w:p w:rsidR="004141E8" w:rsidRPr="00A20AEF" w:rsidRDefault="004141E8">
      <w:pPr>
        <w:pBdr>
          <w:top w:val="nil"/>
          <w:left w:val="nil"/>
          <w:bottom w:val="nil"/>
          <w:right w:val="nil"/>
          <w:between w:val="nil"/>
        </w:pBdr>
        <w:ind w:left="1134" w:right="616"/>
        <w:contextualSpacing w:val="0"/>
        <w:jc w:val="both"/>
        <w:rPr>
          <w:rFonts w:eastAsia="Times New Roman"/>
          <w:color w:val="000000"/>
          <w:u w:val="single"/>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color w:val="000000"/>
          <w:u w:val="single"/>
        </w:rPr>
      </w:pPr>
      <w:r w:rsidRPr="00A20AEF">
        <w:rPr>
          <w:rFonts w:eastAsia="Times New Roman"/>
          <w:color w:val="000000"/>
          <w:u w:val="single"/>
        </w:rPr>
        <w:t>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r w:rsidRPr="00A20AEF">
        <w:rPr>
          <w:rFonts w:eastAsia="Times New Roman"/>
          <w:color w:val="000000"/>
        </w:rPr>
        <w:t>”</w:t>
      </w:r>
    </w:p>
    <w:p w:rsidR="004141E8" w:rsidRPr="00A20AEF" w:rsidRDefault="004141E8">
      <w:pPr>
        <w:pBdr>
          <w:top w:val="nil"/>
          <w:left w:val="nil"/>
          <w:bottom w:val="nil"/>
          <w:right w:val="nil"/>
          <w:between w:val="nil"/>
        </w:pBdr>
        <w:ind w:left="1134" w:right="616"/>
        <w:contextualSpacing w:val="0"/>
        <w:jc w:val="both"/>
        <w:rPr>
          <w:rFonts w:eastAsia="Times New Roman"/>
          <w:color w:val="000000"/>
          <w:u w:val="single"/>
        </w:rPr>
      </w:pPr>
    </w:p>
    <w:p w:rsidR="004141E8" w:rsidRPr="00A20AEF" w:rsidRDefault="00E01089">
      <w:pPr>
        <w:contextualSpacing w:val="0"/>
        <w:jc w:val="both"/>
        <w:rPr>
          <w:rFonts w:eastAsia="Times New Roman"/>
          <w:b/>
        </w:rPr>
      </w:pPr>
      <w:r w:rsidRPr="00A20AEF">
        <w:rPr>
          <w:rFonts w:eastAsia="Times New Roman"/>
          <w:b/>
        </w:rPr>
        <w:t xml:space="preserve">Artículo 7°. </w:t>
      </w:r>
      <w:r w:rsidR="0052584F">
        <w:rPr>
          <w:rFonts w:eastAsia="Times New Roman"/>
        </w:rPr>
        <w:t>Adiciónese el artículo 7B a la L</w:t>
      </w:r>
      <w:r w:rsidRPr="00A20AEF">
        <w:rPr>
          <w:rFonts w:eastAsia="Times New Roman"/>
        </w:rPr>
        <w:t>ey 65 de 1993, el cual quedarás así:</w:t>
      </w:r>
      <w:r w:rsidRPr="00A20AEF">
        <w:rPr>
          <w:rFonts w:eastAsia="Times New Roman"/>
          <w:b/>
        </w:rPr>
        <w:t xml:space="preserve"> </w:t>
      </w:r>
    </w:p>
    <w:p w:rsidR="004141E8" w:rsidRPr="00A20AEF" w:rsidRDefault="004141E8">
      <w:pPr>
        <w:ind w:left="1134"/>
        <w:contextualSpacing w:val="0"/>
        <w:jc w:val="both"/>
        <w:rPr>
          <w:rFonts w:eastAsia="Times New Roman"/>
          <w:b/>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b/>
        </w:rPr>
        <w:t>Artículo</w:t>
      </w:r>
      <w:r w:rsidR="00A20AEF">
        <w:rPr>
          <w:rFonts w:eastAsia="Times New Roman"/>
          <w:b/>
        </w:rPr>
        <w:t xml:space="preserve"> 7B</w:t>
      </w:r>
      <w:r w:rsidRPr="00A20AEF">
        <w:rPr>
          <w:rFonts w:eastAsia="Times New Roman"/>
          <w:b/>
        </w:rPr>
        <w:t>. Reactivación de la pena principal.</w:t>
      </w:r>
      <w:r w:rsidRPr="00A20AEF">
        <w:rPr>
          <w:rFonts w:eastAsia="Times New Roman"/>
        </w:rPr>
        <w:t xml:space="preserve"> 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éste plazo, el juez contará con quince (15) días para emitir su pronunciamiento. </w:t>
      </w:r>
    </w:p>
    <w:p w:rsidR="004141E8" w:rsidRPr="00A20AEF" w:rsidRDefault="004141E8">
      <w:pPr>
        <w:ind w:left="1134" w:right="616"/>
        <w:contextualSpacing w:val="0"/>
        <w:jc w:val="both"/>
        <w:rPr>
          <w:rFonts w:eastAsia="Times New Roman"/>
        </w:rPr>
      </w:pPr>
    </w:p>
    <w:p w:rsidR="0052584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52584F">
        <w:rPr>
          <w:rFonts w:eastAsia="Times New Roman"/>
        </w:rPr>
        <w:t>En</w:t>
      </w:r>
      <w:r w:rsidRPr="00A20AEF">
        <w:rPr>
          <w:rFonts w:eastAsia="Times New Roman"/>
        </w:rPr>
        <w:t xml:space="preserve">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correspondiente orden de captura y dará tramite a lo dispuesto en el artículo 299 de la Ley 906 de 2004.</w:t>
      </w:r>
    </w:p>
    <w:p w:rsidR="0052584F" w:rsidRDefault="0052584F" w:rsidP="0052584F">
      <w:pPr>
        <w:widowControl w:val="0"/>
        <w:pBdr>
          <w:top w:val="nil"/>
          <w:left w:val="nil"/>
          <w:bottom w:val="nil"/>
          <w:right w:val="nil"/>
          <w:between w:val="nil"/>
        </w:pBdr>
        <w:tabs>
          <w:tab w:val="left" w:pos="426"/>
        </w:tabs>
        <w:spacing w:after="100"/>
        <w:ind w:left="567"/>
        <w:contextualSpacing w:val="0"/>
        <w:jc w:val="both"/>
        <w:rPr>
          <w:rFonts w:eastAsia="Times New Roman"/>
          <w:b/>
        </w:rPr>
      </w:pPr>
    </w:p>
    <w:p w:rsidR="004141E8" w:rsidRPr="00A20AEF" w:rsidRDefault="00E01089" w:rsidP="0052584F">
      <w:pPr>
        <w:widowControl w:val="0"/>
        <w:pBdr>
          <w:top w:val="nil"/>
          <w:left w:val="nil"/>
          <w:bottom w:val="nil"/>
          <w:right w:val="nil"/>
          <w:between w:val="nil"/>
        </w:pBdr>
        <w:tabs>
          <w:tab w:val="left" w:pos="426"/>
        </w:tabs>
        <w:spacing w:after="100"/>
        <w:ind w:left="567"/>
        <w:contextualSpacing w:val="0"/>
        <w:jc w:val="both"/>
        <w:rPr>
          <w:rFonts w:eastAsia="Times New Roman"/>
        </w:rPr>
      </w:pPr>
      <w:r w:rsidRPr="0052584F">
        <w:rPr>
          <w:rFonts w:eastAsia="Times New Roman"/>
          <w:b/>
        </w:rPr>
        <w:t>Parágrafo</w:t>
      </w:r>
      <w:r w:rsidR="0052584F">
        <w:rPr>
          <w:rFonts w:eastAsia="Times New Roman"/>
        </w:rPr>
        <w:t>. Para</w:t>
      </w:r>
      <w:r w:rsidRPr="00A20AEF">
        <w:rPr>
          <w:rFonts w:eastAsia="Times New Roman"/>
        </w:rPr>
        <w:t xml:space="preserve"> efectos de correr traslado de la co</w:t>
      </w:r>
      <w:r w:rsidR="00B37F31">
        <w:rPr>
          <w:rFonts w:eastAsia="Times New Roman"/>
        </w:rPr>
        <w:t xml:space="preserve">municación de la Fiscalía y de la notificación de </w:t>
      </w:r>
      <w:r w:rsidRPr="00A20AEF">
        <w:rPr>
          <w:rFonts w:eastAsia="Times New Roman"/>
        </w:rPr>
        <w:t>la decisión de que trata el presente artículo, los condenados que hayan sido beneficiados con la imposición de la pena subsidiaria contemplada en el artículo 349 de la Ley 906 de 2004</w:t>
      </w:r>
      <w:r w:rsidR="00B37F31">
        <w:rPr>
          <w:rFonts w:eastAsia="Times New Roman"/>
        </w:rPr>
        <w:t>,</w:t>
      </w:r>
      <w:r w:rsidRPr="00A20AEF">
        <w:rPr>
          <w:rFonts w:eastAsia="Times New Roman"/>
        </w:rPr>
        <w:t xml:space="preserve"> deberán suministrara al juez de ejecución de penas y medidas de seguridad la dirección física o de correo electrónico para recibir sus comunicaciones. Se entenderá notificada la comunicación remitida a la dirección suministrada por el condenado.</w:t>
      </w:r>
    </w:p>
    <w:p w:rsidR="004141E8" w:rsidRPr="00A20AEF" w:rsidRDefault="004141E8">
      <w:pPr>
        <w:ind w:left="708" w:right="616"/>
        <w:contextualSpacing w:val="0"/>
        <w:jc w:val="both"/>
        <w:rPr>
          <w:rFonts w:eastAsia="Times New Roman"/>
        </w:rPr>
      </w:pPr>
      <w:bookmarkStart w:id="2" w:name="_30j0zll" w:colFirst="0" w:colLast="0"/>
      <w:bookmarkEnd w:id="2"/>
    </w:p>
    <w:p w:rsidR="004141E8" w:rsidRPr="00A20AEF" w:rsidRDefault="00E01089">
      <w:pPr>
        <w:contextualSpacing w:val="0"/>
        <w:rPr>
          <w:rFonts w:eastAsia="Times New Roman"/>
        </w:rPr>
      </w:pPr>
      <w:r w:rsidRPr="00A20AEF">
        <w:rPr>
          <w:rFonts w:eastAsia="Times New Roman"/>
          <w:b/>
        </w:rPr>
        <w:t>Artículo 8°.</w:t>
      </w:r>
      <w:r w:rsidR="00B37F31">
        <w:rPr>
          <w:rFonts w:eastAsia="Times New Roman"/>
        </w:rPr>
        <w:t xml:space="preserve"> Adiciónese el</w:t>
      </w:r>
      <w:r w:rsidRPr="00A20AEF">
        <w:rPr>
          <w:rFonts w:eastAsia="Times New Roman"/>
        </w:rPr>
        <w:t xml:space="preserve"> n</w:t>
      </w:r>
      <w:r w:rsidR="00B37F31">
        <w:rPr>
          <w:rFonts w:eastAsia="Times New Roman"/>
        </w:rPr>
        <w:t>umeral 10 al artículo 38 de la L</w:t>
      </w:r>
      <w:r w:rsidRPr="00A20AEF">
        <w:rPr>
          <w:rFonts w:eastAsia="Times New Roman"/>
        </w:rPr>
        <w:t xml:space="preserve">ey 906 de 2004, el cual quedará así: </w:t>
      </w:r>
    </w:p>
    <w:p w:rsidR="004141E8" w:rsidRPr="00A20AEF" w:rsidRDefault="004141E8">
      <w:pPr>
        <w:contextualSpacing w:val="0"/>
        <w:rPr>
          <w:rFonts w:eastAsia="Times New Roman"/>
        </w:rPr>
      </w:pPr>
    </w:p>
    <w:p w:rsidR="004141E8" w:rsidRPr="00A20AEF" w:rsidRDefault="00E01089" w:rsidP="00B37F31">
      <w:pPr>
        <w:widowControl w:val="0"/>
        <w:pBdr>
          <w:top w:val="nil"/>
          <w:left w:val="nil"/>
          <w:bottom w:val="nil"/>
          <w:right w:val="nil"/>
          <w:between w:val="nil"/>
        </w:pBdr>
        <w:tabs>
          <w:tab w:val="left" w:pos="426"/>
        </w:tabs>
        <w:spacing w:after="100"/>
        <w:ind w:left="567"/>
        <w:contextualSpacing w:val="0"/>
        <w:jc w:val="both"/>
        <w:rPr>
          <w:rFonts w:eastAsia="Times New Roman"/>
        </w:rPr>
      </w:pPr>
      <w:r w:rsidRPr="00B37F31">
        <w:rPr>
          <w:rFonts w:eastAsia="Times New Roman"/>
          <w:b/>
        </w:rPr>
        <w:t>10</w:t>
      </w:r>
      <w:r w:rsidRPr="00A20AEF">
        <w:rPr>
          <w:rFonts w:eastAsia="Times New Roman"/>
        </w:rPr>
        <w:t xml:space="preserve">. Del trámite de la Reactivación de la pena principal </w:t>
      </w:r>
    </w:p>
    <w:p w:rsidR="004141E8" w:rsidRPr="00A20AEF" w:rsidRDefault="004141E8">
      <w:pPr>
        <w:pBdr>
          <w:top w:val="nil"/>
          <w:left w:val="nil"/>
          <w:bottom w:val="nil"/>
          <w:right w:val="nil"/>
          <w:between w:val="nil"/>
        </w:pBdr>
        <w:ind w:right="616"/>
        <w:contextualSpacing w:val="0"/>
        <w:jc w:val="both"/>
        <w:rPr>
          <w:rFonts w:eastAsia="Times New Roman"/>
          <w:color w:val="000000"/>
          <w:u w:val="single"/>
        </w:rPr>
      </w:pPr>
    </w:p>
    <w:p w:rsidR="00A20AEF" w:rsidRDefault="00E01089">
      <w:pPr>
        <w:pBdr>
          <w:top w:val="nil"/>
          <w:left w:val="nil"/>
          <w:bottom w:val="nil"/>
          <w:right w:val="nil"/>
          <w:between w:val="nil"/>
        </w:pBdr>
        <w:spacing w:before="100" w:after="100"/>
        <w:ind w:right="-43"/>
        <w:contextualSpacing w:val="0"/>
        <w:jc w:val="both"/>
        <w:rPr>
          <w:rFonts w:eastAsia="Times New Roman"/>
          <w:color w:val="000000"/>
        </w:rPr>
      </w:pPr>
      <w:r w:rsidRPr="00A20AEF">
        <w:rPr>
          <w:rFonts w:eastAsia="Times New Roman"/>
          <w:b/>
          <w:color w:val="000000"/>
        </w:rPr>
        <w:t>Artículo 9°. REINTEGRO DE LOS BIENES EN CASOS DE APLICACIÓN DEL PRINCIPIO DE OPORTUNIDAD.</w:t>
      </w:r>
      <w:r w:rsidRPr="00A20AEF">
        <w:rPr>
          <w:rFonts w:eastAsia="Times New Roman"/>
          <w:color w:val="000000"/>
        </w:rPr>
        <w:t xml:space="preserve"> Adiciónese un parágrafo 4 al Artículo 324 de la Ley 906 de 2004, modificado por la Ley 1312 de 2009, el cual quedará así: </w:t>
      </w:r>
    </w:p>
    <w:p w:rsidR="00A20AEF" w:rsidRPr="00A20AEF" w:rsidRDefault="00A20AEF">
      <w:pPr>
        <w:pBdr>
          <w:top w:val="nil"/>
          <w:left w:val="nil"/>
          <w:bottom w:val="nil"/>
          <w:right w:val="nil"/>
          <w:between w:val="nil"/>
        </w:pBdr>
        <w:spacing w:before="100" w:after="100"/>
        <w:ind w:right="-43"/>
        <w:contextualSpacing w:val="0"/>
        <w:jc w:val="both"/>
        <w:rPr>
          <w:rFonts w:eastAsia="Times New Roman"/>
          <w:color w:val="000000"/>
        </w:rPr>
      </w:pPr>
    </w:p>
    <w:p w:rsidR="004141E8" w:rsidRPr="00A20AEF" w:rsidRDefault="00E01089" w:rsidP="00B37F31">
      <w:pPr>
        <w:widowControl w:val="0"/>
        <w:pBdr>
          <w:top w:val="nil"/>
          <w:left w:val="nil"/>
          <w:bottom w:val="nil"/>
          <w:right w:val="nil"/>
          <w:between w:val="nil"/>
        </w:pBdr>
        <w:tabs>
          <w:tab w:val="left" w:pos="426"/>
        </w:tabs>
        <w:spacing w:after="100"/>
        <w:ind w:left="567"/>
        <w:contextualSpacing w:val="0"/>
        <w:jc w:val="both"/>
        <w:rPr>
          <w:rFonts w:eastAsia="Times New Roman"/>
        </w:rPr>
      </w:pPr>
      <w:r w:rsidRPr="00A20AEF">
        <w:rPr>
          <w:rFonts w:eastAsia="Times New Roman"/>
        </w:rPr>
        <w:t xml:space="preserve">Para efectos de la aplicación del principio de oportunidad por los numerales 4 y 5 del presente artículo, respecto de los delitos en que se hubiese incrementado el patrimonio como consecuencia de la comisión de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la Fiscalía tomará las medidas necesarias para que el aspirante reintegre tales incrementos en la mayor proporción posible, o, en caso de ausencia de apropiación, suministre información precisa sobre su destino, rutas </w:t>
      </w:r>
      <w:r w:rsidR="00B37F31">
        <w:rPr>
          <w:rFonts w:eastAsia="Times New Roman"/>
        </w:rPr>
        <w:t>e intermediarios si los conoce.</w:t>
      </w:r>
    </w:p>
    <w:p w:rsidR="004141E8" w:rsidRPr="00A20AEF" w:rsidRDefault="004141E8">
      <w:pPr>
        <w:widowControl w:val="0"/>
        <w:pBdr>
          <w:top w:val="nil"/>
          <w:left w:val="nil"/>
          <w:bottom w:val="nil"/>
          <w:right w:val="nil"/>
          <w:between w:val="nil"/>
        </w:pBdr>
        <w:spacing w:after="100"/>
        <w:contextualSpacing w:val="0"/>
        <w:rPr>
          <w:rFonts w:eastAsia="Times New Roman"/>
          <w:b/>
          <w:color w:val="000000"/>
        </w:rPr>
      </w:pPr>
    </w:p>
    <w:p w:rsidR="004141E8" w:rsidRPr="00A20AEF" w:rsidRDefault="00E01089">
      <w:pPr>
        <w:pBdr>
          <w:top w:val="nil"/>
          <w:left w:val="nil"/>
          <w:bottom w:val="nil"/>
          <w:right w:val="nil"/>
          <w:between w:val="nil"/>
        </w:pBdr>
        <w:spacing w:before="100" w:after="100"/>
        <w:ind w:right="616"/>
        <w:contextualSpacing w:val="0"/>
        <w:jc w:val="both"/>
        <w:rPr>
          <w:rFonts w:eastAsia="Times New Roman"/>
          <w:color w:val="000000"/>
        </w:rPr>
      </w:pPr>
      <w:r w:rsidRPr="00A20AEF">
        <w:rPr>
          <w:rFonts w:eastAsia="Times New Roman"/>
          <w:b/>
          <w:color w:val="000000"/>
        </w:rPr>
        <w:t xml:space="preserve">Artículo 10°. </w:t>
      </w:r>
      <w:r w:rsidRPr="00A20AEF">
        <w:rPr>
          <w:rFonts w:eastAsia="Times New Roman"/>
          <w:color w:val="000000"/>
        </w:rPr>
        <w:t xml:space="preserve"> Créase un nuevo artículo 92A de la Ley 906 de 2004, el cual quedará así: </w:t>
      </w:r>
    </w:p>
    <w:p w:rsidR="00B37F31" w:rsidRDefault="00B37F31" w:rsidP="00B37F31">
      <w:pPr>
        <w:widowControl w:val="0"/>
        <w:pBdr>
          <w:top w:val="nil"/>
          <w:left w:val="nil"/>
          <w:bottom w:val="nil"/>
          <w:right w:val="nil"/>
          <w:between w:val="nil"/>
        </w:pBdr>
        <w:tabs>
          <w:tab w:val="left" w:pos="426"/>
        </w:tabs>
        <w:spacing w:after="100"/>
        <w:ind w:left="567"/>
        <w:contextualSpacing w:val="0"/>
        <w:jc w:val="both"/>
        <w:rPr>
          <w:rFonts w:eastAsia="Times New Roman"/>
          <w:b/>
          <w:color w:val="000000"/>
        </w:rPr>
      </w:pPr>
    </w:p>
    <w:p w:rsidR="00B37F31" w:rsidRDefault="00E01089" w:rsidP="00B37F31">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b/>
          <w:color w:val="000000"/>
        </w:rPr>
        <w:t>ARTÍCULO 92A</w:t>
      </w:r>
      <w:r w:rsidRPr="00A20AEF">
        <w:rPr>
          <w:rFonts w:eastAsia="Times New Roman"/>
          <w:color w:val="000000"/>
        </w:rPr>
        <w:t>. </w:t>
      </w:r>
      <w:r w:rsidRPr="00A20AEF">
        <w:rPr>
          <w:rFonts w:eastAsia="Times New Roman"/>
          <w:b/>
          <w:color w:val="000000"/>
        </w:rPr>
        <w:t>PROCEDENCIA ANTICIPADA DE MEDIDAS CAUTELARES</w:t>
      </w:r>
      <w:r w:rsidRPr="00A20AEF">
        <w:rPr>
          <w:rFonts w:eastAsia="Times New Roman"/>
          <w:color w:val="000000"/>
        </w:rPr>
        <w:t>. En los procesos que se adelanten por los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el juez de control de garantías, a solicitud de la Fiscalía General de la Nación, podrá decretar las medidas cautelares de embargo, secuestro y suspensión, de registros obtenidos fraudulentamente, sobre bienes del indiciado, con el fin de proteger el patrimonio del Estado y garantizar la indemnización de los perjuicios causados, en caso de una eventual condena. </w:t>
      </w:r>
    </w:p>
    <w:p w:rsidR="00B37F31" w:rsidRDefault="00B37F31" w:rsidP="00B37F31">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p>
    <w:p w:rsidR="00B37F31" w:rsidRDefault="00E01089" w:rsidP="00B37F31">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rPr>
        <w:t>La Fiscalía deberá acreditar, además de los requisitos establecidos en este capítulo, la existencia de una inferencia razonable de autoría o participación respecto de la persona titular de los derechos patrimoniales de los bienes que serán objeto de las medidas cautelares</w:t>
      </w:r>
      <w:r w:rsidR="00B37F31">
        <w:rPr>
          <w:rFonts w:eastAsia="Times New Roman"/>
          <w:color w:val="000000"/>
        </w:rPr>
        <w:t>.</w:t>
      </w:r>
    </w:p>
    <w:p w:rsidR="00B37F31" w:rsidRDefault="00B37F31" w:rsidP="00B37F31">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p>
    <w:p w:rsidR="004141E8" w:rsidRPr="00A20AEF" w:rsidRDefault="00E01089" w:rsidP="00B37F31">
      <w:pPr>
        <w:widowControl w:val="0"/>
        <w:pBdr>
          <w:top w:val="nil"/>
          <w:left w:val="nil"/>
          <w:bottom w:val="nil"/>
          <w:right w:val="nil"/>
          <w:between w:val="nil"/>
        </w:pBdr>
        <w:tabs>
          <w:tab w:val="left" w:pos="426"/>
        </w:tabs>
        <w:spacing w:after="100"/>
        <w:ind w:left="567"/>
        <w:contextualSpacing w:val="0"/>
        <w:jc w:val="both"/>
        <w:rPr>
          <w:rFonts w:eastAsia="Times New Roman"/>
          <w:color w:val="000000"/>
        </w:rPr>
      </w:pPr>
      <w:r w:rsidRPr="00A20AEF">
        <w:rPr>
          <w:rFonts w:eastAsia="Times New Roman"/>
          <w:color w:val="000000"/>
        </w:rPr>
        <w:t>La audiencia se realizará de forma reservada y solo requerirá la presencia del Fiscal.</w:t>
      </w:r>
    </w:p>
    <w:p w:rsidR="00B37F31" w:rsidRDefault="00B37F31">
      <w:pPr>
        <w:widowControl w:val="0"/>
        <w:pBdr>
          <w:top w:val="nil"/>
          <w:left w:val="nil"/>
          <w:bottom w:val="nil"/>
          <w:right w:val="nil"/>
          <w:between w:val="nil"/>
        </w:pBdr>
        <w:spacing w:after="100"/>
        <w:contextualSpacing w:val="0"/>
        <w:rPr>
          <w:rFonts w:eastAsia="Times New Roman"/>
          <w:b/>
          <w:color w:val="000000"/>
        </w:rPr>
      </w:pPr>
    </w:p>
    <w:p w:rsidR="004141E8" w:rsidRDefault="00E01089">
      <w:pPr>
        <w:widowControl w:val="0"/>
        <w:pBdr>
          <w:top w:val="nil"/>
          <w:left w:val="nil"/>
          <w:bottom w:val="nil"/>
          <w:right w:val="nil"/>
          <w:between w:val="nil"/>
        </w:pBdr>
        <w:spacing w:after="100"/>
        <w:contextualSpacing w:val="0"/>
        <w:rPr>
          <w:rFonts w:eastAsia="Times New Roman"/>
          <w:color w:val="000000"/>
        </w:rPr>
      </w:pPr>
      <w:r w:rsidRPr="00A20AEF">
        <w:rPr>
          <w:rFonts w:eastAsia="Times New Roman"/>
          <w:b/>
          <w:color w:val="000000"/>
        </w:rPr>
        <w:t xml:space="preserve">Artículo </w:t>
      </w:r>
      <w:r w:rsidRPr="00A20AEF">
        <w:rPr>
          <w:rFonts w:eastAsia="Times New Roman"/>
          <w:b/>
        </w:rPr>
        <w:t>11</w:t>
      </w:r>
      <w:r w:rsidRPr="00A20AEF">
        <w:rPr>
          <w:rFonts w:eastAsia="Times New Roman"/>
          <w:b/>
          <w:color w:val="000000"/>
        </w:rPr>
        <w:t>°.Vigencia</w:t>
      </w:r>
      <w:r w:rsidRPr="00A20AEF">
        <w:rPr>
          <w:rFonts w:eastAsia="Times New Roman"/>
          <w:color w:val="000000"/>
        </w:rPr>
        <w:t>: La presente ley rige a partir de su promulgación.</w:t>
      </w: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Default="00D03940">
      <w:pPr>
        <w:widowControl w:val="0"/>
        <w:pBdr>
          <w:top w:val="nil"/>
          <w:left w:val="nil"/>
          <w:bottom w:val="nil"/>
          <w:right w:val="nil"/>
          <w:between w:val="nil"/>
        </w:pBdr>
        <w:spacing w:after="100"/>
        <w:contextualSpacing w:val="0"/>
        <w:rPr>
          <w:rFonts w:eastAsia="Times New Roman"/>
          <w:color w:val="000000"/>
        </w:rPr>
      </w:pPr>
    </w:p>
    <w:p w:rsidR="00D03940" w:rsidRPr="004144DA" w:rsidRDefault="00D03940" w:rsidP="00D03940">
      <w:pPr>
        <w:widowControl w:val="0"/>
        <w:pBdr>
          <w:top w:val="nil"/>
          <w:left w:val="nil"/>
          <w:bottom w:val="nil"/>
          <w:right w:val="nil"/>
          <w:between w:val="nil"/>
        </w:pBdr>
        <w:spacing w:after="100"/>
        <w:contextualSpacing w:val="0"/>
        <w:jc w:val="center"/>
        <w:rPr>
          <w:rFonts w:eastAsia="Times"/>
          <w:b/>
          <w:color w:val="000000"/>
        </w:rPr>
      </w:pPr>
      <w:r w:rsidRPr="004144DA">
        <w:rPr>
          <w:rFonts w:eastAsia="Times"/>
          <w:b/>
          <w:color w:val="000000"/>
        </w:rPr>
        <w:t>EXPOSICIÓN DE MOTIVOS</w:t>
      </w:r>
    </w:p>
    <w:p w:rsidR="00D03940" w:rsidRPr="00A20AEF" w:rsidRDefault="00D03940" w:rsidP="00D03940">
      <w:pPr>
        <w:widowControl w:val="0"/>
        <w:pBdr>
          <w:top w:val="nil"/>
          <w:left w:val="nil"/>
          <w:bottom w:val="nil"/>
          <w:right w:val="nil"/>
          <w:between w:val="nil"/>
        </w:pBdr>
        <w:spacing w:after="100"/>
        <w:contextualSpacing w:val="0"/>
        <w:jc w:val="center"/>
        <w:rPr>
          <w:rFonts w:eastAsia="Times New Roman"/>
          <w:b/>
          <w:color w:val="000000"/>
        </w:rPr>
      </w:pPr>
    </w:p>
    <w:p w:rsidR="00D03940" w:rsidRPr="00A20AEF" w:rsidRDefault="00D03940" w:rsidP="00D03940">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 xml:space="preserve">PROYECTO DE LEY ___________________ DE 2018 </w:t>
      </w:r>
    </w:p>
    <w:p w:rsidR="00D03940" w:rsidRDefault="00D03940" w:rsidP="00D03940">
      <w:pPr>
        <w:widowControl w:val="0"/>
        <w:pBdr>
          <w:top w:val="nil"/>
          <w:left w:val="nil"/>
          <w:bottom w:val="nil"/>
          <w:right w:val="nil"/>
          <w:between w:val="nil"/>
        </w:pBdr>
        <w:spacing w:after="100"/>
        <w:contextualSpacing w:val="0"/>
        <w:jc w:val="center"/>
        <w:rPr>
          <w:rFonts w:eastAsia="Times New Roman"/>
          <w:b/>
          <w:color w:val="000000"/>
        </w:rPr>
      </w:pPr>
      <w:r w:rsidRPr="00A20AEF">
        <w:rPr>
          <w:rFonts w:eastAsia="Times New Roman"/>
          <w:b/>
          <w:color w:val="000000"/>
        </w:rPr>
        <w:t>“Por medio de la cual se fortalecen las reglas para la persecución penal efectiva y el reintegro de bienes por parte de procesados y condenados por corrupción y delitos contra la administración pública y se dic</w:t>
      </w:r>
      <w:r w:rsidRPr="00A20AEF">
        <w:rPr>
          <w:rFonts w:eastAsia="Times New Roman"/>
          <w:b/>
        </w:rPr>
        <w:t>tan otras disposiciones</w:t>
      </w:r>
      <w:r w:rsidRPr="00A20AEF">
        <w:rPr>
          <w:rFonts w:eastAsia="Times New Roman"/>
          <w:b/>
          <w:color w:val="000000"/>
        </w:rPr>
        <w:t>”</w:t>
      </w:r>
    </w:p>
    <w:p w:rsidR="00D03940" w:rsidRPr="00D03940" w:rsidRDefault="00D03940" w:rsidP="00D03940">
      <w:pPr>
        <w:widowControl w:val="0"/>
        <w:pBdr>
          <w:top w:val="nil"/>
          <w:left w:val="nil"/>
          <w:bottom w:val="nil"/>
          <w:right w:val="nil"/>
          <w:between w:val="nil"/>
        </w:pBdr>
        <w:spacing w:after="100"/>
        <w:contextualSpacing w:val="0"/>
        <w:jc w:val="center"/>
        <w:rPr>
          <w:rFonts w:eastAsia="Times New Roman"/>
          <w:b/>
          <w:color w:val="000000"/>
        </w:rPr>
      </w:pPr>
    </w:p>
    <w:p w:rsidR="00D03940" w:rsidRPr="00D03940" w:rsidRDefault="00D03940" w:rsidP="00D03940">
      <w:pPr>
        <w:pStyle w:val="Prrafodelista"/>
        <w:numPr>
          <w:ilvl w:val="0"/>
          <w:numId w:val="2"/>
        </w:numPr>
        <w:spacing w:after="100" w:line="240" w:lineRule="auto"/>
        <w:contextualSpacing w:val="0"/>
        <w:jc w:val="both"/>
        <w:rPr>
          <w:rFonts w:ascii="Quattrocento Sans" w:eastAsia="Quattrocento Sans" w:hAnsi="Quattrocento Sans" w:cs="Quattrocento Sans"/>
          <w:b/>
        </w:rPr>
      </w:pPr>
      <w:r w:rsidRPr="00D03940">
        <w:rPr>
          <w:rFonts w:ascii="Quattrocento Sans" w:eastAsia="Quattrocento Sans" w:hAnsi="Quattrocento Sans" w:cs="Quattrocento Sans"/>
          <w:b/>
        </w:rPr>
        <w:t>Introducción</w:t>
      </w:r>
      <w:r>
        <w:rPr>
          <w:rFonts w:ascii="Quattrocento Sans" w:eastAsia="Quattrocento Sans" w:hAnsi="Quattrocento Sans" w:cs="Quattrocento Sans"/>
          <w:b/>
        </w:rPr>
        <w:t>.</w:t>
      </w:r>
    </w:p>
    <w:p w:rsidR="00D03940" w:rsidRDefault="00D03940" w:rsidP="00D03940">
      <w:pPr>
        <w:spacing w:after="100" w:line="240" w:lineRule="auto"/>
        <w:contextualSpacing w:val="0"/>
        <w:jc w:val="both"/>
        <w:rPr>
          <w:rFonts w:ascii="Quattrocento Sans" w:eastAsia="Quattrocento Sans" w:hAnsi="Quattrocento Sans" w:cs="Quattrocento Sans"/>
        </w:rPr>
      </w:pPr>
      <w:r>
        <w:rPr>
          <w:rFonts w:ascii="Quattrocento Sans" w:eastAsia="Quattrocento Sans" w:hAnsi="Quattrocento Sans" w:cs="Quattrocento Sans"/>
        </w:rPr>
        <w:t>El presente proyecto de ley busca cumplir con el mandato del punto 2 de la Consulta Anticorrupción. Con este proyecto de ley se pretende que las personas que sean condenadas por corrupción no puedan recibir ningún beneficio.</w:t>
      </w:r>
    </w:p>
    <w:p w:rsidR="00D03940" w:rsidRDefault="00D03940" w:rsidP="00D03940">
      <w:pPr>
        <w:spacing w:after="100" w:line="240" w:lineRule="auto"/>
        <w:contextualSpacing w:val="0"/>
        <w:jc w:val="both"/>
        <w:rPr>
          <w:rFonts w:ascii="Quattrocento Sans" w:eastAsia="Quattrocento Sans" w:hAnsi="Quattrocento Sans" w:cs="Quattrocento Sans"/>
        </w:rPr>
      </w:pPr>
    </w:p>
    <w:p w:rsidR="00D03940" w:rsidRPr="00D03940" w:rsidRDefault="00D03940" w:rsidP="00D03940">
      <w:pPr>
        <w:pStyle w:val="Prrafodelista"/>
        <w:numPr>
          <w:ilvl w:val="0"/>
          <w:numId w:val="2"/>
        </w:numPr>
        <w:spacing w:after="100" w:line="240" w:lineRule="auto"/>
        <w:contextualSpacing w:val="0"/>
        <w:jc w:val="both"/>
        <w:rPr>
          <w:rFonts w:ascii="Quattrocento Sans" w:eastAsia="Quattrocento Sans" w:hAnsi="Quattrocento Sans" w:cs="Quattrocento Sans"/>
          <w:b/>
        </w:rPr>
      </w:pPr>
      <w:r w:rsidRPr="00D03940">
        <w:rPr>
          <w:rFonts w:ascii="Quattrocento Sans" w:eastAsia="Quattrocento Sans" w:hAnsi="Quattrocento Sans" w:cs="Quattrocento Sans"/>
          <w:b/>
        </w:rPr>
        <w:t>Objeto</w:t>
      </w:r>
      <w:r>
        <w:rPr>
          <w:rFonts w:ascii="Quattrocento Sans" w:eastAsia="Quattrocento Sans" w:hAnsi="Quattrocento Sans" w:cs="Quattrocento Sans"/>
          <w:b/>
        </w:rPr>
        <w:t>.</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Quattrocento Sans" w:hAnsi="Quattrocento Sans" w:cs="Quattrocento Sans"/>
        </w:rPr>
      </w:pPr>
      <w:r w:rsidRPr="00BE5B09">
        <w:rPr>
          <w:rFonts w:ascii="Quattrocento Sans" w:eastAsia="Quattrocento Sans" w:hAnsi="Quattrocento Sans" w:cs="Quattrocento Sans"/>
        </w:rPr>
        <w:t>La presente ley tiene por objeto adoptar medidas para la sanción efectiva de los delitos cometidos contra la administración pública, a través de la eliminación de beneficios penales y de la modificación del régimen de inhabilidades para contratar con el Estado. Lo anterior, con el fin de garantizar el principio constitucional de igualdad y transparencia.</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Quattrocento Sans" w:hAnsi="Quattrocento Sans" w:cs="Quattrocento Sans"/>
        </w:rPr>
      </w:pPr>
    </w:p>
    <w:p w:rsidR="00D03940" w:rsidRPr="00D03940" w:rsidRDefault="00D03940" w:rsidP="00D03940">
      <w:pPr>
        <w:pStyle w:val="Prrafodelista"/>
        <w:numPr>
          <w:ilvl w:val="0"/>
          <w:numId w:val="2"/>
        </w:numPr>
        <w:spacing w:after="100" w:line="240" w:lineRule="auto"/>
        <w:contextualSpacing w:val="0"/>
        <w:jc w:val="both"/>
        <w:rPr>
          <w:rFonts w:ascii="Quattrocento Sans" w:eastAsia="Quattrocento Sans" w:hAnsi="Quattrocento Sans" w:cs="Quattrocento Sans"/>
          <w:b/>
        </w:rPr>
      </w:pPr>
      <w:r w:rsidRPr="00D03940">
        <w:rPr>
          <w:rFonts w:ascii="Quattrocento Sans" w:eastAsia="Quattrocento Sans" w:hAnsi="Quattrocento Sans" w:cs="Quattrocento Sans"/>
          <w:b/>
        </w:rPr>
        <w:t>Antecedentes: La Consulta Popular Anticorrupción.</w:t>
      </w:r>
    </w:p>
    <w:p w:rsidR="00D03940" w:rsidRDefault="00D03940" w:rsidP="00D03940">
      <w:pPr>
        <w:spacing w:after="100" w:line="240" w:lineRule="auto"/>
        <w:contextualSpacing w:val="0"/>
        <w:jc w:val="both"/>
        <w:rPr>
          <w:rFonts w:ascii="Quattrocento Sans" w:eastAsia="Quattrocento Sans" w:hAnsi="Quattrocento Sans" w:cs="Quattrocento Sans"/>
        </w:rPr>
      </w:pPr>
      <w:r>
        <w:rPr>
          <w:rFonts w:ascii="Quattrocento Sans" w:eastAsia="Quattrocento Sans" w:hAnsi="Quattrocento Sans" w:cs="Quattrocento Sans"/>
        </w:rPr>
        <w:t>El pasado 26 de agosto de 2018 la Consulta tuvo una votación de 11.466.025 y la pregunta 2 tuvo una votación de 11.468.214, siendo el 99 ,54% por el SÍ y el 0 ,45% por el NO. En ese entendido, la votación no alcanzó el umbral requerido por la ley.</w:t>
      </w:r>
    </w:p>
    <w:p w:rsidR="00D03940" w:rsidRDefault="00D03940" w:rsidP="00D03940">
      <w:pPr>
        <w:spacing w:after="100" w:line="240" w:lineRule="auto"/>
        <w:contextualSpacing w:val="0"/>
        <w:jc w:val="both"/>
        <w:rPr>
          <w:rFonts w:ascii="Quattrocento Sans" w:eastAsia="Quattrocento Sans" w:hAnsi="Quattrocento Sans" w:cs="Quattrocento Sans"/>
        </w:rPr>
      </w:pPr>
    </w:p>
    <w:p w:rsidR="00D03940" w:rsidRPr="00FC6142" w:rsidRDefault="00D03940" w:rsidP="00D03940">
      <w:pPr>
        <w:spacing w:after="100" w:line="240" w:lineRule="auto"/>
        <w:contextualSpacing w:val="0"/>
        <w:jc w:val="both"/>
        <w:rPr>
          <w:rFonts w:ascii="Quattrocento Sans" w:eastAsia="Quattrocento Sans" w:hAnsi="Quattrocento Sans" w:cs="Quattrocento Sans"/>
        </w:rPr>
      </w:pPr>
      <w:r>
        <w:rPr>
          <w:rFonts w:ascii="Quattrocento Sans" w:eastAsia="Quattrocento Sans" w:hAnsi="Quattrocento Sans" w:cs="Quattrocento Sans"/>
        </w:rPr>
        <w:t>Sin embargo, el mandato ciudadano es claro por parte del pueblo colombiano que tiene por objetivo implementar el mandato que busca establecer la eliminación de todo beneficio penal para las personas que hayan sido condenadas por corrupción.</w:t>
      </w:r>
    </w:p>
    <w:p w:rsidR="00D03940" w:rsidRDefault="00D03940" w:rsidP="00D03940">
      <w:pPr>
        <w:widowControl w:val="0"/>
        <w:pBdr>
          <w:top w:val="nil"/>
          <w:left w:val="nil"/>
          <w:bottom w:val="nil"/>
          <w:right w:val="nil"/>
          <w:between w:val="nil"/>
        </w:pBdr>
        <w:spacing w:after="100" w:line="240" w:lineRule="auto"/>
        <w:contextualSpacing w:val="0"/>
        <w:jc w:val="both"/>
        <w:rPr>
          <w:rFonts w:ascii="Times New Roman" w:eastAsia="Times New Roman" w:hAnsi="Times New Roman" w:cs="Times New Roman"/>
          <w:color w:val="000000"/>
          <w:sz w:val="24"/>
          <w:szCs w:val="24"/>
        </w:rPr>
      </w:pPr>
    </w:p>
    <w:p w:rsidR="00D03940" w:rsidRPr="00D03940" w:rsidRDefault="00D03940" w:rsidP="00D03940">
      <w:pPr>
        <w:pStyle w:val="Prrafodelista"/>
        <w:numPr>
          <w:ilvl w:val="0"/>
          <w:numId w:val="2"/>
        </w:numPr>
        <w:spacing w:after="100" w:line="240" w:lineRule="auto"/>
        <w:contextualSpacing w:val="0"/>
        <w:jc w:val="both"/>
        <w:rPr>
          <w:rFonts w:ascii="Quattrocento Sans" w:eastAsia="Quattrocento Sans" w:hAnsi="Quattrocento Sans" w:cs="Quattrocento Sans"/>
          <w:b/>
        </w:rPr>
      </w:pPr>
      <w:r w:rsidRPr="00D03940">
        <w:rPr>
          <w:rFonts w:ascii="Quattrocento Sans" w:eastAsia="Quattrocento Sans" w:hAnsi="Quattrocento Sans" w:cs="Quattrocento Sans"/>
          <w:b/>
        </w:rPr>
        <w:t>Justificación.</w:t>
      </w:r>
    </w:p>
    <w:p w:rsidR="00D03940" w:rsidRPr="00FC6142" w:rsidRDefault="00D03940" w:rsidP="00D03940">
      <w:pPr>
        <w:widowControl w:val="0"/>
        <w:pBdr>
          <w:top w:val="nil"/>
          <w:left w:val="nil"/>
          <w:bottom w:val="nil"/>
          <w:right w:val="nil"/>
          <w:between w:val="nil"/>
        </w:pBdr>
        <w:spacing w:after="100" w:line="240" w:lineRule="auto"/>
        <w:contextualSpacing w:val="0"/>
        <w:jc w:val="both"/>
        <w:rPr>
          <w:rFonts w:ascii="Quattrocento Sans" w:eastAsia="Quattrocento Sans" w:hAnsi="Quattrocento Sans" w:cs="Quattrocento Sans"/>
        </w:rPr>
      </w:pPr>
      <w:r w:rsidRPr="00FC6142">
        <w:rPr>
          <w:rFonts w:ascii="Quattrocento Sans" w:eastAsia="Quattrocento Sans" w:hAnsi="Quattrocento Sans" w:cs="Quattrocento Sans"/>
        </w:rPr>
        <w:t xml:space="preserve">El proyecto de ley pretende que las personas que sean condenadas por delitos de corrupción no puedan acceder a ningún beneficio penal. </w:t>
      </w:r>
    </w:p>
    <w:p w:rsidR="00D03940" w:rsidRDefault="00D03940" w:rsidP="00D03940">
      <w:pPr>
        <w:widowControl w:val="0"/>
        <w:pBdr>
          <w:top w:val="nil"/>
          <w:left w:val="nil"/>
          <w:bottom w:val="nil"/>
          <w:right w:val="nil"/>
          <w:between w:val="nil"/>
        </w:pBdr>
        <w:spacing w:after="100" w:line="240" w:lineRule="auto"/>
        <w:contextualSpacing w:val="0"/>
        <w:jc w:val="both"/>
        <w:rPr>
          <w:rFonts w:ascii="Times New Roman" w:eastAsia="Times New Roman" w:hAnsi="Times New Roman" w:cs="Times New Roman"/>
          <w:sz w:val="24"/>
          <w:szCs w:val="24"/>
        </w:rPr>
      </w:pPr>
    </w:p>
    <w:p w:rsidR="00D03940" w:rsidRPr="00D03940" w:rsidRDefault="00D03940" w:rsidP="00D03940">
      <w:pPr>
        <w:pStyle w:val="Prrafodelista"/>
        <w:widowControl w:val="0"/>
        <w:numPr>
          <w:ilvl w:val="1"/>
          <w:numId w:val="2"/>
        </w:numPr>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r w:rsidRPr="00D03940">
        <w:rPr>
          <w:rFonts w:ascii="Quattrocento Sans" w:eastAsia="Times" w:hAnsi="Quattrocento Sans" w:cs="Times"/>
          <w:b/>
          <w:color w:val="000000"/>
        </w:rPr>
        <w:t>Motivos de conveniencia del Proyecto de Ley.</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Quattrocento Sans" w:hAnsi="Quattrocento Sans" w:cs="Quattrocento Sans"/>
        </w:rPr>
      </w:pPr>
      <w:r w:rsidRPr="00FC6142">
        <w:rPr>
          <w:rFonts w:ascii="Quattrocento Sans" w:eastAsia="Quattrocento Sans" w:hAnsi="Quattrocento Sans" w:cs="Quattrocento Sans"/>
        </w:rPr>
        <w:t>Es pertinente destacar que uno de los aspectos que se ha omitido reglamentar de manera adecuada es la reclusión especial para personas condenadas por delitos contra la administración pública. Si bien fueron excluidos de subrogados penales o mecanismos sustitutivos de la pena privativa de libertad, se mantuvo la posibilidad de ser asignado a un sitio de reclusión especial. Esto limita el costo de cometer actos contra la administración pública, haciendo menos gravosa su condena y disminuyendo el efecto disuasivo de la pena. Es evidente la necesidad de aumentar el costo de la comisión de delitos contra la administración pública, no sólo en términos económicos sino también en materia de severidad de la sanción. Al respecto ha conceptuado la Comisión Nacional Ciudadana para la Lucha Contra la Corrupción:</w:t>
      </w:r>
    </w:p>
    <w:p w:rsidR="00D03940" w:rsidRPr="00FC6142" w:rsidRDefault="00D03940" w:rsidP="00D03940">
      <w:pPr>
        <w:widowControl w:val="0"/>
        <w:pBdr>
          <w:top w:val="nil"/>
          <w:left w:val="nil"/>
          <w:bottom w:val="nil"/>
          <w:right w:val="nil"/>
          <w:between w:val="nil"/>
        </w:pBdr>
        <w:spacing w:after="100" w:line="240" w:lineRule="auto"/>
        <w:contextualSpacing w:val="0"/>
        <w:jc w:val="both"/>
        <w:rPr>
          <w:rFonts w:ascii="Quattrocento Sans" w:eastAsia="Quattrocento Sans" w:hAnsi="Quattrocento Sans" w:cs="Quattrocento Sans"/>
        </w:rPr>
      </w:pPr>
    </w:p>
    <w:p w:rsidR="00D03940"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Quattrocento Sans" w:hAnsi="Quattrocento Sans" w:cs="Quattrocento Sans"/>
        </w:rPr>
      </w:pPr>
      <w:r w:rsidRPr="00FC6142">
        <w:rPr>
          <w:rFonts w:ascii="Quattrocento Sans" w:eastAsia="Quattrocento Sans" w:hAnsi="Quattrocento Sans" w:cs="Quattrocento Sans"/>
        </w:rPr>
        <w:t>“Sin tener un mecanismo o una reglamentación que aumente los costos de cometer actos de corrupción, estos hechos seguirán siendo rentables. Si la ciudadanía en general percibe que tiene mayor beneficio cometer un acto de corrupción porque no será castigado de una forma que sobrepase los costos que implica incurrir en el mismo, seguir actuando de manera corrupta en Colombia continuará siendo rentable.”</w:t>
      </w:r>
    </w:p>
    <w:p w:rsidR="00D03940" w:rsidRPr="00D03940"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Quattrocento Sans" w:hAnsi="Quattrocento Sans" w:cs="Quattrocento Sans"/>
        </w:rPr>
      </w:pPr>
    </w:p>
    <w:p w:rsidR="00D03940" w:rsidRPr="00D03940"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b/>
          <w:color w:val="000000"/>
        </w:rPr>
      </w:pPr>
      <w:r>
        <w:rPr>
          <w:rFonts w:ascii="Quattrocento Sans" w:eastAsia="Times" w:hAnsi="Quattrocento Sans" w:cs="Times"/>
          <w:b/>
          <w:color w:val="000000"/>
        </w:rPr>
        <w:t>4.1.1</w:t>
      </w:r>
      <w:r w:rsidRPr="00FA4062">
        <w:rPr>
          <w:rFonts w:ascii="Quattrocento Sans" w:eastAsia="Times" w:hAnsi="Quattrocento Sans" w:cs="Times"/>
          <w:b/>
          <w:color w:val="000000"/>
        </w:rPr>
        <w:t xml:space="preserve">. Cifras en materia de comisión de delitos contra la administración pública y tratamiento penitenciario. </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D03940">
        <w:rPr>
          <w:rFonts w:ascii="Quattrocento Sans" w:eastAsia="Quattrocento Sans" w:hAnsi="Quattrocento Sans" w:cs="Quattrocento Sans"/>
        </w:rPr>
        <w:t>Gran</w:t>
      </w:r>
      <w:r w:rsidRPr="00FA4062">
        <w:rPr>
          <w:rFonts w:ascii="Quattrocento Sans" w:eastAsia="Times" w:hAnsi="Quattrocento Sans" w:cs="Times"/>
          <w:color w:val="000000"/>
        </w:rPr>
        <w:t xml:space="preserve"> parte de quienes cometen delitos contra la administración pública son beneficiarios de condiciones especiales de reclusión. Según el Observatorio de Transparencia y An</w:t>
      </w:r>
      <w:r>
        <w:rPr>
          <w:rFonts w:ascii="Quattrocento Sans" w:eastAsia="Times" w:hAnsi="Quattrocento Sans" w:cs="Times"/>
          <w:color w:val="000000"/>
        </w:rPr>
        <w:t>ticorrupción, entre los años 200</w:t>
      </w:r>
      <w:r w:rsidRPr="00FA4062">
        <w:rPr>
          <w:rFonts w:ascii="Quattrocento Sans" w:eastAsia="Times" w:hAnsi="Quattrocento Sans" w:cs="Times"/>
          <w:color w:val="000000"/>
        </w:rPr>
        <w:t>8 y 2017 se identificaron “3.176 sanciones penales vinculadas a delitos asociados con corrupción”</w:t>
      </w:r>
      <w:r>
        <w:rPr>
          <w:rStyle w:val="Refdenotaalpie"/>
          <w:rFonts w:ascii="Quattrocento Sans" w:eastAsia="Times" w:hAnsi="Quattrocento Sans" w:cs="Times"/>
          <w:color w:val="000000"/>
        </w:rPr>
        <w:footnoteReference w:id="1"/>
      </w:r>
      <w:r w:rsidRPr="00FA4062">
        <w:rPr>
          <w:rFonts w:ascii="Quattrocento Sans" w:eastAsia="Times" w:hAnsi="Quattrocento Sans" w:cs="Times"/>
          <w:color w:val="000000"/>
        </w:rPr>
        <w:t>. Dentro de estas sanciones se constata que: “(...) el 87.78% está relacionado con delitos contra la Administración Pública, seguido por 10.42% que corresponde a delitos contra el Orden Económico y Social y un restante 1.79% de delitos contra los Mecanismos de Participación Ciudadana”.</w:t>
      </w:r>
      <w:r>
        <w:rPr>
          <w:rStyle w:val="Refdenotaalpie"/>
          <w:rFonts w:ascii="Quattrocento Sans" w:eastAsia="Times" w:hAnsi="Quattrocento Sans" w:cs="Times"/>
          <w:color w:val="000000"/>
        </w:rPr>
        <w:footnoteReference w:id="2"/>
      </w:r>
      <w:r w:rsidRPr="00FA4062">
        <w:rPr>
          <w:rFonts w:ascii="Quattrocento Sans" w:eastAsia="Times" w:hAnsi="Quattrocento Sans" w:cs="Times"/>
          <w:color w:val="000000"/>
        </w:rPr>
        <w:t xml:space="preserve">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De la información presentada por el Observatorio también se puede constatar que</w:t>
      </w:r>
      <w:r>
        <w:rPr>
          <w:rStyle w:val="Refdenotaalpie"/>
          <w:rFonts w:ascii="Quattrocento Sans" w:eastAsia="Times" w:hAnsi="Quattrocento Sans" w:cs="Times"/>
          <w:color w:val="000000"/>
        </w:rPr>
        <w:footnoteReference w:id="3"/>
      </w:r>
      <w:r w:rsidRPr="00FA4062">
        <w:rPr>
          <w:rFonts w:ascii="Quattrocento Sans" w:eastAsia="Times" w:hAnsi="Quattrocento Sans" w:cs="Times"/>
          <w:color w:val="000000"/>
        </w:rPr>
        <w:t>:</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FA4062" w:rsidRDefault="00D03940" w:rsidP="00D03940">
      <w:pPr>
        <w:widowControl w:val="0"/>
        <w:numPr>
          <w:ilvl w:val="0"/>
          <w:numId w:val="1"/>
        </w:numPr>
        <w:pBdr>
          <w:top w:val="nil"/>
          <w:left w:val="nil"/>
          <w:bottom w:val="nil"/>
          <w:right w:val="nil"/>
          <w:between w:val="nil"/>
        </w:pBdr>
        <w:spacing w:after="100" w:line="240" w:lineRule="auto"/>
        <w:contextualSpacing w:val="0"/>
        <w:jc w:val="both"/>
        <w:rPr>
          <w:rFonts w:ascii="Quattrocento Sans" w:hAnsi="Quattrocento Sans"/>
          <w:color w:val="000000"/>
        </w:rPr>
      </w:pPr>
      <w:r w:rsidRPr="00FA4062">
        <w:rPr>
          <w:rFonts w:ascii="Quattrocento Sans" w:eastAsia="Times" w:hAnsi="Quattrocento Sans" w:cs="Times"/>
          <w:color w:val="000000"/>
        </w:rPr>
        <w:t>Las sanciones por delitos contra la administración pública, se encuentran de manera reiterada en los tipos penales de: Cohecho (51.15%), Peculado (22.99%) y Concusión (12.7%).</w:t>
      </w:r>
    </w:p>
    <w:p w:rsidR="00D03940" w:rsidRPr="00FA4062" w:rsidRDefault="00D03940" w:rsidP="00D03940">
      <w:pPr>
        <w:widowControl w:val="0"/>
        <w:numPr>
          <w:ilvl w:val="0"/>
          <w:numId w:val="1"/>
        </w:numPr>
        <w:pBdr>
          <w:top w:val="nil"/>
          <w:left w:val="nil"/>
          <w:bottom w:val="nil"/>
          <w:right w:val="nil"/>
          <w:between w:val="nil"/>
        </w:pBdr>
        <w:spacing w:after="100" w:line="240" w:lineRule="auto"/>
        <w:contextualSpacing w:val="0"/>
        <w:jc w:val="both"/>
        <w:rPr>
          <w:rFonts w:ascii="Quattrocento Sans" w:hAnsi="Quattrocento Sans"/>
          <w:color w:val="000000"/>
        </w:rPr>
      </w:pPr>
      <w:r w:rsidRPr="00FA4062">
        <w:rPr>
          <w:rFonts w:ascii="Quattrocento Sans" w:eastAsia="Times" w:hAnsi="Quattrocento Sans" w:cs="Times"/>
          <w:color w:val="000000"/>
        </w:rPr>
        <w:t>Las sanciones por delitos contra el Orden Económico y Social , se encuentran de manera reiterada en los tipos penales de: Lavado de Activos (54.08%), Enriquecimiento Ilícito de particulares (14.50%), Favorecimiento por Servidor Público de contrabando de Hidrocarburos y sus derivados (10.88%) y Captación masiva y habitual de dineros (9.67%).</w:t>
      </w:r>
    </w:p>
    <w:p w:rsidR="00D03940" w:rsidRPr="00D03940" w:rsidRDefault="00D03940" w:rsidP="00D03940">
      <w:pPr>
        <w:widowControl w:val="0"/>
        <w:numPr>
          <w:ilvl w:val="0"/>
          <w:numId w:val="1"/>
        </w:numPr>
        <w:pBdr>
          <w:top w:val="nil"/>
          <w:left w:val="nil"/>
          <w:bottom w:val="nil"/>
          <w:right w:val="nil"/>
          <w:between w:val="nil"/>
        </w:pBdr>
        <w:spacing w:after="100" w:line="240" w:lineRule="auto"/>
        <w:contextualSpacing w:val="0"/>
        <w:jc w:val="both"/>
        <w:rPr>
          <w:rFonts w:ascii="Quattrocento Sans" w:hAnsi="Quattrocento Sans"/>
          <w:color w:val="000000"/>
        </w:rPr>
      </w:pPr>
      <w:r w:rsidRPr="00FA4062">
        <w:rPr>
          <w:rFonts w:ascii="Quattrocento Sans" w:eastAsia="Times" w:hAnsi="Quattrocento Sans" w:cs="Times"/>
          <w:color w:val="000000"/>
        </w:rPr>
        <w:t xml:space="preserve">Las sanciones por delitos contra los Mecanismos de Participación Democrática, se encuentran de manera reiterada en los tipos penales de: Voto Fraudulento (70.18%) y el delito de Corrupción de Sufragante (17.54%). </w:t>
      </w:r>
    </w:p>
    <w:p w:rsidR="00D03940" w:rsidRPr="00FA4062" w:rsidRDefault="00D03940" w:rsidP="00D03940">
      <w:pPr>
        <w:widowControl w:val="0"/>
        <w:pBdr>
          <w:top w:val="nil"/>
          <w:left w:val="nil"/>
          <w:bottom w:val="nil"/>
          <w:right w:val="nil"/>
          <w:between w:val="nil"/>
        </w:pBdr>
        <w:spacing w:after="100" w:line="240" w:lineRule="auto"/>
        <w:ind w:left="720"/>
        <w:contextualSpacing w:val="0"/>
        <w:jc w:val="both"/>
        <w:rPr>
          <w:rFonts w:ascii="Quattrocento Sans" w:hAnsi="Quattrocento San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Por otra parte, aunque el daño fiscal se estima en millonarias cifras, los responsables de delitos contra la administración pública no representan una población numerosa para el sistema carcelario ordinario lo cual permite argumentar que su inclusión en el régimen ordinario no comporta un problema respecto de la reclusión carcelaria.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Según cifras oficiales del Instituto Nacional Penite</w:t>
      </w:r>
      <w:r>
        <w:rPr>
          <w:rFonts w:ascii="Quattrocento Sans" w:eastAsia="Times" w:hAnsi="Quattrocento Sans" w:cs="Times"/>
          <w:color w:val="000000"/>
        </w:rPr>
        <w:t>nciario y Carcelario a enero</w:t>
      </w:r>
      <w:r w:rsidRPr="00FA4062">
        <w:rPr>
          <w:rFonts w:ascii="Quattrocento Sans" w:eastAsia="Times" w:hAnsi="Quattrocento Sans" w:cs="Times"/>
          <w:color w:val="000000"/>
        </w:rPr>
        <w:t xml:space="preserve"> de 2018, la población reclusa en estab</w:t>
      </w:r>
      <w:r>
        <w:rPr>
          <w:rFonts w:ascii="Quattrocento Sans" w:eastAsia="Times" w:hAnsi="Quattrocento Sans" w:cs="Times"/>
          <w:color w:val="000000"/>
        </w:rPr>
        <w:t>lecimientos que se habían desempeñado como funcionarios públicos</w:t>
      </w:r>
      <w:r w:rsidRPr="00FA4062">
        <w:rPr>
          <w:rFonts w:ascii="Quattrocento Sans" w:eastAsia="Times" w:hAnsi="Quattrocento Sans" w:cs="Times"/>
          <w:color w:val="000000"/>
        </w:rPr>
        <w:t xml:space="preserve"> asciende a </w:t>
      </w:r>
      <w:r>
        <w:rPr>
          <w:rFonts w:ascii="Quattrocento Sans" w:eastAsia="Times" w:hAnsi="Quattrocento Sans" w:cs="Times"/>
          <w:color w:val="000000"/>
        </w:rPr>
        <w:t>un total de 1.340 personas</w:t>
      </w:r>
      <w:r>
        <w:rPr>
          <w:rStyle w:val="Refdenotaalpie"/>
          <w:rFonts w:ascii="Quattrocento Sans" w:eastAsia="Times" w:hAnsi="Quattrocento Sans" w:cs="Times"/>
          <w:color w:val="000000"/>
        </w:rPr>
        <w:footnoteReference w:id="4"/>
      </w:r>
      <w:r w:rsidRPr="00FA4062">
        <w:rPr>
          <w:rFonts w:ascii="Quattrocento Sans" w:eastAsia="Times" w:hAnsi="Quattrocento Sans" w:cs="Times"/>
          <w:color w:val="000000"/>
        </w:rPr>
        <w:t>.</w:t>
      </w:r>
      <w:r>
        <w:rPr>
          <w:rFonts w:ascii="Quattrocento Sans" w:eastAsia="Times" w:hAnsi="Quattrocento Sans" w:cs="Times"/>
          <w:color w:val="000000"/>
        </w:rPr>
        <w:t xml:space="preserve"> Esta población corresponde al 1.2% de la población intramuros</w:t>
      </w:r>
      <w:r>
        <w:rPr>
          <w:rStyle w:val="Refdenotaalpie"/>
          <w:rFonts w:ascii="Quattrocento Sans" w:eastAsia="Times" w:hAnsi="Quattrocento Sans" w:cs="Times"/>
          <w:color w:val="000000"/>
        </w:rPr>
        <w:footnoteReference w:id="5"/>
      </w:r>
      <w:r>
        <w:rPr>
          <w:rFonts w:ascii="Quattrocento Sans" w:eastAsia="Times" w:hAnsi="Quattrocento Sans" w:cs="Times"/>
          <w:color w:val="000000"/>
        </w:rPr>
        <w:t>.</w:t>
      </w:r>
      <w:r w:rsidRPr="00FA4062">
        <w:rPr>
          <w:rFonts w:ascii="Quattrocento Sans" w:eastAsia="Times" w:hAnsi="Quattrocento Sans" w:cs="Times"/>
          <w:color w:val="000000"/>
        </w:rPr>
        <w:t xml:space="preserve"> Así, es evidente que el número de funcionarios aforados que acceden a condiciones de reclusión especial es mínimo para las proporciones poblacionales que maneja el Instituto Nacional Penitenciario y Carcelario y por lo tanto su inclusión en el régimen ordinario no influirá de manera determinante en el índice de hacinamiento carcelario.</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111125"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FA4062" w:rsidRDefault="00D03940" w:rsidP="00D03940">
      <w:pPr>
        <w:widowControl w:val="0"/>
        <w:pBdr>
          <w:top w:val="nil"/>
          <w:left w:val="nil"/>
          <w:bottom w:val="nil"/>
          <w:right w:val="nil"/>
          <w:between w:val="nil"/>
        </w:pBdr>
        <w:spacing w:after="100" w:line="240" w:lineRule="auto"/>
        <w:ind w:left="720"/>
        <w:contextualSpacing w:val="0"/>
        <w:jc w:val="both"/>
        <w:rPr>
          <w:rFonts w:ascii="Quattrocento Sans" w:eastAsia="Times" w:hAnsi="Quattrocento Sans" w:cs="Times"/>
          <w:b/>
          <w:color w:val="000000"/>
        </w:rPr>
      </w:pPr>
      <w:r>
        <w:rPr>
          <w:rFonts w:ascii="Quattrocento Sans" w:eastAsia="Times" w:hAnsi="Quattrocento Sans" w:cs="Times"/>
          <w:b/>
          <w:color w:val="000000"/>
        </w:rPr>
        <w:t>4.1.2</w:t>
      </w:r>
      <w:r w:rsidRPr="00FA4062">
        <w:rPr>
          <w:rFonts w:ascii="Quattrocento Sans" w:eastAsia="Times" w:hAnsi="Quattrocento Sans" w:cs="Times"/>
          <w:b/>
          <w:color w:val="000000"/>
        </w:rPr>
        <w:t>. La reclusión especial de altos funcionarios no es compatible con el p</w:t>
      </w:r>
      <w:r>
        <w:rPr>
          <w:rFonts w:ascii="Quattrocento Sans" w:eastAsia="Times" w:hAnsi="Quattrocento Sans" w:cs="Times"/>
          <w:b/>
          <w:color w:val="000000"/>
        </w:rPr>
        <w:t>rincipio de enfoque diferencial.</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De acuerdo al régimen penitenciario colombiano, la reclusión especial de altos funcionarios encuentra su justificación en el principio de enfoque diferencial, sin embargo, este beneficio no se acopla la finalidad del enfoque diferencial ni a los principios constitucionales que lo sustentan.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El artículo 2 de la Ley 1709 de 2014 "Por medio de la cual se reforman algunos artículos del Código Penitenciario y Carcelario” contempla el principio de enfoque diferencial, reconociendo la existencia de poblaciones con características particulares en razón de su edad, género, religión u otros, principio que la norma materializa en distintas medidas penitenciarias, entre ellas, las medidas de reclusión especial.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Es evidente que la reclusión de altos funcionarios no se acopla al principio de enfoque diferencial ya que los funcionarios aforados legales o constitucionales no constituyen una población de condiciones uniformes ni de especial vulnerabilidad que tenga que ser sujeto de especial protección por parte de la ley. La inclusión de un enfoque diferencial se hace con el objetivo, constitucionalmente válido, de avanzar hacia la inclusión con dignidad y equidad de las poblaciones étnicas, históricamente marginadas, condición en la que evidentemente no encuadran los funcionarios aforados, ya que estos antes de representar una comunidad en especial peligro, vulnerabilidad o marginación, representan personas que se han enriquecido a costa del patrimonio público, y a través de actividades delictivas han adquirido poder político y económico.</w:t>
      </w:r>
    </w:p>
    <w:p w:rsidR="00D03940" w:rsidRPr="00BE5B09"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ind w:left="720"/>
        <w:contextualSpacing w:val="0"/>
        <w:jc w:val="both"/>
        <w:rPr>
          <w:rFonts w:ascii="Quattrocento Sans" w:eastAsia="Times" w:hAnsi="Quattrocento Sans" w:cs="Times"/>
          <w:b/>
          <w:color w:val="000000"/>
        </w:rPr>
      </w:pPr>
      <w:r>
        <w:rPr>
          <w:rFonts w:ascii="Quattrocento Sans" w:eastAsia="Times" w:hAnsi="Quattrocento Sans" w:cs="Times"/>
          <w:b/>
          <w:color w:val="000000"/>
        </w:rPr>
        <w:t>4.1.3</w:t>
      </w:r>
      <w:r w:rsidRPr="00FA4062">
        <w:rPr>
          <w:rFonts w:ascii="Quattrocento Sans" w:eastAsia="Times" w:hAnsi="Quattrocento Sans" w:cs="Times"/>
          <w:b/>
          <w:color w:val="000000"/>
        </w:rPr>
        <w:t xml:space="preserve"> Los fueros constitucionales y legales son una garantía para el juzgamiento, más no una gara</w:t>
      </w:r>
      <w:r>
        <w:rPr>
          <w:rFonts w:ascii="Quattrocento Sans" w:eastAsia="Times" w:hAnsi="Quattrocento Sans" w:cs="Times"/>
          <w:b/>
          <w:color w:val="000000"/>
        </w:rPr>
        <w:t>ntía para la especial reclusión.</w:t>
      </w:r>
    </w:p>
    <w:p w:rsidR="00D03940" w:rsidRPr="00FA4062" w:rsidRDefault="00D03940" w:rsidP="00D03940">
      <w:pPr>
        <w:widowControl w:val="0"/>
        <w:pBdr>
          <w:top w:val="nil"/>
          <w:left w:val="nil"/>
          <w:bottom w:val="nil"/>
          <w:right w:val="nil"/>
          <w:between w:val="nil"/>
        </w:pBdr>
        <w:spacing w:after="100" w:line="240" w:lineRule="auto"/>
        <w:ind w:left="720"/>
        <w:contextualSpacing w:val="0"/>
        <w:jc w:val="both"/>
        <w:rPr>
          <w:rFonts w:ascii="Quattrocento Sans" w:eastAsia="Times" w:hAnsi="Quattrocento Sans" w:cs="Times"/>
          <w:b/>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La finalidad constitucional y legal de los fueros para altos funcionarios encuentra su sustento en la necesidad de conservar el equilibrio y la autonomía de los poderes públicos, lo cual se garantiza con prerrogativas especiales en materia de investigación y juzgamiento, más no de reclusión. Así lo establece el tribunal constitucional en sentencias T-965-09 y la Sala de Casación Penal en providencia del 29 de noviembre de 2000, dentro del proceso de única instancia radicado 11.507:</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FA4062"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“En el nuevo esquema constitucional, dicha garantía, fuero, o privilegio de jurisdicción, ha sido establecida a favor de los miembros del Congreso de la República por razón de su cargo, durante el desempeño de sus funciones o con ocasión de ellas, con la finalidad de garantizar la independencia y autonomía del órgano a que pertenecen y el pleno ejercicio de sus funciones constitucionales, de manera que en particular muestra de respeto por la dignidad que la investidura representa, la investigación y juzgamiento por las conductas punibles que se les imputen se lleve a cabo por autoridades diferentes de aquellas a quien se atribuye competencia por razón de la naturaleza del hecho, sin que para el ejercicio de la jurisdicción deba mediar, permiso, autorización o trámite previo o especial”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Es pertinente señalar que la finalidad, descrita de manera explícita, es garantizar autonomía en el desempeño de las funciones de los altos funcionarios, la cual se podría ver vulnerada ante la posibilidad de ser investigado por cualquier fiscal o juez de la República;</w:t>
      </w:r>
      <w:r>
        <w:rPr>
          <w:rFonts w:ascii="Quattrocento Sans" w:eastAsia="Times" w:hAnsi="Quattrocento Sans" w:cs="Times"/>
          <w:color w:val="000000"/>
        </w:rPr>
        <w:t xml:space="preserve"> </w:t>
      </w:r>
      <w:r w:rsidRPr="00FA4062">
        <w:rPr>
          <w:rFonts w:ascii="Quattrocento Sans" w:eastAsia="Times" w:hAnsi="Quattrocento Sans" w:cs="Times"/>
          <w:color w:val="000000"/>
        </w:rPr>
        <w:t xml:space="preserve">sin embargo, la afectación a la autonomía de funcionarios que han cometido delitos contra la administración pública no se ve impactada por la posibilidad de ser recluidos en establecimientos penales ordinarios ya que esto no representa una forma de presión sobre su actividad sino una consecuencia propia de la condena, razón por la cual la reclusión especial no encuentra sustento en la finalidad de los fueros constitucionales o legales.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Finalmente, cabe señalar que de acuerdo al régimen penitenciario vigente la reclusión especial se aplica incluso a personas ya han sido declaradas culpables por delitos contra la administración pública y en consecuencia retiradas de su cargo, asumiendo de manera equivocada la garantía del fuero como un privilegio personal que acompaña al ex funcionario incluso después de retirado de su cargo y no como una medida institucional de equilibrio de poderes, al respecto ha dicho la Corte Constitucional en sentencia T-1320 de diciembre 10 de 2001 que:</w:t>
      </w:r>
    </w:p>
    <w:p w:rsidR="00D03940" w:rsidRPr="00FA4062"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“En relación con el fuero otorgado a los congresistas para ser juzgados por la Corte Suprema de Justicia, ha de tenerse en cuenta que dicho fuero no se instituye como un privilegio de carácter personal, sino en razón de la investidura y con una finalidad protectora de la integridad y la autonomía del Congreso de la República (...)</w:t>
      </w:r>
      <w:r>
        <w:rPr>
          <w:rFonts w:ascii="Quattrocento Sans" w:eastAsia="Times" w:hAnsi="Quattrocento Sans" w:cs="Times"/>
          <w:color w:val="000000"/>
        </w:rPr>
        <w:t>.</w:t>
      </w:r>
      <w:r w:rsidRPr="00FA4062">
        <w:rPr>
          <w:rFonts w:ascii="Quattrocento Sans" w:eastAsia="Times" w:hAnsi="Quattrocento Sans" w:cs="Times"/>
          <w:color w:val="000000"/>
        </w:rPr>
        <w:t>”</w:t>
      </w:r>
    </w:p>
    <w:p w:rsidR="00D03940" w:rsidRPr="00FA4062"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r>
        <w:rPr>
          <w:rFonts w:ascii="Quattrocento Sans" w:eastAsia="Times" w:hAnsi="Quattrocento Sans" w:cs="Times"/>
          <w:b/>
          <w:color w:val="000000"/>
        </w:rPr>
        <w:t>4.1.4</w:t>
      </w:r>
      <w:r w:rsidRPr="00FA4062">
        <w:rPr>
          <w:rFonts w:ascii="Quattrocento Sans" w:eastAsia="Times" w:hAnsi="Quattrocento Sans" w:cs="Times"/>
          <w:b/>
          <w:color w:val="000000"/>
        </w:rPr>
        <w:t>. La reclusión especial de altos funcionarios no es compatible con el principio constitucional de igualdad</w:t>
      </w:r>
      <w:r>
        <w:rPr>
          <w:rFonts w:ascii="Quattrocento Sans" w:eastAsia="Times" w:hAnsi="Quattrocento Sans" w:cs="Times"/>
          <w:b/>
          <w:color w:val="000000"/>
        </w:rPr>
        <w:t>.</w:t>
      </w:r>
      <w:r w:rsidRPr="00FA4062">
        <w:rPr>
          <w:rFonts w:ascii="Quattrocento Sans" w:eastAsia="Times" w:hAnsi="Quattrocento Sans" w:cs="Times"/>
          <w:color w:val="000000"/>
        </w:rPr>
        <w:t xml:space="preserve"> </w:t>
      </w:r>
    </w:p>
    <w:p w:rsidR="00D03940" w:rsidRPr="00531E5D" w:rsidRDefault="00D03940" w:rsidP="00D03940">
      <w:pPr>
        <w:widowControl w:val="0"/>
        <w:pBdr>
          <w:top w:val="nil"/>
          <w:left w:val="nil"/>
          <w:bottom w:val="nil"/>
          <w:right w:val="nil"/>
          <w:between w:val="nil"/>
        </w:pBdr>
        <w:spacing w:after="100" w:line="240" w:lineRule="auto"/>
        <w:ind w:left="567"/>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La jurisprudencia ha fijado de manera clara los criterios para analizar el principio constitucional de la igualdad como un mandato que vincula a todos los poderes públicos, incluyendo al legislativo y al sistema carcelario. Este mandato implica dar un tratamiento igual a supuestos de hecho equivalentes, como es el caso de funcionarios condenados por delitos contra la administración pública y demás presos en el régimen penal ordinario.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No existen supuestos de hecho que diferencien de manera tajante a la generalidad de los presos colombianos de los altos funcionarios condenados por delitos en contra de la administración pública, ya que, si bien estos ocuparon un cargo de altas responsabilidades del Estado, es posible su reclusión en establecimientos ordinarios conservado garantías mínimas de seguridad, bajo un análisis de lo estrictamente necesario para garantizar la seguridad del interno.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Si bien es cierto que en razón de la relación de especial sujeción que existe entre condenados por delitos contra la administración pública y el Estado, es imperativo que el último asegure los derechos fundamentales del reo con las limitaciones propias de la pena. Esta relación funciona de la misma manera con quienes pagan sus penas en el régimen penal ordinario, razón por la cual el Estado se ve en la obligación de garantizar los derechos fundamentales a unos y otros de manera independiente a las calidades o dignidades que una persona haya ocupado en el pasado, razón por la cual no se encuentra una diferencia que justifique un trato desigual ante la ley.</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estos motivos se busca con el proyecto realizar los siguientes cambios:</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p>
    <w:p w:rsidR="00D03940" w:rsidRPr="00D03940" w:rsidRDefault="00D03940" w:rsidP="00D03940">
      <w:pPr>
        <w:pStyle w:val="Prrafodelista"/>
        <w:widowControl w:val="0"/>
        <w:numPr>
          <w:ilvl w:val="0"/>
          <w:numId w:val="2"/>
        </w:numPr>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r w:rsidRPr="00D03940">
        <w:rPr>
          <w:rFonts w:ascii="Quattrocento Sans" w:eastAsia="Times" w:hAnsi="Quattrocento Sans" w:cs="Times"/>
          <w:b/>
          <w:color w:val="000000"/>
        </w:rPr>
        <w:t>Eliminar privilegios en centros de reclusión especial para los corruptos.</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El Código Penitenciario y Carcelario, Ley 65 del 93, contempló la figura de la “reclusión en casos especiales” y encargó al Director del Instituto Nacional Penitenciario y Carcelario - INPEC y al grupo de asuntos penitenciarios, para que designe o fije el lugar de reclusión especial que va tener un condenado en su condición de beneficiario.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 xml:space="preserve">El mismo régimen establece que cuando el hecho punible haya sido cometido por personal del INPEC, funcionarios y empleados de la Justicia Penal, o por funcionarios que gocen de fuero legal o constitucional, entre otros, la condena se llevará a cabo en establecimientos especiales; esto significa que en todos los delitos contra la administración pública donde el sujeto activo sea un “alto funcionario” protegido con fuero legal o constitucional, no será suficiente la garantía de investigación especial que le concede el fuero sino que además es necesaria su reclusión en sitios especiales. </w:t>
      </w:r>
    </w:p>
    <w:p w:rsidR="00D03940" w:rsidRPr="00FA4062"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A4062">
        <w:rPr>
          <w:rFonts w:ascii="Quattrocento Sans" w:eastAsia="Times" w:hAnsi="Quattrocento Sans" w:cs="Times"/>
          <w:color w:val="000000"/>
        </w:rPr>
        <w:t>Por su parte, la Resolución Interna del INPEC 2122 del 2012, establece las facultades y competencias del director de esa institución para que a través de un acto administrativo pueda fijar el lugar para cumplir la pena de reclusión especial, dejando un margen amplio de discrecionalidad para el cumplimiento de penas en lugares con distintas condiciones, las cuales en la mayoría de casos difieren en gran medida del régimen penal ordinario.</w:t>
      </w:r>
    </w:p>
    <w:p w:rsidR="00D03940" w:rsidRP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D03940" w:rsidRDefault="00D03940" w:rsidP="00D03940">
      <w:pPr>
        <w:pStyle w:val="Prrafodelista"/>
        <w:widowControl w:val="0"/>
        <w:numPr>
          <w:ilvl w:val="0"/>
          <w:numId w:val="2"/>
        </w:numPr>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r w:rsidRPr="00D03940">
        <w:rPr>
          <w:rFonts w:ascii="Quattrocento Sans" w:eastAsia="Times" w:hAnsi="Quattrocento Sans" w:cs="Times"/>
          <w:b/>
          <w:color w:val="000000"/>
        </w:rPr>
        <w:t>Prohibición de la Libertad Condicional.</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93486D">
        <w:rPr>
          <w:rFonts w:ascii="Quattrocento Sans" w:eastAsia="Times" w:hAnsi="Quattrocento Sans" w:cs="Times"/>
          <w:color w:val="000000"/>
        </w:rPr>
        <w:t>Con el presente proyecto de ley se busca eliminar el beneficio penal de otorgar</w:t>
      </w:r>
      <w:r>
        <w:rPr>
          <w:rFonts w:ascii="Quattrocento Sans" w:eastAsia="Times" w:hAnsi="Quattrocento Sans" w:cs="Times"/>
          <w:color w:val="000000"/>
        </w:rPr>
        <w:t xml:space="preserve"> libertad condicional para aquellos delitos que están relacionados con conductas de corrupción. Esta iniciativa busca que las personas que cometan este tipo de delitos no se beneficien de subrogados penales que permitan que la pena efectiva no se cumpla en un centro de retención carcelario. </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93486D"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En el mismo sentido, se prohíbe la sustitución de la detención preventiva para este mismo tipo de delitos, de tal manera que las personas se vean coaccionadas a pensar en cometer alguno de estos tipos de conductas, de tal manera que opera la conocida prevención general en las teorías de utilidad de la pena.</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p>
    <w:p w:rsidR="00D03940" w:rsidRPr="00D03940" w:rsidRDefault="00D03940" w:rsidP="00D03940">
      <w:pPr>
        <w:pStyle w:val="Prrafodelista"/>
        <w:widowControl w:val="0"/>
        <w:numPr>
          <w:ilvl w:val="0"/>
          <w:numId w:val="2"/>
        </w:numPr>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r w:rsidRPr="00D03940">
        <w:rPr>
          <w:rFonts w:ascii="Quattrocento Sans" w:eastAsia="Times" w:hAnsi="Quattrocento Sans" w:cs="Times"/>
          <w:b/>
          <w:color w:val="000000"/>
        </w:rPr>
        <w:t xml:space="preserve">Reintegro de los bienes en casos de aceptación de cargos, aplicación del principio de oportunidad y acuerdos o negociaciones. </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C6142">
        <w:rPr>
          <w:rFonts w:ascii="Quattrocento Sans" w:eastAsia="Times" w:hAnsi="Quattrocento Sans" w:cs="Times"/>
          <w:color w:val="000000"/>
        </w:rPr>
        <w:t>El observatorio de Transparencia y Anticorrupción</w:t>
      </w:r>
      <w:r w:rsidRPr="00670364">
        <w:rPr>
          <w:rFonts w:ascii="Quattrocento Sans" w:eastAsia="Times" w:hAnsi="Quattrocento Sans" w:cs="Times"/>
          <w:color w:val="000000"/>
        </w:rPr>
        <w:t xml:space="preserve"> </w:t>
      </w:r>
      <w:r>
        <w:rPr>
          <w:rFonts w:ascii="Quattrocento Sans" w:eastAsia="Times" w:hAnsi="Quattrocento Sans" w:cs="Times"/>
          <w:color w:val="000000"/>
        </w:rPr>
        <w:t xml:space="preserve">determinó que desde el 2014 hasta el 2017 se presentaron 9.399 denuncias relacionadas con actos de corrupción, con una tendencia de crecimiento pronunciada.  </w:t>
      </w:r>
      <w:r w:rsidRPr="00670364">
        <w:rPr>
          <w:rFonts w:ascii="Quattrocento Sans" w:eastAsia="Times" w:hAnsi="Quattrocento Sans" w:cs="Times"/>
          <w:color w:val="000000"/>
        </w:rPr>
        <w:t>En este sentido, es necesario consagrar una disposición para que los bienes que hayan sido adquiridos mediante delitos relacionados con la corrupción puedan ser reintegrados al patrimonio del Estado, dado que la situación actua</w:t>
      </w:r>
      <w:r>
        <w:rPr>
          <w:rFonts w:ascii="Quattrocento Sans" w:eastAsia="Times" w:hAnsi="Quattrocento Sans" w:cs="Times"/>
          <w:color w:val="000000"/>
        </w:rPr>
        <w:t>l afecta el proceso de recupera</w:t>
      </w:r>
      <w:r w:rsidRPr="00670364">
        <w:rPr>
          <w:rFonts w:ascii="Quattrocento Sans" w:eastAsia="Times" w:hAnsi="Quattrocento Sans" w:cs="Times"/>
          <w:color w:val="000000"/>
        </w:rPr>
        <w:t>ción de dineros y bienes.</w:t>
      </w:r>
      <w:r w:rsidRPr="00FC6142">
        <w:rPr>
          <w:rFonts w:ascii="Quattrocento Sans" w:eastAsia="Times" w:hAnsi="Quattrocento Sans" w:cs="Times"/>
          <w:color w:val="000000"/>
        </w:rPr>
        <w:t xml:space="preserve"> </w:t>
      </w:r>
    </w:p>
    <w:p w:rsidR="00D03940" w:rsidRPr="00283148"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En el derecho penal existen tres</w:t>
      </w:r>
      <w:r w:rsidRPr="00283148">
        <w:rPr>
          <w:rFonts w:ascii="Quattrocento Sans" w:eastAsia="Times" w:hAnsi="Quattrocento Sans" w:cs="Times"/>
          <w:color w:val="000000"/>
        </w:rPr>
        <w:t xml:space="preserve"> herramientas para lograr la solución alternativa de conflictos derivados de conductas punibles de poca monta, evitar la imposición de penas innecesarias, lograr la colaboración de personas involucradas en conductas punibles para lograr la desarticulación de la delincuencia organizada, entre otros fines.</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 xml:space="preserve">Estas tres herramientas son la aceptación de cargos, la aplicación del principio de oportunidad y la realización de acuerdos o negociaciones. Estos instrumentos tienen fines constitucionales legítimos, que permiten mejorar la administración de justicia en asuntos que atañen al derecho penal. </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Sin embargo, es importante que el principio de oportunidad, la aceptación de cargos y los acuerdos no se transformen en instrumentos de “válvulas de escape” que permitan que los recursos públicos nunca se reintegren al patrimonio público. Este es el problema que se pretende hacer frente con el establecimiento de normas que atan el beneficio que el procesado adquiere con este instrumento a la devolución inicial de los dineros atendiendo a las particularidades de cada uno de los instrumentos.</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En materia de acuerdos y aceptación de cargos, se debe reintegrar el 50% del valor adquirido mediante la conducta pública, y realizar un acuerdo de que devolverá el resto, para efectos de poder adquirir los beneficios que tiene cada uno de estos instrumentos.</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Pr>
          <w:rFonts w:ascii="Quattrocento Sans" w:eastAsia="Times" w:hAnsi="Quattrocento Sans" w:cs="Times"/>
          <w:color w:val="000000"/>
        </w:rPr>
        <w:t xml:space="preserve">Para la aplicación del principio de oportunidad </w:t>
      </w:r>
      <w:r w:rsidRPr="00FC6142">
        <w:rPr>
          <w:rFonts w:ascii="Quattrocento Sans" w:eastAsia="Times" w:hAnsi="Quattrocento Sans" w:cs="Times"/>
          <w:color w:val="000000"/>
        </w:rPr>
        <w:t xml:space="preserve">la Fiscalía tomará las medidas necesarias para que el aspirante reintegre tales incrementos en la mayor proporción posible, o, en caso de ausencia de apropiación, suministre información precisa sobre su destino, rutas e intermediarios si los conoce. </w:t>
      </w:r>
    </w:p>
    <w:p w:rsidR="00D03940"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p>
    <w:p w:rsidR="00D03940" w:rsidRPr="00D03940" w:rsidRDefault="00D03940" w:rsidP="00D03940">
      <w:pPr>
        <w:pStyle w:val="Prrafodelista"/>
        <w:widowControl w:val="0"/>
        <w:numPr>
          <w:ilvl w:val="0"/>
          <w:numId w:val="2"/>
        </w:numPr>
        <w:pBdr>
          <w:top w:val="nil"/>
          <w:left w:val="nil"/>
          <w:bottom w:val="nil"/>
          <w:right w:val="nil"/>
          <w:between w:val="nil"/>
        </w:pBdr>
        <w:spacing w:after="100" w:line="240" w:lineRule="auto"/>
        <w:contextualSpacing w:val="0"/>
        <w:jc w:val="both"/>
        <w:rPr>
          <w:rFonts w:ascii="Quattrocento Sans" w:eastAsia="Times" w:hAnsi="Quattrocento Sans" w:cs="Times"/>
          <w:b/>
          <w:color w:val="000000"/>
        </w:rPr>
      </w:pPr>
      <w:r w:rsidRPr="00D03940">
        <w:rPr>
          <w:rFonts w:ascii="Quattrocento Sans" w:eastAsia="Times" w:hAnsi="Quattrocento Sans" w:cs="Times"/>
          <w:b/>
          <w:color w:val="000000"/>
        </w:rPr>
        <w:t>Procedencia Anticipada de Medidas Cautelares.</w:t>
      </w:r>
    </w:p>
    <w:p w:rsidR="00D03940" w:rsidRPr="00C91ABD" w:rsidRDefault="00D03940" w:rsidP="00D03940">
      <w:pPr>
        <w:widowControl w:val="0"/>
        <w:pBdr>
          <w:top w:val="nil"/>
          <w:left w:val="nil"/>
          <w:bottom w:val="nil"/>
          <w:right w:val="nil"/>
          <w:between w:val="nil"/>
        </w:pBdr>
        <w:spacing w:after="100" w:line="240" w:lineRule="auto"/>
        <w:contextualSpacing w:val="0"/>
        <w:jc w:val="both"/>
        <w:rPr>
          <w:rFonts w:ascii="Quattrocento Sans" w:eastAsia="Times" w:hAnsi="Quattrocento Sans" w:cs="Times"/>
          <w:color w:val="000000"/>
        </w:rPr>
      </w:pPr>
      <w:r w:rsidRPr="00FC6142">
        <w:rPr>
          <w:rFonts w:ascii="Quattrocento Sans" w:eastAsia="Times" w:hAnsi="Quattrocento Sans" w:cs="Times"/>
          <w:color w:val="000000"/>
        </w:rPr>
        <w:t>En los procesos que se adelanten por los delitos que afecten el patrimonio del Estado y todos aquellos que estén relacionados con actos de corrupción, se establece la posibilidad para que el Juez de Control de Garantías a solicitud del Fiscal pueda otorgar medidas cautelares antes de la audiencia de imputación de cargos para evitar que las personas que estén siendo vinculadas en el proceso penal puedan insolventarse de los recursos que han adquirido mediante conductas de corrupción. El objetivo de esta medida es otorgar al fiscal las herramientas y capacidades necesarias para garantizar la reintegración de los dineros que salen de patrimonio del Estado.</w:t>
      </w:r>
    </w:p>
    <w:p w:rsidR="00D03940" w:rsidRPr="00A20AEF" w:rsidRDefault="00D03940">
      <w:pPr>
        <w:widowControl w:val="0"/>
        <w:pBdr>
          <w:top w:val="nil"/>
          <w:left w:val="nil"/>
          <w:bottom w:val="nil"/>
          <w:right w:val="nil"/>
          <w:between w:val="nil"/>
        </w:pBdr>
        <w:spacing w:after="100"/>
        <w:contextualSpacing w:val="0"/>
        <w:rPr>
          <w:rFonts w:eastAsia="Times New Roman"/>
        </w:rPr>
      </w:pPr>
    </w:p>
    <w:sectPr w:rsidR="00D03940" w:rsidRPr="00A20AEF">
      <w:headerReference w:type="default" r:id="rId3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C2" w:rsidRDefault="00254AC2">
      <w:pPr>
        <w:spacing w:line="240" w:lineRule="auto"/>
      </w:pPr>
      <w:r>
        <w:separator/>
      </w:r>
    </w:p>
  </w:endnote>
  <w:endnote w:type="continuationSeparator" w:id="0">
    <w:p w:rsidR="00254AC2" w:rsidRDefault="00254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Quattrocento San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C2" w:rsidRDefault="00254AC2">
      <w:pPr>
        <w:spacing w:line="240" w:lineRule="auto"/>
      </w:pPr>
      <w:r>
        <w:separator/>
      </w:r>
    </w:p>
  </w:footnote>
  <w:footnote w:type="continuationSeparator" w:id="0">
    <w:p w:rsidR="00254AC2" w:rsidRDefault="00254AC2">
      <w:pPr>
        <w:spacing w:line="240" w:lineRule="auto"/>
      </w:pPr>
      <w:r>
        <w:continuationSeparator/>
      </w:r>
    </w:p>
  </w:footnote>
  <w:footnote w:id="1">
    <w:p w:rsidR="00D03940" w:rsidRDefault="00D03940" w:rsidP="00D03940">
      <w:pPr>
        <w:pStyle w:val="Textonotapie"/>
      </w:pPr>
      <w:r>
        <w:rPr>
          <w:rStyle w:val="Refdenotaalpie"/>
        </w:rPr>
        <w:footnoteRef/>
      </w:r>
      <w:r>
        <w:t xml:space="preserve"> Observatorio de Transparencia y Anticorrupción. Indicado de Sanciones Penales. Tomado el 17 de septiembre de 2018: </w:t>
      </w:r>
      <w:r w:rsidRPr="0091292C">
        <w:t>http://www.anticorrupcion.gov.co/Paginas/indicador-sanciones-penales.aspx</w:t>
      </w:r>
    </w:p>
  </w:footnote>
  <w:footnote w:id="2">
    <w:p w:rsidR="00D03940" w:rsidRDefault="00D03940" w:rsidP="00D03940">
      <w:pPr>
        <w:pStyle w:val="Textonotapie"/>
      </w:pPr>
      <w:r>
        <w:rPr>
          <w:rStyle w:val="Refdenotaalpie"/>
        </w:rPr>
        <w:footnoteRef/>
      </w:r>
      <w:r>
        <w:t xml:space="preserve"> Ibídem. </w:t>
      </w:r>
    </w:p>
  </w:footnote>
  <w:footnote w:id="3">
    <w:p w:rsidR="00D03940" w:rsidRDefault="00D03940" w:rsidP="00D03940">
      <w:pPr>
        <w:pStyle w:val="Textonotapie"/>
      </w:pPr>
      <w:r>
        <w:rPr>
          <w:rStyle w:val="Refdenotaalpie"/>
        </w:rPr>
        <w:footnoteRef/>
      </w:r>
      <w:r>
        <w:t xml:space="preserve"> Ibídem.</w:t>
      </w:r>
    </w:p>
  </w:footnote>
  <w:footnote w:id="4">
    <w:p w:rsidR="00D03940" w:rsidRDefault="00D03940" w:rsidP="00D03940">
      <w:pPr>
        <w:pStyle w:val="Textonotapie"/>
      </w:pPr>
      <w:r>
        <w:rPr>
          <w:rStyle w:val="Refdenotaalpie"/>
        </w:rPr>
        <w:footnoteRef/>
      </w:r>
      <w:r>
        <w:t xml:space="preserve"> INPEC No. 12. Informe Estadístico Diciembre de 2017. Pág. 41</w:t>
      </w:r>
    </w:p>
  </w:footnote>
  <w:footnote w:id="5">
    <w:p w:rsidR="00D03940" w:rsidRDefault="00D03940" w:rsidP="00D03940">
      <w:pPr>
        <w:pStyle w:val="Textonotapie"/>
      </w:pPr>
      <w:r>
        <w:rPr>
          <w:rStyle w:val="Refdenotaalpie"/>
        </w:rPr>
        <w:footnoteRef/>
      </w:r>
      <w: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E8" w:rsidRDefault="004141E8">
    <w:pPr>
      <w:widowControl w:val="0"/>
      <w:tabs>
        <w:tab w:val="center" w:pos="4252"/>
        <w:tab w:val="right" w:pos="8504"/>
      </w:tabs>
      <w:spacing w:line="240" w:lineRule="auto"/>
      <w:contextualSpacing w:val="0"/>
      <w:jc w:val="center"/>
      <w:rPr>
        <w:rFonts w:ascii="Calibri" w:eastAsia="Calibri" w:hAnsi="Calibri" w:cs="Calibri"/>
      </w:rPr>
    </w:pPr>
  </w:p>
  <w:p w:rsidR="004141E8" w:rsidRDefault="004141E8">
    <w:pPr>
      <w:widowControl w:val="0"/>
      <w:tabs>
        <w:tab w:val="center" w:pos="4252"/>
        <w:tab w:val="right" w:pos="8504"/>
      </w:tabs>
      <w:spacing w:line="240" w:lineRule="auto"/>
      <w:contextualSpacing w:val="0"/>
      <w:jc w:val="center"/>
      <w:rPr>
        <w:rFonts w:ascii="Calibri" w:eastAsia="Calibri" w:hAnsi="Calibri" w:cs="Calibri"/>
      </w:rPr>
    </w:pPr>
  </w:p>
  <w:p w:rsidR="004141E8" w:rsidRDefault="00E01089">
    <w:pPr>
      <w:widowControl w:val="0"/>
      <w:tabs>
        <w:tab w:val="center" w:pos="4252"/>
        <w:tab w:val="right" w:pos="8504"/>
      </w:tabs>
      <w:spacing w:line="240" w:lineRule="auto"/>
      <w:contextualSpacing w:val="0"/>
      <w:jc w:val="center"/>
      <w:rPr>
        <w:rFonts w:ascii="Calibri" w:eastAsia="Calibri" w:hAnsi="Calibri" w:cs="Calibri"/>
      </w:rPr>
    </w:pPr>
    <w:r>
      <w:rPr>
        <w:rFonts w:ascii="Calibri" w:eastAsia="Calibri" w:hAnsi="Calibri" w:cs="Calibri"/>
        <w:noProof/>
        <w:lang w:eastAsia="es-CO"/>
      </w:rPr>
      <w:drawing>
        <wp:inline distT="0" distB="0" distL="0" distR="0">
          <wp:extent cx="2030730" cy="605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30730" cy="605790"/>
                  </a:xfrm>
                  <a:prstGeom prst="rect">
                    <a:avLst/>
                  </a:prstGeom>
                  <a:ln/>
                </pic:spPr>
              </pic:pic>
            </a:graphicData>
          </a:graphic>
        </wp:inline>
      </w:drawing>
    </w:r>
  </w:p>
  <w:p w:rsidR="004141E8" w:rsidRDefault="004141E8">
    <w:pPr>
      <w:contextualSpacing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3734"/>
    <w:multiLevelType w:val="multilevel"/>
    <w:tmpl w:val="E278A2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AE57AC7"/>
    <w:multiLevelType w:val="multilevel"/>
    <w:tmpl w:val="FC48F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E8"/>
    <w:rsid w:val="00254AC2"/>
    <w:rsid w:val="004141E8"/>
    <w:rsid w:val="00455538"/>
    <w:rsid w:val="0052584F"/>
    <w:rsid w:val="00A20AEF"/>
    <w:rsid w:val="00B37F31"/>
    <w:rsid w:val="00C80DDC"/>
    <w:rsid w:val="00D03940"/>
    <w:rsid w:val="00E01089"/>
    <w:rsid w:val="00FC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E31FB-3687-E54C-8815-C9AEE35E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FC640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40E"/>
    <w:rPr>
      <w:rFonts w:ascii="Tahoma" w:hAnsi="Tahoma" w:cs="Tahoma"/>
      <w:sz w:val="16"/>
      <w:szCs w:val="16"/>
    </w:rPr>
  </w:style>
  <w:style w:type="paragraph" w:styleId="Textonotapie">
    <w:name w:val="footnote text"/>
    <w:basedOn w:val="Normal"/>
    <w:link w:val="TextonotapieCar"/>
    <w:uiPriority w:val="99"/>
    <w:semiHidden/>
    <w:unhideWhenUsed/>
    <w:rsid w:val="00D03940"/>
    <w:pPr>
      <w:spacing w:line="240" w:lineRule="auto"/>
    </w:pPr>
    <w:rPr>
      <w:sz w:val="20"/>
      <w:szCs w:val="20"/>
      <w:lang w:eastAsia="es-CO"/>
    </w:rPr>
  </w:style>
  <w:style w:type="character" w:customStyle="1" w:styleId="TextonotapieCar">
    <w:name w:val="Texto nota pie Car"/>
    <w:basedOn w:val="Fuentedeprrafopredeter"/>
    <w:link w:val="Textonotapie"/>
    <w:uiPriority w:val="99"/>
    <w:semiHidden/>
    <w:rsid w:val="00D03940"/>
    <w:rPr>
      <w:sz w:val="20"/>
      <w:szCs w:val="20"/>
      <w:lang w:eastAsia="es-CO"/>
    </w:rPr>
  </w:style>
  <w:style w:type="character" w:styleId="Refdenotaalpie">
    <w:name w:val="footnote reference"/>
    <w:basedOn w:val="Fuentedeprrafopredeter"/>
    <w:uiPriority w:val="99"/>
    <w:semiHidden/>
    <w:unhideWhenUsed/>
    <w:rsid w:val="00D03940"/>
    <w:rPr>
      <w:vertAlign w:val="superscript"/>
    </w:rPr>
  </w:style>
  <w:style w:type="paragraph" w:styleId="Prrafodelista">
    <w:name w:val="List Paragraph"/>
    <w:basedOn w:val="Normal"/>
    <w:uiPriority w:val="34"/>
    <w:qFormat/>
    <w:rsid w:val="00D039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7.html" TargetMode="External"/><Relationship Id="rId13" Type="http://schemas.openxmlformats.org/officeDocument/2006/relationships/hyperlink" Target="http://www.secretariasenado.gov.co/senado/basedoc/ley_0599_2000_pr011.html" TargetMode="External"/><Relationship Id="rId18" Type="http://schemas.openxmlformats.org/officeDocument/2006/relationships/hyperlink" Target="http://www.secretariasenado.gov.co/senado/basedoc/ley_0599_2000_pr015.html" TargetMode="External"/><Relationship Id="rId26" Type="http://schemas.openxmlformats.org/officeDocument/2006/relationships/hyperlink" Target="http://www.secretariasenado.gov.co/senado/basedoc/ley_0599_2000_pr016.html" TargetMode="External"/><Relationship Id="rId3" Type="http://schemas.openxmlformats.org/officeDocument/2006/relationships/settings" Target="settings.xml"/><Relationship Id="rId21" Type="http://schemas.openxmlformats.org/officeDocument/2006/relationships/hyperlink" Target="http://www.secretariasenado.gov.co/senado/basedoc/ley_0599_2000_pr016.html" TargetMode="External"/><Relationship Id="rId7" Type="http://schemas.openxmlformats.org/officeDocument/2006/relationships/hyperlink" Target="http://www.secretariasenado.gov.co/senado/basedoc/ley_0599_2000_pr006.html" TargetMode="External"/><Relationship Id="rId12" Type="http://schemas.openxmlformats.org/officeDocument/2006/relationships/hyperlink" Target="http://www.secretariasenado.gov.co/senado/basedoc/ley_0599_2000_pr009.html" TargetMode="External"/><Relationship Id="rId17" Type="http://schemas.openxmlformats.org/officeDocument/2006/relationships/hyperlink" Target="http://www.secretariasenado.gov.co/senado/basedoc/ley_0599_2000_pr014.html" TargetMode="External"/><Relationship Id="rId25" Type="http://schemas.openxmlformats.org/officeDocument/2006/relationships/hyperlink" Target="http://www.secretariasenado.gov.co/senado/basedoc/ley_0599_2000_pr016.html" TargetMode="External"/><Relationship Id="rId2" Type="http://schemas.openxmlformats.org/officeDocument/2006/relationships/styles" Target="styles.xml"/><Relationship Id="rId16" Type="http://schemas.openxmlformats.org/officeDocument/2006/relationships/hyperlink" Target="http://www.secretariasenado.gov.co/senado/basedoc/ley_0599_2000_pr014.html" TargetMode="External"/><Relationship Id="rId20" Type="http://schemas.openxmlformats.org/officeDocument/2006/relationships/hyperlink" Target="http://www.secretariasenado.gov.co/senado/basedoc/ley_0599_2000_pr016.html" TargetMode="External"/><Relationship Id="rId29" Type="http://schemas.openxmlformats.org/officeDocument/2006/relationships/hyperlink" Target="http://www.secretariasenado.gov.co/senado/basedoc/ley_0599_2000_pr0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599_2000_pr009.html" TargetMode="External"/><Relationship Id="rId24" Type="http://schemas.openxmlformats.org/officeDocument/2006/relationships/hyperlink" Target="http://www.secretariasenado.gov.co/senado/basedoc/ley_0599_2000_pr017.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cretariasenado.gov.co/senado/basedoc/ley_0599_2000_pr014.html" TargetMode="External"/><Relationship Id="rId23" Type="http://schemas.openxmlformats.org/officeDocument/2006/relationships/hyperlink" Target="http://www.secretariasenado.gov.co/senado/basedoc/ley_0599_2000_pr016.html" TargetMode="External"/><Relationship Id="rId28" Type="http://schemas.openxmlformats.org/officeDocument/2006/relationships/hyperlink" Target="http://www.secretariasenado.gov.co/senado/basedoc/ley_0599_2000_pr018.html" TargetMode="External"/><Relationship Id="rId10" Type="http://schemas.openxmlformats.org/officeDocument/2006/relationships/hyperlink" Target="http://www.secretariasenado.gov.co/senado/basedoc/ley_0599_2000_pr009.html" TargetMode="External"/><Relationship Id="rId19" Type="http://schemas.openxmlformats.org/officeDocument/2006/relationships/hyperlink" Target="http://www.secretariasenado.gov.co/senado/basedoc/ley_0599_2000_pr016.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retariasenado.gov.co/senado/basedoc/ley_0599_2000_pr008.html" TargetMode="External"/><Relationship Id="rId14" Type="http://schemas.openxmlformats.org/officeDocument/2006/relationships/hyperlink" Target="http://www.secretariasenado.gov.co/senado/basedoc/ley_0599_2000_pr013.html" TargetMode="External"/><Relationship Id="rId22" Type="http://schemas.openxmlformats.org/officeDocument/2006/relationships/hyperlink" Target="http://www.secretariasenado.gov.co/senado/basedoc/ley_0599_2000_pr016.html" TargetMode="External"/><Relationship Id="rId27" Type="http://schemas.openxmlformats.org/officeDocument/2006/relationships/hyperlink" Target="http://www.secretariasenado.gov.co/senado/basedoc/ley_0599_2000_pr016.htm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5166</Words>
  <Characters>28419</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hasbleidy suarez</cp:lastModifiedBy>
  <cp:revision>2</cp:revision>
  <dcterms:created xsi:type="dcterms:W3CDTF">2018-09-18T19:53:00Z</dcterms:created>
  <dcterms:modified xsi:type="dcterms:W3CDTF">2018-09-18T19:53:00Z</dcterms:modified>
</cp:coreProperties>
</file>