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E8" w:rsidRPr="00A20AEF" w:rsidRDefault="004141E8">
      <w:pPr>
        <w:widowControl w:val="0"/>
        <w:pBdr>
          <w:top w:val="nil"/>
          <w:left w:val="nil"/>
          <w:bottom w:val="nil"/>
          <w:right w:val="nil"/>
          <w:between w:val="nil"/>
        </w:pBdr>
        <w:spacing w:after="100"/>
        <w:contextualSpacing w:val="0"/>
        <w:jc w:val="center"/>
        <w:rPr>
          <w:rFonts w:eastAsia="Times New Roman"/>
          <w:b/>
          <w:color w:val="000000"/>
        </w:rPr>
      </w:pPr>
      <w:bookmarkStart w:id="0" w:name="_GoBack"/>
      <w:bookmarkEnd w:id="0"/>
    </w:p>
    <w:p w:rsidR="004141E8" w:rsidRPr="00A20AEF" w:rsidRDefault="00E01089">
      <w:pPr>
        <w:widowControl w:val="0"/>
        <w:pBdr>
          <w:top w:val="nil"/>
          <w:left w:val="nil"/>
          <w:bottom w:val="nil"/>
          <w:right w:val="nil"/>
          <w:between w:val="nil"/>
        </w:pBdr>
        <w:spacing w:after="100"/>
        <w:contextualSpacing w:val="0"/>
        <w:jc w:val="center"/>
        <w:rPr>
          <w:rFonts w:eastAsia="Times New Roman"/>
          <w:b/>
          <w:color w:val="000000"/>
        </w:rPr>
      </w:pPr>
      <w:r w:rsidRPr="00A20AEF">
        <w:rPr>
          <w:rFonts w:eastAsia="Times New Roman"/>
          <w:b/>
          <w:color w:val="000000"/>
        </w:rPr>
        <w:t xml:space="preserve">PROYECTO DE LEY ___________________ DE 2018 </w:t>
      </w:r>
    </w:p>
    <w:p w:rsidR="004141E8" w:rsidRPr="00A20AEF" w:rsidRDefault="00E01089">
      <w:pPr>
        <w:widowControl w:val="0"/>
        <w:pBdr>
          <w:top w:val="nil"/>
          <w:left w:val="nil"/>
          <w:bottom w:val="nil"/>
          <w:right w:val="nil"/>
          <w:between w:val="nil"/>
        </w:pBdr>
        <w:spacing w:after="100"/>
        <w:contextualSpacing w:val="0"/>
        <w:jc w:val="center"/>
        <w:rPr>
          <w:rFonts w:eastAsia="Times New Roman"/>
          <w:b/>
          <w:color w:val="000000"/>
        </w:rPr>
      </w:pPr>
      <w:r w:rsidRPr="00A20AEF">
        <w:rPr>
          <w:rFonts w:eastAsia="Times New Roman"/>
          <w:b/>
          <w:color w:val="000000"/>
        </w:rPr>
        <w:t>“Por medio de la cual se fortalecen las reglas para la persecución penal efectiva y el reintegro de bienes por parte de procesados y condenados por corrupción y delitos contra la administración pública y se dic</w:t>
      </w:r>
      <w:r w:rsidRPr="00A20AEF">
        <w:rPr>
          <w:rFonts w:eastAsia="Times New Roman"/>
          <w:b/>
        </w:rPr>
        <w:t>tan otras disposiciones</w:t>
      </w:r>
      <w:r w:rsidRPr="00A20AEF">
        <w:rPr>
          <w:rFonts w:eastAsia="Times New Roman"/>
          <w:b/>
          <w:color w:val="000000"/>
        </w:rPr>
        <w:t>”</w:t>
      </w:r>
    </w:p>
    <w:p w:rsidR="004141E8" w:rsidRPr="00A20AEF" w:rsidRDefault="004141E8">
      <w:pPr>
        <w:widowControl w:val="0"/>
        <w:pBdr>
          <w:top w:val="nil"/>
          <w:left w:val="nil"/>
          <w:bottom w:val="nil"/>
          <w:right w:val="nil"/>
          <w:between w:val="nil"/>
        </w:pBdr>
        <w:spacing w:after="100"/>
        <w:contextualSpacing w:val="0"/>
        <w:jc w:val="center"/>
        <w:rPr>
          <w:rFonts w:eastAsia="Times New Roman"/>
          <w:b/>
          <w:color w:val="000000"/>
        </w:rPr>
      </w:pPr>
    </w:p>
    <w:p w:rsidR="004141E8" w:rsidRPr="00A20AEF" w:rsidRDefault="00E01089">
      <w:pPr>
        <w:widowControl w:val="0"/>
        <w:pBdr>
          <w:top w:val="nil"/>
          <w:left w:val="nil"/>
          <w:bottom w:val="nil"/>
          <w:right w:val="nil"/>
          <w:between w:val="nil"/>
        </w:pBdr>
        <w:spacing w:after="100"/>
        <w:contextualSpacing w:val="0"/>
        <w:jc w:val="center"/>
        <w:rPr>
          <w:rFonts w:eastAsia="Times New Roman"/>
          <w:b/>
          <w:color w:val="000000"/>
        </w:rPr>
      </w:pPr>
      <w:r w:rsidRPr="00A20AEF">
        <w:rPr>
          <w:rFonts w:eastAsia="Times New Roman"/>
          <w:b/>
          <w:color w:val="000000"/>
        </w:rPr>
        <w:t xml:space="preserve">El Congreso de la República de Colombia </w:t>
      </w:r>
    </w:p>
    <w:p w:rsidR="004141E8" w:rsidRPr="00A20AEF" w:rsidRDefault="00E01089">
      <w:pPr>
        <w:widowControl w:val="0"/>
        <w:pBdr>
          <w:top w:val="nil"/>
          <w:left w:val="nil"/>
          <w:bottom w:val="nil"/>
          <w:right w:val="nil"/>
          <w:between w:val="nil"/>
        </w:pBdr>
        <w:spacing w:after="100"/>
        <w:contextualSpacing w:val="0"/>
        <w:jc w:val="center"/>
        <w:rPr>
          <w:rFonts w:eastAsia="Times New Roman"/>
          <w:b/>
          <w:color w:val="000000"/>
        </w:rPr>
      </w:pPr>
      <w:r w:rsidRPr="00A20AEF">
        <w:rPr>
          <w:rFonts w:eastAsia="Times New Roman"/>
          <w:b/>
          <w:color w:val="000000"/>
        </w:rPr>
        <w:t>DECRETA</w:t>
      </w:r>
    </w:p>
    <w:p w:rsidR="004141E8" w:rsidRPr="00A20AEF" w:rsidRDefault="004141E8">
      <w:pPr>
        <w:widowControl w:val="0"/>
        <w:pBdr>
          <w:top w:val="nil"/>
          <w:left w:val="nil"/>
          <w:bottom w:val="nil"/>
          <w:right w:val="nil"/>
          <w:between w:val="nil"/>
        </w:pBdr>
        <w:spacing w:after="100"/>
        <w:contextualSpacing w:val="0"/>
        <w:jc w:val="center"/>
        <w:rPr>
          <w:rFonts w:eastAsia="Times New Roman"/>
          <w:color w:val="000000"/>
        </w:rPr>
      </w:pPr>
    </w:p>
    <w:p w:rsidR="004141E8" w:rsidRPr="00A20AEF" w:rsidRDefault="00E01089">
      <w:pPr>
        <w:widowControl w:val="0"/>
        <w:pBdr>
          <w:top w:val="nil"/>
          <w:left w:val="nil"/>
          <w:bottom w:val="nil"/>
          <w:right w:val="nil"/>
          <w:between w:val="nil"/>
        </w:pBdr>
        <w:spacing w:after="100"/>
        <w:contextualSpacing w:val="0"/>
        <w:jc w:val="both"/>
        <w:rPr>
          <w:rFonts w:eastAsia="Times New Roman"/>
          <w:color w:val="000000"/>
        </w:rPr>
      </w:pPr>
      <w:r w:rsidRPr="00A20AEF">
        <w:rPr>
          <w:rFonts w:eastAsia="Times New Roman"/>
          <w:b/>
          <w:color w:val="000000"/>
        </w:rPr>
        <w:t>Artículo 1°. OBJETO.</w:t>
      </w:r>
      <w:r w:rsidRPr="00A20AEF">
        <w:rPr>
          <w:rFonts w:eastAsia="Times New Roman"/>
          <w:color w:val="000000"/>
        </w:rPr>
        <w:t xml:space="preserve"> La presente ley tiene por objeto adoptar medidas para la sanción efectiva de los delitos cometidos contra la administración pública, a través de la eliminación de beneficios penales y de la modificación del régimen de inhabilidades para contratar con el Estado. Lo anterior, con el fin de garantizar el principio constitucional de igualdad y transparencia.</w:t>
      </w:r>
    </w:p>
    <w:p w:rsidR="004141E8" w:rsidRPr="00A20AEF" w:rsidRDefault="004141E8">
      <w:pPr>
        <w:widowControl w:val="0"/>
        <w:pBdr>
          <w:top w:val="nil"/>
          <w:left w:val="nil"/>
          <w:bottom w:val="nil"/>
          <w:right w:val="nil"/>
          <w:between w:val="nil"/>
        </w:pBdr>
        <w:spacing w:after="100"/>
        <w:contextualSpacing w:val="0"/>
        <w:jc w:val="both"/>
        <w:rPr>
          <w:rFonts w:eastAsia="Times New Roman"/>
          <w:color w:val="000000"/>
        </w:rPr>
      </w:pPr>
    </w:p>
    <w:p w:rsidR="004141E8" w:rsidRPr="00A20AEF" w:rsidRDefault="00E01089">
      <w:pPr>
        <w:widowControl w:val="0"/>
        <w:pBdr>
          <w:top w:val="nil"/>
          <w:left w:val="nil"/>
          <w:bottom w:val="nil"/>
          <w:right w:val="nil"/>
          <w:between w:val="nil"/>
        </w:pBdr>
        <w:spacing w:after="100"/>
        <w:contextualSpacing w:val="0"/>
        <w:jc w:val="both"/>
        <w:rPr>
          <w:rFonts w:eastAsia="Times New Roman"/>
          <w:b/>
          <w:color w:val="000000"/>
        </w:rPr>
      </w:pPr>
      <w:r w:rsidRPr="00A20AEF">
        <w:rPr>
          <w:rFonts w:eastAsia="Times New Roman"/>
          <w:b/>
          <w:color w:val="000000"/>
        </w:rPr>
        <w:t xml:space="preserve">Artículo 2°. DETENCIÓN Y RECLUSIÓN EFECTIVA. </w:t>
      </w:r>
      <w:r w:rsidRPr="00A20AEF">
        <w:rPr>
          <w:rFonts w:eastAsia="Times New Roman"/>
          <w:color w:val="000000"/>
        </w:rPr>
        <w:t>Adiciónese el siguiente parágrafo al artículo 29 de la Ley</w:t>
      </w:r>
      <w:r w:rsidR="00A20AEF">
        <w:rPr>
          <w:rFonts w:eastAsia="Times New Roman"/>
          <w:color w:val="000000"/>
        </w:rPr>
        <w:t xml:space="preserve"> 65 de 1993</w:t>
      </w:r>
      <w:r w:rsidRPr="00A20AEF">
        <w:rPr>
          <w:rFonts w:eastAsia="Times New Roman"/>
          <w:color w:val="000000"/>
        </w:rPr>
        <w:t>, el cual quedará así:</w:t>
      </w:r>
    </w:p>
    <w:p w:rsidR="004141E8" w:rsidRPr="00A20AEF" w:rsidRDefault="004141E8">
      <w:pPr>
        <w:widowControl w:val="0"/>
        <w:pBdr>
          <w:top w:val="nil"/>
          <w:left w:val="nil"/>
          <w:bottom w:val="nil"/>
          <w:right w:val="nil"/>
          <w:between w:val="nil"/>
        </w:pBdr>
        <w:spacing w:after="100"/>
        <w:contextualSpacing w:val="0"/>
        <w:jc w:val="both"/>
        <w:rPr>
          <w:rFonts w:eastAsia="Times New Roman"/>
          <w:b/>
          <w:color w:val="000000"/>
        </w:rPr>
      </w:pPr>
    </w:p>
    <w:p w:rsidR="004141E8" w:rsidRPr="00A20AEF" w:rsidRDefault="00E01089">
      <w:pPr>
        <w:widowControl w:val="0"/>
        <w:pBdr>
          <w:top w:val="nil"/>
          <w:left w:val="nil"/>
          <w:bottom w:val="nil"/>
          <w:right w:val="nil"/>
          <w:between w:val="nil"/>
        </w:pBdr>
        <w:tabs>
          <w:tab w:val="left" w:pos="426"/>
        </w:tabs>
        <w:spacing w:after="100"/>
        <w:ind w:left="567"/>
        <w:contextualSpacing w:val="0"/>
        <w:jc w:val="both"/>
        <w:rPr>
          <w:rFonts w:eastAsia="Times New Roman"/>
        </w:rPr>
      </w:pPr>
      <w:r w:rsidRPr="00A20AEF">
        <w:rPr>
          <w:rFonts w:eastAsia="Times New Roman"/>
          <w:b/>
          <w:color w:val="000000"/>
        </w:rPr>
        <w:t>PARÁGRAFO 2</w:t>
      </w:r>
      <w:r w:rsidRPr="00A20AEF">
        <w:rPr>
          <w:rFonts w:eastAsia="Times New Roman"/>
          <w:color w:val="000000"/>
        </w:rPr>
        <w:t xml:space="preserve">: El personal del Instituto Nacional Penitenciario y Carcelario, funcionarios y empleados de la Justicia Penal, Cuerpo de Policía Judicial y del Ministerio Público, servidores públicos de elección popular, funcionarios que gocen de fuero legal o constitucional, así como los ex servidores públicos detenidos preventivamente o condenados por cometer </w:t>
      </w:r>
      <w:r w:rsidRPr="00A20AEF">
        <w:rPr>
          <w:rFonts w:eastAsia="Times New Roman"/>
        </w:rPr>
        <w:t>delitos que afecten el patrimonio del Estado, delitos dolosos contra la administración pública contemplados en el Título XV, Capítulos Primero, Segundo, Tercero, Cuarto, Quinto, Sexto y Séptimo del Libro Segundo de este Código y los que atentan contra la eficaz y recta impartición de justicia</w:t>
      </w:r>
      <w:r w:rsidRPr="00A20AEF">
        <w:rPr>
          <w:rFonts w:eastAsia="Times New Roman"/>
          <w:color w:val="000000"/>
        </w:rPr>
        <w:t xml:space="preserve">, </w:t>
      </w:r>
      <w:r w:rsidRPr="00A20AEF">
        <w:rPr>
          <w:rFonts w:eastAsia="Times New Roman"/>
        </w:rPr>
        <w:t xml:space="preserve">deberán ser detenidos o recluidos en establecimientos penitenciarios y carcelarios, sin ningún privilegio especial. </w:t>
      </w:r>
    </w:p>
    <w:p w:rsidR="004141E8" w:rsidRPr="00A20AEF" w:rsidRDefault="004141E8">
      <w:pPr>
        <w:contextualSpacing w:val="0"/>
        <w:jc w:val="both"/>
        <w:rPr>
          <w:rFonts w:eastAsia="Times New Roman"/>
          <w:b/>
          <w:color w:val="000000"/>
        </w:rPr>
      </w:pPr>
    </w:p>
    <w:p w:rsidR="004141E8" w:rsidRPr="00A20AEF" w:rsidRDefault="00E01089">
      <w:pPr>
        <w:widowControl w:val="0"/>
        <w:pBdr>
          <w:top w:val="nil"/>
          <w:left w:val="nil"/>
          <w:bottom w:val="nil"/>
          <w:right w:val="nil"/>
          <w:between w:val="nil"/>
        </w:pBdr>
        <w:spacing w:after="100"/>
        <w:contextualSpacing w:val="0"/>
        <w:jc w:val="both"/>
        <w:rPr>
          <w:rFonts w:eastAsia="Times New Roman"/>
        </w:rPr>
      </w:pPr>
      <w:r w:rsidRPr="00A20AEF">
        <w:rPr>
          <w:rFonts w:eastAsia="Times New Roman"/>
          <w:b/>
          <w:color w:val="000000"/>
        </w:rPr>
        <w:t xml:space="preserve">Artículo 3°. PROHIBICIÓN DE PENA DOMICILIARIA. </w:t>
      </w:r>
      <w:r w:rsidRPr="00A20AEF">
        <w:rPr>
          <w:rFonts w:eastAsia="Times New Roman"/>
        </w:rPr>
        <w:t>Modifíquese el artículo 39G de la Ley 599 de 2000, que trata de la ejecución de la pena privativa de la libertad en lugar de residencia, el cual quedará así:</w:t>
      </w:r>
    </w:p>
    <w:p w:rsidR="004141E8" w:rsidRPr="00A20AEF" w:rsidRDefault="004141E8">
      <w:pPr>
        <w:widowControl w:val="0"/>
        <w:pBdr>
          <w:top w:val="nil"/>
          <w:left w:val="nil"/>
          <w:bottom w:val="nil"/>
          <w:right w:val="nil"/>
          <w:between w:val="nil"/>
        </w:pBdr>
        <w:spacing w:after="100"/>
        <w:contextualSpacing w:val="0"/>
        <w:jc w:val="both"/>
        <w:rPr>
          <w:rFonts w:eastAsia="Times New Roman"/>
          <w:color w:val="000000"/>
        </w:rPr>
      </w:pPr>
    </w:p>
    <w:p w:rsidR="004141E8" w:rsidRPr="00A20AE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color w:val="000000"/>
        </w:rPr>
      </w:pPr>
      <w:r w:rsidRPr="00A20AEF">
        <w:rPr>
          <w:rFonts w:eastAsia="Times New Roman"/>
          <w:color w:val="000000"/>
        </w:rPr>
        <w:t>“</w:t>
      </w:r>
      <w:r w:rsidRPr="00A20AEF">
        <w:rPr>
          <w:rFonts w:eastAsia="Times New Roman"/>
          <w:b/>
          <w:color w:val="000000"/>
        </w:rPr>
        <w:t>Artículo 38G.</w:t>
      </w:r>
      <w:r w:rsidRPr="00A20AEF">
        <w:rPr>
          <w:rFonts w:eastAsia="Times New Roman"/>
          <w:color w:val="000000"/>
        </w:rPr>
        <w:t xml:space="preserve">  La ejecución de la pena privativa de la libertad se cumplirá en el lugar de residencia o morada del condenado cuando haya cumplido la mitad de la condena y concurran los presupuestos contemplados en los numerales 3 y 4 del artículo 38B del presente código, excepto en los casos en que el condenado pertenezca al grupo familiar de la víctima o en aquellos eventos en que fue sentenciado por alguno de los siguientes delitos: genocidio; contra el derecho internacional humanitario; desaparición forzada; secuestro extorsivo; tortura; desplazamiento forzado; tráfico de menores; uso de menores de edad para la comisión de delitos; tráfico de migrantes; trata de personas; delitos contra la libertad, integridad y formación sexuales; extorsión; </w:t>
      </w:r>
      <w:r w:rsidRPr="00A20AEF">
        <w:rPr>
          <w:rFonts w:eastAsia="Times New Roman"/>
          <w:color w:val="000000"/>
        </w:rPr>
        <w:lastRenderedPageBreak/>
        <w:t xml:space="preserve">concierto para delinquir agravado; lavado de activos; terrorismo; usurpación y abuso de funciones públicas con fines terroristas; financiación del terrorismo y de actividades de delincuencia organizada; administración de recursos con actividades terroristas y de delincuencia organizada; financiación del terrorismo y administración de recursos relacionados con actividades terroristas; fabricación, tráfico y porte de armas y municiones de uso restringido, uso privativo de las fuerzas armadas o explosivos; delitos relacionados con el tráfico de estupefacientes, salvo los contemplados en el artículo 375 y el inciso 2o del artículo 376 del presente código; </w:t>
      </w:r>
      <w:r w:rsidRPr="00A20AEF">
        <w:rPr>
          <w:rFonts w:eastAsia="Times New Roman"/>
          <w:color w:val="000000"/>
          <w:u w:val="single"/>
        </w:rPr>
        <w:t>en los delitos que afecten el patrimonio del Estado, en los delitos dolosos contra la administración pública contemplados en el Título XV, Capítulos Primero, Segundo, Tercero, Cuarto, Quinto, Sexto y Séptimo del Libro Segundo de este Código y los que atentan contra la eficaz y recta impartición de justicia.</w:t>
      </w:r>
      <w:r w:rsidRPr="00A20AEF">
        <w:rPr>
          <w:rFonts w:eastAsia="Times New Roman"/>
          <w:color w:val="000000"/>
        </w:rPr>
        <w:t>”</w:t>
      </w:r>
    </w:p>
    <w:p w:rsidR="004141E8" w:rsidRPr="00A20AEF" w:rsidRDefault="004141E8">
      <w:pPr>
        <w:ind w:right="616"/>
        <w:contextualSpacing w:val="0"/>
        <w:jc w:val="both"/>
        <w:rPr>
          <w:rFonts w:eastAsia="Times New Roman"/>
          <w:b/>
          <w:color w:val="000000"/>
        </w:rPr>
      </w:pPr>
    </w:p>
    <w:p w:rsidR="004141E8" w:rsidRPr="00A20AEF" w:rsidRDefault="00E01089">
      <w:pPr>
        <w:tabs>
          <w:tab w:val="left" w:pos="7513"/>
        </w:tabs>
        <w:ind w:right="-43"/>
        <w:contextualSpacing w:val="0"/>
        <w:jc w:val="both"/>
        <w:rPr>
          <w:rFonts w:eastAsia="Times New Roman"/>
          <w:b/>
          <w:color w:val="000000"/>
        </w:rPr>
      </w:pPr>
      <w:r w:rsidRPr="00A20AEF">
        <w:rPr>
          <w:rFonts w:eastAsia="Times New Roman"/>
          <w:b/>
          <w:color w:val="000000"/>
        </w:rPr>
        <w:t xml:space="preserve">Artículo 4°. PROHIBICIÓN DE SUSTITUCIÓN DE LA DETENCIÓN PREVENTIVA. </w:t>
      </w:r>
      <w:r w:rsidRPr="00A20AEF">
        <w:rPr>
          <w:rFonts w:eastAsia="Times New Roman"/>
        </w:rPr>
        <w:t>Modifíquese el parágrafo del artículo 314 de la Ley 906 de 2004, que trata sobre la improcedencia  de la sustitución de la detención preventiva, el cual quedará así:</w:t>
      </w:r>
    </w:p>
    <w:p w:rsidR="004141E8" w:rsidRPr="00A20AEF" w:rsidRDefault="004141E8">
      <w:pPr>
        <w:ind w:right="616"/>
        <w:contextualSpacing w:val="0"/>
        <w:jc w:val="both"/>
        <w:rPr>
          <w:rFonts w:eastAsia="Times New Roman"/>
          <w:b/>
          <w:color w:val="000000"/>
        </w:rPr>
      </w:pPr>
    </w:p>
    <w:p w:rsidR="004141E8" w:rsidRPr="00A20AE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color w:val="000000"/>
        </w:rPr>
      </w:pPr>
      <w:r w:rsidRPr="00A20AEF">
        <w:rPr>
          <w:rFonts w:eastAsia="Times New Roman"/>
          <w:b/>
          <w:color w:val="000000"/>
        </w:rPr>
        <w:t>PARÁGRAFO.</w:t>
      </w:r>
      <w:r w:rsidRPr="00A20AEF">
        <w:rPr>
          <w:rFonts w:eastAsia="Times New Roman"/>
          <w:color w:val="000000"/>
        </w:rPr>
        <w:t>  No procederá la sustitución de la detención preventiva en establecimiento carcelario, por detención domiciliaria cuando la imputación se refiera a los siguientes delitos: Los de competencia de los jueces penales del circuito especializados o quien haga sus veces, Tráfico de migrantes (C. P. artículo </w:t>
      </w:r>
      <w:hyperlink r:id="rId7" w:anchor="188">
        <w:r w:rsidRPr="00A20AEF">
          <w:rPr>
            <w:rFonts w:eastAsia="Times New Roman"/>
            <w:color w:val="000000"/>
            <w:u w:val="single"/>
          </w:rPr>
          <w:t>188</w:t>
        </w:r>
      </w:hyperlink>
      <w:r w:rsidRPr="00A20AEF">
        <w:rPr>
          <w:rFonts w:eastAsia="Times New Roman"/>
          <w:color w:val="000000"/>
        </w:rPr>
        <w:t>); Acceso carnal o actos sexuales con incapaz de resistir (C. P. artículo </w:t>
      </w:r>
      <w:hyperlink r:id="rId8" w:anchor="210">
        <w:r w:rsidRPr="00A20AEF">
          <w:rPr>
            <w:rFonts w:eastAsia="Times New Roman"/>
            <w:color w:val="000000"/>
            <w:u w:val="single"/>
          </w:rPr>
          <w:t>210</w:t>
        </w:r>
      </w:hyperlink>
      <w:r w:rsidRPr="00A20AEF">
        <w:rPr>
          <w:rFonts w:eastAsia="Times New Roman"/>
          <w:color w:val="000000"/>
        </w:rPr>
        <w:t>); Violencia intrafamiliar (C. P. artículo </w:t>
      </w:r>
      <w:hyperlink r:id="rId9" w:anchor="229">
        <w:r w:rsidRPr="00A20AEF">
          <w:rPr>
            <w:rFonts w:eastAsia="Times New Roman"/>
            <w:color w:val="000000"/>
            <w:u w:val="single"/>
          </w:rPr>
          <w:t>229</w:t>
        </w:r>
      </w:hyperlink>
      <w:r w:rsidRPr="00A20AEF">
        <w:rPr>
          <w:rFonts w:eastAsia="Times New Roman"/>
          <w:color w:val="000000"/>
        </w:rPr>
        <w:t>); Hurto calificado (C. P. artículo </w:t>
      </w:r>
      <w:hyperlink r:id="rId10" w:anchor="240">
        <w:r w:rsidRPr="00A20AEF">
          <w:rPr>
            <w:rFonts w:eastAsia="Times New Roman"/>
            <w:color w:val="000000"/>
            <w:u w:val="single"/>
          </w:rPr>
          <w:t>240</w:t>
        </w:r>
      </w:hyperlink>
      <w:r w:rsidRPr="00A20AEF">
        <w:rPr>
          <w:rFonts w:eastAsia="Times New Roman"/>
          <w:color w:val="000000"/>
        </w:rPr>
        <w:t>); Hurto agravado (C. P. artículo </w:t>
      </w:r>
      <w:hyperlink r:id="rId11" w:anchor="241">
        <w:r w:rsidRPr="00A20AEF">
          <w:rPr>
            <w:rFonts w:eastAsia="Times New Roman"/>
            <w:color w:val="000000"/>
            <w:u w:val="single"/>
          </w:rPr>
          <w:t>241</w:t>
        </w:r>
      </w:hyperlink>
      <w:r w:rsidRPr="00A20AEF">
        <w:rPr>
          <w:rFonts w:eastAsia="Times New Roman"/>
          <w:color w:val="000000"/>
        </w:rPr>
        <w:t>, numerales 7, 8, 11, 12 y 15); Estafa agravada (C. P. artículo </w:t>
      </w:r>
      <w:hyperlink r:id="rId12" w:anchor="247">
        <w:r w:rsidRPr="00A20AEF">
          <w:rPr>
            <w:rFonts w:eastAsia="Times New Roman"/>
            <w:color w:val="000000"/>
            <w:u w:val="single"/>
          </w:rPr>
          <w:t>247</w:t>
        </w:r>
      </w:hyperlink>
      <w:r w:rsidRPr="00A20AEF">
        <w:rPr>
          <w:rFonts w:eastAsia="Times New Roman"/>
          <w:color w:val="000000"/>
        </w:rPr>
        <w:t>); Uso de documentos falsos relacionados con medios motorizados hurtados (C. P. artículo </w:t>
      </w:r>
      <w:hyperlink r:id="rId13" w:anchor="291">
        <w:r w:rsidRPr="00A20AEF">
          <w:rPr>
            <w:rFonts w:eastAsia="Times New Roman"/>
            <w:color w:val="000000"/>
            <w:u w:val="single"/>
          </w:rPr>
          <w:t>291</w:t>
        </w:r>
      </w:hyperlink>
      <w:r w:rsidRPr="00A20AEF">
        <w:rPr>
          <w:rFonts w:eastAsia="Times New Roman"/>
          <w:color w:val="000000"/>
        </w:rPr>
        <w:t>); Fabricación, tráfico y porte de armas de fuego o municiones de uso personal, cuando concurra con el delito de concierto para delinquir (C. P. artículos </w:t>
      </w:r>
      <w:hyperlink r:id="rId14" w:anchor="340">
        <w:r w:rsidRPr="00A20AEF">
          <w:rPr>
            <w:rFonts w:eastAsia="Times New Roman"/>
            <w:color w:val="000000"/>
            <w:u w:val="single"/>
          </w:rPr>
          <w:t>340</w:t>
        </w:r>
      </w:hyperlink>
      <w:r w:rsidRPr="00A20AEF">
        <w:rPr>
          <w:rFonts w:eastAsia="Times New Roman"/>
          <w:color w:val="000000"/>
        </w:rPr>
        <w:t> y </w:t>
      </w:r>
      <w:hyperlink r:id="rId15" w:anchor="365">
        <w:r w:rsidRPr="00A20AEF">
          <w:rPr>
            <w:rFonts w:eastAsia="Times New Roman"/>
            <w:color w:val="000000"/>
            <w:u w:val="single"/>
          </w:rPr>
          <w:t>365</w:t>
        </w:r>
      </w:hyperlink>
      <w:r w:rsidRPr="00A20AEF">
        <w:rPr>
          <w:rFonts w:eastAsia="Times New Roman"/>
          <w:color w:val="000000"/>
        </w:rPr>
        <w:t>), o los imputados registren sentencias condenatorias vigentes por los mismos delitos; Fabricación, tráfico y porte de armas y municiones de uso privativo de las fuerzas armadas (C. P. artículo </w:t>
      </w:r>
      <w:hyperlink r:id="rId16" w:anchor="366">
        <w:r w:rsidRPr="00A20AEF">
          <w:rPr>
            <w:rFonts w:eastAsia="Times New Roman"/>
            <w:color w:val="000000"/>
            <w:u w:val="single"/>
          </w:rPr>
          <w:t>366</w:t>
        </w:r>
      </w:hyperlink>
      <w:r w:rsidRPr="00A20AEF">
        <w:rPr>
          <w:rFonts w:eastAsia="Times New Roman"/>
          <w:color w:val="000000"/>
        </w:rPr>
        <w:t>); Fabricación, importación, tráfico, posesión y uso de armas químicas, biológicas y nucleares (C. P. artículo </w:t>
      </w:r>
      <w:hyperlink r:id="rId17" w:anchor="367">
        <w:r w:rsidRPr="00A20AEF">
          <w:rPr>
            <w:rFonts w:eastAsia="Times New Roman"/>
            <w:color w:val="000000"/>
            <w:u w:val="single"/>
          </w:rPr>
          <w:t>367</w:t>
        </w:r>
      </w:hyperlink>
      <w:r w:rsidRPr="00A20AEF">
        <w:rPr>
          <w:rFonts w:eastAsia="Times New Roman"/>
          <w:color w:val="000000"/>
        </w:rPr>
        <w:t>); Peculado por apropiación en cuantía superior a cincuenta (50) salarios mínimos legales mensuales (C. P. artículo </w:t>
      </w:r>
      <w:hyperlink r:id="rId18" w:anchor="397">
        <w:r w:rsidRPr="00A20AEF">
          <w:rPr>
            <w:rFonts w:eastAsia="Times New Roman"/>
            <w:color w:val="000000"/>
            <w:u w:val="single"/>
          </w:rPr>
          <w:t>397</w:t>
        </w:r>
      </w:hyperlink>
      <w:r w:rsidRPr="00A20AEF">
        <w:rPr>
          <w:rFonts w:eastAsia="Times New Roman"/>
          <w:color w:val="000000"/>
        </w:rPr>
        <w:t>); Concusión (C. P. artículo </w:t>
      </w:r>
      <w:hyperlink r:id="rId19" w:anchor="404">
        <w:r w:rsidRPr="00A20AEF">
          <w:rPr>
            <w:rFonts w:eastAsia="Times New Roman"/>
            <w:color w:val="000000"/>
            <w:u w:val="single"/>
          </w:rPr>
          <w:t>404</w:t>
        </w:r>
      </w:hyperlink>
      <w:r w:rsidRPr="00A20AEF">
        <w:rPr>
          <w:rFonts w:eastAsia="Times New Roman"/>
          <w:color w:val="000000"/>
        </w:rPr>
        <w:t>); Cohecho propio (C. P. artículo </w:t>
      </w:r>
      <w:hyperlink r:id="rId20" w:anchor="405">
        <w:r w:rsidRPr="00A20AEF">
          <w:rPr>
            <w:rFonts w:eastAsia="Times New Roman"/>
            <w:color w:val="000000"/>
            <w:u w:val="single"/>
          </w:rPr>
          <w:t>405</w:t>
        </w:r>
      </w:hyperlink>
      <w:r w:rsidRPr="00A20AEF">
        <w:rPr>
          <w:rFonts w:eastAsia="Times New Roman"/>
          <w:color w:val="000000"/>
        </w:rPr>
        <w:t>); Cohecho impropio (C.P. artículo </w:t>
      </w:r>
      <w:hyperlink r:id="rId21" w:anchor="406">
        <w:r w:rsidRPr="00A20AEF">
          <w:rPr>
            <w:rFonts w:eastAsia="Times New Roman"/>
            <w:color w:val="000000"/>
            <w:u w:val="single"/>
          </w:rPr>
          <w:t>406</w:t>
        </w:r>
      </w:hyperlink>
      <w:r w:rsidRPr="00A20AEF">
        <w:rPr>
          <w:rFonts w:eastAsia="Times New Roman"/>
          <w:color w:val="000000"/>
        </w:rPr>
        <w:t>); cohecho por dar u ofrecer (C. P. artículo </w:t>
      </w:r>
      <w:hyperlink r:id="rId22" w:anchor="407">
        <w:r w:rsidRPr="00A20AEF">
          <w:rPr>
            <w:rFonts w:eastAsia="Times New Roman"/>
            <w:color w:val="000000"/>
            <w:u w:val="single"/>
          </w:rPr>
          <w:t>407</w:t>
        </w:r>
      </w:hyperlink>
      <w:r w:rsidRPr="00A20AEF">
        <w:rPr>
          <w:rFonts w:eastAsia="Times New Roman"/>
          <w:color w:val="000000"/>
        </w:rPr>
        <w:t>); Enriquecimiento Ilícito (C.P. artículo </w:t>
      </w:r>
      <w:hyperlink r:id="rId23" w:anchor="412">
        <w:r w:rsidRPr="00A20AEF">
          <w:rPr>
            <w:rFonts w:eastAsia="Times New Roman"/>
            <w:color w:val="000000"/>
            <w:u w:val="single"/>
          </w:rPr>
          <w:t>412</w:t>
        </w:r>
      </w:hyperlink>
      <w:r w:rsidRPr="00A20AEF">
        <w:rPr>
          <w:rFonts w:eastAsia="Times New Roman"/>
          <w:color w:val="000000"/>
        </w:rPr>
        <w:t>); Soborno Transnacional (C.P. artículo </w:t>
      </w:r>
      <w:hyperlink r:id="rId24" w:anchor="433">
        <w:r w:rsidRPr="00A20AEF">
          <w:rPr>
            <w:rFonts w:eastAsia="Times New Roman"/>
            <w:color w:val="000000"/>
            <w:u w:val="single"/>
          </w:rPr>
          <w:t>433</w:t>
        </w:r>
      </w:hyperlink>
      <w:r w:rsidRPr="00A20AEF">
        <w:rPr>
          <w:rFonts w:eastAsia="Times New Roman"/>
          <w:color w:val="000000"/>
        </w:rPr>
        <w:t>); Interés Indebido en la Celebración de Contratos (C.P. artículo </w:t>
      </w:r>
      <w:hyperlink r:id="rId25" w:anchor="409">
        <w:r w:rsidRPr="00A20AEF">
          <w:rPr>
            <w:rFonts w:eastAsia="Times New Roman"/>
            <w:color w:val="000000"/>
            <w:u w:val="single"/>
          </w:rPr>
          <w:t>409</w:t>
        </w:r>
      </w:hyperlink>
      <w:r w:rsidRPr="00A20AEF">
        <w:rPr>
          <w:rFonts w:eastAsia="Times New Roman"/>
          <w:color w:val="000000"/>
        </w:rPr>
        <w:t>); Contrato sin Cumplimiento de Requisitos Legales (C.P. artículo </w:t>
      </w:r>
      <w:hyperlink r:id="rId26" w:anchor="410">
        <w:r w:rsidRPr="00A20AEF">
          <w:rPr>
            <w:rFonts w:eastAsia="Times New Roman"/>
            <w:color w:val="000000"/>
            <w:u w:val="single"/>
          </w:rPr>
          <w:t>410</w:t>
        </w:r>
      </w:hyperlink>
      <w:r w:rsidRPr="00A20AEF">
        <w:rPr>
          <w:rFonts w:eastAsia="Times New Roman"/>
          <w:color w:val="000000"/>
        </w:rPr>
        <w:t>); Tráfico de Influencias (C.P. artículo </w:t>
      </w:r>
      <w:hyperlink r:id="rId27" w:anchor="411">
        <w:r w:rsidRPr="00A20AEF">
          <w:rPr>
            <w:rFonts w:eastAsia="Times New Roman"/>
            <w:color w:val="000000"/>
            <w:u w:val="single"/>
          </w:rPr>
          <w:t>411</w:t>
        </w:r>
      </w:hyperlink>
      <w:r w:rsidRPr="00A20AEF">
        <w:rPr>
          <w:rFonts w:eastAsia="Times New Roman"/>
          <w:color w:val="000000"/>
        </w:rPr>
        <w:t>); Receptación repetida, continua (C.P. artículo </w:t>
      </w:r>
      <w:hyperlink r:id="rId28" w:anchor="447">
        <w:r w:rsidRPr="00A20AEF">
          <w:rPr>
            <w:rFonts w:eastAsia="Times New Roman"/>
            <w:color w:val="000000"/>
            <w:u w:val="single"/>
          </w:rPr>
          <w:t>447</w:t>
        </w:r>
      </w:hyperlink>
      <w:r w:rsidRPr="00A20AEF">
        <w:rPr>
          <w:rFonts w:eastAsia="Times New Roman"/>
          <w:color w:val="000000"/>
        </w:rPr>
        <w:t>, incisos 1o y 3o); Receptación para ocultar o encubrir el delito de hurto calificado, la receptación para ocultar o encubrir el hurto calificado en concurso con el concierto para delinquir, receptación sobre medio motorizado o sus partes esenciales, o sobre mercancía o combustible que se lleve en ellos (C. P. artículo </w:t>
      </w:r>
      <w:hyperlink r:id="rId29" w:anchor="447">
        <w:r w:rsidRPr="00A20AEF">
          <w:rPr>
            <w:rFonts w:eastAsia="Times New Roman"/>
            <w:color w:val="000000"/>
            <w:u w:val="single"/>
          </w:rPr>
          <w:t>447</w:t>
        </w:r>
      </w:hyperlink>
      <w:r w:rsidRPr="00A20AEF">
        <w:rPr>
          <w:rFonts w:eastAsia="Times New Roman"/>
          <w:color w:val="000000"/>
        </w:rPr>
        <w:t xml:space="preserve">, inciso 2o); </w:t>
      </w:r>
      <w:r w:rsidRPr="00A20AEF">
        <w:rPr>
          <w:rFonts w:eastAsia="Times New Roman"/>
          <w:color w:val="000000"/>
          <w:u w:val="single"/>
        </w:rPr>
        <w:t>y los delitos que afecten el patrimonio del Estado, los delitos dolosos contra la administración pública contemplados en el Título XV, Capítulos Primero, Segundo, Tercero, Cuarto, Quinto, Sexto y Sétimo del Libro Segundo de este Código y los que atentan contra la eficaz y recta impartición de justicia.</w:t>
      </w:r>
    </w:p>
    <w:p w:rsidR="004141E8" w:rsidRPr="00A20AEF" w:rsidRDefault="004141E8">
      <w:pPr>
        <w:ind w:right="616"/>
        <w:contextualSpacing w:val="0"/>
        <w:jc w:val="both"/>
        <w:rPr>
          <w:rFonts w:eastAsia="Times New Roman"/>
          <w:b/>
          <w:color w:val="000000"/>
        </w:rPr>
      </w:pPr>
    </w:p>
    <w:p w:rsidR="004141E8" w:rsidRPr="00A20AEF" w:rsidRDefault="00E01089">
      <w:pPr>
        <w:ind w:right="616"/>
        <w:contextualSpacing w:val="0"/>
        <w:jc w:val="both"/>
        <w:rPr>
          <w:rFonts w:eastAsia="Times New Roman"/>
        </w:rPr>
      </w:pPr>
      <w:r w:rsidRPr="00A20AEF">
        <w:rPr>
          <w:rFonts w:eastAsia="Times New Roman"/>
          <w:b/>
          <w:color w:val="000000"/>
        </w:rPr>
        <w:t xml:space="preserve">Artículo 5°. PROHIBICIÓN DE LIBERTAD CONDICIONAL. </w:t>
      </w:r>
      <w:r w:rsidRPr="00A20AEF">
        <w:rPr>
          <w:rFonts w:eastAsia="Times New Roman"/>
        </w:rPr>
        <w:t xml:space="preserve">Adiciónese un numeral 4 al artículo 64 a la Ley 599 de 2000, que trata sobre la Libertad condicional, el cual quedará así: </w:t>
      </w:r>
    </w:p>
    <w:p w:rsidR="004141E8" w:rsidRPr="00A20AEF" w:rsidRDefault="004141E8">
      <w:pPr>
        <w:ind w:right="616"/>
        <w:contextualSpacing w:val="0"/>
        <w:jc w:val="both"/>
        <w:rPr>
          <w:rFonts w:eastAsia="Times New Roman"/>
        </w:rPr>
      </w:pPr>
    </w:p>
    <w:p w:rsidR="0052584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bookmarkStart w:id="1" w:name="gjdgxs" w:colFirst="0" w:colLast="0"/>
      <w:bookmarkEnd w:id="1"/>
      <w:r w:rsidRPr="00A20AEF">
        <w:rPr>
          <w:rFonts w:eastAsia="Times New Roman"/>
          <w:b/>
        </w:rPr>
        <w:t>Artículo 64. Libertad condicional</w:t>
      </w:r>
      <w:r w:rsidRPr="00A20AEF">
        <w:rPr>
          <w:rFonts w:eastAsia="Times New Roman"/>
        </w:rPr>
        <w:t>. El juez, previa valoración de la conducta punible, concederá la libertad condicional a la persona condenada a pena privativa de la libertad cuando haya cumplido con los siguientes requisitos:</w:t>
      </w:r>
    </w:p>
    <w:p w:rsidR="0052584F" w:rsidRDefault="0052584F"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p>
    <w:p w:rsidR="0052584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r w:rsidRPr="00A20AEF">
        <w:rPr>
          <w:rFonts w:eastAsia="Times New Roman"/>
        </w:rPr>
        <w:t>1. Que la persona haya cumplido las tres quintas (3/5) partes de la pena.</w:t>
      </w:r>
    </w:p>
    <w:p w:rsidR="0052584F" w:rsidRDefault="0052584F"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p>
    <w:p w:rsidR="0052584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r w:rsidRPr="00A20AEF">
        <w:rPr>
          <w:rFonts w:eastAsia="Times New Roman"/>
        </w:rPr>
        <w:t>2. Que su adecuado desempeño y comportamiento durante el tratamiento penitenciario en el centro de reclusión permita suponer fundadamente que no existe necesidad de continuar la ejecución de la pena.</w:t>
      </w:r>
    </w:p>
    <w:p w:rsidR="0052584F" w:rsidRDefault="0052584F"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p>
    <w:p w:rsidR="0052584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r w:rsidRPr="00A20AEF">
        <w:rPr>
          <w:rFonts w:eastAsia="Times New Roman"/>
        </w:rPr>
        <w:t>3. Que demuestre arraigo familiar y social.</w:t>
      </w:r>
    </w:p>
    <w:p w:rsidR="0052584F" w:rsidRDefault="0052584F"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p>
    <w:p w:rsidR="0052584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r w:rsidRPr="00A20AEF">
        <w:rPr>
          <w:rFonts w:eastAsia="Times New Roman"/>
        </w:rPr>
        <w:t>Corresponde al juez competente para conceder la libertad condicional establecer, con todos los elementos de prueba allegados a la actuación, la existencia o inexistencia del arraigo.</w:t>
      </w:r>
    </w:p>
    <w:p w:rsidR="0052584F" w:rsidRDefault="0052584F"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p>
    <w:p w:rsidR="0052584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r w:rsidRPr="00A20AEF">
        <w:rPr>
          <w:rFonts w:eastAsia="Times New Roman"/>
        </w:rPr>
        <w:t>En todo caso su concesión estará supeditada a la reparación a la víctima o al aseguramiento del pago de la indemnización mediante garantía personal, real, bancaria o acuerdo de pago, salvo que se demuestre insolvencia del condenado.</w:t>
      </w:r>
    </w:p>
    <w:p w:rsidR="0052584F" w:rsidRDefault="0052584F"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p>
    <w:p w:rsidR="0052584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r w:rsidRPr="00A20AEF">
        <w:rPr>
          <w:rFonts w:eastAsia="Times New Roman"/>
        </w:rPr>
        <w:t>El tiempo que falte para el cumplimiento de la pena se tendrá como periodo de prueba. Cuando este sea inferior a tres años, el juez podrá aumentarlo hasta en otro tanto igual, de considerarlo necesario.</w:t>
      </w:r>
    </w:p>
    <w:p w:rsidR="0052584F" w:rsidRDefault="0052584F"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p>
    <w:p w:rsidR="004141E8" w:rsidRPr="00A20AE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r w:rsidRPr="00A20AEF">
        <w:rPr>
          <w:rFonts w:eastAsia="Times New Roman"/>
          <w:u w:val="single"/>
        </w:rPr>
        <w:t>4. Que no se trate de delitos que afecten el patrimonio del Estado, delitos dolosos contra la administración pública contemplados en el Título XV, Capítulos Primero, Segundo, Tercero, Cuarto, Quinto, Sexto y Séptimo del Libro Segundo de este Código y los que atentan contra la eficaz y recta impartición de justicia.</w:t>
      </w:r>
      <w:r w:rsidRPr="00A20AEF">
        <w:rPr>
          <w:rFonts w:eastAsia="Times New Roman"/>
        </w:rPr>
        <w:t>”</w:t>
      </w:r>
    </w:p>
    <w:p w:rsidR="004141E8" w:rsidRPr="00A20AEF" w:rsidRDefault="004141E8">
      <w:pPr>
        <w:contextualSpacing w:val="0"/>
        <w:jc w:val="both"/>
        <w:rPr>
          <w:rFonts w:eastAsia="Times New Roman"/>
          <w:b/>
          <w:color w:val="000000"/>
        </w:rPr>
      </w:pPr>
    </w:p>
    <w:p w:rsidR="004141E8" w:rsidRPr="00A20AEF" w:rsidRDefault="00E01089">
      <w:pPr>
        <w:contextualSpacing w:val="0"/>
        <w:jc w:val="both"/>
        <w:rPr>
          <w:rFonts w:eastAsia="Times New Roman"/>
        </w:rPr>
      </w:pPr>
      <w:r w:rsidRPr="00A20AEF">
        <w:rPr>
          <w:rFonts w:eastAsia="Times New Roman"/>
          <w:b/>
          <w:color w:val="000000"/>
        </w:rPr>
        <w:t xml:space="preserve">Artículo </w:t>
      </w:r>
      <w:r w:rsidRPr="00A20AEF">
        <w:rPr>
          <w:rFonts w:eastAsia="Times New Roman"/>
          <w:b/>
        </w:rPr>
        <w:t>6</w:t>
      </w:r>
      <w:r w:rsidRPr="00A20AEF">
        <w:rPr>
          <w:rFonts w:eastAsia="Times New Roman"/>
          <w:b/>
          <w:color w:val="000000"/>
        </w:rPr>
        <w:t>°. REINTEGRO DE LOS BIENES EN CASOS DE ACEPTACIÓN DE CARGOS.</w:t>
      </w:r>
      <w:r w:rsidRPr="00A20AEF">
        <w:rPr>
          <w:rFonts w:eastAsia="Times New Roman"/>
          <w:color w:val="000000"/>
        </w:rPr>
        <w:t xml:space="preserve"> </w:t>
      </w:r>
      <w:r w:rsidRPr="00A20AEF">
        <w:rPr>
          <w:rFonts w:eastAsia="Times New Roman"/>
        </w:rPr>
        <w:t>Modifíquese el artículo 349 de la Ley 906 de 2004, que trata sobre la Improcedencia de acuerdos o negociaciones con el imputado o acusado, el cual quedará así:</w:t>
      </w:r>
    </w:p>
    <w:p w:rsidR="004141E8" w:rsidRPr="00A20AEF" w:rsidRDefault="004141E8">
      <w:pPr>
        <w:pBdr>
          <w:top w:val="nil"/>
          <w:left w:val="nil"/>
          <w:bottom w:val="nil"/>
          <w:right w:val="nil"/>
          <w:between w:val="nil"/>
        </w:pBdr>
        <w:contextualSpacing w:val="0"/>
        <w:jc w:val="both"/>
        <w:rPr>
          <w:rFonts w:eastAsia="Times New Roman"/>
          <w:color w:val="000000"/>
        </w:rPr>
      </w:pPr>
    </w:p>
    <w:p w:rsidR="0052584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color w:val="000000"/>
        </w:rPr>
      </w:pPr>
      <w:r w:rsidRPr="00A20AEF">
        <w:rPr>
          <w:rFonts w:eastAsia="Times New Roman"/>
          <w:b/>
          <w:color w:val="000000"/>
        </w:rPr>
        <w:t>“Artículo 349. Improcedencia de acuerdos o negociaciones con el imputado o acusado.</w:t>
      </w:r>
      <w:r w:rsidRPr="00A20AEF">
        <w:rPr>
          <w:rFonts w:eastAsia="Times New Roman"/>
          <w:color w:val="000000"/>
        </w:rPr>
        <w:t xml:space="preserve"> En los delitos en los cuales el sujeto activo de la conducta punible hubiese obtenido incremento patrimonial fruto del mismo, no se podrá celebrar el acuerdo con la Fiscalía hasta tanto se reintegre, por lo menos, el cincuenta por ciento del valor equivalente al incremento percibido y se asegure el recaudo del remanente.</w:t>
      </w:r>
    </w:p>
    <w:p w:rsidR="0052584F" w:rsidRDefault="0052584F" w:rsidP="0052584F">
      <w:pPr>
        <w:widowControl w:val="0"/>
        <w:pBdr>
          <w:top w:val="nil"/>
          <w:left w:val="nil"/>
          <w:bottom w:val="nil"/>
          <w:right w:val="nil"/>
          <w:between w:val="nil"/>
        </w:pBdr>
        <w:tabs>
          <w:tab w:val="left" w:pos="426"/>
        </w:tabs>
        <w:spacing w:after="100"/>
        <w:ind w:left="567"/>
        <w:contextualSpacing w:val="0"/>
        <w:jc w:val="both"/>
        <w:rPr>
          <w:rFonts w:eastAsia="Times New Roman"/>
          <w:color w:val="000000"/>
          <w:u w:val="single"/>
        </w:rPr>
      </w:pPr>
    </w:p>
    <w:p w:rsidR="0052584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color w:val="000000"/>
        </w:rPr>
      </w:pPr>
      <w:r w:rsidRPr="00A20AEF">
        <w:rPr>
          <w:rFonts w:eastAsia="Times New Roman"/>
          <w:color w:val="000000"/>
          <w:u w:val="single"/>
        </w:rPr>
        <w:t xml:space="preserve">Tratándose de aceptación de cargos por delitos que afecten el patrimonio del Estado, delitos dolosos contra la administración pública contemplados en el Título XV, Capítulos Primero, Segundo, Tercero, Cuarto, Quinto, Sexto y Séptimo del Libro Segundo de este Código y los que atentan contra la eficaz y recta impartición de justicia, cuando el procesado haya incrementado su patrimonio como consecuencia de los mismos, éste podrá renunciar a los derechos contenidos en los literales b) y k) del artículo 8 de este código. Sin embargo, las rebajas previstas en este código solo procederán hasta tanto se reintegre, por lo menos, el cincuenta por ciento del valor equivalente al incremento percibido y se asegure el recaudo del remanente. </w:t>
      </w:r>
    </w:p>
    <w:p w:rsidR="0052584F" w:rsidRDefault="0052584F" w:rsidP="0052584F">
      <w:pPr>
        <w:widowControl w:val="0"/>
        <w:pBdr>
          <w:top w:val="nil"/>
          <w:left w:val="nil"/>
          <w:bottom w:val="nil"/>
          <w:right w:val="nil"/>
          <w:between w:val="nil"/>
        </w:pBdr>
        <w:tabs>
          <w:tab w:val="left" w:pos="426"/>
        </w:tabs>
        <w:spacing w:after="100"/>
        <w:ind w:left="567"/>
        <w:contextualSpacing w:val="0"/>
        <w:jc w:val="both"/>
        <w:rPr>
          <w:rFonts w:eastAsia="Times New Roman"/>
          <w:color w:val="000000"/>
        </w:rPr>
      </w:pPr>
    </w:p>
    <w:p w:rsidR="0052584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color w:val="000000"/>
        </w:rPr>
      </w:pPr>
      <w:r w:rsidRPr="00A20AEF">
        <w:rPr>
          <w:rFonts w:eastAsia="Times New Roman"/>
          <w:color w:val="000000"/>
          <w:u w:val="single"/>
        </w:rPr>
        <w:t xml:space="preserve">Cuando el indiciado por estos mismos delitos no hubiese incrementado su patrimonio, el acceso a las rebajas punitivas solo procederá cuando se informe al fiscal de conocimiento el destino de los recursos. </w:t>
      </w:r>
    </w:p>
    <w:p w:rsidR="0052584F" w:rsidRDefault="0052584F" w:rsidP="0052584F">
      <w:pPr>
        <w:widowControl w:val="0"/>
        <w:pBdr>
          <w:top w:val="nil"/>
          <w:left w:val="nil"/>
          <w:bottom w:val="nil"/>
          <w:right w:val="nil"/>
          <w:between w:val="nil"/>
        </w:pBdr>
        <w:tabs>
          <w:tab w:val="left" w:pos="426"/>
        </w:tabs>
        <w:spacing w:after="100"/>
        <w:ind w:left="567"/>
        <w:contextualSpacing w:val="0"/>
        <w:jc w:val="both"/>
        <w:rPr>
          <w:rFonts w:eastAsia="Times New Roman"/>
          <w:color w:val="000000"/>
        </w:rPr>
      </w:pPr>
    </w:p>
    <w:p w:rsidR="004141E8" w:rsidRPr="0052584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color w:val="000000"/>
        </w:rPr>
      </w:pPr>
      <w:r w:rsidRPr="00A20AEF">
        <w:rPr>
          <w:rFonts w:eastAsia="Times New Roman"/>
          <w:color w:val="000000"/>
          <w:u w:val="single"/>
        </w:rPr>
        <w:t xml:space="preserve">En estos casos, el juez de conocimiento impondrá la pena principal, la suspenderá por un término igual a la misma, e impondrá en subsidio la pena reducida luego de la rebaja punitiva correspondiente. </w:t>
      </w:r>
    </w:p>
    <w:p w:rsidR="004141E8" w:rsidRPr="00A20AEF" w:rsidRDefault="004141E8">
      <w:pPr>
        <w:pBdr>
          <w:top w:val="nil"/>
          <w:left w:val="nil"/>
          <w:bottom w:val="nil"/>
          <w:right w:val="nil"/>
          <w:between w:val="nil"/>
        </w:pBdr>
        <w:ind w:left="1134" w:right="616"/>
        <w:contextualSpacing w:val="0"/>
        <w:jc w:val="both"/>
        <w:rPr>
          <w:rFonts w:eastAsia="Times New Roman"/>
          <w:color w:val="000000"/>
          <w:u w:val="single"/>
        </w:rPr>
      </w:pPr>
    </w:p>
    <w:p w:rsidR="004141E8" w:rsidRPr="00A20AE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color w:val="000000"/>
          <w:u w:val="single"/>
        </w:rPr>
      </w:pPr>
      <w:r w:rsidRPr="00A20AEF">
        <w:rPr>
          <w:rFonts w:eastAsia="Times New Roman"/>
          <w:color w:val="000000"/>
          <w:u w:val="single"/>
        </w:rPr>
        <w:t xml:space="preserve">En caso de que durante el término de suspensión de la pena principal se acredite que la persona conocía del destino de los recursos, y hubiese manifestado desconocerlo o haya suministrado información incompleta, se reactivará la pena principal, perdiendo así las rebajas punitivas a las que se había hecho beneficiario. </w:t>
      </w:r>
    </w:p>
    <w:p w:rsidR="004141E8" w:rsidRPr="00A20AEF" w:rsidRDefault="004141E8">
      <w:pPr>
        <w:pBdr>
          <w:top w:val="nil"/>
          <w:left w:val="nil"/>
          <w:bottom w:val="nil"/>
          <w:right w:val="nil"/>
          <w:between w:val="nil"/>
        </w:pBdr>
        <w:ind w:left="1134" w:right="616"/>
        <w:contextualSpacing w:val="0"/>
        <w:jc w:val="both"/>
        <w:rPr>
          <w:rFonts w:eastAsia="Times New Roman"/>
          <w:color w:val="000000"/>
          <w:u w:val="single"/>
        </w:rPr>
      </w:pPr>
    </w:p>
    <w:p w:rsidR="004141E8" w:rsidRPr="00A20AE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color w:val="000000"/>
          <w:u w:val="single"/>
        </w:rPr>
      </w:pPr>
      <w:r w:rsidRPr="00A20AEF">
        <w:rPr>
          <w:rFonts w:eastAsia="Times New Roman"/>
          <w:color w:val="000000"/>
          <w:u w:val="single"/>
        </w:rPr>
        <w:t>Para adelantar el trámite de reactivación de la pena principal, la Fiscalía General de la Nación remitirá comunicación escrita al juez de ejecución de penas y medidas de seguridad en la que se acredite tal situación para que adopte las decisiones correspondientes en los términos previstos en el artículo 7A de la Ley 65 de 1993.</w:t>
      </w:r>
      <w:r w:rsidRPr="00A20AEF">
        <w:rPr>
          <w:rFonts w:eastAsia="Times New Roman"/>
          <w:color w:val="000000"/>
        </w:rPr>
        <w:t>”</w:t>
      </w:r>
    </w:p>
    <w:p w:rsidR="004141E8" w:rsidRPr="00A20AEF" w:rsidRDefault="004141E8">
      <w:pPr>
        <w:pBdr>
          <w:top w:val="nil"/>
          <w:left w:val="nil"/>
          <w:bottom w:val="nil"/>
          <w:right w:val="nil"/>
          <w:between w:val="nil"/>
        </w:pBdr>
        <w:ind w:left="1134" w:right="616"/>
        <w:contextualSpacing w:val="0"/>
        <w:jc w:val="both"/>
        <w:rPr>
          <w:rFonts w:eastAsia="Times New Roman"/>
          <w:color w:val="000000"/>
          <w:u w:val="single"/>
        </w:rPr>
      </w:pPr>
    </w:p>
    <w:p w:rsidR="004141E8" w:rsidRPr="00A20AEF" w:rsidRDefault="00E01089">
      <w:pPr>
        <w:contextualSpacing w:val="0"/>
        <w:jc w:val="both"/>
        <w:rPr>
          <w:rFonts w:eastAsia="Times New Roman"/>
          <w:b/>
        </w:rPr>
      </w:pPr>
      <w:r w:rsidRPr="00A20AEF">
        <w:rPr>
          <w:rFonts w:eastAsia="Times New Roman"/>
          <w:b/>
        </w:rPr>
        <w:t xml:space="preserve">Artículo 7°. </w:t>
      </w:r>
      <w:r w:rsidR="0052584F">
        <w:rPr>
          <w:rFonts w:eastAsia="Times New Roman"/>
        </w:rPr>
        <w:t>Adiciónese el artículo 7B a la L</w:t>
      </w:r>
      <w:r w:rsidRPr="00A20AEF">
        <w:rPr>
          <w:rFonts w:eastAsia="Times New Roman"/>
        </w:rPr>
        <w:t>ey 65 de 1993, el cual quedarás así:</w:t>
      </w:r>
      <w:r w:rsidRPr="00A20AEF">
        <w:rPr>
          <w:rFonts w:eastAsia="Times New Roman"/>
          <w:b/>
        </w:rPr>
        <w:t xml:space="preserve"> </w:t>
      </w:r>
    </w:p>
    <w:p w:rsidR="004141E8" w:rsidRPr="00A20AEF" w:rsidRDefault="004141E8">
      <w:pPr>
        <w:ind w:left="1134"/>
        <w:contextualSpacing w:val="0"/>
        <w:jc w:val="both"/>
        <w:rPr>
          <w:rFonts w:eastAsia="Times New Roman"/>
          <w:b/>
        </w:rPr>
      </w:pPr>
    </w:p>
    <w:p w:rsidR="004141E8" w:rsidRPr="00A20AE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r w:rsidRPr="00A20AEF">
        <w:rPr>
          <w:rFonts w:eastAsia="Times New Roman"/>
          <w:b/>
        </w:rPr>
        <w:t>Artículo</w:t>
      </w:r>
      <w:r w:rsidR="00A20AEF">
        <w:rPr>
          <w:rFonts w:eastAsia="Times New Roman"/>
          <w:b/>
        </w:rPr>
        <w:t xml:space="preserve"> 7B</w:t>
      </w:r>
      <w:r w:rsidRPr="00A20AEF">
        <w:rPr>
          <w:rFonts w:eastAsia="Times New Roman"/>
          <w:b/>
        </w:rPr>
        <w:t>. Reactivación de la pena principal.</w:t>
      </w:r>
      <w:r w:rsidRPr="00A20AEF">
        <w:rPr>
          <w:rFonts w:eastAsia="Times New Roman"/>
        </w:rPr>
        <w:t xml:space="preserve"> Recibida la comunicación de que trata el artículo 349 de la Ley 906 de 2004, el Juez de Ejecución de Penas y Medidas de Seguridad dará traslado de la misma, por el medio más expedito, al condenado o a su apoderado para que en el término de cinco (5) días hábiles se pronuncie y aporte las pruebas que sustenten su pretensión. Vencido éste plazo, el juez contará con quince (15) días para emitir su pronunciamiento. </w:t>
      </w:r>
    </w:p>
    <w:p w:rsidR="004141E8" w:rsidRPr="00A20AEF" w:rsidRDefault="004141E8">
      <w:pPr>
        <w:ind w:left="1134" w:right="616"/>
        <w:contextualSpacing w:val="0"/>
        <w:jc w:val="both"/>
        <w:rPr>
          <w:rFonts w:eastAsia="Times New Roman"/>
        </w:rPr>
      </w:pPr>
    </w:p>
    <w:p w:rsidR="0052584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r w:rsidRPr="0052584F">
        <w:rPr>
          <w:rFonts w:eastAsia="Times New Roman"/>
        </w:rPr>
        <w:t>En</w:t>
      </w:r>
      <w:r w:rsidRPr="00A20AEF">
        <w:rPr>
          <w:rFonts w:eastAsia="Times New Roman"/>
        </w:rPr>
        <w:t xml:space="preserve"> caso de encontrar procedente la reactivación de la pena principal, y hallándose privado de la libertad el condenado, el juez remitirá su decisión al Instituto Nacional Penitenciario y Carcelario (Inpec) para lo de su competencia. En caso de que el condenado esté gozando de libertad, el juez expedirá la correspondiente orden de captura y dará tramite a lo dispuesto en el artículo 299 de la Ley 906 de 2004.</w:t>
      </w:r>
    </w:p>
    <w:p w:rsidR="0052584F" w:rsidRDefault="0052584F" w:rsidP="0052584F">
      <w:pPr>
        <w:widowControl w:val="0"/>
        <w:pBdr>
          <w:top w:val="nil"/>
          <w:left w:val="nil"/>
          <w:bottom w:val="nil"/>
          <w:right w:val="nil"/>
          <w:between w:val="nil"/>
        </w:pBdr>
        <w:tabs>
          <w:tab w:val="left" w:pos="426"/>
        </w:tabs>
        <w:spacing w:after="100"/>
        <w:ind w:left="567"/>
        <w:contextualSpacing w:val="0"/>
        <w:jc w:val="both"/>
        <w:rPr>
          <w:rFonts w:eastAsia="Times New Roman"/>
          <w:b/>
        </w:rPr>
      </w:pPr>
    </w:p>
    <w:p w:rsidR="004141E8" w:rsidRPr="00A20AEF" w:rsidRDefault="00E01089" w:rsidP="0052584F">
      <w:pPr>
        <w:widowControl w:val="0"/>
        <w:pBdr>
          <w:top w:val="nil"/>
          <w:left w:val="nil"/>
          <w:bottom w:val="nil"/>
          <w:right w:val="nil"/>
          <w:between w:val="nil"/>
        </w:pBdr>
        <w:tabs>
          <w:tab w:val="left" w:pos="426"/>
        </w:tabs>
        <w:spacing w:after="100"/>
        <w:ind w:left="567"/>
        <w:contextualSpacing w:val="0"/>
        <w:jc w:val="both"/>
        <w:rPr>
          <w:rFonts w:eastAsia="Times New Roman"/>
        </w:rPr>
      </w:pPr>
      <w:r w:rsidRPr="0052584F">
        <w:rPr>
          <w:rFonts w:eastAsia="Times New Roman"/>
          <w:b/>
        </w:rPr>
        <w:t>Parágrafo</w:t>
      </w:r>
      <w:r w:rsidR="0052584F">
        <w:rPr>
          <w:rFonts w:eastAsia="Times New Roman"/>
        </w:rPr>
        <w:t>. Para</w:t>
      </w:r>
      <w:r w:rsidRPr="00A20AEF">
        <w:rPr>
          <w:rFonts w:eastAsia="Times New Roman"/>
        </w:rPr>
        <w:t xml:space="preserve"> efectos de correr traslado de la co</w:t>
      </w:r>
      <w:r w:rsidR="00B37F31">
        <w:rPr>
          <w:rFonts w:eastAsia="Times New Roman"/>
        </w:rPr>
        <w:t xml:space="preserve">municación de la Fiscalía y de la notificación de </w:t>
      </w:r>
      <w:r w:rsidRPr="00A20AEF">
        <w:rPr>
          <w:rFonts w:eastAsia="Times New Roman"/>
        </w:rPr>
        <w:t>la decisión de que trata el presente artículo, los condenados que hayan sido beneficiados con la imposición de la pena subsidiaria contemplada en el artículo 349 de la Ley 906 de 2004</w:t>
      </w:r>
      <w:r w:rsidR="00B37F31">
        <w:rPr>
          <w:rFonts w:eastAsia="Times New Roman"/>
        </w:rPr>
        <w:t>,</w:t>
      </w:r>
      <w:r w:rsidRPr="00A20AEF">
        <w:rPr>
          <w:rFonts w:eastAsia="Times New Roman"/>
        </w:rPr>
        <w:t xml:space="preserve"> deberán suministrara al juez de ejecución de penas y medidas de seguridad la dirección física o de correo electrónico para recibir sus comunicaciones. Se entenderá notificada la comunicación remitida a la dirección suministrada por el condenado.</w:t>
      </w:r>
    </w:p>
    <w:p w:rsidR="004141E8" w:rsidRPr="00A20AEF" w:rsidRDefault="004141E8">
      <w:pPr>
        <w:ind w:left="708" w:right="616"/>
        <w:contextualSpacing w:val="0"/>
        <w:jc w:val="both"/>
        <w:rPr>
          <w:rFonts w:eastAsia="Times New Roman"/>
        </w:rPr>
      </w:pPr>
      <w:bookmarkStart w:id="2" w:name="_30j0zll" w:colFirst="0" w:colLast="0"/>
      <w:bookmarkEnd w:id="2"/>
    </w:p>
    <w:p w:rsidR="004141E8" w:rsidRPr="00A20AEF" w:rsidRDefault="00E01089">
      <w:pPr>
        <w:contextualSpacing w:val="0"/>
        <w:rPr>
          <w:rFonts w:eastAsia="Times New Roman"/>
        </w:rPr>
      </w:pPr>
      <w:r w:rsidRPr="00A20AEF">
        <w:rPr>
          <w:rFonts w:eastAsia="Times New Roman"/>
          <w:b/>
        </w:rPr>
        <w:t>Artículo 8°.</w:t>
      </w:r>
      <w:r w:rsidR="00B37F31">
        <w:rPr>
          <w:rFonts w:eastAsia="Times New Roman"/>
        </w:rPr>
        <w:t xml:space="preserve"> Adiciónese el</w:t>
      </w:r>
      <w:r w:rsidRPr="00A20AEF">
        <w:rPr>
          <w:rFonts w:eastAsia="Times New Roman"/>
        </w:rPr>
        <w:t xml:space="preserve"> n</w:t>
      </w:r>
      <w:r w:rsidR="00B37F31">
        <w:rPr>
          <w:rFonts w:eastAsia="Times New Roman"/>
        </w:rPr>
        <w:t>umeral 10 al artículo 38 de la L</w:t>
      </w:r>
      <w:r w:rsidRPr="00A20AEF">
        <w:rPr>
          <w:rFonts w:eastAsia="Times New Roman"/>
        </w:rPr>
        <w:t xml:space="preserve">ey 906 de 2004, el cual quedará así: </w:t>
      </w:r>
    </w:p>
    <w:p w:rsidR="004141E8" w:rsidRPr="00A20AEF" w:rsidRDefault="004141E8">
      <w:pPr>
        <w:contextualSpacing w:val="0"/>
        <w:rPr>
          <w:rFonts w:eastAsia="Times New Roman"/>
        </w:rPr>
      </w:pPr>
    </w:p>
    <w:p w:rsidR="004141E8" w:rsidRPr="00A20AEF" w:rsidRDefault="00E01089" w:rsidP="00B37F31">
      <w:pPr>
        <w:widowControl w:val="0"/>
        <w:pBdr>
          <w:top w:val="nil"/>
          <w:left w:val="nil"/>
          <w:bottom w:val="nil"/>
          <w:right w:val="nil"/>
          <w:between w:val="nil"/>
        </w:pBdr>
        <w:tabs>
          <w:tab w:val="left" w:pos="426"/>
        </w:tabs>
        <w:spacing w:after="100"/>
        <w:ind w:left="567"/>
        <w:contextualSpacing w:val="0"/>
        <w:jc w:val="both"/>
        <w:rPr>
          <w:rFonts w:eastAsia="Times New Roman"/>
        </w:rPr>
      </w:pPr>
      <w:r w:rsidRPr="00B37F31">
        <w:rPr>
          <w:rFonts w:eastAsia="Times New Roman"/>
          <w:b/>
        </w:rPr>
        <w:t>10</w:t>
      </w:r>
      <w:r w:rsidRPr="00A20AEF">
        <w:rPr>
          <w:rFonts w:eastAsia="Times New Roman"/>
        </w:rPr>
        <w:t xml:space="preserve">. Del trámite de la Reactivación de la pena principal </w:t>
      </w:r>
    </w:p>
    <w:p w:rsidR="004141E8" w:rsidRPr="00A20AEF" w:rsidRDefault="004141E8">
      <w:pPr>
        <w:pBdr>
          <w:top w:val="nil"/>
          <w:left w:val="nil"/>
          <w:bottom w:val="nil"/>
          <w:right w:val="nil"/>
          <w:between w:val="nil"/>
        </w:pBdr>
        <w:ind w:right="616"/>
        <w:contextualSpacing w:val="0"/>
        <w:jc w:val="both"/>
        <w:rPr>
          <w:rFonts w:eastAsia="Times New Roman"/>
          <w:color w:val="000000"/>
          <w:u w:val="single"/>
        </w:rPr>
      </w:pPr>
    </w:p>
    <w:p w:rsidR="00A20AEF" w:rsidRDefault="00E01089">
      <w:pPr>
        <w:pBdr>
          <w:top w:val="nil"/>
          <w:left w:val="nil"/>
          <w:bottom w:val="nil"/>
          <w:right w:val="nil"/>
          <w:between w:val="nil"/>
        </w:pBdr>
        <w:spacing w:before="100" w:after="100"/>
        <w:ind w:right="-43"/>
        <w:contextualSpacing w:val="0"/>
        <w:jc w:val="both"/>
        <w:rPr>
          <w:rFonts w:eastAsia="Times New Roman"/>
          <w:color w:val="000000"/>
        </w:rPr>
      </w:pPr>
      <w:r w:rsidRPr="00A20AEF">
        <w:rPr>
          <w:rFonts w:eastAsia="Times New Roman"/>
          <w:b/>
          <w:color w:val="000000"/>
        </w:rPr>
        <w:t>Artículo 9°. REINTEGRO DE LOS BIENES EN CASOS DE APLICACIÓN DEL PRINCIPIO DE OPORTUNIDAD.</w:t>
      </w:r>
      <w:r w:rsidRPr="00A20AEF">
        <w:rPr>
          <w:rFonts w:eastAsia="Times New Roman"/>
          <w:color w:val="000000"/>
        </w:rPr>
        <w:t xml:space="preserve"> Adiciónese un parágrafo 4 al Artículo 324 de la Ley 906 de 2004, modificado por la Ley 1312 de 2009, el cual quedará así: </w:t>
      </w:r>
    </w:p>
    <w:p w:rsidR="00A20AEF" w:rsidRPr="00A20AEF" w:rsidRDefault="00A20AEF">
      <w:pPr>
        <w:pBdr>
          <w:top w:val="nil"/>
          <w:left w:val="nil"/>
          <w:bottom w:val="nil"/>
          <w:right w:val="nil"/>
          <w:between w:val="nil"/>
        </w:pBdr>
        <w:spacing w:before="100" w:after="100"/>
        <w:ind w:right="-43"/>
        <w:contextualSpacing w:val="0"/>
        <w:jc w:val="both"/>
        <w:rPr>
          <w:rFonts w:eastAsia="Times New Roman"/>
          <w:color w:val="000000"/>
        </w:rPr>
      </w:pPr>
    </w:p>
    <w:p w:rsidR="004141E8" w:rsidRPr="00A20AEF" w:rsidRDefault="00E01089" w:rsidP="00B37F31">
      <w:pPr>
        <w:widowControl w:val="0"/>
        <w:pBdr>
          <w:top w:val="nil"/>
          <w:left w:val="nil"/>
          <w:bottom w:val="nil"/>
          <w:right w:val="nil"/>
          <w:between w:val="nil"/>
        </w:pBdr>
        <w:tabs>
          <w:tab w:val="left" w:pos="426"/>
        </w:tabs>
        <w:spacing w:after="100"/>
        <w:ind w:left="567"/>
        <w:contextualSpacing w:val="0"/>
        <w:jc w:val="both"/>
        <w:rPr>
          <w:rFonts w:eastAsia="Times New Roman"/>
        </w:rPr>
      </w:pPr>
      <w:r w:rsidRPr="00A20AEF">
        <w:rPr>
          <w:rFonts w:eastAsia="Times New Roman"/>
        </w:rPr>
        <w:t xml:space="preserve">Para efectos de la aplicación del principio de oportunidad por los numerales 4 y 5 del presente artículo, respecto de los delitos en que se hubiese incrementado el patrimonio como consecuencia de la comisión de delitos que afecten el patrimonio del Estado, delitos dolosos contra la administración pública contemplados en el Título XV, Capítulos Primero, Segundo, Tercero, Cuarto, Quinto, Sexto y Sétimo del Libro Segundo de este Código y los que atentan contra la eficaz y recta impartición de justicia, la Fiscalía tomará las medidas necesarias para que el aspirante reintegre tales incrementos en la mayor proporción posible, o, en caso de ausencia de apropiación, suministre información precisa sobre su destino, rutas </w:t>
      </w:r>
      <w:r w:rsidR="00B37F31">
        <w:rPr>
          <w:rFonts w:eastAsia="Times New Roman"/>
        </w:rPr>
        <w:t>e intermediarios si los conoce.</w:t>
      </w:r>
    </w:p>
    <w:p w:rsidR="004141E8" w:rsidRPr="00A20AEF" w:rsidRDefault="004141E8">
      <w:pPr>
        <w:widowControl w:val="0"/>
        <w:pBdr>
          <w:top w:val="nil"/>
          <w:left w:val="nil"/>
          <w:bottom w:val="nil"/>
          <w:right w:val="nil"/>
          <w:between w:val="nil"/>
        </w:pBdr>
        <w:spacing w:after="100"/>
        <w:contextualSpacing w:val="0"/>
        <w:rPr>
          <w:rFonts w:eastAsia="Times New Roman"/>
          <w:b/>
          <w:color w:val="000000"/>
        </w:rPr>
      </w:pPr>
    </w:p>
    <w:p w:rsidR="004141E8" w:rsidRPr="00A20AEF" w:rsidRDefault="00E01089">
      <w:pPr>
        <w:pBdr>
          <w:top w:val="nil"/>
          <w:left w:val="nil"/>
          <w:bottom w:val="nil"/>
          <w:right w:val="nil"/>
          <w:between w:val="nil"/>
        </w:pBdr>
        <w:spacing w:before="100" w:after="100"/>
        <w:ind w:right="616"/>
        <w:contextualSpacing w:val="0"/>
        <w:jc w:val="both"/>
        <w:rPr>
          <w:rFonts w:eastAsia="Times New Roman"/>
          <w:color w:val="000000"/>
        </w:rPr>
      </w:pPr>
      <w:r w:rsidRPr="00A20AEF">
        <w:rPr>
          <w:rFonts w:eastAsia="Times New Roman"/>
          <w:b/>
          <w:color w:val="000000"/>
        </w:rPr>
        <w:t xml:space="preserve">Artículo 10°. </w:t>
      </w:r>
      <w:r w:rsidRPr="00A20AEF">
        <w:rPr>
          <w:rFonts w:eastAsia="Times New Roman"/>
          <w:color w:val="000000"/>
        </w:rPr>
        <w:t xml:space="preserve"> Créase un nuevo artículo 92A de la Ley 906 de 2004, el cual quedará así: </w:t>
      </w:r>
    </w:p>
    <w:p w:rsidR="00B37F31" w:rsidRDefault="00B37F31" w:rsidP="00B37F31">
      <w:pPr>
        <w:widowControl w:val="0"/>
        <w:pBdr>
          <w:top w:val="nil"/>
          <w:left w:val="nil"/>
          <w:bottom w:val="nil"/>
          <w:right w:val="nil"/>
          <w:between w:val="nil"/>
        </w:pBdr>
        <w:tabs>
          <w:tab w:val="left" w:pos="426"/>
        </w:tabs>
        <w:spacing w:after="100"/>
        <w:ind w:left="567"/>
        <w:contextualSpacing w:val="0"/>
        <w:jc w:val="both"/>
        <w:rPr>
          <w:rFonts w:eastAsia="Times New Roman"/>
          <w:b/>
          <w:color w:val="000000"/>
        </w:rPr>
      </w:pPr>
    </w:p>
    <w:p w:rsidR="00B37F31" w:rsidRDefault="00E01089" w:rsidP="00B37F31">
      <w:pPr>
        <w:widowControl w:val="0"/>
        <w:pBdr>
          <w:top w:val="nil"/>
          <w:left w:val="nil"/>
          <w:bottom w:val="nil"/>
          <w:right w:val="nil"/>
          <w:between w:val="nil"/>
        </w:pBdr>
        <w:tabs>
          <w:tab w:val="left" w:pos="426"/>
        </w:tabs>
        <w:spacing w:after="100"/>
        <w:ind w:left="567"/>
        <w:contextualSpacing w:val="0"/>
        <w:jc w:val="both"/>
        <w:rPr>
          <w:rFonts w:eastAsia="Times New Roman"/>
          <w:color w:val="000000"/>
        </w:rPr>
      </w:pPr>
      <w:r w:rsidRPr="00A20AEF">
        <w:rPr>
          <w:rFonts w:eastAsia="Times New Roman"/>
          <w:b/>
          <w:color w:val="000000"/>
        </w:rPr>
        <w:t>ARTÍCULO 92A</w:t>
      </w:r>
      <w:r w:rsidRPr="00A20AEF">
        <w:rPr>
          <w:rFonts w:eastAsia="Times New Roman"/>
          <w:color w:val="000000"/>
        </w:rPr>
        <w:t>. </w:t>
      </w:r>
      <w:r w:rsidRPr="00A20AEF">
        <w:rPr>
          <w:rFonts w:eastAsia="Times New Roman"/>
          <w:b/>
          <w:color w:val="000000"/>
        </w:rPr>
        <w:t>PROCEDENCIA ANTICIPADA DE MEDIDAS CAUTELARES</w:t>
      </w:r>
      <w:r w:rsidRPr="00A20AEF">
        <w:rPr>
          <w:rFonts w:eastAsia="Times New Roman"/>
          <w:color w:val="000000"/>
        </w:rPr>
        <w:t>. En los procesos que se adelanten por los delitos que afecten el patrimonio del Estado, delitos dolosos contra la administración pública contemplados en el Título XV, Capítulos Primero, Segundo, Tercero, Cuarto, Quinto, Sexto y Sétimo del Libro Segundo de este Código y los que atentan contra la eficaz y recta impartición de justicia, el juez de control de garantías, a solicitud de la Fiscalía General de la Nación, podrá decretar las medidas cautelares de embargo, secuestro y suspensión, de registros obtenidos fraudulentamente, sobre bienes del indiciado, con el fin de proteger el patrimonio del Estado y garantizar la indemnización de los perjuicios causados, en caso de una eventual condena. </w:t>
      </w:r>
    </w:p>
    <w:p w:rsidR="00B37F31" w:rsidRDefault="00B37F31" w:rsidP="00B37F31">
      <w:pPr>
        <w:widowControl w:val="0"/>
        <w:pBdr>
          <w:top w:val="nil"/>
          <w:left w:val="nil"/>
          <w:bottom w:val="nil"/>
          <w:right w:val="nil"/>
          <w:between w:val="nil"/>
        </w:pBdr>
        <w:tabs>
          <w:tab w:val="left" w:pos="426"/>
        </w:tabs>
        <w:spacing w:after="100"/>
        <w:ind w:left="567"/>
        <w:contextualSpacing w:val="0"/>
        <w:jc w:val="both"/>
        <w:rPr>
          <w:rFonts w:eastAsia="Times New Roman"/>
          <w:color w:val="000000"/>
        </w:rPr>
      </w:pPr>
    </w:p>
    <w:p w:rsidR="00B37F31" w:rsidRDefault="00E01089" w:rsidP="00B37F31">
      <w:pPr>
        <w:widowControl w:val="0"/>
        <w:pBdr>
          <w:top w:val="nil"/>
          <w:left w:val="nil"/>
          <w:bottom w:val="nil"/>
          <w:right w:val="nil"/>
          <w:between w:val="nil"/>
        </w:pBdr>
        <w:tabs>
          <w:tab w:val="left" w:pos="426"/>
        </w:tabs>
        <w:spacing w:after="100"/>
        <w:ind w:left="567"/>
        <w:contextualSpacing w:val="0"/>
        <w:jc w:val="both"/>
        <w:rPr>
          <w:rFonts w:eastAsia="Times New Roman"/>
          <w:color w:val="000000"/>
        </w:rPr>
      </w:pPr>
      <w:r w:rsidRPr="00A20AEF">
        <w:rPr>
          <w:rFonts w:eastAsia="Times New Roman"/>
          <w:color w:val="000000"/>
        </w:rPr>
        <w:t>La Fiscalía deberá acreditar, además de los requisitos establecidos en este capítulo, la existencia de una inferencia razonable de autoría o participación respecto de la persona titular de los derechos patrimoniales de los bienes que serán objeto de las medidas cautelares</w:t>
      </w:r>
      <w:r w:rsidR="00B37F31">
        <w:rPr>
          <w:rFonts w:eastAsia="Times New Roman"/>
          <w:color w:val="000000"/>
        </w:rPr>
        <w:t>.</w:t>
      </w:r>
    </w:p>
    <w:p w:rsidR="00B37F31" w:rsidRDefault="00B37F31" w:rsidP="00B37F31">
      <w:pPr>
        <w:widowControl w:val="0"/>
        <w:pBdr>
          <w:top w:val="nil"/>
          <w:left w:val="nil"/>
          <w:bottom w:val="nil"/>
          <w:right w:val="nil"/>
          <w:between w:val="nil"/>
        </w:pBdr>
        <w:tabs>
          <w:tab w:val="left" w:pos="426"/>
        </w:tabs>
        <w:spacing w:after="100"/>
        <w:ind w:left="567"/>
        <w:contextualSpacing w:val="0"/>
        <w:jc w:val="both"/>
        <w:rPr>
          <w:rFonts w:eastAsia="Times New Roman"/>
          <w:color w:val="000000"/>
        </w:rPr>
      </w:pPr>
    </w:p>
    <w:p w:rsidR="004141E8" w:rsidRPr="00A20AEF" w:rsidRDefault="00E01089" w:rsidP="00B37F31">
      <w:pPr>
        <w:widowControl w:val="0"/>
        <w:pBdr>
          <w:top w:val="nil"/>
          <w:left w:val="nil"/>
          <w:bottom w:val="nil"/>
          <w:right w:val="nil"/>
          <w:between w:val="nil"/>
        </w:pBdr>
        <w:tabs>
          <w:tab w:val="left" w:pos="426"/>
        </w:tabs>
        <w:spacing w:after="100"/>
        <w:ind w:left="567"/>
        <w:contextualSpacing w:val="0"/>
        <w:jc w:val="both"/>
        <w:rPr>
          <w:rFonts w:eastAsia="Times New Roman"/>
          <w:color w:val="000000"/>
        </w:rPr>
      </w:pPr>
      <w:r w:rsidRPr="00A20AEF">
        <w:rPr>
          <w:rFonts w:eastAsia="Times New Roman"/>
          <w:color w:val="000000"/>
        </w:rPr>
        <w:t>La audiencia se realizará de forma reservada y solo requerirá la presencia del Fiscal.</w:t>
      </w:r>
    </w:p>
    <w:p w:rsidR="00B37F31" w:rsidRDefault="00B37F31">
      <w:pPr>
        <w:widowControl w:val="0"/>
        <w:pBdr>
          <w:top w:val="nil"/>
          <w:left w:val="nil"/>
          <w:bottom w:val="nil"/>
          <w:right w:val="nil"/>
          <w:between w:val="nil"/>
        </w:pBdr>
        <w:spacing w:after="100"/>
        <w:contextualSpacing w:val="0"/>
        <w:rPr>
          <w:rFonts w:eastAsia="Times New Roman"/>
          <w:b/>
          <w:color w:val="000000"/>
        </w:rPr>
      </w:pPr>
    </w:p>
    <w:p w:rsidR="004141E8" w:rsidRDefault="00E01089">
      <w:pPr>
        <w:widowControl w:val="0"/>
        <w:pBdr>
          <w:top w:val="nil"/>
          <w:left w:val="nil"/>
          <w:bottom w:val="nil"/>
          <w:right w:val="nil"/>
          <w:between w:val="nil"/>
        </w:pBdr>
        <w:spacing w:after="100"/>
        <w:contextualSpacing w:val="0"/>
        <w:rPr>
          <w:rFonts w:eastAsia="Times New Roman"/>
          <w:color w:val="000000"/>
        </w:rPr>
      </w:pPr>
      <w:r w:rsidRPr="00A20AEF">
        <w:rPr>
          <w:rFonts w:eastAsia="Times New Roman"/>
          <w:b/>
          <w:color w:val="000000"/>
        </w:rPr>
        <w:t xml:space="preserve">Artículo </w:t>
      </w:r>
      <w:r w:rsidRPr="00A20AEF">
        <w:rPr>
          <w:rFonts w:eastAsia="Times New Roman"/>
          <w:b/>
        </w:rPr>
        <w:t>11</w:t>
      </w:r>
      <w:r w:rsidRPr="00A20AEF">
        <w:rPr>
          <w:rFonts w:eastAsia="Times New Roman"/>
          <w:b/>
          <w:color w:val="000000"/>
        </w:rPr>
        <w:t>°.Vigencia</w:t>
      </w:r>
      <w:r w:rsidRPr="00A20AEF">
        <w:rPr>
          <w:rFonts w:eastAsia="Times New Roman"/>
          <w:color w:val="000000"/>
        </w:rPr>
        <w:t>: La presente ley rige a partir de su promulgación.</w:t>
      </w: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Default="00D03940">
      <w:pPr>
        <w:widowControl w:val="0"/>
        <w:pBdr>
          <w:top w:val="nil"/>
          <w:left w:val="nil"/>
          <w:bottom w:val="nil"/>
          <w:right w:val="nil"/>
          <w:between w:val="nil"/>
        </w:pBdr>
        <w:spacing w:after="100"/>
        <w:contextualSpacing w:val="0"/>
        <w:rPr>
          <w:rFonts w:eastAsia="Times New Roman"/>
          <w:color w:val="000000"/>
        </w:rPr>
      </w:pPr>
    </w:p>
    <w:p w:rsidR="00D03940" w:rsidRPr="004144DA" w:rsidRDefault="00D03940" w:rsidP="00D03940">
      <w:pPr>
        <w:widowControl w:val="0"/>
        <w:pBdr>
          <w:top w:val="nil"/>
          <w:left w:val="nil"/>
          <w:bottom w:val="nil"/>
          <w:right w:val="nil"/>
          <w:between w:val="nil"/>
        </w:pBdr>
        <w:spacing w:after="100"/>
        <w:contextualSpacing w:val="0"/>
        <w:jc w:val="center"/>
        <w:rPr>
          <w:rFonts w:eastAsia="Times"/>
          <w:b/>
          <w:color w:val="000000"/>
        </w:rPr>
      </w:pPr>
      <w:r w:rsidRPr="004144DA">
        <w:rPr>
          <w:rFonts w:eastAsia="Times"/>
          <w:b/>
          <w:color w:val="000000"/>
        </w:rPr>
        <w:t>EXPOSICIÓN DE MOTIVOS</w:t>
      </w:r>
    </w:p>
    <w:p w:rsidR="00D03940" w:rsidRPr="00A20AEF" w:rsidRDefault="00D03940" w:rsidP="00D03940">
      <w:pPr>
        <w:widowControl w:val="0"/>
        <w:pBdr>
          <w:top w:val="nil"/>
          <w:left w:val="nil"/>
          <w:bottom w:val="nil"/>
          <w:right w:val="nil"/>
          <w:between w:val="nil"/>
        </w:pBdr>
        <w:spacing w:after="100"/>
        <w:contextualSpacing w:val="0"/>
        <w:jc w:val="center"/>
        <w:rPr>
          <w:rFonts w:eastAsia="Times New Roman"/>
          <w:b/>
          <w:color w:val="000000"/>
        </w:rPr>
      </w:pPr>
    </w:p>
    <w:p w:rsidR="00D03940" w:rsidRPr="00A20AEF" w:rsidRDefault="00D03940" w:rsidP="00D03940">
      <w:pPr>
        <w:widowControl w:val="0"/>
        <w:pBdr>
          <w:top w:val="nil"/>
          <w:left w:val="nil"/>
          <w:bottom w:val="nil"/>
          <w:right w:val="nil"/>
          <w:between w:val="nil"/>
        </w:pBdr>
        <w:spacing w:after="100"/>
        <w:contextualSpacing w:val="0"/>
        <w:jc w:val="center"/>
        <w:rPr>
          <w:rFonts w:eastAsia="Times New Roman"/>
          <w:b/>
          <w:color w:val="000000"/>
        </w:rPr>
      </w:pPr>
      <w:r w:rsidRPr="00A20AEF">
        <w:rPr>
          <w:rFonts w:eastAsia="Times New Roman"/>
          <w:b/>
          <w:color w:val="000000"/>
        </w:rPr>
        <w:t xml:space="preserve">PROYECTO DE LEY ___________________ DE 2018 </w:t>
      </w:r>
    </w:p>
    <w:p w:rsidR="00D03940" w:rsidRDefault="00D03940" w:rsidP="00D03940">
      <w:pPr>
        <w:widowControl w:val="0"/>
        <w:pBdr>
          <w:top w:val="nil"/>
          <w:left w:val="nil"/>
          <w:bottom w:val="nil"/>
          <w:right w:val="nil"/>
          <w:between w:val="nil"/>
        </w:pBdr>
        <w:spacing w:after="100"/>
        <w:contextualSpacing w:val="0"/>
        <w:jc w:val="center"/>
        <w:rPr>
          <w:rFonts w:eastAsia="Times New Roman"/>
          <w:b/>
          <w:color w:val="000000"/>
        </w:rPr>
      </w:pPr>
      <w:r w:rsidRPr="00A20AEF">
        <w:rPr>
          <w:rFonts w:eastAsia="Times New Roman"/>
          <w:b/>
          <w:color w:val="000000"/>
        </w:rPr>
        <w:t>“Por medio de la cual se fortalecen las reglas para la persecución penal efectiva y el reintegro de bienes por parte de procesados y condenados por corrupción y delitos contra la administración pública y se dic</w:t>
      </w:r>
      <w:r w:rsidRPr="00A20AEF">
        <w:rPr>
          <w:rFonts w:eastAsia="Times New Roman"/>
          <w:b/>
        </w:rPr>
        <w:t>tan otras disposiciones</w:t>
      </w:r>
      <w:r w:rsidRPr="00A20AEF">
        <w:rPr>
          <w:rFonts w:eastAsia="Times New Roman"/>
          <w:b/>
          <w:color w:val="000000"/>
        </w:rPr>
        <w:t>”</w:t>
      </w:r>
    </w:p>
    <w:p w:rsidR="00D03940" w:rsidRPr="00D03940" w:rsidRDefault="00D03940" w:rsidP="00D03940">
      <w:pPr>
        <w:widowControl w:val="0"/>
        <w:pBdr>
          <w:top w:val="nil"/>
          <w:left w:val="nil"/>
          <w:bottom w:val="nil"/>
          <w:right w:val="nil"/>
          <w:between w:val="nil"/>
        </w:pBdr>
        <w:spacing w:after="100"/>
        <w:contextualSpacing w:val="0"/>
        <w:jc w:val="center"/>
        <w:rPr>
          <w:rFonts w:eastAsia="Times New Roman"/>
          <w:b/>
          <w:color w:val="000000"/>
        </w:rPr>
      </w:pPr>
    </w:p>
    <w:p w:rsidR="00D03940" w:rsidRPr="00D03940" w:rsidRDefault="00D03940" w:rsidP="00D03940">
      <w:pPr>
        <w:pStyle w:val="Prrafodelista"/>
        <w:numPr>
          <w:ilvl w:val="0"/>
          <w:numId w:val="2"/>
        </w:numPr>
        <w:spacing w:after="100" w:line="240" w:lineRule="auto"/>
        <w:contextualSpacing w:val="0"/>
        <w:jc w:val="both"/>
        <w:rPr>
          <w:rFonts w:ascii="Quattrocento Sans" w:eastAsia="Quattrocento Sans" w:hAnsi="Quattrocento Sans" w:cs="Quattrocento Sans"/>
          <w:b/>
        </w:rPr>
      </w:pPr>
      <w:r w:rsidRPr="00D03940">
        <w:rPr>
          <w:rFonts w:ascii="Quattrocento Sans" w:eastAsia="Quattrocento Sans" w:hAnsi="Quattrocento Sans" w:cs="Quattrocento Sans"/>
          <w:b/>
        </w:rPr>
        <w:t>Introducción</w:t>
      </w:r>
      <w:r>
        <w:rPr>
          <w:rFonts w:ascii="Quattrocento Sans" w:eastAsia="Quattrocento Sans" w:hAnsi="Quattrocento Sans" w:cs="Quattrocento Sans"/>
          <w:b/>
        </w:rPr>
        <w:t>.</w:t>
      </w:r>
    </w:p>
    <w:p w:rsidR="00D03940" w:rsidRDefault="00D03940" w:rsidP="00D03940">
      <w:pPr>
        <w:spacing w:after="100" w:line="240" w:lineRule="auto"/>
        <w:contextualSpacing w:val="0"/>
        <w:jc w:val="both"/>
        <w:rPr>
          <w:rFonts w:ascii="Quattrocento Sans" w:eastAsia="Quattrocento Sans" w:hAnsi="Quattrocento Sans" w:cs="Quattrocento Sans"/>
        </w:rPr>
      </w:pPr>
      <w:r>
        <w:rPr>
          <w:rFonts w:ascii="Quattrocento Sans" w:eastAsia="Quattrocento Sans" w:hAnsi="Quattrocento Sans" w:cs="Quattrocento Sans"/>
        </w:rPr>
        <w:t>El presente proyecto de ley busca cumplir con el mandato del punto 2 de la Consulta Anticorrupción. Con este proyecto de ley se pretende que las personas que sean condenadas por corrupción no puedan recibir ningún beneficio.</w:t>
      </w:r>
    </w:p>
    <w:p w:rsidR="00D03940" w:rsidRDefault="00D03940" w:rsidP="00D03940">
      <w:pPr>
        <w:spacing w:after="100" w:line="240" w:lineRule="auto"/>
        <w:contextualSpacing w:val="0"/>
        <w:jc w:val="both"/>
        <w:rPr>
          <w:rFonts w:ascii="Quattrocento Sans" w:eastAsia="Quattrocento Sans" w:hAnsi="Quattrocento Sans" w:cs="Quattrocento Sans"/>
        </w:rPr>
      </w:pPr>
    </w:p>
    <w:p w:rsidR="00D03940" w:rsidRPr="00D03940" w:rsidRDefault="00D03940" w:rsidP="00D03940">
      <w:pPr>
        <w:pStyle w:val="Prrafodelista"/>
        <w:numPr>
          <w:ilvl w:val="0"/>
          <w:numId w:val="2"/>
        </w:numPr>
        <w:spacing w:after="100" w:line="240" w:lineRule="auto"/>
        <w:contextualSpacing w:val="0"/>
        <w:jc w:val="both"/>
        <w:rPr>
          <w:rFonts w:ascii="Quattrocento Sans" w:eastAsia="Quattrocento Sans" w:hAnsi="Quattrocento Sans" w:cs="Quattrocento Sans"/>
          <w:b/>
        </w:rPr>
      </w:pPr>
      <w:r w:rsidRPr="00D03940">
        <w:rPr>
          <w:rFonts w:ascii="Quattrocento Sans" w:eastAsia="Quattrocento Sans" w:hAnsi="Quattrocento Sans" w:cs="Quattrocento Sans"/>
          <w:b/>
        </w:rPr>
        <w:t>Objeto</w:t>
      </w:r>
      <w:r>
        <w:rPr>
          <w:rFonts w:ascii="Quattrocento Sans" w:eastAsia="Quattrocento Sans" w:hAnsi="Quattrocento Sans" w:cs="Quattrocento Sans"/>
          <w:b/>
        </w:rPr>
        <w:t>.</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Quattrocento Sans" w:hAnsi="Quattrocento Sans" w:cs="Quattrocento Sans"/>
        </w:rPr>
      </w:pPr>
      <w:r w:rsidRPr="00BE5B09">
        <w:rPr>
          <w:rFonts w:ascii="Quattrocento Sans" w:eastAsia="Quattrocento Sans" w:hAnsi="Quattrocento Sans" w:cs="Quattrocento Sans"/>
        </w:rPr>
        <w:t>La presente ley tiene por objeto adoptar medidas para la sanción efectiva de los delitos cometidos contra la administración pública, a través de la eliminación de beneficios penales y de la modificación del régimen de inhabilidades para contratar con el Estado. Lo anterior, con el fin de garantizar el principio constitucional de igualdad y transparencia.</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Quattrocento Sans" w:hAnsi="Quattrocento Sans" w:cs="Quattrocento Sans"/>
        </w:rPr>
      </w:pPr>
    </w:p>
    <w:p w:rsidR="00D03940" w:rsidRPr="00D03940" w:rsidRDefault="00D03940" w:rsidP="00D03940">
      <w:pPr>
        <w:pStyle w:val="Prrafodelista"/>
        <w:numPr>
          <w:ilvl w:val="0"/>
          <w:numId w:val="2"/>
        </w:numPr>
        <w:spacing w:after="100" w:line="240" w:lineRule="auto"/>
        <w:contextualSpacing w:val="0"/>
        <w:jc w:val="both"/>
        <w:rPr>
          <w:rFonts w:ascii="Quattrocento Sans" w:eastAsia="Quattrocento Sans" w:hAnsi="Quattrocento Sans" w:cs="Quattrocento Sans"/>
          <w:b/>
        </w:rPr>
      </w:pPr>
      <w:r w:rsidRPr="00D03940">
        <w:rPr>
          <w:rFonts w:ascii="Quattrocento Sans" w:eastAsia="Quattrocento Sans" w:hAnsi="Quattrocento Sans" w:cs="Quattrocento Sans"/>
          <w:b/>
        </w:rPr>
        <w:t>Antecedentes: La Consulta Popular Anticorrupción.</w:t>
      </w:r>
    </w:p>
    <w:p w:rsidR="00D03940" w:rsidRDefault="00D03940" w:rsidP="00D03940">
      <w:pPr>
        <w:spacing w:after="100" w:line="240" w:lineRule="auto"/>
        <w:contextualSpacing w:val="0"/>
        <w:jc w:val="both"/>
        <w:rPr>
          <w:rFonts w:ascii="Quattrocento Sans" w:eastAsia="Quattrocento Sans" w:hAnsi="Quattrocento Sans" w:cs="Quattrocento Sans"/>
        </w:rPr>
      </w:pPr>
      <w:r>
        <w:rPr>
          <w:rFonts w:ascii="Quattrocento Sans" w:eastAsia="Quattrocento Sans" w:hAnsi="Quattrocento Sans" w:cs="Quattrocento Sans"/>
        </w:rPr>
        <w:t>El pasado 26 de agosto de 2018 la Consulta tuvo una votación de 11.466.025 y la pregunta 2 tuvo una votación de 11.468.214, siendo el 99 ,54% por el SÍ y el 0 ,45% por el NO. En ese entendido, la votación no alcanzó el umbral requerido por la ley.</w:t>
      </w:r>
    </w:p>
    <w:p w:rsidR="00D03940" w:rsidRDefault="00D03940" w:rsidP="00D03940">
      <w:pPr>
        <w:spacing w:after="100" w:line="240" w:lineRule="auto"/>
        <w:contextualSpacing w:val="0"/>
        <w:jc w:val="both"/>
        <w:rPr>
          <w:rFonts w:ascii="Quattrocento Sans" w:eastAsia="Quattrocento Sans" w:hAnsi="Quattrocento Sans" w:cs="Quattrocento Sans"/>
        </w:rPr>
      </w:pPr>
    </w:p>
    <w:p w:rsidR="00D03940" w:rsidRPr="00FC6142" w:rsidRDefault="00D03940" w:rsidP="00D03940">
      <w:pPr>
        <w:spacing w:after="100" w:line="240" w:lineRule="auto"/>
        <w:contextualSpacing w:val="0"/>
        <w:jc w:val="both"/>
        <w:rPr>
          <w:rFonts w:ascii="Quattrocento Sans" w:eastAsia="Quattrocento Sans" w:hAnsi="Quattrocento Sans" w:cs="Quattrocento Sans"/>
        </w:rPr>
      </w:pPr>
      <w:r>
        <w:rPr>
          <w:rFonts w:ascii="Quattrocento Sans" w:eastAsia="Quattrocento Sans" w:hAnsi="Quattrocento Sans" w:cs="Quattrocento Sans"/>
        </w:rPr>
        <w:t>Sin embargo, el mandato ciudadano es claro por parte del pueblo colombiano que tiene por objetivo implementar el mandato que busca establecer la eliminación de todo beneficio penal para las personas que hayan sido condenadas por corrupción.</w:t>
      </w:r>
    </w:p>
    <w:p w:rsidR="00D03940" w:rsidRDefault="00D03940" w:rsidP="00D03940">
      <w:pPr>
        <w:widowControl w:val="0"/>
        <w:pBdr>
          <w:top w:val="nil"/>
          <w:left w:val="nil"/>
          <w:bottom w:val="nil"/>
          <w:right w:val="nil"/>
          <w:between w:val="nil"/>
        </w:pBdr>
        <w:spacing w:after="100" w:line="240" w:lineRule="auto"/>
        <w:contextualSpacing w:val="0"/>
        <w:jc w:val="both"/>
        <w:rPr>
          <w:rFonts w:ascii="Times New Roman" w:eastAsia="Times New Roman" w:hAnsi="Times New Roman" w:cs="Times New Roman"/>
          <w:color w:val="000000"/>
          <w:sz w:val="24"/>
          <w:szCs w:val="24"/>
        </w:rPr>
      </w:pPr>
    </w:p>
    <w:p w:rsidR="00D03940" w:rsidRPr="00D03940" w:rsidRDefault="00D03940" w:rsidP="00D03940">
      <w:pPr>
        <w:pStyle w:val="Prrafodelista"/>
        <w:numPr>
          <w:ilvl w:val="0"/>
          <w:numId w:val="2"/>
        </w:numPr>
        <w:spacing w:after="100" w:line="240" w:lineRule="auto"/>
        <w:contextualSpacing w:val="0"/>
        <w:jc w:val="both"/>
        <w:rPr>
          <w:rFonts w:ascii="Quattrocento Sans" w:eastAsia="Quattrocento Sans" w:hAnsi="Quattrocento Sans" w:cs="Quattrocento Sans"/>
          <w:b/>
        </w:rPr>
      </w:pPr>
      <w:r w:rsidRPr="00D03940">
        <w:rPr>
          <w:rFonts w:ascii="Quattrocento Sans" w:eastAsia="Quattrocento Sans" w:hAnsi="Quattrocento Sans" w:cs="Quattrocento Sans"/>
          <w:b/>
        </w:rPr>
        <w:t>Justificación.</w:t>
      </w:r>
    </w:p>
    <w:p w:rsidR="00D03940" w:rsidRPr="00FC6142" w:rsidRDefault="00D03940" w:rsidP="00D03940">
      <w:pPr>
        <w:widowControl w:val="0"/>
        <w:pBdr>
          <w:top w:val="nil"/>
          <w:left w:val="nil"/>
          <w:bottom w:val="nil"/>
          <w:right w:val="nil"/>
          <w:between w:val="nil"/>
        </w:pBdr>
        <w:spacing w:after="100" w:line="240" w:lineRule="auto"/>
        <w:contextualSpacing w:val="0"/>
        <w:jc w:val="both"/>
        <w:rPr>
          <w:rFonts w:ascii="Quattrocento Sans" w:eastAsia="Quattrocento Sans" w:hAnsi="Quattrocento Sans" w:cs="Quattrocento Sans"/>
        </w:rPr>
      </w:pPr>
      <w:r w:rsidRPr="00FC6142">
        <w:rPr>
          <w:rFonts w:ascii="Quattrocento Sans" w:eastAsia="Quattrocento Sans" w:hAnsi="Quattrocento Sans" w:cs="Quattrocento Sans"/>
        </w:rPr>
        <w:t xml:space="preserve">El proyecto de ley pretende que las personas que sean condenadas por delitos de corrupción no puedan acceder a ningún beneficio penal. </w:t>
      </w:r>
    </w:p>
    <w:p w:rsidR="00D03940" w:rsidRDefault="00D03940" w:rsidP="00D03940">
      <w:pPr>
        <w:widowControl w:val="0"/>
        <w:pBdr>
          <w:top w:val="nil"/>
          <w:left w:val="nil"/>
          <w:bottom w:val="nil"/>
          <w:right w:val="nil"/>
          <w:between w:val="nil"/>
        </w:pBdr>
        <w:spacing w:after="100" w:line="240" w:lineRule="auto"/>
        <w:contextualSpacing w:val="0"/>
        <w:jc w:val="both"/>
        <w:rPr>
          <w:rFonts w:ascii="Times New Roman" w:eastAsia="Times New Roman" w:hAnsi="Times New Roman" w:cs="Times New Roman"/>
          <w:sz w:val="24"/>
          <w:szCs w:val="24"/>
        </w:rPr>
      </w:pPr>
    </w:p>
    <w:p w:rsidR="00D03940" w:rsidRPr="00D03940" w:rsidRDefault="00D03940" w:rsidP="00D03940">
      <w:pPr>
        <w:pStyle w:val="Prrafodelista"/>
        <w:widowControl w:val="0"/>
        <w:numPr>
          <w:ilvl w:val="1"/>
          <w:numId w:val="2"/>
        </w:numPr>
        <w:pBdr>
          <w:top w:val="nil"/>
          <w:left w:val="nil"/>
          <w:bottom w:val="nil"/>
          <w:right w:val="nil"/>
          <w:between w:val="nil"/>
        </w:pBdr>
        <w:spacing w:after="100" w:line="240" w:lineRule="auto"/>
        <w:contextualSpacing w:val="0"/>
        <w:jc w:val="both"/>
        <w:rPr>
          <w:rFonts w:ascii="Quattrocento Sans" w:eastAsia="Times" w:hAnsi="Quattrocento Sans" w:cs="Times"/>
          <w:b/>
          <w:color w:val="000000"/>
        </w:rPr>
      </w:pPr>
      <w:r w:rsidRPr="00D03940">
        <w:rPr>
          <w:rFonts w:ascii="Quattrocento Sans" w:eastAsia="Times" w:hAnsi="Quattrocento Sans" w:cs="Times"/>
          <w:b/>
          <w:color w:val="000000"/>
        </w:rPr>
        <w:t>Motivos de conveniencia del Proyecto de Ley.</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Quattrocento Sans" w:hAnsi="Quattrocento Sans" w:cs="Quattrocento Sans"/>
        </w:rPr>
      </w:pPr>
      <w:r w:rsidRPr="00FC6142">
        <w:rPr>
          <w:rFonts w:ascii="Quattrocento Sans" w:eastAsia="Quattrocento Sans" w:hAnsi="Quattrocento Sans" w:cs="Quattrocento Sans"/>
        </w:rPr>
        <w:t>Es pertinente destacar que uno de los aspectos que se ha omitido reglamentar de manera adecuada es la reclusión especial para personas condenadas por delitos contra la administración pública. Si bien fueron excluidos de subrogados penales o mecanismos sustitutivos de la pena privativa de libertad, se mantuvo la posibilidad de ser asignado a un sitio de reclusión especial. Esto limita el costo de cometer actos contra la administración pública, haciendo menos gravosa su condena y disminuyendo el efecto disuasivo de la pena. Es evidente la necesidad de aumentar el costo de la comisión de delitos contra la administración pública, no sólo en términos económicos sino también en materia de severidad de la sanción. Al respecto ha conceptuado la Comisión Nacional Ciudadana para la Lucha Contra la Corrupción:</w:t>
      </w:r>
    </w:p>
    <w:p w:rsidR="00D03940" w:rsidRPr="00FC6142" w:rsidRDefault="00D03940" w:rsidP="00D03940">
      <w:pPr>
        <w:widowControl w:val="0"/>
        <w:pBdr>
          <w:top w:val="nil"/>
          <w:left w:val="nil"/>
          <w:bottom w:val="nil"/>
          <w:right w:val="nil"/>
          <w:between w:val="nil"/>
        </w:pBdr>
        <w:spacing w:after="100" w:line="240" w:lineRule="auto"/>
        <w:contextualSpacing w:val="0"/>
        <w:jc w:val="both"/>
        <w:rPr>
          <w:rFonts w:ascii="Quattrocento Sans" w:eastAsia="Quattrocento Sans" w:hAnsi="Quattrocento Sans" w:cs="Quattrocento Sans"/>
        </w:rPr>
      </w:pPr>
    </w:p>
    <w:p w:rsidR="00D03940" w:rsidRDefault="00D03940" w:rsidP="00D03940">
      <w:pPr>
        <w:widowControl w:val="0"/>
        <w:pBdr>
          <w:top w:val="nil"/>
          <w:left w:val="nil"/>
          <w:bottom w:val="nil"/>
          <w:right w:val="nil"/>
          <w:between w:val="nil"/>
        </w:pBdr>
        <w:spacing w:after="100" w:line="240" w:lineRule="auto"/>
        <w:ind w:left="567"/>
        <w:contextualSpacing w:val="0"/>
        <w:jc w:val="both"/>
        <w:rPr>
          <w:rFonts w:ascii="Quattrocento Sans" w:eastAsia="Quattrocento Sans" w:hAnsi="Quattrocento Sans" w:cs="Quattrocento Sans"/>
        </w:rPr>
      </w:pPr>
      <w:r w:rsidRPr="00FC6142">
        <w:rPr>
          <w:rFonts w:ascii="Quattrocento Sans" w:eastAsia="Quattrocento Sans" w:hAnsi="Quattrocento Sans" w:cs="Quattrocento Sans"/>
        </w:rPr>
        <w:t>“Sin tener un mecanismo o una reglamentación que aumente los costos de cometer actos de corrupción, estos hechos seguirán siendo rentables. Si la ciudadanía en general percibe que tiene mayor beneficio cometer un acto de corrupción porque no será castigado de una forma que sobrepase los costos que implica incurrir en el mismo, seguir actuando de manera corrupta en Colombia continuará siendo rentable.”</w:t>
      </w:r>
    </w:p>
    <w:p w:rsidR="00D03940" w:rsidRPr="00D03940" w:rsidRDefault="00D03940" w:rsidP="00D03940">
      <w:pPr>
        <w:widowControl w:val="0"/>
        <w:pBdr>
          <w:top w:val="nil"/>
          <w:left w:val="nil"/>
          <w:bottom w:val="nil"/>
          <w:right w:val="nil"/>
          <w:between w:val="nil"/>
        </w:pBdr>
        <w:spacing w:after="100" w:line="240" w:lineRule="auto"/>
        <w:ind w:left="567"/>
        <w:contextualSpacing w:val="0"/>
        <w:jc w:val="both"/>
        <w:rPr>
          <w:rFonts w:ascii="Quattrocento Sans" w:eastAsia="Quattrocento Sans" w:hAnsi="Quattrocento Sans" w:cs="Quattrocento Sans"/>
        </w:rPr>
      </w:pPr>
    </w:p>
    <w:p w:rsidR="00D03940" w:rsidRPr="00D03940" w:rsidRDefault="00D03940" w:rsidP="00D03940">
      <w:pPr>
        <w:widowControl w:val="0"/>
        <w:pBdr>
          <w:top w:val="nil"/>
          <w:left w:val="nil"/>
          <w:bottom w:val="nil"/>
          <w:right w:val="nil"/>
          <w:between w:val="nil"/>
        </w:pBdr>
        <w:spacing w:after="100" w:line="240" w:lineRule="auto"/>
        <w:ind w:left="567"/>
        <w:contextualSpacing w:val="0"/>
        <w:jc w:val="both"/>
        <w:rPr>
          <w:rFonts w:ascii="Quattrocento Sans" w:eastAsia="Times" w:hAnsi="Quattrocento Sans" w:cs="Times"/>
          <w:b/>
          <w:color w:val="000000"/>
        </w:rPr>
      </w:pPr>
      <w:r>
        <w:rPr>
          <w:rFonts w:ascii="Quattrocento Sans" w:eastAsia="Times" w:hAnsi="Quattrocento Sans" w:cs="Times"/>
          <w:b/>
          <w:color w:val="000000"/>
        </w:rPr>
        <w:t>4.1.1</w:t>
      </w:r>
      <w:r w:rsidRPr="00FA4062">
        <w:rPr>
          <w:rFonts w:ascii="Quattrocento Sans" w:eastAsia="Times" w:hAnsi="Quattrocento Sans" w:cs="Times"/>
          <w:b/>
          <w:color w:val="000000"/>
        </w:rPr>
        <w:t xml:space="preserve">. Cifras en materia de comisión de delitos contra la administración pública y tratamiento penitenciario. </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D03940">
        <w:rPr>
          <w:rFonts w:ascii="Quattrocento Sans" w:eastAsia="Quattrocento Sans" w:hAnsi="Quattrocento Sans" w:cs="Quattrocento Sans"/>
        </w:rPr>
        <w:t>Gran</w:t>
      </w:r>
      <w:r w:rsidRPr="00FA4062">
        <w:rPr>
          <w:rFonts w:ascii="Quattrocento Sans" w:eastAsia="Times" w:hAnsi="Quattrocento Sans" w:cs="Times"/>
          <w:color w:val="000000"/>
        </w:rPr>
        <w:t xml:space="preserve"> parte de quienes cometen delitos contra la administración pública son beneficiarios de condiciones especiales de reclusión. Según el Observatorio de Transparencia y An</w:t>
      </w:r>
      <w:r>
        <w:rPr>
          <w:rFonts w:ascii="Quattrocento Sans" w:eastAsia="Times" w:hAnsi="Quattrocento Sans" w:cs="Times"/>
          <w:color w:val="000000"/>
        </w:rPr>
        <w:t>ticorrupción, entre los años 200</w:t>
      </w:r>
      <w:r w:rsidRPr="00FA4062">
        <w:rPr>
          <w:rFonts w:ascii="Quattrocento Sans" w:eastAsia="Times" w:hAnsi="Quattrocento Sans" w:cs="Times"/>
          <w:color w:val="000000"/>
        </w:rPr>
        <w:t>8 y 2017 se identificaron “3.176 sanciones penales vinculadas a delitos asociados con corrupción”</w:t>
      </w:r>
      <w:r>
        <w:rPr>
          <w:rStyle w:val="Refdenotaalpie"/>
          <w:rFonts w:ascii="Quattrocento Sans" w:eastAsia="Times" w:hAnsi="Quattrocento Sans" w:cs="Times"/>
          <w:color w:val="000000"/>
        </w:rPr>
        <w:footnoteReference w:id="1"/>
      </w:r>
      <w:r w:rsidRPr="00FA4062">
        <w:rPr>
          <w:rFonts w:ascii="Quattrocento Sans" w:eastAsia="Times" w:hAnsi="Quattrocento Sans" w:cs="Times"/>
          <w:color w:val="000000"/>
        </w:rPr>
        <w:t>. Dentro de estas sanciones se constata que: “(...) el 87.78% está relacionado con delitos contra la Administración Pública, seguido por 10.42% que corresponde a delitos contra el Orden Económico y Social y un restante 1.79% de delitos contra los Mecanismos de Participación Ciudadana”.</w:t>
      </w:r>
      <w:r>
        <w:rPr>
          <w:rStyle w:val="Refdenotaalpie"/>
          <w:rFonts w:ascii="Quattrocento Sans" w:eastAsia="Times" w:hAnsi="Quattrocento Sans" w:cs="Times"/>
          <w:color w:val="000000"/>
        </w:rPr>
        <w:footnoteReference w:id="2"/>
      </w:r>
      <w:r w:rsidRPr="00FA4062">
        <w:rPr>
          <w:rFonts w:ascii="Quattrocento Sans" w:eastAsia="Times" w:hAnsi="Quattrocento Sans" w:cs="Times"/>
          <w:color w:val="000000"/>
        </w:rPr>
        <w:t xml:space="preserve"> </w:t>
      </w:r>
    </w:p>
    <w:p w:rsidR="00D03940" w:rsidRPr="00FA4062"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De la información presentada por el Observatorio también se puede constatar que</w:t>
      </w:r>
      <w:r>
        <w:rPr>
          <w:rStyle w:val="Refdenotaalpie"/>
          <w:rFonts w:ascii="Quattrocento Sans" w:eastAsia="Times" w:hAnsi="Quattrocento Sans" w:cs="Times"/>
          <w:color w:val="000000"/>
        </w:rPr>
        <w:footnoteReference w:id="3"/>
      </w:r>
      <w:r w:rsidRPr="00FA4062">
        <w:rPr>
          <w:rFonts w:ascii="Quattrocento Sans" w:eastAsia="Times" w:hAnsi="Quattrocento Sans" w:cs="Times"/>
          <w:color w:val="000000"/>
        </w:rPr>
        <w:t>:</w:t>
      </w:r>
    </w:p>
    <w:p w:rsidR="00D03940" w:rsidRPr="00FA4062"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Pr="00FA4062" w:rsidRDefault="00D03940" w:rsidP="00D03940">
      <w:pPr>
        <w:widowControl w:val="0"/>
        <w:numPr>
          <w:ilvl w:val="0"/>
          <w:numId w:val="1"/>
        </w:numPr>
        <w:pBdr>
          <w:top w:val="nil"/>
          <w:left w:val="nil"/>
          <w:bottom w:val="nil"/>
          <w:right w:val="nil"/>
          <w:between w:val="nil"/>
        </w:pBdr>
        <w:spacing w:after="100" w:line="240" w:lineRule="auto"/>
        <w:contextualSpacing w:val="0"/>
        <w:jc w:val="both"/>
        <w:rPr>
          <w:rFonts w:ascii="Quattrocento Sans" w:hAnsi="Quattrocento Sans"/>
          <w:color w:val="000000"/>
        </w:rPr>
      </w:pPr>
      <w:r w:rsidRPr="00FA4062">
        <w:rPr>
          <w:rFonts w:ascii="Quattrocento Sans" w:eastAsia="Times" w:hAnsi="Quattrocento Sans" w:cs="Times"/>
          <w:color w:val="000000"/>
        </w:rPr>
        <w:t>Las sanciones por delitos contra la administración pública, se encuentran de manera reiterada en los tipos penales de: Cohecho (51.15%), Peculado (22.99%) y Concusión (12.7%).</w:t>
      </w:r>
    </w:p>
    <w:p w:rsidR="00D03940" w:rsidRPr="00FA4062" w:rsidRDefault="00D03940" w:rsidP="00D03940">
      <w:pPr>
        <w:widowControl w:val="0"/>
        <w:numPr>
          <w:ilvl w:val="0"/>
          <w:numId w:val="1"/>
        </w:numPr>
        <w:pBdr>
          <w:top w:val="nil"/>
          <w:left w:val="nil"/>
          <w:bottom w:val="nil"/>
          <w:right w:val="nil"/>
          <w:between w:val="nil"/>
        </w:pBdr>
        <w:spacing w:after="100" w:line="240" w:lineRule="auto"/>
        <w:contextualSpacing w:val="0"/>
        <w:jc w:val="both"/>
        <w:rPr>
          <w:rFonts w:ascii="Quattrocento Sans" w:hAnsi="Quattrocento Sans"/>
          <w:color w:val="000000"/>
        </w:rPr>
      </w:pPr>
      <w:r w:rsidRPr="00FA4062">
        <w:rPr>
          <w:rFonts w:ascii="Quattrocento Sans" w:eastAsia="Times" w:hAnsi="Quattrocento Sans" w:cs="Times"/>
          <w:color w:val="000000"/>
        </w:rPr>
        <w:t>Las sanciones por delitos contra el Orden Económico y Social , se encuentran de manera reiterada en los tipos penales de: Lavado de Activos (54.08%), Enriquecimiento Ilícito de particulares (14.50%), Favorecimiento por Servidor Público de contrabando de Hidrocarburos y sus derivados (10.88%) y Captación masiva y habitual de dineros (9.67%).</w:t>
      </w:r>
    </w:p>
    <w:p w:rsidR="00D03940" w:rsidRPr="00D03940" w:rsidRDefault="00D03940" w:rsidP="00D03940">
      <w:pPr>
        <w:widowControl w:val="0"/>
        <w:numPr>
          <w:ilvl w:val="0"/>
          <w:numId w:val="1"/>
        </w:numPr>
        <w:pBdr>
          <w:top w:val="nil"/>
          <w:left w:val="nil"/>
          <w:bottom w:val="nil"/>
          <w:right w:val="nil"/>
          <w:between w:val="nil"/>
        </w:pBdr>
        <w:spacing w:after="100" w:line="240" w:lineRule="auto"/>
        <w:contextualSpacing w:val="0"/>
        <w:jc w:val="both"/>
        <w:rPr>
          <w:rFonts w:ascii="Quattrocento Sans" w:hAnsi="Quattrocento Sans"/>
          <w:color w:val="000000"/>
        </w:rPr>
      </w:pPr>
      <w:r w:rsidRPr="00FA4062">
        <w:rPr>
          <w:rFonts w:ascii="Quattrocento Sans" w:eastAsia="Times" w:hAnsi="Quattrocento Sans" w:cs="Times"/>
          <w:color w:val="000000"/>
        </w:rPr>
        <w:t xml:space="preserve">Las sanciones por delitos contra los Mecanismos de Participación Democrática, se encuentran de manera reiterada en los tipos penales de: Voto Fraudulento (70.18%) y el delito de Corrupción de Sufragante (17.54%). </w:t>
      </w:r>
    </w:p>
    <w:p w:rsidR="00D03940" w:rsidRPr="00FA4062" w:rsidRDefault="00D03940" w:rsidP="00D03940">
      <w:pPr>
        <w:widowControl w:val="0"/>
        <w:pBdr>
          <w:top w:val="nil"/>
          <w:left w:val="nil"/>
          <w:bottom w:val="nil"/>
          <w:right w:val="nil"/>
          <w:between w:val="nil"/>
        </w:pBdr>
        <w:spacing w:after="100" w:line="240" w:lineRule="auto"/>
        <w:ind w:left="720"/>
        <w:contextualSpacing w:val="0"/>
        <w:jc w:val="both"/>
        <w:rPr>
          <w:rFonts w:ascii="Quattrocento Sans" w:hAnsi="Quattrocento San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 xml:space="preserve">Por otra parte, aunque el daño fiscal se estima en millonarias cifras, los responsables de delitos contra la administración pública no representan una población numerosa para el sistema carcelario ordinario lo cual permite argumentar que su inclusión en el régimen ordinario no comporta un problema respecto de la reclusión carcelaria. </w:t>
      </w:r>
    </w:p>
    <w:p w:rsidR="00D03940" w:rsidRPr="00FA4062"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Según cifras oficiales del Instituto Nacional Penite</w:t>
      </w:r>
      <w:r>
        <w:rPr>
          <w:rFonts w:ascii="Quattrocento Sans" w:eastAsia="Times" w:hAnsi="Quattrocento Sans" w:cs="Times"/>
          <w:color w:val="000000"/>
        </w:rPr>
        <w:t>nciario y Carcelario a enero</w:t>
      </w:r>
      <w:r w:rsidRPr="00FA4062">
        <w:rPr>
          <w:rFonts w:ascii="Quattrocento Sans" w:eastAsia="Times" w:hAnsi="Quattrocento Sans" w:cs="Times"/>
          <w:color w:val="000000"/>
        </w:rPr>
        <w:t xml:space="preserve"> de 2018, la población reclusa en estab</w:t>
      </w:r>
      <w:r>
        <w:rPr>
          <w:rFonts w:ascii="Quattrocento Sans" w:eastAsia="Times" w:hAnsi="Quattrocento Sans" w:cs="Times"/>
          <w:color w:val="000000"/>
        </w:rPr>
        <w:t>lecimientos que se habían desempeñado como funcionarios públicos</w:t>
      </w:r>
      <w:r w:rsidRPr="00FA4062">
        <w:rPr>
          <w:rFonts w:ascii="Quattrocento Sans" w:eastAsia="Times" w:hAnsi="Quattrocento Sans" w:cs="Times"/>
          <w:color w:val="000000"/>
        </w:rPr>
        <w:t xml:space="preserve"> asciende a </w:t>
      </w:r>
      <w:r>
        <w:rPr>
          <w:rFonts w:ascii="Quattrocento Sans" w:eastAsia="Times" w:hAnsi="Quattrocento Sans" w:cs="Times"/>
          <w:color w:val="000000"/>
        </w:rPr>
        <w:t>un total de 1.340 personas</w:t>
      </w:r>
      <w:r>
        <w:rPr>
          <w:rStyle w:val="Refdenotaalpie"/>
          <w:rFonts w:ascii="Quattrocento Sans" w:eastAsia="Times" w:hAnsi="Quattrocento Sans" w:cs="Times"/>
          <w:color w:val="000000"/>
        </w:rPr>
        <w:footnoteReference w:id="4"/>
      </w:r>
      <w:r w:rsidRPr="00FA4062">
        <w:rPr>
          <w:rFonts w:ascii="Quattrocento Sans" w:eastAsia="Times" w:hAnsi="Quattrocento Sans" w:cs="Times"/>
          <w:color w:val="000000"/>
        </w:rPr>
        <w:t>.</w:t>
      </w:r>
      <w:r>
        <w:rPr>
          <w:rFonts w:ascii="Quattrocento Sans" w:eastAsia="Times" w:hAnsi="Quattrocento Sans" w:cs="Times"/>
          <w:color w:val="000000"/>
        </w:rPr>
        <w:t xml:space="preserve"> Esta población corresponde al 1.2% de la población intramuros</w:t>
      </w:r>
      <w:r>
        <w:rPr>
          <w:rStyle w:val="Refdenotaalpie"/>
          <w:rFonts w:ascii="Quattrocento Sans" w:eastAsia="Times" w:hAnsi="Quattrocento Sans" w:cs="Times"/>
          <w:color w:val="000000"/>
        </w:rPr>
        <w:footnoteReference w:id="5"/>
      </w:r>
      <w:r>
        <w:rPr>
          <w:rFonts w:ascii="Quattrocento Sans" w:eastAsia="Times" w:hAnsi="Quattrocento Sans" w:cs="Times"/>
          <w:color w:val="000000"/>
        </w:rPr>
        <w:t>.</w:t>
      </w:r>
      <w:r w:rsidRPr="00FA4062">
        <w:rPr>
          <w:rFonts w:ascii="Quattrocento Sans" w:eastAsia="Times" w:hAnsi="Quattrocento Sans" w:cs="Times"/>
          <w:color w:val="000000"/>
        </w:rPr>
        <w:t xml:space="preserve"> Así, es evidente que el número de funcionarios aforados que acceden a condiciones de reclusión especial es mínimo para las proporciones poblacionales que maneja el Instituto Nacional Penitenciario y Carcelario y por lo tanto su inclusión en el régimen ordinario no influirá de manera determinante en el índice de hacinamiento carcelario.</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Pr="00111125"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Pr="00FA4062" w:rsidRDefault="00D03940" w:rsidP="00D03940">
      <w:pPr>
        <w:widowControl w:val="0"/>
        <w:pBdr>
          <w:top w:val="nil"/>
          <w:left w:val="nil"/>
          <w:bottom w:val="nil"/>
          <w:right w:val="nil"/>
          <w:between w:val="nil"/>
        </w:pBdr>
        <w:spacing w:after="100" w:line="240" w:lineRule="auto"/>
        <w:ind w:left="720"/>
        <w:contextualSpacing w:val="0"/>
        <w:jc w:val="both"/>
        <w:rPr>
          <w:rFonts w:ascii="Quattrocento Sans" w:eastAsia="Times" w:hAnsi="Quattrocento Sans" w:cs="Times"/>
          <w:b/>
          <w:color w:val="000000"/>
        </w:rPr>
      </w:pPr>
      <w:r>
        <w:rPr>
          <w:rFonts w:ascii="Quattrocento Sans" w:eastAsia="Times" w:hAnsi="Quattrocento Sans" w:cs="Times"/>
          <w:b/>
          <w:color w:val="000000"/>
        </w:rPr>
        <w:t>4.1.2</w:t>
      </w:r>
      <w:r w:rsidRPr="00FA4062">
        <w:rPr>
          <w:rFonts w:ascii="Quattrocento Sans" w:eastAsia="Times" w:hAnsi="Quattrocento Sans" w:cs="Times"/>
          <w:b/>
          <w:color w:val="000000"/>
        </w:rPr>
        <w:t>. La reclusión especial de altos funcionarios no es compatible con el p</w:t>
      </w:r>
      <w:r>
        <w:rPr>
          <w:rFonts w:ascii="Quattrocento Sans" w:eastAsia="Times" w:hAnsi="Quattrocento Sans" w:cs="Times"/>
          <w:b/>
          <w:color w:val="000000"/>
        </w:rPr>
        <w:t>rincipio de enfoque diferencial.</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 xml:space="preserve">De acuerdo al régimen penitenciario colombiano, la reclusión especial de altos funcionarios encuentra su justificación en el principio de enfoque diferencial, sin embargo, este beneficio no se acopla la finalidad del enfoque diferencial ni a los principios constitucionales que lo sustentan. </w:t>
      </w:r>
    </w:p>
    <w:p w:rsidR="00D03940" w:rsidRPr="00FA4062"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 xml:space="preserve">El artículo 2 de la Ley 1709 de 2014 "Por medio de la cual se reforman algunos artículos del Código Penitenciario y Carcelario” contempla el principio de enfoque diferencial, reconociendo la existencia de poblaciones con características particulares en razón de su edad, género, religión u otros, principio que la norma materializa en distintas medidas penitenciarias, entre ellas, las medidas de reclusión especial. </w:t>
      </w:r>
    </w:p>
    <w:p w:rsidR="00D03940" w:rsidRPr="00FA4062"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Es evidente que la reclusión de altos funcionarios no se acopla al principio de enfoque diferencial ya que los funcionarios aforados legales o constitucionales no constituyen una población de condiciones uniformes ni de especial vulnerabilidad que tenga que ser sujeto de especial protección por parte de la ley. La inclusión de un enfoque diferencial se hace con el objetivo, constitucionalmente válido, de avanzar hacia la inclusión con dignidad y equidad de las poblaciones étnicas, históricamente marginadas, condición en la que evidentemente no encuadran los funcionarios aforados, ya que estos antes de representar una comunidad en especial peligro, vulnerabilidad o marginación, representan personas que se han enriquecido a costa del patrimonio público, y a través de actividades delictivas han adquirido poder político y económico.</w:t>
      </w:r>
    </w:p>
    <w:p w:rsidR="00D03940" w:rsidRPr="00BE5B09"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ind w:left="720"/>
        <w:contextualSpacing w:val="0"/>
        <w:jc w:val="both"/>
        <w:rPr>
          <w:rFonts w:ascii="Quattrocento Sans" w:eastAsia="Times" w:hAnsi="Quattrocento Sans" w:cs="Times"/>
          <w:b/>
          <w:color w:val="000000"/>
        </w:rPr>
      </w:pPr>
      <w:r>
        <w:rPr>
          <w:rFonts w:ascii="Quattrocento Sans" w:eastAsia="Times" w:hAnsi="Quattrocento Sans" w:cs="Times"/>
          <w:b/>
          <w:color w:val="000000"/>
        </w:rPr>
        <w:t>4.1.3</w:t>
      </w:r>
      <w:r w:rsidRPr="00FA4062">
        <w:rPr>
          <w:rFonts w:ascii="Quattrocento Sans" w:eastAsia="Times" w:hAnsi="Quattrocento Sans" w:cs="Times"/>
          <w:b/>
          <w:color w:val="000000"/>
        </w:rPr>
        <w:t xml:space="preserve"> Los fueros constitucionales y legales son una garantía para el juzgamiento, más no una gara</w:t>
      </w:r>
      <w:r>
        <w:rPr>
          <w:rFonts w:ascii="Quattrocento Sans" w:eastAsia="Times" w:hAnsi="Quattrocento Sans" w:cs="Times"/>
          <w:b/>
          <w:color w:val="000000"/>
        </w:rPr>
        <w:t>ntía para la especial reclusión.</w:t>
      </w:r>
    </w:p>
    <w:p w:rsidR="00D03940" w:rsidRPr="00FA4062" w:rsidRDefault="00D03940" w:rsidP="00D03940">
      <w:pPr>
        <w:widowControl w:val="0"/>
        <w:pBdr>
          <w:top w:val="nil"/>
          <w:left w:val="nil"/>
          <w:bottom w:val="nil"/>
          <w:right w:val="nil"/>
          <w:between w:val="nil"/>
        </w:pBdr>
        <w:spacing w:after="100" w:line="240" w:lineRule="auto"/>
        <w:ind w:left="720"/>
        <w:contextualSpacing w:val="0"/>
        <w:jc w:val="both"/>
        <w:rPr>
          <w:rFonts w:ascii="Quattrocento Sans" w:eastAsia="Times" w:hAnsi="Quattrocento Sans" w:cs="Times"/>
          <w:b/>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La finalidad constitucional y legal de los fueros para altos funcionarios encuentra su sustento en la necesidad de conservar el equilibrio y la autonomía de los poderes públicos, lo cual se garantiza con prerrogativas especiales en materia de investigación y juzgamiento, más no de reclusión. Así lo establece el tribunal constitucional en sentencias T-965-09 y la Sala de Casación Penal en providencia del 29 de noviembre de 2000, dentro del proceso de única instancia radicado 11.507:</w:t>
      </w:r>
    </w:p>
    <w:p w:rsidR="00D03940" w:rsidRPr="00FA4062"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Pr="00FA4062" w:rsidRDefault="00D03940" w:rsidP="00D03940">
      <w:pPr>
        <w:widowControl w:val="0"/>
        <w:pBdr>
          <w:top w:val="nil"/>
          <w:left w:val="nil"/>
          <w:bottom w:val="nil"/>
          <w:right w:val="nil"/>
          <w:between w:val="nil"/>
        </w:pBdr>
        <w:spacing w:after="100" w:line="240" w:lineRule="auto"/>
        <w:ind w:left="567"/>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 xml:space="preserve">“En el nuevo esquema constitucional, dicha garantía, fuero, o privilegio de jurisdicción, ha sido establecida a favor de los miembros del Congreso de la República por razón de su cargo, durante el desempeño de sus funciones o con ocasión de ellas, con la finalidad de garantizar la independencia y autonomía del órgano a que pertenecen y el pleno ejercicio de sus funciones constitucionales, de manera que en particular muestra de respeto por la dignidad que la investidura representa, la investigación y juzgamiento por las conductas punibles que se les imputen se lleve a cabo por autoridades diferentes de aquellas a quien se atribuye competencia por razón de la naturaleza del hecho, sin que para el ejercicio de la jurisdicción deba mediar, permiso, autorización o trámite previo o especial” </w:t>
      </w:r>
    </w:p>
    <w:p w:rsidR="00D03940" w:rsidRPr="00FA4062"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Es pertinente señalar que la finalidad, descrita de manera explícita, es garantizar autonomía en el desempeño de las funciones de los altos funcionarios, la cual se podría ver vulnerada ante la posibilidad de ser investigado por cualquier fiscal o juez de la República;</w:t>
      </w:r>
      <w:r>
        <w:rPr>
          <w:rFonts w:ascii="Quattrocento Sans" w:eastAsia="Times" w:hAnsi="Quattrocento Sans" w:cs="Times"/>
          <w:color w:val="000000"/>
        </w:rPr>
        <w:t xml:space="preserve"> </w:t>
      </w:r>
      <w:r w:rsidRPr="00FA4062">
        <w:rPr>
          <w:rFonts w:ascii="Quattrocento Sans" w:eastAsia="Times" w:hAnsi="Quattrocento Sans" w:cs="Times"/>
          <w:color w:val="000000"/>
        </w:rPr>
        <w:t xml:space="preserve">sin embargo, la afectación a la autonomía de funcionarios que han cometido delitos contra la administración pública no se ve impactada por la posibilidad de ser recluidos en establecimientos penales ordinarios ya que esto no representa una forma de presión sobre su actividad sino una consecuencia propia de la condena, razón por la cual la reclusión especial no encuentra sustento en la finalidad de los fueros constitucionales o legales. </w:t>
      </w:r>
    </w:p>
    <w:p w:rsidR="00D03940" w:rsidRPr="00FA4062"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Pr="00FA4062"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Finalmente, cabe señalar que de acuerdo al régimen penitenciario vigente la reclusión especial se aplica incluso a personas ya han sido declaradas culpables por delitos contra la administración pública y en consecuencia retiradas de su cargo, asumiendo de manera equivocada la garantía del fuero como un privilegio personal que acompaña al ex funcionario incluso después de retirado de su cargo y no como una medida institucional de equilibrio de poderes, al respecto ha dicho la Corte Constitucional en sentencia T-1320 de diciembre 10 de 2001 que:</w:t>
      </w:r>
    </w:p>
    <w:p w:rsidR="00D03940" w:rsidRPr="00FA4062" w:rsidRDefault="00D03940" w:rsidP="00D03940">
      <w:pPr>
        <w:widowControl w:val="0"/>
        <w:pBdr>
          <w:top w:val="nil"/>
          <w:left w:val="nil"/>
          <w:bottom w:val="nil"/>
          <w:right w:val="nil"/>
          <w:between w:val="nil"/>
        </w:pBdr>
        <w:spacing w:after="100" w:line="240" w:lineRule="auto"/>
        <w:ind w:left="567"/>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ind w:left="567"/>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“En relación con el fuero otorgado a los congresistas para ser juzgados por la Corte Suprema de Justicia, ha de tenerse en cuenta que dicho fuero no se instituye como un privilegio de carácter personal, sino en razón de la investidura y con una finalidad protectora de la integridad y la autonomía del Congreso de la República (...)</w:t>
      </w:r>
      <w:r>
        <w:rPr>
          <w:rFonts w:ascii="Quattrocento Sans" w:eastAsia="Times" w:hAnsi="Quattrocento Sans" w:cs="Times"/>
          <w:color w:val="000000"/>
        </w:rPr>
        <w:t>.</w:t>
      </w:r>
      <w:r w:rsidRPr="00FA4062">
        <w:rPr>
          <w:rFonts w:ascii="Quattrocento Sans" w:eastAsia="Times" w:hAnsi="Quattrocento Sans" w:cs="Times"/>
          <w:color w:val="000000"/>
        </w:rPr>
        <w:t>”</w:t>
      </w:r>
    </w:p>
    <w:p w:rsidR="00D03940" w:rsidRPr="00FA4062" w:rsidRDefault="00D03940" w:rsidP="00D03940">
      <w:pPr>
        <w:widowControl w:val="0"/>
        <w:pBdr>
          <w:top w:val="nil"/>
          <w:left w:val="nil"/>
          <w:bottom w:val="nil"/>
          <w:right w:val="nil"/>
          <w:between w:val="nil"/>
        </w:pBdr>
        <w:spacing w:after="100" w:line="240" w:lineRule="auto"/>
        <w:ind w:left="567"/>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ind w:left="567"/>
        <w:contextualSpacing w:val="0"/>
        <w:jc w:val="both"/>
        <w:rPr>
          <w:rFonts w:ascii="Quattrocento Sans" w:eastAsia="Times" w:hAnsi="Quattrocento Sans" w:cs="Times"/>
          <w:color w:val="000000"/>
        </w:rPr>
      </w:pPr>
      <w:r>
        <w:rPr>
          <w:rFonts w:ascii="Quattrocento Sans" w:eastAsia="Times" w:hAnsi="Quattrocento Sans" w:cs="Times"/>
          <w:b/>
          <w:color w:val="000000"/>
        </w:rPr>
        <w:t>4.1.4</w:t>
      </w:r>
      <w:r w:rsidRPr="00FA4062">
        <w:rPr>
          <w:rFonts w:ascii="Quattrocento Sans" w:eastAsia="Times" w:hAnsi="Quattrocento Sans" w:cs="Times"/>
          <w:b/>
          <w:color w:val="000000"/>
        </w:rPr>
        <w:t>. La reclusión especial de altos funcionarios no es compatible con el principio constitucional de igualdad</w:t>
      </w:r>
      <w:r>
        <w:rPr>
          <w:rFonts w:ascii="Quattrocento Sans" w:eastAsia="Times" w:hAnsi="Quattrocento Sans" w:cs="Times"/>
          <w:b/>
          <w:color w:val="000000"/>
        </w:rPr>
        <w:t>.</w:t>
      </w:r>
      <w:r w:rsidRPr="00FA4062">
        <w:rPr>
          <w:rFonts w:ascii="Quattrocento Sans" w:eastAsia="Times" w:hAnsi="Quattrocento Sans" w:cs="Times"/>
          <w:color w:val="000000"/>
        </w:rPr>
        <w:t xml:space="preserve"> </w:t>
      </w:r>
    </w:p>
    <w:p w:rsidR="00D03940" w:rsidRPr="00531E5D" w:rsidRDefault="00D03940" w:rsidP="00D03940">
      <w:pPr>
        <w:widowControl w:val="0"/>
        <w:pBdr>
          <w:top w:val="nil"/>
          <w:left w:val="nil"/>
          <w:bottom w:val="nil"/>
          <w:right w:val="nil"/>
          <w:between w:val="nil"/>
        </w:pBdr>
        <w:spacing w:after="100" w:line="240" w:lineRule="auto"/>
        <w:ind w:left="567"/>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 xml:space="preserve">La jurisprudencia ha fijado de manera clara los criterios para analizar el principio constitucional de la igualdad como un mandato que vincula a todos los poderes públicos, incluyendo al legislativo y al sistema carcelario. Este mandato implica dar un tratamiento igual a supuestos de hecho equivalentes, como es el caso de funcionarios condenados por delitos contra la administración pública y demás presos en el régimen penal ordinario. </w:t>
      </w:r>
    </w:p>
    <w:p w:rsidR="00D03940" w:rsidRPr="00FA4062"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 xml:space="preserve">No existen supuestos de hecho que diferencien de manera tajante a la generalidad de los presos colombianos de los altos funcionarios condenados por delitos en contra de la administración pública, ya que, si bien estos ocuparon un cargo de altas responsabilidades del Estado, es posible su reclusión en establecimientos ordinarios conservado garantías mínimas de seguridad, bajo un análisis de lo estrictamente necesario para garantizar la seguridad del interno. </w:t>
      </w:r>
    </w:p>
    <w:p w:rsidR="00D03940" w:rsidRPr="00FA4062"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Si bien es cierto que en razón de la relación de especial sujeción que existe entre condenados por delitos contra la administración pública y el Estado, es imperativo que el último asegure los derechos fundamentales del reo con las limitaciones propias de la pena. Esta relación funciona de la misma manera con quienes pagan sus penas en el régimen penal ordinario, razón por la cual el Estado se ve en la obligación de garantizar los derechos fundamentales a unos y otros de manera independiente a las calidades o dignidades que una persona haya ocupado en el pasado, razón por la cual no se encuentra una diferencia que justifique un trato desigual ante la ley.</w:t>
      </w:r>
    </w:p>
    <w:p w:rsidR="00D03940" w:rsidRPr="00FA4062"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estos motivos se busca con el proyecto realizar los siguientes cambios:</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b/>
          <w:color w:val="000000"/>
        </w:rPr>
      </w:pPr>
    </w:p>
    <w:p w:rsidR="00D03940" w:rsidRPr="00D03940" w:rsidRDefault="00D03940" w:rsidP="00D03940">
      <w:pPr>
        <w:pStyle w:val="Prrafodelista"/>
        <w:widowControl w:val="0"/>
        <w:numPr>
          <w:ilvl w:val="0"/>
          <w:numId w:val="2"/>
        </w:numPr>
        <w:pBdr>
          <w:top w:val="nil"/>
          <w:left w:val="nil"/>
          <w:bottom w:val="nil"/>
          <w:right w:val="nil"/>
          <w:between w:val="nil"/>
        </w:pBdr>
        <w:spacing w:after="100" w:line="240" w:lineRule="auto"/>
        <w:contextualSpacing w:val="0"/>
        <w:jc w:val="both"/>
        <w:rPr>
          <w:rFonts w:ascii="Quattrocento Sans" w:eastAsia="Times" w:hAnsi="Quattrocento Sans" w:cs="Times"/>
          <w:b/>
          <w:color w:val="000000"/>
        </w:rPr>
      </w:pPr>
      <w:r w:rsidRPr="00D03940">
        <w:rPr>
          <w:rFonts w:ascii="Quattrocento Sans" w:eastAsia="Times" w:hAnsi="Quattrocento Sans" w:cs="Times"/>
          <w:b/>
          <w:color w:val="000000"/>
        </w:rPr>
        <w:t>Eliminar privilegios en centros de reclusión especial para los corruptos.</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 xml:space="preserve">El Código Penitenciario y Carcelario, Ley 65 del 93, contempló la figura de la “reclusión en casos especiales” y encargó al Director del Instituto Nacional Penitenciario y Carcelario - INPEC y al grupo de asuntos penitenciarios, para que designe o fije el lugar de reclusión especial que va tener un condenado en su condición de beneficiario. </w:t>
      </w:r>
    </w:p>
    <w:p w:rsidR="00D03940" w:rsidRPr="00FA4062"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 xml:space="preserve">El mismo régimen establece que cuando el hecho punible haya sido cometido por personal del INPEC, funcionarios y empleados de la Justicia Penal, o por funcionarios que gocen de fuero legal o constitucional, entre otros, la condena se llevará a cabo en establecimientos especiales; esto significa que en todos los delitos contra la administración pública donde el sujeto activo sea un “alto funcionario” protegido con fuero legal o constitucional, no será suficiente la garantía de investigación especial que le concede el fuero sino que además es necesaria su reclusión en sitios especiales. </w:t>
      </w:r>
    </w:p>
    <w:p w:rsidR="00D03940" w:rsidRPr="00FA4062"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A4062">
        <w:rPr>
          <w:rFonts w:ascii="Quattrocento Sans" w:eastAsia="Times" w:hAnsi="Quattrocento Sans" w:cs="Times"/>
          <w:color w:val="000000"/>
        </w:rPr>
        <w:t>Por su parte, la Resolución Interna del INPEC 2122 del 2012, establece las facultades y competencias del director de esa institución para que a través de un acto administrativo pueda fijar el lugar para cumplir la pena de reclusión especial, dejando un margen amplio de discrecionalidad para el cumplimiento de penas en lugares con distintas condiciones, las cuales en la mayoría de casos difieren en gran medida del régimen penal ordinario.</w:t>
      </w:r>
    </w:p>
    <w:p w:rsidR="00D03940" w:rsidRP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Pr="00D03940" w:rsidRDefault="00D03940" w:rsidP="00D03940">
      <w:pPr>
        <w:pStyle w:val="Prrafodelista"/>
        <w:widowControl w:val="0"/>
        <w:numPr>
          <w:ilvl w:val="0"/>
          <w:numId w:val="2"/>
        </w:numPr>
        <w:pBdr>
          <w:top w:val="nil"/>
          <w:left w:val="nil"/>
          <w:bottom w:val="nil"/>
          <w:right w:val="nil"/>
          <w:between w:val="nil"/>
        </w:pBdr>
        <w:spacing w:after="100" w:line="240" w:lineRule="auto"/>
        <w:contextualSpacing w:val="0"/>
        <w:jc w:val="both"/>
        <w:rPr>
          <w:rFonts w:ascii="Quattrocento Sans" w:eastAsia="Times" w:hAnsi="Quattrocento Sans" w:cs="Times"/>
          <w:b/>
          <w:color w:val="000000"/>
        </w:rPr>
      </w:pPr>
      <w:r w:rsidRPr="00D03940">
        <w:rPr>
          <w:rFonts w:ascii="Quattrocento Sans" w:eastAsia="Times" w:hAnsi="Quattrocento Sans" w:cs="Times"/>
          <w:b/>
          <w:color w:val="000000"/>
        </w:rPr>
        <w:t>Prohibición de la Libertad Condicional.</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93486D">
        <w:rPr>
          <w:rFonts w:ascii="Quattrocento Sans" w:eastAsia="Times" w:hAnsi="Quattrocento Sans" w:cs="Times"/>
          <w:color w:val="000000"/>
        </w:rPr>
        <w:t>Con el presente proyecto de ley se busca eliminar el beneficio penal de otorgar</w:t>
      </w:r>
      <w:r>
        <w:rPr>
          <w:rFonts w:ascii="Quattrocento Sans" w:eastAsia="Times" w:hAnsi="Quattrocento Sans" w:cs="Times"/>
          <w:color w:val="000000"/>
        </w:rPr>
        <w:t xml:space="preserve"> libertad condicional para aquellos delitos que están relacionados con conductas de corrupción. Esta iniciativa busca que las personas que cometan este tipo de delitos no se beneficien de subrogados penales que permitan que la pena efectiva no se cumpla en un centro de retención carcelario. </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Pr="0093486D"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Pr>
          <w:rFonts w:ascii="Quattrocento Sans" w:eastAsia="Times" w:hAnsi="Quattrocento Sans" w:cs="Times"/>
          <w:color w:val="000000"/>
        </w:rPr>
        <w:t>En el mismo sentido, se prohíbe la sustitución de la detención preventiva para este mismo tipo de delitos, de tal manera que las personas se vean coaccionadas a pensar en cometer alguno de estos tipos de conductas, de tal manera que opera la conocida prevención general en las teorías de utilidad de la pena.</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b/>
          <w:color w:val="000000"/>
        </w:rPr>
      </w:pPr>
    </w:p>
    <w:p w:rsidR="00D03940" w:rsidRPr="00D03940" w:rsidRDefault="00D03940" w:rsidP="00D03940">
      <w:pPr>
        <w:pStyle w:val="Prrafodelista"/>
        <w:widowControl w:val="0"/>
        <w:numPr>
          <w:ilvl w:val="0"/>
          <w:numId w:val="2"/>
        </w:numPr>
        <w:pBdr>
          <w:top w:val="nil"/>
          <w:left w:val="nil"/>
          <w:bottom w:val="nil"/>
          <w:right w:val="nil"/>
          <w:between w:val="nil"/>
        </w:pBdr>
        <w:spacing w:after="100" w:line="240" w:lineRule="auto"/>
        <w:contextualSpacing w:val="0"/>
        <w:jc w:val="both"/>
        <w:rPr>
          <w:rFonts w:ascii="Quattrocento Sans" w:eastAsia="Times" w:hAnsi="Quattrocento Sans" w:cs="Times"/>
          <w:b/>
          <w:color w:val="000000"/>
        </w:rPr>
      </w:pPr>
      <w:r w:rsidRPr="00D03940">
        <w:rPr>
          <w:rFonts w:ascii="Quattrocento Sans" w:eastAsia="Times" w:hAnsi="Quattrocento Sans" w:cs="Times"/>
          <w:b/>
          <w:color w:val="000000"/>
        </w:rPr>
        <w:t xml:space="preserve">Reintegro de los bienes en casos de aceptación de cargos, aplicación del principio de oportunidad y acuerdos o negociaciones. </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C6142">
        <w:rPr>
          <w:rFonts w:ascii="Quattrocento Sans" w:eastAsia="Times" w:hAnsi="Quattrocento Sans" w:cs="Times"/>
          <w:color w:val="000000"/>
        </w:rPr>
        <w:t>El observatorio de Transparencia y Anticorrupción</w:t>
      </w:r>
      <w:r w:rsidRPr="00670364">
        <w:rPr>
          <w:rFonts w:ascii="Quattrocento Sans" w:eastAsia="Times" w:hAnsi="Quattrocento Sans" w:cs="Times"/>
          <w:color w:val="000000"/>
        </w:rPr>
        <w:t xml:space="preserve"> </w:t>
      </w:r>
      <w:r>
        <w:rPr>
          <w:rFonts w:ascii="Quattrocento Sans" w:eastAsia="Times" w:hAnsi="Quattrocento Sans" w:cs="Times"/>
          <w:color w:val="000000"/>
        </w:rPr>
        <w:t xml:space="preserve">determinó que desde el 2014 hasta el 2017 se presentaron 9.399 denuncias relacionadas con actos de corrupción, con una tendencia de crecimiento pronunciada.  </w:t>
      </w:r>
      <w:r w:rsidRPr="00670364">
        <w:rPr>
          <w:rFonts w:ascii="Quattrocento Sans" w:eastAsia="Times" w:hAnsi="Quattrocento Sans" w:cs="Times"/>
          <w:color w:val="000000"/>
        </w:rPr>
        <w:t>En este sentido, es necesario consagrar una disposición para que los bienes que hayan sido adquiridos mediante delitos relacionados con la corrupción puedan ser reintegrados al patrimonio del Estado, dado que la situación actua</w:t>
      </w:r>
      <w:r>
        <w:rPr>
          <w:rFonts w:ascii="Quattrocento Sans" w:eastAsia="Times" w:hAnsi="Quattrocento Sans" w:cs="Times"/>
          <w:color w:val="000000"/>
        </w:rPr>
        <w:t>l afecta el proceso de recupera</w:t>
      </w:r>
      <w:r w:rsidRPr="00670364">
        <w:rPr>
          <w:rFonts w:ascii="Quattrocento Sans" w:eastAsia="Times" w:hAnsi="Quattrocento Sans" w:cs="Times"/>
          <w:color w:val="000000"/>
        </w:rPr>
        <w:t>ción de dineros y bienes.</w:t>
      </w:r>
      <w:r w:rsidRPr="00FC6142">
        <w:rPr>
          <w:rFonts w:ascii="Quattrocento Sans" w:eastAsia="Times" w:hAnsi="Quattrocento Sans" w:cs="Times"/>
          <w:color w:val="000000"/>
        </w:rPr>
        <w:t xml:space="preserve"> </w:t>
      </w:r>
    </w:p>
    <w:p w:rsidR="00D03940" w:rsidRPr="00283148"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Pr>
          <w:rFonts w:ascii="Quattrocento Sans" w:eastAsia="Times" w:hAnsi="Quattrocento Sans" w:cs="Times"/>
          <w:color w:val="000000"/>
        </w:rPr>
        <w:t>En el derecho penal existen tres</w:t>
      </w:r>
      <w:r w:rsidRPr="00283148">
        <w:rPr>
          <w:rFonts w:ascii="Quattrocento Sans" w:eastAsia="Times" w:hAnsi="Quattrocento Sans" w:cs="Times"/>
          <w:color w:val="000000"/>
        </w:rPr>
        <w:t xml:space="preserve"> herramientas para lograr la solución alternativa de conflictos derivados de conductas punibles de poca monta, evitar la imposición de penas innecesarias, lograr la colaboración de personas involucradas en conductas punibles para lograr la desarticulación de la delincuencia organizada, entre otros fines.</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Pr>
          <w:rFonts w:ascii="Quattrocento Sans" w:eastAsia="Times" w:hAnsi="Quattrocento Sans" w:cs="Times"/>
          <w:color w:val="000000"/>
        </w:rPr>
        <w:t xml:space="preserve">Estas tres herramientas son la aceptación de cargos, la aplicación del principio de oportunidad y la realización de acuerdos o negociaciones. Estos instrumentos tienen fines constitucionales legítimos, que permiten mejorar la administración de justicia en asuntos que atañen al derecho penal. </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Pr>
          <w:rFonts w:ascii="Quattrocento Sans" w:eastAsia="Times" w:hAnsi="Quattrocento Sans" w:cs="Times"/>
          <w:color w:val="000000"/>
        </w:rPr>
        <w:t>Sin embargo, es importante que el principio de oportunidad, la aceptación de cargos y los acuerdos no se transformen en instrumentos de “válvulas de escape” que permitan que los recursos públicos nunca se reintegren al patrimonio público. Este es el problema que se pretende hacer frente con el establecimiento de normas que atan el beneficio que el procesado adquiere con este instrumento a la devolución inicial de los dineros atendiendo a las particularidades de cada uno de los instrumentos.</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Pr>
          <w:rFonts w:ascii="Quattrocento Sans" w:eastAsia="Times" w:hAnsi="Quattrocento Sans" w:cs="Times"/>
          <w:color w:val="000000"/>
        </w:rPr>
        <w:t>En materia de acuerdos y aceptación de cargos, se debe reintegrar el 50% del valor adquirido mediante la conducta pública, y realizar un acuerdo de que devolverá el resto, para efectos de poder adquirir los beneficios que tiene cada uno de estos instrumentos.</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Pr>
          <w:rFonts w:ascii="Quattrocento Sans" w:eastAsia="Times" w:hAnsi="Quattrocento Sans" w:cs="Times"/>
          <w:color w:val="000000"/>
        </w:rPr>
        <w:t xml:space="preserve">Para la aplicación del principio de oportunidad </w:t>
      </w:r>
      <w:r w:rsidRPr="00FC6142">
        <w:rPr>
          <w:rFonts w:ascii="Quattrocento Sans" w:eastAsia="Times" w:hAnsi="Quattrocento Sans" w:cs="Times"/>
          <w:color w:val="000000"/>
        </w:rPr>
        <w:t xml:space="preserve">la Fiscalía tomará las medidas necesarias para que el aspirante reintegre tales incrementos en la mayor proporción posible, o, en caso de ausencia de apropiación, suministre información precisa sobre su destino, rutas e intermediarios si los conoce. </w:t>
      </w:r>
    </w:p>
    <w:p w:rsidR="00D03940"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p>
    <w:p w:rsidR="00D03940" w:rsidRPr="00D03940" w:rsidRDefault="00D03940" w:rsidP="00D03940">
      <w:pPr>
        <w:pStyle w:val="Prrafodelista"/>
        <w:widowControl w:val="0"/>
        <w:numPr>
          <w:ilvl w:val="0"/>
          <w:numId w:val="2"/>
        </w:numPr>
        <w:pBdr>
          <w:top w:val="nil"/>
          <w:left w:val="nil"/>
          <w:bottom w:val="nil"/>
          <w:right w:val="nil"/>
          <w:between w:val="nil"/>
        </w:pBdr>
        <w:spacing w:after="100" w:line="240" w:lineRule="auto"/>
        <w:contextualSpacing w:val="0"/>
        <w:jc w:val="both"/>
        <w:rPr>
          <w:rFonts w:ascii="Quattrocento Sans" w:eastAsia="Times" w:hAnsi="Quattrocento Sans" w:cs="Times"/>
          <w:b/>
          <w:color w:val="000000"/>
        </w:rPr>
      </w:pPr>
      <w:r w:rsidRPr="00D03940">
        <w:rPr>
          <w:rFonts w:ascii="Quattrocento Sans" w:eastAsia="Times" w:hAnsi="Quattrocento Sans" w:cs="Times"/>
          <w:b/>
          <w:color w:val="000000"/>
        </w:rPr>
        <w:t>Procedencia Anticipada de Medidas Cautelares.</w:t>
      </w:r>
    </w:p>
    <w:p w:rsidR="00D03940" w:rsidRPr="00C91ABD" w:rsidRDefault="00D03940" w:rsidP="00D03940">
      <w:pPr>
        <w:widowControl w:val="0"/>
        <w:pBdr>
          <w:top w:val="nil"/>
          <w:left w:val="nil"/>
          <w:bottom w:val="nil"/>
          <w:right w:val="nil"/>
          <w:between w:val="nil"/>
        </w:pBdr>
        <w:spacing w:after="100" w:line="240" w:lineRule="auto"/>
        <w:contextualSpacing w:val="0"/>
        <w:jc w:val="both"/>
        <w:rPr>
          <w:rFonts w:ascii="Quattrocento Sans" w:eastAsia="Times" w:hAnsi="Quattrocento Sans" w:cs="Times"/>
          <w:color w:val="000000"/>
        </w:rPr>
      </w:pPr>
      <w:r w:rsidRPr="00FC6142">
        <w:rPr>
          <w:rFonts w:ascii="Quattrocento Sans" w:eastAsia="Times" w:hAnsi="Quattrocento Sans" w:cs="Times"/>
          <w:color w:val="000000"/>
        </w:rPr>
        <w:t>En los procesos que se adelanten por los delitos que afecten el patrimonio del Estado y todos aquellos que estén relacionados con actos de corrupción, se establece la posibilidad para que el Juez de Control de Garantías a solicitud del Fiscal pueda otorgar medidas cautelares antes de la audiencia de imputación de cargos para evitar que las personas que estén siendo vinculadas en el proceso penal puedan insolventarse de los recursos que han adquirido mediante conductas de corrupción. El objetivo de esta medida es otorgar al fiscal las herramientas y capacidades necesarias para garantizar la reintegración de los dineros que salen de patrimonio del Estado.</w:t>
      </w:r>
    </w:p>
    <w:p w:rsidR="00D03940" w:rsidRPr="00A20AEF" w:rsidRDefault="00D03940">
      <w:pPr>
        <w:widowControl w:val="0"/>
        <w:pBdr>
          <w:top w:val="nil"/>
          <w:left w:val="nil"/>
          <w:bottom w:val="nil"/>
          <w:right w:val="nil"/>
          <w:between w:val="nil"/>
        </w:pBdr>
        <w:spacing w:after="100"/>
        <w:contextualSpacing w:val="0"/>
        <w:rPr>
          <w:rFonts w:eastAsia="Times New Roman"/>
        </w:rPr>
      </w:pPr>
    </w:p>
    <w:sectPr w:rsidR="00D03940" w:rsidRPr="00A20AEF">
      <w:headerReference w:type="default" r:id="rId3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C2" w:rsidRDefault="00254AC2">
      <w:pPr>
        <w:spacing w:line="240" w:lineRule="auto"/>
      </w:pPr>
      <w:r>
        <w:separator/>
      </w:r>
    </w:p>
  </w:endnote>
  <w:endnote w:type="continuationSeparator" w:id="0">
    <w:p w:rsidR="00254AC2" w:rsidRDefault="00254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Quattrocento San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C2" w:rsidRDefault="00254AC2">
      <w:pPr>
        <w:spacing w:line="240" w:lineRule="auto"/>
      </w:pPr>
      <w:r>
        <w:separator/>
      </w:r>
    </w:p>
  </w:footnote>
  <w:footnote w:type="continuationSeparator" w:id="0">
    <w:p w:rsidR="00254AC2" w:rsidRDefault="00254AC2">
      <w:pPr>
        <w:spacing w:line="240" w:lineRule="auto"/>
      </w:pPr>
      <w:r>
        <w:continuationSeparator/>
      </w:r>
    </w:p>
  </w:footnote>
  <w:footnote w:id="1">
    <w:p w:rsidR="00D03940" w:rsidRDefault="00D03940" w:rsidP="00D03940">
      <w:pPr>
        <w:pStyle w:val="Textonotapie"/>
      </w:pPr>
      <w:r>
        <w:rPr>
          <w:rStyle w:val="Refdenotaalpie"/>
        </w:rPr>
        <w:footnoteRef/>
      </w:r>
      <w:r>
        <w:t xml:space="preserve"> Observatorio de Transparencia y Anticorrupción. Indicado de Sanciones Penales. Tomado el 17 de septiembre de 2018: </w:t>
      </w:r>
      <w:r w:rsidRPr="0091292C">
        <w:t>http://www.anticorrupcion.gov.co/Paginas/indicador-sanciones-penales.aspx</w:t>
      </w:r>
    </w:p>
  </w:footnote>
  <w:footnote w:id="2">
    <w:p w:rsidR="00D03940" w:rsidRDefault="00D03940" w:rsidP="00D03940">
      <w:pPr>
        <w:pStyle w:val="Textonotapie"/>
      </w:pPr>
      <w:r>
        <w:rPr>
          <w:rStyle w:val="Refdenotaalpie"/>
        </w:rPr>
        <w:footnoteRef/>
      </w:r>
      <w:r>
        <w:t xml:space="preserve"> Ibídem. </w:t>
      </w:r>
    </w:p>
  </w:footnote>
  <w:footnote w:id="3">
    <w:p w:rsidR="00D03940" w:rsidRDefault="00D03940" w:rsidP="00D03940">
      <w:pPr>
        <w:pStyle w:val="Textonotapie"/>
      </w:pPr>
      <w:r>
        <w:rPr>
          <w:rStyle w:val="Refdenotaalpie"/>
        </w:rPr>
        <w:footnoteRef/>
      </w:r>
      <w:r>
        <w:t xml:space="preserve"> Ibídem.</w:t>
      </w:r>
    </w:p>
  </w:footnote>
  <w:footnote w:id="4">
    <w:p w:rsidR="00D03940" w:rsidRDefault="00D03940" w:rsidP="00D03940">
      <w:pPr>
        <w:pStyle w:val="Textonotapie"/>
      </w:pPr>
      <w:r>
        <w:rPr>
          <w:rStyle w:val="Refdenotaalpie"/>
        </w:rPr>
        <w:footnoteRef/>
      </w:r>
      <w:r>
        <w:t xml:space="preserve"> INPEC No. 12. Informe Estadístico Diciembre de 2017. Pág. 41</w:t>
      </w:r>
    </w:p>
  </w:footnote>
  <w:footnote w:id="5">
    <w:p w:rsidR="00D03940" w:rsidRDefault="00D03940" w:rsidP="00D03940">
      <w:pPr>
        <w:pStyle w:val="Textonotapie"/>
      </w:pPr>
      <w:r>
        <w:rPr>
          <w:rStyle w:val="Refdenotaalpie"/>
        </w:rPr>
        <w:footnoteRef/>
      </w:r>
      <w:r>
        <w:t xml:space="preserve"> Ibídem.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E8" w:rsidRDefault="004141E8">
    <w:pPr>
      <w:widowControl w:val="0"/>
      <w:tabs>
        <w:tab w:val="center" w:pos="4252"/>
        <w:tab w:val="right" w:pos="8504"/>
      </w:tabs>
      <w:spacing w:line="240" w:lineRule="auto"/>
      <w:contextualSpacing w:val="0"/>
      <w:jc w:val="center"/>
      <w:rPr>
        <w:rFonts w:ascii="Calibri" w:eastAsia="Calibri" w:hAnsi="Calibri" w:cs="Calibri"/>
      </w:rPr>
    </w:pPr>
  </w:p>
  <w:p w:rsidR="004141E8" w:rsidRDefault="004141E8">
    <w:pPr>
      <w:widowControl w:val="0"/>
      <w:tabs>
        <w:tab w:val="center" w:pos="4252"/>
        <w:tab w:val="right" w:pos="8504"/>
      </w:tabs>
      <w:spacing w:line="240" w:lineRule="auto"/>
      <w:contextualSpacing w:val="0"/>
      <w:jc w:val="center"/>
      <w:rPr>
        <w:rFonts w:ascii="Calibri" w:eastAsia="Calibri" w:hAnsi="Calibri" w:cs="Calibri"/>
      </w:rPr>
    </w:pPr>
  </w:p>
  <w:p w:rsidR="004141E8" w:rsidRDefault="00E01089">
    <w:pPr>
      <w:widowControl w:val="0"/>
      <w:tabs>
        <w:tab w:val="center" w:pos="4252"/>
        <w:tab w:val="right" w:pos="8504"/>
      </w:tabs>
      <w:spacing w:line="240" w:lineRule="auto"/>
      <w:contextualSpacing w:val="0"/>
      <w:jc w:val="center"/>
      <w:rPr>
        <w:rFonts w:ascii="Calibri" w:eastAsia="Calibri" w:hAnsi="Calibri" w:cs="Calibri"/>
      </w:rPr>
    </w:pPr>
    <w:r>
      <w:rPr>
        <w:rFonts w:ascii="Calibri" w:eastAsia="Calibri" w:hAnsi="Calibri" w:cs="Calibri"/>
        <w:noProof/>
        <w:lang w:eastAsia="es-CO"/>
      </w:rPr>
      <w:drawing>
        <wp:inline distT="0" distB="0" distL="0" distR="0">
          <wp:extent cx="2030730" cy="6057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30730" cy="605790"/>
                  </a:xfrm>
                  <a:prstGeom prst="rect">
                    <a:avLst/>
                  </a:prstGeom>
                  <a:ln/>
                </pic:spPr>
              </pic:pic>
            </a:graphicData>
          </a:graphic>
        </wp:inline>
      </w:drawing>
    </w:r>
  </w:p>
  <w:p w:rsidR="004141E8" w:rsidRDefault="004141E8">
    <w:pPr>
      <w:contextualSpacing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3734"/>
    <w:multiLevelType w:val="multilevel"/>
    <w:tmpl w:val="E278A2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AE57AC7"/>
    <w:multiLevelType w:val="multilevel"/>
    <w:tmpl w:val="FC48F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E8"/>
    <w:rsid w:val="00254AC2"/>
    <w:rsid w:val="004141E8"/>
    <w:rsid w:val="00455538"/>
    <w:rsid w:val="0052584F"/>
    <w:rsid w:val="00A20AEF"/>
    <w:rsid w:val="00B37F31"/>
    <w:rsid w:val="00C80DDC"/>
    <w:rsid w:val="00D03940"/>
    <w:rsid w:val="00E01089"/>
    <w:rsid w:val="00FC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E31FB-3687-E54C-8815-C9AEE35E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FC640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40E"/>
    <w:rPr>
      <w:rFonts w:ascii="Tahoma" w:hAnsi="Tahoma" w:cs="Tahoma"/>
      <w:sz w:val="16"/>
      <w:szCs w:val="16"/>
    </w:rPr>
  </w:style>
  <w:style w:type="paragraph" w:styleId="Textonotapie">
    <w:name w:val="footnote text"/>
    <w:basedOn w:val="Normal"/>
    <w:link w:val="TextonotapieCar"/>
    <w:uiPriority w:val="99"/>
    <w:semiHidden/>
    <w:unhideWhenUsed/>
    <w:rsid w:val="00D03940"/>
    <w:pPr>
      <w:spacing w:line="240" w:lineRule="auto"/>
    </w:pPr>
    <w:rPr>
      <w:sz w:val="20"/>
      <w:szCs w:val="20"/>
      <w:lang w:eastAsia="es-CO"/>
    </w:rPr>
  </w:style>
  <w:style w:type="character" w:customStyle="1" w:styleId="TextonotapieCar">
    <w:name w:val="Texto nota pie Car"/>
    <w:basedOn w:val="Fuentedeprrafopredeter"/>
    <w:link w:val="Textonotapie"/>
    <w:uiPriority w:val="99"/>
    <w:semiHidden/>
    <w:rsid w:val="00D03940"/>
    <w:rPr>
      <w:sz w:val="20"/>
      <w:szCs w:val="20"/>
      <w:lang w:eastAsia="es-CO"/>
    </w:rPr>
  </w:style>
  <w:style w:type="character" w:styleId="Refdenotaalpie">
    <w:name w:val="footnote reference"/>
    <w:basedOn w:val="Fuentedeprrafopredeter"/>
    <w:uiPriority w:val="99"/>
    <w:semiHidden/>
    <w:unhideWhenUsed/>
    <w:rsid w:val="00D03940"/>
    <w:rPr>
      <w:vertAlign w:val="superscript"/>
    </w:rPr>
  </w:style>
  <w:style w:type="paragraph" w:styleId="Prrafodelista">
    <w:name w:val="List Paragraph"/>
    <w:basedOn w:val="Normal"/>
    <w:uiPriority w:val="34"/>
    <w:qFormat/>
    <w:rsid w:val="00D039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599_2000_pr007.html" TargetMode="External"/><Relationship Id="rId13" Type="http://schemas.openxmlformats.org/officeDocument/2006/relationships/hyperlink" Target="http://www.secretariasenado.gov.co/senado/basedoc/ley_0599_2000_pr011.html" TargetMode="External"/><Relationship Id="rId18" Type="http://schemas.openxmlformats.org/officeDocument/2006/relationships/hyperlink" Target="http://www.secretariasenado.gov.co/senado/basedoc/ley_0599_2000_pr015.html" TargetMode="External"/><Relationship Id="rId26" Type="http://schemas.openxmlformats.org/officeDocument/2006/relationships/hyperlink" Target="http://www.secretariasenado.gov.co/senado/basedoc/ley_0599_2000_pr016.html" TargetMode="External"/><Relationship Id="rId3" Type="http://schemas.openxmlformats.org/officeDocument/2006/relationships/settings" Target="settings.xml"/><Relationship Id="rId21" Type="http://schemas.openxmlformats.org/officeDocument/2006/relationships/hyperlink" Target="http://www.secretariasenado.gov.co/senado/basedoc/ley_0599_2000_pr016.html" TargetMode="External"/><Relationship Id="rId7" Type="http://schemas.openxmlformats.org/officeDocument/2006/relationships/hyperlink" Target="http://www.secretariasenado.gov.co/senado/basedoc/ley_0599_2000_pr006.html" TargetMode="External"/><Relationship Id="rId12" Type="http://schemas.openxmlformats.org/officeDocument/2006/relationships/hyperlink" Target="http://www.secretariasenado.gov.co/senado/basedoc/ley_0599_2000_pr009.html" TargetMode="External"/><Relationship Id="rId17" Type="http://schemas.openxmlformats.org/officeDocument/2006/relationships/hyperlink" Target="http://www.secretariasenado.gov.co/senado/basedoc/ley_0599_2000_pr014.html" TargetMode="External"/><Relationship Id="rId25" Type="http://schemas.openxmlformats.org/officeDocument/2006/relationships/hyperlink" Target="http://www.secretariasenado.gov.co/senado/basedoc/ley_0599_2000_pr016.html" TargetMode="External"/><Relationship Id="rId2" Type="http://schemas.openxmlformats.org/officeDocument/2006/relationships/styles" Target="styles.xml"/><Relationship Id="rId16" Type="http://schemas.openxmlformats.org/officeDocument/2006/relationships/hyperlink" Target="http://www.secretariasenado.gov.co/senado/basedoc/ley_0599_2000_pr014.html" TargetMode="External"/><Relationship Id="rId20" Type="http://schemas.openxmlformats.org/officeDocument/2006/relationships/hyperlink" Target="http://www.secretariasenado.gov.co/senado/basedoc/ley_0599_2000_pr016.html" TargetMode="External"/><Relationship Id="rId29" Type="http://schemas.openxmlformats.org/officeDocument/2006/relationships/hyperlink" Target="http://www.secretariasenado.gov.co/senado/basedoc/ley_0599_2000_pr01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_0599_2000_pr009.html" TargetMode="External"/><Relationship Id="rId24" Type="http://schemas.openxmlformats.org/officeDocument/2006/relationships/hyperlink" Target="http://www.secretariasenado.gov.co/senado/basedoc/ley_0599_2000_pr017.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ecretariasenado.gov.co/senado/basedoc/ley_0599_2000_pr014.html" TargetMode="External"/><Relationship Id="rId23" Type="http://schemas.openxmlformats.org/officeDocument/2006/relationships/hyperlink" Target="http://www.secretariasenado.gov.co/senado/basedoc/ley_0599_2000_pr016.html" TargetMode="External"/><Relationship Id="rId28" Type="http://schemas.openxmlformats.org/officeDocument/2006/relationships/hyperlink" Target="http://www.secretariasenado.gov.co/senado/basedoc/ley_0599_2000_pr018.html" TargetMode="External"/><Relationship Id="rId10" Type="http://schemas.openxmlformats.org/officeDocument/2006/relationships/hyperlink" Target="http://www.secretariasenado.gov.co/senado/basedoc/ley_0599_2000_pr009.html" TargetMode="External"/><Relationship Id="rId19" Type="http://schemas.openxmlformats.org/officeDocument/2006/relationships/hyperlink" Target="http://www.secretariasenado.gov.co/senado/basedoc/ley_0599_2000_pr016.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cretariasenado.gov.co/senado/basedoc/ley_0599_2000_pr008.html" TargetMode="External"/><Relationship Id="rId14" Type="http://schemas.openxmlformats.org/officeDocument/2006/relationships/hyperlink" Target="http://www.secretariasenado.gov.co/senado/basedoc/ley_0599_2000_pr013.html" TargetMode="External"/><Relationship Id="rId22" Type="http://schemas.openxmlformats.org/officeDocument/2006/relationships/hyperlink" Target="http://www.secretariasenado.gov.co/senado/basedoc/ley_0599_2000_pr016.html" TargetMode="External"/><Relationship Id="rId27" Type="http://schemas.openxmlformats.org/officeDocument/2006/relationships/hyperlink" Target="http://www.secretariasenado.gov.co/senado/basedoc/ley_0599_2000_pr016.htm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5166</Words>
  <Characters>28419</Characters>
  <Application>Microsoft Office Word</Application>
  <DocSecurity>0</DocSecurity>
  <Lines>236</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Cris3 GIRALDA</dc:creator>
  <cp:lastModifiedBy>hasbleidy suarez</cp:lastModifiedBy>
  <cp:revision>2</cp:revision>
  <dcterms:created xsi:type="dcterms:W3CDTF">2018-09-18T19:53:00Z</dcterms:created>
  <dcterms:modified xsi:type="dcterms:W3CDTF">2018-09-18T19:53:00Z</dcterms:modified>
</cp:coreProperties>
</file>