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95" w:rsidRDefault="00B93F1E">
      <w:pPr>
        <w:spacing w:after="0" w:line="259" w:lineRule="auto"/>
        <w:ind w:left="0" w:right="0" w:firstLine="0"/>
        <w:jc w:val="left"/>
      </w:pPr>
      <w:bookmarkStart w:id="0" w:name="_GoBack"/>
      <w:bookmarkEnd w:id="0"/>
      <w:r>
        <w:rPr>
          <w:color w:val="000000"/>
          <w:sz w:val="22"/>
        </w:rPr>
        <w:t xml:space="preserve"> </w:t>
      </w:r>
    </w:p>
    <w:p w:rsidR="00754395" w:rsidRPr="00B93F1E" w:rsidRDefault="00B93F1E">
      <w:pPr>
        <w:spacing w:after="0" w:line="259" w:lineRule="auto"/>
        <w:ind w:left="744" w:right="0" w:firstLine="0"/>
        <w:jc w:val="left"/>
        <w:rPr>
          <w:lang w:val="es-CO"/>
        </w:rPr>
      </w:pPr>
      <w:r w:rsidRPr="00B93F1E">
        <w:rPr>
          <w:b/>
          <w:color w:val="000000"/>
          <w:lang w:val="es-CO"/>
        </w:rPr>
        <w:t>PROYECTO DE ACTO LEGISLATIVO No</w:t>
      </w:r>
      <w:r>
        <w:rPr>
          <w:b/>
          <w:color w:val="000000"/>
          <w:lang w:val="es-CO"/>
        </w:rPr>
        <w:t xml:space="preserve"> 067</w:t>
      </w:r>
      <w:r w:rsidRPr="00B93F1E">
        <w:rPr>
          <w:b/>
          <w:color w:val="000000"/>
          <w:lang w:val="es-CO"/>
        </w:rPr>
        <w:t xml:space="preserve"> DE 2018 CÁMARA </w:t>
      </w:r>
    </w:p>
    <w:p w:rsidR="00754395" w:rsidRPr="00B93F1E" w:rsidRDefault="00B93F1E">
      <w:pPr>
        <w:spacing w:after="0" w:line="259" w:lineRule="auto"/>
        <w:ind w:left="38" w:right="0" w:firstLine="0"/>
        <w:jc w:val="center"/>
        <w:rPr>
          <w:lang w:val="es-CO"/>
        </w:rPr>
      </w:pPr>
      <w:r w:rsidRPr="00B93F1E">
        <w:rPr>
          <w:b/>
          <w:color w:val="000000"/>
          <w:lang w:val="es-CO"/>
        </w:rPr>
        <w:t xml:space="preserve"> </w:t>
      </w:r>
    </w:p>
    <w:p w:rsidR="00754395" w:rsidRPr="00B93F1E" w:rsidRDefault="00B93F1E">
      <w:pPr>
        <w:spacing w:after="0" w:line="259" w:lineRule="auto"/>
        <w:ind w:right="33"/>
        <w:jc w:val="center"/>
        <w:rPr>
          <w:lang w:val="es-CO"/>
        </w:rPr>
      </w:pPr>
      <w:r w:rsidRPr="00B93F1E">
        <w:rPr>
          <w:i/>
          <w:color w:val="000000"/>
          <w:lang w:val="es-CO"/>
        </w:rPr>
        <w:t xml:space="preserve">“Por medio de la cual se modifica el artículo 323 de la Constitución Política de </w:t>
      </w:r>
    </w:p>
    <w:p w:rsidR="00754395" w:rsidRPr="00B93F1E" w:rsidRDefault="00B93F1E">
      <w:pPr>
        <w:spacing w:after="0" w:line="259" w:lineRule="auto"/>
        <w:ind w:right="29"/>
        <w:jc w:val="center"/>
        <w:rPr>
          <w:lang w:val="es-CO"/>
        </w:rPr>
      </w:pPr>
      <w:r w:rsidRPr="00B93F1E">
        <w:rPr>
          <w:i/>
          <w:color w:val="000000"/>
          <w:lang w:val="es-CO"/>
        </w:rPr>
        <w:t xml:space="preserve">Colombia” </w:t>
      </w:r>
    </w:p>
    <w:p w:rsidR="00754395" w:rsidRPr="00B93F1E" w:rsidRDefault="00B93F1E">
      <w:pPr>
        <w:spacing w:after="0" w:line="259" w:lineRule="auto"/>
        <w:ind w:left="38" w:right="0" w:firstLine="0"/>
        <w:jc w:val="center"/>
        <w:rPr>
          <w:lang w:val="es-CO"/>
        </w:rPr>
      </w:pPr>
      <w:r w:rsidRPr="00B93F1E">
        <w:rPr>
          <w:color w:val="000000"/>
          <w:lang w:val="es-CO"/>
        </w:rPr>
        <w:t xml:space="preserve"> </w:t>
      </w:r>
    </w:p>
    <w:p w:rsidR="00754395" w:rsidRPr="00B93F1E" w:rsidRDefault="00B93F1E">
      <w:pPr>
        <w:spacing w:after="0" w:line="259" w:lineRule="auto"/>
        <w:ind w:right="29"/>
        <w:jc w:val="center"/>
        <w:rPr>
          <w:lang w:val="es-CO"/>
        </w:rPr>
      </w:pPr>
      <w:r w:rsidRPr="00B93F1E">
        <w:rPr>
          <w:color w:val="000000"/>
          <w:lang w:val="es-CO"/>
        </w:rPr>
        <w:t xml:space="preserve">EL CONGRESO DE COLOMBIA </w:t>
      </w:r>
    </w:p>
    <w:p w:rsidR="00754395" w:rsidRPr="00B93F1E" w:rsidRDefault="00B93F1E">
      <w:pPr>
        <w:spacing w:after="0" w:line="259" w:lineRule="auto"/>
        <w:ind w:left="38" w:right="0" w:firstLine="0"/>
        <w:jc w:val="center"/>
        <w:rPr>
          <w:lang w:val="es-CO"/>
        </w:rPr>
      </w:pPr>
      <w:r w:rsidRPr="00B93F1E">
        <w:rPr>
          <w:color w:val="000000"/>
          <w:lang w:val="es-CO"/>
        </w:rPr>
        <w:t xml:space="preserve"> </w:t>
      </w:r>
    </w:p>
    <w:p w:rsidR="00754395" w:rsidRPr="00B93F1E" w:rsidRDefault="00B93F1E">
      <w:pPr>
        <w:pStyle w:val="Ttulo1"/>
        <w:ind w:right="28"/>
        <w:jc w:val="center"/>
        <w:rPr>
          <w:lang w:val="es-CO"/>
        </w:rPr>
      </w:pPr>
      <w:r w:rsidRPr="00B93F1E">
        <w:rPr>
          <w:b w:val="0"/>
          <w:color w:val="000000"/>
          <w:lang w:val="es-CO"/>
        </w:rPr>
        <w:t xml:space="preserve">DECRETA </w:t>
      </w:r>
    </w:p>
    <w:p w:rsidR="00754395" w:rsidRPr="00B93F1E" w:rsidRDefault="00B93F1E">
      <w:pPr>
        <w:spacing w:after="0" w:line="259" w:lineRule="auto"/>
        <w:ind w:left="0" w:right="0" w:firstLine="0"/>
        <w:jc w:val="left"/>
        <w:rPr>
          <w:lang w:val="es-CO"/>
        </w:rPr>
      </w:pPr>
      <w:r w:rsidRPr="00B93F1E">
        <w:rPr>
          <w:color w:val="000000"/>
          <w:lang w:val="es-CO"/>
        </w:rPr>
        <w:t xml:space="preserve"> </w:t>
      </w:r>
    </w:p>
    <w:p w:rsidR="00754395" w:rsidRPr="00B93F1E" w:rsidRDefault="00B93F1E">
      <w:pPr>
        <w:spacing w:line="250" w:lineRule="auto"/>
        <w:ind w:left="-5" w:right="10"/>
        <w:rPr>
          <w:lang w:val="es-CO"/>
        </w:rPr>
      </w:pPr>
      <w:r w:rsidRPr="00B93F1E">
        <w:rPr>
          <w:b/>
          <w:color w:val="000000"/>
          <w:lang w:val="es-CO"/>
        </w:rPr>
        <w:t xml:space="preserve">Artículo 1º. </w:t>
      </w:r>
      <w:r w:rsidRPr="00B93F1E">
        <w:rPr>
          <w:color w:val="000000"/>
          <w:lang w:val="es-CO"/>
        </w:rPr>
        <w:t xml:space="preserve">Adiciónese el parágrafo 1º al artículo 323 de la Constitución Política de Colombia, el cual quedará así: </w:t>
      </w:r>
    </w:p>
    <w:p w:rsidR="00754395" w:rsidRPr="00B93F1E" w:rsidRDefault="00B93F1E">
      <w:pPr>
        <w:spacing w:after="17" w:line="259" w:lineRule="auto"/>
        <w:ind w:left="0" w:right="0" w:firstLine="0"/>
        <w:jc w:val="left"/>
        <w:rPr>
          <w:lang w:val="es-CO"/>
        </w:rPr>
      </w:pPr>
      <w:r w:rsidRPr="00B93F1E">
        <w:rPr>
          <w:color w:val="000000"/>
          <w:lang w:val="es-CO"/>
        </w:rPr>
        <w:t xml:space="preserve"> </w:t>
      </w:r>
    </w:p>
    <w:p w:rsidR="00754395" w:rsidRPr="00B93F1E" w:rsidRDefault="00B93F1E">
      <w:pPr>
        <w:spacing w:line="250" w:lineRule="auto"/>
        <w:ind w:left="-5" w:right="15"/>
        <w:rPr>
          <w:lang w:val="es-CO"/>
        </w:rPr>
      </w:pPr>
      <w:r w:rsidRPr="00B93F1E">
        <w:rPr>
          <w:i/>
          <w:color w:val="000000"/>
          <w:lang w:val="es-CO"/>
        </w:rPr>
        <w:t xml:space="preserve">“ARTICULO 323.   </w:t>
      </w:r>
    </w:p>
    <w:p w:rsidR="00754395" w:rsidRPr="00B93F1E" w:rsidRDefault="00B93F1E">
      <w:pPr>
        <w:spacing w:after="0" w:line="259" w:lineRule="auto"/>
        <w:ind w:left="0" w:right="0" w:firstLine="0"/>
        <w:jc w:val="left"/>
        <w:rPr>
          <w:lang w:val="es-CO"/>
        </w:rPr>
      </w:pPr>
      <w:r w:rsidRPr="00B93F1E">
        <w:rPr>
          <w:i/>
          <w:color w:val="000000"/>
          <w:lang w:val="es-CO"/>
        </w:rPr>
        <w:t xml:space="preserve"> </w:t>
      </w:r>
    </w:p>
    <w:p w:rsidR="00754395" w:rsidRPr="00B93F1E" w:rsidRDefault="00B93F1E">
      <w:pPr>
        <w:spacing w:line="250" w:lineRule="auto"/>
        <w:ind w:left="-5" w:right="15"/>
        <w:rPr>
          <w:lang w:val="es-CO"/>
        </w:rPr>
      </w:pPr>
      <w:r w:rsidRPr="00B93F1E">
        <w:rPr>
          <w:i/>
          <w:color w:val="000000"/>
          <w:lang w:val="es-CO"/>
        </w:rPr>
        <w:t xml:space="preserve">El Concejo Distrital se compondrá de cuarenta y cinco (45) concejales. </w:t>
      </w:r>
    </w:p>
    <w:p w:rsidR="00754395" w:rsidRPr="00B93F1E" w:rsidRDefault="00B93F1E">
      <w:pPr>
        <w:spacing w:after="0" w:line="259" w:lineRule="auto"/>
        <w:ind w:left="708" w:right="0" w:firstLine="0"/>
        <w:jc w:val="left"/>
        <w:rPr>
          <w:lang w:val="es-CO"/>
        </w:rPr>
      </w:pPr>
      <w:r w:rsidRPr="00B93F1E">
        <w:rPr>
          <w:i/>
          <w:color w:val="000000"/>
          <w:lang w:val="es-CO"/>
        </w:rPr>
        <w:t xml:space="preserve"> </w:t>
      </w:r>
    </w:p>
    <w:p w:rsidR="00754395" w:rsidRPr="00B93F1E" w:rsidRDefault="00B93F1E">
      <w:pPr>
        <w:spacing w:line="250" w:lineRule="auto"/>
        <w:ind w:left="-5" w:right="15"/>
        <w:rPr>
          <w:lang w:val="es-CO"/>
        </w:rPr>
      </w:pPr>
      <w:r w:rsidRPr="00B93F1E">
        <w:rPr>
          <w:i/>
          <w:color w:val="000000"/>
          <w:lang w:val="es-CO"/>
        </w:rPr>
        <w:t xml:space="preserve">En cada una de las localidades habrá una junta administradora elegida popularmente para períodos de cuatro (4) años que estará integrada por no menos de siete ediles, según lo determine el concejo distrital, atendida la población respectiva. </w:t>
      </w:r>
    </w:p>
    <w:p w:rsidR="00754395" w:rsidRPr="00B93F1E" w:rsidRDefault="00B93F1E">
      <w:pPr>
        <w:spacing w:after="0" w:line="259" w:lineRule="auto"/>
        <w:ind w:left="0" w:right="0" w:firstLine="0"/>
        <w:jc w:val="left"/>
        <w:rPr>
          <w:lang w:val="es-CO"/>
        </w:rPr>
      </w:pPr>
      <w:r w:rsidRPr="00B93F1E">
        <w:rPr>
          <w:i/>
          <w:color w:val="000000"/>
          <w:lang w:val="es-CO"/>
        </w:rPr>
        <w:t xml:space="preserve"> </w:t>
      </w:r>
    </w:p>
    <w:p w:rsidR="00754395" w:rsidRDefault="00B93F1E">
      <w:pPr>
        <w:spacing w:line="250" w:lineRule="auto"/>
        <w:ind w:left="-5" w:right="15"/>
      </w:pPr>
      <w:r>
        <w:rPr>
          <w:i/>
          <w:color w:val="000000"/>
        </w:rPr>
        <w:t xml:space="preserve">La elección de Alcalde Mayor, de concejales distritales y de ediles se hará en un mismo día por períodos de cuatro (4) años y el alcalde no podrá ser reelegido para el período siguiente. </w:t>
      </w:r>
    </w:p>
    <w:p w:rsidR="00754395" w:rsidRDefault="00B93F1E">
      <w:pPr>
        <w:spacing w:after="0" w:line="259" w:lineRule="auto"/>
        <w:ind w:left="0" w:right="0" w:firstLine="0"/>
        <w:jc w:val="left"/>
      </w:pPr>
      <w:r>
        <w:rPr>
          <w:i/>
          <w:color w:val="000000"/>
        </w:rPr>
        <w:t xml:space="preserve"> </w:t>
      </w:r>
    </w:p>
    <w:p w:rsidR="00754395" w:rsidRDefault="00B93F1E">
      <w:pPr>
        <w:spacing w:line="250" w:lineRule="auto"/>
        <w:ind w:left="-5" w:right="15"/>
      </w:pPr>
      <w:r>
        <w:rPr>
          <w:i/>
          <w:color w:val="000000"/>
        </w:rPr>
        <w:t xml:space="preserve">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w:t>
      </w:r>
    </w:p>
    <w:p w:rsidR="00754395" w:rsidRDefault="00B93F1E">
      <w:pPr>
        <w:spacing w:after="0" w:line="259" w:lineRule="auto"/>
        <w:ind w:left="708" w:right="0" w:firstLine="0"/>
        <w:jc w:val="left"/>
      </w:pPr>
      <w:r>
        <w:rPr>
          <w:i/>
          <w:color w:val="000000"/>
        </w:rPr>
        <w:t xml:space="preserve"> </w:t>
      </w:r>
    </w:p>
    <w:p w:rsidR="00754395" w:rsidRDefault="00B93F1E">
      <w:pPr>
        <w:spacing w:line="250" w:lineRule="auto"/>
        <w:ind w:left="-5" w:right="15"/>
      </w:pPr>
      <w:r>
        <w:rPr>
          <w:i/>
          <w:color w:val="000000"/>
        </w:rPr>
        <w:t xml:space="preserve">Los alcaldes locales serán designados por el alcalde mayor de terna enviada por la correspondiente junta administradora. </w:t>
      </w:r>
    </w:p>
    <w:p w:rsidR="00754395" w:rsidRDefault="00B93F1E">
      <w:pPr>
        <w:spacing w:after="0" w:line="259" w:lineRule="auto"/>
        <w:ind w:left="708" w:right="0" w:firstLine="0"/>
        <w:jc w:val="left"/>
      </w:pPr>
      <w:r>
        <w:rPr>
          <w:i/>
          <w:color w:val="000000"/>
        </w:rPr>
        <w:t xml:space="preserve"> </w:t>
      </w:r>
    </w:p>
    <w:p w:rsidR="00754395" w:rsidRDefault="00B93F1E">
      <w:pPr>
        <w:spacing w:line="250" w:lineRule="auto"/>
        <w:ind w:left="-5" w:right="15"/>
      </w:pPr>
      <w:r>
        <w:rPr>
          <w:i/>
          <w:color w:val="000000"/>
        </w:rPr>
        <w:t xml:space="preserve">En los casos taxativamente señalados por la ley, el Presidente de la República suspenderá o destituirá al alcalde mayor. </w:t>
      </w:r>
    </w:p>
    <w:p w:rsidR="00754395" w:rsidRDefault="00B93F1E">
      <w:pPr>
        <w:spacing w:after="0" w:line="259" w:lineRule="auto"/>
        <w:ind w:left="708" w:right="0" w:firstLine="0"/>
        <w:jc w:val="left"/>
      </w:pPr>
      <w:r>
        <w:rPr>
          <w:i/>
          <w:color w:val="000000"/>
        </w:rPr>
        <w:t xml:space="preserve"> </w:t>
      </w:r>
    </w:p>
    <w:p w:rsidR="00754395" w:rsidRDefault="00B93F1E">
      <w:pPr>
        <w:spacing w:line="250" w:lineRule="auto"/>
        <w:ind w:left="-5" w:right="15"/>
      </w:pPr>
      <w:r>
        <w:rPr>
          <w:i/>
          <w:color w:val="000000"/>
        </w:rPr>
        <w:t xml:space="preserve">Los concejales y los ediles no podrán hacer parte de las juntas directivas de las entidades descentralizadas. </w:t>
      </w:r>
    </w:p>
    <w:p w:rsidR="00754395" w:rsidRDefault="00B93F1E">
      <w:pPr>
        <w:spacing w:after="0" w:line="259" w:lineRule="auto"/>
        <w:ind w:left="0" w:right="0" w:firstLine="0"/>
        <w:jc w:val="left"/>
      </w:pPr>
      <w:r>
        <w:rPr>
          <w:i/>
          <w:color w:val="000000"/>
        </w:rPr>
        <w:t xml:space="preserve"> </w:t>
      </w:r>
    </w:p>
    <w:p w:rsidR="00754395" w:rsidRDefault="00B93F1E">
      <w:pPr>
        <w:spacing w:after="1" w:line="240" w:lineRule="auto"/>
        <w:ind w:left="-5" w:right="19"/>
      </w:pPr>
      <w:r>
        <w:rPr>
          <w:i/>
          <w:color w:val="000000"/>
          <w:u w:val="single" w:color="000000"/>
        </w:rPr>
        <w:t>Parágrafo 1º: El Alcalde Mayor de Bogotá será elegido para un período de cuatro</w:t>
      </w:r>
      <w:r>
        <w:rPr>
          <w:i/>
          <w:color w:val="000000"/>
        </w:rPr>
        <w:t xml:space="preserve"> </w:t>
      </w:r>
      <w:r>
        <w:rPr>
          <w:i/>
          <w:color w:val="000000"/>
          <w:u w:val="single" w:color="000000"/>
        </w:rPr>
        <w:t>años, por la mitad más uno de los votos que, de manera secreta y directa, depositen</w:t>
      </w:r>
      <w:r>
        <w:rPr>
          <w:i/>
          <w:color w:val="000000"/>
        </w:rPr>
        <w:t xml:space="preserve"> </w:t>
      </w:r>
      <w:r>
        <w:rPr>
          <w:i/>
          <w:color w:val="000000"/>
          <w:u w:val="single" w:color="000000"/>
        </w:rPr>
        <w:t>los ciudadanos correspondientes en la fecha y con las formalidades que determine</w:t>
      </w:r>
      <w:r>
        <w:rPr>
          <w:i/>
          <w:color w:val="000000"/>
        </w:rPr>
        <w:t xml:space="preserve"> </w:t>
      </w:r>
      <w:r>
        <w:rPr>
          <w:i/>
          <w:color w:val="000000"/>
          <w:u w:val="single" w:color="000000"/>
        </w:rPr>
        <w:lastRenderedPageBreak/>
        <w:t>la ley. Si ningún candidato obtiene dicha mayoría, se celebrará una nueva votación</w:t>
      </w:r>
      <w:r>
        <w:rPr>
          <w:i/>
          <w:color w:val="000000"/>
        </w:rPr>
        <w:t xml:space="preserve"> </w:t>
      </w:r>
      <w:r>
        <w:rPr>
          <w:i/>
          <w:color w:val="000000"/>
          <w:u w:val="single" w:color="000000"/>
        </w:rPr>
        <w:t>que tendrá lugar tres semanas más tarde, en la que sólo participarán los dos</w:t>
      </w:r>
      <w:r>
        <w:rPr>
          <w:i/>
          <w:color w:val="000000"/>
        </w:rPr>
        <w:t xml:space="preserve"> </w:t>
      </w:r>
      <w:r>
        <w:rPr>
          <w:i/>
          <w:color w:val="000000"/>
          <w:u w:val="single" w:color="000000"/>
        </w:rPr>
        <w:t>candidatos que hubieren obtenido las más altas votaciones. Será declarado Alcalde</w:t>
      </w:r>
      <w:r>
        <w:rPr>
          <w:i/>
          <w:color w:val="000000"/>
        </w:rPr>
        <w:t xml:space="preserve"> </w:t>
      </w:r>
      <w:r>
        <w:rPr>
          <w:i/>
          <w:color w:val="000000"/>
          <w:u w:val="single" w:color="000000"/>
        </w:rPr>
        <w:t>Mayor de Bogotá quien obtenga el mayor número de votos.</w:t>
      </w:r>
      <w:r>
        <w:rPr>
          <w:i/>
          <w:color w:val="000000"/>
        </w:rPr>
        <w:t xml:space="preserve"> </w:t>
      </w:r>
    </w:p>
    <w:p w:rsidR="00754395" w:rsidRDefault="00B93F1E">
      <w:pPr>
        <w:spacing w:after="0" w:line="259" w:lineRule="auto"/>
        <w:ind w:left="0" w:right="0" w:firstLine="0"/>
        <w:jc w:val="left"/>
      </w:pPr>
      <w:r>
        <w:rPr>
          <w:i/>
          <w:color w:val="000000"/>
        </w:rPr>
        <w:t xml:space="preserve"> </w:t>
      </w:r>
    </w:p>
    <w:p w:rsidR="00754395" w:rsidRDefault="00B93F1E">
      <w:pPr>
        <w:spacing w:after="1" w:line="240" w:lineRule="auto"/>
        <w:ind w:left="-5" w:right="19"/>
      </w:pPr>
      <w:r>
        <w:rPr>
          <w:i/>
          <w:color w:val="000000"/>
          <w:u w:val="single" w:color="000000"/>
        </w:rPr>
        <w:t>En caso de muerte o incapacidad física permanente de alguno de los dos candidatos</w:t>
      </w:r>
      <w:r>
        <w:rPr>
          <w:i/>
          <w:color w:val="000000"/>
        </w:rPr>
        <w:t xml:space="preserve"> </w:t>
      </w:r>
      <w:r>
        <w:rPr>
          <w:i/>
          <w:color w:val="000000"/>
          <w:u w:val="single" w:color="000000"/>
        </w:rPr>
        <w:t>con mayoría de votos, su partido o movimiento político podrá inscribir un nuevo</w:t>
      </w:r>
      <w:r>
        <w:rPr>
          <w:i/>
          <w:color w:val="000000"/>
        </w:rPr>
        <w:t xml:space="preserve"> </w:t>
      </w:r>
      <w:r>
        <w:rPr>
          <w:i/>
          <w:color w:val="000000"/>
          <w:u w:val="single" w:color="000000"/>
        </w:rPr>
        <w:t>candidato para la segunda vuelta. Si no lo hace o si la falta obedece a otra causa,</w:t>
      </w:r>
      <w:r>
        <w:rPr>
          <w:i/>
          <w:color w:val="000000"/>
        </w:rPr>
        <w:t xml:space="preserve"> </w:t>
      </w:r>
      <w:r>
        <w:rPr>
          <w:i/>
          <w:color w:val="000000"/>
          <w:u w:val="single" w:color="000000"/>
        </w:rPr>
        <w:t>lo reemplazará quien hubiese obtenido la tercera votación; y así en forma sucesiva</w:t>
      </w:r>
      <w:r>
        <w:rPr>
          <w:i/>
          <w:color w:val="000000"/>
        </w:rPr>
        <w:t xml:space="preserve"> </w:t>
      </w:r>
      <w:r>
        <w:rPr>
          <w:i/>
          <w:color w:val="000000"/>
          <w:u w:val="single" w:color="000000"/>
        </w:rPr>
        <w:t>y en orden descendente.</w:t>
      </w:r>
      <w:r>
        <w:rPr>
          <w:i/>
          <w:color w:val="000000"/>
        </w:rPr>
        <w:t xml:space="preserve"> </w:t>
      </w:r>
    </w:p>
    <w:p w:rsidR="00754395" w:rsidRDefault="00B93F1E">
      <w:pPr>
        <w:spacing w:after="0" w:line="259" w:lineRule="auto"/>
        <w:ind w:left="0" w:right="0" w:firstLine="0"/>
        <w:jc w:val="left"/>
      </w:pPr>
      <w:r>
        <w:rPr>
          <w:i/>
          <w:color w:val="000000"/>
        </w:rPr>
        <w:t xml:space="preserve"> </w:t>
      </w:r>
    </w:p>
    <w:p w:rsidR="00754395" w:rsidRDefault="00B93F1E">
      <w:pPr>
        <w:spacing w:after="1" w:line="240" w:lineRule="auto"/>
        <w:ind w:left="-5" w:right="19"/>
      </w:pPr>
      <w:r>
        <w:rPr>
          <w:i/>
          <w:color w:val="000000"/>
          <w:u w:val="single" w:color="000000"/>
        </w:rPr>
        <w:t>Si la falta se produjese con antelación menor a dos semanas de la segunda vuelta,</w:t>
      </w:r>
      <w:r>
        <w:rPr>
          <w:i/>
          <w:color w:val="000000"/>
        </w:rPr>
        <w:t xml:space="preserve"> </w:t>
      </w:r>
      <w:r>
        <w:rPr>
          <w:i/>
          <w:color w:val="000000"/>
          <w:u w:val="single" w:color="000000"/>
        </w:rPr>
        <w:t>ésta se aplazará por quince días.</w:t>
      </w:r>
      <w:r>
        <w:rPr>
          <w:i/>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line="250" w:lineRule="auto"/>
        <w:ind w:left="-5" w:right="10"/>
      </w:pPr>
      <w:r>
        <w:rPr>
          <w:b/>
          <w:color w:val="000000"/>
        </w:rPr>
        <w:t>Artículo 2º.</w:t>
      </w:r>
      <w:r>
        <w:rPr>
          <w:i/>
          <w:color w:val="000000"/>
        </w:rPr>
        <w:t xml:space="preserve">Vigencia. </w:t>
      </w:r>
      <w:r>
        <w:rPr>
          <w:color w:val="000000"/>
        </w:rPr>
        <w:t xml:space="preserve">Este Acto Legislativo rige a partir del momento de su promulgación. </w:t>
      </w:r>
    </w:p>
    <w:p w:rsidR="00754395" w:rsidRDefault="00B93F1E">
      <w:pPr>
        <w:spacing w:after="0" w:line="259" w:lineRule="auto"/>
        <w:ind w:left="0" w:right="0" w:firstLine="0"/>
        <w:jc w:val="left"/>
      </w:pPr>
      <w:r>
        <w:rPr>
          <w:color w:val="000000"/>
        </w:rPr>
        <w:t xml:space="preserve"> </w:t>
      </w:r>
    </w:p>
    <w:p w:rsidR="00754395" w:rsidRDefault="00B93F1E">
      <w:pPr>
        <w:spacing w:line="250" w:lineRule="auto"/>
        <w:ind w:left="-5" w:right="10"/>
      </w:pPr>
      <w:r>
        <w:rPr>
          <w:color w:val="000000"/>
        </w:rPr>
        <w:t xml:space="preserve">Cordialmente, </w:t>
      </w:r>
    </w:p>
    <w:p w:rsidR="00754395" w:rsidRDefault="00B93F1E">
      <w:pPr>
        <w:spacing w:after="0" w:line="259" w:lineRule="auto"/>
        <w:ind w:left="0" w:right="0" w:firstLine="0"/>
        <w:jc w:val="left"/>
      </w:pPr>
      <w:r>
        <w:rPr>
          <w:color w:val="000000"/>
        </w:rPr>
        <w:t xml:space="preserve"> </w:t>
      </w:r>
    </w:p>
    <w:tbl>
      <w:tblPr>
        <w:tblStyle w:val="TableGrid"/>
        <w:tblW w:w="8022" w:type="dxa"/>
        <w:tblInd w:w="108" w:type="dxa"/>
        <w:tblLook w:val="04A0" w:firstRow="1" w:lastRow="0" w:firstColumn="1" w:lastColumn="0" w:noHBand="0" w:noVBand="1"/>
      </w:tblPr>
      <w:tblGrid>
        <w:gridCol w:w="3540"/>
        <w:gridCol w:w="874"/>
        <w:gridCol w:w="3608"/>
      </w:tblGrid>
      <w:tr w:rsidR="00754395">
        <w:trPr>
          <w:trHeight w:val="1376"/>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2833"/>
              </w:tabs>
              <w:spacing w:after="0" w:line="259" w:lineRule="auto"/>
              <w:ind w:left="0" w:right="0" w:firstLine="0"/>
              <w:jc w:val="left"/>
            </w:pPr>
            <w:r>
              <w:rPr>
                <w:color w:val="000000"/>
              </w:rPr>
              <w:t xml:space="preserve">_________________ </w:t>
            </w:r>
            <w:r>
              <w:rPr>
                <w:color w:val="000000"/>
              </w:rPr>
              <w:tab/>
              <w:t xml:space="preserve"> </w:t>
            </w:r>
          </w:p>
          <w:p w:rsidR="00754395" w:rsidRDefault="00B93F1E">
            <w:pPr>
              <w:tabs>
                <w:tab w:val="center" w:pos="2833"/>
              </w:tabs>
              <w:spacing w:after="0" w:line="259" w:lineRule="auto"/>
              <w:ind w:left="0" w:right="0" w:firstLine="0"/>
              <w:jc w:val="left"/>
            </w:pPr>
            <w:r>
              <w:rPr>
                <w:b/>
                <w:color w:val="000000"/>
              </w:rPr>
              <w:t xml:space="preserve">JOSÉ DANIEL LÓPEZ </w:t>
            </w:r>
            <w:r>
              <w:rPr>
                <w:b/>
                <w:color w:val="000000"/>
              </w:rPr>
              <w:tab/>
              <w:t xml:space="preserve"> </w:t>
            </w:r>
          </w:p>
          <w:p w:rsidR="00754395" w:rsidRDefault="00B93F1E">
            <w:pPr>
              <w:spacing w:after="0" w:line="259" w:lineRule="auto"/>
              <w:ind w:left="0" w:right="0" w:firstLine="0"/>
              <w:jc w:val="left"/>
            </w:pPr>
            <w:r>
              <w:rPr>
                <w:b/>
                <w:color w:val="000000"/>
              </w:rPr>
              <w:t>Representante a la Cámara</w:t>
            </w:r>
            <w:r>
              <w:rPr>
                <w:color w:val="000000"/>
                <w:sz w:val="22"/>
              </w:rPr>
              <w:t xml:space="preserve"> </w:t>
            </w:r>
          </w:p>
        </w:tc>
        <w:tc>
          <w:tcPr>
            <w:tcW w:w="874" w:type="dxa"/>
            <w:tcBorders>
              <w:top w:val="nil"/>
              <w:left w:val="nil"/>
              <w:bottom w:val="nil"/>
              <w:right w:val="nil"/>
            </w:tcBorders>
          </w:tcPr>
          <w:p w:rsidR="00754395" w:rsidRDefault="00754395">
            <w:pPr>
              <w:spacing w:after="160" w:line="259" w:lineRule="auto"/>
              <w:ind w:left="0" w:right="0" w:firstLine="0"/>
              <w:jc w:val="left"/>
            </w:pP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9"/>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7"/>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6"/>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099"/>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bottom"/>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tc>
      </w:tr>
    </w:tbl>
    <w:p w:rsidR="00754395" w:rsidRDefault="00B93F1E">
      <w:pPr>
        <w:spacing w:after="0" w:line="259" w:lineRule="auto"/>
        <w:ind w:left="239" w:right="0" w:firstLine="0"/>
        <w:jc w:val="center"/>
      </w:pPr>
      <w:r>
        <w:rPr>
          <w:color w:val="000000"/>
          <w:sz w:val="22"/>
        </w:rPr>
        <w:t xml:space="preserve"> </w:t>
      </w:r>
    </w:p>
    <w:p w:rsidR="00754395" w:rsidRDefault="00B93F1E">
      <w:pPr>
        <w:spacing w:after="0" w:line="259" w:lineRule="auto"/>
        <w:ind w:left="0" w:right="0" w:firstLine="0"/>
        <w:jc w:val="left"/>
      </w:pPr>
      <w:r>
        <w:rPr>
          <w:b/>
          <w:color w:val="000000"/>
        </w:rPr>
        <w:lastRenderedPageBreak/>
        <w:t xml:space="preserve"> </w:t>
      </w:r>
      <w:r>
        <w:rPr>
          <w:b/>
          <w:color w:val="000000"/>
        </w:rPr>
        <w:tab/>
        <w:t xml:space="preserve"> </w:t>
      </w:r>
    </w:p>
    <w:p w:rsidR="00754395" w:rsidRDefault="00B93F1E">
      <w:pPr>
        <w:spacing w:after="0" w:line="259" w:lineRule="auto"/>
        <w:ind w:left="0" w:right="34" w:firstLine="0"/>
        <w:jc w:val="center"/>
      </w:pPr>
      <w:r>
        <w:rPr>
          <w:b/>
        </w:rPr>
        <w:t xml:space="preserve">EXPOSICIÓN DE MOTIVOS </w:t>
      </w:r>
    </w:p>
    <w:p w:rsidR="00754395" w:rsidRDefault="00B93F1E">
      <w:pPr>
        <w:spacing w:after="0" w:line="259" w:lineRule="auto"/>
        <w:ind w:left="38" w:right="0" w:firstLine="0"/>
        <w:jc w:val="center"/>
      </w:pPr>
      <w:r>
        <w:rPr>
          <w:b/>
        </w:rPr>
        <w:t xml:space="preserve"> </w:t>
      </w:r>
    </w:p>
    <w:p w:rsidR="00754395" w:rsidRDefault="00B93F1E">
      <w:pPr>
        <w:spacing w:after="0" w:line="259" w:lineRule="auto"/>
        <w:ind w:left="0" w:right="0" w:firstLine="0"/>
        <w:jc w:val="left"/>
      </w:pPr>
      <w:r>
        <w:t xml:space="preserve"> </w:t>
      </w:r>
    </w:p>
    <w:p w:rsidR="00754395" w:rsidRDefault="00B93F1E">
      <w:pPr>
        <w:spacing w:after="0" w:line="259" w:lineRule="auto"/>
        <w:ind w:left="-5" w:right="0"/>
        <w:jc w:val="left"/>
      </w:pPr>
      <w:r>
        <w:rPr>
          <w:b/>
        </w:rPr>
        <w:t xml:space="preserve">I. REPRESENTANTIVIDAD Y LEGITIMIDAD DEL ALCALDE MAYOR DE </w:t>
      </w:r>
    </w:p>
    <w:p w:rsidR="00754395" w:rsidRDefault="00B93F1E">
      <w:pPr>
        <w:pStyle w:val="Ttulo1"/>
        <w:ind w:left="-5" w:right="0"/>
      </w:pPr>
      <w:r>
        <w:t xml:space="preserve">BOGOTÁ </w:t>
      </w:r>
    </w:p>
    <w:p w:rsidR="00754395" w:rsidRDefault="00B93F1E">
      <w:pPr>
        <w:spacing w:after="0" w:line="259" w:lineRule="auto"/>
        <w:ind w:left="0" w:right="0" w:firstLine="0"/>
        <w:jc w:val="left"/>
      </w:pPr>
      <w:r>
        <w:t xml:space="preserve"> </w:t>
      </w:r>
    </w:p>
    <w:p w:rsidR="00754395" w:rsidRDefault="00B93F1E">
      <w:pPr>
        <w:spacing w:line="250" w:lineRule="auto"/>
        <w:ind w:left="-5" w:right="10"/>
      </w:pPr>
      <w:r>
        <w:rPr>
          <w:color w:val="000000"/>
        </w:rPr>
        <w:t xml:space="preserve">En este Proyecto de Acto Legislativo se aborda el problema ocasionado por la falta de representatividad y legitimidad del Alcalde Mayor de Bogotá, derivada de su elección con bajas votaciones, lo cual genera efectos directos en la gobernabilidad y confianza de las instituciones públicas distritales. </w:t>
      </w:r>
    </w:p>
    <w:p w:rsidR="00754395" w:rsidRDefault="00B93F1E">
      <w:pPr>
        <w:spacing w:after="0" w:line="259" w:lineRule="auto"/>
        <w:ind w:left="0" w:right="0" w:firstLine="0"/>
        <w:jc w:val="left"/>
      </w:pPr>
      <w:r>
        <w:rPr>
          <w:color w:val="000000"/>
        </w:rPr>
        <w:t xml:space="preserve"> </w:t>
      </w:r>
    </w:p>
    <w:p w:rsidR="00754395" w:rsidRDefault="00B93F1E">
      <w:pPr>
        <w:ind w:left="-5" w:right="22"/>
      </w:pPr>
      <w:r>
        <w:rPr>
          <w:color w:val="000000"/>
        </w:rPr>
        <w:t xml:space="preserve">La Constitución Política establece que </w:t>
      </w:r>
      <w:r>
        <w:t xml:space="preserve">el Alcalde Mayor de Bogotá será el candidato con la mayor cantidad de votos favorables en la contienda; esto es, una mayoría simple. Esto ha generado dificultades prácticas significativas, pues resulta elegido aquel candidato que obtiene más votos que sus competidores, pero generalmente esto no supone una mayoría sustancial con respecto al potencial electoral de la ciudad o, incluso, al total de ciudadanos que concurrieron en las urnas. Como se mostrará más adelante, es perfectamente posible que un sector de la ciudadanía elija a un alcalde y que otro suscriba las firmas y concurra a las urnas para revocarlo, sin necesidad que un solo ciudadano cambie de postura política durante el proceso. </w:t>
      </w:r>
    </w:p>
    <w:p w:rsidR="00754395" w:rsidRDefault="00B93F1E">
      <w:pPr>
        <w:spacing w:after="0" w:line="259" w:lineRule="auto"/>
        <w:ind w:left="0" w:right="0" w:firstLine="0"/>
        <w:jc w:val="left"/>
      </w:pPr>
      <w:r>
        <w:t xml:space="preserve"> </w:t>
      </w:r>
    </w:p>
    <w:p w:rsidR="00754395" w:rsidRDefault="00B93F1E">
      <w:pPr>
        <w:ind w:left="-5" w:right="22"/>
      </w:pPr>
      <w:r>
        <w:t>Veamos las cifras de las últimas cuatro elecciones, según la Registraduría Nacional del Estado Civil:</w:t>
      </w:r>
      <w:r>
        <w:rPr>
          <w:color w:val="000000"/>
        </w:rPr>
        <w:t xml:space="preserve"> </w:t>
      </w:r>
    </w:p>
    <w:p w:rsidR="00754395" w:rsidRDefault="00B93F1E">
      <w:pPr>
        <w:spacing w:after="0" w:line="259" w:lineRule="auto"/>
        <w:ind w:left="0" w:right="0" w:firstLine="0"/>
        <w:jc w:val="left"/>
      </w:pPr>
      <w:r>
        <w:rPr>
          <w:sz w:val="22"/>
        </w:rPr>
        <w:t xml:space="preserve"> </w:t>
      </w:r>
    </w:p>
    <w:tbl>
      <w:tblPr>
        <w:tblStyle w:val="TableGrid"/>
        <w:tblW w:w="8721" w:type="dxa"/>
        <w:tblInd w:w="113" w:type="dxa"/>
        <w:tblCellMar>
          <w:top w:w="5" w:type="dxa"/>
        </w:tblCellMar>
        <w:tblLook w:val="04A0" w:firstRow="1" w:lastRow="0" w:firstColumn="1" w:lastColumn="0" w:noHBand="0" w:noVBand="1"/>
      </w:tblPr>
      <w:tblGrid>
        <w:gridCol w:w="619"/>
        <w:gridCol w:w="1587"/>
        <w:gridCol w:w="1356"/>
        <w:gridCol w:w="1807"/>
        <w:gridCol w:w="1090"/>
        <w:gridCol w:w="1129"/>
        <w:gridCol w:w="1133"/>
      </w:tblGrid>
      <w:tr w:rsidR="00754395">
        <w:trPr>
          <w:trHeight w:val="629"/>
        </w:trPr>
        <w:tc>
          <w:tcPr>
            <w:tcW w:w="619"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108" w:right="0" w:firstLine="0"/>
            </w:pPr>
            <w:r>
              <w:rPr>
                <w:b/>
                <w:sz w:val="18"/>
              </w:rPr>
              <w:t>AÑO</w:t>
            </w:r>
            <w:r>
              <w:rPr>
                <w:rFonts w:ascii="Calibri" w:eastAsia="Calibri" w:hAnsi="Calibri" w:cs="Calibri"/>
                <w:color w:val="000000"/>
                <w:sz w:val="18"/>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center"/>
            </w:pPr>
            <w:r>
              <w:rPr>
                <w:b/>
                <w:sz w:val="18"/>
              </w:rPr>
              <w:t>POTENCIAL SUFRAGANTES</w:t>
            </w:r>
            <w:r>
              <w:rPr>
                <w:rFonts w:ascii="Calibri" w:eastAsia="Calibri" w:hAnsi="Calibri" w:cs="Calibri"/>
                <w:color w:val="000000"/>
                <w:sz w:val="18"/>
              </w:rPr>
              <w:t xml:space="preserve"> </w:t>
            </w:r>
          </w:p>
        </w:tc>
        <w:tc>
          <w:tcPr>
            <w:tcW w:w="1356"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center"/>
            </w:pPr>
            <w:r>
              <w:rPr>
                <w:b/>
                <w:sz w:val="18"/>
              </w:rPr>
              <w:t>CANTIDAD VOTANTES</w:t>
            </w:r>
            <w:r>
              <w:rPr>
                <w:rFonts w:ascii="Calibri" w:eastAsia="Calibri" w:hAnsi="Calibri" w:cs="Calibri"/>
                <w:color w:val="000000"/>
                <w:sz w:val="18"/>
              </w:rPr>
              <w:t xml:space="preserve"> </w:t>
            </w:r>
          </w:p>
        </w:tc>
        <w:tc>
          <w:tcPr>
            <w:tcW w:w="1808"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center"/>
            </w:pPr>
            <w:r>
              <w:rPr>
                <w:b/>
                <w:sz w:val="18"/>
              </w:rPr>
              <w:t xml:space="preserve">ALCALDE MAYOR ELEGIDO </w:t>
            </w:r>
          </w:p>
        </w:tc>
        <w:tc>
          <w:tcPr>
            <w:tcW w:w="1090"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center"/>
            </w:pPr>
            <w:r>
              <w:rPr>
                <w:b/>
                <w:sz w:val="18"/>
              </w:rPr>
              <w:t>VOTOS OBTENIDOS</w:t>
            </w:r>
          </w:p>
        </w:tc>
        <w:tc>
          <w:tcPr>
            <w:tcW w:w="112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39" w:right="0" w:firstLine="0"/>
              <w:jc w:val="left"/>
            </w:pPr>
            <w:r>
              <w:rPr>
                <w:b/>
                <w:sz w:val="18"/>
              </w:rPr>
              <w:t xml:space="preserve">% SOBRE </w:t>
            </w:r>
          </w:p>
          <w:p w:rsidR="00754395" w:rsidRDefault="00B93F1E">
            <w:pPr>
              <w:spacing w:after="0" w:line="259" w:lineRule="auto"/>
              <w:ind w:left="94" w:right="0" w:firstLine="0"/>
            </w:pPr>
            <w:r>
              <w:rPr>
                <w:b/>
                <w:sz w:val="18"/>
              </w:rPr>
              <w:t xml:space="preserve">CANTIDAD </w:t>
            </w:r>
          </w:p>
          <w:p w:rsidR="00754395" w:rsidRDefault="00B93F1E">
            <w:pPr>
              <w:spacing w:after="0" w:line="259" w:lineRule="auto"/>
              <w:ind w:left="-10" w:right="0" w:firstLine="0"/>
              <w:jc w:val="left"/>
            </w:pPr>
            <w:r>
              <w:rPr>
                <w:b/>
                <w:sz w:val="18"/>
              </w:rPr>
              <w:t xml:space="preserve"> </w:t>
            </w:r>
          </w:p>
          <w:p w:rsidR="00754395" w:rsidRDefault="00B93F1E">
            <w:pPr>
              <w:spacing w:after="0" w:line="259" w:lineRule="auto"/>
              <w:ind w:left="74" w:right="0" w:firstLine="0"/>
            </w:pPr>
            <w:r>
              <w:rPr>
                <w:b/>
                <w:sz w:val="18"/>
              </w:rPr>
              <w:t xml:space="preserve">VOTANTES </w:t>
            </w:r>
          </w:p>
        </w:tc>
        <w:tc>
          <w:tcPr>
            <w:tcW w:w="1133"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42" w:right="0" w:firstLine="0"/>
              <w:jc w:val="left"/>
            </w:pPr>
            <w:r>
              <w:rPr>
                <w:b/>
                <w:sz w:val="18"/>
              </w:rPr>
              <w:t xml:space="preserve">% SOBRE </w:t>
            </w:r>
          </w:p>
          <w:p w:rsidR="00754395" w:rsidRDefault="00B93F1E">
            <w:pPr>
              <w:spacing w:after="0" w:line="259" w:lineRule="auto"/>
              <w:ind w:left="46" w:right="0" w:firstLine="0"/>
            </w:pPr>
            <w:r>
              <w:rPr>
                <w:b/>
                <w:sz w:val="18"/>
              </w:rPr>
              <w:t xml:space="preserve">POTENCIAL </w:t>
            </w:r>
          </w:p>
          <w:p w:rsidR="00754395" w:rsidRDefault="00B93F1E">
            <w:pPr>
              <w:spacing w:after="0" w:line="259" w:lineRule="auto"/>
              <w:ind w:left="17" w:right="0" w:firstLine="0"/>
            </w:pPr>
            <w:r>
              <w:rPr>
                <w:b/>
                <w:sz w:val="18"/>
              </w:rPr>
              <w:t>ELECTORAL</w:t>
            </w:r>
          </w:p>
        </w:tc>
      </w:tr>
      <w:tr w:rsidR="00754395">
        <w:trPr>
          <w:trHeight w:val="218"/>
        </w:trPr>
        <w:tc>
          <w:tcPr>
            <w:tcW w:w="6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08" w:right="0" w:firstLine="0"/>
              <w:jc w:val="left"/>
            </w:pPr>
            <w:r>
              <w:rPr>
                <w:sz w:val="18"/>
              </w:rPr>
              <w:t>2003</w:t>
            </w:r>
            <w:r>
              <w:rPr>
                <w:rFonts w:ascii="Calibri" w:eastAsia="Calibri" w:hAnsi="Calibri" w:cs="Calibri"/>
                <w:color w:val="000000"/>
                <w:sz w:val="18"/>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7" w:firstLine="0"/>
              <w:jc w:val="center"/>
            </w:pPr>
            <w:r>
              <w:rPr>
                <w:sz w:val="18"/>
              </w:rPr>
              <w:t>3,922,818</w:t>
            </w:r>
            <w:r>
              <w:rPr>
                <w:rFonts w:ascii="Calibri" w:eastAsia="Calibri" w:hAnsi="Calibri" w:cs="Calibri"/>
                <w:color w:val="000000"/>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1,706,701</w:t>
            </w:r>
            <w:r>
              <w:rPr>
                <w:rFonts w:ascii="Calibri" w:eastAsia="Calibri" w:hAnsi="Calibri" w:cs="Calibri"/>
                <w:color w:val="000000"/>
                <w:sz w:val="18"/>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 xml:space="preserve">Luis E. Garzón </w:t>
            </w:r>
          </w:p>
        </w:tc>
        <w:tc>
          <w:tcPr>
            <w:tcW w:w="1090"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1" w:firstLine="0"/>
              <w:jc w:val="center"/>
            </w:pPr>
            <w:r>
              <w:rPr>
                <w:sz w:val="18"/>
              </w:rPr>
              <w:t xml:space="preserve">970.466 </w:t>
            </w:r>
          </w:p>
        </w:tc>
        <w:tc>
          <w:tcPr>
            <w:tcW w:w="112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 xml:space="preserve">48,3% </w:t>
            </w:r>
          </w:p>
        </w:tc>
        <w:tc>
          <w:tcPr>
            <w:tcW w:w="1133"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 w:right="0" w:firstLine="0"/>
              <w:jc w:val="center"/>
            </w:pPr>
            <w:r>
              <w:rPr>
                <w:sz w:val="18"/>
              </w:rPr>
              <w:t xml:space="preserve">24,73% </w:t>
            </w:r>
          </w:p>
        </w:tc>
      </w:tr>
      <w:tr w:rsidR="00754395">
        <w:trPr>
          <w:trHeight w:val="216"/>
        </w:trPr>
        <w:tc>
          <w:tcPr>
            <w:tcW w:w="6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08" w:right="0" w:firstLine="0"/>
              <w:jc w:val="left"/>
            </w:pPr>
            <w:r>
              <w:rPr>
                <w:sz w:val="18"/>
              </w:rPr>
              <w:t>2007</w:t>
            </w:r>
            <w:r>
              <w:rPr>
                <w:rFonts w:ascii="Calibri" w:eastAsia="Calibri" w:hAnsi="Calibri" w:cs="Calibri"/>
                <w:color w:val="000000"/>
                <w:sz w:val="18"/>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7" w:firstLine="0"/>
              <w:jc w:val="center"/>
            </w:pPr>
            <w:r>
              <w:rPr>
                <w:sz w:val="18"/>
              </w:rPr>
              <w:t>4,378,026</w:t>
            </w:r>
            <w:r>
              <w:rPr>
                <w:rFonts w:ascii="Calibri" w:eastAsia="Calibri" w:hAnsi="Calibri" w:cs="Calibri"/>
                <w:color w:val="000000"/>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2,095,629</w:t>
            </w:r>
            <w:r>
              <w:rPr>
                <w:rFonts w:ascii="Calibri" w:eastAsia="Calibri" w:hAnsi="Calibri" w:cs="Calibri"/>
                <w:color w:val="000000"/>
                <w:sz w:val="18"/>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5" w:firstLine="0"/>
              <w:jc w:val="center"/>
            </w:pPr>
            <w:r>
              <w:rPr>
                <w:sz w:val="18"/>
              </w:rPr>
              <w:t xml:space="preserve">Samuel Moreno </w:t>
            </w:r>
          </w:p>
        </w:tc>
        <w:tc>
          <w:tcPr>
            <w:tcW w:w="1090"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1" w:firstLine="0"/>
              <w:jc w:val="center"/>
            </w:pPr>
            <w:r>
              <w:rPr>
                <w:sz w:val="18"/>
              </w:rPr>
              <w:t xml:space="preserve">902.013 </w:t>
            </w:r>
          </w:p>
        </w:tc>
        <w:tc>
          <w:tcPr>
            <w:tcW w:w="112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 w:right="0" w:firstLine="0"/>
              <w:jc w:val="center"/>
            </w:pPr>
            <w:r>
              <w:rPr>
                <w:sz w:val="18"/>
              </w:rPr>
              <w:t xml:space="preserve">45,29% </w:t>
            </w:r>
          </w:p>
        </w:tc>
        <w:tc>
          <w:tcPr>
            <w:tcW w:w="1133"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1" w:firstLine="0"/>
              <w:jc w:val="center"/>
            </w:pPr>
            <w:r>
              <w:rPr>
                <w:sz w:val="18"/>
              </w:rPr>
              <w:t xml:space="preserve">20,6% </w:t>
            </w:r>
          </w:p>
        </w:tc>
      </w:tr>
      <w:tr w:rsidR="00754395">
        <w:trPr>
          <w:trHeight w:val="218"/>
        </w:trPr>
        <w:tc>
          <w:tcPr>
            <w:tcW w:w="6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08" w:right="0" w:firstLine="0"/>
              <w:jc w:val="left"/>
            </w:pPr>
            <w:r>
              <w:rPr>
                <w:sz w:val="18"/>
              </w:rPr>
              <w:t>2011</w:t>
            </w:r>
            <w:r>
              <w:rPr>
                <w:rFonts w:ascii="Calibri" w:eastAsia="Calibri" w:hAnsi="Calibri" w:cs="Calibri"/>
                <w:color w:val="000000"/>
                <w:sz w:val="18"/>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7" w:firstLine="0"/>
              <w:jc w:val="center"/>
            </w:pPr>
            <w:r>
              <w:rPr>
                <w:sz w:val="18"/>
              </w:rPr>
              <w:t>4,904,572</w:t>
            </w:r>
            <w:r>
              <w:rPr>
                <w:rFonts w:ascii="Calibri" w:eastAsia="Calibri" w:hAnsi="Calibri" w:cs="Calibri"/>
                <w:color w:val="000000"/>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2,325,374</w:t>
            </w:r>
            <w:r>
              <w:rPr>
                <w:rFonts w:ascii="Calibri" w:eastAsia="Calibri" w:hAnsi="Calibri" w:cs="Calibri"/>
                <w:color w:val="000000"/>
                <w:sz w:val="18"/>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 w:firstLine="0"/>
              <w:jc w:val="center"/>
            </w:pPr>
            <w:r>
              <w:rPr>
                <w:sz w:val="18"/>
              </w:rPr>
              <w:t xml:space="preserve">Gustavo Petro </w:t>
            </w:r>
          </w:p>
        </w:tc>
        <w:tc>
          <w:tcPr>
            <w:tcW w:w="1090"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1" w:firstLine="0"/>
              <w:jc w:val="center"/>
            </w:pPr>
            <w:r>
              <w:rPr>
                <w:sz w:val="18"/>
              </w:rPr>
              <w:t xml:space="preserve">723.157 </w:t>
            </w:r>
          </w:p>
        </w:tc>
        <w:tc>
          <w:tcPr>
            <w:tcW w:w="112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 w:right="0" w:firstLine="0"/>
              <w:jc w:val="center"/>
            </w:pPr>
            <w:r>
              <w:rPr>
                <w:sz w:val="18"/>
              </w:rPr>
              <w:t xml:space="preserve">32,23% </w:t>
            </w:r>
          </w:p>
        </w:tc>
        <w:tc>
          <w:tcPr>
            <w:tcW w:w="1133"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 w:right="0" w:firstLine="0"/>
              <w:jc w:val="center"/>
            </w:pPr>
            <w:r>
              <w:rPr>
                <w:sz w:val="18"/>
              </w:rPr>
              <w:t xml:space="preserve">14,74% </w:t>
            </w:r>
          </w:p>
        </w:tc>
      </w:tr>
      <w:tr w:rsidR="00754395">
        <w:trPr>
          <w:trHeight w:val="216"/>
        </w:trPr>
        <w:tc>
          <w:tcPr>
            <w:tcW w:w="6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08" w:right="0" w:firstLine="0"/>
              <w:jc w:val="left"/>
            </w:pPr>
            <w:r>
              <w:rPr>
                <w:sz w:val="18"/>
              </w:rPr>
              <w:t>2015</w:t>
            </w:r>
            <w:r>
              <w:rPr>
                <w:rFonts w:ascii="Calibri" w:eastAsia="Calibri" w:hAnsi="Calibri" w:cs="Calibri"/>
                <w:color w:val="000000"/>
                <w:sz w:val="18"/>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7" w:firstLine="0"/>
              <w:jc w:val="center"/>
            </w:pPr>
            <w:r>
              <w:rPr>
                <w:sz w:val="18"/>
              </w:rPr>
              <w:t>5,453,086</w:t>
            </w:r>
            <w:r>
              <w:rPr>
                <w:rFonts w:ascii="Calibri" w:eastAsia="Calibri" w:hAnsi="Calibri" w:cs="Calibri"/>
                <w:color w:val="000000"/>
                <w:sz w:val="18"/>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2,811,209</w:t>
            </w:r>
            <w:r>
              <w:rPr>
                <w:rFonts w:ascii="Calibri" w:eastAsia="Calibri" w:hAnsi="Calibri" w:cs="Calibri"/>
                <w:color w:val="000000"/>
                <w:sz w:val="18"/>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 xml:space="preserve">Enrique Peñalosa </w:t>
            </w:r>
          </w:p>
        </w:tc>
        <w:tc>
          <w:tcPr>
            <w:tcW w:w="1090"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1" w:firstLine="0"/>
              <w:jc w:val="center"/>
            </w:pPr>
            <w:r>
              <w:rPr>
                <w:sz w:val="18"/>
              </w:rPr>
              <w:t xml:space="preserve">903.764 </w:t>
            </w:r>
          </w:p>
        </w:tc>
        <w:tc>
          <w:tcPr>
            <w:tcW w:w="112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2" w:firstLine="0"/>
              <w:jc w:val="center"/>
            </w:pPr>
            <w:r>
              <w:rPr>
                <w:sz w:val="18"/>
              </w:rPr>
              <w:t xml:space="preserve">33,1% </w:t>
            </w:r>
          </w:p>
        </w:tc>
        <w:tc>
          <w:tcPr>
            <w:tcW w:w="1133"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1" w:right="0" w:firstLine="0"/>
              <w:jc w:val="center"/>
            </w:pPr>
            <w:r>
              <w:rPr>
                <w:sz w:val="18"/>
              </w:rPr>
              <w:t xml:space="preserve">16,57% </w:t>
            </w:r>
          </w:p>
        </w:tc>
      </w:tr>
    </w:tbl>
    <w:p w:rsidR="00754395" w:rsidRDefault="00B93F1E">
      <w:pPr>
        <w:spacing w:after="0" w:line="259" w:lineRule="auto"/>
        <w:ind w:left="0" w:right="0" w:firstLine="0"/>
        <w:jc w:val="left"/>
      </w:pPr>
      <w:r>
        <w:rPr>
          <w:sz w:val="22"/>
        </w:rPr>
        <w:t xml:space="preserve"> </w:t>
      </w:r>
    </w:p>
    <w:p w:rsidR="00754395" w:rsidRDefault="00B93F1E">
      <w:pPr>
        <w:spacing w:after="1" w:line="239" w:lineRule="auto"/>
        <w:ind w:left="0" w:right="15" w:firstLine="0"/>
      </w:pPr>
      <w:r>
        <w:rPr>
          <w:sz w:val="22"/>
        </w:rPr>
        <w:t xml:space="preserve">Estas cifras son reveladoras en cuanto a la magnitud del problema de legitimidad y representatividad de la figura del Alcalde Mayor de Bogotá: </w:t>
      </w:r>
    </w:p>
    <w:p w:rsidR="00754395" w:rsidRDefault="00B93F1E">
      <w:pPr>
        <w:spacing w:after="0" w:line="259" w:lineRule="auto"/>
        <w:ind w:left="0" w:right="0" w:firstLine="0"/>
        <w:jc w:val="left"/>
      </w:pPr>
      <w:r>
        <w:rPr>
          <w:sz w:val="22"/>
        </w:rPr>
        <w:t xml:space="preserve"> </w:t>
      </w:r>
    </w:p>
    <w:p w:rsidR="00754395" w:rsidRDefault="00B93F1E">
      <w:pPr>
        <w:numPr>
          <w:ilvl w:val="0"/>
          <w:numId w:val="1"/>
        </w:numPr>
        <w:spacing w:after="1" w:line="239" w:lineRule="auto"/>
        <w:ind w:right="15" w:hanging="360"/>
      </w:pPr>
      <w:r>
        <w:rPr>
          <w:sz w:val="22"/>
        </w:rPr>
        <w:t xml:space="preserve">En una ciudad de 8.181.047 habitantes (DANE) y 5.702.805 ciudadanos aptos para votar (RNEC), un Alcalde Mayor de Bogotá </w:t>
      </w:r>
      <w:r>
        <w:rPr>
          <w:sz w:val="22"/>
          <w:u w:val="single" w:color="00000A"/>
        </w:rPr>
        <w:t>nunca ha obtenido más de un millón de</w:t>
      </w:r>
      <w:r>
        <w:rPr>
          <w:sz w:val="22"/>
        </w:rPr>
        <w:t xml:space="preserve"> </w:t>
      </w:r>
      <w:r>
        <w:rPr>
          <w:sz w:val="22"/>
          <w:u w:val="single" w:color="00000A"/>
        </w:rPr>
        <w:t>votos</w:t>
      </w:r>
      <w:r>
        <w:rPr>
          <w:sz w:val="22"/>
        </w:rPr>
        <w:t xml:space="preserve">. </w:t>
      </w:r>
    </w:p>
    <w:p w:rsidR="00754395" w:rsidRDefault="00B93F1E">
      <w:pPr>
        <w:spacing w:after="0" w:line="259" w:lineRule="auto"/>
        <w:ind w:left="720" w:right="0" w:firstLine="0"/>
        <w:jc w:val="left"/>
      </w:pPr>
      <w:r>
        <w:rPr>
          <w:sz w:val="22"/>
        </w:rPr>
        <w:t xml:space="preserve"> </w:t>
      </w:r>
    </w:p>
    <w:p w:rsidR="00754395" w:rsidRDefault="00B93F1E">
      <w:pPr>
        <w:numPr>
          <w:ilvl w:val="0"/>
          <w:numId w:val="1"/>
        </w:numPr>
        <w:spacing w:after="1" w:line="239" w:lineRule="auto"/>
        <w:ind w:right="15" w:hanging="360"/>
      </w:pPr>
      <w:r>
        <w:rPr>
          <w:sz w:val="22"/>
        </w:rPr>
        <w:t xml:space="preserve">Los alcaldes elegidos en las últimas cuatro elecciones han representado entre el 14% y el 25% del total de ciudadanos aptos para votar. </w:t>
      </w:r>
    </w:p>
    <w:p w:rsidR="00754395" w:rsidRDefault="00B93F1E">
      <w:pPr>
        <w:spacing w:after="0" w:line="259" w:lineRule="auto"/>
        <w:ind w:left="720" w:right="0" w:firstLine="0"/>
        <w:jc w:val="left"/>
      </w:pPr>
      <w:r>
        <w:rPr>
          <w:sz w:val="22"/>
        </w:rPr>
        <w:t xml:space="preserve"> </w:t>
      </w:r>
    </w:p>
    <w:p w:rsidR="00754395" w:rsidRDefault="00B93F1E">
      <w:pPr>
        <w:numPr>
          <w:ilvl w:val="0"/>
          <w:numId w:val="1"/>
        </w:numPr>
        <w:spacing w:after="1" w:line="239" w:lineRule="auto"/>
        <w:ind w:right="15" w:hanging="360"/>
      </w:pPr>
      <w:r>
        <w:rPr>
          <w:sz w:val="22"/>
        </w:rPr>
        <w:t xml:space="preserve">En las elecciones observadas, ningún alcalde obtuvo la mitad más uno de la votación total, lo cual demuestra la tendencia a la dispersión de estas contiendas electorales. </w:t>
      </w:r>
    </w:p>
    <w:p w:rsidR="00754395" w:rsidRDefault="00B93F1E">
      <w:pPr>
        <w:spacing w:after="0" w:line="259" w:lineRule="auto"/>
        <w:ind w:left="0" w:right="0" w:firstLine="0"/>
        <w:jc w:val="left"/>
      </w:pPr>
      <w:r>
        <w:rPr>
          <w:sz w:val="22"/>
        </w:rPr>
        <w:t xml:space="preserve"> </w:t>
      </w:r>
    </w:p>
    <w:p w:rsidR="00754395" w:rsidRDefault="00B93F1E">
      <w:pPr>
        <w:spacing w:after="1" w:line="239" w:lineRule="auto"/>
        <w:ind w:left="0" w:right="15" w:firstLine="0"/>
      </w:pPr>
      <w:r>
        <w:rPr>
          <w:sz w:val="22"/>
        </w:rPr>
        <w:lastRenderedPageBreak/>
        <w:t xml:space="preserve">Como se mostrará en la siguiente sección, esta tendencia, combinada con la reciente flexibilización de los requisitos para ejercer la figura de Revocatoria de Mandato, arrojan a la ciudad a un permanente estado de polarización e inestabilidad política e institucional. </w:t>
      </w:r>
    </w:p>
    <w:p w:rsidR="00754395" w:rsidRDefault="00B93F1E">
      <w:pPr>
        <w:spacing w:after="0" w:line="259" w:lineRule="auto"/>
        <w:ind w:left="0" w:right="0" w:firstLine="0"/>
        <w:jc w:val="left"/>
      </w:pPr>
      <w:r>
        <w:rPr>
          <w:sz w:val="22"/>
        </w:rPr>
        <w:t xml:space="preserve"> </w:t>
      </w:r>
    </w:p>
    <w:p w:rsidR="00754395" w:rsidRDefault="00B93F1E">
      <w:pPr>
        <w:spacing w:after="0" w:line="259" w:lineRule="auto"/>
        <w:ind w:left="-5" w:right="0"/>
        <w:jc w:val="left"/>
      </w:pPr>
      <w:r>
        <w:rPr>
          <w:b/>
        </w:rPr>
        <w:t xml:space="preserve">II. LA REVOCATORIA DEL MANDATO COMBINADA CON LA POCA </w:t>
      </w:r>
    </w:p>
    <w:p w:rsidR="00754395" w:rsidRDefault="00B93F1E">
      <w:pPr>
        <w:pStyle w:val="Ttulo1"/>
        <w:ind w:left="-5" w:right="0"/>
      </w:pPr>
      <w:r>
        <w:t xml:space="preserve">REPRESENTATIVIDAD DE UN GOBERNANTE </w:t>
      </w:r>
    </w:p>
    <w:p w:rsidR="00754395" w:rsidRDefault="00B93F1E">
      <w:pPr>
        <w:spacing w:after="0" w:line="259" w:lineRule="auto"/>
        <w:ind w:left="0" w:right="0" w:firstLine="0"/>
        <w:jc w:val="left"/>
      </w:pPr>
      <w:r>
        <w:rPr>
          <w:sz w:val="22"/>
        </w:rPr>
        <w:t xml:space="preserve"> </w:t>
      </w:r>
    </w:p>
    <w:p w:rsidR="00754395" w:rsidRDefault="00B93F1E">
      <w:pPr>
        <w:ind w:left="-5" w:right="22"/>
      </w:pPr>
      <w:r>
        <w:t xml:space="preserve">La reglamentación de los mecanismos de participación ciudadana regulados por la Ley 134 de 1994 ha sido modificada por la Ley 741 de 2002 y la Ley Estatutaria 1757 de 2015. El siguiente cuadro comparativo muestra los cambios introducidos a la figura de revocatoria del mandato, los cuales han buscado facilitar la aplicación de la figura: </w:t>
      </w:r>
    </w:p>
    <w:p w:rsidR="00754395" w:rsidRDefault="00B93F1E">
      <w:pPr>
        <w:spacing w:after="0" w:line="259" w:lineRule="auto"/>
        <w:ind w:left="0" w:right="0" w:firstLine="0"/>
        <w:jc w:val="left"/>
      </w:pPr>
      <w:r>
        <w:rPr>
          <w:sz w:val="22"/>
        </w:rPr>
        <w:t xml:space="preserve"> </w:t>
      </w:r>
    </w:p>
    <w:tbl>
      <w:tblPr>
        <w:tblStyle w:val="TableGrid"/>
        <w:tblW w:w="8721" w:type="dxa"/>
        <w:tblInd w:w="113" w:type="dxa"/>
        <w:tblCellMar>
          <w:top w:w="7" w:type="dxa"/>
          <w:left w:w="108" w:type="dxa"/>
          <w:right w:w="51" w:type="dxa"/>
        </w:tblCellMar>
        <w:tblLook w:val="04A0" w:firstRow="1" w:lastRow="0" w:firstColumn="1" w:lastColumn="0" w:noHBand="0" w:noVBand="1"/>
      </w:tblPr>
      <w:tblGrid>
        <w:gridCol w:w="4359"/>
        <w:gridCol w:w="4362"/>
      </w:tblGrid>
      <w:tr w:rsidR="00754395">
        <w:trPr>
          <w:trHeight w:val="240"/>
        </w:trPr>
        <w:tc>
          <w:tcPr>
            <w:tcW w:w="435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61" w:firstLine="0"/>
              <w:jc w:val="center"/>
            </w:pPr>
            <w:r>
              <w:rPr>
                <w:b/>
                <w:sz w:val="20"/>
              </w:rPr>
              <w:t>LEY 131 DE 1994</w:t>
            </w:r>
            <w:r>
              <w:rPr>
                <w:rFonts w:ascii="Calibri" w:eastAsia="Calibri" w:hAnsi="Calibri" w:cs="Calibri"/>
                <w:color w:val="000000"/>
                <w:sz w:val="20"/>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58" w:firstLine="0"/>
              <w:jc w:val="center"/>
            </w:pPr>
            <w:r>
              <w:rPr>
                <w:b/>
                <w:sz w:val="20"/>
              </w:rPr>
              <w:t>LEY 741 DE 2002</w:t>
            </w:r>
            <w:r>
              <w:rPr>
                <w:rFonts w:ascii="Calibri" w:eastAsia="Calibri" w:hAnsi="Calibri" w:cs="Calibri"/>
                <w:color w:val="000000"/>
                <w:sz w:val="20"/>
              </w:rPr>
              <w:t xml:space="preserve"> </w:t>
            </w:r>
          </w:p>
        </w:tc>
      </w:tr>
      <w:tr w:rsidR="00754395">
        <w:trPr>
          <w:trHeight w:val="5775"/>
        </w:trPr>
        <w:tc>
          <w:tcPr>
            <w:tcW w:w="435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b/>
                <w:sz w:val="20"/>
              </w:rPr>
              <w:t xml:space="preserve"> </w:t>
            </w:r>
          </w:p>
          <w:p w:rsidR="00754395" w:rsidRDefault="00B93F1E">
            <w:pPr>
              <w:spacing w:after="0" w:line="243" w:lineRule="auto"/>
              <w:ind w:left="0" w:right="62" w:firstLine="0"/>
            </w:pPr>
            <w:r>
              <w:rPr>
                <w:b/>
                <w:sz w:val="20"/>
              </w:rPr>
              <w:t xml:space="preserve">ARTÍCULO 7º. </w:t>
            </w:r>
            <w:r>
              <w:rPr>
                <w:sz w:val="20"/>
              </w:rPr>
              <w:t xml:space="preserve">La revocatoria del mandato procederá, siempre y cuando se surtan los siguientes requisitos: </w:t>
            </w:r>
          </w:p>
          <w:p w:rsidR="00754395" w:rsidRDefault="00B93F1E">
            <w:pPr>
              <w:spacing w:after="0" w:line="259" w:lineRule="auto"/>
              <w:ind w:left="0" w:right="0" w:firstLine="0"/>
              <w:jc w:val="left"/>
            </w:pPr>
            <w:r>
              <w:rPr>
                <w:sz w:val="20"/>
              </w:rPr>
              <w:t xml:space="preserve"> </w:t>
            </w:r>
          </w:p>
          <w:p w:rsidR="00754395" w:rsidRDefault="00B93F1E">
            <w:pPr>
              <w:numPr>
                <w:ilvl w:val="0"/>
                <w:numId w:val="3"/>
              </w:numPr>
              <w:spacing w:after="0" w:line="241" w:lineRule="auto"/>
              <w:ind w:right="62" w:firstLine="0"/>
            </w:pPr>
            <w:r>
              <w:rPr>
                <w:sz w:val="20"/>
              </w:rPr>
              <w:t xml:space="preserve">Haber transcurrido no menos de un año, contado a partir del momento de la posesión del respectivo mandatario. </w:t>
            </w:r>
          </w:p>
          <w:p w:rsidR="00754395" w:rsidRDefault="00B93F1E">
            <w:pPr>
              <w:spacing w:after="0" w:line="259" w:lineRule="auto"/>
              <w:ind w:left="0" w:right="0" w:firstLine="0"/>
              <w:jc w:val="left"/>
            </w:pPr>
            <w:r>
              <w:rPr>
                <w:sz w:val="20"/>
              </w:rPr>
              <w:t xml:space="preserve"> </w:t>
            </w:r>
          </w:p>
          <w:p w:rsidR="00754395" w:rsidRDefault="00B93F1E">
            <w:pPr>
              <w:numPr>
                <w:ilvl w:val="0"/>
                <w:numId w:val="3"/>
              </w:numPr>
              <w:spacing w:after="0" w:line="241" w:lineRule="auto"/>
              <w:ind w:right="62" w:firstLine="0"/>
            </w:pPr>
            <w:r>
              <w:rPr>
                <w:sz w:val="20"/>
              </w:rPr>
              <w:t xml:space="preserve">Mediar por escrito, ante la Registraduría Nacional, solicitud de convocatoria a pronunciamiento popular para revocatoria, mediante un memorial que suscriban los ciudadanos que hayan sufragado en la jornada electoral que escogió al respectivo mandatario, en un número no inferior al 40% del total de votos válidos emitidos. </w:t>
            </w:r>
          </w:p>
          <w:p w:rsidR="00754395" w:rsidRDefault="00B93F1E">
            <w:pPr>
              <w:spacing w:after="0" w:line="259" w:lineRule="auto"/>
              <w:ind w:left="0" w:right="0" w:firstLine="0"/>
              <w:jc w:val="left"/>
            </w:pPr>
            <w:r>
              <w:rPr>
                <w:sz w:val="20"/>
              </w:rPr>
              <w:t xml:space="preserve"> </w:t>
            </w:r>
          </w:p>
          <w:p w:rsidR="00754395" w:rsidRDefault="00B93F1E">
            <w:pPr>
              <w:spacing w:after="8" w:line="241" w:lineRule="auto"/>
              <w:ind w:left="0" w:right="63" w:firstLine="0"/>
            </w:pPr>
            <w:r>
              <w:rPr>
                <w:i/>
                <w:sz w:val="20"/>
                <w:u w:val="single" w:color="00000A"/>
              </w:rPr>
              <w:t>PARAGRAFO. La Registraduría de la</w:t>
            </w:r>
            <w:r>
              <w:rPr>
                <w:i/>
                <w:sz w:val="20"/>
              </w:rPr>
              <w:t xml:space="preserve"> </w:t>
            </w:r>
            <w:r>
              <w:rPr>
                <w:i/>
                <w:sz w:val="20"/>
                <w:u w:val="single" w:color="00000A"/>
              </w:rPr>
              <w:t>respectiva entidad territorial certificará, en un</w:t>
            </w:r>
            <w:r>
              <w:rPr>
                <w:i/>
                <w:sz w:val="20"/>
              </w:rPr>
              <w:t xml:space="preserve"> </w:t>
            </w:r>
            <w:r>
              <w:rPr>
                <w:i/>
                <w:sz w:val="20"/>
                <w:u w:val="single" w:color="00000A"/>
              </w:rPr>
              <w:t>lapso no mayor de 30 días, que las cédulas de</w:t>
            </w:r>
            <w:r>
              <w:rPr>
                <w:i/>
                <w:sz w:val="20"/>
              </w:rPr>
              <w:t xml:space="preserve"> </w:t>
            </w:r>
            <w:r>
              <w:rPr>
                <w:i/>
                <w:sz w:val="20"/>
                <w:u w:val="single" w:color="00000A"/>
              </w:rPr>
              <w:t>quienes firman el memorial, correspondan a</w:t>
            </w:r>
            <w:r>
              <w:rPr>
                <w:i/>
                <w:sz w:val="20"/>
              </w:rPr>
              <w:t xml:space="preserve"> </w:t>
            </w:r>
            <w:r>
              <w:rPr>
                <w:i/>
                <w:sz w:val="20"/>
                <w:u w:val="single" w:color="00000A"/>
              </w:rPr>
              <w:t>ciudadanos que votaron en las respectivas</w:t>
            </w:r>
            <w:r>
              <w:rPr>
                <w:i/>
                <w:sz w:val="20"/>
              </w:rPr>
              <w:t xml:space="preserve"> </w:t>
            </w:r>
            <w:r>
              <w:rPr>
                <w:i/>
                <w:sz w:val="20"/>
                <w:u w:val="single" w:color="00000A"/>
              </w:rPr>
              <w:t>elecciones.</w:t>
            </w:r>
            <w:r>
              <w:rPr>
                <w:i/>
                <w:sz w:val="20"/>
              </w:rPr>
              <w:t xml:space="preserve">  </w:t>
            </w:r>
          </w:p>
          <w:p w:rsidR="00754395" w:rsidRDefault="00B93F1E">
            <w:pPr>
              <w:spacing w:after="0" w:line="259" w:lineRule="auto"/>
              <w:ind w:left="0" w:right="0" w:firstLine="0"/>
              <w:jc w:val="left"/>
            </w:pPr>
            <w:r>
              <w:rPr>
                <w:rFonts w:ascii="Calibri" w:eastAsia="Calibri" w:hAnsi="Calibri" w:cs="Calibri"/>
                <w:color w:val="000000"/>
                <w:sz w:val="20"/>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sz w:val="20"/>
              </w:rPr>
              <w:t xml:space="preserve"> </w:t>
            </w:r>
          </w:p>
          <w:p w:rsidR="00754395" w:rsidRDefault="00B93F1E">
            <w:pPr>
              <w:spacing w:after="0" w:line="243" w:lineRule="auto"/>
              <w:ind w:left="0" w:right="0" w:firstLine="0"/>
              <w:jc w:val="left"/>
            </w:pPr>
            <w:r>
              <w:rPr>
                <w:b/>
                <w:sz w:val="20"/>
              </w:rPr>
              <w:t>ARTÍCULO 1o.</w:t>
            </w:r>
            <w:r>
              <w:rPr>
                <w:sz w:val="20"/>
              </w:rPr>
              <w:t xml:space="preserve"> Los artículos 7o. de la Ley 131 de 1994 y 64 de la Ley 134 de 1994, quedarán así: </w:t>
            </w:r>
          </w:p>
          <w:p w:rsidR="00754395" w:rsidRDefault="00B93F1E">
            <w:pPr>
              <w:spacing w:after="0" w:line="259" w:lineRule="auto"/>
              <w:ind w:left="0" w:right="0" w:firstLine="0"/>
              <w:jc w:val="left"/>
            </w:pPr>
            <w:r>
              <w:rPr>
                <w:sz w:val="20"/>
              </w:rPr>
              <w:t xml:space="preserve"> </w:t>
            </w:r>
          </w:p>
          <w:p w:rsidR="00754395" w:rsidRDefault="00B93F1E">
            <w:pPr>
              <w:spacing w:after="0" w:line="241" w:lineRule="auto"/>
              <w:ind w:left="0" w:right="61" w:firstLine="0"/>
            </w:pPr>
            <w:r>
              <w:rPr>
                <w:sz w:val="20"/>
              </w:rPr>
              <w:t xml:space="preserve">"La revocatoria del mandato procederá, siempre y cuando se surtan los siguientes requisitos: </w:t>
            </w:r>
          </w:p>
          <w:p w:rsidR="00754395" w:rsidRDefault="00B93F1E">
            <w:pPr>
              <w:spacing w:after="0" w:line="259" w:lineRule="auto"/>
              <w:ind w:left="0" w:right="0" w:firstLine="0"/>
              <w:jc w:val="left"/>
            </w:pPr>
            <w:r>
              <w:rPr>
                <w:sz w:val="20"/>
              </w:rPr>
              <w:t xml:space="preserve"> </w:t>
            </w:r>
          </w:p>
          <w:p w:rsidR="00754395" w:rsidRDefault="00B93F1E">
            <w:pPr>
              <w:spacing w:after="1" w:line="240" w:lineRule="auto"/>
              <w:ind w:left="0" w:right="59" w:firstLine="0"/>
            </w:pPr>
            <w:r>
              <w:rPr>
                <w:sz w:val="20"/>
              </w:rPr>
              <w:t xml:space="preserve">"1. Haber transcurrido no menos de un año, contado a partir del momento de la posesión del respectivo alcalde o gobernador. </w:t>
            </w:r>
          </w:p>
          <w:p w:rsidR="00754395" w:rsidRDefault="00B93F1E">
            <w:pPr>
              <w:spacing w:after="0" w:line="259" w:lineRule="auto"/>
              <w:ind w:left="0" w:right="0" w:firstLine="0"/>
              <w:jc w:val="left"/>
            </w:pPr>
            <w:r>
              <w:rPr>
                <w:sz w:val="20"/>
              </w:rPr>
              <w:t xml:space="preserve"> </w:t>
            </w:r>
          </w:p>
          <w:p w:rsidR="00754395" w:rsidRDefault="00B93F1E">
            <w:pPr>
              <w:spacing w:after="6" w:line="241" w:lineRule="auto"/>
              <w:ind w:left="0" w:right="57" w:firstLine="0"/>
            </w:pPr>
            <w:r>
              <w:rPr>
                <w:sz w:val="20"/>
              </w:rPr>
              <w:t xml:space="preserve">"2. Mediar por escrito, ante la Registraduría Nacional, solicitud de convocatoria a pronunciamiento popular para revocatoria, mediante un memorial que suscriban los ciudadanos en número no inferior al 40% del total de votos que obtuvo el elegido". </w:t>
            </w:r>
          </w:p>
          <w:p w:rsidR="00754395" w:rsidRDefault="00B93F1E">
            <w:pPr>
              <w:spacing w:after="0" w:line="259" w:lineRule="auto"/>
              <w:ind w:left="0" w:right="0" w:firstLine="0"/>
              <w:jc w:val="left"/>
            </w:pPr>
            <w:r>
              <w:rPr>
                <w:rFonts w:ascii="Calibri" w:eastAsia="Calibri" w:hAnsi="Calibri" w:cs="Calibri"/>
                <w:color w:val="000000"/>
                <w:sz w:val="20"/>
              </w:rPr>
              <w:t xml:space="preserve"> </w:t>
            </w:r>
          </w:p>
        </w:tc>
      </w:tr>
      <w:tr w:rsidR="00754395">
        <w:trPr>
          <w:trHeight w:val="3461"/>
        </w:trPr>
        <w:tc>
          <w:tcPr>
            <w:tcW w:w="435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sz w:val="20"/>
              </w:rPr>
              <w:lastRenderedPageBreak/>
              <w:t xml:space="preserve"> </w:t>
            </w:r>
          </w:p>
          <w:p w:rsidR="00754395" w:rsidRDefault="00B93F1E">
            <w:pPr>
              <w:spacing w:line="241" w:lineRule="auto"/>
              <w:ind w:left="0" w:right="60" w:firstLine="0"/>
            </w:pPr>
            <w:r>
              <w:rPr>
                <w:b/>
                <w:sz w:val="20"/>
              </w:rPr>
              <w:t>ARTÍCULO 11.</w:t>
            </w:r>
            <w:r>
              <w:rPr>
                <w:sz w:val="20"/>
              </w:rPr>
              <w:t xml:space="preserve">Sólo para efectos del voto programático, procederá la revocatoria del mandato para gobernadores y alcaldes al ser ésta aprobada en el pronunciamiento popular por un número de votos no inferior al 60% de los ciudadanos que participen en la respectiva convocatoria, siempre que el número de sufragios </w:t>
            </w:r>
            <w:r>
              <w:rPr>
                <w:i/>
                <w:sz w:val="20"/>
                <w:u w:val="single" w:color="00000A"/>
              </w:rPr>
              <w:t>no sea inferior al 60% de la votación</w:t>
            </w:r>
            <w:r>
              <w:rPr>
                <w:sz w:val="20"/>
              </w:rPr>
              <w:t xml:space="preserve"> registrada el día en que se eligió el mandatario, y únicamente podrán sufragar quienes lo hayan hecho en la jornada electoral en la cual se eligió el respectivo gobernador o alcalde. </w:t>
            </w:r>
          </w:p>
          <w:p w:rsidR="00754395" w:rsidRDefault="00B93F1E">
            <w:pPr>
              <w:spacing w:after="0" w:line="259" w:lineRule="auto"/>
              <w:ind w:left="0" w:right="0" w:firstLine="0"/>
              <w:jc w:val="left"/>
            </w:pPr>
            <w:r>
              <w:rPr>
                <w:rFonts w:ascii="Calibri" w:eastAsia="Calibri" w:hAnsi="Calibri" w:cs="Calibri"/>
                <w:color w:val="000000"/>
                <w:sz w:val="20"/>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sz w:val="20"/>
              </w:rPr>
              <w:t xml:space="preserve"> </w:t>
            </w:r>
          </w:p>
          <w:p w:rsidR="00754395" w:rsidRDefault="00B93F1E">
            <w:pPr>
              <w:spacing w:after="0" w:line="241" w:lineRule="auto"/>
              <w:ind w:left="0" w:right="0" w:firstLine="0"/>
              <w:jc w:val="left"/>
            </w:pPr>
            <w:r>
              <w:rPr>
                <w:b/>
                <w:sz w:val="20"/>
              </w:rPr>
              <w:t>ARTÍCULO 2o.</w:t>
            </w:r>
            <w:r>
              <w:rPr>
                <w:sz w:val="20"/>
              </w:rPr>
              <w:t xml:space="preserve"> Los artículos 11 de la Ley 131 de 1994 y 69 de la Ley 134 de 1994, quedarán así: </w:t>
            </w:r>
          </w:p>
          <w:p w:rsidR="00754395" w:rsidRDefault="00B93F1E">
            <w:pPr>
              <w:spacing w:after="0" w:line="259" w:lineRule="auto"/>
              <w:ind w:left="0" w:right="0" w:firstLine="0"/>
              <w:jc w:val="left"/>
            </w:pPr>
            <w:r>
              <w:rPr>
                <w:sz w:val="20"/>
              </w:rPr>
              <w:t xml:space="preserve"> </w:t>
            </w:r>
          </w:p>
          <w:p w:rsidR="00754395" w:rsidRDefault="00B93F1E">
            <w:pPr>
              <w:spacing w:after="0" w:line="259" w:lineRule="auto"/>
              <w:ind w:left="0" w:right="57" w:firstLine="0"/>
            </w:pPr>
            <w:r>
              <w:rPr>
                <w:sz w:val="20"/>
              </w:rPr>
              <w:t xml:space="preserve">"Sólo para efectos del voto programático, procederá la revocatoria del mandato para gobernadores y alcaldes, al ser ésta aprobada en el pronunciamiento popular por la mitad más uno de los votos ciudadanos que participen en la respectiva convocatoria, siempre que el número de sufragios </w:t>
            </w:r>
            <w:r>
              <w:rPr>
                <w:i/>
                <w:sz w:val="20"/>
                <w:u w:val="single" w:color="00000A"/>
              </w:rPr>
              <w:t>no sea inferior al</w:t>
            </w:r>
            <w:r>
              <w:rPr>
                <w:i/>
                <w:sz w:val="20"/>
              </w:rPr>
              <w:t xml:space="preserve"> </w:t>
            </w:r>
            <w:r>
              <w:rPr>
                <w:i/>
                <w:sz w:val="20"/>
                <w:u w:val="single" w:color="00000A"/>
              </w:rPr>
              <w:t>cincuenta y cinco por ciento (55%) de la</w:t>
            </w:r>
            <w:r>
              <w:rPr>
                <w:i/>
                <w:sz w:val="20"/>
              </w:rPr>
              <w:t xml:space="preserve"> </w:t>
            </w:r>
            <w:r>
              <w:rPr>
                <w:i/>
                <w:sz w:val="20"/>
                <w:u w:val="single" w:color="00000A"/>
              </w:rPr>
              <w:t>votación</w:t>
            </w:r>
            <w:r>
              <w:rPr>
                <w:sz w:val="20"/>
              </w:rPr>
              <w:t xml:space="preserve"> válida registrada el día en que se eligió al respectivo mandatario."</w:t>
            </w:r>
            <w:r>
              <w:rPr>
                <w:rFonts w:ascii="Calibri" w:eastAsia="Calibri" w:hAnsi="Calibri" w:cs="Calibri"/>
                <w:color w:val="000000"/>
                <w:sz w:val="20"/>
              </w:rPr>
              <w:t xml:space="preserve"> </w:t>
            </w:r>
          </w:p>
        </w:tc>
      </w:tr>
    </w:tbl>
    <w:p w:rsidR="00754395" w:rsidRDefault="00B93F1E">
      <w:pPr>
        <w:spacing w:after="0" w:line="259" w:lineRule="auto"/>
        <w:ind w:left="0" w:right="0" w:firstLine="0"/>
        <w:jc w:val="left"/>
      </w:pPr>
      <w:r>
        <w:rPr>
          <w:sz w:val="22"/>
        </w:rPr>
        <w:t xml:space="preserve"> </w:t>
      </w:r>
    </w:p>
    <w:p w:rsidR="00754395" w:rsidRDefault="00B93F1E">
      <w:pPr>
        <w:spacing w:after="0" w:line="259" w:lineRule="auto"/>
        <w:ind w:left="0" w:right="0" w:firstLine="0"/>
        <w:jc w:val="left"/>
      </w:pPr>
      <w:r>
        <w:rPr>
          <w:sz w:val="22"/>
        </w:rPr>
        <w:t xml:space="preserve"> </w:t>
      </w:r>
    </w:p>
    <w:p w:rsidR="00754395" w:rsidRDefault="00B93F1E">
      <w:pPr>
        <w:spacing w:after="0" w:line="259" w:lineRule="auto"/>
        <w:ind w:left="0" w:right="0" w:firstLine="0"/>
        <w:jc w:val="left"/>
      </w:pPr>
      <w:r>
        <w:rPr>
          <w:sz w:val="22"/>
        </w:rPr>
        <w:t xml:space="preserve"> </w:t>
      </w:r>
    </w:p>
    <w:p w:rsidR="00754395" w:rsidRDefault="00B93F1E">
      <w:pPr>
        <w:spacing w:after="0" w:line="259" w:lineRule="auto"/>
        <w:ind w:left="0" w:right="0" w:firstLine="0"/>
        <w:jc w:val="left"/>
      </w:pPr>
      <w:r>
        <w:rPr>
          <w:sz w:val="22"/>
        </w:rPr>
        <w:t xml:space="preserve"> </w:t>
      </w:r>
    </w:p>
    <w:tbl>
      <w:tblPr>
        <w:tblStyle w:val="TableGrid"/>
        <w:tblW w:w="8721" w:type="dxa"/>
        <w:tblInd w:w="113" w:type="dxa"/>
        <w:tblCellMar>
          <w:top w:w="9" w:type="dxa"/>
          <w:left w:w="106" w:type="dxa"/>
          <w:right w:w="53" w:type="dxa"/>
        </w:tblCellMar>
        <w:tblLook w:val="04A0" w:firstRow="1" w:lastRow="0" w:firstColumn="1" w:lastColumn="0" w:noHBand="0" w:noVBand="1"/>
      </w:tblPr>
      <w:tblGrid>
        <w:gridCol w:w="4364"/>
        <w:gridCol w:w="4357"/>
      </w:tblGrid>
      <w:tr w:rsidR="00754395">
        <w:trPr>
          <w:trHeight w:val="240"/>
        </w:trPr>
        <w:tc>
          <w:tcPr>
            <w:tcW w:w="436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53" w:firstLine="0"/>
              <w:jc w:val="center"/>
            </w:pPr>
            <w:r>
              <w:rPr>
                <w:b/>
                <w:sz w:val="20"/>
              </w:rPr>
              <w:t>LEY 134 DE 1994</w:t>
            </w:r>
            <w:r>
              <w:rPr>
                <w:rFonts w:ascii="Calibri" w:eastAsia="Calibri" w:hAnsi="Calibri" w:cs="Calibri"/>
                <w:color w:val="000000"/>
                <w:sz w:val="20"/>
              </w:rPr>
              <w:t xml:space="preserve"> </w:t>
            </w:r>
          </w:p>
        </w:tc>
        <w:tc>
          <w:tcPr>
            <w:tcW w:w="435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58" w:firstLine="0"/>
              <w:jc w:val="center"/>
            </w:pPr>
            <w:r>
              <w:rPr>
                <w:b/>
                <w:sz w:val="20"/>
              </w:rPr>
              <w:t>LEY 1757 DE 2015</w:t>
            </w:r>
            <w:r>
              <w:rPr>
                <w:rFonts w:ascii="Calibri" w:eastAsia="Calibri" w:hAnsi="Calibri" w:cs="Calibri"/>
                <w:color w:val="000000"/>
                <w:sz w:val="20"/>
              </w:rPr>
              <w:t xml:space="preserve"> </w:t>
            </w:r>
          </w:p>
        </w:tc>
      </w:tr>
      <w:tr w:rsidR="00754395">
        <w:trPr>
          <w:trHeight w:val="3706"/>
        </w:trPr>
        <w:tc>
          <w:tcPr>
            <w:tcW w:w="436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41" w:lineRule="auto"/>
              <w:ind w:left="2" w:right="61" w:firstLine="0"/>
            </w:pPr>
            <w:r>
              <w:rPr>
                <w:b/>
                <w:sz w:val="20"/>
              </w:rPr>
              <w:t>ARTÍCULO 64. REVOCATORIA DEL MANDATO.</w:t>
            </w:r>
            <w:r>
              <w:rPr>
                <w:sz w:val="20"/>
              </w:rPr>
              <w:t xml:space="preserve"> La revocatoria del mandato procederá, siempre y cuando se surtan los siguientes requisitos: </w:t>
            </w:r>
          </w:p>
          <w:p w:rsidR="00754395" w:rsidRDefault="00B93F1E">
            <w:pPr>
              <w:spacing w:after="0" w:line="259" w:lineRule="auto"/>
              <w:ind w:left="2" w:right="0" w:firstLine="0"/>
              <w:jc w:val="left"/>
            </w:pPr>
            <w:r>
              <w:rPr>
                <w:sz w:val="20"/>
              </w:rPr>
              <w:t xml:space="preserve"> </w:t>
            </w:r>
          </w:p>
          <w:p w:rsidR="00754395" w:rsidRDefault="00B93F1E">
            <w:pPr>
              <w:spacing w:after="1" w:line="240" w:lineRule="auto"/>
              <w:ind w:left="2" w:right="61" w:firstLine="0"/>
            </w:pPr>
            <w:r>
              <w:rPr>
                <w:sz w:val="20"/>
              </w:rPr>
              <w:t xml:space="preserve">1. Haber transcurrido no menos de un año, contado a partir del momento de la posesión del respectivo alcalde o gobernador. </w:t>
            </w:r>
          </w:p>
          <w:p w:rsidR="00754395" w:rsidRDefault="00B93F1E">
            <w:pPr>
              <w:spacing w:after="0" w:line="259" w:lineRule="auto"/>
              <w:ind w:left="2" w:right="0" w:firstLine="0"/>
              <w:jc w:val="left"/>
            </w:pPr>
            <w:r>
              <w:rPr>
                <w:sz w:val="20"/>
              </w:rPr>
              <w:t xml:space="preserve"> </w:t>
            </w:r>
          </w:p>
          <w:p w:rsidR="00754395" w:rsidRDefault="00B93F1E">
            <w:pPr>
              <w:spacing w:after="9" w:line="240" w:lineRule="auto"/>
              <w:ind w:left="2" w:right="58" w:firstLine="0"/>
            </w:pPr>
            <w:r>
              <w:rPr>
                <w:sz w:val="20"/>
              </w:rPr>
              <w:t xml:space="preserve">2.Mediar por escrito, ante la Registraduría Nacional, solicitud de convocatoria a pronunciamiento popular para revocatoria, mediante un memorial que suscriban los ciudadanos en número </w:t>
            </w:r>
            <w:r>
              <w:rPr>
                <w:i/>
                <w:sz w:val="20"/>
                <w:u w:val="single" w:color="00000A"/>
              </w:rPr>
              <w:t>no inferior al 40% del</w:t>
            </w:r>
            <w:r>
              <w:rPr>
                <w:i/>
                <w:sz w:val="20"/>
              </w:rPr>
              <w:t xml:space="preserve"> </w:t>
            </w:r>
            <w:r>
              <w:rPr>
                <w:i/>
                <w:sz w:val="20"/>
                <w:u w:val="single" w:color="00000A"/>
              </w:rPr>
              <w:t>total de votos que obtuvo el elegido.</w:t>
            </w:r>
            <w:r>
              <w:rPr>
                <w:sz w:val="20"/>
              </w:rPr>
              <w:t xml:space="preserve"> </w:t>
            </w:r>
          </w:p>
          <w:p w:rsidR="00754395" w:rsidRDefault="00B93F1E">
            <w:pPr>
              <w:spacing w:after="0" w:line="259" w:lineRule="auto"/>
              <w:ind w:left="2" w:right="0" w:firstLine="0"/>
              <w:jc w:val="left"/>
            </w:pPr>
            <w:r>
              <w:rPr>
                <w:rFonts w:ascii="Calibri" w:eastAsia="Calibri" w:hAnsi="Calibri" w:cs="Calibri"/>
                <w:color w:val="000000"/>
                <w:sz w:val="20"/>
              </w:rPr>
              <w:t xml:space="preserve"> </w:t>
            </w:r>
          </w:p>
        </w:tc>
        <w:tc>
          <w:tcPr>
            <w:tcW w:w="435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sz w:val="20"/>
              </w:rPr>
              <w:t xml:space="preserve"> </w:t>
            </w:r>
          </w:p>
          <w:p w:rsidR="00754395" w:rsidRDefault="00B93F1E">
            <w:pPr>
              <w:spacing w:after="0" w:line="247" w:lineRule="auto"/>
              <w:ind w:left="0" w:right="57" w:firstLine="0"/>
            </w:pPr>
            <w:r>
              <w:rPr>
                <w:b/>
                <w:sz w:val="20"/>
              </w:rPr>
              <w:t>ARTÍCULO 9o. CANTIDAD DE APOYOS A RECOLECTAR.</w:t>
            </w:r>
            <w:r>
              <w:rPr>
                <w:sz w:val="20"/>
              </w:rPr>
              <w:t xml:space="preserve"> Para que los mecanismos de participación ciudadana superen la etapa de recolección de apoyos deben presentar ante la correspondiente Registraduría del Estado Civil la cantidad de apoyos determinadas en la Constitución y esta ley. (…) </w:t>
            </w:r>
          </w:p>
          <w:p w:rsidR="00754395" w:rsidRDefault="00B93F1E">
            <w:pPr>
              <w:spacing w:after="0" w:line="259" w:lineRule="auto"/>
              <w:ind w:left="0" w:right="0" w:firstLine="0"/>
              <w:jc w:val="left"/>
            </w:pPr>
            <w:r>
              <w:rPr>
                <w:sz w:val="20"/>
              </w:rPr>
              <w:t xml:space="preserve"> </w:t>
            </w:r>
          </w:p>
          <w:p w:rsidR="00754395" w:rsidRDefault="00B93F1E">
            <w:pPr>
              <w:spacing w:after="9" w:line="240" w:lineRule="auto"/>
              <w:ind w:left="0" w:right="47" w:firstLine="0"/>
              <w:jc w:val="left"/>
            </w:pPr>
            <w:r>
              <w:rPr>
                <w:sz w:val="20"/>
              </w:rPr>
              <w:t xml:space="preserve">e) Para presentar una revocatoria de mandato se requiere del apoyo de un número de ciudadanos que hagan parte del censo electoral departamental, municipal o distrital de </w:t>
            </w:r>
            <w:r>
              <w:rPr>
                <w:i/>
                <w:sz w:val="20"/>
                <w:u w:val="single" w:color="00000A"/>
              </w:rPr>
              <w:t>no menos de treinta por ciento (30%) de</w:t>
            </w:r>
            <w:r>
              <w:rPr>
                <w:i/>
                <w:sz w:val="20"/>
              </w:rPr>
              <w:t xml:space="preserve"> </w:t>
            </w:r>
            <w:r>
              <w:rPr>
                <w:i/>
                <w:sz w:val="20"/>
                <w:u w:val="single" w:color="00000A"/>
              </w:rPr>
              <w:t>los votos obtenidos por el elegido.</w:t>
            </w:r>
            <w:r>
              <w:rPr>
                <w:sz w:val="20"/>
              </w:rPr>
              <w:t xml:space="preserve"> </w:t>
            </w:r>
          </w:p>
          <w:p w:rsidR="00754395" w:rsidRDefault="00B93F1E">
            <w:pPr>
              <w:spacing w:after="0" w:line="259" w:lineRule="auto"/>
              <w:ind w:left="0" w:right="0" w:firstLine="0"/>
              <w:jc w:val="left"/>
            </w:pPr>
            <w:r>
              <w:rPr>
                <w:rFonts w:ascii="Calibri" w:eastAsia="Calibri" w:hAnsi="Calibri" w:cs="Calibri"/>
                <w:color w:val="000000"/>
                <w:sz w:val="20"/>
              </w:rPr>
              <w:t xml:space="preserve"> </w:t>
            </w:r>
          </w:p>
        </w:tc>
      </w:tr>
      <w:tr w:rsidR="00754395">
        <w:trPr>
          <w:trHeight w:val="4395"/>
        </w:trPr>
        <w:tc>
          <w:tcPr>
            <w:tcW w:w="436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2" w:right="0" w:firstLine="0"/>
              <w:jc w:val="left"/>
            </w:pPr>
            <w:r>
              <w:rPr>
                <w:sz w:val="20"/>
              </w:rPr>
              <w:lastRenderedPageBreak/>
              <w:t xml:space="preserve"> </w:t>
            </w:r>
          </w:p>
          <w:p w:rsidR="00754395" w:rsidRDefault="00B93F1E">
            <w:pPr>
              <w:tabs>
                <w:tab w:val="center" w:pos="1403"/>
                <w:tab w:val="center" w:pos="2458"/>
                <w:tab w:val="center" w:pos="3509"/>
                <w:tab w:val="right" w:pos="4205"/>
              </w:tabs>
              <w:spacing w:after="0" w:line="259" w:lineRule="auto"/>
              <w:ind w:left="0" w:right="0" w:firstLine="0"/>
              <w:jc w:val="left"/>
            </w:pPr>
            <w:r>
              <w:rPr>
                <w:b/>
                <w:sz w:val="20"/>
              </w:rPr>
              <w:t xml:space="preserve">ARTÍCULO </w:t>
            </w:r>
            <w:r>
              <w:rPr>
                <w:b/>
                <w:sz w:val="20"/>
              </w:rPr>
              <w:tab/>
              <w:t xml:space="preserve">69. </w:t>
            </w:r>
            <w:r>
              <w:rPr>
                <w:b/>
                <w:sz w:val="20"/>
              </w:rPr>
              <w:tab/>
              <w:t xml:space="preserve">APROBACIÓN </w:t>
            </w:r>
            <w:r>
              <w:rPr>
                <w:b/>
                <w:sz w:val="20"/>
              </w:rPr>
              <w:tab/>
              <w:t xml:space="preserve">DE </w:t>
            </w:r>
            <w:r>
              <w:rPr>
                <w:b/>
                <w:sz w:val="20"/>
              </w:rPr>
              <w:tab/>
              <w:t xml:space="preserve">LA </w:t>
            </w:r>
          </w:p>
          <w:p w:rsidR="00754395" w:rsidRDefault="00B93F1E">
            <w:pPr>
              <w:spacing w:line="241" w:lineRule="auto"/>
              <w:ind w:left="2" w:right="59" w:firstLine="0"/>
            </w:pPr>
            <w:r>
              <w:rPr>
                <w:b/>
                <w:sz w:val="20"/>
              </w:rPr>
              <w:t>REVOCATORIA.</w:t>
            </w:r>
            <w:r>
              <w:rPr>
                <w:sz w:val="20"/>
              </w:rPr>
              <w:t xml:space="preserve"> Sólo para efectos del voto programático, procederá la revocatoria del mandato para gobernadores y alcaldes, al ser ésta aprobada en el pronunciamiento popular por la mitad más uno de los votos ciudadanos que participen en la respectiva convocatoria, siempre que el número de </w:t>
            </w:r>
            <w:r>
              <w:rPr>
                <w:i/>
                <w:sz w:val="20"/>
                <w:u w:val="single" w:color="00000A"/>
              </w:rPr>
              <w:t>sufragios no sea</w:t>
            </w:r>
            <w:r>
              <w:rPr>
                <w:i/>
                <w:sz w:val="20"/>
              </w:rPr>
              <w:t xml:space="preserve"> </w:t>
            </w:r>
            <w:r>
              <w:rPr>
                <w:i/>
                <w:sz w:val="20"/>
                <w:u w:val="single" w:color="00000A"/>
              </w:rPr>
              <w:t>inferior al cincuenta y cinco por ciento (55%) de</w:t>
            </w:r>
            <w:r>
              <w:rPr>
                <w:i/>
                <w:sz w:val="20"/>
              </w:rPr>
              <w:t xml:space="preserve"> </w:t>
            </w:r>
            <w:r>
              <w:rPr>
                <w:i/>
                <w:sz w:val="20"/>
                <w:u w:val="single" w:color="00000A"/>
              </w:rPr>
              <w:t xml:space="preserve">la votación válida registrada </w:t>
            </w:r>
            <w:r>
              <w:rPr>
                <w:sz w:val="20"/>
              </w:rPr>
              <w:t xml:space="preserve">el día en que se eligió al respectivo mandatario. </w:t>
            </w:r>
          </w:p>
          <w:p w:rsidR="00754395" w:rsidRDefault="00B93F1E">
            <w:pPr>
              <w:spacing w:after="0" w:line="259" w:lineRule="auto"/>
              <w:ind w:left="2" w:right="0" w:firstLine="0"/>
              <w:jc w:val="left"/>
            </w:pPr>
            <w:r>
              <w:rPr>
                <w:rFonts w:ascii="Calibri" w:eastAsia="Calibri" w:hAnsi="Calibri" w:cs="Calibri"/>
                <w:color w:val="000000"/>
                <w:sz w:val="20"/>
              </w:rPr>
              <w:t xml:space="preserve"> </w:t>
            </w:r>
          </w:p>
        </w:tc>
        <w:tc>
          <w:tcPr>
            <w:tcW w:w="4357"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sz w:val="20"/>
              </w:rPr>
              <w:t xml:space="preserve"> </w:t>
            </w:r>
          </w:p>
          <w:p w:rsidR="00754395" w:rsidRDefault="00B93F1E">
            <w:pPr>
              <w:tabs>
                <w:tab w:val="center" w:pos="1461"/>
                <w:tab w:val="center" w:pos="2450"/>
                <w:tab w:val="center" w:pos="3441"/>
                <w:tab w:val="right" w:pos="4199"/>
              </w:tabs>
              <w:spacing w:after="0" w:line="259" w:lineRule="auto"/>
              <w:ind w:left="0" w:right="0" w:firstLine="0"/>
              <w:jc w:val="left"/>
            </w:pPr>
            <w:r>
              <w:rPr>
                <w:b/>
                <w:sz w:val="20"/>
              </w:rPr>
              <w:t xml:space="preserve">ARTÍCULO </w:t>
            </w:r>
            <w:r>
              <w:rPr>
                <w:b/>
                <w:sz w:val="20"/>
              </w:rPr>
              <w:tab/>
              <w:t xml:space="preserve">41. </w:t>
            </w:r>
            <w:r>
              <w:rPr>
                <w:b/>
                <w:sz w:val="20"/>
              </w:rPr>
              <w:tab/>
              <w:t xml:space="preserve">CARÁCTER </w:t>
            </w:r>
            <w:r>
              <w:rPr>
                <w:b/>
                <w:sz w:val="20"/>
              </w:rPr>
              <w:tab/>
              <w:t xml:space="preserve">DE </w:t>
            </w:r>
            <w:r>
              <w:rPr>
                <w:b/>
                <w:sz w:val="20"/>
              </w:rPr>
              <w:tab/>
              <w:t xml:space="preserve">LA </w:t>
            </w:r>
          </w:p>
          <w:p w:rsidR="00754395" w:rsidRDefault="00B93F1E">
            <w:pPr>
              <w:spacing w:after="0" w:line="242" w:lineRule="auto"/>
              <w:ind w:left="0" w:right="58" w:firstLine="0"/>
            </w:pPr>
            <w:r>
              <w:rPr>
                <w:b/>
                <w:sz w:val="20"/>
              </w:rPr>
              <w:t>DECISIÓN Y REQUISITOS.</w:t>
            </w:r>
            <w:r>
              <w:rPr>
                <w:sz w:val="20"/>
              </w:rPr>
              <w:t xml:space="preserve"> La decisión del pueblo será obligatoria en todo mecanismo de participación democrática cuando se cumpla con los siguientes requisitos: </w:t>
            </w:r>
          </w:p>
          <w:p w:rsidR="00754395" w:rsidRDefault="00B93F1E">
            <w:pPr>
              <w:spacing w:after="0" w:line="259" w:lineRule="auto"/>
              <w:ind w:left="0" w:right="0" w:firstLine="0"/>
              <w:jc w:val="left"/>
            </w:pPr>
            <w:r>
              <w:rPr>
                <w:sz w:val="20"/>
              </w:rPr>
              <w:t xml:space="preserve"> </w:t>
            </w:r>
          </w:p>
          <w:p w:rsidR="00754395" w:rsidRDefault="00B93F1E">
            <w:pPr>
              <w:spacing w:line="241" w:lineRule="auto"/>
              <w:ind w:left="0" w:right="58" w:firstLine="0"/>
            </w:pPr>
            <w:r>
              <w:rPr>
                <w:sz w:val="20"/>
              </w:rPr>
              <w:t xml:space="preserve">e) En la Revocatoria del Mandato el pronunciamiento popular por la mitad más uno de los votos ciudadanos que participen en la respectiva convocatoria, siempre que el número de sufragios </w:t>
            </w:r>
            <w:r>
              <w:rPr>
                <w:i/>
                <w:sz w:val="20"/>
                <w:u w:val="single" w:color="00000A"/>
              </w:rPr>
              <w:t>no sea inferior al cuarenta</w:t>
            </w:r>
            <w:r>
              <w:rPr>
                <w:i/>
                <w:sz w:val="20"/>
              </w:rPr>
              <w:t xml:space="preserve"> </w:t>
            </w:r>
            <w:r>
              <w:rPr>
                <w:i/>
                <w:sz w:val="20"/>
                <w:u w:val="single" w:color="00000A"/>
              </w:rPr>
              <w:t xml:space="preserve">(40%) de la votación total válida registrada </w:t>
            </w:r>
            <w:r>
              <w:rPr>
                <w:sz w:val="20"/>
              </w:rPr>
              <w:t xml:space="preserve">el día en que se eligió al respectivo mandatario. Si como resultado de la votación no se revoca el mandato del gobernador o del alcalde, no podrá volver a intentarse en lo que resta de su período. </w:t>
            </w:r>
          </w:p>
          <w:p w:rsidR="00754395" w:rsidRDefault="00B93F1E">
            <w:pPr>
              <w:spacing w:after="0" w:line="259" w:lineRule="auto"/>
              <w:ind w:left="0" w:right="0" w:firstLine="0"/>
              <w:jc w:val="left"/>
            </w:pPr>
            <w:r>
              <w:rPr>
                <w:rFonts w:ascii="Calibri" w:eastAsia="Calibri" w:hAnsi="Calibri" w:cs="Calibri"/>
                <w:color w:val="000000"/>
                <w:sz w:val="20"/>
              </w:rPr>
              <w:t xml:space="preserve"> </w:t>
            </w:r>
          </w:p>
        </w:tc>
      </w:tr>
    </w:tbl>
    <w:p w:rsidR="00754395" w:rsidRDefault="00B93F1E">
      <w:pPr>
        <w:spacing w:after="0" w:line="259" w:lineRule="auto"/>
        <w:ind w:left="0" w:right="0" w:firstLine="0"/>
        <w:jc w:val="left"/>
      </w:pPr>
      <w:r>
        <w:t xml:space="preserve"> </w:t>
      </w:r>
    </w:p>
    <w:p w:rsidR="00754395" w:rsidRDefault="00B93F1E">
      <w:pPr>
        <w:ind w:left="-5" w:right="22"/>
      </w:pPr>
      <w:r>
        <w:t xml:space="preserve">Para el caso de Bogotá, con la nueva normatividad bastaría que 1.124.333 ciudadanos se movilizaran (el 19,7% del potencial electoral de la ciudad) para poder revocar al actual Alcalde Mayor. Esto es, en la práctica, un incentivo marcado para la inestabilidad política, teniendo en cuenta la baja representatividad electoral de los últimos burgomaestres, como se ilustró en la sección anterior. </w:t>
      </w:r>
    </w:p>
    <w:p w:rsidR="00754395" w:rsidRDefault="00B93F1E">
      <w:pPr>
        <w:spacing w:after="0" w:line="259" w:lineRule="auto"/>
        <w:ind w:left="0" w:right="0" w:firstLine="0"/>
        <w:jc w:val="left"/>
      </w:pPr>
      <w:r>
        <w:t xml:space="preserve"> </w:t>
      </w:r>
    </w:p>
    <w:p w:rsidR="00754395" w:rsidRDefault="00B93F1E">
      <w:pPr>
        <w:ind w:left="-5" w:right="22"/>
      </w:pPr>
      <w:r>
        <w:t xml:space="preserve">Pero acá no termina el problema. En la práctica, los procesos de revocatoria de mandato posteriores a la Ley 1757 de 2015 han tenido las siguientes características: </w:t>
      </w:r>
    </w:p>
    <w:p w:rsidR="00754395" w:rsidRDefault="00B93F1E">
      <w:pPr>
        <w:ind w:left="-5" w:right="22"/>
      </w:pPr>
      <w:r>
        <w:t xml:space="preserve">i) pese a la flexibilización de los requisitos, todos los procesos que han llegado a las urnas han sido fallidos por no cumplir el mínimo necesario de participación electoral, salvo en el municipio de Tasco (Boyacá) en 2018; ii) las causales que justifican la solicitud de revocatoria del mandato (incumplimiento del programa de gobierno e insatisfacción generalizada de la ciudadanía) son de interpretación subjetiva por parte de la autoridad electoral, lo cual ha generado mayor desconfianza hacia la institucionalidad democrática; iii) en muchos casos, este mecanismo de participación ciudadana se ha convertido en un medio de revancha política por parte de sectores que perdieron la elección correspondiente. Así lo evidencia el hecho de que algunos movimientos pro revocatoria han iniciado labores desde la posesión misma de un mandatario o, incluso, desde antes. </w:t>
      </w:r>
    </w:p>
    <w:p w:rsidR="00754395" w:rsidRDefault="00B93F1E">
      <w:pPr>
        <w:spacing w:after="0" w:line="259" w:lineRule="auto"/>
        <w:ind w:left="0" w:right="0" w:firstLine="0"/>
        <w:jc w:val="left"/>
      </w:pPr>
      <w:r>
        <w:t xml:space="preserve"> </w:t>
      </w:r>
    </w:p>
    <w:p w:rsidR="00754395" w:rsidRDefault="00B93F1E">
      <w:pPr>
        <w:ind w:left="-5" w:right="22"/>
      </w:pPr>
      <w:r>
        <w:t xml:space="preserve">La siguiente tabla muestra el desenlace de las revocatorias de mandato votadas en Colombia durante 2017: </w:t>
      </w:r>
    </w:p>
    <w:p w:rsidR="00754395" w:rsidRDefault="00B93F1E">
      <w:pPr>
        <w:spacing w:after="0" w:line="259" w:lineRule="auto"/>
        <w:ind w:left="0" w:right="0" w:firstLine="0"/>
        <w:jc w:val="left"/>
      </w:pPr>
      <w:r>
        <w:t xml:space="preserve"> </w:t>
      </w:r>
    </w:p>
    <w:tbl>
      <w:tblPr>
        <w:tblStyle w:val="TableGrid"/>
        <w:tblW w:w="7794" w:type="dxa"/>
        <w:tblInd w:w="523" w:type="dxa"/>
        <w:tblCellMar>
          <w:top w:w="45" w:type="dxa"/>
          <w:left w:w="110" w:type="dxa"/>
          <w:right w:w="73" w:type="dxa"/>
        </w:tblCellMar>
        <w:tblLook w:val="04A0" w:firstRow="1" w:lastRow="0" w:firstColumn="1" w:lastColumn="0" w:noHBand="0" w:noVBand="1"/>
      </w:tblPr>
      <w:tblGrid>
        <w:gridCol w:w="2554"/>
        <w:gridCol w:w="991"/>
        <w:gridCol w:w="1414"/>
        <w:gridCol w:w="1416"/>
        <w:gridCol w:w="1419"/>
      </w:tblGrid>
      <w:tr w:rsidR="00754395">
        <w:trPr>
          <w:trHeight w:val="744"/>
        </w:trPr>
        <w:tc>
          <w:tcPr>
            <w:tcW w:w="2554"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1" w:firstLine="0"/>
              <w:jc w:val="center"/>
            </w:pPr>
            <w:r>
              <w:rPr>
                <w:rFonts w:ascii="Calibri" w:eastAsia="Calibri" w:hAnsi="Calibri" w:cs="Calibri"/>
                <w:b/>
                <w:color w:val="000000"/>
                <w:sz w:val="20"/>
              </w:rPr>
              <w:t xml:space="preserve">MUNICIPIO </w:t>
            </w:r>
          </w:p>
        </w:tc>
        <w:tc>
          <w:tcPr>
            <w:tcW w:w="991"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7" w:firstLine="0"/>
              <w:jc w:val="center"/>
            </w:pPr>
            <w:r>
              <w:rPr>
                <w:rFonts w:ascii="Calibri" w:eastAsia="Calibri" w:hAnsi="Calibri" w:cs="Calibri"/>
                <w:b/>
                <w:color w:val="000000"/>
                <w:sz w:val="20"/>
              </w:rPr>
              <w:t xml:space="preserve">FECHA </w:t>
            </w:r>
          </w:p>
        </w:tc>
        <w:tc>
          <w:tcPr>
            <w:tcW w:w="1414"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4" w:firstLine="0"/>
              <w:jc w:val="center"/>
            </w:pPr>
            <w:r>
              <w:rPr>
                <w:rFonts w:ascii="Calibri" w:eastAsia="Calibri" w:hAnsi="Calibri" w:cs="Calibri"/>
                <w:b/>
                <w:color w:val="000000"/>
                <w:sz w:val="20"/>
              </w:rPr>
              <w:t xml:space="preserve">% </w:t>
            </w:r>
          </w:p>
          <w:p w:rsidR="00754395" w:rsidRDefault="00B93F1E">
            <w:pPr>
              <w:spacing w:after="0" w:line="259" w:lineRule="auto"/>
              <w:ind w:left="53" w:right="0" w:firstLine="0"/>
              <w:jc w:val="left"/>
            </w:pPr>
            <w:r>
              <w:rPr>
                <w:rFonts w:ascii="Calibri" w:eastAsia="Calibri" w:hAnsi="Calibri" w:cs="Calibri"/>
                <w:b/>
                <w:color w:val="000000"/>
                <w:sz w:val="20"/>
              </w:rPr>
              <w:t xml:space="preserve">ABSTENCIÓN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2" w:line="239" w:lineRule="auto"/>
              <w:ind w:left="0" w:right="0" w:firstLine="0"/>
              <w:jc w:val="center"/>
            </w:pPr>
            <w:r>
              <w:rPr>
                <w:rFonts w:ascii="Calibri" w:eastAsia="Calibri" w:hAnsi="Calibri" w:cs="Calibri"/>
                <w:b/>
                <w:color w:val="000000"/>
                <w:sz w:val="20"/>
              </w:rPr>
              <w:t xml:space="preserve">UMBRAL DE VOTACIÓN </w:t>
            </w:r>
          </w:p>
          <w:p w:rsidR="00754395" w:rsidRDefault="00B93F1E">
            <w:pPr>
              <w:spacing w:after="0" w:line="259" w:lineRule="auto"/>
              <w:ind w:left="94" w:right="0" w:firstLine="0"/>
              <w:jc w:val="left"/>
            </w:pPr>
            <w:r>
              <w:rPr>
                <w:rFonts w:ascii="Calibri" w:eastAsia="Calibri" w:hAnsi="Calibri" w:cs="Calibri"/>
                <w:b/>
                <w:color w:val="000000"/>
                <w:sz w:val="20"/>
              </w:rPr>
              <w:t xml:space="preserve">REQUERIDO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b/>
                <w:color w:val="000000"/>
                <w:sz w:val="20"/>
              </w:rPr>
              <w:t xml:space="preserve">VOTOS </w:t>
            </w:r>
          </w:p>
          <w:p w:rsidR="00754395" w:rsidRDefault="00B93F1E">
            <w:pPr>
              <w:spacing w:after="0" w:line="259" w:lineRule="auto"/>
              <w:ind w:left="0" w:right="43" w:firstLine="0"/>
              <w:jc w:val="center"/>
            </w:pPr>
            <w:r>
              <w:rPr>
                <w:rFonts w:ascii="Calibri" w:eastAsia="Calibri" w:hAnsi="Calibri" w:cs="Calibri"/>
                <w:b/>
                <w:color w:val="000000"/>
                <w:sz w:val="20"/>
              </w:rPr>
              <w:t xml:space="preserve">VÁLIDOS </w:t>
            </w:r>
          </w:p>
          <w:p w:rsidR="00754395" w:rsidRDefault="00B93F1E">
            <w:pPr>
              <w:spacing w:after="0" w:line="259" w:lineRule="auto"/>
              <w:ind w:left="0" w:right="0" w:firstLine="0"/>
              <w:jc w:val="left"/>
            </w:pPr>
            <w:r>
              <w:rPr>
                <w:rFonts w:ascii="Calibri" w:eastAsia="Calibri" w:hAnsi="Calibri" w:cs="Calibri"/>
                <w:b/>
                <w:color w:val="000000"/>
                <w:sz w:val="20"/>
              </w:rPr>
              <w:t xml:space="preserve">DEPOSITADOS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El Copey (Cesar)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21/05/17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83%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5.838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3.821 </w:t>
            </w:r>
          </w:p>
        </w:tc>
      </w:tr>
      <w:tr w:rsidR="00754395">
        <w:trPr>
          <w:trHeight w:val="252"/>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26" w:right="0" w:firstLine="0"/>
              <w:jc w:val="left"/>
            </w:pPr>
            <w:r>
              <w:rPr>
                <w:rFonts w:ascii="Calibri" w:eastAsia="Calibri" w:hAnsi="Calibri" w:cs="Calibri"/>
                <w:color w:val="000000"/>
                <w:sz w:val="20"/>
              </w:rPr>
              <w:lastRenderedPageBreak/>
              <w:t xml:space="preserve">Ocaña (Norte de Santander)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21/05/17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color w:val="000000"/>
                <w:sz w:val="20"/>
              </w:rPr>
              <w:t xml:space="preserve">77,5%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18.418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17.259 </w:t>
            </w:r>
          </w:p>
        </w:tc>
      </w:tr>
      <w:tr w:rsidR="00754395">
        <w:trPr>
          <w:trHeight w:val="255"/>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San Benito Abad (Sucre)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04/06/17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color w:val="000000"/>
                <w:sz w:val="20"/>
              </w:rPr>
              <w:t xml:space="preserve">73,6%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5.645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4.913 </w:t>
            </w:r>
          </w:p>
        </w:tc>
      </w:tr>
      <w:tr w:rsidR="00754395">
        <w:trPr>
          <w:trHeight w:val="499"/>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center"/>
            </w:pPr>
            <w:r>
              <w:rPr>
                <w:rFonts w:ascii="Calibri" w:eastAsia="Calibri" w:hAnsi="Calibri" w:cs="Calibri"/>
                <w:color w:val="000000"/>
                <w:sz w:val="20"/>
              </w:rPr>
              <w:t xml:space="preserve">Barrancabermeja (Santander) </w:t>
            </w:r>
          </w:p>
        </w:tc>
        <w:tc>
          <w:tcPr>
            <w:tcW w:w="991"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left"/>
            </w:pPr>
            <w:r>
              <w:rPr>
                <w:rFonts w:ascii="Calibri" w:eastAsia="Calibri" w:hAnsi="Calibri" w:cs="Calibri"/>
                <w:color w:val="000000"/>
                <w:sz w:val="20"/>
              </w:rPr>
              <w:t xml:space="preserve">02/07/17 </w:t>
            </w:r>
          </w:p>
        </w:tc>
        <w:tc>
          <w:tcPr>
            <w:tcW w:w="1414"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2" w:firstLine="0"/>
              <w:jc w:val="center"/>
            </w:pPr>
            <w:r>
              <w:rPr>
                <w:rFonts w:ascii="Calibri" w:eastAsia="Calibri" w:hAnsi="Calibri" w:cs="Calibri"/>
                <w:color w:val="000000"/>
                <w:sz w:val="20"/>
              </w:rPr>
              <w:t xml:space="preserve">90% </w:t>
            </w:r>
          </w:p>
        </w:tc>
        <w:tc>
          <w:tcPr>
            <w:tcW w:w="1416"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4" w:firstLine="0"/>
              <w:jc w:val="center"/>
            </w:pPr>
            <w:r>
              <w:rPr>
                <w:rFonts w:ascii="Calibri" w:eastAsia="Calibri" w:hAnsi="Calibri" w:cs="Calibri"/>
                <w:color w:val="000000"/>
                <w:sz w:val="20"/>
              </w:rPr>
              <w:t xml:space="preserve">44.242 </w:t>
            </w:r>
          </w:p>
        </w:tc>
        <w:tc>
          <w:tcPr>
            <w:tcW w:w="1419"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7" w:firstLine="0"/>
              <w:jc w:val="center"/>
            </w:pPr>
            <w:r>
              <w:rPr>
                <w:rFonts w:ascii="Calibri" w:eastAsia="Calibri" w:hAnsi="Calibri" w:cs="Calibri"/>
                <w:color w:val="000000"/>
                <w:sz w:val="20"/>
              </w:rPr>
              <w:t xml:space="preserve">16.898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Icononzo (Tolima)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02/07/17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color w:val="000000"/>
                <w:sz w:val="20"/>
              </w:rPr>
              <w:t xml:space="preserve">90,5%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2.046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color w:val="000000"/>
                <w:sz w:val="20"/>
              </w:rPr>
              <w:t xml:space="preserve">799 </w:t>
            </w:r>
          </w:p>
        </w:tc>
      </w:tr>
      <w:tr w:rsidR="00754395">
        <w:trPr>
          <w:trHeight w:val="497"/>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center"/>
            </w:pPr>
            <w:r>
              <w:rPr>
                <w:rFonts w:ascii="Calibri" w:eastAsia="Calibri" w:hAnsi="Calibri" w:cs="Calibri"/>
                <w:color w:val="000000"/>
                <w:sz w:val="20"/>
              </w:rPr>
              <w:t xml:space="preserve">El Carmen de Bolívar (Bolívar) </w:t>
            </w:r>
          </w:p>
        </w:tc>
        <w:tc>
          <w:tcPr>
            <w:tcW w:w="991"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0" w:firstLine="0"/>
              <w:jc w:val="left"/>
            </w:pPr>
            <w:r>
              <w:rPr>
                <w:rFonts w:ascii="Calibri" w:eastAsia="Calibri" w:hAnsi="Calibri" w:cs="Calibri"/>
                <w:color w:val="000000"/>
                <w:sz w:val="20"/>
              </w:rPr>
              <w:t xml:space="preserve">09/07/17 </w:t>
            </w:r>
          </w:p>
        </w:tc>
        <w:tc>
          <w:tcPr>
            <w:tcW w:w="1414"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5" w:firstLine="0"/>
              <w:jc w:val="center"/>
            </w:pPr>
            <w:r>
              <w:rPr>
                <w:rFonts w:ascii="Calibri" w:eastAsia="Calibri" w:hAnsi="Calibri" w:cs="Calibri"/>
                <w:color w:val="000000"/>
                <w:sz w:val="20"/>
              </w:rPr>
              <w:t xml:space="preserve">88,6% </w:t>
            </w:r>
          </w:p>
        </w:tc>
        <w:tc>
          <w:tcPr>
            <w:tcW w:w="1416"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4" w:firstLine="0"/>
              <w:jc w:val="center"/>
            </w:pPr>
            <w:r>
              <w:rPr>
                <w:rFonts w:ascii="Calibri" w:eastAsia="Calibri" w:hAnsi="Calibri" w:cs="Calibri"/>
                <w:color w:val="000000"/>
                <w:sz w:val="20"/>
              </w:rPr>
              <w:t xml:space="preserve">13.289 </w:t>
            </w:r>
          </w:p>
        </w:tc>
        <w:tc>
          <w:tcPr>
            <w:tcW w:w="1419" w:type="dxa"/>
            <w:tcBorders>
              <w:top w:val="single" w:sz="4" w:space="0" w:color="000000"/>
              <w:left w:val="single" w:sz="4" w:space="0" w:color="000000"/>
              <w:bottom w:val="single" w:sz="4" w:space="0" w:color="000000"/>
              <w:right w:val="single" w:sz="4" w:space="0" w:color="000000"/>
            </w:tcBorders>
            <w:vAlign w:val="center"/>
          </w:tcPr>
          <w:p w:rsidR="00754395" w:rsidRDefault="00B93F1E">
            <w:pPr>
              <w:spacing w:after="0" w:line="259" w:lineRule="auto"/>
              <w:ind w:left="0" w:right="47" w:firstLine="0"/>
              <w:jc w:val="center"/>
            </w:pPr>
            <w:r>
              <w:rPr>
                <w:rFonts w:ascii="Calibri" w:eastAsia="Calibri" w:hAnsi="Calibri" w:cs="Calibri"/>
                <w:color w:val="000000"/>
                <w:sz w:val="20"/>
              </w:rPr>
              <w:t xml:space="preserve">6.197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Palmito (Sucre)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09/07/17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5" w:firstLine="0"/>
              <w:jc w:val="center"/>
            </w:pPr>
            <w:r>
              <w:rPr>
                <w:rFonts w:ascii="Calibri" w:eastAsia="Calibri" w:hAnsi="Calibri" w:cs="Calibri"/>
                <w:color w:val="000000"/>
                <w:sz w:val="20"/>
              </w:rPr>
              <w:t xml:space="preserve">83,9%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2.944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1.586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3" w:firstLine="0"/>
              <w:jc w:val="center"/>
            </w:pPr>
            <w:r>
              <w:rPr>
                <w:rFonts w:ascii="Calibri" w:eastAsia="Calibri" w:hAnsi="Calibri" w:cs="Calibri"/>
                <w:color w:val="000000"/>
                <w:sz w:val="20"/>
              </w:rPr>
              <w:t xml:space="preserve">Sitio Nuevo (Magdalena)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30/07/17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85.36%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4.524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2.659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1" w:firstLine="0"/>
              <w:jc w:val="center"/>
            </w:pPr>
            <w:r>
              <w:rPr>
                <w:rFonts w:ascii="Calibri" w:eastAsia="Calibri" w:hAnsi="Calibri" w:cs="Calibri"/>
                <w:color w:val="000000"/>
                <w:sz w:val="20"/>
              </w:rPr>
              <w:t xml:space="preserve">Puerto Carreño (Vichada)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30/07/17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89.37%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3.604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1.906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Remolino (Magdalena)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06/08/17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76.81%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2.033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1.645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Girardot (Cundinamarca)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10/09/17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89.09%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19.250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9.064 </w:t>
            </w:r>
          </w:p>
        </w:tc>
      </w:tr>
      <w:tr w:rsidR="00754395">
        <w:trPr>
          <w:trHeight w:val="254"/>
        </w:trPr>
        <w:tc>
          <w:tcPr>
            <w:tcW w:w="255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0" w:firstLine="0"/>
              <w:jc w:val="center"/>
            </w:pPr>
            <w:r>
              <w:rPr>
                <w:rFonts w:ascii="Calibri" w:eastAsia="Calibri" w:hAnsi="Calibri" w:cs="Calibri"/>
                <w:color w:val="000000"/>
                <w:sz w:val="20"/>
              </w:rPr>
              <w:t xml:space="preserve">Villamaría (Caldas) </w:t>
            </w:r>
          </w:p>
        </w:tc>
        <w:tc>
          <w:tcPr>
            <w:tcW w:w="991"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0" w:firstLine="0"/>
              <w:jc w:val="left"/>
            </w:pPr>
            <w:r>
              <w:rPr>
                <w:rFonts w:ascii="Calibri" w:eastAsia="Calibri" w:hAnsi="Calibri" w:cs="Calibri"/>
                <w:color w:val="000000"/>
                <w:sz w:val="20"/>
              </w:rPr>
              <w:t xml:space="preserve">10/09/17 </w:t>
            </w:r>
          </w:p>
        </w:tc>
        <w:tc>
          <w:tcPr>
            <w:tcW w:w="1414"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2" w:firstLine="0"/>
              <w:jc w:val="center"/>
            </w:pPr>
            <w:r>
              <w:rPr>
                <w:rFonts w:ascii="Calibri" w:eastAsia="Calibri" w:hAnsi="Calibri" w:cs="Calibri"/>
                <w:color w:val="000000"/>
                <w:sz w:val="20"/>
              </w:rPr>
              <w:t xml:space="preserve">91.48%  </w:t>
            </w:r>
          </w:p>
        </w:tc>
        <w:tc>
          <w:tcPr>
            <w:tcW w:w="1416"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4" w:firstLine="0"/>
              <w:jc w:val="center"/>
            </w:pPr>
            <w:r>
              <w:rPr>
                <w:rFonts w:ascii="Calibri" w:eastAsia="Calibri" w:hAnsi="Calibri" w:cs="Calibri"/>
                <w:color w:val="000000"/>
                <w:sz w:val="20"/>
              </w:rPr>
              <w:t xml:space="preserve">8.958 </w:t>
            </w:r>
          </w:p>
        </w:tc>
        <w:tc>
          <w:tcPr>
            <w:tcW w:w="1419" w:type="dxa"/>
            <w:tcBorders>
              <w:top w:val="single" w:sz="4" w:space="0" w:color="000000"/>
              <w:left w:val="single" w:sz="4" w:space="0" w:color="000000"/>
              <w:bottom w:val="single" w:sz="4" w:space="0" w:color="000000"/>
              <w:right w:val="single" w:sz="4" w:space="0" w:color="000000"/>
            </w:tcBorders>
          </w:tcPr>
          <w:p w:rsidR="00754395" w:rsidRDefault="00B93F1E">
            <w:pPr>
              <w:spacing w:after="0" w:line="259" w:lineRule="auto"/>
              <w:ind w:left="0" w:right="47" w:firstLine="0"/>
              <w:jc w:val="center"/>
            </w:pPr>
            <w:r>
              <w:rPr>
                <w:rFonts w:ascii="Calibri" w:eastAsia="Calibri" w:hAnsi="Calibri" w:cs="Calibri"/>
                <w:color w:val="000000"/>
                <w:sz w:val="20"/>
              </w:rPr>
              <w:t xml:space="preserve">3.276 </w:t>
            </w:r>
          </w:p>
        </w:tc>
      </w:tr>
    </w:tbl>
    <w:p w:rsidR="00754395" w:rsidRPr="00B93F1E" w:rsidRDefault="00B93F1E">
      <w:pPr>
        <w:spacing w:after="0" w:line="259" w:lineRule="auto"/>
        <w:ind w:left="0" w:right="0" w:firstLine="0"/>
        <w:jc w:val="left"/>
        <w:rPr>
          <w:lang w:val="es-CO"/>
        </w:rPr>
      </w:pPr>
      <w:r w:rsidRPr="00B93F1E">
        <w:rPr>
          <w:sz w:val="18"/>
          <w:lang w:val="es-CO"/>
        </w:rPr>
        <w:t xml:space="preserve"> </w:t>
      </w:r>
    </w:p>
    <w:p w:rsidR="00754395" w:rsidRPr="00B93F1E" w:rsidRDefault="00B93F1E">
      <w:pPr>
        <w:spacing w:after="36" w:line="259" w:lineRule="auto"/>
        <w:ind w:left="0" w:right="0" w:firstLine="0"/>
        <w:jc w:val="left"/>
        <w:rPr>
          <w:lang w:val="es-CO"/>
        </w:rPr>
      </w:pPr>
      <w:r w:rsidRPr="00B93F1E">
        <w:rPr>
          <w:sz w:val="18"/>
          <w:lang w:val="es-CO"/>
        </w:rPr>
        <w:t xml:space="preserve"> </w:t>
      </w:r>
    </w:p>
    <w:p w:rsidR="00754395" w:rsidRDefault="00B93F1E">
      <w:pPr>
        <w:ind w:left="-5" w:right="22"/>
      </w:pPr>
      <w:r w:rsidRPr="00B93F1E">
        <w:rPr>
          <w:lang w:val="es-CO"/>
        </w:rPr>
        <w:t xml:space="preserve">Esta figura se ha utilizado en múltiples oportunidades, sin embargo, solo se ha hecho efectiva en el caso reciente de Tasco (Boyacá) en donde se revocó al primer Alcalde del país el pasado 29 de julio de 2018. </w:t>
      </w:r>
      <w:r>
        <w:t xml:space="preserve">Para el caso de Sogamoso, el Alcalde se salvó de ser revocado toda vez que no se cumplió con el umbral requerido.  </w:t>
      </w:r>
    </w:p>
    <w:p w:rsidR="00754395" w:rsidRDefault="00B93F1E">
      <w:pPr>
        <w:spacing w:after="0" w:line="259" w:lineRule="auto"/>
        <w:ind w:left="0" w:right="0" w:firstLine="0"/>
        <w:jc w:val="left"/>
      </w:pPr>
      <w:r>
        <w:t xml:space="preserve"> </w:t>
      </w:r>
    </w:p>
    <w:p w:rsidR="00754395" w:rsidRDefault="00B93F1E">
      <w:pPr>
        <w:ind w:left="-5" w:right="22"/>
      </w:pPr>
      <w:r>
        <w:t xml:space="preserve">En el caso de Bogotá, la introducción de la segunda vuelta para la elección de Alcalde Mayor permitirá la llegada de mandatarios con una base de respaldo popular mucho más amplia, más legítimos y menos vulnerables a procesos de revocatoria de mandato frágiles y cargados de intencionalidad política. Y como se ilustra a continuación, la institucionalidad del Distrito Capital goza de una especial protección en la normatividad colombiana. </w:t>
      </w:r>
    </w:p>
    <w:p w:rsidR="00754395" w:rsidRDefault="00B93F1E">
      <w:pPr>
        <w:spacing w:after="0" w:line="259" w:lineRule="auto"/>
        <w:ind w:left="0" w:right="0" w:firstLine="0"/>
        <w:jc w:val="left"/>
      </w:pPr>
      <w:r>
        <w:rPr>
          <w:b/>
        </w:rPr>
        <w:t xml:space="preserve"> </w:t>
      </w:r>
    </w:p>
    <w:p w:rsidR="00754395" w:rsidRDefault="00B93F1E">
      <w:pPr>
        <w:spacing w:after="0" w:line="259" w:lineRule="auto"/>
        <w:ind w:left="0" w:right="0" w:firstLine="0"/>
        <w:jc w:val="left"/>
      </w:pPr>
      <w:r>
        <w:rPr>
          <w:b/>
        </w:rPr>
        <w:t xml:space="preserve">  </w:t>
      </w:r>
    </w:p>
    <w:p w:rsidR="00754395" w:rsidRDefault="00B93F1E">
      <w:pPr>
        <w:pStyle w:val="Ttulo2"/>
        <w:ind w:left="-5" w:right="0"/>
      </w:pPr>
      <w:r>
        <w:t xml:space="preserve">III. EL ARGUMENTO FISCAL </w:t>
      </w:r>
    </w:p>
    <w:p w:rsidR="00754395" w:rsidRDefault="00B93F1E">
      <w:pPr>
        <w:spacing w:after="0" w:line="259" w:lineRule="auto"/>
        <w:ind w:left="0" w:right="0" w:firstLine="0"/>
        <w:jc w:val="left"/>
      </w:pPr>
      <w:r>
        <w:rPr>
          <w:b/>
        </w:rPr>
        <w:t xml:space="preserve"> </w:t>
      </w:r>
    </w:p>
    <w:p w:rsidR="00754395" w:rsidRDefault="00B93F1E">
      <w:pPr>
        <w:ind w:left="-5" w:right="22"/>
      </w:pPr>
      <w:r>
        <w:t xml:space="preserve">Una de las probables críticas a este proyecto de acto legislativo tiene que ver con el gasto público adicional que generará. Sin embargo, la evidencia muestra lo siguiente: </w:t>
      </w:r>
    </w:p>
    <w:p w:rsidR="00754395" w:rsidRDefault="00B93F1E">
      <w:pPr>
        <w:spacing w:after="0" w:line="259" w:lineRule="auto"/>
        <w:ind w:left="0" w:right="0" w:firstLine="0"/>
        <w:jc w:val="left"/>
      </w:pPr>
      <w:r>
        <w:t xml:space="preserve"> </w:t>
      </w:r>
    </w:p>
    <w:p w:rsidR="00754395" w:rsidRDefault="00B93F1E">
      <w:pPr>
        <w:numPr>
          <w:ilvl w:val="0"/>
          <w:numId w:val="2"/>
        </w:numPr>
        <w:ind w:right="22" w:hanging="360"/>
      </w:pPr>
      <w:r>
        <w:t xml:space="preserve">El costo de la segunda vuelta presidencial, realizada el pasado mes de junio de 2018, fue de $39.723.538.439. Puede pensarse que el costo de una segunda vuelta en la elección a Alcalde Mayor de Bogotá es similar, dado que tienen características en común: i) se usa un único tarjetón, de fácil diligenciamiento por parte de los electorales; ii) no está acompañado en la misma fecha de ninguna otra elección. </w:t>
      </w:r>
    </w:p>
    <w:p w:rsidR="00754395" w:rsidRDefault="00B93F1E">
      <w:pPr>
        <w:spacing w:after="0" w:line="259" w:lineRule="auto"/>
        <w:ind w:left="720" w:right="0" w:firstLine="0"/>
        <w:jc w:val="left"/>
      </w:pPr>
      <w:r>
        <w:t xml:space="preserve"> </w:t>
      </w:r>
    </w:p>
    <w:p w:rsidR="00754395" w:rsidRDefault="00B93F1E">
      <w:pPr>
        <w:numPr>
          <w:ilvl w:val="0"/>
          <w:numId w:val="2"/>
        </w:numPr>
        <w:ind w:right="22" w:hanging="360"/>
      </w:pPr>
      <w:r>
        <w:t xml:space="preserve">Debe advertirse entonces que una elección de segunda vuelta es mucho más económica que, por ejemplo, una elección local, en la cual se elige Alcalde </w:t>
      </w:r>
      <w:r>
        <w:lastRenderedPageBreak/>
        <w:t xml:space="preserve">Mayor, Concejo Distrital y ediles. En su edición 2015, ésta tuvo un costo total de $64.461.764.531. </w:t>
      </w:r>
    </w:p>
    <w:p w:rsidR="00754395" w:rsidRDefault="00B93F1E">
      <w:pPr>
        <w:spacing w:after="0" w:line="259" w:lineRule="auto"/>
        <w:ind w:left="720" w:right="0" w:firstLine="0"/>
        <w:jc w:val="left"/>
      </w:pPr>
      <w:r>
        <w:t xml:space="preserve"> </w:t>
      </w:r>
    </w:p>
    <w:p w:rsidR="00754395" w:rsidRDefault="00B93F1E">
      <w:pPr>
        <w:numPr>
          <w:ilvl w:val="0"/>
          <w:numId w:val="2"/>
        </w:numPr>
        <w:ind w:right="22" w:hanging="360"/>
      </w:pPr>
      <w:r>
        <w:t xml:space="preserve">Pero adicionalmente, la introducción de una segunda vuelta en la elección a Alcalde Mayor de Bogotá reduce la probabilidad de la realización de elecciones de revocatoria del mandato. Este certamen, en caso de ser convocado, podría tener un costo similar al de una segunda vuelta; pero puede generar dos costos extra: i) el costo que le supone a la Registraduría Nacional del Estado Civil la verificación de las firmas requeridas para la revocatoria del mandato; ii) el eventual costo de una nueva elección de Alcalde Mayor, si la revocatoria prosperara. </w:t>
      </w:r>
    </w:p>
    <w:p w:rsidR="00754395" w:rsidRDefault="00B93F1E">
      <w:pPr>
        <w:spacing w:after="0" w:line="259" w:lineRule="auto"/>
        <w:ind w:left="720" w:right="0" w:firstLine="0"/>
        <w:jc w:val="left"/>
      </w:pPr>
      <w:r>
        <w:t xml:space="preserve"> </w:t>
      </w:r>
    </w:p>
    <w:p w:rsidR="00754395" w:rsidRDefault="00B93F1E">
      <w:pPr>
        <w:spacing w:after="0" w:line="259" w:lineRule="auto"/>
        <w:ind w:left="0" w:right="0" w:firstLine="0"/>
        <w:jc w:val="left"/>
      </w:pPr>
      <w:r>
        <w:rPr>
          <w:b/>
        </w:rPr>
        <w:t xml:space="preserve"> </w:t>
      </w:r>
    </w:p>
    <w:p w:rsidR="00754395" w:rsidRDefault="00B93F1E">
      <w:pPr>
        <w:pStyle w:val="Ttulo2"/>
        <w:ind w:left="-5" w:right="0"/>
      </w:pPr>
      <w:r>
        <w:t xml:space="preserve">IV. BOGOTÁ EN EL ESPÍRITU CONSTITUYENTE </w:t>
      </w:r>
    </w:p>
    <w:p w:rsidR="00754395" w:rsidRDefault="00B93F1E">
      <w:pPr>
        <w:spacing w:after="0" w:line="259" w:lineRule="auto"/>
        <w:ind w:left="0" w:right="0" w:firstLine="0"/>
        <w:jc w:val="left"/>
      </w:pPr>
      <w:r>
        <w:t xml:space="preserve"> </w:t>
      </w:r>
    </w:p>
    <w:p w:rsidR="00754395" w:rsidRDefault="00B93F1E">
      <w:pPr>
        <w:ind w:left="-5" w:right="22"/>
      </w:pPr>
      <w:r>
        <w:t xml:space="preserve">Históricamente, Bogotá ha sido diferenciada del resto de regiones del país mediante un régimen especial que responda a sus características particulares. A partir de la Constitución de 1.991 tiene la condición de Distrito Capital y su especialidad es desarrollo por los artículos 322, 323, 324, 325, 326 y 327 de la Carta.  </w:t>
      </w:r>
    </w:p>
    <w:p w:rsidR="00754395" w:rsidRDefault="00B93F1E">
      <w:pPr>
        <w:spacing w:after="0" w:line="259" w:lineRule="auto"/>
        <w:ind w:left="0" w:right="0" w:firstLine="0"/>
        <w:jc w:val="left"/>
      </w:pPr>
      <w:r>
        <w:t xml:space="preserve"> </w:t>
      </w:r>
    </w:p>
    <w:p w:rsidR="00754395" w:rsidRDefault="00B93F1E">
      <w:pPr>
        <w:ind w:left="-5" w:right="22"/>
      </w:pPr>
      <w:r>
        <w:t xml:space="preserve">La noción del Distrito Capital surge del derecho comparado (modelo europeo y latinoamericano), donde a las grandes ciudades, en especial las capitales de los países, se les da un trato diferenciado por las características especiales que presentan, tales como: el crecimiento urbano acelerado, su magnitud poblacional, su calidad de metrópoli que alberga a los diferentes migrantes nacionales e internacionales y el hecho de ser la sede de las autoridades nacionales. </w:t>
      </w:r>
    </w:p>
    <w:p w:rsidR="00754395" w:rsidRDefault="00B93F1E">
      <w:pPr>
        <w:spacing w:after="0" w:line="259" w:lineRule="auto"/>
        <w:ind w:left="0" w:right="0" w:firstLine="0"/>
        <w:jc w:val="left"/>
      </w:pPr>
      <w:r>
        <w:t xml:space="preserve"> </w:t>
      </w:r>
    </w:p>
    <w:p w:rsidR="00754395" w:rsidRDefault="00B93F1E">
      <w:pPr>
        <w:ind w:left="-5" w:right="22"/>
      </w:pPr>
      <w:r>
        <w:t xml:space="preserve">De hecho, al revisar las transcripciones del debate de la Asamblea Nacional Constituyente sobre la creación del artículo 322 de la Constitución, se puede ver cómo se argumenta la necesidad de denominar a Bogotá como Distrito Capital en razón a las siguientes características: i) ser la Capital de la República; ii) ser la sede de los poderes nacionales, lo que la convierte en el centro político administrativo del país por excelencia; iii) ser la capital del Departamento de Cundinamarca; iv) las dimensiones territoriales y poblacionales de la ciudad. Con estas características especiales en mente, el Constituyente propone un régimen especial, que debe lograr tres grandes propósitos: i) una amplia participación ciudadana y comunitaria en el manejo de los asuntos distritales; ii) una descentralización administrativa al interior del Distrito, para hacerlo más eficiente y, iii) el reconocimiento y la institucionalización de unas realidades socioculturales, económicas y políticas que se dan al interior de los límites del Distrito. </w:t>
      </w:r>
    </w:p>
    <w:p w:rsidR="00754395" w:rsidRDefault="00B93F1E">
      <w:pPr>
        <w:spacing w:after="0" w:line="259" w:lineRule="auto"/>
        <w:ind w:left="0" w:right="0" w:firstLine="0"/>
        <w:jc w:val="left"/>
      </w:pPr>
      <w:r>
        <w:t xml:space="preserve"> </w:t>
      </w:r>
    </w:p>
    <w:p w:rsidR="00754395" w:rsidRDefault="00B93F1E">
      <w:pPr>
        <w:ind w:left="-5" w:right="22"/>
      </w:pPr>
      <w:r>
        <w:t xml:space="preserve">Para el logro de estos propósitos, el Constituyente propuso los siguientes elementos: i) la división territorial del Distrito en localidades, ii) un reparto de atribuciones entre la administración distrital y las autoridades de las localidades; iii) </w:t>
      </w:r>
      <w:r>
        <w:lastRenderedPageBreak/>
        <w:t xml:space="preserve">el origen electoral no solo de las autoridades distritales, sino también de las locales (como las Juntas Administradoras Locales); iv) autonomía judicial, v) autonomía presupuestal; vi) separación electoral respecto del Departamento de Cundinamarca.  </w:t>
      </w:r>
    </w:p>
    <w:p w:rsidR="00754395" w:rsidRDefault="00B93F1E">
      <w:pPr>
        <w:spacing w:after="0" w:line="259" w:lineRule="auto"/>
        <w:ind w:left="0" w:right="0" w:firstLine="0"/>
        <w:jc w:val="left"/>
      </w:pPr>
      <w:r>
        <w:t xml:space="preserve"> </w:t>
      </w:r>
    </w:p>
    <w:p w:rsidR="00754395" w:rsidRDefault="00B93F1E">
      <w:pPr>
        <w:spacing w:line="250" w:lineRule="auto"/>
        <w:ind w:left="-5" w:right="10"/>
      </w:pPr>
      <w:r>
        <w:rPr>
          <w:color w:val="000000"/>
        </w:rPr>
        <w:t xml:space="preserve">Todo lo anterior evidencia que el espíritu constituyente ha apuntado a diferenciar a Bogotá del resto de regiones por sus características particulares que implican una organización, gobierno y control especial. A partir de esta consideración, es dable también que Bogotá goce de unas reglas de juego especiales para la elección de sus autoridades y, en particular, de su Alcalde Mayor. </w:t>
      </w:r>
    </w:p>
    <w:p w:rsidR="00754395" w:rsidRDefault="00B93F1E">
      <w:pPr>
        <w:spacing w:after="0" w:line="259" w:lineRule="auto"/>
        <w:ind w:left="0" w:right="0" w:firstLine="0"/>
        <w:jc w:val="left"/>
      </w:pPr>
      <w:r>
        <w:t xml:space="preserve"> </w:t>
      </w:r>
    </w:p>
    <w:p w:rsidR="00754395" w:rsidRDefault="00B93F1E">
      <w:pPr>
        <w:spacing w:after="0" w:line="259" w:lineRule="auto"/>
        <w:ind w:left="0" w:right="0" w:firstLine="0"/>
        <w:jc w:val="left"/>
      </w:pPr>
      <w:r>
        <w:t xml:space="preserve"> </w:t>
      </w:r>
    </w:p>
    <w:p w:rsidR="00754395" w:rsidRDefault="00B93F1E">
      <w:pPr>
        <w:ind w:left="-5" w:right="22"/>
      </w:pPr>
      <w:r>
        <w:t xml:space="preserve">Cordialmente, </w:t>
      </w:r>
    </w:p>
    <w:p w:rsidR="00754395" w:rsidRDefault="00B93F1E">
      <w:pPr>
        <w:spacing w:after="0" w:line="259" w:lineRule="auto"/>
        <w:ind w:left="0" w:right="0" w:firstLine="0"/>
        <w:jc w:val="left"/>
      </w:pPr>
      <w:r>
        <w:t xml:space="preserve"> </w:t>
      </w:r>
    </w:p>
    <w:p w:rsidR="00754395" w:rsidRDefault="00B93F1E">
      <w:pPr>
        <w:spacing w:after="0" w:line="259" w:lineRule="auto"/>
        <w:ind w:left="0" w:right="0" w:firstLine="0"/>
        <w:jc w:val="left"/>
      </w:pPr>
      <w:r>
        <w:t xml:space="preserve"> </w:t>
      </w:r>
    </w:p>
    <w:tbl>
      <w:tblPr>
        <w:tblStyle w:val="TableGrid"/>
        <w:tblW w:w="8022" w:type="dxa"/>
        <w:tblInd w:w="108" w:type="dxa"/>
        <w:tblLook w:val="04A0" w:firstRow="1" w:lastRow="0" w:firstColumn="1" w:lastColumn="0" w:noHBand="0" w:noVBand="1"/>
      </w:tblPr>
      <w:tblGrid>
        <w:gridCol w:w="3540"/>
        <w:gridCol w:w="874"/>
        <w:gridCol w:w="3608"/>
      </w:tblGrid>
      <w:tr w:rsidR="00754395">
        <w:trPr>
          <w:trHeight w:val="1376"/>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2833"/>
              </w:tabs>
              <w:spacing w:after="0" w:line="259" w:lineRule="auto"/>
              <w:ind w:left="0" w:right="0" w:firstLine="0"/>
              <w:jc w:val="left"/>
            </w:pPr>
            <w:r>
              <w:rPr>
                <w:color w:val="000000"/>
              </w:rPr>
              <w:t xml:space="preserve">_________________ </w:t>
            </w:r>
            <w:r>
              <w:rPr>
                <w:color w:val="000000"/>
              </w:rPr>
              <w:tab/>
              <w:t xml:space="preserve"> </w:t>
            </w:r>
          </w:p>
          <w:p w:rsidR="00754395" w:rsidRDefault="00B93F1E">
            <w:pPr>
              <w:tabs>
                <w:tab w:val="center" w:pos="2833"/>
              </w:tabs>
              <w:spacing w:after="0" w:line="259" w:lineRule="auto"/>
              <w:ind w:left="0" w:right="0" w:firstLine="0"/>
              <w:jc w:val="left"/>
            </w:pPr>
            <w:r>
              <w:rPr>
                <w:b/>
                <w:color w:val="000000"/>
              </w:rPr>
              <w:t xml:space="preserve">JOSÉ DANIEL LÓPEZ </w:t>
            </w:r>
            <w:r>
              <w:rPr>
                <w:b/>
                <w:color w:val="000000"/>
              </w:rPr>
              <w:tab/>
              <w:t xml:space="preserve"> </w:t>
            </w:r>
          </w:p>
          <w:p w:rsidR="00754395" w:rsidRDefault="00B93F1E">
            <w:pPr>
              <w:spacing w:after="0" w:line="259" w:lineRule="auto"/>
              <w:ind w:left="0" w:right="0" w:firstLine="0"/>
              <w:jc w:val="left"/>
            </w:pPr>
            <w:r>
              <w:rPr>
                <w:b/>
                <w:color w:val="000000"/>
              </w:rPr>
              <w:t>Representante a la Cámara</w:t>
            </w:r>
            <w:r>
              <w:rPr>
                <w:color w:val="000000"/>
                <w:sz w:val="22"/>
              </w:rPr>
              <w:t xml:space="preserve"> </w:t>
            </w:r>
          </w:p>
        </w:tc>
        <w:tc>
          <w:tcPr>
            <w:tcW w:w="874" w:type="dxa"/>
            <w:tcBorders>
              <w:top w:val="nil"/>
              <w:left w:val="nil"/>
              <w:bottom w:val="nil"/>
              <w:right w:val="nil"/>
            </w:tcBorders>
          </w:tcPr>
          <w:p w:rsidR="00754395" w:rsidRDefault="00754395">
            <w:pPr>
              <w:spacing w:after="160" w:line="259" w:lineRule="auto"/>
              <w:ind w:left="0" w:right="0" w:firstLine="0"/>
              <w:jc w:val="left"/>
            </w:pP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9"/>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7"/>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356"/>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center"/>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p w:rsidR="00754395" w:rsidRDefault="00B93F1E">
            <w:pPr>
              <w:spacing w:after="0" w:line="259" w:lineRule="auto"/>
              <w:ind w:left="0" w:right="0" w:firstLine="0"/>
              <w:jc w:val="left"/>
            </w:pPr>
            <w:r>
              <w:rPr>
                <w:color w:val="000000"/>
                <w:sz w:val="22"/>
              </w:rPr>
              <w:t xml:space="preserve"> </w:t>
            </w:r>
          </w:p>
        </w:tc>
      </w:tr>
      <w:tr w:rsidR="00754395">
        <w:trPr>
          <w:trHeight w:val="1099"/>
        </w:trPr>
        <w:tc>
          <w:tcPr>
            <w:tcW w:w="3541"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_______________________ </w:t>
            </w:r>
          </w:p>
          <w:p w:rsidR="00754395" w:rsidRDefault="00B93F1E">
            <w:pPr>
              <w:spacing w:after="0" w:line="259" w:lineRule="auto"/>
              <w:ind w:left="0" w:right="0" w:firstLine="0"/>
              <w:jc w:val="left"/>
            </w:pPr>
            <w:r>
              <w:rPr>
                <w:color w:val="000000"/>
                <w:sz w:val="22"/>
              </w:rPr>
              <w:t xml:space="preserve"> </w:t>
            </w:r>
          </w:p>
        </w:tc>
        <w:tc>
          <w:tcPr>
            <w:tcW w:w="874" w:type="dxa"/>
            <w:tcBorders>
              <w:top w:val="nil"/>
              <w:left w:val="nil"/>
              <w:bottom w:val="nil"/>
              <w:right w:val="nil"/>
            </w:tcBorders>
            <w:vAlign w:val="bottom"/>
          </w:tcPr>
          <w:p w:rsidR="00754395" w:rsidRDefault="00B93F1E">
            <w:pPr>
              <w:spacing w:after="0" w:line="259" w:lineRule="auto"/>
              <w:ind w:left="0" w:right="0" w:firstLine="0"/>
              <w:jc w:val="left"/>
            </w:pPr>
            <w:r>
              <w:rPr>
                <w:color w:val="000000"/>
              </w:rPr>
              <w:t xml:space="preserve"> </w:t>
            </w:r>
          </w:p>
        </w:tc>
        <w:tc>
          <w:tcPr>
            <w:tcW w:w="3608" w:type="dxa"/>
            <w:tcBorders>
              <w:top w:val="nil"/>
              <w:left w:val="nil"/>
              <w:bottom w:val="nil"/>
              <w:right w:val="nil"/>
            </w:tcBorders>
          </w:tcPr>
          <w:p w:rsidR="00754395" w:rsidRDefault="00B93F1E">
            <w:pPr>
              <w:spacing w:after="0" w:line="259" w:lineRule="auto"/>
              <w:ind w:left="0" w:right="0" w:firstLine="0"/>
              <w:jc w:val="left"/>
            </w:pPr>
            <w:r>
              <w:rPr>
                <w:color w:val="000000"/>
              </w:rPr>
              <w:t xml:space="preserve"> </w:t>
            </w:r>
          </w:p>
          <w:p w:rsidR="00754395" w:rsidRDefault="00B93F1E">
            <w:pPr>
              <w:spacing w:after="0" w:line="259" w:lineRule="auto"/>
              <w:ind w:left="0" w:right="0" w:firstLine="0"/>
              <w:jc w:val="left"/>
            </w:pPr>
            <w:r>
              <w:rPr>
                <w:color w:val="000000"/>
              </w:rPr>
              <w:t xml:space="preserve"> </w:t>
            </w:r>
          </w:p>
          <w:p w:rsidR="00754395" w:rsidRDefault="00B93F1E">
            <w:pPr>
              <w:tabs>
                <w:tab w:val="center" w:pos="3541"/>
              </w:tabs>
              <w:spacing w:after="0" w:line="259" w:lineRule="auto"/>
              <w:ind w:left="0" w:right="0" w:firstLine="0"/>
              <w:jc w:val="left"/>
            </w:pPr>
            <w:r>
              <w:rPr>
                <w:color w:val="000000"/>
              </w:rPr>
              <w:t xml:space="preserve">_______________________ </w:t>
            </w:r>
            <w:r>
              <w:rPr>
                <w:color w:val="000000"/>
              </w:rPr>
              <w:tab/>
              <w:t xml:space="preserve"> </w:t>
            </w:r>
          </w:p>
          <w:p w:rsidR="00754395" w:rsidRDefault="00B93F1E">
            <w:pPr>
              <w:spacing w:after="0" w:line="259" w:lineRule="auto"/>
              <w:ind w:left="0" w:right="0" w:firstLine="0"/>
              <w:jc w:val="left"/>
            </w:pPr>
            <w:r>
              <w:rPr>
                <w:b/>
                <w:color w:val="000000"/>
              </w:rPr>
              <w:t xml:space="preserve"> </w:t>
            </w:r>
          </w:p>
        </w:tc>
      </w:tr>
    </w:tbl>
    <w:p w:rsidR="00754395" w:rsidRDefault="00B93F1E">
      <w:pPr>
        <w:spacing w:after="0" w:line="236" w:lineRule="auto"/>
        <w:ind w:left="0" w:right="4283" w:firstLine="0"/>
        <w:jc w:val="left"/>
      </w:pPr>
      <w:r>
        <w:rPr>
          <w:color w:val="000000"/>
          <w:sz w:val="22"/>
        </w:rPr>
        <w:t xml:space="preserve"> </w:t>
      </w:r>
      <w:r>
        <w:rPr>
          <w:b/>
        </w:rPr>
        <w:t xml:space="preserve"> </w:t>
      </w:r>
    </w:p>
    <w:sectPr w:rsidR="00754395">
      <w:pgSz w:w="12240" w:h="15840"/>
      <w:pgMar w:top="1418" w:right="1671" w:bottom="14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53BD2F09"/>
    <w:multiLevelType w:val="hybridMultilevel"/>
    <w:tmpl w:val="33B62D24"/>
    <w:lvl w:ilvl="0" w:tplc="29A63294">
      <w:start w:val="1"/>
      <w:numFmt w:val="decimal"/>
      <w:lvlText w:val="%1."/>
      <w:lvlJc w:val="left"/>
      <w:pPr>
        <w:ind w:left="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 w15:restartNumberingAfterBreak="0">
    <w:nsid w:val="5CC951FB"/>
    <w:multiLevelType w:val="hybridMultilevel"/>
    <w:tmpl w:val="83FA92FE"/>
    <w:lvl w:ilvl="0" w:tplc="C5F034C8">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95"/>
    <w:rsid w:val="00666BCC"/>
    <w:rsid w:val="00754395"/>
    <w:rsid w:val="00B9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C1047-4777-4B2F-B30C-447235D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8" w:hanging="10"/>
      <w:jc w:val="both"/>
    </w:pPr>
    <w:rPr>
      <w:rFonts w:ascii="Arial" w:eastAsia="Arial" w:hAnsi="Arial" w:cs="Arial"/>
      <w:color w:val="00000A"/>
      <w:sz w:val="24"/>
    </w:rPr>
  </w:style>
  <w:style w:type="paragraph" w:styleId="Ttulo1">
    <w:name w:val="heading 1"/>
    <w:next w:val="Normal"/>
    <w:link w:val="Ttulo1Car"/>
    <w:uiPriority w:val="9"/>
    <w:unhideWhenUsed/>
    <w:qFormat/>
    <w:pPr>
      <w:keepNext/>
      <w:keepLines/>
      <w:spacing w:after="0"/>
      <w:ind w:left="10" w:right="34" w:hanging="10"/>
      <w:outlineLvl w:val="0"/>
    </w:pPr>
    <w:rPr>
      <w:rFonts w:ascii="Arial" w:eastAsia="Arial" w:hAnsi="Arial" w:cs="Arial"/>
      <w:b/>
      <w:color w:val="00000A"/>
      <w:sz w:val="24"/>
    </w:rPr>
  </w:style>
  <w:style w:type="paragraph" w:styleId="Ttulo2">
    <w:name w:val="heading 2"/>
    <w:next w:val="Normal"/>
    <w:link w:val="Ttulo2Car"/>
    <w:uiPriority w:val="9"/>
    <w:unhideWhenUsed/>
    <w:qFormat/>
    <w:pPr>
      <w:keepNext/>
      <w:keepLines/>
      <w:spacing w:after="0"/>
      <w:ind w:left="10" w:right="34" w:hanging="10"/>
      <w:outlineLvl w:val="1"/>
    </w:pPr>
    <w:rPr>
      <w:rFonts w:ascii="Arial" w:eastAsia="Arial" w:hAnsi="Arial" w:cs="Arial"/>
      <w:b/>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A"/>
      <w:sz w:val="24"/>
    </w:rPr>
  </w:style>
  <w:style w:type="character" w:customStyle="1" w:styleId="Ttulo2Car">
    <w:name w:val="Título 2 Car"/>
    <w:link w:val="Ttulo2"/>
    <w:rPr>
      <w:rFonts w:ascii="Arial" w:eastAsia="Arial" w:hAnsi="Arial" w:cs="Arial"/>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15637</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cp:lastModifiedBy>hasbleidy suarez</cp:lastModifiedBy>
  <cp:revision>2</cp:revision>
  <dcterms:created xsi:type="dcterms:W3CDTF">2018-09-11T21:56:00Z</dcterms:created>
  <dcterms:modified xsi:type="dcterms:W3CDTF">2018-09-11T21:56:00Z</dcterms:modified>
</cp:coreProperties>
</file>