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594E32">
        <w:rPr>
          <w:rFonts w:ascii="Arial" w:eastAsia="Times New Roman" w:hAnsi="Arial" w:cs="Arial"/>
          <w:lang w:val="es-ES" w:eastAsia="es-ES"/>
        </w:rPr>
        <w:t>1</w:t>
      </w:r>
      <w:r w:rsidR="001A061A">
        <w:rPr>
          <w:rFonts w:ascii="Arial" w:eastAsia="Times New Roman" w:hAnsi="Arial" w:cs="Arial"/>
          <w:lang w:val="es-ES" w:eastAsia="es-ES"/>
        </w:rPr>
        <w:t>0</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94E32">
        <w:rPr>
          <w:rFonts w:ascii="Arial" w:eastAsia="Times New Roman" w:hAnsi="Arial" w:cs="Arial"/>
          <w:lang w:val="es-ES" w:eastAsia="es-ES"/>
        </w:rPr>
        <w:t>1</w:t>
      </w:r>
      <w:r w:rsidR="001A061A">
        <w:rPr>
          <w:rFonts w:ascii="Arial" w:eastAsia="Times New Roman" w:hAnsi="Arial" w:cs="Arial"/>
          <w:lang w:val="es-ES" w:eastAsia="es-ES"/>
        </w:rPr>
        <w:t>0</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2019 </w:t>
      </w:r>
      <w:r w:rsidRPr="00323E7A">
        <w:rPr>
          <w:rFonts w:ascii="Arial" w:hAnsi="Arial" w:cs="Arial"/>
          <w:color w:val="FF0000"/>
        </w:rPr>
        <w:t>(Negativa)</w:t>
      </w:r>
      <w:r w:rsidRPr="00323E7A">
        <w:rPr>
          <w:rFonts w:ascii="Arial" w:hAnsi="Arial" w:cs="Arial"/>
          <w:color w:val="FF0000"/>
        </w:rPr>
        <w:tab/>
      </w:r>
      <w:r w:rsidRPr="00A20B89">
        <w:rPr>
          <w:rFonts w:ascii="Arial" w:hAnsi="Arial" w:cs="Arial"/>
        </w:rPr>
        <w:tab/>
      </w:r>
    </w:p>
    <w:p w:rsidR="00D611CC" w:rsidRDefault="00D611CC" w:rsidP="00D611CC">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Default="00D611CC" w:rsidP="00D611CC">
      <w:pPr>
        <w:pStyle w:val="Prrafodelista"/>
        <w:spacing w:after="160" w:line="259" w:lineRule="auto"/>
        <w:ind w:left="709"/>
        <w:jc w:val="both"/>
        <w:rPr>
          <w:rFonts w:ascii="Arial" w:hAnsi="Arial" w:cs="Arial"/>
          <w:b/>
        </w:rPr>
      </w:pP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lastRenderedPageBreak/>
        <w:t xml:space="preserve">Proyecto de Ley 249 de 2018 Cámara </w:t>
      </w:r>
      <w:r w:rsidRPr="00A20B89">
        <w:rPr>
          <w:rFonts w:ascii="Arial" w:hAnsi="Arial" w:cs="Arial"/>
        </w:rPr>
        <w:t>“Por medio del cual se establecen medidas para mejorar la inserción laboral de los jóvenes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BENTEZ.  Designados el 20 de noviembre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D611CC" w:rsidRPr="00A20B89" w:rsidRDefault="00D611CC" w:rsidP="00D611CC">
      <w:pPr>
        <w:spacing w:after="0" w:line="240" w:lineRule="auto"/>
        <w:ind w:left="709"/>
        <w:contextualSpacing/>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spacing w:after="0" w:line="240" w:lineRule="auto"/>
        <w:ind w:left="709"/>
        <w:contextualSpacing/>
        <w:rPr>
          <w:rFonts w:ascii="Arial" w:hAnsi="Arial" w:cs="Arial"/>
          <w:b/>
        </w:rPr>
      </w:pPr>
    </w:p>
    <w:p w:rsidR="00D611CC" w:rsidRPr="00DA015A" w:rsidRDefault="00D611CC" w:rsidP="00D611CC">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180 de 2018 Cámara </w:t>
      </w:r>
      <w:r w:rsidRPr="00A20B89">
        <w:rPr>
          <w:rFonts w:ascii="Arial" w:hAnsi="Arial" w:cs="Arial"/>
        </w:rPr>
        <w:t>“Por medio del cual se fortalece la reglamentación para la entrega de los recursos en la modalidad de subsidio económico directo a los beneficiarios 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H.R. ALEJANDRO CARLOS CHACON CAMARGO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JUAN CARLOS REINALES AGUDELO (Coordinador Ponente), OMAR DE JESUS RESTREPO CORREA.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1158 de 2018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lastRenderedPageBreak/>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156 de 2018 Cámara </w:t>
      </w:r>
      <w:r w:rsidRPr="00A20B89">
        <w:rPr>
          <w:rFonts w:ascii="Arial" w:hAnsi="Arial" w:cs="Arial"/>
        </w:rPr>
        <w:t>“Por la cual se garantiza la estabilidad laboral reforzada de los miembros de la fuerza pública con disminución de la capacidad psicofísica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H.S. PAOLA ANDREA HOLGUIN MORENO y el H.R. JUAN FERNANDO ESPINAL RAMIREZ.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12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732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04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HUMBERTO CRISTO CORREA (Coordinador Ponente), FABIAN DIAZ PLATA.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081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594E32" w:rsidRDefault="00594E32"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594E32" w:rsidRDefault="00594E32"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594E32" w:rsidRDefault="00594E32"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594E32" w:rsidRDefault="00594E32"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87" w:rsidRDefault="00020A87" w:rsidP="00056216">
      <w:pPr>
        <w:spacing w:after="0" w:line="240" w:lineRule="auto"/>
      </w:pPr>
      <w:r>
        <w:separator/>
      </w:r>
    </w:p>
  </w:endnote>
  <w:endnote w:type="continuationSeparator" w:id="0">
    <w:p w:rsidR="00020A87" w:rsidRDefault="00020A8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20A8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20A8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87" w:rsidRDefault="00020A87" w:rsidP="00056216">
      <w:pPr>
        <w:spacing w:after="0" w:line="240" w:lineRule="auto"/>
      </w:pPr>
      <w:r>
        <w:separator/>
      </w:r>
    </w:p>
  </w:footnote>
  <w:footnote w:type="continuationSeparator" w:id="0">
    <w:p w:rsidR="00020A87" w:rsidRDefault="00020A87"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8E0030" w:rsidRPr="008E0030">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8E0030" w:rsidRPr="008E0030">
            <w:rPr>
              <w:rFonts w:cs="Arial"/>
              <w:b/>
              <w:noProof/>
              <w:sz w:val="14"/>
              <w:szCs w:val="14"/>
              <w:lang w:val="es-ES"/>
            </w:rPr>
            <w:t>3</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0A87"/>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030"/>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4A8"/>
    <w:rsid w:val="00D71914"/>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14A3-ED62-406E-A3A9-B720F476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2019-04-09T13:32:00Z</cp:lastPrinted>
  <dcterms:created xsi:type="dcterms:W3CDTF">2019-04-09T19:10:00Z</dcterms:created>
  <dcterms:modified xsi:type="dcterms:W3CDTF">2019-04-09T19:10:00Z</dcterms:modified>
</cp:coreProperties>
</file>