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FFFB8" w14:textId="77777777" w:rsidR="001C3E7B" w:rsidRDefault="001C3E7B" w:rsidP="005B5E46">
      <w:pPr>
        <w:jc w:val="center"/>
        <w:rPr>
          <w:rFonts w:ascii="Arial" w:hAnsi="Arial" w:cs="Arial"/>
          <w:b/>
          <w:sz w:val="24"/>
          <w:szCs w:val="24"/>
        </w:rPr>
      </w:pPr>
    </w:p>
    <w:p w14:paraId="46C1E8F2" w14:textId="77777777" w:rsidR="005B5E46" w:rsidRPr="005B5E46" w:rsidRDefault="005B5E46" w:rsidP="005B5E46">
      <w:pPr>
        <w:jc w:val="center"/>
        <w:rPr>
          <w:rFonts w:ascii="Arial" w:hAnsi="Arial" w:cs="Arial"/>
          <w:b/>
          <w:sz w:val="24"/>
          <w:szCs w:val="24"/>
        </w:rPr>
      </w:pPr>
      <w:r w:rsidRPr="00C47C4E">
        <w:rPr>
          <w:rFonts w:ascii="Arial" w:hAnsi="Arial" w:cs="Arial"/>
          <w:b/>
          <w:sz w:val="24"/>
          <w:szCs w:val="24"/>
        </w:rPr>
        <w:t>PROYECTO DE LEY No.         DE 2019 “MEDIANTE EL CUAL SE MODIFICA EL TRATAMIENTO PENAL DE LOS DELITOS QUE ATENTAN</w:t>
      </w:r>
      <w:r w:rsidR="00685478">
        <w:rPr>
          <w:rFonts w:ascii="Arial" w:hAnsi="Arial" w:cs="Arial"/>
          <w:b/>
          <w:sz w:val="24"/>
          <w:szCs w:val="24"/>
        </w:rPr>
        <w:t xml:space="preserve"> CONTRA EL PATRIMONIO ECONÓMICO</w:t>
      </w:r>
      <w:r w:rsidRPr="00C47C4E">
        <w:rPr>
          <w:rFonts w:ascii="Arial" w:hAnsi="Arial" w:cs="Arial"/>
          <w:b/>
          <w:sz w:val="24"/>
          <w:szCs w:val="24"/>
        </w:rPr>
        <w:t>, SE PRIORIZA A LA VÍCTIMA DE CONDUCTAS DELICTIVAS, Y SE ESTABLECEN MEDIDAS PARA LA DISUASIÓN A LA REINCIDENCIA CRIMINAL</w:t>
      </w:r>
      <w:r w:rsidR="00685478">
        <w:rPr>
          <w:rFonts w:ascii="Arial" w:hAnsi="Arial" w:cs="Arial"/>
          <w:b/>
          <w:sz w:val="24"/>
          <w:szCs w:val="24"/>
        </w:rPr>
        <w:t xml:space="preserve"> Y SU RÁPIDA CONSTITUCIÓN</w:t>
      </w:r>
      <w:r w:rsidRPr="00C47C4E">
        <w:rPr>
          <w:rFonts w:ascii="Arial" w:hAnsi="Arial" w:cs="Arial"/>
          <w:b/>
          <w:sz w:val="24"/>
          <w:szCs w:val="24"/>
        </w:rPr>
        <w:t>”</w:t>
      </w:r>
    </w:p>
    <w:p w14:paraId="1812611C" w14:textId="77777777" w:rsidR="005B5E46" w:rsidRDefault="005B5E46" w:rsidP="005B5E46">
      <w:pPr>
        <w:jc w:val="both"/>
        <w:rPr>
          <w:rFonts w:ascii="Arial" w:hAnsi="Arial" w:cs="Arial"/>
          <w:sz w:val="24"/>
          <w:szCs w:val="24"/>
        </w:rPr>
      </w:pPr>
      <w:r>
        <w:rPr>
          <w:rFonts w:ascii="Arial" w:hAnsi="Arial" w:cs="Arial"/>
          <w:b/>
          <w:sz w:val="24"/>
          <w:szCs w:val="24"/>
        </w:rPr>
        <w:t>Artículo 1.</w:t>
      </w:r>
      <w:r w:rsidRPr="00551D8F">
        <w:rPr>
          <w:rFonts w:ascii="Arial" w:hAnsi="Arial" w:cs="Arial"/>
          <w:sz w:val="24"/>
          <w:szCs w:val="24"/>
        </w:rPr>
        <w:t xml:space="preserve"> </w:t>
      </w:r>
      <w:r>
        <w:rPr>
          <w:rFonts w:ascii="Arial" w:hAnsi="Arial" w:cs="Arial"/>
          <w:sz w:val="24"/>
          <w:szCs w:val="24"/>
        </w:rPr>
        <w:t>Adicióne</w:t>
      </w:r>
      <w:r w:rsidR="001A5247">
        <w:rPr>
          <w:rFonts w:ascii="Arial" w:hAnsi="Arial" w:cs="Arial"/>
          <w:sz w:val="24"/>
          <w:szCs w:val="24"/>
        </w:rPr>
        <w:t>n</w:t>
      </w:r>
      <w:r>
        <w:rPr>
          <w:rFonts w:ascii="Arial" w:hAnsi="Arial" w:cs="Arial"/>
          <w:sz w:val="24"/>
          <w:szCs w:val="24"/>
        </w:rPr>
        <w:t xml:space="preserve">se </w:t>
      </w:r>
      <w:r w:rsidR="001A5247">
        <w:rPr>
          <w:rFonts w:ascii="Arial" w:hAnsi="Arial" w:cs="Arial"/>
          <w:sz w:val="24"/>
          <w:szCs w:val="24"/>
        </w:rPr>
        <w:t>cuatro</w:t>
      </w:r>
      <w:r>
        <w:rPr>
          <w:rFonts w:ascii="Arial" w:hAnsi="Arial" w:cs="Arial"/>
          <w:sz w:val="24"/>
          <w:szCs w:val="24"/>
        </w:rPr>
        <w:t xml:space="preserve"> nuevo</w:t>
      </w:r>
      <w:r w:rsidR="001A5247">
        <w:rPr>
          <w:rFonts w:ascii="Arial" w:hAnsi="Arial" w:cs="Arial"/>
          <w:sz w:val="24"/>
          <w:szCs w:val="24"/>
        </w:rPr>
        <w:t>s</w:t>
      </w:r>
      <w:r>
        <w:rPr>
          <w:rFonts w:ascii="Arial" w:hAnsi="Arial" w:cs="Arial"/>
          <w:sz w:val="24"/>
          <w:szCs w:val="24"/>
        </w:rPr>
        <w:t xml:space="preserve"> artículo</w:t>
      </w:r>
      <w:r w:rsidR="001A5247">
        <w:rPr>
          <w:rFonts w:ascii="Arial" w:hAnsi="Arial" w:cs="Arial"/>
          <w:sz w:val="24"/>
          <w:szCs w:val="24"/>
        </w:rPr>
        <w:t>s</w:t>
      </w:r>
      <w:r>
        <w:rPr>
          <w:rFonts w:ascii="Arial" w:hAnsi="Arial" w:cs="Arial"/>
          <w:sz w:val="24"/>
          <w:szCs w:val="24"/>
        </w:rPr>
        <w:t xml:space="preserve"> en el Capítulo </w:t>
      </w:r>
      <w:r w:rsidR="005B20CB">
        <w:rPr>
          <w:rFonts w:ascii="Arial" w:hAnsi="Arial" w:cs="Arial"/>
          <w:sz w:val="24"/>
          <w:szCs w:val="24"/>
        </w:rPr>
        <w:t>Noveno</w:t>
      </w:r>
      <w:r>
        <w:rPr>
          <w:rFonts w:ascii="Arial" w:hAnsi="Arial" w:cs="Arial"/>
          <w:sz w:val="24"/>
          <w:szCs w:val="24"/>
        </w:rPr>
        <w:t xml:space="preserve"> del Título VII </w:t>
      </w:r>
      <w:r w:rsidR="001A5247">
        <w:rPr>
          <w:rFonts w:ascii="Arial" w:hAnsi="Arial" w:cs="Arial"/>
          <w:sz w:val="24"/>
          <w:szCs w:val="24"/>
        </w:rPr>
        <w:t xml:space="preserve">del Libro II del Código Penal, </w:t>
      </w:r>
      <w:r>
        <w:rPr>
          <w:rFonts w:ascii="Arial" w:hAnsi="Arial" w:cs="Arial"/>
          <w:sz w:val="24"/>
          <w:szCs w:val="24"/>
        </w:rPr>
        <w:t>l</w:t>
      </w:r>
      <w:r w:rsidR="001A5247">
        <w:rPr>
          <w:rFonts w:ascii="Arial" w:hAnsi="Arial" w:cs="Arial"/>
          <w:sz w:val="24"/>
          <w:szCs w:val="24"/>
        </w:rPr>
        <w:t>os</w:t>
      </w:r>
      <w:r>
        <w:rPr>
          <w:rFonts w:ascii="Arial" w:hAnsi="Arial" w:cs="Arial"/>
          <w:sz w:val="24"/>
          <w:szCs w:val="24"/>
        </w:rPr>
        <w:t xml:space="preserve"> cual</w:t>
      </w:r>
      <w:r w:rsidR="001A5247">
        <w:rPr>
          <w:rFonts w:ascii="Arial" w:hAnsi="Arial" w:cs="Arial"/>
          <w:sz w:val="24"/>
          <w:szCs w:val="24"/>
        </w:rPr>
        <w:t>es</w:t>
      </w:r>
      <w:r>
        <w:rPr>
          <w:rFonts w:ascii="Arial" w:hAnsi="Arial" w:cs="Arial"/>
          <w:sz w:val="24"/>
          <w:szCs w:val="24"/>
        </w:rPr>
        <w:t xml:space="preserve"> quedará</w:t>
      </w:r>
      <w:r w:rsidR="001A5247">
        <w:rPr>
          <w:rFonts w:ascii="Arial" w:hAnsi="Arial" w:cs="Arial"/>
          <w:sz w:val="24"/>
          <w:szCs w:val="24"/>
        </w:rPr>
        <w:t>n</w:t>
      </w:r>
      <w:r>
        <w:rPr>
          <w:rFonts w:ascii="Arial" w:hAnsi="Arial" w:cs="Arial"/>
          <w:sz w:val="24"/>
          <w:szCs w:val="24"/>
        </w:rPr>
        <w:t xml:space="preserve"> así: </w:t>
      </w:r>
    </w:p>
    <w:p w14:paraId="142436CE" w14:textId="77777777" w:rsidR="005B5E46" w:rsidRPr="005B5E46" w:rsidRDefault="00685478" w:rsidP="001A5247">
      <w:pPr>
        <w:jc w:val="both"/>
        <w:rPr>
          <w:rFonts w:ascii="Arial" w:hAnsi="Arial" w:cs="Arial"/>
          <w:b/>
          <w:sz w:val="24"/>
          <w:szCs w:val="24"/>
        </w:rPr>
      </w:pPr>
      <w:r>
        <w:rPr>
          <w:rFonts w:ascii="Arial" w:hAnsi="Arial" w:cs="Arial"/>
          <w:sz w:val="24"/>
          <w:szCs w:val="24"/>
        </w:rPr>
        <w:t>“</w:t>
      </w:r>
      <w:r w:rsidR="005B5E46" w:rsidRPr="005B5E46">
        <w:rPr>
          <w:rFonts w:ascii="Arial" w:hAnsi="Arial" w:cs="Arial"/>
          <w:b/>
          <w:sz w:val="24"/>
          <w:szCs w:val="24"/>
        </w:rPr>
        <w:t xml:space="preserve">Artículo </w:t>
      </w:r>
      <w:r w:rsidR="00D92035">
        <w:rPr>
          <w:rFonts w:ascii="Arial" w:hAnsi="Arial" w:cs="Arial"/>
          <w:b/>
          <w:sz w:val="24"/>
          <w:szCs w:val="24"/>
        </w:rPr>
        <w:t>269 A</w:t>
      </w:r>
      <w:r w:rsidR="005B5E46" w:rsidRPr="005B5E46">
        <w:rPr>
          <w:rFonts w:ascii="Arial" w:hAnsi="Arial" w:cs="Arial"/>
          <w:b/>
          <w:sz w:val="24"/>
          <w:szCs w:val="24"/>
        </w:rPr>
        <w:t>.</w:t>
      </w:r>
      <w:r w:rsidR="005B20CB">
        <w:rPr>
          <w:rFonts w:ascii="Arial" w:hAnsi="Arial" w:cs="Arial"/>
          <w:b/>
          <w:sz w:val="24"/>
          <w:szCs w:val="24"/>
        </w:rPr>
        <w:t xml:space="preserve"> Mecanismo puniti</w:t>
      </w:r>
      <w:r w:rsidR="00410E81">
        <w:rPr>
          <w:rFonts w:ascii="Arial" w:hAnsi="Arial" w:cs="Arial"/>
          <w:b/>
          <w:sz w:val="24"/>
          <w:szCs w:val="24"/>
        </w:rPr>
        <w:t>vo</w:t>
      </w:r>
      <w:r w:rsidR="005B20CB">
        <w:rPr>
          <w:rFonts w:ascii="Arial" w:hAnsi="Arial" w:cs="Arial"/>
          <w:b/>
          <w:sz w:val="24"/>
          <w:szCs w:val="24"/>
        </w:rPr>
        <w:t xml:space="preserve"> para el primer infractor</w:t>
      </w:r>
      <w:r w:rsidR="00410E81">
        <w:rPr>
          <w:rFonts w:ascii="Arial" w:hAnsi="Arial" w:cs="Arial"/>
          <w:b/>
          <w:sz w:val="24"/>
          <w:szCs w:val="24"/>
        </w:rPr>
        <w:t xml:space="preserve"> en delitos particulares</w:t>
      </w:r>
      <w:r w:rsidR="005B20CB">
        <w:rPr>
          <w:rFonts w:ascii="Arial" w:hAnsi="Arial" w:cs="Arial"/>
          <w:b/>
          <w:sz w:val="24"/>
          <w:szCs w:val="24"/>
        </w:rPr>
        <w:t xml:space="preserve">. </w:t>
      </w:r>
      <w:r w:rsidR="005B5E46" w:rsidRPr="00551D8F">
        <w:rPr>
          <w:rFonts w:ascii="Arial" w:hAnsi="Arial" w:cs="Arial"/>
          <w:sz w:val="24"/>
          <w:szCs w:val="24"/>
        </w:rPr>
        <w:t>En el caso de las conductas</w:t>
      </w:r>
      <w:r w:rsidR="005B5E46">
        <w:rPr>
          <w:rFonts w:ascii="Arial" w:hAnsi="Arial" w:cs="Arial"/>
          <w:sz w:val="24"/>
          <w:szCs w:val="24"/>
        </w:rPr>
        <w:t xml:space="preserve"> punibles</w:t>
      </w:r>
      <w:r w:rsidR="005B5E46" w:rsidRPr="00551D8F">
        <w:rPr>
          <w:rFonts w:ascii="Arial" w:hAnsi="Arial" w:cs="Arial"/>
          <w:sz w:val="24"/>
          <w:szCs w:val="24"/>
        </w:rPr>
        <w:t xml:space="preserve"> de</w:t>
      </w:r>
      <w:r w:rsidR="003B68E2">
        <w:rPr>
          <w:rFonts w:ascii="Arial" w:hAnsi="Arial" w:cs="Arial"/>
          <w:sz w:val="24"/>
          <w:szCs w:val="24"/>
        </w:rPr>
        <w:t xml:space="preserve"> lesiones personales dolosas que generen la perdida anatómica o funcional de un órgano o miembro (art. 116 de C.P.),</w:t>
      </w:r>
      <w:r w:rsidR="005B5E46" w:rsidRPr="00551D8F">
        <w:rPr>
          <w:rFonts w:ascii="Arial" w:hAnsi="Arial" w:cs="Arial"/>
          <w:sz w:val="24"/>
          <w:szCs w:val="24"/>
        </w:rPr>
        <w:t xml:space="preserve"> hurto calificado (art. </w:t>
      </w:r>
      <w:r w:rsidR="005B5E46">
        <w:rPr>
          <w:rFonts w:ascii="Arial" w:hAnsi="Arial" w:cs="Arial"/>
          <w:sz w:val="24"/>
          <w:szCs w:val="24"/>
        </w:rPr>
        <w:t>240</w:t>
      </w:r>
      <w:r w:rsidR="005B5E46" w:rsidRPr="00551D8F">
        <w:rPr>
          <w:rFonts w:ascii="Arial" w:hAnsi="Arial" w:cs="Arial"/>
          <w:sz w:val="24"/>
          <w:szCs w:val="24"/>
        </w:rPr>
        <w:t xml:space="preserve"> de C.P.), abigeato (art. </w:t>
      </w:r>
      <w:r w:rsidR="005B5E46">
        <w:rPr>
          <w:rFonts w:ascii="Arial" w:hAnsi="Arial" w:cs="Arial"/>
          <w:sz w:val="24"/>
          <w:szCs w:val="24"/>
        </w:rPr>
        <w:t>243</w:t>
      </w:r>
      <w:r w:rsidR="005B5E46" w:rsidRPr="00551D8F">
        <w:rPr>
          <w:rFonts w:ascii="Arial" w:hAnsi="Arial" w:cs="Arial"/>
          <w:sz w:val="24"/>
          <w:szCs w:val="24"/>
        </w:rPr>
        <w:t xml:space="preserve"> de C.P.) y abigeato agravado (art. </w:t>
      </w:r>
      <w:r w:rsidR="005B5E46">
        <w:rPr>
          <w:rFonts w:ascii="Arial" w:hAnsi="Arial" w:cs="Arial"/>
          <w:sz w:val="24"/>
          <w:szCs w:val="24"/>
        </w:rPr>
        <w:t>243 A</w:t>
      </w:r>
      <w:r w:rsidR="005B5E46" w:rsidRPr="00551D8F">
        <w:rPr>
          <w:rFonts w:ascii="Arial" w:hAnsi="Arial" w:cs="Arial"/>
          <w:sz w:val="24"/>
          <w:szCs w:val="24"/>
        </w:rPr>
        <w:t xml:space="preserve"> de C</w:t>
      </w:r>
      <w:r w:rsidR="00FE3A79">
        <w:rPr>
          <w:rFonts w:ascii="Arial" w:hAnsi="Arial" w:cs="Arial"/>
          <w:sz w:val="24"/>
          <w:szCs w:val="24"/>
        </w:rPr>
        <w:t>.</w:t>
      </w:r>
      <w:r w:rsidR="005B5E46" w:rsidRPr="00551D8F">
        <w:rPr>
          <w:rFonts w:ascii="Arial" w:hAnsi="Arial" w:cs="Arial"/>
          <w:sz w:val="24"/>
          <w:szCs w:val="24"/>
        </w:rPr>
        <w:t>P</w:t>
      </w:r>
      <w:r w:rsidR="00FE3A79">
        <w:rPr>
          <w:rFonts w:ascii="Arial" w:hAnsi="Arial" w:cs="Arial"/>
          <w:sz w:val="24"/>
          <w:szCs w:val="24"/>
        </w:rPr>
        <w:t>.</w:t>
      </w:r>
      <w:r w:rsidR="005B5E46" w:rsidRPr="00551D8F">
        <w:rPr>
          <w:rFonts w:ascii="Arial" w:hAnsi="Arial" w:cs="Arial"/>
          <w:sz w:val="24"/>
          <w:szCs w:val="24"/>
        </w:rPr>
        <w:t>), cuando la persona, en la primera oportunidad procesal que tenga, acept</w:t>
      </w:r>
      <w:r w:rsidR="005B5E46">
        <w:rPr>
          <w:rFonts w:ascii="Arial" w:hAnsi="Arial" w:cs="Arial"/>
          <w:sz w:val="24"/>
          <w:szCs w:val="24"/>
        </w:rPr>
        <w:t>e</w:t>
      </w:r>
      <w:r w:rsidR="005B5E46" w:rsidRPr="00551D8F">
        <w:rPr>
          <w:rFonts w:ascii="Arial" w:hAnsi="Arial" w:cs="Arial"/>
          <w:sz w:val="24"/>
          <w:szCs w:val="24"/>
        </w:rPr>
        <w:t xml:space="preserve"> libre, consiente y voluntariamente su responsabilidad en lo ocurrido, el juez competente impondrá una pena de </w:t>
      </w:r>
      <w:r w:rsidR="005B20CB">
        <w:rPr>
          <w:rFonts w:ascii="Arial" w:hAnsi="Arial" w:cs="Arial"/>
          <w:sz w:val="24"/>
          <w:szCs w:val="24"/>
        </w:rPr>
        <w:t>máximo</w:t>
      </w:r>
      <w:r w:rsidR="005B5E46" w:rsidRPr="00551D8F">
        <w:rPr>
          <w:rFonts w:ascii="Arial" w:hAnsi="Arial" w:cs="Arial"/>
          <w:sz w:val="24"/>
          <w:szCs w:val="24"/>
        </w:rPr>
        <w:t xml:space="preserve"> el </w:t>
      </w:r>
      <w:r>
        <w:rPr>
          <w:rFonts w:ascii="Arial" w:hAnsi="Arial" w:cs="Arial"/>
          <w:sz w:val="24"/>
          <w:szCs w:val="24"/>
        </w:rPr>
        <w:t>20</w:t>
      </w:r>
      <w:r w:rsidR="005B5E46" w:rsidRPr="00551D8F">
        <w:rPr>
          <w:rFonts w:ascii="Arial" w:hAnsi="Arial" w:cs="Arial"/>
          <w:sz w:val="24"/>
          <w:szCs w:val="24"/>
        </w:rPr>
        <w:t>% de la establecida</w:t>
      </w:r>
      <w:r w:rsidR="00F5220C">
        <w:rPr>
          <w:rFonts w:ascii="Arial" w:hAnsi="Arial" w:cs="Arial"/>
          <w:sz w:val="24"/>
          <w:szCs w:val="24"/>
        </w:rPr>
        <w:t xml:space="preserve"> y multa en los casos que esté establecida como pena principal</w:t>
      </w:r>
      <w:r w:rsidR="005B5E46" w:rsidRPr="00551D8F">
        <w:rPr>
          <w:rFonts w:ascii="Arial" w:hAnsi="Arial" w:cs="Arial"/>
          <w:sz w:val="24"/>
          <w:szCs w:val="24"/>
        </w:rPr>
        <w:t xml:space="preserve">, luego de dosificarla según las reglas vigentes en el </w:t>
      </w:r>
      <w:r w:rsidR="005B5E46">
        <w:rPr>
          <w:rFonts w:ascii="Arial" w:hAnsi="Arial" w:cs="Arial"/>
          <w:sz w:val="24"/>
          <w:szCs w:val="24"/>
        </w:rPr>
        <w:t>C</w:t>
      </w:r>
      <w:r w:rsidR="005B5E46" w:rsidRPr="00551D8F">
        <w:rPr>
          <w:rFonts w:ascii="Arial" w:hAnsi="Arial" w:cs="Arial"/>
          <w:sz w:val="24"/>
          <w:szCs w:val="24"/>
        </w:rPr>
        <w:t>ódigo</w:t>
      </w:r>
      <w:r w:rsidR="005B5E46">
        <w:rPr>
          <w:rFonts w:ascii="Arial" w:hAnsi="Arial" w:cs="Arial"/>
          <w:sz w:val="24"/>
          <w:szCs w:val="24"/>
        </w:rPr>
        <w:t xml:space="preserve"> Penal</w:t>
      </w:r>
      <w:r w:rsidR="005B5E46" w:rsidRPr="00551D8F">
        <w:rPr>
          <w:rFonts w:ascii="Arial" w:hAnsi="Arial" w:cs="Arial"/>
          <w:sz w:val="24"/>
          <w:szCs w:val="24"/>
        </w:rPr>
        <w:t>.</w:t>
      </w:r>
    </w:p>
    <w:p w14:paraId="4C574930" w14:textId="77777777" w:rsidR="001A5247" w:rsidRDefault="001A5247" w:rsidP="001A5247">
      <w:pPr>
        <w:jc w:val="both"/>
        <w:rPr>
          <w:rFonts w:ascii="Arial" w:hAnsi="Arial" w:cs="Arial"/>
          <w:sz w:val="24"/>
          <w:szCs w:val="24"/>
        </w:rPr>
      </w:pPr>
      <w:r w:rsidRPr="001A5247">
        <w:rPr>
          <w:rFonts w:ascii="Arial" w:hAnsi="Arial" w:cs="Arial"/>
          <w:b/>
          <w:sz w:val="24"/>
          <w:szCs w:val="24"/>
        </w:rPr>
        <w:t>Artículo 269 B.</w:t>
      </w:r>
      <w:r>
        <w:rPr>
          <w:rFonts w:ascii="Arial" w:hAnsi="Arial" w:cs="Arial"/>
          <w:sz w:val="24"/>
          <w:szCs w:val="24"/>
        </w:rPr>
        <w:t xml:space="preserve"> </w:t>
      </w:r>
      <w:r w:rsidR="005B5E46" w:rsidRPr="00551D8F">
        <w:rPr>
          <w:rFonts w:ascii="Arial" w:hAnsi="Arial" w:cs="Arial"/>
          <w:sz w:val="24"/>
          <w:szCs w:val="24"/>
        </w:rPr>
        <w:t>Lo previsto</w:t>
      </w:r>
      <w:r w:rsidR="00410E81">
        <w:rPr>
          <w:rFonts w:ascii="Arial" w:hAnsi="Arial" w:cs="Arial"/>
          <w:sz w:val="24"/>
          <w:szCs w:val="24"/>
        </w:rPr>
        <w:t xml:space="preserve"> en el artículo anterior</w:t>
      </w:r>
      <w:r w:rsidR="005B5E46" w:rsidRPr="00551D8F">
        <w:rPr>
          <w:rFonts w:ascii="Arial" w:hAnsi="Arial" w:cs="Arial"/>
          <w:sz w:val="24"/>
          <w:szCs w:val="24"/>
        </w:rPr>
        <w:t xml:space="preserve"> procederá </w:t>
      </w:r>
      <w:r w:rsidR="005B5E46">
        <w:rPr>
          <w:rFonts w:ascii="Arial" w:hAnsi="Arial" w:cs="Arial"/>
          <w:sz w:val="24"/>
          <w:szCs w:val="24"/>
        </w:rPr>
        <w:t>siempre y cuando</w:t>
      </w:r>
      <w:r>
        <w:rPr>
          <w:rFonts w:ascii="Arial" w:hAnsi="Arial" w:cs="Arial"/>
          <w:sz w:val="24"/>
          <w:szCs w:val="24"/>
        </w:rPr>
        <w:t>:</w:t>
      </w:r>
    </w:p>
    <w:p w14:paraId="4B9F93CC" w14:textId="77777777" w:rsidR="001A5247" w:rsidRDefault="001A5247" w:rsidP="001A5247">
      <w:pPr>
        <w:pStyle w:val="Prrafodelista"/>
        <w:numPr>
          <w:ilvl w:val="0"/>
          <w:numId w:val="4"/>
        </w:numPr>
        <w:jc w:val="both"/>
        <w:rPr>
          <w:rFonts w:ascii="Arial" w:hAnsi="Arial" w:cs="Arial"/>
          <w:sz w:val="24"/>
          <w:szCs w:val="24"/>
        </w:rPr>
      </w:pPr>
      <w:r>
        <w:rPr>
          <w:rFonts w:ascii="Arial" w:hAnsi="Arial" w:cs="Arial"/>
          <w:sz w:val="24"/>
          <w:szCs w:val="24"/>
        </w:rPr>
        <w:t>E</w:t>
      </w:r>
      <w:r w:rsidR="005B5E46" w:rsidRPr="001A5247">
        <w:rPr>
          <w:rFonts w:ascii="Arial" w:hAnsi="Arial" w:cs="Arial"/>
          <w:sz w:val="24"/>
          <w:szCs w:val="24"/>
        </w:rPr>
        <w:t>l responsable carezca de antecedentes penales y</w:t>
      </w:r>
      <w:r>
        <w:rPr>
          <w:rFonts w:ascii="Arial" w:hAnsi="Arial" w:cs="Arial"/>
          <w:sz w:val="24"/>
          <w:szCs w:val="24"/>
        </w:rPr>
        <w:t>,</w:t>
      </w:r>
    </w:p>
    <w:p w14:paraId="43F5DF63" w14:textId="77777777" w:rsidR="001A5247" w:rsidRDefault="001A5247" w:rsidP="001A5247">
      <w:pPr>
        <w:pStyle w:val="Prrafodelista"/>
        <w:numPr>
          <w:ilvl w:val="0"/>
          <w:numId w:val="4"/>
        </w:numPr>
        <w:jc w:val="both"/>
        <w:rPr>
          <w:rFonts w:ascii="Arial" w:hAnsi="Arial" w:cs="Arial"/>
          <w:sz w:val="24"/>
          <w:szCs w:val="24"/>
        </w:rPr>
      </w:pPr>
      <w:r>
        <w:rPr>
          <w:rFonts w:ascii="Arial" w:hAnsi="Arial" w:cs="Arial"/>
          <w:sz w:val="24"/>
          <w:szCs w:val="24"/>
        </w:rPr>
        <w:t>Ga</w:t>
      </w:r>
      <w:r w:rsidR="005B5E46" w:rsidRPr="001A5247">
        <w:rPr>
          <w:rFonts w:ascii="Arial" w:hAnsi="Arial" w:cs="Arial"/>
          <w:sz w:val="24"/>
          <w:szCs w:val="24"/>
        </w:rPr>
        <w:t>rantice la satisfacción de los intereses de las víctimas,</w:t>
      </w:r>
      <w:r>
        <w:rPr>
          <w:rFonts w:ascii="Arial" w:hAnsi="Arial" w:cs="Arial"/>
          <w:sz w:val="24"/>
          <w:szCs w:val="24"/>
        </w:rPr>
        <w:t xml:space="preserve"> que debe</w:t>
      </w:r>
      <w:r w:rsidR="000C7971">
        <w:rPr>
          <w:rFonts w:ascii="Arial" w:hAnsi="Arial" w:cs="Arial"/>
          <w:sz w:val="24"/>
          <w:szCs w:val="24"/>
        </w:rPr>
        <w:t>rán ser materializados en:</w:t>
      </w:r>
    </w:p>
    <w:p w14:paraId="4A87B07B" w14:textId="25CBE28E" w:rsidR="001A5247" w:rsidRDefault="00DA76D5" w:rsidP="001A5247">
      <w:pPr>
        <w:pStyle w:val="Prrafodelista"/>
        <w:numPr>
          <w:ilvl w:val="0"/>
          <w:numId w:val="5"/>
        </w:numPr>
        <w:jc w:val="both"/>
        <w:rPr>
          <w:rFonts w:ascii="Arial" w:hAnsi="Arial" w:cs="Arial"/>
          <w:sz w:val="24"/>
          <w:szCs w:val="24"/>
        </w:rPr>
      </w:pPr>
      <w:r>
        <w:rPr>
          <w:rFonts w:ascii="Arial" w:hAnsi="Arial" w:cs="Arial"/>
          <w:b/>
          <w:sz w:val="24"/>
          <w:szCs w:val="24"/>
        </w:rPr>
        <w:t>Reparació</w:t>
      </w:r>
      <w:r w:rsidR="000C7971" w:rsidRPr="007F3CE3">
        <w:rPr>
          <w:rFonts w:ascii="Arial" w:hAnsi="Arial" w:cs="Arial"/>
          <w:b/>
          <w:sz w:val="24"/>
          <w:szCs w:val="24"/>
        </w:rPr>
        <w:t>n</w:t>
      </w:r>
      <w:r w:rsidR="00D75DB2" w:rsidRPr="007F3CE3">
        <w:rPr>
          <w:rFonts w:ascii="Arial" w:hAnsi="Arial" w:cs="Arial"/>
          <w:b/>
          <w:sz w:val="24"/>
          <w:szCs w:val="24"/>
        </w:rPr>
        <w:t xml:space="preserve"> Integral.</w:t>
      </w:r>
      <w:r w:rsidR="00D75DB2">
        <w:rPr>
          <w:rFonts w:ascii="Arial" w:hAnsi="Arial" w:cs="Arial"/>
          <w:sz w:val="24"/>
          <w:szCs w:val="24"/>
        </w:rPr>
        <w:t xml:space="preserve"> Hasta 3 veces el valor del daño material</w:t>
      </w:r>
      <w:r>
        <w:rPr>
          <w:rFonts w:ascii="Arial" w:hAnsi="Arial" w:cs="Arial"/>
          <w:sz w:val="24"/>
          <w:szCs w:val="24"/>
        </w:rPr>
        <w:t xml:space="preserve"> e inmaterial</w:t>
      </w:r>
      <w:r w:rsidR="00D75DB2">
        <w:rPr>
          <w:rFonts w:ascii="Arial" w:hAnsi="Arial" w:cs="Arial"/>
          <w:sz w:val="24"/>
          <w:szCs w:val="24"/>
        </w:rPr>
        <w:t xml:space="preserve"> causado.  Que se debera entregar a la victima. </w:t>
      </w:r>
    </w:p>
    <w:p w14:paraId="528A3E84" w14:textId="5B537FB1" w:rsidR="005B5E46" w:rsidRDefault="00DA76D5" w:rsidP="001A5247">
      <w:pPr>
        <w:pStyle w:val="Prrafodelista"/>
        <w:numPr>
          <w:ilvl w:val="0"/>
          <w:numId w:val="5"/>
        </w:numPr>
        <w:jc w:val="both"/>
        <w:rPr>
          <w:rFonts w:ascii="Arial" w:hAnsi="Arial" w:cs="Arial"/>
          <w:sz w:val="24"/>
          <w:szCs w:val="24"/>
        </w:rPr>
      </w:pPr>
      <w:r w:rsidRPr="007F3CE3">
        <w:rPr>
          <w:rFonts w:ascii="Arial" w:hAnsi="Arial" w:cs="Arial"/>
          <w:b/>
          <w:sz w:val="24"/>
          <w:szCs w:val="24"/>
        </w:rPr>
        <w:t>Reparación</w:t>
      </w:r>
      <w:r w:rsidR="00D75DB2" w:rsidRPr="007F3CE3">
        <w:rPr>
          <w:rFonts w:ascii="Arial" w:hAnsi="Arial" w:cs="Arial"/>
          <w:b/>
          <w:sz w:val="24"/>
          <w:szCs w:val="24"/>
        </w:rPr>
        <w:t xml:space="preserve"> </w:t>
      </w:r>
      <w:r>
        <w:rPr>
          <w:rFonts w:ascii="Arial" w:hAnsi="Arial" w:cs="Arial"/>
          <w:b/>
          <w:sz w:val="24"/>
          <w:szCs w:val="24"/>
        </w:rPr>
        <w:t>Simbólica</w:t>
      </w:r>
      <w:r w:rsidR="00410E81" w:rsidRPr="007F3CE3">
        <w:rPr>
          <w:rFonts w:ascii="Arial" w:hAnsi="Arial" w:cs="Arial"/>
          <w:b/>
          <w:sz w:val="24"/>
          <w:szCs w:val="24"/>
        </w:rPr>
        <w:t>.</w:t>
      </w:r>
      <w:r w:rsidR="00410E81">
        <w:rPr>
          <w:rFonts w:ascii="Arial" w:hAnsi="Arial" w:cs="Arial"/>
          <w:sz w:val="24"/>
          <w:szCs w:val="24"/>
        </w:rPr>
        <w:t xml:space="preserve"> Ofreciendo disculpas personales </w:t>
      </w:r>
      <w:r w:rsidR="00D75DB2">
        <w:rPr>
          <w:rFonts w:ascii="Arial" w:hAnsi="Arial" w:cs="Arial"/>
          <w:sz w:val="24"/>
          <w:szCs w:val="24"/>
        </w:rPr>
        <w:t xml:space="preserve">a la victima </w:t>
      </w:r>
      <w:r w:rsidR="00410E81">
        <w:rPr>
          <w:rFonts w:ascii="Arial" w:hAnsi="Arial" w:cs="Arial"/>
          <w:sz w:val="24"/>
          <w:szCs w:val="24"/>
        </w:rPr>
        <w:t>y comprometiéndose</w:t>
      </w:r>
      <w:r w:rsidR="00685478">
        <w:rPr>
          <w:rFonts w:ascii="Arial" w:hAnsi="Arial" w:cs="Arial"/>
          <w:sz w:val="24"/>
          <w:szCs w:val="24"/>
        </w:rPr>
        <w:t xml:space="preserve"> por escrito</w:t>
      </w:r>
      <w:r w:rsidR="00410E81">
        <w:rPr>
          <w:rFonts w:ascii="Arial" w:hAnsi="Arial" w:cs="Arial"/>
          <w:sz w:val="24"/>
          <w:szCs w:val="24"/>
        </w:rPr>
        <w:t xml:space="preserve"> a no reincidir.</w:t>
      </w:r>
    </w:p>
    <w:p w14:paraId="1C8D3402" w14:textId="77777777" w:rsidR="00410E81" w:rsidRPr="0058369B" w:rsidRDefault="00410E81" w:rsidP="00410E81">
      <w:pPr>
        <w:jc w:val="both"/>
        <w:rPr>
          <w:rFonts w:ascii="Arial" w:hAnsi="Arial" w:cs="Arial"/>
          <w:b/>
          <w:sz w:val="24"/>
          <w:szCs w:val="24"/>
        </w:rPr>
      </w:pPr>
      <w:r>
        <w:rPr>
          <w:rFonts w:ascii="Arial" w:hAnsi="Arial" w:cs="Arial"/>
          <w:b/>
          <w:sz w:val="24"/>
          <w:szCs w:val="24"/>
        </w:rPr>
        <w:t xml:space="preserve">Artículo 269 C. Improcedencia de subrogados penales. </w:t>
      </w:r>
      <w:r w:rsidR="005B5E46">
        <w:rPr>
          <w:rFonts w:ascii="Arial" w:hAnsi="Arial" w:cs="Arial"/>
          <w:sz w:val="24"/>
          <w:szCs w:val="24"/>
        </w:rPr>
        <w:t xml:space="preserve">La reducción punitiva obtenida </w:t>
      </w:r>
      <w:r w:rsidR="005B5E46" w:rsidRPr="0078765E">
        <w:rPr>
          <w:rFonts w:ascii="Arial" w:hAnsi="Arial" w:cs="Arial"/>
          <w:sz w:val="24"/>
          <w:szCs w:val="24"/>
        </w:rPr>
        <w:t>en virtud del</w:t>
      </w:r>
      <w:r w:rsidR="00FE3A79">
        <w:rPr>
          <w:rFonts w:ascii="Arial" w:hAnsi="Arial" w:cs="Arial"/>
          <w:sz w:val="24"/>
          <w:szCs w:val="24"/>
        </w:rPr>
        <w:t xml:space="preserve"> </w:t>
      </w:r>
      <w:r w:rsidR="005B5E46" w:rsidRPr="0078765E">
        <w:rPr>
          <w:rFonts w:ascii="Arial" w:hAnsi="Arial" w:cs="Arial"/>
          <w:sz w:val="24"/>
          <w:szCs w:val="24"/>
        </w:rPr>
        <w:t xml:space="preserve">presente </w:t>
      </w:r>
      <w:r w:rsidR="00FE3A79">
        <w:rPr>
          <w:rFonts w:ascii="Arial" w:hAnsi="Arial" w:cs="Arial"/>
          <w:sz w:val="24"/>
          <w:szCs w:val="24"/>
        </w:rPr>
        <w:t xml:space="preserve">artículo </w:t>
      </w:r>
      <w:r w:rsidR="005B5E46" w:rsidRPr="0078765E">
        <w:rPr>
          <w:rFonts w:ascii="Arial" w:hAnsi="Arial" w:cs="Arial"/>
          <w:sz w:val="24"/>
          <w:szCs w:val="24"/>
        </w:rPr>
        <w:t>no es acumulable con las rebajas por aceptación de cargos, reguladas en la ley 906 de 2004.</w:t>
      </w:r>
      <w:r w:rsidR="005B5E46">
        <w:rPr>
          <w:rFonts w:ascii="Arial" w:hAnsi="Arial" w:cs="Arial"/>
          <w:sz w:val="24"/>
          <w:szCs w:val="24"/>
        </w:rPr>
        <w:t xml:space="preserve"> </w:t>
      </w:r>
      <w:r w:rsidR="005B5E46" w:rsidRPr="0078765E">
        <w:rPr>
          <w:rFonts w:ascii="Arial" w:hAnsi="Arial" w:cs="Arial"/>
          <w:sz w:val="24"/>
          <w:szCs w:val="24"/>
        </w:rPr>
        <w:t>Así mismo, en la ejecución de la sanción penal obtenida en virtud de la presente ley, no serán aplicables ni la pena sustitutiva de prisión domiciliaria, ni los mecanismos sustitutivos o subrogados penales vigentes</w:t>
      </w:r>
      <w:r>
        <w:rPr>
          <w:rFonts w:ascii="Arial" w:hAnsi="Arial" w:cs="Arial"/>
          <w:sz w:val="24"/>
          <w:szCs w:val="24"/>
        </w:rPr>
        <w:t xml:space="preserve">. </w:t>
      </w:r>
      <w:r w:rsidRPr="00DA76D5">
        <w:rPr>
          <w:rFonts w:ascii="Arial" w:hAnsi="Arial" w:cs="Arial"/>
          <w:sz w:val="24"/>
          <w:szCs w:val="24"/>
        </w:rPr>
        <w:t>En consecuencia, la pena deberá ser cumplida efectivamente en prisión sin posibilidad de excarcelación</w:t>
      </w:r>
    </w:p>
    <w:p w14:paraId="7010F356" w14:textId="77777777" w:rsidR="005B20CB" w:rsidRDefault="005B5E46" w:rsidP="00410E81">
      <w:pPr>
        <w:jc w:val="both"/>
        <w:rPr>
          <w:rFonts w:ascii="Arial" w:hAnsi="Arial" w:cs="Arial"/>
          <w:sz w:val="24"/>
          <w:szCs w:val="24"/>
        </w:rPr>
      </w:pPr>
      <w:r w:rsidRPr="0078765E">
        <w:rPr>
          <w:rFonts w:ascii="Arial" w:hAnsi="Arial" w:cs="Arial"/>
          <w:sz w:val="24"/>
          <w:szCs w:val="24"/>
        </w:rPr>
        <w:t xml:space="preserve">El juez, adicionalmente, impondrá las penas accesorias que resulten aplicables al caso, de conformidad a lo establecido en el artículo 52 del </w:t>
      </w:r>
      <w:r w:rsidR="005B20CB">
        <w:rPr>
          <w:rFonts w:ascii="Arial" w:hAnsi="Arial" w:cs="Arial"/>
          <w:sz w:val="24"/>
          <w:szCs w:val="24"/>
        </w:rPr>
        <w:t>C</w:t>
      </w:r>
      <w:r w:rsidRPr="0078765E">
        <w:rPr>
          <w:rFonts w:ascii="Arial" w:hAnsi="Arial" w:cs="Arial"/>
          <w:sz w:val="24"/>
          <w:szCs w:val="24"/>
        </w:rPr>
        <w:t xml:space="preserve">ódigo </w:t>
      </w:r>
      <w:r w:rsidR="005B20CB">
        <w:rPr>
          <w:rFonts w:ascii="Arial" w:hAnsi="Arial" w:cs="Arial"/>
          <w:sz w:val="24"/>
          <w:szCs w:val="24"/>
        </w:rPr>
        <w:t>P</w:t>
      </w:r>
      <w:r w:rsidRPr="0078765E">
        <w:rPr>
          <w:rFonts w:ascii="Arial" w:hAnsi="Arial" w:cs="Arial"/>
          <w:sz w:val="24"/>
          <w:szCs w:val="24"/>
        </w:rPr>
        <w:t>enal.</w:t>
      </w:r>
    </w:p>
    <w:p w14:paraId="55541670" w14:textId="77777777" w:rsidR="00F5220C" w:rsidRDefault="005B20CB" w:rsidP="00410E81">
      <w:pPr>
        <w:jc w:val="both"/>
        <w:rPr>
          <w:rFonts w:ascii="Arial" w:hAnsi="Arial" w:cs="Arial"/>
          <w:sz w:val="24"/>
          <w:szCs w:val="24"/>
        </w:rPr>
      </w:pPr>
      <w:r w:rsidRPr="005B20CB">
        <w:rPr>
          <w:rFonts w:ascii="Arial" w:hAnsi="Arial" w:cs="Arial"/>
          <w:b/>
          <w:sz w:val="24"/>
          <w:szCs w:val="24"/>
        </w:rPr>
        <w:lastRenderedPageBreak/>
        <w:t>Parágrafo</w:t>
      </w:r>
      <w:r>
        <w:rPr>
          <w:rFonts w:ascii="Arial" w:hAnsi="Arial" w:cs="Arial"/>
          <w:sz w:val="24"/>
          <w:szCs w:val="24"/>
        </w:rPr>
        <w:t>. En los casos en que la víctima no haya comparecido, el juez procurará su ubicación para hacer efectiva la indemnización por los daños.</w:t>
      </w:r>
      <w:r w:rsidR="00685478">
        <w:rPr>
          <w:rFonts w:ascii="Arial" w:hAnsi="Arial" w:cs="Arial"/>
          <w:sz w:val="24"/>
          <w:szCs w:val="24"/>
        </w:rPr>
        <w:t xml:space="preserve"> De no querer negociar con el indiciado, el mecanismo punitivo para el primer infracto será improcedente y se llevará bajo el proceso ordinario.</w:t>
      </w:r>
    </w:p>
    <w:p w14:paraId="19BF3AD4" w14:textId="6CD6348D" w:rsidR="00DA76D5" w:rsidRPr="00DA76D5" w:rsidRDefault="00DA76D5" w:rsidP="00410E81">
      <w:pPr>
        <w:jc w:val="both"/>
        <w:rPr>
          <w:rFonts w:ascii="Arial" w:hAnsi="Arial" w:cs="Arial"/>
          <w:b/>
          <w:sz w:val="24"/>
          <w:szCs w:val="24"/>
        </w:rPr>
      </w:pPr>
      <w:r>
        <w:rPr>
          <w:rFonts w:ascii="Arial" w:hAnsi="Arial" w:cs="Arial"/>
          <w:b/>
          <w:sz w:val="24"/>
          <w:szCs w:val="24"/>
        </w:rPr>
        <w:t xml:space="preserve">Artículo 269 D. De la reincidencia. </w:t>
      </w:r>
      <w:r>
        <w:rPr>
          <w:rFonts w:ascii="Arial" w:hAnsi="Arial" w:cs="Arial"/>
          <w:sz w:val="24"/>
          <w:szCs w:val="24"/>
        </w:rPr>
        <w:t xml:space="preserve">En los casos en los que se reincida en cualquiera de los tipos mencionados en el artículo 269A, el infractor tendrá una pena que oscilará entre el 20% y el 25% de la establecida y multa en los casos que esté establecida como pena principal, luego de dosificarla según las reglas vigentes en el código penal. </w:t>
      </w:r>
      <w:r>
        <w:rPr>
          <w:rFonts w:ascii="Arial" w:hAnsi="Arial" w:cs="Arial"/>
          <w:b/>
          <w:sz w:val="24"/>
          <w:szCs w:val="24"/>
        </w:rPr>
        <w:t xml:space="preserve"> </w:t>
      </w:r>
    </w:p>
    <w:p w14:paraId="15EDAB9E" w14:textId="6C4C74B9" w:rsidR="00E828C4" w:rsidRDefault="00DA76D5" w:rsidP="00410E81">
      <w:pPr>
        <w:jc w:val="both"/>
        <w:rPr>
          <w:rFonts w:ascii="Arial" w:hAnsi="Arial" w:cs="Arial"/>
          <w:sz w:val="24"/>
          <w:szCs w:val="24"/>
        </w:rPr>
      </w:pPr>
      <w:r>
        <w:rPr>
          <w:rFonts w:ascii="Arial" w:hAnsi="Arial" w:cs="Arial"/>
          <w:b/>
          <w:sz w:val="24"/>
          <w:szCs w:val="24"/>
        </w:rPr>
        <w:t>Artículo 269 E</w:t>
      </w:r>
      <w:bookmarkStart w:id="0" w:name="_GoBack"/>
      <w:bookmarkEnd w:id="0"/>
      <w:r w:rsidR="00F5220C">
        <w:rPr>
          <w:rFonts w:ascii="Arial" w:hAnsi="Arial" w:cs="Arial"/>
          <w:b/>
          <w:sz w:val="24"/>
          <w:szCs w:val="24"/>
        </w:rPr>
        <w:t xml:space="preserve">. Oportunidad para acogerse al mecanismo de negociación. </w:t>
      </w:r>
      <w:r w:rsidR="00F5220C">
        <w:rPr>
          <w:rFonts w:ascii="Arial" w:hAnsi="Arial" w:cs="Arial"/>
          <w:sz w:val="24"/>
          <w:szCs w:val="24"/>
        </w:rPr>
        <w:t>Al primer contacto con el fiscal de la causa, el indiciado junto con su abogado, deberá manifestar la intención de negociar con la vícti</w:t>
      </w:r>
      <w:r w:rsidR="00C47C4E">
        <w:rPr>
          <w:rFonts w:ascii="Arial" w:hAnsi="Arial" w:cs="Arial"/>
          <w:sz w:val="24"/>
          <w:szCs w:val="24"/>
        </w:rPr>
        <w:t>ma. Diligencia que será dirigida</w:t>
      </w:r>
      <w:r w:rsidR="00E828C4">
        <w:rPr>
          <w:rFonts w:ascii="Arial" w:hAnsi="Arial" w:cs="Arial"/>
          <w:sz w:val="24"/>
          <w:szCs w:val="24"/>
        </w:rPr>
        <w:t xml:space="preserve"> y concretada</w:t>
      </w:r>
      <w:r w:rsidR="00F5220C">
        <w:rPr>
          <w:rFonts w:ascii="Arial" w:hAnsi="Arial" w:cs="Arial"/>
          <w:sz w:val="24"/>
          <w:szCs w:val="24"/>
        </w:rPr>
        <w:t xml:space="preserve"> por el fiscal</w:t>
      </w:r>
      <w:r w:rsidR="00E828C4">
        <w:rPr>
          <w:rFonts w:ascii="Arial" w:hAnsi="Arial" w:cs="Arial"/>
          <w:sz w:val="24"/>
          <w:szCs w:val="24"/>
        </w:rPr>
        <w:t xml:space="preserve"> en la que se negociaran las condiciones de la reparación a la víctima.</w:t>
      </w:r>
    </w:p>
    <w:p w14:paraId="59DD9993" w14:textId="77777777" w:rsidR="00410E81" w:rsidRPr="00685478" w:rsidRDefault="00E828C4" w:rsidP="005B5E46">
      <w:pPr>
        <w:jc w:val="both"/>
        <w:rPr>
          <w:rFonts w:ascii="Arial" w:hAnsi="Arial" w:cs="Arial"/>
          <w:sz w:val="24"/>
          <w:szCs w:val="24"/>
        </w:rPr>
      </w:pPr>
      <w:r>
        <w:rPr>
          <w:rFonts w:ascii="Arial" w:hAnsi="Arial" w:cs="Arial"/>
          <w:sz w:val="24"/>
          <w:szCs w:val="24"/>
        </w:rPr>
        <w:t xml:space="preserve">En la audiencia de imputación, las partes pondrán de presente que existe negociación concluida, y finalizadas las audiencias </w:t>
      </w:r>
      <w:r w:rsidR="00C47C4E">
        <w:rPr>
          <w:rFonts w:ascii="Arial" w:hAnsi="Arial" w:cs="Arial"/>
          <w:sz w:val="24"/>
          <w:szCs w:val="24"/>
        </w:rPr>
        <w:t>ante el</w:t>
      </w:r>
      <w:r>
        <w:rPr>
          <w:rFonts w:ascii="Arial" w:hAnsi="Arial" w:cs="Arial"/>
          <w:sz w:val="24"/>
          <w:szCs w:val="24"/>
        </w:rPr>
        <w:t xml:space="preserve"> juez de control de garantías</w:t>
      </w:r>
      <w:r w:rsidR="00C47C4E">
        <w:rPr>
          <w:rFonts w:ascii="Arial" w:hAnsi="Arial" w:cs="Arial"/>
          <w:sz w:val="24"/>
          <w:szCs w:val="24"/>
        </w:rPr>
        <w:t>, este</w:t>
      </w:r>
      <w:r>
        <w:rPr>
          <w:rFonts w:ascii="Arial" w:hAnsi="Arial" w:cs="Arial"/>
          <w:sz w:val="24"/>
          <w:szCs w:val="24"/>
        </w:rPr>
        <w:t xml:space="preserve"> remitirá inmediatamente el proceso al </w:t>
      </w:r>
      <w:r w:rsidR="00685478">
        <w:rPr>
          <w:rFonts w:ascii="Arial" w:hAnsi="Arial" w:cs="Arial"/>
          <w:sz w:val="24"/>
          <w:szCs w:val="24"/>
        </w:rPr>
        <w:t>juez de conocimiento quien legalizará</w:t>
      </w:r>
      <w:r>
        <w:rPr>
          <w:rFonts w:ascii="Arial" w:hAnsi="Arial" w:cs="Arial"/>
          <w:sz w:val="24"/>
          <w:szCs w:val="24"/>
        </w:rPr>
        <w:t xml:space="preserve"> la negociación y proferirá la sentencia a la mayor brevedad</w:t>
      </w:r>
      <w:r w:rsidR="005B5E46">
        <w:rPr>
          <w:rFonts w:ascii="Arial" w:hAnsi="Arial" w:cs="Arial"/>
          <w:sz w:val="24"/>
          <w:szCs w:val="24"/>
        </w:rPr>
        <w:t>”</w:t>
      </w:r>
    </w:p>
    <w:p w14:paraId="255979B1" w14:textId="77777777" w:rsidR="005B5E46" w:rsidRPr="005B5E46" w:rsidRDefault="005B5E46" w:rsidP="005B5E46">
      <w:pPr>
        <w:jc w:val="both"/>
        <w:rPr>
          <w:rFonts w:ascii="Arial" w:hAnsi="Arial" w:cs="Arial"/>
          <w:sz w:val="24"/>
          <w:szCs w:val="24"/>
        </w:rPr>
      </w:pPr>
      <w:r w:rsidRPr="005B5E46">
        <w:rPr>
          <w:rFonts w:ascii="Arial" w:hAnsi="Arial" w:cs="Arial"/>
          <w:b/>
          <w:sz w:val="24"/>
          <w:szCs w:val="24"/>
        </w:rPr>
        <w:t xml:space="preserve">Artículo </w:t>
      </w:r>
      <w:r>
        <w:rPr>
          <w:rFonts w:ascii="Arial" w:hAnsi="Arial" w:cs="Arial"/>
          <w:b/>
          <w:sz w:val="24"/>
          <w:szCs w:val="24"/>
        </w:rPr>
        <w:t>2</w:t>
      </w:r>
      <w:r w:rsidRPr="005B5E46">
        <w:rPr>
          <w:rFonts w:ascii="Arial" w:hAnsi="Arial" w:cs="Arial"/>
          <w:b/>
          <w:sz w:val="24"/>
          <w:szCs w:val="24"/>
        </w:rPr>
        <w:t>.</w:t>
      </w:r>
      <w:r>
        <w:rPr>
          <w:rFonts w:ascii="Arial" w:hAnsi="Arial" w:cs="Arial"/>
          <w:sz w:val="24"/>
          <w:szCs w:val="24"/>
        </w:rPr>
        <w:t xml:space="preserve"> La presente ley entra en vigencia a partir de su promulgación. </w:t>
      </w:r>
    </w:p>
    <w:p w14:paraId="749E343E" w14:textId="77777777" w:rsidR="005B5E46" w:rsidRDefault="005B5E46" w:rsidP="00E148A3">
      <w:pPr>
        <w:jc w:val="both"/>
        <w:rPr>
          <w:rFonts w:ascii="Arial" w:hAnsi="Arial" w:cs="Arial"/>
          <w:sz w:val="24"/>
          <w:szCs w:val="24"/>
        </w:rPr>
      </w:pPr>
    </w:p>
    <w:p w14:paraId="74473085" w14:textId="77777777" w:rsidR="00685478" w:rsidRDefault="00685478" w:rsidP="00E148A3">
      <w:pPr>
        <w:jc w:val="both"/>
        <w:rPr>
          <w:rFonts w:ascii="Arial" w:hAnsi="Arial" w:cs="Arial"/>
          <w:sz w:val="24"/>
          <w:szCs w:val="24"/>
        </w:rPr>
      </w:pPr>
      <w:r>
        <w:rPr>
          <w:rFonts w:ascii="Arial" w:hAnsi="Arial" w:cs="Arial"/>
          <w:sz w:val="24"/>
          <w:szCs w:val="24"/>
        </w:rPr>
        <w:t>De los honorables congresistas,</w:t>
      </w:r>
    </w:p>
    <w:p w14:paraId="6A1D6436" w14:textId="77777777" w:rsidR="00685478" w:rsidRDefault="00685478" w:rsidP="00E148A3">
      <w:pPr>
        <w:jc w:val="both"/>
        <w:rPr>
          <w:rFonts w:ascii="Arial" w:hAnsi="Arial" w:cs="Arial"/>
          <w:sz w:val="24"/>
          <w:szCs w:val="24"/>
        </w:rPr>
      </w:pPr>
    </w:p>
    <w:p w14:paraId="049A5C3D" w14:textId="77777777" w:rsidR="00685478" w:rsidRDefault="00685478" w:rsidP="00E148A3">
      <w:pPr>
        <w:jc w:val="both"/>
        <w:rPr>
          <w:rFonts w:ascii="Arial" w:hAnsi="Arial" w:cs="Arial"/>
          <w:sz w:val="24"/>
          <w:szCs w:val="24"/>
        </w:rPr>
      </w:pPr>
    </w:p>
    <w:p w14:paraId="30D143DD" w14:textId="77777777" w:rsidR="00685478" w:rsidRDefault="00685478" w:rsidP="00E148A3">
      <w:pPr>
        <w:jc w:val="both"/>
        <w:rPr>
          <w:rFonts w:ascii="Arial" w:hAnsi="Arial" w:cs="Arial"/>
          <w:sz w:val="24"/>
          <w:szCs w:val="24"/>
        </w:rPr>
      </w:pPr>
    </w:p>
    <w:p w14:paraId="6725357F" w14:textId="77777777" w:rsidR="00685478" w:rsidRDefault="00685478" w:rsidP="00E148A3">
      <w:pPr>
        <w:jc w:val="both"/>
        <w:rPr>
          <w:rFonts w:ascii="Arial" w:hAnsi="Arial" w:cs="Arial"/>
          <w:sz w:val="24"/>
          <w:szCs w:val="24"/>
        </w:rPr>
      </w:pPr>
    </w:p>
    <w:p w14:paraId="19823C87" w14:textId="77777777" w:rsidR="00685478" w:rsidRDefault="00685478" w:rsidP="00E148A3">
      <w:pPr>
        <w:jc w:val="both"/>
        <w:rPr>
          <w:rFonts w:ascii="Arial" w:hAnsi="Arial" w:cs="Arial"/>
          <w:sz w:val="24"/>
          <w:szCs w:val="24"/>
        </w:rPr>
      </w:pPr>
    </w:p>
    <w:p w14:paraId="3458D665" w14:textId="77777777" w:rsidR="00685478" w:rsidRDefault="00685478" w:rsidP="00E148A3">
      <w:pPr>
        <w:jc w:val="both"/>
        <w:rPr>
          <w:rFonts w:ascii="Arial" w:hAnsi="Arial" w:cs="Arial"/>
          <w:sz w:val="24"/>
          <w:szCs w:val="24"/>
        </w:rPr>
      </w:pPr>
    </w:p>
    <w:p w14:paraId="4F25A1E1" w14:textId="77777777" w:rsidR="00685478" w:rsidRDefault="00685478" w:rsidP="00E148A3">
      <w:pPr>
        <w:jc w:val="both"/>
        <w:rPr>
          <w:rFonts w:ascii="Arial" w:hAnsi="Arial" w:cs="Arial"/>
          <w:sz w:val="24"/>
          <w:szCs w:val="24"/>
        </w:rPr>
      </w:pPr>
    </w:p>
    <w:p w14:paraId="71C00FA0" w14:textId="77777777" w:rsidR="00685478" w:rsidRDefault="00685478" w:rsidP="00685478">
      <w:pPr>
        <w:spacing w:after="0"/>
        <w:jc w:val="center"/>
        <w:rPr>
          <w:rFonts w:ascii="Arial" w:hAnsi="Arial" w:cs="Arial"/>
          <w:b/>
          <w:sz w:val="24"/>
          <w:szCs w:val="24"/>
        </w:rPr>
      </w:pPr>
      <w:r>
        <w:rPr>
          <w:rFonts w:ascii="Arial" w:hAnsi="Arial" w:cs="Arial"/>
          <w:b/>
          <w:sz w:val="24"/>
          <w:szCs w:val="24"/>
        </w:rPr>
        <w:t>EDWARD DAVID RODRÍGUEZ RODRÍGUEZ</w:t>
      </w:r>
    </w:p>
    <w:p w14:paraId="702453A0" w14:textId="77777777" w:rsidR="00685478" w:rsidRDefault="00685478" w:rsidP="00685478">
      <w:pPr>
        <w:spacing w:after="0"/>
        <w:jc w:val="center"/>
        <w:rPr>
          <w:rFonts w:ascii="Arial" w:hAnsi="Arial" w:cs="Arial"/>
          <w:b/>
          <w:sz w:val="24"/>
          <w:szCs w:val="24"/>
        </w:rPr>
      </w:pPr>
      <w:r>
        <w:rPr>
          <w:rFonts w:ascii="Arial" w:hAnsi="Arial" w:cs="Arial"/>
          <w:b/>
          <w:sz w:val="24"/>
          <w:szCs w:val="24"/>
        </w:rPr>
        <w:t>REPRESENTANTE A LA CÁMARA POR BOGOTÁ D.C.</w:t>
      </w:r>
    </w:p>
    <w:p w14:paraId="3CA90D8C" w14:textId="77777777" w:rsidR="00685478" w:rsidRDefault="00685478" w:rsidP="00685478">
      <w:pPr>
        <w:spacing w:after="0"/>
        <w:jc w:val="center"/>
        <w:rPr>
          <w:rFonts w:ascii="Arial" w:hAnsi="Arial" w:cs="Arial"/>
          <w:b/>
          <w:sz w:val="24"/>
          <w:szCs w:val="24"/>
        </w:rPr>
      </w:pPr>
    </w:p>
    <w:p w14:paraId="3C798768" w14:textId="77777777" w:rsidR="00685478" w:rsidRDefault="00685478" w:rsidP="00685478">
      <w:pPr>
        <w:spacing w:after="0"/>
        <w:jc w:val="center"/>
        <w:rPr>
          <w:rFonts w:ascii="Arial" w:hAnsi="Arial" w:cs="Arial"/>
          <w:b/>
          <w:sz w:val="24"/>
          <w:szCs w:val="24"/>
        </w:rPr>
      </w:pPr>
    </w:p>
    <w:p w14:paraId="556CB525" w14:textId="77777777" w:rsidR="00685478" w:rsidRDefault="00685478" w:rsidP="001C3E7B">
      <w:pPr>
        <w:spacing w:after="0"/>
        <w:rPr>
          <w:rFonts w:ascii="Arial" w:hAnsi="Arial" w:cs="Arial"/>
          <w:b/>
          <w:sz w:val="24"/>
          <w:szCs w:val="24"/>
        </w:rPr>
      </w:pPr>
    </w:p>
    <w:p w14:paraId="466E1DE3" w14:textId="77777777" w:rsidR="00685478" w:rsidRDefault="00685478" w:rsidP="00685478">
      <w:pPr>
        <w:spacing w:after="0"/>
        <w:jc w:val="center"/>
        <w:rPr>
          <w:rFonts w:ascii="Arial" w:hAnsi="Arial" w:cs="Arial"/>
          <w:b/>
          <w:sz w:val="24"/>
          <w:szCs w:val="24"/>
        </w:rPr>
      </w:pPr>
      <w:r w:rsidRPr="00685478">
        <w:rPr>
          <w:rFonts w:ascii="Arial" w:hAnsi="Arial" w:cs="Arial"/>
          <w:b/>
          <w:sz w:val="24"/>
          <w:szCs w:val="24"/>
        </w:rPr>
        <w:t>PROYECTO DE LEY No.         DE 2019 “MEDIANTE EL CUAL SE MODIFICA EL TRATAMIENTO PENAL DE LOS DELITOS QUE ATENTAN CONTRA EL PATRIMONIO ECONÓMICO, SE PRIORIZA A LA VÍCTIMA DE CONDUCTAS DELICTIVAS, Y SE ESTABLECEN MEDIDAS PARA LA DISUASIÓN A LA REINCIDENCIA CRIMINAL Y SU RÁPIDA CONSTITUCIÓN”</w:t>
      </w:r>
    </w:p>
    <w:p w14:paraId="097D7851" w14:textId="77777777" w:rsidR="00685478" w:rsidRDefault="00685478" w:rsidP="00685478">
      <w:pPr>
        <w:spacing w:after="0"/>
        <w:jc w:val="center"/>
        <w:rPr>
          <w:rFonts w:ascii="Arial" w:hAnsi="Arial" w:cs="Arial"/>
          <w:b/>
          <w:sz w:val="24"/>
          <w:szCs w:val="24"/>
        </w:rPr>
      </w:pPr>
    </w:p>
    <w:p w14:paraId="2D7D6FA7" w14:textId="77777777" w:rsidR="00685478" w:rsidRDefault="00685478" w:rsidP="00685478">
      <w:pPr>
        <w:spacing w:after="0"/>
        <w:rPr>
          <w:rFonts w:ascii="Arial" w:hAnsi="Arial" w:cs="Arial"/>
          <w:b/>
          <w:sz w:val="24"/>
          <w:szCs w:val="24"/>
        </w:rPr>
      </w:pPr>
    </w:p>
    <w:p w14:paraId="4031244C" w14:textId="77777777" w:rsidR="00685478" w:rsidRDefault="00685478" w:rsidP="00685478">
      <w:pPr>
        <w:spacing w:after="0"/>
        <w:jc w:val="center"/>
        <w:rPr>
          <w:rFonts w:ascii="Arial" w:hAnsi="Arial" w:cs="Arial"/>
          <w:b/>
          <w:sz w:val="24"/>
          <w:szCs w:val="24"/>
        </w:rPr>
      </w:pPr>
    </w:p>
    <w:p w14:paraId="384A4E27" w14:textId="77777777" w:rsidR="00685478" w:rsidRDefault="00685478" w:rsidP="00685478">
      <w:pPr>
        <w:spacing w:after="0"/>
        <w:jc w:val="center"/>
        <w:rPr>
          <w:rFonts w:ascii="Arial" w:hAnsi="Arial" w:cs="Arial"/>
          <w:b/>
          <w:sz w:val="24"/>
          <w:szCs w:val="24"/>
        </w:rPr>
      </w:pPr>
    </w:p>
    <w:p w14:paraId="15A50024" w14:textId="77777777" w:rsidR="00685478" w:rsidRDefault="00685478" w:rsidP="00685478">
      <w:pPr>
        <w:spacing w:after="0"/>
        <w:jc w:val="center"/>
        <w:rPr>
          <w:rFonts w:ascii="Arial" w:hAnsi="Arial" w:cs="Arial"/>
          <w:b/>
          <w:sz w:val="24"/>
          <w:szCs w:val="24"/>
        </w:rPr>
      </w:pPr>
      <w:r>
        <w:rPr>
          <w:rFonts w:ascii="Arial" w:hAnsi="Arial" w:cs="Arial"/>
          <w:b/>
          <w:sz w:val="24"/>
          <w:szCs w:val="24"/>
        </w:rPr>
        <w:t>EXPOSICIÓN DE MOTIVOS</w:t>
      </w:r>
    </w:p>
    <w:p w14:paraId="760333FA" w14:textId="77777777" w:rsidR="00685478" w:rsidRDefault="00685478" w:rsidP="00685478">
      <w:pPr>
        <w:spacing w:after="0"/>
        <w:jc w:val="center"/>
        <w:rPr>
          <w:rFonts w:ascii="Arial" w:hAnsi="Arial" w:cs="Arial"/>
          <w:sz w:val="24"/>
          <w:szCs w:val="24"/>
        </w:rPr>
      </w:pPr>
    </w:p>
    <w:p w14:paraId="73EDE1EC" w14:textId="77777777" w:rsidR="00685478" w:rsidRPr="00847546" w:rsidRDefault="00685478" w:rsidP="00685478">
      <w:pPr>
        <w:spacing w:after="0"/>
        <w:jc w:val="both"/>
        <w:rPr>
          <w:rFonts w:ascii="Arial" w:hAnsi="Arial" w:cs="Arial"/>
          <w:sz w:val="24"/>
          <w:szCs w:val="24"/>
        </w:rPr>
      </w:pPr>
      <w:r w:rsidRPr="00847546">
        <w:rPr>
          <w:rFonts w:ascii="Arial" w:hAnsi="Arial" w:cs="Arial"/>
          <w:sz w:val="24"/>
          <w:szCs w:val="24"/>
        </w:rPr>
        <w:t>El presente proyecto de Ley, tiene como objeto establecer sanciones efectivas para algunas conductas punibles y su reincidencia y de esta manera hacerle frente a la proliferación de algunas conductas que por sus circunstancias y lesividad ante el actual sistema penal, no generan prevención, corrección y pedagogía en los individuos. Se requiere así, herramientas que permitan resarcir a la víctima en el daño causado, en el menor tiempo y mediante un procedimiento expedito, así mismo  los organismos de investigación y juzgamiento requieren la implementación de un sistema diligente que otorgue pronta respuesta y que permita desde la justicia actuar en derecho y encausar a los delincuentes con medidas ciertas y efectivas.</w:t>
      </w:r>
    </w:p>
    <w:p w14:paraId="08010E5A" w14:textId="77777777" w:rsidR="00685478" w:rsidRPr="00847546" w:rsidRDefault="00685478" w:rsidP="00685478">
      <w:pPr>
        <w:spacing w:after="0"/>
        <w:jc w:val="both"/>
        <w:rPr>
          <w:rFonts w:ascii="Arial" w:hAnsi="Arial" w:cs="Arial"/>
          <w:sz w:val="24"/>
          <w:szCs w:val="24"/>
        </w:rPr>
      </w:pPr>
    </w:p>
    <w:p w14:paraId="2B9050AA" w14:textId="77777777" w:rsidR="00685478" w:rsidRPr="00847546" w:rsidRDefault="00685478" w:rsidP="00685478">
      <w:pPr>
        <w:spacing w:after="0"/>
        <w:jc w:val="both"/>
        <w:rPr>
          <w:rFonts w:ascii="Arial" w:hAnsi="Arial" w:cs="Arial"/>
          <w:sz w:val="24"/>
          <w:szCs w:val="24"/>
        </w:rPr>
      </w:pPr>
      <w:r w:rsidRPr="00847546">
        <w:rPr>
          <w:rFonts w:ascii="Arial" w:hAnsi="Arial" w:cs="Arial"/>
          <w:sz w:val="24"/>
          <w:szCs w:val="24"/>
        </w:rPr>
        <w:t xml:space="preserve">Cifras registradas por el Ministerio de Defensa Nacional, señalan que entre el mes de enero a agosto de 2018, se registraron 88.359 denuncias por delitos de hurto a personas, residencias, establecimientos de comercio, automotores, motocicletas y bancos. </w:t>
      </w:r>
    </w:p>
    <w:p w14:paraId="5A73458D" w14:textId="77777777" w:rsidR="00685478" w:rsidRPr="00847546" w:rsidRDefault="00685478" w:rsidP="00685478">
      <w:pPr>
        <w:spacing w:after="0"/>
        <w:jc w:val="both"/>
        <w:rPr>
          <w:rFonts w:ascii="Arial" w:hAnsi="Arial" w:cs="Arial"/>
          <w:sz w:val="24"/>
          <w:szCs w:val="24"/>
        </w:rPr>
      </w:pPr>
    </w:p>
    <w:p w14:paraId="13400A1E" w14:textId="77777777" w:rsidR="00685478" w:rsidRPr="00847546" w:rsidRDefault="00685478" w:rsidP="00685478">
      <w:pPr>
        <w:spacing w:after="0"/>
        <w:jc w:val="both"/>
        <w:rPr>
          <w:rFonts w:ascii="Arial" w:hAnsi="Arial" w:cs="Arial"/>
          <w:sz w:val="24"/>
          <w:szCs w:val="24"/>
        </w:rPr>
      </w:pPr>
      <w:r w:rsidRPr="00847546">
        <w:rPr>
          <w:rFonts w:ascii="Arial" w:hAnsi="Arial" w:cs="Arial"/>
          <w:sz w:val="24"/>
          <w:szCs w:val="24"/>
        </w:rPr>
        <w:t xml:space="preserve">De otra parte, gracias a los resultados contundentes de la Policía Nacional se lograron entre enero y septiembre del año anterior, al interior del sistema de transporte masivo en Bogotá un total de 1338 capturas en flagrancia, 24 capturas por orden judicial, 554 casos de mercancía recuperada, igualmente se han impuesto 24.017 órdenes de comparendo por diferentes comportamientos contrarios a la convivencia al interior del sistema y se han incautado 11.845 armas corto punzantes a ciudadanos que se movilizan en el sistema.   </w:t>
      </w:r>
    </w:p>
    <w:p w14:paraId="1AD0D6D9" w14:textId="77777777" w:rsidR="00685478" w:rsidRPr="00847546" w:rsidRDefault="00685478" w:rsidP="00685478">
      <w:pPr>
        <w:spacing w:after="0"/>
        <w:jc w:val="both"/>
        <w:rPr>
          <w:rFonts w:ascii="Arial" w:hAnsi="Arial" w:cs="Arial"/>
          <w:sz w:val="24"/>
          <w:szCs w:val="24"/>
        </w:rPr>
      </w:pPr>
    </w:p>
    <w:p w14:paraId="58CF1447" w14:textId="77777777" w:rsidR="00685478" w:rsidRPr="00847546" w:rsidRDefault="00685478" w:rsidP="00685478">
      <w:pPr>
        <w:spacing w:after="0"/>
        <w:jc w:val="both"/>
        <w:rPr>
          <w:rFonts w:ascii="Arial" w:hAnsi="Arial" w:cs="Arial"/>
          <w:sz w:val="24"/>
          <w:szCs w:val="24"/>
        </w:rPr>
      </w:pPr>
      <w:r w:rsidRPr="00847546">
        <w:rPr>
          <w:rFonts w:ascii="Arial" w:hAnsi="Arial" w:cs="Arial"/>
          <w:sz w:val="24"/>
          <w:szCs w:val="24"/>
        </w:rPr>
        <w:t xml:space="preserve">Pese a los esfuerzos establecidos por la Policía Nacional, la Fiscalía General de la Nación y la Ciudadanía, estas cifras no logran coherencia con las condenas efectivas impuestas para estos delitos, pues muchos de ellos al ser excarcelables, continúan siendo parte del actuar delictivo, sin ninguna posibilidad de generar una prevención general  o un castigo que impacte al delincuente. </w:t>
      </w:r>
    </w:p>
    <w:p w14:paraId="1B49D2A5" w14:textId="77777777" w:rsidR="00685478" w:rsidRPr="00847546" w:rsidRDefault="00685478" w:rsidP="00685478">
      <w:pPr>
        <w:spacing w:after="0"/>
        <w:jc w:val="both"/>
        <w:rPr>
          <w:rFonts w:ascii="Arial" w:hAnsi="Arial" w:cs="Arial"/>
          <w:sz w:val="24"/>
          <w:szCs w:val="24"/>
        </w:rPr>
      </w:pPr>
    </w:p>
    <w:p w14:paraId="7A22B82A" w14:textId="77777777" w:rsidR="00685478" w:rsidRPr="00847546" w:rsidRDefault="00685478" w:rsidP="00685478">
      <w:pPr>
        <w:spacing w:after="0"/>
        <w:jc w:val="both"/>
        <w:rPr>
          <w:rFonts w:ascii="Arial" w:hAnsi="Arial" w:cs="Arial"/>
          <w:sz w:val="24"/>
          <w:szCs w:val="24"/>
        </w:rPr>
      </w:pPr>
      <w:r w:rsidRPr="00847546">
        <w:rPr>
          <w:rFonts w:ascii="Arial" w:hAnsi="Arial" w:cs="Arial"/>
          <w:sz w:val="24"/>
          <w:szCs w:val="24"/>
        </w:rPr>
        <w:t>Aunado a lo anterior, el fenómeno de la reincidencia de acuerdo con datos entregados por el INPEC a corte de 2017, denota una necesaria revisión de la política criminal en la materia, pues a pesar de la implementación de mecanismos procesales y cambios en las sanciones, entendidos como el aumento sistemático y el trato menos flexible de manera sostenida en el tiempo, no ha logrado funcionar como un efectivo medio de prevención general, para la disuasión de la comisión de los delitos.</w:t>
      </w:r>
    </w:p>
    <w:p w14:paraId="21001440" w14:textId="77777777" w:rsidR="00685478" w:rsidRPr="00847546" w:rsidRDefault="00685478" w:rsidP="00685478">
      <w:pPr>
        <w:spacing w:after="0"/>
        <w:jc w:val="both"/>
        <w:rPr>
          <w:rFonts w:ascii="Arial" w:hAnsi="Arial" w:cs="Arial"/>
          <w:sz w:val="24"/>
          <w:szCs w:val="24"/>
        </w:rPr>
      </w:pPr>
      <w:r w:rsidRPr="00847546">
        <w:rPr>
          <w:rFonts w:ascii="Arial" w:hAnsi="Arial" w:cs="Arial"/>
          <w:sz w:val="24"/>
          <w:szCs w:val="24"/>
        </w:rPr>
        <w:t>Se procede a mostrar de forma comparativa los datos entregados por el INPEC:</w:t>
      </w:r>
    </w:p>
    <w:p w14:paraId="1B15B1CB" w14:textId="77777777" w:rsidR="00685478" w:rsidRPr="00847546" w:rsidRDefault="00685478" w:rsidP="00685478">
      <w:pPr>
        <w:spacing w:after="0"/>
        <w:jc w:val="both"/>
        <w:rPr>
          <w:rFonts w:ascii="Arial" w:hAnsi="Arial" w:cs="Arial"/>
          <w:sz w:val="24"/>
          <w:szCs w:val="24"/>
        </w:rPr>
      </w:pPr>
    </w:p>
    <w:p w14:paraId="2A528AB8" w14:textId="77777777" w:rsidR="00685478" w:rsidRPr="00847546" w:rsidRDefault="00685478" w:rsidP="00685478">
      <w:pPr>
        <w:spacing w:after="0"/>
        <w:jc w:val="both"/>
        <w:rPr>
          <w:rFonts w:ascii="Arial" w:hAnsi="Arial" w:cs="Arial"/>
          <w:sz w:val="24"/>
          <w:szCs w:val="24"/>
        </w:rPr>
      </w:pPr>
    </w:p>
    <w:p w14:paraId="3BA083BE" w14:textId="77777777" w:rsidR="00685478" w:rsidRPr="00847546" w:rsidRDefault="00685478" w:rsidP="00685478">
      <w:pPr>
        <w:spacing w:after="0"/>
        <w:jc w:val="both"/>
        <w:rPr>
          <w:rFonts w:ascii="Arial" w:hAnsi="Arial" w:cs="Arial"/>
          <w:sz w:val="24"/>
          <w:szCs w:val="24"/>
        </w:rPr>
      </w:pPr>
    </w:p>
    <w:p w14:paraId="17EAF421" w14:textId="77777777" w:rsidR="00685478" w:rsidRPr="00847546" w:rsidRDefault="00685478" w:rsidP="00685478">
      <w:pPr>
        <w:spacing w:after="0"/>
        <w:jc w:val="both"/>
        <w:rPr>
          <w:rFonts w:ascii="Arial" w:hAnsi="Arial" w:cs="Arial"/>
          <w:sz w:val="24"/>
          <w:szCs w:val="24"/>
        </w:rPr>
      </w:pPr>
      <w:r w:rsidRPr="00847546">
        <w:rPr>
          <w:rFonts w:ascii="Arial" w:hAnsi="Arial" w:cs="Arial"/>
          <w:sz w:val="24"/>
          <w:szCs w:val="24"/>
        </w:rPr>
        <w:t>AÑO</w:t>
      </w:r>
      <w:r w:rsidRPr="00847546">
        <w:rPr>
          <w:rFonts w:ascii="Arial" w:hAnsi="Arial" w:cs="Arial"/>
          <w:sz w:val="24"/>
          <w:szCs w:val="24"/>
        </w:rPr>
        <w:tab/>
        <w:t>NÚMERO DE INTERNOS</w:t>
      </w:r>
      <w:r w:rsidRPr="00847546">
        <w:rPr>
          <w:rFonts w:ascii="Arial" w:hAnsi="Arial" w:cs="Arial"/>
          <w:sz w:val="24"/>
          <w:szCs w:val="24"/>
        </w:rPr>
        <w:tab/>
        <w:t>NÚMERO DE REINCIDENTES</w:t>
      </w:r>
      <w:r w:rsidRPr="00847546">
        <w:rPr>
          <w:rFonts w:ascii="Arial" w:hAnsi="Arial" w:cs="Arial"/>
          <w:sz w:val="24"/>
          <w:szCs w:val="24"/>
        </w:rPr>
        <w:tab/>
        <w:t>PORCENTUAL DE REINCIDENTES</w:t>
      </w:r>
    </w:p>
    <w:tbl>
      <w:tblPr>
        <w:tblStyle w:val="Tablaconcuadrcula"/>
        <w:tblW w:w="0" w:type="auto"/>
        <w:tblInd w:w="720" w:type="dxa"/>
        <w:tblLook w:val="04A0" w:firstRow="1" w:lastRow="0" w:firstColumn="1" w:lastColumn="0" w:noHBand="0" w:noVBand="1"/>
      </w:tblPr>
      <w:tblGrid>
        <w:gridCol w:w="976"/>
        <w:gridCol w:w="1843"/>
        <w:gridCol w:w="2126"/>
        <w:gridCol w:w="3163"/>
      </w:tblGrid>
      <w:tr w:rsidR="00685478" w:rsidRPr="00FE5669" w14:paraId="558490C9" w14:textId="77777777" w:rsidTr="00470234">
        <w:tc>
          <w:tcPr>
            <w:tcW w:w="976" w:type="dxa"/>
          </w:tcPr>
          <w:p w14:paraId="2BA4633E"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AÑO</w:t>
            </w:r>
          </w:p>
        </w:tc>
        <w:tc>
          <w:tcPr>
            <w:tcW w:w="1843" w:type="dxa"/>
          </w:tcPr>
          <w:p w14:paraId="5C7FFF6A"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NÚMERO DE INTERNOS</w:t>
            </w:r>
          </w:p>
        </w:tc>
        <w:tc>
          <w:tcPr>
            <w:tcW w:w="2126" w:type="dxa"/>
          </w:tcPr>
          <w:p w14:paraId="357660B2"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NÚMERO DE REINCIDENTES</w:t>
            </w:r>
          </w:p>
        </w:tc>
        <w:tc>
          <w:tcPr>
            <w:tcW w:w="3163" w:type="dxa"/>
          </w:tcPr>
          <w:p w14:paraId="196868AE"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PORCENTUAL DE REINCIDENTES</w:t>
            </w:r>
          </w:p>
        </w:tc>
      </w:tr>
      <w:tr w:rsidR="00685478" w:rsidRPr="00FE5669" w14:paraId="78AC9F52" w14:textId="77777777" w:rsidTr="00470234">
        <w:tc>
          <w:tcPr>
            <w:tcW w:w="976" w:type="dxa"/>
          </w:tcPr>
          <w:p w14:paraId="59B343FD"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2012</w:t>
            </w:r>
          </w:p>
        </w:tc>
        <w:tc>
          <w:tcPr>
            <w:tcW w:w="1843" w:type="dxa"/>
          </w:tcPr>
          <w:p w14:paraId="4D441A00"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140.729</w:t>
            </w:r>
          </w:p>
        </w:tc>
        <w:tc>
          <w:tcPr>
            <w:tcW w:w="2126" w:type="dxa"/>
          </w:tcPr>
          <w:p w14:paraId="48A64AB7"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10.596</w:t>
            </w:r>
          </w:p>
        </w:tc>
        <w:tc>
          <w:tcPr>
            <w:tcW w:w="3163" w:type="dxa"/>
          </w:tcPr>
          <w:p w14:paraId="2E8D2AB8"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11.5%</w:t>
            </w:r>
          </w:p>
        </w:tc>
      </w:tr>
      <w:tr w:rsidR="00685478" w:rsidRPr="00FE5669" w14:paraId="18DCED67" w14:textId="77777777" w:rsidTr="00470234">
        <w:tc>
          <w:tcPr>
            <w:tcW w:w="976" w:type="dxa"/>
          </w:tcPr>
          <w:p w14:paraId="1168FBC3"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2013</w:t>
            </w:r>
          </w:p>
        </w:tc>
        <w:tc>
          <w:tcPr>
            <w:tcW w:w="1843" w:type="dxa"/>
          </w:tcPr>
          <w:p w14:paraId="038F1BC5"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151.368</w:t>
            </w:r>
          </w:p>
        </w:tc>
        <w:tc>
          <w:tcPr>
            <w:tcW w:w="2126" w:type="dxa"/>
          </w:tcPr>
          <w:p w14:paraId="24290353"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12.100</w:t>
            </w:r>
          </w:p>
        </w:tc>
        <w:tc>
          <w:tcPr>
            <w:tcW w:w="3163" w:type="dxa"/>
          </w:tcPr>
          <w:p w14:paraId="547147D1"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12.5%</w:t>
            </w:r>
          </w:p>
        </w:tc>
      </w:tr>
      <w:tr w:rsidR="00685478" w:rsidRPr="00FE5669" w14:paraId="4A6DAD27" w14:textId="77777777" w:rsidTr="00470234">
        <w:tc>
          <w:tcPr>
            <w:tcW w:w="976" w:type="dxa"/>
          </w:tcPr>
          <w:p w14:paraId="6E8C3F0A"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2014</w:t>
            </w:r>
          </w:p>
        </w:tc>
        <w:tc>
          <w:tcPr>
            <w:tcW w:w="1843" w:type="dxa"/>
          </w:tcPr>
          <w:p w14:paraId="155B4C6F"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153.998</w:t>
            </w:r>
          </w:p>
        </w:tc>
        <w:tc>
          <w:tcPr>
            <w:tcW w:w="2126" w:type="dxa"/>
          </w:tcPr>
          <w:p w14:paraId="6A900415"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12.948</w:t>
            </w:r>
          </w:p>
        </w:tc>
        <w:tc>
          <w:tcPr>
            <w:tcW w:w="3163" w:type="dxa"/>
          </w:tcPr>
          <w:p w14:paraId="31F97797"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13.6%</w:t>
            </w:r>
          </w:p>
        </w:tc>
      </w:tr>
      <w:tr w:rsidR="00685478" w:rsidRPr="00FE5669" w14:paraId="3814815A" w14:textId="77777777" w:rsidTr="00470234">
        <w:tc>
          <w:tcPr>
            <w:tcW w:w="976" w:type="dxa"/>
          </w:tcPr>
          <w:p w14:paraId="6C988E14"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2015</w:t>
            </w:r>
          </w:p>
        </w:tc>
        <w:tc>
          <w:tcPr>
            <w:tcW w:w="1843" w:type="dxa"/>
          </w:tcPr>
          <w:p w14:paraId="338F7819"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169.662</w:t>
            </w:r>
          </w:p>
        </w:tc>
        <w:tc>
          <w:tcPr>
            <w:tcW w:w="2126" w:type="dxa"/>
          </w:tcPr>
          <w:p w14:paraId="21FF210A"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15.423</w:t>
            </w:r>
          </w:p>
        </w:tc>
        <w:tc>
          <w:tcPr>
            <w:tcW w:w="3163" w:type="dxa"/>
          </w:tcPr>
          <w:p w14:paraId="53A33AD3"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15.423%</w:t>
            </w:r>
          </w:p>
        </w:tc>
      </w:tr>
      <w:tr w:rsidR="00685478" w:rsidRPr="00FE5669" w14:paraId="7CFCD124" w14:textId="77777777" w:rsidTr="00470234">
        <w:tc>
          <w:tcPr>
            <w:tcW w:w="976" w:type="dxa"/>
          </w:tcPr>
          <w:p w14:paraId="05B3253A"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2016</w:t>
            </w:r>
          </w:p>
        </w:tc>
        <w:tc>
          <w:tcPr>
            <w:tcW w:w="1843" w:type="dxa"/>
          </w:tcPr>
          <w:p w14:paraId="44A7D925"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175.336</w:t>
            </w:r>
          </w:p>
        </w:tc>
        <w:tc>
          <w:tcPr>
            <w:tcW w:w="2126" w:type="dxa"/>
          </w:tcPr>
          <w:p w14:paraId="76422752"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18.750</w:t>
            </w:r>
          </w:p>
        </w:tc>
        <w:tc>
          <w:tcPr>
            <w:tcW w:w="3163" w:type="dxa"/>
          </w:tcPr>
          <w:p w14:paraId="62EB6E8C"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16.7%</w:t>
            </w:r>
          </w:p>
        </w:tc>
      </w:tr>
      <w:tr w:rsidR="00685478" w:rsidRPr="00FE5669" w14:paraId="43438AAC" w14:textId="77777777" w:rsidTr="00470234">
        <w:tc>
          <w:tcPr>
            <w:tcW w:w="976" w:type="dxa"/>
          </w:tcPr>
          <w:p w14:paraId="09F03B95"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2017</w:t>
            </w:r>
          </w:p>
        </w:tc>
        <w:tc>
          <w:tcPr>
            <w:tcW w:w="1843" w:type="dxa"/>
          </w:tcPr>
          <w:p w14:paraId="602A6D03"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79.978</w:t>
            </w:r>
          </w:p>
        </w:tc>
        <w:tc>
          <w:tcPr>
            <w:tcW w:w="2126" w:type="dxa"/>
          </w:tcPr>
          <w:p w14:paraId="56A4FA88"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19.500</w:t>
            </w:r>
          </w:p>
        </w:tc>
        <w:tc>
          <w:tcPr>
            <w:tcW w:w="3163" w:type="dxa"/>
          </w:tcPr>
          <w:p w14:paraId="122C2992"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24.3%</w:t>
            </w:r>
          </w:p>
        </w:tc>
      </w:tr>
    </w:tbl>
    <w:p w14:paraId="112BD103" w14:textId="77777777" w:rsidR="00685478" w:rsidRDefault="00685478" w:rsidP="00685478">
      <w:pPr>
        <w:spacing w:after="0"/>
        <w:jc w:val="both"/>
        <w:rPr>
          <w:rFonts w:ascii="Arial" w:hAnsi="Arial" w:cs="Arial"/>
          <w:sz w:val="24"/>
          <w:szCs w:val="24"/>
        </w:rPr>
      </w:pPr>
    </w:p>
    <w:p w14:paraId="58FE227A" w14:textId="77777777" w:rsidR="00685478" w:rsidRPr="00847546" w:rsidRDefault="00685478" w:rsidP="00685478">
      <w:pPr>
        <w:spacing w:after="0"/>
        <w:jc w:val="both"/>
        <w:rPr>
          <w:rFonts w:ascii="Arial" w:hAnsi="Arial" w:cs="Arial"/>
          <w:sz w:val="24"/>
          <w:szCs w:val="24"/>
        </w:rPr>
      </w:pPr>
    </w:p>
    <w:p w14:paraId="287D799D" w14:textId="77777777" w:rsidR="00685478" w:rsidRPr="00847546" w:rsidRDefault="00685478" w:rsidP="00685478">
      <w:pPr>
        <w:spacing w:after="0"/>
        <w:jc w:val="both"/>
        <w:rPr>
          <w:rFonts w:ascii="Arial" w:hAnsi="Arial" w:cs="Arial"/>
          <w:sz w:val="24"/>
          <w:szCs w:val="24"/>
        </w:rPr>
      </w:pPr>
      <w:r w:rsidRPr="00847546">
        <w:rPr>
          <w:rFonts w:ascii="Arial" w:hAnsi="Arial" w:cs="Arial"/>
          <w:sz w:val="24"/>
          <w:szCs w:val="24"/>
        </w:rPr>
        <w:t>Estos datos demuestran el impacto que tiene la reincidencia, sobre todo en delitos de impacto que afectan la seguridad ciudadana, los datos entregados por la Fiscalía General de la Nación para el año 2017 confirman lo manifestado por el INPEC:</w:t>
      </w:r>
    </w:p>
    <w:p w14:paraId="70AF46F6" w14:textId="77777777" w:rsidR="00685478" w:rsidRPr="00847546" w:rsidRDefault="00685478" w:rsidP="00685478">
      <w:pPr>
        <w:spacing w:after="0"/>
        <w:jc w:val="both"/>
        <w:rPr>
          <w:rFonts w:ascii="Arial" w:hAnsi="Arial" w:cs="Arial"/>
          <w:sz w:val="24"/>
          <w:szCs w:val="24"/>
        </w:rPr>
      </w:pPr>
    </w:p>
    <w:p w14:paraId="0F423DC9" w14:textId="77777777" w:rsidR="00685478" w:rsidRPr="00847546" w:rsidRDefault="00685478" w:rsidP="00685478">
      <w:pPr>
        <w:spacing w:after="0"/>
        <w:jc w:val="both"/>
        <w:rPr>
          <w:rFonts w:ascii="Arial" w:hAnsi="Arial" w:cs="Arial"/>
          <w:sz w:val="24"/>
          <w:szCs w:val="24"/>
        </w:rPr>
      </w:pPr>
      <w:r w:rsidRPr="00847546">
        <w:rPr>
          <w:rFonts w:ascii="Arial" w:hAnsi="Arial" w:cs="Arial"/>
          <w:sz w:val="24"/>
          <w:szCs w:val="24"/>
        </w:rPr>
        <w:t>TIPO DE DELITOS POR BIEN JURÍDICO</w:t>
      </w:r>
      <w:r w:rsidRPr="00847546">
        <w:rPr>
          <w:rFonts w:ascii="Arial" w:hAnsi="Arial" w:cs="Arial"/>
          <w:sz w:val="24"/>
          <w:szCs w:val="24"/>
        </w:rPr>
        <w:tab/>
        <w:t>NÚMERO DE PROCESOS</w:t>
      </w:r>
    </w:p>
    <w:tbl>
      <w:tblPr>
        <w:tblStyle w:val="Tablaconcuadrcula"/>
        <w:tblW w:w="0" w:type="auto"/>
        <w:tblInd w:w="720" w:type="dxa"/>
        <w:tblLook w:val="04A0" w:firstRow="1" w:lastRow="0" w:firstColumn="1" w:lastColumn="0" w:noHBand="0" w:noVBand="1"/>
      </w:tblPr>
      <w:tblGrid>
        <w:gridCol w:w="4945"/>
        <w:gridCol w:w="2977"/>
      </w:tblGrid>
      <w:tr w:rsidR="00685478" w:rsidRPr="00FE5669" w14:paraId="1E458A30" w14:textId="77777777" w:rsidTr="00470234">
        <w:tc>
          <w:tcPr>
            <w:tcW w:w="4945" w:type="dxa"/>
          </w:tcPr>
          <w:p w14:paraId="7B490994"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TIPO DE DELITOS POR BIEN JURÍDICO</w:t>
            </w:r>
          </w:p>
        </w:tc>
        <w:tc>
          <w:tcPr>
            <w:tcW w:w="2977" w:type="dxa"/>
          </w:tcPr>
          <w:p w14:paraId="3C01707F"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NÚMERO DE PROCESOS</w:t>
            </w:r>
          </w:p>
        </w:tc>
      </w:tr>
      <w:tr w:rsidR="00685478" w:rsidRPr="00FE5669" w14:paraId="79A1D078" w14:textId="77777777" w:rsidTr="00470234">
        <w:tc>
          <w:tcPr>
            <w:tcW w:w="4945" w:type="dxa"/>
          </w:tcPr>
          <w:p w14:paraId="6CD302F1"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Delitos contra la salud pública</w:t>
            </w:r>
          </w:p>
        </w:tc>
        <w:tc>
          <w:tcPr>
            <w:tcW w:w="2977" w:type="dxa"/>
          </w:tcPr>
          <w:p w14:paraId="7624B788"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16.173</w:t>
            </w:r>
          </w:p>
        </w:tc>
      </w:tr>
      <w:tr w:rsidR="00685478" w:rsidRPr="00FE5669" w14:paraId="2742F390" w14:textId="77777777" w:rsidTr="00470234">
        <w:tc>
          <w:tcPr>
            <w:tcW w:w="4945" w:type="dxa"/>
          </w:tcPr>
          <w:p w14:paraId="4FC7735E"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Delitos contra la familia</w:t>
            </w:r>
          </w:p>
        </w:tc>
        <w:tc>
          <w:tcPr>
            <w:tcW w:w="2977" w:type="dxa"/>
          </w:tcPr>
          <w:p w14:paraId="31A1CD04"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48.636</w:t>
            </w:r>
          </w:p>
        </w:tc>
      </w:tr>
      <w:tr w:rsidR="00685478" w:rsidRPr="00FE5669" w14:paraId="68D1D4BB" w14:textId="77777777" w:rsidTr="00470234">
        <w:tc>
          <w:tcPr>
            <w:tcW w:w="4945" w:type="dxa"/>
          </w:tcPr>
          <w:p w14:paraId="4E869E5F"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Delitos contra la libertad individual y otras garantías</w:t>
            </w:r>
          </w:p>
        </w:tc>
        <w:tc>
          <w:tcPr>
            <w:tcW w:w="2977" w:type="dxa"/>
          </w:tcPr>
          <w:p w14:paraId="1D769228"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13.520</w:t>
            </w:r>
          </w:p>
        </w:tc>
      </w:tr>
      <w:tr w:rsidR="00685478" w:rsidRPr="00FE5669" w14:paraId="0B2CDA8E" w14:textId="77777777" w:rsidTr="00470234">
        <w:tc>
          <w:tcPr>
            <w:tcW w:w="4945" w:type="dxa"/>
          </w:tcPr>
          <w:p w14:paraId="54DAFFB8"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Delitos contra la administración pública</w:t>
            </w:r>
          </w:p>
        </w:tc>
        <w:tc>
          <w:tcPr>
            <w:tcW w:w="2977" w:type="dxa"/>
          </w:tcPr>
          <w:p w14:paraId="7091245C"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16.453</w:t>
            </w:r>
          </w:p>
        </w:tc>
      </w:tr>
      <w:tr w:rsidR="00685478" w:rsidRPr="00FE5669" w14:paraId="1B668B32" w14:textId="77777777" w:rsidTr="00470234">
        <w:tc>
          <w:tcPr>
            <w:tcW w:w="4945" w:type="dxa"/>
          </w:tcPr>
          <w:p w14:paraId="52C93A40"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Delitos contra el patrimonio económico</w:t>
            </w:r>
          </w:p>
        </w:tc>
        <w:tc>
          <w:tcPr>
            <w:tcW w:w="2977" w:type="dxa"/>
          </w:tcPr>
          <w:p w14:paraId="0CCC79BA"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110.542</w:t>
            </w:r>
          </w:p>
        </w:tc>
      </w:tr>
      <w:tr w:rsidR="00685478" w:rsidRPr="00FE5669" w14:paraId="35E06C5A" w14:textId="77777777" w:rsidTr="00470234">
        <w:tc>
          <w:tcPr>
            <w:tcW w:w="4945" w:type="dxa"/>
          </w:tcPr>
          <w:p w14:paraId="47F6C099"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Delitos contra la libertad, integridad y formación sexuales</w:t>
            </w:r>
          </w:p>
        </w:tc>
        <w:tc>
          <w:tcPr>
            <w:tcW w:w="2977" w:type="dxa"/>
          </w:tcPr>
          <w:p w14:paraId="604799B4"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24.759</w:t>
            </w:r>
          </w:p>
        </w:tc>
      </w:tr>
      <w:tr w:rsidR="00685478" w:rsidRPr="00FE5669" w14:paraId="170397E8" w14:textId="77777777" w:rsidTr="00470234">
        <w:tc>
          <w:tcPr>
            <w:tcW w:w="4945" w:type="dxa"/>
          </w:tcPr>
          <w:p w14:paraId="7DA989FD"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Delito contra la seguridad pública</w:t>
            </w:r>
          </w:p>
        </w:tc>
        <w:tc>
          <w:tcPr>
            <w:tcW w:w="2977" w:type="dxa"/>
          </w:tcPr>
          <w:p w14:paraId="6C1FB22F"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26.005</w:t>
            </w:r>
          </w:p>
        </w:tc>
      </w:tr>
      <w:tr w:rsidR="00685478" w:rsidRPr="00FE5669" w14:paraId="4DCFD88B" w14:textId="77777777" w:rsidTr="00470234">
        <w:tc>
          <w:tcPr>
            <w:tcW w:w="4945" w:type="dxa"/>
          </w:tcPr>
          <w:p w14:paraId="7FE7693B"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lastRenderedPageBreak/>
              <w:t>Delitos contra la vida y la integridad personal</w:t>
            </w:r>
          </w:p>
        </w:tc>
        <w:tc>
          <w:tcPr>
            <w:tcW w:w="2977" w:type="dxa"/>
          </w:tcPr>
          <w:p w14:paraId="6BBD0759" w14:textId="77777777" w:rsidR="00685478" w:rsidRPr="00FE5669" w:rsidRDefault="00685478" w:rsidP="00470234">
            <w:pPr>
              <w:jc w:val="both"/>
              <w:rPr>
                <w:rFonts w:ascii="Arial" w:hAnsi="Arial" w:cs="Arial"/>
                <w:sz w:val="24"/>
                <w:szCs w:val="24"/>
              </w:rPr>
            </w:pPr>
            <w:r w:rsidRPr="00FE5669">
              <w:rPr>
                <w:rFonts w:ascii="Arial" w:hAnsi="Arial" w:cs="Arial"/>
                <w:sz w:val="24"/>
                <w:szCs w:val="24"/>
              </w:rPr>
              <w:t>56.229</w:t>
            </w:r>
          </w:p>
        </w:tc>
      </w:tr>
    </w:tbl>
    <w:p w14:paraId="39B32609" w14:textId="77777777" w:rsidR="00685478" w:rsidRDefault="00685478" w:rsidP="00685478">
      <w:pPr>
        <w:spacing w:after="0"/>
        <w:jc w:val="both"/>
        <w:rPr>
          <w:rFonts w:ascii="Arial" w:hAnsi="Arial" w:cs="Arial"/>
          <w:sz w:val="24"/>
          <w:szCs w:val="24"/>
        </w:rPr>
      </w:pPr>
    </w:p>
    <w:p w14:paraId="28C7036F" w14:textId="77777777" w:rsidR="00685478" w:rsidRPr="00847546" w:rsidRDefault="00685478" w:rsidP="00685478">
      <w:pPr>
        <w:spacing w:after="0"/>
        <w:jc w:val="both"/>
        <w:rPr>
          <w:rFonts w:ascii="Arial" w:hAnsi="Arial" w:cs="Arial"/>
          <w:sz w:val="24"/>
          <w:szCs w:val="24"/>
        </w:rPr>
      </w:pPr>
    </w:p>
    <w:p w14:paraId="75DB7CD5" w14:textId="77777777" w:rsidR="00685478" w:rsidRPr="00847546" w:rsidRDefault="00685478" w:rsidP="00685478">
      <w:pPr>
        <w:spacing w:after="0"/>
        <w:jc w:val="both"/>
        <w:rPr>
          <w:rFonts w:ascii="Arial" w:hAnsi="Arial" w:cs="Arial"/>
          <w:sz w:val="24"/>
          <w:szCs w:val="24"/>
        </w:rPr>
      </w:pPr>
      <w:r w:rsidRPr="00847546">
        <w:rPr>
          <w:rFonts w:ascii="Arial" w:hAnsi="Arial" w:cs="Arial"/>
          <w:sz w:val="24"/>
          <w:szCs w:val="24"/>
        </w:rPr>
        <w:t xml:space="preserve">Las tasas delictivas resultan en todos los casos desalentadoras, ya que los delitos de mayor gravedad tienen tasas altísimas, pero llama en especial la atención que los delitos contra el patrimonio económico dobla, en el mejor de los casos cualquier otro tipo de afectación criminal. Esto reafirma la persistente sensación de inseguridad que tienen las personas en los cascos urbanos, y no hay lugar al argumento matemático que presenta la correlación directa de aumento de crimen por aumento de población, ya que el Departamento Nacional de Planeación mostró para el año 2017, una caída del 13% de concentración poblacional en los cascos urbanos, lo que lleva a concluir que el fenómeno es exactamente el contrario, a pesar de que hay menos gente por km2 aumentan los delitos cometidos. </w:t>
      </w:r>
    </w:p>
    <w:p w14:paraId="0050EA79" w14:textId="77777777" w:rsidR="00685478" w:rsidRPr="00847546" w:rsidRDefault="00685478" w:rsidP="00685478">
      <w:pPr>
        <w:spacing w:after="0"/>
        <w:jc w:val="both"/>
        <w:rPr>
          <w:rFonts w:ascii="Arial" w:hAnsi="Arial" w:cs="Arial"/>
          <w:sz w:val="24"/>
          <w:szCs w:val="24"/>
        </w:rPr>
      </w:pPr>
      <w:r w:rsidRPr="00847546">
        <w:rPr>
          <w:rFonts w:ascii="Arial" w:hAnsi="Arial" w:cs="Arial"/>
          <w:sz w:val="24"/>
          <w:szCs w:val="24"/>
        </w:rPr>
        <w:t>Así pues, se hace necesario enviar a la criminalidad un mensaje claro, señalando que “el que la hace la paga”, y que con penas verdaderamente efectivas que permitan no solo una eficaz prevención general, sino también una mejor resocialización, lograremos reducir los índices de reincidencia que tanto aquejan a nuestro País.</w:t>
      </w:r>
    </w:p>
    <w:p w14:paraId="3B3FD76F" w14:textId="77777777" w:rsidR="00685478" w:rsidRPr="00847546" w:rsidRDefault="00685478" w:rsidP="00685478">
      <w:pPr>
        <w:spacing w:after="0"/>
        <w:jc w:val="both"/>
        <w:rPr>
          <w:rFonts w:ascii="Arial" w:hAnsi="Arial" w:cs="Arial"/>
          <w:sz w:val="24"/>
          <w:szCs w:val="24"/>
        </w:rPr>
      </w:pPr>
      <w:r w:rsidRPr="00847546">
        <w:rPr>
          <w:rFonts w:ascii="Arial" w:hAnsi="Arial" w:cs="Arial"/>
          <w:sz w:val="24"/>
          <w:szCs w:val="24"/>
        </w:rPr>
        <w:t xml:space="preserve"> </w:t>
      </w:r>
    </w:p>
    <w:p w14:paraId="1B388F00" w14:textId="77777777" w:rsidR="00685478" w:rsidRDefault="00685478" w:rsidP="00685478">
      <w:pPr>
        <w:spacing w:after="0"/>
        <w:jc w:val="both"/>
        <w:rPr>
          <w:rFonts w:ascii="Arial" w:hAnsi="Arial" w:cs="Arial"/>
          <w:sz w:val="24"/>
          <w:szCs w:val="24"/>
        </w:rPr>
      </w:pPr>
      <w:r w:rsidRPr="00847546">
        <w:rPr>
          <w:rFonts w:ascii="Arial" w:hAnsi="Arial" w:cs="Arial"/>
          <w:sz w:val="24"/>
          <w:szCs w:val="24"/>
        </w:rPr>
        <w:t>Cabe resaltar que en Colombia se han dado pasos para brindar un trato especial a este tipo de conductas. En 2017 el Congreso de la República expidió la Ley 1826 de 2017 “por medio del cual se establece un procedimiento penal especial abreviado y se regula la figura del acusador privado” el cual brinda un procedimiento expedido a aquellas conductas tipificadas como delitos querellables y delitos de baja entidad delictiva.</w:t>
      </w:r>
    </w:p>
    <w:p w14:paraId="63D2B469" w14:textId="77777777" w:rsidR="00685478" w:rsidRPr="00847546" w:rsidRDefault="00685478" w:rsidP="00685478">
      <w:pPr>
        <w:spacing w:after="0"/>
        <w:jc w:val="both"/>
        <w:rPr>
          <w:rFonts w:ascii="Arial" w:hAnsi="Arial" w:cs="Arial"/>
          <w:sz w:val="24"/>
          <w:szCs w:val="24"/>
        </w:rPr>
      </w:pPr>
    </w:p>
    <w:p w14:paraId="25600FF1" w14:textId="77777777" w:rsidR="00685478" w:rsidRDefault="00685478" w:rsidP="00685478">
      <w:pPr>
        <w:spacing w:after="0"/>
        <w:jc w:val="both"/>
        <w:rPr>
          <w:rFonts w:ascii="Arial" w:hAnsi="Arial" w:cs="Arial"/>
          <w:sz w:val="24"/>
          <w:szCs w:val="24"/>
        </w:rPr>
      </w:pPr>
      <w:r w:rsidRPr="00847546">
        <w:rPr>
          <w:rFonts w:ascii="Arial" w:hAnsi="Arial" w:cs="Arial"/>
          <w:sz w:val="24"/>
          <w:szCs w:val="24"/>
        </w:rPr>
        <w:t>Sin embargo, aunque la ley resulta un alivio en cuanto a tiempos y participación de la víctima para movilizar el órgano judicial con la implementación del acusador privado, la ley 1826 de 2017 no trae consigo mecanismos para mitigar el fenómeno de reincidencia. Y no es extraño, pues no estaba dentro de su núcleo normativo la regulación de este fenómeno, sino agilizar el proceso para la judicialización de los delitos de alto impacto y que suelen prescribir o quedar archivados por la entidad de los mismos tipos.</w:t>
      </w:r>
    </w:p>
    <w:p w14:paraId="71504453" w14:textId="77777777" w:rsidR="00685478" w:rsidRPr="00847546" w:rsidRDefault="00685478" w:rsidP="00685478">
      <w:pPr>
        <w:spacing w:after="0"/>
        <w:jc w:val="both"/>
        <w:rPr>
          <w:rFonts w:ascii="Arial" w:hAnsi="Arial" w:cs="Arial"/>
          <w:sz w:val="24"/>
          <w:szCs w:val="24"/>
        </w:rPr>
      </w:pPr>
    </w:p>
    <w:p w14:paraId="2F5A11B3" w14:textId="77777777" w:rsidR="00685478" w:rsidRDefault="00685478" w:rsidP="00685478">
      <w:pPr>
        <w:spacing w:after="0"/>
        <w:jc w:val="both"/>
        <w:rPr>
          <w:rFonts w:ascii="Arial" w:hAnsi="Arial" w:cs="Arial"/>
          <w:sz w:val="24"/>
          <w:szCs w:val="24"/>
        </w:rPr>
      </w:pPr>
      <w:r w:rsidRPr="00847546">
        <w:rPr>
          <w:rFonts w:ascii="Arial" w:hAnsi="Arial" w:cs="Arial"/>
          <w:sz w:val="24"/>
          <w:szCs w:val="24"/>
        </w:rPr>
        <w:t xml:space="preserve">La presente iniciativa responde a la necesidad de refrescar el ordenamiento jurídico penal colombiano estableciendo penas eficaces en caso de reincidencias, estableciendo costas procesales a cargo de los condenados, eliminando los subrogados penales ante la repetición de actuales delictivos, implementando indemnizaciones a las víctimas que verdaderamente resarzan la lesión a su bien jurídico tutelado y adicionalmente estableciendo garantías de no reincidencia como </w:t>
      </w:r>
      <w:r w:rsidRPr="00847546">
        <w:rPr>
          <w:rFonts w:ascii="Arial" w:hAnsi="Arial" w:cs="Arial"/>
          <w:sz w:val="24"/>
          <w:szCs w:val="24"/>
        </w:rPr>
        <w:lastRenderedPageBreak/>
        <w:t>mecanismo alterno para prevenir este fenómeno. El enfoque normativo del proyecto de ley implica una regulación responsable por parte del legislador, en donde el mensaje para la comunidad en general sea una respuesta efectiva a la problemática que se está viviendo en todos los rincones del país, la cual se traduce en la percepción de inseguridad que los ciudadanos tienen por la inoperancia del sistema estatal.</w:t>
      </w:r>
    </w:p>
    <w:p w14:paraId="2D65C915" w14:textId="77777777" w:rsidR="00685478" w:rsidRDefault="00685478" w:rsidP="00685478">
      <w:pPr>
        <w:spacing w:after="0"/>
        <w:jc w:val="both"/>
        <w:rPr>
          <w:rFonts w:ascii="Arial" w:hAnsi="Arial" w:cs="Arial"/>
          <w:sz w:val="24"/>
          <w:szCs w:val="24"/>
        </w:rPr>
      </w:pPr>
    </w:p>
    <w:p w14:paraId="34E0084A" w14:textId="77777777" w:rsidR="00685478" w:rsidRDefault="00685478" w:rsidP="00685478">
      <w:pPr>
        <w:spacing w:after="0"/>
        <w:jc w:val="both"/>
        <w:rPr>
          <w:rFonts w:ascii="Arial" w:hAnsi="Arial" w:cs="Arial"/>
          <w:sz w:val="24"/>
          <w:szCs w:val="24"/>
        </w:rPr>
      </w:pPr>
      <w:r>
        <w:rPr>
          <w:rFonts w:ascii="Arial" w:hAnsi="Arial" w:cs="Arial"/>
          <w:sz w:val="24"/>
          <w:szCs w:val="24"/>
        </w:rPr>
        <w:t>Resulta evidente que la forma de concebir el derecho penal en Colombia ha sido inefectivo, pues no han aparecido concepciones diferentes de castigo diferente a la utilización de los centros carcelarios, lo anterior lejos de representar una solución ha sido gestor de nuevas problemáticas estructurales entre las que se encuentran el hacinamiento carcelario y la falta de programas de resocialización, que sumadas desembocan en el recrudecimiento del actuar criminal, por lo que la consecuencia vista luego de la purga de la pena es la opuesta a la esperada, pues el sujeto tiene más probabilidades de reincidir en el delito, e incluso se diversifican en modus operandi, por lo que Colombia está viviendo una situación de antilógica en la que las cárceles se han vuelto una academia del delito y no centros de resocialización.</w:t>
      </w:r>
    </w:p>
    <w:p w14:paraId="11AADAAC" w14:textId="77777777" w:rsidR="00685478" w:rsidRDefault="00685478" w:rsidP="00685478">
      <w:pPr>
        <w:spacing w:after="0"/>
        <w:jc w:val="both"/>
        <w:rPr>
          <w:rFonts w:ascii="Arial" w:hAnsi="Arial" w:cs="Arial"/>
          <w:sz w:val="24"/>
          <w:szCs w:val="24"/>
        </w:rPr>
      </w:pPr>
    </w:p>
    <w:p w14:paraId="6293BF84" w14:textId="77777777" w:rsidR="00685478" w:rsidRDefault="00685478" w:rsidP="00685478">
      <w:pPr>
        <w:spacing w:after="0"/>
        <w:jc w:val="both"/>
        <w:rPr>
          <w:rFonts w:ascii="Arial" w:hAnsi="Arial" w:cs="Arial"/>
          <w:sz w:val="24"/>
          <w:szCs w:val="24"/>
        </w:rPr>
      </w:pPr>
      <w:r>
        <w:rPr>
          <w:rFonts w:ascii="Arial" w:hAnsi="Arial" w:cs="Arial"/>
          <w:sz w:val="24"/>
          <w:szCs w:val="24"/>
        </w:rPr>
        <w:t>Es por esto necesario re pensar el derecho penal, en el que los fenómenos criminales no se analicen bajo un mismo racero infiriendo que la solución siempre es el aumento de penas, cuando sobre todo, en delitos de alto impacto a la ciudadanía, vemos que es lo opuesto, sin que haya en el ordenamiento más salidas de imposición de sanciones.</w:t>
      </w:r>
    </w:p>
    <w:p w14:paraId="59270C49" w14:textId="77777777" w:rsidR="00685478" w:rsidRDefault="00685478" w:rsidP="00685478">
      <w:pPr>
        <w:spacing w:after="0"/>
        <w:jc w:val="both"/>
        <w:rPr>
          <w:rFonts w:ascii="Arial" w:hAnsi="Arial" w:cs="Arial"/>
          <w:sz w:val="24"/>
          <w:szCs w:val="24"/>
        </w:rPr>
      </w:pPr>
    </w:p>
    <w:p w14:paraId="4A0F247C" w14:textId="77777777" w:rsidR="00685478" w:rsidRDefault="00685478" w:rsidP="00685478">
      <w:pPr>
        <w:spacing w:after="0"/>
        <w:jc w:val="both"/>
        <w:rPr>
          <w:rFonts w:ascii="Arial" w:hAnsi="Arial" w:cs="Arial"/>
          <w:sz w:val="24"/>
          <w:szCs w:val="24"/>
        </w:rPr>
      </w:pPr>
      <w:r>
        <w:rPr>
          <w:rFonts w:ascii="Arial" w:hAnsi="Arial" w:cs="Arial"/>
          <w:sz w:val="24"/>
          <w:szCs w:val="24"/>
        </w:rPr>
        <w:t>El presente proyecto de ley es una respuesta precisamente a esto, a buscar nuevas soluciones al problema de la reincidencia criminal y el posicionamiento protagonista de la víctima dentro del Sistema Penal acusatorio, pues si bien su tratamiento en principio no es de parte sino de sujeto, y esto conlleva a que sea desplazada en el proceso, es necesario que dentro del proceso sea la víctima y su reparación eje fundamental del proceso penal, pues con ella empieza la noticia criminal, y en ella reposa el material probatorio, es fundamental que el sistema empieza a darle la importancia debida a esta.</w:t>
      </w:r>
    </w:p>
    <w:p w14:paraId="41F78C54" w14:textId="77777777" w:rsidR="00685478" w:rsidRDefault="00685478" w:rsidP="00685478">
      <w:pPr>
        <w:spacing w:after="0"/>
        <w:jc w:val="both"/>
        <w:rPr>
          <w:rFonts w:ascii="Arial" w:hAnsi="Arial" w:cs="Arial"/>
          <w:sz w:val="24"/>
          <w:szCs w:val="24"/>
        </w:rPr>
      </w:pPr>
    </w:p>
    <w:p w14:paraId="50CF3FD7" w14:textId="77777777" w:rsidR="00685478" w:rsidRDefault="00685478" w:rsidP="00685478">
      <w:pPr>
        <w:spacing w:after="0"/>
        <w:jc w:val="both"/>
        <w:rPr>
          <w:rFonts w:ascii="Arial" w:hAnsi="Arial" w:cs="Arial"/>
          <w:sz w:val="24"/>
          <w:szCs w:val="24"/>
        </w:rPr>
      </w:pPr>
      <w:r>
        <w:rPr>
          <w:rFonts w:ascii="Arial" w:hAnsi="Arial" w:cs="Arial"/>
          <w:sz w:val="24"/>
          <w:szCs w:val="24"/>
        </w:rPr>
        <w:t xml:space="preserve">Las modificaciones propuestas son de tipo sustancial. Así, no solo se trata de modificar el tratamiento punitivo si hay allanamiento, sino que tal ocurra siempre y cuando haya satisfacción de la víctima y no se trate de reincidentes. </w:t>
      </w:r>
    </w:p>
    <w:p w14:paraId="39D10654" w14:textId="77777777" w:rsidR="00685478" w:rsidRDefault="00685478" w:rsidP="00685478">
      <w:pPr>
        <w:spacing w:after="0"/>
        <w:jc w:val="both"/>
        <w:rPr>
          <w:rFonts w:ascii="Arial" w:hAnsi="Arial" w:cs="Arial"/>
          <w:sz w:val="24"/>
          <w:szCs w:val="24"/>
        </w:rPr>
      </w:pPr>
      <w:r>
        <w:rPr>
          <w:rFonts w:ascii="Arial" w:hAnsi="Arial" w:cs="Arial"/>
          <w:sz w:val="24"/>
          <w:szCs w:val="24"/>
        </w:rPr>
        <w:t xml:space="preserve">Lo anterior espera actuar como forma disuasiva al delincuente al encontrar en el sistema una sanción efectiva lo suficientemente importante como para que pueda reflexionar, pero lo suficientemente corta como para evitar que se sofistiquen las prácticas delictivas. Esta pena deberá ser cumplida integralmente en prisión, sin </w:t>
      </w:r>
      <w:r>
        <w:rPr>
          <w:rFonts w:ascii="Arial" w:hAnsi="Arial" w:cs="Arial"/>
          <w:sz w:val="24"/>
          <w:szCs w:val="24"/>
        </w:rPr>
        <w:lastRenderedPageBreak/>
        <w:t>subrogado penal previo procedente, solo conservando la redención de la pena por trabajo.</w:t>
      </w:r>
    </w:p>
    <w:p w14:paraId="22EC9B96" w14:textId="77777777" w:rsidR="00685478" w:rsidRDefault="00685478" w:rsidP="00685478">
      <w:pPr>
        <w:spacing w:after="0"/>
        <w:jc w:val="both"/>
        <w:rPr>
          <w:rFonts w:ascii="Arial" w:hAnsi="Arial" w:cs="Arial"/>
          <w:sz w:val="24"/>
          <w:szCs w:val="24"/>
        </w:rPr>
      </w:pPr>
    </w:p>
    <w:p w14:paraId="6A197F83" w14:textId="77777777" w:rsidR="00685478" w:rsidRDefault="00685478" w:rsidP="00685478">
      <w:pPr>
        <w:spacing w:after="0"/>
        <w:jc w:val="both"/>
        <w:rPr>
          <w:rFonts w:ascii="Arial" w:hAnsi="Arial" w:cs="Arial"/>
          <w:sz w:val="24"/>
          <w:szCs w:val="24"/>
        </w:rPr>
      </w:pPr>
      <w:r>
        <w:rPr>
          <w:rFonts w:ascii="Arial" w:hAnsi="Arial" w:cs="Arial"/>
          <w:sz w:val="24"/>
          <w:szCs w:val="24"/>
        </w:rPr>
        <w:t>Otra modificación al derecho sustantivo penal tiene que ver con la indemnización a la víctima producto del delito, o responsabilidad civil derivada de la conducta punible, se propone que sea muy superior al daño material probado, se espera que esto sirva de estímulo a la denuncia al encontrar una verdadera reparación. Este principio si bien replantea la teoría clásica de la responsabilidad en general, y la responsabilidad extra contractual en particular, no se encontraron discrepancias constitucionales sobre el artículo propuesto, más entendiendo que en todo caso las negociaciones serán con participación y voluntad del procesado.</w:t>
      </w:r>
    </w:p>
    <w:p w14:paraId="6F3DC35E" w14:textId="77777777" w:rsidR="00685478" w:rsidRDefault="00685478" w:rsidP="00685478">
      <w:pPr>
        <w:spacing w:after="0"/>
        <w:jc w:val="both"/>
        <w:rPr>
          <w:rFonts w:ascii="Arial" w:hAnsi="Arial" w:cs="Arial"/>
          <w:sz w:val="24"/>
          <w:szCs w:val="24"/>
        </w:rPr>
      </w:pPr>
    </w:p>
    <w:p w14:paraId="2F7CD3E0" w14:textId="77777777" w:rsidR="00685478" w:rsidRDefault="00685478" w:rsidP="00685478">
      <w:pPr>
        <w:spacing w:after="0"/>
        <w:jc w:val="both"/>
        <w:rPr>
          <w:rFonts w:ascii="Arial" w:hAnsi="Arial" w:cs="Arial"/>
          <w:sz w:val="24"/>
          <w:szCs w:val="24"/>
        </w:rPr>
      </w:pPr>
      <w:r>
        <w:rPr>
          <w:rFonts w:ascii="Arial" w:hAnsi="Arial" w:cs="Arial"/>
          <w:sz w:val="24"/>
          <w:szCs w:val="24"/>
        </w:rPr>
        <w:t>Pero lo anterior no tendría sentido práctico se no se acompaña con un proceso expedito que no solo garantice la descongestión, sino que permita la agilización de los procesos para que la constitución en reincidencia no sea extendida en el tiempo y se solucione el problema de procesos paralelos sin consecuencia al no existir sentencia condenatoria.</w:t>
      </w:r>
    </w:p>
    <w:p w14:paraId="62D91369" w14:textId="77777777" w:rsidR="00685478" w:rsidRDefault="00685478" w:rsidP="00685478">
      <w:pPr>
        <w:spacing w:after="0"/>
        <w:jc w:val="both"/>
        <w:rPr>
          <w:rFonts w:ascii="Arial" w:hAnsi="Arial" w:cs="Arial"/>
          <w:sz w:val="24"/>
          <w:szCs w:val="24"/>
        </w:rPr>
      </w:pPr>
    </w:p>
    <w:p w14:paraId="3CCA9795" w14:textId="77777777" w:rsidR="00685478" w:rsidRDefault="00685478" w:rsidP="00685478">
      <w:pPr>
        <w:spacing w:after="0"/>
        <w:jc w:val="both"/>
        <w:rPr>
          <w:rFonts w:ascii="Arial" w:hAnsi="Arial" w:cs="Arial"/>
          <w:sz w:val="24"/>
          <w:szCs w:val="24"/>
        </w:rPr>
      </w:pPr>
      <w:r>
        <w:rPr>
          <w:rFonts w:ascii="Arial" w:hAnsi="Arial" w:cs="Arial"/>
          <w:sz w:val="24"/>
          <w:szCs w:val="24"/>
        </w:rPr>
        <w:t xml:space="preserve">Además del anterior, es fundamental para el proyecto de ley que se implemente en el ordenamiento jurídico un mecanismo que permita la descongestión judicial, que sea lo suficientemente rápido para darle trámite a los procesos, reparar rápidamente la víctima y configurar fácilmente la reincidencia. </w:t>
      </w:r>
    </w:p>
    <w:p w14:paraId="4326134F" w14:textId="77777777" w:rsidR="00685478" w:rsidRDefault="00685478" w:rsidP="00685478">
      <w:pPr>
        <w:spacing w:after="0"/>
        <w:jc w:val="both"/>
        <w:rPr>
          <w:rFonts w:ascii="Arial" w:hAnsi="Arial" w:cs="Arial"/>
          <w:sz w:val="24"/>
          <w:szCs w:val="24"/>
        </w:rPr>
      </w:pPr>
      <w:r>
        <w:rPr>
          <w:rFonts w:ascii="Arial" w:hAnsi="Arial" w:cs="Arial"/>
          <w:sz w:val="24"/>
          <w:szCs w:val="24"/>
        </w:rPr>
        <w:t>Por último, queda despejar la duda de los delitos específicos ingresados en este proyecto de ley, estos fueron escogidos bajo dos parámetros concretamente. Entre ellos que no tuviesen una forma más beneficiosa de punibilidad como extinción de la acción por reparación, que fuesen delitos que tuviesen impacto en los ciudadanos y que no fuesen delitos que afectaran en mayor medida el Estado en su conjunto. Se muestran los delitos considerados como más recurrentes y su tratamiento penal:</w:t>
      </w:r>
    </w:p>
    <w:tbl>
      <w:tblPr>
        <w:tblStyle w:val="Tablaconcuadrcula"/>
        <w:tblW w:w="9131" w:type="dxa"/>
        <w:tblInd w:w="-289" w:type="dxa"/>
        <w:tblCellMar>
          <w:left w:w="70" w:type="dxa"/>
          <w:right w:w="70" w:type="dxa"/>
        </w:tblCellMar>
        <w:tblLook w:val="0000" w:firstRow="0" w:lastRow="0" w:firstColumn="0" w:lastColumn="0" w:noHBand="0" w:noVBand="0"/>
      </w:tblPr>
      <w:tblGrid>
        <w:gridCol w:w="4467"/>
        <w:gridCol w:w="10"/>
        <w:gridCol w:w="691"/>
        <w:gridCol w:w="679"/>
        <w:gridCol w:w="7"/>
        <w:gridCol w:w="696"/>
        <w:gridCol w:w="696"/>
        <w:gridCol w:w="377"/>
        <w:gridCol w:w="377"/>
        <w:gridCol w:w="377"/>
        <w:gridCol w:w="377"/>
        <w:gridCol w:w="377"/>
      </w:tblGrid>
      <w:tr w:rsidR="00685478" w:rsidRPr="00E92D67" w14:paraId="2878646D" w14:textId="77777777" w:rsidTr="00470234">
        <w:trPr>
          <w:gridAfter w:val="5"/>
          <w:wAfter w:w="1885" w:type="dxa"/>
          <w:trHeight w:val="266"/>
        </w:trPr>
        <w:tc>
          <w:tcPr>
            <w:tcW w:w="4467" w:type="dxa"/>
            <w:vMerge w:val="restart"/>
            <w:tcBorders>
              <w:top w:val="nil"/>
              <w:left w:val="nil"/>
              <w:right w:val="nil"/>
            </w:tcBorders>
          </w:tcPr>
          <w:p w14:paraId="26BF91EC" w14:textId="77777777" w:rsidR="00685478" w:rsidRPr="00E92D67" w:rsidRDefault="00685478" w:rsidP="00470234">
            <w:pPr>
              <w:jc w:val="both"/>
              <w:rPr>
                <w:rFonts w:ascii="Arial" w:hAnsi="Arial" w:cs="Arial"/>
                <w:sz w:val="20"/>
                <w:szCs w:val="20"/>
              </w:rPr>
            </w:pPr>
          </w:p>
        </w:tc>
        <w:tc>
          <w:tcPr>
            <w:tcW w:w="2779" w:type="dxa"/>
            <w:gridSpan w:val="6"/>
            <w:tcBorders>
              <w:top w:val="nil"/>
              <w:left w:val="nil"/>
              <w:right w:val="nil"/>
            </w:tcBorders>
          </w:tcPr>
          <w:p w14:paraId="1E4DC482" w14:textId="77777777" w:rsidR="00685478" w:rsidRPr="00E92D67" w:rsidRDefault="00685478" w:rsidP="00470234">
            <w:pPr>
              <w:jc w:val="both"/>
              <w:rPr>
                <w:rFonts w:ascii="Arial" w:hAnsi="Arial" w:cs="Arial"/>
                <w:sz w:val="20"/>
                <w:szCs w:val="20"/>
              </w:rPr>
            </w:pPr>
          </w:p>
        </w:tc>
      </w:tr>
      <w:tr w:rsidR="00685478" w:rsidRPr="00E92D67" w14:paraId="4346A923" w14:textId="77777777" w:rsidTr="00470234">
        <w:trPr>
          <w:gridAfter w:val="5"/>
          <w:wAfter w:w="1885" w:type="dxa"/>
          <w:trHeight w:val="272"/>
        </w:trPr>
        <w:tc>
          <w:tcPr>
            <w:tcW w:w="4467" w:type="dxa"/>
            <w:vMerge/>
            <w:tcBorders>
              <w:left w:val="nil"/>
            </w:tcBorders>
          </w:tcPr>
          <w:p w14:paraId="2DB18217" w14:textId="77777777" w:rsidR="00685478" w:rsidRPr="00E92D67" w:rsidRDefault="00685478" w:rsidP="00470234">
            <w:pPr>
              <w:jc w:val="both"/>
              <w:rPr>
                <w:rFonts w:ascii="Arial" w:hAnsi="Arial" w:cs="Arial"/>
                <w:sz w:val="20"/>
                <w:szCs w:val="20"/>
              </w:rPr>
            </w:pPr>
          </w:p>
        </w:tc>
        <w:tc>
          <w:tcPr>
            <w:tcW w:w="1380" w:type="dxa"/>
            <w:gridSpan w:val="3"/>
          </w:tcPr>
          <w:p w14:paraId="0DD873B1" w14:textId="77777777" w:rsidR="00685478" w:rsidRPr="00E92D67" w:rsidRDefault="00685478" w:rsidP="00470234">
            <w:pPr>
              <w:jc w:val="center"/>
              <w:rPr>
                <w:rFonts w:ascii="Arial" w:hAnsi="Arial" w:cs="Arial"/>
                <w:b/>
                <w:sz w:val="20"/>
                <w:szCs w:val="20"/>
              </w:rPr>
            </w:pPr>
            <w:r w:rsidRPr="00E92D67">
              <w:rPr>
                <w:rFonts w:ascii="Arial" w:hAnsi="Arial" w:cs="Arial"/>
                <w:b/>
                <w:sz w:val="20"/>
                <w:szCs w:val="20"/>
              </w:rPr>
              <w:t>MESES</w:t>
            </w:r>
          </w:p>
        </w:tc>
        <w:tc>
          <w:tcPr>
            <w:tcW w:w="1399" w:type="dxa"/>
            <w:gridSpan w:val="3"/>
          </w:tcPr>
          <w:p w14:paraId="43DAFDC8" w14:textId="77777777" w:rsidR="00685478" w:rsidRPr="00E92D67" w:rsidRDefault="00685478" w:rsidP="00470234">
            <w:pPr>
              <w:jc w:val="center"/>
              <w:rPr>
                <w:rFonts w:ascii="Arial" w:hAnsi="Arial" w:cs="Arial"/>
                <w:b/>
                <w:sz w:val="20"/>
                <w:szCs w:val="20"/>
              </w:rPr>
            </w:pPr>
            <w:r w:rsidRPr="00E92D67">
              <w:rPr>
                <w:rFonts w:ascii="Arial" w:hAnsi="Arial" w:cs="Arial"/>
                <w:b/>
                <w:sz w:val="20"/>
                <w:szCs w:val="20"/>
              </w:rPr>
              <w:t>AÑOS</w:t>
            </w:r>
          </w:p>
        </w:tc>
      </w:tr>
      <w:tr w:rsidR="00685478" w:rsidRPr="00E92D67" w14:paraId="01B52AC3" w14:textId="77777777" w:rsidTr="00470234">
        <w:tblPrEx>
          <w:tblCellMar>
            <w:left w:w="108" w:type="dxa"/>
            <w:right w:w="108" w:type="dxa"/>
          </w:tblCellMar>
          <w:tblLook w:val="04A0" w:firstRow="1" w:lastRow="0" w:firstColumn="1" w:lastColumn="0" w:noHBand="0" w:noVBand="1"/>
        </w:tblPrEx>
        <w:tc>
          <w:tcPr>
            <w:tcW w:w="4477" w:type="dxa"/>
            <w:gridSpan w:val="2"/>
          </w:tcPr>
          <w:p w14:paraId="08D3887F" w14:textId="77777777" w:rsidR="00685478" w:rsidRPr="00E92D67" w:rsidRDefault="00685478" w:rsidP="00470234">
            <w:pPr>
              <w:jc w:val="center"/>
              <w:rPr>
                <w:rFonts w:ascii="Arial" w:hAnsi="Arial" w:cs="Arial"/>
                <w:b/>
                <w:sz w:val="20"/>
                <w:szCs w:val="20"/>
              </w:rPr>
            </w:pPr>
            <w:r w:rsidRPr="00E92D67">
              <w:rPr>
                <w:rFonts w:ascii="Arial" w:hAnsi="Arial" w:cs="Arial"/>
                <w:b/>
                <w:sz w:val="20"/>
                <w:szCs w:val="20"/>
              </w:rPr>
              <w:t>CONDUCTA PUNIBLE</w:t>
            </w:r>
          </w:p>
        </w:tc>
        <w:tc>
          <w:tcPr>
            <w:tcW w:w="691" w:type="dxa"/>
          </w:tcPr>
          <w:p w14:paraId="36282F61" w14:textId="77777777" w:rsidR="00685478" w:rsidRPr="00E92D67" w:rsidRDefault="00685478" w:rsidP="00470234">
            <w:pPr>
              <w:jc w:val="center"/>
              <w:rPr>
                <w:rFonts w:ascii="Arial" w:hAnsi="Arial" w:cs="Arial"/>
                <w:b/>
                <w:sz w:val="20"/>
                <w:szCs w:val="20"/>
              </w:rPr>
            </w:pPr>
            <w:r w:rsidRPr="00E92D67">
              <w:rPr>
                <w:rFonts w:ascii="Arial" w:hAnsi="Arial" w:cs="Arial"/>
                <w:b/>
                <w:sz w:val="20"/>
                <w:szCs w:val="20"/>
              </w:rPr>
              <w:t>MIN</w:t>
            </w:r>
          </w:p>
        </w:tc>
        <w:tc>
          <w:tcPr>
            <w:tcW w:w="686" w:type="dxa"/>
            <w:gridSpan w:val="2"/>
          </w:tcPr>
          <w:p w14:paraId="3EAE5B67" w14:textId="77777777" w:rsidR="00685478" w:rsidRPr="00E92D67" w:rsidRDefault="00685478" w:rsidP="00470234">
            <w:pPr>
              <w:jc w:val="both"/>
              <w:rPr>
                <w:rFonts w:ascii="Arial" w:hAnsi="Arial" w:cs="Arial"/>
                <w:b/>
                <w:sz w:val="20"/>
                <w:szCs w:val="20"/>
              </w:rPr>
            </w:pPr>
            <w:r w:rsidRPr="00E92D67">
              <w:rPr>
                <w:rFonts w:ascii="Arial" w:hAnsi="Arial" w:cs="Arial"/>
                <w:b/>
                <w:sz w:val="20"/>
                <w:szCs w:val="20"/>
              </w:rPr>
              <w:t>MÁX</w:t>
            </w:r>
          </w:p>
        </w:tc>
        <w:tc>
          <w:tcPr>
            <w:tcW w:w="696" w:type="dxa"/>
          </w:tcPr>
          <w:p w14:paraId="41F55CFA" w14:textId="77777777" w:rsidR="00685478" w:rsidRPr="00E92D67" w:rsidRDefault="00685478" w:rsidP="00470234">
            <w:pPr>
              <w:jc w:val="center"/>
              <w:rPr>
                <w:rFonts w:ascii="Arial" w:hAnsi="Arial" w:cs="Arial"/>
                <w:b/>
                <w:sz w:val="20"/>
                <w:szCs w:val="20"/>
              </w:rPr>
            </w:pPr>
            <w:r w:rsidRPr="00E92D67">
              <w:rPr>
                <w:rFonts w:ascii="Arial" w:hAnsi="Arial" w:cs="Arial"/>
                <w:b/>
                <w:sz w:val="20"/>
                <w:szCs w:val="20"/>
              </w:rPr>
              <w:t>MIN</w:t>
            </w:r>
          </w:p>
        </w:tc>
        <w:tc>
          <w:tcPr>
            <w:tcW w:w="696" w:type="dxa"/>
          </w:tcPr>
          <w:p w14:paraId="7CFCC57F" w14:textId="77777777" w:rsidR="00685478" w:rsidRPr="00E92D67" w:rsidRDefault="00685478" w:rsidP="00470234">
            <w:pPr>
              <w:jc w:val="both"/>
              <w:rPr>
                <w:rFonts w:ascii="Arial" w:hAnsi="Arial" w:cs="Arial"/>
                <w:b/>
                <w:sz w:val="20"/>
                <w:szCs w:val="20"/>
              </w:rPr>
            </w:pPr>
            <w:r w:rsidRPr="00E92D67">
              <w:rPr>
                <w:rFonts w:ascii="Arial" w:hAnsi="Arial" w:cs="Arial"/>
                <w:b/>
                <w:sz w:val="20"/>
                <w:szCs w:val="20"/>
              </w:rPr>
              <w:t>MAX</w:t>
            </w:r>
          </w:p>
        </w:tc>
        <w:tc>
          <w:tcPr>
            <w:tcW w:w="377" w:type="dxa"/>
          </w:tcPr>
          <w:p w14:paraId="0831A1CF" w14:textId="77777777" w:rsidR="00685478" w:rsidRPr="00E92D67" w:rsidRDefault="00685478" w:rsidP="00470234">
            <w:pPr>
              <w:jc w:val="both"/>
              <w:rPr>
                <w:rFonts w:ascii="Arial" w:hAnsi="Arial" w:cs="Arial"/>
                <w:b/>
                <w:sz w:val="24"/>
                <w:szCs w:val="24"/>
              </w:rPr>
            </w:pPr>
            <w:r w:rsidRPr="00E92D67">
              <w:rPr>
                <w:rStyle w:val="Refdenotaalpie"/>
                <w:rFonts w:ascii="Arial" w:hAnsi="Arial" w:cs="Arial"/>
                <w:b/>
                <w:sz w:val="24"/>
                <w:szCs w:val="24"/>
              </w:rPr>
              <w:footnoteReference w:id="1"/>
            </w:r>
          </w:p>
        </w:tc>
        <w:tc>
          <w:tcPr>
            <w:tcW w:w="377" w:type="dxa"/>
          </w:tcPr>
          <w:p w14:paraId="731941A9" w14:textId="77777777" w:rsidR="00685478" w:rsidRPr="00E92D67" w:rsidRDefault="00685478" w:rsidP="00470234">
            <w:pPr>
              <w:jc w:val="both"/>
              <w:rPr>
                <w:rFonts w:ascii="Arial" w:hAnsi="Arial" w:cs="Arial"/>
                <w:b/>
                <w:sz w:val="24"/>
                <w:szCs w:val="24"/>
              </w:rPr>
            </w:pPr>
            <w:r w:rsidRPr="00E92D67">
              <w:rPr>
                <w:rStyle w:val="Refdenotaalpie"/>
                <w:rFonts w:ascii="Arial" w:hAnsi="Arial" w:cs="Arial"/>
                <w:b/>
                <w:sz w:val="24"/>
                <w:szCs w:val="24"/>
              </w:rPr>
              <w:footnoteReference w:id="2"/>
            </w:r>
          </w:p>
        </w:tc>
        <w:tc>
          <w:tcPr>
            <w:tcW w:w="377" w:type="dxa"/>
          </w:tcPr>
          <w:p w14:paraId="2AF8EAD4" w14:textId="77777777" w:rsidR="00685478" w:rsidRPr="00E92D67" w:rsidRDefault="00685478" w:rsidP="00470234">
            <w:pPr>
              <w:jc w:val="both"/>
              <w:rPr>
                <w:rFonts w:ascii="Arial" w:hAnsi="Arial" w:cs="Arial"/>
                <w:b/>
                <w:sz w:val="24"/>
                <w:szCs w:val="24"/>
              </w:rPr>
            </w:pPr>
            <w:r w:rsidRPr="00E92D67">
              <w:rPr>
                <w:rStyle w:val="Refdenotaalpie"/>
                <w:rFonts w:ascii="Arial" w:hAnsi="Arial" w:cs="Arial"/>
                <w:b/>
                <w:sz w:val="24"/>
                <w:szCs w:val="24"/>
              </w:rPr>
              <w:footnoteReference w:id="3"/>
            </w:r>
          </w:p>
        </w:tc>
        <w:tc>
          <w:tcPr>
            <w:tcW w:w="377" w:type="dxa"/>
          </w:tcPr>
          <w:p w14:paraId="2A55995D" w14:textId="77777777" w:rsidR="00685478" w:rsidRPr="00E92D67" w:rsidRDefault="00685478" w:rsidP="00470234">
            <w:pPr>
              <w:jc w:val="both"/>
              <w:rPr>
                <w:rFonts w:ascii="Arial" w:hAnsi="Arial" w:cs="Arial"/>
                <w:b/>
                <w:sz w:val="24"/>
                <w:szCs w:val="24"/>
              </w:rPr>
            </w:pPr>
            <w:r w:rsidRPr="00E92D67">
              <w:rPr>
                <w:rStyle w:val="Refdenotaalpie"/>
                <w:rFonts w:ascii="Arial" w:hAnsi="Arial" w:cs="Arial"/>
                <w:b/>
                <w:sz w:val="24"/>
                <w:szCs w:val="24"/>
              </w:rPr>
              <w:footnoteReference w:id="4"/>
            </w:r>
          </w:p>
        </w:tc>
        <w:tc>
          <w:tcPr>
            <w:tcW w:w="377" w:type="dxa"/>
          </w:tcPr>
          <w:p w14:paraId="30E9502A" w14:textId="77777777" w:rsidR="00685478" w:rsidRPr="00E92D67" w:rsidRDefault="00685478" w:rsidP="00470234">
            <w:pPr>
              <w:jc w:val="both"/>
              <w:rPr>
                <w:rFonts w:ascii="Arial" w:hAnsi="Arial" w:cs="Arial"/>
                <w:b/>
                <w:sz w:val="24"/>
                <w:szCs w:val="24"/>
              </w:rPr>
            </w:pPr>
            <w:r w:rsidRPr="00E92D67">
              <w:rPr>
                <w:rStyle w:val="Refdenotaalpie"/>
                <w:rFonts w:ascii="Arial" w:hAnsi="Arial" w:cs="Arial"/>
                <w:b/>
                <w:sz w:val="24"/>
                <w:szCs w:val="24"/>
              </w:rPr>
              <w:footnoteReference w:id="5"/>
            </w:r>
          </w:p>
        </w:tc>
      </w:tr>
      <w:tr w:rsidR="00685478" w:rsidRPr="00E92D67" w14:paraId="67A4091D" w14:textId="77777777" w:rsidTr="00470234">
        <w:tblPrEx>
          <w:tblCellMar>
            <w:left w:w="108" w:type="dxa"/>
            <w:right w:w="108" w:type="dxa"/>
          </w:tblCellMar>
          <w:tblLook w:val="04A0" w:firstRow="1" w:lastRow="0" w:firstColumn="1" w:lastColumn="0" w:noHBand="0" w:noVBand="1"/>
        </w:tblPrEx>
        <w:tc>
          <w:tcPr>
            <w:tcW w:w="4477" w:type="dxa"/>
            <w:gridSpan w:val="2"/>
          </w:tcPr>
          <w:p w14:paraId="1E36239A"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Lesiones Personales con incapacidad para trabajar o enfermedad superior a 60 días</w:t>
            </w:r>
          </w:p>
        </w:tc>
        <w:tc>
          <w:tcPr>
            <w:tcW w:w="691" w:type="dxa"/>
          </w:tcPr>
          <w:p w14:paraId="1E009D99"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32</w:t>
            </w:r>
          </w:p>
        </w:tc>
        <w:tc>
          <w:tcPr>
            <w:tcW w:w="686" w:type="dxa"/>
            <w:gridSpan w:val="2"/>
          </w:tcPr>
          <w:p w14:paraId="18AAA81D"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90</w:t>
            </w:r>
          </w:p>
        </w:tc>
        <w:tc>
          <w:tcPr>
            <w:tcW w:w="696" w:type="dxa"/>
          </w:tcPr>
          <w:p w14:paraId="6600167B"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2.67</w:t>
            </w:r>
          </w:p>
        </w:tc>
        <w:tc>
          <w:tcPr>
            <w:tcW w:w="696" w:type="dxa"/>
          </w:tcPr>
          <w:p w14:paraId="2C6B647F"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7.5</w:t>
            </w:r>
          </w:p>
        </w:tc>
        <w:tc>
          <w:tcPr>
            <w:tcW w:w="377" w:type="dxa"/>
          </w:tcPr>
          <w:p w14:paraId="2EFB209F" w14:textId="77777777" w:rsidR="00685478" w:rsidRPr="00E92D67" w:rsidRDefault="00685478" w:rsidP="00470234">
            <w:pPr>
              <w:jc w:val="both"/>
              <w:rPr>
                <w:rFonts w:ascii="Arial" w:hAnsi="Arial" w:cs="Arial"/>
                <w:sz w:val="20"/>
                <w:szCs w:val="20"/>
              </w:rPr>
            </w:pPr>
          </w:p>
        </w:tc>
        <w:tc>
          <w:tcPr>
            <w:tcW w:w="377" w:type="dxa"/>
          </w:tcPr>
          <w:p w14:paraId="731F4E59" w14:textId="77777777" w:rsidR="00685478" w:rsidRPr="00E92D67" w:rsidRDefault="00685478" w:rsidP="00470234">
            <w:pPr>
              <w:jc w:val="both"/>
              <w:rPr>
                <w:rFonts w:ascii="Arial" w:hAnsi="Arial" w:cs="Arial"/>
                <w:sz w:val="20"/>
                <w:szCs w:val="20"/>
              </w:rPr>
            </w:pPr>
          </w:p>
        </w:tc>
        <w:tc>
          <w:tcPr>
            <w:tcW w:w="377" w:type="dxa"/>
          </w:tcPr>
          <w:p w14:paraId="130D9D54" w14:textId="77777777" w:rsidR="00685478" w:rsidRPr="00E92D67" w:rsidRDefault="00685478" w:rsidP="00470234">
            <w:pPr>
              <w:jc w:val="both"/>
              <w:rPr>
                <w:rFonts w:ascii="Arial" w:hAnsi="Arial" w:cs="Arial"/>
                <w:sz w:val="20"/>
                <w:szCs w:val="20"/>
              </w:rPr>
            </w:pPr>
          </w:p>
        </w:tc>
        <w:tc>
          <w:tcPr>
            <w:tcW w:w="377" w:type="dxa"/>
          </w:tcPr>
          <w:p w14:paraId="0C594FB3" w14:textId="77777777" w:rsidR="00685478" w:rsidRPr="00E92D67" w:rsidRDefault="00685478" w:rsidP="00470234">
            <w:pPr>
              <w:jc w:val="both"/>
              <w:rPr>
                <w:rFonts w:ascii="Arial" w:hAnsi="Arial" w:cs="Arial"/>
                <w:sz w:val="20"/>
                <w:szCs w:val="20"/>
              </w:rPr>
            </w:pPr>
          </w:p>
        </w:tc>
        <w:tc>
          <w:tcPr>
            <w:tcW w:w="377" w:type="dxa"/>
          </w:tcPr>
          <w:p w14:paraId="595331A2"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r>
      <w:tr w:rsidR="00685478" w:rsidRPr="00E92D67" w14:paraId="6AAC0D59" w14:textId="77777777" w:rsidTr="00470234">
        <w:tblPrEx>
          <w:tblCellMar>
            <w:left w:w="108" w:type="dxa"/>
            <w:right w:w="108" w:type="dxa"/>
          </w:tblCellMar>
          <w:tblLook w:val="04A0" w:firstRow="1" w:lastRow="0" w:firstColumn="1" w:lastColumn="0" w:noHBand="0" w:noVBand="1"/>
        </w:tblPrEx>
        <w:tc>
          <w:tcPr>
            <w:tcW w:w="4477" w:type="dxa"/>
            <w:gridSpan w:val="2"/>
          </w:tcPr>
          <w:p w14:paraId="1AFE81A4"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Lesiones Personales con deformidad física</w:t>
            </w:r>
          </w:p>
        </w:tc>
        <w:tc>
          <w:tcPr>
            <w:tcW w:w="691" w:type="dxa"/>
          </w:tcPr>
          <w:p w14:paraId="30C03DD5"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32</w:t>
            </w:r>
          </w:p>
        </w:tc>
        <w:tc>
          <w:tcPr>
            <w:tcW w:w="686" w:type="dxa"/>
            <w:gridSpan w:val="2"/>
          </w:tcPr>
          <w:p w14:paraId="5A10D245"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126</w:t>
            </w:r>
          </w:p>
        </w:tc>
        <w:tc>
          <w:tcPr>
            <w:tcW w:w="696" w:type="dxa"/>
          </w:tcPr>
          <w:p w14:paraId="525F7C41"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2.67</w:t>
            </w:r>
          </w:p>
        </w:tc>
        <w:tc>
          <w:tcPr>
            <w:tcW w:w="696" w:type="dxa"/>
          </w:tcPr>
          <w:p w14:paraId="342EA5A0"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10.5</w:t>
            </w:r>
          </w:p>
        </w:tc>
        <w:tc>
          <w:tcPr>
            <w:tcW w:w="377" w:type="dxa"/>
          </w:tcPr>
          <w:p w14:paraId="7C94C70F" w14:textId="77777777" w:rsidR="00685478" w:rsidRPr="00E92D67" w:rsidRDefault="00685478" w:rsidP="00470234">
            <w:pPr>
              <w:jc w:val="both"/>
              <w:rPr>
                <w:rFonts w:ascii="Arial" w:hAnsi="Arial" w:cs="Arial"/>
                <w:sz w:val="20"/>
                <w:szCs w:val="20"/>
              </w:rPr>
            </w:pPr>
          </w:p>
        </w:tc>
        <w:tc>
          <w:tcPr>
            <w:tcW w:w="377" w:type="dxa"/>
          </w:tcPr>
          <w:p w14:paraId="72A585C7" w14:textId="77777777" w:rsidR="00685478" w:rsidRPr="00E92D67" w:rsidRDefault="00685478" w:rsidP="00470234">
            <w:pPr>
              <w:jc w:val="both"/>
              <w:rPr>
                <w:rFonts w:ascii="Arial" w:hAnsi="Arial" w:cs="Arial"/>
                <w:sz w:val="20"/>
                <w:szCs w:val="20"/>
              </w:rPr>
            </w:pPr>
          </w:p>
        </w:tc>
        <w:tc>
          <w:tcPr>
            <w:tcW w:w="377" w:type="dxa"/>
          </w:tcPr>
          <w:p w14:paraId="530A22E5" w14:textId="77777777" w:rsidR="00685478" w:rsidRPr="00E92D67" w:rsidRDefault="00685478" w:rsidP="00470234">
            <w:pPr>
              <w:jc w:val="both"/>
              <w:rPr>
                <w:rFonts w:ascii="Arial" w:hAnsi="Arial" w:cs="Arial"/>
                <w:sz w:val="20"/>
                <w:szCs w:val="20"/>
              </w:rPr>
            </w:pPr>
          </w:p>
        </w:tc>
        <w:tc>
          <w:tcPr>
            <w:tcW w:w="377" w:type="dxa"/>
          </w:tcPr>
          <w:p w14:paraId="46E991EB" w14:textId="77777777" w:rsidR="00685478" w:rsidRPr="00E92D67" w:rsidRDefault="00685478" w:rsidP="00470234">
            <w:pPr>
              <w:jc w:val="both"/>
              <w:rPr>
                <w:rFonts w:ascii="Arial" w:hAnsi="Arial" w:cs="Arial"/>
                <w:sz w:val="20"/>
                <w:szCs w:val="20"/>
              </w:rPr>
            </w:pPr>
          </w:p>
        </w:tc>
        <w:tc>
          <w:tcPr>
            <w:tcW w:w="377" w:type="dxa"/>
          </w:tcPr>
          <w:p w14:paraId="098FBF56"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r>
      <w:tr w:rsidR="00685478" w:rsidRPr="00E92D67" w14:paraId="7196A36F" w14:textId="77777777" w:rsidTr="00470234">
        <w:tblPrEx>
          <w:tblCellMar>
            <w:left w:w="108" w:type="dxa"/>
            <w:right w:w="108" w:type="dxa"/>
          </w:tblCellMar>
          <w:tblLook w:val="04A0" w:firstRow="1" w:lastRow="0" w:firstColumn="1" w:lastColumn="0" w:noHBand="0" w:noVBand="1"/>
        </w:tblPrEx>
        <w:tc>
          <w:tcPr>
            <w:tcW w:w="4477" w:type="dxa"/>
            <w:gridSpan w:val="2"/>
          </w:tcPr>
          <w:p w14:paraId="6588F7A1"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Lesiones personales con perturbación funcional permanente</w:t>
            </w:r>
          </w:p>
        </w:tc>
        <w:tc>
          <w:tcPr>
            <w:tcW w:w="691" w:type="dxa"/>
          </w:tcPr>
          <w:p w14:paraId="5290D5B2"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32</w:t>
            </w:r>
          </w:p>
        </w:tc>
        <w:tc>
          <w:tcPr>
            <w:tcW w:w="686" w:type="dxa"/>
            <w:gridSpan w:val="2"/>
          </w:tcPr>
          <w:p w14:paraId="1962F152"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126</w:t>
            </w:r>
          </w:p>
        </w:tc>
        <w:tc>
          <w:tcPr>
            <w:tcW w:w="696" w:type="dxa"/>
          </w:tcPr>
          <w:p w14:paraId="03D0A099"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2.67</w:t>
            </w:r>
          </w:p>
        </w:tc>
        <w:tc>
          <w:tcPr>
            <w:tcW w:w="696" w:type="dxa"/>
          </w:tcPr>
          <w:p w14:paraId="75ADBDD5"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10.5</w:t>
            </w:r>
          </w:p>
        </w:tc>
        <w:tc>
          <w:tcPr>
            <w:tcW w:w="377" w:type="dxa"/>
          </w:tcPr>
          <w:p w14:paraId="255893AF" w14:textId="77777777" w:rsidR="00685478" w:rsidRPr="00E92D67" w:rsidRDefault="00685478" w:rsidP="00470234">
            <w:pPr>
              <w:jc w:val="both"/>
              <w:rPr>
                <w:rFonts w:ascii="Arial" w:hAnsi="Arial" w:cs="Arial"/>
                <w:sz w:val="20"/>
                <w:szCs w:val="20"/>
              </w:rPr>
            </w:pPr>
          </w:p>
        </w:tc>
        <w:tc>
          <w:tcPr>
            <w:tcW w:w="377" w:type="dxa"/>
          </w:tcPr>
          <w:p w14:paraId="52266B6D" w14:textId="77777777" w:rsidR="00685478" w:rsidRPr="00E92D67" w:rsidRDefault="00685478" w:rsidP="00470234">
            <w:pPr>
              <w:jc w:val="both"/>
              <w:rPr>
                <w:rFonts w:ascii="Arial" w:hAnsi="Arial" w:cs="Arial"/>
                <w:sz w:val="20"/>
                <w:szCs w:val="20"/>
              </w:rPr>
            </w:pPr>
          </w:p>
        </w:tc>
        <w:tc>
          <w:tcPr>
            <w:tcW w:w="377" w:type="dxa"/>
          </w:tcPr>
          <w:p w14:paraId="26F4200C" w14:textId="77777777" w:rsidR="00685478" w:rsidRPr="00E92D67" w:rsidRDefault="00685478" w:rsidP="00470234">
            <w:pPr>
              <w:jc w:val="both"/>
              <w:rPr>
                <w:rFonts w:ascii="Arial" w:hAnsi="Arial" w:cs="Arial"/>
                <w:sz w:val="20"/>
                <w:szCs w:val="20"/>
              </w:rPr>
            </w:pPr>
          </w:p>
        </w:tc>
        <w:tc>
          <w:tcPr>
            <w:tcW w:w="377" w:type="dxa"/>
          </w:tcPr>
          <w:p w14:paraId="7E7E31F7" w14:textId="77777777" w:rsidR="00685478" w:rsidRPr="00E92D67" w:rsidRDefault="00685478" w:rsidP="00470234">
            <w:pPr>
              <w:jc w:val="both"/>
              <w:rPr>
                <w:rFonts w:ascii="Arial" w:hAnsi="Arial" w:cs="Arial"/>
                <w:sz w:val="20"/>
                <w:szCs w:val="20"/>
              </w:rPr>
            </w:pPr>
          </w:p>
        </w:tc>
        <w:tc>
          <w:tcPr>
            <w:tcW w:w="377" w:type="dxa"/>
          </w:tcPr>
          <w:p w14:paraId="4A4FC71E"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r>
      <w:tr w:rsidR="00685478" w:rsidRPr="00E92D67" w14:paraId="7241553C" w14:textId="77777777" w:rsidTr="00470234">
        <w:tblPrEx>
          <w:tblCellMar>
            <w:left w:w="108" w:type="dxa"/>
            <w:right w:w="108" w:type="dxa"/>
          </w:tblCellMar>
          <w:tblLook w:val="04A0" w:firstRow="1" w:lastRow="0" w:firstColumn="1" w:lastColumn="0" w:noHBand="0" w:noVBand="1"/>
        </w:tblPrEx>
        <w:tc>
          <w:tcPr>
            <w:tcW w:w="4477" w:type="dxa"/>
            <w:gridSpan w:val="2"/>
          </w:tcPr>
          <w:p w14:paraId="3B08DBDA"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lastRenderedPageBreak/>
              <w:t>Lesiones Personales con perturbación psíquica permanente</w:t>
            </w:r>
          </w:p>
        </w:tc>
        <w:tc>
          <w:tcPr>
            <w:tcW w:w="691" w:type="dxa"/>
          </w:tcPr>
          <w:p w14:paraId="5DE6FDDB"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48</w:t>
            </w:r>
          </w:p>
        </w:tc>
        <w:tc>
          <w:tcPr>
            <w:tcW w:w="686" w:type="dxa"/>
            <w:gridSpan w:val="2"/>
          </w:tcPr>
          <w:p w14:paraId="01A5953A"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162</w:t>
            </w:r>
          </w:p>
        </w:tc>
        <w:tc>
          <w:tcPr>
            <w:tcW w:w="696" w:type="dxa"/>
          </w:tcPr>
          <w:p w14:paraId="485A7D4E"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2.67</w:t>
            </w:r>
          </w:p>
        </w:tc>
        <w:tc>
          <w:tcPr>
            <w:tcW w:w="696" w:type="dxa"/>
          </w:tcPr>
          <w:p w14:paraId="5285EBC2"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10.5</w:t>
            </w:r>
          </w:p>
        </w:tc>
        <w:tc>
          <w:tcPr>
            <w:tcW w:w="377" w:type="dxa"/>
          </w:tcPr>
          <w:p w14:paraId="76B24F49" w14:textId="77777777" w:rsidR="00685478" w:rsidRPr="00E92D67" w:rsidRDefault="00685478" w:rsidP="00470234">
            <w:pPr>
              <w:jc w:val="both"/>
              <w:rPr>
                <w:rFonts w:ascii="Arial" w:hAnsi="Arial" w:cs="Arial"/>
                <w:sz w:val="20"/>
                <w:szCs w:val="20"/>
              </w:rPr>
            </w:pPr>
          </w:p>
        </w:tc>
        <w:tc>
          <w:tcPr>
            <w:tcW w:w="377" w:type="dxa"/>
          </w:tcPr>
          <w:p w14:paraId="31988D3F" w14:textId="77777777" w:rsidR="00685478" w:rsidRPr="00E92D67" w:rsidRDefault="00685478" w:rsidP="00470234">
            <w:pPr>
              <w:jc w:val="both"/>
              <w:rPr>
                <w:rFonts w:ascii="Arial" w:hAnsi="Arial" w:cs="Arial"/>
                <w:sz w:val="20"/>
                <w:szCs w:val="20"/>
              </w:rPr>
            </w:pPr>
          </w:p>
        </w:tc>
        <w:tc>
          <w:tcPr>
            <w:tcW w:w="377" w:type="dxa"/>
          </w:tcPr>
          <w:p w14:paraId="446F68C0" w14:textId="77777777" w:rsidR="00685478" w:rsidRPr="00E92D67" w:rsidRDefault="00685478" w:rsidP="00470234">
            <w:pPr>
              <w:jc w:val="both"/>
              <w:rPr>
                <w:rFonts w:ascii="Arial" w:hAnsi="Arial" w:cs="Arial"/>
                <w:sz w:val="20"/>
                <w:szCs w:val="20"/>
              </w:rPr>
            </w:pPr>
          </w:p>
        </w:tc>
        <w:tc>
          <w:tcPr>
            <w:tcW w:w="377" w:type="dxa"/>
          </w:tcPr>
          <w:p w14:paraId="011276CE" w14:textId="77777777" w:rsidR="00685478" w:rsidRPr="00E92D67" w:rsidRDefault="00685478" w:rsidP="00470234">
            <w:pPr>
              <w:jc w:val="both"/>
              <w:rPr>
                <w:rFonts w:ascii="Arial" w:hAnsi="Arial" w:cs="Arial"/>
                <w:sz w:val="20"/>
                <w:szCs w:val="20"/>
              </w:rPr>
            </w:pPr>
          </w:p>
        </w:tc>
        <w:tc>
          <w:tcPr>
            <w:tcW w:w="377" w:type="dxa"/>
          </w:tcPr>
          <w:p w14:paraId="3C646346"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r>
      <w:tr w:rsidR="00685478" w:rsidRPr="00E92D67" w14:paraId="1E78F1D5" w14:textId="77777777" w:rsidTr="00470234">
        <w:tblPrEx>
          <w:tblCellMar>
            <w:left w:w="108" w:type="dxa"/>
            <w:right w:w="108" w:type="dxa"/>
          </w:tblCellMar>
          <w:tblLook w:val="04A0" w:firstRow="1" w:lastRow="0" w:firstColumn="1" w:lastColumn="0" w:noHBand="0" w:noVBand="1"/>
        </w:tblPrEx>
        <w:tc>
          <w:tcPr>
            <w:tcW w:w="4477" w:type="dxa"/>
            <w:gridSpan w:val="2"/>
          </w:tcPr>
          <w:p w14:paraId="4F6FDE2D"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Lesiones personales con pérdida anatómica o funcional de un órgano o miembro</w:t>
            </w:r>
          </w:p>
        </w:tc>
        <w:tc>
          <w:tcPr>
            <w:tcW w:w="691" w:type="dxa"/>
          </w:tcPr>
          <w:p w14:paraId="11AB3619"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96</w:t>
            </w:r>
          </w:p>
        </w:tc>
        <w:tc>
          <w:tcPr>
            <w:tcW w:w="686" w:type="dxa"/>
            <w:gridSpan w:val="2"/>
          </w:tcPr>
          <w:p w14:paraId="70471713"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180</w:t>
            </w:r>
          </w:p>
        </w:tc>
        <w:tc>
          <w:tcPr>
            <w:tcW w:w="696" w:type="dxa"/>
          </w:tcPr>
          <w:p w14:paraId="724D245E"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8</w:t>
            </w:r>
          </w:p>
        </w:tc>
        <w:tc>
          <w:tcPr>
            <w:tcW w:w="696" w:type="dxa"/>
          </w:tcPr>
          <w:p w14:paraId="14791CB7"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15</w:t>
            </w:r>
          </w:p>
        </w:tc>
        <w:tc>
          <w:tcPr>
            <w:tcW w:w="377" w:type="dxa"/>
          </w:tcPr>
          <w:p w14:paraId="054F67FC" w14:textId="77777777" w:rsidR="00685478" w:rsidRPr="00E92D67" w:rsidRDefault="00685478" w:rsidP="00470234">
            <w:pPr>
              <w:jc w:val="both"/>
              <w:rPr>
                <w:rFonts w:ascii="Arial" w:hAnsi="Arial" w:cs="Arial"/>
                <w:sz w:val="20"/>
                <w:szCs w:val="20"/>
              </w:rPr>
            </w:pPr>
          </w:p>
        </w:tc>
        <w:tc>
          <w:tcPr>
            <w:tcW w:w="377" w:type="dxa"/>
          </w:tcPr>
          <w:p w14:paraId="5254D74F" w14:textId="77777777" w:rsidR="00685478" w:rsidRPr="00E92D67" w:rsidRDefault="00685478" w:rsidP="00470234">
            <w:pPr>
              <w:jc w:val="both"/>
              <w:rPr>
                <w:rFonts w:ascii="Arial" w:hAnsi="Arial" w:cs="Arial"/>
                <w:sz w:val="20"/>
                <w:szCs w:val="20"/>
              </w:rPr>
            </w:pPr>
          </w:p>
        </w:tc>
        <w:tc>
          <w:tcPr>
            <w:tcW w:w="377" w:type="dxa"/>
          </w:tcPr>
          <w:p w14:paraId="1BD4C459" w14:textId="77777777" w:rsidR="00685478" w:rsidRPr="00E92D67" w:rsidRDefault="00685478" w:rsidP="00470234">
            <w:pPr>
              <w:jc w:val="both"/>
              <w:rPr>
                <w:rFonts w:ascii="Arial" w:hAnsi="Arial" w:cs="Arial"/>
                <w:sz w:val="20"/>
                <w:szCs w:val="20"/>
              </w:rPr>
            </w:pPr>
          </w:p>
        </w:tc>
        <w:tc>
          <w:tcPr>
            <w:tcW w:w="377" w:type="dxa"/>
          </w:tcPr>
          <w:p w14:paraId="4C7D4B38" w14:textId="77777777" w:rsidR="00685478" w:rsidRPr="00E92D67" w:rsidRDefault="00685478" w:rsidP="00470234">
            <w:pPr>
              <w:jc w:val="both"/>
              <w:rPr>
                <w:rFonts w:ascii="Arial" w:hAnsi="Arial" w:cs="Arial"/>
                <w:sz w:val="20"/>
                <w:szCs w:val="20"/>
              </w:rPr>
            </w:pPr>
          </w:p>
        </w:tc>
        <w:tc>
          <w:tcPr>
            <w:tcW w:w="377" w:type="dxa"/>
          </w:tcPr>
          <w:p w14:paraId="7DBB88B8" w14:textId="77777777" w:rsidR="00685478" w:rsidRPr="00E92D67" w:rsidRDefault="00685478" w:rsidP="00470234">
            <w:pPr>
              <w:jc w:val="both"/>
              <w:rPr>
                <w:rFonts w:ascii="Arial" w:hAnsi="Arial" w:cs="Arial"/>
                <w:sz w:val="20"/>
                <w:szCs w:val="20"/>
              </w:rPr>
            </w:pPr>
          </w:p>
        </w:tc>
      </w:tr>
      <w:tr w:rsidR="00685478" w:rsidRPr="00E92D67" w14:paraId="09CB6E11" w14:textId="77777777" w:rsidTr="00470234">
        <w:tblPrEx>
          <w:tblCellMar>
            <w:left w:w="108" w:type="dxa"/>
            <w:right w:w="108" w:type="dxa"/>
          </w:tblCellMar>
          <w:tblLook w:val="04A0" w:firstRow="1" w:lastRow="0" w:firstColumn="1" w:lastColumn="0" w:noHBand="0" w:noVBand="1"/>
        </w:tblPrEx>
        <w:tc>
          <w:tcPr>
            <w:tcW w:w="4477" w:type="dxa"/>
            <w:gridSpan w:val="2"/>
          </w:tcPr>
          <w:p w14:paraId="20E23CF1"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Hurto Calificado</w:t>
            </w:r>
          </w:p>
        </w:tc>
        <w:tc>
          <w:tcPr>
            <w:tcW w:w="691" w:type="dxa"/>
          </w:tcPr>
          <w:p w14:paraId="2248A4BF"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60</w:t>
            </w:r>
          </w:p>
        </w:tc>
        <w:tc>
          <w:tcPr>
            <w:tcW w:w="686" w:type="dxa"/>
            <w:gridSpan w:val="2"/>
          </w:tcPr>
          <w:p w14:paraId="57E4F9E5"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144</w:t>
            </w:r>
          </w:p>
        </w:tc>
        <w:tc>
          <w:tcPr>
            <w:tcW w:w="696" w:type="dxa"/>
          </w:tcPr>
          <w:p w14:paraId="06539D1D"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5</w:t>
            </w:r>
          </w:p>
        </w:tc>
        <w:tc>
          <w:tcPr>
            <w:tcW w:w="696" w:type="dxa"/>
          </w:tcPr>
          <w:p w14:paraId="50BF099F"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12</w:t>
            </w:r>
          </w:p>
        </w:tc>
        <w:tc>
          <w:tcPr>
            <w:tcW w:w="377" w:type="dxa"/>
          </w:tcPr>
          <w:p w14:paraId="4BE0F96B" w14:textId="77777777" w:rsidR="00685478" w:rsidRPr="00E92D67" w:rsidRDefault="00685478" w:rsidP="00470234">
            <w:pPr>
              <w:jc w:val="both"/>
              <w:rPr>
                <w:rFonts w:ascii="Arial" w:hAnsi="Arial" w:cs="Arial"/>
                <w:sz w:val="20"/>
                <w:szCs w:val="20"/>
              </w:rPr>
            </w:pPr>
          </w:p>
        </w:tc>
        <w:tc>
          <w:tcPr>
            <w:tcW w:w="377" w:type="dxa"/>
          </w:tcPr>
          <w:p w14:paraId="10CD63DA" w14:textId="77777777" w:rsidR="00685478" w:rsidRPr="00E92D67" w:rsidRDefault="00685478" w:rsidP="00470234">
            <w:pPr>
              <w:jc w:val="both"/>
              <w:rPr>
                <w:rFonts w:ascii="Arial" w:hAnsi="Arial" w:cs="Arial"/>
                <w:sz w:val="20"/>
                <w:szCs w:val="20"/>
              </w:rPr>
            </w:pPr>
          </w:p>
        </w:tc>
        <w:tc>
          <w:tcPr>
            <w:tcW w:w="377" w:type="dxa"/>
          </w:tcPr>
          <w:p w14:paraId="327C5DD7" w14:textId="77777777" w:rsidR="00685478" w:rsidRPr="00E92D67" w:rsidRDefault="00685478" w:rsidP="00470234">
            <w:pPr>
              <w:jc w:val="both"/>
              <w:rPr>
                <w:rFonts w:ascii="Arial" w:hAnsi="Arial" w:cs="Arial"/>
                <w:sz w:val="20"/>
                <w:szCs w:val="20"/>
              </w:rPr>
            </w:pPr>
          </w:p>
        </w:tc>
        <w:tc>
          <w:tcPr>
            <w:tcW w:w="377" w:type="dxa"/>
          </w:tcPr>
          <w:p w14:paraId="6828CB0F" w14:textId="77777777" w:rsidR="00685478" w:rsidRPr="00E92D67" w:rsidRDefault="00685478" w:rsidP="00470234">
            <w:pPr>
              <w:jc w:val="both"/>
              <w:rPr>
                <w:rFonts w:ascii="Arial" w:hAnsi="Arial" w:cs="Arial"/>
                <w:sz w:val="20"/>
                <w:szCs w:val="20"/>
              </w:rPr>
            </w:pPr>
          </w:p>
        </w:tc>
        <w:tc>
          <w:tcPr>
            <w:tcW w:w="377" w:type="dxa"/>
          </w:tcPr>
          <w:p w14:paraId="0002E302" w14:textId="77777777" w:rsidR="00685478" w:rsidRPr="00E92D67" w:rsidRDefault="00685478" w:rsidP="00470234">
            <w:pPr>
              <w:jc w:val="both"/>
              <w:rPr>
                <w:rFonts w:ascii="Arial" w:hAnsi="Arial" w:cs="Arial"/>
                <w:sz w:val="20"/>
                <w:szCs w:val="20"/>
              </w:rPr>
            </w:pPr>
          </w:p>
        </w:tc>
      </w:tr>
      <w:tr w:rsidR="00685478" w:rsidRPr="00E92D67" w14:paraId="181F4B48" w14:textId="77777777" w:rsidTr="00470234">
        <w:tblPrEx>
          <w:tblCellMar>
            <w:left w:w="108" w:type="dxa"/>
            <w:right w:w="108" w:type="dxa"/>
          </w:tblCellMar>
          <w:tblLook w:val="04A0" w:firstRow="1" w:lastRow="0" w:firstColumn="1" w:lastColumn="0" w:noHBand="0" w:noVBand="1"/>
        </w:tblPrEx>
        <w:tc>
          <w:tcPr>
            <w:tcW w:w="4477" w:type="dxa"/>
            <w:gridSpan w:val="2"/>
          </w:tcPr>
          <w:p w14:paraId="5C4A2757"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Abigeato</w:t>
            </w:r>
          </w:p>
        </w:tc>
        <w:tc>
          <w:tcPr>
            <w:tcW w:w="691" w:type="dxa"/>
          </w:tcPr>
          <w:p w14:paraId="23D41FE0"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60</w:t>
            </w:r>
          </w:p>
        </w:tc>
        <w:tc>
          <w:tcPr>
            <w:tcW w:w="686" w:type="dxa"/>
            <w:gridSpan w:val="2"/>
          </w:tcPr>
          <w:p w14:paraId="1BD7AAFF"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120</w:t>
            </w:r>
          </w:p>
        </w:tc>
        <w:tc>
          <w:tcPr>
            <w:tcW w:w="696" w:type="dxa"/>
          </w:tcPr>
          <w:p w14:paraId="3BC7AB37"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6.67</w:t>
            </w:r>
          </w:p>
        </w:tc>
        <w:tc>
          <w:tcPr>
            <w:tcW w:w="696" w:type="dxa"/>
          </w:tcPr>
          <w:p w14:paraId="760027C2"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10</w:t>
            </w:r>
          </w:p>
        </w:tc>
        <w:tc>
          <w:tcPr>
            <w:tcW w:w="377" w:type="dxa"/>
          </w:tcPr>
          <w:p w14:paraId="7F0221F4" w14:textId="77777777" w:rsidR="00685478" w:rsidRPr="00E92D67" w:rsidRDefault="00685478" w:rsidP="00470234">
            <w:pPr>
              <w:jc w:val="both"/>
              <w:rPr>
                <w:rFonts w:ascii="Arial" w:hAnsi="Arial" w:cs="Arial"/>
                <w:sz w:val="20"/>
                <w:szCs w:val="20"/>
              </w:rPr>
            </w:pPr>
          </w:p>
        </w:tc>
        <w:tc>
          <w:tcPr>
            <w:tcW w:w="377" w:type="dxa"/>
          </w:tcPr>
          <w:p w14:paraId="0FDD7DD0" w14:textId="77777777" w:rsidR="00685478" w:rsidRPr="00E92D67" w:rsidRDefault="00685478" w:rsidP="00470234">
            <w:pPr>
              <w:jc w:val="both"/>
              <w:rPr>
                <w:rFonts w:ascii="Arial" w:hAnsi="Arial" w:cs="Arial"/>
                <w:sz w:val="20"/>
                <w:szCs w:val="20"/>
              </w:rPr>
            </w:pPr>
          </w:p>
        </w:tc>
        <w:tc>
          <w:tcPr>
            <w:tcW w:w="377" w:type="dxa"/>
          </w:tcPr>
          <w:p w14:paraId="3F3044E4" w14:textId="77777777" w:rsidR="00685478" w:rsidRPr="00E92D67" w:rsidRDefault="00685478" w:rsidP="00470234">
            <w:pPr>
              <w:jc w:val="both"/>
              <w:rPr>
                <w:rFonts w:ascii="Arial" w:hAnsi="Arial" w:cs="Arial"/>
                <w:sz w:val="20"/>
                <w:szCs w:val="20"/>
              </w:rPr>
            </w:pPr>
          </w:p>
        </w:tc>
        <w:tc>
          <w:tcPr>
            <w:tcW w:w="377" w:type="dxa"/>
          </w:tcPr>
          <w:p w14:paraId="39CFBEBD" w14:textId="77777777" w:rsidR="00685478" w:rsidRPr="00E92D67" w:rsidRDefault="00685478" w:rsidP="00470234">
            <w:pPr>
              <w:jc w:val="both"/>
              <w:rPr>
                <w:rFonts w:ascii="Arial" w:hAnsi="Arial" w:cs="Arial"/>
                <w:sz w:val="20"/>
                <w:szCs w:val="20"/>
              </w:rPr>
            </w:pPr>
          </w:p>
        </w:tc>
        <w:tc>
          <w:tcPr>
            <w:tcW w:w="377" w:type="dxa"/>
          </w:tcPr>
          <w:p w14:paraId="71D51F51" w14:textId="77777777" w:rsidR="00685478" w:rsidRPr="00E92D67" w:rsidRDefault="00685478" w:rsidP="00470234">
            <w:pPr>
              <w:jc w:val="both"/>
              <w:rPr>
                <w:rFonts w:ascii="Arial" w:hAnsi="Arial" w:cs="Arial"/>
                <w:sz w:val="20"/>
                <w:szCs w:val="20"/>
              </w:rPr>
            </w:pPr>
          </w:p>
        </w:tc>
      </w:tr>
      <w:tr w:rsidR="00685478" w:rsidRPr="00E92D67" w14:paraId="0DB8B9C2" w14:textId="77777777" w:rsidTr="00470234">
        <w:tblPrEx>
          <w:tblCellMar>
            <w:left w:w="108" w:type="dxa"/>
            <w:right w:w="108" w:type="dxa"/>
          </w:tblCellMar>
          <w:tblLook w:val="04A0" w:firstRow="1" w:lastRow="0" w:firstColumn="1" w:lastColumn="0" w:noHBand="0" w:noVBand="1"/>
        </w:tblPrEx>
        <w:tc>
          <w:tcPr>
            <w:tcW w:w="4477" w:type="dxa"/>
            <w:gridSpan w:val="2"/>
          </w:tcPr>
          <w:p w14:paraId="0397CF85"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Abigeato Agravado</w:t>
            </w:r>
          </w:p>
        </w:tc>
        <w:tc>
          <w:tcPr>
            <w:tcW w:w="691" w:type="dxa"/>
          </w:tcPr>
          <w:p w14:paraId="7200C3EE"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80</w:t>
            </w:r>
          </w:p>
        </w:tc>
        <w:tc>
          <w:tcPr>
            <w:tcW w:w="686" w:type="dxa"/>
            <w:gridSpan w:val="2"/>
          </w:tcPr>
          <w:p w14:paraId="22697E85"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180</w:t>
            </w:r>
          </w:p>
        </w:tc>
        <w:tc>
          <w:tcPr>
            <w:tcW w:w="696" w:type="dxa"/>
          </w:tcPr>
          <w:p w14:paraId="44276DF0"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6.67</w:t>
            </w:r>
          </w:p>
        </w:tc>
        <w:tc>
          <w:tcPr>
            <w:tcW w:w="696" w:type="dxa"/>
          </w:tcPr>
          <w:p w14:paraId="37B15DD0"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15</w:t>
            </w:r>
          </w:p>
        </w:tc>
        <w:tc>
          <w:tcPr>
            <w:tcW w:w="377" w:type="dxa"/>
          </w:tcPr>
          <w:p w14:paraId="2A68D54C" w14:textId="77777777" w:rsidR="00685478" w:rsidRPr="00E92D67" w:rsidRDefault="00685478" w:rsidP="00470234">
            <w:pPr>
              <w:jc w:val="both"/>
              <w:rPr>
                <w:rFonts w:ascii="Arial" w:hAnsi="Arial" w:cs="Arial"/>
                <w:sz w:val="20"/>
                <w:szCs w:val="20"/>
              </w:rPr>
            </w:pPr>
          </w:p>
        </w:tc>
        <w:tc>
          <w:tcPr>
            <w:tcW w:w="377" w:type="dxa"/>
          </w:tcPr>
          <w:p w14:paraId="12CB8B32" w14:textId="77777777" w:rsidR="00685478" w:rsidRPr="00E92D67" w:rsidRDefault="00685478" w:rsidP="00470234">
            <w:pPr>
              <w:jc w:val="both"/>
              <w:rPr>
                <w:rFonts w:ascii="Arial" w:hAnsi="Arial" w:cs="Arial"/>
                <w:sz w:val="20"/>
                <w:szCs w:val="20"/>
              </w:rPr>
            </w:pPr>
          </w:p>
        </w:tc>
        <w:tc>
          <w:tcPr>
            <w:tcW w:w="377" w:type="dxa"/>
          </w:tcPr>
          <w:p w14:paraId="25A7B4B0" w14:textId="77777777" w:rsidR="00685478" w:rsidRPr="00E92D67" w:rsidRDefault="00685478" w:rsidP="00470234">
            <w:pPr>
              <w:jc w:val="both"/>
              <w:rPr>
                <w:rFonts w:ascii="Arial" w:hAnsi="Arial" w:cs="Arial"/>
                <w:sz w:val="20"/>
                <w:szCs w:val="20"/>
              </w:rPr>
            </w:pPr>
          </w:p>
        </w:tc>
        <w:tc>
          <w:tcPr>
            <w:tcW w:w="377" w:type="dxa"/>
          </w:tcPr>
          <w:p w14:paraId="2DCB8E45" w14:textId="77777777" w:rsidR="00685478" w:rsidRPr="00E92D67" w:rsidRDefault="00685478" w:rsidP="00470234">
            <w:pPr>
              <w:jc w:val="both"/>
              <w:rPr>
                <w:rFonts w:ascii="Arial" w:hAnsi="Arial" w:cs="Arial"/>
                <w:sz w:val="20"/>
                <w:szCs w:val="20"/>
              </w:rPr>
            </w:pPr>
          </w:p>
        </w:tc>
        <w:tc>
          <w:tcPr>
            <w:tcW w:w="377" w:type="dxa"/>
          </w:tcPr>
          <w:p w14:paraId="751DA7BB" w14:textId="77777777" w:rsidR="00685478" w:rsidRPr="00E92D67" w:rsidRDefault="00685478" w:rsidP="00470234">
            <w:pPr>
              <w:jc w:val="both"/>
              <w:rPr>
                <w:rFonts w:ascii="Arial" w:hAnsi="Arial" w:cs="Arial"/>
                <w:sz w:val="20"/>
                <w:szCs w:val="20"/>
              </w:rPr>
            </w:pPr>
          </w:p>
        </w:tc>
      </w:tr>
      <w:tr w:rsidR="00685478" w:rsidRPr="00E92D67" w14:paraId="4B512F60" w14:textId="77777777" w:rsidTr="00470234">
        <w:tblPrEx>
          <w:tblCellMar>
            <w:left w:w="108" w:type="dxa"/>
            <w:right w:w="108" w:type="dxa"/>
          </w:tblCellMar>
          <w:tblLook w:val="04A0" w:firstRow="1" w:lastRow="0" w:firstColumn="1" w:lastColumn="0" w:noHBand="0" w:noVBand="1"/>
        </w:tblPrEx>
        <w:tc>
          <w:tcPr>
            <w:tcW w:w="4477" w:type="dxa"/>
            <w:gridSpan w:val="2"/>
          </w:tcPr>
          <w:p w14:paraId="02BAEEAB"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Abigeato Atenuado</w:t>
            </w:r>
          </w:p>
        </w:tc>
        <w:tc>
          <w:tcPr>
            <w:tcW w:w="691" w:type="dxa"/>
          </w:tcPr>
          <w:p w14:paraId="5862C985"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0</w:t>
            </w:r>
          </w:p>
        </w:tc>
        <w:tc>
          <w:tcPr>
            <w:tcW w:w="686" w:type="dxa"/>
            <w:gridSpan w:val="2"/>
          </w:tcPr>
          <w:p w14:paraId="60D9E462"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0</w:t>
            </w:r>
          </w:p>
        </w:tc>
        <w:tc>
          <w:tcPr>
            <w:tcW w:w="696" w:type="dxa"/>
          </w:tcPr>
          <w:p w14:paraId="221B781E"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0</w:t>
            </w:r>
          </w:p>
        </w:tc>
        <w:tc>
          <w:tcPr>
            <w:tcW w:w="696" w:type="dxa"/>
          </w:tcPr>
          <w:p w14:paraId="12DBDBB0"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0</w:t>
            </w:r>
          </w:p>
        </w:tc>
        <w:tc>
          <w:tcPr>
            <w:tcW w:w="377" w:type="dxa"/>
          </w:tcPr>
          <w:p w14:paraId="178798AD" w14:textId="77777777" w:rsidR="00685478" w:rsidRPr="00E92D67" w:rsidRDefault="00685478" w:rsidP="00470234">
            <w:pPr>
              <w:jc w:val="both"/>
              <w:rPr>
                <w:rFonts w:ascii="Arial" w:hAnsi="Arial" w:cs="Arial"/>
                <w:sz w:val="20"/>
                <w:szCs w:val="20"/>
              </w:rPr>
            </w:pPr>
          </w:p>
        </w:tc>
        <w:tc>
          <w:tcPr>
            <w:tcW w:w="377" w:type="dxa"/>
          </w:tcPr>
          <w:p w14:paraId="47F8DEFE" w14:textId="77777777" w:rsidR="00685478" w:rsidRPr="00E92D67" w:rsidRDefault="00685478" w:rsidP="00470234">
            <w:pPr>
              <w:jc w:val="both"/>
              <w:rPr>
                <w:rFonts w:ascii="Arial" w:hAnsi="Arial" w:cs="Arial"/>
                <w:sz w:val="20"/>
                <w:szCs w:val="20"/>
              </w:rPr>
            </w:pPr>
          </w:p>
        </w:tc>
        <w:tc>
          <w:tcPr>
            <w:tcW w:w="377" w:type="dxa"/>
          </w:tcPr>
          <w:p w14:paraId="318F8E51" w14:textId="77777777" w:rsidR="00685478" w:rsidRPr="00E92D67" w:rsidRDefault="00685478" w:rsidP="00470234">
            <w:pPr>
              <w:jc w:val="both"/>
              <w:rPr>
                <w:rFonts w:ascii="Arial" w:hAnsi="Arial" w:cs="Arial"/>
                <w:sz w:val="20"/>
                <w:szCs w:val="20"/>
              </w:rPr>
            </w:pPr>
          </w:p>
        </w:tc>
        <w:tc>
          <w:tcPr>
            <w:tcW w:w="377" w:type="dxa"/>
          </w:tcPr>
          <w:p w14:paraId="6B537D4F" w14:textId="77777777" w:rsidR="00685478" w:rsidRPr="00E92D67" w:rsidRDefault="00685478" w:rsidP="00470234">
            <w:pPr>
              <w:jc w:val="both"/>
              <w:rPr>
                <w:rFonts w:ascii="Arial" w:hAnsi="Arial" w:cs="Arial"/>
                <w:sz w:val="20"/>
                <w:szCs w:val="20"/>
              </w:rPr>
            </w:pPr>
          </w:p>
        </w:tc>
        <w:tc>
          <w:tcPr>
            <w:tcW w:w="377" w:type="dxa"/>
          </w:tcPr>
          <w:p w14:paraId="7CFB2F44"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r>
      <w:tr w:rsidR="00685478" w:rsidRPr="00E92D67" w14:paraId="07C96EF1" w14:textId="77777777" w:rsidTr="00470234">
        <w:tblPrEx>
          <w:tblCellMar>
            <w:left w:w="108" w:type="dxa"/>
            <w:right w:w="108" w:type="dxa"/>
          </w:tblCellMar>
          <w:tblLook w:val="04A0" w:firstRow="1" w:lastRow="0" w:firstColumn="1" w:lastColumn="0" w:noHBand="0" w:noVBand="1"/>
        </w:tblPrEx>
        <w:tc>
          <w:tcPr>
            <w:tcW w:w="4477" w:type="dxa"/>
            <w:gridSpan w:val="2"/>
          </w:tcPr>
          <w:p w14:paraId="04935078"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Hurto</w:t>
            </w:r>
          </w:p>
        </w:tc>
        <w:tc>
          <w:tcPr>
            <w:tcW w:w="691" w:type="dxa"/>
          </w:tcPr>
          <w:p w14:paraId="2282AFDC" w14:textId="77777777" w:rsidR="00685478" w:rsidRPr="00E92D67" w:rsidRDefault="00685478" w:rsidP="00470234">
            <w:pPr>
              <w:jc w:val="both"/>
              <w:rPr>
                <w:rFonts w:ascii="Arial" w:hAnsi="Arial" w:cs="Arial"/>
                <w:sz w:val="20"/>
                <w:szCs w:val="20"/>
              </w:rPr>
            </w:pPr>
          </w:p>
        </w:tc>
        <w:tc>
          <w:tcPr>
            <w:tcW w:w="686" w:type="dxa"/>
            <w:gridSpan w:val="2"/>
          </w:tcPr>
          <w:p w14:paraId="0AA16178" w14:textId="77777777" w:rsidR="00685478" w:rsidRPr="00E92D67" w:rsidRDefault="00685478" w:rsidP="00470234">
            <w:pPr>
              <w:jc w:val="both"/>
              <w:rPr>
                <w:rFonts w:ascii="Arial" w:hAnsi="Arial" w:cs="Arial"/>
                <w:sz w:val="20"/>
                <w:szCs w:val="20"/>
              </w:rPr>
            </w:pPr>
          </w:p>
        </w:tc>
        <w:tc>
          <w:tcPr>
            <w:tcW w:w="696" w:type="dxa"/>
          </w:tcPr>
          <w:p w14:paraId="6C24E433" w14:textId="77777777" w:rsidR="00685478" w:rsidRPr="00E92D67" w:rsidRDefault="00685478" w:rsidP="00470234">
            <w:pPr>
              <w:jc w:val="both"/>
              <w:rPr>
                <w:rFonts w:ascii="Arial" w:hAnsi="Arial" w:cs="Arial"/>
                <w:sz w:val="20"/>
                <w:szCs w:val="20"/>
              </w:rPr>
            </w:pPr>
          </w:p>
        </w:tc>
        <w:tc>
          <w:tcPr>
            <w:tcW w:w="696" w:type="dxa"/>
          </w:tcPr>
          <w:p w14:paraId="5E536DCA" w14:textId="77777777" w:rsidR="00685478" w:rsidRPr="00E92D67" w:rsidRDefault="00685478" w:rsidP="00470234">
            <w:pPr>
              <w:jc w:val="both"/>
              <w:rPr>
                <w:rFonts w:ascii="Arial" w:hAnsi="Arial" w:cs="Arial"/>
                <w:sz w:val="20"/>
                <w:szCs w:val="20"/>
              </w:rPr>
            </w:pPr>
          </w:p>
        </w:tc>
        <w:tc>
          <w:tcPr>
            <w:tcW w:w="377" w:type="dxa"/>
          </w:tcPr>
          <w:p w14:paraId="41A7C290" w14:textId="77777777" w:rsidR="00685478" w:rsidRPr="00E92D67" w:rsidRDefault="00685478" w:rsidP="00470234">
            <w:pPr>
              <w:jc w:val="both"/>
              <w:rPr>
                <w:rFonts w:ascii="Arial" w:hAnsi="Arial" w:cs="Arial"/>
                <w:sz w:val="20"/>
                <w:szCs w:val="20"/>
              </w:rPr>
            </w:pPr>
          </w:p>
        </w:tc>
        <w:tc>
          <w:tcPr>
            <w:tcW w:w="377" w:type="dxa"/>
          </w:tcPr>
          <w:p w14:paraId="5BDFE288" w14:textId="77777777" w:rsidR="00685478" w:rsidRPr="00E92D67" w:rsidRDefault="00685478" w:rsidP="00470234">
            <w:pPr>
              <w:jc w:val="both"/>
              <w:rPr>
                <w:rFonts w:ascii="Arial" w:hAnsi="Arial" w:cs="Arial"/>
                <w:sz w:val="20"/>
                <w:szCs w:val="20"/>
              </w:rPr>
            </w:pPr>
          </w:p>
        </w:tc>
        <w:tc>
          <w:tcPr>
            <w:tcW w:w="377" w:type="dxa"/>
          </w:tcPr>
          <w:p w14:paraId="37025B8A"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c>
          <w:tcPr>
            <w:tcW w:w="377" w:type="dxa"/>
          </w:tcPr>
          <w:p w14:paraId="707E98B1"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c>
          <w:tcPr>
            <w:tcW w:w="377" w:type="dxa"/>
          </w:tcPr>
          <w:p w14:paraId="43B4BD28"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r>
      <w:tr w:rsidR="00685478" w:rsidRPr="00E92D67" w14:paraId="7B8968EC" w14:textId="77777777" w:rsidTr="00470234">
        <w:tblPrEx>
          <w:tblCellMar>
            <w:left w:w="108" w:type="dxa"/>
            <w:right w:w="108" w:type="dxa"/>
          </w:tblCellMar>
          <w:tblLook w:val="04A0" w:firstRow="1" w:lastRow="0" w:firstColumn="1" w:lastColumn="0" w:noHBand="0" w:noVBand="1"/>
        </w:tblPrEx>
        <w:tc>
          <w:tcPr>
            <w:tcW w:w="4477" w:type="dxa"/>
            <w:gridSpan w:val="2"/>
          </w:tcPr>
          <w:p w14:paraId="55B1CAFF"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Estafa</w:t>
            </w:r>
          </w:p>
        </w:tc>
        <w:tc>
          <w:tcPr>
            <w:tcW w:w="691" w:type="dxa"/>
          </w:tcPr>
          <w:p w14:paraId="20C5825D"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32</w:t>
            </w:r>
          </w:p>
        </w:tc>
        <w:tc>
          <w:tcPr>
            <w:tcW w:w="686" w:type="dxa"/>
            <w:gridSpan w:val="2"/>
          </w:tcPr>
          <w:p w14:paraId="5426E893"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144</w:t>
            </w:r>
          </w:p>
        </w:tc>
        <w:tc>
          <w:tcPr>
            <w:tcW w:w="696" w:type="dxa"/>
          </w:tcPr>
          <w:p w14:paraId="73B5317B"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2.67</w:t>
            </w:r>
          </w:p>
        </w:tc>
        <w:tc>
          <w:tcPr>
            <w:tcW w:w="696" w:type="dxa"/>
          </w:tcPr>
          <w:p w14:paraId="093832F9"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12</w:t>
            </w:r>
          </w:p>
        </w:tc>
        <w:tc>
          <w:tcPr>
            <w:tcW w:w="377" w:type="dxa"/>
          </w:tcPr>
          <w:p w14:paraId="4C083487"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c>
          <w:tcPr>
            <w:tcW w:w="377" w:type="dxa"/>
          </w:tcPr>
          <w:p w14:paraId="71D3F01D" w14:textId="77777777" w:rsidR="00685478" w:rsidRPr="00E92D67" w:rsidRDefault="00685478" w:rsidP="00470234">
            <w:pPr>
              <w:jc w:val="both"/>
              <w:rPr>
                <w:rFonts w:ascii="Arial" w:hAnsi="Arial" w:cs="Arial"/>
                <w:sz w:val="20"/>
                <w:szCs w:val="20"/>
              </w:rPr>
            </w:pPr>
          </w:p>
        </w:tc>
        <w:tc>
          <w:tcPr>
            <w:tcW w:w="377" w:type="dxa"/>
          </w:tcPr>
          <w:p w14:paraId="6AAF76E7" w14:textId="77777777" w:rsidR="00685478" w:rsidRPr="00E92D67" w:rsidRDefault="00685478" w:rsidP="00470234">
            <w:pPr>
              <w:jc w:val="both"/>
              <w:rPr>
                <w:rFonts w:ascii="Arial" w:hAnsi="Arial" w:cs="Arial"/>
                <w:sz w:val="20"/>
                <w:szCs w:val="20"/>
              </w:rPr>
            </w:pPr>
          </w:p>
        </w:tc>
        <w:tc>
          <w:tcPr>
            <w:tcW w:w="377" w:type="dxa"/>
          </w:tcPr>
          <w:p w14:paraId="68716B2F"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c>
          <w:tcPr>
            <w:tcW w:w="377" w:type="dxa"/>
          </w:tcPr>
          <w:p w14:paraId="6229E029"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r>
      <w:tr w:rsidR="00685478" w:rsidRPr="00E92D67" w14:paraId="5A96849F" w14:textId="77777777" w:rsidTr="00470234">
        <w:tblPrEx>
          <w:tblCellMar>
            <w:left w:w="108" w:type="dxa"/>
            <w:right w:w="108" w:type="dxa"/>
          </w:tblCellMar>
          <w:tblLook w:val="04A0" w:firstRow="1" w:lastRow="0" w:firstColumn="1" w:lastColumn="0" w:noHBand="0" w:noVBand="1"/>
        </w:tblPrEx>
        <w:tc>
          <w:tcPr>
            <w:tcW w:w="4477" w:type="dxa"/>
            <w:gridSpan w:val="2"/>
          </w:tcPr>
          <w:p w14:paraId="618B1261"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Abuso de confianza</w:t>
            </w:r>
          </w:p>
        </w:tc>
        <w:tc>
          <w:tcPr>
            <w:tcW w:w="691" w:type="dxa"/>
          </w:tcPr>
          <w:p w14:paraId="2F4CFBC4"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16</w:t>
            </w:r>
          </w:p>
        </w:tc>
        <w:tc>
          <w:tcPr>
            <w:tcW w:w="686" w:type="dxa"/>
            <w:gridSpan w:val="2"/>
          </w:tcPr>
          <w:p w14:paraId="37635097"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72</w:t>
            </w:r>
          </w:p>
        </w:tc>
        <w:tc>
          <w:tcPr>
            <w:tcW w:w="696" w:type="dxa"/>
          </w:tcPr>
          <w:p w14:paraId="78178825"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1.33</w:t>
            </w:r>
          </w:p>
        </w:tc>
        <w:tc>
          <w:tcPr>
            <w:tcW w:w="696" w:type="dxa"/>
          </w:tcPr>
          <w:p w14:paraId="39CEE4BC"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6</w:t>
            </w:r>
          </w:p>
        </w:tc>
        <w:tc>
          <w:tcPr>
            <w:tcW w:w="377" w:type="dxa"/>
          </w:tcPr>
          <w:p w14:paraId="5129CC59"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c>
          <w:tcPr>
            <w:tcW w:w="377" w:type="dxa"/>
          </w:tcPr>
          <w:p w14:paraId="4B915A2F" w14:textId="77777777" w:rsidR="00685478" w:rsidRPr="00E92D67" w:rsidRDefault="00685478" w:rsidP="00470234">
            <w:pPr>
              <w:jc w:val="both"/>
              <w:rPr>
                <w:rFonts w:ascii="Arial" w:hAnsi="Arial" w:cs="Arial"/>
                <w:sz w:val="20"/>
                <w:szCs w:val="20"/>
              </w:rPr>
            </w:pPr>
          </w:p>
        </w:tc>
        <w:tc>
          <w:tcPr>
            <w:tcW w:w="377" w:type="dxa"/>
          </w:tcPr>
          <w:p w14:paraId="223D8D79" w14:textId="77777777" w:rsidR="00685478" w:rsidRPr="00E92D67" w:rsidRDefault="00685478" w:rsidP="00470234">
            <w:pPr>
              <w:jc w:val="both"/>
              <w:rPr>
                <w:rFonts w:ascii="Arial" w:hAnsi="Arial" w:cs="Arial"/>
                <w:sz w:val="20"/>
                <w:szCs w:val="20"/>
              </w:rPr>
            </w:pPr>
          </w:p>
        </w:tc>
        <w:tc>
          <w:tcPr>
            <w:tcW w:w="377" w:type="dxa"/>
          </w:tcPr>
          <w:p w14:paraId="2E6930FA"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c>
          <w:tcPr>
            <w:tcW w:w="377" w:type="dxa"/>
          </w:tcPr>
          <w:p w14:paraId="1488AE61"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r>
      <w:tr w:rsidR="00685478" w:rsidRPr="00E92D67" w14:paraId="17370B90" w14:textId="77777777" w:rsidTr="00470234">
        <w:tblPrEx>
          <w:tblCellMar>
            <w:left w:w="108" w:type="dxa"/>
            <w:right w:w="108" w:type="dxa"/>
          </w:tblCellMar>
          <w:tblLook w:val="04A0" w:firstRow="1" w:lastRow="0" w:firstColumn="1" w:lastColumn="0" w:noHBand="0" w:noVBand="1"/>
        </w:tblPrEx>
        <w:tc>
          <w:tcPr>
            <w:tcW w:w="4477" w:type="dxa"/>
            <w:gridSpan w:val="2"/>
          </w:tcPr>
          <w:p w14:paraId="5B6AA93E"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Abuso de confianza calificado</w:t>
            </w:r>
          </w:p>
        </w:tc>
        <w:tc>
          <w:tcPr>
            <w:tcW w:w="691" w:type="dxa"/>
          </w:tcPr>
          <w:p w14:paraId="25EB956E"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48</w:t>
            </w:r>
          </w:p>
        </w:tc>
        <w:tc>
          <w:tcPr>
            <w:tcW w:w="686" w:type="dxa"/>
            <w:gridSpan w:val="2"/>
          </w:tcPr>
          <w:p w14:paraId="59D051A2"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108</w:t>
            </w:r>
          </w:p>
        </w:tc>
        <w:tc>
          <w:tcPr>
            <w:tcW w:w="696" w:type="dxa"/>
          </w:tcPr>
          <w:p w14:paraId="27D8A84B"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4</w:t>
            </w:r>
          </w:p>
        </w:tc>
        <w:tc>
          <w:tcPr>
            <w:tcW w:w="696" w:type="dxa"/>
          </w:tcPr>
          <w:p w14:paraId="3DBD0310"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9</w:t>
            </w:r>
          </w:p>
        </w:tc>
        <w:tc>
          <w:tcPr>
            <w:tcW w:w="377" w:type="dxa"/>
          </w:tcPr>
          <w:p w14:paraId="172B5109" w14:textId="77777777" w:rsidR="00685478" w:rsidRPr="00E92D67" w:rsidRDefault="00685478" w:rsidP="00470234">
            <w:pPr>
              <w:jc w:val="both"/>
              <w:rPr>
                <w:rFonts w:ascii="Arial" w:hAnsi="Arial" w:cs="Arial"/>
                <w:sz w:val="20"/>
                <w:szCs w:val="20"/>
              </w:rPr>
            </w:pPr>
          </w:p>
        </w:tc>
        <w:tc>
          <w:tcPr>
            <w:tcW w:w="377" w:type="dxa"/>
          </w:tcPr>
          <w:p w14:paraId="73D08009" w14:textId="77777777" w:rsidR="00685478" w:rsidRPr="00E92D67" w:rsidRDefault="00685478" w:rsidP="00470234">
            <w:pPr>
              <w:jc w:val="both"/>
              <w:rPr>
                <w:rFonts w:ascii="Arial" w:hAnsi="Arial" w:cs="Arial"/>
                <w:sz w:val="20"/>
                <w:szCs w:val="20"/>
              </w:rPr>
            </w:pPr>
          </w:p>
        </w:tc>
        <w:tc>
          <w:tcPr>
            <w:tcW w:w="377" w:type="dxa"/>
          </w:tcPr>
          <w:p w14:paraId="20CCDB33" w14:textId="77777777" w:rsidR="00685478" w:rsidRPr="00E92D67" w:rsidRDefault="00685478" w:rsidP="00470234">
            <w:pPr>
              <w:jc w:val="both"/>
              <w:rPr>
                <w:rFonts w:ascii="Arial" w:hAnsi="Arial" w:cs="Arial"/>
                <w:sz w:val="20"/>
                <w:szCs w:val="20"/>
              </w:rPr>
            </w:pPr>
          </w:p>
        </w:tc>
        <w:tc>
          <w:tcPr>
            <w:tcW w:w="377" w:type="dxa"/>
          </w:tcPr>
          <w:p w14:paraId="6E01E5CD"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c>
          <w:tcPr>
            <w:tcW w:w="377" w:type="dxa"/>
          </w:tcPr>
          <w:p w14:paraId="59D9E51A"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r>
      <w:tr w:rsidR="00685478" w:rsidRPr="00E92D67" w14:paraId="39A9DFC2" w14:textId="77777777" w:rsidTr="00470234">
        <w:tblPrEx>
          <w:tblCellMar>
            <w:left w:w="108" w:type="dxa"/>
            <w:right w:w="108" w:type="dxa"/>
          </w:tblCellMar>
          <w:tblLook w:val="04A0" w:firstRow="1" w:lastRow="0" w:firstColumn="1" w:lastColumn="0" w:noHBand="0" w:noVBand="1"/>
        </w:tblPrEx>
        <w:tc>
          <w:tcPr>
            <w:tcW w:w="4477" w:type="dxa"/>
            <w:gridSpan w:val="2"/>
          </w:tcPr>
          <w:p w14:paraId="35C3431E"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 xml:space="preserve">Daño en bien ajeno </w:t>
            </w:r>
          </w:p>
        </w:tc>
        <w:tc>
          <w:tcPr>
            <w:tcW w:w="691" w:type="dxa"/>
          </w:tcPr>
          <w:p w14:paraId="1EF2AB65"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16</w:t>
            </w:r>
          </w:p>
        </w:tc>
        <w:tc>
          <w:tcPr>
            <w:tcW w:w="686" w:type="dxa"/>
            <w:gridSpan w:val="2"/>
          </w:tcPr>
          <w:p w14:paraId="5EA5FED5"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90</w:t>
            </w:r>
          </w:p>
        </w:tc>
        <w:tc>
          <w:tcPr>
            <w:tcW w:w="696" w:type="dxa"/>
          </w:tcPr>
          <w:p w14:paraId="212E139D"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1.33</w:t>
            </w:r>
          </w:p>
        </w:tc>
        <w:tc>
          <w:tcPr>
            <w:tcW w:w="696" w:type="dxa"/>
          </w:tcPr>
          <w:p w14:paraId="7FB32687"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7.5</w:t>
            </w:r>
          </w:p>
        </w:tc>
        <w:tc>
          <w:tcPr>
            <w:tcW w:w="377" w:type="dxa"/>
          </w:tcPr>
          <w:p w14:paraId="16DA079A"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c>
          <w:tcPr>
            <w:tcW w:w="377" w:type="dxa"/>
          </w:tcPr>
          <w:p w14:paraId="45624A7B"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c>
          <w:tcPr>
            <w:tcW w:w="377" w:type="dxa"/>
          </w:tcPr>
          <w:p w14:paraId="66D0189D"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c>
          <w:tcPr>
            <w:tcW w:w="377" w:type="dxa"/>
          </w:tcPr>
          <w:p w14:paraId="584D2742"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c>
          <w:tcPr>
            <w:tcW w:w="377" w:type="dxa"/>
          </w:tcPr>
          <w:p w14:paraId="22E80238"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r>
      <w:tr w:rsidR="00685478" w:rsidRPr="00E92D67" w14:paraId="621C0915" w14:textId="77777777" w:rsidTr="00470234">
        <w:tblPrEx>
          <w:tblCellMar>
            <w:left w:w="108" w:type="dxa"/>
            <w:right w:w="108" w:type="dxa"/>
          </w:tblCellMar>
          <w:tblLook w:val="04A0" w:firstRow="1" w:lastRow="0" w:firstColumn="1" w:lastColumn="0" w:noHBand="0" w:noVBand="1"/>
        </w:tblPrEx>
        <w:tc>
          <w:tcPr>
            <w:tcW w:w="4477" w:type="dxa"/>
            <w:gridSpan w:val="2"/>
          </w:tcPr>
          <w:p w14:paraId="44F9DEE8"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Daño en bien ajeno agravado</w:t>
            </w:r>
          </w:p>
        </w:tc>
        <w:tc>
          <w:tcPr>
            <w:tcW w:w="691" w:type="dxa"/>
          </w:tcPr>
          <w:p w14:paraId="40E9446C" w14:textId="77777777" w:rsidR="00685478" w:rsidRPr="00E92D67" w:rsidRDefault="00685478" w:rsidP="00470234">
            <w:pPr>
              <w:jc w:val="both"/>
              <w:rPr>
                <w:rFonts w:ascii="Arial" w:hAnsi="Arial" w:cs="Arial"/>
                <w:sz w:val="20"/>
                <w:szCs w:val="20"/>
              </w:rPr>
            </w:pPr>
          </w:p>
        </w:tc>
        <w:tc>
          <w:tcPr>
            <w:tcW w:w="686" w:type="dxa"/>
            <w:gridSpan w:val="2"/>
          </w:tcPr>
          <w:p w14:paraId="4FF2AA6A" w14:textId="77777777" w:rsidR="00685478" w:rsidRPr="00E92D67" w:rsidRDefault="00685478" w:rsidP="00470234">
            <w:pPr>
              <w:jc w:val="both"/>
              <w:rPr>
                <w:rFonts w:ascii="Arial" w:hAnsi="Arial" w:cs="Arial"/>
                <w:sz w:val="20"/>
                <w:szCs w:val="20"/>
              </w:rPr>
            </w:pPr>
          </w:p>
        </w:tc>
        <w:tc>
          <w:tcPr>
            <w:tcW w:w="696" w:type="dxa"/>
          </w:tcPr>
          <w:p w14:paraId="2B8093C7" w14:textId="77777777" w:rsidR="00685478" w:rsidRPr="00E92D67" w:rsidRDefault="00685478" w:rsidP="00470234">
            <w:pPr>
              <w:jc w:val="both"/>
              <w:rPr>
                <w:rFonts w:ascii="Arial" w:hAnsi="Arial" w:cs="Arial"/>
                <w:sz w:val="20"/>
                <w:szCs w:val="20"/>
              </w:rPr>
            </w:pPr>
          </w:p>
        </w:tc>
        <w:tc>
          <w:tcPr>
            <w:tcW w:w="696" w:type="dxa"/>
          </w:tcPr>
          <w:p w14:paraId="7EB20903" w14:textId="77777777" w:rsidR="00685478" w:rsidRPr="00E92D67" w:rsidRDefault="00685478" w:rsidP="00470234">
            <w:pPr>
              <w:jc w:val="both"/>
              <w:rPr>
                <w:rFonts w:ascii="Arial" w:hAnsi="Arial" w:cs="Arial"/>
                <w:sz w:val="20"/>
                <w:szCs w:val="20"/>
              </w:rPr>
            </w:pPr>
          </w:p>
        </w:tc>
        <w:tc>
          <w:tcPr>
            <w:tcW w:w="377" w:type="dxa"/>
          </w:tcPr>
          <w:p w14:paraId="0F10C27C"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c>
          <w:tcPr>
            <w:tcW w:w="377" w:type="dxa"/>
          </w:tcPr>
          <w:p w14:paraId="1101D568"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c>
          <w:tcPr>
            <w:tcW w:w="377" w:type="dxa"/>
          </w:tcPr>
          <w:p w14:paraId="0E64BFC4"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c>
          <w:tcPr>
            <w:tcW w:w="377" w:type="dxa"/>
          </w:tcPr>
          <w:p w14:paraId="4A1D7288"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c>
          <w:tcPr>
            <w:tcW w:w="377" w:type="dxa"/>
          </w:tcPr>
          <w:p w14:paraId="66BFAB50"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r>
      <w:tr w:rsidR="00685478" w:rsidRPr="00E92D67" w14:paraId="7462E9D8" w14:textId="77777777" w:rsidTr="00470234">
        <w:tblPrEx>
          <w:tblCellMar>
            <w:left w:w="108" w:type="dxa"/>
            <w:right w:w="108" w:type="dxa"/>
          </w:tblCellMar>
          <w:tblLook w:val="04A0" w:firstRow="1" w:lastRow="0" w:firstColumn="1" w:lastColumn="0" w:noHBand="0" w:noVBand="1"/>
        </w:tblPrEx>
        <w:tc>
          <w:tcPr>
            <w:tcW w:w="4477" w:type="dxa"/>
            <w:gridSpan w:val="2"/>
          </w:tcPr>
          <w:p w14:paraId="68954F7B"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Injurias por vía de hecho</w:t>
            </w:r>
          </w:p>
        </w:tc>
        <w:tc>
          <w:tcPr>
            <w:tcW w:w="691" w:type="dxa"/>
          </w:tcPr>
          <w:p w14:paraId="43170E41"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16</w:t>
            </w:r>
          </w:p>
        </w:tc>
        <w:tc>
          <w:tcPr>
            <w:tcW w:w="686" w:type="dxa"/>
            <w:gridSpan w:val="2"/>
          </w:tcPr>
          <w:p w14:paraId="668AB505"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54</w:t>
            </w:r>
          </w:p>
        </w:tc>
        <w:tc>
          <w:tcPr>
            <w:tcW w:w="696" w:type="dxa"/>
          </w:tcPr>
          <w:p w14:paraId="724F5FBF"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1.33</w:t>
            </w:r>
          </w:p>
        </w:tc>
        <w:tc>
          <w:tcPr>
            <w:tcW w:w="696" w:type="dxa"/>
          </w:tcPr>
          <w:p w14:paraId="6A1927E8"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4.5</w:t>
            </w:r>
          </w:p>
        </w:tc>
        <w:tc>
          <w:tcPr>
            <w:tcW w:w="377" w:type="dxa"/>
          </w:tcPr>
          <w:p w14:paraId="621CE37E"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c>
          <w:tcPr>
            <w:tcW w:w="377" w:type="dxa"/>
          </w:tcPr>
          <w:p w14:paraId="09504E6A"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c>
          <w:tcPr>
            <w:tcW w:w="377" w:type="dxa"/>
          </w:tcPr>
          <w:p w14:paraId="68DCF2BA" w14:textId="77777777" w:rsidR="00685478" w:rsidRPr="00E92D67" w:rsidRDefault="00685478" w:rsidP="00470234">
            <w:pPr>
              <w:jc w:val="both"/>
              <w:rPr>
                <w:rFonts w:ascii="Arial" w:hAnsi="Arial" w:cs="Arial"/>
                <w:sz w:val="20"/>
                <w:szCs w:val="20"/>
              </w:rPr>
            </w:pPr>
          </w:p>
        </w:tc>
        <w:tc>
          <w:tcPr>
            <w:tcW w:w="377" w:type="dxa"/>
          </w:tcPr>
          <w:p w14:paraId="7F58A893" w14:textId="77777777" w:rsidR="00685478" w:rsidRPr="00E92D67" w:rsidRDefault="00685478" w:rsidP="00470234">
            <w:pPr>
              <w:jc w:val="both"/>
              <w:rPr>
                <w:rFonts w:ascii="Arial" w:hAnsi="Arial" w:cs="Arial"/>
                <w:sz w:val="20"/>
                <w:szCs w:val="20"/>
              </w:rPr>
            </w:pPr>
          </w:p>
        </w:tc>
        <w:tc>
          <w:tcPr>
            <w:tcW w:w="377" w:type="dxa"/>
          </w:tcPr>
          <w:p w14:paraId="07481BE6" w14:textId="77777777" w:rsidR="00685478" w:rsidRPr="00E92D67" w:rsidRDefault="00685478" w:rsidP="00470234">
            <w:pPr>
              <w:jc w:val="both"/>
              <w:rPr>
                <w:rFonts w:ascii="Arial" w:hAnsi="Arial" w:cs="Arial"/>
                <w:sz w:val="20"/>
                <w:szCs w:val="20"/>
              </w:rPr>
            </w:pPr>
            <w:r w:rsidRPr="00E92D67">
              <w:rPr>
                <w:rFonts w:ascii="Arial" w:hAnsi="Arial" w:cs="Arial"/>
                <w:sz w:val="20"/>
                <w:szCs w:val="20"/>
              </w:rPr>
              <w:t>X</w:t>
            </w:r>
          </w:p>
        </w:tc>
      </w:tr>
      <w:tr w:rsidR="00685478" w:rsidRPr="00E92D67" w14:paraId="7574AE88" w14:textId="77777777" w:rsidTr="00470234">
        <w:tblPrEx>
          <w:tblCellMar>
            <w:left w:w="108" w:type="dxa"/>
            <w:right w:w="108" w:type="dxa"/>
          </w:tblCellMar>
          <w:tblLook w:val="04A0" w:firstRow="1" w:lastRow="0" w:firstColumn="1" w:lastColumn="0" w:noHBand="0" w:noVBand="1"/>
        </w:tblPrEx>
        <w:tc>
          <w:tcPr>
            <w:tcW w:w="4477" w:type="dxa"/>
            <w:gridSpan w:val="2"/>
          </w:tcPr>
          <w:p w14:paraId="11B1F284" w14:textId="77777777" w:rsidR="00685478" w:rsidRPr="00E92D67" w:rsidRDefault="00685478" w:rsidP="00470234">
            <w:pPr>
              <w:jc w:val="both"/>
              <w:rPr>
                <w:rFonts w:ascii="Arial" w:hAnsi="Arial" w:cs="Arial"/>
                <w:sz w:val="20"/>
                <w:szCs w:val="20"/>
              </w:rPr>
            </w:pPr>
            <w:r>
              <w:rPr>
                <w:rFonts w:ascii="Arial" w:hAnsi="Arial" w:cs="Arial"/>
                <w:sz w:val="20"/>
                <w:szCs w:val="20"/>
              </w:rPr>
              <w:t>Micro tráfico</w:t>
            </w:r>
          </w:p>
        </w:tc>
        <w:tc>
          <w:tcPr>
            <w:tcW w:w="691" w:type="dxa"/>
          </w:tcPr>
          <w:p w14:paraId="72B16CEB" w14:textId="77777777" w:rsidR="00685478" w:rsidRPr="00E92D67" w:rsidRDefault="00685478" w:rsidP="00470234">
            <w:pPr>
              <w:jc w:val="both"/>
              <w:rPr>
                <w:rFonts w:ascii="Arial" w:hAnsi="Arial" w:cs="Arial"/>
                <w:sz w:val="20"/>
                <w:szCs w:val="20"/>
              </w:rPr>
            </w:pPr>
            <w:r>
              <w:rPr>
                <w:rFonts w:ascii="Arial" w:hAnsi="Arial" w:cs="Arial"/>
                <w:sz w:val="20"/>
                <w:szCs w:val="20"/>
              </w:rPr>
              <w:t>12</w:t>
            </w:r>
          </w:p>
        </w:tc>
        <w:tc>
          <w:tcPr>
            <w:tcW w:w="686" w:type="dxa"/>
            <w:gridSpan w:val="2"/>
          </w:tcPr>
          <w:p w14:paraId="1BAC71B4" w14:textId="77777777" w:rsidR="00685478" w:rsidRPr="00E92D67" w:rsidRDefault="00685478" w:rsidP="00470234">
            <w:pPr>
              <w:jc w:val="both"/>
              <w:rPr>
                <w:rFonts w:ascii="Arial" w:hAnsi="Arial" w:cs="Arial"/>
                <w:sz w:val="20"/>
                <w:szCs w:val="20"/>
              </w:rPr>
            </w:pPr>
            <w:r>
              <w:rPr>
                <w:rFonts w:ascii="Arial" w:hAnsi="Arial" w:cs="Arial"/>
                <w:sz w:val="20"/>
                <w:szCs w:val="20"/>
              </w:rPr>
              <w:t>36</w:t>
            </w:r>
          </w:p>
        </w:tc>
        <w:tc>
          <w:tcPr>
            <w:tcW w:w="696" w:type="dxa"/>
          </w:tcPr>
          <w:p w14:paraId="4192C375" w14:textId="77777777" w:rsidR="00685478" w:rsidRPr="00E92D67" w:rsidRDefault="00685478" w:rsidP="00470234">
            <w:pPr>
              <w:jc w:val="both"/>
              <w:rPr>
                <w:rFonts w:ascii="Arial" w:hAnsi="Arial" w:cs="Arial"/>
                <w:sz w:val="20"/>
                <w:szCs w:val="20"/>
              </w:rPr>
            </w:pPr>
            <w:r>
              <w:rPr>
                <w:rFonts w:ascii="Arial" w:hAnsi="Arial" w:cs="Arial"/>
                <w:sz w:val="20"/>
                <w:szCs w:val="20"/>
              </w:rPr>
              <w:t>1</w:t>
            </w:r>
          </w:p>
        </w:tc>
        <w:tc>
          <w:tcPr>
            <w:tcW w:w="696" w:type="dxa"/>
          </w:tcPr>
          <w:p w14:paraId="36613AC4" w14:textId="77777777" w:rsidR="00685478" w:rsidRPr="00E92D67" w:rsidRDefault="00685478" w:rsidP="00470234">
            <w:pPr>
              <w:jc w:val="both"/>
              <w:rPr>
                <w:rFonts w:ascii="Arial" w:hAnsi="Arial" w:cs="Arial"/>
                <w:sz w:val="20"/>
                <w:szCs w:val="20"/>
              </w:rPr>
            </w:pPr>
            <w:r>
              <w:rPr>
                <w:rFonts w:ascii="Arial" w:hAnsi="Arial" w:cs="Arial"/>
                <w:sz w:val="20"/>
                <w:szCs w:val="20"/>
              </w:rPr>
              <w:t>3</w:t>
            </w:r>
          </w:p>
        </w:tc>
        <w:tc>
          <w:tcPr>
            <w:tcW w:w="377" w:type="dxa"/>
          </w:tcPr>
          <w:p w14:paraId="4B18542F" w14:textId="77777777" w:rsidR="00685478" w:rsidRPr="00E92D67" w:rsidRDefault="00685478" w:rsidP="00470234">
            <w:pPr>
              <w:jc w:val="both"/>
              <w:rPr>
                <w:rFonts w:ascii="Arial" w:hAnsi="Arial" w:cs="Arial"/>
                <w:sz w:val="20"/>
                <w:szCs w:val="20"/>
              </w:rPr>
            </w:pPr>
          </w:p>
        </w:tc>
        <w:tc>
          <w:tcPr>
            <w:tcW w:w="377" w:type="dxa"/>
          </w:tcPr>
          <w:p w14:paraId="7F6266E3" w14:textId="77777777" w:rsidR="00685478" w:rsidRPr="00E92D67" w:rsidRDefault="00685478" w:rsidP="00470234">
            <w:pPr>
              <w:jc w:val="both"/>
              <w:rPr>
                <w:rFonts w:ascii="Arial" w:hAnsi="Arial" w:cs="Arial"/>
                <w:sz w:val="20"/>
                <w:szCs w:val="20"/>
              </w:rPr>
            </w:pPr>
          </w:p>
        </w:tc>
        <w:tc>
          <w:tcPr>
            <w:tcW w:w="377" w:type="dxa"/>
          </w:tcPr>
          <w:p w14:paraId="7D120E2B" w14:textId="77777777" w:rsidR="00685478" w:rsidRPr="00E92D67" w:rsidRDefault="00685478" w:rsidP="00470234">
            <w:pPr>
              <w:jc w:val="both"/>
              <w:rPr>
                <w:rFonts w:ascii="Arial" w:hAnsi="Arial" w:cs="Arial"/>
                <w:sz w:val="20"/>
                <w:szCs w:val="20"/>
              </w:rPr>
            </w:pPr>
          </w:p>
        </w:tc>
        <w:tc>
          <w:tcPr>
            <w:tcW w:w="377" w:type="dxa"/>
          </w:tcPr>
          <w:p w14:paraId="38B683A1" w14:textId="77777777" w:rsidR="00685478" w:rsidRPr="00E92D67" w:rsidRDefault="00685478" w:rsidP="00470234">
            <w:pPr>
              <w:jc w:val="both"/>
              <w:rPr>
                <w:rFonts w:ascii="Arial" w:hAnsi="Arial" w:cs="Arial"/>
                <w:sz w:val="20"/>
                <w:szCs w:val="20"/>
              </w:rPr>
            </w:pPr>
          </w:p>
        </w:tc>
        <w:tc>
          <w:tcPr>
            <w:tcW w:w="377" w:type="dxa"/>
          </w:tcPr>
          <w:p w14:paraId="4CE482A4" w14:textId="77777777" w:rsidR="00685478" w:rsidRPr="00E92D67" w:rsidRDefault="00685478" w:rsidP="00470234">
            <w:pPr>
              <w:jc w:val="both"/>
              <w:rPr>
                <w:rFonts w:ascii="Arial" w:hAnsi="Arial" w:cs="Arial"/>
                <w:sz w:val="20"/>
                <w:szCs w:val="20"/>
              </w:rPr>
            </w:pPr>
          </w:p>
        </w:tc>
      </w:tr>
    </w:tbl>
    <w:p w14:paraId="18589942" w14:textId="77777777" w:rsidR="00685478" w:rsidRDefault="00685478" w:rsidP="00685478">
      <w:pPr>
        <w:spacing w:after="0"/>
        <w:jc w:val="both"/>
        <w:rPr>
          <w:rFonts w:ascii="Arial" w:hAnsi="Arial" w:cs="Arial"/>
          <w:sz w:val="24"/>
          <w:szCs w:val="24"/>
        </w:rPr>
      </w:pPr>
    </w:p>
    <w:p w14:paraId="19FC4A93" w14:textId="77777777" w:rsidR="00685478" w:rsidRDefault="00685478" w:rsidP="00685478">
      <w:pPr>
        <w:spacing w:after="0"/>
        <w:jc w:val="both"/>
        <w:rPr>
          <w:rFonts w:ascii="Arial" w:hAnsi="Arial" w:cs="Arial"/>
          <w:sz w:val="24"/>
          <w:szCs w:val="24"/>
        </w:rPr>
      </w:pPr>
      <w:r>
        <w:rPr>
          <w:rFonts w:ascii="Arial" w:hAnsi="Arial" w:cs="Arial"/>
          <w:sz w:val="24"/>
          <w:szCs w:val="24"/>
        </w:rPr>
        <w:t>Como se puede observar en el cuadro anterior, solamente se incluyeron en este proyecto los delitos que no tuviesen forma de extinguir la pena por cualquiera de los cinco motivos enlistados, pues de agregarlos sería más beneficioso el régimen ordinario y sería inocua su inclusión.</w:t>
      </w:r>
      <w:r w:rsidR="001C3E7B">
        <w:rPr>
          <w:rFonts w:ascii="Arial" w:hAnsi="Arial" w:cs="Arial"/>
          <w:sz w:val="24"/>
          <w:szCs w:val="24"/>
        </w:rPr>
        <w:t xml:space="preserve"> Sin embargo, no hay que perder de vista que este es un primer paso para que se empiece a re pensar el derecho penal entendido como </w:t>
      </w:r>
      <w:r w:rsidR="00323104">
        <w:rPr>
          <w:rFonts w:ascii="Arial" w:hAnsi="Arial" w:cs="Arial"/>
          <w:sz w:val="24"/>
          <w:szCs w:val="24"/>
        </w:rPr>
        <w:t>inquisitivo de una sola vía, la prisión; y plantearnos otras formas de sanción que sea más efectiva como preventiva del delitos y resocializadora.</w:t>
      </w:r>
    </w:p>
    <w:p w14:paraId="7EC5BBD2" w14:textId="77777777" w:rsidR="00685478" w:rsidRDefault="00685478" w:rsidP="00685478">
      <w:pPr>
        <w:spacing w:after="0"/>
        <w:jc w:val="both"/>
        <w:rPr>
          <w:rFonts w:ascii="Arial" w:hAnsi="Arial" w:cs="Arial"/>
          <w:sz w:val="24"/>
          <w:szCs w:val="24"/>
        </w:rPr>
      </w:pPr>
      <w:r>
        <w:rPr>
          <w:rFonts w:ascii="Arial" w:hAnsi="Arial" w:cs="Arial"/>
          <w:sz w:val="24"/>
          <w:szCs w:val="24"/>
        </w:rPr>
        <w:t>Así las cosas, y explicados los puntos esenciales, se solicita a los honorables magistrados dar debate al presente proyecto de ley.</w:t>
      </w:r>
    </w:p>
    <w:p w14:paraId="02C36001" w14:textId="77777777" w:rsidR="00685478" w:rsidRDefault="00685478" w:rsidP="00685478">
      <w:pPr>
        <w:spacing w:after="0"/>
        <w:jc w:val="both"/>
        <w:rPr>
          <w:rFonts w:ascii="Arial" w:hAnsi="Arial" w:cs="Arial"/>
          <w:sz w:val="24"/>
          <w:szCs w:val="24"/>
        </w:rPr>
      </w:pPr>
    </w:p>
    <w:p w14:paraId="1C46AB75" w14:textId="77777777" w:rsidR="00685478" w:rsidRDefault="00685478" w:rsidP="00685478">
      <w:pPr>
        <w:spacing w:after="0"/>
        <w:jc w:val="both"/>
        <w:rPr>
          <w:rFonts w:ascii="Arial" w:hAnsi="Arial" w:cs="Arial"/>
          <w:sz w:val="24"/>
          <w:szCs w:val="24"/>
        </w:rPr>
      </w:pPr>
    </w:p>
    <w:p w14:paraId="5E2C579C" w14:textId="77777777" w:rsidR="00685478" w:rsidRDefault="00685478" w:rsidP="00685478">
      <w:pPr>
        <w:spacing w:after="0"/>
        <w:jc w:val="both"/>
        <w:rPr>
          <w:rFonts w:ascii="Arial" w:hAnsi="Arial" w:cs="Arial"/>
          <w:sz w:val="24"/>
          <w:szCs w:val="24"/>
        </w:rPr>
      </w:pPr>
      <w:r>
        <w:rPr>
          <w:rFonts w:ascii="Arial" w:hAnsi="Arial" w:cs="Arial"/>
          <w:sz w:val="24"/>
          <w:szCs w:val="24"/>
        </w:rPr>
        <w:t xml:space="preserve">De los honorables congresistas, </w:t>
      </w:r>
    </w:p>
    <w:p w14:paraId="6629DDAD" w14:textId="77777777" w:rsidR="00685478" w:rsidRDefault="00685478" w:rsidP="00685478">
      <w:pPr>
        <w:spacing w:after="0"/>
        <w:jc w:val="both"/>
        <w:rPr>
          <w:rFonts w:ascii="Arial" w:hAnsi="Arial" w:cs="Arial"/>
          <w:sz w:val="24"/>
          <w:szCs w:val="24"/>
        </w:rPr>
      </w:pPr>
    </w:p>
    <w:p w14:paraId="6F2A262A" w14:textId="77777777" w:rsidR="00685478" w:rsidRDefault="00685478" w:rsidP="00685478">
      <w:pPr>
        <w:spacing w:after="0"/>
        <w:jc w:val="both"/>
        <w:rPr>
          <w:rFonts w:ascii="Arial" w:hAnsi="Arial" w:cs="Arial"/>
          <w:sz w:val="24"/>
          <w:szCs w:val="24"/>
        </w:rPr>
      </w:pPr>
    </w:p>
    <w:p w14:paraId="3F06FDD0" w14:textId="77777777" w:rsidR="00685478" w:rsidRDefault="00685478" w:rsidP="00685478">
      <w:pPr>
        <w:spacing w:after="0"/>
        <w:jc w:val="both"/>
        <w:rPr>
          <w:rFonts w:ascii="Arial" w:hAnsi="Arial" w:cs="Arial"/>
          <w:sz w:val="24"/>
          <w:szCs w:val="24"/>
        </w:rPr>
      </w:pPr>
    </w:p>
    <w:p w14:paraId="0A43E56A" w14:textId="77777777" w:rsidR="00685478" w:rsidRDefault="00685478" w:rsidP="00685478">
      <w:pPr>
        <w:spacing w:after="0"/>
        <w:jc w:val="both"/>
        <w:rPr>
          <w:rFonts w:ascii="Arial" w:hAnsi="Arial" w:cs="Arial"/>
          <w:sz w:val="24"/>
          <w:szCs w:val="24"/>
        </w:rPr>
      </w:pPr>
    </w:p>
    <w:p w14:paraId="69C4C69B" w14:textId="77777777" w:rsidR="00685478" w:rsidRDefault="00685478" w:rsidP="00685478">
      <w:pPr>
        <w:spacing w:after="0"/>
        <w:jc w:val="both"/>
        <w:rPr>
          <w:rFonts w:ascii="Arial" w:hAnsi="Arial" w:cs="Arial"/>
          <w:sz w:val="24"/>
          <w:szCs w:val="24"/>
        </w:rPr>
      </w:pPr>
    </w:p>
    <w:p w14:paraId="3D0423DE" w14:textId="77777777" w:rsidR="00685478" w:rsidRPr="00E92D67" w:rsidRDefault="00685478" w:rsidP="00685478">
      <w:pPr>
        <w:spacing w:after="0"/>
        <w:jc w:val="both"/>
        <w:rPr>
          <w:rFonts w:ascii="Arial" w:hAnsi="Arial" w:cs="Arial"/>
          <w:b/>
          <w:sz w:val="24"/>
          <w:szCs w:val="24"/>
        </w:rPr>
      </w:pPr>
    </w:p>
    <w:p w14:paraId="62E0C347" w14:textId="77777777" w:rsidR="00685478" w:rsidRPr="00E92D67" w:rsidRDefault="00685478" w:rsidP="00685478">
      <w:pPr>
        <w:spacing w:after="0"/>
        <w:jc w:val="center"/>
        <w:rPr>
          <w:rFonts w:ascii="Arial" w:hAnsi="Arial" w:cs="Arial"/>
          <w:b/>
          <w:sz w:val="24"/>
          <w:szCs w:val="24"/>
        </w:rPr>
      </w:pPr>
      <w:r w:rsidRPr="00E92D67">
        <w:rPr>
          <w:rFonts w:ascii="Arial" w:hAnsi="Arial" w:cs="Arial"/>
          <w:b/>
          <w:sz w:val="24"/>
          <w:szCs w:val="24"/>
        </w:rPr>
        <w:t>EDWARD DAVID RODRÍGUEZ RODRÍGUEZ</w:t>
      </w:r>
    </w:p>
    <w:p w14:paraId="63B06D82" w14:textId="77777777" w:rsidR="00685478" w:rsidRPr="00E92D67" w:rsidRDefault="00685478" w:rsidP="00685478">
      <w:pPr>
        <w:spacing w:after="0"/>
        <w:jc w:val="center"/>
        <w:rPr>
          <w:rFonts w:ascii="Arial" w:hAnsi="Arial" w:cs="Arial"/>
          <w:b/>
          <w:sz w:val="24"/>
          <w:szCs w:val="24"/>
        </w:rPr>
      </w:pPr>
      <w:r w:rsidRPr="00E92D67">
        <w:rPr>
          <w:rFonts w:ascii="Arial" w:hAnsi="Arial" w:cs="Arial"/>
          <w:b/>
          <w:sz w:val="24"/>
          <w:szCs w:val="24"/>
        </w:rPr>
        <w:t>REPRESENTANTE A LA CÁMARA POR BOGOTÁ D.C.</w:t>
      </w:r>
    </w:p>
    <w:p w14:paraId="0265F197" w14:textId="77777777" w:rsidR="00685478" w:rsidRPr="00685478" w:rsidRDefault="00685478" w:rsidP="00685478">
      <w:pPr>
        <w:spacing w:after="0"/>
        <w:jc w:val="center"/>
        <w:rPr>
          <w:rFonts w:ascii="Arial" w:hAnsi="Arial" w:cs="Arial"/>
          <w:b/>
          <w:sz w:val="24"/>
          <w:szCs w:val="24"/>
        </w:rPr>
      </w:pPr>
    </w:p>
    <w:sectPr w:rsidR="00685478" w:rsidRPr="0068547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E40F5" w14:textId="77777777" w:rsidR="005D5AAA" w:rsidRDefault="005D5AAA" w:rsidP="00C30643">
      <w:pPr>
        <w:spacing w:after="0" w:line="240" w:lineRule="auto"/>
      </w:pPr>
      <w:r>
        <w:separator/>
      </w:r>
    </w:p>
  </w:endnote>
  <w:endnote w:type="continuationSeparator" w:id="0">
    <w:p w14:paraId="5B7DE697" w14:textId="77777777" w:rsidR="005D5AAA" w:rsidRDefault="005D5AAA" w:rsidP="00C3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563AF" w14:textId="77777777" w:rsidR="00847546" w:rsidRPr="005E73C3" w:rsidRDefault="00847546" w:rsidP="00847546"/>
  <w:p w14:paraId="60EDFCA0" w14:textId="77777777" w:rsidR="00847546" w:rsidRPr="005E73C3" w:rsidRDefault="00847546" w:rsidP="00847546">
    <w:pPr>
      <w:pBdr>
        <w:top w:val="thinThickSmallGap" w:sz="24" w:space="1" w:color="823B0B" w:themeColor="accent2" w:themeShade="7F"/>
      </w:pBdr>
      <w:tabs>
        <w:tab w:val="center" w:pos="4419"/>
        <w:tab w:val="right" w:pos="8838"/>
      </w:tabs>
      <w:spacing w:after="0" w:line="240" w:lineRule="auto"/>
      <w:jc w:val="center"/>
      <w:rPr>
        <w:rFonts w:ascii="Arial Narrow" w:hAnsi="Arial Narrow" w:cs="Times New Roman"/>
        <w:sz w:val="16"/>
        <w:szCs w:val="16"/>
      </w:rPr>
    </w:pPr>
    <w:r w:rsidRPr="005E73C3">
      <w:rPr>
        <w:rFonts w:ascii="Arial Narrow" w:hAnsi="Arial Narrow" w:cs="Times New Roman"/>
        <w:sz w:val="16"/>
        <w:szCs w:val="16"/>
      </w:rPr>
      <w:t>Oficina  H.R Edward David Rodríguez R.</w:t>
    </w:r>
  </w:p>
  <w:p w14:paraId="25016DFA" w14:textId="77777777" w:rsidR="00847546" w:rsidRPr="005E73C3" w:rsidRDefault="00847546" w:rsidP="00847546">
    <w:pPr>
      <w:pBdr>
        <w:top w:val="thinThickSmallGap" w:sz="24" w:space="1" w:color="823B0B" w:themeColor="accent2" w:themeShade="7F"/>
      </w:pBdr>
      <w:tabs>
        <w:tab w:val="center" w:pos="4419"/>
        <w:tab w:val="right" w:pos="8838"/>
      </w:tabs>
      <w:spacing w:after="0" w:line="240" w:lineRule="auto"/>
      <w:jc w:val="center"/>
      <w:rPr>
        <w:rFonts w:ascii="Arial Narrow" w:hAnsi="Arial Narrow" w:cs="Times New Roman"/>
        <w:sz w:val="16"/>
        <w:szCs w:val="16"/>
      </w:rPr>
    </w:pPr>
    <w:r w:rsidRPr="005E73C3">
      <w:rPr>
        <w:rFonts w:ascii="Arial Narrow" w:hAnsi="Arial Narrow" w:cs="Times New Roman"/>
        <w:sz w:val="16"/>
        <w:szCs w:val="16"/>
      </w:rPr>
      <w:t>Cámara de Representantes</w:t>
    </w:r>
  </w:p>
  <w:p w14:paraId="42E4E038" w14:textId="77777777" w:rsidR="00847546" w:rsidRPr="005E73C3" w:rsidRDefault="00847546" w:rsidP="00847546">
    <w:pPr>
      <w:tabs>
        <w:tab w:val="center" w:pos="4419"/>
        <w:tab w:val="right" w:pos="8838"/>
      </w:tabs>
      <w:spacing w:after="0" w:line="240" w:lineRule="auto"/>
    </w:pPr>
    <w:r w:rsidRPr="005E73C3">
      <w:rPr>
        <w:rFonts w:ascii="Arial Narrow" w:hAnsi="Arial Narrow" w:cs="Times New Roman"/>
        <w:sz w:val="16"/>
        <w:szCs w:val="16"/>
      </w:rPr>
      <w:t xml:space="preserve">                                  Carrera 7 No 8-68, oficina 435 B Tel: 3823793- 3824433- Fax: 3823794 Email: edrcamara@gmail.com</w:t>
    </w:r>
  </w:p>
  <w:p w14:paraId="617A9A5C" w14:textId="77777777" w:rsidR="00C30643" w:rsidRDefault="00C306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F73AA" w14:textId="77777777" w:rsidR="005D5AAA" w:rsidRDefault="005D5AAA" w:rsidP="00C30643">
      <w:pPr>
        <w:spacing w:after="0" w:line="240" w:lineRule="auto"/>
      </w:pPr>
      <w:r>
        <w:separator/>
      </w:r>
    </w:p>
  </w:footnote>
  <w:footnote w:type="continuationSeparator" w:id="0">
    <w:p w14:paraId="543F070A" w14:textId="77777777" w:rsidR="005D5AAA" w:rsidRDefault="005D5AAA" w:rsidP="00C30643">
      <w:pPr>
        <w:spacing w:after="0" w:line="240" w:lineRule="auto"/>
      </w:pPr>
      <w:r>
        <w:continuationSeparator/>
      </w:r>
    </w:p>
  </w:footnote>
  <w:footnote w:id="1">
    <w:p w14:paraId="5A33150D" w14:textId="77777777" w:rsidR="00685478" w:rsidRDefault="00685478" w:rsidP="00685478">
      <w:pPr>
        <w:pStyle w:val="Textonotapie"/>
      </w:pPr>
      <w:r>
        <w:rPr>
          <w:rStyle w:val="Refdenotaalpie"/>
        </w:rPr>
        <w:footnoteRef/>
      </w:r>
      <w:r>
        <w:t xml:space="preserve"> Querellable</w:t>
      </w:r>
    </w:p>
  </w:footnote>
  <w:footnote w:id="2">
    <w:p w14:paraId="74BB8A55" w14:textId="77777777" w:rsidR="00685478" w:rsidRDefault="00685478" w:rsidP="00685478">
      <w:pPr>
        <w:pStyle w:val="Textonotapie"/>
      </w:pPr>
      <w:r>
        <w:rPr>
          <w:rStyle w:val="Refdenotaalpie"/>
        </w:rPr>
        <w:footnoteRef/>
      </w:r>
      <w:r>
        <w:t xml:space="preserve"> Extinción en el tipo</w:t>
      </w:r>
    </w:p>
  </w:footnote>
  <w:footnote w:id="3">
    <w:p w14:paraId="59B6CD52" w14:textId="77777777" w:rsidR="00685478" w:rsidRDefault="00685478" w:rsidP="00685478">
      <w:pPr>
        <w:pStyle w:val="Textonotapie"/>
      </w:pPr>
      <w:r>
        <w:rPr>
          <w:rStyle w:val="Refdenotaalpie"/>
        </w:rPr>
        <w:footnoteRef/>
      </w:r>
      <w:r>
        <w:t xml:space="preserve"> Rebaja Reparación</w:t>
      </w:r>
    </w:p>
  </w:footnote>
  <w:footnote w:id="4">
    <w:p w14:paraId="54EFB91A" w14:textId="77777777" w:rsidR="00685478" w:rsidRDefault="00685478" w:rsidP="00685478">
      <w:pPr>
        <w:pStyle w:val="Textonotapie"/>
      </w:pPr>
      <w:r>
        <w:rPr>
          <w:rStyle w:val="Refdenotaalpie"/>
        </w:rPr>
        <w:footnoteRef/>
      </w:r>
      <w:r>
        <w:t xml:space="preserve"> Indemnización integral</w:t>
      </w:r>
    </w:p>
  </w:footnote>
  <w:footnote w:id="5">
    <w:p w14:paraId="0B9CED05" w14:textId="77777777" w:rsidR="00685478" w:rsidRDefault="00685478" w:rsidP="00685478">
      <w:pPr>
        <w:pStyle w:val="Textonotapie"/>
      </w:pPr>
      <w:r>
        <w:rPr>
          <w:rStyle w:val="Refdenotaalpie"/>
        </w:rPr>
        <w:footnoteRef/>
      </w:r>
      <w:r>
        <w:t xml:space="preserve"> Mediación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B5572" w14:textId="77777777" w:rsidR="00685478" w:rsidRDefault="00685478">
    <w:pPr>
      <w:pStyle w:val="Encabezado"/>
    </w:pPr>
    <w:r>
      <w:rPr>
        <w:noProof/>
        <w:lang w:eastAsia="es-CO"/>
      </w:rPr>
      <w:drawing>
        <wp:inline distT="0" distB="0" distL="0" distR="0" wp14:anchorId="75B0102D" wp14:editId="7E69743F">
          <wp:extent cx="2371725" cy="73152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731520"/>
                  </a:xfrm>
                  <a:prstGeom prst="rect">
                    <a:avLst/>
                  </a:prstGeom>
                  <a:noFill/>
                </pic:spPr>
              </pic:pic>
            </a:graphicData>
          </a:graphic>
        </wp:inline>
      </w:drawing>
    </w:r>
    <w:r w:rsidR="001C3E7B">
      <w:t xml:space="preserve">                       </w:t>
    </w:r>
    <w:r w:rsidR="001C3E7B">
      <w:rPr>
        <w:noProof/>
        <w:lang w:eastAsia="es-CO"/>
      </w:rPr>
      <w:drawing>
        <wp:inline distT="0" distB="0" distL="0" distR="0" wp14:anchorId="2E9D964A" wp14:editId="6E9B6308">
          <wp:extent cx="2475230" cy="70739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5230" cy="7073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93E51"/>
    <w:multiLevelType w:val="hybridMultilevel"/>
    <w:tmpl w:val="1BCA64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53A6DA0"/>
    <w:multiLevelType w:val="hybridMultilevel"/>
    <w:tmpl w:val="56489D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3B55DB2"/>
    <w:multiLevelType w:val="hybridMultilevel"/>
    <w:tmpl w:val="61940148"/>
    <w:lvl w:ilvl="0" w:tplc="27181D2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3BE74F4E"/>
    <w:multiLevelType w:val="hybridMultilevel"/>
    <w:tmpl w:val="938834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60D6F2C"/>
    <w:multiLevelType w:val="hybridMultilevel"/>
    <w:tmpl w:val="A6C6AE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A3"/>
    <w:rsid w:val="0000743B"/>
    <w:rsid w:val="0001072D"/>
    <w:rsid w:val="000529C1"/>
    <w:rsid w:val="000C7971"/>
    <w:rsid w:val="00116606"/>
    <w:rsid w:val="001A5247"/>
    <w:rsid w:val="001C3E7B"/>
    <w:rsid w:val="001E1F68"/>
    <w:rsid w:val="002F43E7"/>
    <w:rsid w:val="0030163C"/>
    <w:rsid w:val="00323104"/>
    <w:rsid w:val="003B68E2"/>
    <w:rsid w:val="003F4B3A"/>
    <w:rsid w:val="00410E81"/>
    <w:rsid w:val="0043249C"/>
    <w:rsid w:val="00467E0E"/>
    <w:rsid w:val="00497012"/>
    <w:rsid w:val="004D7C72"/>
    <w:rsid w:val="00551D8F"/>
    <w:rsid w:val="0058369B"/>
    <w:rsid w:val="005B20CB"/>
    <w:rsid w:val="005B5E46"/>
    <w:rsid w:val="005D5AAA"/>
    <w:rsid w:val="00667353"/>
    <w:rsid w:val="00685478"/>
    <w:rsid w:val="006C28EA"/>
    <w:rsid w:val="006E04EE"/>
    <w:rsid w:val="00716F3B"/>
    <w:rsid w:val="0075283A"/>
    <w:rsid w:val="00771D69"/>
    <w:rsid w:val="0078765E"/>
    <w:rsid w:val="007B0548"/>
    <w:rsid w:val="007F3CE3"/>
    <w:rsid w:val="008355EB"/>
    <w:rsid w:val="00847546"/>
    <w:rsid w:val="00854919"/>
    <w:rsid w:val="0094080C"/>
    <w:rsid w:val="00985462"/>
    <w:rsid w:val="00A040F2"/>
    <w:rsid w:val="00B14B2A"/>
    <w:rsid w:val="00B20F62"/>
    <w:rsid w:val="00BC4636"/>
    <w:rsid w:val="00C30643"/>
    <w:rsid w:val="00C47C4E"/>
    <w:rsid w:val="00C822CE"/>
    <w:rsid w:val="00CA29CA"/>
    <w:rsid w:val="00D05DB6"/>
    <w:rsid w:val="00D75DB2"/>
    <w:rsid w:val="00D92035"/>
    <w:rsid w:val="00DA76D5"/>
    <w:rsid w:val="00E148A3"/>
    <w:rsid w:val="00E354E5"/>
    <w:rsid w:val="00E828C4"/>
    <w:rsid w:val="00E92D67"/>
    <w:rsid w:val="00F3305E"/>
    <w:rsid w:val="00F34EC7"/>
    <w:rsid w:val="00F42849"/>
    <w:rsid w:val="00F5220C"/>
    <w:rsid w:val="00F94B2E"/>
    <w:rsid w:val="00FE3A79"/>
    <w:rsid w:val="00FE56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A55C"/>
  <w15:chartTrackingRefBased/>
  <w15:docId w15:val="{7CF37F79-C281-4A74-9E38-E522F6AB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8A3"/>
    <w:pPr>
      <w:ind w:left="720"/>
      <w:contextualSpacing/>
    </w:pPr>
  </w:style>
  <w:style w:type="paragraph" w:styleId="Encabezado">
    <w:name w:val="header"/>
    <w:basedOn w:val="Normal"/>
    <w:link w:val="EncabezadoCar"/>
    <w:uiPriority w:val="99"/>
    <w:unhideWhenUsed/>
    <w:rsid w:val="00C306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0643"/>
  </w:style>
  <w:style w:type="paragraph" w:styleId="Piedepgina">
    <w:name w:val="footer"/>
    <w:basedOn w:val="Normal"/>
    <w:link w:val="PiedepginaCar"/>
    <w:uiPriority w:val="99"/>
    <w:unhideWhenUsed/>
    <w:rsid w:val="00C306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0643"/>
  </w:style>
  <w:style w:type="table" w:styleId="Tablaconcuadrcula">
    <w:name w:val="Table Grid"/>
    <w:basedOn w:val="Tablanormal"/>
    <w:uiPriority w:val="39"/>
    <w:rsid w:val="00FE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92D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92D67"/>
    <w:rPr>
      <w:sz w:val="20"/>
      <w:szCs w:val="20"/>
    </w:rPr>
  </w:style>
  <w:style w:type="character" w:styleId="Refdenotaalpie">
    <w:name w:val="footnote reference"/>
    <w:basedOn w:val="Fuentedeprrafopredeter"/>
    <w:uiPriority w:val="99"/>
    <w:semiHidden/>
    <w:unhideWhenUsed/>
    <w:rsid w:val="00E92D67"/>
    <w:rPr>
      <w:vertAlign w:val="superscript"/>
    </w:rPr>
  </w:style>
  <w:style w:type="paragraph" w:styleId="Textodeglobo">
    <w:name w:val="Balloon Text"/>
    <w:basedOn w:val="Normal"/>
    <w:link w:val="TextodegloboCar"/>
    <w:uiPriority w:val="99"/>
    <w:semiHidden/>
    <w:unhideWhenUsed/>
    <w:rsid w:val="00F34E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4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26929-C8E6-4F0F-948E-00C28ED7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2537</Words>
  <Characters>13954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Navas Herrera</dc:creator>
  <cp:keywords/>
  <dc:description/>
  <cp:lastModifiedBy>Alejandra Navas Herrera</cp:lastModifiedBy>
  <cp:revision>2</cp:revision>
  <cp:lastPrinted>2019-08-27T22:08:00Z</cp:lastPrinted>
  <dcterms:created xsi:type="dcterms:W3CDTF">2019-09-02T17:45:00Z</dcterms:created>
  <dcterms:modified xsi:type="dcterms:W3CDTF">2019-09-02T17:45:00Z</dcterms:modified>
</cp:coreProperties>
</file>