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FFFB8" w14:textId="77777777" w:rsidR="001C3E7B" w:rsidRDefault="001C3E7B" w:rsidP="005B5E46">
      <w:pPr>
        <w:jc w:val="center"/>
        <w:rPr>
          <w:rFonts w:ascii="Arial" w:hAnsi="Arial" w:cs="Arial"/>
          <w:b/>
          <w:sz w:val="24"/>
          <w:szCs w:val="24"/>
        </w:rPr>
      </w:pPr>
    </w:p>
    <w:p w14:paraId="46C1E8F2" w14:textId="77777777" w:rsidR="005B5E46" w:rsidRPr="005B5E46" w:rsidRDefault="005B5E46" w:rsidP="005B5E46">
      <w:pPr>
        <w:jc w:val="center"/>
        <w:rPr>
          <w:rFonts w:ascii="Arial" w:hAnsi="Arial" w:cs="Arial"/>
          <w:b/>
          <w:sz w:val="24"/>
          <w:szCs w:val="24"/>
        </w:rPr>
      </w:pPr>
      <w:r w:rsidRPr="00C47C4E">
        <w:rPr>
          <w:rFonts w:ascii="Arial" w:hAnsi="Arial" w:cs="Arial"/>
          <w:b/>
          <w:sz w:val="24"/>
          <w:szCs w:val="24"/>
        </w:rPr>
        <w:t>PROYECTO DE LEY No.         DE 2019 “MEDIANTE EL CUAL SE MODIFICA EL TRATAMIENTO PENAL DE LOS DELITOS QUE ATENTAN</w:t>
      </w:r>
      <w:r w:rsidR="00685478">
        <w:rPr>
          <w:rFonts w:ascii="Arial" w:hAnsi="Arial" w:cs="Arial"/>
          <w:b/>
          <w:sz w:val="24"/>
          <w:szCs w:val="24"/>
        </w:rPr>
        <w:t xml:space="preserve"> CONTRA EL PATRIMONIO ECONÓMICO</w:t>
      </w:r>
      <w:r w:rsidRPr="00C47C4E">
        <w:rPr>
          <w:rFonts w:ascii="Arial" w:hAnsi="Arial" w:cs="Arial"/>
          <w:b/>
          <w:sz w:val="24"/>
          <w:szCs w:val="24"/>
        </w:rPr>
        <w:t>, SE PRIORIZA A LA VÍCTIMA DE CONDUCTAS DELICTIVAS, Y SE ESTABLECEN MEDIDAS PARA LA DISUASIÓN A LA REINCIDENCIA CRIMINAL</w:t>
      </w:r>
      <w:r w:rsidR="00685478">
        <w:rPr>
          <w:rFonts w:ascii="Arial" w:hAnsi="Arial" w:cs="Arial"/>
          <w:b/>
          <w:sz w:val="24"/>
          <w:szCs w:val="24"/>
        </w:rPr>
        <w:t xml:space="preserve"> Y SU RÁPIDA CONSTITUCIÓN</w:t>
      </w:r>
      <w:r w:rsidRPr="00C47C4E">
        <w:rPr>
          <w:rFonts w:ascii="Arial" w:hAnsi="Arial" w:cs="Arial"/>
          <w:b/>
          <w:sz w:val="24"/>
          <w:szCs w:val="24"/>
        </w:rPr>
        <w:t>”</w:t>
      </w:r>
    </w:p>
    <w:p w14:paraId="1812611C" w14:textId="77777777" w:rsidR="005B5E46" w:rsidRDefault="005B5E46" w:rsidP="005B5E46">
      <w:pPr>
        <w:jc w:val="both"/>
        <w:rPr>
          <w:rFonts w:ascii="Arial" w:hAnsi="Arial" w:cs="Arial"/>
          <w:sz w:val="24"/>
          <w:szCs w:val="24"/>
        </w:rPr>
      </w:pPr>
      <w:r>
        <w:rPr>
          <w:rFonts w:ascii="Arial" w:hAnsi="Arial" w:cs="Arial"/>
          <w:b/>
          <w:sz w:val="24"/>
          <w:szCs w:val="24"/>
        </w:rPr>
        <w:t>Artículo 1.</w:t>
      </w:r>
      <w:r w:rsidRPr="00551D8F">
        <w:rPr>
          <w:rFonts w:ascii="Arial" w:hAnsi="Arial" w:cs="Arial"/>
          <w:sz w:val="24"/>
          <w:szCs w:val="24"/>
        </w:rPr>
        <w:t xml:space="preserve"> </w:t>
      </w:r>
      <w:r>
        <w:rPr>
          <w:rFonts w:ascii="Arial" w:hAnsi="Arial" w:cs="Arial"/>
          <w:sz w:val="24"/>
          <w:szCs w:val="24"/>
        </w:rPr>
        <w:t>Adicióne</w:t>
      </w:r>
      <w:r w:rsidR="001A5247">
        <w:rPr>
          <w:rFonts w:ascii="Arial" w:hAnsi="Arial" w:cs="Arial"/>
          <w:sz w:val="24"/>
          <w:szCs w:val="24"/>
        </w:rPr>
        <w:t>n</w:t>
      </w:r>
      <w:r>
        <w:rPr>
          <w:rFonts w:ascii="Arial" w:hAnsi="Arial" w:cs="Arial"/>
          <w:sz w:val="24"/>
          <w:szCs w:val="24"/>
        </w:rPr>
        <w:t xml:space="preserve">se </w:t>
      </w:r>
      <w:r w:rsidR="001A5247">
        <w:rPr>
          <w:rFonts w:ascii="Arial" w:hAnsi="Arial" w:cs="Arial"/>
          <w:sz w:val="24"/>
          <w:szCs w:val="24"/>
        </w:rPr>
        <w:t>cuatro</w:t>
      </w:r>
      <w:r>
        <w:rPr>
          <w:rFonts w:ascii="Arial" w:hAnsi="Arial" w:cs="Arial"/>
          <w:sz w:val="24"/>
          <w:szCs w:val="24"/>
        </w:rPr>
        <w:t xml:space="preserve"> nuevo</w:t>
      </w:r>
      <w:r w:rsidR="001A5247">
        <w:rPr>
          <w:rFonts w:ascii="Arial" w:hAnsi="Arial" w:cs="Arial"/>
          <w:sz w:val="24"/>
          <w:szCs w:val="24"/>
        </w:rPr>
        <w:t>s</w:t>
      </w:r>
      <w:r>
        <w:rPr>
          <w:rFonts w:ascii="Arial" w:hAnsi="Arial" w:cs="Arial"/>
          <w:sz w:val="24"/>
          <w:szCs w:val="24"/>
        </w:rPr>
        <w:t xml:space="preserve"> artículo</w:t>
      </w:r>
      <w:r w:rsidR="001A5247">
        <w:rPr>
          <w:rFonts w:ascii="Arial" w:hAnsi="Arial" w:cs="Arial"/>
          <w:sz w:val="24"/>
          <w:szCs w:val="24"/>
        </w:rPr>
        <w:t>s</w:t>
      </w:r>
      <w:r>
        <w:rPr>
          <w:rFonts w:ascii="Arial" w:hAnsi="Arial" w:cs="Arial"/>
          <w:sz w:val="24"/>
          <w:szCs w:val="24"/>
        </w:rPr>
        <w:t xml:space="preserve"> en el Capítulo </w:t>
      </w:r>
      <w:r w:rsidR="005B20CB">
        <w:rPr>
          <w:rFonts w:ascii="Arial" w:hAnsi="Arial" w:cs="Arial"/>
          <w:sz w:val="24"/>
          <w:szCs w:val="24"/>
        </w:rPr>
        <w:t>Noveno</w:t>
      </w:r>
      <w:r>
        <w:rPr>
          <w:rFonts w:ascii="Arial" w:hAnsi="Arial" w:cs="Arial"/>
          <w:sz w:val="24"/>
          <w:szCs w:val="24"/>
        </w:rPr>
        <w:t xml:space="preserve"> del Título VII </w:t>
      </w:r>
      <w:r w:rsidR="001A5247">
        <w:rPr>
          <w:rFonts w:ascii="Arial" w:hAnsi="Arial" w:cs="Arial"/>
          <w:sz w:val="24"/>
          <w:szCs w:val="24"/>
        </w:rPr>
        <w:t xml:space="preserve">del Libro II del Código Penal, </w:t>
      </w:r>
      <w:r>
        <w:rPr>
          <w:rFonts w:ascii="Arial" w:hAnsi="Arial" w:cs="Arial"/>
          <w:sz w:val="24"/>
          <w:szCs w:val="24"/>
        </w:rPr>
        <w:t>l</w:t>
      </w:r>
      <w:r w:rsidR="001A5247">
        <w:rPr>
          <w:rFonts w:ascii="Arial" w:hAnsi="Arial" w:cs="Arial"/>
          <w:sz w:val="24"/>
          <w:szCs w:val="24"/>
        </w:rPr>
        <w:t>os</w:t>
      </w:r>
      <w:r>
        <w:rPr>
          <w:rFonts w:ascii="Arial" w:hAnsi="Arial" w:cs="Arial"/>
          <w:sz w:val="24"/>
          <w:szCs w:val="24"/>
        </w:rPr>
        <w:t xml:space="preserve"> cual</w:t>
      </w:r>
      <w:r w:rsidR="001A5247">
        <w:rPr>
          <w:rFonts w:ascii="Arial" w:hAnsi="Arial" w:cs="Arial"/>
          <w:sz w:val="24"/>
          <w:szCs w:val="24"/>
        </w:rPr>
        <w:t>es</w:t>
      </w:r>
      <w:r>
        <w:rPr>
          <w:rFonts w:ascii="Arial" w:hAnsi="Arial" w:cs="Arial"/>
          <w:sz w:val="24"/>
          <w:szCs w:val="24"/>
        </w:rPr>
        <w:t xml:space="preserve"> quedará</w:t>
      </w:r>
      <w:r w:rsidR="001A5247">
        <w:rPr>
          <w:rFonts w:ascii="Arial" w:hAnsi="Arial" w:cs="Arial"/>
          <w:sz w:val="24"/>
          <w:szCs w:val="24"/>
        </w:rPr>
        <w:t>n</w:t>
      </w:r>
      <w:r>
        <w:rPr>
          <w:rFonts w:ascii="Arial" w:hAnsi="Arial" w:cs="Arial"/>
          <w:sz w:val="24"/>
          <w:szCs w:val="24"/>
        </w:rPr>
        <w:t xml:space="preserve"> así: </w:t>
      </w:r>
    </w:p>
    <w:p w14:paraId="142436CE" w14:textId="77777777" w:rsidR="005B5E46" w:rsidRPr="005B5E46" w:rsidRDefault="00685478" w:rsidP="001A5247">
      <w:pPr>
        <w:jc w:val="both"/>
        <w:rPr>
          <w:rFonts w:ascii="Arial" w:hAnsi="Arial" w:cs="Arial"/>
          <w:b/>
          <w:sz w:val="24"/>
          <w:szCs w:val="24"/>
        </w:rPr>
      </w:pPr>
      <w:r>
        <w:rPr>
          <w:rFonts w:ascii="Arial" w:hAnsi="Arial" w:cs="Arial"/>
          <w:sz w:val="24"/>
          <w:szCs w:val="24"/>
        </w:rPr>
        <w:t>“</w:t>
      </w:r>
      <w:r w:rsidR="005B5E46" w:rsidRPr="005B5E46">
        <w:rPr>
          <w:rFonts w:ascii="Arial" w:hAnsi="Arial" w:cs="Arial"/>
          <w:b/>
          <w:sz w:val="24"/>
          <w:szCs w:val="24"/>
        </w:rPr>
        <w:t xml:space="preserve">Artículo </w:t>
      </w:r>
      <w:r w:rsidR="00D92035">
        <w:rPr>
          <w:rFonts w:ascii="Arial" w:hAnsi="Arial" w:cs="Arial"/>
          <w:b/>
          <w:sz w:val="24"/>
          <w:szCs w:val="24"/>
        </w:rPr>
        <w:t>269 A</w:t>
      </w:r>
      <w:r w:rsidR="005B5E46" w:rsidRPr="005B5E46">
        <w:rPr>
          <w:rFonts w:ascii="Arial" w:hAnsi="Arial" w:cs="Arial"/>
          <w:b/>
          <w:sz w:val="24"/>
          <w:szCs w:val="24"/>
        </w:rPr>
        <w:t>.</w:t>
      </w:r>
      <w:r w:rsidR="005B20CB">
        <w:rPr>
          <w:rFonts w:ascii="Arial" w:hAnsi="Arial" w:cs="Arial"/>
          <w:b/>
          <w:sz w:val="24"/>
          <w:szCs w:val="24"/>
        </w:rPr>
        <w:t xml:space="preserve"> Mecanismo puniti</w:t>
      </w:r>
      <w:r w:rsidR="00410E81">
        <w:rPr>
          <w:rFonts w:ascii="Arial" w:hAnsi="Arial" w:cs="Arial"/>
          <w:b/>
          <w:sz w:val="24"/>
          <w:szCs w:val="24"/>
        </w:rPr>
        <w:t>vo</w:t>
      </w:r>
      <w:r w:rsidR="005B20CB">
        <w:rPr>
          <w:rFonts w:ascii="Arial" w:hAnsi="Arial" w:cs="Arial"/>
          <w:b/>
          <w:sz w:val="24"/>
          <w:szCs w:val="24"/>
        </w:rPr>
        <w:t xml:space="preserve"> para el primer infractor</w:t>
      </w:r>
      <w:r w:rsidR="00410E81">
        <w:rPr>
          <w:rFonts w:ascii="Arial" w:hAnsi="Arial" w:cs="Arial"/>
          <w:b/>
          <w:sz w:val="24"/>
          <w:szCs w:val="24"/>
        </w:rPr>
        <w:t xml:space="preserve"> en delitos particulares</w:t>
      </w:r>
      <w:r w:rsidR="005B20CB">
        <w:rPr>
          <w:rFonts w:ascii="Arial" w:hAnsi="Arial" w:cs="Arial"/>
          <w:b/>
          <w:sz w:val="24"/>
          <w:szCs w:val="24"/>
        </w:rPr>
        <w:t xml:space="preserve">. </w:t>
      </w:r>
      <w:r w:rsidR="005B5E46" w:rsidRPr="00551D8F">
        <w:rPr>
          <w:rFonts w:ascii="Arial" w:hAnsi="Arial" w:cs="Arial"/>
          <w:sz w:val="24"/>
          <w:szCs w:val="24"/>
        </w:rPr>
        <w:t>En el caso de las conductas</w:t>
      </w:r>
      <w:r w:rsidR="005B5E46">
        <w:rPr>
          <w:rFonts w:ascii="Arial" w:hAnsi="Arial" w:cs="Arial"/>
          <w:sz w:val="24"/>
          <w:szCs w:val="24"/>
        </w:rPr>
        <w:t xml:space="preserve"> punibles</w:t>
      </w:r>
      <w:r w:rsidR="005B5E46" w:rsidRPr="00551D8F">
        <w:rPr>
          <w:rFonts w:ascii="Arial" w:hAnsi="Arial" w:cs="Arial"/>
          <w:sz w:val="24"/>
          <w:szCs w:val="24"/>
        </w:rPr>
        <w:t xml:space="preserve"> de</w:t>
      </w:r>
      <w:r w:rsidR="003B68E2">
        <w:rPr>
          <w:rFonts w:ascii="Arial" w:hAnsi="Arial" w:cs="Arial"/>
          <w:sz w:val="24"/>
          <w:szCs w:val="24"/>
        </w:rPr>
        <w:t xml:space="preserve"> lesiones personales dolosas que generen la perdida anatómica o funcional de un órgano o miembro (art. 116 de C.P.),</w:t>
      </w:r>
      <w:r w:rsidR="005B5E46" w:rsidRPr="00551D8F">
        <w:rPr>
          <w:rFonts w:ascii="Arial" w:hAnsi="Arial" w:cs="Arial"/>
          <w:sz w:val="24"/>
          <w:szCs w:val="24"/>
        </w:rPr>
        <w:t xml:space="preserve"> hurto calificado (art. </w:t>
      </w:r>
      <w:r w:rsidR="005B5E46">
        <w:rPr>
          <w:rFonts w:ascii="Arial" w:hAnsi="Arial" w:cs="Arial"/>
          <w:sz w:val="24"/>
          <w:szCs w:val="24"/>
        </w:rPr>
        <w:t>240</w:t>
      </w:r>
      <w:r w:rsidR="005B5E46" w:rsidRPr="00551D8F">
        <w:rPr>
          <w:rFonts w:ascii="Arial" w:hAnsi="Arial" w:cs="Arial"/>
          <w:sz w:val="24"/>
          <w:szCs w:val="24"/>
        </w:rPr>
        <w:t xml:space="preserve"> de C.P.), abigeato (art. </w:t>
      </w:r>
      <w:r w:rsidR="005B5E46">
        <w:rPr>
          <w:rFonts w:ascii="Arial" w:hAnsi="Arial" w:cs="Arial"/>
          <w:sz w:val="24"/>
          <w:szCs w:val="24"/>
        </w:rPr>
        <w:t>243</w:t>
      </w:r>
      <w:r w:rsidR="005B5E46" w:rsidRPr="00551D8F">
        <w:rPr>
          <w:rFonts w:ascii="Arial" w:hAnsi="Arial" w:cs="Arial"/>
          <w:sz w:val="24"/>
          <w:szCs w:val="24"/>
        </w:rPr>
        <w:t xml:space="preserve"> de C.P.) y abigeato agravado (art. </w:t>
      </w:r>
      <w:r w:rsidR="005B5E46">
        <w:rPr>
          <w:rFonts w:ascii="Arial" w:hAnsi="Arial" w:cs="Arial"/>
          <w:sz w:val="24"/>
          <w:szCs w:val="24"/>
        </w:rPr>
        <w:t>243 A</w:t>
      </w:r>
      <w:r w:rsidR="005B5E46" w:rsidRPr="00551D8F">
        <w:rPr>
          <w:rFonts w:ascii="Arial" w:hAnsi="Arial" w:cs="Arial"/>
          <w:sz w:val="24"/>
          <w:szCs w:val="24"/>
        </w:rPr>
        <w:t xml:space="preserve"> de C</w:t>
      </w:r>
      <w:r w:rsidR="00FE3A79">
        <w:rPr>
          <w:rFonts w:ascii="Arial" w:hAnsi="Arial" w:cs="Arial"/>
          <w:sz w:val="24"/>
          <w:szCs w:val="24"/>
        </w:rPr>
        <w:t>.</w:t>
      </w:r>
      <w:r w:rsidR="005B5E46" w:rsidRPr="00551D8F">
        <w:rPr>
          <w:rFonts w:ascii="Arial" w:hAnsi="Arial" w:cs="Arial"/>
          <w:sz w:val="24"/>
          <w:szCs w:val="24"/>
        </w:rPr>
        <w:t>P</w:t>
      </w:r>
      <w:r w:rsidR="00FE3A79">
        <w:rPr>
          <w:rFonts w:ascii="Arial" w:hAnsi="Arial" w:cs="Arial"/>
          <w:sz w:val="24"/>
          <w:szCs w:val="24"/>
        </w:rPr>
        <w:t>.</w:t>
      </w:r>
      <w:r w:rsidR="005B5E46" w:rsidRPr="00551D8F">
        <w:rPr>
          <w:rFonts w:ascii="Arial" w:hAnsi="Arial" w:cs="Arial"/>
          <w:sz w:val="24"/>
          <w:szCs w:val="24"/>
        </w:rPr>
        <w:t>), cuando la persona, en la primera oportunidad procesal que tenga, acept</w:t>
      </w:r>
      <w:r w:rsidR="005B5E46">
        <w:rPr>
          <w:rFonts w:ascii="Arial" w:hAnsi="Arial" w:cs="Arial"/>
          <w:sz w:val="24"/>
          <w:szCs w:val="24"/>
        </w:rPr>
        <w:t>e</w:t>
      </w:r>
      <w:r w:rsidR="005B5E46" w:rsidRPr="00551D8F">
        <w:rPr>
          <w:rFonts w:ascii="Arial" w:hAnsi="Arial" w:cs="Arial"/>
          <w:sz w:val="24"/>
          <w:szCs w:val="24"/>
        </w:rPr>
        <w:t xml:space="preserve"> libre, consiente y voluntariamente su responsabilidad en lo ocurrido, el juez competente impondrá una pena de </w:t>
      </w:r>
      <w:r w:rsidR="005B20CB">
        <w:rPr>
          <w:rFonts w:ascii="Arial" w:hAnsi="Arial" w:cs="Arial"/>
          <w:sz w:val="24"/>
          <w:szCs w:val="24"/>
        </w:rPr>
        <w:t>máximo</w:t>
      </w:r>
      <w:r w:rsidR="005B5E46" w:rsidRPr="00551D8F">
        <w:rPr>
          <w:rFonts w:ascii="Arial" w:hAnsi="Arial" w:cs="Arial"/>
          <w:sz w:val="24"/>
          <w:szCs w:val="24"/>
        </w:rPr>
        <w:t xml:space="preserve"> el </w:t>
      </w:r>
      <w:r>
        <w:rPr>
          <w:rFonts w:ascii="Arial" w:hAnsi="Arial" w:cs="Arial"/>
          <w:sz w:val="24"/>
          <w:szCs w:val="24"/>
        </w:rPr>
        <w:t>20</w:t>
      </w:r>
      <w:r w:rsidR="005B5E46" w:rsidRPr="00551D8F">
        <w:rPr>
          <w:rFonts w:ascii="Arial" w:hAnsi="Arial" w:cs="Arial"/>
          <w:sz w:val="24"/>
          <w:szCs w:val="24"/>
        </w:rPr>
        <w:t>% de la establecida</w:t>
      </w:r>
      <w:r w:rsidR="00F5220C">
        <w:rPr>
          <w:rFonts w:ascii="Arial" w:hAnsi="Arial" w:cs="Arial"/>
          <w:sz w:val="24"/>
          <w:szCs w:val="24"/>
        </w:rPr>
        <w:t xml:space="preserve"> y multa en los casos que esté establecida como pena principal</w:t>
      </w:r>
      <w:r w:rsidR="005B5E46" w:rsidRPr="00551D8F">
        <w:rPr>
          <w:rFonts w:ascii="Arial" w:hAnsi="Arial" w:cs="Arial"/>
          <w:sz w:val="24"/>
          <w:szCs w:val="24"/>
        </w:rPr>
        <w:t xml:space="preserve">, luego de dosificarla según las reglas vigentes en el </w:t>
      </w:r>
      <w:r w:rsidR="005B5E46">
        <w:rPr>
          <w:rFonts w:ascii="Arial" w:hAnsi="Arial" w:cs="Arial"/>
          <w:sz w:val="24"/>
          <w:szCs w:val="24"/>
        </w:rPr>
        <w:t>C</w:t>
      </w:r>
      <w:r w:rsidR="005B5E46" w:rsidRPr="00551D8F">
        <w:rPr>
          <w:rFonts w:ascii="Arial" w:hAnsi="Arial" w:cs="Arial"/>
          <w:sz w:val="24"/>
          <w:szCs w:val="24"/>
        </w:rPr>
        <w:t>ódigo</w:t>
      </w:r>
      <w:r w:rsidR="005B5E46">
        <w:rPr>
          <w:rFonts w:ascii="Arial" w:hAnsi="Arial" w:cs="Arial"/>
          <w:sz w:val="24"/>
          <w:szCs w:val="24"/>
        </w:rPr>
        <w:t xml:space="preserve"> Penal</w:t>
      </w:r>
      <w:r w:rsidR="005B5E46" w:rsidRPr="00551D8F">
        <w:rPr>
          <w:rFonts w:ascii="Arial" w:hAnsi="Arial" w:cs="Arial"/>
          <w:sz w:val="24"/>
          <w:szCs w:val="24"/>
        </w:rPr>
        <w:t>.</w:t>
      </w:r>
    </w:p>
    <w:p w14:paraId="4C574930" w14:textId="77777777" w:rsidR="001A5247" w:rsidRDefault="001A5247" w:rsidP="001A5247">
      <w:pPr>
        <w:jc w:val="both"/>
        <w:rPr>
          <w:rFonts w:ascii="Arial" w:hAnsi="Arial" w:cs="Arial"/>
          <w:sz w:val="24"/>
          <w:szCs w:val="24"/>
        </w:rPr>
      </w:pPr>
      <w:r w:rsidRPr="001A5247">
        <w:rPr>
          <w:rFonts w:ascii="Arial" w:hAnsi="Arial" w:cs="Arial"/>
          <w:b/>
          <w:sz w:val="24"/>
          <w:szCs w:val="24"/>
        </w:rPr>
        <w:t>Artículo 269 B.</w:t>
      </w:r>
      <w:r>
        <w:rPr>
          <w:rFonts w:ascii="Arial" w:hAnsi="Arial" w:cs="Arial"/>
          <w:sz w:val="24"/>
          <w:szCs w:val="24"/>
        </w:rPr>
        <w:t xml:space="preserve"> </w:t>
      </w:r>
      <w:r w:rsidR="005B5E46" w:rsidRPr="00551D8F">
        <w:rPr>
          <w:rFonts w:ascii="Arial" w:hAnsi="Arial" w:cs="Arial"/>
          <w:sz w:val="24"/>
          <w:szCs w:val="24"/>
        </w:rPr>
        <w:t>Lo previsto</w:t>
      </w:r>
      <w:r w:rsidR="00410E81">
        <w:rPr>
          <w:rFonts w:ascii="Arial" w:hAnsi="Arial" w:cs="Arial"/>
          <w:sz w:val="24"/>
          <w:szCs w:val="24"/>
        </w:rPr>
        <w:t xml:space="preserve"> en el artículo anterior</w:t>
      </w:r>
      <w:r w:rsidR="005B5E46" w:rsidRPr="00551D8F">
        <w:rPr>
          <w:rFonts w:ascii="Arial" w:hAnsi="Arial" w:cs="Arial"/>
          <w:sz w:val="24"/>
          <w:szCs w:val="24"/>
        </w:rPr>
        <w:t xml:space="preserve"> procederá </w:t>
      </w:r>
      <w:r w:rsidR="005B5E46">
        <w:rPr>
          <w:rFonts w:ascii="Arial" w:hAnsi="Arial" w:cs="Arial"/>
          <w:sz w:val="24"/>
          <w:szCs w:val="24"/>
        </w:rPr>
        <w:t>siempre y cuando</w:t>
      </w:r>
      <w:r>
        <w:rPr>
          <w:rFonts w:ascii="Arial" w:hAnsi="Arial" w:cs="Arial"/>
          <w:sz w:val="24"/>
          <w:szCs w:val="24"/>
        </w:rPr>
        <w:t>:</w:t>
      </w:r>
    </w:p>
    <w:p w14:paraId="4B9F93CC" w14:textId="77777777" w:rsidR="001A5247" w:rsidRDefault="001A5247" w:rsidP="001A5247">
      <w:pPr>
        <w:pStyle w:val="Prrafodelista"/>
        <w:numPr>
          <w:ilvl w:val="0"/>
          <w:numId w:val="4"/>
        </w:numPr>
        <w:jc w:val="both"/>
        <w:rPr>
          <w:rFonts w:ascii="Arial" w:hAnsi="Arial" w:cs="Arial"/>
          <w:sz w:val="24"/>
          <w:szCs w:val="24"/>
        </w:rPr>
      </w:pPr>
      <w:r>
        <w:rPr>
          <w:rFonts w:ascii="Arial" w:hAnsi="Arial" w:cs="Arial"/>
          <w:sz w:val="24"/>
          <w:szCs w:val="24"/>
        </w:rPr>
        <w:t>E</w:t>
      </w:r>
      <w:r w:rsidR="005B5E46" w:rsidRPr="001A5247">
        <w:rPr>
          <w:rFonts w:ascii="Arial" w:hAnsi="Arial" w:cs="Arial"/>
          <w:sz w:val="24"/>
          <w:szCs w:val="24"/>
        </w:rPr>
        <w:t>l responsable carezca de antecedentes penales y</w:t>
      </w:r>
      <w:r>
        <w:rPr>
          <w:rFonts w:ascii="Arial" w:hAnsi="Arial" w:cs="Arial"/>
          <w:sz w:val="24"/>
          <w:szCs w:val="24"/>
        </w:rPr>
        <w:t>,</w:t>
      </w:r>
    </w:p>
    <w:p w14:paraId="43F5DF63" w14:textId="77777777" w:rsidR="001A5247" w:rsidRDefault="001A5247" w:rsidP="001A5247">
      <w:pPr>
        <w:pStyle w:val="Prrafodelista"/>
        <w:numPr>
          <w:ilvl w:val="0"/>
          <w:numId w:val="4"/>
        </w:numPr>
        <w:jc w:val="both"/>
        <w:rPr>
          <w:rFonts w:ascii="Arial" w:hAnsi="Arial" w:cs="Arial"/>
          <w:sz w:val="24"/>
          <w:szCs w:val="24"/>
        </w:rPr>
      </w:pPr>
      <w:r>
        <w:rPr>
          <w:rFonts w:ascii="Arial" w:hAnsi="Arial" w:cs="Arial"/>
          <w:sz w:val="24"/>
          <w:szCs w:val="24"/>
        </w:rPr>
        <w:t>Ga</w:t>
      </w:r>
      <w:r w:rsidR="005B5E46" w:rsidRPr="001A5247">
        <w:rPr>
          <w:rFonts w:ascii="Arial" w:hAnsi="Arial" w:cs="Arial"/>
          <w:sz w:val="24"/>
          <w:szCs w:val="24"/>
        </w:rPr>
        <w:t>rantice la satisfacción de los intereses de las víctimas,</w:t>
      </w:r>
      <w:r>
        <w:rPr>
          <w:rFonts w:ascii="Arial" w:hAnsi="Arial" w:cs="Arial"/>
          <w:sz w:val="24"/>
          <w:szCs w:val="24"/>
        </w:rPr>
        <w:t xml:space="preserve"> que debe</w:t>
      </w:r>
      <w:r w:rsidR="000C7971">
        <w:rPr>
          <w:rFonts w:ascii="Arial" w:hAnsi="Arial" w:cs="Arial"/>
          <w:sz w:val="24"/>
          <w:szCs w:val="24"/>
        </w:rPr>
        <w:t>rán ser materializados en:</w:t>
      </w:r>
    </w:p>
    <w:p w14:paraId="4A87B07B" w14:textId="25CBE28E" w:rsidR="001A5247" w:rsidRDefault="00DA76D5" w:rsidP="001A5247">
      <w:pPr>
        <w:pStyle w:val="Prrafodelista"/>
        <w:numPr>
          <w:ilvl w:val="0"/>
          <w:numId w:val="5"/>
        </w:numPr>
        <w:jc w:val="both"/>
        <w:rPr>
          <w:rFonts w:ascii="Arial" w:hAnsi="Arial" w:cs="Arial"/>
          <w:sz w:val="24"/>
          <w:szCs w:val="24"/>
        </w:rPr>
      </w:pPr>
      <w:r>
        <w:rPr>
          <w:rFonts w:ascii="Arial" w:hAnsi="Arial" w:cs="Arial"/>
          <w:b/>
          <w:sz w:val="24"/>
          <w:szCs w:val="24"/>
        </w:rPr>
        <w:t>Reparació</w:t>
      </w:r>
      <w:r w:rsidR="000C7971" w:rsidRPr="007F3CE3">
        <w:rPr>
          <w:rFonts w:ascii="Arial" w:hAnsi="Arial" w:cs="Arial"/>
          <w:b/>
          <w:sz w:val="24"/>
          <w:szCs w:val="24"/>
        </w:rPr>
        <w:t>n</w:t>
      </w:r>
      <w:r w:rsidR="00D75DB2" w:rsidRPr="007F3CE3">
        <w:rPr>
          <w:rFonts w:ascii="Arial" w:hAnsi="Arial" w:cs="Arial"/>
          <w:b/>
          <w:sz w:val="24"/>
          <w:szCs w:val="24"/>
        </w:rPr>
        <w:t xml:space="preserve"> Integral.</w:t>
      </w:r>
      <w:r w:rsidR="00D75DB2">
        <w:rPr>
          <w:rFonts w:ascii="Arial" w:hAnsi="Arial" w:cs="Arial"/>
          <w:sz w:val="24"/>
          <w:szCs w:val="24"/>
        </w:rPr>
        <w:t xml:space="preserve"> Hasta 3 veces el valor del daño material</w:t>
      </w:r>
      <w:r>
        <w:rPr>
          <w:rFonts w:ascii="Arial" w:hAnsi="Arial" w:cs="Arial"/>
          <w:sz w:val="24"/>
          <w:szCs w:val="24"/>
        </w:rPr>
        <w:t xml:space="preserve"> e inmaterial</w:t>
      </w:r>
      <w:r w:rsidR="00D75DB2">
        <w:rPr>
          <w:rFonts w:ascii="Arial" w:hAnsi="Arial" w:cs="Arial"/>
          <w:sz w:val="24"/>
          <w:szCs w:val="24"/>
        </w:rPr>
        <w:t xml:space="preserve"> causado.  Que se debera entregar a la victima. </w:t>
      </w:r>
    </w:p>
    <w:p w14:paraId="528A3E84" w14:textId="5B537FB1" w:rsidR="005B5E46" w:rsidRDefault="00DA76D5" w:rsidP="001A5247">
      <w:pPr>
        <w:pStyle w:val="Prrafodelista"/>
        <w:numPr>
          <w:ilvl w:val="0"/>
          <w:numId w:val="5"/>
        </w:numPr>
        <w:jc w:val="both"/>
        <w:rPr>
          <w:rFonts w:ascii="Arial" w:hAnsi="Arial" w:cs="Arial"/>
          <w:sz w:val="24"/>
          <w:szCs w:val="24"/>
        </w:rPr>
      </w:pPr>
      <w:r w:rsidRPr="007F3CE3">
        <w:rPr>
          <w:rFonts w:ascii="Arial" w:hAnsi="Arial" w:cs="Arial"/>
          <w:b/>
          <w:sz w:val="24"/>
          <w:szCs w:val="24"/>
        </w:rPr>
        <w:t>Reparación</w:t>
      </w:r>
      <w:r w:rsidR="00D75DB2" w:rsidRPr="007F3CE3">
        <w:rPr>
          <w:rFonts w:ascii="Arial" w:hAnsi="Arial" w:cs="Arial"/>
          <w:b/>
          <w:sz w:val="24"/>
          <w:szCs w:val="24"/>
        </w:rPr>
        <w:t xml:space="preserve"> </w:t>
      </w:r>
      <w:r>
        <w:rPr>
          <w:rFonts w:ascii="Arial" w:hAnsi="Arial" w:cs="Arial"/>
          <w:b/>
          <w:sz w:val="24"/>
          <w:szCs w:val="24"/>
        </w:rPr>
        <w:t>Simbólica</w:t>
      </w:r>
      <w:r w:rsidR="00410E81" w:rsidRPr="007F3CE3">
        <w:rPr>
          <w:rFonts w:ascii="Arial" w:hAnsi="Arial" w:cs="Arial"/>
          <w:b/>
          <w:sz w:val="24"/>
          <w:szCs w:val="24"/>
        </w:rPr>
        <w:t>.</w:t>
      </w:r>
      <w:r w:rsidR="00410E81">
        <w:rPr>
          <w:rFonts w:ascii="Arial" w:hAnsi="Arial" w:cs="Arial"/>
          <w:sz w:val="24"/>
          <w:szCs w:val="24"/>
        </w:rPr>
        <w:t xml:space="preserve"> Ofreciendo disculpas personales </w:t>
      </w:r>
      <w:r w:rsidR="00D75DB2">
        <w:rPr>
          <w:rFonts w:ascii="Arial" w:hAnsi="Arial" w:cs="Arial"/>
          <w:sz w:val="24"/>
          <w:szCs w:val="24"/>
        </w:rPr>
        <w:t xml:space="preserve">a la victima </w:t>
      </w:r>
      <w:r w:rsidR="00410E81">
        <w:rPr>
          <w:rFonts w:ascii="Arial" w:hAnsi="Arial" w:cs="Arial"/>
          <w:sz w:val="24"/>
          <w:szCs w:val="24"/>
        </w:rPr>
        <w:t>y comprometiéndose</w:t>
      </w:r>
      <w:r w:rsidR="00685478">
        <w:rPr>
          <w:rFonts w:ascii="Arial" w:hAnsi="Arial" w:cs="Arial"/>
          <w:sz w:val="24"/>
          <w:szCs w:val="24"/>
        </w:rPr>
        <w:t xml:space="preserve"> por escrito</w:t>
      </w:r>
      <w:r w:rsidR="00410E81">
        <w:rPr>
          <w:rFonts w:ascii="Arial" w:hAnsi="Arial" w:cs="Arial"/>
          <w:sz w:val="24"/>
          <w:szCs w:val="24"/>
        </w:rPr>
        <w:t xml:space="preserve"> a no reincidir.</w:t>
      </w:r>
    </w:p>
    <w:p w14:paraId="1C8D3402" w14:textId="77777777" w:rsidR="00410E81" w:rsidRPr="0058369B" w:rsidRDefault="00410E81" w:rsidP="00410E81">
      <w:pPr>
        <w:jc w:val="both"/>
        <w:rPr>
          <w:rFonts w:ascii="Arial" w:hAnsi="Arial" w:cs="Arial"/>
          <w:b/>
          <w:sz w:val="24"/>
          <w:szCs w:val="24"/>
        </w:rPr>
      </w:pPr>
      <w:r>
        <w:rPr>
          <w:rFonts w:ascii="Arial" w:hAnsi="Arial" w:cs="Arial"/>
          <w:b/>
          <w:sz w:val="24"/>
          <w:szCs w:val="24"/>
        </w:rPr>
        <w:t xml:space="preserve">Artículo 269 C. Improcedencia de subrogados penales. </w:t>
      </w:r>
      <w:r w:rsidR="005B5E46">
        <w:rPr>
          <w:rFonts w:ascii="Arial" w:hAnsi="Arial" w:cs="Arial"/>
          <w:sz w:val="24"/>
          <w:szCs w:val="24"/>
        </w:rPr>
        <w:t xml:space="preserve">La reducción punitiva obtenida </w:t>
      </w:r>
      <w:r w:rsidR="005B5E46" w:rsidRPr="0078765E">
        <w:rPr>
          <w:rFonts w:ascii="Arial" w:hAnsi="Arial" w:cs="Arial"/>
          <w:sz w:val="24"/>
          <w:szCs w:val="24"/>
        </w:rPr>
        <w:t>en virtud del</w:t>
      </w:r>
      <w:r w:rsidR="00FE3A79">
        <w:rPr>
          <w:rFonts w:ascii="Arial" w:hAnsi="Arial" w:cs="Arial"/>
          <w:sz w:val="24"/>
          <w:szCs w:val="24"/>
        </w:rPr>
        <w:t xml:space="preserve"> </w:t>
      </w:r>
      <w:r w:rsidR="005B5E46" w:rsidRPr="0078765E">
        <w:rPr>
          <w:rFonts w:ascii="Arial" w:hAnsi="Arial" w:cs="Arial"/>
          <w:sz w:val="24"/>
          <w:szCs w:val="24"/>
        </w:rPr>
        <w:t xml:space="preserve">presente </w:t>
      </w:r>
      <w:r w:rsidR="00FE3A79">
        <w:rPr>
          <w:rFonts w:ascii="Arial" w:hAnsi="Arial" w:cs="Arial"/>
          <w:sz w:val="24"/>
          <w:szCs w:val="24"/>
        </w:rPr>
        <w:t xml:space="preserve">artículo </w:t>
      </w:r>
      <w:r w:rsidR="005B5E46" w:rsidRPr="0078765E">
        <w:rPr>
          <w:rFonts w:ascii="Arial" w:hAnsi="Arial" w:cs="Arial"/>
          <w:sz w:val="24"/>
          <w:szCs w:val="24"/>
        </w:rPr>
        <w:t>no es acumulable con las rebajas por aceptación de cargos, reguladas en la ley 906 de 2004.</w:t>
      </w:r>
      <w:r w:rsidR="005B5E46">
        <w:rPr>
          <w:rFonts w:ascii="Arial" w:hAnsi="Arial" w:cs="Arial"/>
          <w:sz w:val="24"/>
          <w:szCs w:val="24"/>
        </w:rPr>
        <w:t xml:space="preserve"> </w:t>
      </w:r>
      <w:r w:rsidR="005B5E46" w:rsidRPr="0078765E">
        <w:rPr>
          <w:rFonts w:ascii="Arial" w:hAnsi="Arial" w:cs="Arial"/>
          <w:sz w:val="24"/>
          <w:szCs w:val="24"/>
        </w:rPr>
        <w:t>Así mismo, en la ejecución de la sanción penal obtenida en virtud de la presente ley, no serán aplicables ni la pena sustitutiva de prisión domiciliaria, ni los mecanismos sustitutivos o subrogados penales vigentes</w:t>
      </w:r>
      <w:r>
        <w:rPr>
          <w:rFonts w:ascii="Arial" w:hAnsi="Arial" w:cs="Arial"/>
          <w:sz w:val="24"/>
          <w:szCs w:val="24"/>
        </w:rPr>
        <w:t xml:space="preserve">. </w:t>
      </w:r>
      <w:r w:rsidRPr="00DA76D5">
        <w:rPr>
          <w:rFonts w:ascii="Arial" w:hAnsi="Arial" w:cs="Arial"/>
          <w:sz w:val="24"/>
          <w:szCs w:val="24"/>
        </w:rPr>
        <w:t>En consecuencia, la pena deberá ser cumplida efectivamente en prisión sin posibilidad de excarcelación</w:t>
      </w:r>
    </w:p>
    <w:p w14:paraId="7010F356" w14:textId="77777777" w:rsidR="005B20CB" w:rsidRDefault="005B5E46" w:rsidP="00410E81">
      <w:pPr>
        <w:jc w:val="both"/>
        <w:rPr>
          <w:rFonts w:ascii="Arial" w:hAnsi="Arial" w:cs="Arial"/>
          <w:sz w:val="24"/>
          <w:szCs w:val="24"/>
        </w:rPr>
      </w:pPr>
      <w:r w:rsidRPr="0078765E">
        <w:rPr>
          <w:rFonts w:ascii="Arial" w:hAnsi="Arial" w:cs="Arial"/>
          <w:sz w:val="24"/>
          <w:szCs w:val="24"/>
        </w:rPr>
        <w:t xml:space="preserve">El juez, adicionalmente, impondrá las penas accesorias que resulten aplicables al caso, de conformidad a lo establecido en el artículo 52 del </w:t>
      </w:r>
      <w:r w:rsidR="005B20CB">
        <w:rPr>
          <w:rFonts w:ascii="Arial" w:hAnsi="Arial" w:cs="Arial"/>
          <w:sz w:val="24"/>
          <w:szCs w:val="24"/>
        </w:rPr>
        <w:t>C</w:t>
      </w:r>
      <w:r w:rsidRPr="0078765E">
        <w:rPr>
          <w:rFonts w:ascii="Arial" w:hAnsi="Arial" w:cs="Arial"/>
          <w:sz w:val="24"/>
          <w:szCs w:val="24"/>
        </w:rPr>
        <w:t xml:space="preserve">ódigo </w:t>
      </w:r>
      <w:r w:rsidR="005B20CB">
        <w:rPr>
          <w:rFonts w:ascii="Arial" w:hAnsi="Arial" w:cs="Arial"/>
          <w:sz w:val="24"/>
          <w:szCs w:val="24"/>
        </w:rPr>
        <w:t>P</w:t>
      </w:r>
      <w:r w:rsidRPr="0078765E">
        <w:rPr>
          <w:rFonts w:ascii="Arial" w:hAnsi="Arial" w:cs="Arial"/>
          <w:sz w:val="24"/>
          <w:szCs w:val="24"/>
        </w:rPr>
        <w:t>enal.</w:t>
      </w:r>
    </w:p>
    <w:p w14:paraId="55541670" w14:textId="77777777" w:rsidR="00F5220C" w:rsidRDefault="005B20CB" w:rsidP="00410E81">
      <w:pPr>
        <w:jc w:val="both"/>
        <w:rPr>
          <w:rFonts w:ascii="Arial" w:hAnsi="Arial" w:cs="Arial"/>
          <w:sz w:val="24"/>
          <w:szCs w:val="24"/>
        </w:rPr>
      </w:pPr>
      <w:r w:rsidRPr="005B20CB">
        <w:rPr>
          <w:rFonts w:ascii="Arial" w:hAnsi="Arial" w:cs="Arial"/>
          <w:b/>
          <w:sz w:val="24"/>
          <w:szCs w:val="24"/>
        </w:rPr>
        <w:lastRenderedPageBreak/>
        <w:t>Parágrafo</w:t>
      </w:r>
      <w:r>
        <w:rPr>
          <w:rFonts w:ascii="Arial" w:hAnsi="Arial" w:cs="Arial"/>
          <w:sz w:val="24"/>
          <w:szCs w:val="24"/>
        </w:rPr>
        <w:t>. En los casos en que la víctima no haya comparecido, el juez procurará su ubicación para hacer efectiva la indemnización por los daños.</w:t>
      </w:r>
      <w:r w:rsidR="00685478">
        <w:rPr>
          <w:rFonts w:ascii="Arial" w:hAnsi="Arial" w:cs="Arial"/>
          <w:sz w:val="24"/>
          <w:szCs w:val="24"/>
        </w:rPr>
        <w:t xml:space="preserve"> De no querer negociar con el indiciado, el mecanismo punitivo para el primer infracto será improcedente y se llevará bajo el proceso ordinario.</w:t>
      </w:r>
    </w:p>
    <w:p w14:paraId="19BF3AD4" w14:textId="6CD6348D" w:rsidR="00DA76D5" w:rsidRPr="00DA76D5" w:rsidRDefault="00DA76D5" w:rsidP="00410E81">
      <w:pPr>
        <w:jc w:val="both"/>
        <w:rPr>
          <w:rFonts w:ascii="Arial" w:hAnsi="Arial" w:cs="Arial"/>
          <w:b/>
          <w:sz w:val="24"/>
          <w:szCs w:val="24"/>
        </w:rPr>
      </w:pPr>
      <w:r>
        <w:rPr>
          <w:rFonts w:ascii="Arial" w:hAnsi="Arial" w:cs="Arial"/>
          <w:b/>
          <w:sz w:val="24"/>
          <w:szCs w:val="24"/>
        </w:rPr>
        <w:t xml:space="preserve">Artículo 269 D. De la reincidencia. </w:t>
      </w:r>
      <w:r>
        <w:rPr>
          <w:rFonts w:ascii="Arial" w:hAnsi="Arial" w:cs="Arial"/>
          <w:sz w:val="24"/>
          <w:szCs w:val="24"/>
        </w:rPr>
        <w:t xml:space="preserve">En los casos en los que se reincida en cualquiera de los tipos mencionados en el artículo 269A, el infractor tendrá una pena que oscilará entre el 20% y el 25% de la establecida y multa en los casos que esté establecida como pena principal, luego de dosificarla según las reglas vigentes en el código penal. </w:t>
      </w:r>
      <w:r>
        <w:rPr>
          <w:rFonts w:ascii="Arial" w:hAnsi="Arial" w:cs="Arial"/>
          <w:b/>
          <w:sz w:val="24"/>
          <w:szCs w:val="24"/>
        </w:rPr>
        <w:t xml:space="preserve"> </w:t>
      </w:r>
    </w:p>
    <w:p w14:paraId="15EDAB9E" w14:textId="6C4C74B9" w:rsidR="00E828C4" w:rsidRDefault="00DA76D5" w:rsidP="00410E81">
      <w:pPr>
        <w:jc w:val="both"/>
        <w:rPr>
          <w:rFonts w:ascii="Arial" w:hAnsi="Arial" w:cs="Arial"/>
          <w:sz w:val="24"/>
          <w:szCs w:val="24"/>
        </w:rPr>
      </w:pPr>
      <w:r>
        <w:rPr>
          <w:rFonts w:ascii="Arial" w:hAnsi="Arial" w:cs="Arial"/>
          <w:b/>
          <w:sz w:val="24"/>
          <w:szCs w:val="24"/>
        </w:rPr>
        <w:t>Artículo 269 E</w:t>
      </w:r>
      <w:bookmarkStart w:id="0" w:name="_GoBack"/>
      <w:bookmarkEnd w:id="0"/>
      <w:r w:rsidR="00F5220C">
        <w:rPr>
          <w:rFonts w:ascii="Arial" w:hAnsi="Arial" w:cs="Arial"/>
          <w:b/>
          <w:sz w:val="24"/>
          <w:szCs w:val="24"/>
        </w:rPr>
        <w:t xml:space="preserve">. Oportunidad para acogerse al mecanismo de negociación. </w:t>
      </w:r>
      <w:r w:rsidR="00F5220C">
        <w:rPr>
          <w:rFonts w:ascii="Arial" w:hAnsi="Arial" w:cs="Arial"/>
          <w:sz w:val="24"/>
          <w:szCs w:val="24"/>
        </w:rPr>
        <w:t>Al primer contacto con el fiscal de la causa, el indiciado junto con su abogado, deberá manifestar la intención de negociar con la vícti</w:t>
      </w:r>
      <w:r w:rsidR="00C47C4E">
        <w:rPr>
          <w:rFonts w:ascii="Arial" w:hAnsi="Arial" w:cs="Arial"/>
          <w:sz w:val="24"/>
          <w:szCs w:val="24"/>
        </w:rPr>
        <w:t>ma. Diligencia que será dirigida</w:t>
      </w:r>
      <w:r w:rsidR="00E828C4">
        <w:rPr>
          <w:rFonts w:ascii="Arial" w:hAnsi="Arial" w:cs="Arial"/>
          <w:sz w:val="24"/>
          <w:szCs w:val="24"/>
        </w:rPr>
        <w:t xml:space="preserve"> y concretada</w:t>
      </w:r>
      <w:r w:rsidR="00F5220C">
        <w:rPr>
          <w:rFonts w:ascii="Arial" w:hAnsi="Arial" w:cs="Arial"/>
          <w:sz w:val="24"/>
          <w:szCs w:val="24"/>
        </w:rPr>
        <w:t xml:space="preserve"> por el fiscal</w:t>
      </w:r>
      <w:r w:rsidR="00E828C4">
        <w:rPr>
          <w:rFonts w:ascii="Arial" w:hAnsi="Arial" w:cs="Arial"/>
          <w:sz w:val="24"/>
          <w:szCs w:val="24"/>
        </w:rPr>
        <w:t xml:space="preserve"> en la que se negociaran las condiciones de la reparación a la víctima.</w:t>
      </w:r>
    </w:p>
    <w:p w14:paraId="59DD9993" w14:textId="77777777" w:rsidR="00410E81" w:rsidRPr="00685478" w:rsidRDefault="00E828C4" w:rsidP="005B5E46">
      <w:pPr>
        <w:jc w:val="both"/>
        <w:rPr>
          <w:rFonts w:ascii="Arial" w:hAnsi="Arial" w:cs="Arial"/>
          <w:sz w:val="24"/>
          <w:szCs w:val="24"/>
        </w:rPr>
      </w:pPr>
      <w:r>
        <w:rPr>
          <w:rFonts w:ascii="Arial" w:hAnsi="Arial" w:cs="Arial"/>
          <w:sz w:val="24"/>
          <w:szCs w:val="24"/>
        </w:rPr>
        <w:t xml:space="preserve">En la audiencia de imputación, las partes pondrán de presente que existe negociación concluida, y finalizadas las audiencias </w:t>
      </w:r>
      <w:r w:rsidR="00C47C4E">
        <w:rPr>
          <w:rFonts w:ascii="Arial" w:hAnsi="Arial" w:cs="Arial"/>
          <w:sz w:val="24"/>
          <w:szCs w:val="24"/>
        </w:rPr>
        <w:t>ante el</w:t>
      </w:r>
      <w:r>
        <w:rPr>
          <w:rFonts w:ascii="Arial" w:hAnsi="Arial" w:cs="Arial"/>
          <w:sz w:val="24"/>
          <w:szCs w:val="24"/>
        </w:rPr>
        <w:t xml:space="preserve"> juez de control de garantías</w:t>
      </w:r>
      <w:r w:rsidR="00C47C4E">
        <w:rPr>
          <w:rFonts w:ascii="Arial" w:hAnsi="Arial" w:cs="Arial"/>
          <w:sz w:val="24"/>
          <w:szCs w:val="24"/>
        </w:rPr>
        <w:t>, este</w:t>
      </w:r>
      <w:r>
        <w:rPr>
          <w:rFonts w:ascii="Arial" w:hAnsi="Arial" w:cs="Arial"/>
          <w:sz w:val="24"/>
          <w:szCs w:val="24"/>
        </w:rPr>
        <w:t xml:space="preserve"> remitirá inmediatamente el proceso al </w:t>
      </w:r>
      <w:r w:rsidR="00685478">
        <w:rPr>
          <w:rFonts w:ascii="Arial" w:hAnsi="Arial" w:cs="Arial"/>
          <w:sz w:val="24"/>
          <w:szCs w:val="24"/>
        </w:rPr>
        <w:t>juez de conocimiento quien legalizará</w:t>
      </w:r>
      <w:r>
        <w:rPr>
          <w:rFonts w:ascii="Arial" w:hAnsi="Arial" w:cs="Arial"/>
          <w:sz w:val="24"/>
          <w:szCs w:val="24"/>
        </w:rPr>
        <w:t xml:space="preserve"> la negociación y proferirá la sentencia a la mayor brevedad</w:t>
      </w:r>
      <w:r w:rsidR="005B5E46">
        <w:rPr>
          <w:rFonts w:ascii="Arial" w:hAnsi="Arial" w:cs="Arial"/>
          <w:sz w:val="24"/>
          <w:szCs w:val="24"/>
        </w:rPr>
        <w:t>”</w:t>
      </w:r>
    </w:p>
    <w:p w14:paraId="255979B1" w14:textId="77777777" w:rsidR="005B5E46" w:rsidRPr="005B5E46" w:rsidRDefault="005B5E46" w:rsidP="005B5E46">
      <w:pPr>
        <w:jc w:val="both"/>
        <w:rPr>
          <w:rFonts w:ascii="Arial" w:hAnsi="Arial" w:cs="Arial"/>
          <w:sz w:val="24"/>
          <w:szCs w:val="24"/>
        </w:rPr>
      </w:pPr>
      <w:r w:rsidRPr="005B5E46">
        <w:rPr>
          <w:rFonts w:ascii="Arial" w:hAnsi="Arial" w:cs="Arial"/>
          <w:b/>
          <w:sz w:val="24"/>
          <w:szCs w:val="24"/>
        </w:rPr>
        <w:t xml:space="preserve">Artículo </w:t>
      </w:r>
      <w:r>
        <w:rPr>
          <w:rFonts w:ascii="Arial" w:hAnsi="Arial" w:cs="Arial"/>
          <w:b/>
          <w:sz w:val="24"/>
          <w:szCs w:val="24"/>
        </w:rPr>
        <w:t>2</w:t>
      </w:r>
      <w:r w:rsidRPr="005B5E46">
        <w:rPr>
          <w:rFonts w:ascii="Arial" w:hAnsi="Arial" w:cs="Arial"/>
          <w:b/>
          <w:sz w:val="24"/>
          <w:szCs w:val="24"/>
        </w:rPr>
        <w:t>.</w:t>
      </w:r>
      <w:r>
        <w:rPr>
          <w:rFonts w:ascii="Arial" w:hAnsi="Arial" w:cs="Arial"/>
          <w:sz w:val="24"/>
          <w:szCs w:val="24"/>
        </w:rPr>
        <w:t xml:space="preserve"> La presente ley entra en vigencia a partir de su promulgación. </w:t>
      </w:r>
    </w:p>
    <w:p w14:paraId="749E343E" w14:textId="77777777" w:rsidR="005B5E46" w:rsidRDefault="005B5E46" w:rsidP="00E148A3">
      <w:pPr>
        <w:jc w:val="both"/>
        <w:rPr>
          <w:rFonts w:ascii="Arial" w:hAnsi="Arial" w:cs="Arial"/>
          <w:sz w:val="24"/>
          <w:szCs w:val="24"/>
        </w:rPr>
      </w:pPr>
    </w:p>
    <w:p w14:paraId="74473085" w14:textId="77777777" w:rsidR="00685478" w:rsidRDefault="00685478" w:rsidP="00E148A3">
      <w:pPr>
        <w:jc w:val="both"/>
        <w:rPr>
          <w:rFonts w:ascii="Arial" w:hAnsi="Arial" w:cs="Arial"/>
          <w:sz w:val="24"/>
          <w:szCs w:val="24"/>
        </w:rPr>
      </w:pPr>
      <w:r>
        <w:rPr>
          <w:rFonts w:ascii="Arial" w:hAnsi="Arial" w:cs="Arial"/>
          <w:sz w:val="24"/>
          <w:szCs w:val="24"/>
        </w:rPr>
        <w:t>De los honorables congresistas,</w:t>
      </w:r>
    </w:p>
    <w:p w14:paraId="6A1D6436" w14:textId="77777777" w:rsidR="00685478" w:rsidRDefault="00685478" w:rsidP="00E148A3">
      <w:pPr>
        <w:jc w:val="both"/>
        <w:rPr>
          <w:rFonts w:ascii="Arial" w:hAnsi="Arial" w:cs="Arial"/>
          <w:sz w:val="24"/>
          <w:szCs w:val="24"/>
        </w:rPr>
      </w:pPr>
    </w:p>
    <w:p w14:paraId="049A5C3D" w14:textId="77777777" w:rsidR="00685478" w:rsidRDefault="00685478" w:rsidP="00E148A3">
      <w:pPr>
        <w:jc w:val="both"/>
        <w:rPr>
          <w:rFonts w:ascii="Arial" w:hAnsi="Arial" w:cs="Arial"/>
          <w:sz w:val="24"/>
          <w:szCs w:val="24"/>
        </w:rPr>
      </w:pPr>
    </w:p>
    <w:p w14:paraId="30D143DD" w14:textId="77777777" w:rsidR="00685478" w:rsidRDefault="00685478" w:rsidP="00E148A3">
      <w:pPr>
        <w:jc w:val="both"/>
        <w:rPr>
          <w:rFonts w:ascii="Arial" w:hAnsi="Arial" w:cs="Arial"/>
          <w:sz w:val="24"/>
          <w:szCs w:val="24"/>
        </w:rPr>
      </w:pPr>
    </w:p>
    <w:p w14:paraId="6725357F" w14:textId="77777777" w:rsidR="00685478" w:rsidRDefault="00685478" w:rsidP="00E148A3">
      <w:pPr>
        <w:jc w:val="both"/>
        <w:rPr>
          <w:rFonts w:ascii="Arial" w:hAnsi="Arial" w:cs="Arial"/>
          <w:sz w:val="24"/>
          <w:szCs w:val="24"/>
        </w:rPr>
      </w:pPr>
    </w:p>
    <w:p w14:paraId="19823C87" w14:textId="77777777" w:rsidR="00685478" w:rsidRDefault="00685478" w:rsidP="00E148A3">
      <w:pPr>
        <w:jc w:val="both"/>
        <w:rPr>
          <w:rFonts w:ascii="Arial" w:hAnsi="Arial" w:cs="Arial"/>
          <w:sz w:val="24"/>
          <w:szCs w:val="24"/>
        </w:rPr>
      </w:pPr>
    </w:p>
    <w:p w14:paraId="3458D665" w14:textId="77777777" w:rsidR="00685478" w:rsidRDefault="00685478" w:rsidP="00E148A3">
      <w:pPr>
        <w:jc w:val="both"/>
        <w:rPr>
          <w:rFonts w:ascii="Arial" w:hAnsi="Arial" w:cs="Arial"/>
          <w:sz w:val="24"/>
          <w:szCs w:val="24"/>
        </w:rPr>
      </w:pPr>
    </w:p>
    <w:p w14:paraId="4F25A1E1" w14:textId="77777777" w:rsidR="00685478" w:rsidRDefault="00685478" w:rsidP="00E148A3">
      <w:pPr>
        <w:jc w:val="both"/>
        <w:rPr>
          <w:rFonts w:ascii="Arial" w:hAnsi="Arial" w:cs="Arial"/>
          <w:sz w:val="24"/>
          <w:szCs w:val="24"/>
        </w:rPr>
      </w:pPr>
    </w:p>
    <w:p w14:paraId="71C00FA0" w14:textId="77777777" w:rsidR="00685478" w:rsidRDefault="00685478" w:rsidP="00685478">
      <w:pPr>
        <w:spacing w:after="0"/>
        <w:jc w:val="center"/>
        <w:rPr>
          <w:rFonts w:ascii="Arial" w:hAnsi="Arial" w:cs="Arial"/>
          <w:b/>
          <w:sz w:val="24"/>
          <w:szCs w:val="24"/>
        </w:rPr>
      </w:pPr>
      <w:r>
        <w:rPr>
          <w:rFonts w:ascii="Arial" w:hAnsi="Arial" w:cs="Arial"/>
          <w:b/>
          <w:sz w:val="24"/>
          <w:szCs w:val="24"/>
        </w:rPr>
        <w:t>EDWARD DAVID RODRÍGUEZ RODRÍGUEZ</w:t>
      </w:r>
    </w:p>
    <w:p w14:paraId="702453A0" w14:textId="77777777" w:rsidR="00685478" w:rsidRDefault="00685478" w:rsidP="00685478">
      <w:pPr>
        <w:spacing w:after="0"/>
        <w:jc w:val="center"/>
        <w:rPr>
          <w:rFonts w:ascii="Arial" w:hAnsi="Arial" w:cs="Arial"/>
          <w:b/>
          <w:sz w:val="24"/>
          <w:szCs w:val="24"/>
        </w:rPr>
      </w:pPr>
      <w:r>
        <w:rPr>
          <w:rFonts w:ascii="Arial" w:hAnsi="Arial" w:cs="Arial"/>
          <w:b/>
          <w:sz w:val="24"/>
          <w:szCs w:val="24"/>
        </w:rPr>
        <w:t>REPRESENTANTE A LA CÁMARA POR BOGOTÁ D.C.</w:t>
      </w:r>
    </w:p>
    <w:p w14:paraId="3CA90D8C" w14:textId="77777777" w:rsidR="00685478" w:rsidRDefault="00685478" w:rsidP="00685478">
      <w:pPr>
        <w:spacing w:after="0"/>
        <w:jc w:val="center"/>
        <w:rPr>
          <w:rFonts w:ascii="Arial" w:hAnsi="Arial" w:cs="Arial"/>
          <w:b/>
          <w:sz w:val="24"/>
          <w:szCs w:val="24"/>
        </w:rPr>
      </w:pPr>
    </w:p>
    <w:p w14:paraId="3C798768" w14:textId="77777777" w:rsidR="00685478" w:rsidRDefault="00685478" w:rsidP="00685478">
      <w:pPr>
        <w:spacing w:after="0"/>
        <w:jc w:val="center"/>
        <w:rPr>
          <w:rFonts w:ascii="Arial" w:hAnsi="Arial" w:cs="Arial"/>
          <w:b/>
          <w:sz w:val="24"/>
          <w:szCs w:val="24"/>
        </w:rPr>
      </w:pPr>
    </w:p>
    <w:p w14:paraId="556CB525" w14:textId="77777777" w:rsidR="00685478" w:rsidRDefault="00685478" w:rsidP="001C3E7B">
      <w:pPr>
        <w:spacing w:after="0"/>
        <w:rPr>
          <w:rFonts w:ascii="Arial" w:hAnsi="Arial" w:cs="Arial"/>
          <w:b/>
          <w:sz w:val="24"/>
          <w:szCs w:val="24"/>
        </w:rPr>
      </w:pPr>
    </w:p>
    <w:p w14:paraId="466E1DE3" w14:textId="77777777" w:rsidR="00685478" w:rsidRDefault="00685478" w:rsidP="00685478">
      <w:pPr>
        <w:spacing w:after="0"/>
        <w:jc w:val="center"/>
        <w:rPr>
          <w:rFonts w:ascii="Arial" w:hAnsi="Arial" w:cs="Arial"/>
          <w:b/>
          <w:sz w:val="24"/>
          <w:szCs w:val="24"/>
        </w:rPr>
      </w:pPr>
      <w:r w:rsidRPr="00685478">
        <w:rPr>
          <w:rFonts w:ascii="Arial" w:hAnsi="Arial" w:cs="Arial"/>
          <w:b/>
          <w:sz w:val="24"/>
          <w:szCs w:val="24"/>
        </w:rPr>
        <w:t>PROYECTO DE LEY No.         DE 2019 “MEDIANTE EL CUAL SE MODIFICA EL TRATAMIENTO PENAL DE LOS DELITOS QUE ATENTAN CONTRA EL PATRIMONIO ECONÓMICO, SE PRIORIZA A LA VÍCTIMA DE CONDUCTAS DELICTIVAS, Y SE ESTABLECEN MEDIDAS PARA LA DISUASIÓN A LA REINCIDENCIA CRIMINAL Y SU RÁPIDA CONSTITUCIÓN”</w:t>
      </w:r>
    </w:p>
    <w:p w14:paraId="097D7851" w14:textId="77777777" w:rsidR="00685478" w:rsidRDefault="00685478" w:rsidP="00685478">
      <w:pPr>
        <w:spacing w:after="0"/>
        <w:jc w:val="center"/>
        <w:rPr>
          <w:rFonts w:ascii="Arial" w:hAnsi="Arial" w:cs="Arial"/>
          <w:b/>
          <w:sz w:val="24"/>
          <w:szCs w:val="24"/>
        </w:rPr>
      </w:pPr>
    </w:p>
    <w:p w14:paraId="2D7D6FA7" w14:textId="77777777" w:rsidR="00685478" w:rsidRDefault="00685478" w:rsidP="00685478">
      <w:pPr>
        <w:spacing w:after="0"/>
        <w:rPr>
          <w:rFonts w:ascii="Arial" w:hAnsi="Arial" w:cs="Arial"/>
          <w:b/>
          <w:sz w:val="24"/>
          <w:szCs w:val="24"/>
        </w:rPr>
      </w:pPr>
    </w:p>
    <w:p w14:paraId="4031244C" w14:textId="77777777" w:rsidR="00685478" w:rsidRDefault="00685478" w:rsidP="00685478">
      <w:pPr>
        <w:spacing w:after="0"/>
        <w:jc w:val="center"/>
        <w:rPr>
          <w:rFonts w:ascii="Arial" w:hAnsi="Arial" w:cs="Arial"/>
          <w:b/>
          <w:sz w:val="24"/>
          <w:szCs w:val="24"/>
        </w:rPr>
      </w:pPr>
    </w:p>
    <w:p w14:paraId="384A4E27" w14:textId="77777777" w:rsidR="00685478" w:rsidRDefault="00685478" w:rsidP="00685478">
      <w:pPr>
        <w:spacing w:after="0"/>
        <w:jc w:val="center"/>
        <w:rPr>
          <w:rFonts w:ascii="Arial" w:hAnsi="Arial" w:cs="Arial"/>
          <w:b/>
          <w:sz w:val="24"/>
          <w:szCs w:val="24"/>
        </w:rPr>
      </w:pPr>
    </w:p>
    <w:p w14:paraId="15A50024" w14:textId="77777777" w:rsidR="00685478" w:rsidRDefault="00685478" w:rsidP="00685478">
      <w:pPr>
        <w:spacing w:after="0"/>
        <w:jc w:val="center"/>
        <w:rPr>
          <w:rFonts w:ascii="Arial" w:hAnsi="Arial" w:cs="Arial"/>
          <w:b/>
          <w:sz w:val="24"/>
          <w:szCs w:val="24"/>
        </w:rPr>
      </w:pPr>
      <w:r>
        <w:rPr>
          <w:rFonts w:ascii="Arial" w:hAnsi="Arial" w:cs="Arial"/>
          <w:b/>
          <w:sz w:val="24"/>
          <w:szCs w:val="24"/>
        </w:rPr>
        <w:t>EXPOSICIÓN DE MOTIVOS</w:t>
      </w:r>
    </w:p>
    <w:p w14:paraId="760333FA" w14:textId="77777777" w:rsidR="00685478" w:rsidRDefault="00685478" w:rsidP="00685478">
      <w:pPr>
        <w:spacing w:after="0"/>
        <w:jc w:val="center"/>
        <w:rPr>
          <w:rFonts w:ascii="Arial" w:hAnsi="Arial" w:cs="Arial"/>
          <w:sz w:val="24"/>
          <w:szCs w:val="24"/>
        </w:rPr>
      </w:pPr>
    </w:p>
    <w:p w14:paraId="73EDE1EC"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El presente proyecto de Ley, tiene como objeto establecer sanciones efectivas para algunas conductas punibles y su reincidencia y de esta manera hacerle frente a la proliferación de algunas conductas que por sus circunstancias y lesividad ante el actual sistema penal, no generan prevención, corrección y pedagogía en los individuos. Se requiere así, herramientas que permitan resarcir a la víctima en el daño causado, en el menor tiempo y mediante un procedimiento expedito, así mismo  los organismos de investigación y juzgamiento requieren la implementación de un sistema diligente que otorgue pronta respuesta y que permita desde la justicia actuar en derecho y encausar a los delincuentes con medidas ciertas y efectivas.</w:t>
      </w:r>
    </w:p>
    <w:p w14:paraId="08010E5A" w14:textId="77777777" w:rsidR="00685478" w:rsidRPr="00847546" w:rsidRDefault="00685478" w:rsidP="00685478">
      <w:pPr>
        <w:spacing w:after="0"/>
        <w:jc w:val="both"/>
        <w:rPr>
          <w:rFonts w:ascii="Arial" w:hAnsi="Arial" w:cs="Arial"/>
          <w:sz w:val="24"/>
          <w:szCs w:val="24"/>
        </w:rPr>
      </w:pPr>
    </w:p>
    <w:p w14:paraId="2B9050AA"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 xml:space="preserve">Cifras registradas por el Ministerio de Defensa Nacional, señalan que entre el mes de enero a agosto de 2018, se registraron 88.359 denuncias por delitos de hurto a personas, residencias, establecimientos de comercio, automotores, motocicletas y bancos. </w:t>
      </w:r>
    </w:p>
    <w:p w14:paraId="5A73458D" w14:textId="77777777" w:rsidR="00685478" w:rsidRPr="00847546" w:rsidRDefault="00685478" w:rsidP="00685478">
      <w:pPr>
        <w:spacing w:after="0"/>
        <w:jc w:val="both"/>
        <w:rPr>
          <w:rFonts w:ascii="Arial" w:hAnsi="Arial" w:cs="Arial"/>
          <w:sz w:val="24"/>
          <w:szCs w:val="24"/>
        </w:rPr>
      </w:pPr>
    </w:p>
    <w:p w14:paraId="13400A1E"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 xml:space="preserve">De otra parte, gracias a los resultados contundentes de la Policía Nacional se lograron entre enero y septiembre del año anterior, al interior del sistema de transporte masivo en Bogotá un total de 1338 capturas en flagrancia, 24 capturas por orden judicial, 554 casos de mercancía recuperada, igualmente se han impuesto 24.017 órdenes de comparendo por diferentes comportamientos contrarios a la convivencia al interior del sistema y se han incautado 11.845 armas corto punzantes a ciudadanos que se movilizan en el sistema.   </w:t>
      </w:r>
    </w:p>
    <w:p w14:paraId="1AD0D6D9" w14:textId="77777777" w:rsidR="00685478" w:rsidRPr="00847546" w:rsidRDefault="00685478" w:rsidP="00685478">
      <w:pPr>
        <w:spacing w:after="0"/>
        <w:jc w:val="both"/>
        <w:rPr>
          <w:rFonts w:ascii="Arial" w:hAnsi="Arial" w:cs="Arial"/>
          <w:sz w:val="24"/>
          <w:szCs w:val="24"/>
        </w:rPr>
      </w:pPr>
    </w:p>
    <w:p w14:paraId="58CF1447"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 xml:space="preserve">Pese a los esfuerzos establecidos por la Policía Nacional, la Fiscalía General de la Nación y la Ciudadanía, estas cifras no logran coherencia con las condenas efectivas impuestas para estos delitos, pues muchos de ellos al ser excarcelables, continúan siendo parte del actuar delictivo, sin ninguna posibilidad de generar una prevención general  o un castigo que impacte al delincuente. </w:t>
      </w:r>
    </w:p>
    <w:p w14:paraId="1B49D2A5" w14:textId="77777777" w:rsidR="00685478" w:rsidRPr="00847546" w:rsidRDefault="00685478" w:rsidP="00685478">
      <w:pPr>
        <w:spacing w:after="0"/>
        <w:jc w:val="both"/>
        <w:rPr>
          <w:rFonts w:ascii="Arial" w:hAnsi="Arial" w:cs="Arial"/>
          <w:sz w:val="24"/>
          <w:szCs w:val="24"/>
        </w:rPr>
      </w:pPr>
    </w:p>
    <w:p w14:paraId="7A22B82A"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Aunado a lo anterior, el fenómeno de la reincidencia de acuerdo con datos entregados por el INPEC a corte de 2017, denota una necesaria revisión de la política criminal en la materia, pues a pesar de la implementación de mecanismos procesales y cambios en las sanciones, entendidos como el aumento sistemático y el trato menos flexible de manera sostenida en el tiempo, no ha logrado funcionar como un efectivo medio de prevención general, para la disuasión de la comisión de los delitos.</w:t>
      </w:r>
    </w:p>
    <w:p w14:paraId="21001440"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Se procede a mostrar de forma comparativa los datos entregados por el INPEC:</w:t>
      </w:r>
    </w:p>
    <w:p w14:paraId="1B15B1CB" w14:textId="77777777" w:rsidR="00685478" w:rsidRPr="00847546" w:rsidRDefault="00685478" w:rsidP="00685478">
      <w:pPr>
        <w:spacing w:after="0"/>
        <w:jc w:val="both"/>
        <w:rPr>
          <w:rFonts w:ascii="Arial" w:hAnsi="Arial" w:cs="Arial"/>
          <w:sz w:val="24"/>
          <w:szCs w:val="24"/>
        </w:rPr>
      </w:pPr>
    </w:p>
    <w:p w14:paraId="2A528AB8" w14:textId="77777777" w:rsidR="00685478" w:rsidRPr="00847546" w:rsidRDefault="00685478" w:rsidP="00685478">
      <w:pPr>
        <w:spacing w:after="0"/>
        <w:jc w:val="both"/>
        <w:rPr>
          <w:rFonts w:ascii="Arial" w:hAnsi="Arial" w:cs="Arial"/>
          <w:sz w:val="24"/>
          <w:szCs w:val="24"/>
        </w:rPr>
      </w:pPr>
    </w:p>
    <w:p w14:paraId="3BA083BE" w14:textId="77777777" w:rsidR="00685478" w:rsidRPr="00847546" w:rsidRDefault="00685478" w:rsidP="00685478">
      <w:pPr>
        <w:spacing w:after="0"/>
        <w:jc w:val="both"/>
        <w:rPr>
          <w:rFonts w:ascii="Arial" w:hAnsi="Arial" w:cs="Arial"/>
          <w:sz w:val="24"/>
          <w:szCs w:val="24"/>
        </w:rPr>
      </w:pPr>
    </w:p>
    <w:p w14:paraId="17EAF421"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AÑO</w:t>
      </w:r>
      <w:r w:rsidRPr="00847546">
        <w:rPr>
          <w:rFonts w:ascii="Arial" w:hAnsi="Arial" w:cs="Arial"/>
          <w:sz w:val="24"/>
          <w:szCs w:val="24"/>
        </w:rPr>
        <w:tab/>
        <w:t>NÚMERO DE INTERNOS</w:t>
      </w:r>
      <w:r w:rsidRPr="00847546">
        <w:rPr>
          <w:rFonts w:ascii="Arial" w:hAnsi="Arial" w:cs="Arial"/>
          <w:sz w:val="24"/>
          <w:szCs w:val="24"/>
        </w:rPr>
        <w:tab/>
        <w:t>NÚMERO DE REINCIDENTES</w:t>
      </w:r>
      <w:r w:rsidRPr="00847546">
        <w:rPr>
          <w:rFonts w:ascii="Arial" w:hAnsi="Arial" w:cs="Arial"/>
          <w:sz w:val="24"/>
          <w:szCs w:val="24"/>
        </w:rPr>
        <w:tab/>
        <w:t>PORCENTUAL DE REINCIDENTES</w:t>
      </w:r>
    </w:p>
    <w:tbl>
      <w:tblPr>
        <w:tblStyle w:val="Tablaconcuadrcula"/>
        <w:tblW w:w="0" w:type="auto"/>
        <w:tblInd w:w="720" w:type="dxa"/>
        <w:tblLook w:val="04A0" w:firstRow="1" w:lastRow="0" w:firstColumn="1" w:lastColumn="0" w:noHBand="0" w:noVBand="1"/>
      </w:tblPr>
      <w:tblGrid>
        <w:gridCol w:w="976"/>
        <w:gridCol w:w="1843"/>
        <w:gridCol w:w="2126"/>
        <w:gridCol w:w="3163"/>
      </w:tblGrid>
      <w:tr w:rsidR="00685478" w:rsidRPr="00FE5669" w14:paraId="558490C9" w14:textId="77777777" w:rsidTr="00470234">
        <w:tc>
          <w:tcPr>
            <w:tcW w:w="976" w:type="dxa"/>
          </w:tcPr>
          <w:p w14:paraId="2BA4633E"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AÑO</w:t>
            </w:r>
          </w:p>
        </w:tc>
        <w:tc>
          <w:tcPr>
            <w:tcW w:w="1843" w:type="dxa"/>
          </w:tcPr>
          <w:p w14:paraId="5C7FFF6A"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NÚMERO DE INTERNOS</w:t>
            </w:r>
          </w:p>
        </w:tc>
        <w:tc>
          <w:tcPr>
            <w:tcW w:w="2126" w:type="dxa"/>
          </w:tcPr>
          <w:p w14:paraId="357660B2"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NÚMERO DE REINCIDENTES</w:t>
            </w:r>
          </w:p>
        </w:tc>
        <w:tc>
          <w:tcPr>
            <w:tcW w:w="3163" w:type="dxa"/>
          </w:tcPr>
          <w:p w14:paraId="196868AE"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PORCENTUAL DE REINCIDENTES</w:t>
            </w:r>
          </w:p>
        </w:tc>
      </w:tr>
      <w:tr w:rsidR="00685478" w:rsidRPr="00FE5669" w14:paraId="78AC9F52" w14:textId="77777777" w:rsidTr="00470234">
        <w:tc>
          <w:tcPr>
            <w:tcW w:w="976" w:type="dxa"/>
          </w:tcPr>
          <w:p w14:paraId="59B343FD"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2012</w:t>
            </w:r>
          </w:p>
        </w:tc>
        <w:tc>
          <w:tcPr>
            <w:tcW w:w="1843" w:type="dxa"/>
          </w:tcPr>
          <w:p w14:paraId="4D441A00"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140.729</w:t>
            </w:r>
          </w:p>
        </w:tc>
        <w:tc>
          <w:tcPr>
            <w:tcW w:w="2126" w:type="dxa"/>
          </w:tcPr>
          <w:p w14:paraId="48A64AB7"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10.596</w:t>
            </w:r>
          </w:p>
        </w:tc>
        <w:tc>
          <w:tcPr>
            <w:tcW w:w="3163" w:type="dxa"/>
          </w:tcPr>
          <w:p w14:paraId="2E8D2AB8"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11.5%</w:t>
            </w:r>
          </w:p>
        </w:tc>
      </w:tr>
      <w:tr w:rsidR="00685478" w:rsidRPr="00FE5669" w14:paraId="18DCED67" w14:textId="77777777" w:rsidTr="00470234">
        <w:tc>
          <w:tcPr>
            <w:tcW w:w="976" w:type="dxa"/>
          </w:tcPr>
          <w:p w14:paraId="1168FBC3"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2013</w:t>
            </w:r>
          </w:p>
        </w:tc>
        <w:tc>
          <w:tcPr>
            <w:tcW w:w="1843" w:type="dxa"/>
          </w:tcPr>
          <w:p w14:paraId="038F1BC5"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151.368</w:t>
            </w:r>
          </w:p>
        </w:tc>
        <w:tc>
          <w:tcPr>
            <w:tcW w:w="2126" w:type="dxa"/>
          </w:tcPr>
          <w:p w14:paraId="24290353"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12.100</w:t>
            </w:r>
          </w:p>
        </w:tc>
        <w:tc>
          <w:tcPr>
            <w:tcW w:w="3163" w:type="dxa"/>
          </w:tcPr>
          <w:p w14:paraId="547147D1"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12.5%</w:t>
            </w:r>
          </w:p>
        </w:tc>
      </w:tr>
      <w:tr w:rsidR="00685478" w:rsidRPr="00FE5669" w14:paraId="4A6DAD27" w14:textId="77777777" w:rsidTr="00470234">
        <w:tc>
          <w:tcPr>
            <w:tcW w:w="976" w:type="dxa"/>
          </w:tcPr>
          <w:p w14:paraId="6E8C3F0A"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2014</w:t>
            </w:r>
          </w:p>
        </w:tc>
        <w:tc>
          <w:tcPr>
            <w:tcW w:w="1843" w:type="dxa"/>
          </w:tcPr>
          <w:p w14:paraId="155B4C6F"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153.998</w:t>
            </w:r>
          </w:p>
        </w:tc>
        <w:tc>
          <w:tcPr>
            <w:tcW w:w="2126" w:type="dxa"/>
          </w:tcPr>
          <w:p w14:paraId="6A900415"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12.948</w:t>
            </w:r>
          </w:p>
        </w:tc>
        <w:tc>
          <w:tcPr>
            <w:tcW w:w="3163" w:type="dxa"/>
          </w:tcPr>
          <w:p w14:paraId="31F97797"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13.6%</w:t>
            </w:r>
          </w:p>
        </w:tc>
      </w:tr>
      <w:tr w:rsidR="00685478" w:rsidRPr="00FE5669" w14:paraId="3814815A" w14:textId="77777777" w:rsidTr="00470234">
        <w:tc>
          <w:tcPr>
            <w:tcW w:w="976" w:type="dxa"/>
          </w:tcPr>
          <w:p w14:paraId="6C988E14"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2015</w:t>
            </w:r>
          </w:p>
        </w:tc>
        <w:tc>
          <w:tcPr>
            <w:tcW w:w="1843" w:type="dxa"/>
          </w:tcPr>
          <w:p w14:paraId="338F7819"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169.662</w:t>
            </w:r>
          </w:p>
        </w:tc>
        <w:tc>
          <w:tcPr>
            <w:tcW w:w="2126" w:type="dxa"/>
          </w:tcPr>
          <w:p w14:paraId="21FF210A"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15.423</w:t>
            </w:r>
          </w:p>
        </w:tc>
        <w:tc>
          <w:tcPr>
            <w:tcW w:w="3163" w:type="dxa"/>
          </w:tcPr>
          <w:p w14:paraId="53A33AD3"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15.423%</w:t>
            </w:r>
          </w:p>
        </w:tc>
      </w:tr>
      <w:tr w:rsidR="00685478" w:rsidRPr="00FE5669" w14:paraId="7CFCD124" w14:textId="77777777" w:rsidTr="00470234">
        <w:tc>
          <w:tcPr>
            <w:tcW w:w="976" w:type="dxa"/>
          </w:tcPr>
          <w:p w14:paraId="05B3253A"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2016</w:t>
            </w:r>
          </w:p>
        </w:tc>
        <w:tc>
          <w:tcPr>
            <w:tcW w:w="1843" w:type="dxa"/>
          </w:tcPr>
          <w:p w14:paraId="44A7D925"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175.336</w:t>
            </w:r>
          </w:p>
        </w:tc>
        <w:tc>
          <w:tcPr>
            <w:tcW w:w="2126" w:type="dxa"/>
          </w:tcPr>
          <w:p w14:paraId="76422752"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18.750</w:t>
            </w:r>
          </w:p>
        </w:tc>
        <w:tc>
          <w:tcPr>
            <w:tcW w:w="3163" w:type="dxa"/>
          </w:tcPr>
          <w:p w14:paraId="62EB6E8C"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16.7%</w:t>
            </w:r>
          </w:p>
        </w:tc>
      </w:tr>
      <w:tr w:rsidR="00685478" w:rsidRPr="00FE5669" w14:paraId="43438AAC" w14:textId="77777777" w:rsidTr="00470234">
        <w:tc>
          <w:tcPr>
            <w:tcW w:w="976" w:type="dxa"/>
          </w:tcPr>
          <w:p w14:paraId="09F03B95"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2017</w:t>
            </w:r>
          </w:p>
        </w:tc>
        <w:tc>
          <w:tcPr>
            <w:tcW w:w="1843" w:type="dxa"/>
          </w:tcPr>
          <w:p w14:paraId="602A6D03"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79.978</w:t>
            </w:r>
          </w:p>
        </w:tc>
        <w:tc>
          <w:tcPr>
            <w:tcW w:w="2126" w:type="dxa"/>
          </w:tcPr>
          <w:p w14:paraId="56A4FA88"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19.500</w:t>
            </w:r>
          </w:p>
        </w:tc>
        <w:tc>
          <w:tcPr>
            <w:tcW w:w="3163" w:type="dxa"/>
          </w:tcPr>
          <w:p w14:paraId="122C2992"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24.3%</w:t>
            </w:r>
          </w:p>
        </w:tc>
      </w:tr>
    </w:tbl>
    <w:p w14:paraId="112BD103" w14:textId="77777777" w:rsidR="00685478" w:rsidRDefault="00685478" w:rsidP="00685478">
      <w:pPr>
        <w:spacing w:after="0"/>
        <w:jc w:val="both"/>
        <w:rPr>
          <w:rFonts w:ascii="Arial" w:hAnsi="Arial" w:cs="Arial"/>
          <w:sz w:val="24"/>
          <w:szCs w:val="24"/>
        </w:rPr>
      </w:pPr>
    </w:p>
    <w:p w14:paraId="58FE227A" w14:textId="77777777" w:rsidR="00685478" w:rsidRPr="00847546" w:rsidRDefault="00685478" w:rsidP="00685478">
      <w:pPr>
        <w:spacing w:after="0"/>
        <w:jc w:val="both"/>
        <w:rPr>
          <w:rFonts w:ascii="Arial" w:hAnsi="Arial" w:cs="Arial"/>
          <w:sz w:val="24"/>
          <w:szCs w:val="24"/>
        </w:rPr>
      </w:pPr>
    </w:p>
    <w:p w14:paraId="287D799D"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Estos datos demuestran el impacto que tiene la reincidencia, sobre todo en delitos de impacto que afectan la seguridad ciudadana, los datos entregados por la Fiscalía General de la Nación para el año 2017 confirman lo manifestado por el INPEC:</w:t>
      </w:r>
    </w:p>
    <w:p w14:paraId="70AF46F6" w14:textId="77777777" w:rsidR="00685478" w:rsidRPr="00847546" w:rsidRDefault="00685478" w:rsidP="00685478">
      <w:pPr>
        <w:spacing w:after="0"/>
        <w:jc w:val="both"/>
        <w:rPr>
          <w:rFonts w:ascii="Arial" w:hAnsi="Arial" w:cs="Arial"/>
          <w:sz w:val="24"/>
          <w:szCs w:val="24"/>
        </w:rPr>
      </w:pPr>
    </w:p>
    <w:p w14:paraId="0F423DC9"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TIPO DE DELITOS POR BIEN JURÍDICO</w:t>
      </w:r>
      <w:r w:rsidRPr="00847546">
        <w:rPr>
          <w:rFonts w:ascii="Arial" w:hAnsi="Arial" w:cs="Arial"/>
          <w:sz w:val="24"/>
          <w:szCs w:val="24"/>
        </w:rPr>
        <w:tab/>
        <w:t>NÚMERO DE PROCESOS</w:t>
      </w:r>
    </w:p>
    <w:tbl>
      <w:tblPr>
        <w:tblStyle w:val="Tablaconcuadrcula"/>
        <w:tblW w:w="0" w:type="auto"/>
        <w:tblInd w:w="720" w:type="dxa"/>
        <w:tblLook w:val="04A0" w:firstRow="1" w:lastRow="0" w:firstColumn="1" w:lastColumn="0" w:noHBand="0" w:noVBand="1"/>
      </w:tblPr>
      <w:tblGrid>
        <w:gridCol w:w="4945"/>
        <w:gridCol w:w="2977"/>
      </w:tblGrid>
      <w:tr w:rsidR="00685478" w:rsidRPr="00FE5669" w14:paraId="1E458A30" w14:textId="77777777" w:rsidTr="00470234">
        <w:tc>
          <w:tcPr>
            <w:tcW w:w="4945" w:type="dxa"/>
          </w:tcPr>
          <w:p w14:paraId="7B490994"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TIPO DE DELITOS POR BIEN JURÍDICO</w:t>
            </w:r>
          </w:p>
        </w:tc>
        <w:tc>
          <w:tcPr>
            <w:tcW w:w="2977" w:type="dxa"/>
          </w:tcPr>
          <w:p w14:paraId="3C01707F"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NÚMERO DE PROCESOS</w:t>
            </w:r>
          </w:p>
        </w:tc>
      </w:tr>
      <w:tr w:rsidR="00685478" w:rsidRPr="00FE5669" w14:paraId="79A1D078" w14:textId="77777777" w:rsidTr="00470234">
        <w:tc>
          <w:tcPr>
            <w:tcW w:w="4945" w:type="dxa"/>
          </w:tcPr>
          <w:p w14:paraId="6CD302F1"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Delitos contra la salud pública</w:t>
            </w:r>
          </w:p>
        </w:tc>
        <w:tc>
          <w:tcPr>
            <w:tcW w:w="2977" w:type="dxa"/>
          </w:tcPr>
          <w:p w14:paraId="7624B788"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16.173</w:t>
            </w:r>
          </w:p>
        </w:tc>
      </w:tr>
      <w:tr w:rsidR="00685478" w:rsidRPr="00FE5669" w14:paraId="2742F390" w14:textId="77777777" w:rsidTr="00470234">
        <w:tc>
          <w:tcPr>
            <w:tcW w:w="4945" w:type="dxa"/>
          </w:tcPr>
          <w:p w14:paraId="4FC7735E"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Delitos contra la familia</w:t>
            </w:r>
          </w:p>
        </w:tc>
        <w:tc>
          <w:tcPr>
            <w:tcW w:w="2977" w:type="dxa"/>
          </w:tcPr>
          <w:p w14:paraId="31A1CD04"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48.636</w:t>
            </w:r>
          </w:p>
        </w:tc>
      </w:tr>
      <w:tr w:rsidR="00685478" w:rsidRPr="00FE5669" w14:paraId="68D1D4BB" w14:textId="77777777" w:rsidTr="00470234">
        <w:tc>
          <w:tcPr>
            <w:tcW w:w="4945" w:type="dxa"/>
          </w:tcPr>
          <w:p w14:paraId="4E869E5F"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Delitos contra la libertad individual y otras garantías</w:t>
            </w:r>
          </w:p>
        </w:tc>
        <w:tc>
          <w:tcPr>
            <w:tcW w:w="2977" w:type="dxa"/>
          </w:tcPr>
          <w:p w14:paraId="1D769228"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13.520</w:t>
            </w:r>
          </w:p>
        </w:tc>
      </w:tr>
      <w:tr w:rsidR="00685478" w:rsidRPr="00FE5669" w14:paraId="0B2CDA8E" w14:textId="77777777" w:rsidTr="00470234">
        <w:tc>
          <w:tcPr>
            <w:tcW w:w="4945" w:type="dxa"/>
          </w:tcPr>
          <w:p w14:paraId="54DAFFB8"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Delitos contra la administración pública</w:t>
            </w:r>
          </w:p>
        </w:tc>
        <w:tc>
          <w:tcPr>
            <w:tcW w:w="2977" w:type="dxa"/>
          </w:tcPr>
          <w:p w14:paraId="7091245C"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16.453</w:t>
            </w:r>
          </w:p>
        </w:tc>
      </w:tr>
      <w:tr w:rsidR="00685478" w:rsidRPr="00FE5669" w14:paraId="1B668B32" w14:textId="77777777" w:rsidTr="00470234">
        <w:tc>
          <w:tcPr>
            <w:tcW w:w="4945" w:type="dxa"/>
          </w:tcPr>
          <w:p w14:paraId="52C93A40"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Delitos contra el patrimonio económico</w:t>
            </w:r>
          </w:p>
        </w:tc>
        <w:tc>
          <w:tcPr>
            <w:tcW w:w="2977" w:type="dxa"/>
          </w:tcPr>
          <w:p w14:paraId="0CCC79BA"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110.542</w:t>
            </w:r>
          </w:p>
        </w:tc>
      </w:tr>
      <w:tr w:rsidR="00685478" w:rsidRPr="00FE5669" w14:paraId="35E06C5A" w14:textId="77777777" w:rsidTr="00470234">
        <w:tc>
          <w:tcPr>
            <w:tcW w:w="4945" w:type="dxa"/>
          </w:tcPr>
          <w:p w14:paraId="47F6C099"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Delitos contra la libertad, integridad y formación sexuales</w:t>
            </w:r>
          </w:p>
        </w:tc>
        <w:tc>
          <w:tcPr>
            <w:tcW w:w="2977" w:type="dxa"/>
          </w:tcPr>
          <w:p w14:paraId="604799B4"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24.759</w:t>
            </w:r>
          </w:p>
        </w:tc>
      </w:tr>
      <w:tr w:rsidR="00685478" w:rsidRPr="00FE5669" w14:paraId="170397E8" w14:textId="77777777" w:rsidTr="00470234">
        <w:tc>
          <w:tcPr>
            <w:tcW w:w="4945" w:type="dxa"/>
          </w:tcPr>
          <w:p w14:paraId="7DA989FD"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Delito contra la seguridad pública</w:t>
            </w:r>
          </w:p>
        </w:tc>
        <w:tc>
          <w:tcPr>
            <w:tcW w:w="2977" w:type="dxa"/>
          </w:tcPr>
          <w:p w14:paraId="6C1FB22F"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26.005</w:t>
            </w:r>
          </w:p>
        </w:tc>
      </w:tr>
      <w:tr w:rsidR="00685478" w:rsidRPr="00FE5669" w14:paraId="4DCFD88B" w14:textId="77777777" w:rsidTr="00470234">
        <w:tc>
          <w:tcPr>
            <w:tcW w:w="4945" w:type="dxa"/>
          </w:tcPr>
          <w:p w14:paraId="7FE7693B"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lastRenderedPageBreak/>
              <w:t>Delitos contra la vida y la integridad personal</w:t>
            </w:r>
          </w:p>
        </w:tc>
        <w:tc>
          <w:tcPr>
            <w:tcW w:w="2977" w:type="dxa"/>
          </w:tcPr>
          <w:p w14:paraId="6BBD0759" w14:textId="77777777" w:rsidR="00685478" w:rsidRPr="00FE5669" w:rsidRDefault="00685478" w:rsidP="00470234">
            <w:pPr>
              <w:jc w:val="both"/>
              <w:rPr>
                <w:rFonts w:ascii="Arial" w:hAnsi="Arial" w:cs="Arial"/>
                <w:sz w:val="24"/>
                <w:szCs w:val="24"/>
              </w:rPr>
            </w:pPr>
            <w:r w:rsidRPr="00FE5669">
              <w:rPr>
                <w:rFonts w:ascii="Arial" w:hAnsi="Arial" w:cs="Arial"/>
                <w:sz w:val="24"/>
                <w:szCs w:val="24"/>
              </w:rPr>
              <w:t>56.229</w:t>
            </w:r>
          </w:p>
        </w:tc>
      </w:tr>
    </w:tbl>
    <w:p w14:paraId="39B32609" w14:textId="77777777" w:rsidR="00685478" w:rsidRDefault="00685478" w:rsidP="00685478">
      <w:pPr>
        <w:spacing w:after="0"/>
        <w:jc w:val="both"/>
        <w:rPr>
          <w:rFonts w:ascii="Arial" w:hAnsi="Arial" w:cs="Arial"/>
          <w:sz w:val="24"/>
          <w:szCs w:val="24"/>
        </w:rPr>
      </w:pPr>
    </w:p>
    <w:p w14:paraId="28C7036F" w14:textId="77777777" w:rsidR="00685478" w:rsidRPr="00847546" w:rsidRDefault="00685478" w:rsidP="00685478">
      <w:pPr>
        <w:spacing w:after="0"/>
        <w:jc w:val="both"/>
        <w:rPr>
          <w:rFonts w:ascii="Arial" w:hAnsi="Arial" w:cs="Arial"/>
          <w:sz w:val="24"/>
          <w:szCs w:val="24"/>
        </w:rPr>
      </w:pPr>
    </w:p>
    <w:p w14:paraId="75DB7CD5"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 xml:space="preserve">Las tasas delictivas resultan en todos los casos desalentadoras, ya que los delitos de mayor gravedad tienen tasas altísimas, pero llama en especial la atención que los delitos contra el patrimonio económico dobla, en el mejor de los casos cualquier otro tipo de afectación criminal. Esto reafirma la persistente sensación de inseguridad que tienen las personas en los cascos urbanos, y no hay lugar al argumento matemático que presenta la correlación directa de aumento de crimen por aumento de población, ya que el Departamento Nacional de Planeación mostró para el año 2017, una caída del 13% de concentración poblacional en los cascos urbanos, lo que lleva a concluir que el fenómeno es exactamente el contrario, a pesar de que hay menos gente por km2 aumentan los delitos cometidos. </w:t>
      </w:r>
    </w:p>
    <w:p w14:paraId="0050EA79"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Así pues, se hace necesario enviar a la criminalidad un mensaje claro, señalando que “el que la hace la paga”, y que con penas verdaderamente efectivas que permitan no solo una eficaz prevención general, sino también una mejor resocialización, lograremos reducir los índices de reincidencia que tanto aquejan a nuestro País.</w:t>
      </w:r>
    </w:p>
    <w:p w14:paraId="3B3FD76F" w14:textId="77777777" w:rsidR="00685478" w:rsidRPr="00847546" w:rsidRDefault="00685478" w:rsidP="00685478">
      <w:pPr>
        <w:spacing w:after="0"/>
        <w:jc w:val="both"/>
        <w:rPr>
          <w:rFonts w:ascii="Arial" w:hAnsi="Arial" w:cs="Arial"/>
          <w:sz w:val="24"/>
          <w:szCs w:val="24"/>
        </w:rPr>
      </w:pPr>
      <w:r w:rsidRPr="00847546">
        <w:rPr>
          <w:rFonts w:ascii="Arial" w:hAnsi="Arial" w:cs="Arial"/>
          <w:sz w:val="24"/>
          <w:szCs w:val="24"/>
        </w:rPr>
        <w:t xml:space="preserve"> </w:t>
      </w:r>
    </w:p>
    <w:p w14:paraId="1B388F00" w14:textId="77777777" w:rsidR="00685478" w:rsidRDefault="00685478" w:rsidP="00685478">
      <w:pPr>
        <w:spacing w:after="0"/>
        <w:jc w:val="both"/>
        <w:rPr>
          <w:rFonts w:ascii="Arial" w:hAnsi="Arial" w:cs="Arial"/>
          <w:sz w:val="24"/>
          <w:szCs w:val="24"/>
        </w:rPr>
      </w:pPr>
      <w:r w:rsidRPr="00847546">
        <w:rPr>
          <w:rFonts w:ascii="Arial" w:hAnsi="Arial" w:cs="Arial"/>
          <w:sz w:val="24"/>
          <w:szCs w:val="24"/>
        </w:rPr>
        <w:t>Cabe resaltar que en Colombia se han dado pasos para brindar un trato especial a este tipo de conductas. En 2017 el Congreso de la República expidió la Ley 1826 de 2017 “por medio del cual se establece un procedimiento penal especial abreviado y se regula la figura del acusador privado” el cual brinda un procedimiento expedido a aquellas conductas tipificadas como delitos querellables y delitos de baja entidad delictiva.</w:t>
      </w:r>
    </w:p>
    <w:p w14:paraId="63D2B469" w14:textId="77777777" w:rsidR="00685478" w:rsidRPr="00847546" w:rsidRDefault="00685478" w:rsidP="00685478">
      <w:pPr>
        <w:spacing w:after="0"/>
        <w:jc w:val="both"/>
        <w:rPr>
          <w:rFonts w:ascii="Arial" w:hAnsi="Arial" w:cs="Arial"/>
          <w:sz w:val="24"/>
          <w:szCs w:val="24"/>
        </w:rPr>
      </w:pPr>
    </w:p>
    <w:p w14:paraId="25600FF1" w14:textId="77777777" w:rsidR="00685478" w:rsidRDefault="00685478" w:rsidP="00685478">
      <w:pPr>
        <w:spacing w:after="0"/>
        <w:jc w:val="both"/>
        <w:rPr>
          <w:rFonts w:ascii="Arial" w:hAnsi="Arial" w:cs="Arial"/>
          <w:sz w:val="24"/>
          <w:szCs w:val="24"/>
        </w:rPr>
      </w:pPr>
      <w:r w:rsidRPr="00847546">
        <w:rPr>
          <w:rFonts w:ascii="Arial" w:hAnsi="Arial" w:cs="Arial"/>
          <w:sz w:val="24"/>
          <w:szCs w:val="24"/>
        </w:rPr>
        <w:t>Sin embargo, aunque la ley resulta un alivio en cuanto a tiempos y participación de la víctima para movilizar el órgano judicial con la implementación del acusador privado, la ley 1826 de 2017 no trae consigo mecanismos para mitigar el fenómeno de reincidencia. Y no es extraño, pues no estaba dentro de su núcleo normativo la regulación de este fenómeno, sino agilizar el proceso para la judicialización de los delitos de alto impacto y que suelen prescribir o quedar archivados por la entidad de los mismos tipos.</w:t>
      </w:r>
    </w:p>
    <w:p w14:paraId="71504453" w14:textId="77777777" w:rsidR="00685478" w:rsidRPr="00847546" w:rsidRDefault="00685478" w:rsidP="00685478">
      <w:pPr>
        <w:spacing w:after="0"/>
        <w:jc w:val="both"/>
        <w:rPr>
          <w:rFonts w:ascii="Arial" w:hAnsi="Arial" w:cs="Arial"/>
          <w:sz w:val="24"/>
          <w:szCs w:val="24"/>
        </w:rPr>
      </w:pPr>
    </w:p>
    <w:p w14:paraId="2F5A11B3" w14:textId="77777777" w:rsidR="00685478" w:rsidRDefault="00685478" w:rsidP="00685478">
      <w:pPr>
        <w:spacing w:after="0"/>
        <w:jc w:val="both"/>
        <w:rPr>
          <w:rFonts w:ascii="Arial" w:hAnsi="Arial" w:cs="Arial"/>
          <w:sz w:val="24"/>
          <w:szCs w:val="24"/>
        </w:rPr>
      </w:pPr>
      <w:r w:rsidRPr="00847546">
        <w:rPr>
          <w:rFonts w:ascii="Arial" w:hAnsi="Arial" w:cs="Arial"/>
          <w:sz w:val="24"/>
          <w:szCs w:val="24"/>
        </w:rPr>
        <w:t xml:space="preserve">La presente iniciativa responde a la necesidad de refrescar el ordenamiento jurídico penal colombiano estableciendo penas eficaces en caso de reincidencias, estableciendo costas procesales a cargo de los condenados, eliminando los subrogados penales ante la repetición de actuales delictivos, implementando indemnizaciones a las víctimas que verdaderamente resarzan la lesión a su bien jurídico tutelado y adicionalmente estableciendo garantías de no reincidencia como </w:t>
      </w:r>
      <w:r w:rsidRPr="00847546">
        <w:rPr>
          <w:rFonts w:ascii="Arial" w:hAnsi="Arial" w:cs="Arial"/>
          <w:sz w:val="24"/>
          <w:szCs w:val="24"/>
        </w:rPr>
        <w:lastRenderedPageBreak/>
        <w:t>mecanismo alterno para prevenir este fenómeno. El enfoque normativo del proyecto de ley implica una regulación responsable por parte del legislador, en donde el mensaje para la comunidad en general sea una respuesta efectiva a la problemática que se está viviendo en todos los rincones del país, la cual se traduce en la percepción de inseguridad que los ciudadanos tienen por la inoperancia del sistema estatal.</w:t>
      </w:r>
    </w:p>
    <w:p w14:paraId="2D65C915" w14:textId="77777777" w:rsidR="00685478" w:rsidRDefault="00685478" w:rsidP="00685478">
      <w:pPr>
        <w:spacing w:after="0"/>
        <w:jc w:val="both"/>
        <w:rPr>
          <w:rFonts w:ascii="Arial" w:hAnsi="Arial" w:cs="Arial"/>
          <w:sz w:val="24"/>
          <w:szCs w:val="24"/>
        </w:rPr>
      </w:pPr>
    </w:p>
    <w:p w14:paraId="34E0084A" w14:textId="77777777" w:rsidR="00685478" w:rsidRDefault="00685478" w:rsidP="00685478">
      <w:pPr>
        <w:spacing w:after="0"/>
        <w:jc w:val="both"/>
        <w:rPr>
          <w:rFonts w:ascii="Arial" w:hAnsi="Arial" w:cs="Arial"/>
          <w:sz w:val="24"/>
          <w:szCs w:val="24"/>
        </w:rPr>
      </w:pPr>
      <w:r>
        <w:rPr>
          <w:rFonts w:ascii="Arial" w:hAnsi="Arial" w:cs="Arial"/>
          <w:sz w:val="24"/>
          <w:szCs w:val="24"/>
        </w:rPr>
        <w:t>Resulta evidente que la forma de concebir el derecho penal en Colombia ha sido inefectivo, pues no han aparecido concepciones diferentes de castigo diferente a la utilización de los centros carcelarios, lo anterior lejos de representar una solución ha sido gestor de nuevas problemáticas estructurales entre las que se encuentran el hacinamiento carcelario y la falta de programas de resocialización, que sumadas desembocan en el recrudecimiento del actuar criminal, por lo que la consecuencia vista luego de la purga de la pena es la opuesta a la esperada, pues el sujeto tiene más probabilidades de reincidir en el delito, e incluso se diversifican en modus operandi, por lo que Colombia está viviendo una situación de antilógica en la que las cárceles se han vuelto una academia del delito y no centros de resocialización.</w:t>
      </w:r>
    </w:p>
    <w:p w14:paraId="11AADAAC" w14:textId="77777777" w:rsidR="00685478" w:rsidRDefault="00685478" w:rsidP="00685478">
      <w:pPr>
        <w:spacing w:after="0"/>
        <w:jc w:val="both"/>
        <w:rPr>
          <w:rFonts w:ascii="Arial" w:hAnsi="Arial" w:cs="Arial"/>
          <w:sz w:val="24"/>
          <w:szCs w:val="24"/>
        </w:rPr>
      </w:pPr>
    </w:p>
    <w:p w14:paraId="6293BF84" w14:textId="77777777" w:rsidR="00685478" w:rsidRDefault="00685478" w:rsidP="00685478">
      <w:pPr>
        <w:spacing w:after="0"/>
        <w:jc w:val="both"/>
        <w:rPr>
          <w:rFonts w:ascii="Arial" w:hAnsi="Arial" w:cs="Arial"/>
          <w:sz w:val="24"/>
          <w:szCs w:val="24"/>
        </w:rPr>
      </w:pPr>
      <w:r>
        <w:rPr>
          <w:rFonts w:ascii="Arial" w:hAnsi="Arial" w:cs="Arial"/>
          <w:sz w:val="24"/>
          <w:szCs w:val="24"/>
        </w:rPr>
        <w:t>Es por esto necesario re pensar el derecho penal, en el que los fenómenos criminales no se analicen bajo un mismo racero infiriendo que la solución siempre es el aumento de penas, cuando sobre todo, en delitos de alto impacto a la ciudadanía, vemos que es lo opuesto, sin que haya en el ordenamiento más salidas de imposición de sanciones.</w:t>
      </w:r>
    </w:p>
    <w:p w14:paraId="59270C49" w14:textId="77777777" w:rsidR="00685478" w:rsidRDefault="00685478" w:rsidP="00685478">
      <w:pPr>
        <w:spacing w:after="0"/>
        <w:jc w:val="both"/>
        <w:rPr>
          <w:rFonts w:ascii="Arial" w:hAnsi="Arial" w:cs="Arial"/>
          <w:sz w:val="24"/>
          <w:szCs w:val="24"/>
        </w:rPr>
      </w:pPr>
    </w:p>
    <w:p w14:paraId="4A0F247C" w14:textId="77777777" w:rsidR="00685478" w:rsidRDefault="00685478" w:rsidP="00685478">
      <w:pPr>
        <w:spacing w:after="0"/>
        <w:jc w:val="both"/>
        <w:rPr>
          <w:rFonts w:ascii="Arial" w:hAnsi="Arial" w:cs="Arial"/>
          <w:sz w:val="24"/>
          <w:szCs w:val="24"/>
        </w:rPr>
      </w:pPr>
      <w:r>
        <w:rPr>
          <w:rFonts w:ascii="Arial" w:hAnsi="Arial" w:cs="Arial"/>
          <w:sz w:val="24"/>
          <w:szCs w:val="24"/>
        </w:rPr>
        <w:t>El presente proyecto de ley es una respuesta precisamente a esto, a buscar nuevas soluciones al problema de la reincidencia criminal y el posicionamiento protagonista de la víctima dentro del Sistema Penal acusatorio, pues si bien su tratamiento en principio no es de parte sino de sujeto, y esto conlleva a que sea desplazada en el proceso, es necesario que dentro del proceso sea la víctima y su reparación eje fundamental del proceso penal, pues con ella empieza la noticia criminal, y en ella reposa el material probatorio, es fundamental que el sistema empieza a darle la importancia debida a esta.</w:t>
      </w:r>
    </w:p>
    <w:p w14:paraId="41F78C54" w14:textId="77777777" w:rsidR="00685478" w:rsidRDefault="00685478" w:rsidP="00685478">
      <w:pPr>
        <w:spacing w:after="0"/>
        <w:jc w:val="both"/>
        <w:rPr>
          <w:rFonts w:ascii="Arial" w:hAnsi="Arial" w:cs="Arial"/>
          <w:sz w:val="24"/>
          <w:szCs w:val="24"/>
        </w:rPr>
      </w:pPr>
    </w:p>
    <w:p w14:paraId="50CF3FD7" w14:textId="77777777" w:rsidR="00685478" w:rsidRDefault="00685478" w:rsidP="00685478">
      <w:pPr>
        <w:spacing w:after="0"/>
        <w:jc w:val="both"/>
        <w:rPr>
          <w:rFonts w:ascii="Arial" w:hAnsi="Arial" w:cs="Arial"/>
          <w:sz w:val="24"/>
          <w:szCs w:val="24"/>
        </w:rPr>
      </w:pPr>
      <w:r>
        <w:rPr>
          <w:rFonts w:ascii="Arial" w:hAnsi="Arial" w:cs="Arial"/>
          <w:sz w:val="24"/>
          <w:szCs w:val="24"/>
        </w:rPr>
        <w:t xml:space="preserve">Las modificaciones propuestas son de tipo sustancial. Así, no solo se trata de modificar el tratamiento punitivo si hay allanamiento, sino que tal ocurra siempre y cuando haya satisfacción de la víctima y no se trate de reincidentes. </w:t>
      </w:r>
    </w:p>
    <w:p w14:paraId="39D10654" w14:textId="77777777" w:rsidR="00685478" w:rsidRDefault="00685478" w:rsidP="00685478">
      <w:pPr>
        <w:spacing w:after="0"/>
        <w:jc w:val="both"/>
        <w:rPr>
          <w:rFonts w:ascii="Arial" w:hAnsi="Arial" w:cs="Arial"/>
          <w:sz w:val="24"/>
          <w:szCs w:val="24"/>
        </w:rPr>
      </w:pPr>
      <w:r>
        <w:rPr>
          <w:rFonts w:ascii="Arial" w:hAnsi="Arial" w:cs="Arial"/>
          <w:sz w:val="24"/>
          <w:szCs w:val="24"/>
        </w:rPr>
        <w:t xml:space="preserve">Lo anterior espera actuar como forma disuasiva al delincuente al encontrar en el sistema una sanción efectiva lo suficientemente importante como para que pueda reflexionar, pero lo suficientemente corta como para evitar que se sofistiquen las prácticas delictivas. Esta pena deberá ser cumplida integralmente en prisión, sin </w:t>
      </w:r>
      <w:r>
        <w:rPr>
          <w:rFonts w:ascii="Arial" w:hAnsi="Arial" w:cs="Arial"/>
          <w:sz w:val="24"/>
          <w:szCs w:val="24"/>
        </w:rPr>
        <w:lastRenderedPageBreak/>
        <w:t>subrogado penal previo procedente, solo conservando la redención de la pena por trabajo.</w:t>
      </w:r>
    </w:p>
    <w:p w14:paraId="22EC9B96" w14:textId="77777777" w:rsidR="00685478" w:rsidRDefault="00685478" w:rsidP="00685478">
      <w:pPr>
        <w:spacing w:after="0"/>
        <w:jc w:val="both"/>
        <w:rPr>
          <w:rFonts w:ascii="Arial" w:hAnsi="Arial" w:cs="Arial"/>
          <w:sz w:val="24"/>
          <w:szCs w:val="24"/>
        </w:rPr>
      </w:pPr>
    </w:p>
    <w:p w14:paraId="6A197F83" w14:textId="77777777" w:rsidR="00685478" w:rsidRDefault="00685478" w:rsidP="00685478">
      <w:pPr>
        <w:spacing w:after="0"/>
        <w:jc w:val="both"/>
        <w:rPr>
          <w:rFonts w:ascii="Arial" w:hAnsi="Arial" w:cs="Arial"/>
          <w:sz w:val="24"/>
          <w:szCs w:val="24"/>
        </w:rPr>
      </w:pPr>
      <w:r>
        <w:rPr>
          <w:rFonts w:ascii="Arial" w:hAnsi="Arial" w:cs="Arial"/>
          <w:sz w:val="24"/>
          <w:szCs w:val="24"/>
        </w:rPr>
        <w:t>Otra modificación al derecho sustantivo penal tiene que ver con la indemnización a la víctima producto del delito, o responsabilidad civil derivada de la conducta punible, se propone que sea muy superior al daño material probado, se espera que esto sirva de estímulo a la denuncia al encontrar una verdadera reparación. Este principio si bien replantea la teoría clásica de la responsabilidad en general, y la responsabilidad extra contractual en particular, no se encontraron discrepancias constitucionales sobre el artículo propuesto, más entendiendo que en todo caso las negociaciones serán con participación y voluntad del procesado.</w:t>
      </w:r>
    </w:p>
    <w:p w14:paraId="6F3DC35E" w14:textId="77777777" w:rsidR="00685478" w:rsidRDefault="00685478" w:rsidP="00685478">
      <w:pPr>
        <w:spacing w:after="0"/>
        <w:jc w:val="both"/>
        <w:rPr>
          <w:rFonts w:ascii="Arial" w:hAnsi="Arial" w:cs="Arial"/>
          <w:sz w:val="24"/>
          <w:szCs w:val="24"/>
        </w:rPr>
      </w:pPr>
    </w:p>
    <w:p w14:paraId="2F7CD3E0" w14:textId="77777777" w:rsidR="00685478" w:rsidRDefault="00685478" w:rsidP="00685478">
      <w:pPr>
        <w:spacing w:after="0"/>
        <w:jc w:val="both"/>
        <w:rPr>
          <w:rFonts w:ascii="Arial" w:hAnsi="Arial" w:cs="Arial"/>
          <w:sz w:val="24"/>
          <w:szCs w:val="24"/>
        </w:rPr>
      </w:pPr>
      <w:r>
        <w:rPr>
          <w:rFonts w:ascii="Arial" w:hAnsi="Arial" w:cs="Arial"/>
          <w:sz w:val="24"/>
          <w:szCs w:val="24"/>
        </w:rPr>
        <w:t>Pero lo anterior no tendría sentido práctico se no se acompaña con un proceso expedito que no solo garantice la descongestión, sino que permita la agilización de los procesos para que la constitución en reincidencia no sea extendida en el tiempo y se solucione el problema de procesos paralelos sin consecuencia al no existir sentencia condenatoria.</w:t>
      </w:r>
    </w:p>
    <w:p w14:paraId="62D91369" w14:textId="77777777" w:rsidR="00685478" w:rsidRDefault="00685478" w:rsidP="00685478">
      <w:pPr>
        <w:spacing w:after="0"/>
        <w:jc w:val="both"/>
        <w:rPr>
          <w:rFonts w:ascii="Arial" w:hAnsi="Arial" w:cs="Arial"/>
          <w:sz w:val="24"/>
          <w:szCs w:val="24"/>
        </w:rPr>
      </w:pPr>
    </w:p>
    <w:p w14:paraId="3CCA9795" w14:textId="77777777" w:rsidR="00685478" w:rsidRDefault="00685478" w:rsidP="00685478">
      <w:pPr>
        <w:spacing w:after="0"/>
        <w:jc w:val="both"/>
        <w:rPr>
          <w:rFonts w:ascii="Arial" w:hAnsi="Arial" w:cs="Arial"/>
          <w:sz w:val="24"/>
          <w:szCs w:val="24"/>
        </w:rPr>
      </w:pPr>
      <w:r>
        <w:rPr>
          <w:rFonts w:ascii="Arial" w:hAnsi="Arial" w:cs="Arial"/>
          <w:sz w:val="24"/>
          <w:szCs w:val="24"/>
        </w:rPr>
        <w:t xml:space="preserve">Además del anterior, es fundamental para el proyecto de ley que se implemente en el ordenamiento jurídico un mecanismo que permita la descongestión judicial, que sea lo suficientemente rápido para darle trámite a los procesos, reparar rápidamente la víctima y configurar fácilmente la reincidencia. </w:t>
      </w:r>
    </w:p>
    <w:p w14:paraId="4326134F" w14:textId="77777777" w:rsidR="00685478" w:rsidRDefault="00685478" w:rsidP="00685478">
      <w:pPr>
        <w:spacing w:after="0"/>
        <w:jc w:val="both"/>
        <w:rPr>
          <w:rFonts w:ascii="Arial" w:hAnsi="Arial" w:cs="Arial"/>
          <w:sz w:val="24"/>
          <w:szCs w:val="24"/>
        </w:rPr>
      </w:pPr>
      <w:r>
        <w:rPr>
          <w:rFonts w:ascii="Arial" w:hAnsi="Arial" w:cs="Arial"/>
          <w:sz w:val="24"/>
          <w:szCs w:val="24"/>
        </w:rPr>
        <w:t>Por último, queda despejar la duda de los delitos específicos ingresados en este proyecto de ley, estos fueron escogidos bajo dos parámetros concretamente. Entre ellos que no tuviesen una forma más beneficiosa de punibilidad como extinción de la acción por reparación, que fuesen delitos que tuviesen impacto en los ciudadanos y que no fuesen delitos que afectaran en mayor medida el Estado en su conjunto. Se muestran los delitos considerados como más recurrentes y su tratamiento penal:</w:t>
      </w:r>
    </w:p>
    <w:tbl>
      <w:tblPr>
        <w:tblStyle w:val="Tablaconcuadrcula"/>
        <w:tblW w:w="9131" w:type="dxa"/>
        <w:tblInd w:w="-289" w:type="dxa"/>
        <w:tblCellMar>
          <w:left w:w="70" w:type="dxa"/>
          <w:right w:w="70" w:type="dxa"/>
        </w:tblCellMar>
        <w:tblLook w:val="0000" w:firstRow="0" w:lastRow="0" w:firstColumn="0" w:lastColumn="0" w:noHBand="0" w:noVBand="0"/>
      </w:tblPr>
      <w:tblGrid>
        <w:gridCol w:w="4467"/>
        <w:gridCol w:w="10"/>
        <w:gridCol w:w="691"/>
        <w:gridCol w:w="679"/>
        <w:gridCol w:w="7"/>
        <w:gridCol w:w="696"/>
        <w:gridCol w:w="696"/>
        <w:gridCol w:w="377"/>
        <w:gridCol w:w="377"/>
        <w:gridCol w:w="377"/>
        <w:gridCol w:w="377"/>
        <w:gridCol w:w="377"/>
      </w:tblGrid>
      <w:tr w:rsidR="00685478" w:rsidRPr="00E92D67" w14:paraId="2878646D" w14:textId="77777777" w:rsidTr="00470234">
        <w:trPr>
          <w:gridAfter w:val="5"/>
          <w:wAfter w:w="1885" w:type="dxa"/>
          <w:trHeight w:val="266"/>
        </w:trPr>
        <w:tc>
          <w:tcPr>
            <w:tcW w:w="4467" w:type="dxa"/>
            <w:vMerge w:val="restart"/>
            <w:tcBorders>
              <w:top w:val="nil"/>
              <w:left w:val="nil"/>
              <w:right w:val="nil"/>
            </w:tcBorders>
          </w:tcPr>
          <w:p w14:paraId="26BF91EC" w14:textId="77777777" w:rsidR="00685478" w:rsidRPr="00E92D67" w:rsidRDefault="00685478" w:rsidP="00470234">
            <w:pPr>
              <w:jc w:val="both"/>
              <w:rPr>
                <w:rFonts w:ascii="Arial" w:hAnsi="Arial" w:cs="Arial"/>
                <w:sz w:val="20"/>
                <w:szCs w:val="20"/>
              </w:rPr>
            </w:pPr>
          </w:p>
        </w:tc>
        <w:tc>
          <w:tcPr>
            <w:tcW w:w="2779" w:type="dxa"/>
            <w:gridSpan w:val="6"/>
            <w:tcBorders>
              <w:top w:val="nil"/>
              <w:left w:val="nil"/>
              <w:right w:val="nil"/>
            </w:tcBorders>
          </w:tcPr>
          <w:p w14:paraId="1E4DC482" w14:textId="77777777" w:rsidR="00685478" w:rsidRPr="00E92D67" w:rsidRDefault="00685478" w:rsidP="00470234">
            <w:pPr>
              <w:jc w:val="both"/>
              <w:rPr>
                <w:rFonts w:ascii="Arial" w:hAnsi="Arial" w:cs="Arial"/>
                <w:sz w:val="20"/>
                <w:szCs w:val="20"/>
              </w:rPr>
            </w:pPr>
          </w:p>
        </w:tc>
      </w:tr>
      <w:tr w:rsidR="00685478" w:rsidRPr="00E92D67" w14:paraId="4346A923" w14:textId="77777777" w:rsidTr="00470234">
        <w:trPr>
          <w:gridAfter w:val="5"/>
          <w:wAfter w:w="1885" w:type="dxa"/>
          <w:trHeight w:val="272"/>
        </w:trPr>
        <w:tc>
          <w:tcPr>
            <w:tcW w:w="4467" w:type="dxa"/>
            <w:vMerge/>
            <w:tcBorders>
              <w:left w:val="nil"/>
            </w:tcBorders>
          </w:tcPr>
          <w:p w14:paraId="2DB18217" w14:textId="77777777" w:rsidR="00685478" w:rsidRPr="00E92D67" w:rsidRDefault="00685478" w:rsidP="00470234">
            <w:pPr>
              <w:jc w:val="both"/>
              <w:rPr>
                <w:rFonts w:ascii="Arial" w:hAnsi="Arial" w:cs="Arial"/>
                <w:sz w:val="20"/>
                <w:szCs w:val="20"/>
              </w:rPr>
            </w:pPr>
          </w:p>
        </w:tc>
        <w:tc>
          <w:tcPr>
            <w:tcW w:w="1380" w:type="dxa"/>
            <w:gridSpan w:val="3"/>
          </w:tcPr>
          <w:p w14:paraId="0DD873B1" w14:textId="77777777" w:rsidR="00685478" w:rsidRPr="00E92D67" w:rsidRDefault="00685478" w:rsidP="00470234">
            <w:pPr>
              <w:jc w:val="center"/>
              <w:rPr>
                <w:rFonts w:ascii="Arial" w:hAnsi="Arial" w:cs="Arial"/>
                <w:b/>
                <w:sz w:val="20"/>
                <w:szCs w:val="20"/>
              </w:rPr>
            </w:pPr>
            <w:r w:rsidRPr="00E92D67">
              <w:rPr>
                <w:rFonts w:ascii="Arial" w:hAnsi="Arial" w:cs="Arial"/>
                <w:b/>
                <w:sz w:val="20"/>
                <w:szCs w:val="20"/>
              </w:rPr>
              <w:t>MESES</w:t>
            </w:r>
          </w:p>
        </w:tc>
        <w:tc>
          <w:tcPr>
            <w:tcW w:w="1399" w:type="dxa"/>
            <w:gridSpan w:val="3"/>
          </w:tcPr>
          <w:p w14:paraId="43DAFDC8" w14:textId="77777777" w:rsidR="00685478" w:rsidRPr="00E92D67" w:rsidRDefault="00685478" w:rsidP="00470234">
            <w:pPr>
              <w:jc w:val="center"/>
              <w:rPr>
                <w:rFonts w:ascii="Arial" w:hAnsi="Arial" w:cs="Arial"/>
                <w:b/>
                <w:sz w:val="20"/>
                <w:szCs w:val="20"/>
              </w:rPr>
            </w:pPr>
            <w:r w:rsidRPr="00E92D67">
              <w:rPr>
                <w:rFonts w:ascii="Arial" w:hAnsi="Arial" w:cs="Arial"/>
                <w:b/>
                <w:sz w:val="20"/>
                <w:szCs w:val="20"/>
              </w:rPr>
              <w:t>AÑOS</w:t>
            </w:r>
          </w:p>
        </w:tc>
      </w:tr>
      <w:tr w:rsidR="00685478" w:rsidRPr="00E92D67" w14:paraId="01B52AC3" w14:textId="77777777" w:rsidTr="00470234">
        <w:tblPrEx>
          <w:tblCellMar>
            <w:left w:w="108" w:type="dxa"/>
            <w:right w:w="108" w:type="dxa"/>
          </w:tblCellMar>
          <w:tblLook w:val="04A0" w:firstRow="1" w:lastRow="0" w:firstColumn="1" w:lastColumn="0" w:noHBand="0" w:noVBand="1"/>
        </w:tblPrEx>
        <w:tc>
          <w:tcPr>
            <w:tcW w:w="4477" w:type="dxa"/>
            <w:gridSpan w:val="2"/>
          </w:tcPr>
          <w:p w14:paraId="08D3887F" w14:textId="77777777" w:rsidR="00685478" w:rsidRPr="00E92D67" w:rsidRDefault="00685478" w:rsidP="00470234">
            <w:pPr>
              <w:jc w:val="center"/>
              <w:rPr>
                <w:rFonts w:ascii="Arial" w:hAnsi="Arial" w:cs="Arial"/>
                <w:b/>
                <w:sz w:val="20"/>
                <w:szCs w:val="20"/>
              </w:rPr>
            </w:pPr>
            <w:r w:rsidRPr="00E92D67">
              <w:rPr>
                <w:rFonts w:ascii="Arial" w:hAnsi="Arial" w:cs="Arial"/>
                <w:b/>
                <w:sz w:val="20"/>
                <w:szCs w:val="20"/>
              </w:rPr>
              <w:t>CONDUCTA PUNIBLE</w:t>
            </w:r>
          </w:p>
        </w:tc>
        <w:tc>
          <w:tcPr>
            <w:tcW w:w="691" w:type="dxa"/>
          </w:tcPr>
          <w:p w14:paraId="36282F61" w14:textId="77777777" w:rsidR="00685478" w:rsidRPr="00E92D67" w:rsidRDefault="00685478" w:rsidP="00470234">
            <w:pPr>
              <w:jc w:val="center"/>
              <w:rPr>
                <w:rFonts w:ascii="Arial" w:hAnsi="Arial" w:cs="Arial"/>
                <w:b/>
                <w:sz w:val="20"/>
                <w:szCs w:val="20"/>
              </w:rPr>
            </w:pPr>
            <w:r w:rsidRPr="00E92D67">
              <w:rPr>
                <w:rFonts w:ascii="Arial" w:hAnsi="Arial" w:cs="Arial"/>
                <w:b/>
                <w:sz w:val="20"/>
                <w:szCs w:val="20"/>
              </w:rPr>
              <w:t>MIN</w:t>
            </w:r>
          </w:p>
        </w:tc>
        <w:tc>
          <w:tcPr>
            <w:tcW w:w="686" w:type="dxa"/>
            <w:gridSpan w:val="2"/>
          </w:tcPr>
          <w:p w14:paraId="3EAE5B67" w14:textId="77777777" w:rsidR="00685478" w:rsidRPr="00E92D67" w:rsidRDefault="00685478" w:rsidP="00470234">
            <w:pPr>
              <w:jc w:val="both"/>
              <w:rPr>
                <w:rFonts w:ascii="Arial" w:hAnsi="Arial" w:cs="Arial"/>
                <w:b/>
                <w:sz w:val="20"/>
                <w:szCs w:val="20"/>
              </w:rPr>
            </w:pPr>
            <w:r w:rsidRPr="00E92D67">
              <w:rPr>
                <w:rFonts w:ascii="Arial" w:hAnsi="Arial" w:cs="Arial"/>
                <w:b/>
                <w:sz w:val="20"/>
                <w:szCs w:val="20"/>
              </w:rPr>
              <w:t>MÁX</w:t>
            </w:r>
          </w:p>
        </w:tc>
        <w:tc>
          <w:tcPr>
            <w:tcW w:w="696" w:type="dxa"/>
          </w:tcPr>
          <w:p w14:paraId="41F55CFA" w14:textId="77777777" w:rsidR="00685478" w:rsidRPr="00E92D67" w:rsidRDefault="00685478" w:rsidP="00470234">
            <w:pPr>
              <w:jc w:val="center"/>
              <w:rPr>
                <w:rFonts w:ascii="Arial" w:hAnsi="Arial" w:cs="Arial"/>
                <w:b/>
                <w:sz w:val="20"/>
                <w:szCs w:val="20"/>
              </w:rPr>
            </w:pPr>
            <w:r w:rsidRPr="00E92D67">
              <w:rPr>
                <w:rFonts w:ascii="Arial" w:hAnsi="Arial" w:cs="Arial"/>
                <w:b/>
                <w:sz w:val="20"/>
                <w:szCs w:val="20"/>
              </w:rPr>
              <w:t>MIN</w:t>
            </w:r>
          </w:p>
        </w:tc>
        <w:tc>
          <w:tcPr>
            <w:tcW w:w="696" w:type="dxa"/>
          </w:tcPr>
          <w:p w14:paraId="7CFCC57F" w14:textId="77777777" w:rsidR="00685478" w:rsidRPr="00E92D67" w:rsidRDefault="00685478" w:rsidP="00470234">
            <w:pPr>
              <w:jc w:val="both"/>
              <w:rPr>
                <w:rFonts w:ascii="Arial" w:hAnsi="Arial" w:cs="Arial"/>
                <w:b/>
                <w:sz w:val="20"/>
                <w:szCs w:val="20"/>
              </w:rPr>
            </w:pPr>
            <w:r w:rsidRPr="00E92D67">
              <w:rPr>
                <w:rFonts w:ascii="Arial" w:hAnsi="Arial" w:cs="Arial"/>
                <w:b/>
                <w:sz w:val="20"/>
                <w:szCs w:val="20"/>
              </w:rPr>
              <w:t>MAX</w:t>
            </w:r>
          </w:p>
        </w:tc>
        <w:tc>
          <w:tcPr>
            <w:tcW w:w="377" w:type="dxa"/>
          </w:tcPr>
          <w:p w14:paraId="0831A1CF" w14:textId="77777777" w:rsidR="00685478" w:rsidRPr="00E92D67" w:rsidRDefault="00685478" w:rsidP="00470234">
            <w:pPr>
              <w:jc w:val="both"/>
              <w:rPr>
                <w:rFonts w:ascii="Arial" w:hAnsi="Arial" w:cs="Arial"/>
                <w:b/>
                <w:sz w:val="24"/>
                <w:szCs w:val="24"/>
              </w:rPr>
            </w:pPr>
            <w:r w:rsidRPr="00E92D67">
              <w:rPr>
                <w:rStyle w:val="Refdenotaalpie"/>
                <w:rFonts w:ascii="Arial" w:hAnsi="Arial" w:cs="Arial"/>
                <w:b/>
                <w:sz w:val="24"/>
                <w:szCs w:val="24"/>
              </w:rPr>
              <w:footnoteReference w:id="1"/>
            </w:r>
          </w:p>
        </w:tc>
        <w:tc>
          <w:tcPr>
            <w:tcW w:w="377" w:type="dxa"/>
          </w:tcPr>
          <w:p w14:paraId="731941A9" w14:textId="77777777" w:rsidR="00685478" w:rsidRPr="00E92D67" w:rsidRDefault="00685478" w:rsidP="00470234">
            <w:pPr>
              <w:jc w:val="both"/>
              <w:rPr>
                <w:rFonts w:ascii="Arial" w:hAnsi="Arial" w:cs="Arial"/>
                <w:b/>
                <w:sz w:val="24"/>
                <w:szCs w:val="24"/>
              </w:rPr>
            </w:pPr>
            <w:r w:rsidRPr="00E92D67">
              <w:rPr>
                <w:rStyle w:val="Refdenotaalpie"/>
                <w:rFonts w:ascii="Arial" w:hAnsi="Arial" w:cs="Arial"/>
                <w:b/>
                <w:sz w:val="24"/>
                <w:szCs w:val="24"/>
              </w:rPr>
              <w:footnoteReference w:id="2"/>
            </w:r>
          </w:p>
        </w:tc>
        <w:tc>
          <w:tcPr>
            <w:tcW w:w="377" w:type="dxa"/>
          </w:tcPr>
          <w:p w14:paraId="2AF8EAD4" w14:textId="77777777" w:rsidR="00685478" w:rsidRPr="00E92D67" w:rsidRDefault="00685478" w:rsidP="00470234">
            <w:pPr>
              <w:jc w:val="both"/>
              <w:rPr>
                <w:rFonts w:ascii="Arial" w:hAnsi="Arial" w:cs="Arial"/>
                <w:b/>
                <w:sz w:val="24"/>
                <w:szCs w:val="24"/>
              </w:rPr>
            </w:pPr>
            <w:r w:rsidRPr="00E92D67">
              <w:rPr>
                <w:rStyle w:val="Refdenotaalpie"/>
                <w:rFonts w:ascii="Arial" w:hAnsi="Arial" w:cs="Arial"/>
                <w:b/>
                <w:sz w:val="24"/>
                <w:szCs w:val="24"/>
              </w:rPr>
              <w:footnoteReference w:id="3"/>
            </w:r>
          </w:p>
        </w:tc>
        <w:tc>
          <w:tcPr>
            <w:tcW w:w="377" w:type="dxa"/>
          </w:tcPr>
          <w:p w14:paraId="2A55995D" w14:textId="77777777" w:rsidR="00685478" w:rsidRPr="00E92D67" w:rsidRDefault="00685478" w:rsidP="00470234">
            <w:pPr>
              <w:jc w:val="both"/>
              <w:rPr>
                <w:rFonts w:ascii="Arial" w:hAnsi="Arial" w:cs="Arial"/>
                <w:b/>
                <w:sz w:val="24"/>
                <w:szCs w:val="24"/>
              </w:rPr>
            </w:pPr>
            <w:r w:rsidRPr="00E92D67">
              <w:rPr>
                <w:rStyle w:val="Refdenotaalpie"/>
                <w:rFonts w:ascii="Arial" w:hAnsi="Arial" w:cs="Arial"/>
                <w:b/>
                <w:sz w:val="24"/>
                <w:szCs w:val="24"/>
              </w:rPr>
              <w:footnoteReference w:id="4"/>
            </w:r>
          </w:p>
        </w:tc>
        <w:tc>
          <w:tcPr>
            <w:tcW w:w="377" w:type="dxa"/>
          </w:tcPr>
          <w:p w14:paraId="30E9502A" w14:textId="77777777" w:rsidR="00685478" w:rsidRPr="00E92D67" w:rsidRDefault="00685478" w:rsidP="00470234">
            <w:pPr>
              <w:jc w:val="both"/>
              <w:rPr>
                <w:rFonts w:ascii="Arial" w:hAnsi="Arial" w:cs="Arial"/>
                <w:b/>
                <w:sz w:val="24"/>
                <w:szCs w:val="24"/>
              </w:rPr>
            </w:pPr>
            <w:r w:rsidRPr="00E92D67">
              <w:rPr>
                <w:rStyle w:val="Refdenotaalpie"/>
                <w:rFonts w:ascii="Arial" w:hAnsi="Arial" w:cs="Arial"/>
                <w:b/>
                <w:sz w:val="24"/>
                <w:szCs w:val="24"/>
              </w:rPr>
              <w:footnoteReference w:id="5"/>
            </w:r>
          </w:p>
        </w:tc>
      </w:tr>
      <w:tr w:rsidR="00685478" w:rsidRPr="00E92D67" w14:paraId="67A4091D" w14:textId="77777777" w:rsidTr="00470234">
        <w:tblPrEx>
          <w:tblCellMar>
            <w:left w:w="108" w:type="dxa"/>
            <w:right w:w="108" w:type="dxa"/>
          </w:tblCellMar>
          <w:tblLook w:val="04A0" w:firstRow="1" w:lastRow="0" w:firstColumn="1" w:lastColumn="0" w:noHBand="0" w:noVBand="1"/>
        </w:tblPrEx>
        <w:tc>
          <w:tcPr>
            <w:tcW w:w="4477" w:type="dxa"/>
            <w:gridSpan w:val="2"/>
          </w:tcPr>
          <w:p w14:paraId="1E36239A"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Lesiones Personales con incapacidad para trabajar o enfermedad superior a 60 días</w:t>
            </w:r>
          </w:p>
        </w:tc>
        <w:tc>
          <w:tcPr>
            <w:tcW w:w="691" w:type="dxa"/>
          </w:tcPr>
          <w:p w14:paraId="1E009D99"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32</w:t>
            </w:r>
          </w:p>
        </w:tc>
        <w:tc>
          <w:tcPr>
            <w:tcW w:w="686" w:type="dxa"/>
            <w:gridSpan w:val="2"/>
          </w:tcPr>
          <w:p w14:paraId="18AAA81D"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90</w:t>
            </w:r>
          </w:p>
        </w:tc>
        <w:tc>
          <w:tcPr>
            <w:tcW w:w="696" w:type="dxa"/>
          </w:tcPr>
          <w:p w14:paraId="6600167B"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2.67</w:t>
            </w:r>
          </w:p>
        </w:tc>
        <w:tc>
          <w:tcPr>
            <w:tcW w:w="696" w:type="dxa"/>
          </w:tcPr>
          <w:p w14:paraId="2C6B647F"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7.5</w:t>
            </w:r>
          </w:p>
        </w:tc>
        <w:tc>
          <w:tcPr>
            <w:tcW w:w="377" w:type="dxa"/>
          </w:tcPr>
          <w:p w14:paraId="2EFB209F" w14:textId="77777777" w:rsidR="00685478" w:rsidRPr="00E92D67" w:rsidRDefault="00685478" w:rsidP="00470234">
            <w:pPr>
              <w:jc w:val="both"/>
              <w:rPr>
                <w:rFonts w:ascii="Arial" w:hAnsi="Arial" w:cs="Arial"/>
                <w:sz w:val="20"/>
                <w:szCs w:val="20"/>
              </w:rPr>
            </w:pPr>
          </w:p>
        </w:tc>
        <w:tc>
          <w:tcPr>
            <w:tcW w:w="377" w:type="dxa"/>
          </w:tcPr>
          <w:p w14:paraId="731F4E59" w14:textId="77777777" w:rsidR="00685478" w:rsidRPr="00E92D67" w:rsidRDefault="00685478" w:rsidP="00470234">
            <w:pPr>
              <w:jc w:val="both"/>
              <w:rPr>
                <w:rFonts w:ascii="Arial" w:hAnsi="Arial" w:cs="Arial"/>
                <w:sz w:val="20"/>
                <w:szCs w:val="20"/>
              </w:rPr>
            </w:pPr>
          </w:p>
        </w:tc>
        <w:tc>
          <w:tcPr>
            <w:tcW w:w="377" w:type="dxa"/>
          </w:tcPr>
          <w:p w14:paraId="130D9D54" w14:textId="77777777" w:rsidR="00685478" w:rsidRPr="00E92D67" w:rsidRDefault="00685478" w:rsidP="00470234">
            <w:pPr>
              <w:jc w:val="both"/>
              <w:rPr>
                <w:rFonts w:ascii="Arial" w:hAnsi="Arial" w:cs="Arial"/>
                <w:sz w:val="20"/>
                <w:szCs w:val="20"/>
              </w:rPr>
            </w:pPr>
          </w:p>
        </w:tc>
        <w:tc>
          <w:tcPr>
            <w:tcW w:w="377" w:type="dxa"/>
          </w:tcPr>
          <w:p w14:paraId="0C594FB3" w14:textId="77777777" w:rsidR="00685478" w:rsidRPr="00E92D67" w:rsidRDefault="00685478" w:rsidP="00470234">
            <w:pPr>
              <w:jc w:val="both"/>
              <w:rPr>
                <w:rFonts w:ascii="Arial" w:hAnsi="Arial" w:cs="Arial"/>
                <w:sz w:val="20"/>
                <w:szCs w:val="20"/>
              </w:rPr>
            </w:pPr>
          </w:p>
        </w:tc>
        <w:tc>
          <w:tcPr>
            <w:tcW w:w="377" w:type="dxa"/>
          </w:tcPr>
          <w:p w14:paraId="595331A2"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6AAC0D59" w14:textId="77777777" w:rsidTr="00470234">
        <w:tblPrEx>
          <w:tblCellMar>
            <w:left w:w="108" w:type="dxa"/>
            <w:right w:w="108" w:type="dxa"/>
          </w:tblCellMar>
          <w:tblLook w:val="04A0" w:firstRow="1" w:lastRow="0" w:firstColumn="1" w:lastColumn="0" w:noHBand="0" w:noVBand="1"/>
        </w:tblPrEx>
        <w:tc>
          <w:tcPr>
            <w:tcW w:w="4477" w:type="dxa"/>
            <w:gridSpan w:val="2"/>
          </w:tcPr>
          <w:p w14:paraId="1AFE81A4"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Lesiones Personales con deformidad física</w:t>
            </w:r>
          </w:p>
        </w:tc>
        <w:tc>
          <w:tcPr>
            <w:tcW w:w="691" w:type="dxa"/>
          </w:tcPr>
          <w:p w14:paraId="30C03DD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32</w:t>
            </w:r>
          </w:p>
        </w:tc>
        <w:tc>
          <w:tcPr>
            <w:tcW w:w="686" w:type="dxa"/>
            <w:gridSpan w:val="2"/>
          </w:tcPr>
          <w:p w14:paraId="5A10D24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126</w:t>
            </w:r>
          </w:p>
        </w:tc>
        <w:tc>
          <w:tcPr>
            <w:tcW w:w="696" w:type="dxa"/>
          </w:tcPr>
          <w:p w14:paraId="525F7C41"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2.67</w:t>
            </w:r>
          </w:p>
        </w:tc>
        <w:tc>
          <w:tcPr>
            <w:tcW w:w="696" w:type="dxa"/>
          </w:tcPr>
          <w:p w14:paraId="342EA5A0"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10.5</w:t>
            </w:r>
          </w:p>
        </w:tc>
        <w:tc>
          <w:tcPr>
            <w:tcW w:w="377" w:type="dxa"/>
          </w:tcPr>
          <w:p w14:paraId="7C94C70F" w14:textId="77777777" w:rsidR="00685478" w:rsidRPr="00E92D67" w:rsidRDefault="00685478" w:rsidP="00470234">
            <w:pPr>
              <w:jc w:val="both"/>
              <w:rPr>
                <w:rFonts w:ascii="Arial" w:hAnsi="Arial" w:cs="Arial"/>
                <w:sz w:val="20"/>
                <w:szCs w:val="20"/>
              </w:rPr>
            </w:pPr>
          </w:p>
        </w:tc>
        <w:tc>
          <w:tcPr>
            <w:tcW w:w="377" w:type="dxa"/>
          </w:tcPr>
          <w:p w14:paraId="72A585C7" w14:textId="77777777" w:rsidR="00685478" w:rsidRPr="00E92D67" w:rsidRDefault="00685478" w:rsidP="00470234">
            <w:pPr>
              <w:jc w:val="both"/>
              <w:rPr>
                <w:rFonts w:ascii="Arial" w:hAnsi="Arial" w:cs="Arial"/>
                <w:sz w:val="20"/>
                <w:szCs w:val="20"/>
              </w:rPr>
            </w:pPr>
          </w:p>
        </w:tc>
        <w:tc>
          <w:tcPr>
            <w:tcW w:w="377" w:type="dxa"/>
          </w:tcPr>
          <w:p w14:paraId="530A22E5" w14:textId="77777777" w:rsidR="00685478" w:rsidRPr="00E92D67" w:rsidRDefault="00685478" w:rsidP="00470234">
            <w:pPr>
              <w:jc w:val="both"/>
              <w:rPr>
                <w:rFonts w:ascii="Arial" w:hAnsi="Arial" w:cs="Arial"/>
                <w:sz w:val="20"/>
                <w:szCs w:val="20"/>
              </w:rPr>
            </w:pPr>
          </w:p>
        </w:tc>
        <w:tc>
          <w:tcPr>
            <w:tcW w:w="377" w:type="dxa"/>
          </w:tcPr>
          <w:p w14:paraId="46E991EB" w14:textId="77777777" w:rsidR="00685478" w:rsidRPr="00E92D67" w:rsidRDefault="00685478" w:rsidP="00470234">
            <w:pPr>
              <w:jc w:val="both"/>
              <w:rPr>
                <w:rFonts w:ascii="Arial" w:hAnsi="Arial" w:cs="Arial"/>
                <w:sz w:val="20"/>
                <w:szCs w:val="20"/>
              </w:rPr>
            </w:pPr>
          </w:p>
        </w:tc>
        <w:tc>
          <w:tcPr>
            <w:tcW w:w="377" w:type="dxa"/>
          </w:tcPr>
          <w:p w14:paraId="098FBF56"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7196A36F" w14:textId="77777777" w:rsidTr="00470234">
        <w:tblPrEx>
          <w:tblCellMar>
            <w:left w:w="108" w:type="dxa"/>
            <w:right w:w="108" w:type="dxa"/>
          </w:tblCellMar>
          <w:tblLook w:val="04A0" w:firstRow="1" w:lastRow="0" w:firstColumn="1" w:lastColumn="0" w:noHBand="0" w:noVBand="1"/>
        </w:tblPrEx>
        <w:tc>
          <w:tcPr>
            <w:tcW w:w="4477" w:type="dxa"/>
            <w:gridSpan w:val="2"/>
          </w:tcPr>
          <w:p w14:paraId="6588F7A1"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Lesiones personales con perturbación funcional permanente</w:t>
            </w:r>
          </w:p>
        </w:tc>
        <w:tc>
          <w:tcPr>
            <w:tcW w:w="691" w:type="dxa"/>
          </w:tcPr>
          <w:p w14:paraId="5290D5B2"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32</w:t>
            </w:r>
          </w:p>
        </w:tc>
        <w:tc>
          <w:tcPr>
            <w:tcW w:w="686" w:type="dxa"/>
            <w:gridSpan w:val="2"/>
          </w:tcPr>
          <w:p w14:paraId="1962F152"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126</w:t>
            </w:r>
          </w:p>
        </w:tc>
        <w:tc>
          <w:tcPr>
            <w:tcW w:w="696" w:type="dxa"/>
          </w:tcPr>
          <w:p w14:paraId="03D0A099"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2.67</w:t>
            </w:r>
          </w:p>
        </w:tc>
        <w:tc>
          <w:tcPr>
            <w:tcW w:w="696" w:type="dxa"/>
          </w:tcPr>
          <w:p w14:paraId="75ADBDD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10.5</w:t>
            </w:r>
          </w:p>
        </w:tc>
        <w:tc>
          <w:tcPr>
            <w:tcW w:w="377" w:type="dxa"/>
          </w:tcPr>
          <w:p w14:paraId="255893AF" w14:textId="77777777" w:rsidR="00685478" w:rsidRPr="00E92D67" w:rsidRDefault="00685478" w:rsidP="00470234">
            <w:pPr>
              <w:jc w:val="both"/>
              <w:rPr>
                <w:rFonts w:ascii="Arial" w:hAnsi="Arial" w:cs="Arial"/>
                <w:sz w:val="20"/>
                <w:szCs w:val="20"/>
              </w:rPr>
            </w:pPr>
          </w:p>
        </w:tc>
        <w:tc>
          <w:tcPr>
            <w:tcW w:w="377" w:type="dxa"/>
          </w:tcPr>
          <w:p w14:paraId="52266B6D" w14:textId="77777777" w:rsidR="00685478" w:rsidRPr="00E92D67" w:rsidRDefault="00685478" w:rsidP="00470234">
            <w:pPr>
              <w:jc w:val="both"/>
              <w:rPr>
                <w:rFonts w:ascii="Arial" w:hAnsi="Arial" w:cs="Arial"/>
                <w:sz w:val="20"/>
                <w:szCs w:val="20"/>
              </w:rPr>
            </w:pPr>
          </w:p>
        </w:tc>
        <w:tc>
          <w:tcPr>
            <w:tcW w:w="377" w:type="dxa"/>
          </w:tcPr>
          <w:p w14:paraId="26F4200C" w14:textId="77777777" w:rsidR="00685478" w:rsidRPr="00E92D67" w:rsidRDefault="00685478" w:rsidP="00470234">
            <w:pPr>
              <w:jc w:val="both"/>
              <w:rPr>
                <w:rFonts w:ascii="Arial" w:hAnsi="Arial" w:cs="Arial"/>
                <w:sz w:val="20"/>
                <w:szCs w:val="20"/>
              </w:rPr>
            </w:pPr>
          </w:p>
        </w:tc>
        <w:tc>
          <w:tcPr>
            <w:tcW w:w="377" w:type="dxa"/>
          </w:tcPr>
          <w:p w14:paraId="7E7E31F7" w14:textId="77777777" w:rsidR="00685478" w:rsidRPr="00E92D67" w:rsidRDefault="00685478" w:rsidP="00470234">
            <w:pPr>
              <w:jc w:val="both"/>
              <w:rPr>
                <w:rFonts w:ascii="Arial" w:hAnsi="Arial" w:cs="Arial"/>
                <w:sz w:val="20"/>
                <w:szCs w:val="20"/>
              </w:rPr>
            </w:pPr>
          </w:p>
        </w:tc>
        <w:tc>
          <w:tcPr>
            <w:tcW w:w="377" w:type="dxa"/>
          </w:tcPr>
          <w:p w14:paraId="4A4FC71E"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7241553C" w14:textId="77777777" w:rsidTr="00470234">
        <w:tblPrEx>
          <w:tblCellMar>
            <w:left w:w="108" w:type="dxa"/>
            <w:right w:w="108" w:type="dxa"/>
          </w:tblCellMar>
          <w:tblLook w:val="04A0" w:firstRow="1" w:lastRow="0" w:firstColumn="1" w:lastColumn="0" w:noHBand="0" w:noVBand="1"/>
        </w:tblPrEx>
        <w:tc>
          <w:tcPr>
            <w:tcW w:w="4477" w:type="dxa"/>
            <w:gridSpan w:val="2"/>
          </w:tcPr>
          <w:p w14:paraId="3B08DBDA"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lastRenderedPageBreak/>
              <w:t>Lesiones Personales con perturbación psíquica permanente</w:t>
            </w:r>
          </w:p>
        </w:tc>
        <w:tc>
          <w:tcPr>
            <w:tcW w:w="691" w:type="dxa"/>
          </w:tcPr>
          <w:p w14:paraId="5DE6FDDB"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48</w:t>
            </w:r>
          </w:p>
        </w:tc>
        <w:tc>
          <w:tcPr>
            <w:tcW w:w="686" w:type="dxa"/>
            <w:gridSpan w:val="2"/>
          </w:tcPr>
          <w:p w14:paraId="01A5953A"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162</w:t>
            </w:r>
          </w:p>
        </w:tc>
        <w:tc>
          <w:tcPr>
            <w:tcW w:w="696" w:type="dxa"/>
          </w:tcPr>
          <w:p w14:paraId="485A7D4E"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2.67</w:t>
            </w:r>
          </w:p>
        </w:tc>
        <w:tc>
          <w:tcPr>
            <w:tcW w:w="696" w:type="dxa"/>
          </w:tcPr>
          <w:p w14:paraId="5285EBC2"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10.5</w:t>
            </w:r>
          </w:p>
        </w:tc>
        <w:tc>
          <w:tcPr>
            <w:tcW w:w="377" w:type="dxa"/>
          </w:tcPr>
          <w:p w14:paraId="76B24F49" w14:textId="77777777" w:rsidR="00685478" w:rsidRPr="00E92D67" w:rsidRDefault="00685478" w:rsidP="00470234">
            <w:pPr>
              <w:jc w:val="both"/>
              <w:rPr>
                <w:rFonts w:ascii="Arial" w:hAnsi="Arial" w:cs="Arial"/>
                <w:sz w:val="20"/>
                <w:szCs w:val="20"/>
              </w:rPr>
            </w:pPr>
          </w:p>
        </w:tc>
        <w:tc>
          <w:tcPr>
            <w:tcW w:w="377" w:type="dxa"/>
          </w:tcPr>
          <w:p w14:paraId="31988D3F" w14:textId="77777777" w:rsidR="00685478" w:rsidRPr="00E92D67" w:rsidRDefault="00685478" w:rsidP="00470234">
            <w:pPr>
              <w:jc w:val="both"/>
              <w:rPr>
                <w:rFonts w:ascii="Arial" w:hAnsi="Arial" w:cs="Arial"/>
                <w:sz w:val="20"/>
                <w:szCs w:val="20"/>
              </w:rPr>
            </w:pPr>
          </w:p>
        </w:tc>
        <w:tc>
          <w:tcPr>
            <w:tcW w:w="377" w:type="dxa"/>
          </w:tcPr>
          <w:p w14:paraId="446F68C0" w14:textId="77777777" w:rsidR="00685478" w:rsidRPr="00E92D67" w:rsidRDefault="00685478" w:rsidP="00470234">
            <w:pPr>
              <w:jc w:val="both"/>
              <w:rPr>
                <w:rFonts w:ascii="Arial" w:hAnsi="Arial" w:cs="Arial"/>
                <w:sz w:val="20"/>
                <w:szCs w:val="20"/>
              </w:rPr>
            </w:pPr>
          </w:p>
        </w:tc>
        <w:tc>
          <w:tcPr>
            <w:tcW w:w="377" w:type="dxa"/>
          </w:tcPr>
          <w:p w14:paraId="011276CE" w14:textId="77777777" w:rsidR="00685478" w:rsidRPr="00E92D67" w:rsidRDefault="00685478" w:rsidP="00470234">
            <w:pPr>
              <w:jc w:val="both"/>
              <w:rPr>
                <w:rFonts w:ascii="Arial" w:hAnsi="Arial" w:cs="Arial"/>
                <w:sz w:val="20"/>
                <w:szCs w:val="20"/>
              </w:rPr>
            </w:pPr>
          </w:p>
        </w:tc>
        <w:tc>
          <w:tcPr>
            <w:tcW w:w="377" w:type="dxa"/>
          </w:tcPr>
          <w:p w14:paraId="3C646346"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1E78F1D5" w14:textId="77777777" w:rsidTr="00470234">
        <w:tblPrEx>
          <w:tblCellMar>
            <w:left w:w="108" w:type="dxa"/>
            <w:right w:w="108" w:type="dxa"/>
          </w:tblCellMar>
          <w:tblLook w:val="04A0" w:firstRow="1" w:lastRow="0" w:firstColumn="1" w:lastColumn="0" w:noHBand="0" w:noVBand="1"/>
        </w:tblPrEx>
        <w:tc>
          <w:tcPr>
            <w:tcW w:w="4477" w:type="dxa"/>
            <w:gridSpan w:val="2"/>
          </w:tcPr>
          <w:p w14:paraId="4F6FDE2D"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Lesiones personales con pérdida anatómica o funcional de un órgano o miembro</w:t>
            </w:r>
          </w:p>
        </w:tc>
        <w:tc>
          <w:tcPr>
            <w:tcW w:w="691" w:type="dxa"/>
          </w:tcPr>
          <w:p w14:paraId="11AB3619"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96</w:t>
            </w:r>
          </w:p>
        </w:tc>
        <w:tc>
          <w:tcPr>
            <w:tcW w:w="686" w:type="dxa"/>
            <w:gridSpan w:val="2"/>
          </w:tcPr>
          <w:p w14:paraId="70471713"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180</w:t>
            </w:r>
          </w:p>
        </w:tc>
        <w:tc>
          <w:tcPr>
            <w:tcW w:w="696" w:type="dxa"/>
          </w:tcPr>
          <w:p w14:paraId="724D245E"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8</w:t>
            </w:r>
          </w:p>
        </w:tc>
        <w:tc>
          <w:tcPr>
            <w:tcW w:w="696" w:type="dxa"/>
          </w:tcPr>
          <w:p w14:paraId="14791CB7"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15</w:t>
            </w:r>
          </w:p>
        </w:tc>
        <w:tc>
          <w:tcPr>
            <w:tcW w:w="377" w:type="dxa"/>
          </w:tcPr>
          <w:p w14:paraId="054F67FC" w14:textId="77777777" w:rsidR="00685478" w:rsidRPr="00E92D67" w:rsidRDefault="00685478" w:rsidP="00470234">
            <w:pPr>
              <w:jc w:val="both"/>
              <w:rPr>
                <w:rFonts w:ascii="Arial" w:hAnsi="Arial" w:cs="Arial"/>
                <w:sz w:val="20"/>
                <w:szCs w:val="20"/>
              </w:rPr>
            </w:pPr>
          </w:p>
        </w:tc>
        <w:tc>
          <w:tcPr>
            <w:tcW w:w="377" w:type="dxa"/>
          </w:tcPr>
          <w:p w14:paraId="5254D74F" w14:textId="77777777" w:rsidR="00685478" w:rsidRPr="00E92D67" w:rsidRDefault="00685478" w:rsidP="00470234">
            <w:pPr>
              <w:jc w:val="both"/>
              <w:rPr>
                <w:rFonts w:ascii="Arial" w:hAnsi="Arial" w:cs="Arial"/>
                <w:sz w:val="20"/>
                <w:szCs w:val="20"/>
              </w:rPr>
            </w:pPr>
          </w:p>
        </w:tc>
        <w:tc>
          <w:tcPr>
            <w:tcW w:w="377" w:type="dxa"/>
          </w:tcPr>
          <w:p w14:paraId="1BD4C459" w14:textId="77777777" w:rsidR="00685478" w:rsidRPr="00E92D67" w:rsidRDefault="00685478" w:rsidP="00470234">
            <w:pPr>
              <w:jc w:val="both"/>
              <w:rPr>
                <w:rFonts w:ascii="Arial" w:hAnsi="Arial" w:cs="Arial"/>
                <w:sz w:val="20"/>
                <w:szCs w:val="20"/>
              </w:rPr>
            </w:pPr>
          </w:p>
        </w:tc>
        <w:tc>
          <w:tcPr>
            <w:tcW w:w="377" w:type="dxa"/>
          </w:tcPr>
          <w:p w14:paraId="4C7D4B38" w14:textId="77777777" w:rsidR="00685478" w:rsidRPr="00E92D67" w:rsidRDefault="00685478" w:rsidP="00470234">
            <w:pPr>
              <w:jc w:val="both"/>
              <w:rPr>
                <w:rFonts w:ascii="Arial" w:hAnsi="Arial" w:cs="Arial"/>
                <w:sz w:val="20"/>
                <w:szCs w:val="20"/>
              </w:rPr>
            </w:pPr>
          </w:p>
        </w:tc>
        <w:tc>
          <w:tcPr>
            <w:tcW w:w="377" w:type="dxa"/>
          </w:tcPr>
          <w:p w14:paraId="7DBB88B8" w14:textId="77777777" w:rsidR="00685478" w:rsidRPr="00E92D67" w:rsidRDefault="00685478" w:rsidP="00470234">
            <w:pPr>
              <w:jc w:val="both"/>
              <w:rPr>
                <w:rFonts w:ascii="Arial" w:hAnsi="Arial" w:cs="Arial"/>
                <w:sz w:val="20"/>
                <w:szCs w:val="20"/>
              </w:rPr>
            </w:pPr>
          </w:p>
        </w:tc>
      </w:tr>
      <w:tr w:rsidR="00685478" w:rsidRPr="00E92D67" w14:paraId="09CB6E11" w14:textId="77777777" w:rsidTr="00470234">
        <w:tblPrEx>
          <w:tblCellMar>
            <w:left w:w="108" w:type="dxa"/>
            <w:right w:w="108" w:type="dxa"/>
          </w:tblCellMar>
          <w:tblLook w:val="04A0" w:firstRow="1" w:lastRow="0" w:firstColumn="1" w:lastColumn="0" w:noHBand="0" w:noVBand="1"/>
        </w:tblPrEx>
        <w:tc>
          <w:tcPr>
            <w:tcW w:w="4477" w:type="dxa"/>
            <w:gridSpan w:val="2"/>
          </w:tcPr>
          <w:p w14:paraId="20E23CF1"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Hurto Calificado</w:t>
            </w:r>
          </w:p>
        </w:tc>
        <w:tc>
          <w:tcPr>
            <w:tcW w:w="691" w:type="dxa"/>
          </w:tcPr>
          <w:p w14:paraId="2248A4BF"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60</w:t>
            </w:r>
          </w:p>
        </w:tc>
        <w:tc>
          <w:tcPr>
            <w:tcW w:w="686" w:type="dxa"/>
            <w:gridSpan w:val="2"/>
          </w:tcPr>
          <w:p w14:paraId="57E4F9E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144</w:t>
            </w:r>
          </w:p>
        </w:tc>
        <w:tc>
          <w:tcPr>
            <w:tcW w:w="696" w:type="dxa"/>
          </w:tcPr>
          <w:p w14:paraId="06539D1D"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5</w:t>
            </w:r>
          </w:p>
        </w:tc>
        <w:tc>
          <w:tcPr>
            <w:tcW w:w="696" w:type="dxa"/>
          </w:tcPr>
          <w:p w14:paraId="50BF099F"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12</w:t>
            </w:r>
          </w:p>
        </w:tc>
        <w:tc>
          <w:tcPr>
            <w:tcW w:w="377" w:type="dxa"/>
          </w:tcPr>
          <w:p w14:paraId="4BE0F96B" w14:textId="77777777" w:rsidR="00685478" w:rsidRPr="00E92D67" w:rsidRDefault="00685478" w:rsidP="00470234">
            <w:pPr>
              <w:jc w:val="both"/>
              <w:rPr>
                <w:rFonts w:ascii="Arial" w:hAnsi="Arial" w:cs="Arial"/>
                <w:sz w:val="20"/>
                <w:szCs w:val="20"/>
              </w:rPr>
            </w:pPr>
          </w:p>
        </w:tc>
        <w:tc>
          <w:tcPr>
            <w:tcW w:w="377" w:type="dxa"/>
          </w:tcPr>
          <w:p w14:paraId="10CD63DA" w14:textId="77777777" w:rsidR="00685478" w:rsidRPr="00E92D67" w:rsidRDefault="00685478" w:rsidP="00470234">
            <w:pPr>
              <w:jc w:val="both"/>
              <w:rPr>
                <w:rFonts w:ascii="Arial" w:hAnsi="Arial" w:cs="Arial"/>
                <w:sz w:val="20"/>
                <w:szCs w:val="20"/>
              </w:rPr>
            </w:pPr>
          </w:p>
        </w:tc>
        <w:tc>
          <w:tcPr>
            <w:tcW w:w="377" w:type="dxa"/>
          </w:tcPr>
          <w:p w14:paraId="327C5DD7" w14:textId="77777777" w:rsidR="00685478" w:rsidRPr="00E92D67" w:rsidRDefault="00685478" w:rsidP="00470234">
            <w:pPr>
              <w:jc w:val="both"/>
              <w:rPr>
                <w:rFonts w:ascii="Arial" w:hAnsi="Arial" w:cs="Arial"/>
                <w:sz w:val="20"/>
                <w:szCs w:val="20"/>
              </w:rPr>
            </w:pPr>
          </w:p>
        </w:tc>
        <w:tc>
          <w:tcPr>
            <w:tcW w:w="377" w:type="dxa"/>
          </w:tcPr>
          <w:p w14:paraId="6828CB0F" w14:textId="77777777" w:rsidR="00685478" w:rsidRPr="00E92D67" w:rsidRDefault="00685478" w:rsidP="00470234">
            <w:pPr>
              <w:jc w:val="both"/>
              <w:rPr>
                <w:rFonts w:ascii="Arial" w:hAnsi="Arial" w:cs="Arial"/>
                <w:sz w:val="20"/>
                <w:szCs w:val="20"/>
              </w:rPr>
            </w:pPr>
          </w:p>
        </w:tc>
        <w:tc>
          <w:tcPr>
            <w:tcW w:w="377" w:type="dxa"/>
          </w:tcPr>
          <w:p w14:paraId="0002E302" w14:textId="77777777" w:rsidR="00685478" w:rsidRPr="00E92D67" w:rsidRDefault="00685478" w:rsidP="00470234">
            <w:pPr>
              <w:jc w:val="both"/>
              <w:rPr>
                <w:rFonts w:ascii="Arial" w:hAnsi="Arial" w:cs="Arial"/>
                <w:sz w:val="20"/>
                <w:szCs w:val="20"/>
              </w:rPr>
            </w:pPr>
          </w:p>
        </w:tc>
      </w:tr>
      <w:tr w:rsidR="00685478" w:rsidRPr="00E92D67" w14:paraId="181F4B48" w14:textId="77777777" w:rsidTr="00470234">
        <w:tblPrEx>
          <w:tblCellMar>
            <w:left w:w="108" w:type="dxa"/>
            <w:right w:w="108" w:type="dxa"/>
          </w:tblCellMar>
          <w:tblLook w:val="04A0" w:firstRow="1" w:lastRow="0" w:firstColumn="1" w:lastColumn="0" w:noHBand="0" w:noVBand="1"/>
        </w:tblPrEx>
        <w:tc>
          <w:tcPr>
            <w:tcW w:w="4477" w:type="dxa"/>
            <w:gridSpan w:val="2"/>
          </w:tcPr>
          <w:p w14:paraId="5C4A2757"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Abigeato</w:t>
            </w:r>
          </w:p>
        </w:tc>
        <w:tc>
          <w:tcPr>
            <w:tcW w:w="691" w:type="dxa"/>
          </w:tcPr>
          <w:p w14:paraId="23D41FE0"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60</w:t>
            </w:r>
          </w:p>
        </w:tc>
        <w:tc>
          <w:tcPr>
            <w:tcW w:w="686" w:type="dxa"/>
            <w:gridSpan w:val="2"/>
          </w:tcPr>
          <w:p w14:paraId="1BD7AAFF"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120</w:t>
            </w:r>
          </w:p>
        </w:tc>
        <w:tc>
          <w:tcPr>
            <w:tcW w:w="696" w:type="dxa"/>
          </w:tcPr>
          <w:p w14:paraId="3BC7AB37"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6.67</w:t>
            </w:r>
          </w:p>
        </w:tc>
        <w:tc>
          <w:tcPr>
            <w:tcW w:w="696" w:type="dxa"/>
          </w:tcPr>
          <w:p w14:paraId="760027C2"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10</w:t>
            </w:r>
          </w:p>
        </w:tc>
        <w:tc>
          <w:tcPr>
            <w:tcW w:w="377" w:type="dxa"/>
          </w:tcPr>
          <w:p w14:paraId="7F0221F4" w14:textId="77777777" w:rsidR="00685478" w:rsidRPr="00E92D67" w:rsidRDefault="00685478" w:rsidP="00470234">
            <w:pPr>
              <w:jc w:val="both"/>
              <w:rPr>
                <w:rFonts w:ascii="Arial" w:hAnsi="Arial" w:cs="Arial"/>
                <w:sz w:val="20"/>
                <w:szCs w:val="20"/>
              </w:rPr>
            </w:pPr>
          </w:p>
        </w:tc>
        <w:tc>
          <w:tcPr>
            <w:tcW w:w="377" w:type="dxa"/>
          </w:tcPr>
          <w:p w14:paraId="0FDD7DD0" w14:textId="77777777" w:rsidR="00685478" w:rsidRPr="00E92D67" w:rsidRDefault="00685478" w:rsidP="00470234">
            <w:pPr>
              <w:jc w:val="both"/>
              <w:rPr>
                <w:rFonts w:ascii="Arial" w:hAnsi="Arial" w:cs="Arial"/>
                <w:sz w:val="20"/>
                <w:szCs w:val="20"/>
              </w:rPr>
            </w:pPr>
          </w:p>
        </w:tc>
        <w:tc>
          <w:tcPr>
            <w:tcW w:w="377" w:type="dxa"/>
          </w:tcPr>
          <w:p w14:paraId="3F3044E4" w14:textId="77777777" w:rsidR="00685478" w:rsidRPr="00E92D67" w:rsidRDefault="00685478" w:rsidP="00470234">
            <w:pPr>
              <w:jc w:val="both"/>
              <w:rPr>
                <w:rFonts w:ascii="Arial" w:hAnsi="Arial" w:cs="Arial"/>
                <w:sz w:val="20"/>
                <w:szCs w:val="20"/>
              </w:rPr>
            </w:pPr>
          </w:p>
        </w:tc>
        <w:tc>
          <w:tcPr>
            <w:tcW w:w="377" w:type="dxa"/>
          </w:tcPr>
          <w:p w14:paraId="39CFBEBD" w14:textId="77777777" w:rsidR="00685478" w:rsidRPr="00E92D67" w:rsidRDefault="00685478" w:rsidP="00470234">
            <w:pPr>
              <w:jc w:val="both"/>
              <w:rPr>
                <w:rFonts w:ascii="Arial" w:hAnsi="Arial" w:cs="Arial"/>
                <w:sz w:val="20"/>
                <w:szCs w:val="20"/>
              </w:rPr>
            </w:pPr>
          </w:p>
        </w:tc>
        <w:tc>
          <w:tcPr>
            <w:tcW w:w="377" w:type="dxa"/>
          </w:tcPr>
          <w:p w14:paraId="71D51F51" w14:textId="77777777" w:rsidR="00685478" w:rsidRPr="00E92D67" w:rsidRDefault="00685478" w:rsidP="00470234">
            <w:pPr>
              <w:jc w:val="both"/>
              <w:rPr>
                <w:rFonts w:ascii="Arial" w:hAnsi="Arial" w:cs="Arial"/>
                <w:sz w:val="20"/>
                <w:szCs w:val="20"/>
              </w:rPr>
            </w:pPr>
          </w:p>
        </w:tc>
      </w:tr>
      <w:tr w:rsidR="00685478" w:rsidRPr="00E92D67" w14:paraId="0DB8B9C2" w14:textId="77777777" w:rsidTr="00470234">
        <w:tblPrEx>
          <w:tblCellMar>
            <w:left w:w="108" w:type="dxa"/>
            <w:right w:w="108" w:type="dxa"/>
          </w:tblCellMar>
          <w:tblLook w:val="04A0" w:firstRow="1" w:lastRow="0" w:firstColumn="1" w:lastColumn="0" w:noHBand="0" w:noVBand="1"/>
        </w:tblPrEx>
        <w:tc>
          <w:tcPr>
            <w:tcW w:w="4477" w:type="dxa"/>
            <w:gridSpan w:val="2"/>
          </w:tcPr>
          <w:p w14:paraId="0397CF8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Abigeato Agravado</w:t>
            </w:r>
          </w:p>
        </w:tc>
        <w:tc>
          <w:tcPr>
            <w:tcW w:w="691" w:type="dxa"/>
          </w:tcPr>
          <w:p w14:paraId="7200C3EE"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80</w:t>
            </w:r>
          </w:p>
        </w:tc>
        <w:tc>
          <w:tcPr>
            <w:tcW w:w="686" w:type="dxa"/>
            <w:gridSpan w:val="2"/>
          </w:tcPr>
          <w:p w14:paraId="22697E8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180</w:t>
            </w:r>
          </w:p>
        </w:tc>
        <w:tc>
          <w:tcPr>
            <w:tcW w:w="696" w:type="dxa"/>
          </w:tcPr>
          <w:p w14:paraId="44276DF0"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6.67</w:t>
            </w:r>
          </w:p>
        </w:tc>
        <w:tc>
          <w:tcPr>
            <w:tcW w:w="696" w:type="dxa"/>
          </w:tcPr>
          <w:p w14:paraId="37B15DD0"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15</w:t>
            </w:r>
          </w:p>
        </w:tc>
        <w:tc>
          <w:tcPr>
            <w:tcW w:w="377" w:type="dxa"/>
          </w:tcPr>
          <w:p w14:paraId="2A68D54C" w14:textId="77777777" w:rsidR="00685478" w:rsidRPr="00E92D67" w:rsidRDefault="00685478" w:rsidP="00470234">
            <w:pPr>
              <w:jc w:val="both"/>
              <w:rPr>
                <w:rFonts w:ascii="Arial" w:hAnsi="Arial" w:cs="Arial"/>
                <w:sz w:val="20"/>
                <w:szCs w:val="20"/>
              </w:rPr>
            </w:pPr>
          </w:p>
        </w:tc>
        <w:tc>
          <w:tcPr>
            <w:tcW w:w="377" w:type="dxa"/>
          </w:tcPr>
          <w:p w14:paraId="12CB8B32" w14:textId="77777777" w:rsidR="00685478" w:rsidRPr="00E92D67" w:rsidRDefault="00685478" w:rsidP="00470234">
            <w:pPr>
              <w:jc w:val="both"/>
              <w:rPr>
                <w:rFonts w:ascii="Arial" w:hAnsi="Arial" w:cs="Arial"/>
                <w:sz w:val="20"/>
                <w:szCs w:val="20"/>
              </w:rPr>
            </w:pPr>
          </w:p>
        </w:tc>
        <w:tc>
          <w:tcPr>
            <w:tcW w:w="377" w:type="dxa"/>
          </w:tcPr>
          <w:p w14:paraId="25A7B4B0" w14:textId="77777777" w:rsidR="00685478" w:rsidRPr="00E92D67" w:rsidRDefault="00685478" w:rsidP="00470234">
            <w:pPr>
              <w:jc w:val="both"/>
              <w:rPr>
                <w:rFonts w:ascii="Arial" w:hAnsi="Arial" w:cs="Arial"/>
                <w:sz w:val="20"/>
                <w:szCs w:val="20"/>
              </w:rPr>
            </w:pPr>
          </w:p>
        </w:tc>
        <w:tc>
          <w:tcPr>
            <w:tcW w:w="377" w:type="dxa"/>
          </w:tcPr>
          <w:p w14:paraId="2DCB8E45" w14:textId="77777777" w:rsidR="00685478" w:rsidRPr="00E92D67" w:rsidRDefault="00685478" w:rsidP="00470234">
            <w:pPr>
              <w:jc w:val="both"/>
              <w:rPr>
                <w:rFonts w:ascii="Arial" w:hAnsi="Arial" w:cs="Arial"/>
                <w:sz w:val="20"/>
                <w:szCs w:val="20"/>
              </w:rPr>
            </w:pPr>
          </w:p>
        </w:tc>
        <w:tc>
          <w:tcPr>
            <w:tcW w:w="377" w:type="dxa"/>
          </w:tcPr>
          <w:p w14:paraId="751DA7BB" w14:textId="77777777" w:rsidR="00685478" w:rsidRPr="00E92D67" w:rsidRDefault="00685478" w:rsidP="00470234">
            <w:pPr>
              <w:jc w:val="both"/>
              <w:rPr>
                <w:rFonts w:ascii="Arial" w:hAnsi="Arial" w:cs="Arial"/>
                <w:sz w:val="20"/>
                <w:szCs w:val="20"/>
              </w:rPr>
            </w:pPr>
          </w:p>
        </w:tc>
      </w:tr>
      <w:tr w:rsidR="00685478" w:rsidRPr="00E92D67" w14:paraId="4B512F60" w14:textId="77777777" w:rsidTr="00470234">
        <w:tblPrEx>
          <w:tblCellMar>
            <w:left w:w="108" w:type="dxa"/>
            <w:right w:w="108" w:type="dxa"/>
          </w:tblCellMar>
          <w:tblLook w:val="04A0" w:firstRow="1" w:lastRow="0" w:firstColumn="1" w:lastColumn="0" w:noHBand="0" w:noVBand="1"/>
        </w:tblPrEx>
        <w:tc>
          <w:tcPr>
            <w:tcW w:w="4477" w:type="dxa"/>
            <w:gridSpan w:val="2"/>
          </w:tcPr>
          <w:p w14:paraId="02BAEEAB"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Abigeato Atenuado</w:t>
            </w:r>
          </w:p>
        </w:tc>
        <w:tc>
          <w:tcPr>
            <w:tcW w:w="691" w:type="dxa"/>
          </w:tcPr>
          <w:p w14:paraId="5862C98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0</w:t>
            </w:r>
          </w:p>
        </w:tc>
        <w:tc>
          <w:tcPr>
            <w:tcW w:w="686" w:type="dxa"/>
            <w:gridSpan w:val="2"/>
          </w:tcPr>
          <w:p w14:paraId="60D9E462"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0</w:t>
            </w:r>
          </w:p>
        </w:tc>
        <w:tc>
          <w:tcPr>
            <w:tcW w:w="696" w:type="dxa"/>
          </w:tcPr>
          <w:p w14:paraId="221B781E"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0</w:t>
            </w:r>
          </w:p>
        </w:tc>
        <w:tc>
          <w:tcPr>
            <w:tcW w:w="696" w:type="dxa"/>
          </w:tcPr>
          <w:p w14:paraId="12DBDBB0"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0</w:t>
            </w:r>
          </w:p>
        </w:tc>
        <w:tc>
          <w:tcPr>
            <w:tcW w:w="377" w:type="dxa"/>
          </w:tcPr>
          <w:p w14:paraId="178798AD" w14:textId="77777777" w:rsidR="00685478" w:rsidRPr="00E92D67" w:rsidRDefault="00685478" w:rsidP="00470234">
            <w:pPr>
              <w:jc w:val="both"/>
              <w:rPr>
                <w:rFonts w:ascii="Arial" w:hAnsi="Arial" w:cs="Arial"/>
                <w:sz w:val="20"/>
                <w:szCs w:val="20"/>
              </w:rPr>
            </w:pPr>
          </w:p>
        </w:tc>
        <w:tc>
          <w:tcPr>
            <w:tcW w:w="377" w:type="dxa"/>
          </w:tcPr>
          <w:p w14:paraId="47F8DEFE" w14:textId="77777777" w:rsidR="00685478" w:rsidRPr="00E92D67" w:rsidRDefault="00685478" w:rsidP="00470234">
            <w:pPr>
              <w:jc w:val="both"/>
              <w:rPr>
                <w:rFonts w:ascii="Arial" w:hAnsi="Arial" w:cs="Arial"/>
                <w:sz w:val="20"/>
                <w:szCs w:val="20"/>
              </w:rPr>
            </w:pPr>
          </w:p>
        </w:tc>
        <w:tc>
          <w:tcPr>
            <w:tcW w:w="377" w:type="dxa"/>
          </w:tcPr>
          <w:p w14:paraId="318F8E51" w14:textId="77777777" w:rsidR="00685478" w:rsidRPr="00E92D67" w:rsidRDefault="00685478" w:rsidP="00470234">
            <w:pPr>
              <w:jc w:val="both"/>
              <w:rPr>
                <w:rFonts w:ascii="Arial" w:hAnsi="Arial" w:cs="Arial"/>
                <w:sz w:val="20"/>
                <w:szCs w:val="20"/>
              </w:rPr>
            </w:pPr>
          </w:p>
        </w:tc>
        <w:tc>
          <w:tcPr>
            <w:tcW w:w="377" w:type="dxa"/>
          </w:tcPr>
          <w:p w14:paraId="6B537D4F" w14:textId="77777777" w:rsidR="00685478" w:rsidRPr="00E92D67" w:rsidRDefault="00685478" w:rsidP="00470234">
            <w:pPr>
              <w:jc w:val="both"/>
              <w:rPr>
                <w:rFonts w:ascii="Arial" w:hAnsi="Arial" w:cs="Arial"/>
                <w:sz w:val="20"/>
                <w:szCs w:val="20"/>
              </w:rPr>
            </w:pPr>
          </w:p>
        </w:tc>
        <w:tc>
          <w:tcPr>
            <w:tcW w:w="377" w:type="dxa"/>
          </w:tcPr>
          <w:p w14:paraId="7CFB2F44"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07C96EF1" w14:textId="77777777" w:rsidTr="00470234">
        <w:tblPrEx>
          <w:tblCellMar>
            <w:left w:w="108" w:type="dxa"/>
            <w:right w:w="108" w:type="dxa"/>
          </w:tblCellMar>
          <w:tblLook w:val="04A0" w:firstRow="1" w:lastRow="0" w:firstColumn="1" w:lastColumn="0" w:noHBand="0" w:noVBand="1"/>
        </w:tblPrEx>
        <w:tc>
          <w:tcPr>
            <w:tcW w:w="4477" w:type="dxa"/>
            <w:gridSpan w:val="2"/>
          </w:tcPr>
          <w:p w14:paraId="04935078"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Hurto</w:t>
            </w:r>
          </w:p>
        </w:tc>
        <w:tc>
          <w:tcPr>
            <w:tcW w:w="691" w:type="dxa"/>
          </w:tcPr>
          <w:p w14:paraId="2282AFDC" w14:textId="77777777" w:rsidR="00685478" w:rsidRPr="00E92D67" w:rsidRDefault="00685478" w:rsidP="00470234">
            <w:pPr>
              <w:jc w:val="both"/>
              <w:rPr>
                <w:rFonts w:ascii="Arial" w:hAnsi="Arial" w:cs="Arial"/>
                <w:sz w:val="20"/>
                <w:szCs w:val="20"/>
              </w:rPr>
            </w:pPr>
          </w:p>
        </w:tc>
        <w:tc>
          <w:tcPr>
            <w:tcW w:w="686" w:type="dxa"/>
            <w:gridSpan w:val="2"/>
          </w:tcPr>
          <w:p w14:paraId="0AA16178" w14:textId="77777777" w:rsidR="00685478" w:rsidRPr="00E92D67" w:rsidRDefault="00685478" w:rsidP="00470234">
            <w:pPr>
              <w:jc w:val="both"/>
              <w:rPr>
                <w:rFonts w:ascii="Arial" w:hAnsi="Arial" w:cs="Arial"/>
                <w:sz w:val="20"/>
                <w:szCs w:val="20"/>
              </w:rPr>
            </w:pPr>
          </w:p>
        </w:tc>
        <w:tc>
          <w:tcPr>
            <w:tcW w:w="696" w:type="dxa"/>
          </w:tcPr>
          <w:p w14:paraId="6C24E433" w14:textId="77777777" w:rsidR="00685478" w:rsidRPr="00E92D67" w:rsidRDefault="00685478" w:rsidP="00470234">
            <w:pPr>
              <w:jc w:val="both"/>
              <w:rPr>
                <w:rFonts w:ascii="Arial" w:hAnsi="Arial" w:cs="Arial"/>
                <w:sz w:val="20"/>
                <w:szCs w:val="20"/>
              </w:rPr>
            </w:pPr>
          </w:p>
        </w:tc>
        <w:tc>
          <w:tcPr>
            <w:tcW w:w="696" w:type="dxa"/>
          </w:tcPr>
          <w:p w14:paraId="5E536DCA" w14:textId="77777777" w:rsidR="00685478" w:rsidRPr="00E92D67" w:rsidRDefault="00685478" w:rsidP="00470234">
            <w:pPr>
              <w:jc w:val="both"/>
              <w:rPr>
                <w:rFonts w:ascii="Arial" w:hAnsi="Arial" w:cs="Arial"/>
                <w:sz w:val="20"/>
                <w:szCs w:val="20"/>
              </w:rPr>
            </w:pPr>
          </w:p>
        </w:tc>
        <w:tc>
          <w:tcPr>
            <w:tcW w:w="377" w:type="dxa"/>
          </w:tcPr>
          <w:p w14:paraId="41A7C290" w14:textId="77777777" w:rsidR="00685478" w:rsidRPr="00E92D67" w:rsidRDefault="00685478" w:rsidP="00470234">
            <w:pPr>
              <w:jc w:val="both"/>
              <w:rPr>
                <w:rFonts w:ascii="Arial" w:hAnsi="Arial" w:cs="Arial"/>
                <w:sz w:val="20"/>
                <w:szCs w:val="20"/>
              </w:rPr>
            </w:pPr>
          </w:p>
        </w:tc>
        <w:tc>
          <w:tcPr>
            <w:tcW w:w="377" w:type="dxa"/>
          </w:tcPr>
          <w:p w14:paraId="5BDFE288" w14:textId="77777777" w:rsidR="00685478" w:rsidRPr="00E92D67" w:rsidRDefault="00685478" w:rsidP="00470234">
            <w:pPr>
              <w:jc w:val="both"/>
              <w:rPr>
                <w:rFonts w:ascii="Arial" w:hAnsi="Arial" w:cs="Arial"/>
                <w:sz w:val="20"/>
                <w:szCs w:val="20"/>
              </w:rPr>
            </w:pPr>
          </w:p>
        </w:tc>
        <w:tc>
          <w:tcPr>
            <w:tcW w:w="377" w:type="dxa"/>
          </w:tcPr>
          <w:p w14:paraId="37025B8A"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707E98B1"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43B4BD28"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7B8968EC" w14:textId="77777777" w:rsidTr="00470234">
        <w:tblPrEx>
          <w:tblCellMar>
            <w:left w:w="108" w:type="dxa"/>
            <w:right w:w="108" w:type="dxa"/>
          </w:tblCellMar>
          <w:tblLook w:val="04A0" w:firstRow="1" w:lastRow="0" w:firstColumn="1" w:lastColumn="0" w:noHBand="0" w:noVBand="1"/>
        </w:tblPrEx>
        <w:tc>
          <w:tcPr>
            <w:tcW w:w="4477" w:type="dxa"/>
            <w:gridSpan w:val="2"/>
          </w:tcPr>
          <w:p w14:paraId="55B1CAFF"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Estafa</w:t>
            </w:r>
          </w:p>
        </w:tc>
        <w:tc>
          <w:tcPr>
            <w:tcW w:w="691" w:type="dxa"/>
          </w:tcPr>
          <w:p w14:paraId="20C5825D"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32</w:t>
            </w:r>
          </w:p>
        </w:tc>
        <w:tc>
          <w:tcPr>
            <w:tcW w:w="686" w:type="dxa"/>
            <w:gridSpan w:val="2"/>
          </w:tcPr>
          <w:p w14:paraId="5426E893"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144</w:t>
            </w:r>
          </w:p>
        </w:tc>
        <w:tc>
          <w:tcPr>
            <w:tcW w:w="696" w:type="dxa"/>
          </w:tcPr>
          <w:p w14:paraId="73B5317B"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2.67</w:t>
            </w:r>
          </w:p>
        </w:tc>
        <w:tc>
          <w:tcPr>
            <w:tcW w:w="696" w:type="dxa"/>
          </w:tcPr>
          <w:p w14:paraId="093832F9"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12</w:t>
            </w:r>
          </w:p>
        </w:tc>
        <w:tc>
          <w:tcPr>
            <w:tcW w:w="377" w:type="dxa"/>
          </w:tcPr>
          <w:p w14:paraId="4C083487"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71D3F01D" w14:textId="77777777" w:rsidR="00685478" w:rsidRPr="00E92D67" w:rsidRDefault="00685478" w:rsidP="00470234">
            <w:pPr>
              <w:jc w:val="both"/>
              <w:rPr>
                <w:rFonts w:ascii="Arial" w:hAnsi="Arial" w:cs="Arial"/>
                <w:sz w:val="20"/>
                <w:szCs w:val="20"/>
              </w:rPr>
            </w:pPr>
          </w:p>
        </w:tc>
        <w:tc>
          <w:tcPr>
            <w:tcW w:w="377" w:type="dxa"/>
          </w:tcPr>
          <w:p w14:paraId="6AAF76E7" w14:textId="77777777" w:rsidR="00685478" w:rsidRPr="00E92D67" w:rsidRDefault="00685478" w:rsidP="00470234">
            <w:pPr>
              <w:jc w:val="both"/>
              <w:rPr>
                <w:rFonts w:ascii="Arial" w:hAnsi="Arial" w:cs="Arial"/>
                <w:sz w:val="20"/>
                <w:szCs w:val="20"/>
              </w:rPr>
            </w:pPr>
          </w:p>
        </w:tc>
        <w:tc>
          <w:tcPr>
            <w:tcW w:w="377" w:type="dxa"/>
          </w:tcPr>
          <w:p w14:paraId="68716B2F"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6229E029"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5A96849F" w14:textId="77777777" w:rsidTr="00470234">
        <w:tblPrEx>
          <w:tblCellMar>
            <w:left w:w="108" w:type="dxa"/>
            <w:right w:w="108" w:type="dxa"/>
          </w:tblCellMar>
          <w:tblLook w:val="04A0" w:firstRow="1" w:lastRow="0" w:firstColumn="1" w:lastColumn="0" w:noHBand="0" w:noVBand="1"/>
        </w:tblPrEx>
        <w:tc>
          <w:tcPr>
            <w:tcW w:w="4477" w:type="dxa"/>
            <w:gridSpan w:val="2"/>
          </w:tcPr>
          <w:p w14:paraId="618B1261"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Abuso de confianza</w:t>
            </w:r>
          </w:p>
        </w:tc>
        <w:tc>
          <w:tcPr>
            <w:tcW w:w="691" w:type="dxa"/>
          </w:tcPr>
          <w:p w14:paraId="2F4CFBC4"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16</w:t>
            </w:r>
          </w:p>
        </w:tc>
        <w:tc>
          <w:tcPr>
            <w:tcW w:w="686" w:type="dxa"/>
            <w:gridSpan w:val="2"/>
          </w:tcPr>
          <w:p w14:paraId="37635097"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72</w:t>
            </w:r>
          </w:p>
        </w:tc>
        <w:tc>
          <w:tcPr>
            <w:tcW w:w="696" w:type="dxa"/>
          </w:tcPr>
          <w:p w14:paraId="7817882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1.33</w:t>
            </w:r>
          </w:p>
        </w:tc>
        <w:tc>
          <w:tcPr>
            <w:tcW w:w="696" w:type="dxa"/>
          </w:tcPr>
          <w:p w14:paraId="39CEE4BC"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6</w:t>
            </w:r>
          </w:p>
        </w:tc>
        <w:tc>
          <w:tcPr>
            <w:tcW w:w="377" w:type="dxa"/>
          </w:tcPr>
          <w:p w14:paraId="5129CC59"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4B915A2F" w14:textId="77777777" w:rsidR="00685478" w:rsidRPr="00E92D67" w:rsidRDefault="00685478" w:rsidP="00470234">
            <w:pPr>
              <w:jc w:val="both"/>
              <w:rPr>
                <w:rFonts w:ascii="Arial" w:hAnsi="Arial" w:cs="Arial"/>
                <w:sz w:val="20"/>
                <w:szCs w:val="20"/>
              </w:rPr>
            </w:pPr>
          </w:p>
        </w:tc>
        <w:tc>
          <w:tcPr>
            <w:tcW w:w="377" w:type="dxa"/>
          </w:tcPr>
          <w:p w14:paraId="223D8D79" w14:textId="77777777" w:rsidR="00685478" w:rsidRPr="00E92D67" w:rsidRDefault="00685478" w:rsidP="00470234">
            <w:pPr>
              <w:jc w:val="both"/>
              <w:rPr>
                <w:rFonts w:ascii="Arial" w:hAnsi="Arial" w:cs="Arial"/>
                <w:sz w:val="20"/>
                <w:szCs w:val="20"/>
              </w:rPr>
            </w:pPr>
          </w:p>
        </w:tc>
        <w:tc>
          <w:tcPr>
            <w:tcW w:w="377" w:type="dxa"/>
          </w:tcPr>
          <w:p w14:paraId="2E6930FA"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1488AE61"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17370B90" w14:textId="77777777" w:rsidTr="00470234">
        <w:tblPrEx>
          <w:tblCellMar>
            <w:left w:w="108" w:type="dxa"/>
            <w:right w:w="108" w:type="dxa"/>
          </w:tblCellMar>
          <w:tblLook w:val="04A0" w:firstRow="1" w:lastRow="0" w:firstColumn="1" w:lastColumn="0" w:noHBand="0" w:noVBand="1"/>
        </w:tblPrEx>
        <w:tc>
          <w:tcPr>
            <w:tcW w:w="4477" w:type="dxa"/>
            <w:gridSpan w:val="2"/>
          </w:tcPr>
          <w:p w14:paraId="5B6AA93E"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Abuso de confianza calificado</w:t>
            </w:r>
          </w:p>
        </w:tc>
        <w:tc>
          <w:tcPr>
            <w:tcW w:w="691" w:type="dxa"/>
          </w:tcPr>
          <w:p w14:paraId="25EB956E"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48</w:t>
            </w:r>
          </w:p>
        </w:tc>
        <w:tc>
          <w:tcPr>
            <w:tcW w:w="686" w:type="dxa"/>
            <w:gridSpan w:val="2"/>
          </w:tcPr>
          <w:p w14:paraId="59D051A2"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108</w:t>
            </w:r>
          </w:p>
        </w:tc>
        <w:tc>
          <w:tcPr>
            <w:tcW w:w="696" w:type="dxa"/>
          </w:tcPr>
          <w:p w14:paraId="27D8A84B"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4</w:t>
            </w:r>
          </w:p>
        </w:tc>
        <w:tc>
          <w:tcPr>
            <w:tcW w:w="696" w:type="dxa"/>
          </w:tcPr>
          <w:p w14:paraId="3DBD0310"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9</w:t>
            </w:r>
          </w:p>
        </w:tc>
        <w:tc>
          <w:tcPr>
            <w:tcW w:w="377" w:type="dxa"/>
          </w:tcPr>
          <w:p w14:paraId="172B5109" w14:textId="77777777" w:rsidR="00685478" w:rsidRPr="00E92D67" w:rsidRDefault="00685478" w:rsidP="00470234">
            <w:pPr>
              <w:jc w:val="both"/>
              <w:rPr>
                <w:rFonts w:ascii="Arial" w:hAnsi="Arial" w:cs="Arial"/>
                <w:sz w:val="20"/>
                <w:szCs w:val="20"/>
              </w:rPr>
            </w:pPr>
          </w:p>
        </w:tc>
        <w:tc>
          <w:tcPr>
            <w:tcW w:w="377" w:type="dxa"/>
          </w:tcPr>
          <w:p w14:paraId="73D08009" w14:textId="77777777" w:rsidR="00685478" w:rsidRPr="00E92D67" w:rsidRDefault="00685478" w:rsidP="00470234">
            <w:pPr>
              <w:jc w:val="both"/>
              <w:rPr>
                <w:rFonts w:ascii="Arial" w:hAnsi="Arial" w:cs="Arial"/>
                <w:sz w:val="20"/>
                <w:szCs w:val="20"/>
              </w:rPr>
            </w:pPr>
          </w:p>
        </w:tc>
        <w:tc>
          <w:tcPr>
            <w:tcW w:w="377" w:type="dxa"/>
          </w:tcPr>
          <w:p w14:paraId="20CCDB33" w14:textId="77777777" w:rsidR="00685478" w:rsidRPr="00E92D67" w:rsidRDefault="00685478" w:rsidP="00470234">
            <w:pPr>
              <w:jc w:val="both"/>
              <w:rPr>
                <w:rFonts w:ascii="Arial" w:hAnsi="Arial" w:cs="Arial"/>
                <w:sz w:val="20"/>
                <w:szCs w:val="20"/>
              </w:rPr>
            </w:pPr>
          </w:p>
        </w:tc>
        <w:tc>
          <w:tcPr>
            <w:tcW w:w="377" w:type="dxa"/>
          </w:tcPr>
          <w:p w14:paraId="6E01E5CD"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59D9E51A"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39A9DFC2" w14:textId="77777777" w:rsidTr="00470234">
        <w:tblPrEx>
          <w:tblCellMar>
            <w:left w:w="108" w:type="dxa"/>
            <w:right w:w="108" w:type="dxa"/>
          </w:tblCellMar>
          <w:tblLook w:val="04A0" w:firstRow="1" w:lastRow="0" w:firstColumn="1" w:lastColumn="0" w:noHBand="0" w:noVBand="1"/>
        </w:tblPrEx>
        <w:tc>
          <w:tcPr>
            <w:tcW w:w="4477" w:type="dxa"/>
            <w:gridSpan w:val="2"/>
          </w:tcPr>
          <w:p w14:paraId="35C3431E"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 xml:space="preserve">Daño en bien ajeno </w:t>
            </w:r>
          </w:p>
        </w:tc>
        <w:tc>
          <w:tcPr>
            <w:tcW w:w="691" w:type="dxa"/>
          </w:tcPr>
          <w:p w14:paraId="1EF2AB6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16</w:t>
            </w:r>
          </w:p>
        </w:tc>
        <w:tc>
          <w:tcPr>
            <w:tcW w:w="686" w:type="dxa"/>
            <w:gridSpan w:val="2"/>
          </w:tcPr>
          <w:p w14:paraId="5EA5FED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90</w:t>
            </w:r>
          </w:p>
        </w:tc>
        <w:tc>
          <w:tcPr>
            <w:tcW w:w="696" w:type="dxa"/>
          </w:tcPr>
          <w:p w14:paraId="212E139D"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1.33</w:t>
            </w:r>
          </w:p>
        </w:tc>
        <w:tc>
          <w:tcPr>
            <w:tcW w:w="696" w:type="dxa"/>
          </w:tcPr>
          <w:p w14:paraId="7FB32687"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7.5</w:t>
            </w:r>
          </w:p>
        </w:tc>
        <w:tc>
          <w:tcPr>
            <w:tcW w:w="377" w:type="dxa"/>
          </w:tcPr>
          <w:p w14:paraId="16DA079A"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45624A7B"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66D0189D"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584D2742"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22E80238"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621C0915" w14:textId="77777777" w:rsidTr="00470234">
        <w:tblPrEx>
          <w:tblCellMar>
            <w:left w:w="108" w:type="dxa"/>
            <w:right w:w="108" w:type="dxa"/>
          </w:tblCellMar>
          <w:tblLook w:val="04A0" w:firstRow="1" w:lastRow="0" w:firstColumn="1" w:lastColumn="0" w:noHBand="0" w:noVBand="1"/>
        </w:tblPrEx>
        <w:tc>
          <w:tcPr>
            <w:tcW w:w="4477" w:type="dxa"/>
            <w:gridSpan w:val="2"/>
          </w:tcPr>
          <w:p w14:paraId="44F9DEE8"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Daño en bien ajeno agravado</w:t>
            </w:r>
          </w:p>
        </w:tc>
        <w:tc>
          <w:tcPr>
            <w:tcW w:w="691" w:type="dxa"/>
          </w:tcPr>
          <w:p w14:paraId="40E9446C" w14:textId="77777777" w:rsidR="00685478" w:rsidRPr="00E92D67" w:rsidRDefault="00685478" w:rsidP="00470234">
            <w:pPr>
              <w:jc w:val="both"/>
              <w:rPr>
                <w:rFonts w:ascii="Arial" w:hAnsi="Arial" w:cs="Arial"/>
                <w:sz w:val="20"/>
                <w:szCs w:val="20"/>
              </w:rPr>
            </w:pPr>
          </w:p>
        </w:tc>
        <w:tc>
          <w:tcPr>
            <w:tcW w:w="686" w:type="dxa"/>
            <w:gridSpan w:val="2"/>
          </w:tcPr>
          <w:p w14:paraId="4FF2AA6A" w14:textId="77777777" w:rsidR="00685478" w:rsidRPr="00E92D67" w:rsidRDefault="00685478" w:rsidP="00470234">
            <w:pPr>
              <w:jc w:val="both"/>
              <w:rPr>
                <w:rFonts w:ascii="Arial" w:hAnsi="Arial" w:cs="Arial"/>
                <w:sz w:val="20"/>
                <w:szCs w:val="20"/>
              </w:rPr>
            </w:pPr>
          </w:p>
        </w:tc>
        <w:tc>
          <w:tcPr>
            <w:tcW w:w="696" w:type="dxa"/>
          </w:tcPr>
          <w:p w14:paraId="2B8093C7" w14:textId="77777777" w:rsidR="00685478" w:rsidRPr="00E92D67" w:rsidRDefault="00685478" w:rsidP="00470234">
            <w:pPr>
              <w:jc w:val="both"/>
              <w:rPr>
                <w:rFonts w:ascii="Arial" w:hAnsi="Arial" w:cs="Arial"/>
                <w:sz w:val="20"/>
                <w:szCs w:val="20"/>
              </w:rPr>
            </w:pPr>
          </w:p>
        </w:tc>
        <w:tc>
          <w:tcPr>
            <w:tcW w:w="696" w:type="dxa"/>
          </w:tcPr>
          <w:p w14:paraId="7EB20903" w14:textId="77777777" w:rsidR="00685478" w:rsidRPr="00E92D67" w:rsidRDefault="00685478" w:rsidP="00470234">
            <w:pPr>
              <w:jc w:val="both"/>
              <w:rPr>
                <w:rFonts w:ascii="Arial" w:hAnsi="Arial" w:cs="Arial"/>
                <w:sz w:val="20"/>
                <w:szCs w:val="20"/>
              </w:rPr>
            </w:pPr>
          </w:p>
        </w:tc>
        <w:tc>
          <w:tcPr>
            <w:tcW w:w="377" w:type="dxa"/>
          </w:tcPr>
          <w:p w14:paraId="0F10C27C"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1101D568"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0E64BFC4"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4A1D7288"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66BFAB50"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7462E9D8" w14:textId="77777777" w:rsidTr="00470234">
        <w:tblPrEx>
          <w:tblCellMar>
            <w:left w:w="108" w:type="dxa"/>
            <w:right w:w="108" w:type="dxa"/>
          </w:tblCellMar>
          <w:tblLook w:val="04A0" w:firstRow="1" w:lastRow="0" w:firstColumn="1" w:lastColumn="0" w:noHBand="0" w:noVBand="1"/>
        </w:tblPrEx>
        <w:tc>
          <w:tcPr>
            <w:tcW w:w="4477" w:type="dxa"/>
            <w:gridSpan w:val="2"/>
          </w:tcPr>
          <w:p w14:paraId="68954F7B"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Injurias por vía de hecho</w:t>
            </w:r>
          </w:p>
        </w:tc>
        <w:tc>
          <w:tcPr>
            <w:tcW w:w="691" w:type="dxa"/>
          </w:tcPr>
          <w:p w14:paraId="43170E41"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16</w:t>
            </w:r>
          </w:p>
        </w:tc>
        <w:tc>
          <w:tcPr>
            <w:tcW w:w="686" w:type="dxa"/>
            <w:gridSpan w:val="2"/>
          </w:tcPr>
          <w:p w14:paraId="668AB505"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54</w:t>
            </w:r>
          </w:p>
        </w:tc>
        <w:tc>
          <w:tcPr>
            <w:tcW w:w="696" w:type="dxa"/>
          </w:tcPr>
          <w:p w14:paraId="724F5FBF"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1.33</w:t>
            </w:r>
          </w:p>
        </w:tc>
        <w:tc>
          <w:tcPr>
            <w:tcW w:w="696" w:type="dxa"/>
          </w:tcPr>
          <w:p w14:paraId="6A1927E8"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4.5</w:t>
            </w:r>
          </w:p>
        </w:tc>
        <w:tc>
          <w:tcPr>
            <w:tcW w:w="377" w:type="dxa"/>
          </w:tcPr>
          <w:p w14:paraId="621CE37E"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09504E6A"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c>
          <w:tcPr>
            <w:tcW w:w="377" w:type="dxa"/>
          </w:tcPr>
          <w:p w14:paraId="68DCF2BA" w14:textId="77777777" w:rsidR="00685478" w:rsidRPr="00E92D67" w:rsidRDefault="00685478" w:rsidP="00470234">
            <w:pPr>
              <w:jc w:val="both"/>
              <w:rPr>
                <w:rFonts w:ascii="Arial" w:hAnsi="Arial" w:cs="Arial"/>
                <w:sz w:val="20"/>
                <w:szCs w:val="20"/>
              </w:rPr>
            </w:pPr>
          </w:p>
        </w:tc>
        <w:tc>
          <w:tcPr>
            <w:tcW w:w="377" w:type="dxa"/>
          </w:tcPr>
          <w:p w14:paraId="7F58A893" w14:textId="77777777" w:rsidR="00685478" w:rsidRPr="00E92D67" w:rsidRDefault="00685478" w:rsidP="00470234">
            <w:pPr>
              <w:jc w:val="both"/>
              <w:rPr>
                <w:rFonts w:ascii="Arial" w:hAnsi="Arial" w:cs="Arial"/>
                <w:sz w:val="20"/>
                <w:szCs w:val="20"/>
              </w:rPr>
            </w:pPr>
          </w:p>
        </w:tc>
        <w:tc>
          <w:tcPr>
            <w:tcW w:w="377" w:type="dxa"/>
          </w:tcPr>
          <w:p w14:paraId="07481BE6" w14:textId="77777777" w:rsidR="00685478" w:rsidRPr="00E92D67" w:rsidRDefault="00685478" w:rsidP="00470234">
            <w:pPr>
              <w:jc w:val="both"/>
              <w:rPr>
                <w:rFonts w:ascii="Arial" w:hAnsi="Arial" w:cs="Arial"/>
                <w:sz w:val="20"/>
                <w:szCs w:val="20"/>
              </w:rPr>
            </w:pPr>
            <w:r w:rsidRPr="00E92D67">
              <w:rPr>
                <w:rFonts w:ascii="Arial" w:hAnsi="Arial" w:cs="Arial"/>
                <w:sz w:val="20"/>
                <w:szCs w:val="20"/>
              </w:rPr>
              <w:t>X</w:t>
            </w:r>
          </w:p>
        </w:tc>
      </w:tr>
      <w:tr w:rsidR="00685478" w:rsidRPr="00E92D67" w14:paraId="7574AE88" w14:textId="77777777" w:rsidTr="00470234">
        <w:tblPrEx>
          <w:tblCellMar>
            <w:left w:w="108" w:type="dxa"/>
            <w:right w:w="108" w:type="dxa"/>
          </w:tblCellMar>
          <w:tblLook w:val="04A0" w:firstRow="1" w:lastRow="0" w:firstColumn="1" w:lastColumn="0" w:noHBand="0" w:noVBand="1"/>
        </w:tblPrEx>
        <w:tc>
          <w:tcPr>
            <w:tcW w:w="4477" w:type="dxa"/>
            <w:gridSpan w:val="2"/>
          </w:tcPr>
          <w:p w14:paraId="11B1F284" w14:textId="77777777" w:rsidR="00685478" w:rsidRPr="00E92D67" w:rsidRDefault="00685478" w:rsidP="00470234">
            <w:pPr>
              <w:jc w:val="both"/>
              <w:rPr>
                <w:rFonts w:ascii="Arial" w:hAnsi="Arial" w:cs="Arial"/>
                <w:sz w:val="20"/>
                <w:szCs w:val="20"/>
              </w:rPr>
            </w:pPr>
            <w:r>
              <w:rPr>
                <w:rFonts w:ascii="Arial" w:hAnsi="Arial" w:cs="Arial"/>
                <w:sz w:val="20"/>
                <w:szCs w:val="20"/>
              </w:rPr>
              <w:t>Micro tráfico</w:t>
            </w:r>
          </w:p>
        </w:tc>
        <w:tc>
          <w:tcPr>
            <w:tcW w:w="691" w:type="dxa"/>
          </w:tcPr>
          <w:p w14:paraId="72B16CEB" w14:textId="77777777" w:rsidR="00685478" w:rsidRPr="00E92D67" w:rsidRDefault="00685478" w:rsidP="00470234">
            <w:pPr>
              <w:jc w:val="both"/>
              <w:rPr>
                <w:rFonts w:ascii="Arial" w:hAnsi="Arial" w:cs="Arial"/>
                <w:sz w:val="20"/>
                <w:szCs w:val="20"/>
              </w:rPr>
            </w:pPr>
            <w:r>
              <w:rPr>
                <w:rFonts w:ascii="Arial" w:hAnsi="Arial" w:cs="Arial"/>
                <w:sz w:val="20"/>
                <w:szCs w:val="20"/>
              </w:rPr>
              <w:t>12</w:t>
            </w:r>
          </w:p>
        </w:tc>
        <w:tc>
          <w:tcPr>
            <w:tcW w:w="686" w:type="dxa"/>
            <w:gridSpan w:val="2"/>
          </w:tcPr>
          <w:p w14:paraId="1BAC71B4" w14:textId="77777777" w:rsidR="00685478" w:rsidRPr="00E92D67" w:rsidRDefault="00685478" w:rsidP="00470234">
            <w:pPr>
              <w:jc w:val="both"/>
              <w:rPr>
                <w:rFonts w:ascii="Arial" w:hAnsi="Arial" w:cs="Arial"/>
                <w:sz w:val="20"/>
                <w:szCs w:val="20"/>
              </w:rPr>
            </w:pPr>
            <w:r>
              <w:rPr>
                <w:rFonts w:ascii="Arial" w:hAnsi="Arial" w:cs="Arial"/>
                <w:sz w:val="20"/>
                <w:szCs w:val="20"/>
              </w:rPr>
              <w:t>36</w:t>
            </w:r>
          </w:p>
        </w:tc>
        <w:tc>
          <w:tcPr>
            <w:tcW w:w="696" w:type="dxa"/>
          </w:tcPr>
          <w:p w14:paraId="4192C375" w14:textId="77777777" w:rsidR="00685478" w:rsidRPr="00E92D67" w:rsidRDefault="00685478" w:rsidP="00470234">
            <w:pPr>
              <w:jc w:val="both"/>
              <w:rPr>
                <w:rFonts w:ascii="Arial" w:hAnsi="Arial" w:cs="Arial"/>
                <w:sz w:val="20"/>
                <w:szCs w:val="20"/>
              </w:rPr>
            </w:pPr>
            <w:r>
              <w:rPr>
                <w:rFonts w:ascii="Arial" w:hAnsi="Arial" w:cs="Arial"/>
                <w:sz w:val="20"/>
                <w:szCs w:val="20"/>
              </w:rPr>
              <w:t>1</w:t>
            </w:r>
          </w:p>
        </w:tc>
        <w:tc>
          <w:tcPr>
            <w:tcW w:w="696" w:type="dxa"/>
          </w:tcPr>
          <w:p w14:paraId="36613AC4" w14:textId="77777777" w:rsidR="00685478" w:rsidRPr="00E92D67" w:rsidRDefault="00685478" w:rsidP="00470234">
            <w:pPr>
              <w:jc w:val="both"/>
              <w:rPr>
                <w:rFonts w:ascii="Arial" w:hAnsi="Arial" w:cs="Arial"/>
                <w:sz w:val="20"/>
                <w:szCs w:val="20"/>
              </w:rPr>
            </w:pPr>
            <w:r>
              <w:rPr>
                <w:rFonts w:ascii="Arial" w:hAnsi="Arial" w:cs="Arial"/>
                <w:sz w:val="20"/>
                <w:szCs w:val="20"/>
              </w:rPr>
              <w:t>3</w:t>
            </w:r>
          </w:p>
        </w:tc>
        <w:tc>
          <w:tcPr>
            <w:tcW w:w="377" w:type="dxa"/>
          </w:tcPr>
          <w:p w14:paraId="4B18542F" w14:textId="77777777" w:rsidR="00685478" w:rsidRPr="00E92D67" w:rsidRDefault="00685478" w:rsidP="00470234">
            <w:pPr>
              <w:jc w:val="both"/>
              <w:rPr>
                <w:rFonts w:ascii="Arial" w:hAnsi="Arial" w:cs="Arial"/>
                <w:sz w:val="20"/>
                <w:szCs w:val="20"/>
              </w:rPr>
            </w:pPr>
          </w:p>
        </w:tc>
        <w:tc>
          <w:tcPr>
            <w:tcW w:w="377" w:type="dxa"/>
          </w:tcPr>
          <w:p w14:paraId="7F6266E3" w14:textId="77777777" w:rsidR="00685478" w:rsidRPr="00E92D67" w:rsidRDefault="00685478" w:rsidP="00470234">
            <w:pPr>
              <w:jc w:val="both"/>
              <w:rPr>
                <w:rFonts w:ascii="Arial" w:hAnsi="Arial" w:cs="Arial"/>
                <w:sz w:val="20"/>
                <w:szCs w:val="20"/>
              </w:rPr>
            </w:pPr>
          </w:p>
        </w:tc>
        <w:tc>
          <w:tcPr>
            <w:tcW w:w="377" w:type="dxa"/>
          </w:tcPr>
          <w:p w14:paraId="7D120E2B" w14:textId="77777777" w:rsidR="00685478" w:rsidRPr="00E92D67" w:rsidRDefault="00685478" w:rsidP="00470234">
            <w:pPr>
              <w:jc w:val="both"/>
              <w:rPr>
                <w:rFonts w:ascii="Arial" w:hAnsi="Arial" w:cs="Arial"/>
                <w:sz w:val="20"/>
                <w:szCs w:val="20"/>
              </w:rPr>
            </w:pPr>
          </w:p>
        </w:tc>
        <w:tc>
          <w:tcPr>
            <w:tcW w:w="377" w:type="dxa"/>
          </w:tcPr>
          <w:p w14:paraId="38B683A1" w14:textId="77777777" w:rsidR="00685478" w:rsidRPr="00E92D67" w:rsidRDefault="00685478" w:rsidP="00470234">
            <w:pPr>
              <w:jc w:val="both"/>
              <w:rPr>
                <w:rFonts w:ascii="Arial" w:hAnsi="Arial" w:cs="Arial"/>
                <w:sz w:val="20"/>
                <w:szCs w:val="20"/>
              </w:rPr>
            </w:pPr>
          </w:p>
        </w:tc>
        <w:tc>
          <w:tcPr>
            <w:tcW w:w="377" w:type="dxa"/>
          </w:tcPr>
          <w:p w14:paraId="4CE482A4" w14:textId="77777777" w:rsidR="00685478" w:rsidRPr="00E92D67" w:rsidRDefault="00685478" w:rsidP="00470234">
            <w:pPr>
              <w:jc w:val="both"/>
              <w:rPr>
                <w:rFonts w:ascii="Arial" w:hAnsi="Arial" w:cs="Arial"/>
                <w:sz w:val="20"/>
                <w:szCs w:val="20"/>
              </w:rPr>
            </w:pPr>
          </w:p>
        </w:tc>
      </w:tr>
    </w:tbl>
    <w:p w14:paraId="18589942" w14:textId="77777777" w:rsidR="00685478" w:rsidRDefault="00685478" w:rsidP="00685478">
      <w:pPr>
        <w:spacing w:after="0"/>
        <w:jc w:val="both"/>
        <w:rPr>
          <w:rFonts w:ascii="Arial" w:hAnsi="Arial" w:cs="Arial"/>
          <w:sz w:val="24"/>
          <w:szCs w:val="24"/>
        </w:rPr>
      </w:pPr>
    </w:p>
    <w:p w14:paraId="19FC4A93" w14:textId="77777777" w:rsidR="00685478" w:rsidRDefault="00685478" w:rsidP="00685478">
      <w:pPr>
        <w:spacing w:after="0"/>
        <w:jc w:val="both"/>
        <w:rPr>
          <w:rFonts w:ascii="Arial" w:hAnsi="Arial" w:cs="Arial"/>
          <w:sz w:val="24"/>
          <w:szCs w:val="24"/>
        </w:rPr>
      </w:pPr>
      <w:r>
        <w:rPr>
          <w:rFonts w:ascii="Arial" w:hAnsi="Arial" w:cs="Arial"/>
          <w:sz w:val="24"/>
          <w:szCs w:val="24"/>
        </w:rPr>
        <w:t>Como se puede observar en el cuadro anterior, solamente se incluyeron en este proyecto los delitos que no tuviesen forma de extinguir la pena por cualquiera de los cinco motivos enlistados, pues de agregarlos sería más beneficioso el régimen ordinario y sería inocua su inclusión.</w:t>
      </w:r>
      <w:r w:rsidR="001C3E7B">
        <w:rPr>
          <w:rFonts w:ascii="Arial" w:hAnsi="Arial" w:cs="Arial"/>
          <w:sz w:val="24"/>
          <w:szCs w:val="24"/>
        </w:rPr>
        <w:t xml:space="preserve"> Sin embargo, no hay que perder de vista que este es un primer paso para que se empiece a re pensar el derecho penal entendido como </w:t>
      </w:r>
      <w:r w:rsidR="00323104">
        <w:rPr>
          <w:rFonts w:ascii="Arial" w:hAnsi="Arial" w:cs="Arial"/>
          <w:sz w:val="24"/>
          <w:szCs w:val="24"/>
        </w:rPr>
        <w:t>inquisitivo de una sola vía, la prisión; y plantearnos otras formas de sanción que sea más efectiva como preventiva del delitos y resocializadora.</w:t>
      </w:r>
    </w:p>
    <w:p w14:paraId="7EC5BBD2" w14:textId="77777777" w:rsidR="00685478" w:rsidRDefault="00685478" w:rsidP="00685478">
      <w:pPr>
        <w:spacing w:after="0"/>
        <w:jc w:val="both"/>
        <w:rPr>
          <w:rFonts w:ascii="Arial" w:hAnsi="Arial" w:cs="Arial"/>
          <w:sz w:val="24"/>
          <w:szCs w:val="24"/>
        </w:rPr>
      </w:pPr>
      <w:r>
        <w:rPr>
          <w:rFonts w:ascii="Arial" w:hAnsi="Arial" w:cs="Arial"/>
          <w:sz w:val="24"/>
          <w:szCs w:val="24"/>
        </w:rPr>
        <w:t>Así las cosas, y explicados los puntos esenciales, se solicita a los honorables magistrados dar debate al presente proyecto de ley.</w:t>
      </w:r>
    </w:p>
    <w:p w14:paraId="02C36001" w14:textId="77777777" w:rsidR="00685478" w:rsidRDefault="00685478" w:rsidP="00685478">
      <w:pPr>
        <w:spacing w:after="0"/>
        <w:jc w:val="both"/>
        <w:rPr>
          <w:rFonts w:ascii="Arial" w:hAnsi="Arial" w:cs="Arial"/>
          <w:sz w:val="24"/>
          <w:szCs w:val="24"/>
        </w:rPr>
      </w:pPr>
    </w:p>
    <w:p w14:paraId="1C46AB75" w14:textId="77777777" w:rsidR="00685478" w:rsidRDefault="00685478" w:rsidP="00685478">
      <w:pPr>
        <w:spacing w:after="0"/>
        <w:jc w:val="both"/>
        <w:rPr>
          <w:rFonts w:ascii="Arial" w:hAnsi="Arial" w:cs="Arial"/>
          <w:sz w:val="24"/>
          <w:szCs w:val="24"/>
        </w:rPr>
      </w:pPr>
    </w:p>
    <w:p w14:paraId="5E2C579C" w14:textId="77777777" w:rsidR="00685478" w:rsidRDefault="00685478" w:rsidP="00685478">
      <w:pPr>
        <w:spacing w:after="0"/>
        <w:jc w:val="both"/>
        <w:rPr>
          <w:rFonts w:ascii="Arial" w:hAnsi="Arial" w:cs="Arial"/>
          <w:sz w:val="24"/>
          <w:szCs w:val="24"/>
        </w:rPr>
      </w:pPr>
      <w:r>
        <w:rPr>
          <w:rFonts w:ascii="Arial" w:hAnsi="Arial" w:cs="Arial"/>
          <w:sz w:val="24"/>
          <w:szCs w:val="24"/>
        </w:rPr>
        <w:t xml:space="preserve">De los honorables congresistas, </w:t>
      </w:r>
    </w:p>
    <w:p w14:paraId="6629DDAD" w14:textId="77777777" w:rsidR="00685478" w:rsidRDefault="00685478" w:rsidP="00685478">
      <w:pPr>
        <w:spacing w:after="0"/>
        <w:jc w:val="both"/>
        <w:rPr>
          <w:rFonts w:ascii="Arial" w:hAnsi="Arial" w:cs="Arial"/>
          <w:sz w:val="24"/>
          <w:szCs w:val="24"/>
        </w:rPr>
      </w:pPr>
    </w:p>
    <w:p w14:paraId="6F2A262A" w14:textId="77777777" w:rsidR="00685478" w:rsidRDefault="00685478" w:rsidP="00685478">
      <w:pPr>
        <w:spacing w:after="0"/>
        <w:jc w:val="both"/>
        <w:rPr>
          <w:rFonts w:ascii="Arial" w:hAnsi="Arial" w:cs="Arial"/>
          <w:sz w:val="24"/>
          <w:szCs w:val="24"/>
        </w:rPr>
      </w:pPr>
    </w:p>
    <w:p w14:paraId="3F06FDD0" w14:textId="77777777" w:rsidR="00685478" w:rsidRDefault="00685478" w:rsidP="00685478">
      <w:pPr>
        <w:spacing w:after="0"/>
        <w:jc w:val="both"/>
        <w:rPr>
          <w:rFonts w:ascii="Arial" w:hAnsi="Arial" w:cs="Arial"/>
          <w:sz w:val="24"/>
          <w:szCs w:val="24"/>
        </w:rPr>
      </w:pPr>
    </w:p>
    <w:p w14:paraId="0A43E56A" w14:textId="77777777" w:rsidR="00685478" w:rsidRDefault="00685478" w:rsidP="00685478">
      <w:pPr>
        <w:spacing w:after="0"/>
        <w:jc w:val="both"/>
        <w:rPr>
          <w:rFonts w:ascii="Arial" w:hAnsi="Arial" w:cs="Arial"/>
          <w:sz w:val="24"/>
          <w:szCs w:val="24"/>
        </w:rPr>
      </w:pPr>
    </w:p>
    <w:p w14:paraId="69C4C69B" w14:textId="77777777" w:rsidR="00685478" w:rsidRDefault="00685478" w:rsidP="00685478">
      <w:pPr>
        <w:spacing w:after="0"/>
        <w:jc w:val="both"/>
        <w:rPr>
          <w:rFonts w:ascii="Arial" w:hAnsi="Arial" w:cs="Arial"/>
          <w:sz w:val="24"/>
          <w:szCs w:val="24"/>
        </w:rPr>
      </w:pPr>
    </w:p>
    <w:p w14:paraId="3D0423DE" w14:textId="77777777" w:rsidR="00685478" w:rsidRPr="00E92D67" w:rsidRDefault="00685478" w:rsidP="00685478">
      <w:pPr>
        <w:spacing w:after="0"/>
        <w:jc w:val="both"/>
        <w:rPr>
          <w:rFonts w:ascii="Arial" w:hAnsi="Arial" w:cs="Arial"/>
          <w:b/>
          <w:sz w:val="24"/>
          <w:szCs w:val="24"/>
        </w:rPr>
      </w:pPr>
    </w:p>
    <w:p w14:paraId="62E0C347" w14:textId="77777777" w:rsidR="00685478" w:rsidRPr="00E92D67" w:rsidRDefault="00685478" w:rsidP="00685478">
      <w:pPr>
        <w:spacing w:after="0"/>
        <w:jc w:val="center"/>
        <w:rPr>
          <w:rFonts w:ascii="Arial" w:hAnsi="Arial" w:cs="Arial"/>
          <w:b/>
          <w:sz w:val="24"/>
          <w:szCs w:val="24"/>
        </w:rPr>
      </w:pPr>
      <w:r w:rsidRPr="00E92D67">
        <w:rPr>
          <w:rFonts w:ascii="Arial" w:hAnsi="Arial" w:cs="Arial"/>
          <w:b/>
          <w:sz w:val="24"/>
          <w:szCs w:val="24"/>
        </w:rPr>
        <w:t>EDWARD DAVID RODRÍGUEZ RODRÍGUEZ</w:t>
      </w:r>
    </w:p>
    <w:p w14:paraId="63B06D82" w14:textId="77777777" w:rsidR="00685478" w:rsidRPr="00E92D67" w:rsidRDefault="00685478" w:rsidP="00685478">
      <w:pPr>
        <w:spacing w:after="0"/>
        <w:jc w:val="center"/>
        <w:rPr>
          <w:rFonts w:ascii="Arial" w:hAnsi="Arial" w:cs="Arial"/>
          <w:b/>
          <w:sz w:val="24"/>
          <w:szCs w:val="24"/>
        </w:rPr>
      </w:pPr>
      <w:r w:rsidRPr="00E92D67">
        <w:rPr>
          <w:rFonts w:ascii="Arial" w:hAnsi="Arial" w:cs="Arial"/>
          <w:b/>
          <w:sz w:val="24"/>
          <w:szCs w:val="24"/>
        </w:rPr>
        <w:t>REPRESENTANTE A LA CÁMARA POR BOGOTÁ D.C.</w:t>
      </w:r>
    </w:p>
    <w:p w14:paraId="0265F197" w14:textId="77777777" w:rsidR="00685478" w:rsidRPr="00685478" w:rsidRDefault="00685478" w:rsidP="00685478">
      <w:pPr>
        <w:spacing w:after="0"/>
        <w:jc w:val="center"/>
        <w:rPr>
          <w:rFonts w:ascii="Arial" w:hAnsi="Arial" w:cs="Arial"/>
          <w:b/>
          <w:sz w:val="24"/>
          <w:szCs w:val="24"/>
        </w:rPr>
      </w:pPr>
    </w:p>
    <w:sectPr w:rsidR="00685478" w:rsidRPr="0068547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E40F5" w14:textId="77777777" w:rsidR="005D5AAA" w:rsidRDefault="005D5AAA" w:rsidP="00C30643">
      <w:pPr>
        <w:spacing w:after="0" w:line="240" w:lineRule="auto"/>
      </w:pPr>
      <w:r>
        <w:separator/>
      </w:r>
    </w:p>
  </w:endnote>
  <w:endnote w:type="continuationSeparator" w:id="0">
    <w:p w14:paraId="5B7DE697" w14:textId="77777777" w:rsidR="005D5AAA" w:rsidRDefault="005D5AAA" w:rsidP="00C3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563AF" w14:textId="77777777" w:rsidR="00847546" w:rsidRPr="005E73C3" w:rsidRDefault="00847546" w:rsidP="00847546"/>
  <w:p w14:paraId="60EDFCA0" w14:textId="77777777" w:rsidR="00847546" w:rsidRPr="005E73C3" w:rsidRDefault="00847546" w:rsidP="00847546">
    <w:pPr>
      <w:pBdr>
        <w:top w:val="thinThickSmallGap" w:sz="24" w:space="1" w:color="823B0B" w:themeColor="accent2" w:themeShade="7F"/>
      </w:pBdr>
      <w:tabs>
        <w:tab w:val="center" w:pos="4419"/>
        <w:tab w:val="right" w:pos="8838"/>
      </w:tabs>
      <w:spacing w:after="0" w:line="240" w:lineRule="auto"/>
      <w:jc w:val="center"/>
      <w:rPr>
        <w:rFonts w:ascii="Arial Narrow" w:hAnsi="Arial Narrow" w:cs="Times New Roman"/>
        <w:sz w:val="16"/>
        <w:szCs w:val="16"/>
      </w:rPr>
    </w:pPr>
    <w:r w:rsidRPr="005E73C3">
      <w:rPr>
        <w:rFonts w:ascii="Arial Narrow" w:hAnsi="Arial Narrow" w:cs="Times New Roman"/>
        <w:sz w:val="16"/>
        <w:szCs w:val="16"/>
      </w:rPr>
      <w:t>Oficina  H.R Edward David Rodríguez R.</w:t>
    </w:r>
  </w:p>
  <w:p w14:paraId="25016DFA" w14:textId="77777777" w:rsidR="00847546" w:rsidRPr="005E73C3" w:rsidRDefault="00847546" w:rsidP="00847546">
    <w:pPr>
      <w:pBdr>
        <w:top w:val="thinThickSmallGap" w:sz="24" w:space="1" w:color="823B0B" w:themeColor="accent2" w:themeShade="7F"/>
      </w:pBdr>
      <w:tabs>
        <w:tab w:val="center" w:pos="4419"/>
        <w:tab w:val="right" w:pos="8838"/>
      </w:tabs>
      <w:spacing w:after="0" w:line="240" w:lineRule="auto"/>
      <w:jc w:val="center"/>
      <w:rPr>
        <w:rFonts w:ascii="Arial Narrow" w:hAnsi="Arial Narrow" w:cs="Times New Roman"/>
        <w:sz w:val="16"/>
        <w:szCs w:val="16"/>
      </w:rPr>
    </w:pPr>
    <w:r w:rsidRPr="005E73C3">
      <w:rPr>
        <w:rFonts w:ascii="Arial Narrow" w:hAnsi="Arial Narrow" w:cs="Times New Roman"/>
        <w:sz w:val="16"/>
        <w:szCs w:val="16"/>
      </w:rPr>
      <w:t>Cámara de Representantes</w:t>
    </w:r>
  </w:p>
  <w:p w14:paraId="42E4E038" w14:textId="77777777" w:rsidR="00847546" w:rsidRPr="005E73C3" w:rsidRDefault="00847546" w:rsidP="00847546">
    <w:pPr>
      <w:tabs>
        <w:tab w:val="center" w:pos="4419"/>
        <w:tab w:val="right" w:pos="8838"/>
      </w:tabs>
      <w:spacing w:after="0" w:line="240" w:lineRule="auto"/>
    </w:pPr>
    <w:r w:rsidRPr="005E73C3">
      <w:rPr>
        <w:rFonts w:ascii="Arial Narrow" w:hAnsi="Arial Narrow" w:cs="Times New Roman"/>
        <w:sz w:val="16"/>
        <w:szCs w:val="16"/>
      </w:rPr>
      <w:t xml:space="preserve">                                  Carrera 7 No 8-68, oficina 435 B Tel: 3823793- 3824433- Fax: 3823794 Email: edrcamara@gmail.com</w:t>
    </w:r>
  </w:p>
  <w:p w14:paraId="617A9A5C" w14:textId="77777777" w:rsidR="00C30643" w:rsidRDefault="00C306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73AA" w14:textId="77777777" w:rsidR="005D5AAA" w:rsidRDefault="005D5AAA" w:rsidP="00C30643">
      <w:pPr>
        <w:spacing w:after="0" w:line="240" w:lineRule="auto"/>
      </w:pPr>
      <w:r>
        <w:separator/>
      </w:r>
    </w:p>
  </w:footnote>
  <w:footnote w:type="continuationSeparator" w:id="0">
    <w:p w14:paraId="543F070A" w14:textId="77777777" w:rsidR="005D5AAA" w:rsidRDefault="005D5AAA" w:rsidP="00C30643">
      <w:pPr>
        <w:spacing w:after="0" w:line="240" w:lineRule="auto"/>
      </w:pPr>
      <w:r>
        <w:continuationSeparator/>
      </w:r>
    </w:p>
  </w:footnote>
  <w:footnote w:id="1">
    <w:p w14:paraId="5A33150D" w14:textId="77777777" w:rsidR="00685478" w:rsidRDefault="00685478" w:rsidP="00685478">
      <w:pPr>
        <w:pStyle w:val="Textonotapie"/>
      </w:pPr>
      <w:r>
        <w:rPr>
          <w:rStyle w:val="Refdenotaalpie"/>
        </w:rPr>
        <w:footnoteRef/>
      </w:r>
      <w:r>
        <w:t xml:space="preserve"> Querellable</w:t>
      </w:r>
    </w:p>
  </w:footnote>
  <w:footnote w:id="2">
    <w:p w14:paraId="74BB8A55" w14:textId="77777777" w:rsidR="00685478" w:rsidRDefault="00685478" w:rsidP="00685478">
      <w:pPr>
        <w:pStyle w:val="Textonotapie"/>
      </w:pPr>
      <w:r>
        <w:rPr>
          <w:rStyle w:val="Refdenotaalpie"/>
        </w:rPr>
        <w:footnoteRef/>
      </w:r>
      <w:r>
        <w:t xml:space="preserve"> Extinción en el tipo</w:t>
      </w:r>
    </w:p>
  </w:footnote>
  <w:footnote w:id="3">
    <w:p w14:paraId="59B6CD52" w14:textId="77777777" w:rsidR="00685478" w:rsidRDefault="00685478" w:rsidP="00685478">
      <w:pPr>
        <w:pStyle w:val="Textonotapie"/>
      </w:pPr>
      <w:r>
        <w:rPr>
          <w:rStyle w:val="Refdenotaalpie"/>
        </w:rPr>
        <w:footnoteRef/>
      </w:r>
      <w:r>
        <w:t xml:space="preserve"> Rebaja Reparación</w:t>
      </w:r>
    </w:p>
  </w:footnote>
  <w:footnote w:id="4">
    <w:p w14:paraId="54EFB91A" w14:textId="77777777" w:rsidR="00685478" w:rsidRDefault="00685478" w:rsidP="00685478">
      <w:pPr>
        <w:pStyle w:val="Textonotapie"/>
      </w:pPr>
      <w:r>
        <w:rPr>
          <w:rStyle w:val="Refdenotaalpie"/>
        </w:rPr>
        <w:footnoteRef/>
      </w:r>
      <w:r>
        <w:t xml:space="preserve"> Indemnización integral</w:t>
      </w:r>
    </w:p>
  </w:footnote>
  <w:footnote w:id="5">
    <w:p w14:paraId="0B9CED05" w14:textId="77777777" w:rsidR="00685478" w:rsidRDefault="00685478" w:rsidP="00685478">
      <w:pPr>
        <w:pStyle w:val="Textonotapie"/>
      </w:pPr>
      <w:r>
        <w:rPr>
          <w:rStyle w:val="Refdenotaalpie"/>
        </w:rPr>
        <w:footnoteRef/>
      </w:r>
      <w:r>
        <w:t xml:space="preserve"> Mediación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B5572" w14:textId="77777777" w:rsidR="00685478" w:rsidRDefault="00685478">
    <w:pPr>
      <w:pStyle w:val="Encabezado"/>
    </w:pPr>
    <w:r>
      <w:rPr>
        <w:noProof/>
        <w:lang w:eastAsia="es-CO"/>
      </w:rPr>
      <w:drawing>
        <wp:inline distT="0" distB="0" distL="0" distR="0" wp14:anchorId="75B0102D" wp14:editId="7E69743F">
          <wp:extent cx="2371725" cy="73152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731520"/>
                  </a:xfrm>
                  <a:prstGeom prst="rect">
                    <a:avLst/>
                  </a:prstGeom>
                  <a:noFill/>
                </pic:spPr>
              </pic:pic>
            </a:graphicData>
          </a:graphic>
        </wp:inline>
      </w:drawing>
    </w:r>
    <w:r w:rsidR="001C3E7B">
      <w:t xml:space="preserve">                       </w:t>
    </w:r>
    <w:r w:rsidR="001C3E7B">
      <w:rPr>
        <w:noProof/>
        <w:lang w:eastAsia="es-CO"/>
      </w:rPr>
      <w:drawing>
        <wp:inline distT="0" distB="0" distL="0" distR="0" wp14:anchorId="2E9D964A" wp14:editId="6E9B6308">
          <wp:extent cx="2475230" cy="70739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5230" cy="7073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93E51"/>
    <w:multiLevelType w:val="hybridMultilevel"/>
    <w:tmpl w:val="1BCA6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3A6DA0"/>
    <w:multiLevelType w:val="hybridMultilevel"/>
    <w:tmpl w:val="56489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B55DB2"/>
    <w:multiLevelType w:val="hybridMultilevel"/>
    <w:tmpl w:val="61940148"/>
    <w:lvl w:ilvl="0" w:tplc="27181D2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BE74F4E"/>
    <w:multiLevelType w:val="hybridMultilevel"/>
    <w:tmpl w:val="938834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0D6F2C"/>
    <w:multiLevelType w:val="hybridMultilevel"/>
    <w:tmpl w:val="A6C6A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A3"/>
    <w:rsid w:val="0000743B"/>
    <w:rsid w:val="0001072D"/>
    <w:rsid w:val="000529C1"/>
    <w:rsid w:val="000C7971"/>
    <w:rsid w:val="00116606"/>
    <w:rsid w:val="001A5247"/>
    <w:rsid w:val="001C3E7B"/>
    <w:rsid w:val="001E1F68"/>
    <w:rsid w:val="002F43E7"/>
    <w:rsid w:val="0030163C"/>
    <w:rsid w:val="00323104"/>
    <w:rsid w:val="003B68E2"/>
    <w:rsid w:val="003F4B3A"/>
    <w:rsid w:val="00410E81"/>
    <w:rsid w:val="0043249C"/>
    <w:rsid w:val="00467E0E"/>
    <w:rsid w:val="00497012"/>
    <w:rsid w:val="004D7C72"/>
    <w:rsid w:val="00551D8F"/>
    <w:rsid w:val="0058369B"/>
    <w:rsid w:val="005B20CB"/>
    <w:rsid w:val="005B5E46"/>
    <w:rsid w:val="005D5AAA"/>
    <w:rsid w:val="00667353"/>
    <w:rsid w:val="00685478"/>
    <w:rsid w:val="006C28EA"/>
    <w:rsid w:val="006E04EE"/>
    <w:rsid w:val="00716F3B"/>
    <w:rsid w:val="0075283A"/>
    <w:rsid w:val="00771D69"/>
    <w:rsid w:val="0078765E"/>
    <w:rsid w:val="007B0548"/>
    <w:rsid w:val="007F3CE3"/>
    <w:rsid w:val="008355EB"/>
    <w:rsid w:val="00847546"/>
    <w:rsid w:val="00854919"/>
    <w:rsid w:val="0094080C"/>
    <w:rsid w:val="00985462"/>
    <w:rsid w:val="00A040F2"/>
    <w:rsid w:val="00B14B2A"/>
    <w:rsid w:val="00B20F62"/>
    <w:rsid w:val="00BC4636"/>
    <w:rsid w:val="00C30643"/>
    <w:rsid w:val="00C47C4E"/>
    <w:rsid w:val="00C822CE"/>
    <w:rsid w:val="00CA29CA"/>
    <w:rsid w:val="00D05DB6"/>
    <w:rsid w:val="00D75DB2"/>
    <w:rsid w:val="00D92035"/>
    <w:rsid w:val="00DA76D5"/>
    <w:rsid w:val="00E148A3"/>
    <w:rsid w:val="00E354E5"/>
    <w:rsid w:val="00E828C4"/>
    <w:rsid w:val="00E92D67"/>
    <w:rsid w:val="00F3305E"/>
    <w:rsid w:val="00F34EC7"/>
    <w:rsid w:val="00F42849"/>
    <w:rsid w:val="00F5220C"/>
    <w:rsid w:val="00F94B2E"/>
    <w:rsid w:val="00FE3A79"/>
    <w:rsid w:val="00FE56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A55C"/>
  <w15:chartTrackingRefBased/>
  <w15:docId w15:val="{7CF37F79-C281-4A74-9E38-E522F6AB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8A3"/>
    <w:pPr>
      <w:ind w:left="720"/>
      <w:contextualSpacing/>
    </w:pPr>
  </w:style>
  <w:style w:type="paragraph" w:styleId="Encabezado">
    <w:name w:val="header"/>
    <w:basedOn w:val="Normal"/>
    <w:link w:val="EncabezadoCar"/>
    <w:uiPriority w:val="99"/>
    <w:unhideWhenUsed/>
    <w:rsid w:val="00C306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0643"/>
  </w:style>
  <w:style w:type="paragraph" w:styleId="Piedepgina">
    <w:name w:val="footer"/>
    <w:basedOn w:val="Normal"/>
    <w:link w:val="PiedepginaCar"/>
    <w:uiPriority w:val="99"/>
    <w:unhideWhenUsed/>
    <w:rsid w:val="00C306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0643"/>
  </w:style>
  <w:style w:type="table" w:styleId="Tablaconcuadrcula">
    <w:name w:val="Table Grid"/>
    <w:basedOn w:val="Tablanormal"/>
    <w:uiPriority w:val="39"/>
    <w:rsid w:val="00FE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92D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2D67"/>
    <w:rPr>
      <w:sz w:val="20"/>
      <w:szCs w:val="20"/>
    </w:rPr>
  </w:style>
  <w:style w:type="character" w:styleId="Refdenotaalpie">
    <w:name w:val="footnote reference"/>
    <w:basedOn w:val="Fuentedeprrafopredeter"/>
    <w:uiPriority w:val="99"/>
    <w:semiHidden/>
    <w:unhideWhenUsed/>
    <w:rsid w:val="00E92D67"/>
    <w:rPr>
      <w:vertAlign w:val="superscript"/>
    </w:rPr>
  </w:style>
  <w:style w:type="paragraph" w:styleId="Textodeglobo">
    <w:name w:val="Balloon Text"/>
    <w:basedOn w:val="Normal"/>
    <w:link w:val="TextodegloboCar"/>
    <w:uiPriority w:val="99"/>
    <w:semiHidden/>
    <w:unhideWhenUsed/>
    <w:rsid w:val="00F34E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6929-C8E6-4F0F-948E-00C28ED7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2537</Words>
  <Characters>13954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 Herrera</dc:creator>
  <cp:keywords/>
  <dc:description/>
  <cp:lastModifiedBy>Alejandra Navas Herrera</cp:lastModifiedBy>
  <cp:revision>2</cp:revision>
  <cp:lastPrinted>2019-08-27T22:08:00Z</cp:lastPrinted>
  <dcterms:created xsi:type="dcterms:W3CDTF">2019-09-02T17:45:00Z</dcterms:created>
  <dcterms:modified xsi:type="dcterms:W3CDTF">2019-09-02T17:45:00Z</dcterms:modified>
</cp:coreProperties>
</file>