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618E" w14:textId="77777777" w:rsidR="007F10DD" w:rsidRPr="008D5A3A" w:rsidRDefault="007F10DD" w:rsidP="002D2292">
      <w:pPr>
        <w:contextualSpacing w:val="0"/>
        <w:jc w:val="center"/>
        <w:rPr>
          <w:b/>
          <w:sz w:val="20"/>
        </w:rPr>
      </w:pPr>
    </w:p>
    <w:p w14:paraId="09948611" w14:textId="77777777" w:rsidR="007F10DD" w:rsidRPr="008D5A3A" w:rsidRDefault="007F10DD" w:rsidP="002D2292">
      <w:pPr>
        <w:contextualSpacing w:val="0"/>
        <w:jc w:val="center"/>
        <w:rPr>
          <w:b/>
          <w:sz w:val="20"/>
        </w:rPr>
      </w:pPr>
    </w:p>
    <w:p w14:paraId="21E7E8DC" w14:textId="5720E233" w:rsidR="002D2292" w:rsidRPr="008D5A3A" w:rsidRDefault="002D2292" w:rsidP="002D2292">
      <w:pPr>
        <w:contextualSpacing w:val="0"/>
        <w:jc w:val="center"/>
        <w:rPr>
          <w:rFonts w:ascii="Century Gothic" w:hAnsi="Century Gothic"/>
          <w:b/>
          <w:szCs w:val="24"/>
        </w:rPr>
      </w:pPr>
      <w:r w:rsidRPr="008D5A3A">
        <w:rPr>
          <w:rFonts w:ascii="Century Gothic" w:hAnsi="Century Gothic"/>
          <w:b/>
          <w:szCs w:val="24"/>
        </w:rPr>
        <w:t>PROYE</w:t>
      </w:r>
      <w:r w:rsidR="001C7EF0" w:rsidRPr="008D5A3A">
        <w:rPr>
          <w:rFonts w:ascii="Century Gothic" w:hAnsi="Century Gothic"/>
          <w:b/>
          <w:szCs w:val="24"/>
        </w:rPr>
        <w:t>CTO DE LEY No. _________ DE 2019</w:t>
      </w:r>
    </w:p>
    <w:p w14:paraId="7E1D6B25" w14:textId="77777777" w:rsidR="00B16F5A" w:rsidRPr="008D5A3A" w:rsidRDefault="00B16F5A" w:rsidP="00B16F5A">
      <w:pPr>
        <w:spacing w:line="240" w:lineRule="auto"/>
        <w:jc w:val="center"/>
        <w:rPr>
          <w:rFonts w:ascii="Century Gothic" w:hAnsi="Century Gothic"/>
          <w:b/>
          <w:szCs w:val="24"/>
        </w:rPr>
      </w:pPr>
      <w:r w:rsidRPr="008D5A3A">
        <w:rPr>
          <w:rFonts w:ascii="Century Gothic" w:hAnsi="Century Gothic"/>
          <w:b/>
          <w:szCs w:val="24"/>
        </w:rPr>
        <w:t>“Por medio de la cual se declara imprescriptible la acción penal para los delitos contra la libertad, integridad y formación sexual cometidos en menores de edad”.</w:t>
      </w:r>
    </w:p>
    <w:p w14:paraId="58DCF99E" w14:textId="4B33D114" w:rsidR="002D2292" w:rsidRPr="008D5A3A" w:rsidRDefault="002D2292" w:rsidP="002D2292">
      <w:pPr>
        <w:contextualSpacing w:val="0"/>
        <w:jc w:val="center"/>
        <w:rPr>
          <w:rFonts w:ascii="Century Gothic" w:hAnsi="Century Gothic"/>
          <w:szCs w:val="24"/>
        </w:rPr>
      </w:pPr>
    </w:p>
    <w:p w14:paraId="3060F6FE" w14:textId="77777777" w:rsidR="002D2292" w:rsidRPr="008D5A3A" w:rsidRDefault="002D2292" w:rsidP="002D2292">
      <w:pPr>
        <w:contextualSpacing w:val="0"/>
        <w:jc w:val="center"/>
        <w:rPr>
          <w:rFonts w:ascii="Century Gothic" w:hAnsi="Century Gothic"/>
          <w:szCs w:val="24"/>
        </w:rPr>
      </w:pPr>
      <w:r w:rsidRPr="008D5A3A">
        <w:rPr>
          <w:rFonts w:ascii="Century Gothic" w:hAnsi="Century Gothic"/>
          <w:b/>
          <w:szCs w:val="24"/>
        </w:rPr>
        <w:t>OBJETO</w:t>
      </w:r>
      <w:r w:rsidRPr="008D5A3A">
        <w:rPr>
          <w:rFonts w:ascii="Century Gothic" w:hAnsi="Century Gothic"/>
          <w:szCs w:val="24"/>
        </w:rPr>
        <w:t xml:space="preserve"> </w:t>
      </w:r>
    </w:p>
    <w:p w14:paraId="78748843" w14:textId="7780CD32" w:rsidR="007A5413" w:rsidRPr="008D5A3A" w:rsidRDefault="002D2292" w:rsidP="002D2292">
      <w:pPr>
        <w:contextualSpacing w:val="0"/>
        <w:jc w:val="both"/>
        <w:rPr>
          <w:rFonts w:ascii="Century Gothic" w:hAnsi="Century Gothic"/>
          <w:szCs w:val="24"/>
        </w:rPr>
      </w:pPr>
      <w:r w:rsidRPr="008D5A3A">
        <w:rPr>
          <w:rFonts w:ascii="Century Gothic" w:hAnsi="Century Gothic"/>
          <w:szCs w:val="24"/>
        </w:rPr>
        <w:br/>
        <w:t>El presente proyecto de ley tiene como finalidad</w:t>
      </w:r>
      <w:r w:rsidR="007A5413" w:rsidRPr="008D5A3A">
        <w:rPr>
          <w:rFonts w:ascii="Century Gothic" w:hAnsi="Century Gothic"/>
          <w:szCs w:val="24"/>
        </w:rPr>
        <w:t xml:space="preserve"> declarar imprescriptible la acción penal para los delitos contra la libertad, integridad y formación sexual, cometidos en menores de edad. </w:t>
      </w:r>
    </w:p>
    <w:p w14:paraId="12F04AE3" w14:textId="6775D1FB" w:rsidR="002D2292" w:rsidRPr="008D5A3A" w:rsidRDefault="002D2292" w:rsidP="002D2292">
      <w:pPr>
        <w:contextualSpacing w:val="0"/>
        <w:jc w:val="both"/>
        <w:rPr>
          <w:rFonts w:ascii="Century Gothic" w:hAnsi="Century Gothic"/>
          <w:szCs w:val="24"/>
        </w:rPr>
      </w:pPr>
    </w:p>
    <w:p w14:paraId="2775AD6C" w14:textId="77777777" w:rsidR="002D2292" w:rsidRPr="008D5A3A" w:rsidRDefault="002D2292" w:rsidP="002D2292">
      <w:pPr>
        <w:contextualSpacing w:val="0"/>
        <w:jc w:val="center"/>
        <w:rPr>
          <w:rFonts w:ascii="Century Gothic" w:hAnsi="Century Gothic"/>
          <w:b/>
          <w:szCs w:val="24"/>
        </w:rPr>
      </w:pPr>
      <w:r w:rsidRPr="008D5A3A">
        <w:rPr>
          <w:rFonts w:ascii="Century Gothic" w:hAnsi="Century Gothic"/>
          <w:b/>
          <w:szCs w:val="24"/>
        </w:rPr>
        <w:t>FUNDAMENTOS CONSTITUCIONALES Y LEGALES</w:t>
      </w:r>
    </w:p>
    <w:p w14:paraId="3323E3AC" w14:textId="1DE8BC37" w:rsidR="002D2292" w:rsidRPr="008D5A3A" w:rsidRDefault="002D2292" w:rsidP="008D5A3A">
      <w:pPr>
        <w:contextualSpacing w:val="0"/>
        <w:rPr>
          <w:rFonts w:ascii="Century Gothic" w:hAnsi="Century Gothic"/>
          <w:b/>
          <w:szCs w:val="24"/>
        </w:rPr>
      </w:pPr>
    </w:p>
    <w:p w14:paraId="02E1FA08" w14:textId="6ACDF23B" w:rsidR="002D2292" w:rsidRPr="008D5A3A" w:rsidRDefault="002D2292" w:rsidP="002D2292">
      <w:pPr>
        <w:contextualSpacing w:val="0"/>
        <w:jc w:val="both"/>
        <w:rPr>
          <w:rFonts w:ascii="Century Gothic" w:hAnsi="Century Gothic"/>
          <w:b/>
          <w:szCs w:val="24"/>
        </w:rPr>
      </w:pPr>
      <w:r w:rsidRPr="008D5A3A">
        <w:rPr>
          <w:rFonts w:ascii="Century Gothic" w:hAnsi="Century Gothic"/>
          <w:b/>
          <w:szCs w:val="24"/>
        </w:rPr>
        <w:t>CONSTITUCIÓN POLÍTICA DE COLOMBIA:</w:t>
      </w:r>
    </w:p>
    <w:p w14:paraId="79D2A84F" w14:textId="218FC7AD" w:rsidR="003E1AD0" w:rsidRPr="008D5A3A" w:rsidRDefault="003E1AD0" w:rsidP="002D2292">
      <w:pPr>
        <w:contextualSpacing w:val="0"/>
        <w:jc w:val="both"/>
        <w:rPr>
          <w:rFonts w:ascii="Century Gothic" w:hAnsi="Century Gothic"/>
          <w:b/>
          <w:szCs w:val="24"/>
        </w:rPr>
      </w:pPr>
    </w:p>
    <w:p w14:paraId="23EBFDC2" w14:textId="30A94F84" w:rsidR="003E1AD0" w:rsidRPr="008D5A3A" w:rsidRDefault="003E1AD0" w:rsidP="002D2292">
      <w:pPr>
        <w:contextualSpacing w:val="0"/>
        <w:jc w:val="both"/>
        <w:rPr>
          <w:rFonts w:ascii="Century Gothic" w:hAnsi="Century Gothic"/>
          <w:szCs w:val="24"/>
        </w:rPr>
      </w:pPr>
      <w:r w:rsidRPr="008D5A3A">
        <w:rPr>
          <w:rFonts w:ascii="Century Gothic" w:hAnsi="Century Gothic"/>
          <w:szCs w:val="24"/>
        </w:rPr>
        <w:t xml:space="preserve">Referente al objeto del presente proyecto de Ley, el artículo 44 de la Constitución Política de Colombia, establece los derechos fundamentales de los niños entre los cuales se encuentran la vida e integridad física, de la siguiente forma: </w:t>
      </w:r>
    </w:p>
    <w:p w14:paraId="47E9A88C" w14:textId="77777777" w:rsidR="007A5413" w:rsidRPr="008D5A3A" w:rsidRDefault="007A5413" w:rsidP="007A5413">
      <w:pPr>
        <w:contextualSpacing w:val="0"/>
        <w:jc w:val="both"/>
        <w:rPr>
          <w:rFonts w:ascii="Century Gothic" w:hAnsi="Century Gothic"/>
          <w:b/>
          <w:szCs w:val="24"/>
        </w:rPr>
      </w:pPr>
    </w:p>
    <w:p w14:paraId="488CEA18" w14:textId="77777777" w:rsidR="007A5413" w:rsidRPr="008D5A3A" w:rsidRDefault="007A5413" w:rsidP="007A5413">
      <w:pPr>
        <w:ind w:left="708"/>
        <w:contextualSpacing w:val="0"/>
        <w:jc w:val="both"/>
        <w:rPr>
          <w:rFonts w:ascii="Century Gothic" w:hAnsi="Century Gothic"/>
          <w:szCs w:val="24"/>
        </w:rPr>
      </w:pPr>
      <w:r w:rsidRPr="008D5A3A">
        <w:rPr>
          <w:rFonts w:ascii="Century Gothic" w:hAnsi="Century Gothic"/>
          <w:b/>
          <w:szCs w:val="24"/>
        </w:rPr>
        <w:t>Artículo 44.</w:t>
      </w:r>
      <w:r w:rsidRPr="008D5A3A">
        <w:rPr>
          <w:rFonts w:ascii="Century Gothic" w:hAnsi="Century Gothic"/>
          <w:szCs w:val="24"/>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8D5A3A">
        <w:rPr>
          <w:rFonts w:ascii="Century Gothic" w:hAnsi="Century Gothic"/>
          <w:b/>
          <w:szCs w:val="24"/>
        </w:rPr>
        <w:t>Serán protegidos contra toda forma de</w:t>
      </w:r>
      <w:r w:rsidRPr="008D5A3A">
        <w:rPr>
          <w:rFonts w:ascii="Century Gothic" w:hAnsi="Century Gothic"/>
          <w:szCs w:val="24"/>
        </w:rPr>
        <w:t xml:space="preserve"> abandono, </w:t>
      </w:r>
      <w:r w:rsidRPr="008D5A3A">
        <w:rPr>
          <w:rFonts w:ascii="Century Gothic" w:hAnsi="Century Gothic"/>
          <w:b/>
          <w:szCs w:val="24"/>
        </w:rPr>
        <w:t>violencia física o moral, secuestro, venta, abuso sexual,</w:t>
      </w:r>
      <w:r w:rsidRPr="008D5A3A">
        <w:rPr>
          <w:rFonts w:ascii="Century Gothic" w:hAnsi="Century Gothic"/>
          <w:szCs w:val="24"/>
        </w:rPr>
        <w:t xml:space="preserve">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14:paraId="50BFF4EF" w14:textId="6A83D235" w:rsidR="00096119" w:rsidRPr="008D5A3A" w:rsidRDefault="007A5413" w:rsidP="00096119">
      <w:pPr>
        <w:ind w:left="708"/>
        <w:contextualSpacing w:val="0"/>
        <w:jc w:val="both"/>
        <w:rPr>
          <w:rFonts w:ascii="Century Gothic" w:hAnsi="Century Gothic"/>
          <w:b/>
          <w:szCs w:val="24"/>
        </w:rPr>
      </w:pPr>
      <w:r w:rsidRPr="008D5A3A">
        <w:rPr>
          <w:rFonts w:ascii="Century Gothic" w:hAnsi="Century Gothic"/>
          <w:b/>
          <w:szCs w:val="24"/>
        </w:rPr>
        <w:t>Los derechos de los niños prevalecen sobre los derechos de los demás.</w:t>
      </w:r>
    </w:p>
    <w:p w14:paraId="4137A388" w14:textId="6A5C4282" w:rsidR="003E1AD0" w:rsidRPr="008D5A3A" w:rsidRDefault="003E1AD0" w:rsidP="003E1AD0">
      <w:pPr>
        <w:contextualSpacing w:val="0"/>
        <w:jc w:val="both"/>
        <w:rPr>
          <w:rFonts w:ascii="Century Gothic" w:hAnsi="Century Gothic"/>
          <w:b/>
          <w:szCs w:val="24"/>
        </w:rPr>
      </w:pPr>
    </w:p>
    <w:p w14:paraId="5C408B9E" w14:textId="0A9A80C8" w:rsidR="00926F97" w:rsidRPr="008D5A3A" w:rsidRDefault="003E1AD0" w:rsidP="001A0FFD">
      <w:pPr>
        <w:contextualSpacing w:val="0"/>
        <w:jc w:val="both"/>
        <w:rPr>
          <w:rFonts w:ascii="Century Gothic" w:hAnsi="Century Gothic"/>
          <w:szCs w:val="24"/>
        </w:rPr>
      </w:pPr>
      <w:r w:rsidRPr="008D5A3A">
        <w:rPr>
          <w:rFonts w:ascii="Century Gothic" w:hAnsi="Century Gothic"/>
          <w:szCs w:val="24"/>
        </w:rPr>
        <w:t xml:space="preserve">Cabe resaltar que, el artículo no solo indica los derechos fundamentales de los niños, sino que más allá de ello, establece la </w:t>
      </w:r>
      <w:r w:rsidR="00926F97" w:rsidRPr="008D5A3A">
        <w:rPr>
          <w:rFonts w:ascii="Century Gothic" w:hAnsi="Century Gothic"/>
          <w:szCs w:val="24"/>
        </w:rPr>
        <w:t>obligación</w:t>
      </w:r>
      <w:r w:rsidRPr="008D5A3A">
        <w:rPr>
          <w:rFonts w:ascii="Century Gothic" w:hAnsi="Century Gothic"/>
          <w:szCs w:val="24"/>
        </w:rPr>
        <w:t xml:space="preserve"> de proteger a esta </w:t>
      </w:r>
      <w:r w:rsidR="00926F97" w:rsidRPr="008D5A3A">
        <w:rPr>
          <w:rFonts w:ascii="Century Gothic" w:hAnsi="Century Gothic"/>
          <w:szCs w:val="24"/>
        </w:rPr>
        <w:t>población</w:t>
      </w:r>
      <w:r w:rsidRPr="008D5A3A">
        <w:rPr>
          <w:rFonts w:ascii="Century Gothic" w:hAnsi="Century Gothic"/>
          <w:szCs w:val="24"/>
        </w:rPr>
        <w:t xml:space="preserve"> de cualquier forma de </w:t>
      </w:r>
      <w:r w:rsidR="00926F97" w:rsidRPr="008D5A3A">
        <w:rPr>
          <w:rFonts w:ascii="Century Gothic" w:hAnsi="Century Gothic"/>
          <w:szCs w:val="24"/>
        </w:rPr>
        <w:t>“</w:t>
      </w:r>
      <w:r w:rsidRPr="008D5A3A">
        <w:rPr>
          <w:rFonts w:ascii="Century Gothic" w:hAnsi="Century Gothic"/>
          <w:szCs w:val="24"/>
        </w:rPr>
        <w:t xml:space="preserve">violencia </w:t>
      </w:r>
      <w:r w:rsidR="00926F97" w:rsidRPr="008D5A3A">
        <w:rPr>
          <w:rFonts w:ascii="Century Gothic" w:hAnsi="Century Gothic"/>
          <w:szCs w:val="24"/>
        </w:rPr>
        <w:t>física</w:t>
      </w:r>
      <w:r w:rsidRPr="008D5A3A">
        <w:rPr>
          <w:rFonts w:ascii="Century Gothic" w:hAnsi="Century Gothic"/>
          <w:szCs w:val="24"/>
        </w:rPr>
        <w:t xml:space="preserve"> o moral, secuestro, </w:t>
      </w:r>
      <w:r w:rsidR="00926F97" w:rsidRPr="008D5A3A">
        <w:rPr>
          <w:rFonts w:ascii="Century Gothic" w:hAnsi="Century Gothic"/>
          <w:szCs w:val="24"/>
        </w:rPr>
        <w:t xml:space="preserve">venta, abuso sexual...”, lo cual fundamenta de manera objetiva el presente proyecto de ley, en pro de dar cumplimiento a la obligación constitucional del Estado. </w:t>
      </w:r>
    </w:p>
    <w:p w14:paraId="547F4D70" w14:textId="0DE07C1D" w:rsidR="002E2701" w:rsidRPr="008D5A3A" w:rsidRDefault="002E2701" w:rsidP="001A0FFD">
      <w:pPr>
        <w:contextualSpacing w:val="0"/>
        <w:jc w:val="both"/>
        <w:rPr>
          <w:rFonts w:ascii="Century Gothic" w:hAnsi="Century Gothic"/>
          <w:b/>
          <w:szCs w:val="24"/>
        </w:rPr>
      </w:pPr>
    </w:p>
    <w:p w14:paraId="31D83C7F" w14:textId="2AF8D860" w:rsidR="008D5A3A" w:rsidRPr="008D5A3A" w:rsidRDefault="002B141E" w:rsidP="002B141E">
      <w:pPr>
        <w:contextualSpacing w:val="0"/>
        <w:jc w:val="both"/>
        <w:rPr>
          <w:rFonts w:ascii="Century Gothic" w:hAnsi="Century Gothic"/>
          <w:b/>
          <w:szCs w:val="24"/>
        </w:rPr>
      </w:pPr>
      <w:r w:rsidRPr="008D5A3A">
        <w:rPr>
          <w:rFonts w:ascii="Century Gothic" w:hAnsi="Century Gothic"/>
          <w:b/>
          <w:szCs w:val="24"/>
        </w:rPr>
        <w:lastRenderedPageBreak/>
        <w:t>CONVENCIÓN INTERNACIONAL SOBRE LOS DERECHOS DEL NIÑO:</w:t>
      </w:r>
    </w:p>
    <w:p w14:paraId="1870CF80" w14:textId="4BA58704" w:rsidR="002B141E" w:rsidRPr="008D5A3A" w:rsidRDefault="002B141E" w:rsidP="002B141E">
      <w:pPr>
        <w:contextualSpacing w:val="0"/>
        <w:jc w:val="both"/>
        <w:rPr>
          <w:rFonts w:ascii="Century Gothic" w:hAnsi="Century Gothic"/>
          <w:bCs/>
          <w:szCs w:val="24"/>
          <w:lang w:val="es-ES"/>
        </w:rPr>
      </w:pPr>
      <w:r w:rsidRPr="008D5A3A">
        <w:rPr>
          <w:rFonts w:ascii="Century Gothic" w:hAnsi="Century Gothic"/>
          <w:bCs/>
          <w:szCs w:val="24"/>
          <w:lang w:val="es-ES"/>
        </w:rPr>
        <w:t xml:space="preserve">La Convención, como primera Ley internacional sobre los derechos de los niños, niñas, y adolescentes, reconoce a estos individuos como sujetos plenos del derecho al libre desarrollo físico, mental y social. Dentro de sus 54 artículos, destaca el artículo 3, mediante el cual reitera la primacía del interés superior del niño a fin de asegurar en todo caso la protección y el cuidado de los menores.  </w:t>
      </w:r>
    </w:p>
    <w:p w14:paraId="3AD5180C" w14:textId="2791A6EE" w:rsidR="002B141E" w:rsidRPr="008D5A3A" w:rsidRDefault="002B141E" w:rsidP="002B141E">
      <w:pPr>
        <w:contextualSpacing w:val="0"/>
        <w:jc w:val="both"/>
        <w:rPr>
          <w:rFonts w:ascii="Century Gothic" w:hAnsi="Century Gothic"/>
          <w:b/>
          <w:bCs/>
          <w:szCs w:val="24"/>
        </w:rPr>
      </w:pPr>
    </w:p>
    <w:p w14:paraId="1C086731" w14:textId="77777777" w:rsidR="002B141E" w:rsidRPr="008D5A3A" w:rsidRDefault="002B141E" w:rsidP="002B141E">
      <w:pPr>
        <w:spacing w:line="240" w:lineRule="auto"/>
        <w:ind w:left="-142" w:firstLine="850"/>
        <w:jc w:val="both"/>
        <w:rPr>
          <w:rFonts w:ascii="Century Gothic" w:hAnsi="Century Gothic"/>
          <w:szCs w:val="24"/>
        </w:rPr>
      </w:pPr>
      <w:r w:rsidRPr="008D5A3A">
        <w:rPr>
          <w:rFonts w:ascii="Century Gothic" w:hAnsi="Century Gothic"/>
          <w:b/>
          <w:i/>
          <w:szCs w:val="24"/>
        </w:rPr>
        <w:t>Artículo 3°</w:t>
      </w:r>
      <w:r w:rsidRPr="008D5A3A">
        <w:rPr>
          <w:rFonts w:ascii="Century Gothic" w:hAnsi="Century Gothic"/>
          <w:szCs w:val="24"/>
        </w:rPr>
        <w:t xml:space="preserve">: </w:t>
      </w:r>
    </w:p>
    <w:p w14:paraId="096B8CAF" w14:textId="77777777" w:rsidR="002B141E" w:rsidRPr="008D5A3A" w:rsidRDefault="002B141E" w:rsidP="002B141E">
      <w:pPr>
        <w:spacing w:line="240" w:lineRule="auto"/>
        <w:ind w:left="-142"/>
        <w:jc w:val="both"/>
        <w:rPr>
          <w:rFonts w:ascii="Century Gothic" w:hAnsi="Century Gothic"/>
          <w:i/>
          <w:szCs w:val="24"/>
        </w:rPr>
      </w:pPr>
    </w:p>
    <w:p w14:paraId="7E00CCCB" w14:textId="77777777" w:rsidR="002B141E" w:rsidRPr="008D5A3A" w:rsidRDefault="002B141E" w:rsidP="002B141E">
      <w:pPr>
        <w:spacing w:line="240" w:lineRule="auto"/>
        <w:ind w:left="708"/>
        <w:jc w:val="both"/>
        <w:rPr>
          <w:rFonts w:ascii="Century Gothic" w:hAnsi="Century Gothic"/>
          <w:szCs w:val="24"/>
        </w:rPr>
      </w:pPr>
      <w:r w:rsidRPr="008D5A3A">
        <w:rPr>
          <w:rFonts w:ascii="Century Gothic" w:hAnsi="Century Gothic"/>
          <w:szCs w:val="24"/>
        </w:rPr>
        <w:t xml:space="preserve">1. En todas las medidas concernientes a los niños que tomen las instituciones públicas o privadas de bienestar social, los tribunales, las autoridades administrativas o los órganos legislativos, una consideración primordial a que se atenderá será el </w:t>
      </w:r>
      <w:r w:rsidRPr="008D5A3A">
        <w:rPr>
          <w:rFonts w:ascii="Century Gothic" w:hAnsi="Century Gothic"/>
          <w:b/>
          <w:szCs w:val="24"/>
        </w:rPr>
        <w:t>interés superior del niño</w:t>
      </w:r>
      <w:r w:rsidRPr="008D5A3A">
        <w:rPr>
          <w:rFonts w:ascii="Century Gothic" w:hAnsi="Century Gothic"/>
          <w:szCs w:val="24"/>
        </w:rPr>
        <w:t xml:space="preserve">. </w:t>
      </w:r>
    </w:p>
    <w:p w14:paraId="7FBD82ED" w14:textId="77777777" w:rsidR="002B141E" w:rsidRPr="008D5A3A" w:rsidRDefault="002B141E" w:rsidP="002B141E">
      <w:pPr>
        <w:spacing w:line="240" w:lineRule="auto"/>
        <w:ind w:left="-142"/>
        <w:jc w:val="both"/>
        <w:rPr>
          <w:rFonts w:ascii="Century Gothic" w:hAnsi="Century Gothic"/>
          <w:szCs w:val="24"/>
        </w:rPr>
      </w:pPr>
    </w:p>
    <w:p w14:paraId="2454AF9E" w14:textId="77777777" w:rsidR="002B141E" w:rsidRPr="008D5A3A" w:rsidRDefault="002B141E" w:rsidP="002B141E">
      <w:pPr>
        <w:spacing w:line="240" w:lineRule="auto"/>
        <w:ind w:left="708"/>
        <w:jc w:val="both"/>
        <w:rPr>
          <w:rFonts w:ascii="Century Gothic" w:hAnsi="Century Gothic"/>
          <w:szCs w:val="24"/>
        </w:rPr>
      </w:pPr>
      <w:r w:rsidRPr="008D5A3A">
        <w:rPr>
          <w:rFonts w:ascii="Century Gothic" w:hAnsi="Century Gothic"/>
          <w:szCs w:val="24"/>
        </w:rPr>
        <w:t xml:space="preserve">2. Los Estados Partes se comprometen a asegurar al niño la </w:t>
      </w:r>
      <w:r w:rsidRPr="008D5A3A">
        <w:rPr>
          <w:rFonts w:ascii="Century Gothic" w:hAnsi="Century Gothic"/>
          <w:b/>
          <w:szCs w:val="24"/>
        </w:rPr>
        <w:t>protección y el cuidado que sean necesarios para su bienestar</w:t>
      </w:r>
      <w:r w:rsidRPr="008D5A3A">
        <w:rPr>
          <w:rFonts w:ascii="Century Gothic" w:hAnsi="Century Gothic"/>
          <w:szCs w:val="24"/>
        </w:rPr>
        <w:t xml:space="preserve">, teniendo en cuenta los derechos y deberes de sus padres, tutores u otras personas responsables de él ante la ley y, con ese fin, tomarán todas las medidas legislativas y administrativas adecuadas. </w:t>
      </w:r>
    </w:p>
    <w:p w14:paraId="5FE1FB11" w14:textId="77777777" w:rsidR="002B141E" w:rsidRPr="008D5A3A" w:rsidRDefault="002B141E" w:rsidP="002B141E">
      <w:pPr>
        <w:spacing w:line="240" w:lineRule="auto"/>
        <w:ind w:left="708"/>
        <w:jc w:val="both"/>
        <w:rPr>
          <w:rFonts w:ascii="Century Gothic" w:hAnsi="Century Gothic"/>
          <w:szCs w:val="24"/>
        </w:rPr>
      </w:pPr>
    </w:p>
    <w:p w14:paraId="341D9F71" w14:textId="1DD11D41" w:rsidR="002B141E" w:rsidRPr="008D5A3A" w:rsidRDefault="002B141E" w:rsidP="002B141E">
      <w:pPr>
        <w:ind w:firstLine="708"/>
        <w:contextualSpacing w:val="0"/>
        <w:jc w:val="both"/>
        <w:rPr>
          <w:rFonts w:ascii="Century Gothic" w:hAnsi="Century Gothic"/>
          <w:b/>
          <w:szCs w:val="24"/>
        </w:rPr>
      </w:pPr>
      <w:r w:rsidRPr="008D5A3A">
        <w:rPr>
          <w:rFonts w:ascii="Century Gothic" w:hAnsi="Century Gothic"/>
          <w:szCs w:val="24"/>
        </w:rPr>
        <w:t>(…)</w:t>
      </w:r>
    </w:p>
    <w:p w14:paraId="393F2BDE" w14:textId="19BDB9F3" w:rsidR="002B141E" w:rsidRPr="008D5A3A" w:rsidRDefault="002B141E" w:rsidP="001A0FFD">
      <w:pPr>
        <w:contextualSpacing w:val="0"/>
        <w:jc w:val="both"/>
        <w:rPr>
          <w:rFonts w:ascii="Century Gothic" w:hAnsi="Century Gothic"/>
          <w:b/>
          <w:szCs w:val="24"/>
        </w:rPr>
      </w:pPr>
    </w:p>
    <w:p w14:paraId="2CF84A5E" w14:textId="3F119C65" w:rsidR="007D3FE0" w:rsidRPr="008D5A3A" w:rsidRDefault="007D3FE0" w:rsidP="001A0FFD">
      <w:pPr>
        <w:contextualSpacing w:val="0"/>
        <w:jc w:val="both"/>
        <w:rPr>
          <w:rFonts w:ascii="Century Gothic" w:hAnsi="Century Gothic"/>
          <w:b/>
          <w:szCs w:val="24"/>
        </w:rPr>
      </w:pPr>
      <w:r w:rsidRPr="008D5A3A">
        <w:rPr>
          <w:rFonts w:ascii="Century Gothic" w:hAnsi="Century Gothic"/>
          <w:b/>
          <w:szCs w:val="24"/>
        </w:rPr>
        <w:t xml:space="preserve">LEY 1146 DE 2007 – “POR MEDIO DE LA CUAL SE EXPIDEN NORMAS PARA LA PREVENCIÓN DE LA VIOLENCIA SEXUAL Y ATENCIÓN INTEGRAL DE LOS NIÑOS, NIÑAS Y ADOLESCENTES ABUSADOS SEXUALMENTE”: </w:t>
      </w:r>
    </w:p>
    <w:p w14:paraId="0519220B" w14:textId="43AE8F60" w:rsidR="00C67F53" w:rsidRPr="008D5A3A" w:rsidRDefault="00C67F53" w:rsidP="001A0FFD">
      <w:pPr>
        <w:contextualSpacing w:val="0"/>
        <w:jc w:val="both"/>
        <w:rPr>
          <w:rFonts w:ascii="Century Gothic" w:hAnsi="Century Gothic"/>
          <w:b/>
          <w:szCs w:val="24"/>
        </w:rPr>
      </w:pPr>
    </w:p>
    <w:p w14:paraId="1ABF3E8D" w14:textId="3923DAB0" w:rsidR="00C67F53" w:rsidRPr="008D5A3A" w:rsidRDefault="00C67F53" w:rsidP="001A0FFD">
      <w:pPr>
        <w:contextualSpacing w:val="0"/>
        <w:jc w:val="both"/>
        <w:rPr>
          <w:rFonts w:ascii="Century Gothic" w:hAnsi="Century Gothic"/>
          <w:szCs w:val="24"/>
        </w:rPr>
      </w:pPr>
      <w:r w:rsidRPr="008D5A3A">
        <w:rPr>
          <w:rFonts w:ascii="Century Gothic" w:hAnsi="Century Gothic"/>
          <w:szCs w:val="24"/>
        </w:rPr>
        <w:t xml:space="preserve">La </w:t>
      </w:r>
      <w:r w:rsidR="001C7EF0" w:rsidRPr="008D5A3A">
        <w:rPr>
          <w:rFonts w:ascii="Century Gothic" w:hAnsi="Century Gothic"/>
          <w:szCs w:val="24"/>
        </w:rPr>
        <w:t xml:space="preserve">presente Ley, en su artículo 2 define la violencia sexual contra niños, niñas y adolescentes en el siguiente sentido: </w:t>
      </w:r>
    </w:p>
    <w:p w14:paraId="7D04FEC4" w14:textId="77777777" w:rsidR="00C67F53" w:rsidRPr="008D5A3A" w:rsidRDefault="00C67F53" w:rsidP="001A0FFD">
      <w:pPr>
        <w:contextualSpacing w:val="0"/>
        <w:jc w:val="both"/>
        <w:rPr>
          <w:rFonts w:ascii="Century Gothic" w:hAnsi="Century Gothic"/>
          <w:b/>
          <w:szCs w:val="24"/>
        </w:rPr>
      </w:pPr>
    </w:p>
    <w:p w14:paraId="322C103B" w14:textId="77777777" w:rsidR="00926F97" w:rsidRPr="008D5A3A" w:rsidRDefault="00926F97" w:rsidP="001A0FFD">
      <w:pPr>
        <w:contextualSpacing w:val="0"/>
        <w:jc w:val="both"/>
        <w:rPr>
          <w:rFonts w:ascii="Century Gothic" w:hAnsi="Century Gothic"/>
          <w:szCs w:val="24"/>
        </w:rPr>
      </w:pPr>
    </w:p>
    <w:p w14:paraId="076203B3" w14:textId="20355DD5" w:rsidR="00926F97" w:rsidRPr="008D5A3A" w:rsidRDefault="00C67F53" w:rsidP="00C67F53">
      <w:pPr>
        <w:ind w:left="708"/>
        <w:contextualSpacing w:val="0"/>
        <w:jc w:val="both"/>
        <w:rPr>
          <w:rFonts w:ascii="Century Gothic" w:hAnsi="Century Gothic"/>
          <w:szCs w:val="24"/>
        </w:rPr>
      </w:pPr>
      <w:r w:rsidRPr="008D5A3A">
        <w:rPr>
          <w:rFonts w:ascii="Century Gothic" w:hAnsi="Century Gothic"/>
          <w:b/>
          <w:szCs w:val="24"/>
        </w:rPr>
        <w:t>ARTÍCULO 2o. DEFINICIÓN</w:t>
      </w:r>
      <w:r w:rsidRPr="008D5A3A">
        <w:rPr>
          <w:rFonts w:ascii="Century Gothic" w:hAnsi="Century Gothic"/>
          <w:szCs w:val="24"/>
        </w:rPr>
        <w:t xml:space="preserve">. Para efectos de la presente ley se entiende por violencia sexual contra niños, niñas y adolescentes, </w:t>
      </w:r>
      <w:r w:rsidRPr="008D5A3A">
        <w:rPr>
          <w:rFonts w:ascii="Century Gothic" w:hAnsi="Century Gothic"/>
          <w:b/>
          <w:szCs w:val="24"/>
          <w:u w:val="single"/>
        </w:rPr>
        <w:t>todo acto o comportamiento de tipo sexual ejercido sobre un niño, niña o adolescente, utilizando la fuerza o cualquier forma de coerción física, psicológica o emocional,</w:t>
      </w:r>
      <w:r w:rsidRPr="008D5A3A">
        <w:rPr>
          <w:rFonts w:ascii="Century Gothic" w:hAnsi="Century Gothic"/>
          <w:szCs w:val="24"/>
        </w:rPr>
        <w:t xml:space="preserve"> aprovechando las </w:t>
      </w:r>
      <w:r w:rsidRPr="008D5A3A">
        <w:rPr>
          <w:rFonts w:ascii="Century Gothic" w:hAnsi="Century Gothic"/>
          <w:b/>
          <w:szCs w:val="24"/>
          <w:u w:val="single"/>
        </w:rPr>
        <w:t>condiciones de indefensión, de desigualdad y las relaciones de poder existentes entre víctima y agresor</w:t>
      </w:r>
      <w:r w:rsidRPr="008D5A3A">
        <w:rPr>
          <w:rFonts w:ascii="Century Gothic" w:hAnsi="Century Gothic"/>
          <w:szCs w:val="24"/>
        </w:rPr>
        <w:t>.</w:t>
      </w:r>
    </w:p>
    <w:p w14:paraId="2E951268" w14:textId="4782BC4A" w:rsidR="001C7EF0" w:rsidRPr="008D5A3A" w:rsidRDefault="001C7EF0" w:rsidP="002D2292">
      <w:pPr>
        <w:contextualSpacing w:val="0"/>
        <w:jc w:val="both"/>
        <w:rPr>
          <w:rFonts w:ascii="Century Gothic" w:hAnsi="Century Gothic"/>
          <w:szCs w:val="24"/>
        </w:rPr>
      </w:pPr>
    </w:p>
    <w:p w14:paraId="7D7E3826" w14:textId="77777777" w:rsidR="002B141E" w:rsidRPr="008D5A3A" w:rsidRDefault="002B141E" w:rsidP="002D2292">
      <w:pPr>
        <w:contextualSpacing w:val="0"/>
        <w:jc w:val="both"/>
        <w:rPr>
          <w:rFonts w:ascii="Century Gothic" w:hAnsi="Century Gothic"/>
          <w:b/>
          <w:szCs w:val="24"/>
        </w:rPr>
      </w:pPr>
    </w:p>
    <w:p w14:paraId="0C2700F6" w14:textId="3E20795F" w:rsidR="00764DA9" w:rsidRPr="008D5A3A" w:rsidRDefault="002D2292" w:rsidP="002D2292">
      <w:pPr>
        <w:contextualSpacing w:val="0"/>
        <w:jc w:val="both"/>
        <w:rPr>
          <w:rFonts w:ascii="Century Gothic" w:hAnsi="Century Gothic"/>
          <w:b/>
          <w:szCs w:val="24"/>
        </w:rPr>
      </w:pPr>
      <w:r w:rsidRPr="008D5A3A">
        <w:rPr>
          <w:rFonts w:ascii="Century Gothic" w:hAnsi="Century Gothic"/>
          <w:b/>
          <w:szCs w:val="24"/>
        </w:rPr>
        <w:t>JURISPRUDENCIA</w:t>
      </w:r>
    </w:p>
    <w:p w14:paraId="2B0878D8" w14:textId="7F10BD59" w:rsidR="00764DA9" w:rsidRPr="008D5A3A" w:rsidRDefault="00764DA9" w:rsidP="002D2292">
      <w:pPr>
        <w:contextualSpacing w:val="0"/>
        <w:jc w:val="both"/>
        <w:rPr>
          <w:rFonts w:ascii="Century Gothic" w:hAnsi="Century Gothic"/>
          <w:bCs/>
          <w:szCs w:val="24"/>
        </w:rPr>
      </w:pPr>
    </w:p>
    <w:p w14:paraId="7907D729" w14:textId="193015DE" w:rsidR="007F10DD" w:rsidRPr="008D5A3A" w:rsidRDefault="00764DA9" w:rsidP="008D5A3A">
      <w:pPr>
        <w:contextualSpacing w:val="0"/>
        <w:jc w:val="both"/>
        <w:rPr>
          <w:rFonts w:ascii="Century Gothic" w:hAnsi="Century Gothic"/>
          <w:szCs w:val="24"/>
        </w:rPr>
      </w:pPr>
      <w:r w:rsidRPr="008D5A3A">
        <w:rPr>
          <w:rFonts w:ascii="Century Gothic" w:hAnsi="Century Gothic"/>
          <w:b/>
          <w:szCs w:val="24"/>
        </w:rPr>
        <w:t>Sentencia C416/</w:t>
      </w:r>
      <w:r w:rsidR="006D41E0" w:rsidRPr="008D5A3A">
        <w:rPr>
          <w:rFonts w:ascii="Century Gothic" w:hAnsi="Century Gothic"/>
          <w:b/>
          <w:szCs w:val="24"/>
        </w:rPr>
        <w:t>20</w:t>
      </w:r>
      <w:r w:rsidRPr="008D5A3A">
        <w:rPr>
          <w:rFonts w:ascii="Century Gothic" w:hAnsi="Century Gothic"/>
          <w:b/>
          <w:szCs w:val="24"/>
        </w:rPr>
        <w:t>02:</w:t>
      </w:r>
      <w:r w:rsidR="009C5FEE" w:rsidRPr="008D5A3A">
        <w:rPr>
          <w:rFonts w:ascii="Century Gothic" w:hAnsi="Century Gothic"/>
          <w:b/>
          <w:szCs w:val="24"/>
        </w:rPr>
        <w:t xml:space="preserve"> </w:t>
      </w:r>
      <w:r w:rsidR="005D13BD" w:rsidRPr="008D5A3A">
        <w:rPr>
          <w:rFonts w:ascii="Century Gothic" w:hAnsi="Century Gothic"/>
          <w:bCs/>
          <w:szCs w:val="24"/>
        </w:rPr>
        <w:t xml:space="preserve">Mediante la cual </w:t>
      </w:r>
      <w:r w:rsidR="00AB4FC1" w:rsidRPr="008D5A3A">
        <w:rPr>
          <w:rFonts w:ascii="Century Gothic" w:hAnsi="Century Gothic"/>
          <w:bCs/>
          <w:szCs w:val="24"/>
        </w:rPr>
        <w:t xml:space="preserve">la Corte Constitucional </w:t>
      </w:r>
      <w:r w:rsidR="005D13BD" w:rsidRPr="008D5A3A">
        <w:rPr>
          <w:rFonts w:ascii="Century Gothic" w:hAnsi="Century Gothic"/>
          <w:bCs/>
          <w:szCs w:val="24"/>
        </w:rPr>
        <w:t>define la</w:t>
      </w:r>
      <w:r w:rsidR="009C5FEE" w:rsidRPr="008D5A3A">
        <w:rPr>
          <w:rFonts w:ascii="Century Gothic" w:hAnsi="Century Gothic"/>
          <w:szCs w:val="24"/>
        </w:rPr>
        <w:t xml:space="preserve"> prescripción de la acción penal </w:t>
      </w:r>
      <w:r w:rsidR="005D13BD" w:rsidRPr="008D5A3A">
        <w:rPr>
          <w:rFonts w:ascii="Century Gothic" w:hAnsi="Century Gothic"/>
          <w:szCs w:val="24"/>
        </w:rPr>
        <w:t>como “</w:t>
      </w:r>
      <w:r w:rsidR="009C5FEE" w:rsidRPr="008D5A3A">
        <w:rPr>
          <w:rFonts w:ascii="Century Gothic" w:hAnsi="Century Gothic"/>
          <w:szCs w:val="24"/>
        </w:rPr>
        <w:t xml:space="preserve">una institución de orden público, en virtud </w:t>
      </w:r>
      <w:r w:rsidR="009C5FEE" w:rsidRPr="008D5A3A">
        <w:rPr>
          <w:rFonts w:ascii="Century Gothic" w:hAnsi="Century Gothic"/>
          <w:szCs w:val="24"/>
        </w:rPr>
        <w:lastRenderedPageBreak/>
        <w:t>de la cual el Estado cesa su potestad punitiva por el cumplimiento del término señalado en la respectiva ley</w:t>
      </w:r>
      <w:r w:rsidR="000C0BD0" w:rsidRPr="008D5A3A">
        <w:rPr>
          <w:rFonts w:ascii="Century Gothic" w:hAnsi="Century Gothic"/>
          <w:szCs w:val="24"/>
        </w:rPr>
        <w:t>”</w:t>
      </w:r>
      <w:sdt>
        <w:sdtPr>
          <w:rPr>
            <w:rFonts w:ascii="Century Gothic" w:hAnsi="Century Gothic"/>
            <w:szCs w:val="24"/>
          </w:rPr>
          <w:id w:val="-1016066274"/>
          <w:citation/>
        </w:sdtPr>
        <w:sdtEndPr/>
        <w:sdtContent>
          <w:r w:rsidR="000C0BD0" w:rsidRPr="008D5A3A">
            <w:rPr>
              <w:rFonts w:ascii="Century Gothic" w:hAnsi="Century Gothic"/>
              <w:szCs w:val="24"/>
            </w:rPr>
            <w:fldChar w:fldCharType="begin"/>
          </w:r>
          <w:r w:rsidR="000C0BD0" w:rsidRPr="008D5A3A">
            <w:rPr>
              <w:rFonts w:ascii="Century Gothic" w:hAnsi="Century Gothic"/>
              <w:szCs w:val="24"/>
              <w:lang w:val="es-CO"/>
            </w:rPr>
            <w:instrText xml:space="preserve"> CITATION PRE02 \l 9226 </w:instrText>
          </w:r>
          <w:r w:rsidR="000C0BD0" w:rsidRPr="008D5A3A">
            <w:rPr>
              <w:rFonts w:ascii="Century Gothic" w:hAnsi="Century Gothic"/>
              <w:szCs w:val="24"/>
            </w:rPr>
            <w:fldChar w:fldCharType="separate"/>
          </w:r>
          <w:r w:rsidR="000C0BD0" w:rsidRPr="008D5A3A">
            <w:rPr>
              <w:rFonts w:ascii="Century Gothic" w:hAnsi="Century Gothic"/>
              <w:noProof/>
              <w:szCs w:val="24"/>
              <w:lang w:val="es-CO"/>
            </w:rPr>
            <w:t xml:space="preserve"> (PRESCRIPCION DE LA ACCION PENAL-Alcance, 2002)</w:t>
          </w:r>
          <w:r w:rsidR="000C0BD0" w:rsidRPr="008D5A3A">
            <w:rPr>
              <w:rFonts w:ascii="Century Gothic" w:hAnsi="Century Gothic"/>
              <w:szCs w:val="24"/>
            </w:rPr>
            <w:fldChar w:fldCharType="end"/>
          </w:r>
        </w:sdtContent>
      </w:sdt>
      <w:r w:rsidR="009C5FEE" w:rsidRPr="008D5A3A">
        <w:rPr>
          <w:rFonts w:ascii="Century Gothic" w:hAnsi="Century Gothic"/>
          <w:szCs w:val="24"/>
        </w:rPr>
        <w:t xml:space="preserve">. </w:t>
      </w:r>
      <w:r w:rsidR="000C0BD0" w:rsidRPr="008D5A3A">
        <w:rPr>
          <w:rFonts w:ascii="Century Gothic" w:hAnsi="Century Gothic"/>
          <w:szCs w:val="24"/>
        </w:rPr>
        <w:t>E</w:t>
      </w:r>
      <w:r w:rsidR="005D13BD" w:rsidRPr="008D5A3A">
        <w:rPr>
          <w:rFonts w:ascii="Century Gothic" w:hAnsi="Century Gothic"/>
          <w:szCs w:val="24"/>
        </w:rPr>
        <w:t>l Alto tribunal asegura que e</w:t>
      </w:r>
      <w:r w:rsidR="000C0BD0" w:rsidRPr="008D5A3A">
        <w:rPr>
          <w:rFonts w:ascii="Century Gothic" w:hAnsi="Century Gothic"/>
          <w:szCs w:val="24"/>
        </w:rPr>
        <w:t>ste fenómeno se presenta cuando se vencen los términos señalados por la Ley para iniciar la acción penal en contra del infractor, razón por la cual el aparato judicial pierde la potestad para iniciar o continuar una investigación en contra del sujeto beneficiado con la prescripción</w:t>
      </w:r>
      <w:r w:rsidR="005D13BD" w:rsidRPr="008D5A3A">
        <w:rPr>
          <w:rFonts w:ascii="Century Gothic" w:hAnsi="Century Gothic"/>
          <w:szCs w:val="24"/>
        </w:rPr>
        <w:t>.</w:t>
      </w:r>
    </w:p>
    <w:p w14:paraId="30629520" w14:textId="77777777" w:rsidR="00240B1E" w:rsidRPr="008D5A3A" w:rsidRDefault="00240B1E" w:rsidP="00EA17A6">
      <w:pPr>
        <w:contextualSpacing w:val="0"/>
        <w:jc w:val="center"/>
        <w:rPr>
          <w:rFonts w:ascii="Century Gothic" w:hAnsi="Century Gothic"/>
          <w:b/>
          <w:szCs w:val="24"/>
        </w:rPr>
      </w:pPr>
    </w:p>
    <w:p w14:paraId="2B3E6EBB" w14:textId="6E3CFEC4" w:rsidR="004F7DB1" w:rsidRPr="008D5A3A" w:rsidRDefault="002D2292" w:rsidP="002B141E">
      <w:pPr>
        <w:contextualSpacing w:val="0"/>
        <w:jc w:val="center"/>
        <w:rPr>
          <w:rFonts w:ascii="Century Gothic" w:hAnsi="Century Gothic"/>
          <w:b/>
          <w:szCs w:val="24"/>
        </w:rPr>
      </w:pPr>
      <w:r w:rsidRPr="008D5A3A">
        <w:rPr>
          <w:rFonts w:ascii="Century Gothic" w:hAnsi="Century Gothic"/>
          <w:b/>
          <w:szCs w:val="24"/>
        </w:rPr>
        <w:t>EXPOSICIÓN DE MOTIVOS</w:t>
      </w:r>
      <w:r w:rsidR="00EA17A6" w:rsidRPr="008D5A3A">
        <w:rPr>
          <w:rFonts w:ascii="Century Gothic" w:hAnsi="Century Gothic"/>
          <w:b/>
          <w:szCs w:val="24"/>
        </w:rPr>
        <w:t xml:space="preserve">. </w:t>
      </w:r>
    </w:p>
    <w:p w14:paraId="25B43FDF" w14:textId="77777777" w:rsidR="004F7DB1" w:rsidRPr="008D5A3A" w:rsidRDefault="004F7DB1" w:rsidP="004F7DB1">
      <w:pPr>
        <w:contextualSpacing w:val="0"/>
        <w:rPr>
          <w:rFonts w:ascii="Century Gothic" w:hAnsi="Century Gothic"/>
          <w:b/>
          <w:szCs w:val="24"/>
        </w:rPr>
      </w:pPr>
    </w:p>
    <w:p w14:paraId="32335CF7" w14:textId="139EC86A" w:rsidR="00B77A49" w:rsidRPr="008D5A3A" w:rsidRDefault="00773582" w:rsidP="00271B9C">
      <w:pPr>
        <w:contextualSpacing w:val="0"/>
        <w:jc w:val="both"/>
        <w:rPr>
          <w:rFonts w:ascii="Century Gothic" w:hAnsi="Century Gothic"/>
          <w:szCs w:val="24"/>
        </w:rPr>
      </w:pPr>
      <w:r w:rsidRPr="008D5A3A">
        <w:rPr>
          <w:rFonts w:ascii="Century Gothic" w:hAnsi="Century Gothic"/>
          <w:szCs w:val="24"/>
        </w:rPr>
        <w:t>Según</w:t>
      </w:r>
      <w:r w:rsidR="00096119" w:rsidRPr="008D5A3A">
        <w:rPr>
          <w:rFonts w:ascii="Century Gothic" w:hAnsi="Century Gothic"/>
          <w:szCs w:val="24"/>
        </w:rPr>
        <w:t xml:space="preserve"> el </w:t>
      </w:r>
      <w:r w:rsidRPr="008D5A3A">
        <w:rPr>
          <w:rFonts w:ascii="Century Gothic" w:hAnsi="Century Gothic"/>
          <w:szCs w:val="24"/>
        </w:rPr>
        <w:t xml:space="preserve">último </w:t>
      </w:r>
      <w:r w:rsidR="00096119" w:rsidRPr="008D5A3A">
        <w:rPr>
          <w:rFonts w:ascii="Century Gothic" w:hAnsi="Century Gothic"/>
          <w:szCs w:val="24"/>
        </w:rPr>
        <w:t xml:space="preserve">informe </w:t>
      </w:r>
      <w:r w:rsidR="00271B9C" w:rsidRPr="008D5A3A">
        <w:rPr>
          <w:rFonts w:ascii="Century Gothic" w:hAnsi="Century Gothic"/>
          <w:szCs w:val="24"/>
        </w:rPr>
        <w:t xml:space="preserve">del Instituto Nacional de Medicina Legal, </w:t>
      </w:r>
      <w:r w:rsidRPr="008D5A3A">
        <w:rPr>
          <w:rFonts w:ascii="Century Gothic" w:hAnsi="Century Gothic"/>
          <w:szCs w:val="24"/>
        </w:rPr>
        <w:t>“</w:t>
      </w:r>
      <w:proofErr w:type="spellStart"/>
      <w:r w:rsidRPr="008D5A3A">
        <w:rPr>
          <w:rFonts w:ascii="Century Gothic" w:hAnsi="Century Gothic"/>
          <w:szCs w:val="24"/>
        </w:rPr>
        <w:t>Forensis</w:t>
      </w:r>
      <w:proofErr w:type="spellEnd"/>
      <w:r w:rsidRPr="008D5A3A">
        <w:rPr>
          <w:rFonts w:ascii="Century Gothic" w:hAnsi="Century Gothic"/>
          <w:szCs w:val="24"/>
        </w:rPr>
        <w:t xml:space="preserve"> 2018</w:t>
      </w:r>
      <w:r w:rsidR="00271B9C" w:rsidRPr="008D5A3A">
        <w:rPr>
          <w:rFonts w:ascii="Century Gothic" w:hAnsi="Century Gothic"/>
          <w:szCs w:val="24"/>
        </w:rPr>
        <w:t>. Datos para la Vida”,</w:t>
      </w:r>
      <w:r w:rsidRPr="008D5A3A">
        <w:rPr>
          <w:rFonts w:ascii="Century Gothic" w:hAnsi="Century Gothic"/>
          <w:szCs w:val="24"/>
        </w:rPr>
        <w:t xml:space="preserve"> </w:t>
      </w:r>
      <w:r w:rsidR="00271B9C" w:rsidRPr="008D5A3A">
        <w:rPr>
          <w:rFonts w:ascii="Century Gothic" w:hAnsi="Century Gothic"/>
          <w:szCs w:val="24"/>
        </w:rPr>
        <w:t xml:space="preserve">“durante el año 2018 </w:t>
      </w:r>
      <w:r w:rsidR="00721DF9" w:rsidRPr="008D5A3A">
        <w:rPr>
          <w:rFonts w:ascii="Century Gothic" w:hAnsi="Century Gothic"/>
          <w:szCs w:val="24"/>
        </w:rPr>
        <w:t xml:space="preserve">se realizaron 26.065 exámenes médico legales por presunto delito sexual con una tasa por cada cien mil habitantes de 52,30 y un incremento de 2.267 casos con respecto al año anterior. Siendo las mujeres las más afectadas” </w:t>
      </w:r>
      <w:sdt>
        <w:sdtPr>
          <w:rPr>
            <w:rFonts w:ascii="Century Gothic" w:hAnsi="Century Gothic"/>
            <w:szCs w:val="24"/>
          </w:rPr>
          <w:id w:val="-1696523461"/>
          <w:citation/>
        </w:sdtPr>
        <w:sdtEndPr/>
        <w:sdtContent>
          <w:r w:rsidR="00721DF9" w:rsidRPr="008D5A3A">
            <w:rPr>
              <w:rFonts w:ascii="Century Gothic" w:hAnsi="Century Gothic"/>
              <w:szCs w:val="24"/>
            </w:rPr>
            <w:fldChar w:fldCharType="begin"/>
          </w:r>
          <w:r w:rsidR="00721DF9" w:rsidRPr="008D5A3A">
            <w:rPr>
              <w:rFonts w:ascii="Century Gothic" w:hAnsi="Century Gothic"/>
              <w:szCs w:val="24"/>
              <w:lang w:val="es-CO"/>
            </w:rPr>
            <w:instrText xml:space="preserve"> CITATION Gru18 \l 9226 </w:instrText>
          </w:r>
          <w:r w:rsidR="00721DF9" w:rsidRPr="008D5A3A">
            <w:rPr>
              <w:rFonts w:ascii="Century Gothic" w:hAnsi="Century Gothic"/>
              <w:szCs w:val="24"/>
            </w:rPr>
            <w:fldChar w:fldCharType="separate"/>
          </w:r>
          <w:r w:rsidR="00721DF9" w:rsidRPr="008D5A3A">
            <w:rPr>
              <w:rFonts w:ascii="Century Gothic" w:hAnsi="Century Gothic"/>
              <w:noProof/>
              <w:szCs w:val="24"/>
              <w:lang w:val="es-CO"/>
            </w:rPr>
            <w:t>(Grupo Centro de Referencia Nacional sobre Violencia, 2018)</w:t>
          </w:r>
          <w:r w:rsidR="00721DF9" w:rsidRPr="008D5A3A">
            <w:rPr>
              <w:rFonts w:ascii="Century Gothic" w:hAnsi="Century Gothic"/>
              <w:szCs w:val="24"/>
            </w:rPr>
            <w:fldChar w:fldCharType="end"/>
          </w:r>
        </w:sdtContent>
      </w:sdt>
      <w:r w:rsidR="00B77A49" w:rsidRPr="008D5A3A">
        <w:rPr>
          <w:rFonts w:ascii="Century Gothic" w:hAnsi="Century Gothic"/>
          <w:szCs w:val="24"/>
        </w:rPr>
        <w:t xml:space="preserve">. </w:t>
      </w:r>
    </w:p>
    <w:p w14:paraId="4D7B5570" w14:textId="6D50C084" w:rsidR="00B77A49" w:rsidRPr="008D5A3A" w:rsidRDefault="00B77A49" w:rsidP="00271B9C">
      <w:pPr>
        <w:contextualSpacing w:val="0"/>
        <w:jc w:val="both"/>
        <w:rPr>
          <w:rFonts w:ascii="Century Gothic" w:hAnsi="Century Gothic"/>
          <w:szCs w:val="24"/>
        </w:rPr>
      </w:pPr>
    </w:p>
    <w:p w14:paraId="650B7438" w14:textId="7BE7CC78" w:rsidR="00B77A49" w:rsidRPr="008D5A3A" w:rsidRDefault="00B77A49" w:rsidP="00271B9C">
      <w:pPr>
        <w:contextualSpacing w:val="0"/>
        <w:jc w:val="both"/>
        <w:rPr>
          <w:rFonts w:ascii="Century Gothic" w:hAnsi="Century Gothic"/>
          <w:szCs w:val="24"/>
        </w:rPr>
      </w:pPr>
      <w:r w:rsidRPr="008D5A3A">
        <w:rPr>
          <w:rFonts w:ascii="Century Gothic" w:hAnsi="Century Gothic"/>
          <w:szCs w:val="24"/>
        </w:rPr>
        <w:t>Respecto a este mismo año, el informe revela otros datos preocupantes, como:</w:t>
      </w:r>
    </w:p>
    <w:p w14:paraId="6F17C322" w14:textId="77777777" w:rsidR="00B77A49" w:rsidRPr="008D5A3A" w:rsidRDefault="00B77A49" w:rsidP="00271B9C">
      <w:pPr>
        <w:contextualSpacing w:val="0"/>
        <w:jc w:val="both"/>
        <w:rPr>
          <w:rFonts w:ascii="Century Gothic" w:hAnsi="Century Gothic"/>
          <w:szCs w:val="24"/>
        </w:rPr>
      </w:pPr>
    </w:p>
    <w:p w14:paraId="50966EF4" w14:textId="700111FE" w:rsidR="00A13FDC" w:rsidRPr="008D5A3A" w:rsidRDefault="00B77A49" w:rsidP="00271B9C">
      <w:pPr>
        <w:pStyle w:val="Prrafodelista"/>
        <w:numPr>
          <w:ilvl w:val="0"/>
          <w:numId w:val="1"/>
        </w:numPr>
        <w:contextualSpacing w:val="0"/>
        <w:jc w:val="both"/>
        <w:rPr>
          <w:rFonts w:ascii="Century Gothic" w:eastAsia="Arial" w:hAnsi="Century Gothic" w:cs="Arial"/>
          <w:szCs w:val="24"/>
          <w:lang w:val="es" w:eastAsia="es-CO"/>
        </w:rPr>
      </w:pPr>
      <w:r w:rsidRPr="008D5A3A">
        <w:rPr>
          <w:rFonts w:ascii="Century Gothic" w:eastAsia="Arial" w:hAnsi="Century Gothic" w:cs="Arial"/>
          <w:szCs w:val="24"/>
          <w:lang w:val="es" w:eastAsia="es-CO"/>
        </w:rPr>
        <w:t>L</w:t>
      </w:r>
      <w:r w:rsidR="00A13FDC" w:rsidRPr="008D5A3A">
        <w:rPr>
          <w:rFonts w:ascii="Century Gothic" w:eastAsia="Arial" w:hAnsi="Century Gothic" w:cs="Arial"/>
          <w:szCs w:val="24"/>
          <w:lang w:val="es" w:eastAsia="es-CO"/>
        </w:rPr>
        <w:t>as n</w:t>
      </w:r>
      <w:r w:rsidRPr="008D5A3A">
        <w:rPr>
          <w:rFonts w:ascii="Century Gothic" w:eastAsia="Arial" w:hAnsi="Century Gothic" w:cs="Arial"/>
          <w:szCs w:val="24"/>
          <w:lang w:val="es" w:eastAsia="es-CO"/>
        </w:rPr>
        <w:t>iñas entre los 10 a 13 años, fueron</w:t>
      </w:r>
      <w:r w:rsidR="00A13FDC" w:rsidRPr="008D5A3A">
        <w:rPr>
          <w:rFonts w:ascii="Century Gothic" w:eastAsia="Arial" w:hAnsi="Century Gothic" w:cs="Arial"/>
          <w:szCs w:val="24"/>
          <w:lang w:val="es" w:eastAsia="es-CO"/>
        </w:rPr>
        <w:t xml:space="preserve"> las mayores víctimas </w:t>
      </w:r>
      <w:r w:rsidRPr="008D5A3A">
        <w:rPr>
          <w:rFonts w:ascii="Century Gothic" w:eastAsia="Arial" w:hAnsi="Century Gothic" w:cs="Arial"/>
          <w:szCs w:val="24"/>
          <w:lang w:val="es" w:eastAsia="es-CO"/>
        </w:rPr>
        <w:t xml:space="preserve">del delito sexual, representando el 41.9% del total de las valoraciones practicadas. </w:t>
      </w:r>
    </w:p>
    <w:p w14:paraId="5E6E942A" w14:textId="7FDC42E6" w:rsidR="00B77A49" w:rsidRPr="008D5A3A" w:rsidRDefault="00B77A49" w:rsidP="00271B9C">
      <w:pPr>
        <w:pStyle w:val="Prrafodelista"/>
        <w:numPr>
          <w:ilvl w:val="0"/>
          <w:numId w:val="1"/>
        </w:numPr>
        <w:contextualSpacing w:val="0"/>
        <w:jc w:val="both"/>
        <w:rPr>
          <w:rFonts w:ascii="Century Gothic" w:eastAsia="Arial" w:hAnsi="Century Gothic" w:cs="Arial"/>
          <w:szCs w:val="24"/>
          <w:lang w:val="es" w:eastAsia="es-CO"/>
        </w:rPr>
      </w:pPr>
      <w:r w:rsidRPr="008D5A3A">
        <w:rPr>
          <w:rFonts w:ascii="Century Gothic" w:hAnsi="Century Gothic" w:cs="Arial"/>
          <w:szCs w:val="24"/>
        </w:rPr>
        <w:t xml:space="preserve">Los departamentos con más casos registrados fueron; Bogotá D.C (4.169), Antioquia (3.302), Valle del Cauca (2.268), Cundinamarca (1.658) y Santander (1.358). </w:t>
      </w:r>
    </w:p>
    <w:p w14:paraId="1B9D0983" w14:textId="1052CEEA" w:rsidR="000C5721" w:rsidRPr="008D5A3A" w:rsidRDefault="000C5721" w:rsidP="001A0FFD">
      <w:pPr>
        <w:pStyle w:val="Prrafodelista"/>
        <w:numPr>
          <w:ilvl w:val="0"/>
          <w:numId w:val="1"/>
        </w:numPr>
        <w:contextualSpacing w:val="0"/>
        <w:jc w:val="both"/>
        <w:rPr>
          <w:rFonts w:ascii="Century Gothic" w:eastAsia="Arial" w:hAnsi="Century Gothic" w:cs="Arial"/>
          <w:szCs w:val="24"/>
          <w:lang w:val="es" w:eastAsia="es-CO"/>
        </w:rPr>
      </w:pPr>
      <w:r w:rsidRPr="008D5A3A">
        <w:rPr>
          <w:rFonts w:ascii="Century Gothic" w:hAnsi="Century Gothic" w:cs="Arial"/>
          <w:szCs w:val="24"/>
        </w:rPr>
        <w:t>Aproximadamente 35.000 son explotados sexualmente y la edad en la que son involucrados en estas actividades ilícitas es menor a los 10 años, según UNICEF.</w:t>
      </w:r>
    </w:p>
    <w:p w14:paraId="3B41F6B4" w14:textId="7B478715" w:rsidR="00C300E0" w:rsidRPr="008D5A3A" w:rsidRDefault="007511EE" w:rsidP="002B141E">
      <w:pPr>
        <w:pStyle w:val="Prrafodelista"/>
        <w:numPr>
          <w:ilvl w:val="0"/>
          <w:numId w:val="1"/>
        </w:numPr>
        <w:contextualSpacing w:val="0"/>
        <w:jc w:val="both"/>
        <w:rPr>
          <w:rFonts w:ascii="Century Gothic" w:eastAsia="Arial" w:hAnsi="Century Gothic" w:cs="Arial"/>
          <w:szCs w:val="24"/>
          <w:lang w:val="es" w:eastAsia="es-CO"/>
        </w:rPr>
      </w:pPr>
      <w:r w:rsidRPr="008D5A3A">
        <w:rPr>
          <w:rFonts w:ascii="Century Gothic" w:hAnsi="Century Gothic" w:cs="Arial"/>
          <w:szCs w:val="24"/>
        </w:rPr>
        <w:t xml:space="preserve">La presunta explotación sexual comercial de niños, niñas y </w:t>
      </w:r>
      <w:r w:rsidR="002B141E" w:rsidRPr="008D5A3A">
        <w:rPr>
          <w:rFonts w:ascii="Century Gothic" w:hAnsi="Century Gothic" w:cs="Arial"/>
          <w:szCs w:val="24"/>
        </w:rPr>
        <w:t>adolescentes</w:t>
      </w:r>
      <w:r w:rsidRPr="008D5A3A">
        <w:rPr>
          <w:rFonts w:ascii="Century Gothic" w:hAnsi="Century Gothic" w:cs="Arial"/>
          <w:szCs w:val="24"/>
        </w:rPr>
        <w:t xml:space="preserve"> representa el 51,7 % de los casos, seguido de la utilización de niños, niñas y adolescentes (NNA) en la pornografía con el 44,8 % y la presunta trata de niños, niñas y adolescentes con fines sexuales con un 3,4 %</w:t>
      </w:r>
    </w:p>
    <w:p w14:paraId="2552F597" w14:textId="77777777" w:rsidR="00C300E0" w:rsidRPr="008D5A3A" w:rsidRDefault="00C300E0" w:rsidP="00096119">
      <w:pPr>
        <w:spacing w:line="240" w:lineRule="auto"/>
        <w:ind w:left="-142"/>
        <w:jc w:val="both"/>
        <w:rPr>
          <w:rFonts w:ascii="Century Gothic" w:hAnsi="Century Gothic"/>
          <w:szCs w:val="24"/>
        </w:rPr>
      </w:pPr>
    </w:p>
    <w:p w14:paraId="325BC671" w14:textId="6CA23187" w:rsidR="00217723" w:rsidRPr="008D5A3A" w:rsidRDefault="007511EE" w:rsidP="00096119">
      <w:pPr>
        <w:spacing w:line="240" w:lineRule="auto"/>
        <w:ind w:left="-142"/>
        <w:jc w:val="both"/>
        <w:rPr>
          <w:rFonts w:ascii="Century Gothic" w:hAnsi="Century Gothic"/>
          <w:szCs w:val="24"/>
        </w:rPr>
      </w:pPr>
      <w:r w:rsidRPr="008D5A3A">
        <w:rPr>
          <w:rFonts w:ascii="Century Gothic" w:hAnsi="Century Gothic"/>
          <w:szCs w:val="24"/>
        </w:rPr>
        <w:t xml:space="preserve">En este sentido, el informe indica que existen diversas modalidades de la explotación sexual a niños, niñas y adolescentes, las cuales incluyen:  </w:t>
      </w:r>
    </w:p>
    <w:p w14:paraId="6CCB003C" w14:textId="42D4F109" w:rsidR="007511EE" w:rsidRPr="008D5A3A" w:rsidRDefault="007511EE" w:rsidP="00096119">
      <w:pPr>
        <w:spacing w:line="240" w:lineRule="auto"/>
        <w:ind w:left="-142"/>
        <w:jc w:val="both"/>
        <w:rPr>
          <w:rFonts w:ascii="Century Gothic" w:hAnsi="Century Gothic"/>
          <w:szCs w:val="24"/>
        </w:rPr>
      </w:pPr>
    </w:p>
    <w:p w14:paraId="7E2FCE31" w14:textId="0DE18515" w:rsidR="007511EE" w:rsidRPr="008D5A3A" w:rsidRDefault="007511EE" w:rsidP="007511EE">
      <w:pPr>
        <w:pStyle w:val="Prrafodelista"/>
        <w:numPr>
          <w:ilvl w:val="0"/>
          <w:numId w:val="2"/>
        </w:numPr>
        <w:spacing w:line="240" w:lineRule="auto"/>
        <w:jc w:val="both"/>
        <w:rPr>
          <w:rFonts w:ascii="Century Gothic" w:hAnsi="Century Gothic"/>
          <w:szCs w:val="24"/>
        </w:rPr>
      </w:pPr>
      <w:r w:rsidRPr="008D5A3A">
        <w:rPr>
          <w:rFonts w:ascii="Century Gothic" w:hAnsi="Century Gothic" w:cs="Arial"/>
          <w:b/>
          <w:szCs w:val="24"/>
        </w:rPr>
        <w:t>Explotación sexual comercial de niños, niñas y adolescentes</w:t>
      </w:r>
      <w:r w:rsidRPr="008D5A3A">
        <w:rPr>
          <w:rFonts w:ascii="Century Gothic" w:hAnsi="Century Gothic" w:cs="Arial"/>
          <w:szCs w:val="24"/>
        </w:rPr>
        <w:t>: definida como una violación fundamental de los derechos del niño. Comprende el abuso sexual por adultos y la remuneración en efectivo o en especie para el niño o una tercera persona o personas. El niño es tratado como un objeto sexual y como un objeto comercial.</w:t>
      </w:r>
    </w:p>
    <w:p w14:paraId="1FBB3C17" w14:textId="77777777" w:rsidR="007511EE" w:rsidRPr="008D5A3A" w:rsidRDefault="007511EE" w:rsidP="007511EE">
      <w:pPr>
        <w:pStyle w:val="Prrafodelista"/>
        <w:spacing w:line="240" w:lineRule="auto"/>
        <w:ind w:left="578"/>
        <w:jc w:val="both"/>
        <w:rPr>
          <w:rFonts w:ascii="Century Gothic" w:hAnsi="Century Gothic"/>
          <w:szCs w:val="24"/>
        </w:rPr>
      </w:pPr>
    </w:p>
    <w:p w14:paraId="22178A28" w14:textId="045D9072" w:rsidR="007511EE" w:rsidRPr="008D5A3A" w:rsidRDefault="007511EE" w:rsidP="007511EE">
      <w:pPr>
        <w:pStyle w:val="Prrafodelista"/>
        <w:numPr>
          <w:ilvl w:val="0"/>
          <w:numId w:val="2"/>
        </w:numPr>
        <w:spacing w:line="240" w:lineRule="auto"/>
        <w:jc w:val="both"/>
        <w:rPr>
          <w:rFonts w:ascii="Century Gothic" w:hAnsi="Century Gothic"/>
          <w:szCs w:val="24"/>
        </w:rPr>
      </w:pPr>
      <w:r w:rsidRPr="008D5A3A">
        <w:rPr>
          <w:rFonts w:ascii="Century Gothic" w:hAnsi="Century Gothic" w:cs="Arial"/>
          <w:b/>
          <w:szCs w:val="24"/>
        </w:rPr>
        <w:lastRenderedPageBreak/>
        <w:t>Utilización de niños, niñas y adolescentes en la pornografía:</w:t>
      </w:r>
      <w:r w:rsidRPr="008D5A3A">
        <w:rPr>
          <w:rFonts w:ascii="Century Gothic" w:hAnsi="Century Gothic" w:cs="Arial"/>
          <w:szCs w:val="24"/>
        </w:rPr>
        <w:t xml:space="preserve"> Toda representación, por cualquier medio, de un niño, niña o adolescente dedicado a actividades sexuales explícitas, reales o simuladas, o toda representación de las partes genitales de un niño, con fines primordialmente sexuales. Incluye las actividades de producción, tráfico, difusión, comercialización, producción o almacenamiento de materiales.</w:t>
      </w:r>
    </w:p>
    <w:p w14:paraId="4ED332E4" w14:textId="77777777" w:rsidR="007511EE" w:rsidRPr="008D5A3A" w:rsidRDefault="007511EE" w:rsidP="007511EE">
      <w:pPr>
        <w:pStyle w:val="Prrafodelista"/>
        <w:rPr>
          <w:rFonts w:ascii="Century Gothic" w:hAnsi="Century Gothic"/>
          <w:szCs w:val="24"/>
        </w:rPr>
      </w:pPr>
    </w:p>
    <w:p w14:paraId="147B0749" w14:textId="3ACF968E" w:rsidR="007511EE" w:rsidRPr="008D5A3A" w:rsidRDefault="007511EE" w:rsidP="007511EE">
      <w:pPr>
        <w:pStyle w:val="Prrafodelista"/>
        <w:numPr>
          <w:ilvl w:val="0"/>
          <w:numId w:val="2"/>
        </w:numPr>
        <w:spacing w:line="240" w:lineRule="auto"/>
        <w:jc w:val="both"/>
        <w:rPr>
          <w:rFonts w:ascii="Century Gothic" w:hAnsi="Century Gothic"/>
          <w:szCs w:val="24"/>
        </w:rPr>
      </w:pPr>
      <w:r w:rsidRPr="008D5A3A">
        <w:rPr>
          <w:rFonts w:ascii="Century Gothic" w:hAnsi="Century Gothic" w:cs="Arial"/>
          <w:b/>
          <w:szCs w:val="24"/>
        </w:rPr>
        <w:t>Explotación sexual comercial de niñas, niños y adolescentes en el contexto de viajes y turismo:</w:t>
      </w:r>
      <w:r w:rsidRPr="008D5A3A">
        <w:rPr>
          <w:rFonts w:ascii="Century Gothic" w:hAnsi="Century Gothic" w:cs="Arial"/>
          <w:szCs w:val="24"/>
        </w:rPr>
        <w:t xml:space="preserve"> “es la explotación por parte de una persona o personas, quienes se trasladan desde su lugar de origen o país natal, con el objetivo de entablar contacto sexual con niños, niñas y adolescentes”.</w:t>
      </w:r>
    </w:p>
    <w:p w14:paraId="5F355501" w14:textId="77777777" w:rsidR="007511EE" w:rsidRPr="008D5A3A" w:rsidRDefault="007511EE" w:rsidP="007511EE">
      <w:pPr>
        <w:pStyle w:val="Prrafodelista"/>
        <w:rPr>
          <w:rFonts w:ascii="Century Gothic" w:hAnsi="Century Gothic"/>
          <w:szCs w:val="24"/>
        </w:rPr>
      </w:pPr>
    </w:p>
    <w:p w14:paraId="48CF9935" w14:textId="2B3AC10E" w:rsidR="007511EE" w:rsidRPr="008D5A3A" w:rsidRDefault="007511EE" w:rsidP="007511EE">
      <w:pPr>
        <w:pStyle w:val="Prrafodelista"/>
        <w:numPr>
          <w:ilvl w:val="0"/>
          <w:numId w:val="2"/>
        </w:numPr>
        <w:spacing w:line="240" w:lineRule="auto"/>
        <w:jc w:val="both"/>
        <w:rPr>
          <w:rFonts w:ascii="Century Gothic" w:hAnsi="Century Gothic"/>
          <w:szCs w:val="24"/>
        </w:rPr>
      </w:pPr>
      <w:r w:rsidRPr="008D5A3A">
        <w:rPr>
          <w:rFonts w:ascii="Century Gothic" w:hAnsi="Century Gothic" w:cs="Arial"/>
          <w:b/>
          <w:szCs w:val="24"/>
        </w:rPr>
        <w:t>Trata de niños, niñas y adolescentes con fines sexuales:</w:t>
      </w:r>
      <w:r w:rsidRPr="008D5A3A">
        <w:rPr>
          <w:rFonts w:ascii="Century Gothic" w:hAnsi="Century Gothic" w:cs="Arial"/>
          <w:szCs w:val="24"/>
        </w:rPr>
        <w:t xml:space="preserve"> es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w:t>
      </w:r>
    </w:p>
    <w:p w14:paraId="78008A94" w14:textId="77777777" w:rsidR="007511EE" w:rsidRPr="008D5A3A" w:rsidRDefault="007511EE" w:rsidP="007511EE">
      <w:pPr>
        <w:pStyle w:val="Prrafodelista"/>
        <w:rPr>
          <w:rFonts w:ascii="Century Gothic" w:hAnsi="Century Gothic"/>
          <w:szCs w:val="24"/>
        </w:rPr>
      </w:pPr>
    </w:p>
    <w:p w14:paraId="1D8E1F3B" w14:textId="0266C538" w:rsidR="007D3FE0" w:rsidRPr="008D5A3A" w:rsidRDefault="007511EE" w:rsidP="00C300E0">
      <w:pPr>
        <w:pStyle w:val="Prrafodelista"/>
        <w:numPr>
          <w:ilvl w:val="0"/>
          <w:numId w:val="2"/>
        </w:numPr>
        <w:spacing w:line="240" w:lineRule="auto"/>
        <w:jc w:val="both"/>
        <w:rPr>
          <w:rFonts w:ascii="Century Gothic" w:hAnsi="Century Gothic"/>
          <w:szCs w:val="24"/>
        </w:rPr>
      </w:pPr>
      <w:r w:rsidRPr="008D5A3A">
        <w:rPr>
          <w:rFonts w:ascii="Century Gothic" w:hAnsi="Century Gothic" w:cs="Arial"/>
          <w:b/>
          <w:szCs w:val="24"/>
        </w:rPr>
        <w:t>Matrimonio precoz:</w:t>
      </w:r>
      <w:r w:rsidRPr="008D5A3A">
        <w:rPr>
          <w:rFonts w:ascii="Century Gothic" w:hAnsi="Century Gothic" w:cs="Arial"/>
          <w:szCs w:val="24"/>
        </w:rPr>
        <w:t xml:space="preserve"> “el matrimonio entre un adulto y un menor de 18 años. </w:t>
      </w:r>
    </w:p>
    <w:p w14:paraId="5110AA13" w14:textId="77777777" w:rsidR="002B141E" w:rsidRPr="008D5A3A" w:rsidRDefault="002B141E" w:rsidP="002B141E">
      <w:pPr>
        <w:pStyle w:val="Prrafodelista"/>
        <w:rPr>
          <w:rFonts w:ascii="Century Gothic" w:hAnsi="Century Gothic"/>
          <w:szCs w:val="24"/>
        </w:rPr>
      </w:pPr>
    </w:p>
    <w:p w14:paraId="755196A0" w14:textId="67BE81B6" w:rsidR="00C300E0" w:rsidRPr="008D5A3A" w:rsidRDefault="002B141E" w:rsidP="00C656B7">
      <w:pPr>
        <w:spacing w:line="240" w:lineRule="auto"/>
        <w:jc w:val="both"/>
        <w:rPr>
          <w:rFonts w:ascii="Century Gothic" w:hAnsi="Century Gothic"/>
          <w:szCs w:val="24"/>
        </w:rPr>
      </w:pPr>
      <w:r w:rsidRPr="008D5A3A">
        <w:rPr>
          <w:rFonts w:ascii="Century Gothic" w:hAnsi="Century Gothic"/>
          <w:szCs w:val="24"/>
        </w:rPr>
        <w:t xml:space="preserve">La </w:t>
      </w:r>
      <w:r w:rsidR="00C656B7" w:rsidRPr="008D5A3A">
        <w:rPr>
          <w:rFonts w:ascii="Century Gothic" w:hAnsi="Century Gothic"/>
          <w:szCs w:val="24"/>
        </w:rPr>
        <w:t>Convención</w:t>
      </w:r>
      <w:r w:rsidRPr="008D5A3A">
        <w:rPr>
          <w:rFonts w:ascii="Century Gothic" w:hAnsi="Century Gothic"/>
          <w:szCs w:val="24"/>
        </w:rPr>
        <w:t xml:space="preserve"> Internacional sobre los derechos del niño</w:t>
      </w:r>
      <w:r w:rsidR="00C656B7" w:rsidRPr="008D5A3A">
        <w:rPr>
          <w:rFonts w:ascii="Century Gothic" w:hAnsi="Century Gothic"/>
          <w:szCs w:val="24"/>
        </w:rPr>
        <w:t xml:space="preserve">, en su articulo 3 establece el interes superior del niño, con el objetivo de el disfrute pleno y afectivo de todos sus derechos, en especial la protección contra cualquiera de las modalidades ya mencionadas de explotación sexual. De tal forma, esta disposición pretende que bajo todo punto de vista el interes superior del niño prime sobre cualquier otro interes, garantizando su integridad física, psicológica, moral y espiritual, y promoviendo su dignidad humana. </w:t>
      </w:r>
    </w:p>
    <w:p w14:paraId="12830979" w14:textId="480F1F14" w:rsidR="00C656B7" w:rsidRPr="008D5A3A" w:rsidRDefault="00C656B7" w:rsidP="00C656B7">
      <w:pPr>
        <w:spacing w:line="240" w:lineRule="auto"/>
        <w:jc w:val="both"/>
        <w:rPr>
          <w:rFonts w:ascii="Century Gothic" w:hAnsi="Century Gothic"/>
          <w:szCs w:val="24"/>
        </w:rPr>
      </w:pPr>
    </w:p>
    <w:p w14:paraId="07281DFB" w14:textId="7755DB4B" w:rsidR="00C656B7" w:rsidRPr="008D5A3A" w:rsidRDefault="00C656B7" w:rsidP="00C656B7">
      <w:pPr>
        <w:spacing w:line="240" w:lineRule="auto"/>
        <w:jc w:val="both"/>
        <w:rPr>
          <w:rFonts w:ascii="Century Gothic" w:hAnsi="Century Gothic"/>
          <w:szCs w:val="24"/>
        </w:rPr>
      </w:pPr>
      <w:r w:rsidRPr="008D5A3A">
        <w:rPr>
          <w:rFonts w:ascii="Century Gothic" w:hAnsi="Century Gothic"/>
          <w:szCs w:val="24"/>
        </w:rPr>
        <w:t xml:space="preserve">En este sentido, la Observación General N° 14 de Naciones Unidas sobre el interes superior del niño, indica textualmente: </w:t>
      </w:r>
    </w:p>
    <w:p w14:paraId="33CAB96B" w14:textId="03380A60" w:rsidR="00C656B7" w:rsidRPr="008D5A3A" w:rsidRDefault="00C656B7" w:rsidP="00C656B7">
      <w:pPr>
        <w:spacing w:line="240" w:lineRule="auto"/>
        <w:jc w:val="both"/>
        <w:rPr>
          <w:rFonts w:ascii="Century Gothic" w:hAnsi="Century Gothic"/>
          <w:szCs w:val="24"/>
        </w:rPr>
      </w:pPr>
    </w:p>
    <w:p w14:paraId="2440C7B9" w14:textId="75EFA92D" w:rsidR="00860FAC" w:rsidRPr="008D5A3A" w:rsidRDefault="00C656B7" w:rsidP="00752FA2">
      <w:pPr>
        <w:spacing w:line="240" w:lineRule="auto"/>
        <w:ind w:left="705"/>
        <w:jc w:val="both"/>
        <w:rPr>
          <w:rFonts w:ascii="Century Gothic" w:hAnsi="Century Gothic"/>
          <w:szCs w:val="24"/>
        </w:rPr>
      </w:pPr>
      <w:r w:rsidRPr="008D5A3A">
        <w:rPr>
          <w:rFonts w:ascii="Century Gothic" w:hAnsi="Century Gothic"/>
          <w:szCs w:val="24"/>
        </w:rPr>
        <w:t xml:space="preserve">(…) siempre que se tenga que tomar una decisión que afecte a un niño en concreto, a un grupo de niños concreto o a los niños en general, el proceso de adopción de decisiones deberá incluir una estimación de las posibles repercusiones (positivas o negativas) de la decisión en el niño o los niños interesados. La evaluación y determinación del interés superior del niño requieren garantías procesales. Además, la justificación de las decisiones debe dejar patente que se ha tenido en cuenta explícitamente ese derecho. En este sentido, los Estados partes deberán explicar cómo se ha respetado este derecho en la decisión, es decir, qué se ha considerado que atendía al interés superior del niño, en qué criterios se ha basado la decisión y cómo se han ponderado los intereses del niño frente a otras </w:t>
      </w:r>
      <w:r w:rsidRPr="008D5A3A">
        <w:rPr>
          <w:rFonts w:ascii="Century Gothic" w:hAnsi="Century Gothic"/>
          <w:szCs w:val="24"/>
        </w:rPr>
        <w:lastRenderedPageBreak/>
        <w:t xml:space="preserve">consideraciones, ya se trate de cuestiones normativas generales o de casos concretos </w:t>
      </w:r>
      <w:sdt>
        <w:sdtPr>
          <w:rPr>
            <w:rFonts w:ascii="Century Gothic" w:hAnsi="Century Gothic"/>
            <w:szCs w:val="24"/>
          </w:rPr>
          <w:id w:val="-1146656754"/>
          <w:citation/>
        </w:sdtPr>
        <w:sdtEndPr/>
        <w:sdtContent>
          <w:r w:rsidRPr="008D5A3A">
            <w:rPr>
              <w:rFonts w:ascii="Century Gothic" w:hAnsi="Century Gothic"/>
              <w:szCs w:val="24"/>
            </w:rPr>
            <w:fldChar w:fldCharType="begin"/>
          </w:r>
          <w:r w:rsidRPr="008D5A3A">
            <w:rPr>
              <w:rFonts w:ascii="Century Gothic" w:hAnsi="Century Gothic"/>
              <w:szCs w:val="24"/>
              <w:lang w:val="es-CO"/>
            </w:rPr>
            <w:instrText xml:space="preserve"> CITATION Com13 \l 9226 </w:instrText>
          </w:r>
          <w:r w:rsidRPr="008D5A3A">
            <w:rPr>
              <w:rFonts w:ascii="Century Gothic" w:hAnsi="Century Gothic"/>
              <w:szCs w:val="24"/>
            </w:rPr>
            <w:fldChar w:fldCharType="separate"/>
          </w:r>
          <w:r w:rsidRPr="008D5A3A">
            <w:rPr>
              <w:rFonts w:ascii="Century Gothic" w:hAnsi="Century Gothic"/>
              <w:noProof/>
              <w:szCs w:val="24"/>
              <w:lang w:val="es-CO"/>
            </w:rPr>
            <w:t>(Comité de los Derechos del Niño , 2013)</w:t>
          </w:r>
          <w:r w:rsidRPr="008D5A3A">
            <w:rPr>
              <w:rFonts w:ascii="Century Gothic" w:hAnsi="Century Gothic"/>
              <w:szCs w:val="24"/>
            </w:rPr>
            <w:fldChar w:fldCharType="end"/>
          </w:r>
        </w:sdtContent>
      </w:sdt>
      <w:r w:rsidRPr="008D5A3A">
        <w:rPr>
          <w:rFonts w:ascii="Century Gothic" w:hAnsi="Century Gothic"/>
          <w:szCs w:val="24"/>
        </w:rPr>
        <w:t>.</w:t>
      </w:r>
    </w:p>
    <w:p w14:paraId="3E6E662C" w14:textId="2C528D2A" w:rsidR="00860FAC" w:rsidRPr="008D5A3A" w:rsidRDefault="00860FAC" w:rsidP="00860FAC">
      <w:pPr>
        <w:spacing w:line="240" w:lineRule="auto"/>
        <w:ind w:left="705"/>
        <w:jc w:val="both"/>
        <w:rPr>
          <w:rFonts w:ascii="Century Gothic" w:hAnsi="Century Gothic"/>
          <w:szCs w:val="24"/>
        </w:rPr>
      </w:pPr>
    </w:p>
    <w:p w14:paraId="62C78622" w14:textId="356E6745" w:rsidR="00860FAC" w:rsidRPr="008D5A3A" w:rsidRDefault="00860FAC" w:rsidP="004B58DB">
      <w:pPr>
        <w:spacing w:line="240" w:lineRule="auto"/>
        <w:jc w:val="both"/>
        <w:rPr>
          <w:rFonts w:ascii="Century Gothic" w:hAnsi="Century Gothic"/>
          <w:szCs w:val="24"/>
        </w:rPr>
      </w:pPr>
      <w:r w:rsidRPr="008D5A3A">
        <w:rPr>
          <w:rFonts w:ascii="Century Gothic" w:hAnsi="Century Gothic"/>
          <w:szCs w:val="24"/>
        </w:rPr>
        <w:t xml:space="preserve">De esta forma, </w:t>
      </w:r>
      <w:r w:rsidR="004B58DB" w:rsidRPr="008D5A3A">
        <w:rPr>
          <w:rFonts w:ascii="Century Gothic" w:hAnsi="Century Gothic"/>
          <w:szCs w:val="24"/>
        </w:rPr>
        <w:t xml:space="preserve">la observación del Comité de los Derechos de los Niños resalta que en cualquier medida que tenga que ver con uno o varios niños, su interés superior deberá ser una consideración primordial a que se atenderá. Entiéndase por medida las decisiones, actos, conductas y demás, asumidas por el Estado y que involucren la afectación a uno o mas niños. Por tal motivo, al considerarse un deber primordial del Estado, su responsabilidad recae sobre todas las instituciones públicas y privadas de bienestar social, los tribunales, las autoridades administrativas y los órganos legislativos. </w:t>
      </w:r>
    </w:p>
    <w:p w14:paraId="335325A9" w14:textId="635CB83E" w:rsidR="004B58DB" w:rsidRPr="008D5A3A" w:rsidRDefault="004B58DB" w:rsidP="004B58DB">
      <w:pPr>
        <w:spacing w:line="240" w:lineRule="auto"/>
        <w:jc w:val="both"/>
        <w:rPr>
          <w:rFonts w:ascii="Century Gothic" w:hAnsi="Century Gothic"/>
          <w:szCs w:val="24"/>
        </w:rPr>
      </w:pPr>
    </w:p>
    <w:p w14:paraId="3F5DDF80" w14:textId="4C0BA617" w:rsidR="00752FA2" w:rsidRPr="008D5A3A" w:rsidRDefault="004B58DB" w:rsidP="004B58DB">
      <w:pPr>
        <w:spacing w:line="240" w:lineRule="auto"/>
        <w:jc w:val="both"/>
        <w:rPr>
          <w:rFonts w:ascii="Century Gothic" w:hAnsi="Century Gothic"/>
          <w:szCs w:val="24"/>
        </w:rPr>
      </w:pPr>
      <w:r w:rsidRPr="008D5A3A">
        <w:rPr>
          <w:rFonts w:ascii="Century Gothic" w:hAnsi="Century Gothic"/>
          <w:szCs w:val="24"/>
        </w:rPr>
        <w:t xml:space="preserve">Es obligación de los órganos legislativos de los Estados partes de esta Convención, garantizar que cualquier Acto Legislativo o Ley </w:t>
      </w:r>
      <w:r w:rsidR="00752FA2" w:rsidRPr="008D5A3A">
        <w:rPr>
          <w:rFonts w:ascii="Century Gothic" w:hAnsi="Century Gothic"/>
          <w:szCs w:val="24"/>
        </w:rPr>
        <w:t>de aplicación al principio de interes superior del niño a fin de garantizar el respeto de todos sus derechos, constituyéndolo una consideración primordial y explicita en la legislación.</w:t>
      </w:r>
    </w:p>
    <w:p w14:paraId="2A3C1F16" w14:textId="2453972E" w:rsidR="00860FAC" w:rsidRPr="008D5A3A" w:rsidRDefault="00752FA2" w:rsidP="00860FAC">
      <w:pPr>
        <w:spacing w:line="240" w:lineRule="auto"/>
        <w:jc w:val="both"/>
        <w:rPr>
          <w:rFonts w:ascii="Century Gothic" w:hAnsi="Century Gothic"/>
          <w:szCs w:val="24"/>
        </w:rPr>
      </w:pPr>
      <w:r w:rsidRPr="008D5A3A">
        <w:rPr>
          <w:rFonts w:ascii="Century Gothic" w:hAnsi="Century Gothic"/>
          <w:szCs w:val="24"/>
        </w:rPr>
        <w:t xml:space="preserve"> </w:t>
      </w:r>
    </w:p>
    <w:p w14:paraId="145820A8" w14:textId="15AE5A04" w:rsidR="00EF12B0" w:rsidRPr="008D5A3A" w:rsidRDefault="00752FA2" w:rsidP="00860FAC">
      <w:pPr>
        <w:spacing w:line="240" w:lineRule="auto"/>
        <w:jc w:val="both"/>
        <w:rPr>
          <w:rFonts w:ascii="Century Gothic" w:hAnsi="Century Gothic"/>
          <w:szCs w:val="24"/>
        </w:rPr>
      </w:pPr>
      <w:r w:rsidRPr="008D5A3A">
        <w:rPr>
          <w:rFonts w:ascii="Century Gothic" w:hAnsi="Century Gothic"/>
          <w:szCs w:val="24"/>
        </w:rPr>
        <w:t xml:space="preserve">De esta forma, </w:t>
      </w:r>
      <w:r w:rsidR="00860FAC" w:rsidRPr="008D5A3A">
        <w:rPr>
          <w:rFonts w:ascii="Century Gothic" w:hAnsi="Century Gothic"/>
          <w:szCs w:val="24"/>
        </w:rPr>
        <w:t xml:space="preserve">ante el escenario propuesto en este proyecto de Ley, mediante el cual se pretende declarar imprescriptible la acción penal para los delitos contra la libertad, integridad y formación sexual cometidos en </w:t>
      </w:r>
      <w:r w:rsidR="00597902" w:rsidRPr="008D5A3A">
        <w:rPr>
          <w:rFonts w:ascii="Century Gothic" w:hAnsi="Century Gothic"/>
          <w:szCs w:val="24"/>
        </w:rPr>
        <w:t>menores de edad</w:t>
      </w:r>
      <w:r w:rsidRPr="008D5A3A">
        <w:rPr>
          <w:rFonts w:ascii="Century Gothic" w:hAnsi="Century Gothic"/>
          <w:szCs w:val="24"/>
        </w:rPr>
        <w:t xml:space="preserve">; </w:t>
      </w:r>
      <w:r w:rsidR="00EF12B0" w:rsidRPr="008D5A3A">
        <w:rPr>
          <w:rFonts w:ascii="Century Gothic" w:hAnsi="Century Gothic"/>
          <w:szCs w:val="24"/>
        </w:rPr>
        <w:t xml:space="preserve">la iniciativa busca dar cumplimiento a lo dispuesto por la Convención Internacional sobre los Derechos de los Niños en el sentido, no solo de establecer el principio de interes superior del niño en la legislación vigente, con el fin de brindar especial protección a esta población victima de los delitos sexuales; sino también de garantizar el respeto y efectivo cumplimiento de sus demás derechos, tanto los establecidos en la Constitución Política como los ratificados a nivel internacional. </w:t>
      </w:r>
    </w:p>
    <w:p w14:paraId="7F92114B" w14:textId="77777777" w:rsidR="00EF12B0" w:rsidRPr="008D5A3A" w:rsidRDefault="00EF12B0" w:rsidP="00860FAC">
      <w:pPr>
        <w:spacing w:line="240" w:lineRule="auto"/>
        <w:jc w:val="both"/>
        <w:rPr>
          <w:rFonts w:ascii="Century Gothic" w:hAnsi="Century Gothic"/>
          <w:szCs w:val="24"/>
        </w:rPr>
      </w:pPr>
    </w:p>
    <w:p w14:paraId="00C879B4" w14:textId="5EE9B535" w:rsidR="00752FA2" w:rsidRPr="008D5A3A" w:rsidRDefault="00EF12B0" w:rsidP="00860FAC">
      <w:pPr>
        <w:spacing w:line="240" w:lineRule="auto"/>
        <w:jc w:val="both"/>
        <w:rPr>
          <w:rFonts w:ascii="Century Gothic" w:hAnsi="Century Gothic"/>
          <w:szCs w:val="24"/>
        </w:rPr>
      </w:pPr>
      <w:r w:rsidRPr="008D5A3A">
        <w:rPr>
          <w:rFonts w:ascii="Century Gothic" w:hAnsi="Century Gothic"/>
          <w:szCs w:val="24"/>
        </w:rPr>
        <w:t>La</w:t>
      </w:r>
      <w:r w:rsidR="00752FA2" w:rsidRPr="008D5A3A">
        <w:rPr>
          <w:rFonts w:ascii="Century Gothic" w:hAnsi="Century Gothic"/>
          <w:szCs w:val="24"/>
        </w:rPr>
        <w:t xml:space="preserve"> prescripción</w:t>
      </w:r>
      <w:r w:rsidRPr="008D5A3A">
        <w:rPr>
          <w:rFonts w:ascii="Century Gothic" w:hAnsi="Century Gothic"/>
          <w:szCs w:val="24"/>
        </w:rPr>
        <w:t xml:space="preserve"> es considerada </w:t>
      </w:r>
      <w:r w:rsidR="00752FA2" w:rsidRPr="008D5A3A">
        <w:rPr>
          <w:rFonts w:ascii="Century Gothic" w:hAnsi="Century Gothic"/>
          <w:szCs w:val="24"/>
        </w:rPr>
        <w:t>como “la sanción jurídica que opera en un proceso penal por haber transcurrido un plazo determinado de tiempo sin que se haya enjuiciado a un imputado, o bien, sin que se haya hecho efectiva una condena a un sentenciado”</w:t>
      </w:r>
      <w:sdt>
        <w:sdtPr>
          <w:rPr>
            <w:rFonts w:ascii="Century Gothic" w:hAnsi="Century Gothic"/>
            <w:szCs w:val="24"/>
          </w:rPr>
          <w:id w:val="1297185067"/>
          <w:citation/>
        </w:sdtPr>
        <w:sdtEndPr/>
        <w:sdtContent>
          <w:r w:rsidR="00752FA2" w:rsidRPr="008D5A3A">
            <w:rPr>
              <w:rFonts w:ascii="Century Gothic" w:hAnsi="Century Gothic"/>
              <w:szCs w:val="24"/>
            </w:rPr>
            <w:fldChar w:fldCharType="begin"/>
          </w:r>
          <w:r w:rsidR="00752FA2" w:rsidRPr="008D5A3A">
            <w:rPr>
              <w:rFonts w:ascii="Century Gothic" w:hAnsi="Century Gothic"/>
              <w:szCs w:val="24"/>
              <w:lang w:val="es-CO"/>
            </w:rPr>
            <w:instrText xml:space="preserve"> CITATION Ger07 \l 9226 </w:instrText>
          </w:r>
          <w:r w:rsidR="00752FA2" w:rsidRPr="008D5A3A">
            <w:rPr>
              <w:rFonts w:ascii="Century Gothic" w:hAnsi="Century Gothic"/>
              <w:szCs w:val="24"/>
            </w:rPr>
            <w:fldChar w:fldCharType="separate"/>
          </w:r>
          <w:r w:rsidR="00752FA2" w:rsidRPr="008D5A3A">
            <w:rPr>
              <w:rFonts w:ascii="Century Gothic" w:hAnsi="Century Gothic"/>
              <w:noProof/>
              <w:szCs w:val="24"/>
              <w:lang w:val="es-CO"/>
            </w:rPr>
            <w:t xml:space="preserve"> (Rojas, 2007)</w:t>
          </w:r>
          <w:r w:rsidR="00752FA2" w:rsidRPr="008D5A3A">
            <w:rPr>
              <w:rFonts w:ascii="Century Gothic" w:hAnsi="Century Gothic"/>
              <w:szCs w:val="24"/>
            </w:rPr>
            <w:fldChar w:fldCharType="end"/>
          </w:r>
        </w:sdtContent>
      </w:sdt>
      <w:r w:rsidR="00752FA2" w:rsidRPr="008D5A3A">
        <w:rPr>
          <w:rFonts w:ascii="Century Gothic" w:hAnsi="Century Gothic"/>
          <w:szCs w:val="24"/>
        </w:rPr>
        <w:t xml:space="preserve">, </w:t>
      </w:r>
      <w:r w:rsidR="00597902" w:rsidRPr="008D5A3A">
        <w:rPr>
          <w:rFonts w:ascii="Century Gothic" w:hAnsi="Century Gothic"/>
          <w:szCs w:val="24"/>
        </w:rPr>
        <w:t>de esta</w:t>
      </w:r>
      <w:r w:rsidRPr="008D5A3A">
        <w:rPr>
          <w:rFonts w:ascii="Century Gothic" w:hAnsi="Century Gothic"/>
          <w:szCs w:val="24"/>
        </w:rPr>
        <w:t xml:space="preserve"> forma, </w:t>
      </w:r>
      <w:r w:rsidR="00213C8F" w:rsidRPr="008D5A3A">
        <w:rPr>
          <w:rFonts w:ascii="Century Gothic" w:hAnsi="Century Gothic"/>
          <w:szCs w:val="24"/>
        </w:rPr>
        <w:t xml:space="preserve">tal como </w:t>
      </w:r>
      <w:r w:rsidR="00EC774F" w:rsidRPr="008D5A3A">
        <w:rPr>
          <w:rFonts w:ascii="Century Gothic" w:hAnsi="Century Gothic"/>
          <w:szCs w:val="24"/>
        </w:rPr>
        <w:t>lo afirma la Corte Constitucional mediante Sentencia C-578/2002</w:t>
      </w:r>
      <w:r w:rsidR="00E379D2" w:rsidRPr="008D5A3A">
        <w:rPr>
          <w:rFonts w:ascii="Century Gothic" w:hAnsi="Century Gothic"/>
          <w:szCs w:val="24"/>
        </w:rPr>
        <w:t xml:space="preserve"> “el transcurso del tiempo obra como causa de extinción de la punibilidad no solamente en abstracto -prescripción del delito-, sino en concreto -prescripción de la pena-, y, por consiguiente, pone fin al proceso penal”. </w:t>
      </w:r>
    </w:p>
    <w:p w14:paraId="6EDDF47F" w14:textId="53F9915D" w:rsidR="00E379D2" w:rsidRPr="008D5A3A" w:rsidRDefault="00E379D2" w:rsidP="00860FAC">
      <w:pPr>
        <w:spacing w:line="240" w:lineRule="auto"/>
        <w:jc w:val="both"/>
        <w:rPr>
          <w:rFonts w:ascii="Century Gothic" w:hAnsi="Century Gothic"/>
          <w:szCs w:val="24"/>
        </w:rPr>
      </w:pPr>
    </w:p>
    <w:p w14:paraId="75E1F24C" w14:textId="151B0F48" w:rsidR="00E379D2" w:rsidRPr="008D5A3A" w:rsidRDefault="00E379D2" w:rsidP="00860FAC">
      <w:pPr>
        <w:spacing w:line="240" w:lineRule="auto"/>
        <w:jc w:val="both"/>
        <w:rPr>
          <w:rFonts w:ascii="Century Gothic" w:hAnsi="Century Gothic"/>
          <w:szCs w:val="24"/>
        </w:rPr>
      </w:pPr>
      <w:r w:rsidRPr="008D5A3A">
        <w:rPr>
          <w:rFonts w:ascii="Century Gothic" w:hAnsi="Century Gothic"/>
          <w:szCs w:val="24"/>
        </w:rPr>
        <w:t xml:space="preserve">Es decir que, tal como se encuentra hoy en el Código Penal, articulo 83, la prescripción penal para delitos contra la libertad, integridad y formación sexuales, o el delito consagrado en el artículo 237, cometidos en menores de edad, seria de veinte (20) años contados a partir del momento en que la víctima alcance la mayoría de edad. </w:t>
      </w:r>
    </w:p>
    <w:p w14:paraId="0F066A36" w14:textId="77777777" w:rsidR="00597902" w:rsidRPr="008D5A3A" w:rsidRDefault="00597902" w:rsidP="00B16F5A">
      <w:pPr>
        <w:pStyle w:val="NormalCaro"/>
        <w:rPr>
          <w:rFonts w:ascii="Century Gothic" w:eastAsia="Arial" w:hAnsi="Century Gothic"/>
          <w:sz w:val="22"/>
          <w:lang w:val="es" w:eastAsia="es-CO"/>
        </w:rPr>
      </w:pPr>
    </w:p>
    <w:p w14:paraId="1122DDB3" w14:textId="4AA91234" w:rsidR="00597902" w:rsidRPr="008D5A3A" w:rsidRDefault="00597902" w:rsidP="00B16F5A">
      <w:pPr>
        <w:pStyle w:val="NormalCaro"/>
        <w:rPr>
          <w:rFonts w:ascii="Century Gothic" w:hAnsi="Century Gothic"/>
          <w:sz w:val="22"/>
        </w:rPr>
      </w:pPr>
      <w:r w:rsidRPr="008D5A3A">
        <w:rPr>
          <w:rFonts w:ascii="Century Gothic" w:hAnsi="Century Gothic"/>
          <w:sz w:val="22"/>
        </w:rPr>
        <w:t>Por este motivo</w:t>
      </w:r>
      <w:r w:rsidR="007D3FE0" w:rsidRPr="008D5A3A">
        <w:rPr>
          <w:rFonts w:ascii="Century Gothic" w:hAnsi="Century Gothic"/>
          <w:sz w:val="22"/>
        </w:rPr>
        <w:t>,</w:t>
      </w:r>
      <w:r w:rsidR="00B16F5A" w:rsidRPr="008D5A3A">
        <w:rPr>
          <w:rFonts w:ascii="Century Gothic" w:hAnsi="Century Gothic"/>
          <w:sz w:val="22"/>
        </w:rPr>
        <w:t xml:space="preserve"> el proyecto de Ley que se presenta ante el Honorable Congreso de la Republica, busca que</w:t>
      </w:r>
      <w:r w:rsidR="007D3FE0" w:rsidRPr="008D5A3A">
        <w:rPr>
          <w:rFonts w:ascii="Century Gothic" w:hAnsi="Century Gothic"/>
          <w:sz w:val="22"/>
        </w:rPr>
        <w:t xml:space="preserve"> </w:t>
      </w:r>
      <w:r w:rsidRPr="008D5A3A">
        <w:rPr>
          <w:rFonts w:ascii="Century Gothic" w:hAnsi="Century Gothic"/>
          <w:sz w:val="22"/>
        </w:rPr>
        <w:t>los</w:t>
      </w:r>
      <w:r w:rsidR="007D3FE0" w:rsidRPr="008D5A3A">
        <w:rPr>
          <w:rFonts w:ascii="Century Gothic" w:hAnsi="Century Gothic"/>
          <w:sz w:val="22"/>
        </w:rPr>
        <w:t xml:space="preserve"> delito</w:t>
      </w:r>
      <w:r w:rsidRPr="008D5A3A">
        <w:rPr>
          <w:rFonts w:ascii="Century Gothic" w:hAnsi="Century Gothic"/>
          <w:sz w:val="22"/>
        </w:rPr>
        <w:t>s</w:t>
      </w:r>
      <w:r w:rsidR="007D3FE0" w:rsidRPr="008D5A3A">
        <w:rPr>
          <w:rFonts w:ascii="Century Gothic" w:hAnsi="Century Gothic"/>
          <w:sz w:val="22"/>
        </w:rPr>
        <w:t xml:space="preserve"> de gravedad extrema, como los delitos cometidos en contra de la libertad, integridad y formación sexual de los menores </w:t>
      </w:r>
      <w:r w:rsidR="007D3FE0" w:rsidRPr="008D5A3A">
        <w:rPr>
          <w:rFonts w:ascii="Century Gothic" w:hAnsi="Century Gothic"/>
          <w:sz w:val="22"/>
        </w:rPr>
        <w:lastRenderedPageBreak/>
        <w:t xml:space="preserve">de edad, </w:t>
      </w:r>
      <w:r w:rsidR="00B16F5A" w:rsidRPr="008D5A3A">
        <w:rPr>
          <w:rFonts w:ascii="Century Gothic" w:hAnsi="Century Gothic"/>
          <w:sz w:val="22"/>
        </w:rPr>
        <w:t xml:space="preserve">los cuales actualmente </w:t>
      </w:r>
      <w:r w:rsidR="007D3FE0" w:rsidRPr="008D5A3A">
        <w:rPr>
          <w:rFonts w:ascii="Century Gothic" w:hAnsi="Century Gothic"/>
          <w:sz w:val="22"/>
        </w:rPr>
        <w:t>t</w:t>
      </w:r>
      <w:r w:rsidR="00B16F5A" w:rsidRPr="008D5A3A">
        <w:rPr>
          <w:rFonts w:ascii="Century Gothic" w:hAnsi="Century Gothic"/>
          <w:sz w:val="22"/>
        </w:rPr>
        <w:t>ienen</w:t>
      </w:r>
      <w:r w:rsidR="007D3FE0" w:rsidRPr="008D5A3A">
        <w:rPr>
          <w:rFonts w:ascii="Century Gothic" w:hAnsi="Century Gothic"/>
          <w:sz w:val="22"/>
        </w:rPr>
        <w:t xml:space="preserve"> la oportunidad jurídica de la extinción de la acción penal, a través de la figur</w:t>
      </w:r>
      <w:r w:rsidR="007C10B1" w:rsidRPr="008D5A3A">
        <w:rPr>
          <w:rFonts w:ascii="Century Gothic" w:hAnsi="Century Gothic"/>
          <w:sz w:val="22"/>
        </w:rPr>
        <w:t xml:space="preserve">a de la prescripción; no queden en la impunidad. Es totalmente inaceptable que aun cuando el Estado Social de Derecho Colombiano se acoge a los tratados internacionales en pro de la protección de los niños, niñas y adolescentes, como sujetos de especial protección a quien se les debe garantizar su interés superior; el ordenamiento jurídico interno del Estado, permita que delitos de esta categoría prescriban.  </w:t>
      </w:r>
    </w:p>
    <w:p w14:paraId="532C426F" w14:textId="63FD8B97" w:rsidR="00D3271F" w:rsidRPr="008D5A3A" w:rsidRDefault="00D3271F" w:rsidP="00B16F5A">
      <w:pPr>
        <w:pStyle w:val="NormalCaro"/>
        <w:rPr>
          <w:rFonts w:ascii="Century Gothic" w:hAnsi="Century Gothic"/>
          <w:sz w:val="22"/>
        </w:rPr>
      </w:pPr>
    </w:p>
    <w:p w14:paraId="10E115F2" w14:textId="789D0EF0" w:rsidR="00D3271F" w:rsidRPr="008D5A3A" w:rsidRDefault="006111DB" w:rsidP="00B16F5A">
      <w:pPr>
        <w:pStyle w:val="NormalCaro"/>
        <w:rPr>
          <w:rFonts w:ascii="Century Gothic" w:hAnsi="Century Gothic"/>
          <w:b/>
          <w:sz w:val="22"/>
        </w:rPr>
      </w:pPr>
      <w:r w:rsidRPr="008D5A3A">
        <w:rPr>
          <w:rFonts w:ascii="Century Gothic" w:hAnsi="Century Gothic"/>
          <w:b/>
          <w:sz w:val="22"/>
        </w:rPr>
        <w:t>Derecho Comparado:</w:t>
      </w:r>
    </w:p>
    <w:p w14:paraId="3C52F650" w14:textId="45B762FE" w:rsidR="006111DB" w:rsidRPr="008D5A3A" w:rsidRDefault="006111DB" w:rsidP="00B16F5A">
      <w:pPr>
        <w:pStyle w:val="NormalCaro"/>
        <w:rPr>
          <w:rFonts w:ascii="Century Gothic" w:hAnsi="Century Gothic"/>
          <w:sz w:val="22"/>
        </w:rPr>
      </w:pPr>
    </w:p>
    <w:p w14:paraId="4C70BDE0" w14:textId="2D135CC6" w:rsidR="006111DB" w:rsidRPr="008D5A3A" w:rsidRDefault="006111DB" w:rsidP="00526C44">
      <w:pPr>
        <w:pStyle w:val="Sinespaciado"/>
        <w:jc w:val="both"/>
        <w:rPr>
          <w:rFonts w:ascii="Century Gothic" w:hAnsi="Century Gothic"/>
        </w:rPr>
      </w:pPr>
      <w:r w:rsidRPr="008D5A3A">
        <w:rPr>
          <w:rFonts w:ascii="Century Gothic" w:hAnsi="Century Gothic" w:cs="Arial"/>
        </w:rPr>
        <w:t>Al revisar la legislación</w:t>
      </w:r>
      <w:r w:rsidRPr="008D5A3A">
        <w:rPr>
          <w:rFonts w:ascii="Century Gothic" w:hAnsi="Century Gothic"/>
        </w:rPr>
        <w:t xml:space="preserve"> vigente, se puede evidenciar que ya en América Latina, Chile ha avanzado en la declaración de imprescriptibilidad a los delitos sexuales cometidos contra menores de edad de la siguiente forma: </w:t>
      </w:r>
    </w:p>
    <w:p w14:paraId="0D15980E" w14:textId="107704B7" w:rsidR="006111DB" w:rsidRPr="008D5A3A" w:rsidRDefault="006111DB" w:rsidP="006111DB">
      <w:pPr>
        <w:spacing w:before="120" w:after="120" w:line="360" w:lineRule="auto"/>
        <w:jc w:val="both"/>
        <w:rPr>
          <w:rFonts w:ascii="Century Gothic" w:eastAsia="Calibri" w:hAnsi="Century Gothic"/>
          <w:szCs w:val="24"/>
          <w:lang w:val="es-ES_tradnl" w:eastAsia="en-US"/>
        </w:rPr>
      </w:pPr>
    </w:p>
    <w:tbl>
      <w:tblPr>
        <w:tblStyle w:val="Tablaconcuadrcula"/>
        <w:tblW w:w="0" w:type="auto"/>
        <w:tblLook w:val="04A0" w:firstRow="1" w:lastRow="0" w:firstColumn="1" w:lastColumn="0" w:noHBand="0" w:noVBand="1"/>
      </w:tblPr>
      <w:tblGrid>
        <w:gridCol w:w="4414"/>
        <w:gridCol w:w="4414"/>
      </w:tblGrid>
      <w:tr w:rsidR="006111DB" w:rsidRPr="008D5A3A" w14:paraId="0DC3F3DC" w14:textId="77777777" w:rsidTr="006111DB">
        <w:tc>
          <w:tcPr>
            <w:tcW w:w="4414" w:type="dxa"/>
          </w:tcPr>
          <w:p w14:paraId="07A23B9A" w14:textId="3E0F0EB4" w:rsidR="006111DB" w:rsidRPr="008D5A3A" w:rsidRDefault="006111DB" w:rsidP="00526C44">
            <w:pPr>
              <w:pStyle w:val="Sinespaciado"/>
              <w:rPr>
                <w:rFonts w:ascii="Century Gothic" w:hAnsi="Century Gothic"/>
                <w:b/>
                <w:sz w:val="22"/>
              </w:rPr>
            </w:pPr>
            <w:r w:rsidRPr="008D5A3A">
              <w:rPr>
                <w:rFonts w:ascii="Century Gothic" w:hAnsi="Century Gothic"/>
                <w:b/>
                <w:sz w:val="22"/>
              </w:rPr>
              <w:t xml:space="preserve">País </w:t>
            </w:r>
          </w:p>
        </w:tc>
        <w:tc>
          <w:tcPr>
            <w:tcW w:w="4414" w:type="dxa"/>
          </w:tcPr>
          <w:p w14:paraId="75D52A48" w14:textId="763FD6EA" w:rsidR="006111DB" w:rsidRPr="008D5A3A" w:rsidRDefault="006111DB" w:rsidP="00526C44">
            <w:pPr>
              <w:pStyle w:val="Sinespaciado"/>
              <w:rPr>
                <w:rFonts w:ascii="Century Gothic" w:hAnsi="Century Gothic"/>
                <w:b/>
                <w:sz w:val="22"/>
              </w:rPr>
            </w:pPr>
            <w:r w:rsidRPr="008D5A3A">
              <w:rPr>
                <w:rFonts w:ascii="Century Gothic" w:hAnsi="Century Gothic"/>
                <w:b/>
                <w:sz w:val="22"/>
              </w:rPr>
              <w:t xml:space="preserve">Ley </w:t>
            </w:r>
          </w:p>
        </w:tc>
      </w:tr>
      <w:tr w:rsidR="006111DB" w:rsidRPr="008D5A3A" w14:paraId="0E02E719" w14:textId="77777777" w:rsidTr="006111DB">
        <w:tc>
          <w:tcPr>
            <w:tcW w:w="4414" w:type="dxa"/>
          </w:tcPr>
          <w:p w14:paraId="1674944A" w14:textId="77777777" w:rsidR="00526C44" w:rsidRPr="008D5A3A" w:rsidRDefault="00526C44" w:rsidP="00526C44">
            <w:pPr>
              <w:pStyle w:val="Sinespaciado"/>
              <w:rPr>
                <w:rFonts w:ascii="Century Gothic" w:hAnsi="Century Gothic"/>
                <w:sz w:val="22"/>
              </w:rPr>
            </w:pPr>
          </w:p>
          <w:p w14:paraId="316F0162" w14:textId="042EE785"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Chile </w:t>
            </w:r>
          </w:p>
        </w:tc>
        <w:tc>
          <w:tcPr>
            <w:tcW w:w="4414" w:type="dxa"/>
          </w:tcPr>
          <w:p w14:paraId="193F5454" w14:textId="77777777" w:rsidR="00526C44" w:rsidRPr="008D5A3A" w:rsidRDefault="00526C44" w:rsidP="00526C44">
            <w:pPr>
              <w:pStyle w:val="Sinespaciado"/>
              <w:rPr>
                <w:rFonts w:ascii="Century Gothic" w:hAnsi="Century Gothic"/>
                <w:sz w:val="22"/>
              </w:rPr>
            </w:pPr>
          </w:p>
          <w:p w14:paraId="33D05405" w14:textId="11698C7D" w:rsidR="006111DB" w:rsidRPr="008D5A3A" w:rsidRDefault="006111DB" w:rsidP="00526C44">
            <w:pPr>
              <w:pStyle w:val="Sinespaciado"/>
              <w:rPr>
                <w:rFonts w:ascii="Century Gothic" w:hAnsi="Century Gothic"/>
                <w:sz w:val="22"/>
              </w:rPr>
            </w:pPr>
            <w:r w:rsidRPr="008D5A3A">
              <w:rPr>
                <w:rFonts w:ascii="Century Gothic" w:hAnsi="Century Gothic"/>
                <w:sz w:val="22"/>
              </w:rPr>
              <w:t>LEY NÚM. 21.160</w:t>
            </w:r>
          </w:p>
          <w:p w14:paraId="77D50E53" w14:textId="77777777" w:rsidR="00526C44" w:rsidRPr="008D5A3A" w:rsidRDefault="00526C44" w:rsidP="00526C44">
            <w:pPr>
              <w:pStyle w:val="Sinespaciado"/>
              <w:rPr>
                <w:rFonts w:ascii="Century Gothic" w:hAnsi="Century Gothic"/>
                <w:sz w:val="22"/>
              </w:rPr>
            </w:pPr>
          </w:p>
          <w:p w14:paraId="044CBDA2" w14:textId="2D92E7D8" w:rsidR="006111DB" w:rsidRPr="008D5A3A" w:rsidRDefault="006111DB" w:rsidP="00526C44">
            <w:pPr>
              <w:pStyle w:val="Sinespaciado"/>
              <w:rPr>
                <w:rFonts w:ascii="Century Gothic" w:hAnsi="Century Gothic"/>
                <w:sz w:val="22"/>
              </w:rPr>
            </w:pPr>
            <w:r w:rsidRPr="008D5A3A">
              <w:rPr>
                <w:rFonts w:ascii="Century Gothic" w:hAnsi="Century Gothic"/>
                <w:sz w:val="22"/>
              </w:rPr>
              <w:t>"Título I</w:t>
            </w:r>
          </w:p>
          <w:p w14:paraId="6BFCA8D6" w14:textId="04C7E945" w:rsidR="006111DB" w:rsidRPr="008D5A3A" w:rsidRDefault="006111DB" w:rsidP="00526C44">
            <w:pPr>
              <w:pStyle w:val="Sinespaciado"/>
              <w:rPr>
                <w:rFonts w:ascii="Century Gothic" w:hAnsi="Century Gothic"/>
                <w:sz w:val="22"/>
              </w:rPr>
            </w:pPr>
            <w:r w:rsidRPr="008D5A3A">
              <w:rPr>
                <w:rFonts w:ascii="Century Gothic" w:hAnsi="Century Gothic"/>
                <w:sz w:val="22"/>
              </w:rPr>
              <w:t>De la imprescriptibilidad de la acción penal</w:t>
            </w:r>
          </w:p>
          <w:p w14:paraId="544D4CEF" w14:textId="22C7AC5D" w:rsidR="006111DB" w:rsidRPr="008D5A3A" w:rsidRDefault="006111DB" w:rsidP="00526C44">
            <w:pPr>
              <w:pStyle w:val="Sinespaciado"/>
              <w:rPr>
                <w:rFonts w:ascii="Century Gothic" w:hAnsi="Century Gothic"/>
                <w:sz w:val="22"/>
              </w:rPr>
            </w:pPr>
          </w:p>
          <w:p w14:paraId="348D4D7C" w14:textId="746D276F"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Artículo 1º.- Introdúzcanse las siguientes modificaciones en el Código Penal:</w:t>
            </w:r>
          </w:p>
          <w:p w14:paraId="2BE24DAA" w14:textId="77777777"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w:t>
            </w:r>
          </w:p>
          <w:p w14:paraId="23CA2E67" w14:textId="6FD7AF2C"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1) Agregase el siguiente artículo 94 bis:</w:t>
            </w:r>
          </w:p>
          <w:p w14:paraId="1E62EF60" w14:textId="77777777"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w:t>
            </w:r>
          </w:p>
          <w:p w14:paraId="5485F411" w14:textId="406819BB"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"Artículo 94 bis.- </w:t>
            </w:r>
            <w:r w:rsidRPr="008D5A3A">
              <w:rPr>
                <w:rFonts w:ascii="Century Gothic" w:hAnsi="Century Gothic"/>
                <w:sz w:val="22"/>
                <w:u w:val="single"/>
              </w:rPr>
              <w:t>No prescribirá la acción penal respecto de los crímenes y simples delitos descritos y sancionados en los artículos 141, inciso final, y 142, inciso final, ambos en relación con la violación</w:t>
            </w:r>
            <w:r w:rsidRPr="008D5A3A">
              <w:rPr>
                <w:rFonts w:ascii="Century Gothic" w:hAnsi="Century Gothic"/>
                <w:sz w:val="22"/>
              </w:rPr>
              <w:t xml:space="preserve">; los artículos 150 B y 150 E, ambos en relación con los artículos 361, 362 y 365 bis; los artículos 361, 362, 363, 365 bis, 366, 366 bis, 366, 366 </w:t>
            </w:r>
            <w:proofErr w:type="spellStart"/>
            <w:r w:rsidRPr="008D5A3A">
              <w:rPr>
                <w:rFonts w:ascii="Century Gothic" w:hAnsi="Century Gothic"/>
                <w:sz w:val="22"/>
              </w:rPr>
              <w:t>quinquies</w:t>
            </w:r>
            <w:proofErr w:type="spellEnd"/>
            <w:r w:rsidRPr="008D5A3A">
              <w:rPr>
                <w:rFonts w:ascii="Century Gothic" w:hAnsi="Century Gothic"/>
                <w:sz w:val="22"/>
              </w:rPr>
              <w:t xml:space="preserve">, 367, 367 ter; el artículo 411 </w:t>
            </w:r>
            <w:proofErr w:type="spellStart"/>
            <w:r w:rsidRPr="008D5A3A">
              <w:rPr>
                <w:rFonts w:ascii="Century Gothic" w:hAnsi="Century Gothic"/>
                <w:sz w:val="22"/>
              </w:rPr>
              <w:t>quáter</w:t>
            </w:r>
            <w:proofErr w:type="spellEnd"/>
            <w:r w:rsidRPr="008D5A3A">
              <w:rPr>
                <w:rFonts w:ascii="Century Gothic" w:hAnsi="Century Gothic"/>
                <w:sz w:val="22"/>
              </w:rPr>
              <w:t xml:space="preserve"> </w:t>
            </w:r>
            <w:r w:rsidRPr="008D5A3A">
              <w:rPr>
                <w:rFonts w:ascii="Century Gothic" w:hAnsi="Century Gothic"/>
                <w:b/>
                <w:sz w:val="22"/>
                <w:u w:val="single"/>
              </w:rPr>
              <w:t xml:space="preserve">en relación con la explotación sexual; y el artículo 433, N° 1, en relación con la violación, cuando al momento de la </w:t>
            </w:r>
            <w:r w:rsidRPr="008D5A3A">
              <w:rPr>
                <w:rFonts w:ascii="Century Gothic" w:hAnsi="Century Gothic"/>
                <w:b/>
                <w:sz w:val="22"/>
                <w:u w:val="single"/>
              </w:rPr>
              <w:lastRenderedPageBreak/>
              <w:t>perpetración del hecho la víctima fuere menor de edad.".</w:t>
            </w:r>
          </w:p>
          <w:p w14:paraId="198CFFC1" w14:textId="77777777"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w:t>
            </w:r>
          </w:p>
          <w:p w14:paraId="7EA354F0" w14:textId="44A8C4A6" w:rsidR="006111DB" w:rsidRPr="008D5A3A" w:rsidRDefault="006111DB" w:rsidP="00526C44">
            <w:pPr>
              <w:pStyle w:val="Sinespaciado"/>
              <w:rPr>
                <w:rFonts w:ascii="Century Gothic" w:hAnsi="Century Gothic"/>
                <w:sz w:val="22"/>
              </w:rPr>
            </w:pPr>
            <w:r w:rsidRPr="008D5A3A">
              <w:rPr>
                <w:rFonts w:ascii="Century Gothic" w:hAnsi="Century Gothic"/>
                <w:sz w:val="22"/>
              </w:rPr>
              <w:t>(…)</w:t>
            </w:r>
          </w:p>
          <w:p w14:paraId="5AFE7518" w14:textId="77777777"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w:t>
            </w:r>
          </w:p>
          <w:p w14:paraId="128B0D3C" w14:textId="77777777" w:rsidR="006111DB" w:rsidRPr="008D5A3A" w:rsidRDefault="006111DB" w:rsidP="00526C44">
            <w:pPr>
              <w:pStyle w:val="Sinespaciado"/>
              <w:rPr>
                <w:rFonts w:ascii="Century Gothic" w:hAnsi="Century Gothic"/>
                <w:sz w:val="22"/>
              </w:rPr>
            </w:pPr>
            <w:r w:rsidRPr="008D5A3A">
              <w:rPr>
                <w:rFonts w:ascii="Century Gothic" w:hAnsi="Century Gothic"/>
                <w:sz w:val="22"/>
              </w:rPr>
              <w:t xml:space="preserve">     "Artículo 369 </w:t>
            </w:r>
            <w:proofErr w:type="spellStart"/>
            <w:r w:rsidRPr="008D5A3A">
              <w:rPr>
                <w:rFonts w:ascii="Century Gothic" w:hAnsi="Century Gothic"/>
                <w:sz w:val="22"/>
              </w:rPr>
              <w:t>quinquies</w:t>
            </w:r>
            <w:proofErr w:type="spellEnd"/>
            <w:r w:rsidRPr="008D5A3A">
              <w:rPr>
                <w:rFonts w:ascii="Century Gothic" w:hAnsi="Century Gothic"/>
                <w:sz w:val="22"/>
              </w:rPr>
              <w:t xml:space="preserve">.- Tratándose de los delitos establecidos en los artículos 141, inciso final, y 142, inciso final, ambos en relación con la violación; los artículos 150 B y 150 E, ambos en relación con los artículos 361, 362 y 365 bis; los artículos 361, 362, 363, 365 bis, 366, 366 bis, 366 </w:t>
            </w:r>
            <w:proofErr w:type="spellStart"/>
            <w:r w:rsidRPr="008D5A3A">
              <w:rPr>
                <w:rFonts w:ascii="Century Gothic" w:hAnsi="Century Gothic"/>
                <w:sz w:val="22"/>
              </w:rPr>
              <w:t>quáter</w:t>
            </w:r>
            <w:proofErr w:type="spellEnd"/>
            <w:r w:rsidRPr="008D5A3A">
              <w:rPr>
                <w:rFonts w:ascii="Century Gothic" w:hAnsi="Century Gothic"/>
                <w:sz w:val="22"/>
              </w:rPr>
              <w:t xml:space="preserve">, 366 </w:t>
            </w:r>
            <w:proofErr w:type="spellStart"/>
            <w:r w:rsidRPr="008D5A3A">
              <w:rPr>
                <w:rFonts w:ascii="Century Gothic" w:hAnsi="Century Gothic"/>
                <w:sz w:val="22"/>
              </w:rPr>
              <w:t>quinquies</w:t>
            </w:r>
            <w:proofErr w:type="spellEnd"/>
            <w:r w:rsidRPr="008D5A3A">
              <w:rPr>
                <w:rFonts w:ascii="Century Gothic" w:hAnsi="Century Gothic"/>
                <w:sz w:val="22"/>
              </w:rPr>
              <w:t xml:space="preserve">, 367, 367 ter; el artículo 411 </w:t>
            </w:r>
            <w:proofErr w:type="spellStart"/>
            <w:r w:rsidRPr="008D5A3A">
              <w:rPr>
                <w:rFonts w:ascii="Century Gothic" w:hAnsi="Century Gothic"/>
                <w:sz w:val="22"/>
              </w:rPr>
              <w:t>quáter</w:t>
            </w:r>
            <w:proofErr w:type="spellEnd"/>
            <w:r w:rsidRPr="008D5A3A">
              <w:rPr>
                <w:rFonts w:ascii="Century Gothic" w:hAnsi="Century Gothic"/>
                <w:sz w:val="22"/>
              </w:rPr>
              <w:t xml:space="preserve"> </w:t>
            </w:r>
            <w:r w:rsidRPr="008D5A3A">
              <w:rPr>
                <w:rFonts w:ascii="Century Gothic" w:hAnsi="Century Gothic"/>
                <w:b/>
                <w:sz w:val="22"/>
                <w:u w:val="single"/>
              </w:rPr>
              <w:t>en relación con la explotación sexual; y el artículo 433, N° 1, en relación con la violación, perpetrados en contra de una víctima menor de edad, se considerarán delitos de acción pública previa instancia particular y se regirán por lo dispuesto en el artículo 54 del Código Procesal Penal desde que el ofendido por el delito haya cumplido los dieciocho años de edad, si no se ha ejercido antes la acción penal."</w:t>
            </w:r>
            <w:r w:rsidRPr="008D5A3A">
              <w:rPr>
                <w:rFonts w:ascii="Century Gothic" w:hAnsi="Century Gothic"/>
                <w:b/>
                <w:sz w:val="22"/>
              </w:rPr>
              <w:t>.</w:t>
            </w:r>
          </w:p>
          <w:p w14:paraId="30406CEE" w14:textId="77777777" w:rsidR="006111DB" w:rsidRPr="008D5A3A" w:rsidRDefault="006111DB" w:rsidP="00526C44">
            <w:pPr>
              <w:pStyle w:val="Sinespaciado"/>
              <w:rPr>
                <w:rFonts w:ascii="Century Gothic" w:hAnsi="Century Gothic"/>
                <w:sz w:val="22"/>
              </w:rPr>
            </w:pPr>
          </w:p>
          <w:p w14:paraId="0A94EADD" w14:textId="142741BC" w:rsidR="00087167" w:rsidRPr="008D5A3A" w:rsidRDefault="00087167" w:rsidP="00526C44">
            <w:pPr>
              <w:pStyle w:val="Sinespaciado"/>
              <w:rPr>
                <w:rFonts w:ascii="Century Gothic" w:hAnsi="Century Gothic"/>
                <w:sz w:val="22"/>
              </w:rPr>
            </w:pPr>
            <w:r w:rsidRPr="008D5A3A">
              <w:rPr>
                <w:rFonts w:ascii="Century Gothic" w:hAnsi="Century Gothic"/>
                <w:sz w:val="22"/>
              </w:rPr>
              <w:t>(…)</w:t>
            </w:r>
          </w:p>
        </w:tc>
      </w:tr>
    </w:tbl>
    <w:sdt>
      <w:sdtPr>
        <w:rPr>
          <w:sz w:val="22"/>
          <w:szCs w:val="22"/>
          <w:lang w:val="es-ES"/>
        </w:rPr>
        <w:id w:val="2004854819"/>
        <w:docPartObj>
          <w:docPartGallery w:val="Bibliographies"/>
          <w:docPartUnique/>
        </w:docPartObj>
      </w:sdtPr>
      <w:sdtEndPr>
        <w:rPr>
          <w:lang w:val="es"/>
        </w:rPr>
      </w:sdtEndPr>
      <w:sdtContent>
        <w:p w14:paraId="68D5FB90" w14:textId="1FB2A67F" w:rsidR="00B16F5A" w:rsidRDefault="00B16F5A">
          <w:pPr>
            <w:pStyle w:val="Ttulo1"/>
          </w:pPr>
          <w:r>
            <w:rPr>
              <w:lang w:val="es-ES"/>
            </w:rPr>
            <w:t>Bibliografía</w:t>
          </w:r>
        </w:p>
        <w:sdt>
          <w:sdtPr>
            <w:id w:val="111145805"/>
            <w:bibliography/>
          </w:sdtPr>
          <w:sdtEndPr/>
          <w:sdtContent>
            <w:p w14:paraId="6B12E32F" w14:textId="77777777" w:rsidR="00B16F5A" w:rsidRDefault="00B16F5A" w:rsidP="00B16F5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Comité de los Derechos del Niño . (2013). </w:t>
              </w:r>
              <w:r>
                <w:rPr>
                  <w:i/>
                  <w:iCs/>
                  <w:noProof/>
                  <w:lang w:val="es-ES"/>
                </w:rPr>
                <w:t>Observación general Nº 14 (2013) sobre el derecho del niño a que su interés superior sea una consideración primordial (artículo 3, párrafo 1).</w:t>
              </w:r>
              <w:r>
                <w:rPr>
                  <w:noProof/>
                  <w:lang w:val="es-ES"/>
                </w:rPr>
                <w:t xml:space="preserve"> </w:t>
              </w:r>
            </w:p>
            <w:p w14:paraId="4EA27BAF" w14:textId="77777777" w:rsidR="00B16F5A" w:rsidRDefault="00B16F5A" w:rsidP="00B16F5A">
              <w:pPr>
                <w:pStyle w:val="Bibliografa"/>
                <w:ind w:left="720" w:hanging="720"/>
                <w:rPr>
                  <w:noProof/>
                  <w:lang w:val="es-ES"/>
                </w:rPr>
              </w:pPr>
              <w:r>
                <w:rPr>
                  <w:noProof/>
                  <w:lang w:val="es-ES"/>
                </w:rPr>
                <w:t xml:space="preserve">Grupo Centro de Referencia Nacional sobre Violencia. (2018). </w:t>
              </w:r>
              <w:r>
                <w:rPr>
                  <w:i/>
                  <w:iCs/>
                  <w:noProof/>
                  <w:lang w:val="es-ES"/>
                </w:rPr>
                <w:t>Forensis 2018 Datos para la vida .</w:t>
              </w:r>
              <w:r>
                <w:rPr>
                  <w:noProof/>
                  <w:lang w:val="es-ES"/>
                </w:rPr>
                <w:t xml:space="preserve"> Bogotá: Instituto Nacional de Medicina Legal y Ciencias Forenses.</w:t>
              </w:r>
            </w:p>
            <w:p w14:paraId="4A6FBAEC" w14:textId="77777777" w:rsidR="00B16F5A" w:rsidRDefault="00B16F5A" w:rsidP="00B16F5A">
              <w:pPr>
                <w:pStyle w:val="Bibliografa"/>
                <w:ind w:left="720" w:hanging="720"/>
                <w:rPr>
                  <w:noProof/>
                  <w:lang w:val="es-ES"/>
                </w:rPr>
              </w:pPr>
              <w:r>
                <w:rPr>
                  <w:noProof/>
                  <w:lang w:val="es-ES"/>
                </w:rPr>
                <w:t xml:space="preserve">Instituto de Hidrologia, Meteorologia y Estudios Ambientales. (2017). </w:t>
              </w:r>
              <w:r>
                <w:rPr>
                  <w:i/>
                  <w:iCs/>
                  <w:noProof/>
                  <w:lang w:val="es-ES"/>
                </w:rPr>
                <w:t>Resultados Monitoreo de la Deforestacion 2017.</w:t>
              </w:r>
              <w:r>
                <w:rPr>
                  <w:noProof/>
                  <w:lang w:val="es-ES"/>
                </w:rPr>
                <w:t xml:space="preserve"> Bogota.</w:t>
              </w:r>
            </w:p>
            <w:p w14:paraId="3B62BB1D" w14:textId="77777777" w:rsidR="00B16F5A" w:rsidRDefault="00B16F5A" w:rsidP="00B16F5A">
              <w:pPr>
                <w:pStyle w:val="Bibliografa"/>
                <w:ind w:left="720" w:hanging="720"/>
                <w:rPr>
                  <w:noProof/>
                  <w:lang w:val="es-ES"/>
                </w:rPr>
              </w:pPr>
              <w:r>
                <w:rPr>
                  <w:noProof/>
                  <w:lang w:val="es-ES"/>
                </w:rPr>
                <w:t>PRESCRIPCION DE LA ACCION PENAL-Alcance, Sentencia C-416/02 (Corte Constitucional 28 de mayo de 2002).</w:t>
              </w:r>
            </w:p>
            <w:p w14:paraId="55B11708" w14:textId="77777777" w:rsidR="00B16F5A" w:rsidRDefault="00B16F5A" w:rsidP="00B16F5A">
              <w:pPr>
                <w:pStyle w:val="Bibliografa"/>
                <w:ind w:left="720" w:hanging="720"/>
                <w:rPr>
                  <w:noProof/>
                  <w:lang w:val="es-ES"/>
                </w:rPr>
              </w:pPr>
              <w:r>
                <w:rPr>
                  <w:noProof/>
                  <w:lang w:val="es-ES"/>
                </w:rPr>
                <w:t xml:space="preserve">Rojas, G. B. (2007). La Imprescriptibilidad de la Acción Penal en Procesos por Violaciones a los Derechos Humanos. </w:t>
              </w:r>
              <w:r>
                <w:rPr>
                  <w:i/>
                  <w:iCs/>
                  <w:noProof/>
                  <w:lang w:val="es-ES"/>
                </w:rPr>
                <w:t>Revista Ius et Praxis</w:t>
              </w:r>
              <w:r>
                <w:rPr>
                  <w:noProof/>
                  <w:lang w:val="es-ES"/>
                </w:rPr>
                <w:t>, 245-265.</w:t>
              </w:r>
            </w:p>
            <w:p w14:paraId="46EE2E73" w14:textId="157A0307" w:rsidR="00526C44" w:rsidRPr="008D5A3A" w:rsidRDefault="00B16F5A" w:rsidP="00526C44">
              <w:r>
                <w:rPr>
                  <w:b/>
                  <w:bCs/>
                </w:rPr>
                <w:fldChar w:fldCharType="end"/>
              </w:r>
            </w:p>
          </w:sdtContent>
        </w:sdt>
      </w:sdtContent>
    </w:sdt>
    <w:p w14:paraId="07F9FCBF" w14:textId="77777777" w:rsidR="00087167" w:rsidRPr="00B16F5A" w:rsidRDefault="00087167" w:rsidP="001C7EF0">
      <w:pPr>
        <w:contextualSpacing w:val="0"/>
        <w:jc w:val="center"/>
        <w:rPr>
          <w:rFonts w:ascii="Century Gothic" w:hAnsi="Century Gothic"/>
          <w:b/>
          <w:sz w:val="24"/>
          <w:szCs w:val="24"/>
        </w:rPr>
      </w:pPr>
    </w:p>
    <w:p w14:paraId="36D95545" w14:textId="77777777" w:rsidR="00D3271F" w:rsidRDefault="00D3271F" w:rsidP="00B16F5A">
      <w:pPr>
        <w:spacing w:line="240" w:lineRule="auto"/>
        <w:jc w:val="center"/>
        <w:rPr>
          <w:rFonts w:ascii="Century Gothic" w:hAnsi="Century Gothic"/>
          <w:b/>
          <w:sz w:val="24"/>
          <w:szCs w:val="24"/>
        </w:rPr>
      </w:pPr>
    </w:p>
    <w:p w14:paraId="16F14229" w14:textId="487044EC" w:rsidR="00B16F5A" w:rsidRPr="008D5A3A" w:rsidRDefault="001C7EF0" w:rsidP="00B16F5A">
      <w:pPr>
        <w:spacing w:line="240" w:lineRule="auto"/>
        <w:jc w:val="center"/>
        <w:rPr>
          <w:rFonts w:ascii="Century Gothic" w:hAnsi="Century Gothic"/>
          <w:b/>
          <w:szCs w:val="24"/>
        </w:rPr>
      </w:pPr>
      <w:r w:rsidRPr="008D5A3A">
        <w:rPr>
          <w:rFonts w:ascii="Century Gothic" w:hAnsi="Century Gothic"/>
          <w:b/>
          <w:szCs w:val="24"/>
        </w:rPr>
        <w:t>PROYECTO DE LEY No. _________ DE 2019</w:t>
      </w:r>
    </w:p>
    <w:p w14:paraId="649B8B36" w14:textId="3E38751A" w:rsidR="00B16F5A" w:rsidRPr="008D5A3A" w:rsidRDefault="00B16F5A" w:rsidP="00B16F5A">
      <w:pPr>
        <w:spacing w:line="240" w:lineRule="auto"/>
        <w:jc w:val="center"/>
        <w:rPr>
          <w:rFonts w:ascii="Century Gothic" w:hAnsi="Century Gothic"/>
          <w:b/>
          <w:szCs w:val="24"/>
        </w:rPr>
      </w:pPr>
      <w:r w:rsidRPr="008D5A3A">
        <w:rPr>
          <w:rFonts w:ascii="Century Gothic" w:hAnsi="Century Gothic"/>
          <w:b/>
          <w:szCs w:val="24"/>
        </w:rPr>
        <w:t>“Por medio de la cual se declara imprescriptible la acción penal para los delitos contra la libertad, integridad y formación sexual cometidos en menores de edad”.</w:t>
      </w:r>
    </w:p>
    <w:p w14:paraId="09BEA8A7" w14:textId="1FDD00F9" w:rsidR="00B16F5A" w:rsidRDefault="00B16F5A" w:rsidP="008D5A3A">
      <w:pPr>
        <w:rPr>
          <w:b/>
          <w:sz w:val="20"/>
        </w:rPr>
      </w:pPr>
    </w:p>
    <w:p w14:paraId="7C7B25DF" w14:textId="77777777" w:rsidR="008D5A3A" w:rsidRPr="008D5A3A" w:rsidRDefault="008D5A3A" w:rsidP="008D5A3A">
      <w:pPr>
        <w:rPr>
          <w:rFonts w:ascii="Arial Narrow" w:hAnsi="Arial Narrow"/>
          <w:i/>
          <w:sz w:val="20"/>
        </w:rPr>
      </w:pPr>
    </w:p>
    <w:p w14:paraId="0BF7FA97" w14:textId="1822CA7C" w:rsidR="001C7EF0" w:rsidRPr="008D5A3A" w:rsidRDefault="001C7EF0" w:rsidP="001C7EF0">
      <w:pPr>
        <w:jc w:val="center"/>
        <w:rPr>
          <w:rFonts w:ascii="Century Gothic" w:eastAsiaTheme="minorEastAsia" w:hAnsi="Century Gothic"/>
          <w:i/>
          <w:szCs w:val="24"/>
          <w:lang w:val="es-ES_tradnl"/>
        </w:rPr>
      </w:pPr>
      <w:r w:rsidRPr="008D5A3A">
        <w:rPr>
          <w:rFonts w:ascii="Century Gothic" w:hAnsi="Century Gothic"/>
          <w:i/>
          <w:szCs w:val="24"/>
        </w:rPr>
        <w:t>EL CONGRESO DE COLOMBIA</w:t>
      </w:r>
    </w:p>
    <w:p w14:paraId="3797BAED" w14:textId="1B68DEEA" w:rsidR="001C7EF0" w:rsidRPr="008D5A3A" w:rsidRDefault="001C7EF0" w:rsidP="008D5A3A">
      <w:pPr>
        <w:rPr>
          <w:rFonts w:ascii="Century Gothic" w:hAnsi="Century Gothic"/>
          <w:i/>
          <w:szCs w:val="24"/>
        </w:rPr>
      </w:pPr>
    </w:p>
    <w:p w14:paraId="03BF8909" w14:textId="72AC8A93" w:rsidR="001C7EF0" w:rsidRPr="008D5A3A" w:rsidRDefault="001C7EF0" w:rsidP="00087167">
      <w:pPr>
        <w:jc w:val="center"/>
        <w:rPr>
          <w:rFonts w:ascii="Century Gothic" w:hAnsi="Century Gothic"/>
          <w:i/>
          <w:szCs w:val="24"/>
        </w:rPr>
      </w:pPr>
      <w:r w:rsidRPr="008D5A3A">
        <w:rPr>
          <w:rFonts w:ascii="Century Gothic" w:hAnsi="Century Gothic"/>
          <w:i/>
          <w:szCs w:val="24"/>
        </w:rPr>
        <w:t>DECRETA</w:t>
      </w:r>
    </w:p>
    <w:p w14:paraId="1584FEB5" w14:textId="2A2C2D63" w:rsidR="001C7EF0" w:rsidRPr="008D5A3A" w:rsidRDefault="001C7EF0" w:rsidP="001C7EF0">
      <w:pPr>
        <w:spacing w:line="240" w:lineRule="auto"/>
        <w:jc w:val="both"/>
        <w:rPr>
          <w:rFonts w:ascii="Century Gothic" w:hAnsi="Century Gothic"/>
          <w:b/>
          <w:szCs w:val="24"/>
        </w:rPr>
      </w:pPr>
    </w:p>
    <w:p w14:paraId="3DB5A29E" w14:textId="611141E0" w:rsidR="00526C44" w:rsidRPr="008D5A3A" w:rsidRDefault="001C7EF0" w:rsidP="008D5A3A">
      <w:pPr>
        <w:spacing w:line="240" w:lineRule="auto"/>
        <w:jc w:val="both"/>
        <w:rPr>
          <w:rFonts w:ascii="Century Gothic" w:hAnsi="Century Gothic"/>
          <w:szCs w:val="24"/>
        </w:rPr>
      </w:pPr>
      <w:r w:rsidRPr="008D5A3A">
        <w:rPr>
          <w:rFonts w:ascii="Century Gothic" w:hAnsi="Century Gothic"/>
          <w:b/>
          <w:szCs w:val="24"/>
        </w:rPr>
        <w:t xml:space="preserve">Artículo 1. Objeto: </w:t>
      </w:r>
      <w:r w:rsidRPr="008D5A3A">
        <w:rPr>
          <w:rFonts w:ascii="Century Gothic" w:hAnsi="Century Gothic"/>
          <w:szCs w:val="24"/>
        </w:rPr>
        <w:t>Declarar imprescriptible la acción penal para los delitos contra la libertad, integridad y formación sexual, cometidos en menores de edad.</w:t>
      </w:r>
    </w:p>
    <w:p w14:paraId="652CC704" w14:textId="0E0700C8" w:rsidR="001C7EF0" w:rsidRPr="008D5A3A" w:rsidRDefault="001C7EF0" w:rsidP="001C7EF0">
      <w:pPr>
        <w:pStyle w:val="NormalWeb"/>
        <w:rPr>
          <w:rFonts w:ascii="Century Gothic" w:hAnsi="Century Gothic"/>
          <w:b/>
          <w:sz w:val="22"/>
        </w:rPr>
      </w:pPr>
      <w:r w:rsidRPr="008D5A3A">
        <w:rPr>
          <w:rFonts w:ascii="Century Gothic" w:eastAsia="Arial" w:hAnsi="Century Gothic" w:cs="Arial"/>
          <w:b/>
          <w:sz w:val="22"/>
          <w:lang w:val="es"/>
        </w:rPr>
        <w:t>Artículo 2.</w:t>
      </w:r>
      <w:r w:rsidRPr="008D5A3A">
        <w:rPr>
          <w:rFonts w:ascii="Century Gothic" w:hAnsi="Century Gothic"/>
          <w:b/>
          <w:sz w:val="22"/>
        </w:rPr>
        <w:t xml:space="preserve"> </w:t>
      </w:r>
      <w:bookmarkStart w:id="0" w:name="83"/>
      <w:r w:rsidR="00B16F5A" w:rsidRPr="008D5A3A">
        <w:rPr>
          <w:rFonts w:ascii="Century Gothic" w:eastAsia="Arial" w:hAnsi="Century Gothic" w:cs="Arial"/>
          <w:sz w:val="22"/>
          <w:lang w:val="es"/>
        </w:rPr>
        <w:t>Modifíquese el inciso 3 d</w:t>
      </w:r>
      <w:r w:rsidRPr="008D5A3A">
        <w:rPr>
          <w:rFonts w:ascii="Century Gothic" w:eastAsia="Arial" w:hAnsi="Century Gothic" w:cs="Arial"/>
          <w:sz w:val="22"/>
          <w:lang w:val="es"/>
        </w:rPr>
        <w:t xml:space="preserve">el artículo 83 de la Ley 599 del 2000 “Por la cual </w:t>
      </w:r>
      <w:bookmarkStart w:id="1" w:name="_GoBack"/>
      <w:bookmarkEnd w:id="1"/>
      <w:r w:rsidRPr="008D5A3A">
        <w:rPr>
          <w:rFonts w:ascii="Century Gothic" w:eastAsia="Arial" w:hAnsi="Century Gothic" w:cs="Arial"/>
          <w:sz w:val="22"/>
          <w:lang w:val="es"/>
        </w:rPr>
        <w:t>se expide el Código Penal”, el cual quedara así:</w:t>
      </w:r>
      <w:r w:rsidRPr="008D5A3A">
        <w:rPr>
          <w:rFonts w:ascii="Century Gothic" w:hAnsi="Century Gothic"/>
          <w:sz w:val="22"/>
        </w:rPr>
        <w:t xml:space="preserve"> </w:t>
      </w:r>
    </w:p>
    <w:p w14:paraId="5D36FD3F" w14:textId="4AC43B89" w:rsidR="001C7EF0" w:rsidRPr="008D5A3A" w:rsidRDefault="001C7EF0" w:rsidP="001C7EF0">
      <w:pPr>
        <w:pStyle w:val="NormalWeb"/>
        <w:ind w:left="708"/>
        <w:jc w:val="both"/>
        <w:rPr>
          <w:rFonts w:ascii="Century Gothic" w:eastAsia="Arial" w:hAnsi="Century Gothic" w:cs="Arial"/>
          <w:sz w:val="22"/>
          <w:lang w:val="es"/>
        </w:rPr>
      </w:pPr>
      <w:r w:rsidRPr="008D5A3A">
        <w:rPr>
          <w:rFonts w:ascii="Century Gothic" w:eastAsia="Arial" w:hAnsi="Century Gothic" w:cs="Arial"/>
          <w:b/>
          <w:bCs/>
          <w:sz w:val="22"/>
          <w:lang w:val="es"/>
        </w:rPr>
        <w:t>ARTICULO 83. TERMINO DE PRESCRIPCION DE LA ACCION PENAL.</w:t>
      </w:r>
      <w:bookmarkEnd w:id="0"/>
      <w:r w:rsidRPr="008D5A3A">
        <w:rPr>
          <w:rFonts w:ascii="Century Gothic" w:eastAsia="Arial" w:hAnsi="Century Gothic" w:cs="Arial"/>
          <w:sz w:val="22"/>
          <w:lang w:val="es"/>
        </w:rPr>
        <w:t xml:space="preserve"> La acción penal prescribirá en un tiempo igual al máximo de la pena fijada en la ley, si fuere privativa de la libertad, pero en ningún caso será inferior a cinco (5) años, ni excederá de veinte (20), salvo lo dispuesto en el inciso siguiente de este artículo. </w:t>
      </w:r>
    </w:p>
    <w:p w14:paraId="219E3C45" w14:textId="4975C321" w:rsidR="001C7EF0" w:rsidRPr="008D5A3A" w:rsidRDefault="001C7EF0" w:rsidP="00B16F5A">
      <w:pPr>
        <w:pStyle w:val="NormalWeb"/>
        <w:ind w:left="708"/>
        <w:jc w:val="both"/>
        <w:rPr>
          <w:rFonts w:ascii="Century Gothic" w:eastAsia="Arial" w:hAnsi="Century Gothic" w:cs="Arial"/>
          <w:sz w:val="22"/>
          <w:lang w:val="es"/>
        </w:rPr>
      </w:pPr>
      <w:r w:rsidRPr="008D5A3A">
        <w:rPr>
          <w:rFonts w:ascii="Century Gothic" w:eastAsia="Arial" w:hAnsi="Century Gothic" w:cs="Arial"/>
          <w:sz w:val="22"/>
          <w:lang w:val="es"/>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w:t>
      </w:r>
      <w:r w:rsidR="00B16F5A" w:rsidRPr="008D5A3A">
        <w:rPr>
          <w:rFonts w:ascii="Century Gothic" w:eastAsia="Arial" w:hAnsi="Century Gothic" w:cs="Arial"/>
          <w:sz w:val="22"/>
          <w:lang w:val="es"/>
        </w:rPr>
        <w:t>y crímenes de guerra será imprescriptible</w:t>
      </w:r>
    </w:p>
    <w:p w14:paraId="30B98A9C" w14:textId="5CA3EF5E" w:rsidR="00B16F5A" w:rsidRPr="008D5A3A" w:rsidRDefault="00B16F5A" w:rsidP="001C7EF0">
      <w:pPr>
        <w:pStyle w:val="NormalWeb"/>
        <w:ind w:left="708"/>
        <w:jc w:val="both"/>
        <w:rPr>
          <w:rFonts w:ascii="Century Gothic" w:eastAsia="Arial" w:hAnsi="Century Gothic" w:cs="Arial"/>
          <w:sz w:val="22"/>
          <w:u w:val="single"/>
          <w:lang w:val="es"/>
        </w:rPr>
      </w:pPr>
      <w:r w:rsidRPr="008D5A3A">
        <w:rPr>
          <w:rFonts w:ascii="Century Gothic" w:eastAsia="Arial" w:hAnsi="Century Gothic" w:cs="Arial"/>
          <w:sz w:val="22"/>
          <w:u w:val="single"/>
          <w:lang w:val="es"/>
        </w:rPr>
        <w:t xml:space="preserve">Cuando se trate de delitos contra la libertad, integridad y formación sexuales, o el delito consagrado en el artículo 237, cometidos en menores de edad, la acción penal será imprescriptible. </w:t>
      </w:r>
    </w:p>
    <w:p w14:paraId="3B941957" w14:textId="45CBA659" w:rsidR="001C7EF0" w:rsidRPr="008D5A3A" w:rsidRDefault="001C7EF0" w:rsidP="001C7EF0">
      <w:pPr>
        <w:pStyle w:val="NormalWeb"/>
        <w:ind w:left="708"/>
        <w:jc w:val="both"/>
        <w:rPr>
          <w:rFonts w:ascii="Century Gothic" w:eastAsia="Arial" w:hAnsi="Century Gothic" w:cs="Arial"/>
          <w:sz w:val="22"/>
          <w:lang w:val="es"/>
        </w:rPr>
      </w:pPr>
      <w:r w:rsidRPr="008D5A3A">
        <w:rPr>
          <w:rFonts w:ascii="Century Gothic" w:eastAsia="Arial" w:hAnsi="Century Gothic" w:cs="Arial"/>
          <w:sz w:val="22"/>
          <w:lang w:val="es"/>
        </w:rPr>
        <w:t xml:space="preserve">Para este efecto se tendrán en cuenta las causales sustanciales modificadoras de la punibilidad. </w:t>
      </w:r>
    </w:p>
    <w:p w14:paraId="3B9CFFCA" w14:textId="110DB26A" w:rsidR="001C7EF0" w:rsidRPr="008D5A3A" w:rsidRDefault="001C7EF0" w:rsidP="001C7EF0">
      <w:pPr>
        <w:pStyle w:val="NormalWeb"/>
        <w:ind w:left="708"/>
        <w:jc w:val="both"/>
        <w:rPr>
          <w:rFonts w:ascii="Century Gothic" w:hAnsi="Century Gothic" w:cs="Arial"/>
          <w:sz w:val="22"/>
        </w:rPr>
      </w:pPr>
      <w:r w:rsidRPr="008D5A3A">
        <w:rPr>
          <w:rFonts w:ascii="Century Gothic" w:hAnsi="Century Gothic" w:cs="Arial"/>
          <w:sz w:val="22"/>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5E952C4E" w14:textId="77777777" w:rsidR="001C7EF0" w:rsidRPr="008D5A3A" w:rsidRDefault="001C7EF0" w:rsidP="001C7EF0">
      <w:pPr>
        <w:pStyle w:val="NormalWeb"/>
        <w:ind w:left="708"/>
        <w:jc w:val="both"/>
        <w:rPr>
          <w:rFonts w:ascii="Century Gothic" w:hAnsi="Century Gothic" w:cs="Arial"/>
          <w:sz w:val="22"/>
        </w:rPr>
      </w:pPr>
      <w:r w:rsidRPr="008D5A3A">
        <w:rPr>
          <w:rFonts w:ascii="Century Gothic" w:hAnsi="Century Gothic" w:cs="Arial"/>
          <w:sz w:val="22"/>
        </w:rPr>
        <w:lastRenderedPageBreak/>
        <w:t xml:space="preserve">También se aumentará el término de prescripción, en la mitad, cuando la conducta punible se hubiere iniciado o consumado en el exterior. </w:t>
      </w:r>
    </w:p>
    <w:p w14:paraId="49545888" w14:textId="04130ECF" w:rsidR="00E379D2" w:rsidRPr="008D5A3A" w:rsidRDefault="001C7EF0" w:rsidP="00B16F5A">
      <w:pPr>
        <w:pStyle w:val="NormalWeb"/>
        <w:ind w:left="708"/>
        <w:jc w:val="both"/>
        <w:rPr>
          <w:rFonts w:ascii="Century Gothic" w:hAnsi="Century Gothic" w:cs="Arial"/>
          <w:sz w:val="22"/>
        </w:rPr>
      </w:pPr>
      <w:r w:rsidRPr="008D5A3A">
        <w:rPr>
          <w:rFonts w:ascii="Century Gothic" w:hAnsi="Century Gothic" w:cs="Arial"/>
          <w:sz w:val="22"/>
        </w:rPr>
        <w:t xml:space="preserve">En todo caso, cuando se aumente el término de prescripción, no se excederá el límite máximo fijado. </w:t>
      </w:r>
    </w:p>
    <w:p w14:paraId="0D0182E3" w14:textId="77777777" w:rsidR="00526C44" w:rsidRPr="008D5A3A" w:rsidRDefault="00526C44" w:rsidP="00DF5090">
      <w:pPr>
        <w:pStyle w:val="NormalWeb"/>
        <w:jc w:val="both"/>
        <w:rPr>
          <w:rFonts w:ascii="Century Gothic" w:eastAsia="Arial" w:hAnsi="Century Gothic" w:cs="Arial"/>
          <w:b/>
          <w:sz w:val="22"/>
          <w:lang w:val="es"/>
        </w:rPr>
      </w:pPr>
    </w:p>
    <w:p w14:paraId="22989C34" w14:textId="140B351E" w:rsidR="00F115AA" w:rsidRPr="008D5A3A" w:rsidRDefault="00F6691B" w:rsidP="00DF5090">
      <w:pPr>
        <w:pStyle w:val="NormalWeb"/>
        <w:jc w:val="both"/>
        <w:rPr>
          <w:rFonts w:ascii="Century Gothic" w:eastAsia="Arial" w:hAnsi="Century Gothic" w:cs="Arial"/>
          <w:sz w:val="22"/>
          <w:lang w:val="es"/>
        </w:rPr>
      </w:pPr>
      <w:r w:rsidRPr="008D5A3A">
        <w:rPr>
          <w:rFonts w:ascii="Century Gothic" w:eastAsia="Arial" w:hAnsi="Century Gothic" w:cs="Arial"/>
          <w:b/>
          <w:sz w:val="22"/>
          <w:lang w:val="es"/>
        </w:rPr>
        <w:t xml:space="preserve">Artículo 3. </w:t>
      </w:r>
      <w:r w:rsidRPr="008D5A3A">
        <w:rPr>
          <w:rFonts w:ascii="Century Gothic" w:eastAsia="Arial" w:hAnsi="Century Gothic" w:cs="Arial"/>
          <w:sz w:val="22"/>
          <w:lang w:val="es"/>
        </w:rPr>
        <w:t>Esta ley rige a partir de la fecha de su promulgación y deroga todas las disposiciones que le sean contrarias.</w:t>
      </w:r>
    </w:p>
    <w:p w14:paraId="488A331A" w14:textId="48E5CA06" w:rsidR="00F6691B" w:rsidRPr="008D5A3A" w:rsidRDefault="00F6691B" w:rsidP="00F6691B">
      <w:pPr>
        <w:pStyle w:val="NormalCaro"/>
        <w:spacing w:before="0" w:line="240" w:lineRule="auto"/>
        <w:rPr>
          <w:rFonts w:ascii="Century Gothic" w:eastAsia="Times New Roman" w:hAnsi="Century Gothic" w:cs="Times New Roman"/>
          <w:sz w:val="22"/>
          <w:lang w:val="es-CO" w:eastAsia="es-CO"/>
        </w:rPr>
      </w:pPr>
    </w:p>
    <w:p w14:paraId="32842EFC" w14:textId="77777777" w:rsidR="00526C44" w:rsidRPr="008D5A3A" w:rsidRDefault="00526C44" w:rsidP="00F6691B">
      <w:pPr>
        <w:pStyle w:val="NormalCaro"/>
        <w:spacing w:before="0" w:line="240" w:lineRule="auto"/>
        <w:rPr>
          <w:rFonts w:ascii="Century Gothic" w:eastAsia="Arial" w:hAnsi="Century Gothic"/>
          <w:sz w:val="22"/>
          <w:lang w:val="es-ES" w:eastAsia="es-CO"/>
        </w:rPr>
      </w:pPr>
    </w:p>
    <w:p w14:paraId="78D749A7" w14:textId="77777777" w:rsidR="00F6691B" w:rsidRPr="008D5A3A" w:rsidRDefault="00F6691B" w:rsidP="00F6691B">
      <w:pPr>
        <w:pStyle w:val="NormalCaro"/>
        <w:spacing w:before="0" w:line="240" w:lineRule="auto"/>
        <w:rPr>
          <w:rFonts w:ascii="Century Gothic" w:eastAsia="Arial" w:hAnsi="Century Gothic"/>
          <w:sz w:val="22"/>
          <w:lang w:val="es-ES" w:eastAsia="es-CO"/>
        </w:rPr>
      </w:pPr>
      <w:r w:rsidRPr="008D5A3A">
        <w:rPr>
          <w:rFonts w:ascii="Century Gothic" w:eastAsia="Arial" w:hAnsi="Century Gothic"/>
          <w:sz w:val="22"/>
          <w:lang w:val="es-ES" w:eastAsia="es-CO"/>
        </w:rPr>
        <w:t>Del Honorable Congresista,</w:t>
      </w:r>
    </w:p>
    <w:p w14:paraId="76318A5E" w14:textId="77777777" w:rsidR="00F6691B" w:rsidRPr="008D5A3A" w:rsidRDefault="00F6691B" w:rsidP="00F6691B">
      <w:pPr>
        <w:pStyle w:val="NormalCaro"/>
        <w:spacing w:before="0" w:line="240" w:lineRule="auto"/>
        <w:rPr>
          <w:rStyle w:val="TextocomentarioCar"/>
          <w:rFonts w:ascii="Century Gothic" w:eastAsia="Calibri" w:hAnsi="Century Gothic"/>
          <w:sz w:val="22"/>
          <w:szCs w:val="24"/>
        </w:rPr>
      </w:pPr>
    </w:p>
    <w:p w14:paraId="65963E58" w14:textId="77777777" w:rsidR="00F6691B" w:rsidRPr="008D5A3A" w:rsidRDefault="00F6691B" w:rsidP="00F6691B">
      <w:pPr>
        <w:pStyle w:val="NormalCaro"/>
        <w:spacing w:before="0" w:line="240" w:lineRule="auto"/>
        <w:rPr>
          <w:rFonts w:ascii="Century Gothic" w:hAnsi="Century Gothic"/>
          <w:sz w:val="22"/>
        </w:rPr>
      </w:pPr>
    </w:p>
    <w:p w14:paraId="4FE29C18" w14:textId="77777777" w:rsidR="00F6691B" w:rsidRPr="008D5A3A" w:rsidRDefault="00F6691B" w:rsidP="00F6691B">
      <w:pPr>
        <w:pStyle w:val="NormalCaro"/>
        <w:spacing w:before="0" w:line="240" w:lineRule="auto"/>
        <w:rPr>
          <w:rFonts w:ascii="Century Gothic" w:hAnsi="Century Gothic"/>
          <w:sz w:val="22"/>
        </w:rPr>
      </w:pPr>
    </w:p>
    <w:p w14:paraId="438B34A9" w14:textId="77777777" w:rsidR="00F6691B" w:rsidRPr="008D5A3A" w:rsidRDefault="00F6691B" w:rsidP="00F6691B">
      <w:pPr>
        <w:pStyle w:val="NormalCaro"/>
        <w:spacing w:before="0" w:line="240" w:lineRule="auto"/>
        <w:rPr>
          <w:rFonts w:ascii="Century Gothic" w:hAnsi="Century Gothic"/>
          <w:sz w:val="22"/>
        </w:rPr>
      </w:pPr>
    </w:p>
    <w:p w14:paraId="4E701F78" w14:textId="77777777" w:rsidR="00F6691B" w:rsidRPr="008D5A3A" w:rsidRDefault="00F6691B" w:rsidP="00F6691B">
      <w:pPr>
        <w:pStyle w:val="NormalCaro"/>
        <w:spacing w:before="0" w:line="240" w:lineRule="auto"/>
        <w:rPr>
          <w:rFonts w:ascii="Century Gothic" w:hAnsi="Century Gothic"/>
          <w:sz w:val="22"/>
        </w:rPr>
      </w:pPr>
    </w:p>
    <w:p w14:paraId="3E7423E6" w14:textId="77777777" w:rsidR="00F6691B" w:rsidRPr="008D5A3A" w:rsidRDefault="00F6691B" w:rsidP="00F6691B">
      <w:pPr>
        <w:pStyle w:val="NormalCaro"/>
        <w:spacing w:before="0" w:line="240" w:lineRule="auto"/>
        <w:rPr>
          <w:rFonts w:ascii="Century Gothic" w:hAnsi="Century Gothic"/>
          <w:sz w:val="22"/>
          <w:lang w:val="es-ES" w:eastAsia="es-ES"/>
        </w:rPr>
      </w:pPr>
      <w:r w:rsidRPr="008D5A3A">
        <w:rPr>
          <w:rFonts w:ascii="Century Gothic" w:hAnsi="Century Gothic"/>
          <w:b/>
          <w:i/>
          <w:sz w:val="22"/>
          <w:lang w:val="es-ES"/>
        </w:rPr>
        <w:t>HARRY GIOVANNY GONZÁLEZ GARCÍA</w:t>
      </w:r>
    </w:p>
    <w:p w14:paraId="0891F837" w14:textId="77777777" w:rsidR="00F6691B" w:rsidRPr="008D5A3A" w:rsidRDefault="00F6691B" w:rsidP="00F6691B">
      <w:pPr>
        <w:rPr>
          <w:rFonts w:ascii="Century Gothic" w:hAnsi="Century Gothic"/>
          <w:szCs w:val="24"/>
          <w:lang w:val="es-ES"/>
        </w:rPr>
      </w:pPr>
      <w:r w:rsidRPr="008D5A3A">
        <w:rPr>
          <w:rFonts w:ascii="Century Gothic" w:hAnsi="Century Gothic"/>
          <w:szCs w:val="24"/>
          <w:lang w:val="es-ES"/>
        </w:rPr>
        <w:t>Representante a la Cámara</w:t>
      </w:r>
      <w:r w:rsidRPr="008D5A3A">
        <w:rPr>
          <w:rFonts w:ascii="Century Gothic" w:hAnsi="Century Gothic"/>
          <w:szCs w:val="24"/>
          <w:lang w:val="es-ES"/>
        </w:rPr>
        <w:br/>
        <w:t>Departamento del Caquetá</w:t>
      </w:r>
    </w:p>
    <w:p w14:paraId="31F92C8B" w14:textId="1F0DBC06" w:rsidR="001C7EF0" w:rsidRPr="00B16F5A" w:rsidRDefault="001C7EF0" w:rsidP="001C7EF0">
      <w:pPr>
        <w:spacing w:line="240" w:lineRule="auto"/>
        <w:jc w:val="both"/>
        <w:rPr>
          <w:rFonts w:ascii="Century Gothic" w:hAnsi="Century Gothic"/>
          <w:b/>
          <w:sz w:val="24"/>
          <w:szCs w:val="24"/>
        </w:rPr>
      </w:pPr>
    </w:p>
    <w:sectPr w:rsidR="001C7EF0" w:rsidRPr="00B16F5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E1CD" w14:textId="77777777" w:rsidR="00733C6D" w:rsidRDefault="00733C6D" w:rsidP="007F10DD">
      <w:pPr>
        <w:spacing w:line="240" w:lineRule="auto"/>
      </w:pPr>
      <w:r>
        <w:separator/>
      </w:r>
    </w:p>
  </w:endnote>
  <w:endnote w:type="continuationSeparator" w:id="0">
    <w:p w14:paraId="3E9185E0" w14:textId="77777777" w:rsidR="00733C6D" w:rsidRDefault="00733C6D" w:rsidP="007F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7FE3" w14:textId="77777777" w:rsidR="007F10DD" w:rsidRPr="005F21C3" w:rsidRDefault="007F10DD" w:rsidP="007F10DD">
    <w:pPr>
      <w:pStyle w:val="Piedepgina"/>
      <w:jc w:val="center"/>
      <w:rPr>
        <w:sz w:val="16"/>
        <w:szCs w:val="16"/>
      </w:rPr>
    </w:pPr>
    <w:r w:rsidRPr="005F21C3">
      <w:rPr>
        <w:noProof/>
        <w:sz w:val="16"/>
        <w:szCs w:val="16"/>
        <w:lang w:val="es-CO"/>
      </w:rPr>
      <w:drawing>
        <wp:inline distT="0" distB="0" distL="0" distR="0" wp14:anchorId="4B69587A" wp14:editId="23741AE9">
          <wp:extent cx="3117850" cy="266700"/>
          <wp:effectExtent l="0" t="0" r="635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77191562" w14:textId="77777777" w:rsidR="007F10DD" w:rsidRDefault="007F10DD" w:rsidP="007F10DD">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Of.544b Tel: 3823101</w:t>
    </w:r>
  </w:p>
  <w:p w14:paraId="18563C5A" w14:textId="77777777" w:rsidR="007F10DD" w:rsidRDefault="007F10DD" w:rsidP="007F10DD">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14:paraId="3F5603F7" w14:textId="77777777" w:rsidR="007F10DD" w:rsidRPr="005F21C3" w:rsidRDefault="00445F80" w:rsidP="007F10DD">
    <w:pPr>
      <w:pStyle w:val="Piedepgina"/>
      <w:jc w:val="center"/>
      <w:rPr>
        <w:rFonts w:ascii="Gill Sans MT" w:hAnsi="Gill Sans MT"/>
        <w:spacing w:val="60"/>
        <w:sz w:val="16"/>
        <w:szCs w:val="16"/>
      </w:rPr>
    </w:pPr>
    <w:hyperlink r:id="rId2" w:history="1">
      <w:r w:rsidR="007F10DD" w:rsidRPr="0058445A">
        <w:rPr>
          <w:rStyle w:val="Hipervnculo"/>
          <w:rFonts w:ascii="Gill Sans MT" w:hAnsi="Gill Sans MT"/>
          <w:spacing w:val="60"/>
          <w:sz w:val="16"/>
          <w:szCs w:val="16"/>
        </w:rPr>
        <w:t>harry.gonzalez@camara.gov.co</w:t>
      </w:r>
    </w:hyperlink>
    <w:r w:rsidR="007F10DD">
      <w:rPr>
        <w:rFonts w:ascii="Gill Sans MT" w:hAnsi="Gill Sans MT"/>
        <w:spacing w:val="60"/>
        <w:sz w:val="16"/>
        <w:szCs w:val="16"/>
      </w:rPr>
      <w:t xml:space="preserve"> </w:t>
    </w:r>
  </w:p>
  <w:p w14:paraId="61E2E834" w14:textId="77777777" w:rsidR="007F10DD" w:rsidRDefault="007F10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DFBD" w14:textId="77777777" w:rsidR="00733C6D" w:rsidRDefault="00733C6D" w:rsidP="007F10DD">
      <w:pPr>
        <w:spacing w:line="240" w:lineRule="auto"/>
      </w:pPr>
      <w:r>
        <w:separator/>
      </w:r>
    </w:p>
  </w:footnote>
  <w:footnote w:type="continuationSeparator" w:id="0">
    <w:p w14:paraId="47FC97D4" w14:textId="77777777" w:rsidR="00733C6D" w:rsidRDefault="00733C6D" w:rsidP="007F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5EC9" w14:textId="77777777" w:rsidR="007F10DD" w:rsidRDefault="007F10DD">
    <w:pPr>
      <w:pStyle w:val="Encabezado"/>
    </w:pPr>
    <w:r>
      <w:rPr>
        <w:noProof/>
        <w:lang w:val="es-CO"/>
      </w:rPr>
      <w:drawing>
        <wp:anchor distT="0" distB="0" distL="114300" distR="114300" simplePos="0" relativeHeight="251659264" behindDoc="0" locked="0" layoutInCell="1" allowOverlap="1" wp14:anchorId="5AD460FE" wp14:editId="2099E816">
          <wp:simplePos x="0" y="0"/>
          <wp:positionH relativeFrom="column">
            <wp:posOffset>1257300</wp:posOffset>
          </wp:positionH>
          <wp:positionV relativeFrom="paragraph">
            <wp:posOffset>-286385</wp:posOffset>
          </wp:positionV>
          <wp:extent cx="3112135" cy="723900"/>
          <wp:effectExtent l="0" t="0" r="12065" b="1270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160CE"/>
    <w:multiLevelType w:val="multilevel"/>
    <w:tmpl w:val="166A5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2"/>
    <w:rsid w:val="000639B7"/>
    <w:rsid w:val="00087167"/>
    <w:rsid w:val="00094AEC"/>
    <w:rsid w:val="00096119"/>
    <w:rsid w:val="000C0BD0"/>
    <w:rsid w:val="000C406F"/>
    <w:rsid w:val="000C5721"/>
    <w:rsid w:val="00101D30"/>
    <w:rsid w:val="00125F8C"/>
    <w:rsid w:val="00147BCF"/>
    <w:rsid w:val="001A0FFD"/>
    <w:rsid w:val="001C7EF0"/>
    <w:rsid w:val="001F268A"/>
    <w:rsid w:val="00213C8F"/>
    <w:rsid w:val="00217723"/>
    <w:rsid w:val="00240B1E"/>
    <w:rsid w:val="002566B4"/>
    <w:rsid w:val="00271B9C"/>
    <w:rsid w:val="002A4C04"/>
    <w:rsid w:val="002A7773"/>
    <w:rsid w:val="002B141E"/>
    <w:rsid w:val="002D2292"/>
    <w:rsid w:val="002E2701"/>
    <w:rsid w:val="00332503"/>
    <w:rsid w:val="003E1AD0"/>
    <w:rsid w:val="00427163"/>
    <w:rsid w:val="00441E6D"/>
    <w:rsid w:val="00445F80"/>
    <w:rsid w:val="00446272"/>
    <w:rsid w:val="0047099C"/>
    <w:rsid w:val="004B58DB"/>
    <w:rsid w:val="004E4433"/>
    <w:rsid w:val="004F7DB1"/>
    <w:rsid w:val="00526C44"/>
    <w:rsid w:val="00534FB8"/>
    <w:rsid w:val="00555047"/>
    <w:rsid w:val="00597902"/>
    <w:rsid w:val="005A21F8"/>
    <w:rsid w:val="005D0306"/>
    <w:rsid w:val="005D13BD"/>
    <w:rsid w:val="005F52BC"/>
    <w:rsid w:val="00601BB4"/>
    <w:rsid w:val="006111DB"/>
    <w:rsid w:val="00657091"/>
    <w:rsid w:val="006D41E0"/>
    <w:rsid w:val="006F05EB"/>
    <w:rsid w:val="00721DF9"/>
    <w:rsid w:val="00733C6D"/>
    <w:rsid w:val="007511EE"/>
    <w:rsid w:val="00752FA2"/>
    <w:rsid w:val="00764DA9"/>
    <w:rsid w:val="00773582"/>
    <w:rsid w:val="007A5413"/>
    <w:rsid w:val="007A7798"/>
    <w:rsid w:val="007B0807"/>
    <w:rsid w:val="007C10B1"/>
    <w:rsid w:val="007D3FE0"/>
    <w:rsid w:val="007E462D"/>
    <w:rsid w:val="007F10DD"/>
    <w:rsid w:val="00837AE9"/>
    <w:rsid w:val="00860FAC"/>
    <w:rsid w:val="008C7A2B"/>
    <w:rsid w:val="008D5A3A"/>
    <w:rsid w:val="00911129"/>
    <w:rsid w:val="009259E2"/>
    <w:rsid w:val="00926F97"/>
    <w:rsid w:val="00932A5C"/>
    <w:rsid w:val="009C5FEE"/>
    <w:rsid w:val="00A13FDC"/>
    <w:rsid w:val="00A1741B"/>
    <w:rsid w:val="00AB4FC1"/>
    <w:rsid w:val="00B16F5A"/>
    <w:rsid w:val="00B70F2B"/>
    <w:rsid w:val="00B77A49"/>
    <w:rsid w:val="00C000FC"/>
    <w:rsid w:val="00C01CAF"/>
    <w:rsid w:val="00C300E0"/>
    <w:rsid w:val="00C47076"/>
    <w:rsid w:val="00C5031D"/>
    <w:rsid w:val="00C656B7"/>
    <w:rsid w:val="00C67F53"/>
    <w:rsid w:val="00CA7E7C"/>
    <w:rsid w:val="00D14A38"/>
    <w:rsid w:val="00D3271F"/>
    <w:rsid w:val="00D70105"/>
    <w:rsid w:val="00D937E1"/>
    <w:rsid w:val="00D951DC"/>
    <w:rsid w:val="00DD4EA3"/>
    <w:rsid w:val="00DE1BF9"/>
    <w:rsid w:val="00DF299A"/>
    <w:rsid w:val="00DF5090"/>
    <w:rsid w:val="00E379D2"/>
    <w:rsid w:val="00E44918"/>
    <w:rsid w:val="00E82EE9"/>
    <w:rsid w:val="00EA17A6"/>
    <w:rsid w:val="00EC774F"/>
    <w:rsid w:val="00EF12B0"/>
    <w:rsid w:val="00F115AA"/>
    <w:rsid w:val="00F308FE"/>
    <w:rsid w:val="00F6691B"/>
    <w:rsid w:val="00F847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EFA"/>
  <w15:chartTrackingRefBased/>
  <w15:docId w15:val="{DCD1AA2B-0D6E-4A7C-9982-13FF200A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292"/>
    <w:pPr>
      <w:spacing w:after="0" w:line="276" w:lineRule="auto"/>
      <w:contextualSpacing/>
    </w:pPr>
    <w:rPr>
      <w:rFonts w:ascii="Arial" w:eastAsia="Arial" w:hAnsi="Arial" w:cs="Arial"/>
      <w:lang w:val="es" w:eastAsia="es-CO"/>
    </w:rPr>
  </w:style>
  <w:style w:type="paragraph" w:styleId="Ttulo1">
    <w:name w:val="heading 1"/>
    <w:basedOn w:val="Normal"/>
    <w:next w:val="Normal"/>
    <w:link w:val="Ttulo1Car"/>
    <w:uiPriority w:val="9"/>
    <w:qFormat/>
    <w:rsid w:val="002D2292"/>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292"/>
    <w:rPr>
      <w:rFonts w:ascii="Arial" w:eastAsia="Arial" w:hAnsi="Arial" w:cs="Arial"/>
      <w:sz w:val="40"/>
      <w:szCs w:val="40"/>
      <w:lang w:val="es" w:eastAsia="es-CO"/>
    </w:rPr>
  </w:style>
  <w:style w:type="paragraph" w:styleId="Textodeglobo">
    <w:name w:val="Balloon Text"/>
    <w:basedOn w:val="Normal"/>
    <w:link w:val="TextodegloboCar"/>
    <w:uiPriority w:val="99"/>
    <w:semiHidden/>
    <w:unhideWhenUsed/>
    <w:rsid w:val="002D22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292"/>
    <w:rPr>
      <w:rFonts w:ascii="Segoe UI" w:eastAsia="Arial" w:hAnsi="Segoe UI" w:cs="Segoe UI"/>
      <w:sz w:val="18"/>
      <w:szCs w:val="18"/>
      <w:lang w:val="es" w:eastAsia="es-CO"/>
    </w:rPr>
  </w:style>
  <w:style w:type="paragraph" w:styleId="Encabezado">
    <w:name w:val="header"/>
    <w:basedOn w:val="Normal"/>
    <w:link w:val="EncabezadoCar"/>
    <w:uiPriority w:val="99"/>
    <w:unhideWhenUsed/>
    <w:rsid w:val="007F1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10DD"/>
    <w:rPr>
      <w:rFonts w:ascii="Arial" w:eastAsia="Arial" w:hAnsi="Arial" w:cs="Arial"/>
      <w:lang w:val="es" w:eastAsia="es-CO"/>
    </w:rPr>
  </w:style>
  <w:style w:type="paragraph" w:styleId="Piedepgina">
    <w:name w:val="footer"/>
    <w:basedOn w:val="Normal"/>
    <w:link w:val="PiedepginaCar"/>
    <w:unhideWhenUsed/>
    <w:rsid w:val="007F10DD"/>
    <w:pPr>
      <w:tabs>
        <w:tab w:val="center" w:pos="4419"/>
        <w:tab w:val="right" w:pos="8838"/>
      </w:tabs>
      <w:spacing w:line="240" w:lineRule="auto"/>
    </w:pPr>
  </w:style>
  <w:style w:type="character" w:customStyle="1" w:styleId="PiedepginaCar">
    <w:name w:val="Pie de página Car"/>
    <w:basedOn w:val="Fuentedeprrafopredeter"/>
    <w:link w:val="Piedepgina"/>
    <w:rsid w:val="007F10DD"/>
    <w:rPr>
      <w:rFonts w:ascii="Arial" w:eastAsia="Arial" w:hAnsi="Arial" w:cs="Arial"/>
      <w:lang w:val="es" w:eastAsia="es-CO"/>
    </w:rPr>
  </w:style>
  <w:style w:type="character" w:styleId="Hipervnculo">
    <w:name w:val="Hyperlink"/>
    <w:unhideWhenUsed/>
    <w:rsid w:val="007F10DD"/>
    <w:rPr>
      <w:color w:val="0000FF"/>
      <w:u w:val="single"/>
    </w:rPr>
  </w:style>
  <w:style w:type="paragraph" w:customStyle="1" w:styleId="NormalCaro">
    <w:name w:val="Normal Caro"/>
    <w:basedOn w:val="Normal"/>
    <w:link w:val="NormalCaroCar"/>
    <w:qFormat/>
    <w:rsid w:val="00CA7E7C"/>
    <w:pPr>
      <w:spacing w:before="28" w:line="285" w:lineRule="atLeast"/>
      <w:contextualSpacing w:val="0"/>
      <w:jc w:val="both"/>
      <w:textAlignment w:val="center"/>
    </w:pPr>
    <w:rPr>
      <w:rFonts w:eastAsia="Calibri"/>
      <w:sz w:val="24"/>
      <w:szCs w:val="24"/>
      <w:lang w:val="es-ES_tradnl" w:eastAsia="en-US"/>
    </w:rPr>
  </w:style>
  <w:style w:type="character" w:customStyle="1" w:styleId="NormalCaroCar">
    <w:name w:val="Normal Caro Car"/>
    <w:link w:val="NormalCaro"/>
    <w:rsid w:val="00CA7E7C"/>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CA7E7C"/>
    <w:pPr>
      <w:spacing w:line="240" w:lineRule="auto"/>
      <w:contextualSpacing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A7E7C"/>
    <w:rPr>
      <w:rFonts w:ascii="Times New Roman" w:eastAsia="Times New Roman" w:hAnsi="Times New Roman" w:cs="Times New Roman"/>
      <w:sz w:val="20"/>
      <w:szCs w:val="20"/>
      <w:lang w:val="es-ES" w:eastAsia="es-ES"/>
    </w:rPr>
  </w:style>
  <w:style w:type="paragraph" w:styleId="Prrafodelista">
    <w:name w:val="List Paragraph"/>
    <w:aliases w:val="Ha,Resume Title"/>
    <w:basedOn w:val="Normal"/>
    <w:link w:val="PrrafodelistaCar"/>
    <w:uiPriority w:val="34"/>
    <w:qFormat/>
    <w:rsid w:val="00D70105"/>
    <w:pPr>
      <w:spacing w:after="160" w:line="259" w:lineRule="auto"/>
      <w:ind w:left="720"/>
    </w:pPr>
    <w:rPr>
      <w:rFonts w:asciiTheme="minorHAnsi" w:eastAsiaTheme="minorHAnsi" w:hAnsiTheme="minorHAnsi" w:cstheme="minorBidi"/>
      <w:lang w:val="es-CO" w:eastAsia="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D70105"/>
    <w:pPr>
      <w:spacing w:line="240" w:lineRule="auto"/>
      <w:contextualSpacing w:val="0"/>
    </w:pPr>
    <w:rPr>
      <w:rFonts w:asciiTheme="minorHAnsi" w:eastAsiaTheme="minorHAnsi" w:hAnsiTheme="minorHAnsi" w:cstheme="minorBidi"/>
      <w:sz w:val="24"/>
      <w:szCs w:val="24"/>
      <w:lang w:val="es-ES_tradnl" w:eastAsia="en-US"/>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D70105"/>
    <w:rPr>
      <w:sz w:val="24"/>
      <w:szCs w:val="24"/>
      <w:lang w:val="es-ES_tradnl"/>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D70105"/>
    <w:rPr>
      <w:vertAlign w:val="superscript"/>
    </w:rPr>
  </w:style>
  <w:style w:type="table" w:styleId="Tablaconcuadrcula">
    <w:name w:val="Table Grid"/>
    <w:basedOn w:val="Tablanormal"/>
    <w:uiPriority w:val="39"/>
    <w:rsid w:val="00D7010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C000FC"/>
  </w:style>
  <w:style w:type="paragraph" w:styleId="Ttulo">
    <w:name w:val="Title"/>
    <w:basedOn w:val="Normal"/>
    <w:next w:val="Normal"/>
    <w:link w:val="TtuloCar"/>
    <w:qFormat/>
    <w:rsid w:val="008C7A2B"/>
    <w:pPr>
      <w:spacing w:line="240" w:lineRule="auto"/>
    </w:pPr>
    <w:rPr>
      <w:rFonts w:asciiTheme="majorHAnsi" w:eastAsiaTheme="majorEastAsia" w:hAnsiTheme="majorHAnsi" w:cstheme="majorBidi"/>
      <w:spacing w:val="-10"/>
      <w:kern w:val="28"/>
      <w:sz w:val="56"/>
      <w:szCs w:val="56"/>
      <w:lang w:val="es-CO" w:eastAsia="en-US"/>
    </w:rPr>
  </w:style>
  <w:style w:type="character" w:customStyle="1" w:styleId="TtuloCar">
    <w:name w:val="Título Car"/>
    <w:basedOn w:val="Fuentedeprrafopredeter"/>
    <w:link w:val="Ttulo"/>
    <w:rsid w:val="008C7A2B"/>
    <w:rPr>
      <w:rFonts w:asciiTheme="majorHAnsi" w:eastAsiaTheme="majorEastAsia" w:hAnsiTheme="majorHAnsi" w:cstheme="majorBidi"/>
      <w:spacing w:val="-10"/>
      <w:kern w:val="28"/>
      <w:sz w:val="56"/>
      <w:szCs w:val="56"/>
    </w:rPr>
  </w:style>
  <w:style w:type="paragraph" w:styleId="Bibliografa">
    <w:name w:val="Bibliography"/>
    <w:basedOn w:val="Normal"/>
    <w:next w:val="Normal"/>
    <w:uiPriority w:val="37"/>
    <w:unhideWhenUsed/>
    <w:rsid w:val="00B70F2B"/>
  </w:style>
  <w:style w:type="paragraph" w:styleId="Sinespaciado">
    <w:name w:val="No Spacing"/>
    <w:uiPriority w:val="1"/>
    <w:qFormat/>
    <w:rsid w:val="00096119"/>
    <w:pPr>
      <w:spacing w:after="0" w:line="240" w:lineRule="auto"/>
    </w:pPr>
  </w:style>
  <w:style w:type="paragraph" w:styleId="NormalWeb">
    <w:name w:val="Normal (Web)"/>
    <w:basedOn w:val="Normal"/>
    <w:uiPriority w:val="99"/>
    <w:semiHidden/>
    <w:unhideWhenUsed/>
    <w:rsid w:val="001C7EF0"/>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5407">
      <w:bodyDiv w:val="1"/>
      <w:marLeft w:val="0"/>
      <w:marRight w:val="0"/>
      <w:marTop w:val="0"/>
      <w:marBottom w:val="0"/>
      <w:divBdr>
        <w:top w:val="none" w:sz="0" w:space="0" w:color="auto"/>
        <w:left w:val="none" w:sz="0" w:space="0" w:color="auto"/>
        <w:bottom w:val="none" w:sz="0" w:space="0" w:color="auto"/>
        <w:right w:val="none" w:sz="0" w:space="0" w:color="auto"/>
      </w:divBdr>
    </w:div>
    <w:div w:id="211426402">
      <w:bodyDiv w:val="1"/>
      <w:marLeft w:val="0"/>
      <w:marRight w:val="0"/>
      <w:marTop w:val="0"/>
      <w:marBottom w:val="0"/>
      <w:divBdr>
        <w:top w:val="none" w:sz="0" w:space="0" w:color="auto"/>
        <w:left w:val="none" w:sz="0" w:space="0" w:color="auto"/>
        <w:bottom w:val="none" w:sz="0" w:space="0" w:color="auto"/>
        <w:right w:val="none" w:sz="0" w:space="0" w:color="auto"/>
      </w:divBdr>
    </w:div>
    <w:div w:id="302924864">
      <w:bodyDiv w:val="1"/>
      <w:marLeft w:val="0"/>
      <w:marRight w:val="0"/>
      <w:marTop w:val="0"/>
      <w:marBottom w:val="0"/>
      <w:divBdr>
        <w:top w:val="none" w:sz="0" w:space="0" w:color="auto"/>
        <w:left w:val="none" w:sz="0" w:space="0" w:color="auto"/>
        <w:bottom w:val="none" w:sz="0" w:space="0" w:color="auto"/>
        <w:right w:val="none" w:sz="0" w:space="0" w:color="auto"/>
      </w:divBdr>
    </w:div>
    <w:div w:id="516307525">
      <w:bodyDiv w:val="1"/>
      <w:marLeft w:val="0"/>
      <w:marRight w:val="0"/>
      <w:marTop w:val="0"/>
      <w:marBottom w:val="0"/>
      <w:divBdr>
        <w:top w:val="none" w:sz="0" w:space="0" w:color="auto"/>
        <w:left w:val="none" w:sz="0" w:space="0" w:color="auto"/>
        <w:bottom w:val="none" w:sz="0" w:space="0" w:color="auto"/>
        <w:right w:val="none" w:sz="0" w:space="0" w:color="auto"/>
      </w:divBdr>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683021714">
      <w:bodyDiv w:val="1"/>
      <w:marLeft w:val="0"/>
      <w:marRight w:val="0"/>
      <w:marTop w:val="0"/>
      <w:marBottom w:val="0"/>
      <w:divBdr>
        <w:top w:val="none" w:sz="0" w:space="0" w:color="auto"/>
        <w:left w:val="none" w:sz="0" w:space="0" w:color="auto"/>
        <w:bottom w:val="none" w:sz="0" w:space="0" w:color="auto"/>
        <w:right w:val="none" w:sz="0" w:space="0" w:color="auto"/>
      </w:divBdr>
    </w:div>
    <w:div w:id="698969388">
      <w:bodyDiv w:val="1"/>
      <w:marLeft w:val="0"/>
      <w:marRight w:val="0"/>
      <w:marTop w:val="0"/>
      <w:marBottom w:val="0"/>
      <w:divBdr>
        <w:top w:val="none" w:sz="0" w:space="0" w:color="auto"/>
        <w:left w:val="none" w:sz="0" w:space="0" w:color="auto"/>
        <w:bottom w:val="none" w:sz="0" w:space="0" w:color="auto"/>
        <w:right w:val="none" w:sz="0" w:space="0" w:color="auto"/>
      </w:divBdr>
    </w:div>
    <w:div w:id="813063001">
      <w:bodyDiv w:val="1"/>
      <w:marLeft w:val="0"/>
      <w:marRight w:val="0"/>
      <w:marTop w:val="0"/>
      <w:marBottom w:val="0"/>
      <w:divBdr>
        <w:top w:val="none" w:sz="0" w:space="0" w:color="auto"/>
        <w:left w:val="none" w:sz="0" w:space="0" w:color="auto"/>
        <w:bottom w:val="none" w:sz="0" w:space="0" w:color="auto"/>
        <w:right w:val="none" w:sz="0" w:space="0" w:color="auto"/>
      </w:divBdr>
    </w:div>
    <w:div w:id="844636386">
      <w:bodyDiv w:val="1"/>
      <w:marLeft w:val="0"/>
      <w:marRight w:val="0"/>
      <w:marTop w:val="0"/>
      <w:marBottom w:val="0"/>
      <w:divBdr>
        <w:top w:val="none" w:sz="0" w:space="0" w:color="auto"/>
        <w:left w:val="none" w:sz="0" w:space="0" w:color="auto"/>
        <w:bottom w:val="none" w:sz="0" w:space="0" w:color="auto"/>
        <w:right w:val="none" w:sz="0" w:space="0" w:color="auto"/>
      </w:divBdr>
    </w:div>
    <w:div w:id="935477499">
      <w:bodyDiv w:val="1"/>
      <w:marLeft w:val="0"/>
      <w:marRight w:val="0"/>
      <w:marTop w:val="0"/>
      <w:marBottom w:val="0"/>
      <w:divBdr>
        <w:top w:val="none" w:sz="0" w:space="0" w:color="auto"/>
        <w:left w:val="none" w:sz="0" w:space="0" w:color="auto"/>
        <w:bottom w:val="none" w:sz="0" w:space="0" w:color="auto"/>
        <w:right w:val="none" w:sz="0" w:space="0" w:color="auto"/>
      </w:divBdr>
    </w:div>
    <w:div w:id="951015947">
      <w:bodyDiv w:val="1"/>
      <w:marLeft w:val="0"/>
      <w:marRight w:val="0"/>
      <w:marTop w:val="0"/>
      <w:marBottom w:val="0"/>
      <w:divBdr>
        <w:top w:val="none" w:sz="0" w:space="0" w:color="auto"/>
        <w:left w:val="none" w:sz="0" w:space="0" w:color="auto"/>
        <w:bottom w:val="none" w:sz="0" w:space="0" w:color="auto"/>
        <w:right w:val="none" w:sz="0" w:space="0" w:color="auto"/>
      </w:divBdr>
    </w:div>
    <w:div w:id="956910955">
      <w:bodyDiv w:val="1"/>
      <w:marLeft w:val="0"/>
      <w:marRight w:val="0"/>
      <w:marTop w:val="0"/>
      <w:marBottom w:val="0"/>
      <w:divBdr>
        <w:top w:val="none" w:sz="0" w:space="0" w:color="auto"/>
        <w:left w:val="none" w:sz="0" w:space="0" w:color="auto"/>
        <w:bottom w:val="none" w:sz="0" w:space="0" w:color="auto"/>
        <w:right w:val="none" w:sz="0" w:space="0" w:color="auto"/>
      </w:divBdr>
    </w:div>
    <w:div w:id="996151764">
      <w:bodyDiv w:val="1"/>
      <w:marLeft w:val="0"/>
      <w:marRight w:val="0"/>
      <w:marTop w:val="0"/>
      <w:marBottom w:val="0"/>
      <w:divBdr>
        <w:top w:val="none" w:sz="0" w:space="0" w:color="auto"/>
        <w:left w:val="none" w:sz="0" w:space="0" w:color="auto"/>
        <w:bottom w:val="none" w:sz="0" w:space="0" w:color="auto"/>
        <w:right w:val="none" w:sz="0" w:space="0" w:color="auto"/>
      </w:divBdr>
    </w:div>
    <w:div w:id="1046026658">
      <w:bodyDiv w:val="1"/>
      <w:marLeft w:val="0"/>
      <w:marRight w:val="0"/>
      <w:marTop w:val="0"/>
      <w:marBottom w:val="0"/>
      <w:divBdr>
        <w:top w:val="none" w:sz="0" w:space="0" w:color="auto"/>
        <w:left w:val="none" w:sz="0" w:space="0" w:color="auto"/>
        <w:bottom w:val="none" w:sz="0" w:space="0" w:color="auto"/>
        <w:right w:val="none" w:sz="0" w:space="0" w:color="auto"/>
      </w:divBdr>
    </w:div>
    <w:div w:id="1330016237">
      <w:bodyDiv w:val="1"/>
      <w:marLeft w:val="0"/>
      <w:marRight w:val="0"/>
      <w:marTop w:val="0"/>
      <w:marBottom w:val="0"/>
      <w:divBdr>
        <w:top w:val="none" w:sz="0" w:space="0" w:color="auto"/>
        <w:left w:val="none" w:sz="0" w:space="0" w:color="auto"/>
        <w:bottom w:val="none" w:sz="0" w:space="0" w:color="auto"/>
        <w:right w:val="none" w:sz="0" w:space="0" w:color="auto"/>
      </w:divBdr>
    </w:div>
    <w:div w:id="1461532778">
      <w:bodyDiv w:val="1"/>
      <w:marLeft w:val="0"/>
      <w:marRight w:val="0"/>
      <w:marTop w:val="0"/>
      <w:marBottom w:val="0"/>
      <w:divBdr>
        <w:top w:val="none" w:sz="0" w:space="0" w:color="auto"/>
        <w:left w:val="none" w:sz="0" w:space="0" w:color="auto"/>
        <w:bottom w:val="none" w:sz="0" w:space="0" w:color="auto"/>
        <w:right w:val="none" w:sz="0" w:space="0" w:color="auto"/>
      </w:divBdr>
    </w:div>
    <w:div w:id="1727678841">
      <w:bodyDiv w:val="1"/>
      <w:marLeft w:val="0"/>
      <w:marRight w:val="0"/>
      <w:marTop w:val="0"/>
      <w:marBottom w:val="0"/>
      <w:divBdr>
        <w:top w:val="none" w:sz="0" w:space="0" w:color="auto"/>
        <w:left w:val="none" w:sz="0" w:space="0" w:color="auto"/>
        <w:bottom w:val="none" w:sz="0" w:space="0" w:color="auto"/>
        <w:right w:val="none" w:sz="0" w:space="0" w:color="auto"/>
      </w:divBdr>
    </w:div>
    <w:div w:id="1950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Ins17</b:Tag>
    <b:SourceType>Report</b:SourceType>
    <b:Guid>{39B0BBA4-DF40-4FC8-97E0-AEF46D3CF496}</b:Guid>
    <b:Title>Resultados Monitoreo de la Deforestacion 2017</b:Title>
    <b:Year>2017</b:Year>
    <b:City>Bogota</b:City>
    <b:Author>
      <b:Author>
        <b:Corporate>Instituto de Hidrologia, Meteorologia y Estudios Ambientales</b:Corporate>
      </b:Author>
    </b:Author>
    <b:RefOrder>5</b:RefOrder>
  </b:Source>
  <b:Source>
    <b:Tag>Gru18</b:Tag>
    <b:SourceType>Report</b:SourceType>
    <b:Guid>{E49D2274-5B57-4F1C-AF0D-3AC68993C13A}</b:Guid>
    <b:Title>Forensis 2018 Datos para la vida </b:Title>
    <b:Year>2018</b:Year>
    <b:Author>
      <b:Author>
        <b:Corporate>Grupo Centro de Referencia Nacional sobre Violencia</b:Corporate>
      </b:Author>
    </b:Author>
    <b:Publisher> Instituto Nacional de Medicina Legal y Ciencias Forenses</b:Publisher>
    <b:City>Bogotá</b:City>
    <b:RefOrder>2</b:RefOrder>
  </b:Source>
  <b:Source>
    <b:Tag>PRE02</b:Tag>
    <b:SourceType>Case</b:SourceType>
    <b:Guid>{7EAC07D1-6572-4A6D-9299-7BEEFAFF9AF6}</b:Guid>
    <b:Title>PRESCRIPCION DE LA ACCION PENAL-Alcance</b:Title>
    <b:Year>2002</b:Year>
    <b:Month>mayo </b:Month>
    <b:Day>28</b:Day>
    <b:CaseNumber>Sentencia C-416/02</b:CaseNumber>
    <b:Court>Corte Constitucional </b:Court>
    <b:RefOrder>1</b:RefOrder>
  </b:Source>
  <b:Source>
    <b:Tag>Com13</b:Tag>
    <b:SourceType>Report</b:SourceType>
    <b:Guid>{3633B171-9E5E-4345-98A4-E375C2BF914D}</b:Guid>
    <b:Title>Observación general Nº 14 (2013) sobre el derecho del niño a que su interés superior  sea una consideración primordial  (artículo 3, párrafo 1)</b:Title>
    <b:Year>2013</b:Year>
    <b:Author>
      <b:Author>
        <b:Corporate>Comité de los Derechos del Niño </b:Corporate>
      </b:Author>
    </b:Author>
    <b:RefOrder>3</b:RefOrder>
  </b:Source>
  <b:Source>
    <b:Tag>Ger07</b:Tag>
    <b:SourceType>JournalArticle</b:SourceType>
    <b:Guid>{AFD698C8-AF81-4FB7-8C79-0304D2CBF3DD}</b:Guid>
    <b:Title>La Imprescriptibilidad de la Acción Penal en Procesos por Violaciones a los Derechos Humanos.</b:Title>
    <b:Year>2007</b:Year>
    <b:Author>
      <b:Author>
        <b:NameList>
          <b:Person>
            <b:Last>Rojas</b:Last>
            <b:First>Gerardo</b:First>
            <b:Middle>Bernales</b:Middle>
          </b:Person>
        </b:NameList>
      </b:Author>
    </b:Author>
    <b:JournalName>Revista Ius et Praxis</b:JournalName>
    <b:Pages>245-265</b:Pages>
    <b:RefOrder>4</b:RefOrder>
  </b:Source>
</b:Sources>
</file>

<file path=customXml/itemProps1.xml><?xml version="1.0" encoding="utf-8"?>
<ds:datastoreItem xmlns:ds="http://schemas.openxmlformats.org/officeDocument/2006/customXml" ds:itemID="{E678D251-4C8D-4915-8E93-6FDF710A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2731</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PRACTICANTES PO. OFICINA 544B</dc:creator>
  <cp:keywords/>
  <dc:description/>
  <cp:lastModifiedBy>PRACTICANTES PO. OFICINA 544B</cp:lastModifiedBy>
  <cp:revision>2</cp:revision>
  <cp:lastPrinted>2019-08-20T14:31:00Z</cp:lastPrinted>
  <dcterms:created xsi:type="dcterms:W3CDTF">2019-08-20T19:55:00Z</dcterms:created>
  <dcterms:modified xsi:type="dcterms:W3CDTF">2019-08-20T19:55:00Z</dcterms:modified>
</cp:coreProperties>
</file>