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3D" w:rsidRPr="00DA74BA" w:rsidRDefault="007F783D" w:rsidP="007F783D">
      <w:pPr>
        <w:pStyle w:val="CM6"/>
        <w:spacing w:after="220" w:line="266" w:lineRule="atLeast"/>
        <w:jc w:val="center"/>
        <w:rPr>
          <w:rFonts w:ascii="Arial" w:hAnsi="Arial" w:cs="Arial"/>
          <w:b/>
          <w:bCs/>
          <w:color w:val="000000"/>
          <w:sz w:val="22"/>
          <w:szCs w:val="22"/>
          <w:shd w:val="clear" w:color="auto" w:fill="FFFFFF"/>
        </w:rPr>
      </w:pPr>
      <w:r w:rsidRPr="00DA74BA">
        <w:rPr>
          <w:rFonts w:ascii="Arial" w:hAnsi="Arial" w:cs="Arial"/>
          <w:b/>
          <w:bCs/>
          <w:color w:val="000000"/>
          <w:sz w:val="22"/>
          <w:szCs w:val="22"/>
          <w:shd w:val="clear" w:color="auto" w:fill="FFFFFF"/>
        </w:rPr>
        <w:t xml:space="preserve">PROYECTO DE LEY NO. _____ DE 2019 CÁMARA </w:t>
      </w:r>
    </w:p>
    <w:p w:rsidR="00773B1E" w:rsidRPr="00DA74BA" w:rsidRDefault="00182B84" w:rsidP="00773B1E">
      <w:pPr>
        <w:suppressAutoHyphens/>
        <w:adjustRightInd w:val="0"/>
        <w:spacing w:before="57" w:after="57" w:line="288" w:lineRule="auto"/>
        <w:jc w:val="center"/>
        <w:textAlignment w:val="center"/>
        <w:rPr>
          <w:rFonts w:ascii="Arial" w:eastAsia="Times New Roman" w:hAnsi="Arial" w:cs="Arial"/>
          <w:b/>
          <w:i/>
          <w:lang w:eastAsia="es-CO"/>
        </w:rPr>
      </w:pPr>
      <w:r w:rsidRPr="00DA74BA">
        <w:rPr>
          <w:rFonts w:ascii="Arial" w:eastAsia="Calibri" w:hAnsi="Arial" w:cs="Arial"/>
          <w:b/>
          <w:i/>
          <w:iCs/>
          <w:color w:val="000000"/>
          <w:lang w:val="es-ES_tradnl"/>
        </w:rPr>
        <w:t xml:space="preserve"> “</w:t>
      </w:r>
      <w:r w:rsidR="008373B7">
        <w:rPr>
          <w:rFonts w:ascii="Arial" w:hAnsi="Arial" w:cs="Arial"/>
          <w:b/>
        </w:rPr>
        <w:t>POR LA CUAL SE AMPLIA</w:t>
      </w:r>
      <w:r w:rsidRPr="00DA74BA">
        <w:rPr>
          <w:rFonts w:ascii="Arial" w:hAnsi="Arial" w:cs="Arial"/>
          <w:b/>
        </w:rPr>
        <w:t xml:space="preserve"> LA AUTORIZA A LA ASAMBLEA DEPARTAMENTAL DEL META PARA ORDENAR LA EMISIÓN DE LA ESTAMPILLA "UNIVERSIDAD DE LOS LLANOS" Y SE DICTAN OTRAS DISPOSICIONES</w:t>
      </w:r>
      <w:r w:rsidRPr="00DA74BA">
        <w:rPr>
          <w:rFonts w:ascii="Arial" w:eastAsia="Calibri" w:hAnsi="Arial" w:cs="Arial"/>
          <w:b/>
          <w:i/>
          <w:iCs/>
          <w:color w:val="000000"/>
          <w:lang w:val="es-ES_tradnl"/>
        </w:rPr>
        <w:t>”.</w:t>
      </w:r>
    </w:p>
    <w:p w:rsidR="00773B1E" w:rsidRPr="00DA74BA" w:rsidRDefault="00773B1E" w:rsidP="00773B1E">
      <w:pPr>
        <w:adjustRightInd w:val="0"/>
        <w:spacing w:before="100" w:beforeAutospacing="1" w:after="100" w:afterAutospacing="1" w:line="288" w:lineRule="auto"/>
        <w:jc w:val="center"/>
        <w:textAlignment w:val="center"/>
        <w:rPr>
          <w:rFonts w:ascii="Arial" w:eastAsia="Times New Roman" w:hAnsi="Arial" w:cs="Arial"/>
          <w:lang w:eastAsia="es-CO"/>
        </w:rPr>
      </w:pPr>
      <w:r w:rsidRPr="00DA74BA">
        <w:rPr>
          <w:rFonts w:ascii="Arial" w:eastAsia="Calibri" w:hAnsi="Arial" w:cs="Arial"/>
          <w:color w:val="000000"/>
          <w:spacing w:val="-2"/>
          <w:lang w:val="es-ES_tradnl"/>
        </w:rPr>
        <w:t>El Congreso de Colombia</w:t>
      </w:r>
    </w:p>
    <w:p w:rsidR="00773B1E" w:rsidRPr="00DA74BA" w:rsidRDefault="00773B1E" w:rsidP="00773B1E">
      <w:pPr>
        <w:adjustRightInd w:val="0"/>
        <w:spacing w:before="100" w:beforeAutospacing="1" w:after="100" w:afterAutospacing="1" w:line="288" w:lineRule="auto"/>
        <w:jc w:val="center"/>
        <w:textAlignment w:val="center"/>
        <w:rPr>
          <w:rFonts w:ascii="Arial" w:eastAsia="Times New Roman" w:hAnsi="Arial" w:cs="Arial"/>
          <w:lang w:eastAsia="es-CO"/>
        </w:rPr>
      </w:pPr>
      <w:r w:rsidRPr="00DA74BA">
        <w:rPr>
          <w:rFonts w:ascii="Arial" w:eastAsia="Calibri" w:hAnsi="Arial" w:cs="Arial"/>
          <w:color w:val="000000"/>
          <w:spacing w:val="-2"/>
          <w:lang w:val="es-ES_tradnl"/>
        </w:rPr>
        <w:t>DECRETA:</w:t>
      </w:r>
    </w:p>
    <w:p w:rsidR="00773B1E" w:rsidRPr="00DA74BA" w:rsidRDefault="00773B1E" w:rsidP="00830D97">
      <w:pPr>
        <w:suppressAutoHyphens/>
        <w:adjustRightInd w:val="0"/>
        <w:spacing w:before="57" w:after="28"/>
        <w:ind w:right="49" w:firstLine="708"/>
        <w:jc w:val="both"/>
        <w:textAlignment w:val="center"/>
        <w:rPr>
          <w:rFonts w:ascii="Arial" w:hAnsi="Arial" w:cs="Arial"/>
        </w:rPr>
      </w:pPr>
      <w:r w:rsidRPr="00DA74BA">
        <w:rPr>
          <w:rFonts w:ascii="Arial" w:eastAsia="Calibri" w:hAnsi="Arial" w:cs="Arial"/>
          <w:b/>
          <w:bCs/>
          <w:color w:val="000000"/>
          <w:lang w:val="es-ES_tradnl"/>
        </w:rPr>
        <w:t xml:space="preserve">Artículo </w:t>
      </w:r>
      <w:r w:rsidRPr="00DA74BA">
        <w:rPr>
          <w:rFonts w:ascii="Arial" w:eastAsia="Calibri" w:hAnsi="Arial" w:cs="Arial"/>
          <w:b/>
          <w:bCs/>
          <w:caps/>
          <w:color w:val="000000"/>
          <w:lang w:val="es-ES_tradnl"/>
        </w:rPr>
        <w:t>1</w:t>
      </w:r>
      <w:r w:rsidRPr="00DA74BA">
        <w:rPr>
          <w:rFonts w:ascii="Arial" w:eastAsia="Calibri" w:hAnsi="Arial" w:cs="Arial"/>
          <w:caps/>
          <w:color w:val="000000"/>
          <w:rtl/>
          <w:lang w:val="es-ES_tradnl" w:bidi="ar-YE"/>
        </w:rPr>
        <w:t>°</w:t>
      </w:r>
      <w:r w:rsidRPr="00DA74BA">
        <w:rPr>
          <w:rFonts w:ascii="Arial" w:eastAsia="Calibri" w:hAnsi="Arial" w:cs="Arial"/>
          <w:b/>
          <w:bCs/>
          <w:caps/>
          <w:color w:val="000000"/>
          <w:lang w:val="es-ES_tradnl"/>
        </w:rPr>
        <w:t>.</w:t>
      </w:r>
      <w:r w:rsidRPr="00DA74BA">
        <w:rPr>
          <w:rFonts w:ascii="Arial" w:eastAsia="Calibri" w:hAnsi="Arial" w:cs="Arial"/>
          <w:caps/>
          <w:color w:val="000000"/>
          <w:lang w:val="es-ES_tradnl"/>
        </w:rPr>
        <w:t xml:space="preserve"> </w:t>
      </w:r>
      <w:r w:rsidRPr="00DA74BA">
        <w:rPr>
          <w:rFonts w:ascii="Arial" w:eastAsia="Calibri" w:hAnsi="Arial" w:cs="Arial"/>
          <w:b/>
          <w:bCs/>
          <w:i/>
          <w:iCs/>
          <w:lang w:val="es-ES_tradnl"/>
        </w:rPr>
        <w:t>Objeto</w:t>
      </w:r>
      <w:r w:rsidRPr="00DA74BA">
        <w:rPr>
          <w:rFonts w:ascii="Arial" w:eastAsia="Calibri" w:hAnsi="Arial" w:cs="Arial"/>
          <w:caps/>
          <w:color w:val="000000"/>
          <w:lang w:val="es-ES_tradnl"/>
        </w:rPr>
        <w:t>.</w:t>
      </w:r>
      <w:r w:rsidR="00182B84" w:rsidRPr="00DA74BA">
        <w:rPr>
          <w:rFonts w:ascii="Arial" w:eastAsia="Calibri" w:hAnsi="Arial" w:cs="Arial"/>
          <w:caps/>
          <w:color w:val="000000"/>
          <w:lang w:val="es-ES_tradnl"/>
        </w:rPr>
        <w:t xml:space="preserve"> </w:t>
      </w:r>
      <w:r w:rsidR="008373B7">
        <w:rPr>
          <w:rFonts w:ascii="Arial" w:hAnsi="Arial" w:cs="Arial"/>
        </w:rPr>
        <w:t xml:space="preserve"> Ampliar</w:t>
      </w:r>
      <w:r w:rsidR="00182B84" w:rsidRPr="00DA74BA">
        <w:rPr>
          <w:rFonts w:ascii="Arial" w:hAnsi="Arial" w:cs="Arial"/>
        </w:rPr>
        <w:t xml:space="preserve"> la autorización a la Asamblea Departamental del Meta y a los Concejos Municipales de cada una de sus entidades territoriales para que ordenen la emisión de la estampilla "Universidad de los Llanos" creada mediante la Ley 1178 de 2007.</w:t>
      </w:r>
    </w:p>
    <w:p w:rsidR="00182B84" w:rsidRPr="00DA74BA" w:rsidRDefault="00182B84" w:rsidP="0099219C">
      <w:pPr>
        <w:suppressAutoHyphens/>
        <w:adjustRightInd w:val="0"/>
        <w:spacing w:before="57" w:after="28"/>
        <w:ind w:right="49" w:firstLine="283"/>
        <w:jc w:val="both"/>
        <w:textAlignment w:val="center"/>
        <w:rPr>
          <w:rFonts w:ascii="Arial" w:eastAsia="Times New Roman" w:hAnsi="Arial" w:cs="Arial"/>
          <w:lang w:eastAsia="es-CO"/>
        </w:rPr>
      </w:pPr>
    </w:p>
    <w:p w:rsidR="00182B84" w:rsidRPr="00DA74BA" w:rsidRDefault="0099219C" w:rsidP="00182B84">
      <w:pPr>
        <w:suppressAutoHyphens/>
        <w:adjustRightInd w:val="0"/>
        <w:spacing w:before="57" w:after="57"/>
        <w:jc w:val="both"/>
        <w:textAlignment w:val="center"/>
        <w:rPr>
          <w:rFonts w:ascii="Arial" w:hAnsi="Arial" w:cs="Arial"/>
        </w:rPr>
      </w:pPr>
      <w:r w:rsidRPr="00DA74BA">
        <w:rPr>
          <w:rFonts w:ascii="Arial" w:eastAsia="Calibri" w:hAnsi="Arial" w:cs="Arial"/>
          <w:b/>
          <w:bCs/>
          <w:color w:val="000000"/>
          <w:lang w:val="es-ES_tradnl"/>
        </w:rPr>
        <w:t xml:space="preserve">   </w:t>
      </w:r>
      <w:r w:rsidR="00830D97" w:rsidRPr="00DA74BA">
        <w:rPr>
          <w:rFonts w:ascii="Arial" w:eastAsia="Calibri" w:hAnsi="Arial" w:cs="Arial"/>
          <w:b/>
          <w:bCs/>
          <w:color w:val="000000"/>
          <w:lang w:val="es-ES_tradnl"/>
        </w:rPr>
        <w:tab/>
      </w:r>
      <w:r w:rsidR="00773B1E" w:rsidRPr="00DA74BA">
        <w:rPr>
          <w:rFonts w:ascii="Arial" w:eastAsia="Calibri" w:hAnsi="Arial" w:cs="Arial"/>
          <w:b/>
          <w:bCs/>
          <w:color w:val="000000"/>
          <w:lang w:val="es-ES_tradnl"/>
        </w:rPr>
        <w:t xml:space="preserve">Artículo </w:t>
      </w:r>
      <w:r w:rsidR="00773B1E" w:rsidRPr="00DA74BA">
        <w:rPr>
          <w:rFonts w:ascii="Arial" w:eastAsia="Calibri" w:hAnsi="Arial" w:cs="Arial"/>
          <w:b/>
          <w:bCs/>
          <w:caps/>
          <w:color w:val="000000"/>
          <w:lang w:val="es-ES_tradnl"/>
        </w:rPr>
        <w:t xml:space="preserve">2°. </w:t>
      </w:r>
      <w:r w:rsidR="00182B84" w:rsidRPr="00DA74BA">
        <w:rPr>
          <w:rFonts w:ascii="Arial" w:eastAsia="Calibri" w:hAnsi="Arial" w:cs="Arial"/>
          <w:b/>
          <w:bCs/>
          <w:iCs/>
          <w:color w:val="000000"/>
          <w:lang w:val="es-ES_tradnl"/>
        </w:rPr>
        <w:t xml:space="preserve">Monto. </w:t>
      </w:r>
      <w:r w:rsidR="00182B84" w:rsidRPr="00DA74BA">
        <w:rPr>
          <w:rFonts w:ascii="Arial" w:hAnsi="Arial" w:cs="Arial"/>
        </w:rPr>
        <w:t>La Estampilla "Universidad de los Llanos", cuya emisión se autoriza será hasta por la suma de cien mil millones de pesos ($100.000.000.000.00) adicionales a los recaudados. El presente valor se establece a precios constantes a la entrada en vigencia de la presente ley.</w:t>
      </w:r>
    </w:p>
    <w:p w:rsidR="00182B84" w:rsidRPr="00DA74BA" w:rsidRDefault="00182B84" w:rsidP="00830D97">
      <w:pPr>
        <w:suppressAutoHyphens/>
        <w:adjustRightInd w:val="0"/>
        <w:spacing w:before="57" w:after="57"/>
        <w:jc w:val="both"/>
        <w:textAlignment w:val="center"/>
        <w:rPr>
          <w:rFonts w:ascii="Arial" w:hAnsi="Arial" w:cs="Arial"/>
        </w:rPr>
      </w:pPr>
    </w:p>
    <w:p w:rsidR="00830D97" w:rsidRPr="00DA74BA" w:rsidRDefault="00182B84" w:rsidP="00830D97">
      <w:pPr>
        <w:suppressAutoHyphens/>
        <w:adjustRightInd w:val="0"/>
        <w:spacing w:before="57" w:after="57"/>
        <w:ind w:firstLine="708"/>
        <w:jc w:val="both"/>
        <w:textAlignment w:val="center"/>
        <w:rPr>
          <w:rFonts w:ascii="Arial" w:hAnsi="Arial" w:cs="Arial"/>
        </w:rPr>
      </w:pPr>
      <w:r w:rsidRPr="00DA74BA">
        <w:rPr>
          <w:rFonts w:ascii="Arial" w:hAnsi="Arial" w:cs="Arial"/>
          <w:b/>
        </w:rPr>
        <w:t>Artículo 3°.</w:t>
      </w:r>
      <w:r w:rsidR="00830D97" w:rsidRPr="00DA74BA">
        <w:rPr>
          <w:rFonts w:ascii="Arial" w:hAnsi="Arial" w:cs="Arial"/>
          <w:b/>
        </w:rPr>
        <w:t xml:space="preserve"> Destinación.</w:t>
      </w:r>
      <w:r w:rsidRPr="00DA74BA">
        <w:rPr>
          <w:rFonts w:ascii="Arial" w:hAnsi="Arial" w:cs="Arial"/>
        </w:rPr>
        <w:t xml:space="preserve"> El producido de los recursos provenientes de la estampilla "Universidad de los Llanos", se destinarán al desarrollo científico en las líneas de investigación institucionales de la Universidad de los Llanos, adoptadas </w:t>
      </w:r>
      <w:r w:rsidR="00F022DA">
        <w:rPr>
          <w:rFonts w:ascii="Arial" w:hAnsi="Arial" w:cs="Arial"/>
        </w:rPr>
        <w:t>mediante el Acuerdo Académico y/o</w:t>
      </w:r>
      <w:r w:rsidRPr="00DA74BA">
        <w:rPr>
          <w:rFonts w:ascii="Arial" w:hAnsi="Arial" w:cs="Arial"/>
        </w:rPr>
        <w:t xml:space="preserve"> a la apertura</w:t>
      </w:r>
      <w:r w:rsidR="00830D97" w:rsidRPr="00DA74BA">
        <w:rPr>
          <w:rFonts w:ascii="Arial" w:hAnsi="Arial" w:cs="Arial"/>
        </w:rPr>
        <w:t xml:space="preserve"> y funcionamiento de programas académicos.</w:t>
      </w:r>
    </w:p>
    <w:p w:rsidR="00830D97" w:rsidRPr="00DA74BA" w:rsidRDefault="00AA4D1B" w:rsidP="00830D97">
      <w:pPr>
        <w:suppressAutoHyphens/>
        <w:adjustRightInd w:val="0"/>
        <w:spacing w:before="57" w:after="57"/>
        <w:jc w:val="both"/>
        <w:textAlignment w:val="center"/>
        <w:rPr>
          <w:rFonts w:ascii="Arial" w:hAnsi="Arial" w:cs="Arial"/>
        </w:rPr>
      </w:pPr>
      <w:r w:rsidRPr="00DA74BA">
        <w:rPr>
          <w:rFonts w:ascii="Arial" w:hAnsi="Arial" w:cs="Arial"/>
        </w:rPr>
        <w:t>Así mismo, se destinará un porcentaje de 2% adicional para el funciona</w:t>
      </w:r>
      <w:r w:rsidR="00830D97" w:rsidRPr="00DA74BA">
        <w:rPr>
          <w:rFonts w:ascii="Arial" w:hAnsi="Arial" w:cs="Arial"/>
        </w:rPr>
        <w:t>miento y desarrollo de la sede en el Municipio</w:t>
      </w:r>
      <w:r w:rsidRPr="00DA74BA">
        <w:rPr>
          <w:rFonts w:ascii="Arial" w:hAnsi="Arial" w:cs="Arial"/>
        </w:rPr>
        <w:t xml:space="preserve"> de Granada</w:t>
      </w:r>
      <w:r w:rsidR="00830D97" w:rsidRPr="00DA74BA">
        <w:rPr>
          <w:rFonts w:ascii="Arial" w:hAnsi="Arial" w:cs="Arial"/>
        </w:rPr>
        <w:t>.</w:t>
      </w:r>
    </w:p>
    <w:p w:rsidR="00182B84" w:rsidRPr="00DA74BA" w:rsidRDefault="00182B84" w:rsidP="00182B84">
      <w:pPr>
        <w:suppressAutoHyphens/>
        <w:adjustRightInd w:val="0"/>
        <w:spacing w:before="57" w:after="57"/>
        <w:jc w:val="both"/>
        <w:textAlignment w:val="center"/>
        <w:rPr>
          <w:rFonts w:ascii="Arial" w:hAnsi="Arial" w:cs="Arial"/>
        </w:rPr>
      </w:pPr>
      <w:r w:rsidRPr="00DA74BA">
        <w:rPr>
          <w:rFonts w:ascii="Arial" w:hAnsi="Arial" w:cs="Arial"/>
        </w:rPr>
        <w:t>El Consejo Superior de la Universidad continuará siendo el órgano encargado de la administración de los recursos recaudados mediante la presente estampilla.</w:t>
      </w:r>
    </w:p>
    <w:p w:rsidR="00830D97" w:rsidRPr="00DA74BA" w:rsidRDefault="00830D97" w:rsidP="00182B84">
      <w:pPr>
        <w:suppressAutoHyphens/>
        <w:adjustRightInd w:val="0"/>
        <w:spacing w:before="57" w:after="57"/>
        <w:jc w:val="both"/>
        <w:textAlignment w:val="center"/>
        <w:rPr>
          <w:rFonts w:ascii="Arial" w:hAnsi="Arial" w:cs="Arial"/>
        </w:rPr>
      </w:pPr>
    </w:p>
    <w:p w:rsidR="00182B84" w:rsidRPr="00DA74BA" w:rsidRDefault="00182B84" w:rsidP="00830D97">
      <w:pPr>
        <w:suppressAutoHyphens/>
        <w:adjustRightInd w:val="0"/>
        <w:spacing w:before="57" w:after="57"/>
        <w:ind w:firstLine="708"/>
        <w:jc w:val="both"/>
        <w:textAlignment w:val="center"/>
        <w:rPr>
          <w:rFonts w:ascii="Arial" w:hAnsi="Arial" w:cs="Arial"/>
        </w:rPr>
      </w:pPr>
      <w:r w:rsidRPr="00DA74BA">
        <w:rPr>
          <w:rFonts w:ascii="Arial" w:hAnsi="Arial" w:cs="Arial"/>
          <w:b/>
        </w:rPr>
        <w:t>Artículo 4°.</w:t>
      </w:r>
      <w:r w:rsidR="00830D97" w:rsidRPr="00DA74BA">
        <w:rPr>
          <w:rFonts w:ascii="Arial" w:hAnsi="Arial" w:cs="Arial"/>
          <w:b/>
        </w:rPr>
        <w:t xml:space="preserve"> Determinación.</w:t>
      </w:r>
      <w:r w:rsidRPr="00DA74BA">
        <w:rPr>
          <w:rFonts w:ascii="Arial" w:hAnsi="Arial" w:cs="Arial"/>
        </w:rPr>
        <w:t xml:space="preserve"> Será la Asamblea del departamento del Meta quien determinará las características, hechos económicos, tarifas, actos administrativos u objetos de gravamen, excepciones y todos los demás asuntos pertinentes al uso obligatorio de la estampilla en las operaciones que se realizan en el departamento y en cada uno de sus municipios. Las providencias que en tal sentido expida la Asamblea Departamental del Meta, serán de conocimiento del Gobierno Nacional a través del Ministerio de Hacienda. </w:t>
      </w:r>
    </w:p>
    <w:p w:rsidR="00830D97" w:rsidRPr="00DA74BA" w:rsidRDefault="00830D97" w:rsidP="00182B84">
      <w:pPr>
        <w:suppressAutoHyphens/>
        <w:adjustRightInd w:val="0"/>
        <w:spacing w:before="57" w:after="57"/>
        <w:jc w:val="both"/>
        <w:textAlignment w:val="center"/>
        <w:rPr>
          <w:rFonts w:ascii="Arial" w:hAnsi="Arial" w:cs="Arial"/>
        </w:rPr>
      </w:pPr>
    </w:p>
    <w:p w:rsidR="00182B84" w:rsidRPr="00DA74BA" w:rsidRDefault="00182B84" w:rsidP="00182B84">
      <w:pPr>
        <w:suppressAutoHyphens/>
        <w:adjustRightInd w:val="0"/>
        <w:spacing w:before="57" w:after="57"/>
        <w:jc w:val="both"/>
        <w:textAlignment w:val="center"/>
        <w:rPr>
          <w:rFonts w:ascii="Arial" w:hAnsi="Arial" w:cs="Arial"/>
        </w:rPr>
      </w:pPr>
      <w:r w:rsidRPr="00DA74BA">
        <w:rPr>
          <w:rFonts w:ascii="Arial" w:hAnsi="Arial" w:cs="Arial"/>
          <w:b/>
        </w:rPr>
        <w:t>Parágrafo</w:t>
      </w:r>
      <w:r w:rsidRPr="00DA74BA">
        <w:rPr>
          <w:rFonts w:ascii="Arial" w:hAnsi="Arial" w:cs="Arial"/>
        </w:rPr>
        <w:t xml:space="preserve">. El porcentaje del valor de hecho u objeto del gravamen será determinado por la Asamblea Departamental del </w:t>
      </w:r>
      <w:r w:rsidR="00830D97" w:rsidRPr="00DA74BA">
        <w:rPr>
          <w:rFonts w:ascii="Arial" w:hAnsi="Arial" w:cs="Arial"/>
        </w:rPr>
        <w:t>Meta,</w:t>
      </w:r>
      <w:r w:rsidRPr="00DA74BA">
        <w:rPr>
          <w:rFonts w:ascii="Arial" w:hAnsi="Arial" w:cs="Arial"/>
        </w:rPr>
        <w:t xml:space="preserve"> pero en todo caso no podrá exceder del 4%.</w:t>
      </w:r>
    </w:p>
    <w:p w:rsidR="00182B84" w:rsidRPr="00DA74BA" w:rsidRDefault="00182B84" w:rsidP="00182B84">
      <w:pPr>
        <w:suppressAutoHyphens/>
        <w:adjustRightInd w:val="0"/>
        <w:spacing w:before="57" w:after="57"/>
        <w:jc w:val="both"/>
        <w:textAlignment w:val="center"/>
        <w:rPr>
          <w:rFonts w:ascii="Arial" w:hAnsi="Arial" w:cs="Arial"/>
        </w:rPr>
      </w:pPr>
    </w:p>
    <w:p w:rsidR="00182B84" w:rsidRPr="00DA74BA" w:rsidRDefault="00182B84" w:rsidP="00830D97">
      <w:pPr>
        <w:suppressAutoHyphens/>
        <w:adjustRightInd w:val="0"/>
        <w:spacing w:before="57" w:after="57"/>
        <w:ind w:firstLine="708"/>
        <w:jc w:val="both"/>
        <w:textAlignment w:val="center"/>
        <w:rPr>
          <w:rFonts w:ascii="Arial" w:hAnsi="Arial" w:cs="Arial"/>
        </w:rPr>
      </w:pPr>
      <w:r w:rsidRPr="00DA74BA">
        <w:rPr>
          <w:rFonts w:ascii="Arial" w:hAnsi="Arial" w:cs="Arial"/>
          <w:b/>
        </w:rPr>
        <w:t>Artículo 5°.</w:t>
      </w:r>
      <w:r w:rsidRPr="00DA74BA">
        <w:rPr>
          <w:rFonts w:ascii="Arial" w:hAnsi="Arial" w:cs="Arial"/>
        </w:rPr>
        <w:t xml:space="preserve"> La obligación de adherir y anular la estampilla que se autoriza mediante esta ley estará a cargo de los funcionarios del</w:t>
      </w:r>
      <w:r w:rsidR="00AA4D1B" w:rsidRPr="00DA74BA">
        <w:rPr>
          <w:rFonts w:ascii="Arial" w:hAnsi="Arial" w:cs="Arial"/>
        </w:rPr>
        <w:t xml:space="preserve"> orden departamental y municipal</w:t>
      </w:r>
      <w:r w:rsidRPr="00DA74BA">
        <w:rPr>
          <w:rFonts w:ascii="Arial" w:hAnsi="Arial" w:cs="Arial"/>
        </w:rPr>
        <w:t xml:space="preserve"> que </w:t>
      </w:r>
      <w:r w:rsidRPr="00DA74BA">
        <w:rPr>
          <w:rFonts w:ascii="Arial" w:hAnsi="Arial" w:cs="Arial"/>
        </w:rPr>
        <w:lastRenderedPageBreak/>
        <w:t>intervengan en los actos o hechos sujetos a gravamen estipulados por la Asamblea mediante ordenanza.</w:t>
      </w:r>
    </w:p>
    <w:p w:rsidR="00AA4D1B" w:rsidRPr="00DA74BA" w:rsidRDefault="00AA4D1B" w:rsidP="00182B84">
      <w:pPr>
        <w:suppressAutoHyphens/>
        <w:adjustRightInd w:val="0"/>
        <w:spacing w:before="57" w:after="57"/>
        <w:jc w:val="both"/>
        <w:textAlignment w:val="center"/>
        <w:rPr>
          <w:rFonts w:ascii="Arial" w:hAnsi="Arial" w:cs="Arial"/>
        </w:rPr>
      </w:pPr>
    </w:p>
    <w:p w:rsidR="00182B84" w:rsidRPr="00DA74BA" w:rsidRDefault="00AA4D1B" w:rsidP="00830D97">
      <w:pPr>
        <w:suppressAutoHyphens/>
        <w:adjustRightInd w:val="0"/>
        <w:spacing w:before="57" w:after="57"/>
        <w:ind w:firstLine="708"/>
        <w:jc w:val="both"/>
        <w:textAlignment w:val="center"/>
        <w:rPr>
          <w:rFonts w:ascii="Arial" w:hAnsi="Arial" w:cs="Arial"/>
        </w:rPr>
      </w:pPr>
      <w:r w:rsidRPr="00DA74BA">
        <w:rPr>
          <w:rFonts w:ascii="Arial" w:hAnsi="Arial" w:cs="Arial"/>
          <w:b/>
        </w:rPr>
        <w:t>Artículo 6°.</w:t>
      </w:r>
      <w:r w:rsidRPr="00DA74BA">
        <w:rPr>
          <w:rFonts w:ascii="Arial" w:hAnsi="Arial" w:cs="Arial"/>
        </w:rPr>
        <w:t xml:space="preserve"> Los recaudos provenientes de la estampilla estarán a cargo de la Secretaría de Hacienda Departamental y, en el caso de los municipios corresponderá su recaudo a las tesorerías municipales, los que serán manejados en cuentas presupuestales de destinación específica dirigidas a la Universidad de los Llanos. Las tesorerías municipales les harán periódicamente las transferencias del recurso a la Secretaría de Hacienda Departamental, la que también llevará una cuenta de destinación específica de estos recursos, para garantizar la destinación prevista en el artículo 3° de la esta ley.</w:t>
      </w:r>
    </w:p>
    <w:p w:rsidR="00AA4D1B" w:rsidRPr="00DA74BA" w:rsidRDefault="00AA4D1B" w:rsidP="00182B84">
      <w:pPr>
        <w:suppressAutoHyphens/>
        <w:adjustRightInd w:val="0"/>
        <w:spacing w:before="57" w:after="57"/>
        <w:jc w:val="both"/>
        <w:textAlignment w:val="center"/>
        <w:rPr>
          <w:rFonts w:ascii="Arial" w:hAnsi="Arial" w:cs="Arial"/>
        </w:rPr>
      </w:pPr>
    </w:p>
    <w:p w:rsidR="00AA4D1B" w:rsidRPr="00DA74BA" w:rsidRDefault="00AA4D1B" w:rsidP="00830D97">
      <w:pPr>
        <w:suppressAutoHyphens/>
        <w:adjustRightInd w:val="0"/>
        <w:spacing w:before="57" w:after="57"/>
        <w:ind w:firstLine="708"/>
        <w:jc w:val="both"/>
        <w:textAlignment w:val="center"/>
        <w:rPr>
          <w:rFonts w:ascii="Arial" w:hAnsi="Arial" w:cs="Arial"/>
        </w:rPr>
      </w:pPr>
      <w:r w:rsidRPr="00DA74BA">
        <w:rPr>
          <w:rFonts w:ascii="Arial" w:hAnsi="Arial" w:cs="Arial"/>
          <w:b/>
        </w:rPr>
        <w:t>Artículo 7°.</w:t>
      </w:r>
      <w:r w:rsidRPr="00DA74BA">
        <w:rPr>
          <w:rFonts w:ascii="Arial" w:hAnsi="Arial" w:cs="Arial"/>
        </w:rPr>
        <w:t xml:space="preserve"> La Contraloría Departamental ejercerá el control y vigilancia fiscal, de los recursos provenientes de la estampilla autorizada. </w:t>
      </w:r>
    </w:p>
    <w:p w:rsidR="00AA4D1B" w:rsidRPr="00DA74BA" w:rsidRDefault="00AA4D1B" w:rsidP="00182B84">
      <w:pPr>
        <w:suppressAutoHyphens/>
        <w:adjustRightInd w:val="0"/>
        <w:spacing w:before="57" w:after="57"/>
        <w:jc w:val="both"/>
        <w:textAlignment w:val="center"/>
        <w:rPr>
          <w:rFonts w:ascii="Arial" w:hAnsi="Arial" w:cs="Arial"/>
        </w:rPr>
      </w:pPr>
    </w:p>
    <w:p w:rsidR="00182B84" w:rsidRPr="00DA74BA" w:rsidRDefault="00AA4D1B" w:rsidP="00182B84">
      <w:pPr>
        <w:suppressAutoHyphens/>
        <w:adjustRightInd w:val="0"/>
        <w:spacing w:before="57" w:after="57"/>
        <w:jc w:val="both"/>
        <w:textAlignment w:val="center"/>
        <w:rPr>
          <w:rFonts w:ascii="Arial" w:eastAsia="Times New Roman" w:hAnsi="Arial" w:cs="Arial"/>
          <w:lang w:eastAsia="es-CO"/>
        </w:rPr>
      </w:pPr>
      <w:r w:rsidRPr="00DA74BA">
        <w:rPr>
          <w:rFonts w:ascii="Arial" w:hAnsi="Arial" w:cs="Arial"/>
        </w:rPr>
        <w:t xml:space="preserve"> </w:t>
      </w:r>
      <w:r w:rsidRPr="00DA74BA">
        <w:rPr>
          <w:rFonts w:ascii="Arial" w:hAnsi="Arial" w:cs="Arial"/>
          <w:b/>
        </w:rPr>
        <w:t>Artículo 8°</w:t>
      </w:r>
      <w:r w:rsidR="00182B84" w:rsidRPr="00DA74BA">
        <w:rPr>
          <w:rFonts w:ascii="Arial" w:hAnsi="Arial" w:cs="Arial"/>
          <w:b/>
        </w:rPr>
        <w:t>.</w:t>
      </w:r>
      <w:r w:rsidR="00182B84" w:rsidRPr="00DA74BA">
        <w:rPr>
          <w:rFonts w:ascii="Arial" w:hAnsi="Arial" w:cs="Arial"/>
        </w:rPr>
        <w:t xml:space="preserve"> </w:t>
      </w:r>
      <w:r w:rsidR="00182B84" w:rsidRPr="00DA74BA">
        <w:rPr>
          <w:rFonts w:ascii="Arial" w:hAnsi="Arial" w:cs="Arial"/>
          <w:b/>
        </w:rPr>
        <w:t>Vigencia.</w:t>
      </w:r>
      <w:r w:rsidR="00182B84" w:rsidRPr="00DA74BA">
        <w:rPr>
          <w:rFonts w:ascii="Arial" w:hAnsi="Arial" w:cs="Arial"/>
        </w:rPr>
        <w:t xml:space="preserve"> La presente ley entrará en vigencia una vez se complete el recaudo del monto contemplado en el artículo 2º de la Ley 1178 de 2007</w:t>
      </w:r>
      <w:r w:rsidRPr="00DA74BA">
        <w:rPr>
          <w:rFonts w:ascii="Arial" w:hAnsi="Arial" w:cs="Arial"/>
        </w:rPr>
        <w:t>.</w:t>
      </w:r>
    </w:p>
    <w:p w:rsidR="0099219C" w:rsidRPr="00DA74BA" w:rsidRDefault="0099219C" w:rsidP="0099219C">
      <w:pPr>
        <w:suppressAutoHyphens/>
        <w:adjustRightInd w:val="0"/>
        <w:spacing w:before="57" w:after="57"/>
        <w:jc w:val="both"/>
        <w:textAlignment w:val="center"/>
        <w:rPr>
          <w:rFonts w:ascii="Arial" w:eastAsia="Times New Roman" w:hAnsi="Arial" w:cs="Arial"/>
          <w:lang w:eastAsia="es-CO"/>
        </w:rPr>
      </w:pPr>
    </w:p>
    <w:p w:rsidR="00611FDA" w:rsidRPr="00DA74BA" w:rsidRDefault="00611FDA" w:rsidP="00611FDA">
      <w:pPr>
        <w:tabs>
          <w:tab w:val="left" w:pos="5245"/>
        </w:tabs>
        <w:rPr>
          <w:rFonts w:ascii="Arial" w:hAnsi="Arial" w:cs="Arial"/>
        </w:rPr>
      </w:pPr>
    </w:p>
    <w:p w:rsidR="003D474D" w:rsidRPr="00DA74BA" w:rsidRDefault="003D474D" w:rsidP="003D474D">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DA74BA">
        <w:rPr>
          <w:rFonts w:ascii="Arial" w:eastAsiaTheme="minorHAnsi" w:hAnsi="Arial" w:cs="Arial"/>
          <w:sz w:val="22"/>
          <w:szCs w:val="22"/>
          <w:lang w:eastAsia="en-US"/>
        </w:rPr>
        <w:t xml:space="preserve">Cordialmente, </w:t>
      </w:r>
    </w:p>
    <w:p w:rsidR="003D474D" w:rsidRPr="00DA74BA" w:rsidRDefault="003D474D" w:rsidP="003D474D">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3D474D" w:rsidRPr="00DA74BA" w:rsidRDefault="003D474D" w:rsidP="003D474D">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3D474D" w:rsidRPr="00DA74BA" w:rsidRDefault="003D474D" w:rsidP="003D474D">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3D474D" w:rsidRPr="00DA74BA" w:rsidRDefault="003D474D" w:rsidP="003D474D">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99219C" w:rsidRPr="00DA74BA" w:rsidRDefault="0099219C" w:rsidP="0099219C">
      <w:pPr>
        <w:adjustRightInd w:val="0"/>
        <w:snapToGrid w:val="0"/>
        <w:spacing w:line="240" w:lineRule="auto"/>
        <w:contextualSpacing/>
        <w:jc w:val="both"/>
        <w:textAlignment w:val="center"/>
        <w:rPr>
          <w:rFonts w:ascii="Arial" w:hAnsi="Arial" w:cs="Arial"/>
          <w:b/>
        </w:rPr>
      </w:pPr>
      <w:r w:rsidRPr="00DA74BA">
        <w:rPr>
          <w:rFonts w:ascii="Arial" w:hAnsi="Arial" w:cs="Arial"/>
          <w:b/>
        </w:rPr>
        <w:t xml:space="preserve">JAIME RODRIGUEZ CONTRERAS   </w:t>
      </w:r>
      <w:r w:rsidRPr="00DA74BA">
        <w:rPr>
          <w:rFonts w:ascii="Arial" w:hAnsi="Arial" w:cs="Arial"/>
          <w:b/>
        </w:rPr>
        <w:tab/>
        <w:t xml:space="preserve"> </w:t>
      </w:r>
    </w:p>
    <w:p w:rsidR="0099219C" w:rsidRPr="00DA74BA" w:rsidRDefault="0099219C" w:rsidP="0099219C">
      <w:pPr>
        <w:adjustRightInd w:val="0"/>
        <w:snapToGrid w:val="0"/>
        <w:spacing w:line="240" w:lineRule="auto"/>
        <w:contextualSpacing/>
        <w:jc w:val="both"/>
        <w:textAlignment w:val="center"/>
        <w:rPr>
          <w:rFonts w:ascii="Arial" w:hAnsi="Arial" w:cs="Arial"/>
        </w:rPr>
      </w:pPr>
      <w:r w:rsidRPr="00DA74BA">
        <w:rPr>
          <w:rFonts w:ascii="Arial" w:hAnsi="Arial" w:cs="Arial"/>
        </w:rPr>
        <w:t>Representante a la Cámara</w:t>
      </w:r>
      <w:r w:rsidRPr="00DA74BA">
        <w:rPr>
          <w:rFonts w:ascii="Arial" w:hAnsi="Arial" w:cs="Arial"/>
        </w:rPr>
        <w:tab/>
      </w:r>
      <w:r w:rsidRPr="00DA74BA">
        <w:rPr>
          <w:rFonts w:ascii="Arial" w:hAnsi="Arial" w:cs="Arial"/>
        </w:rPr>
        <w:tab/>
      </w:r>
      <w:r w:rsidRPr="00DA74BA">
        <w:rPr>
          <w:rFonts w:ascii="Arial" w:hAnsi="Arial" w:cs="Arial"/>
        </w:rPr>
        <w:tab/>
      </w:r>
    </w:p>
    <w:p w:rsidR="0099219C" w:rsidRPr="00DA74BA" w:rsidRDefault="0099219C" w:rsidP="0099219C">
      <w:pPr>
        <w:adjustRightInd w:val="0"/>
        <w:snapToGrid w:val="0"/>
        <w:spacing w:line="240" w:lineRule="auto"/>
        <w:contextualSpacing/>
        <w:jc w:val="both"/>
        <w:textAlignment w:val="center"/>
        <w:rPr>
          <w:rFonts w:ascii="Arial" w:hAnsi="Arial" w:cs="Arial"/>
        </w:rPr>
      </w:pPr>
      <w:r w:rsidRPr="00DA74BA">
        <w:rPr>
          <w:rFonts w:ascii="Arial" w:hAnsi="Arial" w:cs="Arial"/>
        </w:rPr>
        <w:t>Departamento de Meta</w:t>
      </w:r>
    </w:p>
    <w:p w:rsidR="00611FDA" w:rsidRPr="00DA74BA" w:rsidRDefault="00611FDA">
      <w:pPr>
        <w:rPr>
          <w:rFonts w:ascii="Arial" w:hAnsi="Arial" w:cs="Arial"/>
        </w:rPr>
      </w:pPr>
    </w:p>
    <w:p w:rsidR="0099219C" w:rsidRPr="00DA74BA" w:rsidRDefault="0099219C">
      <w:pPr>
        <w:rPr>
          <w:rFonts w:ascii="Arial" w:hAnsi="Arial" w:cs="Arial"/>
        </w:rPr>
      </w:pPr>
    </w:p>
    <w:p w:rsidR="00AA4D1B" w:rsidRPr="00DA74BA" w:rsidRDefault="00AA4D1B">
      <w:pPr>
        <w:rPr>
          <w:rFonts w:ascii="Arial" w:hAnsi="Arial" w:cs="Arial"/>
        </w:rPr>
      </w:pPr>
    </w:p>
    <w:p w:rsidR="00AA4D1B" w:rsidRPr="00DA74BA" w:rsidRDefault="00AA4D1B">
      <w:pPr>
        <w:rPr>
          <w:rFonts w:ascii="Arial" w:hAnsi="Arial" w:cs="Arial"/>
        </w:rPr>
      </w:pPr>
    </w:p>
    <w:p w:rsidR="00AA4D1B" w:rsidRPr="00DA74BA" w:rsidRDefault="00AA4D1B">
      <w:pPr>
        <w:rPr>
          <w:rFonts w:ascii="Arial" w:hAnsi="Arial" w:cs="Arial"/>
        </w:rPr>
      </w:pPr>
    </w:p>
    <w:p w:rsidR="00AA4D1B" w:rsidRPr="00DA74BA" w:rsidRDefault="00AA4D1B">
      <w:pPr>
        <w:rPr>
          <w:rFonts w:ascii="Arial" w:hAnsi="Arial" w:cs="Arial"/>
        </w:rPr>
      </w:pPr>
    </w:p>
    <w:p w:rsidR="00AA4D1B" w:rsidRPr="00DA74BA" w:rsidRDefault="00AA4D1B">
      <w:pPr>
        <w:rPr>
          <w:rFonts w:ascii="Arial" w:hAnsi="Arial" w:cs="Arial"/>
        </w:rPr>
      </w:pPr>
    </w:p>
    <w:p w:rsidR="00AA4D1B" w:rsidRPr="00DA74BA" w:rsidRDefault="00AA4D1B">
      <w:pPr>
        <w:rPr>
          <w:rFonts w:ascii="Arial" w:hAnsi="Arial" w:cs="Arial"/>
        </w:rPr>
      </w:pPr>
    </w:p>
    <w:p w:rsidR="00AA4D1B" w:rsidRPr="00DA74BA" w:rsidRDefault="00AA4D1B">
      <w:pPr>
        <w:rPr>
          <w:rFonts w:ascii="Arial" w:hAnsi="Arial" w:cs="Arial"/>
        </w:rPr>
      </w:pPr>
    </w:p>
    <w:p w:rsidR="00DA74BA" w:rsidRPr="00DA74BA" w:rsidRDefault="00DA74BA">
      <w:pPr>
        <w:rPr>
          <w:rFonts w:ascii="Arial" w:hAnsi="Arial" w:cs="Arial"/>
        </w:rPr>
      </w:pPr>
    </w:p>
    <w:p w:rsidR="00FF6A5C" w:rsidRPr="00DA74BA" w:rsidRDefault="0099219C" w:rsidP="00FF6A5C">
      <w:pPr>
        <w:pStyle w:val="CM6"/>
        <w:spacing w:line="276" w:lineRule="auto"/>
        <w:jc w:val="center"/>
        <w:rPr>
          <w:rFonts w:ascii="Arial" w:hAnsi="Arial" w:cs="Arial"/>
          <w:b/>
          <w:bCs/>
          <w:color w:val="000000"/>
          <w:sz w:val="22"/>
          <w:szCs w:val="22"/>
          <w:shd w:val="clear" w:color="auto" w:fill="FFFFFF"/>
          <w:lang w:val="es-ES_tradnl"/>
        </w:rPr>
      </w:pPr>
      <w:r w:rsidRPr="00DA74BA">
        <w:rPr>
          <w:rFonts w:ascii="Arial" w:hAnsi="Arial" w:cs="Arial"/>
          <w:b/>
          <w:bCs/>
          <w:color w:val="000000"/>
          <w:sz w:val="22"/>
          <w:szCs w:val="22"/>
          <w:shd w:val="clear" w:color="auto" w:fill="FFFFFF"/>
          <w:lang w:val="es-ES_tradnl"/>
        </w:rPr>
        <w:lastRenderedPageBreak/>
        <w:t xml:space="preserve">EXPOSICIÓN DE MOTIVOS AL PROYECTO DE </w:t>
      </w:r>
      <w:r w:rsidR="00FF6A5C" w:rsidRPr="00DA74BA">
        <w:rPr>
          <w:rFonts w:ascii="Arial" w:hAnsi="Arial" w:cs="Arial"/>
          <w:b/>
          <w:bCs/>
          <w:color w:val="000000"/>
          <w:sz w:val="22"/>
          <w:szCs w:val="22"/>
          <w:shd w:val="clear" w:color="auto" w:fill="FFFFFF"/>
          <w:lang w:val="es-ES_tradnl"/>
        </w:rPr>
        <w:t xml:space="preserve">LEY </w:t>
      </w:r>
      <w:r w:rsidRPr="00DA74BA">
        <w:rPr>
          <w:rFonts w:ascii="Arial" w:hAnsi="Arial" w:cs="Arial"/>
          <w:b/>
          <w:bCs/>
          <w:color w:val="000000"/>
          <w:sz w:val="22"/>
          <w:szCs w:val="22"/>
          <w:shd w:val="clear" w:color="auto" w:fill="FFFFFF"/>
          <w:lang w:val="es-ES_tradnl"/>
        </w:rPr>
        <w:t>NO.________ DE 2019</w:t>
      </w:r>
      <w:r w:rsidR="00FF6A5C" w:rsidRPr="00DA74BA">
        <w:rPr>
          <w:rFonts w:ascii="Arial" w:hAnsi="Arial" w:cs="Arial"/>
          <w:b/>
          <w:bCs/>
          <w:color w:val="000000"/>
          <w:sz w:val="22"/>
          <w:szCs w:val="22"/>
          <w:shd w:val="clear" w:color="auto" w:fill="FFFFFF"/>
          <w:lang w:val="es-ES_tradnl"/>
        </w:rPr>
        <w:t xml:space="preserve"> CÁMARA</w:t>
      </w:r>
    </w:p>
    <w:p w:rsidR="00830D97" w:rsidRPr="00DA74BA" w:rsidRDefault="00830D97" w:rsidP="00830D97">
      <w:pPr>
        <w:suppressAutoHyphens/>
        <w:adjustRightInd w:val="0"/>
        <w:spacing w:before="57" w:after="57" w:line="288" w:lineRule="auto"/>
        <w:jc w:val="center"/>
        <w:textAlignment w:val="center"/>
        <w:rPr>
          <w:rFonts w:ascii="Arial" w:eastAsia="Calibri" w:hAnsi="Arial" w:cs="Arial"/>
          <w:b/>
          <w:i/>
          <w:iCs/>
          <w:color w:val="000000"/>
          <w:lang w:val="es-ES_tradnl"/>
        </w:rPr>
      </w:pPr>
    </w:p>
    <w:p w:rsidR="00830D97" w:rsidRPr="00DA74BA" w:rsidRDefault="00830D97" w:rsidP="00830D97">
      <w:pPr>
        <w:suppressAutoHyphens/>
        <w:adjustRightInd w:val="0"/>
        <w:spacing w:before="57" w:after="57" w:line="288" w:lineRule="auto"/>
        <w:jc w:val="center"/>
        <w:textAlignment w:val="center"/>
        <w:rPr>
          <w:rFonts w:ascii="Arial" w:eastAsia="Calibri" w:hAnsi="Arial" w:cs="Arial"/>
          <w:b/>
          <w:i/>
          <w:iCs/>
          <w:color w:val="000000"/>
          <w:lang w:val="es-ES_tradnl"/>
        </w:rPr>
      </w:pPr>
      <w:r w:rsidRPr="00DA74BA">
        <w:rPr>
          <w:rFonts w:ascii="Arial" w:eastAsia="Calibri" w:hAnsi="Arial" w:cs="Arial"/>
          <w:b/>
          <w:i/>
          <w:iCs/>
          <w:color w:val="000000"/>
          <w:lang w:val="es-ES_tradnl"/>
        </w:rPr>
        <w:t>“</w:t>
      </w:r>
      <w:r w:rsidR="008373B7">
        <w:rPr>
          <w:rFonts w:ascii="Arial" w:hAnsi="Arial" w:cs="Arial"/>
          <w:b/>
        </w:rPr>
        <w:t>POR LA CUAL SE AMPLIA</w:t>
      </w:r>
      <w:bookmarkStart w:id="0" w:name="_GoBack"/>
      <w:bookmarkEnd w:id="0"/>
      <w:r w:rsidRPr="00DA74BA">
        <w:rPr>
          <w:rFonts w:ascii="Arial" w:hAnsi="Arial" w:cs="Arial"/>
          <w:b/>
        </w:rPr>
        <w:t xml:space="preserve"> LA AUTORIZA A LA ASAMBLEA DEPARTAMENTAL DEL META PARA ORDENAR LA EMISIÓN DE LA ESTAMPILLA "UNIVERSIDAD DE LOS LLANOS" Y SE DICTAN OTRAS DISPOSICIONES</w:t>
      </w:r>
      <w:r w:rsidRPr="00DA74BA">
        <w:rPr>
          <w:rFonts w:ascii="Arial" w:eastAsia="Calibri" w:hAnsi="Arial" w:cs="Arial"/>
          <w:b/>
          <w:i/>
          <w:iCs/>
          <w:color w:val="000000"/>
          <w:lang w:val="es-ES_tradnl"/>
        </w:rPr>
        <w:t>”.</w:t>
      </w:r>
    </w:p>
    <w:p w:rsidR="00DA74BA" w:rsidRPr="00DA74BA" w:rsidRDefault="00DA74BA" w:rsidP="00DA74BA">
      <w:pPr>
        <w:suppressAutoHyphens/>
        <w:adjustRightInd w:val="0"/>
        <w:spacing w:before="57" w:after="57" w:line="288" w:lineRule="auto"/>
        <w:textAlignment w:val="center"/>
        <w:rPr>
          <w:rFonts w:ascii="Arial" w:eastAsia="Calibri" w:hAnsi="Arial" w:cs="Arial"/>
          <w:b/>
          <w:i/>
          <w:iCs/>
          <w:color w:val="000000"/>
          <w:lang w:val="es-ES_tradnl"/>
        </w:rPr>
      </w:pPr>
    </w:p>
    <w:p w:rsidR="00DA74BA" w:rsidRPr="00DA74BA" w:rsidRDefault="00DA74BA" w:rsidP="00DA74BA">
      <w:pPr>
        <w:pStyle w:val="Prrafodelista"/>
        <w:numPr>
          <w:ilvl w:val="0"/>
          <w:numId w:val="7"/>
        </w:numPr>
        <w:suppressAutoHyphens/>
        <w:adjustRightInd w:val="0"/>
        <w:spacing w:before="57" w:after="57" w:line="288" w:lineRule="auto"/>
        <w:jc w:val="center"/>
        <w:textAlignment w:val="center"/>
        <w:rPr>
          <w:rFonts w:ascii="Arial" w:eastAsia="Calibri" w:hAnsi="Arial" w:cs="Arial"/>
          <w:b/>
          <w:i/>
          <w:iCs/>
          <w:color w:val="000000"/>
          <w:lang w:val="es-ES_tradnl"/>
        </w:rPr>
      </w:pPr>
      <w:r w:rsidRPr="00DA74BA">
        <w:rPr>
          <w:rFonts w:ascii="Arial" w:eastAsia="Calibri" w:hAnsi="Arial" w:cs="Arial"/>
          <w:b/>
          <w:i/>
          <w:iCs/>
          <w:color w:val="000000"/>
          <w:lang w:val="es-ES_tradnl"/>
        </w:rPr>
        <w:t>LA EDUCACIÓN COMO PILAR FUNDAMENTAL EN EL DEPARTAMENTO DEL META</w:t>
      </w:r>
    </w:p>
    <w:p w:rsidR="00DA74BA" w:rsidRPr="00DA74BA" w:rsidRDefault="00DA74BA" w:rsidP="00DA74BA">
      <w:pPr>
        <w:pStyle w:val="Prrafodelista"/>
        <w:suppressAutoHyphens/>
        <w:adjustRightInd w:val="0"/>
        <w:spacing w:before="57" w:after="57" w:line="288" w:lineRule="auto"/>
        <w:textAlignment w:val="center"/>
        <w:rPr>
          <w:rFonts w:ascii="Arial" w:eastAsia="Calibri" w:hAnsi="Arial" w:cs="Arial"/>
          <w:b/>
          <w:i/>
          <w:iCs/>
          <w:color w:val="000000"/>
          <w:lang w:val="es-ES_tradnl"/>
        </w:rPr>
      </w:pP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t>Por tratarse de la ciudad con mayor nivel de desarrollo y mejores condiciones de calidad de vida de la Orinoquia, Villavicencio se ha venido consolidando progresivamente como el centro regional de educación superior, al cual llegan jóvenes de los departamentos vecinos a recibir sus estudios en pregrado y posgrado, tal como se concluye de la comparación con las ciudades capitales de los 6 departamentos que conforman la región (Arauca, Casanare, Vaupés, Vichada, Guainía, Guaviare y Meta) que se muestra a continuación:</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5"/>
        <w:gridCol w:w="3856"/>
        <w:gridCol w:w="2149"/>
      </w:tblGrid>
      <w:tr w:rsidR="00DA74BA" w:rsidRPr="00DA74BA" w:rsidTr="00A87AF2">
        <w:trPr>
          <w:trHeight w:val="835"/>
          <w:jc w:val="center"/>
        </w:trPr>
        <w:tc>
          <w:tcPr>
            <w:tcW w:w="9090" w:type="dxa"/>
            <w:gridSpan w:val="3"/>
            <w:shd w:val="clear" w:color="auto" w:fill="F2F2F2"/>
            <w:noWrap/>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Número de Estudiantes de Educación Superior Matriculados en ciudades capitales de la Orinoquía en 2016</w:t>
            </w:r>
            <w:r w:rsidRPr="00DA74BA">
              <w:rPr>
                <w:rStyle w:val="Refdenotaalpie"/>
                <w:rFonts w:ascii="Arial" w:hAnsi="Arial" w:cs="Arial"/>
                <w:b/>
                <w:bCs/>
                <w:lang w:val="es-ES" w:bidi="bn-IN"/>
              </w:rPr>
              <w:footnoteReference w:id="1"/>
            </w:r>
          </w:p>
        </w:tc>
      </w:tr>
      <w:tr w:rsidR="00DA74BA" w:rsidRPr="00DA74BA" w:rsidTr="00A87AF2">
        <w:trPr>
          <w:trHeight w:val="563"/>
          <w:jc w:val="center"/>
        </w:trPr>
        <w:tc>
          <w:tcPr>
            <w:tcW w:w="3085" w:type="dxa"/>
            <w:shd w:val="clear" w:color="auto" w:fill="F2F2F2"/>
            <w:noWrap/>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Departamento</w:t>
            </w:r>
          </w:p>
        </w:tc>
        <w:tc>
          <w:tcPr>
            <w:tcW w:w="3856" w:type="dxa"/>
            <w:shd w:val="clear" w:color="auto" w:fill="F2F2F2"/>
            <w:noWrap/>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Ciudad</w:t>
            </w:r>
          </w:p>
        </w:tc>
        <w:tc>
          <w:tcPr>
            <w:tcW w:w="2149" w:type="dxa"/>
            <w:shd w:val="clear" w:color="auto" w:fill="F2F2F2"/>
            <w:noWrap/>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Número</w:t>
            </w:r>
          </w:p>
        </w:tc>
      </w:tr>
      <w:tr w:rsidR="00DA74BA" w:rsidRPr="00DA74BA" w:rsidTr="00A87AF2">
        <w:trPr>
          <w:trHeight w:val="454"/>
          <w:jc w:val="center"/>
        </w:trPr>
        <w:tc>
          <w:tcPr>
            <w:tcW w:w="3085"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Meta</w:t>
            </w:r>
          </w:p>
        </w:tc>
        <w:tc>
          <w:tcPr>
            <w:tcW w:w="3856"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Villavicencio</w:t>
            </w:r>
          </w:p>
        </w:tc>
        <w:tc>
          <w:tcPr>
            <w:tcW w:w="2149"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30.416</w:t>
            </w:r>
          </w:p>
        </w:tc>
      </w:tr>
      <w:tr w:rsidR="00DA74BA" w:rsidRPr="00DA74BA" w:rsidTr="00A87AF2">
        <w:trPr>
          <w:trHeight w:val="454"/>
          <w:jc w:val="center"/>
        </w:trPr>
        <w:tc>
          <w:tcPr>
            <w:tcW w:w="3085"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Casanare</w:t>
            </w:r>
          </w:p>
        </w:tc>
        <w:tc>
          <w:tcPr>
            <w:tcW w:w="3856"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Yopal</w:t>
            </w:r>
          </w:p>
        </w:tc>
        <w:tc>
          <w:tcPr>
            <w:tcW w:w="2149"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9.291</w:t>
            </w:r>
          </w:p>
        </w:tc>
      </w:tr>
      <w:tr w:rsidR="00DA74BA" w:rsidRPr="00DA74BA" w:rsidTr="00A87AF2">
        <w:trPr>
          <w:trHeight w:val="454"/>
          <w:jc w:val="center"/>
        </w:trPr>
        <w:tc>
          <w:tcPr>
            <w:tcW w:w="3085"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Arauca</w:t>
            </w:r>
          </w:p>
        </w:tc>
        <w:tc>
          <w:tcPr>
            <w:tcW w:w="3856"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Arauca</w:t>
            </w:r>
          </w:p>
        </w:tc>
        <w:tc>
          <w:tcPr>
            <w:tcW w:w="2149"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2.631</w:t>
            </w:r>
          </w:p>
        </w:tc>
      </w:tr>
      <w:tr w:rsidR="00DA74BA" w:rsidRPr="00DA74BA" w:rsidTr="00A87AF2">
        <w:trPr>
          <w:trHeight w:val="454"/>
          <w:jc w:val="center"/>
        </w:trPr>
        <w:tc>
          <w:tcPr>
            <w:tcW w:w="3085" w:type="dxa"/>
            <w:shd w:val="clear" w:color="auto" w:fill="auto"/>
            <w:noWrap/>
            <w:vAlign w:val="center"/>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Guaviare</w:t>
            </w:r>
          </w:p>
        </w:tc>
        <w:tc>
          <w:tcPr>
            <w:tcW w:w="3856" w:type="dxa"/>
            <w:shd w:val="clear" w:color="auto" w:fill="auto"/>
            <w:noWrap/>
            <w:vAlign w:val="center"/>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San José del Guaviare</w:t>
            </w:r>
          </w:p>
        </w:tc>
        <w:tc>
          <w:tcPr>
            <w:tcW w:w="2149"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2.112</w:t>
            </w:r>
          </w:p>
        </w:tc>
      </w:tr>
      <w:tr w:rsidR="00DA74BA" w:rsidRPr="00DA74BA" w:rsidTr="00A87AF2">
        <w:trPr>
          <w:trHeight w:val="454"/>
          <w:jc w:val="center"/>
        </w:trPr>
        <w:tc>
          <w:tcPr>
            <w:tcW w:w="3085"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Vichada</w:t>
            </w:r>
          </w:p>
        </w:tc>
        <w:tc>
          <w:tcPr>
            <w:tcW w:w="3856"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Puerto Carreño</w:t>
            </w:r>
          </w:p>
        </w:tc>
        <w:tc>
          <w:tcPr>
            <w:tcW w:w="2149"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908</w:t>
            </w:r>
          </w:p>
        </w:tc>
      </w:tr>
      <w:tr w:rsidR="00DA74BA" w:rsidRPr="00DA74BA" w:rsidTr="00A87AF2">
        <w:trPr>
          <w:trHeight w:val="454"/>
          <w:jc w:val="center"/>
        </w:trPr>
        <w:tc>
          <w:tcPr>
            <w:tcW w:w="3085"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Guainía</w:t>
            </w:r>
          </w:p>
        </w:tc>
        <w:tc>
          <w:tcPr>
            <w:tcW w:w="3856"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Puerto Inírida</w:t>
            </w:r>
          </w:p>
        </w:tc>
        <w:tc>
          <w:tcPr>
            <w:tcW w:w="2149"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609</w:t>
            </w:r>
          </w:p>
        </w:tc>
      </w:tr>
      <w:tr w:rsidR="00DA74BA" w:rsidRPr="00DA74BA" w:rsidTr="00A87AF2">
        <w:trPr>
          <w:trHeight w:val="454"/>
          <w:jc w:val="center"/>
        </w:trPr>
        <w:tc>
          <w:tcPr>
            <w:tcW w:w="3085"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Vaupés</w:t>
            </w:r>
          </w:p>
        </w:tc>
        <w:tc>
          <w:tcPr>
            <w:tcW w:w="3856" w:type="dxa"/>
            <w:shd w:val="clear" w:color="auto" w:fill="auto"/>
            <w:noWrap/>
            <w:vAlign w:val="center"/>
            <w:hideMark/>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Mitú</w:t>
            </w:r>
          </w:p>
        </w:tc>
        <w:tc>
          <w:tcPr>
            <w:tcW w:w="2149"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218</w:t>
            </w:r>
          </w:p>
        </w:tc>
      </w:tr>
    </w:tbl>
    <w:p w:rsidR="00DA74BA" w:rsidRPr="00DA74BA" w:rsidRDefault="00DA74BA" w:rsidP="00DA74BA">
      <w:pPr>
        <w:spacing w:line="360" w:lineRule="auto"/>
        <w:jc w:val="both"/>
        <w:rPr>
          <w:rFonts w:ascii="Arial" w:hAnsi="Arial" w:cs="Arial"/>
          <w:lang w:val="es-ES"/>
        </w:rPr>
      </w:pP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lastRenderedPageBreak/>
        <w:t>Como se muestra en la gráfica siguiente</w:t>
      </w:r>
      <w:r w:rsidRPr="00DA74BA">
        <w:rPr>
          <w:rStyle w:val="Refdenotaalpie"/>
          <w:rFonts w:ascii="Arial" w:hAnsi="Arial" w:cs="Arial"/>
          <w:lang w:val="es-ES"/>
        </w:rPr>
        <w:footnoteReference w:id="2"/>
      </w:r>
      <w:r w:rsidRPr="00DA74BA">
        <w:rPr>
          <w:rFonts w:ascii="Arial" w:hAnsi="Arial" w:cs="Arial"/>
          <w:lang w:val="es-ES"/>
        </w:rPr>
        <w:t>, el número de estudiantes matriculados en programas de educación superior en el año 2016 en la ciudad de Villavicencio triplico la cifra de la segunda capital de la región con mayor número de matriculados en el mismo período:</w:t>
      </w:r>
    </w:p>
    <w:p w:rsidR="00DA74BA" w:rsidRPr="00DA74BA" w:rsidRDefault="00DA74BA" w:rsidP="00DA74BA">
      <w:pPr>
        <w:spacing w:line="360" w:lineRule="auto"/>
        <w:jc w:val="center"/>
        <w:rPr>
          <w:rFonts w:ascii="Arial" w:hAnsi="Arial" w:cs="Arial"/>
          <w:lang w:val="es-ES"/>
        </w:rPr>
      </w:pPr>
      <w:r w:rsidRPr="00DA74BA">
        <w:rPr>
          <w:rFonts w:ascii="Arial" w:hAnsi="Arial" w:cs="Arial"/>
          <w:noProof/>
          <w:lang w:eastAsia="es-CO"/>
        </w:rPr>
        <w:drawing>
          <wp:inline distT="0" distB="0" distL="0" distR="0" wp14:anchorId="1754AB4C" wp14:editId="263C3184">
            <wp:extent cx="5497830" cy="2576830"/>
            <wp:effectExtent l="0" t="0" r="762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t>De igual manera, en comparación con los municipios del departamento donde también se ofrecen programas de educación superior la diferencia resulta sustancial, lo que demuestra que, por sus características, Villavicencio se ha constituido en un polo de atracción de población estudiantil de educación superior:</w:t>
      </w:r>
    </w:p>
    <w:tbl>
      <w:tblPr>
        <w:tblW w:w="94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4"/>
        <w:gridCol w:w="1165"/>
        <w:gridCol w:w="1276"/>
        <w:gridCol w:w="1275"/>
        <w:gridCol w:w="1560"/>
        <w:gridCol w:w="992"/>
        <w:gridCol w:w="992"/>
        <w:gridCol w:w="567"/>
      </w:tblGrid>
      <w:tr w:rsidR="00DA74BA" w:rsidRPr="00DA74BA" w:rsidTr="00A87AF2">
        <w:trPr>
          <w:trHeight w:val="765"/>
        </w:trPr>
        <w:tc>
          <w:tcPr>
            <w:tcW w:w="9431" w:type="dxa"/>
            <w:gridSpan w:val="8"/>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 xml:space="preserve">Estudiantes de Educación Superior matriculados </w:t>
            </w:r>
            <w:r w:rsidRPr="00DA74BA">
              <w:rPr>
                <w:rFonts w:ascii="Arial" w:hAnsi="Arial" w:cs="Arial"/>
                <w:b/>
                <w:bCs/>
                <w:lang w:val="es-ES" w:bidi="bn-IN"/>
              </w:rPr>
              <w:br/>
              <w:t>en el Meta por tipo de formación</w:t>
            </w:r>
            <w:r w:rsidRPr="00DA74BA">
              <w:rPr>
                <w:rStyle w:val="Refdenotaalpie"/>
                <w:rFonts w:ascii="Arial" w:hAnsi="Arial" w:cs="Arial"/>
                <w:b/>
                <w:bCs/>
                <w:lang w:val="es-ES" w:bidi="bn-IN"/>
              </w:rPr>
              <w:footnoteReference w:id="3"/>
            </w:r>
          </w:p>
        </w:tc>
      </w:tr>
      <w:tr w:rsidR="00DA74BA" w:rsidRPr="00DA74BA" w:rsidTr="00A87AF2">
        <w:trPr>
          <w:trHeight w:val="765"/>
        </w:trPr>
        <w:tc>
          <w:tcPr>
            <w:tcW w:w="1604" w:type="dxa"/>
            <w:vMerge w:val="restart"/>
            <w:shd w:val="clear" w:color="auto" w:fill="F2F2F2"/>
            <w:vAlign w:val="center"/>
            <w:hideMark/>
          </w:tcPr>
          <w:p w:rsidR="00DA74BA" w:rsidRPr="00DA74BA" w:rsidRDefault="00DA74BA" w:rsidP="00A87AF2">
            <w:pPr>
              <w:spacing w:line="360" w:lineRule="auto"/>
              <w:rPr>
                <w:rFonts w:ascii="Arial" w:hAnsi="Arial" w:cs="Arial"/>
                <w:b/>
                <w:bCs/>
                <w:lang w:val="es-ES" w:bidi="bn-IN"/>
              </w:rPr>
            </w:pPr>
            <w:r w:rsidRPr="00DA74BA">
              <w:rPr>
                <w:rFonts w:ascii="Arial" w:hAnsi="Arial" w:cs="Arial"/>
                <w:b/>
                <w:bCs/>
                <w:lang w:val="es-ES" w:bidi="bn-IN"/>
              </w:rPr>
              <w:t>Municipio</w:t>
            </w:r>
          </w:p>
        </w:tc>
        <w:tc>
          <w:tcPr>
            <w:tcW w:w="3716" w:type="dxa"/>
            <w:gridSpan w:val="3"/>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Pregrado</w:t>
            </w:r>
          </w:p>
        </w:tc>
        <w:tc>
          <w:tcPr>
            <w:tcW w:w="2552" w:type="dxa"/>
            <w:gridSpan w:val="2"/>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Posgrado</w:t>
            </w:r>
          </w:p>
        </w:tc>
        <w:tc>
          <w:tcPr>
            <w:tcW w:w="992" w:type="dxa"/>
            <w:vMerge w:val="restart"/>
            <w:shd w:val="clear" w:color="auto" w:fill="F2F2F2"/>
            <w:vAlign w:val="center"/>
            <w:hideMark/>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 xml:space="preserve">Total </w:t>
            </w:r>
            <w:proofErr w:type="spellStart"/>
            <w:r w:rsidRPr="00DA74BA">
              <w:rPr>
                <w:rFonts w:ascii="Arial" w:hAnsi="Arial" w:cs="Arial"/>
                <w:b/>
                <w:bCs/>
                <w:lang w:val="es-ES" w:bidi="bn-IN"/>
              </w:rPr>
              <w:t>Estudi</w:t>
            </w:r>
            <w:proofErr w:type="spellEnd"/>
            <w:r w:rsidRPr="00DA74BA">
              <w:rPr>
                <w:rFonts w:ascii="Arial" w:hAnsi="Arial" w:cs="Arial"/>
                <w:b/>
                <w:bCs/>
                <w:lang w:val="es-ES" w:bidi="bn-IN"/>
              </w:rPr>
              <w:t>-antes Matriculados en IES</w:t>
            </w:r>
          </w:p>
        </w:tc>
        <w:tc>
          <w:tcPr>
            <w:tcW w:w="567" w:type="dxa"/>
            <w:vMerge w:val="restart"/>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No. de IES</w:t>
            </w:r>
          </w:p>
        </w:tc>
      </w:tr>
      <w:tr w:rsidR="00DA74BA" w:rsidRPr="00DA74BA" w:rsidTr="00A87AF2">
        <w:trPr>
          <w:trHeight w:val="765"/>
        </w:trPr>
        <w:tc>
          <w:tcPr>
            <w:tcW w:w="1604" w:type="dxa"/>
            <w:vMerge/>
            <w:shd w:val="clear" w:color="auto" w:fill="F2F2F2"/>
            <w:vAlign w:val="center"/>
          </w:tcPr>
          <w:p w:rsidR="00DA74BA" w:rsidRPr="00DA74BA" w:rsidRDefault="00DA74BA" w:rsidP="00A87AF2">
            <w:pPr>
              <w:spacing w:line="360" w:lineRule="auto"/>
              <w:rPr>
                <w:rFonts w:ascii="Arial" w:hAnsi="Arial" w:cs="Arial"/>
                <w:b/>
                <w:bCs/>
                <w:lang w:val="es-ES" w:bidi="bn-IN"/>
              </w:rPr>
            </w:pPr>
          </w:p>
        </w:tc>
        <w:tc>
          <w:tcPr>
            <w:tcW w:w="1165"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Técnica Profesional</w:t>
            </w:r>
          </w:p>
        </w:tc>
        <w:tc>
          <w:tcPr>
            <w:tcW w:w="1276"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Tecnológica</w:t>
            </w:r>
          </w:p>
        </w:tc>
        <w:tc>
          <w:tcPr>
            <w:tcW w:w="1275"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Universitaria</w:t>
            </w:r>
          </w:p>
        </w:tc>
        <w:tc>
          <w:tcPr>
            <w:tcW w:w="1560"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Especialización</w:t>
            </w:r>
          </w:p>
        </w:tc>
        <w:tc>
          <w:tcPr>
            <w:tcW w:w="992"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Maestría</w:t>
            </w:r>
          </w:p>
        </w:tc>
        <w:tc>
          <w:tcPr>
            <w:tcW w:w="992" w:type="dxa"/>
            <w:vMerge/>
            <w:shd w:val="clear" w:color="auto" w:fill="F2F2F2"/>
            <w:vAlign w:val="center"/>
          </w:tcPr>
          <w:p w:rsidR="00DA74BA" w:rsidRPr="00DA74BA" w:rsidRDefault="00DA74BA" w:rsidP="00A87AF2">
            <w:pPr>
              <w:spacing w:line="360" w:lineRule="auto"/>
              <w:jc w:val="center"/>
              <w:rPr>
                <w:rFonts w:ascii="Arial" w:hAnsi="Arial" w:cs="Arial"/>
                <w:b/>
                <w:bCs/>
                <w:lang w:val="es-ES" w:bidi="bn-IN"/>
              </w:rPr>
            </w:pPr>
          </w:p>
        </w:tc>
        <w:tc>
          <w:tcPr>
            <w:tcW w:w="567" w:type="dxa"/>
            <w:vMerge/>
            <w:shd w:val="clear" w:color="auto" w:fill="F2F2F2"/>
          </w:tcPr>
          <w:p w:rsidR="00DA74BA" w:rsidRPr="00DA74BA" w:rsidRDefault="00DA74BA" w:rsidP="00A87AF2">
            <w:pPr>
              <w:spacing w:line="360" w:lineRule="auto"/>
              <w:jc w:val="center"/>
              <w:rPr>
                <w:rFonts w:ascii="Arial" w:hAnsi="Arial" w:cs="Arial"/>
                <w:b/>
                <w:bCs/>
                <w:lang w:val="es-ES" w:bidi="bn-IN"/>
              </w:rPr>
            </w:pPr>
          </w:p>
        </w:tc>
      </w:tr>
      <w:tr w:rsidR="00DA74BA" w:rsidRPr="00DA74BA" w:rsidTr="00A87AF2">
        <w:trPr>
          <w:trHeight w:val="397"/>
        </w:trPr>
        <w:tc>
          <w:tcPr>
            <w:tcW w:w="1604" w:type="dxa"/>
            <w:shd w:val="clear" w:color="auto" w:fill="EEF4F2"/>
            <w:noWrap/>
            <w:vAlign w:val="center"/>
          </w:tcPr>
          <w:p w:rsidR="00DA74BA" w:rsidRPr="00DA74BA" w:rsidRDefault="00DA74BA" w:rsidP="00A87AF2">
            <w:pPr>
              <w:spacing w:line="360" w:lineRule="auto"/>
              <w:rPr>
                <w:rFonts w:ascii="Arial" w:hAnsi="Arial" w:cs="Arial"/>
                <w:b/>
                <w:bCs/>
                <w:lang w:val="es-ES" w:bidi="bn-IN"/>
              </w:rPr>
            </w:pPr>
            <w:r w:rsidRPr="00DA74BA">
              <w:rPr>
                <w:rFonts w:ascii="Arial" w:hAnsi="Arial" w:cs="Arial"/>
                <w:b/>
                <w:bCs/>
                <w:lang w:val="es-ES" w:bidi="bn-IN"/>
              </w:rPr>
              <w:t>Villavicencio</w:t>
            </w:r>
          </w:p>
        </w:tc>
        <w:tc>
          <w:tcPr>
            <w:tcW w:w="1165" w:type="dxa"/>
            <w:shd w:val="clear" w:color="auto" w:fill="EEF4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1101</w:t>
            </w:r>
          </w:p>
        </w:tc>
        <w:tc>
          <w:tcPr>
            <w:tcW w:w="1276" w:type="dxa"/>
            <w:shd w:val="clear" w:color="auto" w:fill="EEF4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5046</w:t>
            </w:r>
          </w:p>
        </w:tc>
        <w:tc>
          <w:tcPr>
            <w:tcW w:w="1275" w:type="dxa"/>
            <w:shd w:val="clear" w:color="auto" w:fill="EEF4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23271</w:t>
            </w:r>
          </w:p>
        </w:tc>
        <w:tc>
          <w:tcPr>
            <w:tcW w:w="1560" w:type="dxa"/>
            <w:shd w:val="clear" w:color="auto" w:fill="EEF4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842</w:t>
            </w:r>
          </w:p>
        </w:tc>
        <w:tc>
          <w:tcPr>
            <w:tcW w:w="992" w:type="dxa"/>
            <w:shd w:val="clear" w:color="auto" w:fill="EEF4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156</w:t>
            </w:r>
          </w:p>
        </w:tc>
        <w:tc>
          <w:tcPr>
            <w:tcW w:w="992" w:type="dxa"/>
            <w:shd w:val="clear" w:color="auto" w:fill="EEF4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30416</w:t>
            </w:r>
          </w:p>
        </w:tc>
        <w:tc>
          <w:tcPr>
            <w:tcW w:w="567" w:type="dxa"/>
            <w:shd w:val="clear" w:color="auto" w:fill="EEF4F2"/>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24</w:t>
            </w:r>
          </w:p>
        </w:tc>
      </w:tr>
      <w:tr w:rsidR="00DA74BA" w:rsidRPr="00DA74BA" w:rsidTr="00A87AF2">
        <w:trPr>
          <w:trHeight w:val="397"/>
        </w:trPr>
        <w:tc>
          <w:tcPr>
            <w:tcW w:w="1604" w:type="dxa"/>
            <w:shd w:val="clear" w:color="auto" w:fill="auto"/>
            <w:noWrap/>
            <w:vAlign w:val="center"/>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lastRenderedPageBreak/>
              <w:t>Acacias</w:t>
            </w:r>
          </w:p>
        </w:tc>
        <w:tc>
          <w:tcPr>
            <w:tcW w:w="1165"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1276"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148</w:t>
            </w:r>
          </w:p>
        </w:tc>
        <w:tc>
          <w:tcPr>
            <w:tcW w:w="1275"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1993</w:t>
            </w:r>
          </w:p>
        </w:tc>
        <w:tc>
          <w:tcPr>
            <w:tcW w:w="1560"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102</w:t>
            </w:r>
          </w:p>
        </w:tc>
        <w:tc>
          <w:tcPr>
            <w:tcW w:w="992"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12</w:t>
            </w:r>
          </w:p>
        </w:tc>
        <w:tc>
          <w:tcPr>
            <w:tcW w:w="992"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2255</w:t>
            </w:r>
          </w:p>
        </w:tc>
        <w:tc>
          <w:tcPr>
            <w:tcW w:w="567" w:type="dxa"/>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w:t>
            </w:r>
          </w:p>
        </w:tc>
      </w:tr>
      <w:tr w:rsidR="00DA74BA" w:rsidRPr="00DA74BA" w:rsidTr="00A87AF2">
        <w:trPr>
          <w:trHeight w:val="397"/>
        </w:trPr>
        <w:tc>
          <w:tcPr>
            <w:tcW w:w="1604" w:type="dxa"/>
            <w:shd w:val="clear" w:color="auto" w:fill="auto"/>
            <w:noWrap/>
            <w:vAlign w:val="center"/>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 xml:space="preserve">Castilla </w:t>
            </w:r>
            <w:r w:rsidRPr="00DA74BA">
              <w:rPr>
                <w:rFonts w:ascii="Arial" w:hAnsi="Arial" w:cs="Arial"/>
                <w:lang w:val="es-ES" w:bidi="bn-IN"/>
              </w:rPr>
              <w:br/>
              <w:t>La Nueva</w:t>
            </w:r>
          </w:p>
        </w:tc>
        <w:tc>
          <w:tcPr>
            <w:tcW w:w="1165"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3</w:t>
            </w:r>
          </w:p>
        </w:tc>
        <w:tc>
          <w:tcPr>
            <w:tcW w:w="1276"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22</w:t>
            </w:r>
          </w:p>
        </w:tc>
        <w:tc>
          <w:tcPr>
            <w:tcW w:w="1275"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7</w:t>
            </w:r>
          </w:p>
        </w:tc>
        <w:tc>
          <w:tcPr>
            <w:tcW w:w="1560"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32</w:t>
            </w:r>
          </w:p>
        </w:tc>
        <w:tc>
          <w:tcPr>
            <w:tcW w:w="567" w:type="dxa"/>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w:t>
            </w:r>
          </w:p>
        </w:tc>
      </w:tr>
      <w:tr w:rsidR="00DA74BA" w:rsidRPr="00DA74BA" w:rsidTr="00A87AF2">
        <w:trPr>
          <w:trHeight w:val="397"/>
        </w:trPr>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rPr>
                <w:rFonts w:ascii="Arial" w:hAnsi="Arial" w:cs="Arial"/>
                <w:lang w:val="es-ES" w:bidi="bn-IN"/>
              </w:rPr>
            </w:pPr>
            <w:proofErr w:type="spellStart"/>
            <w:r w:rsidRPr="00DA74BA">
              <w:rPr>
                <w:rFonts w:ascii="Arial" w:hAnsi="Arial" w:cs="Arial"/>
                <w:lang w:val="es-ES" w:bidi="bn-IN"/>
              </w:rPr>
              <w:t>Cumaral</w:t>
            </w:r>
            <w:proofErr w:type="spellEnd"/>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227</w:t>
            </w:r>
          </w:p>
        </w:tc>
        <w:tc>
          <w:tcPr>
            <w:tcW w:w="567" w:type="dxa"/>
            <w:tcBorders>
              <w:top w:val="single" w:sz="4" w:space="0" w:color="auto"/>
              <w:left w:val="single" w:sz="4" w:space="0" w:color="auto"/>
              <w:bottom w:val="single" w:sz="4" w:space="0" w:color="auto"/>
              <w:right w:val="single" w:sz="4" w:space="0" w:color="auto"/>
            </w:tcBorders>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w:t>
            </w:r>
          </w:p>
        </w:tc>
      </w:tr>
      <w:tr w:rsidR="00DA74BA" w:rsidRPr="00DA74BA" w:rsidTr="00A87AF2">
        <w:trPr>
          <w:trHeight w:val="397"/>
        </w:trPr>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Granada</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704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774</w:t>
            </w:r>
          </w:p>
        </w:tc>
        <w:tc>
          <w:tcPr>
            <w:tcW w:w="567" w:type="dxa"/>
            <w:tcBorders>
              <w:top w:val="single" w:sz="4" w:space="0" w:color="auto"/>
              <w:left w:val="single" w:sz="4" w:space="0" w:color="auto"/>
              <w:bottom w:val="single" w:sz="4" w:space="0" w:color="auto"/>
              <w:right w:val="single" w:sz="4" w:space="0" w:color="auto"/>
            </w:tcBorders>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4</w:t>
            </w:r>
          </w:p>
        </w:tc>
      </w:tr>
      <w:tr w:rsidR="00DA74BA" w:rsidRPr="00DA74BA" w:rsidTr="00A87AF2">
        <w:trPr>
          <w:trHeight w:val="397"/>
        </w:trPr>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La Macarena</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w:t>
            </w:r>
          </w:p>
        </w:tc>
        <w:tc>
          <w:tcPr>
            <w:tcW w:w="567" w:type="dxa"/>
            <w:tcBorders>
              <w:top w:val="single" w:sz="4" w:space="0" w:color="auto"/>
              <w:left w:val="single" w:sz="4" w:space="0" w:color="auto"/>
              <w:bottom w:val="single" w:sz="4" w:space="0" w:color="auto"/>
              <w:right w:val="single" w:sz="4" w:space="0" w:color="auto"/>
            </w:tcBorders>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w:t>
            </w:r>
          </w:p>
        </w:tc>
      </w:tr>
      <w:tr w:rsidR="00DA74BA" w:rsidRPr="00DA74BA" w:rsidTr="00A87AF2">
        <w:trPr>
          <w:trHeight w:val="397"/>
        </w:trPr>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San Juan de Arama</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16</w:t>
            </w:r>
          </w:p>
        </w:tc>
        <w:tc>
          <w:tcPr>
            <w:tcW w:w="567" w:type="dxa"/>
            <w:tcBorders>
              <w:top w:val="single" w:sz="4" w:space="0" w:color="auto"/>
              <w:left w:val="single" w:sz="4" w:space="0" w:color="auto"/>
              <w:bottom w:val="single" w:sz="4" w:space="0" w:color="auto"/>
              <w:right w:val="single" w:sz="4" w:space="0" w:color="auto"/>
            </w:tcBorders>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w:t>
            </w:r>
          </w:p>
        </w:tc>
      </w:tr>
      <w:tr w:rsidR="00DA74BA" w:rsidRPr="00DA74BA" w:rsidTr="00A87AF2">
        <w:trPr>
          <w:trHeight w:val="397"/>
        </w:trPr>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rPr>
                <w:rFonts w:ascii="Arial" w:hAnsi="Arial" w:cs="Arial"/>
                <w:lang w:val="es-ES" w:bidi="bn-IN"/>
              </w:rPr>
            </w:pPr>
            <w:r w:rsidRPr="00DA74BA">
              <w:rPr>
                <w:rFonts w:ascii="Arial" w:hAnsi="Arial" w:cs="Arial"/>
                <w:lang w:val="es-ES" w:bidi="bn-IN"/>
              </w:rPr>
              <w:t>San Martin</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43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44</w:t>
            </w:r>
          </w:p>
        </w:tc>
        <w:tc>
          <w:tcPr>
            <w:tcW w:w="567" w:type="dxa"/>
            <w:tcBorders>
              <w:top w:val="single" w:sz="4" w:space="0" w:color="auto"/>
              <w:left w:val="single" w:sz="4" w:space="0" w:color="auto"/>
              <w:bottom w:val="single" w:sz="4" w:space="0" w:color="auto"/>
              <w:right w:val="single" w:sz="4" w:space="0" w:color="auto"/>
            </w:tcBorders>
            <w:vAlign w:val="center"/>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w:t>
            </w:r>
          </w:p>
        </w:tc>
      </w:tr>
      <w:tr w:rsidR="00DA74BA" w:rsidRPr="00DA74BA" w:rsidTr="00A87AF2">
        <w:trPr>
          <w:trHeight w:val="397"/>
        </w:trPr>
        <w:tc>
          <w:tcPr>
            <w:tcW w:w="160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A74BA" w:rsidRPr="00DA74BA" w:rsidRDefault="00DA74BA" w:rsidP="00A87AF2">
            <w:pPr>
              <w:spacing w:line="360" w:lineRule="auto"/>
              <w:rPr>
                <w:rFonts w:ascii="Arial" w:hAnsi="Arial" w:cs="Arial"/>
                <w:b/>
                <w:bCs/>
                <w:lang w:val="es-ES" w:bidi="bn-IN"/>
              </w:rPr>
            </w:pPr>
            <w:r w:rsidRPr="00DA74BA">
              <w:rPr>
                <w:rFonts w:ascii="Arial" w:hAnsi="Arial" w:cs="Arial"/>
                <w:b/>
                <w:bCs/>
                <w:lang w:val="es-ES" w:bidi="bn-IN"/>
              </w:rPr>
              <w:t>Total</w:t>
            </w:r>
          </w:p>
        </w:tc>
        <w:tc>
          <w:tcPr>
            <w:tcW w:w="1165"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1123</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5947</w:t>
            </w:r>
          </w:p>
        </w:tc>
        <w:tc>
          <w:tcPr>
            <w:tcW w:w="1275"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25577</w:t>
            </w:r>
          </w:p>
        </w:tc>
        <w:tc>
          <w:tcPr>
            <w:tcW w:w="156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947</w:t>
            </w:r>
          </w:p>
        </w:tc>
        <w:tc>
          <w:tcPr>
            <w:tcW w:w="992"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171</w:t>
            </w:r>
          </w:p>
        </w:tc>
        <w:tc>
          <w:tcPr>
            <w:tcW w:w="992"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33765</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37</w:t>
            </w:r>
          </w:p>
        </w:tc>
      </w:tr>
    </w:tbl>
    <w:p w:rsidR="00DA74BA" w:rsidRPr="00DA74BA" w:rsidRDefault="00DA74BA" w:rsidP="00DA74BA">
      <w:pPr>
        <w:spacing w:line="360" w:lineRule="auto"/>
        <w:jc w:val="both"/>
        <w:rPr>
          <w:rFonts w:ascii="Arial" w:hAnsi="Arial" w:cs="Arial"/>
          <w:lang w:val="es-ES"/>
        </w:rPr>
      </w:pP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t xml:space="preserve">Entre las principales instituciones de educación superior que actualmente ofrecen sus servicios en la ciudad de Villavicencio se encuentra la </w:t>
      </w:r>
      <w:hyperlink r:id="rId9" w:tgtFrame="_blank" w:tooltip="Universidad de los Llanos" w:history="1">
        <w:r w:rsidRPr="00DA74BA">
          <w:rPr>
            <w:rFonts w:ascii="Arial" w:hAnsi="Arial" w:cs="Arial"/>
            <w:lang w:val="es-ES" w:bidi="bn-IN"/>
          </w:rPr>
          <w:t>Universidad de los Llanos</w:t>
        </w:r>
      </w:hyperlink>
      <w:r w:rsidRPr="00DA74BA">
        <w:rPr>
          <w:rFonts w:ascii="Arial" w:hAnsi="Arial" w:cs="Arial"/>
          <w:lang w:val="es-ES" w:bidi="bn-IN"/>
        </w:rPr>
        <w:t>: Institución de Educación Superior Pública de orden nacional, la primera universidad de la ciudad y de la región, cuenta tres sedes actualmente activas y una más que entrará en funcionamiento y que ya cuenta con autorización del Ministerio de Educación en el Municipio de Granada.</w:t>
      </w: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t>Si bien Villavicencio ha tenido un crecimiento notable en el número de estudiantes en programas de formación técnica profesional, maestría y formación tecnológica, debe notarse que el número de estudiantes matriculados entre 2012 y 2016, en programas de especialización, estuvo por debajo del número alcanzado en 2011. Esta situación preocupa dado el hecho que este tipo de formación contribuye significativamente en la mejora de la calidad y profundización de los conocimientos de los profesionales que laboran en la región y, consecuentemente, en la calidad de los servicios que prestan, por lo que se puede afirmar que impactan de manera directa en la productividad y competitividad de la ciudad y la región.</w:t>
      </w:r>
    </w:p>
    <w:p w:rsidR="00DA74BA" w:rsidRPr="00DA74BA" w:rsidRDefault="00DA74BA" w:rsidP="00DA74BA">
      <w:pPr>
        <w:spacing w:line="360" w:lineRule="auto"/>
        <w:jc w:val="both"/>
        <w:rPr>
          <w:rFonts w:ascii="Arial" w:hAnsi="Arial" w:cs="Arial"/>
          <w:lang w:val="es-ES"/>
        </w:rPr>
      </w:pPr>
    </w:p>
    <w:p w:rsidR="00DA74BA" w:rsidRPr="00DA74BA" w:rsidRDefault="00DA74BA" w:rsidP="00DA74BA">
      <w:pPr>
        <w:spacing w:line="360" w:lineRule="auto"/>
        <w:jc w:val="both"/>
        <w:rPr>
          <w:rFonts w:ascii="Arial" w:hAnsi="Arial" w:cs="Arial"/>
          <w:lang w:val="es-ES"/>
        </w:rPr>
      </w:pPr>
    </w:p>
    <w:p w:rsidR="00DA74BA" w:rsidRPr="00DA74BA" w:rsidRDefault="00DA74BA" w:rsidP="00DA74BA">
      <w:pPr>
        <w:spacing w:line="360" w:lineRule="auto"/>
        <w:jc w:val="both"/>
        <w:rPr>
          <w:rFonts w:ascii="Arial" w:hAnsi="Arial" w:cs="Arial"/>
          <w:lang w:val="es-ES"/>
        </w:rPr>
      </w:pP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1205"/>
        <w:gridCol w:w="1281"/>
        <w:gridCol w:w="1324"/>
        <w:gridCol w:w="1596"/>
        <w:gridCol w:w="1023"/>
        <w:gridCol w:w="1345"/>
      </w:tblGrid>
      <w:tr w:rsidR="00DA74BA" w:rsidRPr="00DA74BA" w:rsidTr="00A87AF2">
        <w:trPr>
          <w:trHeight w:val="900"/>
        </w:trPr>
        <w:tc>
          <w:tcPr>
            <w:tcW w:w="8801" w:type="dxa"/>
            <w:gridSpan w:val="7"/>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Estudiantes de Educación Superior matriculados en la ciudad de Villavicencio por tipo de formación</w:t>
            </w:r>
            <w:r w:rsidRPr="00DA74BA">
              <w:rPr>
                <w:rStyle w:val="Refdenotaalpie"/>
                <w:rFonts w:ascii="Arial" w:hAnsi="Arial" w:cs="Arial"/>
                <w:b/>
                <w:bCs/>
                <w:lang w:val="es-ES" w:bidi="bn-IN"/>
              </w:rPr>
              <w:footnoteReference w:id="4"/>
            </w:r>
          </w:p>
        </w:tc>
      </w:tr>
      <w:tr w:rsidR="00DA74BA" w:rsidRPr="00DA74BA" w:rsidTr="00A87AF2">
        <w:trPr>
          <w:trHeight w:val="613"/>
        </w:trPr>
        <w:tc>
          <w:tcPr>
            <w:tcW w:w="1174" w:type="dxa"/>
            <w:vMerge w:val="restart"/>
            <w:shd w:val="clear" w:color="auto" w:fill="F2F2F2"/>
            <w:vAlign w:val="center"/>
            <w:hideMark/>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Año</w:t>
            </w:r>
          </w:p>
        </w:tc>
        <w:tc>
          <w:tcPr>
            <w:tcW w:w="3646" w:type="dxa"/>
            <w:gridSpan w:val="3"/>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Pregrado</w:t>
            </w:r>
          </w:p>
        </w:tc>
        <w:tc>
          <w:tcPr>
            <w:tcW w:w="2551" w:type="dxa"/>
            <w:gridSpan w:val="2"/>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Posgrado</w:t>
            </w:r>
          </w:p>
        </w:tc>
        <w:tc>
          <w:tcPr>
            <w:tcW w:w="1430" w:type="dxa"/>
            <w:vMerge w:val="restart"/>
            <w:shd w:val="clear" w:color="auto" w:fill="F2F2F2"/>
            <w:vAlign w:val="center"/>
            <w:hideMark/>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Total Estudiantes Matriculados en IES</w:t>
            </w:r>
          </w:p>
        </w:tc>
      </w:tr>
      <w:tr w:rsidR="00DA74BA" w:rsidRPr="00DA74BA" w:rsidTr="00A87AF2">
        <w:trPr>
          <w:trHeight w:val="721"/>
        </w:trPr>
        <w:tc>
          <w:tcPr>
            <w:tcW w:w="1174" w:type="dxa"/>
            <w:vMerge/>
            <w:shd w:val="clear" w:color="auto" w:fill="F2F2F2"/>
            <w:vAlign w:val="center"/>
          </w:tcPr>
          <w:p w:rsidR="00DA74BA" w:rsidRPr="00DA74BA" w:rsidRDefault="00DA74BA" w:rsidP="00A87AF2">
            <w:pPr>
              <w:spacing w:line="360" w:lineRule="auto"/>
              <w:jc w:val="center"/>
              <w:rPr>
                <w:rFonts w:ascii="Arial" w:hAnsi="Arial" w:cs="Arial"/>
                <w:b/>
                <w:bCs/>
                <w:lang w:val="es-ES" w:bidi="bn-IN"/>
              </w:rPr>
            </w:pPr>
          </w:p>
        </w:tc>
        <w:tc>
          <w:tcPr>
            <w:tcW w:w="1305"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Técnica Profesional</w:t>
            </w:r>
          </w:p>
        </w:tc>
        <w:tc>
          <w:tcPr>
            <w:tcW w:w="1207"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Tecnológica</w:t>
            </w:r>
          </w:p>
        </w:tc>
        <w:tc>
          <w:tcPr>
            <w:tcW w:w="1134"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Universitaria</w:t>
            </w:r>
          </w:p>
        </w:tc>
        <w:tc>
          <w:tcPr>
            <w:tcW w:w="1417"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Especialización</w:t>
            </w:r>
          </w:p>
        </w:tc>
        <w:tc>
          <w:tcPr>
            <w:tcW w:w="1134" w:type="dxa"/>
            <w:shd w:val="clear" w:color="auto" w:fill="F2F2F2"/>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Maestría</w:t>
            </w:r>
          </w:p>
        </w:tc>
        <w:tc>
          <w:tcPr>
            <w:tcW w:w="1430" w:type="dxa"/>
            <w:vMerge/>
            <w:shd w:val="clear" w:color="auto" w:fill="F2F2F2"/>
            <w:vAlign w:val="center"/>
          </w:tcPr>
          <w:p w:rsidR="00DA74BA" w:rsidRPr="00DA74BA" w:rsidRDefault="00DA74BA" w:rsidP="00A87AF2">
            <w:pPr>
              <w:spacing w:line="360" w:lineRule="auto"/>
              <w:jc w:val="center"/>
              <w:rPr>
                <w:rFonts w:ascii="Arial" w:hAnsi="Arial" w:cs="Arial"/>
                <w:b/>
                <w:bCs/>
                <w:lang w:val="es-ES" w:bidi="bn-IN"/>
              </w:rPr>
            </w:pPr>
          </w:p>
        </w:tc>
      </w:tr>
      <w:tr w:rsidR="00DA74BA" w:rsidRPr="00DA74BA" w:rsidTr="00A87AF2">
        <w:trPr>
          <w:trHeight w:val="454"/>
        </w:trPr>
        <w:tc>
          <w:tcPr>
            <w:tcW w:w="117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2011</w:t>
            </w:r>
          </w:p>
        </w:tc>
        <w:tc>
          <w:tcPr>
            <w:tcW w:w="1305"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215</w:t>
            </w:r>
          </w:p>
        </w:tc>
        <w:tc>
          <w:tcPr>
            <w:tcW w:w="120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3.134</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16.819</w:t>
            </w:r>
          </w:p>
        </w:tc>
        <w:tc>
          <w:tcPr>
            <w:tcW w:w="141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852</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44</w:t>
            </w:r>
          </w:p>
        </w:tc>
        <w:tc>
          <w:tcPr>
            <w:tcW w:w="1430"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21.064</w:t>
            </w:r>
          </w:p>
        </w:tc>
      </w:tr>
      <w:tr w:rsidR="00DA74BA" w:rsidRPr="00DA74BA" w:rsidTr="00A87AF2">
        <w:trPr>
          <w:trHeight w:val="454"/>
        </w:trPr>
        <w:tc>
          <w:tcPr>
            <w:tcW w:w="117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2012</w:t>
            </w:r>
          </w:p>
        </w:tc>
        <w:tc>
          <w:tcPr>
            <w:tcW w:w="1305"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278</w:t>
            </w:r>
          </w:p>
        </w:tc>
        <w:tc>
          <w:tcPr>
            <w:tcW w:w="120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3.340</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18.202</w:t>
            </w:r>
          </w:p>
        </w:tc>
        <w:tc>
          <w:tcPr>
            <w:tcW w:w="141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703</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63</w:t>
            </w:r>
          </w:p>
        </w:tc>
        <w:tc>
          <w:tcPr>
            <w:tcW w:w="1430"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22.586</w:t>
            </w:r>
          </w:p>
        </w:tc>
      </w:tr>
      <w:tr w:rsidR="00DA74BA" w:rsidRPr="00DA74BA" w:rsidTr="00A87AF2">
        <w:trPr>
          <w:trHeight w:val="454"/>
        </w:trPr>
        <w:tc>
          <w:tcPr>
            <w:tcW w:w="117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2013</w:t>
            </w:r>
          </w:p>
        </w:tc>
        <w:tc>
          <w:tcPr>
            <w:tcW w:w="1305"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577</w:t>
            </w:r>
          </w:p>
        </w:tc>
        <w:tc>
          <w:tcPr>
            <w:tcW w:w="120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3.745</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20.085</w:t>
            </w:r>
          </w:p>
        </w:tc>
        <w:tc>
          <w:tcPr>
            <w:tcW w:w="141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760</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89</w:t>
            </w:r>
          </w:p>
        </w:tc>
        <w:tc>
          <w:tcPr>
            <w:tcW w:w="1430"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25.256</w:t>
            </w:r>
          </w:p>
        </w:tc>
      </w:tr>
      <w:tr w:rsidR="00DA74BA" w:rsidRPr="00DA74BA" w:rsidTr="00A87AF2">
        <w:trPr>
          <w:trHeight w:val="454"/>
        </w:trPr>
        <w:tc>
          <w:tcPr>
            <w:tcW w:w="117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2014</w:t>
            </w:r>
          </w:p>
        </w:tc>
        <w:tc>
          <w:tcPr>
            <w:tcW w:w="1305"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1.091</w:t>
            </w:r>
          </w:p>
        </w:tc>
        <w:tc>
          <w:tcPr>
            <w:tcW w:w="120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4.179</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20.974</w:t>
            </w:r>
          </w:p>
        </w:tc>
        <w:tc>
          <w:tcPr>
            <w:tcW w:w="141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524</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170</w:t>
            </w:r>
          </w:p>
        </w:tc>
        <w:tc>
          <w:tcPr>
            <w:tcW w:w="1430"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26.938</w:t>
            </w:r>
          </w:p>
        </w:tc>
      </w:tr>
      <w:tr w:rsidR="00DA74BA" w:rsidRPr="00DA74BA" w:rsidTr="00A87AF2">
        <w:trPr>
          <w:trHeight w:val="454"/>
        </w:trPr>
        <w:tc>
          <w:tcPr>
            <w:tcW w:w="117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2015</w:t>
            </w:r>
          </w:p>
        </w:tc>
        <w:tc>
          <w:tcPr>
            <w:tcW w:w="1305"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896</w:t>
            </w:r>
          </w:p>
        </w:tc>
        <w:tc>
          <w:tcPr>
            <w:tcW w:w="120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5.352</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21.719</w:t>
            </w:r>
          </w:p>
        </w:tc>
        <w:tc>
          <w:tcPr>
            <w:tcW w:w="1417"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742</w:t>
            </w:r>
          </w:p>
        </w:tc>
        <w:tc>
          <w:tcPr>
            <w:tcW w:w="1134"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175</w:t>
            </w:r>
          </w:p>
        </w:tc>
        <w:tc>
          <w:tcPr>
            <w:tcW w:w="1430" w:type="dxa"/>
            <w:shd w:val="clear" w:color="auto" w:fill="auto"/>
            <w:noWrap/>
            <w:vAlign w:val="center"/>
            <w:hideMark/>
          </w:tcPr>
          <w:p w:rsidR="00DA74BA" w:rsidRPr="00DA74BA" w:rsidRDefault="00DA74BA" w:rsidP="00A87AF2">
            <w:pPr>
              <w:spacing w:line="360" w:lineRule="auto"/>
              <w:jc w:val="right"/>
              <w:rPr>
                <w:rFonts w:ascii="Arial" w:hAnsi="Arial" w:cs="Arial"/>
                <w:lang w:val="es-ES" w:bidi="bn-IN"/>
              </w:rPr>
            </w:pPr>
            <w:r w:rsidRPr="00DA74BA">
              <w:rPr>
                <w:rFonts w:ascii="Arial" w:hAnsi="Arial" w:cs="Arial"/>
                <w:lang w:val="es-ES" w:bidi="bn-IN"/>
              </w:rPr>
              <w:t>28.884</w:t>
            </w:r>
          </w:p>
        </w:tc>
      </w:tr>
      <w:tr w:rsidR="00DA74BA" w:rsidRPr="00DA74BA" w:rsidTr="00A87AF2">
        <w:trPr>
          <w:trHeight w:val="454"/>
        </w:trPr>
        <w:tc>
          <w:tcPr>
            <w:tcW w:w="1174" w:type="dxa"/>
            <w:shd w:val="clear" w:color="auto" w:fill="F2F2F2"/>
            <w:noWrap/>
            <w:vAlign w:val="center"/>
            <w:hideMark/>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2016</w:t>
            </w:r>
          </w:p>
        </w:tc>
        <w:tc>
          <w:tcPr>
            <w:tcW w:w="1305" w:type="dxa"/>
            <w:shd w:val="clear" w:color="auto" w:fill="F2F2F2"/>
            <w:noWrap/>
            <w:vAlign w:val="center"/>
            <w:hideMark/>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1.101</w:t>
            </w:r>
          </w:p>
        </w:tc>
        <w:tc>
          <w:tcPr>
            <w:tcW w:w="1207" w:type="dxa"/>
            <w:shd w:val="clear" w:color="auto" w:fill="F2F2F2"/>
            <w:noWrap/>
            <w:vAlign w:val="center"/>
            <w:hideMark/>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5.046</w:t>
            </w:r>
          </w:p>
        </w:tc>
        <w:tc>
          <w:tcPr>
            <w:tcW w:w="1134" w:type="dxa"/>
            <w:shd w:val="clear" w:color="auto" w:fill="F2F2F2"/>
            <w:noWrap/>
            <w:vAlign w:val="center"/>
            <w:hideMark/>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23.271</w:t>
            </w:r>
          </w:p>
        </w:tc>
        <w:tc>
          <w:tcPr>
            <w:tcW w:w="1417" w:type="dxa"/>
            <w:shd w:val="clear" w:color="auto" w:fill="F2F2F2"/>
            <w:noWrap/>
            <w:vAlign w:val="center"/>
            <w:hideMark/>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842</w:t>
            </w:r>
          </w:p>
        </w:tc>
        <w:tc>
          <w:tcPr>
            <w:tcW w:w="1134" w:type="dxa"/>
            <w:shd w:val="clear" w:color="auto" w:fill="F2F2F2"/>
            <w:noWrap/>
            <w:vAlign w:val="center"/>
            <w:hideMark/>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156</w:t>
            </w:r>
          </w:p>
        </w:tc>
        <w:tc>
          <w:tcPr>
            <w:tcW w:w="1430" w:type="dxa"/>
            <w:shd w:val="clear" w:color="auto" w:fill="F2F2F2"/>
            <w:noWrap/>
            <w:vAlign w:val="center"/>
            <w:hideMark/>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30.416</w:t>
            </w:r>
          </w:p>
        </w:tc>
      </w:tr>
      <w:tr w:rsidR="00DA74BA" w:rsidRPr="00DA74BA" w:rsidTr="00A87AF2">
        <w:trPr>
          <w:trHeight w:val="454"/>
        </w:trPr>
        <w:tc>
          <w:tcPr>
            <w:tcW w:w="1174" w:type="dxa"/>
            <w:shd w:val="clear" w:color="auto" w:fill="F2F2F2"/>
            <w:noWrap/>
            <w:vAlign w:val="center"/>
          </w:tcPr>
          <w:p w:rsidR="00DA74BA" w:rsidRPr="00DA74BA" w:rsidRDefault="00DA74BA" w:rsidP="00A87AF2">
            <w:pPr>
              <w:spacing w:line="360" w:lineRule="auto"/>
              <w:jc w:val="center"/>
              <w:rPr>
                <w:rFonts w:ascii="Arial" w:hAnsi="Arial" w:cs="Arial"/>
                <w:b/>
                <w:bCs/>
                <w:lang w:val="es-ES" w:bidi="bn-IN"/>
              </w:rPr>
            </w:pPr>
            <w:r w:rsidRPr="00DA74BA">
              <w:rPr>
                <w:rFonts w:ascii="Arial" w:hAnsi="Arial" w:cs="Arial"/>
                <w:b/>
                <w:bCs/>
                <w:lang w:val="es-ES" w:bidi="bn-IN"/>
              </w:rPr>
              <w:t>Varia-</w:t>
            </w:r>
            <w:proofErr w:type="spellStart"/>
            <w:r w:rsidRPr="00DA74BA">
              <w:rPr>
                <w:rFonts w:ascii="Arial" w:hAnsi="Arial" w:cs="Arial"/>
                <w:b/>
                <w:bCs/>
                <w:lang w:val="es-ES" w:bidi="bn-IN"/>
              </w:rPr>
              <w:t>ción</w:t>
            </w:r>
            <w:proofErr w:type="spellEnd"/>
            <w:r w:rsidRPr="00DA74BA">
              <w:rPr>
                <w:rFonts w:ascii="Arial" w:hAnsi="Arial" w:cs="Arial"/>
                <w:b/>
                <w:bCs/>
                <w:lang w:val="es-ES" w:bidi="bn-IN"/>
              </w:rPr>
              <w:t xml:space="preserve"> </w:t>
            </w:r>
            <w:proofErr w:type="spellStart"/>
            <w:r w:rsidRPr="00DA74BA">
              <w:rPr>
                <w:rFonts w:ascii="Arial" w:hAnsi="Arial" w:cs="Arial"/>
                <w:b/>
                <w:bCs/>
                <w:lang w:val="es-ES" w:bidi="bn-IN"/>
              </w:rPr>
              <w:t>Porcen-tual</w:t>
            </w:r>
            <w:proofErr w:type="spellEnd"/>
          </w:p>
        </w:tc>
        <w:tc>
          <w:tcPr>
            <w:tcW w:w="1305" w:type="dxa"/>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412%</w:t>
            </w:r>
          </w:p>
        </w:tc>
        <w:tc>
          <w:tcPr>
            <w:tcW w:w="1207" w:type="dxa"/>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61%</w:t>
            </w:r>
          </w:p>
        </w:tc>
        <w:tc>
          <w:tcPr>
            <w:tcW w:w="1134" w:type="dxa"/>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38%</w:t>
            </w:r>
          </w:p>
        </w:tc>
        <w:tc>
          <w:tcPr>
            <w:tcW w:w="1417" w:type="dxa"/>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-1%</w:t>
            </w:r>
          </w:p>
        </w:tc>
        <w:tc>
          <w:tcPr>
            <w:tcW w:w="1134" w:type="dxa"/>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255%</w:t>
            </w:r>
          </w:p>
        </w:tc>
        <w:tc>
          <w:tcPr>
            <w:tcW w:w="1430" w:type="dxa"/>
            <w:shd w:val="clear" w:color="auto" w:fill="F2F2F2"/>
            <w:noWrap/>
            <w:vAlign w:val="center"/>
          </w:tcPr>
          <w:p w:rsidR="00DA74BA" w:rsidRPr="00DA74BA" w:rsidRDefault="00DA74BA" w:rsidP="00A87AF2">
            <w:pPr>
              <w:spacing w:line="360" w:lineRule="auto"/>
              <w:jc w:val="right"/>
              <w:rPr>
                <w:rFonts w:ascii="Arial" w:hAnsi="Arial" w:cs="Arial"/>
                <w:b/>
                <w:bCs/>
                <w:lang w:val="es-ES" w:bidi="bn-IN"/>
              </w:rPr>
            </w:pPr>
            <w:r w:rsidRPr="00DA74BA">
              <w:rPr>
                <w:rFonts w:ascii="Arial" w:hAnsi="Arial" w:cs="Arial"/>
                <w:b/>
                <w:bCs/>
                <w:lang w:val="es-ES" w:bidi="bn-IN"/>
              </w:rPr>
              <w:t>44%</w:t>
            </w:r>
          </w:p>
        </w:tc>
      </w:tr>
    </w:tbl>
    <w:p w:rsidR="00DA74BA" w:rsidRPr="00DA74BA" w:rsidRDefault="00DA74BA" w:rsidP="00DA74BA">
      <w:pPr>
        <w:spacing w:line="360" w:lineRule="auto"/>
        <w:jc w:val="both"/>
        <w:rPr>
          <w:rFonts w:ascii="Arial" w:hAnsi="Arial" w:cs="Arial"/>
          <w:lang w:val="es-ES"/>
        </w:rPr>
      </w:pP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t>De acuerdo con lo anterior, es claro que el sector educativo superior viene registrando un crecimiento constante, pero que, para su consolidación en el largo plazo, se requiere un apoyo desde la institucionalidad especialmente en el acceso a los programas. Así, si se observa, por ejemplo, el caso de los programas de especialización se puede afirmar que se trata de un sector que puede registrar variaciones positivas como negativas por lo que se requiere del apoyo institucional que permita su fortalecimiento.</w:t>
      </w:r>
    </w:p>
    <w:p w:rsidR="00DA74BA" w:rsidRPr="00DA74BA" w:rsidRDefault="00DA74BA" w:rsidP="00DA74BA">
      <w:pPr>
        <w:spacing w:line="360" w:lineRule="auto"/>
        <w:jc w:val="both"/>
        <w:rPr>
          <w:rFonts w:ascii="Arial" w:hAnsi="Arial" w:cs="Arial"/>
          <w:lang w:val="es-ES"/>
        </w:rPr>
      </w:pP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t>Como se mostrará en la gráfica siguiente</w:t>
      </w:r>
      <w:r w:rsidRPr="00DA74BA">
        <w:rPr>
          <w:rStyle w:val="Refdenotaalpie"/>
          <w:rFonts w:ascii="Arial" w:hAnsi="Arial" w:cs="Arial"/>
          <w:lang w:val="es-ES"/>
        </w:rPr>
        <w:footnoteReference w:id="5"/>
      </w:r>
      <w:r w:rsidRPr="00DA74BA">
        <w:rPr>
          <w:rFonts w:ascii="Arial" w:hAnsi="Arial" w:cs="Arial"/>
          <w:lang w:val="es-ES"/>
        </w:rPr>
        <w:t xml:space="preserve">, la formación a nivel de título profesional o universitario sigue teniendo una altísima participación en la demanda educativa de la ciudad, lo cual demuestra que se requiere una institucionalidad con mayor capacidad de gestión para consolidar el acceso de los profesionales de la ciudad a programas de educación superior a nivel de posgrado -especializaciones, maestrías y doctorados-. </w:t>
      </w:r>
    </w:p>
    <w:p w:rsidR="00DA74BA" w:rsidRPr="00DA74BA" w:rsidRDefault="00DA74BA" w:rsidP="00DA74BA">
      <w:pPr>
        <w:spacing w:line="360" w:lineRule="auto"/>
        <w:jc w:val="center"/>
        <w:rPr>
          <w:rFonts w:ascii="Arial" w:hAnsi="Arial" w:cs="Arial"/>
          <w:lang w:val="es-ES"/>
        </w:rPr>
      </w:pPr>
      <w:r w:rsidRPr="00DA74BA">
        <w:rPr>
          <w:rFonts w:ascii="Arial" w:hAnsi="Arial" w:cs="Arial"/>
          <w:noProof/>
          <w:lang w:eastAsia="es-CO"/>
        </w:rPr>
        <w:drawing>
          <wp:inline distT="0" distB="0" distL="0" distR="0" wp14:anchorId="6E44638D" wp14:editId="50AC06D1">
            <wp:extent cx="4076700" cy="2392680"/>
            <wp:effectExtent l="0" t="0" r="0" b="0"/>
            <wp:docPr id="2" name="Gráfico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2392680"/>
                    </a:xfrm>
                    <a:prstGeom prst="rect">
                      <a:avLst/>
                    </a:prstGeom>
                    <a:noFill/>
                    <a:ln>
                      <a:noFill/>
                    </a:ln>
                  </pic:spPr>
                </pic:pic>
              </a:graphicData>
            </a:graphic>
          </wp:inline>
        </w:drawing>
      </w: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t>Por otra parte, es necesario considerar que el crecimiento de la demanda no se puede considerar como que la tarea sobre la cobertura tanto en el departamento como en la ciudad están cumplidas. Así entonces, el análisis de las necesidades y perspectivas de la educación superior en Villavicencio debe considerar el hecho que, al servir como punto de formación para estudiantes de distintas poblaciones del departamento, la ciudad debería tener como objetivo contribuir al mejoramiento de la tasa de cobertura del Meta, la cual, según información del Ministerio de Educación, fue de un 37,4% para 2016 es decir inferior a la media nacional, que se situó en 51,5% para el mismo año</w:t>
      </w:r>
      <w:r w:rsidRPr="00DA74BA">
        <w:rPr>
          <w:rStyle w:val="Refdenotaalpie"/>
          <w:rFonts w:ascii="Arial" w:hAnsi="Arial" w:cs="Arial"/>
          <w:lang w:val="es-ES"/>
        </w:rPr>
        <w:footnoteReference w:id="6"/>
      </w:r>
      <w:r w:rsidRPr="00DA74BA">
        <w:rPr>
          <w:rFonts w:ascii="Arial" w:hAnsi="Arial" w:cs="Arial"/>
          <w:lang w:val="es-ES"/>
        </w:rPr>
        <w:t>.</w:t>
      </w:r>
    </w:p>
    <w:p w:rsidR="00DA74BA" w:rsidRPr="00DA74BA" w:rsidRDefault="00DA74BA" w:rsidP="00DA74BA">
      <w:pPr>
        <w:spacing w:line="360" w:lineRule="auto"/>
        <w:jc w:val="both"/>
        <w:rPr>
          <w:rFonts w:ascii="Arial" w:eastAsia="MS Mincho" w:hAnsi="Arial" w:cs="Arial"/>
          <w:lang w:val="es-ES"/>
        </w:rPr>
      </w:pPr>
      <w:r w:rsidRPr="00DA74BA">
        <w:rPr>
          <w:rFonts w:ascii="Arial" w:hAnsi="Arial" w:cs="Arial"/>
          <w:lang w:val="es-ES"/>
        </w:rPr>
        <w:t xml:space="preserve">De lo expuesto, es claro que Villavicencio se viene consolidando de manera firme como un centro de formación de educación superior de la región de la Orinoquía. No obstante, esta tarea no está acabada y requiere del apoyo de una institucionalidad con una fuerte capacidad de gestión de recursos que pueda generar alianzas en todos los niveles de la administración, de manera que este sector pueda afianzar sus logros actuales y proyectarse </w:t>
      </w:r>
      <w:r w:rsidRPr="00DA74BA">
        <w:rPr>
          <w:rFonts w:ascii="Arial" w:hAnsi="Arial" w:cs="Arial"/>
          <w:lang w:val="es-ES"/>
        </w:rPr>
        <w:lastRenderedPageBreak/>
        <w:t xml:space="preserve">con seguridad en el mediano y largo plazo; objetivo éste que se puede conseguir si se logra que la ciudad cuente con un régimen que le permita gestionar de manera más eficiente sus recursos, como sería a través de la renovación de la estampilla </w:t>
      </w:r>
      <w:r w:rsidRPr="00DA74BA">
        <w:rPr>
          <w:rFonts w:ascii="Arial" w:hAnsi="Arial" w:cs="Arial"/>
        </w:rPr>
        <w:t>“Universidad de los Llanos”.</w:t>
      </w:r>
    </w:p>
    <w:p w:rsidR="00DA74BA" w:rsidRPr="00DA74BA" w:rsidRDefault="00DA74BA" w:rsidP="00DA74BA">
      <w:pPr>
        <w:pStyle w:val="Prrafodelista"/>
        <w:numPr>
          <w:ilvl w:val="0"/>
          <w:numId w:val="7"/>
        </w:numPr>
        <w:suppressAutoHyphens/>
        <w:adjustRightInd w:val="0"/>
        <w:spacing w:before="57" w:after="57" w:line="288" w:lineRule="auto"/>
        <w:textAlignment w:val="center"/>
        <w:rPr>
          <w:rFonts w:ascii="Arial" w:eastAsia="Times New Roman" w:hAnsi="Arial" w:cs="Arial"/>
          <w:b/>
          <w:i/>
          <w:lang w:eastAsia="es-CO"/>
        </w:rPr>
      </w:pPr>
      <w:r w:rsidRPr="00DA74BA">
        <w:rPr>
          <w:rFonts w:ascii="Arial" w:eastAsia="Times New Roman" w:hAnsi="Arial" w:cs="Arial"/>
          <w:b/>
          <w:i/>
          <w:lang w:eastAsia="es-CO"/>
        </w:rPr>
        <w:t>LA UNIVERSIDAD DE LOS LLANOS</w:t>
      </w:r>
    </w:p>
    <w:p w:rsidR="00FF6A5C" w:rsidRPr="00DA74BA" w:rsidRDefault="00FF6A5C" w:rsidP="00DA74BA">
      <w:pPr>
        <w:suppressAutoHyphens/>
        <w:autoSpaceDE w:val="0"/>
        <w:autoSpaceDN w:val="0"/>
        <w:adjustRightInd w:val="0"/>
        <w:spacing w:before="57" w:after="28"/>
        <w:ind w:right="49"/>
        <w:jc w:val="both"/>
        <w:rPr>
          <w:rFonts w:ascii="Arial" w:eastAsia="Century Gothic" w:hAnsi="Arial" w:cs="Arial"/>
          <w:b/>
        </w:rPr>
      </w:pPr>
    </w:p>
    <w:p w:rsidR="00DA74BA" w:rsidRPr="00DA74BA" w:rsidRDefault="00DA74BA" w:rsidP="00DA74BA">
      <w:pPr>
        <w:spacing w:after="0" w:line="360" w:lineRule="auto"/>
        <w:jc w:val="both"/>
        <w:rPr>
          <w:rFonts w:ascii="Arial" w:eastAsia="Times New Roman" w:hAnsi="Arial" w:cs="Arial"/>
          <w:lang w:eastAsia="es-CO"/>
        </w:rPr>
      </w:pPr>
      <w:r w:rsidRPr="00DA74BA">
        <w:rPr>
          <w:rFonts w:ascii="Arial" w:eastAsia="Times New Roman" w:hAnsi="Arial" w:cs="Arial"/>
          <w:lang w:eastAsia="es-CO"/>
        </w:rPr>
        <w:t>La Universidad de los Llanos es una Institución del Orden Nacional que desarrolla el servicio público de la Educación Superior, sujeta a inspección y vigilancia por el Ministerio de Educación Nacional.</w:t>
      </w:r>
    </w:p>
    <w:p w:rsidR="00DA74BA" w:rsidRPr="00DA74BA" w:rsidRDefault="00DA74BA" w:rsidP="00DA74BA">
      <w:pPr>
        <w:spacing w:before="75" w:after="75" w:line="360" w:lineRule="auto"/>
        <w:jc w:val="both"/>
        <w:rPr>
          <w:rFonts w:ascii="Arial" w:eastAsia="Times New Roman" w:hAnsi="Arial" w:cs="Arial"/>
          <w:lang w:eastAsia="es-CO"/>
        </w:rPr>
      </w:pPr>
      <w:r w:rsidRPr="00DA74BA">
        <w:rPr>
          <w:rFonts w:ascii="Arial" w:eastAsia="Times New Roman" w:hAnsi="Arial" w:cs="Arial"/>
          <w:lang w:eastAsia="es-CO"/>
        </w:rPr>
        <w:t>Creada mediante la Ley 8 de 1974 y el Decreto 2513 de noviembre 25 de 1974 expedido por el Ministerio de Educación Nacional; y reconocida como Universidad mediante la Resolución No. 03273 del 25 de junio de 1993 emanada del mismo Ministerio. Es un ente universitario autónomo, con carácter estatal, régimen especial, personería jurídica; al igual que en su gobierno, en su ejercicio académico, administrativo, financiero y presupuestal; con rentas y patrimonio propios e independientes; además, se encuentra vinculada al Ministerio de Educación Nacional en lo referente a la política y a la planeación del sector educativo, al Sistema Nacional de Ciencia y Tecnología y al Sistema Nacional de Cultura; se rige por la Constitución Política, la Ley 30 de 1992, las demás disposiciones que le sean aplicables de acuerdo con su régimen especial y las normas internas emitidas en ejercicio de su autonomía. </w:t>
      </w:r>
      <w:r w:rsidRPr="00DA74BA">
        <w:rPr>
          <w:rFonts w:ascii="Arial" w:eastAsia="Times New Roman" w:hAnsi="Arial" w:cs="Arial"/>
          <w:lang w:eastAsia="es-CO"/>
        </w:rPr>
        <w:br/>
      </w:r>
      <w:r w:rsidRPr="00DA74BA">
        <w:rPr>
          <w:rFonts w:ascii="Arial" w:eastAsia="Times New Roman" w:hAnsi="Arial" w:cs="Arial"/>
          <w:lang w:eastAsia="es-CO"/>
        </w:rPr>
        <w:br/>
        <w:t>La Universidad de los Llanos tiene domicilio principal en Villavicencio, capital del Departamento del Meta, República de Colombia. Sin embargo, con arreglo a la Ley y al Estatuto General, puede establecer seccionales y dependencias en cualquier lugar del territorio nacional, priorizando como área de influencia la Orinoquia Colombiana</w:t>
      </w:r>
      <w:r w:rsidRPr="00DA74BA">
        <w:rPr>
          <w:rStyle w:val="Refdenotaalpie"/>
          <w:rFonts w:ascii="Arial" w:eastAsia="Times New Roman" w:hAnsi="Arial" w:cs="Arial"/>
          <w:lang w:eastAsia="es-CO"/>
        </w:rPr>
        <w:footnoteReference w:id="7"/>
      </w:r>
      <w:r w:rsidRPr="00DA74BA">
        <w:rPr>
          <w:rFonts w:ascii="Arial" w:eastAsia="Times New Roman" w:hAnsi="Arial" w:cs="Arial"/>
          <w:lang w:eastAsia="es-CO"/>
        </w:rPr>
        <w:t>. </w:t>
      </w:r>
    </w:p>
    <w:p w:rsidR="00DA74BA" w:rsidRPr="00DA74BA" w:rsidRDefault="00DA74BA" w:rsidP="00DA74BA">
      <w:pPr>
        <w:spacing w:before="75" w:after="75" w:line="360" w:lineRule="auto"/>
        <w:jc w:val="both"/>
        <w:rPr>
          <w:rFonts w:ascii="Arial" w:eastAsia="Times New Roman" w:hAnsi="Arial" w:cs="Arial"/>
          <w:b/>
          <w:lang w:eastAsia="es-CO"/>
        </w:rPr>
      </w:pPr>
    </w:p>
    <w:p w:rsidR="00DA74BA" w:rsidRPr="00DA74BA" w:rsidRDefault="00DA74BA" w:rsidP="00DA74BA">
      <w:pPr>
        <w:pStyle w:val="Prrafodelista"/>
        <w:numPr>
          <w:ilvl w:val="0"/>
          <w:numId w:val="7"/>
        </w:numPr>
        <w:spacing w:before="75" w:after="75" w:line="360" w:lineRule="auto"/>
        <w:jc w:val="both"/>
        <w:rPr>
          <w:rFonts w:ascii="Arial" w:eastAsia="Times New Roman" w:hAnsi="Arial" w:cs="Arial"/>
          <w:b/>
          <w:lang w:eastAsia="es-CO"/>
        </w:rPr>
      </w:pPr>
      <w:r w:rsidRPr="00DA74BA">
        <w:rPr>
          <w:rFonts w:ascii="Arial" w:eastAsia="Times New Roman" w:hAnsi="Arial" w:cs="Arial"/>
          <w:b/>
          <w:lang w:eastAsia="es-CO"/>
        </w:rPr>
        <w:t>LA ESTAMPILLA “UNIVERSIDAD DE LOS LLANOS”</w:t>
      </w:r>
    </w:p>
    <w:p w:rsidR="00DA74BA" w:rsidRPr="00DA74BA" w:rsidRDefault="00DA74BA" w:rsidP="00830D97">
      <w:pPr>
        <w:suppressAutoHyphens/>
        <w:autoSpaceDE w:val="0"/>
        <w:autoSpaceDN w:val="0"/>
        <w:adjustRightInd w:val="0"/>
        <w:spacing w:before="57" w:after="28"/>
        <w:ind w:right="49"/>
        <w:jc w:val="both"/>
        <w:rPr>
          <w:rFonts w:ascii="Arial" w:eastAsia="Century Gothic" w:hAnsi="Arial" w:cs="Arial"/>
          <w:b/>
        </w:rPr>
      </w:pPr>
    </w:p>
    <w:p w:rsidR="00DA74BA" w:rsidRPr="00DA74BA" w:rsidRDefault="00C6589F" w:rsidP="00DA74BA">
      <w:pPr>
        <w:spacing w:line="360" w:lineRule="auto"/>
        <w:jc w:val="both"/>
        <w:rPr>
          <w:rFonts w:ascii="Arial" w:hAnsi="Arial" w:cs="Arial"/>
        </w:rPr>
      </w:pPr>
      <w:r w:rsidRPr="00DA74BA">
        <w:rPr>
          <w:rFonts w:ascii="Arial" w:hAnsi="Arial" w:cs="Arial"/>
        </w:rPr>
        <w:t>La Ley 1178 del 27 de diciembre de 2007 autorizó a la Asamblea Departamental del Meta y a los Concejos Municipales ordenar la emisión de la estampilla “Universidad de los Llanos, 32 años construye</w:t>
      </w:r>
      <w:r w:rsidR="00DA74BA" w:rsidRPr="00DA74BA">
        <w:rPr>
          <w:rFonts w:ascii="Arial" w:hAnsi="Arial" w:cs="Arial"/>
        </w:rPr>
        <w:t>ndo Orinoquía”. El artículo 3</w:t>
      </w:r>
      <w:r w:rsidRPr="00DA74BA">
        <w:rPr>
          <w:rFonts w:ascii="Arial" w:hAnsi="Arial" w:cs="Arial"/>
        </w:rPr>
        <w:t xml:space="preserve"> estableció que dichos recursos se destinarían exclusivamente al desarrollo científico en las líneas de investigación </w:t>
      </w:r>
      <w:r w:rsidRPr="00DA74BA">
        <w:rPr>
          <w:rFonts w:ascii="Arial" w:hAnsi="Arial" w:cs="Arial"/>
        </w:rPr>
        <w:lastRenderedPageBreak/>
        <w:t xml:space="preserve">institucionales y, a la apertura de nuevos programas académicos. De igual forma, designó la administración de los recursos al Consejo Superior de la Universidad de los Llanos. En consecuencia, la Asamblea Departamental del Meta a través de Ordenanza 662 del 29 de noviembre de 2008, autorizó la emisión de la estampilla “Universidad de los Llanos” y determinó el uso de este recaudo a lo indicado en la Ley 1178 de 2007. </w:t>
      </w:r>
    </w:p>
    <w:p w:rsidR="00DA74BA" w:rsidRPr="00DA74BA" w:rsidRDefault="00C6589F" w:rsidP="00DA74BA">
      <w:pPr>
        <w:spacing w:line="360" w:lineRule="auto"/>
        <w:jc w:val="both"/>
        <w:rPr>
          <w:rFonts w:ascii="Arial" w:hAnsi="Arial" w:cs="Arial"/>
        </w:rPr>
      </w:pPr>
      <w:r w:rsidRPr="00DA74BA">
        <w:rPr>
          <w:rFonts w:ascii="Arial" w:hAnsi="Arial" w:cs="Arial"/>
        </w:rPr>
        <w:t xml:space="preserve">Adicionalmente, los artículos 9°, 10° y 15° estipularon que el manejo de los recursos de estampilla se haría a través de la Junta Estampilla </w:t>
      </w:r>
      <w:proofErr w:type="spellStart"/>
      <w:r w:rsidRPr="00DA74BA">
        <w:rPr>
          <w:rFonts w:ascii="Arial" w:hAnsi="Arial" w:cs="Arial"/>
        </w:rPr>
        <w:t>Unillanos</w:t>
      </w:r>
      <w:proofErr w:type="spellEnd"/>
      <w:r w:rsidRPr="00DA74BA">
        <w:rPr>
          <w:rFonts w:ascii="Arial" w:hAnsi="Arial" w:cs="Arial"/>
        </w:rPr>
        <w:t xml:space="preserve">, la cual estaría integrada por el Gobernador del Departamento, el Rector de la Universidad, representante de los estudiantes ante el Consejo Superior de la Universidad, Secretario de Hacienda y Secretario de Planeación del Departamento. </w:t>
      </w:r>
    </w:p>
    <w:p w:rsidR="00DA74BA" w:rsidRPr="00DA74BA" w:rsidRDefault="00C6589F" w:rsidP="00DA74BA">
      <w:pPr>
        <w:spacing w:line="360" w:lineRule="auto"/>
        <w:jc w:val="both"/>
        <w:rPr>
          <w:rFonts w:ascii="Arial" w:hAnsi="Arial" w:cs="Arial"/>
        </w:rPr>
      </w:pPr>
      <w:r w:rsidRPr="00DA74BA">
        <w:rPr>
          <w:rFonts w:ascii="Arial" w:hAnsi="Arial" w:cs="Arial"/>
        </w:rPr>
        <w:t xml:space="preserve">A través de la Ordenanza 724 de 2010 se reglamentó el cobro de la estampilla a contratos que celebren el Departamento del Meta y municipios y sus entidades descentralizadas, Contraloría Departamental del Meta, Personerías Municipales del Departamento del Meta, cuyo valor supere el diez por ciento de la menor cuantía de la contratación de cada entidad, aplicando la tarifa del 1% sobre el valor del contrato. Adicionalmente, gravó las licencias de construcción expedidas en el Departamento del Meta. </w:t>
      </w:r>
    </w:p>
    <w:p w:rsidR="00DA74BA" w:rsidRPr="00DA74BA" w:rsidRDefault="00C6589F" w:rsidP="00DA74BA">
      <w:pPr>
        <w:spacing w:line="360" w:lineRule="auto"/>
        <w:jc w:val="both"/>
        <w:rPr>
          <w:rFonts w:ascii="Arial" w:hAnsi="Arial" w:cs="Arial"/>
        </w:rPr>
      </w:pPr>
      <w:r w:rsidRPr="00DA74BA">
        <w:rPr>
          <w:rFonts w:ascii="Arial" w:hAnsi="Arial" w:cs="Arial"/>
        </w:rPr>
        <w:t xml:space="preserve">La citada ordenanza excluyó de su cobro a los contratos y convenios interadministrativos suscritos entre las entidades públicas del orden nacional, departamental y municipal, a las empresas sociales del estado a nivel departamental y municipal, a excepción de la compra de equipos biomédicos y los servicios de transporte y a los contratos de prestación de servicios profesionales o no profesionales celebrados con personas naturales. </w:t>
      </w:r>
    </w:p>
    <w:p w:rsidR="00C122DF" w:rsidRPr="00DA74BA" w:rsidRDefault="00C6589F" w:rsidP="00DA74BA">
      <w:pPr>
        <w:spacing w:line="360" w:lineRule="auto"/>
        <w:jc w:val="both"/>
        <w:rPr>
          <w:rFonts w:ascii="Arial" w:hAnsi="Arial" w:cs="Arial"/>
        </w:rPr>
      </w:pPr>
      <w:r w:rsidRPr="00DA74BA">
        <w:rPr>
          <w:rFonts w:ascii="Arial" w:hAnsi="Arial" w:cs="Arial"/>
        </w:rPr>
        <w:t xml:space="preserve">De igual forma, la Ordenanza 761 de 2011 incluyó dentro de esta excepción a los contratos que celebren los entes territoriales con las </w:t>
      </w:r>
      <w:proofErr w:type="spellStart"/>
      <w:r w:rsidRPr="00DA74BA">
        <w:rPr>
          <w:rFonts w:ascii="Arial" w:hAnsi="Arial" w:cs="Arial"/>
        </w:rPr>
        <w:t>EPS´s</w:t>
      </w:r>
      <w:proofErr w:type="spellEnd"/>
      <w:r w:rsidRPr="00DA74BA">
        <w:rPr>
          <w:rFonts w:ascii="Arial" w:hAnsi="Arial" w:cs="Arial"/>
        </w:rPr>
        <w:t>. En virtud de lo normado, el Consejo Superior de la Universidad de los Llanos expidió el Acuerdo Superior 005 de 2011, donde aprueba la política de administración de los recursos recaudados de la estampilla “Universidad de los Llanos y distribuye los recursos en dos políticas; i) Desarrollo científico en líneas de investigación institucionales, ii) Apertura de nuevos programas y preparación de la región en competitividad y productividad. Adicionalmente para cada política se estableció una estrategia con el res</w:t>
      </w:r>
      <w:r w:rsidR="00DA74BA" w:rsidRPr="00DA74BA">
        <w:rPr>
          <w:rFonts w:ascii="Arial" w:hAnsi="Arial" w:cs="Arial"/>
        </w:rPr>
        <w:t>pectivo porcentaje de inversión</w:t>
      </w:r>
      <w:r w:rsidR="00DA74BA" w:rsidRPr="00DA74BA">
        <w:rPr>
          <w:rStyle w:val="Refdenotaalpie"/>
          <w:rFonts w:ascii="Arial" w:hAnsi="Arial" w:cs="Arial"/>
        </w:rPr>
        <w:footnoteReference w:id="8"/>
      </w:r>
      <w:r w:rsidR="00DA74BA" w:rsidRPr="00DA74BA">
        <w:rPr>
          <w:rFonts w:ascii="Arial" w:hAnsi="Arial" w:cs="Arial"/>
        </w:rPr>
        <w:t>.</w:t>
      </w:r>
    </w:p>
    <w:p w:rsidR="00DA74BA" w:rsidRPr="00DA74BA" w:rsidRDefault="00DA74BA" w:rsidP="00DA74BA">
      <w:pPr>
        <w:spacing w:line="360" w:lineRule="auto"/>
        <w:jc w:val="both"/>
        <w:rPr>
          <w:rFonts w:ascii="Arial" w:hAnsi="Arial" w:cs="Arial"/>
        </w:rPr>
      </w:pPr>
      <w:r w:rsidRPr="00DA74BA">
        <w:rPr>
          <w:rFonts w:ascii="Arial" w:hAnsi="Arial" w:cs="Arial"/>
        </w:rPr>
        <w:lastRenderedPageBreak/>
        <w:t>Entre el 2009 y 2018 (agosto) se ha recaudado la suma de $86 mil millones, según reportó la institución de educación superior, se ajustan a $61 mil millones, en lo concerniente al monto total autorizado ($100 mil millones en precios constantes de 2006), aún queda un remanente de $38 mil millones por recaudar que, a su vez, dependen de factores como el mismo nivel de precios y la dinámica económica del departamento que impulsa el mayor o menor grado de actos económicos sujetos de la estampilla.</w:t>
      </w:r>
    </w:p>
    <w:p w:rsidR="00DA74BA" w:rsidRPr="00DA74BA" w:rsidRDefault="00DA74BA" w:rsidP="00DA74BA">
      <w:pPr>
        <w:spacing w:line="360" w:lineRule="auto"/>
        <w:jc w:val="both"/>
        <w:rPr>
          <w:rFonts w:ascii="Arial" w:hAnsi="Arial" w:cs="Arial"/>
        </w:rPr>
      </w:pPr>
      <w:r w:rsidRPr="00DA74BA">
        <w:rPr>
          <w:rFonts w:ascii="Arial" w:hAnsi="Arial" w:cs="Arial"/>
        </w:rPr>
        <w:t xml:space="preserve">Así las cosas, se hace necesaria la renovación de la estampilla toda vez que cualquier tipo de afectación en las finanzas y rentas propias de la </w:t>
      </w:r>
      <w:proofErr w:type="spellStart"/>
      <w:r w:rsidRPr="00DA74BA">
        <w:rPr>
          <w:rFonts w:ascii="Arial" w:hAnsi="Arial" w:cs="Arial"/>
        </w:rPr>
        <w:t>Unillanos</w:t>
      </w:r>
      <w:proofErr w:type="spellEnd"/>
      <w:r w:rsidRPr="00DA74BA">
        <w:rPr>
          <w:rFonts w:ascii="Arial" w:hAnsi="Arial" w:cs="Arial"/>
        </w:rPr>
        <w:t xml:space="preserve"> generaría un impacto profundo en el nivel de acceso a educación superior no sólo del Meta, sino del resto de los Departamentos como Arauca, Casanare, Vichada y Guaviare, donde todas estas entidades territoriales registran menores niveles de tasa de cobertura. </w:t>
      </w:r>
    </w:p>
    <w:p w:rsidR="00DA74BA" w:rsidRDefault="00DA74BA" w:rsidP="00DA74BA">
      <w:pPr>
        <w:spacing w:line="360" w:lineRule="auto"/>
        <w:jc w:val="both"/>
        <w:rPr>
          <w:rFonts w:ascii="Arial" w:hAnsi="Arial" w:cs="Arial"/>
          <w:lang w:val="es-ES"/>
        </w:rPr>
      </w:pPr>
      <w:r w:rsidRPr="00DA74BA">
        <w:rPr>
          <w:rFonts w:ascii="Arial" w:hAnsi="Arial" w:cs="Arial"/>
        </w:rPr>
        <w:t>Los ingresos adicionales provenientes de la Estampilla tienen por finalidad recaudar recursos que permitan continuar consolidando a la IES como referente para la región y el país, resaltando</w:t>
      </w:r>
      <w:r w:rsidRPr="00DA74BA">
        <w:rPr>
          <w:rFonts w:ascii="Arial" w:hAnsi="Arial" w:cs="Arial"/>
          <w:lang w:val="es-ES"/>
        </w:rPr>
        <w:t xml:space="preserve"> el crecimiento de la demanda. </w:t>
      </w:r>
    </w:p>
    <w:p w:rsidR="00DA74BA" w:rsidRPr="00DA74BA" w:rsidRDefault="00DA74BA" w:rsidP="00DA74BA">
      <w:pPr>
        <w:spacing w:line="360" w:lineRule="auto"/>
        <w:jc w:val="both"/>
        <w:rPr>
          <w:rFonts w:ascii="Arial" w:hAnsi="Arial" w:cs="Arial"/>
          <w:lang w:val="es-ES"/>
        </w:rPr>
      </w:pPr>
      <w:r w:rsidRPr="00DA74BA">
        <w:rPr>
          <w:rFonts w:ascii="Arial" w:hAnsi="Arial" w:cs="Arial"/>
          <w:lang w:val="es-ES"/>
        </w:rPr>
        <w:t xml:space="preserve">Así entonces, el análisis de las necesidades y perspectivas de la educación superior en Villavicencio debe considerar el hecho que, al servir como punto de formación para estudiantes de distintas poblaciones del departamento, la Universidad de los Llanos se viene consolidando de manera firme como un centro de formación de educación superior de la región de la Orinoquía. No obstante, esta tarea no está acabada y requiere del apoyo de una institucionalidad con una fuerte capacidad de gestión de recursos que pueda generar alianzas en todos los niveles, de manera que este sector pueda afianzar sus logros actuales y proyectarse con seguridad en el mediano y largo plazo; objetivo éste que se puede conseguir si se logra que la universidad cuente mayores recursos, como sería a través de la renovación de la estampilla </w:t>
      </w:r>
      <w:r w:rsidRPr="00DA74BA">
        <w:rPr>
          <w:rFonts w:ascii="Arial" w:hAnsi="Arial" w:cs="Arial"/>
        </w:rPr>
        <w:t>“Universidad de los Llanos”.</w:t>
      </w:r>
    </w:p>
    <w:p w:rsidR="00DA74BA" w:rsidRPr="00DA74BA" w:rsidRDefault="00DA74BA" w:rsidP="006E1422">
      <w:pPr>
        <w:adjustRightInd w:val="0"/>
        <w:spacing w:line="240" w:lineRule="auto"/>
        <w:contextualSpacing/>
        <w:jc w:val="both"/>
        <w:textAlignment w:val="center"/>
        <w:rPr>
          <w:rFonts w:ascii="Arial" w:hAnsi="Arial" w:cs="Arial"/>
        </w:rPr>
      </w:pPr>
      <w:r w:rsidRPr="00DA74BA">
        <w:rPr>
          <w:rFonts w:ascii="Arial" w:hAnsi="Arial" w:cs="Arial"/>
        </w:rPr>
        <w:t xml:space="preserve">Cordialmente, </w:t>
      </w:r>
    </w:p>
    <w:p w:rsidR="00DA74BA" w:rsidRPr="00DA74BA" w:rsidRDefault="00DA74BA" w:rsidP="006E1422">
      <w:pPr>
        <w:adjustRightInd w:val="0"/>
        <w:spacing w:line="240" w:lineRule="auto"/>
        <w:contextualSpacing/>
        <w:jc w:val="both"/>
        <w:textAlignment w:val="center"/>
        <w:rPr>
          <w:rFonts w:ascii="Arial" w:hAnsi="Arial" w:cs="Arial"/>
        </w:rPr>
      </w:pPr>
    </w:p>
    <w:p w:rsidR="00DA74BA" w:rsidRPr="00DA74BA" w:rsidRDefault="00DA74BA" w:rsidP="006E1422">
      <w:pPr>
        <w:adjustRightInd w:val="0"/>
        <w:spacing w:line="240" w:lineRule="auto"/>
        <w:contextualSpacing/>
        <w:jc w:val="both"/>
        <w:textAlignment w:val="center"/>
        <w:rPr>
          <w:rFonts w:ascii="Arial" w:hAnsi="Arial" w:cs="Arial"/>
        </w:rPr>
      </w:pPr>
    </w:p>
    <w:p w:rsidR="00DA74BA" w:rsidRPr="00DA74BA" w:rsidRDefault="00DA74BA" w:rsidP="006E1422">
      <w:pPr>
        <w:adjustRightInd w:val="0"/>
        <w:spacing w:line="240" w:lineRule="auto"/>
        <w:contextualSpacing/>
        <w:jc w:val="both"/>
        <w:textAlignment w:val="center"/>
        <w:rPr>
          <w:rFonts w:ascii="Arial" w:hAnsi="Arial" w:cs="Arial"/>
        </w:rPr>
      </w:pPr>
    </w:p>
    <w:p w:rsidR="00DA74BA" w:rsidRPr="00DA74BA" w:rsidRDefault="00DA74BA" w:rsidP="006E1422">
      <w:pPr>
        <w:adjustRightInd w:val="0"/>
        <w:spacing w:line="240" w:lineRule="auto"/>
        <w:contextualSpacing/>
        <w:jc w:val="both"/>
        <w:textAlignment w:val="center"/>
        <w:rPr>
          <w:rFonts w:ascii="Arial" w:hAnsi="Arial" w:cs="Arial"/>
        </w:rPr>
      </w:pPr>
    </w:p>
    <w:p w:rsidR="00DA74BA" w:rsidRPr="00DA74BA" w:rsidRDefault="00DA74BA" w:rsidP="006E1422">
      <w:pPr>
        <w:adjustRightInd w:val="0"/>
        <w:spacing w:line="240" w:lineRule="auto"/>
        <w:contextualSpacing/>
        <w:jc w:val="both"/>
        <w:textAlignment w:val="center"/>
        <w:rPr>
          <w:rFonts w:ascii="Arial" w:hAnsi="Arial" w:cs="Arial"/>
        </w:rPr>
      </w:pPr>
    </w:p>
    <w:p w:rsidR="006E1422" w:rsidRPr="00DA74BA" w:rsidRDefault="006E1422" w:rsidP="006E1422">
      <w:pPr>
        <w:adjustRightInd w:val="0"/>
        <w:spacing w:line="240" w:lineRule="auto"/>
        <w:contextualSpacing/>
        <w:jc w:val="both"/>
        <w:textAlignment w:val="center"/>
        <w:rPr>
          <w:rFonts w:ascii="Arial" w:hAnsi="Arial" w:cs="Arial"/>
          <w:b/>
        </w:rPr>
      </w:pPr>
      <w:r w:rsidRPr="00DA74BA">
        <w:rPr>
          <w:rFonts w:ascii="Arial" w:hAnsi="Arial" w:cs="Arial"/>
          <w:b/>
        </w:rPr>
        <w:t xml:space="preserve">JAIME RODRIGUEZ CONTRERAS </w:t>
      </w:r>
      <w:r w:rsidRPr="00DA74BA">
        <w:rPr>
          <w:rFonts w:ascii="Arial" w:hAnsi="Arial" w:cs="Arial"/>
          <w:b/>
        </w:rPr>
        <w:tab/>
        <w:t xml:space="preserve"> </w:t>
      </w:r>
    </w:p>
    <w:p w:rsidR="006E1422" w:rsidRPr="00DA74BA" w:rsidRDefault="006E1422" w:rsidP="006E1422">
      <w:pPr>
        <w:adjustRightInd w:val="0"/>
        <w:spacing w:line="240" w:lineRule="auto"/>
        <w:contextualSpacing/>
        <w:jc w:val="both"/>
        <w:textAlignment w:val="center"/>
        <w:rPr>
          <w:rFonts w:ascii="Arial" w:hAnsi="Arial" w:cs="Arial"/>
        </w:rPr>
      </w:pPr>
      <w:r w:rsidRPr="00DA74BA">
        <w:rPr>
          <w:rFonts w:ascii="Arial" w:hAnsi="Arial" w:cs="Arial"/>
        </w:rPr>
        <w:t>Representante a la Cámara</w:t>
      </w:r>
      <w:r w:rsidRPr="00DA74BA">
        <w:rPr>
          <w:rFonts w:ascii="Arial" w:hAnsi="Arial" w:cs="Arial"/>
        </w:rPr>
        <w:tab/>
      </w:r>
      <w:r w:rsidRPr="00DA74BA">
        <w:rPr>
          <w:rFonts w:ascii="Arial" w:hAnsi="Arial" w:cs="Arial"/>
        </w:rPr>
        <w:tab/>
      </w:r>
      <w:r w:rsidRPr="00DA74BA">
        <w:rPr>
          <w:rFonts w:ascii="Arial" w:hAnsi="Arial" w:cs="Arial"/>
        </w:rPr>
        <w:tab/>
      </w:r>
    </w:p>
    <w:p w:rsidR="0099219C" w:rsidRPr="00DA74BA" w:rsidRDefault="006E1422" w:rsidP="00774E9A">
      <w:pPr>
        <w:adjustRightInd w:val="0"/>
        <w:spacing w:line="240" w:lineRule="auto"/>
        <w:contextualSpacing/>
        <w:jc w:val="both"/>
        <w:textAlignment w:val="center"/>
        <w:rPr>
          <w:rFonts w:ascii="Arial" w:hAnsi="Arial" w:cs="Arial"/>
        </w:rPr>
      </w:pPr>
      <w:r w:rsidRPr="00DA74BA">
        <w:rPr>
          <w:rFonts w:ascii="Arial" w:hAnsi="Arial" w:cs="Arial"/>
        </w:rPr>
        <w:t>Departamento de Meta</w:t>
      </w:r>
    </w:p>
    <w:sectPr w:rsidR="0099219C" w:rsidRPr="00DA74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F0" w:rsidRDefault="00D55DF0" w:rsidP="00EA0AD2">
      <w:pPr>
        <w:spacing w:after="0" w:line="240" w:lineRule="auto"/>
      </w:pPr>
      <w:r>
        <w:separator/>
      </w:r>
    </w:p>
  </w:endnote>
  <w:endnote w:type="continuationSeparator" w:id="0">
    <w:p w:rsidR="00D55DF0" w:rsidRDefault="00D55DF0" w:rsidP="00EA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F0" w:rsidRDefault="00D55DF0" w:rsidP="00EA0AD2">
      <w:pPr>
        <w:spacing w:after="0" w:line="240" w:lineRule="auto"/>
      </w:pPr>
      <w:r>
        <w:separator/>
      </w:r>
    </w:p>
  </w:footnote>
  <w:footnote w:type="continuationSeparator" w:id="0">
    <w:p w:rsidR="00D55DF0" w:rsidRDefault="00D55DF0" w:rsidP="00EA0AD2">
      <w:pPr>
        <w:spacing w:after="0" w:line="240" w:lineRule="auto"/>
      </w:pPr>
      <w:r>
        <w:continuationSeparator/>
      </w:r>
    </w:p>
  </w:footnote>
  <w:footnote w:id="1">
    <w:p w:rsidR="00DA74BA" w:rsidRPr="00892AB6" w:rsidRDefault="00DA74BA" w:rsidP="00DA74BA">
      <w:pPr>
        <w:pStyle w:val="Textonotapie"/>
        <w:jc w:val="both"/>
        <w:rPr>
          <w:rFonts w:ascii="Arial" w:hAnsi="Arial" w:cs="Arial"/>
          <w:sz w:val="18"/>
          <w:szCs w:val="18"/>
        </w:rPr>
      </w:pPr>
      <w:r w:rsidRPr="00892AB6">
        <w:rPr>
          <w:rStyle w:val="Refdenotaalpie"/>
          <w:rFonts w:ascii="Arial" w:hAnsi="Arial" w:cs="Arial"/>
          <w:sz w:val="18"/>
          <w:szCs w:val="18"/>
        </w:rPr>
        <w:footnoteRef/>
      </w:r>
      <w:r w:rsidRPr="004A7730">
        <w:rPr>
          <w:rFonts w:ascii="Arial" w:hAnsi="Arial" w:cs="Arial"/>
          <w:sz w:val="18"/>
          <w:szCs w:val="18"/>
        </w:rPr>
        <w:t xml:space="preserve"> </w:t>
      </w:r>
      <w:r w:rsidRPr="00892AB6">
        <w:rPr>
          <w:rFonts w:ascii="Arial" w:hAnsi="Arial" w:cs="Arial"/>
          <w:sz w:val="18"/>
          <w:szCs w:val="18"/>
        </w:rPr>
        <w:t xml:space="preserve">Fuente: Elaboración propia con datos del Ministerio de Educación Nacional e información tomada de </w:t>
      </w:r>
      <w:hyperlink r:id="rId1" w:history="1">
        <w:r w:rsidRPr="00E05EE7">
          <w:rPr>
            <w:rStyle w:val="Hipervnculo"/>
            <w:rFonts w:ascii="Arial" w:hAnsi="Arial" w:cs="Arial"/>
            <w:sz w:val="18"/>
            <w:szCs w:val="18"/>
          </w:rPr>
          <w:t>https://www.datos.gov.co/Educaci-n/MEN_ESTADISTICAS-MATRICULA-POR-MUNICIPIOS_ES/y9ga-zwzy</w:t>
        </w:r>
      </w:hyperlink>
      <w:r w:rsidRPr="00892AB6">
        <w:rPr>
          <w:rFonts w:ascii="Arial" w:hAnsi="Arial" w:cs="Arial"/>
          <w:sz w:val="18"/>
          <w:szCs w:val="18"/>
        </w:rPr>
        <w:t xml:space="preserve"> </w:t>
      </w:r>
    </w:p>
  </w:footnote>
  <w:footnote w:id="2">
    <w:p w:rsidR="00DA74BA" w:rsidRPr="00231A5E" w:rsidRDefault="00DA74BA" w:rsidP="00DA74BA">
      <w:pPr>
        <w:pStyle w:val="Textonotapie"/>
        <w:rPr>
          <w:sz w:val="22"/>
          <w:szCs w:val="22"/>
        </w:rPr>
      </w:pPr>
      <w:r w:rsidRPr="00892AB6">
        <w:rPr>
          <w:rStyle w:val="Refdenotaalpie"/>
          <w:rFonts w:ascii="Arial" w:hAnsi="Arial" w:cs="Arial"/>
          <w:sz w:val="18"/>
          <w:szCs w:val="18"/>
        </w:rPr>
        <w:footnoteRef/>
      </w:r>
      <w:r w:rsidRPr="004A7730">
        <w:rPr>
          <w:rFonts w:ascii="Arial" w:hAnsi="Arial" w:cs="Arial"/>
          <w:sz w:val="18"/>
          <w:szCs w:val="18"/>
        </w:rPr>
        <w:t xml:space="preserve"> </w:t>
      </w:r>
      <w:r w:rsidRPr="00892AB6">
        <w:rPr>
          <w:rFonts w:ascii="Arial" w:hAnsi="Arial" w:cs="Arial"/>
          <w:sz w:val="18"/>
          <w:szCs w:val="18"/>
        </w:rPr>
        <w:t xml:space="preserve">Fuente: </w:t>
      </w:r>
      <w:proofErr w:type="spellStart"/>
      <w:r w:rsidRPr="00892AB6">
        <w:rPr>
          <w:rFonts w:ascii="Arial" w:hAnsi="Arial" w:cs="Arial"/>
          <w:sz w:val="18"/>
          <w:szCs w:val="18"/>
        </w:rPr>
        <w:t>Ibidem</w:t>
      </w:r>
      <w:proofErr w:type="spellEnd"/>
      <w:r w:rsidRPr="00892AB6">
        <w:rPr>
          <w:rFonts w:ascii="Arial" w:hAnsi="Arial" w:cs="Arial"/>
          <w:sz w:val="18"/>
          <w:szCs w:val="18"/>
        </w:rPr>
        <w:t>.</w:t>
      </w:r>
    </w:p>
  </w:footnote>
  <w:footnote w:id="3">
    <w:p w:rsidR="00DA74BA" w:rsidRPr="004A7730" w:rsidRDefault="00DA74BA" w:rsidP="00DA74BA">
      <w:pPr>
        <w:pStyle w:val="Textonotapie"/>
        <w:jc w:val="both"/>
        <w:rPr>
          <w:rFonts w:ascii="Arial" w:hAnsi="Arial" w:cs="Arial"/>
          <w:sz w:val="18"/>
          <w:szCs w:val="18"/>
        </w:rPr>
      </w:pPr>
      <w:r w:rsidRPr="00892AB6">
        <w:rPr>
          <w:rStyle w:val="Refdenotaalpie"/>
          <w:rFonts w:ascii="Arial" w:hAnsi="Arial" w:cs="Arial"/>
          <w:sz w:val="18"/>
          <w:szCs w:val="18"/>
        </w:rPr>
        <w:footnoteRef/>
      </w:r>
      <w:r w:rsidRPr="004A7730">
        <w:rPr>
          <w:rFonts w:ascii="Arial" w:hAnsi="Arial" w:cs="Arial"/>
          <w:sz w:val="18"/>
          <w:szCs w:val="18"/>
        </w:rPr>
        <w:t xml:space="preserve"> </w:t>
      </w:r>
      <w:r w:rsidRPr="00892AB6">
        <w:rPr>
          <w:rFonts w:ascii="Arial" w:hAnsi="Arial" w:cs="Arial"/>
          <w:sz w:val="18"/>
          <w:szCs w:val="18"/>
        </w:rPr>
        <w:t xml:space="preserve">Fuente: Elaboración propia con datos del Ministerio de Educación Nacional e información tomada de </w:t>
      </w:r>
      <w:hyperlink r:id="rId2" w:history="1">
        <w:r w:rsidRPr="00E05EE7">
          <w:rPr>
            <w:rStyle w:val="Hipervnculo"/>
            <w:rFonts w:ascii="Arial" w:hAnsi="Arial" w:cs="Arial"/>
            <w:sz w:val="18"/>
            <w:szCs w:val="18"/>
          </w:rPr>
          <w:t>https://www.datos.gov.co/Educaci-n/MEN_ESTADISTICAS-MATRICULA-POR-MUNICIPIOS_ES/y9ga-zwzy</w:t>
        </w:r>
      </w:hyperlink>
    </w:p>
  </w:footnote>
  <w:footnote w:id="4">
    <w:p w:rsidR="00DA74BA" w:rsidRPr="004A7730" w:rsidRDefault="00DA74BA" w:rsidP="00DA74BA">
      <w:pPr>
        <w:pStyle w:val="Textonotapie"/>
        <w:jc w:val="both"/>
        <w:rPr>
          <w:rFonts w:ascii="Arial" w:hAnsi="Arial" w:cs="Arial"/>
          <w:sz w:val="18"/>
          <w:szCs w:val="18"/>
        </w:rPr>
      </w:pPr>
      <w:r w:rsidRPr="00892AB6">
        <w:rPr>
          <w:rStyle w:val="Refdenotaalpie"/>
          <w:rFonts w:ascii="Arial" w:hAnsi="Arial" w:cs="Arial"/>
          <w:sz w:val="18"/>
          <w:szCs w:val="18"/>
        </w:rPr>
        <w:footnoteRef/>
      </w:r>
      <w:r w:rsidRPr="004A7730">
        <w:rPr>
          <w:rFonts w:ascii="Arial" w:hAnsi="Arial" w:cs="Arial"/>
          <w:sz w:val="18"/>
          <w:szCs w:val="18"/>
        </w:rPr>
        <w:t xml:space="preserve"> </w:t>
      </w:r>
      <w:r w:rsidRPr="00892AB6">
        <w:rPr>
          <w:rFonts w:ascii="Arial" w:hAnsi="Arial" w:cs="Arial"/>
          <w:sz w:val="18"/>
          <w:szCs w:val="18"/>
        </w:rPr>
        <w:t xml:space="preserve">Fuente: Elaboración propia con datos del Ministerio de Educación Nacional e información tomada de </w:t>
      </w:r>
      <w:hyperlink r:id="rId3" w:history="1">
        <w:r w:rsidRPr="00E05EE7">
          <w:rPr>
            <w:rStyle w:val="Hipervnculo"/>
            <w:rFonts w:ascii="Arial" w:hAnsi="Arial" w:cs="Arial"/>
            <w:sz w:val="18"/>
            <w:szCs w:val="18"/>
          </w:rPr>
          <w:t>https://www.datos.gov.co/Educaci-n/MEN_ESTADISTICAS-MATRICULA-POR-MUNICIPIOS_ES/y9ga-zwzy</w:t>
        </w:r>
      </w:hyperlink>
    </w:p>
  </w:footnote>
  <w:footnote w:id="5">
    <w:p w:rsidR="00DA74BA" w:rsidRPr="004A7730" w:rsidRDefault="00DA74BA" w:rsidP="00DA74BA">
      <w:pPr>
        <w:pStyle w:val="Textonotapie"/>
        <w:jc w:val="both"/>
        <w:rPr>
          <w:rFonts w:ascii="Arial" w:hAnsi="Arial" w:cs="Arial"/>
          <w:sz w:val="18"/>
          <w:szCs w:val="18"/>
        </w:rPr>
      </w:pPr>
      <w:r w:rsidRPr="00892AB6">
        <w:rPr>
          <w:rStyle w:val="Refdenotaalpie"/>
          <w:rFonts w:ascii="Arial" w:hAnsi="Arial" w:cs="Arial"/>
          <w:sz w:val="18"/>
          <w:szCs w:val="18"/>
        </w:rPr>
        <w:footnoteRef/>
      </w:r>
      <w:r w:rsidRPr="004A7730">
        <w:rPr>
          <w:rFonts w:ascii="Arial" w:hAnsi="Arial" w:cs="Arial"/>
          <w:sz w:val="18"/>
          <w:szCs w:val="18"/>
        </w:rPr>
        <w:t xml:space="preserve"> </w:t>
      </w:r>
      <w:r w:rsidRPr="00892AB6">
        <w:rPr>
          <w:rFonts w:ascii="Arial" w:hAnsi="Arial" w:cs="Arial"/>
          <w:sz w:val="18"/>
          <w:szCs w:val="18"/>
        </w:rPr>
        <w:t xml:space="preserve">Fuente: Elaboración propia con datos del Ministerio de Educación Nacional e información tomada de </w:t>
      </w:r>
      <w:hyperlink r:id="rId4" w:history="1">
        <w:r w:rsidRPr="00E05EE7">
          <w:rPr>
            <w:rStyle w:val="Hipervnculo"/>
            <w:rFonts w:ascii="Arial" w:hAnsi="Arial" w:cs="Arial"/>
            <w:sz w:val="18"/>
            <w:szCs w:val="18"/>
          </w:rPr>
          <w:t>https://www.datos.gov.co/Educaci-n/MEN_ESTADISTICAS-MATRICULA-POR-MUNICIPIOS_ES/y9ga-zwzy</w:t>
        </w:r>
      </w:hyperlink>
    </w:p>
  </w:footnote>
  <w:footnote w:id="6">
    <w:p w:rsidR="00DA74BA" w:rsidRPr="0059502F" w:rsidRDefault="00DA74BA" w:rsidP="00DA74BA">
      <w:pPr>
        <w:pStyle w:val="Textonotapie"/>
        <w:jc w:val="both"/>
        <w:rPr>
          <w:rFonts w:ascii="Arial" w:hAnsi="Arial" w:cs="Arial"/>
          <w:sz w:val="22"/>
          <w:szCs w:val="22"/>
        </w:rPr>
      </w:pPr>
      <w:r w:rsidRPr="00892AB6">
        <w:rPr>
          <w:rStyle w:val="Refdenotaalpie"/>
          <w:rFonts w:ascii="Arial" w:hAnsi="Arial" w:cs="Arial"/>
          <w:sz w:val="18"/>
          <w:szCs w:val="18"/>
        </w:rPr>
        <w:footnoteRef/>
      </w:r>
      <w:r w:rsidRPr="00892AB6">
        <w:rPr>
          <w:rFonts w:ascii="Arial" w:hAnsi="Arial" w:cs="Arial"/>
          <w:sz w:val="18"/>
          <w:szCs w:val="18"/>
        </w:rPr>
        <w:t xml:space="preserve"> Cfr. </w:t>
      </w:r>
      <w:hyperlink r:id="rId5" w:history="1">
        <w:r w:rsidRPr="00892AB6">
          <w:rPr>
            <w:rStyle w:val="Hipervnculo"/>
            <w:rFonts w:ascii="Arial" w:hAnsi="Arial" w:cs="Arial"/>
            <w:sz w:val="18"/>
            <w:szCs w:val="18"/>
          </w:rPr>
          <w:t>https://semanarural.com/web/articulo/educacion-superior-en-el-meta-las-dificultades-para-que-jovenes-rurales-ingresen/320</w:t>
        </w:r>
      </w:hyperlink>
    </w:p>
  </w:footnote>
  <w:footnote w:id="7">
    <w:p w:rsidR="00DA74BA" w:rsidRDefault="00DA74BA">
      <w:pPr>
        <w:pStyle w:val="Textonotapie"/>
      </w:pPr>
      <w:r>
        <w:rPr>
          <w:rStyle w:val="Refdenotaalpie"/>
        </w:rPr>
        <w:footnoteRef/>
      </w:r>
      <w:r>
        <w:t xml:space="preserve"> Fuente: Página de la Universidad de los Llanos.</w:t>
      </w:r>
    </w:p>
  </w:footnote>
  <w:footnote w:id="8">
    <w:p w:rsidR="00DA74BA" w:rsidRDefault="00DA74BA">
      <w:pPr>
        <w:pStyle w:val="Textonotapie"/>
      </w:pPr>
      <w:r>
        <w:rPr>
          <w:rStyle w:val="Refdenotaalpie"/>
        </w:rPr>
        <w:footnoteRef/>
      </w:r>
      <w:r>
        <w:t xml:space="preserve"> Fuente: Contraloría Departamental del Meta. Informe Definitivo Vigencia 2012-2013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7816"/>
    <w:multiLevelType w:val="hybridMultilevel"/>
    <w:tmpl w:val="D138CE2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A50E46"/>
    <w:multiLevelType w:val="hybridMultilevel"/>
    <w:tmpl w:val="1A3CB98E"/>
    <w:lvl w:ilvl="0" w:tplc="B87E4D9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13C5B48"/>
    <w:multiLevelType w:val="hybridMultilevel"/>
    <w:tmpl w:val="102E213C"/>
    <w:lvl w:ilvl="0" w:tplc="868A059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25A2698"/>
    <w:multiLevelType w:val="hybridMultilevel"/>
    <w:tmpl w:val="8FA8C2C0"/>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71A93023"/>
    <w:multiLevelType w:val="hybridMultilevel"/>
    <w:tmpl w:val="DD3E3246"/>
    <w:lvl w:ilvl="0" w:tplc="97AADD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A106D7"/>
    <w:multiLevelType w:val="multilevel"/>
    <w:tmpl w:val="B95EB8DC"/>
    <w:lvl w:ilvl="0">
      <w:start w:val="1"/>
      <w:numFmt w:val="decimal"/>
      <w:lvlText w:val="%1."/>
      <w:lvlJc w:val="left"/>
      <w:pPr>
        <w:ind w:left="720" w:hanging="360"/>
      </w:pPr>
      <w:rPr>
        <w:rFonts w:eastAsia="Calibri"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62"/>
    <w:rsid w:val="0001027A"/>
    <w:rsid w:val="00051728"/>
    <w:rsid w:val="001536F5"/>
    <w:rsid w:val="00182B84"/>
    <w:rsid w:val="001965CD"/>
    <w:rsid w:val="001A38F7"/>
    <w:rsid w:val="001B3C07"/>
    <w:rsid w:val="001B50C1"/>
    <w:rsid w:val="00206470"/>
    <w:rsid w:val="002212C1"/>
    <w:rsid w:val="002A6D0D"/>
    <w:rsid w:val="002E6311"/>
    <w:rsid w:val="002F2400"/>
    <w:rsid w:val="003113CE"/>
    <w:rsid w:val="00352FBC"/>
    <w:rsid w:val="003628AA"/>
    <w:rsid w:val="0037431B"/>
    <w:rsid w:val="003D474D"/>
    <w:rsid w:val="003F69C5"/>
    <w:rsid w:val="00410109"/>
    <w:rsid w:val="004621E0"/>
    <w:rsid w:val="0049371C"/>
    <w:rsid w:val="004B07ED"/>
    <w:rsid w:val="004D6FBB"/>
    <w:rsid w:val="004E7F27"/>
    <w:rsid w:val="004F429C"/>
    <w:rsid w:val="00563F4F"/>
    <w:rsid w:val="00576DF5"/>
    <w:rsid w:val="005942EC"/>
    <w:rsid w:val="00596AC8"/>
    <w:rsid w:val="00603FBC"/>
    <w:rsid w:val="00611FDA"/>
    <w:rsid w:val="006137CD"/>
    <w:rsid w:val="00631378"/>
    <w:rsid w:val="00661E2B"/>
    <w:rsid w:val="00667246"/>
    <w:rsid w:val="00672148"/>
    <w:rsid w:val="006E1422"/>
    <w:rsid w:val="007226FD"/>
    <w:rsid w:val="00741872"/>
    <w:rsid w:val="00773B1E"/>
    <w:rsid w:val="00774E9A"/>
    <w:rsid w:val="007957DF"/>
    <w:rsid w:val="007F783D"/>
    <w:rsid w:val="008124F2"/>
    <w:rsid w:val="00830BCD"/>
    <w:rsid w:val="00830D97"/>
    <w:rsid w:val="00832FDB"/>
    <w:rsid w:val="008373B7"/>
    <w:rsid w:val="00847305"/>
    <w:rsid w:val="0086544B"/>
    <w:rsid w:val="008702AC"/>
    <w:rsid w:val="008B1A5C"/>
    <w:rsid w:val="008B44AE"/>
    <w:rsid w:val="008D1797"/>
    <w:rsid w:val="008D2442"/>
    <w:rsid w:val="008E5492"/>
    <w:rsid w:val="008F0F1A"/>
    <w:rsid w:val="00907B86"/>
    <w:rsid w:val="00913016"/>
    <w:rsid w:val="00934761"/>
    <w:rsid w:val="00966DEC"/>
    <w:rsid w:val="00976510"/>
    <w:rsid w:val="00990F67"/>
    <w:rsid w:val="0099219C"/>
    <w:rsid w:val="009A55E2"/>
    <w:rsid w:val="009B4686"/>
    <w:rsid w:val="009E3D9B"/>
    <w:rsid w:val="009F38E6"/>
    <w:rsid w:val="00A15B61"/>
    <w:rsid w:val="00A369DC"/>
    <w:rsid w:val="00A64D77"/>
    <w:rsid w:val="00AA4D1B"/>
    <w:rsid w:val="00AD7741"/>
    <w:rsid w:val="00B25FC2"/>
    <w:rsid w:val="00BA4CEC"/>
    <w:rsid w:val="00C122DF"/>
    <w:rsid w:val="00C17221"/>
    <w:rsid w:val="00C2765F"/>
    <w:rsid w:val="00C6589F"/>
    <w:rsid w:val="00CA4862"/>
    <w:rsid w:val="00CC0C69"/>
    <w:rsid w:val="00CD51AF"/>
    <w:rsid w:val="00CF33E6"/>
    <w:rsid w:val="00D03DD2"/>
    <w:rsid w:val="00D21ECB"/>
    <w:rsid w:val="00D55DF0"/>
    <w:rsid w:val="00D76862"/>
    <w:rsid w:val="00DA74BA"/>
    <w:rsid w:val="00DE15B0"/>
    <w:rsid w:val="00E06B0F"/>
    <w:rsid w:val="00E52FF1"/>
    <w:rsid w:val="00E74A1D"/>
    <w:rsid w:val="00E85F12"/>
    <w:rsid w:val="00E8654B"/>
    <w:rsid w:val="00EA0AD2"/>
    <w:rsid w:val="00ED3A7C"/>
    <w:rsid w:val="00ED6EDA"/>
    <w:rsid w:val="00F022DA"/>
    <w:rsid w:val="00F02774"/>
    <w:rsid w:val="00F04BFB"/>
    <w:rsid w:val="00F04DA8"/>
    <w:rsid w:val="00F45665"/>
    <w:rsid w:val="00FA2989"/>
    <w:rsid w:val="00FC01BF"/>
    <w:rsid w:val="00FE2FA3"/>
    <w:rsid w:val="00FF6A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36C3"/>
  <w15:chartTrackingRefBased/>
  <w15:docId w15:val="{D2CC6934-B09B-4DD3-92CC-1A49563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4862"/>
    <w:pPr>
      <w:spacing w:after="160" w:line="259" w:lineRule="auto"/>
      <w:ind w:left="720"/>
      <w:contextualSpacing/>
    </w:pPr>
  </w:style>
  <w:style w:type="paragraph" w:styleId="Sinespaciado">
    <w:name w:val="No Spacing"/>
    <w:uiPriority w:val="1"/>
    <w:qFormat/>
    <w:rsid w:val="00CA4862"/>
    <w:pPr>
      <w:spacing w:after="0" w:line="240" w:lineRule="auto"/>
    </w:pPr>
  </w:style>
  <w:style w:type="character" w:customStyle="1" w:styleId="PrrafodelistaCar">
    <w:name w:val="Párrafo de lista Car"/>
    <w:link w:val="Prrafodelista"/>
    <w:uiPriority w:val="34"/>
    <w:locked/>
    <w:rsid w:val="00CA4862"/>
  </w:style>
  <w:style w:type="paragraph" w:styleId="NormalWeb">
    <w:name w:val="Normal (Web)"/>
    <w:basedOn w:val="Normal"/>
    <w:uiPriority w:val="99"/>
    <w:unhideWhenUsed/>
    <w:rsid w:val="00E85F1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rsid w:val="008E549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basedOn w:val="Fuentedeprrafopredeter"/>
    <w:link w:val="Textonotapie"/>
    <w:uiPriority w:val="99"/>
    <w:rsid w:val="008E5492"/>
    <w:rPr>
      <w:sz w:val="20"/>
      <w:szCs w:val="20"/>
    </w:rPr>
  </w:style>
  <w:style w:type="character" w:styleId="Refdenotaalpie">
    <w:name w:val="footnote reference"/>
    <w:basedOn w:val="Fuentedeprrafopredeter"/>
    <w:uiPriority w:val="99"/>
    <w:unhideWhenUsed/>
    <w:rsid w:val="008E5492"/>
    <w:rPr>
      <w:vertAlign w:val="superscript"/>
    </w:rPr>
  </w:style>
  <w:style w:type="paragraph" w:styleId="Textodeglobo">
    <w:name w:val="Balloon Text"/>
    <w:basedOn w:val="Normal"/>
    <w:link w:val="TextodegloboCar"/>
    <w:uiPriority w:val="99"/>
    <w:semiHidden/>
    <w:unhideWhenUsed/>
    <w:rsid w:val="001B5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0C1"/>
    <w:rPr>
      <w:rFonts w:ascii="Segoe UI" w:hAnsi="Segoe UI" w:cs="Segoe UI"/>
      <w:sz w:val="18"/>
      <w:szCs w:val="18"/>
    </w:rPr>
  </w:style>
  <w:style w:type="paragraph" w:customStyle="1" w:styleId="CM6">
    <w:name w:val="CM6"/>
    <w:basedOn w:val="Normal"/>
    <w:next w:val="Normal"/>
    <w:uiPriority w:val="99"/>
    <w:rsid w:val="007F783D"/>
    <w:pPr>
      <w:autoSpaceDE w:val="0"/>
      <w:autoSpaceDN w:val="0"/>
      <w:adjustRightInd w:val="0"/>
      <w:spacing w:after="0" w:line="240" w:lineRule="auto"/>
    </w:pPr>
    <w:rPr>
      <w:rFonts w:ascii="Georgia" w:hAnsi="Georgia"/>
      <w:sz w:val="24"/>
      <w:szCs w:val="24"/>
    </w:rPr>
  </w:style>
  <w:style w:type="character" w:customStyle="1" w:styleId="ms-rtestyle-textonormal">
    <w:name w:val="ms-rtestyle-texto_normal"/>
    <w:basedOn w:val="Fuentedeprrafopredeter"/>
    <w:rsid w:val="00BA4CEC"/>
  </w:style>
  <w:style w:type="character" w:customStyle="1" w:styleId="ms-rtestyle-subtitulo">
    <w:name w:val="ms-rtestyle-subtitulo"/>
    <w:basedOn w:val="Fuentedeprrafopredeter"/>
    <w:rsid w:val="00BA4CEC"/>
  </w:style>
  <w:style w:type="character" w:styleId="Textoennegrita">
    <w:name w:val="Strong"/>
    <w:basedOn w:val="Fuentedeprrafopredeter"/>
    <w:uiPriority w:val="22"/>
    <w:qFormat/>
    <w:rsid w:val="00BA4CEC"/>
    <w:rPr>
      <w:b/>
      <w:bCs/>
    </w:rPr>
  </w:style>
  <w:style w:type="character" w:styleId="Hipervnculo">
    <w:name w:val="Hyperlink"/>
    <w:uiPriority w:val="99"/>
    <w:unhideWhenUsed/>
    <w:rsid w:val="00DA74BA"/>
    <w:rPr>
      <w:color w:val="0000FF"/>
      <w:u w:val="single"/>
    </w:rPr>
  </w:style>
  <w:style w:type="paragraph" w:styleId="Textonotaalfinal">
    <w:name w:val="endnote text"/>
    <w:basedOn w:val="Normal"/>
    <w:link w:val="TextonotaalfinalCar"/>
    <w:uiPriority w:val="99"/>
    <w:semiHidden/>
    <w:unhideWhenUsed/>
    <w:rsid w:val="00DA74B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4BA"/>
    <w:rPr>
      <w:sz w:val="20"/>
      <w:szCs w:val="20"/>
    </w:rPr>
  </w:style>
  <w:style w:type="character" w:styleId="Refdenotaalfinal">
    <w:name w:val="endnote reference"/>
    <w:basedOn w:val="Fuentedeprrafopredeter"/>
    <w:uiPriority w:val="99"/>
    <w:semiHidden/>
    <w:unhideWhenUsed/>
    <w:rsid w:val="00DA7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39491">
      <w:bodyDiv w:val="1"/>
      <w:marLeft w:val="0"/>
      <w:marRight w:val="0"/>
      <w:marTop w:val="0"/>
      <w:marBottom w:val="0"/>
      <w:divBdr>
        <w:top w:val="none" w:sz="0" w:space="0" w:color="auto"/>
        <w:left w:val="none" w:sz="0" w:space="0" w:color="auto"/>
        <w:bottom w:val="none" w:sz="0" w:space="0" w:color="auto"/>
        <w:right w:val="none" w:sz="0" w:space="0" w:color="auto"/>
      </w:divBdr>
    </w:div>
    <w:div w:id="355736936">
      <w:bodyDiv w:val="1"/>
      <w:marLeft w:val="0"/>
      <w:marRight w:val="0"/>
      <w:marTop w:val="0"/>
      <w:marBottom w:val="0"/>
      <w:divBdr>
        <w:top w:val="none" w:sz="0" w:space="0" w:color="auto"/>
        <w:left w:val="none" w:sz="0" w:space="0" w:color="auto"/>
        <w:bottom w:val="none" w:sz="0" w:space="0" w:color="auto"/>
        <w:right w:val="none" w:sz="0" w:space="0" w:color="auto"/>
      </w:divBdr>
      <w:divsChild>
        <w:div w:id="874540701">
          <w:marLeft w:val="0"/>
          <w:marRight w:val="0"/>
          <w:marTop w:val="0"/>
          <w:marBottom w:val="0"/>
          <w:divBdr>
            <w:top w:val="none" w:sz="0" w:space="0" w:color="auto"/>
            <w:left w:val="none" w:sz="0" w:space="0" w:color="auto"/>
            <w:bottom w:val="none" w:sz="0" w:space="0" w:color="auto"/>
            <w:right w:val="none" w:sz="0" w:space="0" w:color="auto"/>
          </w:divBdr>
          <w:divsChild>
            <w:div w:id="1203517302">
              <w:marLeft w:val="0"/>
              <w:marRight w:val="0"/>
              <w:marTop w:val="0"/>
              <w:marBottom w:val="0"/>
              <w:divBdr>
                <w:top w:val="none" w:sz="0" w:space="0" w:color="auto"/>
                <w:left w:val="none" w:sz="0" w:space="0" w:color="auto"/>
                <w:bottom w:val="none" w:sz="0" w:space="0" w:color="auto"/>
                <w:right w:val="none" w:sz="0" w:space="0" w:color="auto"/>
              </w:divBdr>
              <w:divsChild>
                <w:div w:id="987972538">
                  <w:marLeft w:val="0"/>
                  <w:marRight w:val="0"/>
                  <w:marTop w:val="0"/>
                  <w:marBottom w:val="0"/>
                  <w:divBdr>
                    <w:top w:val="none" w:sz="0" w:space="0" w:color="auto"/>
                    <w:left w:val="none" w:sz="0" w:space="0" w:color="auto"/>
                    <w:bottom w:val="none" w:sz="0" w:space="0" w:color="auto"/>
                    <w:right w:val="none" w:sz="0" w:space="0" w:color="auto"/>
                  </w:divBdr>
                  <w:divsChild>
                    <w:div w:id="579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8444">
      <w:bodyDiv w:val="1"/>
      <w:marLeft w:val="0"/>
      <w:marRight w:val="0"/>
      <w:marTop w:val="0"/>
      <w:marBottom w:val="0"/>
      <w:divBdr>
        <w:top w:val="none" w:sz="0" w:space="0" w:color="auto"/>
        <w:left w:val="none" w:sz="0" w:space="0" w:color="auto"/>
        <w:bottom w:val="none" w:sz="0" w:space="0" w:color="auto"/>
        <w:right w:val="none" w:sz="0" w:space="0" w:color="auto"/>
      </w:divBdr>
    </w:div>
    <w:div w:id="553977312">
      <w:bodyDiv w:val="1"/>
      <w:marLeft w:val="0"/>
      <w:marRight w:val="0"/>
      <w:marTop w:val="0"/>
      <w:marBottom w:val="0"/>
      <w:divBdr>
        <w:top w:val="none" w:sz="0" w:space="0" w:color="auto"/>
        <w:left w:val="none" w:sz="0" w:space="0" w:color="auto"/>
        <w:bottom w:val="none" w:sz="0" w:space="0" w:color="auto"/>
        <w:right w:val="none" w:sz="0" w:space="0" w:color="auto"/>
      </w:divBdr>
    </w:div>
    <w:div w:id="1021126312">
      <w:bodyDiv w:val="1"/>
      <w:marLeft w:val="0"/>
      <w:marRight w:val="0"/>
      <w:marTop w:val="0"/>
      <w:marBottom w:val="0"/>
      <w:divBdr>
        <w:top w:val="none" w:sz="0" w:space="0" w:color="auto"/>
        <w:left w:val="none" w:sz="0" w:space="0" w:color="auto"/>
        <w:bottom w:val="none" w:sz="0" w:space="0" w:color="auto"/>
        <w:right w:val="none" w:sz="0" w:space="0" w:color="auto"/>
      </w:divBdr>
    </w:div>
    <w:div w:id="1724676613">
      <w:bodyDiv w:val="1"/>
      <w:marLeft w:val="0"/>
      <w:marRight w:val="0"/>
      <w:marTop w:val="0"/>
      <w:marBottom w:val="0"/>
      <w:divBdr>
        <w:top w:val="none" w:sz="0" w:space="0" w:color="auto"/>
        <w:left w:val="none" w:sz="0" w:space="0" w:color="auto"/>
        <w:bottom w:val="none" w:sz="0" w:space="0" w:color="auto"/>
        <w:right w:val="none" w:sz="0" w:space="0" w:color="auto"/>
      </w:divBdr>
    </w:div>
    <w:div w:id="2043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s.wikipedia.org/wiki/Universidad_de_los_Llan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atos.gov.co/Educaci-n/MEN_ESTADISTICAS-MATRICULA-POR-MUNICIPIOS_ES/y9ga-zwzy" TargetMode="External"/><Relationship Id="rId2" Type="http://schemas.openxmlformats.org/officeDocument/2006/relationships/hyperlink" Target="https://www.datos.gov.co/Educaci-n/MEN_ESTADISTICAS-MATRICULA-POR-MUNICIPIOS_ES/y9ga-zwzy" TargetMode="External"/><Relationship Id="rId1" Type="http://schemas.openxmlformats.org/officeDocument/2006/relationships/hyperlink" Target="https://www.datos.gov.co/Educaci-n/MEN_ESTADISTICAS-MATRICULA-POR-MUNICIPIOS_ES/y9ga-zwzy" TargetMode="External"/><Relationship Id="rId5" Type="http://schemas.openxmlformats.org/officeDocument/2006/relationships/hyperlink" Target="https://semanarural.com/web/articulo/educacion-superior-en-el-meta-las-dificultades-para-que-jovenes-rurales-ingresen/320" TargetMode="External"/><Relationship Id="rId4" Type="http://schemas.openxmlformats.org/officeDocument/2006/relationships/hyperlink" Target="https://www.datos.gov.co/Educaci-n/MEN_ESTADISTICAS-MATRICULA-POR-MUNICIPIOS_ES/y9ga-zwzy"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Nathalie\Downloads\MEN_ESTADISTICAS_MATRICULA_POR_MUNICIPIOS_ES.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MEN_ESTADISTICAS_MATRICULA_POR_!$E$3877</c:f>
              <c:strCache>
                <c:ptCount val="1"/>
                <c:pt idx="0">
                  <c:v>Villavicencio</c:v>
                </c:pt>
              </c:strCache>
            </c:strRef>
          </c:tx>
          <c:spPr>
            <a:solidFill>
              <a:schemeClr val="accent1"/>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MEN_ESTADISTICAS_MATRICULA_POR_!$L$3877</c:f>
              <c:numCache>
                <c:formatCode>General</c:formatCode>
                <c:ptCount val="1"/>
                <c:pt idx="0">
                  <c:v>30416</c:v>
                </c:pt>
              </c:numCache>
            </c:numRef>
          </c:val>
          <c:extLst>
            <c:ext xmlns:c16="http://schemas.microsoft.com/office/drawing/2014/chart" uri="{C3380CC4-5D6E-409C-BE32-E72D297353CC}">
              <c16:uniqueId val="{00000000-2023-43C3-9372-5EFCF7723C20}"/>
            </c:ext>
          </c:extLst>
        </c:ser>
        <c:ser>
          <c:idx val="1"/>
          <c:order val="1"/>
          <c:tx>
            <c:strRef>
              <c:f>MEN_ESTADISTICAS_MATRICULA_POR_!$E$4003</c:f>
              <c:strCache>
                <c:ptCount val="1"/>
                <c:pt idx="0">
                  <c:v>Yopal</c:v>
                </c:pt>
              </c:strCache>
            </c:strRef>
          </c:tx>
          <c:spPr>
            <a:solidFill>
              <a:schemeClr val="accent2"/>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MEN_ESTADISTICAS_MATRICULA_POR_!$L$4003</c:f>
              <c:numCache>
                <c:formatCode>General</c:formatCode>
                <c:ptCount val="1"/>
                <c:pt idx="0">
                  <c:v>9291</c:v>
                </c:pt>
              </c:numCache>
            </c:numRef>
          </c:val>
          <c:extLst>
            <c:ext xmlns:c16="http://schemas.microsoft.com/office/drawing/2014/chart" uri="{C3380CC4-5D6E-409C-BE32-E72D297353CC}">
              <c16:uniqueId val="{00000001-2023-43C3-9372-5EFCF7723C20}"/>
            </c:ext>
          </c:extLst>
        </c:ser>
        <c:ser>
          <c:idx val="2"/>
          <c:order val="2"/>
          <c:tx>
            <c:strRef>
              <c:f>MEN_ESTADISTICAS_MATRICULA_POR_!$E$4000</c:f>
              <c:strCache>
                <c:ptCount val="1"/>
                <c:pt idx="0">
                  <c:v>Arauca</c:v>
                </c:pt>
              </c:strCache>
            </c:strRef>
          </c:tx>
          <c:spPr>
            <a:solidFill>
              <a:schemeClr val="accent3"/>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MEN_ESTADISTICAS_MATRICULA_POR_!$L$4000</c:f>
              <c:numCache>
                <c:formatCode>General</c:formatCode>
                <c:ptCount val="1"/>
                <c:pt idx="0">
                  <c:v>2631</c:v>
                </c:pt>
              </c:numCache>
            </c:numRef>
          </c:val>
          <c:extLst>
            <c:ext xmlns:c16="http://schemas.microsoft.com/office/drawing/2014/chart" uri="{C3380CC4-5D6E-409C-BE32-E72D297353CC}">
              <c16:uniqueId val="{00000002-2023-43C3-9372-5EFCF7723C20}"/>
            </c:ext>
          </c:extLst>
        </c:ser>
        <c:ser>
          <c:idx val="3"/>
          <c:order val="3"/>
          <c:tx>
            <c:strRef>
              <c:f>MEN_ESTADISTICAS_MATRICULA_POR_!$E$4021</c:f>
              <c:strCache>
                <c:ptCount val="1"/>
                <c:pt idx="0">
                  <c:v>San José del Guaviare</c:v>
                </c:pt>
              </c:strCache>
            </c:strRef>
          </c:tx>
          <c:spPr>
            <a:solidFill>
              <a:schemeClr val="accent4"/>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MEN_ESTADISTICAS_MATRICULA_POR_!$L$4021</c:f>
              <c:numCache>
                <c:formatCode>General</c:formatCode>
                <c:ptCount val="1"/>
                <c:pt idx="0">
                  <c:v>2112</c:v>
                </c:pt>
              </c:numCache>
            </c:numRef>
          </c:val>
          <c:extLst>
            <c:ext xmlns:c16="http://schemas.microsoft.com/office/drawing/2014/chart" uri="{C3380CC4-5D6E-409C-BE32-E72D297353CC}">
              <c16:uniqueId val="{00000003-2023-43C3-9372-5EFCF7723C20}"/>
            </c:ext>
          </c:extLst>
        </c:ser>
        <c:ser>
          <c:idx val="4"/>
          <c:order val="4"/>
          <c:tx>
            <c:strRef>
              <c:f>MEN_ESTADISTICAS_MATRICULA_POR_!$E$4023</c:f>
              <c:strCache>
                <c:ptCount val="1"/>
                <c:pt idx="0">
                  <c:v>Puerto Carreño</c:v>
                </c:pt>
              </c:strCache>
            </c:strRef>
          </c:tx>
          <c:spPr>
            <a:solidFill>
              <a:schemeClr val="accent5"/>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MEN_ESTADISTICAS_MATRICULA_POR_!$L$4023</c:f>
              <c:numCache>
                <c:formatCode>General</c:formatCode>
                <c:ptCount val="1"/>
                <c:pt idx="0">
                  <c:v>908</c:v>
                </c:pt>
              </c:numCache>
            </c:numRef>
          </c:val>
          <c:extLst>
            <c:ext xmlns:c16="http://schemas.microsoft.com/office/drawing/2014/chart" uri="{C3380CC4-5D6E-409C-BE32-E72D297353CC}">
              <c16:uniqueId val="{00000004-2023-43C3-9372-5EFCF7723C20}"/>
            </c:ext>
          </c:extLst>
        </c:ser>
        <c:ser>
          <c:idx val="5"/>
          <c:order val="5"/>
          <c:tx>
            <c:strRef>
              <c:f>MEN_ESTADISTICAS_MATRICULA_POR_!$E$4020</c:f>
              <c:strCache>
                <c:ptCount val="1"/>
                <c:pt idx="0">
                  <c:v>Puerto Inírida</c:v>
                </c:pt>
              </c:strCache>
            </c:strRef>
          </c:tx>
          <c:spPr>
            <a:solidFill>
              <a:schemeClr val="accent6"/>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MEN_ESTADISTICAS_MATRICULA_POR_!$L$4020</c:f>
              <c:numCache>
                <c:formatCode>General</c:formatCode>
                <c:ptCount val="1"/>
                <c:pt idx="0">
                  <c:v>609</c:v>
                </c:pt>
              </c:numCache>
            </c:numRef>
          </c:val>
          <c:extLst>
            <c:ext xmlns:c16="http://schemas.microsoft.com/office/drawing/2014/chart" uri="{C3380CC4-5D6E-409C-BE32-E72D297353CC}">
              <c16:uniqueId val="{00000005-2023-43C3-9372-5EFCF7723C20}"/>
            </c:ext>
          </c:extLst>
        </c:ser>
        <c:ser>
          <c:idx val="6"/>
          <c:order val="6"/>
          <c:tx>
            <c:strRef>
              <c:f>MEN_ESTADISTICAS_MATRICULA_POR_!$E$4022</c:f>
              <c:strCache>
                <c:ptCount val="1"/>
                <c:pt idx="0">
                  <c:v>Mitú</c:v>
                </c:pt>
              </c:strCache>
            </c:strRef>
          </c:tx>
          <c:spPr>
            <a:solidFill>
              <a:schemeClr val="accent1">
                <a:lumMod val="60000"/>
              </a:schemeClr>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MEN_ESTADISTICAS_MATRICULA_POR_!$L$4022</c:f>
              <c:numCache>
                <c:formatCode>General</c:formatCode>
                <c:ptCount val="1"/>
                <c:pt idx="0">
                  <c:v>218</c:v>
                </c:pt>
              </c:numCache>
            </c:numRef>
          </c:val>
          <c:extLst>
            <c:ext xmlns:c16="http://schemas.microsoft.com/office/drawing/2014/chart" uri="{C3380CC4-5D6E-409C-BE32-E72D297353CC}">
              <c16:uniqueId val="{00000006-2023-43C3-9372-5EFCF7723C20}"/>
            </c:ext>
          </c:extLst>
        </c:ser>
        <c:dLbls>
          <c:showLegendKey val="0"/>
          <c:showVal val="0"/>
          <c:showCatName val="0"/>
          <c:showSerName val="0"/>
          <c:showPercent val="0"/>
          <c:showBubbleSize val="0"/>
        </c:dLbls>
        <c:gapWidth val="219"/>
        <c:overlap val="-27"/>
        <c:axId val="2143829912"/>
        <c:axId val="2143943544"/>
      </c:barChart>
      <c:catAx>
        <c:axId val="2143829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43943544"/>
        <c:crosses val="autoZero"/>
        <c:auto val="1"/>
        <c:lblAlgn val="ctr"/>
        <c:lblOffset val="100"/>
        <c:noMultiLvlLbl val="0"/>
      </c:catAx>
      <c:valAx>
        <c:axId val="2143943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43829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F4B7-15B5-4C3C-A951-760D776C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2488</Words>
  <Characters>13687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edgar.jara</cp:lastModifiedBy>
  <cp:revision>4</cp:revision>
  <cp:lastPrinted>2019-08-20T20:00:00Z</cp:lastPrinted>
  <dcterms:created xsi:type="dcterms:W3CDTF">2019-08-20T16:15:00Z</dcterms:created>
  <dcterms:modified xsi:type="dcterms:W3CDTF">2019-08-20T20:00:00Z</dcterms:modified>
</cp:coreProperties>
</file>