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F0" w:rsidRDefault="004B24F0" w:rsidP="00470F70">
      <w:pPr>
        <w:jc w:val="center"/>
        <w:rPr>
          <w:rFonts w:ascii="Segoe UI" w:hAnsi="Segoe UI" w:cs="Segoe UI"/>
          <w:b/>
          <w:sz w:val="24"/>
          <w:szCs w:val="24"/>
        </w:rPr>
      </w:pPr>
      <w:r>
        <w:rPr>
          <w:rFonts w:ascii="Segoe UI" w:hAnsi="Segoe UI" w:cs="Segoe UI"/>
          <w:b/>
          <w:sz w:val="24"/>
          <w:szCs w:val="24"/>
        </w:rPr>
        <w:t xml:space="preserve">PROYECYO DE LEY </w:t>
      </w:r>
      <w:r w:rsidR="005867CC">
        <w:rPr>
          <w:rFonts w:ascii="Segoe UI" w:hAnsi="Segoe UI" w:cs="Segoe UI"/>
          <w:b/>
          <w:sz w:val="24"/>
          <w:szCs w:val="24"/>
        </w:rPr>
        <w:t>NÚ</w:t>
      </w:r>
      <w:r w:rsidR="00BB680D">
        <w:rPr>
          <w:rFonts w:ascii="Segoe UI" w:hAnsi="Segoe UI" w:cs="Segoe UI"/>
          <w:b/>
          <w:sz w:val="24"/>
          <w:szCs w:val="24"/>
        </w:rPr>
        <w:t>MERO</w:t>
      </w:r>
      <w:r w:rsidR="000F31D3">
        <w:rPr>
          <w:rFonts w:ascii="Segoe UI" w:hAnsi="Segoe UI" w:cs="Segoe UI"/>
          <w:b/>
          <w:sz w:val="24"/>
          <w:szCs w:val="24"/>
        </w:rPr>
        <w:t xml:space="preserve"> </w:t>
      </w:r>
      <w:r>
        <w:rPr>
          <w:rFonts w:ascii="Segoe UI" w:hAnsi="Segoe UI" w:cs="Segoe UI"/>
          <w:b/>
          <w:sz w:val="24"/>
          <w:szCs w:val="24"/>
        </w:rPr>
        <w:t>_________ CÁMARA DE 2019</w:t>
      </w:r>
    </w:p>
    <w:p w:rsidR="000F31D3" w:rsidRDefault="000F31D3" w:rsidP="004B24F0">
      <w:pPr>
        <w:jc w:val="center"/>
        <w:rPr>
          <w:rFonts w:ascii="Segoe UI" w:hAnsi="Segoe UI" w:cs="Segoe UI"/>
          <w:b/>
          <w:sz w:val="24"/>
          <w:szCs w:val="24"/>
        </w:rPr>
      </w:pPr>
    </w:p>
    <w:p w:rsidR="004B24F0" w:rsidRDefault="004B24F0" w:rsidP="004B24F0">
      <w:pPr>
        <w:jc w:val="center"/>
        <w:rPr>
          <w:rFonts w:ascii="Segoe UI" w:hAnsi="Segoe UI" w:cs="Segoe UI"/>
          <w:i/>
          <w:sz w:val="24"/>
          <w:szCs w:val="24"/>
        </w:rPr>
      </w:pPr>
      <w:r w:rsidRPr="004B24F0">
        <w:rPr>
          <w:rFonts w:ascii="Segoe UI" w:hAnsi="Segoe UI" w:cs="Segoe UI"/>
          <w:i/>
          <w:sz w:val="24"/>
          <w:szCs w:val="24"/>
        </w:rPr>
        <w:t xml:space="preserve">“Por </w:t>
      </w:r>
      <w:r w:rsidR="000F31D3">
        <w:rPr>
          <w:rFonts w:ascii="Segoe UI" w:hAnsi="Segoe UI" w:cs="Segoe UI"/>
          <w:i/>
          <w:sz w:val="24"/>
          <w:szCs w:val="24"/>
        </w:rPr>
        <w:t>la cual se declara imprescriptible la acción penal en caso de delitos contra la libertad, integridad y formación sexuales, o el delito consagrado en el artículo 237 de la Ley 599 de 2000</w:t>
      </w:r>
      <w:r w:rsidR="008C2204">
        <w:rPr>
          <w:rFonts w:ascii="Segoe UI" w:hAnsi="Segoe UI" w:cs="Segoe UI"/>
          <w:i/>
          <w:sz w:val="24"/>
          <w:szCs w:val="24"/>
        </w:rPr>
        <w:t xml:space="preserve"> (No más silencio) y se dictan otras disposiciones</w:t>
      </w:r>
      <w:r w:rsidRPr="004B24F0">
        <w:rPr>
          <w:rFonts w:ascii="Segoe UI" w:hAnsi="Segoe UI" w:cs="Segoe UI"/>
          <w:i/>
          <w:sz w:val="24"/>
          <w:szCs w:val="24"/>
        </w:rPr>
        <w:t>”</w:t>
      </w:r>
      <w:r w:rsidR="008C2204">
        <w:rPr>
          <w:rFonts w:ascii="Segoe UI" w:hAnsi="Segoe UI" w:cs="Segoe UI"/>
          <w:i/>
          <w:sz w:val="24"/>
          <w:szCs w:val="24"/>
        </w:rPr>
        <w:t xml:space="preserve"> </w:t>
      </w:r>
    </w:p>
    <w:p w:rsidR="004B24F0" w:rsidRPr="004B24F0" w:rsidRDefault="004B24F0" w:rsidP="004B24F0">
      <w:pPr>
        <w:jc w:val="center"/>
        <w:rPr>
          <w:rFonts w:ascii="Segoe UI" w:hAnsi="Segoe UI" w:cs="Segoe UI"/>
          <w:i/>
          <w:sz w:val="24"/>
          <w:szCs w:val="24"/>
        </w:rPr>
      </w:pPr>
    </w:p>
    <w:p w:rsidR="004B24F0" w:rsidRDefault="004B24F0" w:rsidP="004B24F0">
      <w:pPr>
        <w:jc w:val="center"/>
        <w:rPr>
          <w:rFonts w:ascii="Segoe UI" w:hAnsi="Segoe UI" w:cs="Segoe UI"/>
          <w:sz w:val="24"/>
          <w:szCs w:val="24"/>
        </w:rPr>
      </w:pPr>
      <w:r>
        <w:rPr>
          <w:rFonts w:ascii="Segoe UI" w:hAnsi="Segoe UI" w:cs="Segoe UI"/>
          <w:sz w:val="24"/>
          <w:szCs w:val="24"/>
        </w:rPr>
        <w:t>El Congreso de la República</w:t>
      </w:r>
    </w:p>
    <w:p w:rsidR="000F31D3" w:rsidRDefault="000F31D3" w:rsidP="004B24F0">
      <w:pPr>
        <w:jc w:val="center"/>
        <w:rPr>
          <w:rFonts w:ascii="Segoe UI" w:hAnsi="Segoe UI" w:cs="Segoe UI"/>
          <w:sz w:val="24"/>
          <w:szCs w:val="24"/>
        </w:rPr>
      </w:pPr>
    </w:p>
    <w:p w:rsidR="004B24F0" w:rsidRDefault="004B24F0" w:rsidP="004B24F0">
      <w:pPr>
        <w:jc w:val="center"/>
        <w:rPr>
          <w:rFonts w:ascii="Segoe UI" w:hAnsi="Segoe UI" w:cs="Segoe UI"/>
          <w:sz w:val="24"/>
          <w:szCs w:val="24"/>
        </w:rPr>
      </w:pPr>
      <w:r>
        <w:rPr>
          <w:rFonts w:ascii="Segoe UI" w:hAnsi="Segoe UI" w:cs="Segoe UI"/>
          <w:sz w:val="24"/>
          <w:szCs w:val="24"/>
        </w:rPr>
        <w:t>DECRETA:</w:t>
      </w:r>
    </w:p>
    <w:p w:rsidR="000F31D3" w:rsidRDefault="000F31D3" w:rsidP="004B24F0">
      <w:pPr>
        <w:jc w:val="center"/>
        <w:rPr>
          <w:rFonts w:ascii="Segoe UI" w:hAnsi="Segoe UI" w:cs="Segoe UI"/>
          <w:sz w:val="24"/>
          <w:szCs w:val="24"/>
        </w:rPr>
      </w:pPr>
    </w:p>
    <w:p w:rsidR="000F31D3" w:rsidRPr="004B24F0" w:rsidRDefault="000F31D3" w:rsidP="004B24F0">
      <w:pPr>
        <w:jc w:val="center"/>
        <w:rPr>
          <w:rFonts w:ascii="Segoe UI" w:hAnsi="Segoe UI" w:cs="Segoe UI"/>
          <w:sz w:val="24"/>
          <w:szCs w:val="24"/>
        </w:rPr>
      </w:pPr>
    </w:p>
    <w:p w:rsidR="004B24F0" w:rsidRPr="004B24F0" w:rsidRDefault="000F31D3" w:rsidP="004B24F0">
      <w:pPr>
        <w:jc w:val="both"/>
        <w:rPr>
          <w:rFonts w:ascii="Segoe UI" w:hAnsi="Segoe UI" w:cs="Segoe UI"/>
          <w:sz w:val="24"/>
          <w:szCs w:val="24"/>
        </w:rPr>
      </w:pPr>
      <w:r>
        <w:rPr>
          <w:rFonts w:ascii="Segoe UI" w:hAnsi="Segoe UI" w:cs="Segoe UI"/>
          <w:b/>
          <w:sz w:val="24"/>
          <w:szCs w:val="24"/>
        </w:rPr>
        <w:t>ARTÍCULO 1</w:t>
      </w:r>
      <w:r w:rsidR="004B24F0" w:rsidRPr="004B24F0">
        <w:rPr>
          <w:rFonts w:ascii="Segoe UI" w:hAnsi="Segoe UI" w:cs="Segoe UI"/>
          <w:b/>
          <w:sz w:val="24"/>
          <w:szCs w:val="24"/>
        </w:rPr>
        <w:t>.</w:t>
      </w:r>
      <w:r w:rsidR="004B24F0" w:rsidRPr="004B24F0">
        <w:rPr>
          <w:rFonts w:ascii="Segoe UI" w:hAnsi="Segoe UI" w:cs="Segoe UI"/>
          <w:sz w:val="24"/>
          <w:szCs w:val="24"/>
        </w:rPr>
        <w:t xml:space="preserve"> Modifíquese el inciso 3ro del artículo 83 de la Ley 599 de 2000,</w:t>
      </w:r>
      <w:r w:rsidR="0088668E">
        <w:rPr>
          <w:rFonts w:ascii="Segoe UI" w:hAnsi="Segoe UI" w:cs="Segoe UI"/>
          <w:sz w:val="24"/>
          <w:szCs w:val="24"/>
        </w:rPr>
        <w:t xml:space="preserve"> adicionado por el artículo 1 de la Ley 1154 de 2007,</w:t>
      </w:r>
      <w:r w:rsidR="004B24F0" w:rsidRPr="004B24F0">
        <w:rPr>
          <w:rFonts w:ascii="Segoe UI" w:hAnsi="Segoe UI" w:cs="Segoe UI"/>
          <w:sz w:val="24"/>
          <w:szCs w:val="24"/>
        </w:rPr>
        <w:t xml:space="preserve"> el cual quedará así: </w:t>
      </w:r>
    </w:p>
    <w:p w:rsidR="00FD7FDA" w:rsidRDefault="004B24F0" w:rsidP="004B24F0">
      <w:pPr>
        <w:ind w:left="708"/>
        <w:jc w:val="both"/>
        <w:rPr>
          <w:rFonts w:ascii="Segoe UI" w:hAnsi="Segoe UI" w:cs="Segoe UI"/>
          <w:i/>
          <w:sz w:val="24"/>
          <w:szCs w:val="24"/>
        </w:rPr>
      </w:pPr>
      <w:r w:rsidRPr="004B24F0">
        <w:rPr>
          <w:rFonts w:ascii="Segoe UI" w:hAnsi="Segoe UI" w:cs="Segoe UI"/>
          <w:i/>
          <w:sz w:val="24"/>
          <w:szCs w:val="24"/>
        </w:rPr>
        <w:t>“Cuando se trate de delitos contra la libertad, integridad y formación sexuales, o el delito consagrado en el artículo 237,</w:t>
      </w:r>
      <w:r w:rsidR="00BB680D">
        <w:rPr>
          <w:rFonts w:ascii="Segoe UI" w:hAnsi="Segoe UI" w:cs="Segoe UI"/>
          <w:i/>
          <w:sz w:val="24"/>
          <w:szCs w:val="24"/>
        </w:rPr>
        <w:t xml:space="preserve"> cometidos en menores de edad,</w:t>
      </w:r>
      <w:r w:rsidRPr="004B24F0">
        <w:rPr>
          <w:rFonts w:ascii="Segoe UI" w:hAnsi="Segoe UI" w:cs="Segoe UI"/>
          <w:i/>
          <w:sz w:val="24"/>
          <w:szCs w:val="24"/>
        </w:rPr>
        <w:t xml:space="preserve"> la acción penal será imprescriptible”.</w:t>
      </w:r>
    </w:p>
    <w:p w:rsidR="004B24F0" w:rsidRDefault="000F31D3" w:rsidP="004B24F0">
      <w:pPr>
        <w:jc w:val="both"/>
        <w:rPr>
          <w:rFonts w:ascii="Segoe UI" w:hAnsi="Segoe UI" w:cs="Segoe UI"/>
          <w:sz w:val="24"/>
          <w:szCs w:val="24"/>
        </w:rPr>
      </w:pPr>
      <w:r>
        <w:rPr>
          <w:rFonts w:ascii="Segoe UI" w:hAnsi="Segoe UI" w:cs="Segoe UI"/>
          <w:b/>
          <w:sz w:val="24"/>
          <w:szCs w:val="24"/>
        </w:rPr>
        <w:t>ARTÍCULO 2</w:t>
      </w:r>
      <w:r w:rsidR="004B24F0" w:rsidRPr="004B24F0">
        <w:rPr>
          <w:rFonts w:ascii="Segoe UI" w:hAnsi="Segoe UI" w:cs="Segoe UI"/>
          <w:b/>
          <w:sz w:val="24"/>
          <w:szCs w:val="24"/>
        </w:rPr>
        <w:t>. VIGENCIA.</w:t>
      </w:r>
      <w:r w:rsidR="004B24F0">
        <w:rPr>
          <w:rFonts w:ascii="Segoe UI" w:hAnsi="Segoe UI" w:cs="Segoe UI"/>
          <w:sz w:val="24"/>
          <w:szCs w:val="24"/>
        </w:rPr>
        <w:t xml:space="preserve"> La presente Ley rige a partir de su promulgación y deroga todas las disposiciones que le sean contrarias.</w:t>
      </w:r>
    </w:p>
    <w:p w:rsidR="00BB680D" w:rsidRDefault="00BB680D" w:rsidP="004B24F0">
      <w:pPr>
        <w:jc w:val="both"/>
        <w:rPr>
          <w:rFonts w:ascii="Segoe UI" w:hAnsi="Segoe UI" w:cs="Segoe UI"/>
          <w:sz w:val="24"/>
          <w:szCs w:val="24"/>
        </w:rPr>
      </w:pPr>
    </w:p>
    <w:p w:rsidR="00470F70" w:rsidRPr="00C466CA" w:rsidRDefault="00470F70" w:rsidP="00470F70">
      <w:pPr>
        <w:jc w:val="both"/>
        <w:rPr>
          <w:rFonts w:ascii="Segoe UI" w:hAnsi="Segoe UI" w:cs="Segoe UI"/>
          <w:sz w:val="24"/>
          <w:szCs w:val="24"/>
        </w:rPr>
      </w:pPr>
      <w:r w:rsidRPr="00C466CA">
        <w:rPr>
          <w:rFonts w:ascii="Segoe UI" w:hAnsi="Segoe UI" w:cs="Segoe UI"/>
          <w:sz w:val="24"/>
          <w:szCs w:val="24"/>
        </w:rPr>
        <w:t>Cordialmente,</w:t>
      </w:r>
    </w:p>
    <w:p w:rsidR="00470F70" w:rsidRPr="00C466CA" w:rsidRDefault="00470F70" w:rsidP="00470F70">
      <w:pPr>
        <w:jc w:val="both"/>
        <w:rPr>
          <w:rFonts w:ascii="Segoe UI" w:hAnsi="Segoe UI" w:cs="Segoe UI"/>
          <w:sz w:val="24"/>
          <w:szCs w:val="24"/>
        </w:rPr>
      </w:pPr>
    </w:p>
    <w:p w:rsidR="00470F70" w:rsidRPr="00C466CA" w:rsidRDefault="00470F70" w:rsidP="00470F70">
      <w:pPr>
        <w:spacing w:after="0"/>
        <w:jc w:val="both"/>
        <w:rPr>
          <w:rFonts w:ascii="Segoe UI" w:hAnsi="Segoe UI" w:cs="Segoe UI"/>
          <w:b/>
          <w:sz w:val="24"/>
          <w:szCs w:val="24"/>
        </w:rPr>
      </w:pPr>
    </w:p>
    <w:p w:rsidR="00470F70" w:rsidRPr="00C466CA" w:rsidRDefault="00470F70" w:rsidP="00470F70">
      <w:pPr>
        <w:spacing w:after="0"/>
        <w:jc w:val="both"/>
        <w:rPr>
          <w:rFonts w:ascii="Segoe UI" w:hAnsi="Segoe UI" w:cs="Segoe UI"/>
          <w:b/>
          <w:sz w:val="24"/>
          <w:szCs w:val="24"/>
        </w:rPr>
      </w:pPr>
      <w:r w:rsidRPr="00C466CA">
        <w:rPr>
          <w:rFonts w:ascii="Segoe UI" w:hAnsi="Segoe UI" w:cs="Segoe UI"/>
          <w:b/>
          <w:sz w:val="24"/>
          <w:szCs w:val="24"/>
        </w:rPr>
        <w:t>KATHERINE MIRANDA PEÑA</w:t>
      </w:r>
    </w:p>
    <w:p w:rsidR="00470F70" w:rsidRPr="00C466CA" w:rsidRDefault="00470F70" w:rsidP="00470F70">
      <w:pPr>
        <w:spacing w:after="0"/>
        <w:jc w:val="both"/>
        <w:rPr>
          <w:rFonts w:ascii="Segoe UI" w:hAnsi="Segoe UI" w:cs="Segoe UI"/>
          <w:sz w:val="24"/>
          <w:szCs w:val="24"/>
        </w:rPr>
      </w:pPr>
      <w:r w:rsidRPr="00C466CA">
        <w:rPr>
          <w:rFonts w:ascii="Segoe UI" w:hAnsi="Segoe UI" w:cs="Segoe UI"/>
          <w:sz w:val="24"/>
          <w:szCs w:val="24"/>
        </w:rPr>
        <w:t>Representante a la Cámara por Bogotá</w:t>
      </w:r>
    </w:p>
    <w:p w:rsidR="00A55A56" w:rsidRDefault="00470F70" w:rsidP="00470F70">
      <w:pPr>
        <w:spacing w:after="0"/>
        <w:jc w:val="both"/>
        <w:rPr>
          <w:rFonts w:ascii="Segoe UI" w:hAnsi="Segoe UI" w:cs="Segoe UI"/>
          <w:sz w:val="24"/>
          <w:szCs w:val="24"/>
        </w:rPr>
      </w:pPr>
      <w:r w:rsidRPr="00C466CA">
        <w:rPr>
          <w:rFonts w:ascii="Segoe UI" w:hAnsi="Segoe UI" w:cs="Segoe UI"/>
          <w:sz w:val="24"/>
          <w:szCs w:val="24"/>
        </w:rPr>
        <w:t>Partido Alianza Verde</w:t>
      </w:r>
    </w:p>
    <w:p w:rsidR="00470F70" w:rsidRDefault="00470F70" w:rsidP="00470F70">
      <w:pPr>
        <w:spacing w:after="0"/>
        <w:jc w:val="both"/>
        <w:rPr>
          <w:rStyle w:val="Ninguno"/>
          <w:rFonts w:ascii="Segoe UI" w:hAnsi="Segoe UI" w:cs="Segoe UI"/>
          <w:sz w:val="24"/>
          <w:szCs w:val="24"/>
        </w:rPr>
      </w:pPr>
    </w:p>
    <w:p w:rsidR="00470F70" w:rsidRDefault="00470F70" w:rsidP="00470F70">
      <w:pPr>
        <w:jc w:val="center"/>
        <w:rPr>
          <w:rFonts w:ascii="Segoe UI" w:hAnsi="Segoe UI" w:cs="Segoe UI"/>
          <w:b/>
          <w:sz w:val="24"/>
          <w:szCs w:val="24"/>
        </w:rPr>
      </w:pPr>
      <w:r>
        <w:rPr>
          <w:rFonts w:ascii="Segoe UI" w:hAnsi="Segoe UI" w:cs="Segoe UI"/>
          <w:b/>
          <w:sz w:val="24"/>
          <w:szCs w:val="24"/>
        </w:rPr>
        <w:lastRenderedPageBreak/>
        <w:t>PROYECYO DE LEY NÚMERO _________ CÁMARA DE 2019</w:t>
      </w:r>
    </w:p>
    <w:p w:rsidR="00470F70" w:rsidRDefault="00470F70" w:rsidP="00470F70">
      <w:pPr>
        <w:jc w:val="center"/>
        <w:rPr>
          <w:rFonts w:ascii="Segoe UI" w:hAnsi="Segoe UI" w:cs="Segoe UI"/>
          <w:b/>
          <w:sz w:val="24"/>
          <w:szCs w:val="24"/>
        </w:rPr>
      </w:pPr>
    </w:p>
    <w:p w:rsidR="00470F70" w:rsidRDefault="00470F70" w:rsidP="00470F70">
      <w:pPr>
        <w:jc w:val="center"/>
        <w:rPr>
          <w:rFonts w:ascii="Segoe UI" w:hAnsi="Segoe UI" w:cs="Segoe UI"/>
          <w:i/>
          <w:sz w:val="24"/>
          <w:szCs w:val="24"/>
        </w:rPr>
      </w:pPr>
      <w:r w:rsidRPr="004B24F0">
        <w:rPr>
          <w:rFonts w:ascii="Segoe UI" w:hAnsi="Segoe UI" w:cs="Segoe UI"/>
          <w:i/>
          <w:sz w:val="24"/>
          <w:szCs w:val="24"/>
        </w:rPr>
        <w:t xml:space="preserve">“Por </w:t>
      </w:r>
      <w:r>
        <w:rPr>
          <w:rFonts w:ascii="Segoe UI" w:hAnsi="Segoe UI" w:cs="Segoe UI"/>
          <w:i/>
          <w:sz w:val="24"/>
          <w:szCs w:val="24"/>
        </w:rPr>
        <w:t>la cual se declara imprescriptible la acción penal en caso de delitos contra la libertad, integridad y formación sexuales, o el delito consagrado en el artículo 237 de la Ley 599 de 2000 (No más silencio) y se dictan otras disposiciones</w:t>
      </w:r>
      <w:r w:rsidRPr="004B24F0">
        <w:rPr>
          <w:rFonts w:ascii="Segoe UI" w:hAnsi="Segoe UI" w:cs="Segoe UI"/>
          <w:i/>
          <w:sz w:val="24"/>
          <w:szCs w:val="24"/>
        </w:rPr>
        <w:t>”</w:t>
      </w:r>
      <w:r>
        <w:rPr>
          <w:rFonts w:ascii="Segoe UI" w:hAnsi="Segoe UI" w:cs="Segoe UI"/>
          <w:i/>
          <w:sz w:val="24"/>
          <w:szCs w:val="24"/>
        </w:rPr>
        <w:t xml:space="preserve"> </w:t>
      </w:r>
    </w:p>
    <w:p w:rsidR="00470F70" w:rsidRDefault="00470F70" w:rsidP="00470F70">
      <w:pPr>
        <w:spacing w:after="0"/>
        <w:jc w:val="both"/>
        <w:rPr>
          <w:rStyle w:val="Ninguno"/>
          <w:rFonts w:ascii="Segoe UI" w:hAnsi="Segoe UI" w:cs="Segoe UI"/>
          <w:sz w:val="24"/>
          <w:szCs w:val="24"/>
        </w:rPr>
      </w:pPr>
    </w:p>
    <w:tbl>
      <w:tblPr>
        <w:tblStyle w:val="Tablaconcuadrcula"/>
        <w:tblpPr w:leftFromText="141" w:rightFromText="141" w:vertAnchor="text" w:horzAnchor="margin"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4160"/>
      </w:tblGrid>
      <w:tr w:rsidR="00470F70" w:rsidTr="00470F70">
        <w:tc>
          <w:tcPr>
            <w:tcW w:w="3969" w:type="dxa"/>
            <w:tcBorders>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bottom w:val="single" w:sz="4" w:space="0" w:color="auto"/>
            </w:tcBorders>
          </w:tcPr>
          <w:p w:rsidR="00470F70" w:rsidRDefault="00470F70" w:rsidP="00470F70">
            <w:pPr>
              <w:jc w:val="both"/>
              <w:rPr>
                <w:rStyle w:val="Ninguno"/>
                <w:rFonts w:ascii="Segoe UI" w:hAnsi="Segoe UI" w:cs="Segoe UI"/>
                <w:sz w:val="24"/>
                <w:szCs w:val="24"/>
              </w:rPr>
            </w:pPr>
          </w:p>
        </w:tc>
      </w:tr>
      <w:tr w:rsidR="00470F70" w:rsidTr="00470F70">
        <w:tc>
          <w:tcPr>
            <w:tcW w:w="3969"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tc>
      </w:tr>
      <w:tr w:rsidR="00470F70" w:rsidTr="00470F70">
        <w:tc>
          <w:tcPr>
            <w:tcW w:w="3969"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tc>
      </w:tr>
      <w:tr w:rsidR="00470F70" w:rsidTr="00470F70">
        <w:tc>
          <w:tcPr>
            <w:tcW w:w="3969"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tc>
      </w:tr>
      <w:tr w:rsidR="00470F70" w:rsidTr="00470F70">
        <w:tc>
          <w:tcPr>
            <w:tcW w:w="3969"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tc>
      </w:tr>
      <w:tr w:rsidR="00470F70" w:rsidTr="00470F70">
        <w:tc>
          <w:tcPr>
            <w:tcW w:w="3969"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tc>
      </w:tr>
      <w:tr w:rsidR="00470F70" w:rsidTr="00470F70">
        <w:tc>
          <w:tcPr>
            <w:tcW w:w="3969"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tc>
      </w:tr>
      <w:tr w:rsidR="00470F70" w:rsidTr="00470F70">
        <w:tc>
          <w:tcPr>
            <w:tcW w:w="3969"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tc>
      </w:tr>
      <w:tr w:rsidR="00470F70" w:rsidTr="00470F70">
        <w:tc>
          <w:tcPr>
            <w:tcW w:w="3969"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p w:rsidR="00470F70" w:rsidRDefault="00470F70" w:rsidP="00470F70">
            <w:pPr>
              <w:jc w:val="both"/>
              <w:rPr>
                <w:rStyle w:val="Ninguno"/>
                <w:rFonts w:ascii="Segoe UI" w:hAnsi="Segoe UI" w:cs="Segoe UI"/>
                <w:sz w:val="24"/>
                <w:szCs w:val="24"/>
              </w:rPr>
            </w:pPr>
          </w:p>
        </w:tc>
        <w:tc>
          <w:tcPr>
            <w:tcW w:w="709" w:type="dxa"/>
          </w:tcPr>
          <w:p w:rsidR="00470F70" w:rsidRDefault="00470F70" w:rsidP="00470F70">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470F70">
            <w:pPr>
              <w:jc w:val="both"/>
              <w:rPr>
                <w:rStyle w:val="Ninguno"/>
                <w:rFonts w:ascii="Segoe UI" w:hAnsi="Segoe UI" w:cs="Segoe UI"/>
                <w:sz w:val="24"/>
                <w:szCs w:val="24"/>
              </w:rPr>
            </w:pPr>
          </w:p>
        </w:tc>
      </w:tr>
    </w:tbl>
    <w:p w:rsidR="00BB680D" w:rsidRPr="004A7EC5" w:rsidRDefault="00BB680D" w:rsidP="00470F70">
      <w:pPr>
        <w:pStyle w:val="Poromisin"/>
        <w:jc w:val="center"/>
        <w:rPr>
          <w:rStyle w:val="Ninguno"/>
          <w:rFonts w:ascii="Segoe UI" w:hAnsi="Segoe UI" w:cs="Segoe UI"/>
          <w:b/>
          <w:color w:val="000000" w:themeColor="text1"/>
          <w:sz w:val="24"/>
          <w:szCs w:val="24"/>
        </w:rPr>
      </w:pPr>
      <w:r w:rsidRPr="004A7EC5">
        <w:rPr>
          <w:rStyle w:val="Ninguno"/>
          <w:rFonts w:ascii="Segoe UI" w:hAnsi="Segoe UI" w:cs="Segoe UI"/>
          <w:b/>
          <w:color w:val="000000" w:themeColor="text1"/>
          <w:sz w:val="24"/>
          <w:szCs w:val="24"/>
        </w:rPr>
        <w:lastRenderedPageBreak/>
        <w:t>EXPOSICIÓN DE MOTIVOS</w:t>
      </w:r>
    </w:p>
    <w:p w:rsidR="00BB680D" w:rsidRDefault="00BB680D" w:rsidP="00BB680D">
      <w:pPr>
        <w:pStyle w:val="Poromisin"/>
        <w:jc w:val="center"/>
        <w:rPr>
          <w:rStyle w:val="Ninguno"/>
          <w:rFonts w:ascii="Segoe UI" w:hAnsi="Segoe UI" w:cs="Segoe UI"/>
          <w:b/>
          <w:color w:val="000000" w:themeColor="text1"/>
          <w:sz w:val="24"/>
          <w:szCs w:val="24"/>
        </w:rPr>
      </w:pPr>
      <w:r w:rsidRPr="004A7EC5">
        <w:rPr>
          <w:rStyle w:val="Ninguno"/>
          <w:rFonts w:ascii="Segoe UI" w:hAnsi="Segoe UI" w:cs="Segoe UI"/>
          <w:b/>
          <w:color w:val="000000" w:themeColor="text1"/>
          <w:sz w:val="24"/>
          <w:szCs w:val="24"/>
        </w:rPr>
        <w:t>PROYECTO DE LEY NÚMERO _______ DE 2019 CÁMARA</w:t>
      </w:r>
    </w:p>
    <w:p w:rsidR="00BB680D" w:rsidRDefault="00BB680D" w:rsidP="00BB680D">
      <w:pPr>
        <w:rPr>
          <w:rFonts w:ascii="Segoe UI" w:hAnsi="Segoe UI" w:cs="Segoe UI"/>
          <w:b/>
          <w:sz w:val="24"/>
          <w:szCs w:val="24"/>
        </w:rPr>
      </w:pPr>
    </w:p>
    <w:p w:rsidR="008C2204" w:rsidRDefault="008C2204" w:rsidP="008C2204">
      <w:pPr>
        <w:jc w:val="center"/>
        <w:rPr>
          <w:rFonts w:ascii="Segoe UI" w:hAnsi="Segoe UI" w:cs="Segoe UI"/>
          <w:i/>
          <w:sz w:val="24"/>
          <w:szCs w:val="24"/>
        </w:rPr>
      </w:pPr>
      <w:r w:rsidRPr="004B24F0">
        <w:rPr>
          <w:rFonts w:ascii="Segoe UI" w:hAnsi="Segoe UI" w:cs="Segoe UI"/>
          <w:i/>
          <w:sz w:val="24"/>
          <w:szCs w:val="24"/>
        </w:rPr>
        <w:t xml:space="preserve">“Por </w:t>
      </w:r>
      <w:r>
        <w:rPr>
          <w:rFonts w:ascii="Segoe UI" w:hAnsi="Segoe UI" w:cs="Segoe UI"/>
          <w:i/>
          <w:sz w:val="24"/>
          <w:szCs w:val="24"/>
        </w:rPr>
        <w:t>la cual se declara imprescriptible la acción penal en caso de delitos contra la libertad, integridad y formación sexuales, o el delito consagrado en el artículo 237 de la Ley 599 de 2000 (No más silencio) y se dictan otras disposiciones</w:t>
      </w:r>
      <w:r w:rsidRPr="004B24F0">
        <w:rPr>
          <w:rFonts w:ascii="Segoe UI" w:hAnsi="Segoe UI" w:cs="Segoe UI"/>
          <w:i/>
          <w:sz w:val="24"/>
          <w:szCs w:val="24"/>
        </w:rPr>
        <w:t>”</w:t>
      </w:r>
      <w:r>
        <w:rPr>
          <w:rFonts w:ascii="Segoe UI" w:hAnsi="Segoe UI" w:cs="Segoe UI"/>
          <w:i/>
          <w:sz w:val="24"/>
          <w:szCs w:val="24"/>
        </w:rPr>
        <w:t xml:space="preserve"> </w:t>
      </w:r>
    </w:p>
    <w:p w:rsidR="00BB680D" w:rsidRPr="004A7EC5" w:rsidRDefault="00BB680D" w:rsidP="00BB680D">
      <w:pPr>
        <w:spacing w:after="0" w:line="240" w:lineRule="auto"/>
        <w:jc w:val="center"/>
        <w:rPr>
          <w:rFonts w:ascii="Segoe UI" w:hAnsi="Segoe UI" w:cs="Segoe UI"/>
          <w:b/>
          <w:bCs/>
          <w:color w:val="000000" w:themeColor="text1"/>
          <w:sz w:val="24"/>
          <w:szCs w:val="24"/>
        </w:rPr>
      </w:pPr>
    </w:p>
    <w:p w:rsidR="00BB680D" w:rsidRPr="004A7EC5" w:rsidRDefault="00BB680D" w:rsidP="00BB680D">
      <w:pPr>
        <w:pStyle w:val="Prrafodelista"/>
        <w:numPr>
          <w:ilvl w:val="0"/>
          <w:numId w:val="1"/>
        </w:numPr>
        <w:spacing w:after="0" w:line="240" w:lineRule="auto"/>
        <w:jc w:val="both"/>
        <w:rPr>
          <w:rFonts w:ascii="Segoe UI" w:hAnsi="Segoe UI" w:cs="Segoe UI"/>
          <w:b/>
          <w:bCs/>
          <w:color w:val="000000" w:themeColor="text1"/>
          <w:sz w:val="24"/>
          <w:szCs w:val="24"/>
        </w:rPr>
      </w:pPr>
      <w:r w:rsidRPr="004A7EC5">
        <w:rPr>
          <w:rFonts w:ascii="Segoe UI" w:hAnsi="Segoe UI" w:cs="Segoe UI"/>
          <w:b/>
          <w:bCs/>
          <w:color w:val="000000" w:themeColor="text1"/>
          <w:sz w:val="24"/>
          <w:szCs w:val="24"/>
        </w:rPr>
        <w:t>GENERALIDADES</w:t>
      </w:r>
    </w:p>
    <w:p w:rsidR="00BB680D" w:rsidRPr="004A7EC5" w:rsidRDefault="00BB680D" w:rsidP="00BB680D">
      <w:pPr>
        <w:spacing w:after="0" w:line="240" w:lineRule="auto"/>
        <w:jc w:val="both"/>
        <w:rPr>
          <w:rFonts w:ascii="Segoe UI" w:hAnsi="Segoe UI" w:cs="Segoe UI"/>
          <w:b/>
          <w:bCs/>
          <w:color w:val="000000" w:themeColor="text1"/>
          <w:sz w:val="24"/>
          <w:szCs w:val="24"/>
        </w:rPr>
      </w:pPr>
    </w:p>
    <w:p w:rsidR="00BB680D" w:rsidRPr="009E5A1E" w:rsidRDefault="00BB680D" w:rsidP="00BB680D">
      <w:pPr>
        <w:spacing w:after="0" w:line="240" w:lineRule="auto"/>
        <w:jc w:val="both"/>
        <w:rPr>
          <w:rFonts w:ascii="Segoe UI" w:hAnsi="Segoe UI" w:cs="Segoe UI"/>
          <w:b/>
          <w:bCs/>
          <w:sz w:val="24"/>
          <w:szCs w:val="24"/>
          <w:highlight w:val="cyan"/>
        </w:rPr>
      </w:pPr>
      <w:r w:rsidRPr="004A7EC5">
        <w:rPr>
          <w:rFonts w:ascii="Segoe UI" w:hAnsi="Segoe UI" w:cs="Segoe UI"/>
          <w:bCs/>
          <w:color w:val="000000" w:themeColor="text1"/>
          <w:sz w:val="24"/>
          <w:szCs w:val="24"/>
        </w:rPr>
        <w:t xml:space="preserve">El presente </w:t>
      </w:r>
      <w:r w:rsidR="00B459A7" w:rsidRPr="004A7EC5">
        <w:rPr>
          <w:rFonts w:ascii="Segoe UI" w:hAnsi="Segoe UI" w:cs="Segoe UI"/>
          <w:bCs/>
          <w:color w:val="000000" w:themeColor="text1"/>
          <w:sz w:val="24"/>
          <w:szCs w:val="24"/>
        </w:rPr>
        <w:t>proyecto de ley</w:t>
      </w:r>
      <w:r w:rsidRPr="004A7EC5">
        <w:rPr>
          <w:rFonts w:ascii="Segoe UI" w:hAnsi="Segoe UI" w:cs="Segoe UI"/>
          <w:bCs/>
          <w:color w:val="000000" w:themeColor="text1"/>
          <w:sz w:val="24"/>
          <w:szCs w:val="24"/>
        </w:rPr>
        <w:t xml:space="preserve"> </w:t>
      </w:r>
      <w:r w:rsidRPr="00BB680D">
        <w:rPr>
          <w:rFonts w:ascii="Segoe UI" w:hAnsi="Segoe UI" w:cs="Segoe UI"/>
          <w:bCs/>
          <w:i/>
          <w:sz w:val="24"/>
          <w:szCs w:val="24"/>
        </w:rPr>
        <w:t>“Por la cual se declara imprescriptible la acción penal en caso de delitos contra la libertad, integridad y formación sexuales, o el delito consagrado en el artículo 237 de la Ley 599 de 2000”</w:t>
      </w:r>
      <w:r>
        <w:rPr>
          <w:rFonts w:ascii="Segoe UI" w:hAnsi="Segoe UI" w:cs="Segoe UI"/>
          <w:bCs/>
          <w:i/>
          <w:sz w:val="24"/>
          <w:szCs w:val="24"/>
        </w:rPr>
        <w:t xml:space="preserve"> </w:t>
      </w:r>
      <w:r w:rsidRPr="004A7EC5">
        <w:rPr>
          <w:rFonts w:ascii="Segoe UI" w:hAnsi="Segoe UI" w:cs="Segoe UI"/>
          <w:bCs/>
          <w:color w:val="000000" w:themeColor="text1"/>
          <w:sz w:val="24"/>
          <w:szCs w:val="24"/>
        </w:rPr>
        <w:t xml:space="preserve">es una propuesta para </w:t>
      </w:r>
      <w:r w:rsidR="005867CC">
        <w:rPr>
          <w:rFonts w:ascii="Segoe UI" w:hAnsi="Segoe UI" w:cs="Segoe UI"/>
          <w:bCs/>
          <w:color w:val="000000" w:themeColor="text1"/>
          <w:sz w:val="24"/>
          <w:szCs w:val="24"/>
        </w:rPr>
        <w:t>materializar la protección del interés superior del niño y garantizar el acceso a la justicia de las víctimas de violencia sexual cuando fueren menores de edad.</w:t>
      </w:r>
    </w:p>
    <w:p w:rsidR="00BB680D" w:rsidRPr="004A7EC5" w:rsidRDefault="00BB680D" w:rsidP="00BB680D">
      <w:pPr>
        <w:spacing w:after="0" w:line="240" w:lineRule="auto"/>
        <w:jc w:val="both"/>
        <w:rPr>
          <w:rFonts w:ascii="Segoe UI" w:hAnsi="Segoe UI" w:cs="Segoe UI"/>
          <w:b/>
          <w:bCs/>
          <w:color w:val="000000" w:themeColor="text1"/>
          <w:sz w:val="24"/>
          <w:szCs w:val="24"/>
        </w:rPr>
      </w:pPr>
    </w:p>
    <w:p w:rsidR="0030421D" w:rsidRDefault="00BB680D" w:rsidP="0030421D">
      <w:pPr>
        <w:pStyle w:val="Prrafodelista"/>
        <w:numPr>
          <w:ilvl w:val="0"/>
          <w:numId w:val="1"/>
        </w:numPr>
        <w:spacing w:after="0" w:line="240" w:lineRule="auto"/>
        <w:jc w:val="both"/>
        <w:rPr>
          <w:rFonts w:ascii="Segoe UI" w:hAnsi="Segoe UI" w:cs="Segoe UI"/>
          <w:b/>
          <w:bCs/>
          <w:color w:val="000000" w:themeColor="text1"/>
          <w:sz w:val="24"/>
          <w:szCs w:val="24"/>
        </w:rPr>
      </w:pPr>
      <w:r w:rsidRPr="004A7EC5">
        <w:rPr>
          <w:rFonts w:ascii="Segoe UI" w:hAnsi="Segoe UI" w:cs="Segoe UI"/>
          <w:b/>
          <w:bCs/>
          <w:color w:val="000000" w:themeColor="text1"/>
          <w:sz w:val="24"/>
          <w:szCs w:val="24"/>
        </w:rPr>
        <w:t>JUSTIFICACIÓN</w:t>
      </w:r>
    </w:p>
    <w:p w:rsidR="0030421D" w:rsidRDefault="0030421D" w:rsidP="0030421D">
      <w:pPr>
        <w:spacing w:after="0" w:line="240" w:lineRule="auto"/>
        <w:jc w:val="both"/>
        <w:rPr>
          <w:rFonts w:ascii="Segoe UI" w:hAnsi="Segoe UI" w:cs="Segoe UI"/>
          <w:b/>
          <w:bCs/>
          <w:color w:val="000000" w:themeColor="text1"/>
          <w:sz w:val="24"/>
          <w:szCs w:val="24"/>
        </w:rPr>
      </w:pPr>
    </w:p>
    <w:p w:rsidR="00F732E2" w:rsidRPr="00F732E2" w:rsidRDefault="00F732E2" w:rsidP="00F732E2">
      <w:pPr>
        <w:spacing w:after="0" w:line="240" w:lineRule="auto"/>
        <w:jc w:val="both"/>
        <w:rPr>
          <w:rFonts w:ascii="Segoe UI" w:hAnsi="Segoe UI" w:cs="Segoe UI"/>
          <w:bCs/>
          <w:color w:val="000000" w:themeColor="text1"/>
          <w:sz w:val="24"/>
          <w:szCs w:val="24"/>
        </w:rPr>
      </w:pPr>
      <w:r w:rsidRPr="00F732E2">
        <w:rPr>
          <w:rFonts w:ascii="Segoe UI" w:hAnsi="Segoe UI" w:cs="Segoe UI"/>
          <w:bCs/>
          <w:color w:val="000000" w:themeColor="text1"/>
          <w:sz w:val="24"/>
          <w:szCs w:val="24"/>
        </w:rPr>
        <w:t>Los niño</w:t>
      </w:r>
      <w:r w:rsidR="00D83723">
        <w:rPr>
          <w:rFonts w:ascii="Segoe UI" w:hAnsi="Segoe UI" w:cs="Segoe UI"/>
          <w:bCs/>
          <w:color w:val="000000" w:themeColor="text1"/>
          <w:sz w:val="24"/>
          <w:szCs w:val="24"/>
        </w:rPr>
        <w:t xml:space="preserve">s, </w:t>
      </w:r>
      <w:r w:rsidRPr="00F732E2">
        <w:rPr>
          <w:rFonts w:ascii="Segoe UI" w:hAnsi="Segoe UI" w:cs="Segoe UI"/>
          <w:bCs/>
          <w:color w:val="000000" w:themeColor="text1"/>
          <w:sz w:val="24"/>
          <w:szCs w:val="24"/>
        </w:rPr>
        <w:t>las niñ</w:t>
      </w:r>
      <w:r w:rsidR="00D83723">
        <w:rPr>
          <w:rFonts w:ascii="Segoe UI" w:hAnsi="Segoe UI" w:cs="Segoe UI"/>
          <w:bCs/>
          <w:color w:val="000000" w:themeColor="text1"/>
          <w:sz w:val="24"/>
          <w:szCs w:val="24"/>
        </w:rPr>
        <w:t>a</w:t>
      </w:r>
      <w:r w:rsidRPr="00F732E2">
        <w:rPr>
          <w:rFonts w:ascii="Segoe UI" w:hAnsi="Segoe UI" w:cs="Segoe UI"/>
          <w:bCs/>
          <w:color w:val="000000" w:themeColor="text1"/>
          <w:sz w:val="24"/>
          <w:szCs w:val="24"/>
        </w:rPr>
        <w:t xml:space="preserve">s y </w:t>
      </w:r>
      <w:r w:rsidR="00D83723">
        <w:rPr>
          <w:rFonts w:ascii="Segoe UI" w:hAnsi="Segoe UI" w:cs="Segoe UI"/>
          <w:bCs/>
          <w:color w:val="000000" w:themeColor="text1"/>
          <w:sz w:val="24"/>
          <w:szCs w:val="24"/>
        </w:rPr>
        <w:t xml:space="preserve">los </w:t>
      </w:r>
      <w:r w:rsidRPr="00F732E2">
        <w:rPr>
          <w:rFonts w:ascii="Segoe UI" w:hAnsi="Segoe UI" w:cs="Segoe UI"/>
          <w:bCs/>
          <w:color w:val="000000" w:themeColor="text1"/>
          <w:sz w:val="24"/>
          <w:szCs w:val="24"/>
        </w:rPr>
        <w:t>adolescentes son sujetos de derecho</w:t>
      </w:r>
      <w:r w:rsidR="00D83723">
        <w:rPr>
          <w:rFonts w:ascii="Segoe UI" w:hAnsi="Segoe UI" w:cs="Segoe UI"/>
          <w:bCs/>
          <w:color w:val="000000" w:themeColor="text1"/>
          <w:sz w:val="24"/>
          <w:szCs w:val="24"/>
        </w:rPr>
        <w:t xml:space="preserve"> </w:t>
      </w:r>
      <w:r w:rsidRPr="00F732E2">
        <w:rPr>
          <w:rFonts w:ascii="Segoe UI" w:hAnsi="Segoe UI" w:cs="Segoe UI"/>
          <w:bCs/>
          <w:color w:val="000000" w:themeColor="text1"/>
          <w:sz w:val="24"/>
          <w:szCs w:val="24"/>
        </w:rPr>
        <w:t xml:space="preserve">con un rasgo constitucional muy importante reflejado en el artículo 44 de la </w:t>
      </w:r>
      <w:r w:rsidR="00D83723">
        <w:rPr>
          <w:rFonts w:ascii="Segoe UI" w:hAnsi="Segoe UI" w:cs="Segoe UI"/>
          <w:bCs/>
          <w:color w:val="000000" w:themeColor="text1"/>
          <w:sz w:val="24"/>
          <w:szCs w:val="24"/>
        </w:rPr>
        <w:t>C</w:t>
      </w:r>
      <w:r w:rsidRPr="00F732E2">
        <w:rPr>
          <w:rFonts w:ascii="Segoe UI" w:hAnsi="Segoe UI" w:cs="Segoe UI"/>
          <w:bCs/>
          <w:color w:val="000000" w:themeColor="text1"/>
          <w:sz w:val="24"/>
          <w:szCs w:val="24"/>
        </w:rPr>
        <w:t xml:space="preserve">onstitución </w:t>
      </w:r>
      <w:r w:rsidR="00D83723">
        <w:rPr>
          <w:rFonts w:ascii="Segoe UI" w:hAnsi="Segoe UI" w:cs="Segoe UI"/>
          <w:bCs/>
          <w:color w:val="000000" w:themeColor="text1"/>
          <w:sz w:val="24"/>
          <w:szCs w:val="24"/>
        </w:rPr>
        <w:t>P</w:t>
      </w:r>
      <w:r w:rsidRPr="00F732E2">
        <w:rPr>
          <w:rFonts w:ascii="Segoe UI" w:hAnsi="Segoe UI" w:cs="Segoe UI"/>
          <w:bCs/>
          <w:color w:val="000000" w:themeColor="text1"/>
          <w:sz w:val="24"/>
          <w:szCs w:val="24"/>
        </w:rPr>
        <w:t>olítica de Colombia</w:t>
      </w:r>
      <w:r w:rsidR="00D83723">
        <w:rPr>
          <w:rFonts w:ascii="Segoe UI" w:hAnsi="Segoe UI" w:cs="Segoe UI"/>
          <w:bCs/>
          <w:color w:val="000000" w:themeColor="text1"/>
          <w:sz w:val="24"/>
          <w:szCs w:val="24"/>
        </w:rPr>
        <w:t>; s</w:t>
      </w:r>
      <w:r w:rsidRPr="00F732E2">
        <w:rPr>
          <w:rFonts w:ascii="Segoe UI" w:hAnsi="Segoe UI" w:cs="Segoe UI"/>
          <w:bCs/>
          <w:color w:val="000000" w:themeColor="text1"/>
          <w:sz w:val="24"/>
          <w:szCs w:val="24"/>
        </w:rPr>
        <w:t>e les debe proteger</w:t>
      </w:r>
      <w:r w:rsidR="00D83723">
        <w:rPr>
          <w:rFonts w:ascii="Segoe UI" w:hAnsi="Segoe UI" w:cs="Segoe UI"/>
          <w:bCs/>
          <w:color w:val="000000" w:themeColor="text1"/>
          <w:sz w:val="24"/>
          <w:szCs w:val="24"/>
        </w:rPr>
        <w:t>,</w:t>
      </w:r>
      <w:r w:rsidRPr="00F732E2">
        <w:rPr>
          <w:rFonts w:ascii="Segoe UI" w:hAnsi="Segoe UI" w:cs="Segoe UI"/>
          <w:bCs/>
          <w:color w:val="000000" w:themeColor="text1"/>
          <w:sz w:val="24"/>
          <w:szCs w:val="24"/>
        </w:rPr>
        <w:t xml:space="preserve"> sobretodo</w:t>
      </w:r>
      <w:r w:rsidR="00D83723">
        <w:rPr>
          <w:rFonts w:ascii="Segoe UI" w:hAnsi="Segoe UI" w:cs="Segoe UI"/>
          <w:bCs/>
          <w:color w:val="000000" w:themeColor="text1"/>
          <w:sz w:val="24"/>
          <w:szCs w:val="24"/>
        </w:rPr>
        <w:t>,</w:t>
      </w:r>
      <w:r w:rsidRPr="00F732E2">
        <w:rPr>
          <w:rFonts w:ascii="Segoe UI" w:hAnsi="Segoe UI" w:cs="Segoe UI"/>
          <w:bCs/>
          <w:color w:val="000000" w:themeColor="text1"/>
          <w:sz w:val="24"/>
          <w:szCs w:val="24"/>
        </w:rPr>
        <w:t xml:space="preserve"> del derecho fundamental en la protección de cualquiera forma de violencia (Convención sobre los Derechos del Niño</w:t>
      </w:r>
      <w:r w:rsidR="00D83723">
        <w:rPr>
          <w:rFonts w:ascii="Segoe UI" w:hAnsi="Segoe UI" w:cs="Segoe UI"/>
          <w:bCs/>
          <w:color w:val="000000" w:themeColor="text1"/>
          <w:sz w:val="24"/>
          <w:szCs w:val="24"/>
        </w:rPr>
        <w:t>. A</w:t>
      </w:r>
      <w:r w:rsidRPr="00F732E2">
        <w:rPr>
          <w:rFonts w:ascii="Segoe UI" w:hAnsi="Segoe UI" w:cs="Segoe UI"/>
          <w:bCs/>
          <w:color w:val="000000" w:themeColor="text1"/>
          <w:sz w:val="24"/>
          <w:szCs w:val="24"/>
        </w:rPr>
        <w:t xml:space="preserve">doptada y abierta a la firma y ratificación por la Asamblea General en su resolución 44/25, de 20 de noviembre de 1989, Entrada en vigor: 2 de septiembre de 1990, de conformidad con el artículo 49). </w:t>
      </w:r>
    </w:p>
    <w:p w:rsidR="00F732E2" w:rsidRPr="00F732E2" w:rsidRDefault="00F732E2" w:rsidP="00F732E2">
      <w:pPr>
        <w:spacing w:after="0" w:line="240" w:lineRule="auto"/>
        <w:jc w:val="both"/>
        <w:rPr>
          <w:rFonts w:ascii="Segoe UI" w:hAnsi="Segoe UI" w:cs="Segoe UI"/>
          <w:bCs/>
          <w:color w:val="000000" w:themeColor="text1"/>
          <w:sz w:val="24"/>
          <w:szCs w:val="24"/>
        </w:rPr>
      </w:pPr>
    </w:p>
    <w:p w:rsidR="00F732E2" w:rsidRPr="00F732E2" w:rsidRDefault="00D83723" w:rsidP="00F732E2">
      <w:pPr>
        <w:spacing w:after="0" w:line="240" w:lineRule="auto"/>
        <w:jc w:val="both"/>
        <w:rPr>
          <w:rFonts w:ascii="Segoe UI" w:hAnsi="Segoe UI" w:cs="Segoe UI"/>
          <w:bCs/>
          <w:color w:val="000000" w:themeColor="text1"/>
          <w:sz w:val="24"/>
          <w:szCs w:val="24"/>
        </w:rPr>
      </w:pPr>
      <w:r>
        <w:rPr>
          <w:rFonts w:ascii="Segoe UI" w:hAnsi="Segoe UI" w:cs="Segoe UI"/>
          <w:bCs/>
          <w:color w:val="000000" w:themeColor="text1"/>
          <w:sz w:val="24"/>
          <w:szCs w:val="24"/>
        </w:rPr>
        <w:t>Según</w:t>
      </w:r>
      <w:r w:rsidR="00F732E2" w:rsidRPr="00F732E2">
        <w:rPr>
          <w:rFonts w:ascii="Segoe UI" w:hAnsi="Segoe UI" w:cs="Segoe UI"/>
          <w:bCs/>
          <w:color w:val="000000" w:themeColor="text1"/>
          <w:sz w:val="24"/>
          <w:szCs w:val="24"/>
        </w:rPr>
        <w:t xml:space="preserve"> la Organización Mundial de la Salud, la violencia sexual tiene un impacto en la salud física y mental</w:t>
      </w:r>
      <w:r w:rsidR="00F732E2" w:rsidRPr="00F732E2">
        <w:rPr>
          <w:rFonts w:ascii="Segoe UI" w:hAnsi="Segoe UI" w:cs="Segoe UI"/>
          <w:bCs/>
          <w:color w:val="000000" w:themeColor="text1"/>
          <w:sz w:val="24"/>
          <w:szCs w:val="24"/>
          <w:vertAlign w:val="superscript"/>
        </w:rPr>
        <w:footnoteReference w:id="1"/>
      </w:r>
      <w:r w:rsidR="00F732E2" w:rsidRPr="00F732E2">
        <w:rPr>
          <w:rFonts w:ascii="Segoe UI" w:hAnsi="Segoe UI" w:cs="Segoe UI"/>
          <w:bCs/>
          <w:color w:val="000000" w:themeColor="text1"/>
          <w:sz w:val="24"/>
          <w:szCs w:val="24"/>
        </w:rPr>
        <w:t xml:space="preserve">. </w:t>
      </w:r>
      <w:r>
        <w:rPr>
          <w:rFonts w:ascii="Segoe UI" w:hAnsi="Segoe UI" w:cs="Segoe UI"/>
          <w:bCs/>
          <w:color w:val="000000" w:themeColor="text1"/>
          <w:sz w:val="24"/>
          <w:szCs w:val="24"/>
        </w:rPr>
        <w:t>La</w:t>
      </w:r>
      <w:r w:rsidR="00F732E2" w:rsidRPr="00F732E2">
        <w:rPr>
          <w:rFonts w:ascii="Segoe UI" w:hAnsi="Segoe UI" w:cs="Segoe UI"/>
          <w:bCs/>
          <w:color w:val="000000" w:themeColor="text1"/>
          <w:sz w:val="24"/>
          <w:szCs w:val="24"/>
        </w:rPr>
        <w:t xml:space="preserve"> literatura especializada</w:t>
      </w:r>
      <w:r>
        <w:rPr>
          <w:rFonts w:ascii="Segoe UI" w:hAnsi="Segoe UI" w:cs="Segoe UI"/>
          <w:bCs/>
          <w:color w:val="000000" w:themeColor="text1"/>
          <w:sz w:val="24"/>
          <w:szCs w:val="24"/>
        </w:rPr>
        <w:t>,</w:t>
      </w:r>
      <w:r w:rsidR="00F732E2" w:rsidRPr="00F732E2">
        <w:rPr>
          <w:rFonts w:ascii="Segoe UI" w:hAnsi="Segoe UI" w:cs="Segoe UI"/>
          <w:bCs/>
          <w:color w:val="000000" w:themeColor="text1"/>
          <w:sz w:val="24"/>
          <w:szCs w:val="24"/>
        </w:rPr>
        <w:t xml:space="preserve"> consens</w:t>
      </w:r>
      <w:r>
        <w:rPr>
          <w:rFonts w:ascii="Segoe UI" w:hAnsi="Segoe UI" w:cs="Segoe UI"/>
          <w:bCs/>
          <w:color w:val="000000" w:themeColor="text1"/>
          <w:sz w:val="24"/>
          <w:szCs w:val="24"/>
        </w:rPr>
        <w:t>uadamente,</w:t>
      </w:r>
      <w:r w:rsidR="00F732E2" w:rsidRPr="00F732E2">
        <w:rPr>
          <w:rFonts w:ascii="Segoe UI" w:hAnsi="Segoe UI" w:cs="Segoe UI"/>
          <w:bCs/>
          <w:color w:val="000000" w:themeColor="text1"/>
          <w:sz w:val="24"/>
          <w:szCs w:val="24"/>
        </w:rPr>
        <w:t xml:space="preserve"> concluye que la mayoría de las personas que experimenta</w:t>
      </w:r>
      <w:r>
        <w:rPr>
          <w:rFonts w:ascii="Segoe UI" w:hAnsi="Segoe UI" w:cs="Segoe UI"/>
          <w:bCs/>
          <w:color w:val="000000" w:themeColor="text1"/>
          <w:sz w:val="24"/>
          <w:szCs w:val="24"/>
        </w:rPr>
        <w:t>n</w:t>
      </w:r>
      <w:r w:rsidR="00F732E2" w:rsidRPr="00F732E2">
        <w:rPr>
          <w:rFonts w:ascii="Segoe UI" w:hAnsi="Segoe UI" w:cs="Segoe UI"/>
          <w:bCs/>
          <w:color w:val="000000" w:themeColor="text1"/>
          <w:sz w:val="24"/>
          <w:szCs w:val="24"/>
        </w:rPr>
        <w:t xml:space="preserve"> abuso sexual en la infancia lo pueden exteriorizar hasta la edad adulta (McElvaney, 2015)</w:t>
      </w:r>
      <w:r w:rsidR="00F732E2" w:rsidRPr="00F732E2">
        <w:rPr>
          <w:rFonts w:ascii="Segoe UI" w:hAnsi="Segoe UI" w:cs="Segoe UI"/>
          <w:bCs/>
          <w:color w:val="000000" w:themeColor="text1"/>
          <w:sz w:val="24"/>
          <w:szCs w:val="24"/>
          <w:vertAlign w:val="superscript"/>
        </w:rPr>
        <w:footnoteReference w:id="2"/>
      </w:r>
      <w:r w:rsidR="00F732E2" w:rsidRPr="00F732E2">
        <w:rPr>
          <w:rFonts w:ascii="Segoe UI" w:hAnsi="Segoe UI" w:cs="Segoe UI"/>
          <w:bCs/>
          <w:color w:val="000000" w:themeColor="text1"/>
          <w:sz w:val="24"/>
          <w:szCs w:val="24"/>
        </w:rPr>
        <w:t xml:space="preserve">. </w:t>
      </w:r>
    </w:p>
    <w:p w:rsidR="00F732E2" w:rsidRPr="00F732E2" w:rsidRDefault="00F732E2" w:rsidP="00F732E2">
      <w:pPr>
        <w:spacing w:after="0" w:line="240" w:lineRule="auto"/>
        <w:jc w:val="both"/>
        <w:rPr>
          <w:rFonts w:ascii="Segoe UI" w:hAnsi="Segoe UI" w:cs="Segoe UI"/>
          <w:bCs/>
          <w:color w:val="000000" w:themeColor="text1"/>
          <w:sz w:val="24"/>
          <w:szCs w:val="24"/>
        </w:rPr>
      </w:pPr>
    </w:p>
    <w:p w:rsidR="00F732E2" w:rsidRPr="00F732E2" w:rsidRDefault="00F732E2" w:rsidP="00F732E2">
      <w:pPr>
        <w:spacing w:after="0" w:line="240" w:lineRule="auto"/>
        <w:jc w:val="both"/>
        <w:rPr>
          <w:rFonts w:ascii="Segoe UI" w:hAnsi="Segoe UI" w:cs="Segoe UI"/>
          <w:bCs/>
          <w:color w:val="000000" w:themeColor="text1"/>
          <w:sz w:val="24"/>
          <w:szCs w:val="24"/>
        </w:rPr>
      </w:pPr>
      <w:r w:rsidRPr="00F732E2">
        <w:rPr>
          <w:rFonts w:ascii="Segoe UI" w:hAnsi="Segoe UI" w:cs="Segoe UI"/>
          <w:bCs/>
          <w:color w:val="000000" w:themeColor="text1"/>
          <w:sz w:val="24"/>
          <w:szCs w:val="24"/>
        </w:rPr>
        <w:lastRenderedPageBreak/>
        <w:t>Se concluye que existen variables que identifican que se conozca la verdad en el abuso sexual en menores como son: “La edad de aparición del abuso, la existencia de penetración, el miedo por la propia vida en el momento del abuso, la existencia de lesiones físicas, la estructura familiar y la diferencia de edad entre la víctima y el agresor están relacionados con que la víctima entregue su versión de lo sucedido y lo exteriorice” (Kogan 2004)</w:t>
      </w:r>
      <w:r w:rsidRPr="00F732E2">
        <w:rPr>
          <w:rFonts w:ascii="Segoe UI" w:hAnsi="Segoe UI" w:cs="Segoe UI"/>
          <w:bCs/>
          <w:color w:val="000000" w:themeColor="text1"/>
          <w:sz w:val="24"/>
          <w:szCs w:val="24"/>
          <w:vertAlign w:val="superscript"/>
        </w:rPr>
        <w:footnoteReference w:id="3"/>
      </w:r>
      <w:r w:rsidRPr="00F732E2">
        <w:rPr>
          <w:rFonts w:ascii="Segoe UI" w:hAnsi="Segoe UI" w:cs="Segoe UI"/>
          <w:bCs/>
          <w:color w:val="000000" w:themeColor="text1"/>
          <w:sz w:val="24"/>
          <w:szCs w:val="24"/>
        </w:rPr>
        <w:t>.</w:t>
      </w:r>
    </w:p>
    <w:p w:rsidR="00F732E2" w:rsidRPr="00F732E2" w:rsidRDefault="00F732E2" w:rsidP="00F732E2">
      <w:pPr>
        <w:spacing w:after="0" w:line="240" w:lineRule="auto"/>
        <w:jc w:val="both"/>
        <w:rPr>
          <w:rFonts w:ascii="Segoe UI" w:hAnsi="Segoe UI" w:cs="Segoe UI"/>
          <w:bCs/>
          <w:color w:val="000000" w:themeColor="text1"/>
          <w:sz w:val="24"/>
          <w:szCs w:val="24"/>
        </w:rPr>
      </w:pPr>
    </w:p>
    <w:p w:rsidR="00F732E2" w:rsidRPr="00F732E2" w:rsidRDefault="00F732E2" w:rsidP="00F732E2">
      <w:pPr>
        <w:spacing w:after="0" w:line="240" w:lineRule="auto"/>
        <w:jc w:val="both"/>
        <w:rPr>
          <w:rFonts w:ascii="Segoe UI" w:hAnsi="Segoe UI" w:cs="Segoe UI"/>
          <w:bCs/>
          <w:color w:val="000000" w:themeColor="text1"/>
          <w:sz w:val="24"/>
          <w:szCs w:val="24"/>
        </w:rPr>
      </w:pPr>
      <w:r w:rsidRPr="00F732E2">
        <w:rPr>
          <w:rFonts w:ascii="Segoe UI" w:hAnsi="Segoe UI" w:cs="Segoe UI"/>
          <w:bCs/>
          <w:color w:val="000000" w:themeColor="text1"/>
          <w:sz w:val="24"/>
          <w:szCs w:val="24"/>
        </w:rPr>
        <w:t>Con la Encuesta Nacional de Adolescentes en los Estados Unidos</w:t>
      </w:r>
      <w:r w:rsidR="003C0311">
        <w:rPr>
          <w:rFonts w:ascii="Segoe UI" w:hAnsi="Segoe UI" w:cs="Segoe UI"/>
          <w:bCs/>
          <w:color w:val="000000" w:themeColor="text1"/>
          <w:sz w:val="24"/>
          <w:szCs w:val="24"/>
        </w:rPr>
        <w:t xml:space="preserve">, </w:t>
      </w:r>
      <w:r w:rsidRPr="00F732E2">
        <w:rPr>
          <w:rFonts w:ascii="Segoe UI" w:hAnsi="Segoe UI" w:cs="Segoe UI"/>
          <w:bCs/>
          <w:color w:val="000000" w:themeColor="text1"/>
          <w:sz w:val="24"/>
          <w:szCs w:val="24"/>
        </w:rPr>
        <w:t>donde se realizó un estudio representativo a nivel nacional</w:t>
      </w:r>
      <w:r w:rsidR="003C0311">
        <w:rPr>
          <w:rFonts w:ascii="Segoe UI" w:hAnsi="Segoe UI" w:cs="Segoe UI"/>
          <w:bCs/>
          <w:color w:val="000000" w:themeColor="text1"/>
          <w:sz w:val="24"/>
          <w:szCs w:val="24"/>
        </w:rPr>
        <w:t xml:space="preserve">, </w:t>
      </w:r>
      <w:r w:rsidRPr="00F732E2">
        <w:rPr>
          <w:rFonts w:ascii="Segoe UI" w:hAnsi="Segoe UI" w:cs="Segoe UI"/>
          <w:bCs/>
          <w:color w:val="000000" w:themeColor="text1"/>
          <w:sz w:val="24"/>
          <w:szCs w:val="24"/>
        </w:rPr>
        <w:t xml:space="preserve">los resultados </w:t>
      </w:r>
      <w:r w:rsidR="003C0311">
        <w:rPr>
          <w:rFonts w:ascii="Segoe UI" w:hAnsi="Segoe UI" w:cs="Segoe UI"/>
          <w:bCs/>
          <w:color w:val="000000" w:themeColor="text1"/>
          <w:sz w:val="24"/>
          <w:szCs w:val="24"/>
        </w:rPr>
        <w:t xml:space="preserve">mostraron </w:t>
      </w:r>
      <w:r w:rsidRPr="00F732E2">
        <w:rPr>
          <w:rFonts w:ascii="Segoe UI" w:hAnsi="Segoe UI" w:cs="Segoe UI"/>
          <w:bCs/>
          <w:color w:val="000000" w:themeColor="text1"/>
          <w:sz w:val="24"/>
          <w:szCs w:val="24"/>
        </w:rPr>
        <w:t xml:space="preserve">que las personas que vivieron un abuso sexual denunciaron de manera inmediata (dentro del primer mes) en un 43%, con una divulgación tardía el 31% y el 26% nunca lo divulgaron antes de realizar la encuesta. </w:t>
      </w:r>
    </w:p>
    <w:p w:rsidR="00F732E2" w:rsidRPr="00F732E2" w:rsidRDefault="00F732E2" w:rsidP="00F732E2">
      <w:pPr>
        <w:spacing w:after="0" w:line="240" w:lineRule="auto"/>
        <w:jc w:val="both"/>
        <w:rPr>
          <w:rFonts w:ascii="Segoe UI" w:hAnsi="Segoe UI" w:cs="Segoe UI"/>
          <w:bCs/>
          <w:color w:val="000000" w:themeColor="text1"/>
          <w:sz w:val="24"/>
          <w:szCs w:val="24"/>
        </w:rPr>
      </w:pPr>
      <w:r w:rsidRPr="00F732E2">
        <w:rPr>
          <w:rFonts w:ascii="Segoe UI" w:hAnsi="Segoe UI" w:cs="Segoe UI"/>
          <w:bCs/>
          <w:color w:val="000000" w:themeColor="text1"/>
          <w:sz w:val="24"/>
          <w:szCs w:val="24"/>
        </w:rPr>
        <w:t xml:space="preserve"> </w:t>
      </w:r>
    </w:p>
    <w:p w:rsidR="00F732E2" w:rsidRPr="00F732E2" w:rsidRDefault="00F732E2" w:rsidP="00F732E2">
      <w:pPr>
        <w:spacing w:after="0" w:line="240" w:lineRule="auto"/>
        <w:jc w:val="both"/>
        <w:rPr>
          <w:rFonts w:ascii="Segoe UI" w:hAnsi="Segoe UI" w:cs="Segoe UI"/>
          <w:bCs/>
          <w:color w:val="000000" w:themeColor="text1"/>
          <w:sz w:val="24"/>
          <w:szCs w:val="24"/>
        </w:rPr>
      </w:pPr>
      <w:r w:rsidRPr="00F732E2">
        <w:rPr>
          <w:rFonts w:ascii="Segoe UI" w:hAnsi="Segoe UI" w:cs="Segoe UI"/>
          <w:bCs/>
          <w:color w:val="000000" w:themeColor="text1"/>
          <w:sz w:val="24"/>
          <w:szCs w:val="24"/>
        </w:rPr>
        <w:t>La investigación ha encontrado que los retrasos en la divulgación en los abusos sexuales se dan porque las personas son maltratadas dentro de la familia (Sjoberg y Lindblad, 2002; Goodman-Brown et al., 2003; Kogan, 2004; Hershkowitz et al., 2005). Y concluyen que los niños que divulgan más rápidamente pueden estar sobrerrepresentados en muestras legales (McElvaney, 2015).</w:t>
      </w:r>
    </w:p>
    <w:p w:rsidR="00F732E2" w:rsidRPr="00F732E2" w:rsidRDefault="00F732E2" w:rsidP="00F732E2">
      <w:pPr>
        <w:spacing w:after="0" w:line="240" w:lineRule="auto"/>
        <w:jc w:val="both"/>
        <w:rPr>
          <w:rFonts w:ascii="Segoe UI" w:hAnsi="Segoe UI" w:cs="Segoe UI"/>
          <w:bCs/>
          <w:color w:val="000000" w:themeColor="text1"/>
          <w:sz w:val="24"/>
          <w:szCs w:val="24"/>
        </w:rPr>
      </w:pPr>
    </w:p>
    <w:p w:rsidR="00F732E2" w:rsidRDefault="00F732E2" w:rsidP="00F732E2">
      <w:pPr>
        <w:spacing w:after="0" w:line="240" w:lineRule="auto"/>
        <w:jc w:val="both"/>
        <w:rPr>
          <w:rFonts w:ascii="Segoe UI" w:hAnsi="Segoe UI" w:cs="Segoe UI"/>
          <w:bCs/>
          <w:color w:val="000000" w:themeColor="text1"/>
          <w:sz w:val="24"/>
          <w:szCs w:val="24"/>
        </w:rPr>
      </w:pPr>
      <w:r w:rsidRPr="00F732E2">
        <w:rPr>
          <w:rFonts w:ascii="Segoe UI" w:hAnsi="Segoe UI" w:cs="Segoe UI"/>
          <w:bCs/>
          <w:color w:val="000000" w:themeColor="text1"/>
          <w:sz w:val="24"/>
          <w:szCs w:val="24"/>
        </w:rPr>
        <w:t>En Suecia, Priebe y Svedin (2008) realizaron una encuesta nacional de 4</w:t>
      </w:r>
      <w:r w:rsidR="003C0311">
        <w:rPr>
          <w:rFonts w:ascii="Segoe UI" w:hAnsi="Segoe UI" w:cs="Segoe UI"/>
          <w:bCs/>
          <w:color w:val="000000" w:themeColor="text1"/>
          <w:sz w:val="24"/>
          <w:szCs w:val="24"/>
        </w:rPr>
        <w:t>.</w:t>
      </w:r>
      <w:r w:rsidRPr="00F732E2">
        <w:rPr>
          <w:rFonts w:ascii="Segoe UI" w:hAnsi="Segoe UI" w:cs="Segoe UI"/>
          <w:bCs/>
          <w:color w:val="000000" w:themeColor="text1"/>
          <w:sz w:val="24"/>
          <w:szCs w:val="24"/>
        </w:rPr>
        <w:t>339 adolescentes, de los cuales 1</w:t>
      </w:r>
      <w:r w:rsidR="003C0311">
        <w:rPr>
          <w:rFonts w:ascii="Segoe UI" w:hAnsi="Segoe UI" w:cs="Segoe UI"/>
          <w:bCs/>
          <w:color w:val="000000" w:themeColor="text1"/>
          <w:sz w:val="24"/>
          <w:szCs w:val="24"/>
        </w:rPr>
        <w:t>.</w:t>
      </w:r>
      <w:r w:rsidRPr="00F732E2">
        <w:rPr>
          <w:rFonts w:ascii="Segoe UI" w:hAnsi="Segoe UI" w:cs="Segoe UI"/>
          <w:bCs/>
          <w:color w:val="000000" w:themeColor="text1"/>
          <w:sz w:val="24"/>
          <w:szCs w:val="24"/>
        </w:rPr>
        <w:t>962 reportaron alguna forma de abuso sexual (65% de las niñas y 23% de niños). De aquellos que habían revelado y respondido preguntas sobre divulgación (n = 1493), el 59,5 por ciento no había dicho a nadie de su experiencia previa a la encuesta. De los que divulgaron, el 80.5 por ciento mencionó a un "amigo de mi edad" como la única persona a la que le habían contado. En este estudio, solo el 6,8% había informado de sus experiencias a las autoridades sociales (McElvaney, 2015).</w:t>
      </w:r>
    </w:p>
    <w:p w:rsidR="00BC5A72" w:rsidRDefault="00BC5A72" w:rsidP="00F732E2">
      <w:pPr>
        <w:spacing w:after="0" w:line="240" w:lineRule="auto"/>
        <w:jc w:val="both"/>
        <w:rPr>
          <w:rFonts w:ascii="Segoe UI" w:hAnsi="Segoe UI" w:cs="Segoe UI"/>
          <w:bCs/>
          <w:color w:val="000000" w:themeColor="text1"/>
          <w:sz w:val="24"/>
          <w:szCs w:val="24"/>
        </w:rPr>
      </w:pPr>
    </w:p>
    <w:p w:rsidR="00BC5A72" w:rsidRDefault="00BC5A72" w:rsidP="00F732E2">
      <w:pPr>
        <w:spacing w:after="0" w:line="240" w:lineRule="auto"/>
        <w:jc w:val="both"/>
        <w:rPr>
          <w:rFonts w:ascii="Segoe UI" w:hAnsi="Segoe UI" w:cs="Segoe UI"/>
          <w:bCs/>
          <w:color w:val="000000" w:themeColor="text1"/>
          <w:sz w:val="24"/>
          <w:szCs w:val="24"/>
        </w:rPr>
      </w:pPr>
      <w:r>
        <w:rPr>
          <w:rFonts w:ascii="Segoe UI" w:hAnsi="Segoe UI" w:cs="Segoe UI"/>
          <w:bCs/>
          <w:color w:val="000000" w:themeColor="text1"/>
          <w:sz w:val="24"/>
          <w:szCs w:val="24"/>
        </w:rPr>
        <w:t>En Colombia se conoce que existieron</w:t>
      </w:r>
      <w:r w:rsidR="003C0311">
        <w:rPr>
          <w:rFonts w:ascii="Segoe UI" w:hAnsi="Segoe UI" w:cs="Segoe UI"/>
          <w:bCs/>
          <w:color w:val="000000" w:themeColor="text1"/>
          <w:sz w:val="24"/>
          <w:szCs w:val="24"/>
        </w:rPr>
        <w:t>,</w:t>
      </w:r>
      <w:r>
        <w:rPr>
          <w:rFonts w:ascii="Segoe UI" w:hAnsi="Segoe UI" w:cs="Segoe UI"/>
          <w:bCs/>
          <w:color w:val="000000" w:themeColor="text1"/>
          <w:sz w:val="24"/>
          <w:szCs w:val="24"/>
        </w:rPr>
        <w:t xml:space="preserve"> desde 2015 hasta 2018, 67.092 casos de violencia sexual en niños, niñas y adolescentes.  El 49% ocurren en menores de 10 a 14 años, el 22% entre los 5 a los 9 años, el 14% en dos rangos de edad entre los 0 a 4 años y de 15 a 18 años. El 86% de los eventos se realizaron</w:t>
      </w:r>
      <w:r w:rsidR="00BD547A">
        <w:rPr>
          <w:rFonts w:ascii="Segoe UI" w:hAnsi="Segoe UI" w:cs="Segoe UI"/>
          <w:bCs/>
          <w:color w:val="000000" w:themeColor="text1"/>
          <w:sz w:val="24"/>
          <w:szCs w:val="24"/>
        </w:rPr>
        <w:t xml:space="preserve"> en niñas y el 14% para hombres con un total de 57.794 y 9.298 respectivamente. </w:t>
      </w:r>
      <w:r>
        <w:rPr>
          <w:rFonts w:ascii="Segoe UI" w:hAnsi="Segoe UI" w:cs="Segoe UI"/>
          <w:bCs/>
          <w:color w:val="000000" w:themeColor="text1"/>
          <w:sz w:val="24"/>
          <w:szCs w:val="24"/>
        </w:rPr>
        <w:t xml:space="preserve"> </w:t>
      </w:r>
    </w:p>
    <w:p w:rsidR="00BD547A" w:rsidRPr="00F63498" w:rsidRDefault="00BD547A" w:rsidP="00F63498">
      <w:pPr>
        <w:shd w:val="clear" w:color="auto" w:fill="FFFFFF"/>
        <w:spacing w:before="100" w:beforeAutospacing="1" w:after="100" w:afterAutospacing="1" w:line="240" w:lineRule="auto"/>
        <w:jc w:val="both"/>
        <w:rPr>
          <w:rFonts w:ascii="Segoe UI" w:hAnsi="Segoe UI" w:cs="Segoe UI"/>
          <w:bCs/>
          <w:color w:val="000000" w:themeColor="text1"/>
          <w:sz w:val="24"/>
          <w:szCs w:val="24"/>
        </w:rPr>
      </w:pPr>
      <w:r>
        <w:rPr>
          <w:rFonts w:ascii="Segoe UI" w:hAnsi="Segoe UI" w:cs="Segoe UI"/>
          <w:bCs/>
          <w:color w:val="000000" w:themeColor="text1"/>
          <w:sz w:val="24"/>
          <w:szCs w:val="24"/>
        </w:rPr>
        <w:lastRenderedPageBreak/>
        <w:t>Sin embargo</w:t>
      </w:r>
      <w:r w:rsidR="00F63498">
        <w:rPr>
          <w:rFonts w:ascii="Segoe UI" w:hAnsi="Segoe UI" w:cs="Segoe UI"/>
          <w:bCs/>
          <w:color w:val="000000" w:themeColor="text1"/>
          <w:sz w:val="24"/>
          <w:szCs w:val="24"/>
        </w:rPr>
        <w:t xml:space="preserve"> en Colombia</w:t>
      </w:r>
      <w:r w:rsidR="00C20C53">
        <w:rPr>
          <w:rFonts w:ascii="Segoe UI" w:hAnsi="Segoe UI" w:cs="Segoe UI"/>
          <w:bCs/>
          <w:color w:val="000000" w:themeColor="text1"/>
          <w:sz w:val="24"/>
          <w:szCs w:val="24"/>
        </w:rPr>
        <w:t>,</w:t>
      </w:r>
      <w:r w:rsidR="00F63498">
        <w:rPr>
          <w:rFonts w:ascii="Segoe UI" w:hAnsi="Segoe UI" w:cs="Segoe UI"/>
          <w:bCs/>
          <w:color w:val="000000" w:themeColor="text1"/>
          <w:sz w:val="24"/>
          <w:szCs w:val="24"/>
        </w:rPr>
        <w:t xml:space="preserve"> como en muchos países</w:t>
      </w:r>
      <w:r w:rsidR="00C20C53">
        <w:rPr>
          <w:rFonts w:ascii="Segoe UI" w:hAnsi="Segoe UI" w:cs="Segoe UI"/>
          <w:bCs/>
          <w:color w:val="000000" w:themeColor="text1"/>
          <w:sz w:val="24"/>
          <w:szCs w:val="24"/>
        </w:rPr>
        <w:t>,</w:t>
      </w:r>
      <w:r w:rsidR="00F63498">
        <w:rPr>
          <w:rFonts w:ascii="Segoe UI" w:hAnsi="Segoe UI" w:cs="Segoe UI"/>
          <w:bCs/>
          <w:color w:val="000000" w:themeColor="text1"/>
          <w:sz w:val="24"/>
          <w:szCs w:val="24"/>
        </w:rPr>
        <w:t xml:space="preserve"> el abuso sexual no es fácil de exteriorizar ni denunciar, por temas culturales y </w:t>
      </w:r>
      <w:r w:rsidR="00C20C53">
        <w:rPr>
          <w:rFonts w:ascii="Segoe UI" w:hAnsi="Segoe UI" w:cs="Segoe UI"/>
          <w:bCs/>
          <w:color w:val="000000" w:themeColor="text1"/>
          <w:sz w:val="24"/>
          <w:szCs w:val="24"/>
        </w:rPr>
        <w:t xml:space="preserve">por </w:t>
      </w:r>
      <w:r w:rsidR="00F63498">
        <w:rPr>
          <w:rFonts w:ascii="Segoe UI" w:hAnsi="Segoe UI" w:cs="Segoe UI"/>
          <w:bCs/>
          <w:color w:val="000000" w:themeColor="text1"/>
          <w:sz w:val="24"/>
          <w:szCs w:val="24"/>
        </w:rPr>
        <w:t xml:space="preserve">incapacidad de las víctimas de reconocer hechos tan aterradores pero la situación es tan complicada </w:t>
      </w:r>
      <w:r w:rsidR="00C20C53">
        <w:rPr>
          <w:rFonts w:ascii="Segoe UI" w:hAnsi="Segoe UI" w:cs="Segoe UI"/>
          <w:bCs/>
          <w:color w:val="000000" w:themeColor="text1"/>
          <w:sz w:val="24"/>
          <w:szCs w:val="24"/>
        </w:rPr>
        <w:t xml:space="preserve">que </w:t>
      </w:r>
      <w:r w:rsidR="00545D11">
        <w:rPr>
          <w:rFonts w:ascii="Segoe UI" w:hAnsi="Segoe UI" w:cs="Segoe UI"/>
          <w:bCs/>
          <w:color w:val="000000" w:themeColor="text1"/>
          <w:sz w:val="24"/>
          <w:szCs w:val="24"/>
        </w:rPr>
        <w:t>UNICEF</w:t>
      </w:r>
      <w:r w:rsidR="00C20C53">
        <w:rPr>
          <w:rFonts w:ascii="Segoe UI" w:hAnsi="Segoe UI" w:cs="Segoe UI"/>
          <w:bCs/>
          <w:color w:val="000000" w:themeColor="text1"/>
          <w:sz w:val="24"/>
          <w:szCs w:val="24"/>
        </w:rPr>
        <w:t xml:space="preserve"> estima</w:t>
      </w:r>
      <w:r w:rsidR="00F63498">
        <w:rPr>
          <w:rFonts w:ascii="Segoe UI" w:hAnsi="Segoe UI" w:cs="Segoe UI"/>
          <w:bCs/>
          <w:color w:val="000000" w:themeColor="text1"/>
          <w:sz w:val="24"/>
          <w:szCs w:val="24"/>
        </w:rPr>
        <w:t xml:space="preserve"> que “a</w:t>
      </w:r>
      <w:r w:rsidRPr="00F63498">
        <w:rPr>
          <w:rFonts w:ascii="Segoe UI" w:hAnsi="Segoe UI" w:cs="Segoe UI"/>
          <w:bCs/>
          <w:color w:val="000000" w:themeColor="text1"/>
          <w:sz w:val="24"/>
          <w:szCs w:val="24"/>
        </w:rPr>
        <w:t>lrededor de 120 millones de niñas menores de 20 años en todo el mundo (alrededor de 1 de cada 10) han experimentado relaciones sexuales por la fuerza u otros actos sexuales forzados</w:t>
      </w:r>
      <w:r w:rsidR="00F63498">
        <w:rPr>
          <w:rFonts w:ascii="Segoe UI" w:hAnsi="Segoe UI" w:cs="Segoe UI"/>
          <w:bCs/>
          <w:color w:val="000000" w:themeColor="text1"/>
          <w:sz w:val="24"/>
          <w:szCs w:val="24"/>
        </w:rPr>
        <w:t>”</w:t>
      </w:r>
      <w:r w:rsidR="00F63498">
        <w:rPr>
          <w:rStyle w:val="Refdenotaalpie"/>
          <w:rFonts w:ascii="Segoe UI" w:hAnsi="Segoe UI" w:cs="Segoe UI"/>
          <w:bCs/>
          <w:color w:val="000000" w:themeColor="text1"/>
          <w:sz w:val="24"/>
          <w:szCs w:val="24"/>
        </w:rPr>
        <w:footnoteReference w:id="4"/>
      </w:r>
      <w:r w:rsidR="00F63498">
        <w:rPr>
          <w:rFonts w:ascii="Segoe UI" w:hAnsi="Segoe UI" w:cs="Segoe UI"/>
          <w:bCs/>
          <w:color w:val="000000" w:themeColor="text1"/>
          <w:sz w:val="24"/>
          <w:szCs w:val="24"/>
        </w:rPr>
        <w:t xml:space="preserve">. En otros países </w:t>
      </w:r>
      <w:r w:rsidR="00545D11">
        <w:rPr>
          <w:rFonts w:ascii="Segoe UI" w:hAnsi="Segoe UI" w:cs="Segoe UI"/>
          <w:bCs/>
          <w:color w:val="000000" w:themeColor="text1"/>
          <w:sz w:val="24"/>
          <w:szCs w:val="24"/>
        </w:rPr>
        <w:t>como España</w:t>
      </w:r>
      <w:r w:rsidR="00C20C53">
        <w:rPr>
          <w:rFonts w:ascii="Segoe UI" w:hAnsi="Segoe UI" w:cs="Segoe UI"/>
          <w:bCs/>
          <w:color w:val="000000" w:themeColor="text1"/>
          <w:sz w:val="24"/>
          <w:szCs w:val="24"/>
        </w:rPr>
        <w:t>,</w:t>
      </w:r>
      <w:r w:rsidR="00545D11">
        <w:rPr>
          <w:rFonts w:ascii="Segoe UI" w:hAnsi="Segoe UI" w:cs="Segoe UI"/>
          <w:bCs/>
          <w:color w:val="000000" w:themeColor="text1"/>
          <w:sz w:val="24"/>
          <w:szCs w:val="24"/>
        </w:rPr>
        <w:t xml:space="preserve"> según la fundación S</w:t>
      </w:r>
      <w:r w:rsidR="00F63498">
        <w:rPr>
          <w:rFonts w:ascii="Segoe UI" w:hAnsi="Segoe UI" w:cs="Segoe UI"/>
          <w:bCs/>
          <w:color w:val="000000" w:themeColor="text1"/>
          <w:sz w:val="24"/>
          <w:szCs w:val="24"/>
        </w:rPr>
        <w:t>a</w:t>
      </w:r>
      <w:r w:rsidR="00545D11">
        <w:rPr>
          <w:rFonts w:ascii="Segoe UI" w:hAnsi="Segoe UI" w:cs="Segoe UI"/>
          <w:bCs/>
          <w:color w:val="000000" w:themeColor="text1"/>
          <w:sz w:val="24"/>
          <w:szCs w:val="24"/>
        </w:rPr>
        <w:t>ve The C</w:t>
      </w:r>
      <w:r w:rsidR="000B208D">
        <w:rPr>
          <w:rFonts w:ascii="Segoe UI" w:hAnsi="Segoe UI" w:cs="Segoe UI"/>
          <w:bCs/>
          <w:color w:val="000000" w:themeColor="text1"/>
          <w:sz w:val="24"/>
          <w:szCs w:val="24"/>
        </w:rPr>
        <w:t xml:space="preserve">hildren, </w:t>
      </w:r>
      <w:r w:rsidR="00F63498">
        <w:rPr>
          <w:rFonts w:ascii="Segoe UI" w:hAnsi="Segoe UI" w:cs="Segoe UI"/>
          <w:bCs/>
          <w:color w:val="000000" w:themeColor="text1"/>
          <w:sz w:val="24"/>
          <w:szCs w:val="24"/>
        </w:rPr>
        <w:t xml:space="preserve">el 70% de los abusos sexuales no tuvieron </w:t>
      </w:r>
      <w:r w:rsidR="000B208D">
        <w:rPr>
          <w:rFonts w:ascii="Segoe UI" w:hAnsi="Segoe UI" w:cs="Segoe UI"/>
          <w:bCs/>
          <w:color w:val="000000" w:themeColor="text1"/>
          <w:sz w:val="24"/>
          <w:szCs w:val="24"/>
        </w:rPr>
        <w:t>audiencia oral, es decir que las víctimas no tuvieron justicia en sus casos</w:t>
      </w:r>
      <w:r w:rsidR="000B208D">
        <w:rPr>
          <w:rStyle w:val="Refdenotaalpie"/>
          <w:rFonts w:ascii="Segoe UI" w:hAnsi="Segoe UI" w:cs="Segoe UI"/>
          <w:bCs/>
          <w:color w:val="000000" w:themeColor="text1"/>
          <w:sz w:val="24"/>
          <w:szCs w:val="24"/>
        </w:rPr>
        <w:footnoteReference w:id="5"/>
      </w:r>
      <w:r w:rsidR="000B208D">
        <w:rPr>
          <w:rFonts w:ascii="Segoe UI" w:hAnsi="Segoe UI" w:cs="Segoe UI"/>
          <w:bCs/>
          <w:color w:val="000000" w:themeColor="text1"/>
          <w:sz w:val="24"/>
          <w:szCs w:val="24"/>
        </w:rPr>
        <w:t xml:space="preserve">. </w:t>
      </w:r>
    </w:p>
    <w:p w:rsidR="00BC5A72" w:rsidRPr="00BC5A72" w:rsidRDefault="00BC5A72" w:rsidP="00BC5A72">
      <w:pPr>
        <w:spacing w:after="0" w:line="240" w:lineRule="auto"/>
        <w:jc w:val="both"/>
        <w:rPr>
          <w:rFonts w:ascii="Segoe UI" w:hAnsi="Segoe UI" w:cs="Segoe UI"/>
          <w:bCs/>
          <w:color w:val="000000" w:themeColor="text1"/>
          <w:sz w:val="24"/>
          <w:szCs w:val="24"/>
        </w:rPr>
      </w:pPr>
      <w:r w:rsidRPr="00BC5A72">
        <w:rPr>
          <w:rFonts w:ascii="Segoe UI" w:hAnsi="Segoe UI" w:cs="Segoe UI"/>
          <w:bCs/>
          <w:color w:val="000000" w:themeColor="text1"/>
          <w:sz w:val="24"/>
          <w:szCs w:val="24"/>
        </w:rPr>
        <w:t>Informe Cumplimiento Ley 1146 de 2007 - ICBF 2016</w:t>
      </w:r>
    </w:p>
    <w:p w:rsidR="00750FCA" w:rsidRPr="00BC5A72" w:rsidRDefault="00BC5A72" w:rsidP="00BC5A72">
      <w:pPr>
        <w:spacing w:after="0" w:line="240" w:lineRule="auto"/>
        <w:jc w:val="both"/>
        <w:rPr>
          <w:rFonts w:ascii="Segoe UI" w:hAnsi="Segoe UI" w:cs="Segoe UI"/>
          <w:bCs/>
          <w:color w:val="000000" w:themeColor="text1"/>
          <w:sz w:val="24"/>
          <w:szCs w:val="24"/>
        </w:rPr>
      </w:pPr>
      <w:r>
        <w:rPr>
          <w:rFonts w:ascii="Segoe UI" w:hAnsi="Segoe UI" w:cs="Segoe UI"/>
          <w:bCs/>
          <w:color w:val="000000" w:themeColor="text1"/>
          <w:sz w:val="24"/>
          <w:szCs w:val="24"/>
        </w:rPr>
        <w:t>Tabla</w:t>
      </w:r>
      <w:r w:rsidRPr="00BC5A72">
        <w:rPr>
          <w:rFonts w:ascii="Segoe UI" w:hAnsi="Segoe UI" w:cs="Segoe UI"/>
          <w:bCs/>
          <w:color w:val="000000" w:themeColor="text1"/>
          <w:sz w:val="24"/>
          <w:szCs w:val="24"/>
        </w:rPr>
        <w:t>. Número y porcentaje de casos de violencia sexual en niños, niñas y adolescentes.</w:t>
      </w:r>
    </w:p>
    <w:p w:rsidR="00750FCA" w:rsidRPr="00F732E2" w:rsidRDefault="00750FCA" w:rsidP="00F732E2">
      <w:pPr>
        <w:spacing w:after="0" w:line="240" w:lineRule="auto"/>
        <w:jc w:val="both"/>
        <w:rPr>
          <w:rFonts w:ascii="Segoe UI" w:hAnsi="Segoe UI" w:cs="Segoe UI"/>
          <w:bCs/>
          <w:color w:val="000000" w:themeColor="text1"/>
          <w:sz w:val="24"/>
          <w:szCs w:val="24"/>
        </w:rPr>
      </w:pPr>
    </w:p>
    <w:tbl>
      <w:tblPr>
        <w:tblStyle w:val="Tablanormal1"/>
        <w:tblW w:w="9328" w:type="dxa"/>
        <w:tblLook w:val="04A0" w:firstRow="1" w:lastRow="0" w:firstColumn="1" w:lastColumn="0" w:noHBand="0" w:noVBand="1"/>
      </w:tblPr>
      <w:tblGrid>
        <w:gridCol w:w="1197"/>
        <w:gridCol w:w="1059"/>
        <w:gridCol w:w="777"/>
        <w:gridCol w:w="777"/>
        <w:gridCol w:w="777"/>
        <w:gridCol w:w="1059"/>
        <w:gridCol w:w="1113"/>
        <w:gridCol w:w="1193"/>
        <w:gridCol w:w="1376"/>
      </w:tblGrid>
      <w:tr w:rsidR="00BC5A72" w:rsidRPr="00BC5A72" w:rsidTr="00BC5A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7" w:type="dxa"/>
            <w:vMerge w:val="restart"/>
            <w:hideMark/>
          </w:tcPr>
          <w:p w:rsidR="00BC5A72" w:rsidRPr="00BC5A72" w:rsidRDefault="00BC5A72" w:rsidP="00BC5A72">
            <w:pPr>
              <w:jc w:val="center"/>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Edad por Quinquenio</w:t>
            </w:r>
          </w:p>
        </w:tc>
        <w:tc>
          <w:tcPr>
            <w:tcW w:w="1059" w:type="dxa"/>
            <w:hideMark/>
          </w:tcPr>
          <w:p w:rsidR="00BC5A72" w:rsidRP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2015</w:t>
            </w:r>
          </w:p>
        </w:tc>
        <w:tc>
          <w:tcPr>
            <w:tcW w:w="777" w:type="dxa"/>
            <w:hideMark/>
          </w:tcPr>
          <w:p w:rsidR="00BC5A72" w:rsidRP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2016</w:t>
            </w:r>
          </w:p>
        </w:tc>
        <w:tc>
          <w:tcPr>
            <w:tcW w:w="777" w:type="dxa"/>
            <w:hideMark/>
          </w:tcPr>
          <w:p w:rsidR="00BC5A72" w:rsidRP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2017</w:t>
            </w:r>
          </w:p>
        </w:tc>
        <w:tc>
          <w:tcPr>
            <w:tcW w:w="777" w:type="dxa"/>
            <w:hideMark/>
          </w:tcPr>
          <w:p w:rsidR="00BC5A72" w:rsidRP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2018</w:t>
            </w:r>
          </w:p>
        </w:tc>
        <w:tc>
          <w:tcPr>
            <w:tcW w:w="1059" w:type="dxa"/>
            <w:hideMark/>
          </w:tcPr>
          <w:p w:rsidR="00BC5A72" w:rsidRP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2015-2018</w:t>
            </w:r>
          </w:p>
        </w:tc>
        <w:tc>
          <w:tcPr>
            <w:tcW w:w="1113" w:type="dxa"/>
            <w:hideMark/>
          </w:tcPr>
          <w:p w:rsidR="00BC5A72" w:rsidRP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2015-2018</w:t>
            </w:r>
          </w:p>
        </w:tc>
        <w:tc>
          <w:tcPr>
            <w:tcW w:w="1193" w:type="dxa"/>
            <w:hideMark/>
          </w:tcPr>
          <w:p w:rsid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Porcentajes</w:t>
            </w:r>
          </w:p>
          <w:p w:rsidR="00BC5A72" w:rsidRP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2015-2018</w:t>
            </w:r>
          </w:p>
        </w:tc>
        <w:tc>
          <w:tcPr>
            <w:tcW w:w="1376" w:type="dxa"/>
            <w:hideMark/>
          </w:tcPr>
          <w:p w:rsidR="00BC5A72" w:rsidRPr="00BC5A72" w:rsidRDefault="00BC5A72" w:rsidP="00BC5A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Porcentajes</w:t>
            </w:r>
            <w:r>
              <w:rPr>
                <w:rFonts w:ascii="Calibri" w:eastAsia="Times New Roman" w:hAnsi="Calibri" w:cs="Calibri"/>
                <w:color w:val="000000"/>
                <w:sz w:val="20"/>
                <w:szCs w:val="20"/>
                <w:lang w:eastAsia="es-CO"/>
              </w:rPr>
              <w:t xml:space="preserve"> </w:t>
            </w:r>
            <w:r w:rsidRPr="00BC5A72">
              <w:rPr>
                <w:rFonts w:ascii="Calibri" w:eastAsia="Times New Roman" w:hAnsi="Calibri" w:cs="Calibri"/>
                <w:color w:val="000000"/>
                <w:sz w:val="20"/>
                <w:szCs w:val="20"/>
                <w:lang w:eastAsia="es-CO"/>
              </w:rPr>
              <w:t>2015-2018</w:t>
            </w:r>
          </w:p>
        </w:tc>
      </w:tr>
      <w:tr w:rsidR="00BC5A72" w:rsidRPr="00BC5A72" w:rsidTr="00BC5A7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7" w:type="dxa"/>
            <w:vMerge/>
            <w:hideMark/>
          </w:tcPr>
          <w:p w:rsidR="00BC5A72" w:rsidRPr="00BC5A72" w:rsidRDefault="00BC5A72" w:rsidP="00BC5A72">
            <w:pPr>
              <w:rPr>
                <w:rFonts w:ascii="Calibri" w:eastAsia="Times New Roman" w:hAnsi="Calibri" w:cs="Calibri"/>
                <w:color w:val="000000"/>
                <w:sz w:val="20"/>
                <w:szCs w:val="20"/>
                <w:lang w:eastAsia="es-CO"/>
              </w:rPr>
            </w:pPr>
          </w:p>
        </w:tc>
        <w:tc>
          <w:tcPr>
            <w:tcW w:w="1059"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theme="minorHAnsi"/>
                <w:b/>
                <w:bCs/>
                <w:color w:val="000000"/>
                <w:sz w:val="20"/>
                <w:szCs w:val="20"/>
                <w:lang w:eastAsia="es-CO"/>
              </w:rPr>
              <w:t>Total</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theme="minorHAnsi"/>
                <w:b/>
                <w:bCs/>
                <w:color w:val="000000"/>
                <w:sz w:val="20"/>
                <w:szCs w:val="20"/>
                <w:lang w:eastAsia="es-CO"/>
              </w:rPr>
              <w:t>Total</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theme="minorHAnsi"/>
                <w:b/>
                <w:bCs/>
                <w:color w:val="000000"/>
                <w:sz w:val="20"/>
                <w:szCs w:val="20"/>
                <w:lang w:eastAsia="es-CO"/>
              </w:rPr>
              <w:t>Total</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theme="minorHAnsi"/>
                <w:b/>
                <w:bCs/>
                <w:color w:val="000000"/>
                <w:sz w:val="20"/>
                <w:szCs w:val="20"/>
                <w:lang w:eastAsia="es-CO"/>
              </w:rPr>
              <w:t>Total</w:t>
            </w:r>
          </w:p>
        </w:tc>
        <w:tc>
          <w:tcPr>
            <w:tcW w:w="1059"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Calibri"/>
                <w:b/>
                <w:bCs/>
                <w:color w:val="000000"/>
                <w:sz w:val="20"/>
                <w:szCs w:val="20"/>
                <w:lang w:eastAsia="es-CO"/>
              </w:rPr>
              <w:t xml:space="preserve">Total hombres y mujeres </w:t>
            </w:r>
          </w:p>
        </w:tc>
        <w:tc>
          <w:tcPr>
            <w:tcW w:w="1113"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Calibri"/>
                <w:b/>
                <w:bCs/>
                <w:color w:val="000000"/>
                <w:sz w:val="20"/>
                <w:szCs w:val="20"/>
                <w:lang w:eastAsia="es-CO"/>
              </w:rPr>
              <w:t>Porcentaje</w:t>
            </w:r>
          </w:p>
        </w:tc>
        <w:tc>
          <w:tcPr>
            <w:tcW w:w="1193"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Calibri"/>
                <w:b/>
                <w:bCs/>
                <w:color w:val="000000"/>
                <w:sz w:val="20"/>
                <w:szCs w:val="20"/>
                <w:lang w:eastAsia="es-CO"/>
              </w:rPr>
              <w:t>Hombres</w:t>
            </w:r>
          </w:p>
        </w:tc>
        <w:tc>
          <w:tcPr>
            <w:tcW w:w="1376"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Calibri"/>
                <w:b/>
                <w:bCs/>
                <w:color w:val="000000"/>
                <w:sz w:val="20"/>
                <w:szCs w:val="20"/>
                <w:lang w:eastAsia="es-CO"/>
              </w:rPr>
              <w:t>Mujeres</w:t>
            </w:r>
          </w:p>
        </w:tc>
      </w:tr>
      <w:tr w:rsidR="00BC5A72" w:rsidRPr="00BC5A72" w:rsidTr="00BC5A72">
        <w:trPr>
          <w:trHeight w:val="300"/>
        </w:trPr>
        <w:tc>
          <w:tcPr>
            <w:cnfStyle w:val="001000000000" w:firstRow="0" w:lastRow="0" w:firstColumn="1" w:lastColumn="0" w:oddVBand="0" w:evenVBand="0" w:oddHBand="0" w:evenHBand="0" w:firstRowFirstColumn="0" w:firstRowLastColumn="0" w:lastRowFirstColumn="0" w:lastRowLastColumn="0"/>
            <w:tcW w:w="1197" w:type="dxa"/>
            <w:hideMark/>
          </w:tcPr>
          <w:p w:rsidR="00BC5A72" w:rsidRPr="00BC5A72" w:rsidRDefault="00BC5A72" w:rsidP="00BC5A72">
            <w:pPr>
              <w:jc w:val="center"/>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Menor de un Año</w:t>
            </w:r>
          </w:p>
        </w:tc>
        <w:tc>
          <w:tcPr>
            <w:tcW w:w="1059"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109</w:t>
            </w: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125</w:t>
            </w: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147</w:t>
            </w:r>
          </w:p>
        </w:tc>
        <w:tc>
          <w:tcPr>
            <w:tcW w:w="1059"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381</w:t>
            </w:r>
          </w:p>
        </w:tc>
        <w:tc>
          <w:tcPr>
            <w:tcW w:w="1113"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1%</w:t>
            </w:r>
          </w:p>
        </w:tc>
        <w:tc>
          <w:tcPr>
            <w:tcW w:w="1193"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14%</w:t>
            </w:r>
          </w:p>
        </w:tc>
        <w:tc>
          <w:tcPr>
            <w:tcW w:w="1376"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86%</w:t>
            </w:r>
          </w:p>
        </w:tc>
      </w:tr>
      <w:tr w:rsidR="00BC5A72" w:rsidRPr="00BC5A72" w:rsidTr="00BC5A7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97" w:type="dxa"/>
            <w:hideMark/>
          </w:tcPr>
          <w:p w:rsidR="00BC5A72" w:rsidRPr="00BC5A72" w:rsidRDefault="00BC5A72" w:rsidP="00BC5A72">
            <w:pPr>
              <w:jc w:val="center"/>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0 a 4 años (2015) y 1 a 4 años (2016, 2017 y 2018)</w:t>
            </w:r>
          </w:p>
        </w:tc>
        <w:tc>
          <w:tcPr>
            <w:tcW w:w="1059"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955</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2.270</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2.669</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3.353</w:t>
            </w:r>
          </w:p>
        </w:tc>
        <w:tc>
          <w:tcPr>
            <w:tcW w:w="1059"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9247</w:t>
            </w:r>
          </w:p>
        </w:tc>
        <w:tc>
          <w:tcPr>
            <w:tcW w:w="1113"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14%</w:t>
            </w:r>
          </w:p>
        </w:tc>
        <w:tc>
          <w:tcPr>
            <w:tcW w:w="1193"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23%</w:t>
            </w:r>
          </w:p>
        </w:tc>
        <w:tc>
          <w:tcPr>
            <w:tcW w:w="1376"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77%</w:t>
            </w:r>
          </w:p>
        </w:tc>
      </w:tr>
      <w:tr w:rsidR="00BC5A72" w:rsidRPr="00BC5A72" w:rsidTr="00BC5A72">
        <w:trPr>
          <w:trHeight w:val="300"/>
        </w:trPr>
        <w:tc>
          <w:tcPr>
            <w:cnfStyle w:val="001000000000" w:firstRow="0" w:lastRow="0" w:firstColumn="1" w:lastColumn="0" w:oddVBand="0" w:evenVBand="0" w:oddHBand="0" w:evenHBand="0" w:firstRowFirstColumn="0" w:firstRowLastColumn="0" w:lastRowFirstColumn="0" w:lastRowLastColumn="0"/>
            <w:tcW w:w="1197" w:type="dxa"/>
            <w:hideMark/>
          </w:tcPr>
          <w:p w:rsidR="00BC5A72" w:rsidRPr="00BC5A72" w:rsidRDefault="00BC5A72" w:rsidP="00BC5A72">
            <w:pPr>
              <w:jc w:val="center"/>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5 a 9 años</w:t>
            </w:r>
          </w:p>
        </w:tc>
        <w:tc>
          <w:tcPr>
            <w:tcW w:w="1059"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1.502</w:t>
            </w: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3.579</w:t>
            </w: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4.297</w:t>
            </w: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5.662</w:t>
            </w:r>
          </w:p>
        </w:tc>
        <w:tc>
          <w:tcPr>
            <w:tcW w:w="1059"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15040</w:t>
            </w:r>
          </w:p>
        </w:tc>
        <w:tc>
          <w:tcPr>
            <w:tcW w:w="1113"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22%</w:t>
            </w:r>
          </w:p>
        </w:tc>
        <w:tc>
          <w:tcPr>
            <w:tcW w:w="1193"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25%</w:t>
            </w:r>
          </w:p>
        </w:tc>
        <w:tc>
          <w:tcPr>
            <w:tcW w:w="1376"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75%</w:t>
            </w:r>
          </w:p>
        </w:tc>
      </w:tr>
      <w:tr w:rsidR="00BC5A72" w:rsidRPr="00BC5A72" w:rsidTr="00BC5A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7" w:type="dxa"/>
            <w:hideMark/>
          </w:tcPr>
          <w:p w:rsidR="00BC5A72" w:rsidRPr="00BC5A72" w:rsidRDefault="00BC5A72" w:rsidP="00BC5A72">
            <w:pPr>
              <w:jc w:val="center"/>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10 a 14 años</w:t>
            </w:r>
          </w:p>
        </w:tc>
        <w:tc>
          <w:tcPr>
            <w:tcW w:w="1059"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3.566</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8.479</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9.655</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11.166</w:t>
            </w:r>
          </w:p>
        </w:tc>
        <w:tc>
          <w:tcPr>
            <w:tcW w:w="1059"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32866</w:t>
            </w:r>
          </w:p>
        </w:tc>
        <w:tc>
          <w:tcPr>
            <w:tcW w:w="1113"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49%</w:t>
            </w:r>
          </w:p>
        </w:tc>
        <w:tc>
          <w:tcPr>
            <w:tcW w:w="1193"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8%</w:t>
            </w:r>
          </w:p>
        </w:tc>
        <w:tc>
          <w:tcPr>
            <w:tcW w:w="1376"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92%</w:t>
            </w:r>
          </w:p>
        </w:tc>
      </w:tr>
      <w:tr w:rsidR="00BC5A72" w:rsidRPr="00BC5A72" w:rsidTr="00BC5A72">
        <w:trPr>
          <w:trHeight w:val="300"/>
        </w:trPr>
        <w:tc>
          <w:tcPr>
            <w:cnfStyle w:val="001000000000" w:firstRow="0" w:lastRow="0" w:firstColumn="1" w:lastColumn="0" w:oddVBand="0" w:evenVBand="0" w:oddHBand="0" w:evenHBand="0" w:firstRowFirstColumn="0" w:firstRowLastColumn="0" w:lastRowFirstColumn="0" w:lastRowLastColumn="0"/>
            <w:tcW w:w="1197" w:type="dxa"/>
            <w:hideMark/>
          </w:tcPr>
          <w:p w:rsidR="00BC5A72" w:rsidRPr="00BC5A72" w:rsidRDefault="00BC5A72" w:rsidP="00BC5A72">
            <w:pPr>
              <w:jc w:val="center"/>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15 a 18 años</w:t>
            </w:r>
          </w:p>
        </w:tc>
        <w:tc>
          <w:tcPr>
            <w:tcW w:w="1059"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1.132</w:t>
            </w: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2.477</w:t>
            </w: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2.642</w:t>
            </w:r>
          </w:p>
        </w:tc>
        <w:tc>
          <w:tcPr>
            <w:tcW w:w="777" w:type="dxa"/>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3.307</w:t>
            </w:r>
          </w:p>
        </w:tc>
        <w:tc>
          <w:tcPr>
            <w:tcW w:w="1059"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9558</w:t>
            </w:r>
          </w:p>
        </w:tc>
        <w:tc>
          <w:tcPr>
            <w:tcW w:w="1113"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14%</w:t>
            </w:r>
          </w:p>
        </w:tc>
        <w:tc>
          <w:tcPr>
            <w:tcW w:w="1193"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8%</w:t>
            </w:r>
          </w:p>
        </w:tc>
        <w:tc>
          <w:tcPr>
            <w:tcW w:w="1376" w:type="dxa"/>
            <w:noWrap/>
            <w:hideMark/>
          </w:tcPr>
          <w:p w:rsidR="00BC5A72" w:rsidRPr="00BC5A72" w:rsidRDefault="00BC5A72" w:rsidP="00BC5A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5A72">
              <w:rPr>
                <w:rFonts w:ascii="Calibri" w:eastAsia="Times New Roman" w:hAnsi="Calibri" w:cs="Calibri"/>
                <w:color w:val="000000"/>
                <w:sz w:val="20"/>
                <w:szCs w:val="20"/>
                <w:lang w:eastAsia="es-CO"/>
              </w:rPr>
              <w:t>92%</w:t>
            </w:r>
          </w:p>
        </w:tc>
      </w:tr>
      <w:tr w:rsidR="00BC5A72" w:rsidRPr="00BC5A72" w:rsidTr="00BC5A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7" w:type="dxa"/>
            <w:hideMark/>
          </w:tcPr>
          <w:p w:rsidR="00BC5A72" w:rsidRPr="00BC5A72" w:rsidRDefault="00BC5A72" w:rsidP="00BC5A72">
            <w:pPr>
              <w:jc w:val="center"/>
              <w:rPr>
                <w:rFonts w:ascii="Calibri" w:eastAsia="Times New Roman" w:hAnsi="Calibri" w:cs="Calibri"/>
                <w:color w:val="000000"/>
                <w:sz w:val="20"/>
                <w:szCs w:val="20"/>
                <w:lang w:eastAsia="es-CO"/>
              </w:rPr>
            </w:pPr>
            <w:r w:rsidRPr="00BC5A72">
              <w:rPr>
                <w:rFonts w:ascii="Calibri" w:eastAsia="Times New Roman" w:hAnsi="Calibri" w:cstheme="minorHAnsi"/>
                <w:color w:val="000000"/>
                <w:sz w:val="20"/>
                <w:szCs w:val="20"/>
                <w:lang w:eastAsia="es-CO"/>
              </w:rPr>
              <w:t>Total</w:t>
            </w:r>
          </w:p>
        </w:tc>
        <w:tc>
          <w:tcPr>
            <w:tcW w:w="1059"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theme="minorHAnsi"/>
                <w:b/>
                <w:bCs/>
                <w:color w:val="000000"/>
                <w:sz w:val="20"/>
                <w:szCs w:val="20"/>
                <w:lang w:eastAsia="es-CO"/>
              </w:rPr>
              <w:t>7.155</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theme="minorHAnsi"/>
                <w:b/>
                <w:bCs/>
                <w:color w:val="000000"/>
                <w:sz w:val="20"/>
                <w:szCs w:val="20"/>
                <w:lang w:eastAsia="es-CO"/>
              </w:rPr>
              <w:t>16.914</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theme="minorHAnsi"/>
                <w:b/>
                <w:bCs/>
                <w:color w:val="000000"/>
                <w:sz w:val="20"/>
                <w:szCs w:val="20"/>
                <w:lang w:eastAsia="es-CO"/>
              </w:rPr>
              <w:t>19.388</w:t>
            </w:r>
          </w:p>
        </w:tc>
        <w:tc>
          <w:tcPr>
            <w:tcW w:w="777"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theme="minorHAnsi"/>
                <w:b/>
                <w:bCs/>
                <w:color w:val="000000"/>
                <w:sz w:val="20"/>
                <w:szCs w:val="20"/>
                <w:lang w:eastAsia="es-CO"/>
              </w:rPr>
              <w:t>23.635</w:t>
            </w:r>
          </w:p>
        </w:tc>
        <w:tc>
          <w:tcPr>
            <w:tcW w:w="1059" w:type="dxa"/>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s-CO"/>
              </w:rPr>
            </w:pPr>
            <w:r w:rsidRPr="00BC5A72">
              <w:rPr>
                <w:rFonts w:ascii="Calibri" w:eastAsia="Times New Roman" w:hAnsi="Calibri" w:cs="Calibri"/>
                <w:b/>
                <w:bCs/>
                <w:color w:val="000000"/>
                <w:sz w:val="20"/>
                <w:szCs w:val="20"/>
                <w:lang w:eastAsia="es-CO"/>
              </w:rPr>
              <w:t>67.092</w:t>
            </w:r>
          </w:p>
        </w:tc>
        <w:tc>
          <w:tcPr>
            <w:tcW w:w="1113"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s-CO"/>
              </w:rPr>
            </w:pPr>
            <w:r w:rsidRPr="00BC5A72">
              <w:rPr>
                <w:rFonts w:ascii="Calibri" w:eastAsia="Times New Roman" w:hAnsi="Calibri" w:cs="Calibri"/>
                <w:b/>
                <w:color w:val="000000"/>
                <w:sz w:val="20"/>
                <w:szCs w:val="20"/>
                <w:lang w:eastAsia="es-CO"/>
              </w:rPr>
              <w:t>100%</w:t>
            </w:r>
          </w:p>
        </w:tc>
        <w:tc>
          <w:tcPr>
            <w:tcW w:w="1193"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s-CO"/>
              </w:rPr>
            </w:pPr>
            <w:r w:rsidRPr="00BC5A72">
              <w:rPr>
                <w:rFonts w:ascii="Calibri" w:eastAsia="Times New Roman" w:hAnsi="Calibri" w:cs="Calibri"/>
                <w:b/>
                <w:color w:val="000000"/>
                <w:sz w:val="20"/>
                <w:szCs w:val="20"/>
                <w:lang w:eastAsia="es-CO"/>
              </w:rPr>
              <w:t>14%</w:t>
            </w:r>
          </w:p>
        </w:tc>
        <w:tc>
          <w:tcPr>
            <w:tcW w:w="1376" w:type="dxa"/>
            <w:noWrap/>
            <w:hideMark/>
          </w:tcPr>
          <w:p w:rsidR="00BC5A72" w:rsidRPr="00BC5A72" w:rsidRDefault="00BC5A72" w:rsidP="00BC5A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s-CO"/>
              </w:rPr>
            </w:pPr>
            <w:r w:rsidRPr="00BC5A72">
              <w:rPr>
                <w:rFonts w:ascii="Calibri" w:eastAsia="Times New Roman" w:hAnsi="Calibri" w:cs="Calibri"/>
                <w:b/>
                <w:color w:val="000000"/>
                <w:sz w:val="20"/>
                <w:szCs w:val="20"/>
                <w:lang w:eastAsia="es-CO"/>
              </w:rPr>
              <w:t>86%</w:t>
            </w:r>
          </w:p>
        </w:tc>
      </w:tr>
    </w:tbl>
    <w:p w:rsidR="00BC5A72" w:rsidRPr="00682CD5" w:rsidRDefault="00BC5A72" w:rsidP="00BC5A72">
      <w:pPr>
        <w:jc w:val="both"/>
        <w:rPr>
          <w:rFonts w:cstheme="minorHAnsi"/>
        </w:rPr>
      </w:pPr>
      <w:r w:rsidRPr="00682CD5">
        <w:rPr>
          <w:rFonts w:cstheme="minorHAnsi"/>
        </w:rPr>
        <w:t xml:space="preserve">Fuente: Sistema de Vigilancia en Salud Pública de las violencias de género – SIVILA – Instituto Nacional de Salud datos preliminares del año </w:t>
      </w:r>
      <w:r>
        <w:rPr>
          <w:rFonts w:cstheme="minorHAnsi"/>
        </w:rPr>
        <w:t xml:space="preserve">2015, </w:t>
      </w:r>
      <w:r w:rsidRPr="00682CD5">
        <w:rPr>
          <w:rFonts w:cstheme="minorHAnsi"/>
        </w:rPr>
        <w:t>2016</w:t>
      </w:r>
      <w:r>
        <w:rPr>
          <w:rFonts w:cstheme="minorHAnsi"/>
        </w:rPr>
        <w:t>, 2017 y 2018</w:t>
      </w:r>
      <w:r w:rsidRPr="00682CD5">
        <w:rPr>
          <w:rFonts w:cstheme="minorHAnsi"/>
        </w:rPr>
        <w:t>.</w:t>
      </w:r>
    </w:p>
    <w:p w:rsidR="00BB680D" w:rsidRDefault="008E26E4" w:rsidP="00BB680D">
      <w:pPr>
        <w:spacing w:after="0" w:line="240" w:lineRule="auto"/>
        <w:jc w:val="both"/>
        <w:rPr>
          <w:rFonts w:ascii="Segoe UI" w:hAnsi="Segoe UI" w:cs="Segoe UI"/>
          <w:bCs/>
          <w:color w:val="000000" w:themeColor="text1"/>
          <w:sz w:val="24"/>
          <w:szCs w:val="24"/>
        </w:rPr>
      </w:pPr>
      <w:r>
        <w:rPr>
          <w:rFonts w:ascii="Segoe UI" w:hAnsi="Segoe UI" w:cs="Segoe UI"/>
          <w:bCs/>
          <w:color w:val="000000" w:themeColor="text1"/>
          <w:sz w:val="24"/>
          <w:szCs w:val="24"/>
        </w:rPr>
        <w:lastRenderedPageBreak/>
        <w:t>Con base en</w:t>
      </w:r>
      <w:r w:rsidR="00545D11">
        <w:rPr>
          <w:rFonts w:ascii="Segoe UI" w:hAnsi="Segoe UI" w:cs="Segoe UI"/>
          <w:bCs/>
          <w:color w:val="000000" w:themeColor="text1"/>
          <w:sz w:val="24"/>
          <w:szCs w:val="24"/>
        </w:rPr>
        <w:t xml:space="preserve"> el gran número de casos en donde niños, niñas y adolescentes que son víctimas de casos de violencia sexual en Colombia, </w:t>
      </w:r>
      <w:r>
        <w:rPr>
          <w:rFonts w:ascii="Segoe UI" w:hAnsi="Segoe UI" w:cs="Segoe UI"/>
          <w:bCs/>
          <w:color w:val="000000" w:themeColor="text1"/>
          <w:sz w:val="24"/>
          <w:szCs w:val="24"/>
        </w:rPr>
        <w:t xml:space="preserve">para </w:t>
      </w:r>
      <w:r w:rsidR="00545D11">
        <w:rPr>
          <w:rFonts w:ascii="Segoe UI" w:hAnsi="Segoe UI" w:cs="Segoe UI"/>
          <w:bCs/>
          <w:color w:val="000000" w:themeColor="text1"/>
          <w:sz w:val="24"/>
          <w:szCs w:val="24"/>
        </w:rPr>
        <w:t>est</w:t>
      </w:r>
      <w:r>
        <w:rPr>
          <w:rFonts w:ascii="Segoe UI" w:hAnsi="Segoe UI" w:cs="Segoe UI"/>
          <w:bCs/>
          <w:color w:val="000000" w:themeColor="text1"/>
          <w:sz w:val="24"/>
          <w:szCs w:val="24"/>
        </w:rPr>
        <w:t>e</w:t>
      </w:r>
      <w:r w:rsidR="00545D11">
        <w:rPr>
          <w:rFonts w:ascii="Segoe UI" w:hAnsi="Segoe UI" w:cs="Segoe UI"/>
          <w:bCs/>
          <w:color w:val="000000" w:themeColor="text1"/>
          <w:sz w:val="24"/>
          <w:szCs w:val="24"/>
        </w:rPr>
        <w:t xml:space="preserve"> </w:t>
      </w:r>
      <w:r>
        <w:rPr>
          <w:rFonts w:ascii="Segoe UI" w:hAnsi="Segoe UI" w:cs="Segoe UI"/>
          <w:bCs/>
          <w:color w:val="000000" w:themeColor="text1"/>
          <w:sz w:val="24"/>
          <w:szCs w:val="24"/>
        </w:rPr>
        <w:t xml:space="preserve">proyecto de ley es </w:t>
      </w:r>
      <w:r w:rsidR="00545D11">
        <w:rPr>
          <w:rFonts w:ascii="Segoe UI" w:hAnsi="Segoe UI" w:cs="Segoe UI"/>
          <w:bCs/>
          <w:color w:val="000000" w:themeColor="text1"/>
          <w:sz w:val="24"/>
          <w:szCs w:val="24"/>
        </w:rPr>
        <w:t>necesario avanzar en la imprescriptibilidad de la acción penal para el juzgamiento de estos delitos.</w:t>
      </w:r>
    </w:p>
    <w:p w:rsidR="00545D11" w:rsidRDefault="00545D11" w:rsidP="00BB680D">
      <w:pPr>
        <w:spacing w:after="0" w:line="240" w:lineRule="auto"/>
        <w:jc w:val="both"/>
        <w:rPr>
          <w:rFonts w:ascii="Segoe UI" w:hAnsi="Segoe UI" w:cs="Segoe UI"/>
          <w:bCs/>
          <w:color w:val="000000" w:themeColor="text1"/>
          <w:sz w:val="24"/>
          <w:szCs w:val="24"/>
        </w:rPr>
      </w:pPr>
    </w:p>
    <w:p w:rsidR="00545D11" w:rsidRDefault="00545D11" w:rsidP="00BB680D">
      <w:pPr>
        <w:spacing w:after="0" w:line="240" w:lineRule="auto"/>
        <w:jc w:val="both"/>
        <w:rPr>
          <w:rFonts w:ascii="Segoe UI" w:hAnsi="Segoe UI" w:cs="Segoe UI"/>
          <w:bCs/>
          <w:color w:val="000000" w:themeColor="text1"/>
          <w:sz w:val="24"/>
          <w:szCs w:val="24"/>
        </w:rPr>
      </w:pPr>
      <w:r>
        <w:rPr>
          <w:rFonts w:ascii="Segoe UI" w:hAnsi="Segoe UI" w:cs="Segoe UI"/>
          <w:bCs/>
          <w:color w:val="000000" w:themeColor="text1"/>
          <w:sz w:val="24"/>
          <w:szCs w:val="24"/>
        </w:rPr>
        <w:t xml:space="preserve">Actualmente, los delitos que atentan contra la libertad, integridad y formación sexuales de los menores prescriben 20 años después de que </w:t>
      </w:r>
      <w:r w:rsidR="008E26E4">
        <w:rPr>
          <w:rFonts w:ascii="Segoe UI" w:hAnsi="Segoe UI" w:cs="Segoe UI"/>
          <w:bCs/>
          <w:color w:val="000000" w:themeColor="text1"/>
          <w:sz w:val="24"/>
          <w:szCs w:val="24"/>
        </w:rPr>
        <w:t>las víctimas</w:t>
      </w:r>
      <w:r>
        <w:rPr>
          <w:rFonts w:ascii="Segoe UI" w:hAnsi="Segoe UI" w:cs="Segoe UI"/>
          <w:bCs/>
          <w:color w:val="000000" w:themeColor="text1"/>
          <w:sz w:val="24"/>
          <w:szCs w:val="24"/>
        </w:rPr>
        <w:t xml:space="preserve"> hayan alcanzado la mayoría de edad, sin embargo, como se mencionó anteriormente es amplia la literatura científica y estadística que indica que la ocurrencia de estos delitos es denunciada muchos años después de haber ocurrido e incluso, en muchos casos nunca es denunciada.</w:t>
      </w:r>
    </w:p>
    <w:p w:rsidR="00545D11" w:rsidRDefault="00545D11" w:rsidP="00BB680D">
      <w:pPr>
        <w:spacing w:after="0" w:line="240" w:lineRule="auto"/>
        <w:jc w:val="both"/>
        <w:rPr>
          <w:rFonts w:ascii="Segoe UI" w:hAnsi="Segoe UI" w:cs="Segoe UI"/>
          <w:bCs/>
          <w:color w:val="000000" w:themeColor="text1"/>
          <w:sz w:val="24"/>
          <w:szCs w:val="24"/>
        </w:rPr>
      </w:pPr>
    </w:p>
    <w:p w:rsidR="00545D11" w:rsidRDefault="001519D5" w:rsidP="001519D5">
      <w:pPr>
        <w:spacing w:after="0" w:line="240" w:lineRule="auto"/>
        <w:jc w:val="both"/>
        <w:rPr>
          <w:rFonts w:ascii="Segoe UI" w:hAnsi="Segoe UI" w:cs="Segoe UI"/>
          <w:bCs/>
          <w:color w:val="000000" w:themeColor="text1"/>
          <w:sz w:val="24"/>
          <w:szCs w:val="24"/>
        </w:rPr>
      </w:pPr>
      <w:r>
        <w:rPr>
          <w:rFonts w:ascii="Segoe UI" w:hAnsi="Segoe UI" w:cs="Segoe UI"/>
          <w:bCs/>
          <w:color w:val="000000" w:themeColor="text1"/>
          <w:sz w:val="24"/>
          <w:szCs w:val="24"/>
        </w:rPr>
        <w:t xml:space="preserve">En la Ley 599 de 2000 – Código Penal, la prescripción implica que el transcurso del tiempo sin que se active el aparato jurisdiccional para enjuiciar un delito extingue el derecho de acción con una consecuencia jurídica que da lugar </w:t>
      </w:r>
      <w:r w:rsidRPr="001519D5">
        <w:rPr>
          <w:rFonts w:ascii="Segoe UI" w:hAnsi="Segoe UI" w:cs="Segoe UI"/>
          <w:bCs/>
          <w:color w:val="000000" w:themeColor="text1"/>
          <w:sz w:val="24"/>
          <w:szCs w:val="24"/>
        </w:rPr>
        <w:t>a l</w:t>
      </w:r>
      <w:r>
        <w:rPr>
          <w:rFonts w:ascii="Segoe UI" w:hAnsi="Segoe UI" w:cs="Segoe UI"/>
          <w:bCs/>
          <w:color w:val="000000" w:themeColor="text1"/>
          <w:sz w:val="24"/>
          <w:szCs w:val="24"/>
        </w:rPr>
        <w:t xml:space="preserve">a imposibilidad de investigación, imputación, </w:t>
      </w:r>
      <w:r w:rsidRPr="001519D5">
        <w:rPr>
          <w:rFonts w:ascii="Segoe UI" w:hAnsi="Segoe UI" w:cs="Segoe UI"/>
          <w:bCs/>
          <w:color w:val="000000" w:themeColor="text1"/>
          <w:sz w:val="24"/>
          <w:szCs w:val="24"/>
        </w:rPr>
        <w:t xml:space="preserve">juzgamiento </w:t>
      </w:r>
      <w:r>
        <w:rPr>
          <w:rFonts w:ascii="Segoe UI" w:hAnsi="Segoe UI" w:cs="Segoe UI"/>
          <w:bCs/>
          <w:color w:val="000000" w:themeColor="text1"/>
          <w:sz w:val="24"/>
          <w:szCs w:val="24"/>
        </w:rPr>
        <w:t xml:space="preserve">y sanción </w:t>
      </w:r>
      <w:r w:rsidRPr="001519D5">
        <w:rPr>
          <w:rFonts w:ascii="Segoe UI" w:hAnsi="Segoe UI" w:cs="Segoe UI"/>
          <w:bCs/>
          <w:color w:val="000000" w:themeColor="text1"/>
          <w:sz w:val="24"/>
          <w:szCs w:val="24"/>
        </w:rPr>
        <w:t xml:space="preserve">de tipo penal, </w:t>
      </w:r>
      <w:r>
        <w:rPr>
          <w:rFonts w:ascii="Segoe UI" w:hAnsi="Segoe UI" w:cs="Segoe UI"/>
          <w:bCs/>
          <w:color w:val="000000" w:themeColor="text1"/>
          <w:sz w:val="24"/>
          <w:szCs w:val="24"/>
        </w:rPr>
        <w:t>dicho de otro modo</w:t>
      </w:r>
      <w:r w:rsidRPr="001519D5">
        <w:rPr>
          <w:rFonts w:ascii="Segoe UI" w:hAnsi="Segoe UI" w:cs="Segoe UI"/>
          <w:bCs/>
          <w:color w:val="000000" w:themeColor="text1"/>
          <w:sz w:val="24"/>
          <w:szCs w:val="24"/>
        </w:rPr>
        <w:t>, a la impunidad.</w:t>
      </w:r>
    </w:p>
    <w:p w:rsidR="00545D11" w:rsidRDefault="00545D11" w:rsidP="00BB680D">
      <w:pPr>
        <w:spacing w:after="0" w:line="240" w:lineRule="auto"/>
        <w:jc w:val="both"/>
        <w:rPr>
          <w:rFonts w:ascii="Segoe UI" w:hAnsi="Segoe UI" w:cs="Segoe UI"/>
          <w:bCs/>
          <w:color w:val="000000" w:themeColor="text1"/>
          <w:sz w:val="24"/>
          <w:szCs w:val="24"/>
        </w:rPr>
      </w:pPr>
    </w:p>
    <w:p w:rsidR="001519D5" w:rsidRDefault="001519D5" w:rsidP="00BB680D">
      <w:pPr>
        <w:spacing w:after="0" w:line="240" w:lineRule="auto"/>
        <w:jc w:val="both"/>
        <w:rPr>
          <w:rFonts w:ascii="Segoe UI" w:hAnsi="Segoe UI" w:cs="Segoe UI"/>
          <w:bCs/>
          <w:color w:val="000000" w:themeColor="text1"/>
          <w:sz w:val="24"/>
          <w:szCs w:val="24"/>
        </w:rPr>
      </w:pPr>
      <w:r>
        <w:rPr>
          <w:rFonts w:ascii="Segoe UI" w:hAnsi="Segoe UI" w:cs="Segoe UI"/>
          <w:bCs/>
          <w:color w:val="000000" w:themeColor="text1"/>
          <w:sz w:val="24"/>
          <w:szCs w:val="24"/>
        </w:rPr>
        <w:t>En conclusión, dada la gravedad de los delitos que atentan contra la libertad, integridad y formación sexuales de los menores de edad, es necesario dar un tratamiento diferencial en relación con los otros tipos penales que contiene nuestro Código, teniendo como referencia las experiencias chilenas y peruanas en donde, atendiendo el interés superior del niño y la prevalencia de sus derechos sobre los demás, esos delitos tienen el carácter de imprescriptibles.</w:t>
      </w:r>
    </w:p>
    <w:p w:rsidR="001519D5" w:rsidRPr="004A7EC5" w:rsidRDefault="001519D5" w:rsidP="00BB680D">
      <w:pPr>
        <w:spacing w:after="0" w:line="240" w:lineRule="auto"/>
        <w:jc w:val="both"/>
        <w:rPr>
          <w:rFonts w:ascii="Segoe UI" w:hAnsi="Segoe UI" w:cs="Segoe UI"/>
          <w:bCs/>
          <w:color w:val="000000" w:themeColor="text1"/>
          <w:sz w:val="24"/>
          <w:szCs w:val="24"/>
        </w:rPr>
      </w:pPr>
    </w:p>
    <w:p w:rsidR="00BB680D" w:rsidRPr="00C466CA" w:rsidRDefault="0030421D" w:rsidP="00BB680D">
      <w:pPr>
        <w:pStyle w:val="Prrafodelista"/>
        <w:numPr>
          <w:ilvl w:val="0"/>
          <w:numId w:val="1"/>
        </w:numPr>
        <w:spacing w:after="0" w:line="240" w:lineRule="auto"/>
        <w:jc w:val="both"/>
        <w:rPr>
          <w:rFonts w:ascii="Segoe UI" w:hAnsi="Segoe UI" w:cs="Segoe UI"/>
          <w:b/>
          <w:bCs/>
          <w:color w:val="000000" w:themeColor="text1"/>
          <w:sz w:val="24"/>
          <w:szCs w:val="24"/>
        </w:rPr>
      </w:pPr>
      <w:r w:rsidRPr="00C466CA">
        <w:rPr>
          <w:rFonts w:ascii="Segoe UI" w:hAnsi="Segoe UI" w:cs="Segoe UI"/>
          <w:b/>
          <w:bCs/>
          <w:color w:val="000000" w:themeColor="text1"/>
          <w:sz w:val="24"/>
          <w:szCs w:val="24"/>
        </w:rPr>
        <w:t>EXPECIENCIA INTERNACIONAL</w:t>
      </w:r>
    </w:p>
    <w:p w:rsidR="00BB680D" w:rsidRPr="00C466CA" w:rsidRDefault="00BB680D" w:rsidP="00BB680D">
      <w:pPr>
        <w:pStyle w:val="Prrafodelista"/>
        <w:spacing w:after="0" w:line="240" w:lineRule="auto"/>
        <w:ind w:left="1080"/>
        <w:jc w:val="both"/>
        <w:rPr>
          <w:rFonts w:ascii="Segoe UI" w:hAnsi="Segoe UI" w:cs="Segoe UI"/>
          <w:b/>
          <w:bCs/>
          <w:color w:val="000000" w:themeColor="text1"/>
          <w:sz w:val="24"/>
          <w:szCs w:val="24"/>
        </w:rPr>
      </w:pPr>
    </w:p>
    <w:p w:rsidR="00BB680D" w:rsidRPr="00C466CA" w:rsidRDefault="00BB680D" w:rsidP="00BB680D">
      <w:pPr>
        <w:pStyle w:val="Prrafodelista"/>
        <w:numPr>
          <w:ilvl w:val="1"/>
          <w:numId w:val="1"/>
        </w:numPr>
        <w:spacing w:after="0" w:line="240" w:lineRule="auto"/>
        <w:jc w:val="both"/>
        <w:rPr>
          <w:rFonts w:ascii="Segoe UI" w:hAnsi="Segoe UI" w:cs="Segoe UI"/>
          <w:b/>
          <w:bCs/>
          <w:color w:val="000000" w:themeColor="text1"/>
          <w:sz w:val="24"/>
          <w:szCs w:val="24"/>
        </w:rPr>
      </w:pPr>
      <w:r w:rsidRPr="00C466CA">
        <w:rPr>
          <w:rFonts w:ascii="Segoe UI" w:hAnsi="Segoe UI" w:cs="Segoe UI"/>
          <w:b/>
          <w:bCs/>
          <w:color w:val="000000" w:themeColor="text1"/>
          <w:sz w:val="24"/>
          <w:szCs w:val="24"/>
        </w:rPr>
        <w:t>Chile</w:t>
      </w:r>
    </w:p>
    <w:p w:rsidR="005867CC" w:rsidRPr="00C466CA" w:rsidRDefault="005867CC" w:rsidP="005867CC">
      <w:pPr>
        <w:spacing w:after="0" w:line="240" w:lineRule="auto"/>
        <w:jc w:val="both"/>
        <w:rPr>
          <w:rFonts w:ascii="Segoe UI" w:hAnsi="Segoe UI" w:cs="Segoe UI"/>
          <w:b/>
          <w:bCs/>
          <w:color w:val="000000" w:themeColor="text1"/>
          <w:sz w:val="24"/>
          <w:szCs w:val="24"/>
        </w:rPr>
      </w:pPr>
    </w:p>
    <w:p w:rsidR="005867CC" w:rsidRPr="00C466CA" w:rsidRDefault="005867CC" w:rsidP="005867CC">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 xml:space="preserve">En abril del 2019 el Congreso </w:t>
      </w:r>
      <w:r w:rsidR="00D36743">
        <w:rPr>
          <w:rFonts w:ascii="Segoe UI" w:hAnsi="Segoe UI" w:cs="Segoe UI"/>
          <w:bCs/>
          <w:color w:val="000000" w:themeColor="text1"/>
          <w:sz w:val="24"/>
          <w:szCs w:val="24"/>
        </w:rPr>
        <w:t>c</w:t>
      </w:r>
      <w:r w:rsidRPr="00C466CA">
        <w:rPr>
          <w:rFonts w:ascii="Segoe UI" w:hAnsi="Segoe UI" w:cs="Segoe UI"/>
          <w:bCs/>
          <w:color w:val="000000" w:themeColor="text1"/>
          <w:sz w:val="24"/>
          <w:szCs w:val="24"/>
        </w:rPr>
        <w:t>hileno aprobó por unanimidad un Proyecto de Ley conocido como de “Derecho al tiempo” para declarar imprescriptibles los delitos sexuales contra menores de edad, para que el victimario siempre pueda ser procesado.</w:t>
      </w:r>
    </w:p>
    <w:p w:rsidR="005867CC" w:rsidRPr="00C466CA" w:rsidRDefault="005867CC" w:rsidP="005867CC">
      <w:pPr>
        <w:spacing w:after="0" w:line="240" w:lineRule="auto"/>
        <w:jc w:val="both"/>
        <w:rPr>
          <w:rFonts w:ascii="Segoe UI" w:hAnsi="Segoe UI" w:cs="Segoe UI"/>
          <w:bCs/>
          <w:color w:val="000000" w:themeColor="text1"/>
          <w:sz w:val="24"/>
          <w:szCs w:val="24"/>
        </w:rPr>
      </w:pPr>
    </w:p>
    <w:p w:rsidR="005867CC" w:rsidRPr="00C466CA" w:rsidRDefault="00385A8C" w:rsidP="005867CC">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lastRenderedPageBreak/>
        <w:t>En julio del mismo año el Gobierno de Chile promulgó la ley que adicionó el artículo 94 bis al Código Penal</w:t>
      </w:r>
      <w:r w:rsidR="0030421D" w:rsidRPr="00C466CA">
        <w:rPr>
          <w:rStyle w:val="Refdenotaalpie"/>
          <w:rFonts w:ascii="Segoe UI" w:hAnsi="Segoe UI" w:cs="Segoe UI"/>
          <w:bCs/>
          <w:color w:val="000000" w:themeColor="text1"/>
          <w:sz w:val="24"/>
          <w:szCs w:val="24"/>
        </w:rPr>
        <w:footnoteReference w:id="6"/>
      </w:r>
      <w:r w:rsidRPr="00C466CA">
        <w:rPr>
          <w:rFonts w:ascii="Segoe UI" w:hAnsi="Segoe UI" w:cs="Segoe UI"/>
          <w:bCs/>
          <w:color w:val="000000" w:themeColor="text1"/>
          <w:sz w:val="24"/>
          <w:szCs w:val="24"/>
        </w:rPr>
        <w:t xml:space="preserve"> chileno, que reza:</w:t>
      </w:r>
    </w:p>
    <w:p w:rsidR="00385A8C" w:rsidRPr="00C466CA" w:rsidRDefault="00385A8C" w:rsidP="00385A8C">
      <w:pPr>
        <w:spacing w:after="0" w:line="240" w:lineRule="auto"/>
        <w:jc w:val="both"/>
        <w:rPr>
          <w:rFonts w:ascii="Segoe UI" w:hAnsi="Segoe UI" w:cs="Segoe UI"/>
          <w:bCs/>
          <w:i/>
          <w:color w:val="000000" w:themeColor="text1"/>
          <w:sz w:val="24"/>
          <w:szCs w:val="24"/>
        </w:rPr>
      </w:pPr>
    </w:p>
    <w:p w:rsidR="00385A8C" w:rsidRPr="00C466CA" w:rsidRDefault="00385A8C" w:rsidP="00385A8C">
      <w:pPr>
        <w:spacing w:after="0" w:line="240" w:lineRule="auto"/>
        <w:ind w:left="360"/>
        <w:jc w:val="both"/>
        <w:rPr>
          <w:rFonts w:ascii="Segoe UI" w:hAnsi="Segoe UI" w:cs="Segoe UI"/>
          <w:bCs/>
          <w:i/>
          <w:color w:val="000000" w:themeColor="text1"/>
          <w:sz w:val="24"/>
          <w:szCs w:val="24"/>
        </w:rPr>
      </w:pPr>
      <w:r w:rsidRPr="00C466CA">
        <w:rPr>
          <w:rFonts w:ascii="Segoe UI" w:hAnsi="Segoe UI" w:cs="Segoe UI"/>
          <w:bCs/>
          <w:i/>
          <w:color w:val="000000" w:themeColor="text1"/>
          <w:sz w:val="24"/>
          <w:szCs w:val="24"/>
        </w:rPr>
        <w:t>“No prescribirá la acción penal respecto de los crímenes y simples delitos descritos y sancionados en los artículos 141, inciso final, y 142, inciso final, ambos en relación con la violación; los artículos 150 B y 150 E, ambos en relación con los artículos 361, 362 y 365 bis; los artículos 361, 362, 363, 365 bis, 366, 366 bis, 366 quáter, 366 quinquies, 367, 367 ter; el artículo 411 quáter en relación con la explotación sexual; y el artículo 433, N° 1, en relación con la violación, cuando al momento de la perpetración del hecho la víctima fuere menor de edad”.</w:t>
      </w:r>
    </w:p>
    <w:p w:rsidR="00385A8C" w:rsidRPr="00C466CA" w:rsidRDefault="00385A8C" w:rsidP="00385A8C">
      <w:pPr>
        <w:spacing w:after="0" w:line="240" w:lineRule="auto"/>
        <w:ind w:left="360"/>
        <w:jc w:val="both"/>
        <w:rPr>
          <w:rFonts w:ascii="Segoe UI" w:hAnsi="Segoe UI" w:cs="Segoe UI"/>
          <w:bCs/>
          <w:i/>
          <w:color w:val="000000" w:themeColor="text1"/>
          <w:sz w:val="24"/>
          <w:szCs w:val="24"/>
        </w:rPr>
      </w:pPr>
    </w:p>
    <w:p w:rsidR="00385A8C" w:rsidRPr="00C466CA" w:rsidRDefault="00385A8C" w:rsidP="00385A8C">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 xml:space="preserve">En este sentido, los delitos que fueron declarados como imprescriptibles por el </w:t>
      </w:r>
      <w:r w:rsidR="00D36743">
        <w:rPr>
          <w:rFonts w:ascii="Segoe UI" w:hAnsi="Segoe UI" w:cs="Segoe UI"/>
          <w:bCs/>
          <w:color w:val="000000" w:themeColor="text1"/>
          <w:sz w:val="24"/>
          <w:szCs w:val="24"/>
        </w:rPr>
        <w:t>C</w:t>
      </w:r>
      <w:r w:rsidRPr="00C466CA">
        <w:rPr>
          <w:rFonts w:ascii="Segoe UI" w:hAnsi="Segoe UI" w:cs="Segoe UI"/>
          <w:bCs/>
          <w:color w:val="000000" w:themeColor="text1"/>
          <w:sz w:val="24"/>
          <w:szCs w:val="24"/>
        </w:rPr>
        <w:t>ongreso chileno son los de violación, estupro, abuso sexual, exposición a actos de significancia sexual, producción de material pornográfico y favorecimiento de la prostitución, cuando sean cometidos en contra de v</w:t>
      </w:r>
      <w:r w:rsidR="00D36743">
        <w:rPr>
          <w:rFonts w:ascii="Segoe UI" w:hAnsi="Segoe UI" w:cs="Segoe UI"/>
          <w:bCs/>
          <w:color w:val="000000" w:themeColor="text1"/>
          <w:sz w:val="24"/>
          <w:szCs w:val="24"/>
        </w:rPr>
        <w:t>í</w:t>
      </w:r>
      <w:r w:rsidRPr="00C466CA">
        <w:rPr>
          <w:rFonts w:ascii="Segoe UI" w:hAnsi="Segoe UI" w:cs="Segoe UI"/>
          <w:bCs/>
          <w:color w:val="000000" w:themeColor="text1"/>
          <w:sz w:val="24"/>
          <w:szCs w:val="24"/>
        </w:rPr>
        <w:t>ctimas menores de 18 años.</w:t>
      </w:r>
    </w:p>
    <w:p w:rsidR="00E54F7A" w:rsidRDefault="00E54F7A" w:rsidP="00385A8C">
      <w:pPr>
        <w:spacing w:after="0" w:line="240" w:lineRule="auto"/>
        <w:jc w:val="both"/>
        <w:rPr>
          <w:rFonts w:ascii="Segoe UI" w:hAnsi="Segoe UI" w:cs="Segoe UI"/>
          <w:bCs/>
          <w:color w:val="000000" w:themeColor="text1"/>
          <w:sz w:val="24"/>
          <w:szCs w:val="24"/>
        </w:rPr>
      </w:pPr>
    </w:p>
    <w:p w:rsidR="00D36743" w:rsidRPr="00C466CA" w:rsidRDefault="00D36743" w:rsidP="00385A8C">
      <w:pPr>
        <w:spacing w:after="0" w:line="240" w:lineRule="auto"/>
        <w:jc w:val="both"/>
        <w:rPr>
          <w:rFonts w:ascii="Segoe UI" w:hAnsi="Segoe UI" w:cs="Segoe UI"/>
          <w:bCs/>
          <w:color w:val="000000" w:themeColor="text1"/>
          <w:sz w:val="24"/>
          <w:szCs w:val="24"/>
        </w:rPr>
      </w:pPr>
    </w:p>
    <w:p w:rsidR="00E54F7A" w:rsidRPr="00C466CA" w:rsidRDefault="00E54F7A" w:rsidP="00E54F7A">
      <w:pPr>
        <w:pStyle w:val="Prrafodelista"/>
        <w:numPr>
          <w:ilvl w:val="1"/>
          <w:numId w:val="1"/>
        </w:numPr>
        <w:spacing w:after="0" w:line="240" w:lineRule="auto"/>
        <w:jc w:val="both"/>
        <w:rPr>
          <w:rFonts w:ascii="Segoe UI" w:hAnsi="Segoe UI" w:cs="Segoe UI"/>
          <w:b/>
          <w:bCs/>
          <w:color w:val="000000" w:themeColor="text1"/>
          <w:sz w:val="24"/>
          <w:szCs w:val="24"/>
        </w:rPr>
      </w:pPr>
      <w:r w:rsidRPr="00C466CA">
        <w:rPr>
          <w:rFonts w:ascii="Segoe UI" w:hAnsi="Segoe UI" w:cs="Segoe UI"/>
          <w:b/>
          <w:bCs/>
          <w:color w:val="000000" w:themeColor="text1"/>
          <w:sz w:val="24"/>
          <w:szCs w:val="24"/>
        </w:rPr>
        <w:t>Perú</w:t>
      </w:r>
    </w:p>
    <w:p w:rsidR="00E54F7A" w:rsidRPr="00C466CA" w:rsidRDefault="00E54F7A" w:rsidP="00E54F7A">
      <w:pPr>
        <w:spacing w:after="0" w:line="240" w:lineRule="auto"/>
        <w:jc w:val="both"/>
        <w:rPr>
          <w:rFonts w:ascii="Segoe UI" w:hAnsi="Segoe UI" w:cs="Segoe UI"/>
          <w:b/>
          <w:bCs/>
          <w:color w:val="000000" w:themeColor="text1"/>
          <w:sz w:val="24"/>
          <w:szCs w:val="24"/>
        </w:rPr>
      </w:pPr>
    </w:p>
    <w:p w:rsidR="000D432D" w:rsidRPr="00C466CA" w:rsidRDefault="00E54F7A" w:rsidP="000D432D">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Con la entrada en vigor de la Ley N° 30838 del 4 agosto de 2018, se adicionó el artículo 88-A al Código Penal peruano</w:t>
      </w:r>
      <w:r w:rsidR="00C466CA" w:rsidRPr="00C466CA">
        <w:rPr>
          <w:rStyle w:val="Refdenotaalpie"/>
          <w:rFonts w:ascii="Segoe UI" w:hAnsi="Segoe UI" w:cs="Segoe UI"/>
          <w:bCs/>
          <w:color w:val="000000" w:themeColor="text1"/>
          <w:sz w:val="24"/>
          <w:szCs w:val="24"/>
        </w:rPr>
        <w:footnoteReference w:id="7"/>
      </w:r>
      <w:r w:rsidRPr="00C466CA">
        <w:rPr>
          <w:rFonts w:ascii="Segoe UI" w:hAnsi="Segoe UI" w:cs="Segoe UI"/>
          <w:bCs/>
          <w:color w:val="000000" w:themeColor="text1"/>
          <w:sz w:val="24"/>
          <w:szCs w:val="24"/>
        </w:rPr>
        <w:t>, estipulando que la pena y la acción penal son imprescriptibles en los delitos previstos en los artículos 153, 153-A, 153-B y 153-C y en los capítulos IX, X y XI del Título IV del Libro Segundo del Código Penal.</w:t>
      </w:r>
    </w:p>
    <w:p w:rsidR="00E54F7A" w:rsidRPr="00C466CA" w:rsidRDefault="00E54F7A" w:rsidP="000D432D">
      <w:pPr>
        <w:spacing w:after="0" w:line="240" w:lineRule="auto"/>
        <w:jc w:val="both"/>
        <w:rPr>
          <w:rFonts w:ascii="Segoe UI" w:hAnsi="Segoe UI" w:cs="Segoe UI"/>
          <w:bCs/>
          <w:color w:val="000000" w:themeColor="text1"/>
          <w:sz w:val="24"/>
          <w:szCs w:val="24"/>
        </w:rPr>
      </w:pPr>
    </w:p>
    <w:p w:rsidR="00E54F7A" w:rsidRPr="00C466CA" w:rsidRDefault="00E54F7A" w:rsidP="000D432D">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De esta forma, los peruanos garantizaron que tanto la pena como la acción penal no prescribiesen cuando se trate de los delitos d</w:t>
      </w:r>
      <w:r w:rsidR="00C466CA" w:rsidRPr="00C466CA">
        <w:rPr>
          <w:rFonts w:ascii="Segoe UI" w:hAnsi="Segoe UI" w:cs="Segoe UI"/>
          <w:bCs/>
          <w:color w:val="000000" w:themeColor="text1"/>
          <w:sz w:val="24"/>
          <w:szCs w:val="24"/>
        </w:rPr>
        <w:t>e trata de persona; explotación sexual;</w:t>
      </w:r>
      <w:r w:rsidRPr="00C466CA">
        <w:rPr>
          <w:rFonts w:ascii="Segoe UI" w:hAnsi="Segoe UI" w:cs="Segoe UI"/>
          <w:bCs/>
          <w:color w:val="000000" w:themeColor="text1"/>
          <w:sz w:val="24"/>
          <w:szCs w:val="24"/>
        </w:rPr>
        <w:t xml:space="preserve"> la esclavitu</w:t>
      </w:r>
      <w:r w:rsidR="00C466CA" w:rsidRPr="00C466CA">
        <w:rPr>
          <w:rFonts w:ascii="Segoe UI" w:hAnsi="Segoe UI" w:cs="Segoe UI"/>
          <w:bCs/>
          <w:color w:val="000000" w:themeColor="text1"/>
          <w:sz w:val="24"/>
          <w:szCs w:val="24"/>
        </w:rPr>
        <w:t>d y otras formas de explotación;</w:t>
      </w:r>
      <w:r w:rsidRPr="00C466CA">
        <w:rPr>
          <w:rFonts w:ascii="Segoe UI" w:hAnsi="Segoe UI" w:cs="Segoe UI"/>
          <w:bCs/>
          <w:color w:val="000000" w:themeColor="text1"/>
          <w:sz w:val="24"/>
          <w:szCs w:val="24"/>
        </w:rPr>
        <w:t xml:space="preserve"> la </w:t>
      </w:r>
      <w:r w:rsidR="00C466CA" w:rsidRPr="00C466CA">
        <w:rPr>
          <w:rFonts w:ascii="Segoe UI" w:hAnsi="Segoe UI" w:cs="Segoe UI"/>
          <w:bCs/>
          <w:color w:val="000000" w:themeColor="text1"/>
          <w:sz w:val="24"/>
          <w:szCs w:val="24"/>
        </w:rPr>
        <w:t>violación sexual;</w:t>
      </w:r>
      <w:r w:rsidRPr="00C466CA">
        <w:rPr>
          <w:rFonts w:ascii="Segoe UI" w:hAnsi="Segoe UI" w:cs="Segoe UI"/>
          <w:bCs/>
          <w:color w:val="000000" w:themeColor="text1"/>
          <w:sz w:val="24"/>
          <w:szCs w:val="24"/>
        </w:rPr>
        <w:t xml:space="preserve"> la violación en persona en estado de inconsciencia o </w:t>
      </w:r>
      <w:r w:rsidR="00C466CA" w:rsidRPr="00C466CA">
        <w:rPr>
          <w:rFonts w:ascii="Segoe UI" w:hAnsi="Segoe UI" w:cs="Segoe UI"/>
          <w:bCs/>
          <w:color w:val="000000" w:themeColor="text1"/>
          <w:sz w:val="24"/>
          <w:szCs w:val="24"/>
        </w:rPr>
        <w:t>en la imposibilidad de resistir;</w:t>
      </w:r>
      <w:r w:rsidRPr="00C466CA">
        <w:rPr>
          <w:rFonts w:ascii="Segoe UI" w:hAnsi="Segoe UI" w:cs="Segoe UI"/>
          <w:bCs/>
          <w:color w:val="000000" w:themeColor="text1"/>
          <w:sz w:val="24"/>
          <w:szCs w:val="24"/>
        </w:rPr>
        <w:t xml:space="preserve"> la violación de persona en incapacidad</w:t>
      </w:r>
      <w:r w:rsidR="00C466CA" w:rsidRPr="00C466CA">
        <w:rPr>
          <w:rFonts w:ascii="Segoe UI" w:hAnsi="Segoe UI" w:cs="Segoe UI"/>
          <w:bCs/>
          <w:color w:val="000000" w:themeColor="text1"/>
          <w:sz w:val="24"/>
          <w:szCs w:val="24"/>
        </w:rPr>
        <w:t xml:space="preserve"> de dar su libre consentimiento;</w:t>
      </w:r>
      <w:r w:rsidRPr="00C466CA">
        <w:rPr>
          <w:rFonts w:ascii="Segoe UI" w:hAnsi="Segoe UI" w:cs="Segoe UI"/>
          <w:bCs/>
          <w:color w:val="000000" w:themeColor="text1"/>
          <w:sz w:val="24"/>
          <w:szCs w:val="24"/>
        </w:rPr>
        <w:t xml:space="preserve"> la vi</w:t>
      </w:r>
      <w:r w:rsidR="00C466CA" w:rsidRPr="00C466CA">
        <w:rPr>
          <w:rFonts w:ascii="Segoe UI" w:hAnsi="Segoe UI" w:cs="Segoe UI"/>
          <w:bCs/>
          <w:color w:val="000000" w:themeColor="text1"/>
          <w:sz w:val="24"/>
          <w:szCs w:val="24"/>
        </w:rPr>
        <w:t>olación sexual de menor de edad;</w:t>
      </w:r>
      <w:r w:rsidRPr="00C466CA">
        <w:rPr>
          <w:rFonts w:ascii="Segoe UI" w:hAnsi="Segoe UI" w:cs="Segoe UI"/>
          <w:bCs/>
          <w:color w:val="000000" w:themeColor="text1"/>
          <w:sz w:val="24"/>
          <w:szCs w:val="24"/>
        </w:rPr>
        <w:t xml:space="preserve"> la violación sexual de pers</w:t>
      </w:r>
      <w:r w:rsidR="00C466CA" w:rsidRPr="00C466CA">
        <w:rPr>
          <w:rFonts w:ascii="Segoe UI" w:hAnsi="Segoe UI" w:cs="Segoe UI"/>
          <w:bCs/>
          <w:color w:val="000000" w:themeColor="text1"/>
          <w:sz w:val="24"/>
          <w:szCs w:val="24"/>
        </w:rPr>
        <w:t>ona bajo autoridad o vigilancia;</w:t>
      </w:r>
      <w:r w:rsidRPr="00C466CA">
        <w:rPr>
          <w:rFonts w:ascii="Segoe UI" w:hAnsi="Segoe UI" w:cs="Segoe UI"/>
          <w:bCs/>
          <w:color w:val="000000" w:themeColor="text1"/>
          <w:sz w:val="24"/>
          <w:szCs w:val="24"/>
        </w:rPr>
        <w:t xml:space="preserve"> la violación sexual mediante engañ</w:t>
      </w:r>
      <w:r w:rsidR="00C466CA" w:rsidRPr="00C466CA">
        <w:rPr>
          <w:rFonts w:ascii="Segoe UI" w:hAnsi="Segoe UI" w:cs="Segoe UI"/>
          <w:bCs/>
          <w:color w:val="000000" w:themeColor="text1"/>
          <w:sz w:val="24"/>
          <w:szCs w:val="24"/>
        </w:rPr>
        <w:t>o;</w:t>
      </w:r>
      <w:r w:rsidRPr="00C466CA">
        <w:rPr>
          <w:rFonts w:ascii="Segoe UI" w:hAnsi="Segoe UI" w:cs="Segoe UI"/>
          <w:bCs/>
          <w:color w:val="000000" w:themeColor="text1"/>
          <w:sz w:val="24"/>
          <w:szCs w:val="24"/>
        </w:rPr>
        <w:t xml:space="preserve"> los tocamientos, actos de connotación sexual</w:t>
      </w:r>
      <w:r w:rsidR="00C466CA" w:rsidRPr="00C466CA">
        <w:rPr>
          <w:rFonts w:ascii="Segoe UI" w:hAnsi="Segoe UI" w:cs="Segoe UI"/>
          <w:bCs/>
          <w:color w:val="000000" w:themeColor="text1"/>
          <w:sz w:val="24"/>
          <w:szCs w:val="24"/>
        </w:rPr>
        <w:t xml:space="preserve"> o actos libidinosos sin consentimiento; actos de connotación sexual o actos libidinosos en agravio de </w:t>
      </w:r>
      <w:r w:rsidR="00C466CA" w:rsidRPr="00C466CA">
        <w:rPr>
          <w:rFonts w:ascii="Segoe UI" w:hAnsi="Segoe UI" w:cs="Segoe UI"/>
          <w:bCs/>
          <w:color w:val="000000" w:themeColor="text1"/>
          <w:sz w:val="24"/>
          <w:szCs w:val="24"/>
        </w:rPr>
        <w:lastRenderedPageBreak/>
        <w:t>menores; favorecimiento a la prostitución; el rufianismo; el proxenetismo; la explotación sexual comercial infantil y adolescente en ámbito del turismo; la publicación en los medios de comunicación sobre delitos de libertad sexual a menores; las exhibiciones y publicaciones obscenas; la pornografía infantil, las proposiciones a niños, niñas y adolescentes con fines sexuales; y todas las formas agravadas de estos delitos.</w:t>
      </w:r>
    </w:p>
    <w:p w:rsidR="00E54F7A" w:rsidRPr="00C466CA" w:rsidRDefault="00E54F7A" w:rsidP="000D432D">
      <w:pPr>
        <w:spacing w:after="0" w:line="240" w:lineRule="auto"/>
        <w:jc w:val="both"/>
        <w:rPr>
          <w:rFonts w:ascii="Segoe UI" w:hAnsi="Segoe UI" w:cs="Segoe UI"/>
          <w:b/>
          <w:bCs/>
          <w:color w:val="000000" w:themeColor="text1"/>
          <w:sz w:val="24"/>
          <w:szCs w:val="24"/>
        </w:rPr>
      </w:pPr>
    </w:p>
    <w:p w:rsidR="000D432D" w:rsidRPr="00C466CA" w:rsidRDefault="000D432D" w:rsidP="00E54F7A">
      <w:pPr>
        <w:pStyle w:val="Prrafodelista"/>
        <w:numPr>
          <w:ilvl w:val="1"/>
          <w:numId w:val="1"/>
        </w:numPr>
        <w:spacing w:after="0" w:line="240" w:lineRule="auto"/>
        <w:jc w:val="both"/>
        <w:rPr>
          <w:rFonts w:ascii="Segoe UI" w:hAnsi="Segoe UI" w:cs="Segoe UI"/>
          <w:b/>
          <w:bCs/>
          <w:color w:val="000000" w:themeColor="text1"/>
          <w:sz w:val="24"/>
          <w:szCs w:val="24"/>
        </w:rPr>
      </w:pPr>
      <w:r w:rsidRPr="00C466CA">
        <w:rPr>
          <w:rFonts w:ascii="Segoe UI" w:hAnsi="Segoe UI" w:cs="Segoe UI"/>
          <w:b/>
          <w:bCs/>
          <w:color w:val="000000" w:themeColor="text1"/>
          <w:sz w:val="24"/>
          <w:szCs w:val="24"/>
        </w:rPr>
        <w:t>España</w:t>
      </w:r>
    </w:p>
    <w:p w:rsidR="000D432D" w:rsidRPr="00C466CA" w:rsidRDefault="000D432D" w:rsidP="000D432D">
      <w:pPr>
        <w:spacing w:after="0" w:line="240" w:lineRule="auto"/>
        <w:jc w:val="both"/>
        <w:rPr>
          <w:rFonts w:ascii="Segoe UI" w:hAnsi="Segoe UI" w:cs="Segoe UI"/>
          <w:b/>
          <w:bCs/>
          <w:color w:val="000000" w:themeColor="text1"/>
          <w:sz w:val="24"/>
          <w:szCs w:val="24"/>
        </w:rPr>
      </w:pPr>
    </w:p>
    <w:p w:rsidR="000D432D" w:rsidRPr="00C466CA" w:rsidRDefault="000D432D" w:rsidP="000D432D">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En España, de conformidad con lo previsto en el artículo 133 de la Ley 39 del 1 de octubre de 2015 sobre el Procedimiento Administrativo Común de las Administraciones Públicas en relación con el artículo 26 de la ley 50 del 27 de noviembre de 1997, se realizó consulta pública previa del 2 al 17 de septiembre</w:t>
      </w:r>
      <w:r w:rsidR="007F7911">
        <w:rPr>
          <w:rFonts w:ascii="Segoe UI" w:hAnsi="Segoe UI" w:cs="Segoe UI"/>
          <w:bCs/>
          <w:color w:val="000000" w:themeColor="text1"/>
          <w:sz w:val="24"/>
          <w:szCs w:val="24"/>
        </w:rPr>
        <w:t xml:space="preserve"> </w:t>
      </w:r>
      <w:r w:rsidRPr="00C466CA">
        <w:rPr>
          <w:rFonts w:ascii="Segoe UI" w:hAnsi="Segoe UI" w:cs="Segoe UI"/>
          <w:bCs/>
          <w:color w:val="000000" w:themeColor="text1"/>
          <w:sz w:val="24"/>
          <w:szCs w:val="24"/>
        </w:rPr>
        <w:t xml:space="preserve"> a través del portal web del Ministerio de Sanidad, Consumo y Bienestar social para recibir aportes de la sociedad civil en relación sobre el Anteproyecto de Ley Orgánica de Protección Integral Frente a la Violencia Contra la Infancia.</w:t>
      </w:r>
    </w:p>
    <w:p w:rsidR="000D432D" w:rsidRPr="00C466CA" w:rsidRDefault="000D432D" w:rsidP="000D432D">
      <w:pPr>
        <w:spacing w:after="0" w:line="240" w:lineRule="auto"/>
        <w:jc w:val="both"/>
        <w:rPr>
          <w:rFonts w:ascii="Segoe UI" w:hAnsi="Segoe UI" w:cs="Segoe UI"/>
          <w:bCs/>
          <w:color w:val="000000" w:themeColor="text1"/>
          <w:sz w:val="24"/>
          <w:szCs w:val="24"/>
        </w:rPr>
      </w:pPr>
    </w:p>
    <w:p w:rsidR="000D432D" w:rsidRPr="00C466CA" w:rsidRDefault="000D432D" w:rsidP="000D432D">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 xml:space="preserve">En </w:t>
      </w:r>
      <w:r w:rsidR="007F7911">
        <w:rPr>
          <w:rFonts w:ascii="Segoe UI" w:hAnsi="Segoe UI" w:cs="Segoe UI"/>
          <w:bCs/>
          <w:color w:val="000000" w:themeColor="text1"/>
          <w:sz w:val="24"/>
          <w:szCs w:val="24"/>
        </w:rPr>
        <w:t>esa</w:t>
      </w:r>
      <w:r w:rsidRPr="00C466CA">
        <w:rPr>
          <w:rFonts w:ascii="Segoe UI" w:hAnsi="Segoe UI" w:cs="Segoe UI"/>
          <w:bCs/>
          <w:color w:val="000000" w:themeColor="text1"/>
          <w:sz w:val="24"/>
          <w:szCs w:val="24"/>
        </w:rPr>
        <w:t xml:space="preserve"> consulta pública previa se recibieron propuestas en el sentido de modificar la normativa que permite que los delitos de abuso sexual prescriban o una revisión del Código Penal en lo relativo a los delitos contra la indemnidad infantil, eliminación de la prescripción de los delitos sexuales contra niños y niñas, reconfiguración de los límites entre los distintos delitos sexuales especialmente entre abuso sexual y agresión sexual</w:t>
      </w:r>
      <w:r w:rsidRPr="00C466CA">
        <w:rPr>
          <w:rStyle w:val="Refdenotaalpie"/>
          <w:rFonts w:ascii="Segoe UI" w:hAnsi="Segoe UI" w:cs="Segoe UI"/>
          <w:bCs/>
          <w:color w:val="000000" w:themeColor="text1"/>
          <w:sz w:val="24"/>
          <w:szCs w:val="24"/>
        </w:rPr>
        <w:footnoteReference w:id="8"/>
      </w:r>
      <w:r w:rsidRPr="00C466CA">
        <w:rPr>
          <w:rFonts w:ascii="Segoe UI" w:hAnsi="Segoe UI" w:cs="Segoe UI"/>
          <w:bCs/>
          <w:color w:val="000000" w:themeColor="text1"/>
          <w:sz w:val="24"/>
          <w:szCs w:val="24"/>
        </w:rPr>
        <w:t>.</w:t>
      </w:r>
    </w:p>
    <w:p w:rsidR="000D432D" w:rsidRPr="00C466CA" w:rsidRDefault="000D432D" w:rsidP="000D432D">
      <w:pPr>
        <w:spacing w:after="0" w:line="240" w:lineRule="auto"/>
        <w:jc w:val="both"/>
        <w:rPr>
          <w:rFonts w:ascii="Segoe UI" w:hAnsi="Segoe UI" w:cs="Segoe UI"/>
          <w:bCs/>
          <w:color w:val="000000" w:themeColor="text1"/>
          <w:sz w:val="24"/>
          <w:szCs w:val="24"/>
        </w:rPr>
      </w:pPr>
    </w:p>
    <w:p w:rsidR="000D432D" w:rsidRPr="00C466CA" w:rsidRDefault="000D432D" w:rsidP="000D432D">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 xml:space="preserve">El </w:t>
      </w:r>
      <w:r w:rsidR="0074260A">
        <w:rPr>
          <w:rFonts w:ascii="Segoe UI" w:hAnsi="Segoe UI" w:cs="Segoe UI"/>
          <w:bCs/>
          <w:color w:val="000000" w:themeColor="text1"/>
          <w:sz w:val="24"/>
          <w:szCs w:val="24"/>
        </w:rPr>
        <w:t>A</w:t>
      </w:r>
      <w:r w:rsidRPr="00C466CA">
        <w:rPr>
          <w:rFonts w:ascii="Segoe UI" w:hAnsi="Segoe UI" w:cs="Segoe UI"/>
          <w:bCs/>
          <w:color w:val="000000" w:themeColor="text1"/>
          <w:sz w:val="24"/>
          <w:szCs w:val="24"/>
        </w:rPr>
        <w:t xml:space="preserve">nteproyecto contempla que el plazo de prescripción de los delitos sexuales contra menores que es de 10 a 20 años dependiendo de la gravedad del delito, comenzará a correr cuando la víctima cumpla 30 años, y no 18, como sucede con la ley penal vigente, sin embargo, las organizaciones de infancia y las víctimas de delitos sexuales solicitan que el tiempo comience a correr desde los 50 años e incluso siguen insistiendo con que estos delitos sean imprescriptibles, por lo que el Gobierno en una visita al Vaticano en octubre de 2018 aseguró que estaban trabajando para </w:t>
      </w:r>
      <w:r w:rsidRPr="00C466CA">
        <w:rPr>
          <w:rFonts w:ascii="Segoe UI" w:hAnsi="Segoe UI" w:cs="Segoe UI"/>
          <w:bCs/>
          <w:color w:val="000000" w:themeColor="text1"/>
          <w:sz w:val="24"/>
          <w:szCs w:val="24"/>
        </w:rPr>
        <w:lastRenderedPageBreak/>
        <w:t>alcanzar la imprescriptibilidad de estos delitos equiparándolos con el terrorismo, genocidio y de lesa humanidad</w:t>
      </w:r>
      <w:r w:rsidRPr="00C466CA">
        <w:rPr>
          <w:rStyle w:val="Refdenotaalpie"/>
          <w:rFonts w:ascii="Segoe UI" w:hAnsi="Segoe UI" w:cs="Segoe UI"/>
          <w:bCs/>
          <w:color w:val="000000" w:themeColor="text1"/>
          <w:sz w:val="24"/>
          <w:szCs w:val="24"/>
        </w:rPr>
        <w:footnoteReference w:id="9"/>
      </w:r>
      <w:r w:rsidRPr="00C466CA">
        <w:rPr>
          <w:rFonts w:ascii="Segoe UI" w:hAnsi="Segoe UI" w:cs="Segoe UI"/>
          <w:bCs/>
          <w:color w:val="000000" w:themeColor="text1"/>
          <w:sz w:val="24"/>
          <w:szCs w:val="24"/>
        </w:rPr>
        <w:t>.</w:t>
      </w:r>
    </w:p>
    <w:p w:rsidR="0030421D" w:rsidRPr="00C466CA" w:rsidRDefault="0030421D" w:rsidP="00754C43">
      <w:pPr>
        <w:spacing w:after="0" w:line="240" w:lineRule="auto"/>
        <w:jc w:val="both"/>
        <w:rPr>
          <w:rFonts w:ascii="Segoe UI" w:hAnsi="Segoe UI" w:cs="Segoe UI"/>
          <w:b/>
          <w:bCs/>
          <w:color w:val="000000" w:themeColor="text1"/>
          <w:sz w:val="24"/>
          <w:szCs w:val="24"/>
        </w:rPr>
      </w:pPr>
    </w:p>
    <w:p w:rsidR="00754C43" w:rsidRPr="00C466CA" w:rsidRDefault="00754C43" w:rsidP="00E54F7A">
      <w:pPr>
        <w:pStyle w:val="Prrafodelista"/>
        <w:numPr>
          <w:ilvl w:val="1"/>
          <w:numId w:val="1"/>
        </w:numPr>
        <w:spacing w:after="0" w:line="240" w:lineRule="auto"/>
        <w:jc w:val="both"/>
        <w:rPr>
          <w:rFonts w:ascii="Segoe UI" w:hAnsi="Segoe UI" w:cs="Segoe UI"/>
          <w:b/>
          <w:bCs/>
          <w:color w:val="000000" w:themeColor="text1"/>
          <w:sz w:val="24"/>
          <w:szCs w:val="24"/>
        </w:rPr>
      </w:pPr>
      <w:r w:rsidRPr="00C466CA">
        <w:rPr>
          <w:rFonts w:ascii="Segoe UI" w:hAnsi="Segoe UI" w:cs="Segoe UI"/>
          <w:b/>
          <w:bCs/>
          <w:color w:val="000000" w:themeColor="text1"/>
          <w:sz w:val="24"/>
          <w:szCs w:val="24"/>
        </w:rPr>
        <w:t>Uruguay</w:t>
      </w:r>
    </w:p>
    <w:p w:rsidR="00754C43" w:rsidRPr="00C466CA" w:rsidRDefault="00754C43" w:rsidP="00754C43">
      <w:pPr>
        <w:spacing w:after="0" w:line="240" w:lineRule="auto"/>
        <w:jc w:val="both"/>
        <w:rPr>
          <w:rFonts w:ascii="Segoe UI" w:hAnsi="Segoe UI" w:cs="Segoe UI"/>
          <w:b/>
          <w:bCs/>
          <w:color w:val="000000" w:themeColor="text1"/>
          <w:sz w:val="24"/>
          <w:szCs w:val="24"/>
        </w:rPr>
      </w:pPr>
    </w:p>
    <w:p w:rsidR="00754C43" w:rsidRPr="00C466CA" w:rsidRDefault="000D432D" w:rsidP="00754C43">
      <w:pPr>
        <w:spacing w:after="0"/>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La legislación uruguaya en la materia es similar a la argentina, en ese sentido, d</w:t>
      </w:r>
      <w:r w:rsidR="00754C43" w:rsidRPr="00C466CA">
        <w:rPr>
          <w:rFonts w:ascii="Segoe UI" w:hAnsi="Segoe UI" w:cs="Segoe UI"/>
          <w:bCs/>
          <w:color w:val="000000" w:themeColor="text1"/>
          <w:sz w:val="24"/>
          <w:szCs w:val="24"/>
        </w:rPr>
        <w:t>e acuerdo con el artículo 119 del Código Penal</w:t>
      </w:r>
      <w:r w:rsidR="0030421D" w:rsidRPr="00C466CA">
        <w:rPr>
          <w:rStyle w:val="Refdenotaalpie"/>
          <w:rFonts w:ascii="Segoe UI" w:hAnsi="Segoe UI" w:cs="Segoe UI"/>
          <w:bCs/>
          <w:color w:val="000000" w:themeColor="text1"/>
          <w:sz w:val="24"/>
          <w:szCs w:val="24"/>
        </w:rPr>
        <w:footnoteReference w:id="10"/>
      </w:r>
      <w:r w:rsidR="00754C43" w:rsidRPr="00C466CA">
        <w:rPr>
          <w:rFonts w:ascii="Segoe UI" w:hAnsi="Segoe UI" w:cs="Segoe UI"/>
          <w:bCs/>
          <w:color w:val="000000" w:themeColor="text1"/>
          <w:sz w:val="24"/>
          <w:szCs w:val="24"/>
        </w:rPr>
        <w:t xml:space="preserve"> uruguayo, la prescripción de la acción penal derivada de los delitos previstos en los artículos 272, 272 bis, 272 ter, 273, 273 bis y 274, y en la Ley N° 17.815, de 6 de setiembre de 2004, en los cuales la víctima haya sido un niño, niña o adolescente, se suspende hasta que habiendo cumplido la mayoría de edad formule por sí </w:t>
      </w:r>
      <w:r w:rsidR="0074260A">
        <w:rPr>
          <w:rFonts w:ascii="Segoe UI" w:hAnsi="Segoe UI" w:cs="Segoe UI"/>
          <w:bCs/>
          <w:color w:val="000000" w:themeColor="text1"/>
          <w:sz w:val="24"/>
          <w:szCs w:val="24"/>
        </w:rPr>
        <w:t xml:space="preserve">mismo </w:t>
      </w:r>
      <w:r w:rsidR="00754C43" w:rsidRPr="00C466CA">
        <w:rPr>
          <w:rFonts w:ascii="Segoe UI" w:hAnsi="Segoe UI" w:cs="Segoe UI"/>
          <w:bCs/>
          <w:color w:val="000000" w:themeColor="text1"/>
          <w:sz w:val="24"/>
          <w:szCs w:val="24"/>
        </w:rPr>
        <w:t>la denuncia o ratifique la formulada por sus representantes legales durante su minoría de edad.</w:t>
      </w:r>
    </w:p>
    <w:p w:rsidR="00754C43" w:rsidRPr="00C466CA" w:rsidRDefault="00754C43" w:rsidP="00754C43">
      <w:pPr>
        <w:spacing w:after="0" w:line="240" w:lineRule="auto"/>
        <w:jc w:val="both"/>
        <w:rPr>
          <w:rFonts w:ascii="Segoe UI" w:hAnsi="Segoe UI" w:cs="Segoe UI"/>
          <w:bCs/>
          <w:color w:val="000000" w:themeColor="text1"/>
          <w:sz w:val="24"/>
          <w:szCs w:val="24"/>
        </w:rPr>
      </w:pPr>
    </w:p>
    <w:p w:rsidR="00754C43" w:rsidRPr="00C466CA" w:rsidRDefault="00754C43" w:rsidP="00754C43">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Posteriormente, el artículo 84 de la Ley N° 19.580 del 22 de diciembre de 2017 agregó un inciso al artículo 119 del Código Penal puntualizando que, si como consecuencia de cualquiera de los delitos indicados hubiere ocurrido la muerte de la persona menor de edad, comenzará a correr desde el día en que ésta hubiere alcanzado la mayoría de edad.</w:t>
      </w:r>
    </w:p>
    <w:p w:rsidR="00754C43" w:rsidRPr="00C466CA" w:rsidRDefault="00754C43" w:rsidP="00754C43">
      <w:pPr>
        <w:spacing w:after="0" w:line="240" w:lineRule="auto"/>
        <w:jc w:val="both"/>
        <w:rPr>
          <w:rFonts w:ascii="Segoe UI" w:hAnsi="Segoe UI" w:cs="Segoe UI"/>
          <w:bCs/>
          <w:color w:val="000000" w:themeColor="text1"/>
          <w:sz w:val="24"/>
          <w:szCs w:val="24"/>
        </w:rPr>
      </w:pPr>
    </w:p>
    <w:p w:rsidR="00754C43" w:rsidRPr="00C466CA" w:rsidRDefault="00754C43" w:rsidP="00754C43">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 xml:space="preserve">Los delitos para los que la computación del término de prescripción opera de esta manera son </w:t>
      </w:r>
      <w:r w:rsidR="00C51585" w:rsidRPr="00C466CA">
        <w:rPr>
          <w:rFonts w:ascii="Segoe UI" w:hAnsi="Segoe UI" w:cs="Segoe UI"/>
          <w:bCs/>
          <w:color w:val="000000" w:themeColor="text1"/>
          <w:sz w:val="24"/>
          <w:szCs w:val="24"/>
        </w:rPr>
        <w:t>los de violencia carnal, corrupción de menores, ultraje público al pudor, abuso sexual, abuso sexual especialmente agravado, atentado violento al pudor, abuso sexual sin contacto corporal y corrupción de menores.</w:t>
      </w:r>
    </w:p>
    <w:p w:rsidR="00754C43" w:rsidRPr="00C466CA" w:rsidRDefault="00754C43" w:rsidP="00754C43">
      <w:pPr>
        <w:spacing w:after="0" w:line="240" w:lineRule="auto"/>
        <w:jc w:val="both"/>
        <w:rPr>
          <w:rFonts w:ascii="Segoe UI" w:hAnsi="Segoe UI" w:cs="Segoe UI"/>
          <w:b/>
          <w:bCs/>
          <w:color w:val="000000" w:themeColor="text1"/>
          <w:sz w:val="24"/>
          <w:szCs w:val="24"/>
        </w:rPr>
      </w:pPr>
    </w:p>
    <w:p w:rsidR="00BB680D" w:rsidRPr="00C466CA" w:rsidRDefault="0030421D" w:rsidP="00E54F7A">
      <w:pPr>
        <w:pStyle w:val="Prrafodelista"/>
        <w:numPr>
          <w:ilvl w:val="1"/>
          <w:numId w:val="1"/>
        </w:numPr>
        <w:spacing w:after="0" w:line="240" w:lineRule="auto"/>
        <w:jc w:val="both"/>
        <w:rPr>
          <w:rFonts w:ascii="Segoe UI" w:hAnsi="Segoe UI" w:cs="Segoe UI"/>
          <w:b/>
          <w:bCs/>
          <w:color w:val="000000" w:themeColor="text1"/>
          <w:sz w:val="24"/>
          <w:szCs w:val="24"/>
        </w:rPr>
      </w:pPr>
      <w:r w:rsidRPr="00C466CA">
        <w:rPr>
          <w:rFonts w:ascii="Segoe UI" w:hAnsi="Segoe UI" w:cs="Segoe UI"/>
          <w:b/>
          <w:bCs/>
          <w:color w:val="000000" w:themeColor="text1"/>
          <w:sz w:val="24"/>
          <w:szCs w:val="24"/>
        </w:rPr>
        <w:t>Costa Rica</w:t>
      </w:r>
    </w:p>
    <w:p w:rsidR="00385A8C" w:rsidRPr="00C466CA" w:rsidRDefault="00385A8C" w:rsidP="00385A8C">
      <w:pPr>
        <w:spacing w:after="0" w:line="240" w:lineRule="auto"/>
        <w:jc w:val="both"/>
        <w:rPr>
          <w:rFonts w:ascii="Segoe UI" w:hAnsi="Segoe UI" w:cs="Segoe UI"/>
          <w:bCs/>
          <w:color w:val="000000" w:themeColor="text1"/>
          <w:sz w:val="24"/>
          <w:szCs w:val="24"/>
        </w:rPr>
      </w:pPr>
    </w:p>
    <w:p w:rsidR="00385A8C" w:rsidRPr="00C466CA" w:rsidRDefault="00385A8C" w:rsidP="00385A8C">
      <w:pPr>
        <w:spacing w:after="0" w:line="240" w:lineRule="auto"/>
        <w:jc w:val="both"/>
        <w:rPr>
          <w:rFonts w:ascii="Segoe UI" w:hAnsi="Segoe UI" w:cs="Segoe UI"/>
          <w:bCs/>
          <w:color w:val="000000" w:themeColor="text1"/>
          <w:sz w:val="24"/>
          <w:szCs w:val="24"/>
        </w:rPr>
      </w:pPr>
      <w:r w:rsidRPr="00C466CA">
        <w:rPr>
          <w:rFonts w:ascii="Segoe UI" w:hAnsi="Segoe UI" w:cs="Segoe UI"/>
          <w:bCs/>
          <w:color w:val="000000" w:themeColor="text1"/>
          <w:sz w:val="24"/>
          <w:szCs w:val="24"/>
        </w:rPr>
        <w:t xml:space="preserve">Si bien, en </w:t>
      </w:r>
      <w:r w:rsidR="0030421D" w:rsidRPr="00C466CA">
        <w:rPr>
          <w:rFonts w:ascii="Segoe UI" w:hAnsi="Segoe UI" w:cs="Segoe UI"/>
          <w:bCs/>
          <w:color w:val="000000" w:themeColor="text1"/>
          <w:sz w:val="24"/>
          <w:szCs w:val="24"/>
        </w:rPr>
        <w:t>Costa Rica</w:t>
      </w:r>
      <w:r w:rsidRPr="00C466CA">
        <w:rPr>
          <w:rFonts w:ascii="Segoe UI" w:hAnsi="Segoe UI" w:cs="Segoe UI"/>
          <w:bCs/>
          <w:color w:val="000000" w:themeColor="text1"/>
          <w:sz w:val="24"/>
          <w:szCs w:val="24"/>
        </w:rPr>
        <w:t xml:space="preserve"> no se ha declarado la imprescriptibilidad para los delitos cometidos contra niños, niñas y adolescentes, mediante la Ley No. 9057 del 23 de julio de 2012 </w:t>
      </w:r>
      <w:r w:rsidRPr="00C466CA">
        <w:rPr>
          <w:rFonts w:ascii="Segoe UI" w:hAnsi="Segoe UI" w:cs="Segoe UI"/>
          <w:bCs/>
          <w:i/>
          <w:color w:val="000000" w:themeColor="text1"/>
          <w:sz w:val="24"/>
          <w:szCs w:val="24"/>
        </w:rPr>
        <w:t xml:space="preserve">“Reforma de varias leyes sobre la Prescripción de Daños causados a Personas Menores de Edad” </w:t>
      </w:r>
      <w:r w:rsidRPr="00C466CA">
        <w:rPr>
          <w:rFonts w:ascii="Segoe UI" w:hAnsi="Segoe UI" w:cs="Segoe UI"/>
          <w:bCs/>
          <w:color w:val="000000" w:themeColor="text1"/>
          <w:sz w:val="24"/>
          <w:szCs w:val="24"/>
        </w:rPr>
        <w:t xml:space="preserve">se modificó el artículo 31 del Código Procesal Penal </w:t>
      </w:r>
      <w:r w:rsidRPr="00C466CA">
        <w:rPr>
          <w:rFonts w:ascii="Segoe UI" w:hAnsi="Segoe UI" w:cs="Segoe UI"/>
          <w:bCs/>
          <w:color w:val="000000" w:themeColor="text1"/>
          <w:sz w:val="24"/>
          <w:szCs w:val="24"/>
        </w:rPr>
        <w:lastRenderedPageBreak/>
        <w:t>determinando que la prescripción empezará a correr a partir de que la víctima haya cumplido la mayoría de edad</w:t>
      </w:r>
      <w:r w:rsidR="0030421D" w:rsidRPr="00C466CA">
        <w:rPr>
          <w:rStyle w:val="Refdenotaalpie"/>
          <w:rFonts w:ascii="Segoe UI" w:hAnsi="Segoe UI" w:cs="Segoe UI"/>
          <w:bCs/>
          <w:color w:val="000000" w:themeColor="text1"/>
          <w:sz w:val="24"/>
          <w:szCs w:val="24"/>
        </w:rPr>
        <w:footnoteReference w:id="11"/>
      </w:r>
      <w:r w:rsidRPr="00C466CA">
        <w:rPr>
          <w:rFonts w:ascii="Segoe UI" w:hAnsi="Segoe UI" w:cs="Segoe UI"/>
          <w:bCs/>
          <w:color w:val="000000" w:themeColor="text1"/>
          <w:sz w:val="24"/>
          <w:szCs w:val="24"/>
        </w:rPr>
        <w:t>.</w:t>
      </w:r>
    </w:p>
    <w:p w:rsidR="00114555" w:rsidRPr="00C466CA" w:rsidRDefault="00114555" w:rsidP="00BB680D">
      <w:pPr>
        <w:spacing w:after="0" w:line="240" w:lineRule="auto"/>
        <w:jc w:val="both"/>
        <w:rPr>
          <w:rFonts w:ascii="Segoe UI" w:hAnsi="Segoe UI" w:cs="Segoe UI"/>
          <w:b/>
          <w:bCs/>
          <w:color w:val="000000" w:themeColor="text1"/>
          <w:sz w:val="24"/>
          <w:szCs w:val="24"/>
        </w:rPr>
      </w:pPr>
    </w:p>
    <w:p w:rsidR="00BB680D" w:rsidRPr="00C466CA" w:rsidRDefault="00BB680D" w:rsidP="00E54F7A">
      <w:pPr>
        <w:pStyle w:val="Prrafodelista"/>
        <w:numPr>
          <w:ilvl w:val="0"/>
          <w:numId w:val="1"/>
        </w:numPr>
        <w:spacing w:after="0" w:line="240" w:lineRule="auto"/>
        <w:jc w:val="both"/>
        <w:rPr>
          <w:rFonts w:ascii="Segoe UI" w:hAnsi="Segoe UI" w:cs="Segoe UI"/>
          <w:b/>
          <w:bCs/>
          <w:color w:val="000000" w:themeColor="text1"/>
          <w:sz w:val="24"/>
          <w:szCs w:val="24"/>
        </w:rPr>
      </w:pPr>
      <w:r w:rsidRPr="00C466CA">
        <w:rPr>
          <w:rFonts w:ascii="Segoe UI" w:hAnsi="Segoe UI" w:cs="Segoe UI"/>
          <w:b/>
          <w:bCs/>
          <w:color w:val="000000" w:themeColor="text1"/>
          <w:sz w:val="24"/>
          <w:szCs w:val="24"/>
        </w:rPr>
        <w:t>CONSTITUCIONALIDAD</w:t>
      </w:r>
    </w:p>
    <w:p w:rsidR="00BB680D" w:rsidRPr="00C466CA" w:rsidRDefault="00BB680D" w:rsidP="00BB680D">
      <w:pPr>
        <w:spacing w:after="0" w:line="240" w:lineRule="auto"/>
        <w:jc w:val="both"/>
        <w:rPr>
          <w:rFonts w:ascii="Segoe UI" w:hAnsi="Segoe UI" w:cs="Segoe UI"/>
          <w:b/>
          <w:bCs/>
          <w:color w:val="000000" w:themeColor="text1"/>
          <w:sz w:val="24"/>
          <w:szCs w:val="24"/>
        </w:rPr>
      </w:pPr>
    </w:p>
    <w:p w:rsidR="00CA4E45" w:rsidRPr="00C466CA" w:rsidRDefault="00851D87" w:rsidP="00CA4E45">
      <w:pPr>
        <w:jc w:val="both"/>
        <w:rPr>
          <w:rFonts w:ascii="Segoe UI" w:hAnsi="Segoe UI" w:cs="Segoe UI"/>
          <w:sz w:val="24"/>
          <w:szCs w:val="24"/>
        </w:rPr>
      </w:pPr>
      <w:r w:rsidRPr="00C466CA">
        <w:rPr>
          <w:rFonts w:ascii="Segoe UI" w:hAnsi="Segoe UI" w:cs="Segoe UI"/>
          <w:sz w:val="24"/>
          <w:szCs w:val="24"/>
        </w:rPr>
        <w:t xml:space="preserve">La Convención sobre los Derechos del Niño, adoptada por la Asamblea General de las Naciones Unidas el 20 de noviembre de 1989 y ratificada por Colombia por medio de la </w:t>
      </w:r>
      <w:r w:rsidR="00CA4E45" w:rsidRPr="00C466CA">
        <w:rPr>
          <w:rFonts w:ascii="Segoe UI" w:hAnsi="Segoe UI" w:cs="Segoe UI"/>
          <w:sz w:val="24"/>
          <w:szCs w:val="24"/>
        </w:rPr>
        <w:t>Ley 12 de 1991, dispone en su artículo 3-1 que “</w:t>
      </w:r>
      <w:r w:rsidR="00CA4E45" w:rsidRPr="00C466CA">
        <w:rPr>
          <w:rFonts w:ascii="Segoe UI" w:hAnsi="Segoe UI" w:cs="Segoe UI"/>
          <w:i/>
          <w:sz w:val="24"/>
          <w:szCs w:val="24"/>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00CA4E45" w:rsidRPr="00C466CA">
        <w:rPr>
          <w:rFonts w:ascii="Segoe UI" w:hAnsi="Segoe UI" w:cs="Segoe UI"/>
          <w:sz w:val="24"/>
          <w:szCs w:val="24"/>
        </w:rPr>
        <w:t xml:space="preserve">; y en el artículo 3-2, establece que </w:t>
      </w:r>
      <w:r w:rsidR="00CA4E45" w:rsidRPr="00C466CA">
        <w:rPr>
          <w:rFonts w:ascii="Segoe UI" w:hAnsi="Segoe UI" w:cs="Segoe UI"/>
          <w:i/>
          <w:sz w:val="24"/>
          <w:szCs w:val="24"/>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r w:rsidR="00CA4E45" w:rsidRPr="00C466CA">
        <w:rPr>
          <w:rFonts w:ascii="Segoe UI" w:hAnsi="Segoe UI" w:cs="Segoe UI"/>
          <w:sz w:val="24"/>
          <w:szCs w:val="24"/>
        </w:rPr>
        <w:t>.</w:t>
      </w:r>
    </w:p>
    <w:p w:rsidR="00851D87" w:rsidRPr="00C466CA" w:rsidRDefault="00CA4E45" w:rsidP="00851D87">
      <w:pPr>
        <w:jc w:val="both"/>
        <w:rPr>
          <w:rFonts w:ascii="Segoe UI" w:hAnsi="Segoe UI" w:cs="Segoe UI"/>
          <w:sz w:val="24"/>
          <w:szCs w:val="24"/>
        </w:rPr>
      </w:pPr>
      <w:r w:rsidRPr="00C466CA">
        <w:rPr>
          <w:rFonts w:ascii="Segoe UI" w:hAnsi="Segoe UI" w:cs="Segoe UI"/>
          <w:sz w:val="24"/>
          <w:szCs w:val="24"/>
        </w:rPr>
        <w:t xml:space="preserve">En su </w:t>
      </w:r>
      <w:r w:rsidR="00851D87" w:rsidRPr="00C466CA">
        <w:rPr>
          <w:rFonts w:ascii="Segoe UI" w:hAnsi="Segoe UI" w:cs="Segoe UI"/>
          <w:sz w:val="24"/>
          <w:szCs w:val="24"/>
        </w:rPr>
        <w:t xml:space="preserve">artículo 19 </w:t>
      </w:r>
      <w:r w:rsidR="00724AC0">
        <w:rPr>
          <w:rFonts w:ascii="Segoe UI" w:hAnsi="Segoe UI" w:cs="Segoe UI"/>
          <w:sz w:val="24"/>
          <w:szCs w:val="24"/>
        </w:rPr>
        <w:t xml:space="preserve">dice </w:t>
      </w:r>
      <w:r w:rsidR="00851D87" w:rsidRPr="00C466CA">
        <w:rPr>
          <w:rFonts w:ascii="Segoe UI" w:hAnsi="Segoe UI" w:cs="Segoe UI"/>
          <w:sz w:val="24"/>
          <w:szCs w:val="24"/>
        </w:rPr>
        <w:t>que los Estados Partes deben adoptar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rsidR="00851D87" w:rsidRPr="00C466CA" w:rsidRDefault="00851D87" w:rsidP="005867CC">
      <w:pPr>
        <w:jc w:val="both"/>
        <w:rPr>
          <w:rFonts w:ascii="Segoe UI" w:hAnsi="Segoe UI" w:cs="Segoe UI"/>
          <w:sz w:val="24"/>
          <w:szCs w:val="24"/>
        </w:rPr>
      </w:pPr>
      <w:r w:rsidRPr="00C466CA">
        <w:rPr>
          <w:rFonts w:ascii="Segoe UI" w:hAnsi="Segoe UI" w:cs="Segoe UI"/>
          <w:sz w:val="24"/>
          <w:szCs w:val="24"/>
        </w:rPr>
        <w:t>La protección de los niños contra todas las formas de explotación y abuso sexual es un derecho humano contenido en esta Convención y los Estados Partes están en la obligación de tomar todas las medidas de carácter nacional necesarias para impedir que tal garantía no se materialice.</w:t>
      </w:r>
    </w:p>
    <w:p w:rsidR="00CA4E45" w:rsidRPr="00C466CA" w:rsidRDefault="00CA4E45" w:rsidP="00CA4E45">
      <w:pPr>
        <w:jc w:val="both"/>
        <w:rPr>
          <w:rFonts w:ascii="Segoe UI" w:hAnsi="Segoe UI" w:cs="Segoe UI"/>
          <w:sz w:val="24"/>
          <w:szCs w:val="24"/>
        </w:rPr>
      </w:pPr>
      <w:r w:rsidRPr="00C466CA">
        <w:rPr>
          <w:rFonts w:ascii="Segoe UI" w:hAnsi="Segoe UI" w:cs="Segoe UI"/>
          <w:sz w:val="24"/>
          <w:szCs w:val="24"/>
        </w:rPr>
        <w:t>Por su parte, el Pacto Internacional de Derechos Civiles y Políticos dispone en su artículo 24-1 que </w:t>
      </w:r>
      <w:r w:rsidRPr="00C466CA">
        <w:rPr>
          <w:rFonts w:ascii="Segoe UI" w:hAnsi="Segoe UI" w:cs="Segoe UI"/>
          <w:i/>
          <w:iCs/>
          <w:sz w:val="24"/>
          <w:szCs w:val="24"/>
        </w:rPr>
        <w:t xml:space="preserve">“todo niño tiene derecho, sin discriminación alguna por motivos de raza, color, sexo, idioma, religión, origen nacional o social, posición económica o nacimiento, a las medidas de protección que su condición de menor requiere, tanto </w:t>
      </w:r>
      <w:r w:rsidRPr="00C466CA">
        <w:rPr>
          <w:rFonts w:ascii="Segoe UI" w:hAnsi="Segoe UI" w:cs="Segoe UI"/>
          <w:i/>
          <w:iCs/>
          <w:sz w:val="24"/>
          <w:szCs w:val="24"/>
        </w:rPr>
        <w:lastRenderedPageBreak/>
        <w:t>por parte de su familia como de la sociedad y del Estado”</w:t>
      </w:r>
      <w:r w:rsidRPr="00C466CA">
        <w:rPr>
          <w:rFonts w:ascii="Segoe UI" w:hAnsi="Segoe UI" w:cs="Segoe UI"/>
          <w:sz w:val="24"/>
          <w:szCs w:val="24"/>
        </w:rPr>
        <w:t>,</w:t>
      </w:r>
      <w:r w:rsidRPr="00C466CA">
        <w:rPr>
          <w:rFonts w:ascii="Segoe UI" w:hAnsi="Segoe UI" w:cs="Segoe UI"/>
          <w:i/>
          <w:iCs/>
          <w:sz w:val="24"/>
          <w:szCs w:val="24"/>
        </w:rPr>
        <w:t> </w:t>
      </w:r>
      <w:r w:rsidRPr="00C466CA">
        <w:rPr>
          <w:rFonts w:ascii="Segoe UI" w:hAnsi="Segoe UI" w:cs="Segoe UI"/>
          <w:sz w:val="24"/>
          <w:szCs w:val="24"/>
        </w:rPr>
        <w:t>en el mismo sentido que el artículo 19 de la Convención Americana de Derechos Humanos, según el cual </w:t>
      </w:r>
      <w:r w:rsidRPr="00C466CA">
        <w:rPr>
          <w:rFonts w:ascii="Segoe UI" w:hAnsi="Segoe UI" w:cs="Segoe UI"/>
          <w:i/>
          <w:iCs/>
          <w:sz w:val="24"/>
          <w:szCs w:val="24"/>
        </w:rPr>
        <w:t>“todo niño tiene derecho a las medidas de protección que su condición de menor requiere por parte de su familia, de la sociedad y del Estado”</w:t>
      </w:r>
      <w:r w:rsidRPr="00C466CA">
        <w:rPr>
          <w:rFonts w:ascii="Segoe UI" w:hAnsi="Segoe UI" w:cs="Segoe UI"/>
          <w:sz w:val="24"/>
          <w:szCs w:val="24"/>
        </w:rPr>
        <w:t>, y que el artículo 10-3 del Pacto Internacional de Derechos Económicos, Sociales y Culturales, que ordena: </w:t>
      </w:r>
      <w:r w:rsidRPr="00C466CA">
        <w:rPr>
          <w:rFonts w:ascii="Segoe UI" w:hAnsi="Segoe UI" w:cs="Segoe UI"/>
          <w:i/>
          <w:iCs/>
          <w:sz w:val="24"/>
          <w:szCs w:val="24"/>
        </w:rPr>
        <w:t>“se deben adoptar medidas especiales de protección y asistencia a favor de todos los niños y adolescentes, sin discriminación alguna por razón de filiación o cualquier otra condición”</w:t>
      </w:r>
      <w:r w:rsidRPr="00C466CA">
        <w:rPr>
          <w:rFonts w:ascii="Segoe UI" w:hAnsi="Segoe UI" w:cs="Segoe UI"/>
          <w:sz w:val="24"/>
          <w:szCs w:val="24"/>
        </w:rPr>
        <w:t>.</w:t>
      </w:r>
    </w:p>
    <w:p w:rsidR="00CA4E45" w:rsidRPr="00C466CA" w:rsidRDefault="00CA4E45" w:rsidP="00CA4E45">
      <w:pPr>
        <w:jc w:val="both"/>
        <w:rPr>
          <w:rFonts w:ascii="Segoe UI" w:hAnsi="Segoe UI" w:cs="Segoe UI"/>
          <w:sz w:val="24"/>
          <w:szCs w:val="24"/>
        </w:rPr>
      </w:pPr>
      <w:r w:rsidRPr="00C466CA">
        <w:rPr>
          <w:rFonts w:ascii="Segoe UI" w:hAnsi="Segoe UI" w:cs="Segoe UI"/>
          <w:sz w:val="24"/>
          <w:szCs w:val="24"/>
        </w:rPr>
        <w:t>También el Principio 2 de la Declaración de las Naciones Unidas sobre los Derechos del Niño dispone que los niños gozarán de especial protección, y serán provistos de las oportunidades y recursos necesarios para desarrollarse física, mental, moral, espiritual y socialmente de manera normal y sana, y en condiciones de libertad y dignidad; para ello, precisa la Declaración, las autoridades tomarán en cuenta al momento de adoptar las medidas pertinentes, el interés superior de los niños como su principal criterio de orientación. Igualmente, la Declaración Universal de Derechos Humanos de 1948, en su artículo 25-2, establece que </w:t>
      </w:r>
      <w:r w:rsidRPr="00C466CA">
        <w:rPr>
          <w:rFonts w:ascii="Segoe UI" w:hAnsi="Segoe UI" w:cs="Segoe UI"/>
          <w:i/>
          <w:iCs/>
          <w:sz w:val="24"/>
          <w:szCs w:val="24"/>
        </w:rPr>
        <w:t>“la maternidad y la infancia tienen derecho a cuidados de asistencia especiales”</w:t>
      </w:r>
      <w:r w:rsidRPr="00C466CA">
        <w:rPr>
          <w:rFonts w:ascii="Segoe UI" w:hAnsi="Segoe UI" w:cs="Segoe UI"/>
          <w:sz w:val="24"/>
          <w:szCs w:val="24"/>
        </w:rPr>
        <w:t>, y que </w:t>
      </w:r>
      <w:r w:rsidRPr="00C466CA">
        <w:rPr>
          <w:rFonts w:ascii="Segoe UI" w:hAnsi="Segoe UI" w:cs="Segoe UI"/>
          <w:i/>
          <w:iCs/>
          <w:sz w:val="24"/>
          <w:szCs w:val="24"/>
        </w:rPr>
        <w:t>“todos los niños, nacidos de matrimonio o fuera de matrimonio, tienen derecho a igual protección social”.</w:t>
      </w:r>
    </w:p>
    <w:p w:rsidR="00CA4E45" w:rsidRPr="00C466CA" w:rsidRDefault="00CA4E45" w:rsidP="005867CC">
      <w:pPr>
        <w:jc w:val="both"/>
        <w:rPr>
          <w:rFonts w:ascii="Segoe UI" w:hAnsi="Segoe UI" w:cs="Segoe UI"/>
          <w:sz w:val="24"/>
          <w:szCs w:val="24"/>
        </w:rPr>
      </w:pPr>
      <w:r w:rsidRPr="00C466CA">
        <w:rPr>
          <w:rFonts w:ascii="Segoe UI" w:hAnsi="Segoe UI" w:cs="Segoe UI"/>
          <w:sz w:val="24"/>
          <w:szCs w:val="24"/>
        </w:rPr>
        <w:t>En el ámbito regional, la Corte Interamericana ha sido protagonista en el análisis de la protección de los derechos de los niños a través de sus sentencias y en especial, la Opinión consultiva No. OC-17/2002 del 28 de agosto de 2002</w:t>
      </w:r>
      <w:r w:rsidR="00E629F5" w:rsidRPr="00C466CA">
        <w:rPr>
          <w:rStyle w:val="Refdenotaalpie"/>
          <w:rFonts w:ascii="Segoe UI" w:hAnsi="Segoe UI" w:cs="Segoe UI"/>
          <w:sz w:val="24"/>
          <w:szCs w:val="24"/>
        </w:rPr>
        <w:footnoteReference w:id="12"/>
      </w:r>
      <w:r w:rsidRPr="00C466CA">
        <w:rPr>
          <w:rFonts w:ascii="Segoe UI" w:hAnsi="Segoe UI" w:cs="Segoe UI"/>
          <w:sz w:val="24"/>
          <w:szCs w:val="24"/>
        </w:rPr>
        <w:t>, solicitada por la Comisión Interamericana de Derechos Humanos.</w:t>
      </w:r>
    </w:p>
    <w:p w:rsidR="005867CC" w:rsidRPr="00C466CA" w:rsidRDefault="00CA4E45" w:rsidP="005867CC">
      <w:pPr>
        <w:jc w:val="both"/>
        <w:rPr>
          <w:rFonts w:ascii="Segoe UI" w:hAnsi="Segoe UI" w:cs="Segoe UI"/>
          <w:sz w:val="24"/>
          <w:szCs w:val="24"/>
        </w:rPr>
      </w:pPr>
      <w:r w:rsidRPr="00C466CA">
        <w:rPr>
          <w:rFonts w:ascii="Segoe UI" w:hAnsi="Segoe UI" w:cs="Segoe UI"/>
          <w:sz w:val="24"/>
          <w:szCs w:val="24"/>
        </w:rPr>
        <w:t>Ahora bien,</w:t>
      </w:r>
      <w:r w:rsidR="003B1584" w:rsidRPr="00C466CA">
        <w:rPr>
          <w:rFonts w:ascii="Segoe UI" w:hAnsi="Segoe UI" w:cs="Segoe UI"/>
          <w:sz w:val="24"/>
          <w:szCs w:val="24"/>
        </w:rPr>
        <w:t xml:space="preserve"> en nuestro ordenamiento jurídico estos tratados hacen parte del Bloque de Constitucionalidad de acuerdo con el artículo 93 de</w:t>
      </w:r>
      <w:r w:rsidRPr="00C466CA">
        <w:rPr>
          <w:rFonts w:ascii="Segoe UI" w:hAnsi="Segoe UI" w:cs="Segoe UI"/>
          <w:sz w:val="24"/>
          <w:szCs w:val="24"/>
        </w:rPr>
        <w:t xml:space="preserve"> nuestra </w:t>
      </w:r>
      <w:r w:rsidR="005867CC" w:rsidRPr="00C466CA">
        <w:rPr>
          <w:rFonts w:ascii="Segoe UI" w:hAnsi="Segoe UI" w:cs="Segoe UI"/>
          <w:sz w:val="24"/>
          <w:szCs w:val="24"/>
        </w:rPr>
        <w:t xml:space="preserve">Constitución Política de </w:t>
      </w:r>
      <w:r w:rsidR="003B1584" w:rsidRPr="00C466CA">
        <w:rPr>
          <w:rFonts w:ascii="Segoe UI" w:hAnsi="Segoe UI" w:cs="Segoe UI"/>
          <w:sz w:val="24"/>
          <w:szCs w:val="24"/>
        </w:rPr>
        <w:t xml:space="preserve">1991, que, a su vez </w:t>
      </w:r>
      <w:r w:rsidR="00851D87" w:rsidRPr="00C466CA">
        <w:rPr>
          <w:rFonts w:ascii="Segoe UI" w:hAnsi="Segoe UI" w:cs="Segoe UI"/>
          <w:sz w:val="24"/>
          <w:szCs w:val="24"/>
        </w:rPr>
        <w:t>en su artículo 44 determina que</w:t>
      </w:r>
      <w:r w:rsidR="005867CC" w:rsidRPr="00C466CA">
        <w:rPr>
          <w:rFonts w:ascii="Segoe UI" w:hAnsi="Segoe UI" w:cs="Segoe UI"/>
          <w:sz w:val="24"/>
          <w:szCs w:val="24"/>
        </w:rPr>
        <w:t xml:space="preserve">:   </w:t>
      </w:r>
    </w:p>
    <w:p w:rsidR="00851D87" w:rsidRPr="00C466CA" w:rsidRDefault="00851D87" w:rsidP="00851D87">
      <w:pPr>
        <w:ind w:left="708"/>
        <w:jc w:val="both"/>
        <w:rPr>
          <w:rFonts w:ascii="Segoe UI" w:hAnsi="Segoe UI" w:cs="Segoe UI"/>
          <w:i/>
          <w:sz w:val="24"/>
          <w:szCs w:val="24"/>
        </w:rPr>
      </w:pPr>
      <w:r w:rsidRPr="00C466CA">
        <w:rPr>
          <w:rFonts w:ascii="Segoe UI" w:hAnsi="Segoe UI" w:cs="Segoe UI"/>
          <w:b/>
          <w:i/>
          <w:sz w:val="24"/>
          <w:szCs w:val="24"/>
        </w:rPr>
        <w:t>“ARTÍCULO 44º</w:t>
      </w:r>
      <w:r w:rsidRPr="00C466CA">
        <w:rPr>
          <w:rFonts w:ascii="Segoe UI" w:hAnsi="Segoe UI" w:cs="Segoe UI"/>
          <w:i/>
          <w:sz w:val="24"/>
          <w:szCs w:val="24"/>
        </w:rPr>
        <w:t xml:space="preserve">. </w:t>
      </w:r>
      <w:r w:rsidR="005867CC" w:rsidRPr="00C466CA">
        <w:rPr>
          <w:rFonts w:ascii="Segoe UI" w:hAnsi="Segoe UI" w:cs="Segoe UI"/>
          <w:i/>
          <w:sz w:val="24"/>
          <w:szCs w:val="24"/>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w:t>
      </w:r>
      <w:r w:rsidR="005867CC" w:rsidRPr="00C466CA">
        <w:rPr>
          <w:rFonts w:ascii="Segoe UI" w:hAnsi="Segoe UI" w:cs="Segoe UI"/>
          <w:i/>
          <w:sz w:val="24"/>
          <w:szCs w:val="24"/>
        </w:rPr>
        <w:lastRenderedPageBreak/>
        <w:t xml:space="preserve">secuestro, venta, abuso sexual, explotación laboral o económica y trabajos riesgosos. Gozarán también de los demás derechos consagrados en la Constitución, en las leyes y en los tratados internacionales ratificados por Colombia.  </w:t>
      </w:r>
    </w:p>
    <w:p w:rsidR="00851D87" w:rsidRPr="00C466CA" w:rsidRDefault="005867CC" w:rsidP="00851D87">
      <w:pPr>
        <w:ind w:left="708"/>
        <w:jc w:val="both"/>
        <w:rPr>
          <w:rFonts w:ascii="Segoe UI" w:hAnsi="Segoe UI" w:cs="Segoe UI"/>
          <w:i/>
          <w:sz w:val="24"/>
          <w:szCs w:val="24"/>
        </w:rPr>
      </w:pPr>
      <w:r w:rsidRPr="00C466CA">
        <w:rPr>
          <w:rFonts w:ascii="Segoe UI" w:hAnsi="Segoe UI" w:cs="Segoe UI"/>
          <w:i/>
          <w:sz w:val="24"/>
          <w:szCs w:val="24"/>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5867CC" w:rsidRPr="00C466CA" w:rsidRDefault="005867CC" w:rsidP="00851D87">
      <w:pPr>
        <w:ind w:left="708"/>
        <w:jc w:val="both"/>
        <w:rPr>
          <w:rFonts w:ascii="Segoe UI" w:hAnsi="Segoe UI" w:cs="Segoe UI"/>
          <w:i/>
          <w:sz w:val="24"/>
          <w:szCs w:val="24"/>
        </w:rPr>
      </w:pPr>
      <w:r w:rsidRPr="00C466CA">
        <w:rPr>
          <w:rFonts w:ascii="Segoe UI" w:hAnsi="Segoe UI" w:cs="Segoe UI"/>
          <w:i/>
          <w:sz w:val="24"/>
          <w:szCs w:val="24"/>
        </w:rPr>
        <w:t>Los derechos de los niños prevalecen sob</w:t>
      </w:r>
      <w:r w:rsidR="00851D87" w:rsidRPr="00C466CA">
        <w:rPr>
          <w:rFonts w:ascii="Segoe UI" w:hAnsi="Segoe UI" w:cs="Segoe UI"/>
          <w:i/>
          <w:sz w:val="24"/>
          <w:szCs w:val="24"/>
        </w:rPr>
        <w:t xml:space="preserve">re los derechos de los demás.” </w:t>
      </w:r>
    </w:p>
    <w:p w:rsidR="00851D87" w:rsidRPr="00C466CA" w:rsidRDefault="00CA4E45" w:rsidP="005867CC">
      <w:pPr>
        <w:jc w:val="both"/>
        <w:rPr>
          <w:rFonts w:ascii="Segoe UI" w:hAnsi="Segoe UI" w:cs="Segoe UI"/>
          <w:sz w:val="24"/>
          <w:szCs w:val="24"/>
        </w:rPr>
      </w:pPr>
      <w:r w:rsidRPr="00C466CA">
        <w:rPr>
          <w:rFonts w:ascii="Segoe UI" w:hAnsi="Segoe UI" w:cs="Segoe UI"/>
          <w:sz w:val="24"/>
          <w:szCs w:val="24"/>
        </w:rPr>
        <w:t>Como vemos, los derechos fundamentales de los niños, niñas y adolescentes gozan de una especial protección en el ámbito internacional y nacional dada la situación de indefensión, vulnerabilidad y debilidad de esta población y la necesidad de garantizar un desarrollo armónico e integral.</w:t>
      </w:r>
    </w:p>
    <w:p w:rsidR="003B1584" w:rsidRPr="00C466CA" w:rsidRDefault="003B1584" w:rsidP="005867CC">
      <w:pPr>
        <w:jc w:val="both"/>
        <w:rPr>
          <w:rFonts w:ascii="Segoe UI" w:hAnsi="Segoe UI" w:cs="Segoe UI"/>
          <w:sz w:val="24"/>
          <w:szCs w:val="24"/>
        </w:rPr>
      </w:pPr>
      <w:r w:rsidRPr="00C466CA">
        <w:rPr>
          <w:rFonts w:ascii="Segoe UI" w:hAnsi="Segoe UI" w:cs="Segoe UI"/>
          <w:sz w:val="24"/>
          <w:szCs w:val="24"/>
        </w:rPr>
        <w:t>Sobre esto, la Corte Constitucional</w:t>
      </w:r>
      <w:r w:rsidR="00E629F5" w:rsidRPr="00C466CA">
        <w:rPr>
          <w:rStyle w:val="Refdenotaalpie"/>
          <w:rFonts w:ascii="Segoe UI" w:hAnsi="Segoe UI" w:cs="Segoe UI"/>
          <w:sz w:val="24"/>
          <w:szCs w:val="24"/>
        </w:rPr>
        <w:footnoteReference w:id="13"/>
      </w:r>
      <w:r w:rsidRPr="00C466CA">
        <w:rPr>
          <w:rFonts w:ascii="Segoe UI" w:hAnsi="Segoe UI" w:cs="Segoe UI"/>
          <w:sz w:val="24"/>
          <w:szCs w:val="24"/>
        </w:rPr>
        <w:t xml:space="preserve"> ha dicho:</w:t>
      </w:r>
    </w:p>
    <w:p w:rsidR="003B1584" w:rsidRPr="00C466CA" w:rsidRDefault="003B1584" w:rsidP="003B1584">
      <w:pPr>
        <w:ind w:left="708"/>
        <w:jc w:val="both"/>
        <w:rPr>
          <w:rFonts w:ascii="Segoe UI" w:hAnsi="Segoe UI" w:cs="Segoe UI"/>
          <w:sz w:val="24"/>
          <w:szCs w:val="24"/>
        </w:rPr>
      </w:pPr>
      <w:r w:rsidRPr="00C466CA">
        <w:rPr>
          <w:rFonts w:ascii="Segoe UI" w:hAnsi="Segoe UI" w:cs="Segoe UI"/>
          <w:i/>
          <w:iCs/>
          <w:sz w:val="24"/>
          <w:szCs w:val="24"/>
        </w:rPr>
        <w:t>“El artículo 44 de la Constitución Política es inequívoco al establecer que los derechos de los niños prevalecen sobre los derechos de los demás, como consecuencia del especial grado de protección que aquellos requieren, dadas sus condiciones de vulnerabilidad e indefensión, y la especial atención con que se debe salvaguardar su proceso de desarrollo y formación. Una de las principales manifestaciones de este precepto constitucional, que se enmarca en el contexto del Estado Social de Derecho y del deber general de solidaridad, es el principio de preservación del interés superior del menor, que ha sido desarrollado por la jurisprudencia constitucional y consagrada en los artículos 20 y 22 del Código del Menor. Dicho principio refleja una norma amplia</w:t>
      </w:r>
      <w:r w:rsidRPr="00C466CA">
        <w:rPr>
          <w:rFonts w:ascii="Segoe UI" w:hAnsi="Segoe UI" w:cs="Segoe UI"/>
          <w:i/>
          <w:iCs/>
          <w:sz w:val="24"/>
          <w:szCs w:val="24"/>
        </w:rPr>
        <w:softHyphen/>
        <w:t>mente aceptada por el derecho internacional, consistente en que al menor se le debe otorgar un trato preferente, acorde con su caracterización jurídica en tanto sujeto de especial protección, de forma tal que se garantice su desarrollo integral y armónico como miembro de la sociedad.</w:t>
      </w:r>
    </w:p>
    <w:p w:rsidR="003B1584" w:rsidRPr="00C466CA" w:rsidRDefault="003B1584" w:rsidP="003B1584">
      <w:pPr>
        <w:ind w:left="708"/>
        <w:jc w:val="both"/>
        <w:rPr>
          <w:rFonts w:ascii="Segoe UI" w:hAnsi="Segoe UI" w:cs="Segoe UI"/>
          <w:sz w:val="24"/>
          <w:szCs w:val="24"/>
        </w:rPr>
      </w:pPr>
      <w:r w:rsidRPr="00C466CA">
        <w:rPr>
          <w:rFonts w:ascii="Segoe UI" w:hAnsi="Segoe UI" w:cs="Segoe UI"/>
          <w:i/>
          <w:iCs/>
          <w:sz w:val="24"/>
          <w:szCs w:val="24"/>
        </w:rPr>
        <w:lastRenderedPageBreak/>
        <w:t>¿Qué significa que los niños sean titulares de derechos prevalecientes e intereses superiores? La respuesta únicamente se puede dar desde las circunstancias de cada caso y de cada niño en particular (…)</w:t>
      </w:r>
    </w:p>
    <w:p w:rsidR="003B1584" w:rsidRPr="00C466CA" w:rsidRDefault="003B1584" w:rsidP="003B1584">
      <w:pPr>
        <w:ind w:left="708"/>
        <w:jc w:val="both"/>
        <w:rPr>
          <w:rFonts w:ascii="Segoe UI" w:hAnsi="Segoe UI" w:cs="Segoe UI"/>
          <w:sz w:val="24"/>
          <w:szCs w:val="24"/>
        </w:rPr>
      </w:pPr>
      <w:r w:rsidRPr="00C466CA">
        <w:rPr>
          <w:rFonts w:ascii="Segoe UI" w:hAnsi="Segoe UI" w:cs="Segoe UI"/>
          <w:i/>
          <w:iCs/>
          <w:sz w:val="24"/>
          <w:szCs w:val="24"/>
        </w:rPr>
        <w:t>Esta regla no excluye, sin embargo, la existencia de parámetros generales que pueden tomarse en cuenta como criterios orientadores del análisis de casos individuales. En efecto, existen ciertos lineamientos establecidos por el ordenamiento jurídico para promover el bienestar de los niños, tanto a nivel general (en la Constitución, la ley y los tratados e instrumentos internacionales que regulan la situación de los menores de edad) como derivados de la resolución de casos particulares (es decir, de la jurisprudencia nacional e internacional aplicable), que sirven para guiar el estudio del interés superior de menores, en atención a las circunstancias de cada caso”</w:t>
      </w:r>
      <w:r w:rsidRPr="00C466CA">
        <w:rPr>
          <w:rFonts w:ascii="Segoe UI" w:hAnsi="Segoe UI" w:cs="Segoe UI"/>
          <w:sz w:val="24"/>
          <w:szCs w:val="24"/>
        </w:rPr>
        <w:t>.</w:t>
      </w:r>
    </w:p>
    <w:p w:rsidR="003B1584" w:rsidRPr="00C466CA" w:rsidRDefault="003B1584" w:rsidP="005867CC">
      <w:pPr>
        <w:jc w:val="both"/>
        <w:rPr>
          <w:rFonts w:ascii="Segoe UI" w:hAnsi="Segoe UI" w:cs="Segoe UI"/>
          <w:sz w:val="24"/>
          <w:szCs w:val="24"/>
        </w:rPr>
      </w:pPr>
      <w:r w:rsidRPr="00C466CA">
        <w:rPr>
          <w:rFonts w:ascii="Segoe UI" w:hAnsi="Segoe UI" w:cs="Segoe UI"/>
          <w:sz w:val="24"/>
          <w:szCs w:val="24"/>
        </w:rPr>
        <w:t>En este marco dado por los instrumentos internacionales y la Constitución, el Código de la infancia y la adolescencia señala:</w:t>
      </w:r>
    </w:p>
    <w:p w:rsidR="003B1584" w:rsidRPr="00C466CA" w:rsidRDefault="003B1584" w:rsidP="00E629F5">
      <w:pPr>
        <w:ind w:left="708"/>
        <w:jc w:val="both"/>
        <w:rPr>
          <w:rFonts w:ascii="Segoe UI" w:hAnsi="Segoe UI" w:cs="Segoe UI"/>
          <w:i/>
          <w:sz w:val="24"/>
          <w:szCs w:val="24"/>
        </w:rPr>
      </w:pPr>
      <w:bookmarkStart w:id="0" w:name="8"/>
      <w:r w:rsidRPr="00C466CA">
        <w:rPr>
          <w:rFonts w:ascii="Segoe UI" w:hAnsi="Segoe UI" w:cs="Segoe UI"/>
          <w:b/>
          <w:bCs/>
          <w:i/>
          <w:sz w:val="24"/>
          <w:szCs w:val="24"/>
        </w:rPr>
        <w:t>“ARTÍCULO 8o. INTERÉS SUPERIOR DE LOS NIÑOS, LAS NIÑAS Y LOS ADOLESCENTES.</w:t>
      </w:r>
      <w:bookmarkEnd w:id="0"/>
      <w:r w:rsidRPr="00C466CA">
        <w:rPr>
          <w:rFonts w:ascii="Segoe UI" w:hAnsi="Segoe UI" w:cs="Segoe UI"/>
          <w:i/>
          <w:sz w:val="24"/>
          <w:szCs w:val="24"/>
        </w:rPr>
        <w:t> Se entiende por interés superior del niño, niña y adolescente, el imperativo que obliga a todas las personas a garantizar la satisfacción integral y simultánea de todos sus Derechos Humanos, que son universales, prevalentes e interdependientes.</w:t>
      </w:r>
      <w:hyperlink r:id="rId8" w:anchor="top" w:tooltip="Ir al inicio" w:history="1"/>
    </w:p>
    <w:p w:rsidR="003B1584" w:rsidRPr="00C466CA" w:rsidRDefault="003B1584" w:rsidP="003B1584">
      <w:pPr>
        <w:ind w:left="708"/>
        <w:jc w:val="both"/>
        <w:rPr>
          <w:rFonts w:ascii="Segoe UI" w:hAnsi="Segoe UI" w:cs="Segoe UI"/>
          <w:i/>
          <w:sz w:val="24"/>
          <w:szCs w:val="24"/>
        </w:rPr>
      </w:pPr>
      <w:bookmarkStart w:id="1" w:name="9"/>
      <w:r w:rsidRPr="00C466CA">
        <w:rPr>
          <w:rFonts w:ascii="Segoe UI" w:hAnsi="Segoe UI" w:cs="Segoe UI"/>
          <w:b/>
          <w:bCs/>
          <w:i/>
          <w:sz w:val="24"/>
          <w:szCs w:val="24"/>
        </w:rPr>
        <w:t>ARTÍCULO 9o. PREVALENCIA DE LOS DERECHOS.</w:t>
      </w:r>
      <w:bookmarkEnd w:id="1"/>
      <w:r w:rsidRPr="00C466CA">
        <w:rPr>
          <w:rFonts w:ascii="Segoe UI" w:hAnsi="Segoe UI" w:cs="Segoe UI"/>
          <w:i/>
          <w:sz w:val="24"/>
          <w:szCs w:val="24"/>
        </w:rPr>
        <w:t>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rsidR="003B1584" w:rsidRPr="00C466CA" w:rsidRDefault="003B1584" w:rsidP="003B1584">
      <w:pPr>
        <w:ind w:left="708"/>
        <w:jc w:val="both"/>
        <w:rPr>
          <w:rFonts w:ascii="Segoe UI" w:hAnsi="Segoe UI" w:cs="Segoe UI"/>
          <w:i/>
          <w:sz w:val="24"/>
          <w:szCs w:val="24"/>
        </w:rPr>
      </w:pPr>
      <w:r w:rsidRPr="00C466CA">
        <w:rPr>
          <w:rFonts w:ascii="Segoe UI" w:hAnsi="Segoe UI" w:cs="Segoe UI"/>
          <w:i/>
          <w:sz w:val="24"/>
          <w:szCs w:val="24"/>
        </w:rPr>
        <w:t>En caso de conflicto entre dos o más disposiciones legales, administrativas o disciplinarias, se aplicará la norma más favorable al interés superior del niño, niña o adolescente”.</w:t>
      </w:r>
    </w:p>
    <w:p w:rsidR="003B1584" w:rsidRPr="00C466CA" w:rsidRDefault="003B1584" w:rsidP="005867CC">
      <w:pPr>
        <w:jc w:val="both"/>
        <w:rPr>
          <w:rFonts w:ascii="Segoe UI" w:hAnsi="Segoe UI" w:cs="Segoe UI"/>
          <w:sz w:val="24"/>
          <w:szCs w:val="24"/>
        </w:rPr>
      </w:pPr>
      <w:r w:rsidRPr="00C466CA">
        <w:rPr>
          <w:rFonts w:ascii="Segoe UI" w:hAnsi="Segoe UI" w:cs="Segoe UI"/>
          <w:sz w:val="24"/>
          <w:szCs w:val="24"/>
        </w:rPr>
        <w:t>Queda claro enton</w:t>
      </w:r>
      <w:r w:rsidR="00E629F5" w:rsidRPr="00C466CA">
        <w:rPr>
          <w:rFonts w:ascii="Segoe UI" w:hAnsi="Segoe UI" w:cs="Segoe UI"/>
          <w:sz w:val="24"/>
          <w:szCs w:val="24"/>
        </w:rPr>
        <w:t>ces, que el Estado colombiano</w:t>
      </w:r>
      <w:r w:rsidRPr="00C466CA">
        <w:rPr>
          <w:rFonts w:ascii="Segoe UI" w:hAnsi="Segoe UI" w:cs="Segoe UI"/>
          <w:sz w:val="24"/>
          <w:szCs w:val="24"/>
        </w:rPr>
        <w:t xml:space="preserve"> tiene la obligación de garantizar la protección a los derechos de los niños, niñas</w:t>
      </w:r>
      <w:r w:rsidR="00E629F5" w:rsidRPr="00C466CA">
        <w:rPr>
          <w:rFonts w:ascii="Segoe UI" w:hAnsi="Segoe UI" w:cs="Segoe UI"/>
          <w:sz w:val="24"/>
          <w:szCs w:val="24"/>
        </w:rPr>
        <w:t xml:space="preserve"> y adolescentes y</w:t>
      </w:r>
      <w:r w:rsidRPr="00C466CA">
        <w:rPr>
          <w:rFonts w:ascii="Segoe UI" w:hAnsi="Segoe UI" w:cs="Segoe UI"/>
          <w:sz w:val="24"/>
          <w:szCs w:val="24"/>
        </w:rPr>
        <w:t xml:space="preserve"> que el legislador no se encuentra limitado constitucionalmente a la hora de declarar una infracción penal </w:t>
      </w:r>
      <w:r w:rsidRPr="00C466CA">
        <w:rPr>
          <w:rFonts w:ascii="Segoe UI" w:hAnsi="Segoe UI" w:cs="Segoe UI"/>
          <w:sz w:val="24"/>
          <w:szCs w:val="24"/>
        </w:rPr>
        <w:lastRenderedPageBreak/>
        <w:t>como imprescriptible debido a que no se trata de una garantía expresa en el ordenamiento, de hecho la Ley 599 de 2000 por la cual se expide el Código Penal determina en su artículo 83 que la acción penal será imprescriptible en los casos de genocidio, crímenes de guerra y de lesa humanidad.</w:t>
      </w:r>
    </w:p>
    <w:p w:rsidR="00BB680D" w:rsidRPr="00C466CA" w:rsidRDefault="00E629F5" w:rsidP="00BB680D">
      <w:pPr>
        <w:jc w:val="both"/>
        <w:rPr>
          <w:rFonts w:ascii="Segoe UI" w:hAnsi="Segoe UI" w:cs="Segoe UI"/>
          <w:sz w:val="24"/>
          <w:szCs w:val="24"/>
        </w:rPr>
      </w:pPr>
      <w:r w:rsidRPr="00C466CA">
        <w:rPr>
          <w:rFonts w:ascii="Segoe UI" w:hAnsi="Segoe UI" w:cs="Segoe UI"/>
          <w:sz w:val="24"/>
          <w:szCs w:val="24"/>
        </w:rPr>
        <w:t xml:space="preserve">Por lo que, de acuerdo </w:t>
      </w:r>
      <w:r w:rsidR="00724AC0">
        <w:rPr>
          <w:rFonts w:ascii="Segoe UI" w:hAnsi="Segoe UI" w:cs="Segoe UI"/>
          <w:sz w:val="24"/>
          <w:szCs w:val="24"/>
        </w:rPr>
        <w:t>con</w:t>
      </w:r>
      <w:r w:rsidRPr="00C466CA">
        <w:rPr>
          <w:rFonts w:ascii="Segoe UI" w:hAnsi="Segoe UI" w:cs="Segoe UI"/>
          <w:sz w:val="24"/>
          <w:szCs w:val="24"/>
        </w:rPr>
        <w:t xml:space="preserve"> lo dispuesto por el artículo 44 de nuestra Carta Política y lo consagrado en los instrumentos internacionales sobre los Derechos del Niño, el legislador colombiano se encuentra habilitado para que dándole un tratamiento diferente al tema que nos ocupa y en el ejercicio del principio de configuración legislativa, consagre que la acción penal no prescribirá en caso de delitos contra la libertad, integridad y formación sexuales, o el delito consagrado en el artículo 237 del Código Penal.</w:t>
      </w:r>
    </w:p>
    <w:p w:rsidR="00E629F5" w:rsidRPr="00C466CA" w:rsidRDefault="00E629F5" w:rsidP="00BB680D">
      <w:pPr>
        <w:jc w:val="both"/>
        <w:rPr>
          <w:rFonts w:ascii="Segoe UI" w:hAnsi="Segoe UI" w:cs="Segoe UI"/>
          <w:sz w:val="24"/>
          <w:szCs w:val="24"/>
        </w:rPr>
      </w:pPr>
    </w:p>
    <w:p w:rsidR="00BB680D" w:rsidRPr="00C466CA" w:rsidRDefault="00BB680D" w:rsidP="00BB680D">
      <w:pPr>
        <w:jc w:val="both"/>
        <w:rPr>
          <w:rFonts w:ascii="Segoe UI" w:hAnsi="Segoe UI" w:cs="Segoe UI"/>
          <w:sz w:val="24"/>
          <w:szCs w:val="24"/>
        </w:rPr>
      </w:pPr>
      <w:r w:rsidRPr="00C466CA">
        <w:rPr>
          <w:rFonts w:ascii="Segoe UI" w:hAnsi="Segoe UI" w:cs="Segoe UI"/>
          <w:sz w:val="24"/>
          <w:szCs w:val="24"/>
        </w:rPr>
        <w:t>Cordialmente,</w:t>
      </w:r>
    </w:p>
    <w:p w:rsidR="00BB680D" w:rsidRPr="00C466CA" w:rsidRDefault="00BB680D" w:rsidP="00BB680D">
      <w:pPr>
        <w:jc w:val="both"/>
        <w:rPr>
          <w:rFonts w:ascii="Segoe UI" w:hAnsi="Segoe UI" w:cs="Segoe UI"/>
          <w:sz w:val="24"/>
          <w:szCs w:val="24"/>
        </w:rPr>
      </w:pPr>
    </w:p>
    <w:p w:rsidR="00BB680D" w:rsidRPr="00C466CA" w:rsidRDefault="00BB680D" w:rsidP="00BB680D">
      <w:pPr>
        <w:spacing w:after="0"/>
        <w:jc w:val="both"/>
        <w:rPr>
          <w:rFonts w:ascii="Segoe UI" w:hAnsi="Segoe UI" w:cs="Segoe UI"/>
          <w:b/>
          <w:sz w:val="24"/>
          <w:szCs w:val="24"/>
        </w:rPr>
      </w:pPr>
    </w:p>
    <w:p w:rsidR="00BB680D" w:rsidRPr="00C466CA" w:rsidRDefault="00BB680D" w:rsidP="00BB680D">
      <w:pPr>
        <w:spacing w:after="0"/>
        <w:jc w:val="both"/>
        <w:rPr>
          <w:rFonts w:ascii="Segoe UI" w:hAnsi="Segoe UI" w:cs="Segoe UI"/>
          <w:b/>
          <w:sz w:val="24"/>
          <w:szCs w:val="24"/>
        </w:rPr>
      </w:pPr>
      <w:r w:rsidRPr="00C466CA">
        <w:rPr>
          <w:rFonts w:ascii="Segoe UI" w:hAnsi="Segoe UI" w:cs="Segoe UI"/>
          <w:b/>
          <w:sz w:val="24"/>
          <w:szCs w:val="24"/>
        </w:rPr>
        <w:t>KATHERINE MIRANDA PEÑA</w:t>
      </w:r>
    </w:p>
    <w:p w:rsidR="00BB680D" w:rsidRPr="00C466CA" w:rsidRDefault="00BB680D" w:rsidP="00BB680D">
      <w:pPr>
        <w:spacing w:after="0"/>
        <w:jc w:val="both"/>
        <w:rPr>
          <w:rFonts w:ascii="Segoe UI" w:hAnsi="Segoe UI" w:cs="Segoe UI"/>
          <w:sz w:val="24"/>
          <w:szCs w:val="24"/>
        </w:rPr>
      </w:pPr>
      <w:r w:rsidRPr="00C466CA">
        <w:rPr>
          <w:rFonts w:ascii="Segoe UI" w:hAnsi="Segoe UI" w:cs="Segoe UI"/>
          <w:sz w:val="24"/>
          <w:szCs w:val="24"/>
        </w:rPr>
        <w:t>Representante a la Cámara por Bogotá</w:t>
      </w:r>
    </w:p>
    <w:p w:rsidR="00BB680D" w:rsidRPr="00C466CA" w:rsidRDefault="00BB680D" w:rsidP="00BB680D">
      <w:pPr>
        <w:spacing w:after="0"/>
        <w:jc w:val="both"/>
        <w:rPr>
          <w:rFonts w:ascii="Segoe UI" w:hAnsi="Segoe UI" w:cs="Segoe UI"/>
          <w:sz w:val="24"/>
          <w:szCs w:val="24"/>
        </w:rPr>
      </w:pPr>
      <w:r w:rsidRPr="00C466CA">
        <w:rPr>
          <w:rFonts w:ascii="Segoe UI" w:hAnsi="Segoe UI" w:cs="Segoe UI"/>
          <w:sz w:val="24"/>
          <w:szCs w:val="24"/>
        </w:rPr>
        <w:t>Partido Alianza Verde</w:t>
      </w:r>
    </w:p>
    <w:p w:rsidR="00BB680D" w:rsidRDefault="00BB680D" w:rsidP="004B24F0">
      <w:pPr>
        <w:jc w:val="both"/>
        <w:rPr>
          <w:rFonts w:ascii="Segoe UI" w:hAnsi="Segoe UI" w:cs="Segoe UI"/>
          <w:sz w:val="24"/>
          <w:szCs w:val="24"/>
        </w:rPr>
      </w:pPr>
    </w:p>
    <w:p w:rsidR="00470F70" w:rsidRDefault="00470F70" w:rsidP="004B24F0">
      <w:pPr>
        <w:jc w:val="both"/>
        <w:rPr>
          <w:rFonts w:ascii="Segoe UI" w:hAnsi="Segoe UI" w:cs="Segoe UI"/>
          <w:sz w:val="24"/>
          <w:szCs w:val="24"/>
        </w:rPr>
      </w:pPr>
    </w:p>
    <w:p w:rsidR="00470F70" w:rsidRDefault="00470F70" w:rsidP="004B24F0">
      <w:pPr>
        <w:jc w:val="both"/>
        <w:rPr>
          <w:rFonts w:ascii="Segoe UI" w:hAnsi="Segoe UI" w:cs="Segoe UI"/>
          <w:sz w:val="24"/>
          <w:szCs w:val="24"/>
        </w:rPr>
      </w:pPr>
    </w:p>
    <w:p w:rsidR="00470F70" w:rsidRDefault="00470F70" w:rsidP="004B24F0">
      <w:pPr>
        <w:jc w:val="both"/>
        <w:rPr>
          <w:rFonts w:ascii="Segoe UI" w:hAnsi="Segoe UI" w:cs="Segoe UI"/>
          <w:sz w:val="24"/>
          <w:szCs w:val="24"/>
        </w:rPr>
      </w:pPr>
    </w:p>
    <w:p w:rsidR="00470F70" w:rsidRDefault="00470F70" w:rsidP="004B24F0">
      <w:pPr>
        <w:jc w:val="both"/>
        <w:rPr>
          <w:rFonts w:ascii="Segoe UI" w:hAnsi="Segoe UI" w:cs="Segoe UI"/>
          <w:sz w:val="24"/>
          <w:szCs w:val="24"/>
        </w:rPr>
      </w:pPr>
    </w:p>
    <w:p w:rsidR="00470F70" w:rsidRDefault="00470F70" w:rsidP="004B24F0">
      <w:pPr>
        <w:jc w:val="both"/>
        <w:rPr>
          <w:rFonts w:ascii="Segoe UI" w:hAnsi="Segoe UI" w:cs="Segoe UI"/>
          <w:sz w:val="24"/>
          <w:szCs w:val="24"/>
        </w:rPr>
      </w:pPr>
    </w:p>
    <w:p w:rsidR="00470F70" w:rsidRDefault="00470F70" w:rsidP="004B24F0">
      <w:pPr>
        <w:jc w:val="both"/>
        <w:rPr>
          <w:rFonts w:ascii="Segoe UI" w:hAnsi="Segoe UI" w:cs="Segoe UI"/>
          <w:sz w:val="24"/>
          <w:szCs w:val="24"/>
        </w:rPr>
      </w:pPr>
    </w:p>
    <w:p w:rsidR="00470F70" w:rsidRDefault="00470F70" w:rsidP="004B24F0">
      <w:pPr>
        <w:jc w:val="both"/>
        <w:rPr>
          <w:rFonts w:ascii="Segoe UI" w:hAnsi="Segoe UI" w:cs="Segoe UI"/>
          <w:sz w:val="24"/>
          <w:szCs w:val="24"/>
        </w:rPr>
      </w:pPr>
    </w:p>
    <w:p w:rsidR="00470F70" w:rsidRDefault="00470F70" w:rsidP="004B24F0">
      <w:pPr>
        <w:jc w:val="both"/>
        <w:rPr>
          <w:rFonts w:ascii="Segoe UI" w:hAnsi="Segoe UI" w:cs="Segoe UI"/>
          <w:sz w:val="24"/>
          <w:szCs w:val="24"/>
        </w:rPr>
      </w:pPr>
    </w:p>
    <w:p w:rsidR="00470F70" w:rsidRDefault="00470F70" w:rsidP="00470F70">
      <w:pPr>
        <w:jc w:val="center"/>
        <w:rPr>
          <w:rFonts w:ascii="Segoe UI" w:hAnsi="Segoe UI" w:cs="Segoe UI"/>
          <w:b/>
          <w:sz w:val="24"/>
          <w:szCs w:val="24"/>
        </w:rPr>
      </w:pPr>
      <w:r>
        <w:rPr>
          <w:rFonts w:ascii="Segoe UI" w:hAnsi="Segoe UI" w:cs="Segoe UI"/>
          <w:b/>
          <w:sz w:val="24"/>
          <w:szCs w:val="24"/>
        </w:rPr>
        <w:lastRenderedPageBreak/>
        <w:t>PROYECYO DE LEY NÚMERO _________ CÁMARA DE 2019</w:t>
      </w:r>
    </w:p>
    <w:p w:rsidR="00470F70" w:rsidRDefault="00470F70" w:rsidP="00470F70">
      <w:pPr>
        <w:jc w:val="center"/>
        <w:rPr>
          <w:rFonts w:ascii="Segoe UI" w:hAnsi="Segoe UI" w:cs="Segoe UI"/>
          <w:b/>
          <w:sz w:val="24"/>
          <w:szCs w:val="24"/>
        </w:rPr>
      </w:pPr>
    </w:p>
    <w:p w:rsidR="00470F70" w:rsidRPr="00430F1A" w:rsidRDefault="00470F70" w:rsidP="00430F1A">
      <w:pPr>
        <w:jc w:val="center"/>
        <w:rPr>
          <w:rStyle w:val="Ninguno"/>
          <w:rFonts w:ascii="Segoe UI" w:hAnsi="Segoe UI" w:cs="Segoe UI"/>
          <w:i/>
          <w:sz w:val="24"/>
          <w:szCs w:val="24"/>
        </w:rPr>
      </w:pPr>
      <w:r w:rsidRPr="004B24F0">
        <w:rPr>
          <w:rFonts w:ascii="Segoe UI" w:hAnsi="Segoe UI" w:cs="Segoe UI"/>
          <w:i/>
          <w:sz w:val="24"/>
          <w:szCs w:val="24"/>
        </w:rPr>
        <w:t xml:space="preserve">“Por </w:t>
      </w:r>
      <w:r>
        <w:rPr>
          <w:rFonts w:ascii="Segoe UI" w:hAnsi="Segoe UI" w:cs="Segoe UI"/>
          <w:i/>
          <w:sz w:val="24"/>
          <w:szCs w:val="24"/>
        </w:rPr>
        <w:t>la cual se declara imprescriptible la acción penal en caso de delitos contra la libertad, integridad y formación sexuales, o el delito consagrado en el artículo 237 de la Ley 599 de 2000 (No más silencio) y se dictan otras disposiciones</w:t>
      </w:r>
      <w:r w:rsidRPr="004B24F0">
        <w:rPr>
          <w:rFonts w:ascii="Segoe UI" w:hAnsi="Segoe UI" w:cs="Segoe UI"/>
          <w:i/>
          <w:sz w:val="24"/>
          <w:szCs w:val="24"/>
        </w:rPr>
        <w:t>”</w:t>
      </w:r>
      <w:r>
        <w:rPr>
          <w:rFonts w:ascii="Segoe UI" w:hAnsi="Segoe UI" w:cs="Segoe UI"/>
          <w:i/>
          <w:sz w:val="24"/>
          <w:szCs w:val="24"/>
        </w:rPr>
        <w:t xml:space="preserve"> </w:t>
      </w:r>
      <w:bookmarkStart w:id="2" w:name="_GoBack"/>
      <w:bookmarkEnd w:id="2"/>
    </w:p>
    <w:tbl>
      <w:tblPr>
        <w:tblStyle w:val="Tablaconcuadrcula"/>
        <w:tblpPr w:leftFromText="141" w:rightFromText="141" w:vertAnchor="text" w:horzAnchor="margin"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4160"/>
      </w:tblGrid>
      <w:tr w:rsidR="00470F70" w:rsidTr="00564407">
        <w:tc>
          <w:tcPr>
            <w:tcW w:w="3969" w:type="dxa"/>
            <w:tcBorders>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bottom w:val="single" w:sz="4" w:space="0" w:color="auto"/>
            </w:tcBorders>
          </w:tcPr>
          <w:p w:rsidR="00470F70" w:rsidRDefault="00470F70" w:rsidP="00564407">
            <w:pPr>
              <w:jc w:val="both"/>
              <w:rPr>
                <w:rStyle w:val="Ninguno"/>
                <w:rFonts w:ascii="Segoe UI" w:hAnsi="Segoe UI" w:cs="Segoe UI"/>
                <w:sz w:val="24"/>
                <w:szCs w:val="24"/>
              </w:rPr>
            </w:pPr>
          </w:p>
        </w:tc>
      </w:tr>
      <w:tr w:rsidR="00470F70" w:rsidTr="00564407">
        <w:tc>
          <w:tcPr>
            <w:tcW w:w="3969"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tc>
      </w:tr>
      <w:tr w:rsidR="00470F70" w:rsidTr="00564407">
        <w:tc>
          <w:tcPr>
            <w:tcW w:w="3969"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tc>
      </w:tr>
      <w:tr w:rsidR="00470F70" w:rsidTr="00564407">
        <w:tc>
          <w:tcPr>
            <w:tcW w:w="3969"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tc>
      </w:tr>
      <w:tr w:rsidR="00470F70" w:rsidTr="00564407">
        <w:tc>
          <w:tcPr>
            <w:tcW w:w="3969"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tc>
      </w:tr>
      <w:tr w:rsidR="00470F70" w:rsidTr="00564407">
        <w:tc>
          <w:tcPr>
            <w:tcW w:w="3969"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tc>
      </w:tr>
      <w:tr w:rsidR="00470F70" w:rsidTr="00564407">
        <w:tc>
          <w:tcPr>
            <w:tcW w:w="3969"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tc>
      </w:tr>
      <w:tr w:rsidR="00470F70" w:rsidTr="00564407">
        <w:tc>
          <w:tcPr>
            <w:tcW w:w="3969"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tc>
      </w:tr>
      <w:tr w:rsidR="00470F70" w:rsidTr="00564407">
        <w:tc>
          <w:tcPr>
            <w:tcW w:w="3969"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p w:rsidR="00470F70" w:rsidRDefault="00470F70" w:rsidP="00564407">
            <w:pPr>
              <w:jc w:val="both"/>
              <w:rPr>
                <w:rStyle w:val="Ninguno"/>
                <w:rFonts w:ascii="Segoe UI" w:hAnsi="Segoe UI" w:cs="Segoe UI"/>
                <w:sz w:val="24"/>
                <w:szCs w:val="24"/>
              </w:rPr>
            </w:pPr>
          </w:p>
        </w:tc>
        <w:tc>
          <w:tcPr>
            <w:tcW w:w="709" w:type="dxa"/>
          </w:tcPr>
          <w:p w:rsidR="00470F70" w:rsidRDefault="00470F70" w:rsidP="00564407">
            <w:pPr>
              <w:jc w:val="both"/>
              <w:rPr>
                <w:rStyle w:val="Ninguno"/>
                <w:rFonts w:ascii="Segoe UI" w:hAnsi="Segoe UI" w:cs="Segoe UI"/>
                <w:sz w:val="24"/>
                <w:szCs w:val="24"/>
              </w:rPr>
            </w:pPr>
          </w:p>
        </w:tc>
        <w:tc>
          <w:tcPr>
            <w:tcW w:w="4160" w:type="dxa"/>
            <w:tcBorders>
              <w:top w:val="single" w:sz="4" w:space="0" w:color="auto"/>
              <w:bottom w:val="single" w:sz="4" w:space="0" w:color="auto"/>
            </w:tcBorders>
          </w:tcPr>
          <w:p w:rsidR="00470F70" w:rsidRDefault="00470F70" w:rsidP="00564407">
            <w:pPr>
              <w:jc w:val="both"/>
              <w:rPr>
                <w:rStyle w:val="Ninguno"/>
                <w:rFonts w:ascii="Segoe UI" w:hAnsi="Segoe UI" w:cs="Segoe UI"/>
                <w:sz w:val="24"/>
                <w:szCs w:val="24"/>
              </w:rPr>
            </w:pPr>
          </w:p>
        </w:tc>
      </w:tr>
    </w:tbl>
    <w:p w:rsidR="00430F1A" w:rsidRPr="00C466CA" w:rsidRDefault="00430F1A" w:rsidP="004B24F0">
      <w:pPr>
        <w:jc w:val="both"/>
        <w:rPr>
          <w:rFonts w:ascii="Segoe UI" w:hAnsi="Segoe UI" w:cs="Segoe UI"/>
          <w:sz w:val="24"/>
          <w:szCs w:val="24"/>
        </w:rPr>
      </w:pPr>
    </w:p>
    <w:sectPr w:rsidR="00430F1A" w:rsidRPr="00C466C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56" w:rsidRDefault="00E31A56" w:rsidP="00BB680D">
      <w:pPr>
        <w:spacing w:after="0" w:line="240" w:lineRule="auto"/>
      </w:pPr>
      <w:r>
        <w:separator/>
      </w:r>
    </w:p>
  </w:endnote>
  <w:endnote w:type="continuationSeparator" w:id="0">
    <w:p w:rsidR="00E31A56" w:rsidRDefault="00E31A56" w:rsidP="00BB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361313"/>
      <w:docPartObj>
        <w:docPartGallery w:val="Page Numbers (Bottom of Page)"/>
        <w:docPartUnique/>
      </w:docPartObj>
    </w:sdtPr>
    <w:sdtContent>
      <w:p w:rsidR="00430F1A" w:rsidRDefault="00430F1A">
        <w:pPr>
          <w:pStyle w:val="Piedepgina"/>
          <w:jc w:val="right"/>
        </w:pPr>
        <w:r>
          <w:fldChar w:fldCharType="begin"/>
        </w:r>
        <w:r>
          <w:instrText>PAGE   \* MERGEFORMAT</w:instrText>
        </w:r>
        <w:r>
          <w:fldChar w:fldCharType="separate"/>
        </w:r>
        <w:r w:rsidRPr="00430F1A">
          <w:rPr>
            <w:noProof/>
            <w:lang w:val="es-ES"/>
          </w:rPr>
          <w:t>15</w:t>
        </w:r>
        <w:r>
          <w:fldChar w:fldCharType="end"/>
        </w:r>
      </w:p>
    </w:sdtContent>
  </w:sdt>
  <w:p w:rsidR="00430F1A" w:rsidRDefault="00430F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56" w:rsidRDefault="00E31A56" w:rsidP="00BB680D">
      <w:pPr>
        <w:spacing w:after="0" w:line="240" w:lineRule="auto"/>
      </w:pPr>
      <w:r>
        <w:separator/>
      </w:r>
    </w:p>
  </w:footnote>
  <w:footnote w:type="continuationSeparator" w:id="0">
    <w:p w:rsidR="00E31A56" w:rsidRDefault="00E31A56" w:rsidP="00BB680D">
      <w:pPr>
        <w:spacing w:after="0" w:line="240" w:lineRule="auto"/>
      </w:pPr>
      <w:r>
        <w:continuationSeparator/>
      </w:r>
    </w:p>
  </w:footnote>
  <w:footnote w:id="1">
    <w:p w:rsidR="00F732E2" w:rsidRPr="00C466CA" w:rsidRDefault="00F732E2" w:rsidP="00C466CA">
      <w:pPr>
        <w:pStyle w:val="Textonotapie"/>
        <w:jc w:val="both"/>
        <w:rPr>
          <w:rFonts w:ascii="Segoe UI" w:hAnsi="Segoe UI" w:cs="Segoe UI"/>
        </w:rPr>
      </w:pPr>
      <w:r w:rsidRPr="00C466CA">
        <w:rPr>
          <w:rStyle w:val="Refdenotaalpie"/>
          <w:rFonts w:ascii="Segoe UI" w:hAnsi="Segoe UI" w:cs="Segoe UI"/>
        </w:rPr>
        <w:footnoteRef/>
      </w:r>
      <w:r w:rsidRPr="00C466CA">
        <w:rPr>
          <w:rFonts w:ascii="Segoe UI" w:hAnsi="Segoe UI" w:cs="Segoe UI"/>
        </w:rPr>
        <w:t xml:space="preserve"> Disponible en: </w:t>
      </w:r>
      <w:hyperlink r:id="rId1" w:history="1">
        <w:r w:rsidRPr="00C466CA">
          <w:rPr>
            <w:rStyle w:val="Hipervnculo"/>
            <w:rFonts w:ascii="Segoe UI" w:hAnsi="Segoe UI" w:cs="Segoe UI"/>
          </w:rPr>
          <w:t>https://www.who.int/violence_injury_prevention/violence/global_campaign/en/chap6.pdf</w:t>
        </w:r>
      </w:hyperlink>
    </w:p>
  </w:footnote>
  <w:footnote w:id="2">
    <w:p w:rsidR="00F732E2" w:rsidRPr="00C466CA" w:rsidRDefault="00F732E2" w:rsidP="00C466CA">
      <w:pPr>
        <w:pStyle w:val="Textonotapie"/>
        <w:jc w:val="both"/>
        <w:rPr>
          <w:rFonts w:ascii="Segoe UI" w:hAnsi="Segoe UI" w:cs="Segoe UI"/>
        </w:rPr>
      </w:pPr>
      <w:r w:rsidRPr="00C466CA">
        <w:rPr>
          <w:rStyle w:val="Refdenotaalpie"/>
          <w:rFonts w:ascii="Segoe UI" w:hAnsi="Segoe UI" w:cs="Segoe UI"/>
        </w:rPr>
        <w:footnoteRef/>
      </w:r>
      <w:r w:rsidRPr="00C466CA">
        <w:rPr>
          <w:rFonts w:ascii="Segoe UI" w:hAnsi="Segoe UI" w:cs="Segoe UI"/>
        </w:rPr>
        <w:t xml:space="preserve"> Disponible en: </w:t>
      </w:r>
      <w:hyperlink r:id="rId2" w:history="1">
        <w:r w:rsidRPr="00C466CA">
          <w:rPr>
            <w:rStyle w:val="Hipervnculo"/>
            <w:rFonts w:ascii="Segoe UI" w:hAnsi="Segoe UI" w:cs="Segoe UI"/>
          </w:rPr>
          <w:t>https://arrow.dit.ie/aaschsslcon/2/</w:t>
        </w:r>
      </w:hyperlink>
    </w:p>
  </w:footnote>
  <w:footnote w:id="3">
    <w:p w:rsidR="00F732E2" w:rsidRPr="00B459A7" w:rsidRDefault="00F732E2" w:rsidP="00C466CA">
      <w:pPr>
        <w:pStyle w:val="Textonotapie"/>
        <w:jc w:val="both"/>
        <w:rPr>
          <w:rFonts w:ascii="Segoe UI" w:hAnsi="Segoe UI" w:cs="Segoe UI"/>
          <w:lang w:val="en-US"/>
        </w:rPr>
      </w:pPr>
      <w:r w:rsidRPr="00C466CA">
        <w:rPr>
          <w:rStyle w:val="Refdenotaalpie"/>
          <w:rFonts w:ascii="Segoe UI" w:hAnsi="Segoe UI" w:cs="Segoe UI"/>
        </w:rPr>
        <w:footnoteRef/>
      </w:r>
      <w:r w:rsidRPr="00B459A7">
        <w:rPr>
          <w:rFonts w:ascii="Segoe UI" w:hAnsi="Segoe UI" w:cs="Segoe UI"/>
          <w:lang w:val="en-US"/>
        </w:rPr>
        <w:t xml:space="preserve"> Kogan SM. 2004. Disclosing unwanted sexual experiences: Results from a national sample of adolescent women. Child Abuse &amp; Neglect 28: 147–165.</w:t>
      </w:r>
    </w:p>
  </w:footnote>
  <w:footnote w:id="4">
    <w:p w:rsidR="00F63498" w:rsidRPr="00B459A7" w:rsidRDefault="00F63498" w:rsidP="00C466CA">
      <w:pPr>
        <w:pStyle w:val="Textonotapie"/>
        <w:jc w:val="both"/>
        <w:rPr>
          <w:rFonts w:ascii="Segoe UI" w:hAnsi="Segoe UI" w:cs="Segoe UI"/>
          <w:lang w:val="en-US"/>
        </w:rPr>
      </w:pPr>
      <w:r w:rsidRPr="00C466CA">
        <w:rPr>
          <w:rStyle w:val="Refdenotaalpie"/>
          <w:rFonts w:ascii="Segoe UI" w:hAnsi="Segoe UI" w:cs="Segoe UI"/>
        </w:rPr>
        <w:footnoteRef/>
      </w:r>
      <w:r w:rsidRPr="00B459A7">
        <w:rPr>
          <w:rFonts w:ascii="Segoe UI" w:hAnsi="Segoe UI" w:cs="Segoe UI"/>
          <w:lang w:val="en-US"/>
        </w:rPr>
        <w:t xml:space="preserve"> </w:t>
      </w:r>
      <w:r w:rsidR="00C466CA" w:rsidRPr="00B459A7">
        <w:rPr>
          <w:rFonts w:ascii="Segoe UI" w:hAnsi="Segoe UI" w:cs="Segoe UI"/>
          <w:lang w:val="en-US"/>
        </w:rPr>
        <w:t xml:space="preserve">Disponible en: </w:t>
      </w:r>
      <w:hyperlink r:id="rId3" w:history="1">
        <w:r w:rsidRPr="00B459A7">
          <w:rPr>
            <w:rStyle w:val="Hipervnculo"/>
            <w:rFonts w:ascii="Segoe UI" w:hAnsi="Segoe UI" w:cs="Segoe UI"/>
            <w:lang w:val="en-US"/>
          </w:rPr>
          <w:t>https://www.unicef.es/noticia/violencia-contra-los-ninos-nuevo-informe-ocultos-plena-luz</w:t>
        </w:r>
      </w:hyperlink>
    </w:p>
  </w:footnote>
  <w:footnote w:id="5">
    <w:p w:rsidR="000B208D" w:rsidRPr="00C466CA" w:rsidRDefault="000B208D" w:rsidP="00C466CA">
      <w:pPr>
        <w:pStyle w:val="Textonotapie"/>
        <w:jc w:val="both"/>
        <w:rPr>
          <w:rFonts w:ascii="Segoe UI" w:hAnsi="Segoe UI" w:cs="Segoe UI"/>
        </w:rPr>
      </w:pPr>
      <w:r w:rsidRPr="00C466CA">
        <w:rPr>
          <w:rStyle w:val="Refdenotaalpie"/>
          <w:rFonts w:ascii="Segoe UI" w:hAnsi="Segoe UI" w:cs="Segoe UI"/>
        </w:rPr>
        <w:footnoteRef/>
      </w:r>
      <w:r w:rsidR="00C466CA">
        <w:rPr>
          <w:rFonts w:ascii="Segoe UI" w:hAnsi="Segoe UI" w:cs="Segoe UI"/>
        </w:rPr>
        <w:t xml:space="preserve"> Disponible en:</w:t>
      </w:r>
      <w:r w:rsidRPr="00C466CA">
        <w:rPr>
          <w:rFonts w:ascii="Segoe UI" w:hAnsi="Segoe UI" w:cs="Segoe UI"/>
        </w:rPr>
        <w:t xml:space="preserve"> </w:t>
      </w:r>
      <w:hyperlink r:id="rId4" w:history="1">
        <w:r w:rsidRPr="00C466CA">
          <w:rPr>
            <w:rStyle w:val="Hipervnculo"/>
            <w:rFonts w:ascii="Segoe UI" w:hAnsi="Segoe UI" w:cs="Segoe UI"/>
          </w:rPr>
          <w:t>http://www.rtve.es/noticias/20181004/rompo-silencio-grito-victimas-abuso-sexual-infancia/1812245.shtml</w:t>
        </w:r>
      </w:hyperlink>
    </w:p>
  </w:footnote>
  <w:footnote w:id="6">
    <w:p w:rsidR="0030421D" w:rsidRPr="00C466CA" w:rsidRDefault="0030421D" w:rsidP="00C466CA">
      <w:pPr>
        <w:pStyle w:val="Textonotapie"/>
        <w:jc w:val="both"/>
        <w:rPr>
          <w:rFonts w:ascii="Segoe UI" w:hAnsi="Segoe UI" w:cs="Segoe UI"/>
        </w:rPr>
      </w:pPr>
      <w:r w:rsidRPr="00C466CA">
        <w:rPr>
          <w:rStyle w:val="Refdenotaalpie"/>
          <w:rFonts w:ascii="Segoe UI" w:hAnsi="Segoe UI" w:cs="Segoe UI"/>
        </w:rPr>
        <w:footnoteRef/>
      </w:r>
      <w:r w:rsidR="000D432D" w:rsidRPr="00C466CA">
        <w:rPr>
          <w:rFonts w:ascii="Segoe UI" w:hAnsi="Segoe UI" w:cs="Segoe UI"/>
        </w:rPr>
        <w:t xml:space="preserve"> Disponible </w:t>
      </w:r>
      <w:r w:rsidRPr="00C466CA">
        <w:rPr>
          <w:rFonts w:ascii="Segoe UI" w:hAnsi="Segoe UI" w:cs="Segoe UI"/>
        </w:rPr>
        <w:t xml:space="preserve">en: </w:t>
      </w:r>
      <w:hyperlink r:id="rId5" w:history="1">
        <w:r w:rsidRPr="00C466CA">
          <w:rPr>
            <w:rStyle w:val="Hipervnculo"/>
            <w:rFonts w:ascii="Segoe UI" w:hAnsi="Segoe UI" w:cs="Segoe UI"/>
          </w:rPr>
          <w:t>https://www.leychile.cl/Navegar?idNorma=1984</w:t>
        </w:r>
      </w:hyperlink>
    </w:p>
  </w:footnote>
  <w:footnote w:id="7">
    <w:p w:rsidR="00C466CA" w:rsidRPr="00C466CA" w:rsidRDefault="00C466CA" w:rsidP="00C466CA">
      <w:pPr>
        <w:pStyle w:val="Textonotapie"/>
        <w:jc w:val="both"/>
        <w:rPr>
          <w:rFonts w:ascii="Segoe UI" w:hAnsi="Segoe UI" w:cs="Segoe UI"/>
        </w:rPr>
      </w:pPr>
      <w:r w:rsidRPr="00C466CA">
        <w:rPr>
          <w:rStyle w:val="Refdenotaalpie"/>
          <w:rFonts w:ascii="Segoe UI" w:hAnsi="Segoe UI" w:cs="Segoe UI"/>
        </w:rPr>
        <w:footnoteRef/>
      </w:r>
      <w:r w:rsidRPr="00C466CA">
        <w:rPr>
          <w:rFonts w:ascii="Segoe UI" w:hAnsi="Segoe UI" w:cs="Segoe UI"/>
        </w:rPr>
        <w:t xml:space="preserve"> Disponible en: </w:t>
      </w:r>
      <w:hyperlink r:id="rId6" w:history="1">
        <w:r w:rsidRPr="00C466CA">
          <w:rPr>
            <w:rStyle w:val="Hipervnculo"/>
            <w:rFonts w:ascii="Segoe UI" w:hAnsi="Segoe UI" w:cs="Segoe UI"/>
          </w:rPr>
          <w:t>http://www2.congreso.gob.pe/sicr/cendocbib/con5_uibd.nsf/001CD7E618605745052583280052F800/$FILE/COD-PENAL_actualizado_16-09-2018.pdf</w:t>
        </w:r>
      </w:hyperlink>
    </w:p>
  </w:footnote>
  <w:footnote w:id="8">
    <w:p w:rsidR="000D432D" w:rsidRPr="00C466CA" w:rsidRDefault="000D432D" w:rsidP="00C466CA">
      <w:pPr>
        <w:pStyle w:val="Textonotapie"/>
        <w:jc w:val="both"/>
        <w:rPr>
          <w:rFonts w:ascii="Segoe UI" w:hAnsi="Segoe UI" w:cs="Segoe UI"/>
        </w:rPr>
      </w:pPr>
      <w:r w:rsidRPr="00C466CA">
        <w:rPr>
          <w:rStyle w:val="Refdenotaalpie"/>
          <w:rFonts w:ascii="Segoe UI" w:hAnsi="Segoe UI" w:cs="Segoe UI"/>
        </w:rPr>
        <w:footnoteRef/>
      </w:r>
      <w:r w:rsidRPr="00C466CA">
        <w:rPr>
          <w:rFonts w:ascii="Segoe UI" w:hAnsi="Segoe UI" w:cs="Segoe UI"/>
        </w:rPr>
        <w:t xml:space="preserve"> Ministerio de Sanidad, Consumo y Bienestar Social. Ministerio de Justicia. Ministerio del Interior. Anteproyecto de Ley Orgánica de Protección Integral a la Infancia y la Adolescencia Frente a la Violencia. España. 8 de enero de 2019. Disponible en:  </w:t>
      </w:r>
      <w:hyperlink r:id="rId7" w:history="1">
        <w:r w:rsidRPr="00C466CA">
          <w:rPr>
            <w:rStyle w:val="Hipervnculo"/>
            <w:rFonts w:ascii="Segoe UI" w:hAnsi="Segoe UI" w:cs="Segoe UI"/>
          </w:rPr>
          <w:t>https://www.mscbs.gob.es/normativa/audiencia/docs/LO_proteccion_integral_violencia_menores.pdf</w:t>
        </w:r>
      </w:hyperlink>
    </w:p>
  </w:footnote>
  <w:footnote w:id="9">
    <w:p w:rsidR="000D432D" w:rsidRPr="00C466CA" w:rsidRDefault="000D432D" w:rsidP="00C466CA">
      <w:pPr>
        <w:pStyle w:val="Textonotapie"/>
        <w:jc w:val="both"/>
        <w:rPr>
          <w:rFonts w:ascii="Segoe UI" w:hAnsi="Segoe UI" w:cs="Segoe UI"/>
        </w:rPr>
      </w:pPr>
      <w:r w:rsidRPr="00C466CA">
        <w:rPr>
          <w:rStyle w:val="Refdenotaalpie"/>
          <w:rFonts w:ascii="Segoe UI" w:hAnsi="Segoe UI" w:cs="Segoe UI"/>
        </w:rPr>
        <w:footnoteRef/>
      </w:r>
      <w:r w:rsidRPr="00C466CA">
        <w:rPr>
          <w:rFonts w:ascii="Segoe UI" w:hAnsi="Segoe UI" w:cs="Segoe UI"/>
        </w:rPr>
        <w:t xml:space="preserve"> Disponible en: </w:t>
      </w:r>
      <w:hyperlink r:id="rId8" w:history="1">
        <w:r w:rsidRPr="00C466CA">
          <w:rPr>
            <w:rStyle w:val="Hipervnculo"/>
            <w:rFonts w:ascii="Segoe UI" w:hAnsi="Segoe UI" w:cs="Segoe UI"/>
          </w:rPr>
          <w:t>https://elpais.com/sociedad/2018/10/29/actualidad/1540816288_142038.html</w:t>
        </w:r>
      </w:hyperlink>
    </w:p>
  </w:footnote>
  <w:footnote w:id="10">
    <w:p w:rsidR="0030421D" w:rsidRPr="00C466CA" w:rsidRDefault="0030421D" w:rsidP="00C466CA">
      <w:pPr>
        <w:pStyle w:val="Textonotapie"/>
        <w:jc w:val="both"/>
        <w:rPr>
          <w:rFonts w:ascii="Segoe UI" w:hAnsi="Segoe UI" w:cs="Segoe UI"/>
        </w:rPr>
      </w:pPr>
      <w:r w:rsidRPr="00C466CA">
        <w:rPr>
          <w:rStyle w:val="Refdenotaalpie"/>
          <w:rFonts w:ascii="Segoe UI" w:hAnsi="Segoe UI" w:cs="Segoe UI"/>
        </w:rPr>
        <w:footnoteRef/>
      </w:r>
      <w:r w:rsidR="000D432D" w:rsidRPr="00C466CA">
        <w:rPr>
          <w:rFonts w:ascii="Segoe UI" w:hAnsi="Segoe UI" w:cs="Segoe UI"/>
        </w:rPr>
        <w:t xml:space="preserve"> Disponible en</w:t>
      </w:r>
      <w:r w:rsidRPr="00C466CA">
        <w:rPr>
          <w:rFonts w:ascii="Segoe UI" w:hAnsi="Segoe UI" w:cs="Segoe UI"/>
        </w:rPr>
        <w:t xml:space="preserve">: </w:t>
      </w:r>
      <w:hyperlink r:id="rId9" w:history="1">
        <w:r w:rsidRPr="00C466CA">
          <w:rPr>
            <w:rStyle w:val="Hipervnculo"/>
            <w:rFonts w:ascii="Segoe UI" w:hAnsi="Segoe UI" w:cs="Segoe UI"/>
          </w:rPr>
          <w:t>https://www.impo.com.uy/bases/codigo-penal/9155-1933</w:t>
        </w:r>
      </w:hyperlink>
    </w:p>
  </w:footnote>
  <w:footnote w:id="11">
    <w:p w:rsidR="0030421D" w:rsidRPr="00C466CA" w:rsidRDefault="0030421D" w:rsidP="00C466CA">
      <w:pPr>
        <w:pStyle w:val="Textonotapie"/>
        <w:jc w:val="both"/>
        <w:rPr>
          <w:rFonts w:ascii="Segoe UI" w:hAnsi="Segoe UI" w:cs="Segoe UI"/>
        </w:rPr>
      </w:pPr>
      <w:r w:rsidRPr="00C466CA">
        <w:rPr>
          <w:rStyle w:val="Refdenotaalpie"/>
          <w:rFonts w:ascii="Segoe UI" w:hAnsi="Segoe UI" w:cs="Segoe UI"/>
        </w:rPr>
        <w:footnoteRef/>
      </w:r>
      <w:r w:rsidR="000D432D" w:rsidRPr="00C466CA">
        <w:rPr>
          <w:rFonts w:ascii="Segoe UI" w:hAnsi="Segoe UI" w:cs="Segoe UI"/>
        </w:rPr>
        <w:t xml:space="preserve"> Disponible en: </w:t>
      </w:r>
      <w:hyperlink r:id="rId10" w:history="1">
        <w:r w:rsidRPr="00C466CA">
          <w:rPr>
            <w:rStyle w:val="Hipervnculo"/>
            <w:rFonts w:ascii="Segoe UI" w:hAnsi="Segoe UI" w:cs="Segoe UI"/>
          </w:rPr>
          <w:t>http://www.pgrweb.go.cr/scij/Busqueda/Normativa/Normas/nrm_texto_completo.aspx?param1=NRTC&amp;nValor1=1&amp;nValor2=41297&amp;nValor3=107536&amp;strTipM=TC</w:t>
        </w:r>
      </w:hyperlink>
      <w:r w:rsidRPr="00C466CA">
        <w:rPr>
          <w:rFonts w:ascii="Segoe UI" w:hAnsi="Segoe UI" w:cs="Segoe UI"/>
        </w:rPr>
        <w:t xml:space="preserve"> </w:t>
      </w:r>
    </w:p>
  </w:footnote>
  <w:footnote w:id="12">
    <w:p w:rsidR="00E629F5" w:rsidRPr="00C466CA" w:rsidRDefault="00E629F5" w:rsidP="00C466CA">
      <w:pPr>
        <w:pStyle w:val="Textonotapie"/>
        <w:jc w:val="both"/>
        <w:rPr>
          <w:rFonts w:ascii="Segoe UI" w:hAnsi="Segoe UI" w:cs="Segoe UI"/>
        </w:rPr>
      </w:pPr>
      <w:r w:rsidRPr="00C466CA">
        <w:rPr>
          <w:rStyle w:val="Refdenotaalpie"/>
          <w:rFonts w:ascii="Segoe UI" w:hAnsi="Segoe UI" w:cs="Segoe UI"/>
        </w:rPr>
        <w:footnoteRef/>
      </w:r>
      <w:r w:rsidRPr="00C466CA">
        <w:rPr>
          <w:rFonts w:ascii="Segoe UI" w:hAnsi="Segoe UI" w:cs="Segoe UI"/>
        </w:rPr>
        <w:t xml:space="preserve"> Disponible en: </w:t>
      </w:r>
      <w:hyperlink r:id="rId11" w:history="1">
        <w:r w:rsidRPr="00C466CA">
          <w:rPr>
            <w:rStyle w:val="Hipervnculo"/>
            <w:rFonts w:ascii="Segoe UI" w:hAnsi="Segoe UI" w:cs="Segoe UI"/>
          </w:rPr>
          <w:t>https://www.acnur.org/fileadmin/Documentos/BDL/2002/1687.pdf</w:t>
        </w:r>
      </w:hyperlink>
    </w:p>
  </w:footnote>
  <w:footnote w:id="13">
    <w:p w:rsidR="00E629F5" w:rsidRPr="00C466CA" w:rsidRDefault="00E629F5" w:rsidP="00C466CA">
      <w:pPr>
        <w:pStyle w:val="Textonotapie"/>
        <w:jc w:val="both"/>
        <w:rPr>
          <w:rFonts w:ascii="Segoe UI" w:hAnsi="Segoe UI" w:cs="Segoe UI"/>
        </w:rPr>
      </w:pPr>
      <w:r w:rsidRPr="00C466CA">
        <w:rPr>
          <w:rStyle w:val="Refdenotaalpie"/>
          <w:rFonts w:ascii="Segoe UI" w:hAnsi="Segoe UI" w:cs="Segoe UI"/>
        </w:rPr>
        <w:footnoteRef/>
      </w:r>
      <w:r w:rsidRPr="00C466CA">
        <w:rPr>
          <w:rFonts w:ascii="Segoe UI" w:hAnsi="Segoe UI" w:cs="Segoe UI"/>
        </w:rPr>
        <w:t xml:space="preserve"> Corte Constitucional. Sentencia T-260 del 29 de marzo de 2012. Magistrado Ponente: Humberto Antonio Sierra Porto.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CC" w:rsidRDefault="005867CC">
    <w:pPr>
      <w:pStyle w:val="Encabezado"/>
    </w:pPr>
    <w:r>
      <w:rPr>
        <w:noProof/>
        <w:lang w:eastAsia="es-CO"/>
      </w:rPr>
      <w:drawing>
        <wp:anchor distT="0" distB="0" distL="114300" distR="114300" simplePos="0" relativeHeight="251659264" behindDoc="1" locked="0" layoutInCell="1" allowOverlap="1" wp14:anchorId="28F7B5CE" wp14:editId="42067302">
          <wp:simplePos x="0" y="0"/>
          <wp:positionH relativeFrom="margin">
            <wp:posOffset>-1095375</wp:posOffset>
          </wp:positionH>
          <wp:positionV relativeFrom="paragraph">
            <wp:posOffset>-448310</wp:posOffset>
          </wp:positionV>
          <wp:extent cx="7919720" cy="1663065"/>
          <wp:effectExtent l="0" t="0" r="5080" b="0"/>
          <wp:wrapTight wrapText="bothSides">
            <wp:wrapPolygon edited="0">
              <wp:start x="0" y="0"/>
              <wp:lineTo x="0" y="21278"/>
              <wp:lineTo x="21562" y="21278"/>
              <wp:lineTo x="2156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e-katherine.png"/>
                  <pic:cNvPicPr/>
                </pic:nvPicPr>
                <pic:blipFill rotWithShape="1">
                  <a:blip r:embed="rId1" cstate="print">
                    <a:extLst>
                      <a:ext uri="{28A0092B-C50C-407E-A947-70E740481C1C}">
                        <a14:useLocalDpi xmlns:a14="http://schemas.microsoft.com/office/drawing/2010/main" val="0"/>
                      </a:ext>
                    </a:extLst>
                  </a:blip>
                  <a:srcRect b="83767"/>
                  <a:stretch/>
                </pic:blipFill>
                <pic:spPr bwMode="auto">
                  <a:xfrm>
                    <a:off x="0" y="0"/>
                    <a:ext cx="7919720" cy="166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CBC"/>
    <w:multiLevelType w:val="hybridMultilevel"/>
    <w:tmpl w:val="41B4E3F2"/>
    <w:lvl w:ilvl="0" w:tplc="78E8D16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246711"/>
    <w:multiLevelType w:val="multilevel"/>
    <w:tmpl w:val="7884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869BD"/>
    <w:multiLevelType w:val="multilevel"/>
    <w:tmpl w:val="0C64DC94"/>
    <w:lvl w:ilvl="0">
      <w:start w:val="1"/>
      <w:numFmt w:val="decimal"/>
      <w:lvlText w:val="%1."/>
      <w:lvlJc w:val="left"/>
      <w:pPr>
        <w:ind w:left="1080" w:hanging="720"/>
      </w:pPr>
      <w:rPr>
        <w:rFonts w:ascii="Segoe UI" w:eastAsiaTheme="minorHAnsi" w:hAnsi="Segoe UI" w:cs="Segoe U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7E67429"/>
    <w:multiLevelType w:val="multilevel"/>
    <w:tmpl w:val="0C64DC94"/>
    <w:lvl w:ilvl="0">
      <w:start w:val="1"/>
      <w:numFmt w:val="decimal"/>
      <w:lvlText w:val="%1."/>
      <w:lvlJc w:val="left"/>
      <w:pPr>
        <w:ind w:left="1080" w:hanging="720"/>
      </w:pPr>
      <w:rPr>
        <w:rFonts w:ascii="Segoe UI" w:eastAsiaTheme="minorHAnsi" w:hAnsi="Segoe UI" w:cs="Segoe U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A607A08"/>
    <w:multiLevelType w:val="multilevel"/>
    <w:tmpl w:val="0C64DC94"/>
    <w:lvl w:ilvl="0">
      <w:start w:val="1"/>
      <w:numFmt w:val="decimal"/>
      <w:lvlText w:val="%1."/>
      <w:lvlJc w:val="left"/>
      <w:pPr>
        <w:ind w:left="1080" w:hanging="720"/>
      </w:pPr>
      <w:rPr>
        <w:rFonts w:ascii="Segoe UI" w:eastAsiaTheme="minorHAnsi" w:hAnsi="Segoe UI" w:cs="Segoe U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F0"/>
    <w:rsid w:val="000B208D"/>
    <w:rsid w:val="000D432D"/>
    <w:rsid w:val="000F31D3"/>
    <w:rsid w:val="00114555"/>
    <w:rsid w:val="001519D5"/>
    <w:rsid w:val="002B70F0"/>
    <w:rsid w:val="0030421D"/>
    <w:rsid w:val="00385A8C"/>
    <w:rsid w:val="003B1584"/>
    <w:rsid w:val="003C0311"/>
    <w:rsid w:val="00416034"/>
    <w:rsid w:val="00430F1A"/>
    <w:rsid w:val="00441A98"/>
    <w:rsid w:val="00470F70"/>
    <w:rsid w:val="004A61EB"/>
    <w:rsid w:val="004B24F0"/>
    <w:rsid w:val="00545D11"/>
    <w:rsid w:val="005867CC"/>
    <w:rsid w:val="00724AC0"/>
    <w:rsid w:val="0074260A"/>
    <w:rsid w:val="00750FCA"/>
    <w:rsid w:val="00754C43"/>
    <w:rsid w:val="00760BC7"/>
    <w:rsid w:val="007714FD"/>
    <w:rsid w:val="007F7911"/>
    <w:rsid w:val="00816D49"/>
    <w:rsid w:val="00851D87"/>
    <w:rsid w:val="0088668E"/>
    <w:rsid w:val="008B32C0"/>
    <w:rsid w:val="008C2204"/>
    <w:rsid w:val="008E26E4"/>
    <w:rsid w:val="009B1E24"/>
    <w:rsid w:val="00A17CC0"/>
    <w:rsid w:val="00A55A56"/>
    <w:rsid w:val="00B459A7"/>
    <w:rsid w:val="00BB680D"/>
    <w:rsid w:val="00BC5A72"/>
    <w:rsid w:val="00BD547A"/>
    <w:rsid w:val="00C20C53"/>
    <w:rsid w:val="00C466CA"/>
    <w:rsid w:val="00C51585"/>
    <w:rsid w:val="00C62E10"/>
    <w:rsid w:val="00CA4E45"/>
    <w:rsid w:val="00D36743"/>
    <w:rsid w:val="00D83723"/>
    <w:rsid w:val="00E31A56"/>
    <w:rsid w:val="00E54F7A"/>
    <w:rsid w:val="00E629F5"/>
    <w:rsid w:val="00F63498"/>
    <w:rsid w:val="00F732E2"/>
    <w:rsid w:val="00FA20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26D1"/>
  <w15:chartTrackingRefBased/>
  <w15:docId w15:val="{63734A42-139B-4FD3-9C6E-2166F997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
    <w:basedOn w:val="Normal"/>
    <w:link w:val="TextonotapieCar"/>
    <w:uiPriority w:val="99"/>
    <w:unhideWhenUsed/>
    <w:qFormat/>
    <w:rsid w:val="00BB680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f Car"/>
    <w:basedOn w:val="Fuentedeprrafopredeter"/>
    <w:link w:val="Textonotapie"/>
    <w:uiPriority w:val="99"/>
    <w:rsid w:val="00BB680D"/>
    <w:rPr>
      <w:sz w:val="20"/>
      <w:szCs w:val="20"/>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uiPriority w:val="99"/>
    <w:unhideWhenUsed/>
    <w:qFormat/>
    <w:rsid w:val="00BB680D"/>
    <w:rPr>
      <w:vertAlign w:val="superscript"/>
    </w:rPr>
  </w:style>
  <w:style w:type="paragraph" w:styleId="NormalWeb">
    <w:name w:val="Normal (Web)"/>
    <w:basedOn w:val="Normal"/>
    <w:link w:val="NormalWebCar"/>
    <w:uiPriority w:val="99"/>
    <w:unhideWhenUsed/>
    <w:rsid w:val="00BB680D"/>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B68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locked/>
    <w:rsid w:val="00BB680D"/>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B680D"/>
    <w:rPr>
      <w:i/>
      <w:iCs/>
    </w:rPr>
  </w:style>
  <w:style w:type="paragraph" w:styleId="Prrafodelista">
    <w:name w:val="List Paragraph"/>
    <w:aliases w:val="Ha,Resume Title"/>
    <w:basedOn w:val="Normal"/>
    <w:link w:val="PrrafodelistaCar"/>
    <w:uiPriority w:val="34"/>
    <w:qFormat/>
    <w:rsid w:val="00BB680D"/>
    <w:pPr>
      <w:ind w:left="720"/>
      <w:contextualSpacing/>
    </w:pPr>
  </w:style>
  <w:style w:type="character" w:customStyle="1" w:styleId="PrrafodelistaCar">
    <w:name w:val="Párrafo de lista Car"/>
    <w:aliases w:val="Ha Car,Resume Title Car"/>
    <w:link w:val="Prrafodelista"/>
    <w:uiPriority w:val="34"/>
    <w:rsid w:val="00BB680D"/>
  </w:style>
  <w:style w:type="character" w:customStyle="1" w:styleId="baj">
    <w:name w:val="b_aj"/>
    <w:basedOn w:val="Fuentedeprrafopredeter"/>
    <w:rsid w:val="00BB680D"/>
  </w:style>
  <w:style w:type="paragraph" w:customStyle="1" w:styleId="Poromisin">
    <w:name w:val="Por omisión"/>
    <w:rsid w:val="00BB680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 w:type="character" w:customStyle="1" w:styleId="Ninguno">
    <w:name w:val="Ninguno"/>
    <w:rsid w:val="00BB680D"/>
  </w:style>
  <w:style w:type="paragraph" w:styleId="Encabezado">
    <w:name w:val="header"/>
    <w:basedOn w:val="Normal"/>
    <w:link w:val="EncabezadoCar"/>
    <w:uiPriority w:val="99"/>
    <w:unhideWhenUsed/>
    <w:rsid w:val="005867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7CC"/>
  </w:style>
  <w:style w:type="paragraph" w:styleId="Piedepgina">
    <w:name w:val="footer"/>
    <w:basedOn w:val="Normal"/>
    <w:link w:val="PiedepginaCar"/>
    <w:uiPriority w:val="99"/>
    <w:unhideWhenUsed/>
    <w:rsid w:val="005867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7CC"/>
  </w:style>
  <w:style w:type="paragraph" w:styleId="HTMLconformatoprevio">
    <w:name w:val="HTML Preformatted"/>
    <w:basedOn w:val="Normal"/>
    <w:link w:val="HTMLconformatoprevioCar"/>
    <w:uiPriority w:val="99"/>
    <w:semiHidden/>
    <w:unhideWhenUsed/>
    <w:rsid w:val="00754C4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54C43"/>
    <w:rPr>
      <w:rFonts w:ascii="Consolas" w:hAnsi="Consolas"/>
      <w:sz w:val="20"/>
      <w:szCs w:val="20"/>
    </w:rPr>
  </w:style>
  <w:style w:type="character" w:styleId="Hipervnculo">
    <w:name w:val="Hyperlink"/>
    <w:basedOn w:val="Fuentedeprrafopredeter"/>
    <w:uiPriority w:val="99"/>
    <w:unhideWhenUsed/>
    <w:rsid w:val="009B1E24"/>
    <w:rPr>
      <w:color w:val="0563C1" w:themeColor="hyperlink"/>
      <w:u w:val="single"/>
    </w:rPr>
  </w:style>
  <w:style w:type="table" w:styleId="Tablanormal1">
    <w:name w:val="Plain Table 1"/>
    <w:basedOn w:val="Tablanormal"/>
    <w:uiPriority w:val="41"/>
    <w:rsid w:val="00BC5A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BD547A"/>
    <w:rPr>
      <w:b/>
      <w:bCs/>
    </w:rPr>
  </w:style>
  <w:style w:type="paragraph" w:styleId="Textodeglobo">
    <w:name w:val="Balloon Text"/>
    <w:basedOn w:val="Normal"/>
    <w:link w:val="TextodegloboCar"/>
    <w:uiPriority w:val="99"/>
    <w:semiHidden/>
    <w:unhideWhenUsed/>
    <w:rsid w:val="00430F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3585">
      <w:bodyDiv w:val="1"/>
      <w:marLeft w:val="0"/>
      <w:marRight w:val="0"/>
      <w:marTop w:val="0"/>
      <w:marBottom w:val="0"/>
      <w:divBdr>
        <w:top w:val="none" w:sz="0" w:space="0" w:color="auto"/>
        <w:left w:val="none" w:sz="0" w:space="0" w:color="auto"/>
        <w:bottom w:val="none" w:sz="0" w:space="0" w:color="auto"/>
        <w:right w:val="none" w:sz="0" w:space="0" w:color="auto"/>
      </w:divBdr>
    </w:div>
    <w:div w:id="513034448">
      <w:bodyDiv w:val="1"/>
      <w:marLeft w:val="0"/>
      <w:marRight w:val="0"/>
      <w:marTop w:val="0"/>
      <w:marBottom w:val="0"/>
      <w:divBdr>
        <w:top w:val="none" w:sz="0" w:space="0" w:color="auto"/>
        <w:left w:val="none" w:sz="0" w:space="0" w:color="auto"/>
        <w:bottom w:val="none" w:sz="0" w:space="0" w:color="auto"/>
        <w:right w:val="none" w:sz="0" w:space="0" w:color="auto"/>
      </w:divBdr>
    </w:div>
    <w:div w:id="592016107">
      <w:bodyDiv w:val="1"/>
      <w:marLeft w:val="0"/>
      <w:marRight w:val="0"/>
      <w:marTop w:val="0"/>
      <w:marBottom w:val="0"/>
      <w:divBdr>
        <w:top w:val="none" w:sz="0" w:space="0" w:color="auto"/>
        <w:left w:val="none" w:sz="0" w:space="0" w:color="auto"/>
        <w:bottom w:val="none" w:sz="0" w:space="0" w:color="auto"/>
        <w:right w:val="none" w:sz="0" w:space="0" w:color="auto"/>
      </w:divBdr>
    </w:div>
    <w:div w:id="648289563">
      <w:bodyDiv w:val="1"/>
      <w:marLeft w:val="0"/>
      <w:marRight w:val="0"/>
      <w:marTop w:val="0"/>
      <w:marBottom w:val="0"/>
      <w:divBdr>
        <w:top w:val="none" w:sz="0" w:space="0" w:color="auto"/>
        <w:left w:val="none" w:sz="0" w:space="0" w:color="auto"/>
        <w:bottom w:val="none" w:sz="0" w:space="0" w:color="auto"/>
        <w:right w:val="none" w:sz="0" w:space="0" w:color="auto"/>
      </w:divBdr>
    </w:div>
    <w:div w:id="664554707">
      <w:bodyDiv w:val="1"/>
      <w:marLeft w:val="0"/>
      <w:marRight w:val="0"/>
      <w:marTop w:val="0"/>
      <w:marBottom w:val="0"/>
      <w:divBdr>
        <w:top w:val="none" w:sz="0" w:space="0" w:color="auto"/>
        <w:left w:val="none" w:sz="0" w:space="0" w:color="auto"/>
        <w:bottom w:val="none" w:sz="0" w:space="0" w:color="auto"/>
        <w:right w:val="none" w:sz="0" w:space="0" w:color="auto"/>
      </w:divBdr>
    </w:div>
    <w:div w:id="689721445">
      <w:bodyDiv w:val="1"/>
      <w:marLeft w:val="0"/>
      <w:marRight w:val="0"/>
      <w:marTop w:val="0"/>
      <w:marBottom w:val="0"/>
      <w:divBdr>
        <w:top w:val="none" w:sz="0" w:space="0" w:color="auto"/>
        <w:left w:val="none" w:sz="0" w:space="0" w:color="auto"/>
        <w:bottom w:val="none" w:sz="0" w:space="0" w:color="auto"/>
        <w:right w:val="none" w:sz="0" w:space="0" w:color="auto"/>
      </w:divBdr>
    </w:div>
    <w:div w:id="889070541">
      <w:bodyDiv w:val="1"/>
      <w:marLeft w:val="0"/>
      <w:marRight w:val="0"/>
      <w:marTop w:val="0"/>
      <w:marBottom w:val="0"/>
      <w:divBdr>
        <w:top w:val="none" w:sz="0" w:space="0" w:color="auto"/>
        <w:left w:val="none" w:sz="0" w:space="0" w:color="auto"/>
        <w:bottom w:val="none" w:sz="0" w:space="0" w:color="auto"/>
        <w:right w:val="none" w:sz="0" w:space="0" w:color="auto"/>
      </w:divBdr>
    </w:div>
    <w:div w:id="1088769453">
      <w:bodyDiv w:val="1"/>
      <w:marLeft w:val="0"/>
      <w:marRight w:val="0"/>
      <w:marTop w:val="0"/>
      <w:marBottom w:val="0"/>
      <w:divBdr>
        <w:top w:val="none" w:sz="0" w:space="0" w:color="auto"/>
        <w:left w:val="none" w:sz="0" w:space="0" w:color="auto"/>
        <w:bottom w:val="none" w:sz="0" w:space="0" w:color="auto"/>
        <w:right w:val="none" w:sz="0" w:space="0" w:color="auto"/>
      </w:divBdr>
    </w:div>
    <w:div w:id="1156456628">
      <w:bodyDiv w:val="1"/>
      <w:marLeft w:val="0"/>
      <w:marRight w:val="0"/>
      <w:marTop w:val="0"/>
      <w:marBottom w:val="0"/>
      <w:divBdr>
        <w:top w:val="none" w:sz="0" w:space="0" w:color="auto"/>
        <w:left w:val="none" w:sz="0" w:space="0" w:color="auto"/>
        <w:bottom w:val="none" w:sz="0" w:space="0" w:color="auto"/>
        <w:right w:val="none" w:sz="0" w:space="0" w:color="auto"/>
      </w:divBdr>
    </w:div>
    <w:div w:id="1171988351">
      <w:bodyDiv w:val="1"/>
      <w:marLeft w:val="0"/>
      <w:marRight w:val="0"/>
      <w:marTop w:val="0"/>
      <w:marBottom w:val="0"/>
      <w:divBdr>
        <w:top w:val="none" w:sz="0" w:space="0" w:color="auto"/>
        <w:left w:val="none" w:sz="0" w:space="0" w:color="auto"/>
        <w:bottom w:val="none" w:sz="0" w:space="0" w:color="auto"/>
        <w:right w:val="none" w:sz="0" w:space="0" w:color="auto"/>
      </w:divBdr>
    </w:div>
    <w:div w:id="1193038279">
      <w:bodyDiv w:val="1"/>
      <w:marLeft w:val="0"/>
      <w:marRight w:val="0"/>
      <w:marTop w:val="0"/>
      <w:marBottom w:val="0"/>
      <w:divBdr>
        <w:top w:val="none" w:sz="0" w:space="0" w:color="auto"/>
        <w:left w:val="none" w:sz="0" w:space="0" w:color="auto"/>
        <w:bottom w:val="none" w:sz="0" w:space="0" w:color="auto"/>
        <w:right w:val="none" w:sz="0" w:space="0" w:color="auto"/>
      </w:divBdr>
    </w:div>
    <w:div w:id="1495955802">
      <w:bodyDiv w:val="1"/>
      <w:marLeft w:val="0"/>
      <w:marRight w:val="0"/>
      <w:marTop w:val="0"/>
      <w:marBottom w:val="0"/>
      <w:divBdr>
        <w:top w:val="none" w:sz="0" w:space="0" w:color="auto"/>
        <w:left w:val="none" w:sz="0" w:space="0" w:color="auto"/>
        <w:bottom w:val="none" w:sz="0" w:space="0" w:color="auto"/>
        <w:right w:val="none" w:sz="0" w:space="0" w:color="auto"/>
      </w:divBdr>
    </w:div>
    <w:div w:id="1555776360">
      <w:bodyDiv w:val="1"/>
      <w:marLeft w:val="0"/>
      <w:marRight w:val="0"/>
      <w:marTop w:val="0"/>
      <w:marBottom w:val="0"/>
      <w:divBdr>
        <w:top w:val="none" w:sz="0" w:space="0" w:color="auto"/>
        <w:left w:val="none" w:sz="0" w:space="0" w:color="auto"/>
        <w:bottom w:val="none" w:sz="0" w:space="0" w:color="auto"/>
        <w:right w:val="none" w:sz="0" w:space="0" w:color="auto"/>
      </w:divBdr>
    </w:div>
    <w:div w:id="1555846667">
      <w:bodyDiv w:val="1"/>
      <w:marLeft w:val="0"/>
      <w:marRight w:val="0"/>
      <w:marTop w:val="0"/>
      <w:marBottom w:val="0"/>
      <w:divBdr>
        <w:top w:val="none" w:sz="0" w:space="0" w:color="auto"/>
        <w:left w:val="none" w:sz="0" w:space="0" w:color="auto"/>
        <w:bottom w:val="none" w:sz="0" w:space="0" w:color="auto"/>
        <w:right w:val="none" w:sz="0" w:space="0" w:color="auto"/>
      </w:divBdr>
    </w:div>
    <w:div w:id="1598636583">
      <w:bodyDiv w:val="1"/>
      <w:marLeft w:val="0"/>
      <w:marRight w:val="0"/>
      <w:marTop w:val="0"/>
      <w:marBottom w:val="0"/>
      <w:divBdr>
        <w:top w:val="none" w:sz="0" w:space="0" w:color="auto"/>
        <w:left w:val="none" w:sz="0" w:space="0" w:color="auto"/>
        <w:bottom w:val="none" w:sz="0" w:space="0" w:color="auto"/>
        <w:right w:val="none" w:sz="0" w:space="0" w:color="auto"/>
      </w:divBdr>
    </w:div>
    <w:div w:id="1669989394">
      <w:bodyDiv w:val="1"/>
      <w:marLeft w:val="0"/>
      <w:marRight w:val="0"/>
      <w:marTop w:val="0"/>
      <w:marBottom w:val="0"/>
      <w:divBdr>
        <w:top w:val="none" w:sz="0" w:space="0" w:color="auto"/>
        <w:left w:val="none" w:sz="0" w:space="0" w:color="auto"/>
        <w:bottom w:val="none" w:sz="0" w:space="0" w:color="auto"/>
        <w:right w:val="none" w:sz="0" w:space="0" w:color="auto"/>
      </w:divBdr>
    </w:div>
    <w:div w:id="1782189120">
      <w:bodyDiv w:val="1"/>
      <w:marLeft w:val="0"/>
      <w:marRight w:val="0"/>
      <w:marTop w:val="0"/>
      <w:marBottom w:val="0"/>
      <w:divBdr>
        <w:top w:val="none" w:sz="0" w:space="0" w:color="auto"/>
        <w:left w:val="none" w:sz="0" w:space="0" w:color="auto"/>
        <w:bottom w:val="none" w:sz="0" w:space="0" w:color="auto"/>
        <w:right w:val="none" w:sz="0" w:space="0" w:color="auto"/>
      </w:divBdr>
    </w:div>
    <w:div w:id="19976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1098_200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lpais.com/sociedad/2018/10/29/actualidad/1540816288_142038.html" TargetMode="External"/><Relationship Id="rId3" Type="http://schemas.openxmlformats.org/officeDocument/2006/relationships/hyperlink" Target="https://www.unicef.es/noticia/violencia-contra-los-ninos-nuevo-informe-ocultos-plena-luz" TargetMode="External"/><Relationship Id="rId7" Type="http://schemas.openxmlformats.org/officeDocument/2006/relationships/hyperlink" Target="https://www.mscbs.gob.es/normativa/audiencia/docs/LO_proteccion_integral_violencia_menores.pdf" TargetMode="External"/><Relationship Id="rId2" Type="http://schemas.openxmlformats.org/officeDocument/2006/relationships/hyperlink" Target="https://arrow.dit.ie/aaschsslcon/2/" TargetMode="External"/><Relationship Id="rId1" Type="http://schemas.openxmlformats.org/officeDocument/2006/relationships/hyperlink" Target="https://www.who.int/violence_injury_prevention/violence/global_campaign/en/chap6.pdf" TargetMode="External"/><Relationship Id="rId6" Type="http://schemas.openxmlformats.org/officeDocument/2006/relationships/hyperlink" Target="http://www2.congreso.gob.pe/sicr/cendocbib/con5_uibd.nsf/001CD7E618605745052583280052F800/$FILE/COD-PENAL_actualizado_16-09-2018.pdf" TargetMode="External"/><Relationship Id="rId11" Type="http://schemas.openxmlformats.org/officeDocument/2006/relationships/hyperlink" Target="https://www.acnur.org/fileadmin/Documentos/BDL/2002/1687.pdf" TargetMode="External"/><Relationship Id="rId5" Type="http://schemas.openxmlformats.org/officeDocument/2006/relationships/hyperlink" Target="https://www.leychile.cl/Navegar?idNorma=1984" TargetMode="External"/><Relationship Id="rId10" Type="http://schemas.openxmlformats.org/officeDocument/2006/relationships/hyperlink" Target="http://www.pgrweb.go.cr/scij/Busqueda/Normativa/Normas/nrm_texto_completo.aspx?param1=NRTC&amp;nValor1=1&amp;nValor2=41297&amp;nValor3=107536&amp;strTipM=TC" TargetMode="External"/><Relationship Id="rId4" Type="http://schemas.openxmlformats.org/officeDocument/2006/relationships/hyperlink" Target="http://www.rtve.es/noticias/20181004/rompo-silencio-grito-victimas-abuso-sexual-infancia/1812245.shtml" TargetMode="External"/><Relationship Id="rId9" Type="http://schemas.openxmlformats.org/officeDocument/2006/relationships/hyperlink" Target="https://www.impo.com.uy/bases/codigo-penal/9155-19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F95B-5B90-4CCE-8CBD-8B9ACCC3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3656</Words>
  <Characters>20114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Andres Reyes Garcia</dc:creator>
  <cp:keywords/>
  <dc:description/>
  <cp:lastModifiedBy>William Andres Reyes Garcia</cp:lastModifiedBy>
  <cp:revision>12</cp:revision>
  <cp:lastPrinted>2019-08-05T14:01:00Z</cp:lastPrinted>
  <dcterms:created xsi:type="dcterms:W3CDTF">2019-08-03T23:46:00Z</dcterms:created>
  <dcterms:modified xsi:type="dcterms:W3CDTF">2019-08-05T14:02:00Z</dcterms:modified>
</cp:coreProperties>
</file>