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26" w:rsidRPr="00487526" w:rsidRDefault="00487526" w:rsidP="00487526">
      <w:pPr>
        <w:spacing w:after="0" w:line="240" w:lineRule="auto"/>
        <w:jc w:val="center"/>
        <w:rPr>
          <w:rFonts w:ascii="Bookman Old Style" w:hAnsi="Bookman Old Style" w:cs="Arial"/>
          <w:b/>
          <w:sz w:val="24"/>
          <w:szCs w:val="24"/>
          <w:lang w:val="es-ES_tradnl"/>
        </w:rPr>
      </w:pPr>
      <w:r w:rsidRPr="004D4319">
        <w:rPr>
          <w:rFonts w:ascii="Bookman Old Style" w:hAnsi="Bookman Old Style" w:cs="Arial"/>
          <w:b/>
          <w:sz w:val="24"/>
          <w:szCs w:val="24"/>
          <w:lang w:val="es-ES_tradnl"/>
        </w:rPr>
        <w:t xml:space="preserve">PROYECTO DE </w:t>
      </w:r>
      <w:r>
        <w:rPr>
          <w:rFonts w:ascii="Bookman Old Style" w:hAnsi="Bookman Old Style" w:cs="Arial"/>
          <w:b/>
          <w:sz w:val="24"/>
          <w:szCs w:val="24"/>
          <w:lang w:val="es-ES_tradnl"/>
        </w:rPr>
        <w:t xml:space="preserve">LEY NÚMERO _____ DE 2019 </w:t>
      </w:r>
      <w:r w:rsidR="0070621E">
        <w:rPr>
          <w:rFonts w:ascii="Bookman Old Style" w:hAnsi="Bookman Old Style" w:cs="Arial"/>
          <w:b/>
          <w:sz w:val="24"/>
          <w:szCs w:val="24"/>
          <w:lang w:val="es-ES_tradnl"/>
        </w:rPr>
        <w:t>CÁMARA</w:t>
      </w:r>
    </w:p>
    <w:p w:rsidR="00862584" w:rsidRPr="00AF1322" w:rsidRDefault="00487526" w:rsidP="00862584">
      <w:pPr>
        <w:adjustRightInd w:val="0"/>
        <w:spacing w:after="28"/>
        <w:jc w:val="center"/>
        <w:textAlignment w:val="center"/>
        <w:rPr>
          <w:rFonts w:ascii="Bookman Old Style" w:hAnsi="Bookman Old Style"/>
          <w:b/>
          <w:sz w:val="24"/>
          <w:szCs w:val="24"/>
        </w:rPr>
      </w:pPr>
      <w:r>
        <w:rPr>
          <w:rFonts w:ascii="Bookman Old Style" w:hAnsi="Bookman Old Style"/>
          <w:b/>
          <w:color w:val="000000"/>
          <w:sz w:val="24"/>
          <w:szCs w:val="24"/>
          <w:lang w:val="es-ES_tradnl"/>
        </w:rPr>
        <w:t>“</w:t>
      </w:r>
      <w:r>
        <w:rPr>
          <w:rFonts w:ascii="Bookman Old Style" w:hAnsi="Bookman Old Style"/>
          <w:b/>
          <w:sz w:val="24"/>
          <w:szCs w:val="24"/>
        </w:rPr>
        <w:t>P</w:t>
      </w:r>
      <w:r w:rsidRPr="00AF1322">
        <w:rPr>
          <w:rFonts w:ascii="Bookman Old Style" w:hAnsi="Bookman Old Style"/>
          <w:b/>
          <w:sz w:val="24"/>
          <w:szCs w:val="24"/>
        </w:rPr>
        <w:t>or medio de la cual se modifica</w:t>
      </w:r>
      <w:r>
        <w:rPr>
          <w:rFonts w:ascii="Bookman Old Style" w:hAnsi="Bookman Old Style"/>
          <w:b/>
          <w:sz w:val="24"/>
          <w:szCs w:val="24"/>
        </w:rPr>
        <w:t>n los</w:t>
      </w:r>
      <w:r w:rsidRPr="00AF1322">
        <w:rPr>
          <w:rFonts w:ascii="Bookman Old Style" w:hAnsi="Bookman Old Style"/>
          <w:b/>
          <w:sz w:val="24"/>
          <w:szCs w:val="24"/>
        </w:rPr>
        <w:t xml:space="preserve"> artículo</w:t>
      </w:r>
      <w:r>
        <w:rPr>
          <w:rFonts w:ascii="Bookman Old Style" w:hAnsi="Bookman Old Style"/>
          <w:b/>
          <w:sz w:val="24"/>
          <w:szCs w:val="24"/>
        </w:rPr>
        <w:t>s</w:t>
      </w:r>
      <w:r w:rsidRPr="00AF1322">
        <w:rPr>
          <w:rFonts w:ascii="Bookman Old Style" w:hAnsi="Bookman Old Style"/>
          <w:b/>
          <w:sz w:val="24"/>
          <w:szCs w:val="24"/>
        </w:rPr>
        <w:t xml:space="preserve"> 10</w:t>
      </w:r>
      <w:r>
        <w:rPr>
          <w:rFonts w:ascii="Bookman Old Style" w:hAnsi="Bookman Old Style"/>
          <w:b/>
          <w:sz w:val="24"/>
          <w:szCs w:val="24"/>
        </w:rPr>
        <w:t xml:space="preserve"> y 13</w:t>
      </w:r>
      <w:r w:rsidRPr="00AF1322">
        <w:rPr>
          <w:rFonts w:ascii="Bookman Old Style" w:hAnsi="Bookman Old Style"/>
          <w:b/>
          <w:sz w:val="24"/>
          <w:szCs w:val="24"/>
        </w:rPr>
        <w:t xml:space="preserve"> de la ley 1943 de 2018 y se establece el </w:t>
      </w:r>
      <w:r w:rsidR="00521040" w:rsidRPr="00AF1322">
        <w:rPr>
          <w:rFonts w:ascii="Bookman Old Style" w:hAnsi="Bookman Old Style"/>
          <w:b/>
          <w:sz w:val="24"/>
          <w:szCs w:val="24"/>
        </w:rPr>
        <w:t>IVA</w:t>
      </w:r>
      <w:r w:rsidRPr="00AF1322">
        <w:rPr>
          <w:rFonts w:ascii="Bookman Old Style" w:hAnsi="Bookman Old Style"/>
          <w:b/>
          <w:sz w:val="24"/>
          <w:szCs w:val="24"/>
        </w:rPr>
        <w:t xml:space="preserve"> para servicios financieros</w:t>
      </w:r>
      <w:r w:rsidR="003460AF" w:rsidRPr="00AF1322">
        <w:rPr>
          <w:rFonts w:ascii="Bookman Old Style" w:hAnsi="Bookman Old Style"/>
          <w:b/>
          <w:sz w:val="24"/>
          <w:szCs w:val="24"/>
        </w:rPr>
        <w:t>.</w:t>
      </w:r>
      <w:r>
        <w:rPr>
          <w:rFonts w:ascii="Bookman Old Style" w:hAnsi="Bookman Old Style"/>
          <w:b/>
          <w:sz w:val="24"/>
          <w:szCs w:val="24"/>
        </w:rPr>
        <w:t>”</w:t>
      </w:r>
    </w:p>
    <w:p w:rsidR="00487526" w:rsidRDefault="00487526" w:rsidP="00487526">
      <w:pPr>
        <w:autoSpaceDE w:val="0"/>
        <w:autoSpaceDN w:val="0"/>
        <w:adjustRightInd w:val="0"/>
        <w:spacing w:after="0" w:line="240" w:lineRule="auto"/>
        <w:jc w:val="both"/>
        <w:rPr>
          <w:rFonts w:ascii="Bookman Old Style" w:hAnsi="Bookman Old Style" w:cs="QuaySansITCTTBook"/>
          <w:sz w:val="24"/>
          <w:szCs w:val="24"/>
        </w:rPr>
      </w:pPr>
    </w:p>
    <w:p w:rsidR="00487526" w:rsidRDefault="00487526" w:rsidP="00487526">
      <w:pPr>
        <w:autoSpaceDE w:val="0"/>
        <w:autoSpaceDN w:val="0"/>
        <w:adjustRightInd w:val="0"/>
        <w:spacing w:after="0" w:line="240" w:lineRule="auto"/>
        <w:jc w:val="both"/>
        <w:rPr>
          <w:rFonts w:ascii="Bookman Old Style" w:hAnsi="Bookman Old Style" w:cs="QuaySansITCTTBook"/>
          <w:sz w:val="24"/>
          <w:szCs w:val="24"/>
        </w:rPr>
      </w:pPr>
    </w:p>
    <w:p w:rsidR="00487526" w:rsidRPr="003460AF" w:rsidRDefault="00487526" w:rsidP="00487526">
      <w:pPr>
        <w:pStyle w:val="Prrafodelista"/>
        <w:numPr>
          <w:ilvl w:val="0"/>
          <w:numId w:val="15"/>
        </w:numPr>
        <w:autoSpaceDE w:val="0"/>
        <w:autoSpaceDN w:val="0"/>
        <w:adjustRightInd w:val="0"/>
        <w:spacing w:after="0" w:line="240" w:lineRule="auto"/>
        <w:jc w:val="both"/>
        <w:rPr>
          <w:rFonts w:ascii="Bookman Old Style" w:hAnsi="Bookman Old Style" w:cs="QuaySansITCTTBook"/>
          <w:sz w:val="24"/>
          <w:szCs w:val="24"/>
        </w:rPr>
      </w:pPr>
      <w:r>
        <w:rPr>
          <w:rFonts w:ascii="Bookman Old Style" w:hAnsi="Bookman Old Style" w:cs="QuaySansITCTTBook"/>
          <w:sz w:val="24"/>
          <w:szCs w:val="24"/>
        </w:rPr>
        <w:t xml:space="preserve">Articulado </w:t>
      </w:r>
    </w:p>
    <w:p w:rsidR="00487526" w:rsidRDefault="00487526" w:rsidP="00487526">
      <w:pPr>
        <w:autoSpaceDE w:val="0"/>
        <w:autoSpaceDN w:val="0"/>
        <w:adjustRightInd w:val="0"/>
        <w:spacing w:after="0" w:line="240" w:lineRule="auto"/>
        <w:jc w:val="both"/>
        <w:rPr>
          <w:rFonts w:ascii="Bookman Old Style" w:hAnsi="Bookman Old Style" w:cs="QuaySansITCTTBook"/>
          <w:sz w:val="24"/>
          <w:szCs w:val="24"/>
        </w:rPr>
      </w:pPr>
    </w:p>
    <w:p w:rsidR="00487526" w:rsidRPr="00AF1322" w:rsidRDefault="00487526" w:rsidP="00487526">
      <w:pPr>
        <w:autoSpaceDE w:val="0"/>
        <w:autoSpaceDN w:val="0"/>
        <w:adjustRightInd w:val="0"/>
        <w:spacing w:after="0" w:line="240" w:lineRule="auto"/>
        <w:jc w:val="both"/>
        <w:rPr>
          <w:rFonts w:ascii="Bookman Old Style" w:hAnsi="Bookman Old Style" w:cs="QuaySansITCTTBook"/>
          <w:sz w:val="24"/>
          <w:szCs w:val="24"/>
        </w:rPr>
      </w:pPr>
    </w:p>
    <w:p w:rsidR="00487526" w:rsidRDefault="00487526" w:rsidP="00487526">
      <w:pPr>
        <w:autoSpaceDE w:val="0"/>
        <w:autoSpaceDN w:val="0"/>
        <w:adjustRightInd w:val="0"/>
        <w:spacing w:after="0" w:line="240" w:lineRule="auto"/>
        <w:jc w:val="both"/>
        <w:rPr>
          <w:rFonts w:ascii="Bookman Old Style" w:hAnsi="Bookman Old Style" w:cs="QuaySansITCTTBook"/>
          <w:sz w:val="24"/>
          <w:szCs w:val="24"/>
        </w:rPr>
      </w:pPr>
      <w:r w:rsidRPr="00487526">
        <w:rPr>
          <w:rFonts w:ascii="Bookman Old Style" w:hAnsi="Bookman Old Style" w:cs="QuaySansITCTTBook"/>
          <w:b/>
          <w:sz w:val="24"/>
          <w:szCs w:val="24"/>
        </w:rPr>
        <w:t>Artículo 1°.</w:t>
      </w:r>
      <w:r w:rsidRPr="00AF1322">
        <w:rPr>
          <w:rFonts w:ascii="Bookman Old Style" w:hAnsi="Bookman Old Style" w:cs="QuaySansITCTTBook"/>
          <w:sz w:val="24"/>
          <w:szCs w:val="24"/>
        </w:rPr>
        <w:t xml:space="preserve"> Objeto. Este proyecto de ley tiene como objeto </w:t>
      </w:r>
      <w:r>
        <w:rPr>
          <w:rFonts w:ascii="Bookman Old Style" w:hAnsi="Bookman Old Style" w:cs="QuaySansITCTTBook"/>
          <w:sz w:val="24"/>
          <w:szCs w:val="24"/>
        </w:rPr>
        <w:t xml:space="preserve">modificar los artículos 10 y 13 de la Ley 1943 de 2018 e incluir una tasa general de IVA del 19% a servicios financieros actualmente </w:t>
      </w:r>
      <w:proofErr w:type="spellStart"/>
      <w:r>
        <w:rPr>
          <w:rFonts w:ascii="Bookman Old Style" w:hAnsi="Bookman Old Style" w:cs="QuaySansITCTTBook"/>
          <w:sz w:val="24"/>
          <w:szCs w:val="24"/>
        </w:rPr>
        <w:t>excluídos</w:t>
      </w:r>
      <w:proofErr w:type="spellEnd"/>
      <w:r>
        <w:rPr>
          <w:rFonts w:ascii="Bookman Old Style" w:hAnsi="Bookman Old Style" w:cs="QuaySansITCTTBook"/>
          <w:sz w:val="24"/>
          <w:szCs w:val="24"/>
        </w:rPr>
        <w:t xml:space="preserve"> en el estatuto tributario.</w:t>
      </w:r>
    </w:p>
    <w:p w:rsidR="00487526" w:rsidRDefault="00487526" w:rsidP="00487526">
      <w:pPr>
        <w:autoSpaceDE w:val="0"/>
        <w:autoSpaceDN w:val="0"/>
        <w:adjustRightInd w:val="0"/>
        <w:spacing w:after="0" w:line="240" w:lineRule="auto"/>
        <w:jc w:val="both"/>
        <w:rPr>
          <w:rFonts w:ascii="Bookman Old Style" w:hAnsi="Bookman Old Style" w:cs="QuaySansITCTTBook"/>
          <w:sz w:val="24"/>
          <w:szCs w:val="24"/>
        </w:rPr>
      </w:pPr>
    </w:p>
    <w:p w:rsidR="00487526" w:rsidRPr="00AF1322" w:rsidRDefault="00487526" w:rsidP="00487526">
      <w:pPr>
        <w:autoSpaceDE w:val="0"/>
        <w:autoSpaceDN w:val="0"/>
        <w:adjustRightInd w:val="0"/>
        <w:spacing w:after="0" w:line="240" w:lineRule="auto"/>
        <w:jc w:val="both"/>
        <w:rPr>
          <w:rFonts w:ascii="Bookman Old Style" w:hAnsi="Bookman Old Style" w:cs="QuaySansITCTTBook"/>
          <w:sz w:val="24"/>
          <w:szCs w:val="24"/>
        </w:rPr>
      </w:pPr>
    </w:p>
    <w:p w:rsidR="00487526" w:rsidRDefault="00487526" w:rsidP="00487526">
      <w:pPr>
        <w:autoSpaceDE w:val="0"/>
        <w:autoSpaceDN w:val="0"/>
        <w:adjustRightInd w:val="0"/>
        <w:spacing w:after="0" w:line="240" w:lineRule="auto"/>
        <w:jc w:val="both"/>
        <w:rPr>
          <w:rFonts w:ascii="Bookman Old Style" w:hAnsi="Bookman Old Style"/>
          <w:sz w:val="24"/>
          <w:szCs w:val="24"/>
        </w:rPr>
      </w:pPr>
      <w:r w:rsidRPr="00487526">
        <w:rPr>
          <w:rFonts w:ascii="Bookman Old Style" w:hAnsi="Bookman Old Style" w:cs="QuaySansITCTTBook"/>
          <w:b/>
          <w:sz w:val="24"/>
          <w:szCs w:val="24"/>
        </w:rPr>
        <w:t>Artículo 2°.</w:t>
      </w:r>
      <w:r w:rsidRPr="00206B80">
        <w:rPr>
          <w:rFonts w:ascii="Bookman Old Style" w:hAnsi="Bookman Old Style" w:cs="QuaySansITCTTBook"/>
          <w:sz w:val="24"/>
          <w:szCs w:val="24"/>
        </w:rPr>
        <w:t xml:space="preserve"> </w:t>
      </w:r>
      <w:r>
        <w:rPr>
          <w:rFonts w:ascii="Bookman Old Style" w:hAnsi="Bookman Old Style" w:cs="QuaySansITCTTBook"/>
          <w:sz w:val="24"/>
          <w:szCs w:val="24"/>
        </w:rPr>
        <w:t>Elimíne</w:t>
      </w:r>
      <w:r w:rsidRPr="00206B80">
        <w:rPr>
          <w:rFonts w:ascii="Bookman Old Style" w:hAnsi="Bookman Old Style" w:cs="QuaySansITCTTBook"/>
          <w:sz w:val="24"/>
          <w:szCs w:val="24"/>
        </w:rPr>
        <w:t xml:space="preserve">se del artículo 10 de la Ley 1943 de 2018 los siguientes servicios </w:t>
      </w:r>
      <w:proofErr w:type="spellStart"/>
      <w:r w:rsidRPr="00206B80">
        <w:rPr>
          <w:rFonts w:ascii="Bookman Old Style" w:hAnsi="Bookman Old Style" w:cs="QuaySansITCTTBook"/>
          <w:sz w:val="24"/>
          <w:szCs w:val="24"/>
        </w:rPr>
        <w:t>excluídos</w:t>
      </w:r>
      <w:proofErr w:type="spellEnd"/>
      <w:r w:rsidRPr="00206B80">
        <w:rPr>
          <w:rFonts w:ascii="Bookman Old Style" w:hAnsi="Bookman Old Style" w:cs="QuaySansITCTTBook"/>
          <w:sz w:val="24"/>
          <w:szCs w:val="24"/>
        </w:rPr>
        <w:t xml:space="preserve"> de la tasa de impuesto a las ventas IVA: (i) Las comisiones percibidas por las sociedades fiduciarias y comisionistas de bolsa por la administración de fondos de inversión colectiva. (ii) </w:t>
      </w:r>
      <w:r w:rsidRPr="00206B80">
        <w:rPr>
          <w:rFonts w:ascii="Bookman Old Style" w:hAnsi="Bookman Old Style"/>
          <w:sz w:val="24"/>
          <w:szCs w:val="24"/>
        </w:rPr>
        <w:t>Las operaciones cambiarias de compra y venta de divisas, así como las operaciones cambiarias sobre instrumentos derivados financieros. (iii) Las comisiones percibidas por la utilización de tarjetas crédito y débito. (iv)  Los intereses y rendimientos financieros por operaciones de crédito, siempre que no formen parte de la base gravable señalada en el artículo 447, y el arrendamiento financiero (</w:t>
      </w:r>
      <w:proofErr w:type="spellStart"/>
      <w:r w:rsidRPr="00206B80">
        <w:rPr>
          <w:rFonts w:ascii="Bookman Old Style" w:hAnsi="Bookman Old Style"/>
          <w:sz w:val="24"/>
          <w:szCs w:val="24"/>
        </w:rPr>
        <w:t>Ieasing</w:t>
      </w:r>
      <w:proofErr w:type="spellEnd"/>
      <w:r w:rsidRPr="00206B80">
        <w:rPr>
          <w:rFonts w:ascii="Bookman Old Style" w:hAnsi="Bookman Old Style"/>
          <w:sz w:val="24"/>
          <w:szCs w:val="24"/>
        </w:rPr>
        <w:t>).</w:t>
      </w:r>
    </w:p>
    <w:p w:rsidR="00487526" w:rsidRDefault="00487526" w:rsidP="00487526">
      <w:pPr>
        <w:autoSpaceDE w:val="0"/>
        <w:autoSpaceDN w:val="0"/>
        <w:adjustRightInd w:val="0"/>
        <w:spacing w:after="0" w:line="240" w:lineRule="auto"/>
        <w:jc w:val="both"/>
        <w:rPr>
          <w:rFonts w:ascii="Bookman Old Style" w:hAnsi="Bookman Old Style"/>
          <w:sz w:val="24"/>
          <w:szCs w:val="24"/>
        </w:rPr>
      </w:pPr>
    </w:p>
    <w:p w:rsidR="00487526" w:rsidRPr="009753BA" w:rsidRDefault="00487526" w:rsidP="00487526">
      <w:pPr>
        <w:autoSpaceDE w:val="0"/>
        <w:autoSpaceDN w:val="0"/>
        <w:adjustRightInd w:val="0"/>
        <w:spacing w:after="0" w:line="240" w:lineRule="auto"/>
        <w:jc w:val="both"/>
        <w:rPr>
          <w:rFonts w:ascii="Bookman Old Style" w:hAnsi="Bookman Old Style"/>
          <w:sz w:val="24"/>
          <w:szCs w:val="24"/>
        </w:rPr>
      </w:pPr>
      <w:r w:rsidRPr="00487526">
        <w:rPr>
          <w:rFonts w:ascii="Bookman Old Style" w:hAnsi="Bookman Old Style"/>
          <w:b/>
          <w:sz w:val="24"/>
          <w:szCs w:val="24"/>
        </w:rPr>
        <w:t>Artículo 3</w:t>
      </w:r>
      <w:r w:rsidRPr="009753BA">
        <w:rPr>
          <w:rFonts w:ascii="Bookman Old Style" w:hAnsi="Bookman Old Style"/>
          <w:sz w:val="24"/>
          <w:szCs w:val="24"/>
        </w:rPr>
        <w:t>. Modifíquese el artículo 13 de la Ley 1943 de 2018 el cual quedará así:</w:t>
      </w:r>
    </w:p>
    <w:p w:rsidR="00487526" w:rsidRPr="009753BA" w:rsidRDefault="00487526" w:rsidP="00487526">
      <w:pPr>
        <w:autoSpaceDE w:val="0"/>
        <w:autoSpaceDN w:val="0"/>
        <w:adjustRightInd w:val="0"/>
        <w:spacing w:after="0" w:line="240" w:lineRule="auto"/>
        <w:jc w:val="both"/>
        <w:rPr>
          <w:rFonts w:ascii="Bookman Old Style" w:hAnsi="Bookman Old Style"/>
          <w:sz w:val="24"/>
          <w:szCs w:val="24"/>
        </w:rPr>
      </w:pPr>
    </w:p>
    <w:p w:rsidR="00487526" w:rsidRPr="009753BA" w:rsidRDefault="00487526" w:rsidP="00487526">
      <w:pPr>
        <w:autoSpaceDE w:val="0"/>
        <w:autoSpaceDN w:val="0"/>
        <w:adjustRightInd w:val="0"/>
        <w:spacing w:after="0" w:line="240" w:lineRule="auto"/>
        <w:ind w:left="708"/>
        <w:jc w:val="both"/>
        <w:rPr>
          <w:rFonts w:ascii="Bookman Old Style" w:hAnsi="Bookman Old Style"/>
          <w:sz w:val="24"/>
          <w:szCs w:val="24"/>
        </w:rPr>
      </w:pPr>
      <w:proofErr w:type="gramStart"/>
      <w:r w:rsidRPr="00487526">
        <w:rPr>
          <w:rFonts w:ascii="Bookman Old Style" w:hAnsi="Bookman Old Style"/>
          <w:sz w:val="24"/>
          <w:szCs w:val="24"/>
        </w:rPr>
        <w:t>Artículo  13</w:t>
      </w:r>
      <w:proofErr w:type="gramEnd"/>
      <w:r w:rsidRPr="00487526">
        <w:rPr>
          <w:rFonts w:ascii="Bookman Old Style" w:hAnsi="Bookman Old Style"/>
          <w:sz w:val="24"/>
          <w:szCs w:val="24"/>
        </w:rPr>
        <w:t>°.</w:t>
      </w:r>
      <w:r w:rsidRPr="009753BA">
        <w:rPr>
          <w:rFonts w:ascii="Bookman Old Style" w:hAnsi="Bookman Old Style"/>
          <w:sz w:val="24"/>
          <w:szCs w:val="24"/>
        </w:rPr>
        <w:t xml:space="preserve">  Modifíquese el inciso 1 del artículo 486-1 del Estatuto Tributario, el cual quedará así: </w:t>
      </w:r>
    </w:p>
    <w:p w:rsidR="00487526" w:rsidRPr="009753BA" w:rsidRDefault="00487526" w:rsidP="00487526">
      <w:pPr>
        <w:autoSpaceDE w:val="0"/>
        <w:autoSpaceDN w:val="0"/>
        <w:adjustRightInd w:val="0"/>
        <w:spacing w:after="0" w:line="240" w:lineRule="auto"/>
        <w:jc w:val="both"/>
        <w:rPr>
          <w:rFonts w:ascii="Bookman Old Style" w:hAnsi="Bookman Old Style"/>
          <w:sz w:val="24"/>
          <w:szCs w:val="24"/>
        </w:rPr>
      </w:pPr>
    </w:p>
    <w:p w:rsidR="00487526" w:rsidRDefault="00487526" w:rsidP="00487526">
      <w:pPr>
        <w:autoSpaceDE w:val="0"/>
        <w:autoSpaceDN w:val="0"/>
        <w:adjustRightInd w:val="0"/>
        <w:spacing w:after="0" w:line="240" w:lineRule="auto"/>
        <w:ind w:left="708"/>
        <w:jc w:val="both"/>
        <w:rPr>
          <w:rFonts w:ascii="Bookman Old Style" w:hAnsi="Bookman Old Style"/>
          <w:szCs w:val="24"/>
        </w:rPr>
      </w:pPr>
      <w:r>
        <w:rPr>
          <w:rFonts w:ascii="Bookman Old Style" w:hAnsi="Bookman Old Style"/>
          <w:szCs w:val="24"/>
        </w:rPr>
        <w:t>ARTÍCULO 486.1</w:t>
      </w:r>
      <w:r w:rsidRPr="009753BA">
        <w:rPr>
          <w:rFonts w:ascii="Bookman Old Style" w:hAnsi="Bookman Old Style"/>
          <w:szCs w:val="24"/>
        </w:rPr>
        <w:t>. </w:t>
      </w:r>
      <w:proofErr w:type="gramStart"/>
      <w:r w:rsidRPr="009753BA">
        <w:rPr>
          <w:rFonts w:ascii="Bookman Old Style" w:hAnsi="Bookman Old Style"/>
          <w:szCs w:val="24"/>
        </w:rPr>
        <w:t>DETERMINACIÓN  DEL</w:t>
      </w:r>
      <w:proofErr w:type="gramEnd"/>
      <w:r w:rsidRPr="009753BA">
        <w:rPr>
          <w:rFonts w:ascii="Bookman Old Style" w:hAnsi="Bookman Old Style"/>
          <w:szCs w:val="24"/>
        </w:rPr>
        <w:t xml:space="preserve"> IMPUESTO  EN  LOS SERVICIOS  FINANCIEROS.  En servicios financieros, el impuesto se determina aplicando la tarifa a la base gravable, integrada en cada operación, por el valor total de las comisiones y demás remuneraciones que perciba el responsable por los servicios prestados, independientemente de su </w:t>
      </w:r>
      <w:r w:rsidRPr="009753BA">
        <w:rPr>
          <w:rFonts w:ascii="Bookman Old Style" w:hAnsi="Bookman Old Style"/>
          <w:szCs w:val="24"/>
        </w:rPr>
        <w:lastRenderedPageBreak/>
        <w:t xml:space="preserve">denominación. Lo anterior no se aplica a los servicios contemplados </w:t>
      </w:r>
      <w:r w:rsidRPr="009753BA">
        <w:rPr>
          <w:rFonts w:ascii="Bookman Old Style" w:hAnsi="Bookman Old Style"/>
          <w:b/>
          <w:szCs w:val="24"/>
        </w:rPr>
        <w:t>en el numeral 2</w:t>
      </w:r>
      <w:r w:rsidRPr="009753BA">
        <w:rPr>
          <w:rFonts w:ascii="Bookman Old Style" w:hAnsi="Bookman Old Style"/>
          <w:szCs w:val="24"/>
        </w:rPr>
        <w:t xml:space="preserve"> del artículo 476 de este Estatuto, ni al servicio de seguros que seguirá rigiéndose por las disposiciones especiales contempladas en este Estatuto.</w:t>
      </w:r>
    </w:p>
    <w:p w:rsidR="00487526" w:rsidRPr="009753BA" w:rsidRDefault="00487526" w:rsidP="00487526">
      <w:pPr>
        <w:autoSpaceDE w:val="0"/>
        <w:autoSpaceDN w:val="0"/>
        <w:adjustRightInd w:val="0"/>
        <w:spacing w:after="0" w:line="240" w:lineRule="auto"/>
        <w:jc w:val="both"/>
        <w:rPr>
          <w:rFonts w:ascii="Bookman Old Style" w:hAnsi="Bookman Old Style"/>
          <w:b/>
          <w:szCs w:val="24"/>
        </w:rPr>
      </w:pPr>
    </w:p>
    <w:p w:rsidR="00487526" w:rsidRPr="009753BA" w:rsidRDefault="00487526" w:rsidP="00487526">
      <w:pPr>
        <w:autoSpaceDE w:val="0"/>
        <w:autoSpaceDN w:val="0"/>
        <w:adjustRightInd w:val="0"/>
        <w:spacing w:after="0" w:line="240" w:lineRule="auto"/>
        <w:jc w:val="both"/>
        <w:rPr>
          <w:rFonts w:ascii="Bookman Old Style" w:hAnsi="Bookman Old Style"/>
          <w:b/>
          <w:szCs w:val="24"/>
        </w:rPr>
      </w:pPr>
      <w:r w:rsidRPr="009753BA">
        <w:rPr>
          <w:rFonts w:ascii="Bookman Old Style" w:hAnsi="Bookman Old Style"/>
          <w:b/>
          <w:szCs w:val="24"/>
        </w:rPr>
        <w:t>Los servicios de intermediación financiera medidos indirectamente SIFMI y los servicios auxiliares de la intermediación financiera (bolsas, corredores, casas de cambio) serán gravados con una tasa general de IVA del 19%.</w:t>
      </w:r>
    </w:p>
    <w:p w:rsidR="00487526" w:rsidRDefault="00487526" w:rsidP="00487526">
      <w:pPr>
        <w:autoSpaceDE w:val="0"/>
        <w:autoSpaceDN w:val="0"/>
        <w:adjustRightInd w:val="0"/>
        <w:spacing w:after="0" w:line="240" w:lineRule="auto"/>
        <w:jc w:val="both"/>
        <w:rPr>
          <w:rFonts w:ascii="Bookman Old Style" w:hAnsi="Bookman Old Style"/>
          <w:sz w:val="24"/>
          <w:szCs w:val="24"/>
        </w:rPr>
      </w:pPr>
    </w:p>
    <w:p w:rsidR="00487526" w:rsidRDefault="00487526" w:rsidP="00487526">
      <w:pPr>
        <w:autoSpaceDE w:val="0"/>
        <w:autoSpaceDN w:val="0"/>
        <w:adjustRightInd w:val="0"/>
        <w:spacing w:after="0" w:line="240" w:lineRule="auto"/>
        <w:jc w:val="both"/>
        <w:rPr>
          <w:rFonts w:ascii="Bookman Old Style" w:hAnsi="Bookman Old Style"/>
          <w:b/>
          <w:sz w:val="24"/>
          <w:szCs w:val="24"/>
        </w:rPr>
      </w:pPr>
    </w:p>
    <w:p w:rsidR="00487526" w:rsidRDefault="00487526" w:rsidP="00487526">
      <w:pPr>
        <w:autoSpaceDE w:val="0"/>
        <w:autoSpaceDN w:val="0"/>
        <w:adjustRightInd w:val="0"/>
        <w:spacing w:after="0" w:line="240" w:lineRule="auto"/>
        <w:jc w:val="both"/>
        <w:rPr>
          <w:rFonts w:ascii="Bookman Old Style" w:hAnsi="Bookman Old Style"/>
          <w:sz w:val="24"/>
          <w:szCs w:val="24"/>
        </w:rPr>
      </w:pPr>
      <w:r w:rsidRPr="00487526">
        <w:rPr>
          <w:rFonts w:ascii="Bookman Old Style" w:hAnsi="Bookman Old Style"/>
          <w:b/>
          <w:sz w:val="24"/>
          <w:szCs w:val="24"/>
        </w:rPr>
        <w:t>Artículo 4.</w:t>
      </w:r>
      <w:r>
        <w:rPr>
          <w:rFonts w:ascii="Bookman Old Style" w:hAnsi="Bookman Old Style"/>
          <w:sz w:val="24"/>
          <w:szCs w:val="24"/>
        </w:rPr>
        <w:t xml:space="preserve"> En ningún caso las entidades financieras podrán establecer cargos adicionales al usuario o consumidor que impliquen trasladar el pago del impuesto por parte del ciudadano. </w:t>
      </w:r>
    </w:p>
    <w:p w:rsidR="00487526" w:rsidRDefault="00487526" w:rsidP="00487526">
      <w:pPr>
        <w:autoSpaceDE w:val="0"/>
        <w:autoSpaceDN w:val="0"/>
        <w:adjustRightInd w:val="0"/>
        <w:spacing w:after="0" w:line="240" w:lineRule="auto"/>
        <w:jc w:val="both"/>
        <w:rPr>
          <w:rFonts w:ascii="Bookman Old Style" w:hAnsi="Bookman Old Style"/>
          <w:sz w:val="24"/>
          <w:szCs w:val="24"/>
        </w:rPr>
      </w:pPr>
    </w:p>
    <w:p w:rsidR="00487526" w:rsidRDefault="00487526" w:rsidP="00487526">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Parágrafo: Las conductas que sean contrarias a lo establecido en esta ley serán castigadas y sancionadas fiscal y penalmente por la Contraloría General de la República y la Superintendencia Financiera. </w:t>
      </w:r>
    </w:p>
    <w:p w:rsidR="00487526" w:rsidRDefault="00487526" w:rsidP="00487526">
      <w:pPr>
        <w:autoSpaceDE w:val="0"/>
        <w:autoSpaceDN w:val="0"/>
        <w:adjustRightInd w:val="0"/>
        <w:spacing w:after="0" w:line="240" w:lineRule="auto"/>
        <w:jc w:val="both"/>
        <w:rPr>
          <w:rFonts w:ascii="Bookman Old Style" w:hAnsi="Bookman Old Style"/>
          <w:sz w:val="24"/>
          <w:szCs w:val="24"/>
        </w:rPr>
      </w:pPr>
    </w:p>
    <w:p w:rsidR="00487526" w:rsidRDefault="00487526" w:rsidP="00487526">
      <w:pPr>
        <w:autoSpaceDE w:val="0"/>
        <w:autoSpaceDN w:val="0"/>
        <w:adjustRightInd w:val="0"/>
        <w:spacing w:after="0" w:line="240" w:lineRule="auto"/>
        <w:jc w:val="both"/>
        <w:rPr>
          <w:rFonts w:ascii="Bookman Old Style" w:hAnsi="Bookman Old Style"/>
          <w:b/>
          <w:sz w:val="24"/>
          <w:szCs w:val="24"/>
        </w:rPr>
      </w:pPr>
    </w:p>
    <w:p w:rsidR="00487526" w:rsidRPr="00E842C5" w:rsidRDefault="00487526" w:rsidP="00487526">
      <w:pPr>
        <w:autoSpaceDE w:val="0"/>
        <w:autoSpaceDN w:val="0"/>
        <w:adjustRightInd w:val="0"/>
        <w:spacing w:after="0" w:line="240" w:lineRule="auto"/>
        <w:jc w:val="both"/>
        <w:rPr>
          <w:rFonts w:ascii="Bookman Old Style" w:hAnsi="Bookman Old Style"/>
          <w:sz w:val="24"/>
          <w:szCs w:val="24"/>
        </w:rPr>
      </w:pPr>
      <w:r w:rsidRPr="00487526">
        <w:rPr>
          <w:rFonts w:ascii="Bookman Old Style" w:hAnsi="Bookman Old Style"/>
          <w:b/>
          <w:sz w:val="24"/>
          <w:szCs w:val="24"/>
        </w:rPr>
        <w:t>Artículo 5</w:t>
      </w:r>
      <w:r>
        <w:rPr>
          <w:rFonts w:ascii="Bookman Old Style" w:hAnsi="Bookman Old Style"/>
          <w:sz w:val="24"/>
          <w:szCs w:val="24"/>
        </w:rPr>
        <w:t xml:space="preserve">. Los recursos obtenidos por la aplicación de la Tasa de IVA del 19% a los servicios financieros se </w:t>
      </w:r>
      <w:proofErr w:type="gramStart"/>
      <w:r>
        <w:rPr>
          <w:rFonts w:ascii="Bookman Old Style" w:hAnsi="Bookman Old Style"/>
          <w:sz w:val="24"/>
          <w:szCs w:val="24"/>
        </w:rPr>
        <w:t>trasladaran</w:t>
      </w:r>
      <w:proofErr w:type="gramEnd"/>
      <w:r>
        <w:rPr>
          <w:rFonts w:ascii="Bookman Old Style" w:hAnsi="Bookman Old Style"/>
          <w:sz w:val="24"/>
          <w:szCs w:val="24"/>
        </w:rPr>
        <w:t xml:space="preserve"> de manera prioritaria para financiar programas dedicados a la superación del hambre y la pobreza a través de las entidades y fondos establecidos para tal efecto por la Constitución y la Ley.</w:t>
      </w:r>
      <w:r w:rsidRPr="00AF1322">
        <w:rPr>
          <w:rFonts w:ascii="Bookman Old Style" w:hAnsi="Bookman Old Style" w:cs="QuaySansITCTTBook"/>
          <w:sz w:val="24"/>
          <w:szCs w:val="24"/>
        </w:rPr>
        <w:t xml:space="preserve"> </w:t>
      </w:r>
    </w:p>
    <w:p w:rsidR="00487526" w:rsidRPr="00AF1322" w:rsidRDefault="00487526" w:rsidP="00487526">
      <w:pPr>
        <w:autoSpaceDE w:val="0"/>
        <w:autoSpaceDN w:val="0"/>
        <w:adjustRightInd w:val="0"/>
        <w:spacing w:after="0" w:line="240" w:lineRule="auto"/>
        <w:jc w:val="both"/>
        <w:rPr>
          <w:rFonts w:ascii="Bookman Old Style" w:hAnsi="Bookman Old Style" w:cs="QuaySansITCTTBook"/>
          <w:sz w:val="24"/>
          <w:szCs w:val="24"/>
        </w:rPr>
      </w:pPr>
    </w:p>
    <w:p w:rsidR="00487526" w:rsidRPr="00AF1322" w:rsidRDefault="00487526" w:rsidP="00487526">
      <w:pPr>
        <w:autoSpaceDE w:val="0"/>
        <w:autoSpaceDN w:val="0"/>
        <w:adjustRightInd w:val="0"/>
        <w:spacing w:after="0" w:line="240" w:lineRule="auto"/>
        <w:jc w:val="both"/>
        <w:rPr>
          <w:rFonts w:ascii="Bookman Old Style" w:hAnsi="Bookman Old Style" w:cs="QuaySansITCTTBook"/>
          <w:sz w:val="24"/>
          <w:szCs w:val="24"/>
        </w:rPr>
      </w:pPr>
      <w:r w:rsidRPr="00487526">
        <w:rPr>
          <w:rFonts w:ascii="Bookman Old Style" w:hAnsi="Bookman Old Style" w:cs="QuaySansITCTTBook"/>
          <w:b/>
          <w:sz w:val="24"/>
          <w:szCs w:val="24"/>
        </w:rPr>
        <w:t>Artículo 6°.</w:t>
      </w:r>
      <w:r w:rsidRPr="00AF1322">
        <w:rPr>
          <w:rFonts w:ascii="Bookman Old Style" w:hAnsi="Bookman Old Style" w:cs="QuaySansITCTTBook"/>
          <w:sz w:val="24"/>
          <w:szCs w:val="24"/>
        </w:rPr>
        <w:t xml:space="preserve"> El </w:t>
      </w:r>
      <w:r>
        <w:rPr>
          <w:rFonts w:ascii="Bookman Old Style" w:hAnsi="Bookman Old Style" w:cs="QuaySansITCTTBook"/>
          <w:sz w:val="24"/>
          <w:szCs w:val="24"/>
        </w:rPr>
        <w:t>Director de la DIAN y el Ministro de Hacienda deberán</w:t>
      </w:r>
      <w:r w:rsidRPr="00AF1322">
        <w:rPr>
          <w:rFonts w:ascii="Bookman Old Style" w:hAnsi="Bookman Old Style" w:cs="QuaySansITCTTBook"/>
          <w:sz w:val="24"/>
          <w:szCs w:val="24"/>
        </w:rPr>
        <w:t xml:space="preserve"> rendir un informe en marzo de cada año, a las Comisiones Terceras </w:t>
      </w:r>
      <w:r>
        <w:rPr>
          <w:rFonts w:ascii="Bookman Old Style" w:hAnsi="Bookman Old Style" w:cs="QuaySansITCTTBook"/>
          <w:sz w:val="24"/>
          <w:szCs w:val="24"/>
        </w:rPr>
        <w:t xml:space="preserve">y cuartas </w:t>
      </w:r>
      <w:r w:rsidRPr="00AF1322">
        <w:rPr>
          <w:rFonts w:ascii="Bookman Old Style" w:hAnsi="Bookman Old Style" w:cs="QuaySansITCTTBook"/>
          <w:sz w:val="24"/>
          <w:szCs w:val="24"/>
        </w:rPr>
        <w:t>de Senado y Cámara sobre los montos y ejecución de los recurso</w:t>
      </w:r>
      <w:r>
        <w:rPr>
          <w:rFonts w:ascii="Bookman Old Style" w:hAnsi="Bookman Old Style" w:cs="QuaySansITCTTBook"/>
          <w:sz w:val="24"/>
          <w:szCs w:val="24"/>
        </w:rPr>
        <w:t xml:space="preserve">s obtenidos por la tasa de IVA a los servicios financieros. </w:t>
      </w:r>
      <w:r w:rsidRPr="00AF1322">
        <w:rPr>
          <w:rFonts w:ascii="Bookman Old Style" w:hAnsi="Bookman Old Style" w:cs="QuaySansITCTTBook"/>
          <w:sz w:val="24"/>
          <w:szCs w:val="24"/>
        </w:rPr>
        <w:t xml:space="preserve"> </w:t>
      </w:r>
    </w:p>
    <w:p w:rsidR="00487526" w:rsidRPr="00AF1322" w:rsidRDefault="00487526" w:rsidP="00487526">
      <w:pPr>
        <w:autoSpaceDE w:val="0"/>
        <w:autoSpaceDN w:val="0"/>
        <w:adjustRightInd w:val="0"/>
        <w:spacing w:after="0" w:line="240" w:lineRule="auto"/>
        <w:jc w:val="both"/>
        <w:rPr>
          <w:rFonts w:ascii="Bookman Old Style" w:hAnsi="Bookman Old Style" w:cs="QuaySansITCTTBook"/>
          <w:sz w:val="24"/>
          <w:szCs w:val="24"/>
        </w:rPr>
      </w:pPr>
    </w:p>
    <w:p w:rsidR="00487526" w:rsidRPr="00AF1322" w:rsidRDefault="00487526" w:rsidP="00487526">
      <w:pPr>
        <w:autoSpaceDE w:val="0"/>
        <w:autoSpaceDN w:val="0"/>
        <w:adjustRightInd w:val="0"/>
        <w:spacing w:after="0" w:line="240" w:lineRule="auto"/>
        <w:jc w:val="both"/>
        <w:rPr>
          <w:rFonts w:ascii="Bookman Old Style" w:hAnsi="Bookman Old Style" w:cs="QuaySansITCTTBook"/>
          <w:sz w:val="24"/>
          <w:szCs w:val="24"/>
        </w:rPr>
      </w:pPr>
      <w:r w:rsidRPr="00487526">
        <w:rPr>
          <w:rFonts w:ascii="Bookman Old Style" w:hAnsi="Bookman Old Style" w:cs="QuaySansITCTTBook"/>
          <w:b/>
          <w:sz w:val="24"/>
          <w:szCs w:val="24"/>
        </w:rPr>
        <w:t>Artículo 7°.</w:t>
      </w:r>
      <w:r w:rsidRPr="00AF1322">
        <w:rPr>
          <w:rFonts w:ascii="Bookman Old Style" w:hAnsi="Bookman Old Style" w:cs="QuaySansITCTTBook"/>
          <w:sz w:val="24"/>
          <w:szCs w:val="24"/>
        </w:rPr>
        <w:t xml:space="preserve"> Esta ley rige a partir de su promulgación. </w:t>
      </w:r>
    </w:p>
    <w:p w:rsidR="00487526" w:rsidRPr="00C479DF" w:rsidRDefault="00487526" w:rsidP="00487526">
      <w:pPr>
        <w:spacing w:after="0" w:line="240" w:lineRule="auto"/>
        <w:rPr>
          <w:rFonts w:ascii="Bookman Old Style" w:hAnsi="Bookman Old Style" w:cs="Arial"/>
          <w:b/>
          <w:sz w:val="24"/>
          <w:szCs w:val="24"/>
        </w:rPr>
      </w:pPr>
    </w:p>
    <w:p w:rsidR="00487526" w:rsidRDefault="00487526" w:rsidP="00487526">
      <w:pPr>
        <w:pStyle w:val="Textoindependiente"/>
        <w:ind w:right="105"/>
        <w:jc w:val="both"/>
        <w:rPr>
          <w:rFonts w:ascii="Bookman Old Style" w:hAnsi="Bookman Old Style" w:cs="Times New Roman"/>
        </w:rPr>
      </w:pPr>
    </w:p>
    <w:p w:rsidR="00487526" w:rsidRDefault="00487526" w:rsidP="00487526">
      <w:pPr>
        <w:pStyle w:val="Textoindependiente"/>
        <w:ind w:right="105"/>
        <w:jc w:val="both"/>
        <w:rPr>
          <w:rFonts w:ascii="Bookman Old Style" w:hAnsi="Bookman Old Style" w:cs="Times New Roman"/>
        </w:rPr>
      </w:pPr>
    </w:p>
    <w:p w:rsidR="00487526" w:rsidRPr="00C479DF" w:rsidRDefault="00487526" w:rsidP="00487526">
      <w:pPr>
        <w:pStyle w:val="Textoindependiente"/>
        <w:ind w:right="105"/>
        <w:jc w:val="both"/>
        <w:rPr>
          <w:rFonts w:ascii="Bookman Old Style" w:hAnsi="Bookman Old Style" w:cs="Times New Roman"/>
        </w:rPr>
      </w:pPr>
      <w:r w:rsidRPr="00C479DF">
        <w:rPr>
          <w:rFonts w:ascii="Bookman Old Style" w:hAnsi="Bookman Old Style" w:cs="Times New Roman"/>
        </w:rPr>
        <w:t xml:space="preserve">De </w:t>
      </w:r>
      <w:proofErr w:type="gramStart"/>
      <w:r w:rsidRPr="00C479DF">
        <w:rPr>
          <w:rFonts w:ascii="Bookman Old Style" w:hAnsi="Bookman Old Style" w:cs="Times New Roman"/>
        </w:rPr>
        <w:t>los  honorables</w:t>
      </w:r>
      <w:proofErr w:type="gramEnd"/>
      <w:r w:rsidRPr="00C479DF">
        <w:rPr>
          <w:rFonts w:ascii="Bookman Old Style" w:hAnsi="Bookman Old Style" w:cs="Times New Roman"/>
        </w:rPr>
        <w:t xml:space="preserve"> Congresistas;</w:t>
      </w:r>
    </w:p>
    <w:p w:rsidR="00487526" w:rsidRPr="00C479DF" w:rsidRDefault="00487526" w:rsidP="00487526">
      <w:pPr>
        <w:pStyle w:val="Textoindependiente"/>
        <w:ind w:left="120" w:right="105"/>
        <w:jc w:val="both"/>
        <w:rPr>
          <w:rFonts w:ascii="Bookman Old Style" w:hAnsi="Bookman Old Style" w:cs="Times New Roman"/>
        </w:rPr>
      </w:pPr>
    </w:p>
    <w:p w:rsidR="00487526" w:rsidRDefault="00487526" w:rsidP="00862584">
      <w:pPr>
        <w:adjustRightInd w:val="0"/>
        <w:spacing w:after="28"/>
        <w:jc w:val="center"/>
        <w:textAlignment w:val="center"/>
        <w:rPr>
          <w:rFonts w:ascii="Times New Roman" w:hAnsi="Times New Roman"/>
          <w:b/>
          <w:color w:val="000000"/>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87526" w:rsidRPr="004D4319" w:rsidTr="005D20E6">
        <w:tc>
          <w:tcPr>
            <w:tcW w:w="4414" w:type="dxa"/>
          </w:tcPr>
          <w:p w:rsidR="00487526" w:rsidRDefault="00487526" w:rsidP="005D20E6">
            <w:pPr>
              <w:pStyle w:val="Textoindependiente"/>
              <w:ind w:right="105"/>
              <w:jc w:val="both"/>
              <w:rPr>
                <w:rFonts w:ascii="Bookman Old Style" w:hAnsi="Bookman Old Style" w:cs="Times New Roman"/>
                <w:b/>
              </w:rPr>
            </w:pPr>
          </w:p>
          <w:p w:rsidR="00487526" w:rsidRDefault="00487526" w:rsidP="005D20E6">
            <w:pPr>
              <w:pStyle w:val="Textoindependiente"/>
              <w:ind w:right="105"/>
              <w:jc w:val="both"/>
              <w:rPr>
                <w:rFonts w:ascii="Bookman Old Style" w:hAnsi="Bookman Old Style" w:cs="Times New Roman"/>
                <w:b/>
              </w:rPr>
            </w:pPr>
          </w:p>
          <w:p w:rsidR="00487526" w:rsidRDefault="00487526" w:rsidP="005D20E6">
            <w:pPr>
              <w:pStyle w:val="Textoindependiente"/>
              <w:ind w:right="105"/>
              <w:jc w:val="both"/>
              <w:rPr>
                <w:rFonts w:ascii="Bookman Old Style" w:hAnsi="Bookman Old Style" w:cs="Times New Roman"/>
                <w:b/>
              </w:rPr>
            </w:pPr>
          </w:p>
          <w:p w:rsidR="00487526" w:rsidRDefault="00487526" w:rsidP="005D20E6">
            <w:pPr>
              <w:pStyle w:val="Textoindependiente"/>
              <w:ind w:right="105"/>
              <w:jc w:val="both"/>
              <w:rPr>
                <w:rFonts w:ascii="Bookman Old Style" w:hAnsi="Bookman Old Style" w:cs="Times New Roman"/>
                <w:b/>
              </w:rPr>
            </w:pPr>
          </w:p>
          <w:p w:rsidR="00487526" w:rsidRPr="004D4319" w:rsidRDefault="00487526" w:rsidP="005D20E6">
            <w:pPr>
              <w:pStyle w:val="Textoindependiente"/>
              <w:ind w:right="105"/>
              <w:jc w:val="both"/>
              <w:rPr>
                <w:rFonts w:ascii="Bookman Old Style" w:hAnsi="Bookman Old Style" w:cs="Times New Roman"/>
                <w:b/>
              </w:rPr>
            </w:pPr>
            <w:r w:rsidRPr="004D4319">
              <w:rPr>
                <w:rFonts w:ascii="Bookman Old Style" w:hAnsi="Bookman Old Style" w:cs="Times New Roman"/>
                <w:b/>
              </w:rPr>
              <w:t xml:space="preserve">JOHN MILTON RODRÍGUEZ </w:t>
            </w:r>
          </w:p>
          <w:p w:rsidR="00487526" w:rsidRPr="004D4319" w:rsidRDefault="00487526" w:rsidP="005D20E6">
            <w:pPr>
              <w:spacing w:after="0" w:line="240" w:lineRule="auto"/>
              <w:rPr>
                <w:rFonts w:ascii="Bookman Old Style" w:hAnsi="Bookman Old Style"/>
                <w:sz w:val="24"/>
                <w:szCs w:val="24"/>
              </w:rPr>
            </w:pPr>
            <w:r w:rsidRPr="004D4319">
              <w:rPr>
                <w:rFonts w:ascii="Bookman Old Style" w:hAnsi="Bookman Old Style"/>
                <w:sz w:val="24"/>
                <w:szCs w:val="24"/>
              </w:rPr>
              <w:t>Honorable Senador de la República</w:t>
            </w:r>
          </w:p>
          <w:p w:rsidR="00487526" w:rsidRPr="004D4319" w:rsidRDefault="00487526" w:rsidP="005D20E6">
            <w:pPr>
              <w:spacing w:after="0" w:line="240" w:lineRule="auto"/>
              <w:rPr>
                <w:rFonts w:ascii="Bookman Old Style" w:hAnsi="Bookman Old Style"/>
                <w:sz w:val="24"/>
                <w:szCs w:val="24"/>
              </w:rPr>
            </w:pPr>
            <w:r w:rsidRPr="004D4319">
              <w:rPr>
                <w:rFonts w:ascii="Bookman Old Style" w:hAnsi="Bookman Old Style"/>
                <w:sz w:val="24"/>
                <w:szCs w:val="24"/>
              </w:rPr>
              <w:t>Partido Colombia Justa Libres</w:t>
            </w:r>
          </w:p>
        </w:tc>
        <w:tc>
          <w:tcPr>
            <w:tcW w:w="4414" w:type="dxa"/>
          </w:tcPr>
          <w:p w:rsidR="00487526" w:rsidRDefault="00487526" w:rsidP="005D20E6">
            <w:pPr>
              <w:pStyle w:val="Textoindependiente"/>
              <w:ind w:right="105"/>
              <w:jc w:val="both"/>
              <w:rPr>
                <w:rFonts w:ascii="Bookman Old Style" w:hAnsi="Bookman Old Style" w:cs="Times New Roman"/>
                <w:b/>
              </w:rPr>
            </w:pPr>
          </w:p>
          <w:p w:rsidR="00487526" w:rsidRDefault="00487526" w:rsidP="005D20E6">
            <w:pPr>
              <w:pStyle w:val="Textoindependiente"/>
              <w:ind w:right="105"/>
              <w:jc w:val="both"/>
              <w:rPr>
                <w:rFonts w:ascii="Bookman Old Style" w:hAnsi="Bookman Old Style" w:cs="Times New Roman"/>
                <w:b/>
              </w:rPr>
            </w:pPr>
          </w:p>
          <w:p w:rsidR="00487526" w:rsidRDefault="00487526" w:rsidP="005D20E6">
            <w:pPr>
              <w:pStyle w:val="Textoindependiente"/>
              <w:ind w:right="105"/>
              <w:jc w:val="both"/>
              <w:rPr>
                <w:rFonts w:ascii="Bookman Old Style" w:hAnsi="Bookman Old Style" w:cs="Times New Roman"/>
                <w:b/>
              </w:rPr>
            </w:pPr>
          </w:p>
          <w:p w:rsidR="00487526" w:rsidRDefault="00487526" w:rsidP="005D20E6">
            <w:pPr>
              <w:pStyle w:val="Textoindependiente"/>
              <w:ind w:right="105"/>
              <w:jc w:val="both"/>
              <w:rPr>
                <w:rFonts w:ascii="Bookman Old Style" w:hAnsi="Bookman Old Style" w:cs="Times New Roman"/>
                <w:b/>
              </w:rPr>
            </w:pPr>
          </w:p>
          <w:p w:rsidR="00487526" w:rsidRPr="004D4319" w:rsidRDefault="00487526" w:rsidP="005D20E6">
            <w:pPr>
              <w:pStyle w:val="Textoindependiente"/>
              <w:ind w:right="105"/>
              <w:jc w:val="both"/>
              <w:rPr>
                <w:rFonts w:ascii="Bookman Old Style" w:hAnsi="Bookman Old Style" w:cs="Times New Roman"/>
                <w:b/>
              </w:rPr>
            </w:pPr>
            <w:r w:rsidRPr="004D4319">
              <w:rPr>
                <w:rFonts w:ascii="Bookman Old Style" w:hAnsi="Bookman Old Style" w:cs="Times New Roman"/>
                <w:b/>
              </w:rPr>
              <w:t>EDGAR PALACIO MIZRAHI</w:t>
            </w:r>
          </w:p>
          <w:p w:rsidR="00487526" w:rsidRPr="004D4319" w:rsidRDefault="00487526" w:rsidP="005D20E6">
            <w:pPr>
              <w:spacing w:after="0" w:line="240" w:lineRule="auto"/>
              <w:rPr>
                <w:rFonts w:ascii="Bookman Old Style" w:hAnsi="Bookman Old Style"/>
                <w:sz w:val="24"/>
                <w:szCs w:val="24"/>
              </w:rPr>
            </w:pPr>
            <w:r w:rsidRPr="004D4319">
              <w:rPr>
                <w:rFonts w:ascii="Bookman Old Style" w:hAnsi="Bookman Old Style"/>
                <w:sz w:val="24"/>
                <w:szCs w:val="24"/>
              </w:rPr>
              <w:t>Honorable Senador de la República</w:t>
            </w:r>
          </w:p>
          <w:p w:rsidR="00487526" w:rsidRPr="004D4319" w:rsidRDefault="00487526" w:rsidP="00487526">
            <w:pPr>
              <w:spacing w:after="0" w:line="240" w:lineRule="auto"/>
              <w:rPr>
                <w:rFonts w:ascii="Bookman Old Style" w:hAnsi="Bookman Old Style"/>
              </w:rPr>
            </w:pPr>
            <w:r w:rsidRPr="004D4319">
              <w:rPr>
                <w:rFonts w:ascii="Bookman Old Style" w:hAnsi="Bookman Old Style"/>
                <w:sz w:val="24"/>
                <w:szCs w:val="24"/>
              </w:rPr>
              <w:t>Partido Colombia Justa Libres</w:t>
            </w:r>
          </w:p>
          <w:p w:rsidR="00487526" w:rsidRPr="004D4319" w:rsidRDefault="00487526" w:rsidP="005D20E6">
            <w:pPr>
              <w:pStyle w:val="Textoindependiente"/>
              <w:ind w:left="120" w:right="105"/>
              <w:jc w:val="both"/>
              <w:rPr>
                <w:rFonts w:ascii="Bookman Old Style" w:hAnsi="Bookman Old Style" w:cs="Times New Roman"/>
              </w:rPr>
            </w:pPr>
          </w:p>
          <w:p w:rsidR="00487526" w:rsidRPr="004D4319" w:rsidRDefault="00487526" w:rsidP="005D20E6">
            <w:pPr>
              <w:pStyle w:val="Textoindependiente"/>
              <w:ind w:right="105"/>
              <w:jc w:val="both"/>
              <w:rPr>
                <w:rFonts w:ascii="Bookman Old Style" w:hAnsi="Bookman Old Style" w:cs="Times New Roman"/>
              </w:rPr>
            </w:pPr>
          </w:p>
        </w:tc>
      </w:tr>
      <w:tr w:rsidR="00487526" w:rsidRPr="004D4319" w:rsidTr="005D20E6">
        <w:tc>
          <w:tcPr>
            <w:tcW w:w="4414" w:type="dxa"/>
          </w:tcPr>
          <w:p w:rsidR="00487526" w:rsidRDefault="00487526" w:rsidP="005D20E6">
            <w:pPr>
              <w:pStyle w:val="Textoindependiente"/>
              <w:ind w:right="105"/>
              <w:jc w:val="both"/>
              <w:rPr>
                <w:rFonts w:ascii="Bookman Old Style" w:hAnsi="Bookman Old Style" w:cs="Times New Roman"/>
                <w:b/>
              </w:rPr>
            </w:pPr>
          </w:p>
          <w:p w:rsidR="00487526" w:rsidRDefault="00487526" w:rsidP="005D20E6">
            <w:pPr>
              <w:pStyle w:val="Textoindependiente"/>
              <w:ind w:right="105"/>
              <w:jc w:val="both"/>
              <w:rPr>
                <w:rFonts w:ascii="Bookman Old Style" w:hAnsi="Bookman Old Style" w:cs="Times New Roman"/>
                <w:b/>
              </w:rPr>
            </w:pPr>
          </w:p>
          <w:p w:rsidR="00487526" w:rsidRPr="004D4319" w:rsidRDefault="00487526" w:rsidP="005D20E6">
            <w:pPr>
              <w:pStyle w:val="Textoindependiente"/>
              <w:ind w:right="105"/>
              <w:jc w:val="both"/>
              <w:rPr>
                <w:rFonts w:ascii="Bookman Old Style" w:hAnsi="Bookman Old Style" w:cs="Times New Roman"/>
                <w:b/>
              </w:rPr>
            </w:pPr>
            <w:r w:rsidRPr="004D4319">
              <w:rPr>
                <w:rFonts w:ascii="Bookman Old Style" w:hAnsi="Bookman Old Style" w:cs="Times New Roman"/>
                <w:b/>
              </w:rPr>
              <w:t xml:space="preserve">EDUARDO EMILIO PACHECO </w:t>
            </w:r>
          </w:p>
          <w:p w:rsidR="00487526" w:rsidRPr="004D4319" w:rsidRDefault="00487526" w:rsidP="005D20E6">
            <w:pPr>
              <w:spacing w:after="0" w:line="240" w:lineRule="auto"/>
              <w:rPr>
                <w:rFonts w:ascii="Bookman Old Style" w:hAnsi="Bookman Old Style"/>
                <w:sz w:val="24"/>
                <w:szCs w:val="24"/>
              </w:rPr>
            </w:pPr>
            <w:r w:rsidRPr="004D4319">
              <w:rPr>
                <w:rFonts w:ascii="Bookman Old Style" w:hAnsi="Bookman Old Style"/>
                <w:sz w:val="24"/>
                <w:szCs w:val="24"/>
              </w:rPr>
              <w:t>Honorable Senador de la República</w:t>
            </w:r>
          </w:p>
          <w:p w:rsidR="00487526" w:rsidRPr="004D4319" w:rsidRDefault="00487526" w:rsidP="005D20E6">
            <w:pPr>
              <w:spacing w:after="0" w:line="240" w:lineRule="auto"/>
              <w:rPr>
                <w:rFonts w:ascii="Bookman Old Style" w:hAnsi="Bookman Old Style"/>
                <w:b/>
                <w:sz w:val="24"/>
                <w:szCs w:val="24"/>
              </w:rPr>
            </w:pPr>
            <w:r w:rsidRPr="004D4319">
              <w:rPr>
                <w:rFonts w:ascii="Bookman Old Style" w:hAnsi="Bookman Old Style"/>
                <w:sz w:val="24"/>
                <w:szCs w:val="24"/>
              </w:rPr>
              <w:t>Partido Colombia Justa Libres</w:t>
            </w:r>
            <w:r w:rsidRPr="004D4319">
              <w:rPr>
                <w:rFonts w:ascii="Bookman Old Style" w:hAnsi="Bookman Old Style"/>
                <w:b/>
                <w:sz w:val="24"/>
                <w:szCs w:val="24"/>
              </w:rPr>
              <w:t xml:space="preserve"> </w:t>
            </w:r>
          </w:p>
          <w:p w:rsidR="00487526" w:rsidRPr="004D4319" w:rsidRDefault="00487526" w:rsidP="005D20E6">
            <w:pPr>
              <w:pStyle w:val="Textoindependiente"/>
              <w:ind w:right="105"/>
              <w:jc w:val="both"/>
              <w:rPr>
                <w:rFonts w:ascii="Bookman Old Style" w:hAnsi="Bookman Old Style" w:cs="Times New Roman"/>
              </w:rPr>
            </w:pPr>
          </w:p>
        </w:tc>
        <w:tc>
          <w:tcPr>
            <w:tcW w:w="4414" w:type="dxa"/>
          </w:tcPr>
          <w:p w:rsidR="00487526" w:rsidRDefault="00487526" w:rsidP="005D20E6">
            <w:pPr>
              <w:spacing w:after="0" w:line="240" w:lineRule="auto"/>
              <w:rPr>
                <w:rFonts w:ascii="Bookman Old Style" w:hAnsi="Bookman Old Style"/>
                <w:b/>
                <w:sz w:val="24"/>
                <w:szCs w:val="24"/>
              </w:rPr>
            </w:pPr>
          </w:p>
          <w:p w:rsidR="00487526" w:rsidRDefault="00487526" w:rsidP="005D20E6">
            <w:pPr>
              <w:spacing w:after="0" w:line="240" w:lineRule="auto"/>
              <w:rPr>
                <w:rFonts w:ascii="Bookman Old Style" w:hAnsi="Bookman Old Style"/>
                <w:b/>
                <w:sz w:val="24"/>
                <w:szCs w:val="24"/>
              </w:rPr>
            </w:pPr>
          </w:p>
          <w:p w:rsidR="00487526" w:rsidRPr="004D4319" w:rsidRDefault="00487526" w:rsidP="005D20E6">
            <w:pPr>
              <w:spacing w:after="0" w:line="240" w:lineRule="auto"/>
              <w:rPr>
                <w:rFonts w:ascii="Bookman Old Style" w:hAnsi="Bookman Old Style"/>
                <w:sz w:val="24"/>
                <w:szCs w:val="24"/>
              </w:rPr>
            </w:pPr>
            <w:r w:rsidRPr="004D4319">
              <w:rPr>
                <w:rFonts w:ascii="Bookman Old Style" w:hAnsi="Bookman Old Style"/>
                <w:b/>
                <w:sz w:val="24"/>
                <w:szCs w:val="24"/>
              </w:rPr>
              <w:t>CARLOS EDUARDO ACOSTA</w:t>
            </w:r>
          </w:p>
          <w:p w:rsidR="00487526" w:rsidRPr="004D4319" w:rsidRDefault="00487526" w:rsidP="005D20E6">
            <w:pPr>
              <w:pStyle w:val="Textoindependiente"/>
              <w:ind w:right="105"/>
              <w:jc w:val="both"/>
              <w:rPr>
                <w:rFonts w:ascii="Bookman Old Style" w:hAnsi="Bookman Old Style" w:cs="Times New Roman"/>
              </w:rPr>
            </w:pPr>
            <w:r w:rsidRPr="004D4319">
              <w:rPr>
                <w:rFonts w:ascii="Bookman Old Style" w:hAnsi="Bookman Old Style"/>
              </w:rPr>
              <w:t>Honorable</w:t>
            </w:r>
            <w:r w:rsidRPr="004D4319">
              <w:rPr>
                <w:rFonts w:ascii="Bookman Old Style" w:hAnsi="Bookman Old Style" w:cs="Times New Roman"/>
              </w:rPr>
              <w:t xml:space="preserve"> Representante a la Cámara</w:t>
            </w:r>
          </w:p>
          <w:p w:rsidR="00487526" w:rsidRPr="004D4319" w:rsidRDefault="00487526" w:rsidP="005D20E6">
            <w:pPr>
              <w:spacing w:after="0" w:line="240" w:lineRule="auto"/>
              <w:rPr>
                <w:rFonts w:ascii="Bookman Old Style" w:hAnsi="Bookman Old Style"/>
                <w:sz w:val="24"/>
                <w:szCs w:val="24"/>
              </w:rPr>
            </w:pPr>
            <w:r w:rsidRPr="004D4319">
              <w:rPr>
                <w:rFonts w:ascii="Bookman Old Style" w:hAnsi="Bookman Old Style"/>
                <w:sz w:val="24"/>
                <w:szCs w:val="24"/>
              </w:rPr>
              <w:t>Partido Colombia Justa Libres</w:t>
            </w:r>
            <w:r w:rsidRPr="004D4319">
              <w:rPr>
                <w:rFonts w:ascii="Bookman Old Style" w:hAnsi="Bookman Old Style"/>
                <w:b/>
                <w:sz w:val="24"/>
                <w:szCs w:val="24"/>
              </w:rPr>
              <w:t xml:space="preserve"> </w:t>
            </w:r>
          </w:p>
          <w:p w:rsidR="00487526" w:rsidRPr="004D4319" w:rsidRDefault="00487526" w:rsidP="005D20E6">
            <w:pPr>
              <w:pStyle w:val="Textoindependiente"/>
              <w:ind w:right="105"/>
              <w:jc w:val="both"/>
              <w:rPr>
                <w:rFonts w:ascii="Bookman Old Style" w:hAnsi="Bookman Old Style" w:cs="Times New Roman"/>
              </w:rPr>
            </w:pPr>
          </w:p>
        </w:tc>
      </w:tr>
    </w:tbl>
    <w:p w:rsidR="00487526" w:rsidRDefault="00487526" w:rsidP="00862584">
      <w:pPr>
        <w:adjustRightInd w:val="0"/>
        <w:spacing w:after="28"/>
        <w:jc w:val="center"/>
        <w:textAlignment w:val="center"/>
        <w:rPr>
          <w:rFonts w:ascii="Times New Roman" w:hAnsi="Times New Roman"/>
          <w:b/>
          <w:color w:val="000000"/>
          <w:sz w:val="24"/>
          <w:szCs w:val="24"/>
          <w:lang w:val="es-ES_tradnl"/>
        </w:rPr>
      </w:pPr>
    </w:p>
    <w:p w:rsidR="00487526" w:rsidRPr="005004F3" w:rsidRDefault="00487526" w:rsidP="00862584">
      <w:pPr>
        <w:adjustRightInd w:val="0"/>
        <w:spacing w:after="28"/>
        <w:jc w:val="center"/>
        <w:textAlignment w:val="center"/>
        <w:rPr>
          <w:rFonts w:ascii="Times New Roman" w:hAnsi="Times New Roman"/>
          <w:b/>
          <w:color w:val="000000"/>
          <w:sz w:val="24"/>
          <w:szCs w:val="24"/>
          <w:lang w:val="es-ES_tradnl"/>
        </w:rPr>
      </w:pPr>
    </w:p>
    <w:p w:rsidR="00862584" w:rsidRPr="00AF1322" w:rsidRDefault="00862584" w:rsidP="00862584">
      <w:pPr>
        <w:pStyle w:val="Prrafodelista"/>
        <w:numPr>
          <w:ilvl w:val="0"/>
          <w:numId w:val="15"/>
        </w:numPr>
        <w:spacing w:after="160" w:line="259" w:lineRule="auto"/>
        <w:jc w:val="both"/>
        <w:rPr>
          <w:rFonts w:ascii="Bookman Old Style" w:hAnsi="Bookman Old Style"/>
          <w:color w:val="393939"/>
          <w:sz w:val="24"/>
          <w:szCs w:val="24"/>
        </w:rPr>
      </w:pPr>
      <w:r>
        <w:rPr>
          <w:rFonts w:ascii="Bookman Old Style" w:hAnsi="Bookman Old Style"/>
          <w:color w:val="393939"/>
          <w:sz w:val="24"/>
          <w:szCs w:val="24"/>
        </w:rPr>
        <w:t>Exposición de motivos</w:t>
      </w:r>
    </w:p>
    <w:p w:rsidR="00862584" w:rsidRDefault="00862584" w:rsidP="00862584">
      <w:pPr>
        <w:jc w:val="both"/>
        <w:rPr>
          <w:rFonts w:ascii="Bookman Old Style" w:hAnsi="Bookman Old Style"/>
          <w:color w:val="393939"/>
          <w:sz w:val="24"/>
          <w:szCs w:val="24"/>
        </w:rPr>
      </w:pPr>
      <w:r>
        <w:rPr>
          <w:rFonts w:ascii="Bookman Old Style" w:hAnsi="Bookman Old Style"/>
          <w:color w:val="393939"/>
          <w:sz w:val="24"/>
          <w:szCs w:val="24"/>
        </w:rPr>
        <w:t>La desigualdad y la pobreza</w:t>
      </w:r>
    </w:p>
    <w:p w:rsidR="00862584" w:rsidRPr="00502985" w:rsidRDefault="00862584" w:rsidP="00862584">
      <w:pPr>
        <w:jc w:val="both"/>
        <w:rPr>
          <w:rFonts w:ascii="Bookman Old Style" w:hAnsi="Bookman Old Style" w:cs="Raleway"/>
          <w:color w:val="000000"/>
          <w:sz w:val="24"/>
          <w:szCs w:val="24"/>
        </w:rPr>
      </w:pPr>
      <w:r w:rsidRPr="00502985">
        <w:rPr>
          <w:rFonts w:ascii="Bookman Old Style" w:hAnsi="Bookman Old Style"/>
          <w:color w:val="393939"/>
          <w:sz w:val="24"/>
          <w:szCs w:val="24"/>
        </w:rPr>
        <w:t xml:space="preserve">En el más reciente encuentro del Foro Económico Mundial de Davos se dieron a conocer los resultados del estudio sobre desigualdad que cada año realiza Oxfam. Allí se reveló que durante el 2018 se produjo el mayor aumento del número de multimillonarios de la historia, que ascendió hasta 2043 personas cuyo patrimonio es superior a los mil millones de dólares, lo que significa que el 82 </w:t>
      </w:r>
      <w:r w:rsidRPr="00502985">
        <w:rPr>
          <w:rFonts w:ascii="Bookman Old Style" w:hAnsi="Bookman Old Style" w:cs="Raleway"/>
          <w:color w:val="000000"/>
          <w:sz w:val="24"/>
          <w:szCs w:val="24"/>
        </w:rPr>
        <w:t>% de la riqueza mundial se concentró en el 1 % más rico, mientras que el 50 % más pobre de la po</w:t>
      </w:r>
      <w:r w:rsidRPr="00502985">
        <w:rPr>
          <w:rFonts w:ascii="Bookman Old Style" w:hAnsi="Bookman Old Style" w:cs="Raleway"/>
          <w:color w:val="000000"/>
          <w:sz w:val="24"/>
          <w:szCs w:val="24"/>
        </w:rPr>
        <w:softHyphen/>
        <w:t>blación no recibió nada del crecimiento del último año. Por el lado de América Latina y el Caribe el 1 % concentró el 37 % de la riqueza, mientras el 50 % más pobre sólo accedió al 3,5 %. (Justicia Tributaria, 2017).</w:t>
      </w:r>
    </w:p>
    <w:p w:rsidR="00862584" w:rsidRPr="00502985" w:rsidRDefault="00862584" w:rsidP="00862584">
      <w:pPr>
        <w:jc w:val="both"/>
        <w:rPr>
          <w:rFonts w:ascii="Bookman Old Style" w:hAnsi="Bookman Old Style" w:cs="Raleway"/>
          <w:color w:val="000000"/>
          <w:sz w:val="24"/>
          <w:szCs w:val="24"/>
        </w:rPr>
      </w:pPr>
      <w:r w:rsidRPr="00502985">
        <w:rPr>
          <w:rFonts w:ascii="Bookman Old Style" w:hAnsi="Bookman Old Style" w:cs="Raleway"/>
          <w:color w:val="000000"/>
          <w:sz w:val="24"/>
          <w:szCs w:val="24"/>
        </w:rPr>
        <w:t xml:space="preserve">En Colombia el cumulo de políticas fiscales regresivas en materia tributaria e ineficiente en materia de gasto público, explica que el ingreso del 30% más </w:t>
      </w:r>
      <w:r w:rsidRPr="00502985">
        <w:rPr>
          <w:rFonts w:ascii="Bookman Old Style" w:hAnsi="Bookman Old Style" w:cs="Raleway"/>
          <w:color w:val="000000"/>
          <w:sz w:val="24"/>
          <w:szCs w:val="24"/>
        </w:rPr>
        <w:lastRenderedPageBreak/>
        <w:t>rico de la población (con ingresos sumados de $ 28.111.835 mensuales) sea 13 veces superior al del 30% más pobre (con ingresos sumados de $ 2.190.405), así como que ese 30% más rico concentra el 69,3% del ingreso nacional, mientras el 30% más pobre solo obtiene el 5,4% del ingreso nacional. (Ibídem).</w:t>
      </w:r>
    </w:p>
    <w:p w:rsidR="00862584" w:rsidRPr="00502985" w:rsidRDefault="00862584" w:rsidP="00862584">
      <w:pPr>
        <w:autoSpaceDE w:val="0"/>
        <w:autoSpaceDN w:val="0"/>
        <w:adjustRightInd w:val="0"/>
        <w:spacing w:after="0" w:line="240" w:lineRule="auto"/>
        <w:jc w:val="both"/>
        <w:rPr>
          <w:rFonts w:ascii="Bookman Old Style" w:hAnsi="Bookman Old Style" w:cs="Raleway-Regular"/>
          <w:sz w:val="24"/>
          <w:szCs w:val="24"/>
        </w:rPr>
      </w:pPr>
      <w:r w:rsidRPr="00502985">
        <w:rPr>
          <w:rFonts w:ascii="Bookman Old Style" w:hAnsi="Bookman Old Style" w:cs="Raleway-Regular"/>
          <w:sz w:val="24"/>
          <w:szCs w:val="24"/>
        </w:rPr>
        <w:t>Además, es posible ver que tan solo el 20% de los hogares se lleva el 57,3% del ingreso total del país, mientras que el restante 42,7% es distribuido (no equitativamente) entre el 80% de los hogares, siendo el decil 1 (o 10% más pobre) de los hogares quienes menos concentran ingreso, con tan solo el 0,4%.</w:t>
      </w:r>
    </w:p>
    <w:p w:rsidR="00862584" w:rsidRPr="00502985" w:rsidRDefault="00862584" w:rsidP="00862584">
      <w:pPr>
        <w:autoSpaceDE w:val="0"/>
        <w:autoSpaceDN w:val="0"/>
        <w:adjustRightInd w:val="0"/>
        <w:spacing w:after="0" w:line="240" w:lineRule="auto"/>
        <w:jc w:val="both"/>
        <w:rPr>
          <w:rFonts w:ascii="Bookman Old Style" w:hAnsi="Bookman Old Style" w:cs="Raleway-Regular"/>
          <w:sz w:val="24"/>
          <w:szCs w:val="24"/>
        </w:rPr>
      </w:pPr>
    </w:p>
    <w:p w:rsidR="00862584" w:rsidRPr="00502985" w:rsidRDefault="00862584" w:rsidP="00862584">
      <w:pPr>
        <w:autoSpaceDE w:val="0"/>
        <w:autoSpaceDN w:val="0"/>
        <w:adjustRightInd w:val="0"/>
        <w:spacing w:after="0" w:line="240" w:lineRule="auto"/>
        <w:jc w:val="both"/>
        <w:rPr>
          <w:rFonts w:ascii="Bookman Old Style" w:hAnsi="Bookman Old Style" w:cs="Raleway-Regular"/>
          <w:sz w:val="24"/>
          <w:szCs w:val="24"/>
        </w:rPr>
      </w:pPr>
      <w:r w:rsidRPr="00502985">
        <w:rPr>
          <w:rFonts w:ascii="Bookman Old Style" w:hAnsi="Bookman Old Style" w:cs="Raleway-Regular"/>
          <w:sz w:val="24"/>
          <w:szCs w:val="24"/>
        </w:rPr>
        <w:t>Como se sabe, la reforma tributaria de 2018 aumentó el IVA y el Impuesto Nacional al Consumo, impuestos indirectos que profundizarán la regresividad tributaria, haciendo que sean los hogares de ingresos bajos y medios quienes vayan a tener que destinar una porción mayor de sus ingresos para contribuir a la tributación. Los cálculos realizados por Justicia Tributaria muestran que el índice de GINI aumentaría 2%, pasando de 0,561 a 0,569.</w:t>
      </w:r>
    </w:p>
    <w:p w:rsidR="00862584" w:rsidRPr="00502985" w:rsidRDefault="00862584" w:rsidP="00862584">
      <w:pPr>
        <w:autoSpaceDE w:val="0"/>
        <w:autoSpaceDN w:val="0"/>
        <w:adjustRightInd w:val="0"/>
        <w:spacing w:after="0" w:line="240" w:lineRule="auto"/>
        <w:jc w:val="both"/>
        <w:rPr>
          <w:rFonts w:ascii="Bookman Old Style" w:hAnsi="Bookman Old Style" w:cs="Raleway-Regular"/>
          <w:sz w:val="24"/>
          <w:szCs w:val="24"/>
        </w:rPr>
      </w:pPr>
    </w:p>
    <w:p w:rsidR="00862584" w:rsidRPr="00502985" w:rsidRDefault="00862584" w:rsidP="00862584">
      <w:pPr>
        <w:autoSpaceDE w:val="0"/>
        <w:autoSpaceDN w:val="0"/>
        <w:adjustRightInd w:val="0"/>
        <w:spacing w:after="0" w:line="240" w:lineRule="auto"/>
        <w:jc w:val="both"/>
        <w:rPr>
          <w:rFonts w:ascii="Bookman Old Style" w:hAnsi="Bookman Old Style" w:cs="Raleway-Regular"/>
          <w:sz w:val="24"/>
          <w:szCs w:val="24"/>
        </w:rPr>
      </w:pPr>
      <w:r w:rsidRPr="00502985">
        <w:rPr>
          <w:rFonts w:ascii="Bookman Old Style" w:hAnsi="Bookman Old Style" w:cs="Raleway-Regular"/>
          <w:sz w:val="24"/>
          <w:szCs w:val="24"/>
        </w:rPr>
        <w:t>De la misma forma, el 30% de los hogares con menores ingresos aportarían adicionalmente en impuestos $ 47.694 mensuales en promedio por hogar; la población de clase media pagaría $ 47.915 mensuales en promedio por hogar; mientras el 30% más rico aportaría $ 41.159 mensuales en promedio</w:t>
      </w:r>
    </w:p>
    <w:p w:rsidR="00862584" w:rsidRDefault="00862584" w:rsidP="00862584">
      <w:pPr>
        <w:autoSpaceDE w:val="0"/>
        <w:autoSpaceDN w:val="0"/>
        <w:adjustRightInd w:val="0"/>
        <w:spacing w:after="0" w:line="240" w:lineRule="auto"/>
        <w:jc w:val="both"/>
        <w:rPr>
          <w:rFonts w:ascii="Bookman Old Style" w:hAnsi="Bookman Old Style" w:cs="Raleway-Regular"/>
          <w:sz w:val="24"/>
          <w:szCs w:val="24"/>
        </w:rPr>
      </w:pPr>
      <w:r w:rsidRPr="00502985">
        <w:rPr>
          <w:rFonts w:ascii="Bookman Old Style" w:hAnsi="Bookman Old Style" w:cs="Raleway-Regular"/>
          <w:sz w:val="24"/>
          <w:szCs w:val="24"/>
        </w:rPr>
        <w:t>por hogar, es decir unos $ 6</w:t>
      </w:r>
      <w:r>
        <w:rPr>
          <w:rFonts w:ascii="Bookman Old Style" w:hAnsi="Bookman Old Style" w:cs="Raleway-Regular"/>
          <w:sz w:val="24"/>
          <w:szCs w:val="24"/>
        </w:rPr>
        <w:t>.</w:t>
      </w:r>
      <w:r w:rsidRPr="00502985">
        <w:rPr>
          <w:rFonts w:ascii="Bookman Old Style" w:hAnsi="Bookman Old Style" w:cs="Raleway-Regular"/>
          <w:sz w:val="24"/>
          <w:szCs w:val="24"/>
        </w:rPr>
        <w:t>500 menos. Entonces la reforma tributaria estaría consolidando una situación en que entre más rico es un hogar menor es el aporte del total de su ingreso a la tributación, pues estos solo destinarán 0,4% adicional en pago de impuestos nuevos, mientras el 30% más pobre tendrá que destinar 6,5% adicionales a su ingreso una condición claramente regresiva.</w:t>
      </w:r>
    </w:p>
    <w:p w:rsidR="00862584" w:rsidRPr="00502985" w:rsidRDefault="00862584" w:rsidP="00862584">
      <w:pPr>
        <w:autoSpaceDE w:val="0"/>
        <w:autoSpaceDN w:val="0"/>
        <w:adjustRightInd w:val="0"/>
        <w:spacing w:after="0" w:line="240" w:lineRule="auto"/>
        <w:jc w:val="both"/>
        <w:rPr>
          <w:rFonts w:ascii="Bookman Old Style" w:hAnsi="Bookman Old Style" w:cs="Raleway-Regular"/>
          <w:sz w:val="24"/>
          <w:szCs w:val="24"/>
        </w:rPr>
      </w:pPr>
    </w:p>
    <w:p w:rsidR="00862584" w:rsidRDefault="00862584" w:rsidP="00862584">
      <w:pPr>
        <w:jc w:val="both"/>
        <w:rPr>
          <w:rFonts w:ascii="Bookman Old Style" w:hAnsi="Bookman Old Style" w:cs="Raleway"/>
          <w:color w:val="000000"/>
          <w:sz w:val="24"/>
          <w:szCs w:val="24"/>
        </w:rPr>
      </w:pPr>
      <w:r>
        <w:rPr>
          <w:rFonts w:ascii="Bookman Old Style" w:hAnsi="Bookman Old Style" w:cs="Raleway"/>
          <w:color w:val="000000"/>
          <w:sz w:val="24"/>
          <w:szCs w:val="24"/>
        </w:rPr>
        <w:t>En el período 2010-2017</w:t>
      </w:r>
      <w:r w:rsidRPr="00E756AE">
        <w:rPr>
          <w:rFonts w:ascii="Bookman Old Style" w:hAnsi="Bookman Old Style" w:cs="Raleway"/>
          <w:color w:val="000000"/>
          <w:sz w:val="24"/>
          <w:szCs w:val="24"/>
        </w:rPr>
        <w:t xml:space="preserve"> el Gini tan solo se redujo de 0.56 a 0.51 y volvió a escalar hacia 0.52 en 2018. Esto tiene que ver con el bajo progreso que se ha hecho en reducir los regresivos subsidios pensionales del régimen público (fácilmente equivalentes al 2% del PIB del 5% del PIB que se gasta </w:t>
      </w:r>
      <w:r w:rsidRPr="00E756AE">
        <w:rPr>
          <w:rFonts w:ascii="Bookman Old Style" w:hAnsi="Bookman Old Style" w:cs="Raleway"/>
          <w:color w:val="000000"/>
          <w:sz w:val="24"/>
          <w:szCs w:val="24"/>
        </w:rPr>
        <w:lastRenderedPageBreak/>
        <w:t>anualmente). También ha incidido que se mantengan bajas asignaciones presupuestales a programas como Familias en Acción (0.3% del PIB) o Colombia Mayor (0.2% del PIB). Además, se tiene baja penetración en la tributación progresiva de los hogares, cuyo recaudo tan solo se ha elevado del 1% del PIB al 1.2% del PIB durante 2010-2018.</w:t>
      </w:r>
      <w:r>
        <w:rPr>
          <w:rFonts w:ascii="Bookman Old Style" w:hAnsi="Bookman Old Style" w:cs="Raleway"/>
          <w:color w:val="000000"/>
          <w:sz w:val="24"/>
          <w:szCs w:val="24"/>
        </w:rPr>
        <w:t xml:space="preserve"> (Clavijo, 2019).</w:t>
      </w:r>
    </w:p>
    <w:p w:rsidR="00862584" w:rsidRPr="00E756AE" w:rsidRDefault="00862584" w:rsidP="00862584">
      <w:pPr>
        <w:jc w:val="both"/>
        <w:rPr>
          <w:rFonts w:ascii="Bookman Old Style" w:hAnsi="Bookman Old Style" w:cs="Raleway"/>
          <w:sz w:val="24"/>
          <w:szCs w:val="24"/>
        </w:rPr>
      </w:pPr>
      <w:r>
        <w:rPr>
          <w:rFonts w:ascii="Bookman Old Style" w:hAnsi="Bookman Old Style"/>
          <w:sz w:val="24"/>
          <w:szCs w:val="24"/>
          <w:shd w:val="clear" w:color="auto" w:fill="FEFEFE"/>
        </w:rPr>
        <w:t>De acuerdo con Clavijo (2019) la</w:t>
      </w:r>
      <w:r w:rsidRPr="00E756AE">
        <w:rPr>
          <w:rFonts w:ascii="Bookman Old Style" w:hAnsi="Bookman Old Style"/>
          <w:sz w:val="24"/>
          <w:szCs w:val="24"/>
          <w:shd w:val="clear" w:color="auto" w:fill="FEFEFE"/>
        </w:rPr>
        <w:t xml:space="preserve"> línea de pobreza p</w:t>
      </w:r>
      <w:r>
        <w:rPr>
          <w:rFonts w:ascii="Bookman Old Style" w:hAnsi="Bookman Old Style"/>
          <w:sz w:val="24"/>
          <w:szCs w:val="24"/>
          <w:shd w:val="clear" w:color="auto" w:fill="FEFEFE"/>
        </w:rPr>
        <w:t xml:space="preserve">ara 2018, </w:t>
      </w:r>
      <w:r w:rsidRPr="00E756AE">
        <w:rPr>
          <w:rFonts w:ascii="Bookman Old Style" w:hAnsi="Bookman Old Style"/>
          <w:sz w:val="24"/>
          <w:szCs w:val="24"/>
          <w:shd w:val="clear" w:color="auto" w:fill="FEFEFE"/>
        </w:rPr>
        <w:t xml:space="preserve"> fue establecida en $257.433/persona/mes y el porcentaje de colombianos que recibieron un ingreso inferior a esta suma fue del 27%, después de haberse situado en el 26.9% en 2017. Esto significó un aumento de +0.1pp, tras haberse agotado el efecto del ciclo económico. En términos absolutos, lo anterior implicó el ingreso a la zona de pobreza de unas +190.000 personas durante el último año, deterioro que contrasta con la salida promedio de -591.000 durante 2010-2017</w:t>
      </w:r>
      <w:r>
        <w:rPr>
          <w:rFonts w:ascii="Bookman Old Style" w:hAnsi="Bookman Old Style"/>
          <w:sz w:val="24"/>
          <w:szCs w:val="24"/>
          <w:shd w:val="clear" w:color="auto" w:fill="FEFEFE"/>
        </w:rPr>
        <w:t xml:space="preserve">. </w:t>
      </w:r>
    </w:p>
    <w:p w:rsidR="00862584" w:rsidRPr="007C5C16" w:rsidRDefault="00862584" w:rsidP="00862584">
      <w:pPr>
        <w:jc w:val="both"/>
        <w:rPr>
          <w:rFonts w:ascii="Bookman Old Style" w:hAnsi="Bookman Old Style" w:cs="Raleway"/>
          <w:sz w:val="24"/>
          <w:szCs w:val="24"/>
        </w:rPr>
      </w:pPr>
      <w:r w:rsidRPr="007C5C16">
        <w:rPr>
          <w:rFonts w:ascii="Bookman Old Style" w:hAnsi="Bookman Old Style"/>
          <w:sz w:val="24"/>
          <w:szCs w:val="24"/>
          <w:shd w:val="clear" w:color="auto" w:fill="FEFEFE"/>
        </w:rPr>
        <w:t>De igual forma el Índice de Pobreza Multidimensional también registró un deterioro a nivel nacional hacia 19.6 en 2018 (vs. 17.8 del último registro de 2016). Allí las zonas rurales mostraron la disparidad frente a las zonas urbanas, al deteriorarse hacia 39.9 (vs. 37.6). Llama la atención que buena parte del deterioro de este indicador se debe a la dimensión del mercado laboral, donde el desempleo de larga duración se incrementó hacia el 11.8%, deteriorándose desde la lectura de 2015.</w:t>
      </w:r>
      <w:r>
        <w:rPr>
          <w:rFonts w:ascii="Bookman Old Style" w:hAnsi="Bookman Old Style" w:cs="Raleway"/>
          <w:sz w:val="24"/>
          <w:szCs w:val="24"/>
        </w:rPr>
        <w:t xml:space="preserve"> (Ibidem)</w:t>
      </w:r>
    </w:p>
    <w:p w:rsidR="00862584" w:rsidRPr="007C5C16" w:rsidRDefault="00862584" w:rsidP="00862584">
      <w:pPr>
        <w:jc w:val="both"/>
        <w:rPr>
          <w:rFonts w:ascii="Bookman Old Style" w:hAnsi="Bookman Old Style" w:cs="Raleway"/>
          <w:b/>
          <w:color w:val="000000"/>
          <w:sz w:val="24"/>
          <w:szCs w:val="24"/>
        </w:rPr>
      </w:pPr>
      <w:r w:rsidRPr="007C5C16">
        <w:rPr>
          <w:rFonts w:ascii="Bookman Old Style" w:hAnsi="Bookman Old Style" w:cs="Raleway"/>
          <w:b/>
          <w:color w:val="000000"/>
          <w:sz w:val="24"/>
          <w:szCs w:val="24"/>
        </w:rPr>
        <w:t>Crecimiento y ganancias del sector financiero</w:t>
      </w:r>
    </w:p>
    <w:p w:rsidR="00862584" w:rsidRPr="00235931" w:rsidRDefault="00862584" w:rsidP="00862584">
      <w:pPr>
        <w:jc w:val="both"/>
        <w:rPr>
          <w:rFonts w:ascii="Bookman Old Style" w:hAnsi="Bookman Old Style"/>
          <w:color w:val="393939"/>
          <w:sz w:val="24"/>
          <w:szCs w:val="24"/>
        </w:rPr>
      </w:pPr>
      <w:r>
        <w:rPr>
          <w:rFonts w:ascii="Bookman Old Style" w:hAnsi="Bookman Old Style"/>
          <w:color w:val="393939"/>
          <w:sz w:val="24"/>
          <w:szCs w:val="24"/>
        </w:rPr>
        <w:t xml:space="preserve">Ante tal panorama resulta sorprendente que el sector financiero obtenga unas cifras de crecimiento y utilidades que bien podrían ayudar a superar las condiciones de desigualdad y pobreza de la sociedad colombiana. </w:t>
      </w:r>
      <w:r w:rsidRPr="00235931">
        <w:rPr>
          <w:rFonts w:ascii="Bookman Old Style" w:hAnsi="Bookman Old Style"/>
          <w:color w:val="393939"/>
          <w:sz w:val="24"/>
          <w:szCs w:val="24"/>
        </w:rPr>
        <w:t>El año pasado</w:t>
      </w:r>
      <w:r>
        <w:rPr>
          <w:rFonts w:ascii="Bookman Old Style" w:hAnsi="Bookman Old Style"/>
          <w:color w:val="393939"/>
          <w:sz w:val="24"/>
          <w:szCs w:val="24"/>
        </w:rPr>
        <w:t xml:space="preserve"> por ejemplo</w:t>
      </w:r>
      <w:r w:rsidRPr="00235931">
        <w:rPr>
          <w:rFonts w:ascii="Bookman Old Style" w:hAnsi="Bookman Old Style"/>
          <w:color w:val="393939"/>
          <w:sz w:val="24"/>
          <w:szCs w:val="24"/>
        </w:rPr>
        <w:t xml:space="preserve">, los activos del sector financiero colombiano, que reflejan la dinámica de este renglón de la economía, </w:t>
      </w:r>
      <w:r w:rsidRPr="00235931">
        <w:rPr>
          <w:rFonts w:ascii="Bookman Old Style" w:hAnsi="Bookman Old Style"/>
          <w:b/>
          <w:i/>
          <w:color w:val="393939"/>
          <w:sz w:val="24"/>
          <w:szCs w:val="24"/>
        </w:rPr>
        <w:t xml:space="preserve">crecieron 7.6% </w:t>
      </w:r>
      <w:r w:rsidRPr="00235931">
        <w:rPr>
          <w:rFonts w:ascii="Bookman Old Style" w:hAnsi="Bookman Old Style"/>
          <w:color w:val="393939"/>
          <w:sz w:val="24"/>
          <w:szCs w:val="24"/>
        </w:rPr>
        <w:t xml:space="preserve">es decir </w:t>
      </w:r>
      <w:r w:rsidRPr="00235931">
        <w:rPr>
          <w:rFonts w:ascii="Bookman Old Style" w:hAnsi="Bookman Old Style"/>
          <w:b/>
          <w:i/>
          <w:color w:val="393939"/>
          <w:sz w:val="24"/>
          <w:szCs w:val="24"/>
        </w:rPr>
        <w:t>4 veces más</w:t>
      </w:r>
      <w:r w:rsidRPr="00235931">
        <w:rPr>
          <w:rFonts w:ascii="Bookman Old Style" w:hAnsi="Bookman Old Style"/>
          <w:color w:val="393939"/>
          <w:sz w:val="24"/>
          <w:szCs w:val="24"/>
        </w:rPr>
        <w:t xml:space="preserve"> que lo que lo hizo la  economía del país (</w:t>
      </w:r>
      <w:r w:rsidRPr="00235931">
        <w:rPr>
          <w:rFonts w:ascii="Bookman Old Style" w:hAnsi="Bookman Old Style"/>
          <w:b/>
          <w:i/>
          <w:color w:val="393939"/>
          <w:sz w:val="24"/>
          <w:szCs w:val="24"/>
        </w:rPr>
        <w:t>1,8 por ciento</w:t>
      </w:r>
      <w:r w:rsidRPr="00235931">
        <w:rPr>
          <w:rFonts w:ascii="Bookman Old Style" w:hAnsi="Bookman Old Style"/>
          <w:color w:val="393939"/>
          <w:sz w:val="24"/>
          <w:szCs w:val="24"/>
        </w:rPr>
        <w:t>).</w:t>
      </w:r>
    </w:p>
    <w:p w:rsidR="00862584" w:rsidRPr="00235931" w:rsidRDefault="00862584" w:rsidP="00862584">
      <w:pPr>
        <w:jc w:val="both"/>
        <w:rPr>
          <w:rFonts w:ascii="Bookman Old Style" w:hAnsi="Bookman Old Style"/>
          <w:color w:val="393939"/>
          <w:sz w:val="24"/>
          <w:szCs w:val="24"/>
        </w:rPr>
      </w:pPr>
      <w:r w:rsidRPr="00235931">
        <w:rPr>
          <w:rFonts w:ascii="Bookman Old Style" w:hAnsi="Bookman Old Style"/>
          <w:color w:val="393939"/>
          <w:sz w:val="24"/>
          <w:szCs w:val="24"/>
        </w:rPr>
        <w:t>Su rentabilidad fue de 115 billones de pesos a diciembre de 2017.</w:t>
      </w:r>
    </w:p>
    <w:p w:rsidR="00862584" w:rsidRPr="00235931" w:rsidRDefault="00862584" w:rsidP="00862584">
      <w:pPr>
        <w:jc w:val="both"/>
        <w:rPr>
          <w:rFonts w:ascii="Bookman Old Style" w:hAnsi="Bookman Old Style" w:cs="Arial"/>
          <w:b/>
          <w:bCs/>
          <w:color w:val="393939"/>
          <w:sz w:val="24"/>
          <w:szCs w:val="24"/>
          <w:bdr w:val="none" w:sz="0" w:space="0" w:color="auto" w:frame="1"/>
        </w:rPr>
      </w:pPr>
      <w:r w:rsidRPr="00235931">
        <w:rPr>
          <w:rFonts w:ascii="Bookman Old Style" w:hAnsi="Bookman Old Style" w:cs="Arial"/>
          <w:color w:val="393939"/>
          <w:sz w:val="24"/>
          <w:szCs w:val="24"/>
        </w:rPr>
        <w:lastRenderedPageBreak/>
        <w:t xml:space="preserve">Solo los establecimientos de crédito (bancos, compañías de financiamiento, corporaciones financieras y cooperativas financieras), ganaron </w:t>
      </w:r>
      <w:r w:rsidRPr="00235931">
        <w:rPr>
          <w:rFonts w:ascii="Bookman Old Style" w:hAnsi="Bookman Old Style" w:cs="Arial"/>
          <w:b/>
          <w:color w:val="393939"/>
          <w:sz w:val="24"/>
          <w:szCs w:val="24"/>
        </w:rPr>
        <w:t>8,3 billones de pesos</w:t>
      </w:r>
      <w:r w:rsidRPr="00235931">
        <w:rPr>
          <w:rFonts w:ascii="Bookman Old Style" w:hAnsi="Bookman Old Style" w:cs="Arial"/>
          <w:color w:val="393939"/>
          <w:sz w:val="24"/>
          <w:szCs w:val="24"/>
        </w:rPr>
        <w:t>. Sin embargo, al tener en cuenta a los demás establecimientos del sector, es decir, aseguradoras, AFP, fiduciarias e intermediarios del mercado de valores,</w:t>
      </w:r>
      <w:r w:rsidRPr="00235931">
        <w:rPr>
          <w:rStyle w:val="apple-converted-space"/>
          <w:rFonts w:ascii="Bookman Old Style" w:hAnsi="Bookman Old Style" w:cs="Arial"/>
          <w:color w:val="393939"/>
          <w:sz w:val="24"/>
          <w:szCs w:val="24"/>
        </w:rPr>
        <w:t> </w:t>
      </w:r>
      <w:r w:rsidRPr="00235931">
        <w:rPr>
          <w:rFonts w:ascii="Bookman Old Style" w:hAnsi="Bookman Old Style" w:cs="Arial"/>
          <w:bCs/>
          <w:color w:val="393939"/>
          <w:sz w:val="24"/>
          <w:szCs w:val="24"/>
          <w:bdr w:val="none" w:sz="0" w:space="0" w:color="auto" w:frame="1"/>
        </w:rPr>
        <w:t xml:space="preserve">entre otras, las utilidades se elevan hasta los </w:t>
      </w:r>
      <w:r w:rsidRPr="00235931">
        <w:rPr>
          <w:rFonts w:ascii="Bookman Old Style" w:hAnsi="Bookman Old Style" w:cs="Arial"/>
          <w:b/>
          <w:bCs/>
          <w:color w:val="393939"/>
          <w:sz w:val="24"/>
          <w:szCs w:val="24"/>
          <w:bdr w:val="none" w:sz="0" w:space="0" w:color="auto" w:frame="1"/>
        </w:rPr>
        <w:t>13,1 billones de pesos.</w:t>
      </w:r>
    </w:p>
    <w:p w:rsidR="00862584" w:rsidRPr="00235931" w:rsidRDefault="00862584" w:rsidP="00862584">
      <w:pPr>
        <w:jc w:val="both"/>
        <w:rPr>
          <w:rFonts w:ascii="Bookman Old Style" w:hAnsi="Bookman Old Style" w:cs="Arial"/>
          <w:b/>
          <w:bCs/>
          <w:i/>
          <w:color w:val="393939"/>
          <w:sz w:val="24"/>
          <w:szCs w:val="24"/>
          <w:bdr w:val="none" w:sz="0" w:space="0" w:color="auto" w:frame="1"/>
        </w:rPr>
      </w:pPr>
      <w:r w:rsidRPr="00235931">
        <w:rPr>
          <w:rFonts w:ascii="Bookman Old Style" w:hAnsi="Bookman Old Style"/>
          <w:color w:val="000000"/>
          <w:sz w:val="24"/>
          <w:szCs w:val="24"/>
          <w:shd w:val="clear" w:color="auto" w:fill="FFFFFF"/>
        </w:rPr>
        <w:t xml:space="preserve">En el período 2001-2015 los bancos pagaron, en promedio una </w:t>
      </w:r>
      <w:r w:rsidRPr="00235931">
        <w:rPr>
          <w:rFonts w:ascii="Bookman Old Style" w:hAnsi="Bookman Old Style"/>
          <w:b/>
          <w:i/>
          <w:color w:val="000000"/>
          <w:sz w:val="24"/>
          <w:szCs w:val="24"/>
          <w:shd w:val="clear" w:color="auto" w:fill="FFFFFF"/>
        </w:rPr>
        <w:t>Tasa efectiva de Tributación TET del 18,9 %</w:t>
      </w:r>
      <w:r w:rsidRPr="00235931">
        <w:rPr>
          <w:rFonts w:ascii="Bookman Old Style" w:hAnsi="Bookman Old Style"/>
          <w:color w:val="000000"/>
          <w:sz w:val="24"/>
          <w:szCs w:val="24"/>
          <w:shd w:val="clear" w:color="auto" w:fill="FFFFFF"/>
        </w:rPr>
        <w:t xml:space="preserve"> de impuesto de renta, mientras que la </w:t>
      </w:r>
      <w:r w:rsidRPr="00235931">
        <w:rPr>
          <w:rFonts w:ascii="Bookman Old Style" w:hAnsi="Bookman Old Style"/>
          <w:b/>
          <w:i/>
          <w:color w:val="000000"/>
          <w:sz w:val="24"/>
          <w:szCs w:val="24"/>
          <w:shd w:val="clear" w:color="auto" w:fill="FFFFFF"/>
        </w:rPr>
        <w:t>tasa nominal fue del 33 %.</w:t>
      </w:r>
    </w:p>
    <w:p w:rsidR="00862584" w:rsidRPr="00235931" w:rsidRDefault="00862584" w:rsidP="00862584">
      <w:pPr>
        <w:jc w:val="center"/>
        <w:rPr>
          <w:rFonts w:ascii="Bookman Old Style" w:hAnsi="Bookman Old Style" w:cs="Arial"/>
          <w:b/>
          <w:color w:val="393939"/>
          <w:sz w:val="24"/>
          <w:szCs w:val="24"/>
        </w:rPr>
      </w:pPr>
      <w:r w:rsidRPr="00235931">
        <w:rPr>
          <w:rFonts w:ascii="Bookman Old Style" w:hAnsi="Bookman Old Style" w:cs="Arial"/>
          <w:b/>
          <w:bCs/>
          <w:color w:val="393939"/>
          <w:sz w:val="24"/>
          <w:szCs w:val="24"/>
          <w:bdr w:val="none" w:sz="0" w:space="0" w:color="auto" w:frame="1"/>
        </w:rPr>
        <w:t>Utilidades sector financiero 2013-2018</w:t>
      </w:r>
    </w:p>
    <w:tbl>
      <w:tblPr>
        <w:tblStyle w:val="Tablaconcuadrcula"/>
        <w:tblW w:w="0" w:type="auto"/>
        <w:tblLook w:val="04A0" w:firstRow="1" w:lastRow="0" w:firstColumn="1" w:lastColumn="0" w:noHBand="0" w:noVBand="1"/>
      </w:tblPr>
      <w:tblGrid>
        <w:gridCol w:w="4414"/>
        <w:gridCol w:w="4414"/>
      </w:tblGrid>
      <w:tr w:rsidR="00862584" w:rsidRPr="00235931" w:rsidTr="00BA7F6E">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Año</w:t>
            </w:r>
          </w:p>
        </w:tc>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Utilidades</w:t>
            </w:r>
          </w:p>
        </w:tc>
      </w:tr>
      <w:tr w:rsidR="00862584" w:rsidRPr="00235931" w:rsidTr="00BA7F6E">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2018</w:t>
            </w:r>
          </w:p>
        </w:tc>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17.5 a 30 de Junio/18</w:t>
            </w:r>
          </w:p>
        </w:tc>
      </w:tr>
      <w:tr w:rsidR="00862584" w:rsidRPr="00235931" w:rsidTr="00BA7F6E">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2017</w:t>
            </w:r>
          </w:p>
        </w:tc>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13.1</w:t>
            </w:r>
          </w:p>
        </w:tc>
      </w:tr>
      <w:tr w:rsidR="00862584" w:rsidRPr="00235931" w:rsidTr="00BA7F6E">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2016</w:t>
            </w:r>
          </w:p>
        </w:tc>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16.4</w:t>
            </w:r>
          </w:p>
        </w:tc>
      </w:tr>
      <w:tr w:rsidR="00862584" w:rsidRPr="00235931" w:rsidTr="00BA7F6E">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2015</w:t>
            </w:r>
          </w:p>
        </w:tc>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13.3</w:t>
            </w:r>
          </w:p>
        </w:tc>
      </w:tr>
      <w:tr w:rsidR="00862584" w:rsidRPr="00235931" w:rsidTr="00BA7F6E">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2014</w:t>
            </w:r>
          </w:p>
        </w:tc>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8.8</w:t>
            </w:r>
          </w:p>
        </w:tc>
      </w:tr>
      <w:tr w:rsidR="00862584" w:rsidRPr="00235931" w:rsidTr="00BA7F6E">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2013</w:t>
            </w:r>
          </w:p>
        </w:tc>
        <w:tc>
          <w:tcPr>
            <w:tcW w:w="4414" w:type="dxa"/>
          </w:tcPr>
          <w:p w:rsidR="00862584" w:rsidRPr="00235931" w:rsidRDefault="00862584" w:rsidP="00BA7F6E">
            <w:pPr>
              <w:jc w:val="both"/>
              <w:rPr>
                <w:rFonts w:ascii="Bookman Old Style" w:hAnsi="Bookman Old Style"/>
                <w:color w:val="393939"/>
                <w:sz w:val="24"/>
                <w:szCs w:val="24"/>
              </w:rPr>
            </w:pPr>
            <w:r w:rsidRPr="00235931">
              <w:rPr>
                <w:rFonts w:ascii="Bookman Old Style" w:hAnsi="Bookman Old Style"/>
                <w:color w:val="393939"/>
                <w:sz w:val="24"/>
                <w:szCs w:val="24"/>
              </w:rPr>
              <w:t>9.3</w:t>
            </w:r>
          </w:p>
        </w:tc>
      </w:tr>
      <w:tr w:rsidR="00862584" w:rsidRPr="00235931" w:rsidTr="00BA7F6E">
        <w:tc>
          <w:tcPr>
            <w:tcW w:w="8828" w:type="dxa"/>
            <w:gridSpan w:val="2"/>
          </w:tcPr>
          <w:p w:rsidR="00862584" w:rsidRPr="00235931" w:rsidRDefault="00862584" w:rsidP="00BA7F6E">
            <w:pPr>
              <w:jc w:val="center"/>
              <w:rPr>
                <w:rFonts w:ascii="Bookman Old Style" w:hAnsi="Bookman Old Style"/>
                <w:b/>
                <w:color w:val="393939"/>
                <w:sz w:val="24"/>
                <w:szCs w:val="24"/>
              </w:rPr>
            </w:pPr>
            <w:r w:rsidRPr="00235931">
              <w:rPr>
                <w:rFonts w:ascii="Bookman Old Style" w:hAnsi="Bookman Old Style"/>
                <w:b/>
                <w:color w:val="393939"/>
                <w:sz w:val="24"/>
                <w:szCs w:val="24"/>
              </w:rPr>
              <w:t>Total 2013-2018p: 78.4 billones</w:t>
            </w:r>
          </w:p>
        </w:tc>
      </w:tr>
    </w:tbl>
    <w:p w:rsidR="00862584" w:rsidRDefault="00862584" w:rsidP="00862584">
      <w:pPr>
        <w:jc w:val="center"/>
        <w:rPr>
          <w:rFonts w:ascii="Bookman Old Style" w:hAnsi="Bookman Old Style"/>
          <w:color w:val="393939"/>
          <w:sz w:val="24"/>
          <w:szCs w:val="24"/>
        </w:rPr>
      </w:pPr>
      <w:r w:rsidRPr="00235931">
        <w:rPr>
          <w:rFonts w:ascii="Bookman Old Style" w:hAnsi="Bookman Old Style"/>
          <w:color w:val="393939"/>
          <w:sz w:val="24"/>
          <w:szCs w:val="24"/>
        </w:rPr>
        <w:t>Fuente: Superintendencia Financiera (2018)</w:t>
      </w:r>
    </w:p>
    <w:p w:rsidR="00862584" w:rsidRPr="000A119E" w:rsidRDefault="00862584" w:rsidP="00862584">
      <w:pPr>
        <w:jc w:val="both"/>
        <w:rPr>
          <w:rFonts w:ascii="Bookman Old Style" w:hAnsi="Bookman Old Style"/>
          <w:sz w:val="24"/>
          <w:szCs w:val="24"/>
        </w:rPr>
      </w:pPr>
      <w:r>
        <w:rPr>
          <w:rFonts w:ascii="Bookman Old Style" w:hAnsi="Bookman Old Style"/>
          <w:sz w:val="24"/>
          <w:szCs w:val="24"/>
        </w:rPr>
        <w:t>De acuerdo con la Superintendencia Financiera a enero de 2019, el sector financiero presentó un</w:t>
      </w:r>
      <w:r w:rsidRPr="000A119E">
        <w:rPr>
          <w:rFonts w:ascii="Bookman Old Style" w:hAnsi="Bookman Old Style"/>
          <w:sz w:val="24"/>
          <w:szCs w:val="24"/>
        </w:rPr>
        <w:t xml:space="preserve"> </w:t>
      </w:r>
      <w:r>
        <w:rPr>
          <w:rFonts w:ascii="Bookman Old Style" w:hAnsi="Bookman Old Style"/>
          <w:sz w:val="24"/>
          <w:szCs w:val="24"/>
        </w:rPr>
        <w:t xml:space="preserve">crecimiento real anual de 4,7 %. </w:t>
      </w:r>
      <w:r w:rsidRPr="000A119E">
        <w:rPr>
          <w:rFonts w:ascii="Bookman Old Style" w:hAnsi="Bookman Old Style"/>
          <w:sz w:val="24"/>
          <w:szCs w:val="24"/>
        </w:rPr>
        <w:t>En plata blanca, los activos totales ascendieron a $1,724.7 billones, es decir, $ 140,5 billones de pesos más en comparación con enero de 2018 y en $ 9,2 billones más frente a</w:t>
      </w:r>
      <w:r>
        <w:rPr>
          <w:rFonts w:ascii="Bookman Old Style" w:hAnsi="Bookman Old Style"/>
          <w:sz w:val="24"/>
          <w:szCs w:val="24"/>
        </w:rPr>
        <w:t xml:space="preserve">l mes inmediatamente anterior. </w:t>
      </w:r>
    </w:p>
    <w:p w:rsidR="00862584" w:rsidRPr="000A119E" w:rsidRDefault="00862584" w:rsidP="00862584">
      <w:pPr>
        <w:jc w:val="both"/>
        <w:rPr>
          <w:rFonts w:ascii="Bookman Old Style" w:hAnsi="Bookman Old Style"/>
          <w:sz w:val="24"/>
          <w:szCs w:val="24"/>
        </w:rPr>
      </w:pPr>
      <w:r w:rsidRPr="000A119E">
        <w:rPr>
          <w:rFonts w:ascii="Bookman Old Style" w:hAnsi="Bookman Old Style"/>
          <w:sz w:val="24"/>
          <w:szCs w:val="24"/>
        </w:rPr>
        <w:lastRenderedPageBreak/>
        <w:t>En consecuencia, según la Superfinanciera, el índice de profundización fre</w:t>
      </w:r>
      <w:r>
        <w:rPr>
          <w:rFonts w:ascii="Bookman Old Style" w:hAnsi="Bookman Old Style"/>
          <w:sz w:val="24"/>
          <w:szCs w:val="24"/>
        </w:rPr>
        <w:t>nte al PIB fue 176,70 %.</w:t>
      </w:r>
    </w:p>
    <w:p w:rsidR="00862584" w:rsidRPr="000A119E" w:rsidRDefault="00862584" w:rsidP="00862584">
      <w:pPr>
        <w:jc w:val="both"/>
        <w:rPr>
          <w:rFonts w:ascii="Bookman Old Style" w:hAnsi="Bookman Old Style"/>
          <w:sz w:val="24"/>
          <w:szCs w:val="24"/>
        </w:rPr>
      </w:pPr>
      <w:r w:rsidRPr="000A119E">
        <w:rPr>
          <w:rFonts w:ascii="Bookman Old Style" w:hAnsi="Bookman Old Style"/>
          <w:sz w:val="24"/>
          <w:szCs w:val="24"/>
        </w:rPr>
        <w:t>De acuerdo con lo informado por la entidad, las utilidades de enero del 2019 fueron $ 9,5 billones, equivalentes a un incremento de $ 3,7 bill</w:t>
      </w:r>
      <w:r>
        <w:rPr>
          <w:rFonts w:ascii="Bookman Old Style" w:hAnsi="Bookman Old Style"/>
          <w:sz w:val="24"/>
          <w:szCs w:val="24"/>
        </w:rPr>
        <w:t xml:space="preserve">ones respecto a enero de 2018. </w:t>
      </w:r>
    </w:p>
    <w:p w:rsidR="00862584" w:rsidRPr="000A119E" w:rsidRDefault="00862584" w:rsidP="00862584">
      <w:pPr>
        <w:jc w:val="both"/>
        <w:rPr>
          <w:rFonts w:ascii="Bookman Old Style" w:hAnsi="Bookman Old Style"/>
          <w:sz w:val="24"/>
          <w:szCs w:val="24"/>
        </w:rPr>
      </w:pPr>
      <w:r w:rsidRPr="000A119E">
        <w:rPr>
          <w:rFonts w:ascii="Bookman Old Style" w:hAnsi="Bookman Old Style"/>
          <w:sz w:val="24"/>
          <w:szCs w:val="24"/>
        </w:rPr>
        <w:t>Dentro de los resultados de las entidades financieras, equivalentes a $ 1,4 billones, se destacan los establecimientos de crédito: $ 970,7 mil millones; las aseguradoras: $ 132,2 mil millones, y las sociedades administradoras de Fondos de Pensiones y Cesan</w:t>
      </w:r>
      <w:r>
        <w:rPr>
          <w:rFonts w:ascii="Bookman Old Style" w:hAnsi="Bookman Old Style"/>
          <w:sz w:val="24"/>
          <w:szCs w:val="24"/>
        </w:rPr>
        <w:t xml:space="preserve">tías: $ 118, 5 mil millones. </w:t>
      </w:r>
    </w:p>
    <w:p w:rsidR="00862584" w:rsidRPr="000A119E" w:rsidRDefault="00862584" w:rsidP="00862584">
      <w:pPr>
        <w:jc w:val="both"/>
        <w:rPr>
          <w:rFonts w:ascii="Bookman Old Style" w:hAnsi="Bookman Old Style"/>
          <w:sz w:val="24"/>
          <w:szCs w:val="24"/>
        </w:rPr>
      </w:pPr>
      <w:r w:rsidRPr="000A119E">
        <w:rPr>
          <w:rFonts w:ascii="Bookman Old Style" w:hAnsi="Bookman Old Style"/>
          <w:sz w:val="24"/>
          <w:szCs w:val="24"/>
        </w:rPr>
        <w:t>Según destacó la Superfinanciera, el portafolio de inversiones es el principal componente de los activos del sistema financiero. Así, las inversiones ascendieron a $ 856,7 billones, es decir, una variación real anual de 3,6 %.</w:t>
      </w:r>
    </w:p>
    <w:p w:rsidR="00862584" w:rsidRDefault="00862584" w:rsidP="00862584">
      <w:pPr>
        <w:rPr>
          <w:rFonts w:ascii="Bookman Old Style" w:hAnsi="Bookman Old Style"/>
          <w:b/>
          <w:color w:val="393939"/>
          <w:sz w:val="24"/>
          <w:szCs w:val="24"/>
        </w:rPr>
      </w:pPr>
    </w:p>
    <w:p w:rsidR="00862584" w:rsidRPr="00BA45C9" w:rsidRDefault="00862584" w:rsidP="00862584">
      <w:pPr>
        <w:rPr>
          <w:rFonts w:ascii="Bookman Old Style" w:hAnsi="Bookman Old Style"/>
          <w:b/>
          <w:color w:val="393939"/>
          <w:sz w:val="24"/>
          <w:szCs w:val="24"/>
        </w:rPr>
      </w:pPr>
      <w:r w:rsidRPr="00BA45C9">
        <w:rPr>
          <w:rFonts w:ascii="Bookman Old Style" w:hAnsi="Bookman Old Style"/>
          <w:b/>
          <w:color w:val="393939"/>
          <w:sz w:val="24"/>
          <w:szCs w:val="24"/>
        </w:rPr>
        <w:t xml:space="preserve">Beneficios tributarios al sector financiero </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r w:rsidRPr="00235931">
        <w:rPr>
          <w:rFonts w:ascii="Bookman Old Style" w:hAnsi="Bookman Old Style" w:cs="QuaySansITCTTBook"/>
          <w:sz w:val="24"/>
          <w:szCs w:val="24"/>
        </w:rPr>
        <w:t>Se destaca que el sector financiero fue el más favorecido en relación con el monto de todos los beneficios tributarios, dado que estos suma</w:t>
      </w:r>
      <w:r>
        <w:rPr>
          <w:rFonts w:ascii="Bookman Old Style" w:hAnsi="Bookman Old Style" w:cs="QuaySansITCTTBook"/>
          <w:sz w:val="24"/>
          <w:szCs w:val="24"/>
        </w:rPr>
        <w:t>ron, para el periodo 2010-2015</w:t>
      </w:r>
      <w:r w:rsidRPr="00235931">
        <w:rPr>
          <w:rFonts w:ascii="Bookman Old Style" w:hAnsi="Bookman Old Style" w:cs="QuaySansITCTTBook"/>
          <w:sz w:val="24"/>
          <w:szCs w:val="24"/>
        </w:rPr>
        <w:t xml:space="preserve">, un total de $103,9 billones. </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r w:rsidRPr="000A119E">
        <w:rPr>
          <w:rFonts w:ascii="Bookman Old Style" w:hAnsi="Bookman Old Style" w:cs="QuaySansITCTTBook"/>
          <w:sz w:val="24"/>
          <w:szCs w:val="24"/>
        </w:rPr>
        <w:t xml:space="preserve">Con relación a las rentas </w:t>
      </w:r>
      <w:r>
        <w:rPr>
          <w:rFonts w:ascii="Bookman Old Style" w:hAnsi="Bookman Old Style" w:cs="QuaySansITCTTBook"/>
          <w:sz w:val="24"/>
          <w:szCs w:val="24"/>
        </w:rPr>
        <w:t xml:space="preserve">exentas, </w:t>
      </w:r>
      <w:r w:rsidRPr="000A119E">
        <w:rPr>
          <w:rFonts w:ascii="Bookman Old Style" w:hAnsi="Bookman Old Style" w:cs="QuaySansITCTTBook"/>
          <w:sz w:val="24"/>
          <w:szCs w:val="24"/>
        </w:rPr>
        <w:t>el sector financiero, con $20,6 billones, y el sector bancario, con $10,9 billones</w:t>
      </w:r>
      <w:r>
        <w:rPr>
          <w:rFonts w:ascii="Bookman Old Style" w:hAnsi="Bookman Old Style" w:cs="QuaySansITCTTBook"/>
          <w:sz w:val="24"/>
          <w:szCs w:val="24"/>
        </w:rPr>
        <w:t>, son los más favorecidos en el país.</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r w:rsidRPr="00044E6D">
        <w:rPr>
          <w:rFonts w:ascii="Bookman Old Style" w:hAnsi="Bookman Old Style" w:cs="QuaySansITCTTBook"/>
          <w:sz w:val="24"/>
          <w:szCs w:val="24"/>
        </w:rPr>
        <w:t xml:space="preserve">El sector bancario tuvo una </w:t>
      </w:r>
      <w:r>
        <w:rPr>
          <w:rFonts w:ascii="Bookman Old Style" w:hAnsi="Bookman Old Style" w:cs="QuaySansITCTTBook-SC750"/>
          <w:sz w:val="24"/>
          <w:szCs w:val="24"/>
        </w:rPr>
        <w:t>TE (tasa efectiva)</w:t>
      </w:r>
      <w:r w:rsidRPr="00044E6D">
        <w:rPr>
          <w:rFonts w:ascii="Bookman Old Style" w:hAnsi="Bookman Old Style" w:cs="QuaySansITCTTBook-SC750"/>
          <w:sz w:val="24"/>
          <w:szCs w:val="24"/>
        </w:rPr>
        <w:t xml:space="preserve"> </w:t>
      </w:r>
      <w:r w:rsidRPr="00044E6D">
        <w:rPr>
          <w:rFonts w:ascii="Bookman Old Style" w:hAnsi="Bookman Old Style" w:cs="QuaySansITCTTBook"/>
          <w:sz w:val="24"/>
          <w:szCs w:val="24"/>
        </w:rPr>
        <w:t xml:space="preserve">promedio para el periodo del 16,5%, con un mínimo del 9,9% en el 2000 y un máximo del 21,5% en el 2009. La </w:t>
      </w:r>
      <w:r>
        <w:rPr>
          <w:rFonts w:ascii="Bookman Old Style" w:hAnsi="Bookman Old Style" w:cs="QuaySansITCTTBook-SC750"/>
          <w:sz w:val="24"/>
          <w:szCs w:val="24"/>
        </w:rPr>
        <w:t>PEN (Participación efectiva nominal)</w:t>
      </w:r>
      <w:r w:rsidRPr="00044E6D">
        <w:rPr>
          <w:rFonts w:ascii="Bookman Old Style" w:hAnsi="Bookman Old Style" w:cs="QuaySansITCTTBook-SC750"/>
          <w:sz w:val="24"/>
          <w:szCs w:val="24"/>
        </w:rPr>
        <w:t xml:space="preserve"> </w:t>
      </w:r>
      <w:r w:rsidRPr="00044E6D">
        <w:rPr>
          <w:rFonts w:ascii="Bookman Old Style" w:hAnsi="Bookman Old Style" w:cs="QuaySansITCTTBook"/>
          <w:sz w:val="24"/>
          <w:szCs w:val="24"/>
        </w:rPr>
        <w:t xml:space="preserve">promedio fue del 50,6% y la </w:t>
      </w:r>
      <w:r>
        <w:rPr>
          <w:rFonts w:ascii="Bookman Old Style" w:hAnsi="Bookman Old Style" w:cs="QuaySansITCTTBook-SC750"/>
          <w:sz w:val="24"/>
          <w:szCs w:val="24"/>
        </w:rPr>
        <w:t>TE</w:t>
      </w:r>
      <w:r w:rsidRPr="00044E6D">
        <w:rPr>
          <w:rFonts w:ascii="Bookman Old Style" w:hAnsi="Bookman Old Style" w:cs="QuaySansITCTTBook-SC750"/>
          <w:sz w:val="24"/>
          <w:szCs w:val="24"/>
        </w:rPr>
        <w:t xml:space="preserve"> </w:t>
      </w:r>
      <w:r w:rsidRPr="00044E6D">
        <w:rPr>
          <w:rFonts w:ascii="Bookman Old Style" w:hAnsi="Bookman Old Style" w:cs="QuaySansITCTTBook"/>
          <w:sz w:val="24"/>
          <w:szCs w:val="24"/>
        </w:rPr>
        <w:t xml:space="preserve">osciló entre el 1,0% y el 3,4%. Como se aprecia la participación promedio de la </w:t>
      </w:r>
      <w:r>
        <w:rPr>
          <w:rFonts w:ascii="Bookman Old Style" w:hAnsi="Bookman Old Style" w:cs="QuaySansITCTTBook-SC750"/>
          <w:sz w:val="24"/>
          <w:szCs w:val="24"/>
        </w:rPr>
        <w:t>TE</w:t>
      </w:r>
      <w:r w:rsidRPr="00044E6D">
        <w:rPr>
          <w:rFonts w:ascii="Bookman Old Style" w:hAnsi="Bookman Old Style" w:cs="QuaySansITCTTBook-SC750"/>
          <w:sz w:val="24"/>
          <w:szCs w:val="24"/>
        </w:rPr>
        <w:t xml:space="preserve"> </w:t>
      </w:r>
      <w:r>
        <w:rPr>
          <w:rFonts w:ascii="Bookman Old Style" w:hAnsi="Bookman Old Style" w:cs="QuaySansITCTTBook"/>
          <w:sz w:val="24"/>
          <w:szCs w:val="24"/>
        </w:rPr>
        <w:t>en la TN</w:t>
      </w:r>
      <w:r w:rsidRPr="00044E6D">
        <w:rPr>
          <w:rFonts w:ascii="Bookman Old Style" w:hAnsi="Bookman Old Style" w:cs="QuaySansITCTTBook-SC750"/>
          <w:sz w:val="24"/>
          <w:szCs w:val="24"/>
        </w:rPr>
        <w:t xml:space="preserve"> </w:t>
      </w:r>
      <w:r w:rsidRPr="00044E6D">
        <w:rPr>
          <w:rFonts w:ascii="Bookman Old Style" w:hAnsi="Bookman Old Style" w:cs="QuaySansITCTTBook"/>
          <w:sz w:val="24"/>
          <w:szCs w:val="24"/>
        </w:rPr>
        <w:t xml:space="preserve">fue tan solo del 50,6%, es decir, los bancos dejaron de pagar el 49,4% de impuestos por las dádivas otorgadas por las normas. Si bien es cierto que el sector bancario es muy importante en el contexto económico, sus utilidades representan costos importantes para los demás </w:t>
      </w:r>
      <w:r w:rsidRPr="00044E6D">
        <w:rPr>
          <w:rFonts w:ascii="Bookman Old Style" w:hAnsi="Bookman Old Style" w:cs="QuaySansITCTTBook"/>
          <w:sz w:val="24"/>
          <w:szCs w:val="24"/>
        </w:rPr>
        <w:lastRenderedPageBreak/>
        <w:t>sectores de la economía, principalmente para las pymes, debido a las altas tasas de interés.</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Pr="007C5C16" w:rsidRDefault="00862584" w:rsidP="00862584">
      <w:pPr>
        <w:jc w:val="both"/>
        <w:rPr>
          <w:rFonts w:ascii="Bookman Old Style" w:hAnsi="Bookman Old Style" w:cs="QuaySansITCTTBook"/>
          <w:sz w:val="24"/>
          <w:szCs w:val="24"/>
        </w:rPr>
      </w:pPr>
      <w:r w:rsidRPr="000A119E">
        <w:rPr>
          <w:rFonts w:ascii="Bookman Old Style" w:hAnsi="Bookman Old Style" w:cs="QuaySansITCTTBook"/>
          <w:sz w:val="24"/>
          <w:szCs w:val="24"/>
        </w:rPr>
        <w:t xml:space="preserve">El sector financiero tuvo una TE promedio para el periodo del 9,8%, con un mínimo del 6,6% en el 2013 y un máximo </w:t>
      </w:r>
      <w:r>
        <w:rPr>
          <w:rFonts w:ascii="Bookman Old Style" w:hAnsi="Bookman Old Style" w:cs="QuaySansITCTTBook"/>
          <w:sz w:val="24"/>
          <w:szCs w:val="24"/>
        </w:rPr>
        <w:t>del 14,4% en el 2000 (gráfico 1). La PEN</w:t>
      </w:r>
      <w:r w:rsidRPr="000A119E">
        <w:rPr>
          <w:rFonts w:ascii="Bookman Old Style" w:hAnsi="Bookman Old Style" w:cs="QuaySansITCTTBook"/>
          <w:sz w:val="24"/>
          <w:szCs w:val="24"/>
        </w:rPr>
        <w:t xml:space="preserve"> promedio fue del 29,5%, lo que implica que este sector dejó de pagar el 70,5% de impuestos. Cabe destacar que fue este sector el que presentó la menor te promedio de entre todos los sectores durante el periodo 2000-2015. Para este sector, la TE osciló entre el 1,0% y el 2,3%. </w:t>
      </w:r>
    </w:p>
    <w:p w:rsidR="00862584" w:rsidRPr="003D17AF" w:rsidRDefault="00862584" w:rsidP="00862584">
      <w:pPr>
        <w:autoSpaceDE w:val="0"/>
        <w:autoSpaceDN w:val="0"/>
        <w:adjustRightInd w:val="0"/>
        <w:spacing w:after="0" w:line="240" w:lineRule="auto"/>
        <w:jc w:val="both"/>
        <w:rPr>
          <w:rFonts w:ascii="Bookman Old Style" w:hAnsi="Bookman Old Style" w:cs="QuaySansITCTTBook"/>
          <w:sz w:val="18"/>
          <w:szCs w:val="24"/>
        </w:rPr>
      </w:pPr>
    </w:p>
    <w:p w:rsidR="00862584" w:rsidRPr="003D17AF" w:rsidRDefault="00862584" w:rsidP="00862584">
      <w:pPr>
        <w:autoSpaceDE w:val="0"/>
        <w:autoSpaceDN w:val="0"/>
        <w:adjustRightInd w:val="0"/>
        <w:spacing w:after="0" w:line="240" w:lineRule="auto"/>
        <w:jc w:val="center"/>
        <w:rPr>
          <w:rFonts w:ascii="Bookman Old Style" w:hAnsi="Bookman Old Style" w:cs="QuaySansITCTTBook"/>
          <w:sz w:val="18"/>
          <w:szCs w:val="24"/>
        </w:rPr>
      </w:pPr>
      <w:r w:rsidRPr="003D17AF">
        <w:rPr>
          <w:rFonts w:ascii="Bookman Old Style" w:hAnsi="Bookman Old Style" w:cs="QuaySansITCTTBook"/>
          <w:sz w:val="18"/>
          <w:szCs w:val="24"/>
        </w:rPr>
        <w:t>Gráfica 1: Tasa efectiva bancos y sector financiero</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r>
        <w:rPr>
          <w:rFonts w:ascii="Bookman Old Style" w:hAnsi="Bookman Old Style" w:cs="QuaySansITCTTBook"/>
          <w:noProof/>
          <w:sz w:val="24"/>
          <w:szCs w:val="24"/>
          <w:lang w:val="es-CO" w:eastAsia="es-CO"/>
        </w:rPr>
        <w:drawing>
          <wp:inline distT="0" distB="0" distL="0" distR="0" wp14:anchorId="72AA69FF" wp14:editId="0EB16283">
            <wp:extent cx="5610225" cy="2238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238375"/>
                    </a:xfrm>
                    <a:prstGeom prst="rect">
                      <a:avLst/>
                    </a:prstGeom>
                    <a:noFill/>
                    <a:ln>
                      <a:noFill/>
                    </a:ln>
                  </pic:spPr>
                </pic:pic>
              </a:graphicData>
            </a:graphic>
          </wp:inline>
        </w:drawing>
      </w:r>
    </w:p>
    <w:p w:rsidR="00862584" w:rsidRPr="003D17AF" w:rsidRDefault="00862584" w:rsidP="00862584">
      <w:pPr>
        <w:autoSpaceDE w:val="0"/>
        <w:autoSpaceDN w:val="0"/>
        <w:adjustRightInd w:val="0"/>
        <w:spacing w:after="0" w:line="240" w:lineRule="auto"/>
        <w:jc w:val="center"/>
        <w:rPr>
          <w:rFonts w:ascii="Bookman Old Style" w:hAnsi="Bookman Old Style" w:cs="QuaySansITCTTBook"/>
          <w:sz w:val="18"/>
          <w:szCs w:val="24"/>
        </w:rPr>
      </w:pPr>
      <w:r w:rsidRPr="003D17AF">
        <w:rPr>
          <w:rFonts w:ascii="Bookman Old Style" w:hAnsi="Bookman Old Style" w:cs="QuaySansITCTTBook"/>
          <w:sz w:val="18"/>
          <w:szCs w:val="24"/>
        </w:rPr>
        <w:t xml:space="preserve">Fuente: Dian (2018), </w:t>
      </w:r>
      <w:r w:rsidRPr="003D17AF">
        <w:rPr>
          <w:rFonts w:ascii="Bookman Old Style" w:hAnsi="Bookman Old Style" w:cs="QuaySansITCTTBook"/>
          <w:sz w:val="20"/>
          <w:szCs w:val="24"/>
        </w:rPr>
        <w:t>Robayo</w:t>
      </w:r>
      <w:r w:rsidRPr="003D17AF">
        <w:rPr>
          <w:rFonts w:ascii="Bookman Old Style" w:hAnsi="Bookman Old Style" w:cs="QuaySansITCTTBook"/>
          <w:sz w:val="18"/>
          <w:szCs w:val="24"/>
        </w:rPr>
        <w:t xml:space="preserve"> y Herrera (2016)</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r w:rsidRPr="00044E6D">
        <w:rPr>
          <w:rFonts w:ascii="Bookman Old Style" w:hAnsi="Bookman Old Style" w:cs="QuaySansITCTTBook"/>
          <w:sz w:val="24"/>
          <w:szCs w:val="24"/>
        </w:rPr>
        <w:t xml:space="preserve">Factores como que el sector bancario, que es altamente concentrado y oligopólico, presente una alta rentabilidad, además de ser un sector que aporta un limitado valor agregado, que genera poco empleo y que demanda altos costos para los demás sectores (Villabona, 2015), podrían ser considerados causas para que el Estado impulse las reformas necesarias que conduzcan a que este sector no sea tan favorecido con los beneficios tributarios. </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r w:rsidRPr="003D17AF">
        <w:rPr>
          <w:rFonts w:ascii="Bookman Old Style" w:hAnsi="Bookman Old Style" w:cs="QuaySansITCTTBook"/>
          <w:sz w:val="24"/>
          <w:szCs w:val="24"/>
        </w:rPr>
        <w:t xml:space="preserve">Además, se debe tener en cuenta que la presión ejercida por los representantes del sector bancario sobre los formuladores de políticas </w:t>
      </w:r>
      <w:r w:rsidRPr="003D17AF">
        <w:rPr>
          <w:rFonts w:ascii="Bookman Old Style" w:hAnsi="Bookman Old Style" w:cs="QuaySansITCTTBook"/>
          <w:sz w:val="24"/>
          <w:szCs w:val="24"/>
        </w:rPr>
        <w:lastRenderedPageBreak/>
        <w:t xml:space="preserve">tributarias, para que los beneficios de este sector se mantengan, está generando pérdidas en términos del crecimiento del </w:t>
      </w:r>
      <w:r>
        <w:rPr>
          <w:rFonts w:ascii="Bookman Old Style" w:hAnsi="Bookman Old Style" w:cs="QuaySansITCTTBook-SC750"/>
          <w:sz w:val="24"/>
          <w:szCs w:val="24"/>
        </w:rPr>
        <w:t>PIB</w:t>
      </w:r>
      <w:r w:rsidRPr="003D17AF">
        <w:rPr>
          <w:rFonts w:ascii="Bookman Old Style" w:hAnsi="Bookman Old Style" w:cs="QuaySansITCTTBook-SC750"/>
          <w:sz w:val="24"/>
          <w:szCs w:val="24"/>
        </w:rPr>
        <w:t xml:space="preserve"> </w:t>
      </w:r>
      <w:r w:rsidRPr="003D17AF">
        <w:rPr>
          <w:rFonts w:ascii="Bookman Old Style" w:hAnsi="Bookman Old Style" w:cs="QuaySansITCTTBook"/>
          <w:sz w:val="24"/>
          <w:szCs w:val="24"/>
        </w:rPr>
        <w:t>(</w:t>
      </w:r>
      <w:proofErr w:type="spellStart"/>
      <w:r w:rsidRPr="003D17AF">
        <w:rPr>
          <w:rFonts w:ascii="Bookman Old Style" w:hAnsi="Bookman Old Style" w:cs="QuaySansITCTTBook"/>
          <w:sz w:val="24"/>
          <w:szCs w:val="24"/>
        </w:rPr>
        <w:t>Frediani</w:t>
      </w:r>
      <w:proofErr w:type="spellEnd"/>
      <w:r w:rsidRPr="003D17AF">
        <w:rPr>
          <w:rFonts w:ascii="Bookman Old Style" w:hAnsi="Bookman Old Style" w:cs="QuaySansITCTTBook"/>
          <w:sz w:val="24"/>
          <w:szCs w:val="24"/>
        </w:rPr>
        <w:t>, 2002), debido especialmente a los altos costos que el sector bancario le genera a los demás sectores de la economía.</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Default="00862584" w:rsidP="00862584">
      <w:pPr>
        <w:jc w:val="both"/>
        <w:rPr>
          <w:rFonts w:ascii="Bookman Old Style" w:hAnsi="Bookman Old Style" w:cs="QuaySansITCTTBook"/>
          <w:sz w:val="24"/>
          <w:szCs w:val="24"/>
        </w:rPr>
      </w:pPr>
      <w:r w:rsidRPr="000A119E">
        <w:rPr>
          <w:rFonts w:ascii="Bookman Old Style" w:hAnsi="Bookman Old Style" w:cs="QuaySansITCTTBook"/>
          <w:sz w:val="24"/>
          <w:szCs w:val="24"/>
        </w:rPr>
        <w:t>Los resultados obtenidos para los sectores bancario y financiero son inconcebibles y reflejan la inequidad horizontal del sistema tributario colombiano. Esta situación es preocupante, más si se considera que actualmente en Colombia no se está incentivando el desarrollo de los sectores, que, a largo plazo, pueden garantizar un crecimiento sostenido y autónomo de la economía.</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Default="00862584" w:rsidP="00862584">
      <w:pPr>
        <w:autoSpaceDE w:val="0"/>
        <w:autoSpaceDN w:val="0"/>
        <w:adjustRightInd w:val="0"/>
        <w:spacing w:after="0" w:line="240" w:lineRule="auto"/>
        <w:jc w:val="both"/>
        <w:rPr>
          <w:rFonts w:ascii="Bookman Old Style" w:hAnsi="Bookman Old Style" w:cs="QuaySansITCTTBook"/>
          <w:b/>
          <w:sz w:val="24"/>
          <w:szCs w:val="24"/>
        </w:rPr>
      </w:pPr>
      <w:r w:rsidRPr="00BA45C9">
        <w:rPr>
          <w:rFonts w:ascii="Bookman Old Style" w:hAnsi="Bookman Old Style" w:cs="QuaySansITCTTBook"/>
          <w:b/>
          <w:sz w:val="24"/>
          <w:szCs w:val="24"/>
        </w:rPr>
        <w:t xml:space="preserve">Servicios financieros </w:t>
      </w:r>
      <w:proofErr w:type="spellStart"/>
      <w:r w:rsidRPr="00BA45C9">
        <w:rPr>
          <w:rFonts w:ascii="Bookman Old Style" w:hAnsi="Bookman Old Style" w:cs="QuaySansITCTTBook"/>
          <w:b/>
          <w:sz w:val="24"/>
          <w:szCs w:val="24"/>
        </w:rPr>
        <w:t>excluídos</w:t>
      </w:r>
      <w:proofErr w:type="spellEnd"/>
      <w:r w:rsidRPr="00BA45C9">
        <w:rPr>
          <w:rFonts w:ascii="Bookman Old Style" w:hAnsi="Bookman Old Style" w:cs="QuaySansITCTTBook"/>
          <w:b/>
          <w:sz w:val="24"/>
          <w:szCs w:val="24"/>
        </w:rPr>
        <w:t xml:space="preserve"> del Impuesto a las Ventas IVA</w:t>
      </w:r>
    </w:p>
    <w:p w:rsidR="00862584" w:rsidRDefault="00862584" w:rsidP="00862584">
      <w:pPr>
        <w:autoSpaceDE w:val="0"/>
        <w:autoSpaceDN w:val="0"/>
        <w:adjustRightInd w:val="0"/>
        <w:spacing w:after="0" w:line="240" w:lineRule="auto"/>
        <w:jc w:val="both"/>
        <w:rPr>
          <w:rFonts w:ascii="Bookman Old Style" w:hAnsi="Bookman Old Style" w:cs="QuaySansITCTTBook"/>
          <w:b/>
          <w:sz w:val="24"/>
          <w:szCs w:val="24"/>
        </w:rPr>
      </w:pP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r>
        <w:rPr>
          <w:rFonts w:ascii="Bookman Old Style" w:hAnsi="Bookman Old Style" w:cs="QuaySansITCTTBook"/>
          <w:sz w:val="24"/>
          <w:szCs w:val="24"/>
        </w:rPr>
        <w:t xml:space="preserve">El estatuto tributario en Colombia mantiene un régimen de exclusión a los servicios financieros que de acuerdo con cálculos de la Dirección de Impuestos y Aduanas Nacionales DIAN (2018) podrían significar un recaudo aproximado de 5.0 billones de pesos si estos se gravaran a una tasa general del 19%. </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r>
        <w:rPr>
          <w:rFonts w:ascii="Bookman Old Style" w:hAnsi="Bookman Old Style" w:cs="QuaySansITCTTBook"/>
          <w:sz w:val="24"/>
          <w:szCs w:val="24"/>
        </w:rPr>
        <w:t xml:space="preserve">En la tabla 1 se muestra el efecto de pasar los servicios financieros </w:t>
      </w:r>
      <w:proofErr w:type="spellStart"/>
      <w:r>
        <w:rPr>
          <w:rFonts w:ascii="Bookman Old Style" w:hAnsi="Bookman Old Style" w:cs="QuaySansITCTTBook"/>
          <w:sz w:val="24"/>
          <w:szCs w:val="24"/>
        </w:rPr>
        <w:t>excluídos</w:t>
      </w:r>
      <w:proofErr w:type="spellEnd"/>
      <w:r>
        <w:rPr>
          <w:rFonts w:ascii="Bookman Old Style" w:hAnsi="Bookman Old Style" w:cs="QuaySansITCTTBook"/>
          <w:sz w:val="24"/>
          <w:szCs w:val="24"/>
        </w:rPr>
        <w:t xml:space="preserve"> del IVA a la tasa del 19%.</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Pr="00DC2606" w:rsidRDefault="00862584" w:rsidP="00862584">
      <w:pPr>
        <w:autoSpaceDE w:val="0"/>
        <w:autoSpaceDN w:val="0"/>
        <w:adjustRightInd w:val="0"/>
        <w:spacing w:after="0" w:line="240" w:lineRule="auto"/>
        <w:jc w:val="center"/>
        <w:rPr>
          <w:rFonts w:ascii="Bookman Old Style" w:hAnsi="Bookman Old Style" w:cs="QuaySansITCTTBook"/>
          <w:szCs w:val="24"/>
        </w:rPr>
      </w:pPr>
      <w:r w:rsidRPr="00DC2606">
        <w:rPr>
          <w:rFonts w:ascii="Bookman Old Style" w:hAnsi="Bookman Old Style" w:cs="QuaySansITCTTBook"/>
          <w:szCs w:val="24"/>
        </w:rPr>
        <w:t>Tabla 1: Efecto en el recaudo de pasar servicios financieros al 19%</w:t>
      </w:r>
    </w:p>
    <w:p w:rsidR="00862584" w:rsidRDefault="00862584" w:rsidP="00862584">
      <w:pPr>
        <w:autoSpaceDE w:val="0"/>
        <w:autoSpaceDN w:val="0"/>
        <w:adjustRightInd w:val="0"/>
        <w:spacing w:after="0" w:line="240" w:lineRule="auto"/>
        <w:jc w:val="center"/>
        <w:rPr>
          <w:rFonts w:ascii="Bookman Old Style" w:hAnsi="Bookman Old Style" w:cs="QuaySansITCTTBook"/>
          <w:sz w:val="24"/>
          <w:szCs w:val="24"/>
        </w:rPr>
      </w:pPr>
      <w:r>
        <w:rPr>
          <w:rFonts w:ascii="Bookman Old Style" w:hAnsi="Bookman Old Style" w:cs="QuaySansITCTTBook"/>
          <w:noProof/>
          <w:sz w:val="24"/>
          <w:szCs w:val="24"/>
          <w:lang w:val="es-CO" w:eastAsia="es-CO"/>
        </w:rPr>
        <w:drawing>
          <wp:inline distT="0" distB="0" distL="0" distR="0" wp14:anchorId="461CED44" wp14:editId="5EC733F3">
            <wp:extent cx="5324475" cy="1524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1524000"/>
                    </a:xfrm>
                    <a:prstGeom prst="rect">
                      <a:avLst/>
                    </a:prstGeom>
                    <a:noFill/>
                    <a:ln>
                      <a:noFill/>
                    </a:ln>
                  </pic:spPr>
                </pic:pic>
              </a:graphicData>
            </a:graphic>
          </wp:inline>
        </w:drawing>
      </w:r>
    </w:p>
    <w:p w:rsidR="00862584" w:rsidRPr="00DC2606" w:rsidRDefault="00862584" w:rsidP="00862584">
      <w:pPr>
        <w:autoSpaceDE w:val="0"/>
        <w:autoSpaceDN w:val="0"/>
        <w:adjustRightInd w:val="0"/>
        <w:spacing w:after="0" w:line="240" w:lineRule="auto"/>
        <w:jc w:val="center"/>
        <w:rPr>
          <w:rFonts w:ascii="Bookman Old Style" w:hAnsi="Bookman Old Style" w:cs="QuaySansITCTTBook"/>
          <w:szCs w:val="24"/>
        </w:rPr>
      </w:pPr>
      <w:r w:rsidRPr="00DC2606">
        <w:rPr>
          <w:rFonts w:ascii="Bookman Old Style" w:hAnsi="Bookman Old Style" w:cs="QuaySansITCTTBook"/>
          <w:szCs w:val="24"/>
        </w:rPr>
        <w:t>Fuente: Dian (2018)</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r>
        <w:rPr>
          <w:rFonts w:ascii="Bookman Old Style" w:hAnsi="Bookman Old Style" w:cs="QuaySansITCTTBook"/>
          <w:sz w:val="24"/>
          <w:szCs w:val="24"/>
        </w:rPr>
        <w:lastRenderedPageBreak/>
        <w:t>Se debe destacar que servicios como  las pólizas de seguros de vida, servicios de seguros sociales de salud y riesgos profesionales y la administración de fondos y pensiones y cesantías, resultarían altamente inconvenientes y regresivos frente a la posibilidad de ser gravados con una tarifa de IVA del 19%.</w:t>
      </w: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p>
    <w:p w:rsidR="00862584" w:rsidRDefault="00862584" w:rsidP="00862584">
      <w:pPr>
        <w:autoSpaceDE w:val="0"/>
        <w:autoSpaceDN w:val="0"/>
        <w:adjustRightInd w:val="0"/>
        <w:spacing w:after="0" w:line="240" w:lineRule="auto"/>
        <w:jc w:val="both"/>
        <w:rPr>
          <w:rFonts w:ascii="Bookman Old Style" w:hAnsi="Bookman Old Style" w:cs="QuaySansITCTTBook"/>
          <w:sz w:val="24"/>
          <w:szCs w:val="24"/>
        </w:rPr>
      </w:pPr>
      <w:r>
        <w:rPr>
          <w:rFonts w:ascii="Bookman Old Style" w:hAnsi="Bookman Old Style" w:cs="QuaySansITCTTBook"/>
          <w:sz w:val="24"/>
          <w:szCs w:val="24"/>
        </w:rPr>
        <w:t xml:space="preserve">Sin embargo si resultaría equitativo y progresivo la aplicación de una tasa de IVA del 19% para los servicios de intermediación financiera, derivados de comisiones de bolsas, corredores y casas de cambio, lo cual generaría un recaudo de 3.7 billones proyectados a 2018.  </w:t>
      </w:r>
    </w:p>
    <w:p w:rsidR="003460AF" w:rsidRDefault="003460AF" w:rsidP="00862584">
      <w:pPr>
        <w:autoSpaceDE w:val="0"/>
        <w:autoSpaceDN w:val="0"/>
        <w:adjustRightInd w:val="0"/>
        <w:spacing w:after="0" w:line="240" w:lineRule="auto"/>
        <w:jc w:val="both"/>
        <w:rPr>
          <w:rFonts w:ascii="Bookman Old Style" w:hAnsi="Bookman Old Style" w:cs="QuaySansITCTTBook"/>
          <w:sz w:val="24"/>
          <w:szCs w:val="24"/>
        </w:rPr>
      </w:pPr>
    </w:p>
    <w:p w:rsidR="003460AF" w:rsidRPr="00C479DF" w:rsidRDefault="003460AF" w:rsidP="003460AF">
      <w:pPr>
        <w:pStyle w:val="Textoindependiente"/>
        <w:ind w:left="120" w:right="105"/>
        <w:jc w:val="both"/>
        <w:rPr>
          <w:rFonts w:ascii="Bookman Old Style" w:hAnsi="Bookman Old Style"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C0113" w:rsidRPr="00571608" w:rsidTr="0068012A">
        <w:tc>
          <w:tcPr>
            <w:tcW w:w="4414" w:type="dxa"/>
          </w:tcPr>
          <w:p w:rsidR="00CC0113" w:rsidRPr="00571608" w:rsidRDefault="00CC0113" w:rsidP="0068012A">
            <w:pPr>
              <w:pStyle w:val="Textoindependiente"/>
              <w:ind w:right="105"/>
              <w:jc w:val="both"/>
              <w:rPr>
                <w:rFonts w:ascii="Bookman Old Style" w:hAnsi="Bookman Old Style" w:cs="Times New Roman"/>
                <w:b/>
                <w:sz w:val="22"/>
                <w:szCs w:val="22"/>
              </w:rPr>
            </w:pPr>
          </w:p>
          <w:p w:rsidR="00CC0113" w:rsidRPr="00571608" w:rsidRDefault="00CC0113" w:rsidP="0068012A">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 xml:space="preserve">JOHN MILTON RODRÍGUEZ </w:t>
            </w:r>
          </w:p>
          <w:p w:rsidR="00CC0113" w:rsidRPr="00571608" w:rsidRDefault="00CC0113" w:rsidP="0068012A">
            <w:pPr>
              <w:spacing w:after="0" w:line="240" w:lineRule="auto"/>
              <w:rPr>
                <w:rFonts w:ascii="Bookman Old Style" w:hAnsi="Bookman Old Style"/>
              </w:rPr>
            </w:pPr>
            <w:r w:rsidRPr="00571608">
              <w:rPr>
                <w:rFonts w:ascii="Bookman Old Style" w:hAnsi="Bookman Old Style"/>
              </w:rPr>
              <w:t>Honorable Senador de la República</w:t>
            </w:r>
          </w:p>
          <w:p w:rsidR="00CC0113" w:rsidRPr="00571608" w:rsidRDefault="00CC0113" w:rsidP="0068012A">
            <w:pPr>
              <w:spacing w:after="0" w:line="240" w:lineRule="auto"/>
              <w:rPr>
                <w:rFonts w:ascii="Bookman Old Style" w:hAnsi="Bookman Old Style"/>
              </w:rPr>
            </w:pPr>
            <w:r w:rsidRPr="00571608">
              <w:rPr>
                <w:rFonts w:ascii="Bookman Old Style" w:hAnsi="Bookman Old Style"/>
              </w:rPr>
              <w:t>Partido Colombia Justa Libres</w:t>
            </w:r>
          </w:p>
        </w:tc>
        <w:tc>
          <w:tcPr>
            <w:tcW w:w="4414" w:type="dxa"/>
          </w:tcPr>
          <w:p w:rsidR="00CC0113" w:rsidRPr="00571608" w:rsidRDefault="00CC0113" w:rsidP="0068012A">
            <w:pPr>
              <w:pStyle w:val="Textoindependiente"/>
              <w:ind w:right="105"/>
              <w:jc w:val="both"/>
              <w:rPr>
                <w:rFonts w:ascii="Bookman Old Style" w:hAnsi="Bookman Old Style" w:cs="Times New Roman"/>
                <w:b/>
                <w:sz w:val="22"/>
                <w:szCs w:val="22"/>
              </w:rPr>
            </w:pPr>
          </w:p>
          <w:p w:rsidR="00CC0113" w:rsidRPr="00571608" w:rsidRDefault="00CC0113" w:rsidP="0068012A">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EDGAR PALACIO MIZRAHI</w:t>
            </w:r>
          </w:p>
          <w:p w:rsidR="00CC0113" w:rsidRPr="00571608" w:rsidRDefault="00CC0113" w:rsidP="0068012A">
            <w:pPr>
              <w:spacing w:after="0" w:line="240" w:lineRule="auto"/>
              <w:rPr>
                <w:rFonts w:ascii="Bookman Old Style" w:hAnsi="Bookman Old Style"/>
              </w:rPr>
            </w:pPr>
            <w:r w:rsidRPr="00571608">
              <w:rPr>
                <w:rFonts w:ascii="Bookman Old Style" w:hAnsi="Bookman Old Style"/>
              </w:rPr>
              <w:t>Honorable Senador de la República</w:t>
            </w:r>
          </w:p>
          <w:p w:rsidR="00CC0113" w:rsidRPr="00571608" w:rsidRDefault="00CC0113" w:rsidP="0068012A">
            <w:pPr>
              <w:spacing w:after="0" w:line="240" w:lineRule="auto"/>
              <w:rPr>
                <w:rFonts w:ascii="Bookman Old Style" w:hAnsi="Bookman Old Style"/>
              </w:rPr>
            </w:pPr>
            <w:r w:rsidRPr="00571608">
              <w:rPr>
                <w:rFonts w:ascii="Bookman Old Style" w:hAnsi="Bookman Old Style"/>
              </w:rPr>
              <w:t>Partido Colombia Justa Libres</w:t>
            </w:r>
          </w:p>
          <w:p w:rsidR="00CC0113" w:rsidRPr="00571608" w:rsidRDefault="00CC0113" w:rsidP="0068012A">
            <w:pPr>
              <w:pStyle w:val="Textoindependiente"/>
              <w:ind w:left="120" w:right="105"/>
              <w:jc w:val="both"/>
              <w:rPr>
                <w:rFonts w:ascii="Bookman Old Style" w:hAnsi="Bookman Old Style" w:cs="Times New Roman"/>
                <w:sz w:val="22"/>
                <w:szCs w:val="22"/>
              </w:rPr>
            </w:pPr>
          </w:p>
          <w:p w:rsidR="00CC0113" w:rsidRPr="00571608" w:rsidRDefault="00CC0113" w:rsidP="0068012A">
            <w:pPr>
              <w:pStyle w:val="Textoindependiente"/>
              <w:ind w:left="120" w:right="105"/>
              <w:jc w:val="both"/>
              <w:rPr>
                <w:rFonts w:ascii="Bookman Old Style" w:hAnsi="Bookman Old Style" w:cs="Times New Roman"/>
                <w:sz w:val="22"/>
                <w:szCs w:val="22"/>
              </w:rPr>
            </w:pPr>
          </w:p>
          <w:p w:rsidR="00CC0113" w:rsidRPr="00571608" w:rsidRDefault="00CC0113" w:rsidP="0068012A">
            <w:pPr>
              <w:pStyle w:val="Textoindependiente"/>
              <w:ind w:right="105"/>
              <w:jc w:val="both"/>
              <w:rPr>
                <w:rFonts w:ascii="Bookman Old Style" w:hAnsi="Bookman Old Style" w:cs="Times New Roman"/>
                <w:sz w:val="22"/>
                <w:szCs w:val="22"/>
              </w:rPr>
            </w:pPr>
          </w:p>
        </w:tc>
      </w:tr>
      <w:tr w:rsidR="00CC0113" w:rsidRPr="00571608" w:rsidTr="0068012A">
        <w:tc>
          <w:tcPr>
            <w:tcW w:w="4414" w:type="dxa"/>
          </w:tcPr>
          <w:p w:rsidR="00CC0113" w:rsidRPr="00571608" w:rsidRDefault="00CC0113" w:rsidP="0068012A">
            <w:pPr>
              <w:pStyle w:val="Textoindependiente"/>
              <w:ind w:right="105"/>
              <w:jc w:val="both"/>
              <w:rPr>
                <w:rFonts w:ascii="Bookman Old Style" w:hAnsi="Bookman Old Style" w:cs="Times New Roman"/>
                <w:b/>
                <w:sz w:val="22"/>
                <w:szCs w:val="22"/>
              </w:rPr>
            </w:pPr>
          </w:p>
          <w:p w:rsidR="00CC0113" w:rsidRPr="00571608" w:rsidRDefault="00CC0113" w:rsidP="0068012A">
            <w:pPr>
              <w:pStyle w:val="Textoindependiente"/>
              <w:ind w:right="105"/>
              <w:jc w:val="both"/>
              <w:rPr>
                <w:rFonts w:ascii="Bookman Old Style" w:hAnsi="Bookman Old Style" w:cs="Times New Roman"/>
                <w:b/>
                <w:sz w:val="22"/>
                <w:szCs w:val="22"/>
              </w:rPr>
            </w:pPr>
          </w:p>
          <w:p w:rsidR="00CC0113" w:rsidRPr="00571608" w:rsidRDefault="00CC0113" w:rsidP="0068012A">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 xml:space="preserve">EDUARDO EMILIO PACHECO </w:t>
            </w:r>
          </w:p>
          <w:p w:rsidR="00CC0113" w:rsidRPr="00571608" w:rsidRDefault="00CC0113" w:rsidP="0068012A">
            <w:pPr>
              <w:spacing w:after="0" w:line="240" w:lineRule="auto"/>
              <w:rPr>
                <w:rFonts w:ascii="Bookman Old Style" w:hAnsi="Bookman Old Style"/>
              </w:rPr>
            </w:pPr>
            <w:r w:rsidRPr="00571608">
              <w:rPr>
                <w:rFonts w:ascii="Bookman Old Style" w:hAnsi="Bookman Old Style"/>
              </w:rPr>
              <w:t>Honorable Senador de la República</w:t>
            </w:r>
          </w:p>
          <w:p w:rsidR="00CC0113" w:rsidRPr="00571608" w:rsidRDefault="00CC0113" w:rsidP="0068012A">
            <w:pPr>
              <w:spacing w:after="0" w:line="240" w:lineRule="auto"/>
              <w:rPr>
                <w:rFonts w:ascii="Bookman Old Style" w:hAnsi="Bookman Old Style"/>
                <w:b/>
              </w:rPr>
            </w:pPr>
            <w:r w:rsidRPr="00571608">
              <w:rPr>
                <w:rFonts w:ascii="Bookman Old Style" w:hAnsi="Bookman Old Style"/>
              </w:rPr>
              <w:t>Partido Colombia Justa Libres</w:t>
            </w:r>
            <w:r w:rsidRPr="00571608">
              <w:rPr>
                <w:rFonts w:ascii="Bookman Old Style" w:hAnsi="Bookman Old Style"/>
                <w:b/>
              </w:rPr>
              <w:t xml:space="preserve"> </w:t>
            </w:r>
          </w:p>
          <w:p w:rsidR="00CC0113" w:rsidRPr="00571608" w:rsidRDefault="00CC0113" w:rsidP="0068012A">
            <w:pPr>
              <w:pStyle w:val="Textoindependiente"/>
              <w:ind w:right="105"/>
              <w:jc w:val="both"/>
              <w:rPr>
                <w:rFonts w:ascii="Bookman Old Style" w:hAnsi="Bookman Old Style" w:cs="Times New Roman"/>
                <w:sz w:val="22"/>
                <w:szCs w:val="22"/>
              </w:rPr>
            </w:pPr>
          </w:p>
        </w:tc>
        <w:tc>
          <w:tcPr>
            <w:tcW w:w="4414" w:type="dxa"/>
          </w:tcPr>
          <w:p w:rsidR="00CC0113" w:rsidRPr="00571608" w:rsidRDefault="00CC0113" w:rsidP="0068012A">
            <w:pPr>
              <w:spacing w:after="0" w:line="240" w:lineRule="auto"/>
              <w:rPr>
                <w:rFonts w:ascii="Bookman Old Style" w:hAnsi="Bookman Old Style"/>
                <w:b/>
              </w:rPr>
            </w:pPr>
          </w:p>
          <w:p w:rsidR="00CC0113" w:rsidRPr="00571608" w:rsidRDefault="00CC0113" w:rsidP="0068012A">
            <w:pPr>
              <w:spacing w:after="0" w:line="240" w:lineRule="auto"/>
              <w:rPr>
                <w:rFonts w:ascii="Bookman Old Style" w:hAnsi="Bookman Old Style"/>
                <w:b/>
              </w:rPr>
            </w:pPr>
          </w:p>
          <w:p w:rsidR="00CC0113" w:rsidRPr="00571608" w:rsidRDefault="00CC0113" w:rsidP="0068012A">
            <w:pPr>
              <w:spacing w:after="0" w:line="240" w:lineRule="auto"/>
              <w:rPr>
                <w:rFonts w:ascii="Bookman Old Style" w:hAnsi="Bookman Old Style"/>
              </w:rPr>
            </w:pPr>
            <w:r w:rsidRPr="00571608">
              <w:rPr>
                <w:rFonts w:ascii="Bookman Old Style" w:hAnsi="Bookman Old Style"/>
                <w:b/>
              </w:rPr>
              <w:t>CARLOS EDUARDO ACOSTA</w:t>
            </w:r>
          </w:p>
          <w:p w:rsidR="00CC0113" w:rsidRPr="00571608" w:rsidRDefault="00CC0113" w:rsidP="0068012A">
            <w:pPr>
              <w:pStyle w:val="Textoindependiente"/>
              <w:ind w:right="105"/>
              <w:jc w:val="both"/>
              <w:rPr>
                <w:rFonts w:ascii="Bookman Old Style" w:hAnsi="Bookman Old Style" w:cs="Times New Roman"/>
                <w:sz w:val="22"/>
                <w:szCs w:val="22"/>
              </w:rPr>
            </w:pPr>
            <w:r w:rsidRPr="00571608">
              <w:rPr>
                <w:rFonts w:ascii="Bookman Old Style" w:hAnsi="Bookman Old Style"/>
                <w:sz w:val="22"/>
                <w:szCs w:val="22"/>
              </w:rPr>
              <w:t>Honorable</w:t>
            </w:r>
            <w:r w:rsidRPr="00571608">
              <w:rPr>
                <w:rFonts w:ascii="Bookman Old Style" w:hAnsi="Bookman Old Style" w:cs="Times New Roman"/>
                <w:sz w:val="22"/>
                <w:szCs w:val="22"/>
              </w:rPr>
              <w:t xml:space="preserve"> Representante a la Cámara</w:t>
            </w:r>
          </w:p>
          <w:p w:rsidR="00CC0113" w:rsidRPr="00571608" w:rsidRDefault="00CC0113" w:rsidP="0068012A">
            <w:pPr>
              <w:spacing w:after="0" w:line="240" w:lineRule="auto"/>
              <w:rPr>
                <w:rFonts w:ascii="Bookman Old Style" w:hAnsi="Bookman Old Style"/>
              </w:rPr>
            </w:pPr>
            <w:r w:rsidRPr="00571608">
              <w:rPr>
                <w:rFonts w:ascii="Bookman Old Style" w:hAnsi="Bookman Old Style"/>
              </w:rPr>
              <w:t>Partido Colombia Justa Libres</w:t>
            </w:r>
            <w:r w:rsidRPr="00571608">
              <w:rPr>
                <w:rFonts w:ascii="Bookman Old Style" w:hAnsi="Bookman Old Style"/>
                <w:b/>
              </w:rPr>
              <w:t xml:space="preserve"> </w:t>
            </w:r>
          </w:p>
          <w:p w:rsidR="00CC0113" w:rsidRPr="00571608" w:rsidRDefault="00CC0113" w:rsidP="0068012A">
            <w:pPr>
              <w:pStyle w:val="Textoindependiente"/>
              <w:ind w:right="105"/>
              <w:jc w:val="both"/>
              <w:rPr>
                <w:rFonts w:ascii="Bookman Old Style" w:hAnsi="Bookman Old Style" w:cs="Times New Roman"/>
                <w:sz w:val="22"/>
                <w:szCs w:val="22"/>
              </w:rPr>
            </w:pPr>
          </w:p>
        </w:tc>
      </w:tr>
    </w:tbl>
    <w:p w:rsidR="00B56A29" w:rsidRPr="00862584" w:rsidRDefault="003460AF" w:rsidP="00487526">
      <w:pPr>
        <w:spacing w:after="0" w:line="240" w:lineRule="auto"/>
      </w:pPr>
      <w:r w:rsidRPr="00C479DF">
        <w:rPr>
          <w:rFonts w:ascii="Bookman Old Style" w:hAnsi="Bookman Old Style"/>
          <w:b/>
          <w:sz w:val="24"/>
          <w:szCs w:val="24"/>
        </w:rPr>
        <w:t xml:space="preserve"> </w:t>
      </w:r>
      <w:bookmarkStart w:id="0" w:name="_GoBack"/>
      <w:bookmarkEnd w:id="0"/>
    </w:p>
    <w:sectPr w:rsidR="00B56A29" w:rsidRPr="00862584" w:rsidSect="00D31E6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803" w:rsidRDefault="00AF6803" w:rsidP="00D31E66">
      <w:pPr>
        <w:spacing w:after="0" w:line="240" w:lineRule="auto"/>
      </w:pPr>
      <w:r>
        <w:separator/>
      </w:r>
    </w:p>
  </w:endnote>
  <w:endnote w:type="continuationSeparator" w:id="0">
    <w:p w:rsidR="00AF6803" w:rsidRDefault="00AF6803" w:rsidP="00D3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QuaySansITCTTBook">
    <w:panose1 w:val="00000000000000000000"/>
    <w:charset w:val="00"/>
    <w:family w:val="swiss"/>
    <w:notTrueType/>
    <w:pitch w:val="default"/>
    <w:sig w:usb0="00000003" w:usb1="00000000" w:usb2="00000000" w:usb3="00000000" w:csb0="00000001" w:csb1="00000000"/>
  </w:font>
  <w:font w:name="Raleway">
    <w:altName w:val="Times New Roman"/>
    <w:panose1 w:val="00000000000000000000"/>
    <w:charset w:val="00"/>
    <w:family w:val="swiss"/>
    <w:notTrueType/>
    <w:pitch w:val="default"/>
    <w:sig w:usb0="00000003" w:usb1="00000000" w:usb2="00000000" w:usb3="00000000" w:csb0="00000001" w:csb1="00000000"/>
  </w:font>
  <w:font w:name="Raleway-Regular">
    <w:panose1 w:val="00000000000000000000"/>
    <w:charset w:val="00"/>
    <w:family w:val="auto"/>
    <w:notTrueType/>
    <w:pitch w:val="default"/>
    <w:sig w:usb0="00000003" w:usb1="00000000" w:usb2="00000000" w:usb3="00000000" w:csb0="00000001" w:csb1="00000000"/>
  </w:font>
  <w:font w:name="QuaySansITCTTBook-SC75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66" w:rsidRDefault="00D31E66" w:rsidP="00D31E66">
    <w:pPr>
      <w:pStyle w:val="Piedepgina"/>
      <w:ind w:left="-1701"/>
    </w:pPr>
    <w:r>
      <w:rPr>
        <w:noProof/>
        <w:lang w:val="es-CO" w:eastAsia="es-CO"/>
      </w:rPr>
      <w:drawing>
        <wp:inline distT="0" distB="0" distL="0" distR="0">
          <wp:extent cx="7764780" cy="2143706"/>
          <wp:effectExtent l="0" t="0" r="0" b="9525"/>
          <wp:docPr id="20" name="Imagen 20"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7922969" cy="2187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803" w:rsidRDefault="00AF6803" w:rsidP="00D31E66">
      <w:pPr>
        <w:spacing w:after="0" w:line="240" w:lineRule="auto"/>
      </w:pPr>
      <w:r>
        <w:separator/>
      </w:r>
    </w:p>
  </w:footnote>
  <w:footnote w:type="continuationSeparator" w:id="0">
    <w:p w:rsidR="00AF6803" w:rsidRDefault="00AF6803" w:rsidP="00D3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66" w:rsidRDefault="00D31E66">
    <w:pPr>
      <w:pStyle w:val="Encabezado"/>
    </w:pPr>
    <w:r>
      <w:rPr>
        <w:noProof/>
        <w:lang w:val="es-CO" w:eastAsia="es-CO"/>
      </w:rPr>
      <w:drawing>
        <wp:inline distT="0" distB="0" distL="0" distR="0">
          <wp:extent cx="1393782" cy="861060"/>
          <wp:effectExtent l="0" t="0" r="0" b="0"/>
          <wp:docPr id="19" name="Imagen 19" descr="Imagen que contiene libro, text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00013" cy="864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7E3"/>
    <w:multiLevelType w:val="hybridMultilevel"/>
    <w:tmpl w:val="24C4C252"/>
    <w:lvl w:ilvl="0" w:tplc="B69C0326">
      <w:start w:val="2"/>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15:restartNumberingAfterBreak="0">
    <w:nsid w:val="0EE760FF"/>
    <w:multiLevelType w:val="hybridMultilevel"/>
    <w:tmpl w:val="389651B6"/>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5C0C50"/>
    <w:multiLevelType w:val="hybridMultilevel"/>
    <w:tmpl w:val="F67EC98A"/>
    <w:lvl w:ilvl="0" w:tplc="41FE3484">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2CD70C8"/>
    <w:multiLevelType w:val="hybridMultilevel"/>
    <w:tmpl w:val="8B12A2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AD052F5"/>
    <w:multiLevelType w:val="hybridMultilevel"/>
    <w:tmpl w:val="2C66C4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093FA5"/>
    <w:multiLevelType w:val="hybridMultilevel"/>
    <w:tmpl w:val="B728FE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A844CA"/>
    <w:multiLevelType w:val="hybridMultilevel"/>
    <w:tmpl w:val="AA54E21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06D1CF9"/>
    <w:multiLevelType w:val="hybridMultilevel"/>
    <w:tmpl w:val="BA38B088"/>
    <w:lvl w:ilvl="0" w:tplc="BD58521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0B6BC1"/>
    <w:multiLevelType w:val="hybridMultilevel"/>
    <w:tmpl w:val="45C2819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3514B3"/>
    <w:multiLevelType w:val="hybridMultilevel"/>
    <w:tmpl w:val="07780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78A5D48"/>
    <w:multiLevelType w:val="hybridMultilevel"/>
    <w:tmpl w:val="6D58435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F0860F8"/>
    <w:multiLevelType w:val="multilevel"/>
    <w:tmpl w:val="81E47F4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2" w15:restartNumberingAfterBreak="0">
    <w:nsid w:val="6F0B501A"/>
    <w:multiLevelType w:val="hybridMultilevel"/>
    <w:tmpl w:val="49C8F26A"/>
    <w:lvl w:ilvl="0" w:tplc="66C4F97A">
      <w:start w:val="3"/>
      <w:numFmt w:val="bullet"/>
      <w:lvlText w:val="-"/>
      <w:lvlJc w:val="left"/>
      <w:pPr>
        <w:ind w:left="1440" w:hanging="360"/>
      </w:pPr>
      <w:rPr>
        <w:rFonts w:ascii="Arial" w:eastAsia="Times New Roman" w:hAnsi="Arial" w:cs="Arial"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77D150BC"/>
    <w:multiLevelType w:val="hybridMultilevel"/>
    <w:tmpl w:val="45309A5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B7C090D"/>
    <w:multiLevelType w:val="multilevel"/>
    <w:tmpl w:val="60C01EFA"/>
    <w:lvl w:ilvl="0">
      <w:start w:val="1"/>
      <w:numFmt w:val="decimal"/>
      <w:lvlText w:val="%1."/>
      <w:lvlJc w:val="left"/>
      <w:pPr>
        <w:ind w:left="360" w:hanging="360"/>
      </w:pPr>
      <w:rPr>
        <w:b/>
        <w:bCs w:val="0"/>
        <w:i w:val="0"/>
        <w:iCs w:val="0"/>
        <w:caps w:val="0"/>
        <w:smallCaps w:val="0"/>
        <w:strike w:val="0"/>
        <w:dstrike w:val="0"/>
        <w:vanish w:val="0"/>
        <w:color w:val="auto"/>
        <w:spacing w:val="0"/>
        <w:kern w:val="0"/>
        <w:position w:val="0"/>
        <w:sz w:val="22"/>
        <w:szCs w:val="22"/>
        <w:u w:val="none"/>
        <w:effect w:val="none"/>
        <w:vertAlign w:val="baseline"/>
        <w:em w:val="none"/>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num w:numId="1">
    <w:abstractNumId w:val="5"/>
  </w:num>
  <w:num w:numId="2">
    <w:abstractNumId w:val="14"/>
  </w:num>
  <w:num w:numId="3">
    <w:abstractNumId w:val="2"/>
  </w:num>
  <w:num w:numId="4">
    <w:abstractNumId w:val="12"/>
  </w:num>
  <w:num w:numId="5">
    <w:abstractNumId w:val="1"/>
  </w:num>
  <w:num w:numId="6">
    <w:abstractNumId w:val="7"/>
  </w:num>
  <w:num w:numId="7">
    <w:abstractNumId w:val="11"/>
  </w:num>
  <w:num w:numId="8">
    <w:abstractNumId w:val="10"/>
  </w:num>
  <w:num w:numId="9">
    <w:abstractNumId w:val="3"/>
  </w:num>
  <w:num w:numId="10">
    <w:abstractNumId w:val="8"/>
  </w:num>
  <w:num w:numId="11">
    <w:abstractNumId w:val="4"/>
  </w:num>
  <w:num w:numId="12">
    <w:abstractNumId w:val="13"/>
  </w:num>
  <w:num w:numId="13">
    <w:abstractNumId w:val="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29"/>
    <w:rsid w:val="0009425F"/>
    <w:rsid w:val="000B5ABA"/>
    <w:rsid w:val="001A6DF6"/>
    <w:rsid w:val="0020575D"/>
    <w:rsid w:val="00243C1D"/>
    <w:rsid w:val="002A0CBF"/>
    <w:rsid w:val="002A6397"/>
    <w:rsid w:val="002E2D45"/>
    <w:rsid w:val="003460AF"/>
    <w:rsid w:val="003E1E66"/>
    <w:rsid w:val="00487526"/>
    <w:rsid w:val="00521040"/>
    <w:rsid w:val="006851D8"/>
    <w:rsid w:val="0070621E"/>
    <w:rsid w:val="00724904"/>
    <w:rsid w:val="00774477"/>
    <w:rsid w:val="00862584"/>
    <w:rsid w:val="008E4A65"/>
    <w:rsid w:val="009153C7"/>
    <w:rsid w:val="00934B32"/>
    <w:rsid w:val="0095312F"/>
    <w:rsid w:val="009F56F4"/>
    <w:rsid w:val="00AE38E9"/>
    <w:rsid w:val="00AF6803"/>
    <w:rsid w:val="00B32023"/>
    <w:rsid w:val="00B46CCD"/>
    <w:rsid w:val="00B56A29"/>
    <w:rsid w:val="00C12FEB"/>
    <w:rsid w:val="00C16487"/>
    <w:rsid w:val="00CB49CF"/>
    <w:rsid w:val="00CB7977"/>
    <w:rsid w:val="00CC0113"/>
    <w:rsid w:val="00D31E66"/>
    <w:rsid w:val="00D90D09"/>
    <w:rsid w:val="00DE0042"/>
    <w:rsid w:val="00E03E65"/>
    <w:rsid w:val="00E052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B2A20B-9790-4C4D-9791-A6D5551F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2F"/>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95312F"/>
    <w:pPr>
      <w:spacing w:before="360" w:after="240"/>
      <w:outlineLvl w:val="0"/>
    </w:pPr>
    <w:rPr>
      <w:rFonts w:eastAsia="MS Gothic"/>
      <w:b/>
      <w:sz w:val="32"/>
      <w:szCs w:val="26"/>
      <w:lang w:val="es-CO"/>
    </w:rPr>
  </w:style>
  <w:style w:type="paragraph" w:styleId="Ttulo2">
    <w:name w:val="heading 2"/>
    <w:basedOn w:val="Normal"/>
    <w:next w:val="Normal"/>
    <w:link w:val="Ttulo2Car"/>
    <w:uiPriority w:val="9"/>
    <w:semiHidden/>
    <w:unhideWhenUsed/>
    <w:qFormat/>
    <w:rsid w:val="00AE3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6A29"/>
    <w:pPr>
      <w:ind w:left="720"/>
      <w:contextualSpacing/>
    </w:pPr>
  </w:style>
  <w:style w:type="paragraph" w:styleId="Encabezado">
    <w:name w:val="header"/>
    <w:basedOn w:val="Normal"/>
    <w:link w:val="EncabezadoCar"/>
    <w:uiPriority w:val="99"/>
    <w:unhideWhenUsed/>
    <w:rsid w:val="00D31E6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31E66"/>
  </w:style>
  <w:style w:type="paragraph" w:styleId="Piedepgina">
    <w:name w:val="footer"/>
    <w:basedOn w:val="Normal"/>
    <w:link w:val="PiedepginaCar"/>
    <w:uiPriority w:val="99"/>
    <w:unhideWhenUsed/>
    <w:rsid w:val="00D31E6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31E66"/>
  </w:style>
  <w:style w:type="character" w:customStyle="1" w:styleId="Ttulo1Car">
    <w:name w:val="Título 1 Car"/>
    <w:basedOn w:val="Fuentedeprrafopredeter"/>
    <w:link w:val="Ttulo1"/>
    <w:uiPriority w:val="9"/>
    <w:qFormat/>
    <w:rsid w:val="0095312F"/>
    <w:rPr>
      <w:rFonts w:ascii="Calibri" w:eastAsia="MS Gothic" w:hAnsi="Calibri" w:cs="Times New Roman"/>
      <w:b/>
      <w:sz w:val="32"/>
      <w:szCs w:val="26"/>
    </w:rPr>
  </w:style>
  <w:style w:type="character" w:customStyle="1" w:styleId="apple-converted-space">
    <w:name w:val="apple-converted-space"/>
    <w:basedOn w:val="Fuentedeprrafopredeter"/>
    <w:rsid w:val="0095312F"/>
  </w:style>
  <w:style w:type="character" w:customStyle="1" w:styleId="Listavistosa-nfasis1Car">
    <w:name w:val="Lista vistosa - Énfasis 1 Car"/>
    <w:basedOn w:val="Fuentedeprrafopredeter"/>
    <w:link w:val="Listavistosa-nfasis1"/>
    <w:uiPriority w:val="34"/>
    <w:qFormat/>
    <w:locked/>
    <w:rsid w:val="0095312F"/>
  </w:style>
  <w:style w:type="paragraph" w:customStyle="1" w:styleId="Lnea">
    <w:name w:val="Línea"/>
    <w:basedOn w:val="Normal"/>
    <w:qFormat/>
    <w:rsid w:val="0095312F"/>
    <w:pPr>
      <w:keepNext/>
      <w:keepLines/>
      <w:spacing w:before="600" w:after="240" w:line="240" w:lineRule="auto"/>
      <w:outlineLvl w:val="0"/>
    </w:pPr>
    <w:rPr>
      <w:rFonts w:eastAsia="MS Gothic"/>
      <w:b/>
      <w:sz w:val="36"/>
      <w:szCs w:val="26"/>
      <w:lang w:val="es-CO"/>
    </w:rPr>
  </w:style>
  <w:style w:type="paragraph" w:customStyle="1" w:styleId="Listavistosa-nfasis11">
    <w:name w:val="Lista vistosa - Énfasis 11"/>
    <w:basedOn w:val="Normal"/>
    <w:uiPriority w:val="34"/>
    <w:qFormat/>
    <w:rsid w:val="0095312F"/>
    <w:pPr>
      <w:spacing w:after="160" w:line="259" w:lineRule="auto"/>
      <w:ind w:left="720"/>
      <w:contextualSpacing/>
    </w:pPr>
    <w:rPr>
      <w:lang w:val="es-CO"/>
    </w:rPr>
  </w:style>
  <w:style w:type="paragraph" w:customStyle="1" w:styleId="ColorfulList-Accent11">
    <w:name w:val="Colorful List - Accent 11"/>
    <w:aliases w:val="titulo 3"/>
    <w:basedOn w:val="Normal"/>
    <w:link w:val="ColorfulList-Accent1Char"/>
    <w:uiPriority w:val="34"/>
    <w:qFormat/>
    <w:rsid w:val="0095312F"/>
    <w:pPr>
      <w:ind w:left="720"/>
      <w:contextualSpacing/>
    </w:pPr>
  </w:style>
  <w:style w:type="character" w:customStyle="1" w:styleId="ColorfulList-Accent1Char">
    <w:name w:val="Colorful List - Accent 1 Char"/>
    <w:aliases w:val="titulo 3 Char"/>
    <w:link w:val="ColorfulList-Accent11"/>
    <w:uiPriority w:val="34"/>
    <w:qFormat/>
    <w:locked/>
    <w:rsid w:val="0095312F"/>
    <w:rPr>
      <w:rFonts w:ascii="Calibri" w:eastAsia="Calibri" w:hAnsi="Calibri" w:cs="Times New Roman"/>
      <w:lang w:val="es-ES"/>
    </w:rPr>
  </w:style>
  <w:style w:type="paragraph" w:styleId="NormalWeb">
    <w:name w:val="Normal (Web)"/>
    <w:basedOn w:val="Normal"/>
    <w:uiPriority w:val="99"/>
    <w:unhideWhenUsed/>
    <w:rsid w:val="0095312F"/>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styleId="Textoennegrita">
    <w:name w:val="Strong"/>
    <w:uiPriority w:val="22"/>
    <w:qFormat/>
    <w:rsid w:val="0095312F"/>
    <w:rPr>
      <w:b/>
      <w:bCs/>
    </w:rPr>
  </w:style>
  <w:style w:type="table" w:styleId="Listavistosa-nfasis1">
    <w:name w:val="Colorful List Accent 1"/>
    <w:basedOn w:val="Tablanormal"/>
    <w:link w:val="Listavistosa-nfasis1Car"/>
    <w:uiPriority w:val="34"/>
    <w:semiHidden/>
    <w:unhideWhenUsed/>
    <w:rsid w:val="0095312F"/>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Textoindependiente">
    <w:name w:val="Body Text"/>
    <w:basedOn w:val="Normal"/>
    <w:link w:val="TextoindependienteCar"/>
    <w:uiPriority w:val="1"/>
    <w:qFormat/>
    <w:rsid w:val="00AE38E9"/>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AE38E9"/>
    <w:rPr>
      <w:rFonts w:ascii="Arial" w:eastAsia="Arial" w:hAnsi="Arial" w:cs="Arial"/>
      <w:sz w:val="24"/>
      <w:szCs w:val="24"/>
      <w:lang w:val="es-ES" w:eastAsia="es-ES" w:bidi="es-ES"/>
    </w:rPr>
  </w:style>
  <w:style w:type="paragraph" w:styleId="Textonotapie">
    <w:name w:val="footnote text"/>
    <w:basedOn w:val="Normal"/>
    <w:link w:val="TextonotapieCar"/>
    <w:uiPriority w:val="99"/>
    <w:semiHidden/>
    <w:unhideWhenUsed/>
    <w:rsid w:val="00AE38E9"/>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semiHidden/>
    <w:rsid w:val="00AE38E9"/>
    <w:rPr>
      <w:rFonts w:ascii="Times New Roman" w:eastAsia="Times New Roman" w:hAnsi="Times New Roman" w:cs="Times New Roman"/>
      <w:sz w:val="20"/>
      <w:szCs w:val="20"/>
      <w:lang w:val="es-ES" w:eastAsia="es-ES"/>
    </w:rPr>
  </w:style>
  <w:style w:type="paragraph" w:customStyle="1" w:styleId="DefaultStyle">
    <w:name w:val="Default Style"/>
    <w:rsid w:val="00AE38E9"/>
    <w:pPr>
      <w:suppressAutoHyphens/>
      <w:spacing w:line="256" w:lineRule="auto"/>
    </w:pPr>
    <w:rPr>
      <w:rFonts w:ascii="Calibri" w:eastAsia="Arial Unicode MS" w:hAnsi="Calibri" w:cs="Calibri"/>
    </w:rPr>
  </w:style>
  <w:style w:type="paragraph" w:customStyle="1" w:styleId="Estilo2">
    <w:name w:val="Estilo 2"/>
    <w:basedOn w:val="Ttulo2"/>
    <w:link w:val="Estilo2Car"/>
    <w:qFormat/>
    <w:rsid w:val="00AE38E9"/>
    <w:pPr>
      <w:spacing w:line="259" w:lineRule="auto"/>
    </w:pPr>
    <w:rPr>
      <w:rFonts w:ascii="Century Gothic" w:eastAsia="Times New Roman" w:hAnsi="Century Gothic" w:cs="Times New Roman"/>
      <w:b/>
      <w:i/>
      <w:color w:val="auto"/>
      <w:sz w:val="24"/>
      <w:lang w:val="es-CO" w:eastAsia="es-CO"/>
    </w:rPr>
  </w:style>
  <w:style w:type="character" w:customStyle="1" w:styleId="Estilo2Car">
    <w:name w:val="Estilo 2 Car"/>
    <w:link w:val="Estilo2"/>
    <w:rsid w:val="00AE38E9"/>
    <w:rPr>
      <w:rFonts w:ascii="Century Gothic" w:eastAsia="Times New Roman" w:hAnsi="Century Gothic" w:cs="Times New Roman"/>
      <w:b/>
      <w:i/>
      <w:sz w:val="24"/>
      <w:szCs w:val="26"/>
      <w:lang w:eastAsia="es-CO"/>
    </w:rPr>
  </w:style>
  <w:style w:type="paragraph" w:styleId="Sinespaciado">
    <w:name w:val="No Spacing"/>
    <w:link w:val="SinespaciadoCar"/>
    <w:uiPriority w:val="1"/>
    <w:qFormat/>
    <w:rsid w:val="00AE38E9"/>
    <w:pPr>
      <w:spacing w:after="0" w:line="240" w:lineRule="auto"/>
    </w:pPr>
    <w:rPr>
      <w:rFonts w:ascii="Calibri" w:eastAsia="Times New Roman" w:hAnsi="Calibri" w:cs="Times New Roman"/>
      <w:lang w:val="en-US"/>
    </w:rPr>
  </w:style>
  <w:style w:type="character" w:customStyle="1" w:styleId="SinespaciadoCar">
    <w:name w:val="Sin espaciado Car"/>
    <w:link w:val="Sinespaciado"/>
    <w:uiPriority w:val="1"/>
    <w:rsid w:val="00AE38E9"/>
    <w:rPr>
      <w:rFonts w:ascii="Calibri" w:eastAsia="Times New Roman" w:hAnsi="Calibri" w:cs="Times New Roman"/>
      <w:lang w:val="en-US"/>
    </w:rPr>
  </w:style>
  <w:style w:type="paragraph" w:styleId="Subttulo">
    <w:name w:val="Subtitle"/>
    <w:basedOn w:val="Normal"/>
    <w:next w:val="Normal"/>
    <w:link w:val="SubttuloCar"/>
    <w:uiPriority w:val="11"/>
    <w:qFormat/>
    <w:rsid w:val="00AE38E9"/>
    <w:pPr>
      <w:widowControl w:val="0"/>
      <w:autoSpaceDE w:val="0"/>
      <w:autoSpaceDN w:val="0"/>
      <w:spacing w:after="60" w:line="240" w:lineRule="auto"/>
      <w:jc w:val="center"/>
      <w:outlineLvl w:val="1"/>
    </w:pPr>
    <w:rPr>
      <w:rFonts w:ascii="Cambria" w:eastAsia="Times New Roman" w:hAnsi="Cambria"/>
      <w:sz w:val="24"/>
      <w:szCs w:val="24"/>
      <w:lang w:eastAsia="es-ES" w:bidi="es-ES"/>
    </w:rPr>
  </w:style>
  <w:style w:type="character" w:customStyle="1" w:styleId="SubttuloCar">
    <w:name w:val="Subtítulo Car"/>
    <w:basedOn w:val="Fuentedeprrafopredeter"/>
    <w:link w:val="Subttulo"/>
    <w:uiPriority w:val="11"/>
    <w:rsid w:val="00AE38E9"/>
    <w:rPr>
      <w:rFonts w:ascii="Cambria" w:eastAsia="Times New Roman" w:hAnsi="Cambria" w:cs="Times New Roman"/>
      <w:sz w:val="24"/>
      <w:szCs w:val="24"/>
      <w:lang w:val="es-ES" w:eastAsia="es-ES" w:bidi="es-ES"/>
    </w:rPr>
  </w:style>
  <w:style w:type="character" w:customStyle="1" w:styleId="Ttulo2Car">
    <w:name w:val="Título 2 Car"/>
    <w:basedOn w:val="Fuentedeprrafopredeter"/>
    <w:link w:val="Ttulo2"/>
    <w:uiPriority w:val="9"/>
    <w:semiHidden/>
    <w:rsid w:val="00AE38E9"/>
    <w:rPr>
      <w:rFonts w:asciiTheme="majorHAnsi" w:eastAsiaTheme="majorEastAsia" w:hAnsiTheme="majorHAnsi" w:cstheme="majorBidi"/>
      <w:color w:val="2E74B5" w:themeColor="accent1" w:themeShade="BF"/>
      <w:sz w:val="26"/>
      <w:szCs w:val="26"/>
      <w:lang w:val="es-ES"/>
    </w:rPr>
  </w:style>
  <w:style w:type="paragraph" w:customStyle="1" w:styleId="Normal1">
    <w:name w:val="Normal1"/>
    <w:rsid w:val="00724904"/>
    <w:pPr>
      <w:spacing w:after="0" w:line="276" w:lineRule="auto"/>
    </w:pPr>
    <w:rPr>
      <w:rFonts w:ascii="Arial" w:eastAsia="Arial" w:hAnsi="Arial" w:cs="Arial"/>
      <w:lang w:val="uz-Cyrl-UZ" w:eastAsia="es-ES"/>
    </w:rPr>
  </w:style>
  <w:style w:type="character" w:styleId="Refdenotaalpie">
    <w:name w:val="footnote reference"/>
    <w:uiPriority w:val="99"/>
    <w:semiHidden/>
    <w:unhideWhenUsed/>
    <w:rsid w:val="00934B32"/>
    <w:rPr>
      <w:vertAlign w:val="superscript"/>
    </w:rPr>
  </w:style>
  <w:style w:type="character" w:styleId="Hipervnculo">
    <w:name w:val="Hyperlink"/>
    <w:uiPriority w:val="99"/>
    <w:unhideWhenUsed/>
    <w:rsid w:val="00934B32"/>
    <w:rPr>
      <w:color w:val="0563C1"/>
      <w:u w:val="single"/>
    </w:rPr>
  </w:style>
  <w:style w:type="table" w:styleId="Tablaconcuadrcula">
    <w:name w:val="Table Grid"/>
    <w:basedOn w:val="Tablanormal"/>
    <w:uiPriority w:val="39"/>
    <w:rsid w:val="00862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62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21E"/>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10</Pages>
  <Words>2252</Words>
  <Characters>12387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dayiana mojica</cp:lastModifiedBy>
  <cp:revision>7</cp:revision>
  <cp:lastPrinted>2019-07-31T17:05:00Z</cp:lastPrinted>
  <dcterms:created xsi:type="dcterms:W3CDTF">2019-07-18T18:02:00Z</dcterms:created>
  <dcterms:modified xsi:type="dcterms:W3CDTF">2019-08-01T21:14:00Z</dcterms:modified>
</cp:coreProperties>
</file>